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F8195" w14:textId="77777777" w:rsidR="002A2167" w:rsidRPr="00FB2167" w:rsidRDefault="002A2167" w:rsidP="002A2167">
      <w:pPr>
        <w:spacing w:line="360" w:lineRule="auto"/>
        <w:jc w:val="center"/>
        <w:rPr>
          <w:szCs w:val="18"/>
          <w:lang w:val="nl-NL"/>
        </w:rPr>
      </w:pPr>
      <w:bookmarkStart w:id="0" w:name="_Toc135041031"/>
      <w:r w:rsidRPr="005F2D15">
        <w:rPr>
          <w:rFonts w:eastAsia="Verdana" w:cs="Verdana"/>
          <w:noProof/>
          <w:sz w:val="20"/>
          <w:szCs w:val="18"/>
          <w:lang w:val="nl-NL"/>
        </w:rPr>
        <w:drawing>
          <wp:inline distT="0" distB="0" distL="0" distR="0" wp14:anchorId="13056559" wp14:editId="510DC273">
            <wp:extent cx="5760720" cy="1345809"/>
            <wp:effectExtent l="0" t="0" r="5080" b="635"/>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5760720" cy="1345809"/>
                    </a:xfrm>
                    <a:prstGeom prst="rect">
                      <a:avLst/>
                    </a:prstGeom>
                  </pic:spPr>
                </pic:pic>
              </a:graphicData>
            </a:graphic>
          </wp:inline>
        </w:drawing>
      </w:r>
    </w:p>
    <w:p w14:paraId="51FADA57" w14:textId="77777777" w:rsidR="002A2167" w:rsidRPr="00FB2167" w:rsidRDefault="002A2167" w:rsidP="002A2167">
      <w:pPr>
        <w:spacing w:line="360" w:lineRule="auto"/>
        <w:jc w:val="center"/>
        <w:rPr>
          <w:b/>
          <w:szCs w:val="18"/>
          <w:lang w:val="nl-NL"/>
        </w:rPr>
      </w:pPr>
    </w:p>
    <w:p w14:paraId="1F9711B3" w14:textId="77777777" w:rsidR="002A2167" w:rsidRPr="00FB2167" w:rsidRDefault="002A2167" w:rsidP="002A2167">
      <w:pPr>
        <w:spacing w:line="360" w:lineRule="auto"/>
        <w:jc w:val="center"/>
        <w:rPr>
          <w:b/>
          <w:szCs w:val="18"/>
          <w:lang w:val="nl-NL"/>
        </w:rPr>
      </w:pPr>
    </w:p>
    <w:p w14:paraId="018ECE8E" w14:textId="77777777" w:rsidR="002A2167" w:rsidRPr="00FB2167" w:rsidRDefault="002A2167" w:rsidP="002A2167">
      <w:pPr>
        <w:spacing w:line="360" w:lineRule="auto"/>
        <w:jc w:val="center"/>
        <w:rPr>
          <w:b/>
          <w:szCs w:val="18"/>
          <w:lang w:val="nl-NL"/>
        </w:rPr>
      </w:pPr>
    </w:p>
    <w:p w14:paraId="5E96DED9" w14:textId="17E99BAF" w:rsidR="002A2167" w:rsidRDefault="002A2167" w:rsidP="002A2167">
      <w:pPr>
        <w:spacing w:line="360" w:lineRule="auto"/>
        <w:jc w:val="center"/>
        <w:rPr>
          <w:b/>
          <w:szCs w:val="18"/>
          <w:lang w:val="nl-NL"/>
        </w:rPr>
      </w:pPr>
    </w:p>
    <w:p w14:paraId="78063D3F" w14:textId="22688E54" w:rsidR="002A2167" w:rsidRDefault="002A2167" w:rsidP="002A2167">
      <w:pPr>
        <w:spacing w:line="360" w:lineRule="auto"/>
        <w:jc w:val="center"/>
        <w:rPr>
          <w:b/>
          <w:szCs w:val="18"/>
          <w:lang w:val="nl-NL"/>
        </w:rPr>
      </w:pPr>
    </w:p>
    <w:p w14:paraId="2028EA7C" w14:textId="77777777" w:rsidR="002A2167" w:rsidRPr="00FB2167" w:rsidRDefault="002A2167" w:rsidP="002A2167">
      <w:pPr>
        <w:spacing w:line="360" w:lineRule="auto"/>
        <w:jc w:val="center"/>
        <w:rPr>
          <w:b/>
          <w:szCs w:val="18"/>
          <w:lang w:val="nl-NL"/>
        </w:rPr>
      </w:pPr>
    </w:p>
    <w:p w14:paraId="5CF00CB0" w14:textId="77777777" w:rsidR="002A2167" w:rsidRPr="005F2D15" w:rsidRDefault="002A2167" w:rsidP="002A2167">
      <w:pPr>
        <w:widowControl w:val="0"/>
        <w:autoSpaceDE w:val="0"/>
        <w:autoSpaceDN w:val="0"/>
        <w:spacing w:before="101"/>
        <w:rPr>
          <w:rFonts w:eastAsia="Verdana" w:cs="Verdana"/>
          <w:b/>
          <w:sz w:val="40"/>
          <w:lang w:val="nl-NL"/>
        </w:rPr>
      </w:pPr>
      <w:r w:rsidRPr="005F2D15">
        <w:rPr>
          <w:rFonts w:eastAsia="Verdana" w:cs="Verdana"/>
          <w:b/>
          <w:w w:val="105"/>
          <w:sz w:val="40"/>
          <w:lang w:val="nl-NL"/>
        </w:rPr>
        <w:t>Faculteit Rechten</w:t>
      </w:r>
    </w:p>
    <w:p w14:paraId="0023A9C9" w14:textId="77777777" w:rsidR="002A2167" w:rsidRPr="005F2D15" w:rsidRDefault="002A2167" w:rsidP="002A2167">
      <w:pPr>
        <w:widowControl w:val="0"/>
        <w:autoSpaceDE w:val="0"/>
        <w:autoSpaceDN w:val="0"/>
        <w:spacing w:before="124"/>
        <w:rPr>
          <w:rFonts w:eastAsia="Verdana" w:cs="Verdana"/>
          <w:sz w:val="40"/>
          <w:lang w:val="nl-NL"/>
        </w:rPr>
      </w:pPr>
      <w:r w:rsidRPr="005F2D15">
        <w:rPr>
          <w:rFonts w:eastAsia="Verdana" w:cs="Verdana"/>
          <w:sz w:val="40"/>
          <w:lang w:val="nl-NL"/>
        </w:rPr>
        <w:t>Master in de rechten</w:t>
      </w:r>
    </w:p>
    <w:p w14:paraId="7335426F" w14:textId="77777777" w:rsidR="002A2167" w:rsidRPr="009E5706" w:rsidRDefault="002A2167" w:rsidP="002A2167">
      <w:pPr>
        <w:widowControl w:val="0"/>
        <w:autoSpaceDE w:val="0"/>
        <w:autoSpaceDN w:val="0"/>
        <w:spacing w:before="256"/>
        <w:rPr>
          <w:rFonts w:eastAsia="Verdana" w:cs="Verdana"/>
          <w:b/>
          <w:i/>
          <w:sz w:val="20"/>
          <w:lang w:val="nl-NL"/>
        </w:rPr>
      </w:pPr>
      <w:r w:rsidRPr="009E5706">
        <w:rPr>
          <w:rFonts w:eastAsia="Verdana" w:cs="Verdana"/>
          <w:b/>
          <w:i/>
          <w:w w:val="120"/>
          <w:sz w:val="20"/>
          <w:lang w:val="nl-NL"/>
        </w:rPr>
        <w:t>Masterthesis 2022-2023</w:t>
      </w:r>
    </w:p>
    <w:p w14:paraId="428826B9" w14:textId="394DEA5F" w:rsidR="002A2167" w:rsidRDefault="002A2167" w:rsidP="002A2167">
      <w:pPr>
        <w:spacing w:line="360" w:lineRule="auto"/>
        <w:rPr>
          <w:szCs w:val="18"/>
          <w:lang w:val="nl-NL"/>
        </w:rPr>
      </w:pPr>
    </w:p>
    <w:p w14:paraId="3EED2DDB" w14:textId="300CB3D0" w:rsidR="002A2167" w:rsidRDefault="002A2167" w:rsidP="002A2167">
      <w:pPr>
        <w:spacing w:line="360" w:lineRule="auto"/>
        <w:rPr>
          <w:szCs w:val="18"/>
          <w:lang w:val="nl-NL"/>
        </w:rPr>
      </w:pPr>
    </w:p>
    <w:p w14:paraId="725B001C" w14:textId="2820324D" w:rsidR="00D87D41" w:rsidRDefault="00D87D41" w:rsidP="002A2167">
      <w:pPr>
        <w:spacing w:line="360" w:lineRule="auto"/>
        <w:rPr>
          <w:szCs w:val="18"/>
          <w:lang w:val="nl-NL"/>
        </w:rPr>
      </w:pPr>
    </w:p>
    <w:p w14:paraId="76367ED3" w14:textId="77777777" w:rsidR="00D87D41" w:rsidRPr="00FB2167" w:rsidRDefault="00D87D41" w:rsidP="002A2167">
      <w:pPr>
        <w:spacing w:line="360" w:lineRule="auto"/>
        <w:rPr>
          <w:szCs w:val="18"/>
          <w:lang w:val="nl-NL"/>
        </w:rPr>
      </w:pPr>
    </w:p>
    <w:p w14:paraId="2C04F543" w14:textId="77777777" w:rsidR="002A2167" w:rsidRPr="00DB4857" w:rsidRDefault="002A2167" w:rsidP="002A2167">
      <w:pPr>
        <w:spacing w:line="360" w:lineRule="auto"/>
        <w:jc w:val="left"/>
        <w:rPr>
          <w:b/>
          <w:i/>
          <w:color w:val="000000" w:themeColor="text1"/>
          <w:szCs w:val="18"/>
          <w:lang w:val="nl-NL"/>
        </w:rPr>
      </w:pPr>
      <w:r w:rsidRPr="00DB4857">
        <w:rPr>
          <w:b/>
          <w:i/>
          <w:color w:val="000000" w:themeColor="text1"/>
          <w:szCs w:val="18"/>
          <w:lang w:val="nl-NL"/>
        </w:rPr>
        <w:t>Aantasting van de seksuele integriteit en verkrachting in het nieuw Belgisch seksueel strafrecht, mede vanuit rechtsvergelijkend perspectief</w:t>
      </w:r>
    </w:p>
    <w:p w14:paraId="5541E8D9" w14:textId="0D2B2A62" w:rsidR="002A2167" w:rsidRDefault="002A2167" w:rsidP="002A2167">
      <w:pPr>
        <w:spacing w:line="360" w:lineRule="auto"/>
        <w:jc w:val="left"/>
        <w:rPr>
          <w:color w:val="000000" w:themeColor="text1"/>
          <w:sz w:val="16"/>
          <w:szCs w:val="17"/>
          <w:lang w:val="nl-NL"/>
        </w:rPr>
      </w:pPr>
    </w:p>
    <w:p w14:paraId="4C05B077" w14:textId="45854A45" w:rsidR="00D87D41" w:rsidRDefault="00D87D41" w:rsidP="002A2167">
      <w:pPr>
        <w:spacing w:line="360" w:lineRule="auto"/>
        <w:jc w:val="left"/>
        <w:rPr>
          <w:color w:val="000000" w:themeColor="text1"/>
          <w:sz w:val="16"/>
          <w:szCs w:val="17"/>
          <w:lang w:val="nl-NL"/>
        </w:rPr>
      </w:pPr>
    </w:p>
    <w:p w14:paraId="257F0AE4" w14:textId="15D18DCB" w:rsidR="009C29A6" w:rsidRDefault="009C29A6" w:rsidP="002A2167">
      <w:pPr>
        <w:spacing w:line="360" w:lineRule="auto"/>
        <w:jc w:val="left"/>
        <w:rPr>
          <w:color w:val="000000" w:themeColor="text1"/>
          <w:sz w:val="16"/>
          <w:szCs w:val="17"/>
          <w:lang w:val="nl-NL"/>
        </w:rPr>
      </w:pPr>
    </w:p>
    <w:p w14:paraId="23396ABB" w14:textId="6CC0546F" w:rsidR="009C29A6" w:rsidRDefault="009C29A6" w:rsidP="002A2167">
      <w:pPr>
        <w:spacing w:line="360" w:lineRule="auto"/>
        <w:jc w:val="left"/>
        <w:rPr>
          <w:color w:val="000000" w:themeColor="text1"/>
          <w:sz w:val="16"/>
          <w:szCs w:val="17"/>
          <w:lang w:val="nl-NL"/>
        </w:rPr>
      </w:pPr>
    </w:p>
    <w:p w14:paraId="297411A0" w14:textId="77777777" w:rsidR="009C29A6" w:rsidRDefault="009C29A6" w:rsidP="002A2167">
      <w:pPr>
        <w:spacing w:line="360" w:lineRule="auto"/>
        <w:jc w:val="left"/>
        <w:rPr>
          <w:color w:val="000000" w:themeColor="text1"/>
          <w:sz w:val="16"/>
          <w:szCs w:val="17"/>
          <w:lang w:val="nl-NL"/>
        </w:rPr>
      </w:pPr>
    </w:p>
    <w:p w14:paraId="38DDCCF5" w14:textId="77777777" w:rsidR="00D87D41" w:rsidRPr="00DB4857" w:rsidRDefault="00D87D41" w:rsidP="002A2167">
      <w:pPr>
        <w:spacing w:line="360" w:lineRule="auto"/>
        <w:jc w:val="left"/>
        <w:rPr>
          <w:color w:val="000000" w:themeColor="text1"/>
          <w:sz w:val="16"/>
          <w:szCs w:val="17"/>
          <w:lang w:val="nl-NL"/>
        </w:rPr>
      </w:pPr>
    </w:p>
    <w:p w14:paraId="36A9400F" w14:textId="402EAA19" w:rsidR="005E08B6" w:rsidRPr="009C29A6" w:rsidRDefault="009C29A6" w:rsidP="002A2167">
      <w:pPr>
        <w:spacing w:line="360" w:lineRule="auto"/>
        <w:jc w:val="left"/>
        <w:rPr>
          <w:b/>
          <w:bCs/>
          <w:color w:val="000000" w:themeColor="text1"/>
          <w:sz w:val="16"/>
          <w:szCs w:val="18"/>
          <w:lang w:val="nl-NL"/>
        </w:rPr>
      </w:pPr>
      <w:r w:rsidRPr="009C29A6">
        <w:rPr>
          <w:b/>
          <w:bCs/>
          <w:color w:val="000000" w:themeColor="text1"/>
          <w:sz w:val="16"/>
          <w:szCs w:val="18"/>
          <w:lang w:val="nl-NL"/>
        </w:rPr>
        <w:t>Mariet Stiers</w:t>
      </w:r>
    </w:p>
    <w:p w14:paraId="6B90B8A2" w14:textId="0C586862" w:rsidR="002A2167" w:rsidRPr="00DB4857" w:rsidRDefault="002A2167" w:rsidP="002A2167">
      <w:pPr>
        <w:spacing w:line="360" w:lineRule="auto"/>
        <w:jc w:val="left"/>
        <w:rPr>
          <w:color w:val="000000" w:themeColor="text1"/>
          <w:sz w:val="16"/>
          <w:szCs w:val="18"/>
          <w:lang w:val="nl-NL"/>
        </w:rPr>
      </w:pPr>
      <w:r w:rsidRPr="00DB4857">
        <w:rPr>
          <w:color w:val="000000" w:themeColor="text1"/>
          <w:sz w:val="16"/>
          <w:szCs w:val="18"/>
          <w:lang w:val="nl-NL"/>
        </w:rPr>
        <w:t>Scriptie ingediend tot het behalen van de graad van master in de rechten, afstudeerrichting overheid en recht</w:t>
      </w:r>
    </w:p>
    <w:p w14:paraId="2A07FF70" w14:textId="77777777" w:rsidR="002A2167" w:rsidRPr="00FB2167" w:rsidRDefault="002A2167" w:rsidP="002A2167">
      <w:pPr>
        <w:spacing w:line="360" w:lineRule="auto"/>
        <w:rPr>
          <w:b/>
          <w:color w:val="000000" w:themeColor="text1"/>
          <w:szCs w:val="18"/>
          <w:lang w:val="nl-NL"/>
        </w:rPr>
      </w:pPr>
    </w:p>
    <w:p w14:paraId="0FDF2469" w14:textId="77777777" w:rsidR="002A2167" w:rsidRPr="00FB2167" w:rsidRDefault="002A2167" w:rsidP="002A2167">
      <w:pPr>
        <w:spacing w:line="360" w:lineRule="auto"/>
        <w:rPr>
          <w:b/>
          <w:color w:val="000000" w:themeColor="text1"/>
          <w:szCs w:val="18"/>
          <w:lang w:val="nl-NL"/>
        </w:rPr>
      </w:pPr>
    </w:p>
    <w:p w14:paraId="154469B1" w14:textId="77777777" w:rsidR="002A2167" w:rsidRDefault="002A2167" w:rsidP="002A2167">
      <w:pPr>
        <w:spacing w:line="360" w:lineRule="auto"/>
        <w:rPr>
          <w:color w:val="000000" w:themeColor="text1"/>
          <w:szCs w:val="18"/>
          <w:lang w:val="nl-NL"/>
        </w:rPr>
      </w:pPr>
    </w:p>
    <w:p w14:paraId="7C975C3A" w14:textId="77777777" w:rsidR="002A2167" w:rsidRDefault="002A2167" w:rsidP="002A2167">
      <w:pPr>
        <w:spacing w:line="360" w:lineRule="auto"/>
        <w:rPr>
          <w:color w:val="000000" w:themeColor="text1"/>
          <w:szCs w:val="18"/>
          <w:lang w:val="nl-NL"/>
        </w:rPr>
      </w:pPr>
    </w:p>
    <w:p w14:paraId="55BA0E5C" w14:textId="79449666" w:rsidR="002A2167" w:rsidRDefault="002A2167" w:rsidP="002A2167">
      <w:pPr>
        <w:spacing w:line="360" w:lineRule="auto"/>
        <w:rPr>
          <w:color w:val="000000" w:themeColor="text1"/>
          <w:szCs w:val="18"/>
          <w:lang w:val="nl-NL"/>
        </w:rPr>
      </w:pPr>
    </w:p>
    <w:p w14:paraId="574ACC0D" w14:textId="6B82F872" w:rsidR="009C29A6" w:rsidRDefault="009C29A6" w:rsidP="002A2167">
      <w:pPr>
        <w:spacing w:line="360" w:lineRule="auto"/>
        <w:rPr>
          <w:color w:val="000000" w:themeColor="text1"/>
          <w:szCs w:val="18"/>
          <w:lang w:val="nl-NL"/>
        </w:rPr>
      </w:pPr>
    </w:p>
    <w:p w14:paraId="1A821292" w14:textId="0B0F26E9" w:rsidR="009C29A6" w:rsidRDefault="009C29A6" w:rsidP="002A2167">
      <w:pPr>
        <w:spacing w:line="360" w:lineRule="auto"/>
        <w:rPr>
          <w:color w:val="000000" w:themeColor="text1"/>
          <w:szCs w:val="18"/>
          <w:lang w:val="nl-NL"/>
        </w:rPr>
      </w:pPr>
    </w:p>
    <w:p w14:paraId="5F547124" w14:textId="77777777" w:rsidR="009C29A6" w:rsidRDefault="009C29A6" w:rsidP="002A2167">
      <w:pPr>
        <w:spacing w:line="360" w:lineRule="auto"/>
        <w:rPr>
          <w:color w:val="000000" w:themeColor="text1"/>
          <w:szCs w:val="18"/>
          <w:lang w:val="nl-NL"/>
        </w:rPr>
      </w:pPr>
    </w:p>
    <w:p w14:paraId="5DC5D1D6" w14:textId="77777777" w:rsidR="002A2167" w:rsidRDefault="002A2167" w:rsidP="002A2167">
      <w:pPr>
        <w:spacing w:line="360" w:lineRule="auto"/>
        <w:rPr>
          <w:color w:val="000000" w:themeColor="text1"/>
          <w:szCs w:val="18"/>
          <w:lang w:val="nl-NL"/>
        </w:rPr>
      </w:pPr>
    </w:p>
    <w:p w14:paraId="090FE699" w14:textId="56E963B3" w:rsidR="002A2167" w:rsidRPr="009C29A6" w:rsidRDefault="009C29A6" w:rsidP="002A2167">
      <w:pPr>
        <w:spacing w:line="360" w:lineRule="auto"/>
        <w:rPr>
          <w:b/>
          <w:bCs/>
          <w:color w:val="000000" w:themeColor="text1"/>
          <w:szCs w:val="18"/>
          <w:lang w:val="nl-NL"/>
        </w:rPr>
      </w:pPr>
      <w:r w:rsidRPr="009C29A6">
        <w:rPr>
          <w:b/>
          <w:bCs/>
          <w:color w:val="000000" w:themeColor="text1"/>
          <w:szCs w:val="18"/>
          <w:lang w:val="nl-NL"/>
        </w:rPr>
        <w:t>Promotor:</w:t>
      </w:r>
    </w:p>
    <w:p w14:paraId="52A29F5F" w14:textId="7707974F" w:rsidR="009C29A6" w:rsidRDefault="009C29A6" w:rsidP="002A2167">
      <w:pPr>
        <w:spacing w:line="360" w:lineRule="auto"/>
        <w:rPr>
          <w:color w:val="000000" w:themeColor="text1"/>
          <w:szCs w:val="18"/>
          <w:lang w:val="nl-NL"/>
        </w:rPr>
      </w:pPr>
      <w:r>
        <w:rPr>
          <w:color w:val="000000" w:themeColor="text1"/>
          <w:szCs w:val="18"/>
          <w:lang w:val="nl-NL"/>
        </w:rPr>
        <w:t>Prof. dr. Bart SPRIET</w:t>
      </w:r>
    </w:p>
    <w:p w14:paraId="5877C2CD" w14:textId="05792006" w:rsidR="009E5706" w:rsidRDefault="009E5706" w:rsidP="002A2167">
      <w:pPr>
        <w:spacing w:line="360" w:lineRule="auto"/>
        <w:rPr>
          <w:color w:val="000000" w:themeColor="text1"/>
          <w:szCs w:val="18"/>
          <w:lang w:val="nl-NL"/>
        </w:rPr>
      </w:pPr>
    </w:p>
    <w:p w14:paraId="4C7F5E7D" w14:textId="77777777" w:rsidR="009E5706" w:rsidRPr="00FB2167" w:rsidRDefault="009E5706" w:rsidP="002A2167">
      <w:pPr>
        <w:spacing w:line="360" w:lineRule="auto"/>
        <w:rPr>
          <w:color w:val="000000" w:themeColor="text1"/>
          <w:szCs w:val="18"/>
          <w:lang w:val="nl-NL"/>
        </w:rPr>
      </w:pPr>
    </w:p>
    <w:p w14:paraId="420E259E" w14:textId="77777777" w:rsidR="002A2167" w:rsidRPr="00FB2167" w:rsidRDefault="002A2167" w:rsidP="002A2167">
      <w:pPr>
        <w:spacing w:line="360" w:lineRule="auto"/>
        <w:rPr>
          <w:color w:val="000000" w:themeColor="text1"/>
          <w:szCs w:val="18"/>
          <w:lang w:val="nl-NL"/>
        </w:rPr>
      </w:pPr>
    </w:p>
    <w:p w14:paraId="261E1AF7" w14:textId="77777777" w:rsidR="00FE0F4A" w:rsidRDefault="00FE0F4A" w:rsidP="00BA0376">
      <w:pPr>
        <w:spacing w:line="360" w:lineRule="auto"/>
        <w:jc w:val="left"/>
        <w:rPr>
          <w:szCs w:val="18"/>
          <w:lang w:val="nl-NL"/>
        </w:rPr>
      </w:pPr>
    </w:p>
    <w:p w14:paraId="20C1165B" w14:textId="6BFD386A" w:rsidR="00FE0F4A" w:rsidRPr="00BA0376" w:rsidRDefault="00FE0F4A" w:rsidP="00BA0376">
      <w:pPr>
        <w:spacing w:line="360" w:lineRule="auto"/>
        <w:jc w:val="left"/>
        <w:rPr>
          <w:szCs w:val="18"/>
          <w:lang w:val="nl-NL"/>
        </w:rPr>
        <w:sectPr w:rsidR="00FE0F4A" w:rsidRPr="00BA0376" w:rsidSect="0026404D">
          <w:footerReference w:type="even" r:id="rId9"/>
          <w:footerReference w:type="default" r:id="rId10"/>
          <w:pgSz w:w="11906" w:h="16838"/>
          <w:pgMar w:top="1417" w:right="1417" w:bottom="1417" w:left="1417" w:header="709" w:footer="709" w:gutter="0"/>
          <w:cols w:space="708"/>
          <w:docGrid w:linePitch="360"/>
        </w:sectPr>
      </w:pPr>
    </w:p>
    <w:p w14:paraId="643780D2" w14:textId="0A2CEEAA" w:rsidR="00727AE9" w:rsidRPr="00C36355" w:rsidRDefault="00727AE9" w:rsidP="00260F11">
      <w:pPr>
        <w:pStyle w:val="Heading1"/>
        <w:rPr>
          <w:lang w:val="nl-NL"/>
        </w:rPr>
      </w:pPr>
      <w:r w:rsidRPr="00C36355">
        <w:rPr>
          <w:lang w:val="nl-NL"/>
        </w:rPr>
        <w:lastRenderedPageBreak/>
        <w:t>Samenvatting</w:t>
      </w:r>
      <w:bookmarkEnd w:id="0"/>
    </w:p>
    <w:p w14:paraId="149D7590" w14:textId="77777777" w:rsidR="00EB490D" w:rsidRPr="00C36355" w:rsidRDefault="00EB490D" w:rsidP="00260F11">
      <w:pPr>
        <w:pStyle w:val="ListParagraph"/>
        <w:spacing w:line="360" w:lineRule="auto"/>
        <w:ind w:left="0"/>
        <w:rPr>
          <w:color w:val="000000" w:themeColor="text1"/>
          <w:szCs w:val="18"/>
          <w:lang w:val="nl-NL"/>
        </w:rPr>
      </w:pPr>
    </w:p>
    <w:p w14:paraId="68195B9F" w14:textId="6E0197A1" w:rsidR="00D9569A" w:rsidRPr="00C36355" w:rsidRDefault="00BA2047" w:rsidP="00260F11">
      <w:pPr>
        <w:pStyle w:val="ListParagraph"/>
        <w:spacing w:line="360" w:lineRule="auto"/>
        <w:ind w:left="0"/>
        <w:rPr>
          <w:color w:val="000000" w:themeColor="text1"/>
          <w:szCs w:val="18"/>
          <w:lang w:val="nl-NL"/>
        </w:rPr>
      </w:pPr>
      <w:r w:rsidRPr="00C36355">
        <w:rPr>
          <w:color w:val="000000" w:themeColor="text1"/>
          <w:szCs w:val="18"/>
          <w:lang w:val="nl-NL"/>
        </w:rPr>
        <w:t xml:space="preserve">Op 1 juni 2022 traden de nieuwe strafbaarstellingen van aantasting van de seksuele integriteit (voorheen: aanranding van de eerbaarheid) en verkrachting in werking. </w:t>
      </w:r>
      <w:r w:rsidR="00D9569A" w:rsidRPr="00C36355">
        <w:rPr>
          <w:color w:val="000000" w:themeColor="text1"/>
          <w:szCs w:val="18"/>
          <w:lang w:val="nl-NL"/>
        </w:rPr>
        <w:t>Het doel van d</w:t>
      </w:r>
      <w:r w:rsidRPr="00C36355">
        <w:rPr>
          <w:color w:val="000000" w:themeColor="text1"/>
          <w:szCs w:val="18"/>
          <w:lang w:val="nl-NL"/>
        </w:rPr>
        <w:t xml:space="preserve">eze masterscriptie </w:t>
      </w:r>
      <w:r w:rsidR="00D9569A" w:rsidRPr="00C36355">
        <w:rPr>
          <w:color w:val="000000" w:themeColor="text1"/>
          <w:szCs w:val="18"/>
          <w:lang w:val="nl-NL"/>
        </w:rPr>
        <w:t>bestond erin na te gaan</w:t>
      </w:r>
      <w:r w:rsidRPr="00C36355">
        <w:rPr>
          <w:color w:val="000000" w:themeColor="text1"/>
          <w:szCs w:val="18"/>
          <w:lang w:val="nl-NL"/>
        </w:rPr>
        <w:t xml:space="preserve"> in hoeverre de hervorming van deze strafbaarstellingen </w:t>
      </w:r>
      <w:r w:rsidR="00D9569A" w:rsidRPr="00C36355">
        <w:rPr>
          <w:color w:val="000000" w:themeColor="text1"/>
          <w:szCs w:val="18"/>
          <w:lang w:val="nl-NL"/>
        </w:rPr>
        <w:t>op dit ogenblik</w:t>
      </w:r>
      <w:r w:rsidRPr="00C36355">
        <w:rPr>
          <w:color w:val="000000" w:themeColor="text1"/>
          <w:szCs w:val="18"/>
          <w:lang w:val="nl-NL"/>
        </w:rPr>
        <w:t xml:space="preserve"> reeds als </w:t>
      </w:r>
      <w:r w:rsidR="00E00084" w:rsidRPr="00C36355">
        <w:rPr>
          <w:color w:val="000000" w:themeColor="text1"/>
          <w:szCs w:val="18"/>
          <w:lang w:val="nl-NL"/>
        </w:rPr>
        <w:t>een positieve evolutie</w:t>
      </w:r>
      <w:r w:rsidRPr="00C36355">
        <w:rPr>
          <w:color w:val="000000" w:themeColor="text1"/>
          <w:szCs w:val="18"/>
          <w:lang w:val="nl-NL"/>
        </w:rPr>
        <w:t xml:space="preserve"> kan worden </w:t>
      </w:r>
      <w:r w:rsidR="0060673F">
        <w:rPr>
          <w:color w:val="000000" w:themeColor="text1"/>
          <w:szCs w:val="18"/>
          <w:lang w:val="nl-NL"/>
        </w:rPr>
        <w:t>beschouwd</w:t>
      </w:r>
      <w:r w:rsidRPr="00C36355">
        <w:rPr>
          <w:color w:val="000000" w:themeColor="text1"/>
          <w:szCs w:val="18"/>
          <w:lang w:val="nl-NL"/>
        </w:rPr>
        <w:t xml:space="preserve">. </w:t>
      </w:r>
    </w:p>
    <w:p w14:paraId="438F625B" w14:textId="77777777" w:rsidR="00D9569A" w:rsidRPr="00C36355" w:rsidRDefault="00D9569A" w:rsidP="00260F11">
      <w:pPr>
        <w:pStyle w:val="ListParagraph"/>
        <w:spacing w:line="360" w:lineRule="auto"/>
        <w:ind w:left="0"/>
        <w:rPr>
          <w:color w:val="000000" w:themeColor="text1"/>
          <w:szCs w:val="18"/>
          <w:lang w:val="nl-NL"/>
        </w:rPr>
      </w:pPr>
    </w:p>
    <w:p w14:paraId="075DDF0D" w14:textId="7453A624" w:rsidR="001F0DA0" w:rsidRPr="00C36355" w:rsidRDefault="00E00084" w:rsidP="00260F11">
      <w:pPr>
        <w:pStyle w:val="ListParagraph"/>
        <w:spacing w:line="360" w:lineRule="auto"/>
        <w:ind w:left="0"/>
        <w:rPr>
          <w:color w:val="000000" w:themeColor="text1"/>
        </w:rPr>
      </w:pPr>
      <w:r w:rsidRPr="00C36355">
        <w:rPr>
          <w:color w:val="000000" w:themeColor="text1"/>
          <w:szCs w:val="18"/>
          <w:lang w:val="nl-NL"/>
        </w:rPr>
        <w:t>Om dit te kunnen realiseren,</w:t>
      </w:r>
      <w:r w:rsidR="002D0CE4" w:rsidRPr="00C36355">
        <w:rPr>
          <w:color w:val="000000" w:themeColor="text1"/>
          <w:szCs w:val="18"/>
          <w:lang w:val="nl-NL"/>
        </w:rPr>
        <w:t xml:space="preserve"> </w:t>
      </w:r>
      <w:r w:rsidRPr="00C36355">
        <w:rPr>
          <w:color w:val="000000" w:themeColor="text1"/>
          <w:szCs w:val="18"/>
          <w:lang w:val="nl-NL"/>
        </w:rPr>
        <w:t xml:space="preserve">werd </w:t>
      </w:r>
      <w:r w:rsidR="0060673F">
        <w:rPr>
          <w:color w:val="000000" w:themeColor="text1"/>
          <w:szCs w:val="18"/>
          <w:lang w:val="nl-NL"/>
        </w:rPr>
        <w:t xml:space="preserve">vooreerst </w:t>
      </w:r>
      <w:r w:rsidR="006C2091" w:rsidRPr="00C36355">
        <w:rPr>
          <w:color w:val="000000" w:themeColor="text1"/>
          <w:szCs w:val="18"/>
          <w:lang w:val="nl-NL"/>
        </w:rPr>
        <w:t>onderzocht</w:t>
      </w:r>
      <w:r w:rsidR="00BA2047" w:rsidRPr="00C36355">
        <w:rPr>
          <w:color w:val="000000" w:themeColor="text1"/>
          <w:szCs w:val="18"/>
          <w:lang w:val="nl-NL"/>
        </w:rPr>
        <w:t xml:space="preserve"> in hoeverre deze hervorming </w:t>
      </w:r>
      <w:r w:rsidR="00BA2047" w:rsidRPr="00C36355">
        <w:rPr>
          <w:color w:val="000000" w:themeColor="text1"/>
        </w:rPr>
        <w:t xml:space="preserve">nu reeds </w:t>
      </w:r>
      <w:r w:rsidR="00D9569A" w:rsidRPr="00C36355">
        <w:rPr>
          <w:color w:val="000000" w:themeColor="text1"/>
        </w:rPr>
        <w:t xml:space="preserve">in de rechtspraktijk voelbaar is. </w:t>
      </w:r>
      <w:r w:rsidR="006C2091" w:rsidRPr="00C36355">
        <w:rPr>
          <w:color w:val="000000" w:themeColor="text1"/>
        </w:rPr>
        <w:t xml:space="preserve">Meer bepaald </w:t>
      </w:r>
      <w:r w:rsidR="00D9569A" w:rsidRPr="00C36355">
        <w:rPr>
          <w:color w:val="000000" w:themeColor="text1"/>
          <w:szCs w:val="18"/>
          <w:lang w:val="nl-NL"/>
        </w:rPr>
        <w:t xml:space="preserve">werd </w:t>
      </w:r>
      <w:r w:rsidR="006C2091" w:rsidRPr="00C36355">
        <w:rPr>
          <w:color w:val="000000" w:themeColor="text1"/>
          <w:szCs w:val="18"/>
          <w:lang w:val="nl-NL"/>
        </w:rPr>
        <w:t xml:space="preserve">nagegaan </w:t>
      </w:r>
      <w:r w:rsidR="00D9569A" w:rsidRPr="00C36355">
        <w:rPr>
          <w:color w:val="000000" w:themeColor="text1"/>
          <w:szCs w:val="18"/>
          <w:lang w:val="nl-NL"/>
        </w:rPr>
        <w:t xml:space="preserve">of </w:t>
      </w:r>
      <w:r w:rsidR="002D0CE4" w:rsidRPr="00C36355">
        <w:rPr>
          <w:color w:val="000000" w:themeColor="text1"/>
          <w:szCs w:val="18"/>
          <w:lang w:val="nl-NL"/>
        </w:rPr>
        <w:t>deze hervormde</w:t>
      </w:r>
      <w:r w:rsidR="00D9569A" w:rsidRPr="00C36355">
        <w:rPr>
          <w:color w:val="000000" w:themeColor="text1"/>
          <w:szCs w:val="18"/>
          <w:lang w:val="nl-NL"/>
        </w:rPr>
        <w:t xml:space="preserve"> </w:t>
      </w:r>
      <w:r w:rsidR="002D0CE4" w:rsidRPr="00C36355">
        <w:rPr>
          <w:color w:val="000000" w:themeColor="text1"/>
          <w:szCs w:val="18"/>
          <w:lang w:val="nl-NL"/>
        </w:rPr>
        <w:t>strafbaarstellingen</w:t>
      </w:r>
      <w:r w:rsidR="00D9569A" w:rsidRPr="00C36355">
        <w:rPr>
          <w:color w:val="000000" w:themeColor="text1"/>
          <w:szCs w:val="18"/>
          <w:lang w:val="nl-NL"/>
        </w:rPr>
        <w:t xml:space="preserve"> reeds sinds 1 juni 2022 kunnen worden toegepast op feiten die dateren van voor deze datum </w:t>
      </w:r>
      <w:r w:rsidR="006C2091" w:rsidRPr="00C36355">
        <w:rPr>
          <w:color w:val="000000" w:themeColor="text1"/>
          <w:szCs w:val="18"/>
          <w:lang w:val="nl-NL"/>
        </w:rPr>
        <w:t>en dus</w:t>
      </w:r>
      <w:r w:rsidR="00D9569A" w:rsidRPr="00C36355">
        <w:rPr>
          <w:color w:val="000000" w:themeColor="text1"/>
          <w:szCs w:val="18"/>
          <w:lang w:val="nl-NL"/>
        </w:rPr>
        <w:t xml:space="preserve"> </w:t>
      </w:r>
      <w:r w:rsidR="0060673F">
        <w:rPr>
          <w:color w:val="000000" w:themeColor="text1"/>
          <w:szCs w:val="18"/>
          <w:lang w:val="nl-NL"/>
        </w:rPr>
        <w:t xml:space="preserve">of deze strafbaarstellingen </w:t>
      </w:r>
      <w:r w:rsidR="006C2091" w:rsidRPr="00C36355">
        <w:rPr>
          <w:color w:val="000000" w:themeColor="text1"/>
          <w:szCs w:val="18"/>
          <w:lang w:val="nl-NL"/>
        </w:rPr>
        <w:t>met terugwerkende kracht mogen worden toegepast</w:t>
      </w:r>
      <w:r w:rsidR="00D9569A" w:rsidRPr="00C36355">
        <w:rPr>
          <w:color w:val="000000" w:themeColor="text1"/>
          <w:szCs w:val="18"/>
          <w:lang w:val="nl-NL"/>
        </w:rPr>
        <w:t>.</w:t>
      </w:r>
      <w:r w:rsidR="001F0DA0" w:rsidRPr="00C36355">
        <w:rPr>
          <w:color w:val="000000" w:themeColor="text1"/>
          <w:szCs w:val="18"/>
          <w:lang w:val="nl-NL"/>
        </w:rPr>
        <w:t xml:space="preserve"> Dit kon worden achterhaald door </w:t>
      </w:r>
      <w:r w:rsidR="00D9569A" w:rsidRPr="00C36355">
        <w:rPr>
          <w:color w:val="000000" w:themeColor="text1"/>
          <w:szCs w:val="18"/>
          <w:lang w:val="nl-NL"/>
        </w:rPr>
        <w:t>de oude strafbaarstellingen met de nieuwe</w:t>
      </w:r>
      <w:r w:rsidR="006C2091" w:rsidRPr="00C36355">
        <w:rPr>
          <w:color w:val="000000" w:themeColor="text1"/>
          <w:szCs w:val="18"/>
          <w:lang w:val="nl-NL"/>
        </w:rPr>
        <w:t xml:space="preserve"> (lees: huidige) corresponderende</w:t>
      </w:r>
      <w:r w:rsidR="00D9569A" w:rsidRPr="00C36355">
        <w:rPr>
          <w:color w:val="000000" w:themeColor="text1"/>
          <w:szCs w:val="18"/>
          <w:lang w:val="nl-NL"/>
        </w:rPr>
        <w:t xml:space="preserve"> strafbaarstellingen</w:t>
      </w:r>
      <w:r w:rsidR="001F0DA0" w:rsidRPr="00C36355">
        <w:rPr>
          <w:color w:val="000000" w:themeColor="text1"/>
          <w:szCs w:val="18"/>
          <w:lang w:val="nl-NL"/>
        </w:rPr>
        <w:t xml:space="preserve"> te vergelijken</w:t>
      </w:r>
      <w:r w:rsidR="00D9569A" w:rsidRPr="00C36355">
        <w:rPr>
          <w:color w:val="000000" w:themeColor="text1"/>
          <w:szCs w:val="18"/>
          <w:lang w:val="nl-NL"/>
        </w:rPr>
        <w:t xml:space="preserve">. </w:t>
      </w:r>
    </w:p>
    <w:p w14:paraId="10EF3765" w14:textId="77777777" w:rsidR="001F0DA0" w:rsidRPr="00C36355" w:rsidRDefault="001F0DA0" w:rsidP="00260F11">
      <w:pPr>
        <w:pStyle w:val="ListParagraph"/>
        <w:spacing w:line="360" w:lineRule="auto"/>
        <w:ind w:left="0"/>
        <w:rPr>
          <w:color w:val="000000" w:themeColor="text1"/>
          <w:szCs w:val="18"/>
          <w:lang w:val="nl-NL"/>
        </w:rPr>
      </w:pPr>
    </w:p>
    <w:p w14:paraId="76DB03B8" w14:textId="3EC738B3" w:rsidR="00D9569A" w:rsidRPr="00C36355" w:rsidRDefault="00D9569A" w:rsidP="00260F11">
      <w:pPr>
        <w:pStyle w:val="ListParagraph"/>
        <w:spacing w:line="360" w:lineRule="auto"/>
        <w:ind w:left="0"/>
        <w:rPr>
          <w:color w:val="000000" w:themeColor="text1"/>
          <w:szCs w:val="18"/>
          <w:lang w:val="nl-NL"/>
        </w:rPr>
      </w:pPr>
      <w:r w:rsidRPr="00C36355">
        <w:rPr>
          <w:color w:val="000000" w:themeColor="text1"/>
          <w:szCs w:val="18"/>
          <w:lang w:val="nl-NL"/>
        </w:rPr>
        <w:t xml:space="preserve">Gelet op de discussies binnen de rechtspraak en rechtsleer omtrent het concrete toepassingsgebied van de oude strafbaarstellingen, kon niet steeds eenduidig worden gesteld of een </w:t>
      </w:r>
      <w:r w:rsidR="00E76270">
        <w:rPr>
          <w:color w:val="000000" w:themeColor="text1"/>
          <w:szCs w:val="18"/>
          <w:lang w:val="nl-NL"/>
        </w:rPr>
        <w:t>wel</w:t>
      </w:r>
      <w:r w:rsidRPr="00C36355">
        <w:rPr>
          <w:color w:val="000000" w:themeColor="text1"/>
          <w:szCs w:val="18"/>
          <w:lang w:val="nl-NL"/>
        </w:rPr>
        <w:t xml:space="preserve">bepaald </w:t>
      </w:r>
      <w:r w:rsidR="00E76270">
        <w:rPr>
          <w:color w:val="000000" w:themeColor="text1"/>
          <w:szCs w:val="18"/>
          <w:lang w:val="nl-NL"/>
        </w:rPr>
        <w:t>deel van de strafbaarstelling</w:t>
      </w:r>
      <w:r w:rsidRPr="00C36355">
        <w:rPr>
          <w:color w:val="000000" w:themeColor="text1"/>
          <w:szCs w:val="18"/>
          <w:lang w:val="nl-NL"/>
        </w:rPr>
        <w:t xml:space="preserve"> </w:t>
      </w:r>
      <w:r w:rsidR="001F0DA0" w:rsidRPr="00C36355">
        <w:rPr>
          <w:color w:val="000000" w:themeColor="text1"/>
          <w:szCs w:val="18"/>
          <w:lang w:val="nl-NL"/>
        </w:rPr>
        <w:t xml:space="preserve">al dan niet </w:t>
      </w:r>
      <w:r w:rsidR="00E76270">
        <w:rPr>
          <w:color w:val="000000" w:themeColor="text1"/>
          <w:szCs w:val="18"/>
          <w:lang w:val="nl-NL"/>
        </w:rPr>
        <w:t>met terugwerkende kracht</w:t>
      </w:r>
      <w:r w:rsidRPr="00C36355">
        <w:rPr>
          <w:color w:val="000000" w:themeColor="text1"/>
          <w:szCs w:val="18"/>
          <w:lang w:val="nl-NL"/>
        </w:rPr>
        <w:t xml:space="preserve"> mag werken. </w:t>
      </w:r>
      <w:r w:rsidR="00294D8F" w:rsidRPr="00C36355">
        <w:rPr>
          <w:color w:val="000000" w:themeColor="text1"/>
          <w:szCs w:val="18"/>
          <w:lang w:val="nl-NL"/>
        </w:rPr>
        <w:t xml:space="preserve">Veeleer dan een eenduidig antwoord te formuleren, bestond het doel van dit onderzoek erin een duidelijk beeld te schetsen van de </w:t>
      </w:r>
      <w:r w:rsidRPr="00C36355">
        <w:rPr>
          <w:color w:val="000000" w:themeColor="text1"/>
          <w:szCs w:val="18"/>
          <w:lang w:val="nl-NL"/>
        </w:rPr>
        <w:t>verschillende mogelijke conclusies inzake de werking van de</w:t>
      </w:r>
      <w:r w:rsidR="00E76270">
        <w:rPr>
          <w:color w:val="000000" w:themeColor="text1"/>
          <w:szCs w:val="18"/>
          <w:lang w:val="nl-NL"/>
        </w:rPr>
        <w:t xml:space="preserve">ze strafbaarstellingen </w:t>
      </w:r>
      <w:r w:rsidRPr="00C36355">
        <w:rPr>
          <w:color w:val="000000" w:themeColor="text1"/>
          <w:szCs w:val="18"/>
          <w:lang w:val="nl-NL"/>
        </w:rPr>
        <w:t>in de tijd</w:t>
      </w:r>
      <w:r w:rsidR="00294D8F" w:rsidRPr="00C36355">
        <w:rPr>
          <w:color w:val="000000" w:themeColor="text1"/>
          <w:szCs w:val="18"/>
          <w:lang w:val="nl-NL"/>
        </w:rPr>
        <w:t>.</w:t>
      </w:r>
      <w:r w:rsidRPr="00C36355">
        <w:rPr>
          <w:color w:val="000000" w:themeColor="text1"/>
          <w:szCs w:val="18"/>
          <w:lang w:val="nl-NL"/>
        </w:rPr>
        <w:t xml:space="preserve"> </w:t>
      </w:r>
      <w:r w:rsidR="00294D8F" w:rsidRPr="00C36355">
        <w:rPr>
          <w:color w:val="000000" w:themeColor="text1"/>
          <w:szCs w:val="18"/>
          <w:lang w:val="nl-NL"/>
        </w:rPr>
        <w:t xml:space="preserve">Zo kan </w:t>
      </w:r>
      <w:r w:rsidRPr="00C36355">
        <w:rPr>
          <w:color w:val="000000" w:themeColor="text1"/>
          <w:szCs w:val="18"/>
          <w:lang w:val="nl-NL"/>
        </w:rPr>
        <w:t>de rechtspracticus zich hierop baseren om vervolgens zelf</w:t>
      </w:r>
      <w:r w:rsidR="00E00084" w:rsidRPr="00C36355">
        <w:rPr>
          <w:color w:val="000000" w:themeColor="text1"/>
          <w:szCs w:val="18"/>
          <w:lang w:val="nl-NL"/>
        </w:rPr>
        <w:t xml:space="preserve"> </w:t>
      </w:r>
      <w:r w:rsidRPr="00C36355">
        <w:rPr>
          <w:color w:val="000000" w:themeColor="text1"/>
          <w:szCs w:val="18"/>
          <w:lang w:val="nl-NL"/>
        </w:rPr>
        <w:t>standpunt in te kunnen nemen</w:t>
      </w:r>
      <w:r w:rsidR="0060673F">
        <w:rPr>
          <w:color w:val="000000" w:themeColor="text1"/>
          <w:szCs w:val="18"/>
          <w:lang w:val="nl-NL"/>
        </w:rPr>
        <w:t xml:space="preserve"> hieromtrent</w:t>
      </w:r>
      <w:r w:rsidRPr="00C36355">
        <w:rPr>
          <w:color w:val="000000" w:themeColor="text1"/>
          <w:szCs w:val="18"/>
          <w:lang w:val="nl-NL"/>
        </w:rPr>
        <w:t xml:space="preserve">. </w:t>
      </w:r>
    </w:p>
    <w:p w14:paraId="49FBEAE2" w14:textId="77777777" w:rsidR="00D9569A" w:rsidRPr="00C36355" w:rsidRDefault="00D9569A" w:rsidP="00260F11">
      <w:pPr>
        <w:pStyle w:val="ListParagraph"/>
        <w:spacing w:line="360" w:lineRule="auto"/>
        <w:ind w:left="0"/>
        <w:rPr>
          <w:color w:val="000000" w:themeColor="text1"/>
        </w:rPr>
      </w:pPr>
    </w:p>
    <w:p w14:paraId="7950ABC1" w14:textId="4FDFBD79" w:rsidR="008C35C7" w:rsidRPr="00C36355" w:rsidRDefault="00D9569A" w:rsidP="00260F11">
      <w:pPr>
        <w:pStyle w:val="ListParagraph"/>
        <w:spacing w:line="360" w:lineRule="auto"/>
        <w:ind w:left="0"/>
        <w:rPr>
          <w:color w:val="000000" w:themeColor="text1"/>
          <w:szCs w:val="18"/>
          <w:lang w:val="nl-NL"/>
        </w:rPr>
      </w:pPr>
      <w:r w:rsidRPr="00C36355">
        <w:rPr>
          <w:color w:val="000000" w:themeColor="text1"/>
        </w:rPr>
        <w:t xml:space="preserve">Daarnaast werden voornoemde huidige strafbaarstellingen inhoudelijk geëvalueerd. </w:t>
      </w:r>
      <w:r w:rsidR="00294D8F" w:rsidRPr="00C36355">
        <w:rPr>
          <w:color w:val="000000" w:themeColor="text1"/>
        </w:rPr>
        <w:t xml:space="preserve">Deze evaluatie vond plaats in het licht van de eerder in deze masterscriptie geïdentificeerde pijnpunten van de oude strafbaarstelling, zodat kon worden beoordeeld of de hervorming hieraan tegemoet is gekomen. </w:t>
      </w:r>
      <w:r w:rsidR="00E00084" w:rsidRPr="00C36355">
        <w:rPr>
          <w:color w:val="000000" w:themeColor="text1"/>
        </w:rPr>
        <w:t>De</w:t>
      </w:r>
      <w:r w:rsidR="00294D8F" w:rsidRPr="00C36355">
        <w:rPr>
          <w:color w:val="000000" w:themeColor="text1"/>
        </w:rPr>
        <w:t xml:space="preserve"> </w:t>
      </w:r>
      <w:r w:rsidR="00E00084" w:rsidRPr="00C36355">
        <w:rPr>
          <w:color w:val="000000" w:themeColor="text1"/>
        </w:rPr>
        <w:t xml:space="preserve">evaluatie </w:t>
      </w:r>
      <w:r w:rsidR="0060673F">
        <w:rPr>
          <w:color w:val="000000" w:themeColor="text1"/>
        </w:rPr>
        <w:t>werd</w:t>
      </w:r>
      <w:r w:rsidR="00E00084" w:rsidRPr="00C36355">
        <w:rPr>
          <w:color w:val="000000" w:themeColor="text1"/>
        </w:rPr>
        <w:t xml:space="preserve"> tevens </w:t>
      </w:r>
      <w:r w:rsidR="0060673F">
        <w:rPr>
          <w:color w:val="000000" w:themeColor="text1"/>
        </w:rPr>
        <w:t>benaderd</w:t>
      </w:r>
      <w:r w:rsidR="00294D8F" w:rsidRPr="00C36355">
        <w:rPr>
          <w:color w:val="000000" w:themeColor="text1"/>
        </w:rPr>
        <w:t xml:space="preserve"> vanuit rechtsvergelijkend perspectief, </w:t>
      </w:r>
      <w:r w:rsidR="003D6748">
        <w:rPr>
          <w:color w:val="000000" w:themeColor="text1"/>
        </w:rPr>
        <w:t>op grond van</w:t>
      </w:r>
      <w:r w:rsidR="00294D8F" w:rsidRPr="00C36355">
        <w:rPr>
          <w:color w:val="000000" w:themeColor="text1"/>
        </w:rPr>
        <w:t xml:space="preserve"> het eerder in deze masterscriptie gevoerde rechtsvergelijkend onderzoek met het Verenigd Koninkrijk. De wetgever lijkt voor deze hervorming immers zelf </w:t>
      </w:r>
      <w:r w:rsidR="00E00084" w:rsidRPr="00C36355">
        <w:rPr>
          <w:color w:val="000000" w:themeColor="text1"/>
        </w:rPr>
        <w:t xml:space="preserve">ook </w:t>
      </w:r>
      <w:r w:rsidR="00294D8F" w:rsidRPr="00C36355">
        <w:rPr>
          <w:color w:val="000000" w:themeColor="text1"/>
        </w:rPr>
        <w:t>inspiratie te hebben gezocht in dit rechtsstelsel. O</w:t>
      </w:r>
      <w:r w:rsidR="003D6748">
        <w:rPr>
          <w:color w:val="000000" w:themeColor="text1"/>
        </w:rPr>
        <w:t>p grond van</w:t>
      </w:r>
      <w:r w:rsidR="00BA2047" w:rsidRPr="00C36355">
        <w:rPr>
          <w:color w:val="000000" w:themeColor="text1"/>
        </w:rPr>
        <w:t xml:space="preserve"> </w:t>
      </w:r>
      <w:r w:rsidR="0067324B">
        <w:rPr>
          <w:color w:val="000000" w:themeColor="text1"/>
        </w:rPr>
        <w:t>voornoemde</w:t>
      </w:r>
      <w:r w:rsidR="00BA2047" w:rsidRPr="00C36355">
        <w:rPr>
          <w:color w:val="000000" w:themeColor="text1"/>
        </w:rPr>
        <w:t xml:space="preserve"> rechtsvergelijking</w:t>
      </w:r>
      <w:r w:rsidR="00F21C74" w:rsidRPr="00C36355">
        <w:rPr>
          <w:color w:val="000000" w:themeColor="text1"/>
        </w:rPr>
        <w:t xml:space="preserve"> kon</w:t>
      </w:r>
      <w:r w:rsidR="008C35C7" w:rsidRPr="00C36355">
        <w:rPr>
          <w:color w:val="000000" w:themeColor="text1"/>
        </w:rPr>
        <w:t xml:space="preserve"> worden </w:t>
      </w:r>
      <w:r w:rsidR="00DF6DBC" w:rsidRPr="00C36355">
        <w:rPr>
          <w:color w:val="000000" w:themeColor="text1"/>
        </w:rPr>
        <w:t>b</w:t>
      </w:r>
      <w:r w:rsidR="008C35C7" w:rsidRPr="00C36355">
        <w:rPr>
          <w:color w:val="000000" w:themeColor="text1"/>
        </w:rPr>
        <w:t xml:space="preserve">eoordeeld of bepaalde (ontbrekende) veranderingen al dan niet verantwoord </w:t>
      </w:r>
      <w:r w:rsidR="00DF6DBC" w:rsidRPr="00C36355">
        <w:rPr>
          <w:color w:val="000000" w:themeColor="text1"/>
        </w:rPr>
        <w:t>leken</w:t>
      </w:r>
      <w:r w:rsidR="008C35C7" w:rsidRPr="00C36355">
        <w:rPr>
          <w:color w:val="000000" w:themeColor="text1"/>
        </w:rPr>
        <w:t xml:space="preserve"> vanuit rechtsvergelijkend perspectief. </w:t>
      </w:r>
    </w:p>
    <w:p w14:paraId="4096CCE8" w14:textId="743FB76C" w:rsidR="008C35C7" w:rsidRPr="00C36355" w:rsidRDefault="008C35C7" w:rsidP="00260F11">
      <w:pPr>
        <w:pStyle w:val="ListParagraph"/>
        <w:spacing w:line="360" w:lineRule="auto"/>
        <w:ind w:left="0"/>
        <w:rPr>
          <w:color w:val="000000" w:themeColor="text1"/>
        </w:rPr>
      </w:pPr>
    </w:p>
    <w:p w14:paraId="5FCE500D" w14:textId="06EA6111" w:rsidR="008C35C7" w:rsidRPr="00C36355" w:rsidRDefault="00E00084" w:rsidP="00260F11">
      <w:pPr>
        <w:pStyle w:val="ListParagraph"/>
        <w:spacing w:line="360" w:lineRule="auto"/>
        <w:ind w:left="0"/>
        <w:rPr>
          <w:color w:val="000000" w:themeColor="text1"/>
        </w:rPr>
      </w:pPr>
      <w:r w:rsidRPr="00C36355">
        <w:rPr>
          <w:color w:val="000000" w:themeColor="text1"/>
        </w:rPr>
        <w:t>Ten slotte</w:t>
      </w:r>
      <w:r w:rsidR="008C35C7" w:rsidRPr="00C36355">
        <w:rPr>
          <w:color w:val="000000" w:themeColor="text1"/>
        </w:rPr>
        <w:t xml:space="preserve"> werden de huidige strafbaarstellingen geëvalueerd in het licht van </w:t>
      </w:r>
      <w:r w:rsidR="003B4812">
        <w:rPr>
          <w:color w:val="000000" w:themeColor="text1"/>
        </w:rPr>
        <w:t xml:space="preserve">enkele </w:t>
      </w:r>
      <w:r w:rsidR="003B4812" w:rsidRPr="00C36355">
        <w:rPr>
          <w:color w:val="000000" w:themeColor="text1"/>
        </w:rPr>
        <w:t>internationaalrechtelijke vereisten</w:t>
      </w:r>
      <w:r w:rsidR="003B4812">
        <w:rPr>
          <w:color w:val="000000" w:themeColor="text1"/>
        </w:rPr>
        <w:t xml:space="preserve"> evenals </w:t>
      </w:r>
      <w:r w:rsidR="008C35C7" w:rsidRPr="00C36355">
        <w:rPr>
          <w:color w:val="000000" w:themeColor="text1"/>
        </w:rPr>
        <w:t xml:space="preserve">het </w:t>
      </w:r>
      <w:r w:rsidR="008C35C7" w:rsidRPr="00C36355">
        <w:rPr>
          <w:i/>
          <w:color w:val="000000" w:themeColor="text1"/>
        </w:rPr>
        <w:t>lex certa-</w:t>
      </w:r>
      <w:r w:rsidR="008C35C7" w:rsidRPr="00C36355">
        <w:rPr>
          <w:color w:val="000000" w:themeColor="text1"/>
        </w:rPr>
        <w:t>beginsel</w:t>
      </w:r>
      <w:r w:rsidR="0060673F">
        <w:rPr>
          <w:color w:val="000000" w:themeColor="text1"/>
        </w:rPr>
        <w:t>.</w:t>
      </w:r>
      <w:r w:rsidRPr="00C36355">
        <w:rPr>
          <w:color w:val="000000" w:themeColor="text1"/>
        </w:rPr>
        <w:t xml:space="preserve"> </w:t>
      </w:r>
      <w:r w:rsidR="0060673F">
        <w:rPr>
          <w:color w:val="000000" w:themeColor="text1"/>
        </w:rPr>
        <w:t>Dit beginsel stelt immers</w:t>
      </w:r>
      <w:r w:rsidR="00F21C74" w:rsidRPr="00C36355">
        <w:rPr>
          <w:color w:val="000000" w:themeColor="text1"/>
        </w:rPr>
        <w:t xml:space="preserve"> </w:t>
      </w:r>
      <w:r w:rsidR="008C35C7" w:rsidRPr="00C36355">
        <w:rPr>
          <w:color w:val="000000" w:themeColor="text1"/>
        </w:rPr>
        <w:t xml:space="preserve">vereisten </w:t>
      </w:r>
      <w:r w:rsidR="0060673F">
        <w:rPr>
          <w:color w:val="000000" w:themeColor="text1"/>
        </w:rPr>
        <w:t>waaraan</w:t>
      </w:r>
      <w:r w:rsidR="00F21C74" w:rsidRPr="00C36355">
        <w:rPr>
          <w:color w:val="000000" w:themeColor="text1"/>
        </w:rPr>
        <w:t xml:space="preserve"> </w:t>
      </w:r>
      <w:r w:rsidR="008C35C7" w:rsidRPr="00C36355">
        <w:rPr>
          <w:color w:val="000000" w:themeColor="text1"/>
        </w:rPr>
        <w:t>strafwetgeving</w:t>
      </w:r>
      <w:r w:rsidR="0060673F">
        <w:rPr>
          <w:color w:val="000000" w:themeColor="text1"/>
        </w:rPr>
        <w:t xml:space="preserve"> dient te voldoen</w:t>
      </w:r>
      <w:r w:rsidR="008C35C7" w:rsidRPr="00C36355">
        <w:rPr>
          <w:color w:val="000000" w:themeColor="text1"/>
        </w:rPr>
        <w:t xml:space="preserve">. </w:t>
      </w:r>
    </w:p>
    <w:p w14:paraId="6B4C5D43" w14:textId="5DF3750A" w:rsidR="00F21C74" w:rsidRPr="00C36355" w:rsidRDefault="00F21C74" w:rsidP="00260F11">
      <w:pPr>
        <w:pStyle w:val="ListParagraph"/>
        <w:spacing w:line="360" w:lineRule="auto"/>
        <w:ind w:left="0"/>
        <w:rPr>
          <w:color w:val="000000" w:themeColor="text1"/>
        </w:rPr>
      </w:pPr>
    </w:p>
    <w:p w14:paraId="785A7D28" w14:textId="7026128C" w:rsidR="00C36355" w:rsidRPr="00C36355" w:rsidRDefault="008D44BD" w:rsidP="00260F11">
      <w:pPr>
        <w:pStyle w:val="ListParagraph"/>
        <w:spacing w:line="360" w:lineRule="auto"/>
        <w:ind w:left="0"/>
        <w:rPr>
          <w:color w:val="000000" w:themeColor="text1"/>
        </w:rPr>
      </w:pPr>
      <w:r w:rsidRPr="00C36355">
        <w:rPr>
          <w:color w:val="000000" w:themeColor="text1"/>
        </w:rPr>
        <w:t xml:space="preserve">In deze evaluatie </w:t>
      </w:r>
      <w:r w:rsidR="00F21C74" w:rsidRPr="00C36355">
        <w:rPr>
          <w:color w:val="000000" w:themeColor="text1"/>
        </w:rPr>
        <w:t xml:space="preserve">werd </w:t>
      </w:r>
      <w:r w:rsidR="003D6748">
        <w:rPr>
          <w:color w:val="000000" w:themeColor="text1"/>
        </w:rPr>
        <w:t>met name</w:t>
      </w:r>
      <w:r w:rsidR="00B72179" w:rsidRPr="00C36355">
        <w:rPr>
          <w:color w:val="000000" w:themeColor="text1"/>
        </w:rPr>
        <w:t xml:space="preserve"> </w:t>
      </w:r>
      <w:r w:rsidR="00F21C74" w:rsidRPr="00C36355">
        <w:rPr>
          <w:color w:val="000000" w:themeColor="text1"/>
        </w:rPr>
        <w:t>geconcludeerd dat er zeker een aantal positieve veranderingen plaatsvonden</w:t>
      </w:r>
      <w:r w:rsidR="00E00084" w:rsidRPr="00C36355">
        <w:rPr>
          <w:color w:val="000000" w:themeColor="text1"/>
        </w:rPr>
        <w:t xml:space="preserve">. Zo stelde de wetgever een einde </w:t>
      </w:r>
      <w:r w:rsidR="003D6748">
        <w:rPr>
          <w:color w:val="000000" w:themeColor="text1"/>
        </w:rPr>
        <w:t xml:space="preserve">aan heel wat </w:t>
      </w:r>
      <w:r w:rsidR="00E00084" w:rsidRPr="00C36355">
        <w:rPr>
          <w:color w:val="000000" w:themeColor="text1"/>
        </w:rPr>
        <w:t xml:space="preserve">discussies die </w:t>
      </w:r>
      <w:r w:rsidR="00E76270">
        <w:rPr>
          <w:color w:val="000000" w:themeColor="text1"/>
        </w:rPr>
        <w:t>hie</w:t>
      </w:r>
      <w:r w:rsidR="00E00084" w:rsidRPr="00C36355">
        <w:rPr>
          <w:color w:val="000000" w:themeColor="text1"/>
        </w:rPr>
        <w:t>rvoor heersten binnen de rechtspraak en rechtsleer en werd verholpen aan enkele</w:t>
      </w:r>
      <w:r w:rsidR="003D6748">
        <w:rPr>
          <w:color w:val="000000" w:themeColor="text1"/>
        </w:rPr>
        <w:t xml:space="preserve"> – maar niet alle – </w:t>
      </w:r>
      <w:r w:rsidR="00E00084" w:rsidRPr="00C36355">
        <w:rPr>
          <w:color w:val="000000" w:themeColor="text1"/>
        </w:rPr>
        <w:t>pijnpunten van de oude strafbaarstellingen</w:t>
      </w:r>
      <w:r w:rsidR="00F21C74" w:rsidRPr="00C36355">
        <w:rPr>
          <w:color w:val="000000" w:themeColor="text1"/>
        </w:rPr>
        <w:t xml:space="preserve">. </w:t>
      </w:r>
      <w:r w:rsidR="003D6748">
        <w:rPr>
          <w:color w:val="000000" w:themeColor="text1"/>
        </w:rPr>
        <w:t>In dit opzicht hield</w:t>
      </w:r>
      <w:r w:rsidRPr="00C36355">
        <w:rPr>
          <w:color w:val="000000" w:themeColor="text1"/>
        </w:rPr>
        <w:t xml:space="preserve"> deze hervorming m.i. ook gemiste kansen </w:t>
      </w:r>
      <w:r w:rsidR="003D6748">
        <w:rPr>
          <w:color w:val="000000" w:themeColor="text1"/>
        </w:rPr>
        <w:t>in</w:t>
      </w:r>
      <w:r w:rsidR="00F21C74" w:rsidRPr="00C36355">
        <w:rPr>
          <w:color w:val="000000" w:themeColor="text1"/>
        </w:rPr>
        <w:t>. Zo</w:t>
      </w:r>
      <w:r w:rsidR="00C36355" w:rsidRPr="00C36355">
        <w:rPr>
          <w:color w:val="000000" w:themeColor="text1"/>
        </w:rPr>
        <w:t xml:space="preserve"> wordt het</w:t>
      </w:r>
      <w:r w:rsidR="00C02273" w:rsidRPr="00C36355">
        <w:rPr>
          <w:color w:val="000000" w:themeColor="text1"/>
        </w:rPr>
        <w:t xml:space="preserve"> </w:t>
      </w:r>
      <w:r w:rsidR="003D6748">
        <w:rPr>
          <w:color w:val="000000" w:themeColor="text1"/>
        </w:rPr>
        <w:t xml:space="preserve">vereiste </w:t>
      </w:r>
      <w:r w:rsidR="00C02273" w:rsidRPr="00C36355">
        <w:rPr>
          <w:color w:val="000000" w:themeColor="text1"/>
        </w:rPr>
        <w:t xml:space="preserve">moreel bestanddeel nog steeds niet expliciet vermeld </w:t>
      </w:r>
      <w:r w:rsidR="00624558">
        <w:rPr>
          <w:color w:val="000000" w:themeColor="text1"/>
        </w:rPr>
        <w:t>in de strafbaarstellingen zelf</w:t>
      </w:r>
      <w:r w:rsidR="003D6748">
        <w:rPr>
          <w:color w:val="000000" w:themeColor="text1"/>
        </w:rPr>
        <w:t>.</w:t>
      </w:r>
    </w:p>
    <w:p w14:paraId="530729D2" w14:textId="77777777" w:rsidR="00C36355" w:rsidRPr="00C36355" w:rsidRDefault="00C36355" w:rsidP="00260F11">
      <w:pPr>
        <w:pStyle w:val="ListParagraph"/>
        <w:spacing w:line="360" w:lineRule="auto"/>
        <w:ind w:left="0"/>
        <w:rPr>
          <w:color w:val="000000" w:themeColor="text1"/>
        </w:rPr>
      </w:pPr>
    </w:p>
    <w:p w14:paraId="4E16110E" w14:textId="441CA8C4" w:rsidR="00C358B5" w:rsidRPr="00C36355" w:rsidRDefault="00C02273" w:rsidP="00260F11">
      <w:pPr>
        <w:pStyle w:val="ListParagraph"/>
        <w:spacing w:line="360" w:lineRule="auto"/>
        <w:ind w:left="0"/>
        <w:rPr>
          <w:color w:val="000000" w:themeColor="text1"/>
        </w:rPr>
      </w:pPr>
      <w:r w:rsidRPr="00C36355">
        <w:rPr>
          <w:color w:val="000000" w:themeColor="text1"/>
        </w:rPr>
        <w:t>Op grond van deze evaluatie</w:t>
      </w:r>
      <w:r w:rsidR="0060673F">
        <w:rPr>
          <w:color w:val="000000" w:themeColor="text1"/>
        </w:rPr>
        <w:t xml:space="preserve"> en de daarin geformuleerde aan</w:t>
      </w:r>
      <w:r w:rsidR="00624558">
        <w:rPr>
          <w:color w:val="000000" w:themeColor="text1"/>
        </w:rPr>
        <w:t>b</w:t>
      </w:r>
      <w:r w:rsidR="0060673F">
        <w:rPr>
          <w:color w:val="000000" w:themeColor="text1"/>
        </w:rPr>
        <w:t>evelingen</w:t>
      </w:r>
      <w:r w:rsidRPr="00C36355">
        <w:rPr>
          <w:color w:val="000000" w:themeColor="text1"/>
        </w:rPr>
        <w:t xml:space="preserve"> werd ten slotte een eigen wetsvoorstel </w:t>
      </w:r>
      <w:r w:rsidR="00031B0D">
        <w:rPr>
          <w:color w:val="000000" w:themeColor="text1"/>
        </w:rPr>
        <w:t>opgesteld</w:t>
      </w:r>
      <w:r w:rsidRPr="00C36355">
        <w:rPr>
          <w:color w:val="000000" w:themeColor="text1"/>
        </w:rPr>
        <w:t xml:space="preserve"> dat tegemoetkomt aan de aangemerkte tekortkomingen. </w:t>
      </w:r>
    </w:p>
    <w:p w14:paraId="705F1949" w14:textId="39810284" w:rsidR="0060673F" w:rsidRDefault="0060673F" w:rsidP="00260F11">
      <w:pPr>
        <w:spacing w:line="360" w:lineRule="auto"/>
        <w:jc w:val="left"/>
        <w:rPr>
          <w:color w:val="000000" w:themeColor="text1"/>
          <w:szCs w:val="18"/>
          <w:lang w:val="nl-NL"/>
        </w:rPr>
        <w:sectPr w:rsidR="0060673F" w:rsidSect="00BA0376">
          <w:footerReference w:type="default" r:id="rId11"/>
          <w:pgSz w:w="11906" w:h="16838"/>
          <w:pgMar w:top="1417" w:right="1417" w:bottom="1417" w:left="1417" w:header="709" w:footer="709" w:gutter="0"/>
          <w:pgNumType w:start="1"/>
          <w:cols w:space="708"/>
          <w:docGrid w:linePitch="360"/>
        </w:sectPr>
      </w:pPr>
    </w:p>
    <w:p w14:paraId="0B59EF66" w14:textId="77777777" w:rsidR="00C358B5" w:rsidRDefault="00C358B5" w:rsidP="00260F11">
      <w:pPr>
        <w:spacing w:line="360" w:lineRule="auto"/>
        <w:jc w:val="left"/>
        <w:rPr>
          <w:color w:val="000000" w:themeColor="text1"/>
          <w:szCs w:val="18"/>
          <w:lang w:val="nl-NL"/>
        </w:rPr>
        <w:sectPr w:rsidR="00C358B5" w:rsidSect="0026404D">
          <w:footerReference w:type="default" r:id="rId12"/>
          <w:pgSz w:w="11906" w:h="16838"/>
          <w:pgMar w:top="1417" w:right="1417" w:bottom="1417" w:left="1417" w:header="709" w:footer="709" w:gutter="0"/>
          <w:cols w:space="708"/>
          <w:docGrid w:linePitch="360"/>
        </w:sectPr>
      </w:pPr>
    </w:p>
    <w:p w14:paraId="3AFD2489" w14:textId="150724A9" w:rsidR="009136E5" w:rsidRPr="000B4AB2" w:rsidRDefault="00C358B5" w:rsidP="00260F11">
      <w:pPr>
        <w:pStyle w:val="Heading1"/>
        <w:rPr>
          <w:lang w:val="nl-NL"/>
        </w:rPr>
      </w:pPr>
      <w:bookmarkStart w:id="1" w:name="_Toc135041032"/>
      <w:r>
        <w:rPr>
          <w:lang w:val="nl-NL"/>
        </w:rPr>
        <w:lastRenderedPageBreak/>
        <w:t>D</w:t>
      </w:r>
      <w:r w:rsidR="009136E5" w:rsidRPr="000B4AB2">
        <w:rPr>
          <w:lang w:val="nl-NL"/>
        </w:rPr>
        <w:t>ankwoord</w:t>
      </w:r>
      <w:bookmarkEnd w:id="1"/>
    </w:p>
    <w:p w14:paraId="1C6F6F04" w14:textId="77777777" w:rsidR="009136E5" w:rsidRPr="000B4AB2" w:rsidRDefault="009136E5" w:rsidP="00260F11">
      <w:pPr>
        <w:spacing w:line="360" w:lineRule="auto"/>
        <w:rPr>
          <w:szCs w:val="18"/>
          <w:lang w:val="nl-NL"/>
        </w:rPr>
      </w:pPr>
    </w:p>
    <w:p w14:paraId="7C009E56" w14:textId="4F7DCF93" w:rsidR="00383506" w:rsidRDefault="00153906" w:rsidP="00260F11">
      <w:pPr>
        <w:spacing w:line="360" w:lineRule="auto"/>
        <w:rPr>
          <w:szCs w:val="18"/>
          <w:lang w:val="nl-NL"/>
        </w:rPr>
      </w:pPr>
      <w:r>
        <w:rPr>
          <w:szCs w:val="18"/>
          <w:lang w:val="nl-NL"/>
        </w:rPr>
        <w:t>Deze masterscriptie vormt het eindpunt van mijn opleiding rechten aan de UHasselt</w:t>
      </w:r>
      <w:r w:rsidR="00383506">
        <w:rPr>
          <w:szCs w:val="18"/>
          <w:lang w:val="nl-NL"/>
        </w:rPr>
        <w:t xml:space="preserve">. Uiteraard wil ik deze kans grijpen om even stil te staan en de mensen te bedanken die mijn (af)studeren mede mogelijk hebben gemaakt. </w:t>
      </w:r>
    </w:p>
    <w:p w14:paraId="7D5997BE" w14:textId="77777777" w:rsidR="00383506" w:rsidRDefault="00383506" w:rsidP="00260F11">
      <w:pPr>
        <w:spacing w:line="360" w:lineRule="auto"/>
        <w:rPr>
          <w:szCs w:val="18"/>
          <w:lang w:val="nl-NL"/>
        </w:rPr>
      </w:pPr>
    </w:p>
    <w:p w14:paraId="1A9B8B82" w14:textId="73C51DFE" w:rsidR="00BF1E9A" w:rsidRDefault="00383506" w:rsidP="00260F11">
      <w:pPr>
        <w:spacing w:line="360" w:lineRule="auto"/>
        <w:rPr>
          <w:szCs w:val="18"/>
          <w:lang w:val="nl-NL"/>
        </w:rPr>
      </w:pPr>
      <w:r>
        <w:rPr>
          <w:szCs w:val="18"/>
          <w:lang w:val="nl-NL"/>
        </w:rPr>
        <w:t xml:space="preserve">Vooreerst wil ik de UHasselt bedanken. </w:t>
      </w:r>
      <w:r w:rsidR="00153906">
        <w:rPr>
          <w:szCs w:val="18"/>
          <w:lang w:val="nl-NL"/>
        </w:rPr>
        <w:t>Ik kijk met een voldaan gevoel terug</w:t>
      </w:r>
      <w:r>
        <w:rPr>
          <w:szCs w:val="18"/>
          <w:lang w:val="nl-NL"/>
        </w:rPr>
        <w:t xml:space="preserve"> op mijn schakel- en masterjaren aan deze universiteit</w:t>
      </w:r>
      <w:r w:rsidR="000E742B">
        <w:rPr>
          <w:szCs w:val="18"/>
          <w:lang w:val="nl-NL"/>
        </w:rPr>
        <w:t xml:space="preserve">. Ik </w:t>
      </w:r>
      <w:r w:rsidR="00153906">
        <w:rPr>
          <w:szCs w:val="18"/>
          <w:lang w:val="nl-NL"/>
        </w:rPr>
        <w:t xml:space="preserve">ben enorm blij met de kansen die ik van </w:t>
      </w:r>
      <w:r>
        <w:rPr>
          <w:szCs w:val="18"/>
          <w:lang w:val="nl-NL"/>
        </w:rPr>
        <w:t>de UHasselt</w:t>
      </w:r>
      <w:r w:rsidR="00153906">
        <w:rPr>
          <w:szCs w:val="18"/>
          <w:lang w:val="nl-NL"/>
        </w:rPr>
        <w:t xml:space="preserve"> gekregen heb om mij steeds verder te ontwikkelen als student, maar ook als mens</w:t>
      </w:r>
      <w:r>
        <w:rPr>
          <w:szCs w:val="18"/>
          <w:lang w:val="nl-NL"/>
        </w:rPr>
        <w:t xml:space="preserve">. </w:t>
      </w:r>
      <w:r w:rsidR="00153906">
        <w:rPr>
          <w:szCs w:val="18"/>
          <w:lang w:val="nl-NL"/>
        </w:rPr>
        <w:t xml:space="preserve">Zo kreeg ik afgelopen zomer de kans om </w:t>
      </w:r>
      <w:r>
        <w:rPr>
          <w:szCs w:val="18"/>
          <w:lang w:val="nl-NL"/>
        </w:rPr>
        <w:t xml:space="preserve">een maand lang </w:t>
      </w:r>
      <w:r w:rsidR="00153906">
        <w:rPr>
          <w:szCs w:val="18"/>
          <w:lang w:val="nl-NL"/>
        </w:rPr>
        <w:t xml:space="preserve">stage te lopen bij de </w:t>
      </w:r>
      <w:r w:rsidR="00153906" w:rsidRPr="000E742B">
        <w:rPr>
          <w:i/>
          <w:szCs w:val="18"/>
          <w:lang w:val="nl-NL"/>
        </w:rPr>
        <w:t>University of Pretoria Law Clinic</w:t>
      </w:r>
      <w:r w:rsidR="00153906">
        <w:rPr>
          <w:szCs w:val="18"/>
          <w:lang w:val="nl-NL"/>
        </w:rPr>
        <w:t xml:space="preserve">, in Zuid-Afrika. </w:t>
      </w:r>
      <w:r w:rsidR="00BF1E9A">
        <w:rPr>
          <w:szCs w:val="18"/>
          <w:lang w:val="nl-NL"/>
        </w:rPr>
        <w:t>Samen</w:t>
      </w:r>
      <w:r>
        <w:rPr>
          <w:szCs w:val="18"/>
          <w:lang w:val="nl-NL"/>
        </w:rPr>
        <w:t xml:space="preserve"> met enkele medestudenten</w:t>
      </w:r>
      <w:r w:rsidR="00BF1E9A">
        <w:rPr>
          <w:szCs w:val="18"/>
          <w:lang w:val="nl-NL"/>
        </w:rPr>
        <w:t xml:space="preserve"> </w:t>
      </w:r>
      <w:r w:rsidR="001F24ED">
        <w:rPr>
          <w:szCs w:val="18"/>
          <w:lang w:val="nl-NL"/>
        </w:rPr>
        <w:t xml:space="preserve">- </w:t>
      </w:r>
      <w:r w:rsidR="00BF1E9A">
        <w:rPr>
          <w:szCs w:val="18"/>
          <w:lang w:val="nl-NL"/>
        </w:rPr>
        <w:t xml:space="preserve">die ik intussen vrienden </w:t>
      </w:r>
      <w:r w:rsidR="006A4646">
        <w:rPr>
          <w:szCs w:val="18"/>
          <w:lang w:val="nl-NL"/>
        </w:rPr>
        <w:t>mag noemen</w:t>
      </w:r>
      <w:r w:rsidR="001F24ED">
        <w:rPr>
          <w:szCs w:val="18"/>
          <w:lang w:val="nl-NL"/>
        </w:rPr>
        <w:t xml:space="preserve"> -</w:t>
      </w:r>
      <w:r w:rsidR="00BF1E9A">
        <w:rPr>
          <w:szCs w:val="18"/>
          <w:lang w:val="nl-NL"/>
        </w:rPr>
        <w:t xml:space="preserve"> kwam ik </w:t>
      </w:r>
      <w:r w:rsidR="00B14ACB">
        <w:rPr>
          <w:szCs w:val="18"/>
          <w:lang w:val="nl-NL"/>
        </w:rPr>
        <w:t>er</w:t>
      </w:r>
      <w:r w:rsidR="00BF1E9A">
        <w:rPr>
          <w:szCs w:val="18"/>
          <w:lang w:val="nl-NL"/>
        </w:rPr>
        <w:t xml:space="preserve"> in aanraking met verschillende facetten van het recht en dit </w:t>
      </w:r>
      <w:r>
        <w:rPr>
          <w:szCs w:val="18"/>
          <w:lang w:val="nl-NL"/>
        </w:rPr>
        <w:t xml:space="preserve">onder de begeleiding van zeer gedreven </w:t>
      </w:r>
      <w:r w:rsidR="00BF1E9A">
        <w:rPr>
          <w:szCs w:val="18"/>
          <w:lang w:val="nl-NL"/>
        </w:rPr>
        <w:t xml:space="preserve">advocaten. Ik ben dan ook iedereen van de </w:t>
      </w:r>
      <w:r w:rsidR="00BF1E9A" w:rsidRPr="006A4646">
        <w:rPr>
          <w:i/>
          <w:szCs w:val="18"/>
          <w:lang w:val="nl-NL"/>
        </w:rPr>
        <w:t>Law Clinic</w:t>
      </w:r>
      <w:r w:rsidR="00BF1E9A">
        <w:rPr>
          <w:szCs w:val="18"/>
          <w:lang w:val="nl-NL"/>
        </w:rPr>
        <w:t xml:space="preserve"> enorm dankbaar voor alles.</w:t>
      </w:r>
    </w:p>
    <w:p w14:paraId="2E922643" w14:textId="37D2940F" w:rsidR="00BF1E9A" w:rsidRDefault="00BF1E9A" w:rsidP="00260F11">
      <w:pPr>
        <w:spacing w:line="360" w:lineRule="auto"/>
        <w:rPr>
          <w:szCs w:val="18"/>
          <w:lang w:val="nl-NL"/>
        </w:rPr>
      </w:pPr>
    </w:p>
    <w:p w14:paraId="2486D460" w14:textId="2F5BD584" w:rsidR="00BF1E9A" w:rsidRDefault="00BF1E9A" w:rsidP="00260F11">
      <w:pPr>
        <w:spacing w:line="360" w:lineRule="auto"/>
        <w:rPr>
          <w:szCs w:val="18"/>
          <w:lang w:val="nl-NL"/>
        </w:rPr>
      </w:pPr>
      <w:r>
        <w:rPr>
          <w:szCs w:val="18"/>
          <w:lang w:val="nl-NL"/>
        </w:rPr>
        <w:t xml:space="preserve">Daarnaast wil ik ook </w:t>
      </w:r>
      <w:r w:rsidR="009C29A6">
        <w:rPr>
          <w:szCs w:val="18"/>
          <w:lang w:val="nl-NL"/>
        </w:rPr>
        <w:t xml:space="preserve">professor Spriet </w:t>
      </w:r>
      <w:r>
        <w:rPr>
          <w:szCs w:val="18"/>
          <w:lang w:val="nl-NL"/>
        </w:rPr>
        <w:t>bedanken om</w:t>
      </w:r>
      <w:r w:rsidR="00A50EC9">
        <w:rPr>
          <w:szCs w:val="18"/>
          <w:lang w:val="nl-NL"/>
        </w:rPr>
        <w:t xml:space="preserve"> </w:t>
      </w:r>
      <w:r>
        <w:rPr>
          <w:szCs w:val="18"/>
          <w:lang w:val="nl-NL"/>
        </w:rPr>
        <w:t xml:space="preserve">mij de kans te geven me te verdiepen in een uiterst interessant en actueel onderwerp: het seksueel strafrecht. Ook mijn begeleider </w:t>
      </w:r>
      <w:r w:rsidR="009C29A6">
        <w:rPr>
          <w:szCs w:val="18"/>
          <w:lang w:val="nl-NL"/>
        </w:rPr>
        <w:t xml:space="preserve">Dries Paternot </w:t>
      </w:r>
      <w:r>
        <w:rPr>
          <w:szCs w:val="18"/>
          <w:lang w:val="nl-NL"/>
        </w:rPr>
        <w:t xml:space="preserve">verdient een woord van dank, zonder </w:t>
      </w:r>
      <w:r w:rsidR="000E742B">
        <w:rPr>
          <w:szCs w:val="18"/>
          <w:lang w:val="nl-NL"/>
        </w:rPr>
        <w:t>hem zou</w:t>
      </w:r>
      <w:r>
        <w:rPr>
          <w:szCs w:val="18"/>
          <w:lang w:val="nl-NL"/>
        </w:rPr>
        <w:t xml:space="preserve"> deze masterscriptie niet dezelfde diepgang </w:t>
      </w:r>
      <w:r w:rsidR="000E742B">
        <w:rPr>
          <w:szCs w:val="18"/>
          <w:lang w:val="nl-NL"/>
        </w:rPr>
        <w:t>gekend</w:t>
      </w:r>
      <w:r>
        <w:rPr>
          <w:szCs w:val="18"/>
          <w:lang w:val="nl-NL"/>
        </w:rPr>
        <w:t xml:space="preserve"> hebben.</w:t>
      </w:r>
    </w:p>
    <w:p w14:paraId="3EC7A6CC" w14:textId="0C56B60E" w:rsidR="00BF1E9A" w:rsidRDefault="00BF1E9A" w:rsidP="00260F11">
      <w:pPr>
        <w:spacing w:line="360" w:lineRule="auto"/>
        <w:rPr>
          <w:szCs w:val="18"/>
          <w:lang w:val="nl-NL"/>
        </w:rPr>
      </w:pPr>
    </w:p>
    <w:p w14:paraId="32BCA49C" w14:textId="70AD7AD2" w:rsidR="000E742B" w:rsidRDefault="00BF1E9A" w:rsidP="00260F11">
      <w:pPr>
        <w:spacing w:line="360" w:lineRule="auto"/>
        <w:rPr>
          <w:szCs w:val="18"/>
          <w:lang w:val="nl-NL"/>
        </w:rPr>
      </w:pPr>
      <w:r>
        <w:rPr>
          <w:i/>
          <w:szCs w:val="18"/>
          <w:lang w:val="nl-NL"/>
        </w:rPr>
        <w:t xml:space="preserve">Last but not least, </w:t>
      </w:r>
      <w:r>
        <w:rPr>
          <w:szCs w:val="18"/>
          <w:lang w:val="nl-NL"/>
        </w:rPr>
        <w:t>wil ik graag de mensen rondom mij bedanken. Te beginnen</w:t>
      </w:r>
      <w:r w:rsidR="000E742B">
        <w:rPr>
          <w:szCs w:val="18"/>
          <w:lang w:val="nl-NL"/>
        </w:rPr>
        <w:t xml:space="preserve"> met waar het allemaal begon:</w:t>
      </w:r>
      <w:r>
        <w:rPr>
          <w:szCs w:val="18"/>
          <w:lang w:val="nl-NL"/>
        </w:rPr>
        <w:t xml:space="preserve"> mijn ouders</w:t>
      </w:r>
      <w:r w:rsidR="000E742B">
        <w:rPr>
          <w:szCs w:val="18"/>
          <w:lang w:val="nl-NL"/>
        </w:rPr>
        <w:t>.</w:t>
      </w:r>
      <w:r>
        <w:rPr>
          <w:szCs w:val="18"/>
          <w:lang w:val="nl-NL"/>
        </w:rPr>
        <w:t xml:space="preserve"> </w:t>
      </w:r>
      <w:r w:rsidR="000E742B">
        <w:rPr>
          <w:szCs w:val="18"/>
          <w:lang w:val="nl-NL"/>
        </w:rPr>
        <w:t>Zij gaven</w:t>
      </w:r>
      <w:r>
        <w:rPr>
          <w:szCs w:val="18"/>
          <w:lang w:val="nl-NL"/>
        </w:rPr>
        <w:t xml:space="preserve"> me de kans om niet één, maar twee diploma’s te behalen. </w:t>
      </w:r>
      <w:r w:rsidR="000E742B">
        <w:rPr>
          <w:szCs w:val="18"/>
          <w:lang w:val="nl-NL"/>
        </w:rPr>
        <w:t>Ook mijn broer, neef en de rest van de familie wil ik bedanken voor de onvoorwaardelijke steun</w:t>
      </w:r>
      <w:r w:rsidR="00FB5180">
        <w:rPr>
          <w:szCs w:val="18"/>
          <w:lang w:val="nl-NL"/>
        </w:rPr>
        <w:t>. Daarnaast</w:t>
      </w:r>
      <w:r w:rsidR="000E742B">
        <w:rPr>
          <w:szCs w:val="18"/>
          <w:lang w:val="nl-NL"/>
        </w:rPr>
        <w:t xml:space="preserve"> wil ik ook mijn vriend bedanken, die voor mij eveneens een onmisbare steunpilaar was en mij op moeilijke</w:t>
      </w:r>
      <w:r w:rsidR="006A4646">
        <w:rPr>
          <w:szCs w:val="18"/>
          <w:lang w:val="nl-NL"/>
        </w:rPr>
        <w:t>re</w:t>
      </w:r>
      <w:r w:rsidR="000E742B">
        <w:rPr>
          <w:szCs w:val="18"/>
          <w:lang w:val="nl-NL"/>
        </w:rPr>
        <w:t xml:space="preserve"> momenten altijd wist op te </w:t>
      </w:r>
      <w:r w:rsidR="00876534">
        <w:rPr>
          <w:szCs w:val="18"/>
          <w:lang w:val="nl-NL"/>
        </w:rPr>
        <w:t>beuren</w:t>
      </w:r>
      <w:r w:rsidR="000E742B">
        <w:rPr>
          <w:szCs w:val="18"/>
          <w:lang w:val="nl-NL"/>
        </w:rPr>
        <w:t xml:space="preserve">. Ook mijn vrienden en vriendinnen wil ik bedanken om </w:t>
      </w:r>
      <w:r w:rsidR="006A4646">
        <w:rPr>
          <w:szCs w:val="18"/>
          <w:lang w:val="nl-NL"/>
        </w:rPr>
        <w:t xml:space="preserve">samen met mij te studeren, te thesissen of te pauzeren. </w:t>
      </w:r>
    </w:p>
    <w:p w14:paraId="4BC92F48" w14:textId="77777777" w:rsidR="000E742B" w:rsidRDefault="000E742B" w:rsidP="00260F11">
      <w:pPr>
        <w:spacing w:line="360" w:lineRule="auto"/>
        <w:rPr>
          <w:szCs w:val="18"/>
          <w:lang w:val="nl-NL"/>
        </w:rPr>
      </w:pPr>
    </w:p>
    <w:p w14:paraId="6ECA8406" w14:textId="77777777" w:rsidR="00C358B5" w:rsidRDefault="000E742B" w:rsidP="00260F11">
      <w:pPr>
        <w:pStyle w:val="ListParagraph"/>
        <w:spacing w:line="360" w:lineRule="auto"/>
        <w:ind w:left="0"/>
        <w:rPr>
          <w:color w:val="000000" w:themeColor="text1"/>
          <w:szCs w:val="18"/>
          <w:lang w:val="nl-NL"/>
        </w:rPr>
      </w:pPr>
      <w:r>
        <w:rPr>
          <w:szCs w:val="18"/>
          <w:lang w:val="nl-NL"/>
        </w:rPr>
        <w:t xml:space="preserve">Al deze mensen hebben me altijd ten volle gesteund en bleven steeds in mij geloven, ook op momenten waarop ik dit zelf even niet meer deed. </w:t>
      </w:r>
      <w:r w:rsidR="006A4646">
        <w:rPr>
          <w:szCs w:val="18"/>
          <w:lang w:val="nl-NL"/>
        </w:rPr>
        <w:t xml:space="preserve">Jullie maakten de mooie momenten nog mooier en de moeilijke momenten minder zwaar. </w:t>
      </w:r>
      <w:r>
        <w:rPr>
          <w:szCs w:val="18"/>
          <w:lang w:val="nl-NL"/>
        </w:rPr>
        <w:t>Bij deze</w:t>
      </w:r>
      <w:r w:rsidR="006A4646">
        <w:rPr>
          <w:szCs w:val="18"/>
          <w:lang w:val="nl-NL"/>
        </w:rPr>
        <w:t xml:space="preserve"> dus</w:t>
      </w:r>
      <w:r>
        <w:rPr>
          <w:szCs w:val="18"/>
          <w:lang w:val="nl-NL"/>
        </w:rPr>
        <w:t xml:space="preserve"> een welgemeende dankjewel, zonder jullie had ik niet gestaan waar ik nu sta. </w:t>
      </w:r>
    </w:p>
    <w:p w14:paraId="6A37DE93" w14:textId="77777777" w:rsidR="00C358B5" w:rsidRDefault="00C358B5" w:rsidP="00260F11">
      <w:pPr>
        <w:spacing w:line="360" w:lineRule="auto"/>
        <w:rPr>
          <w:color w:val="000000" w:themeColor="text1"/>
          <w:szCs w:val="18"/>
          <w:lang w:val="nl-NL"/>
        </w:rPr>
      </w:pPr>
    </w:p>
    <w:p w14:paraId="7C62AC1A" w14:textId="77777777" w:rsidR="00C358B5" w:rsidRDefault="00C358B5" w:rsidP="00260F11">
      <w:pPr>
        <w:spacing w:line="360" w:lineRule="auto"/>
        <w:jc w:val="left"/>
        <w:rPr>
          <w:color w:val="000000" w:themeColor="text1"/>
          <w:szCs w:val="18"/>
          <w:lang w:val="nl-NL"/>
        </w:rPr>
        <w:sectPr w:rsidR="00C358B5" w:rsidSect="0026404D">
          <w:footerReference w:type="default" r:id="rId13"/>
          <w:pgSz w:w="11906" w:h="16838"/>
          <w:pgMar w:top="1417" w:right="1417" w:bottom="1417" w:left="1417" w:header="709" w:footer="709" w:gutter="0"/>
          <w:cols w:space="708"/>
          <w:docGrid w:linePitch="360"/>
        </w:sectPr>
      </w:pPr>
    </w:p>
    <w:p w14:paraId="70716790" w14:textId="77777777" w:rsidR="00C358B5" w:rsidRDefault="00C358B5" w:rsidP="00260F11">
      <w:pPr>
        <w:spacing w:line="360" w:lineRule="auto"/>
        <w:jc w:val="left"/>
        <w:rPr>
          <w:color w:val="000000" w:themeColor="text1"/>
          <w:szCs w:val="18"/>
          <w:lang w:val="nl-NL"/>
        </w:rPr>
        <w:sectPr w:rsidR="00C358B5" w:rsidSect="0026404D">
          <w:footerReference w:type="default" r:id="rId14"/>
          <w:pgSz w:w="11906" w:h="16838"/>
          <w:pgMar w:top="1417" w:right="1417" w:bottom="1417" w:left="1417" w:header="709" w:footer="709" w:gutter="0"/>
          <w:cols w:space="708"/>
          <w:docGrid w:linePitch="360"/>
        </w:sectPr>
      </w:pPr>
    </w:p>
    <w:p w14:paraId="714F15BE" w14:textId="73119905" w:rsidR="00292AD5" w:rsidRPr="000B4AB2" w:rsidRDefault="007726FD" w:rsidP="00260F11">
      <w:pPr>
        <w:pStyle w:val="Heading1"/>
        <w:rPr>
          <w:lang w:val="nl-NL"/>
        </w:rPr>
      </w:pPr>
      <w:bookmarkStart w:id="2" w:name="_Toc135041033"/>
      <w:r w:rsidRPr="000B4AB2">
        <w:rPr>
          <w:lang w:val="nl-NL"/>
        </w:rPr>
        <w:lastRenderedPageBreak/>
        <w:t>Inhouds</w:t>
      </w:r>
      <w:r w:rsidR="009136E5" w:rsidRPr="000B4AB2">
        <w:rPr>
          <w:lang w:val="nl-NL"/>
        </w:rPr>
        <w:t>opgave</w:t>
      </w:r>
      <w:bookmarkEnd w:id="2"/>
    </w:p>
    <w:p w14:paraId="2C3BBF23" w14:textId="2F744B5B" w:rsidR="00260F11" w:rsidRDefault="00F67CF1" w:rsidP="00260F11">
      <w:pPr>
        <w:pStyle w:val="TOC1"/>
        <w:rPr>
          <w:rFonts w:asciiTheme="minorHAnsi" w:eastAsiaTheme="minorEastAsia" w:hAnsiTheme="minorHAnsi" w:cstheme="minorBidi"/>
          <w:bCs w:val="0"/>
          <w:noProof/>
          <w:sz w:val="24"/>
          <w:szCs w:val="24"/>
        </w:rPr>
      </w:pPr>
      <w:r w:rsidRPr="000B4AB2">
        <w:rPr>
          <w:szCs w:val="18"/>
          <w:lang w:val="nl-NL"/>
        </w:rPr>
        <w:fldChar w:fldCharType="begin"/>
      </w:r>
      <w:r w:rsidRPr="000B4AB2">
        <w:rPr>
          <w:szCs w:val="18"/>
          <w:lang w:val="nl-NL"/>
        </w:rPr>
        <w:instrText xml:space="preserve"> TOC \o "1-6" \h \z \u </w:instrText>
      </w:r>
      <w:r w:rsidRPr="000B4AB2">
        <w:rPr>
          <w:szCs w:val="18"/>
          <w:lang w:val="nl-NL"/>
        </w:rPr>
        <w:fldChar w:fldCharType="separate"/>
      </w:r>
      <w:hyperlink w:anchor="_Toc135041031" w:history="1">
        <w:r w:rsidR="00260F11" w:rsidRPr="009170A8">
          <w:rPr>
            <w:rStyle w:val="Hyperlink"/>
            <w:rFonts w:eastAsiaTheme="majorEastAsia"/>
            <w:noProof/>
            <w:lang w:val="nl-NL"/>
          </w:rPr>
          <w:t>Samenvatting</w:t>
        </w:r>
        <w:r w:rsidR="00260F11">
          <w:rPr>
            <w:noProof/>
            <w:webHidden/>
          </w:rPr>
          <w:tab/>
        </w:r>
        <w:r w:rsidR="00260F11">
          <w:rPr>
            <w:noProof/>
            <w:webHidden/>
          </w:rPr>
          <w:fldChar w:fldCharType="begin"/>
        </w:r>
        <w:r w:rsidR="00260F11">
          <w:rPr>
            <w:noProof/>
            <w:webHidden/>
          </w:rPr>
          <w:instrText xml:space="preserve"> PAGEREF _Toc135041031 \h </w:instrText>
        </w:r>
        <w:r w:rsidR="00260F11">
          <w:rPr>
            <w:noProof/>
            <w:webHidden/>
          </w:rPr>
        </w:r>
        <w:r w:rsidR="00260F11">
          <w:rPr>
            <w:noProof/>
            <w:webHidden/>
          </w:rPr>
          <w:fldChar w:fldCharType="separate"/>
        </w:r>
        <w:r w:rsidR="0006702C">
          <w:rPr>
            <w:noProof/>
            <w:webHidden/>
          </w:rPr>
          <w:t>1</w:t>
        </w:r>
        <w:r w:rsidR="00260F11">
          <w:rPr>
            <w:noProof/>
            <w:webHidden/>
          </w:rPr>
          <w:fldChar w:fldCharType="end"/>
        </w:r>
      </w:hyperlink>
    </w:p>
    <w:p w14:paraId="0B207018" w14:textId="738E279D" w:rsidR="00260F11" w:rsidRDefault="00C513A6" w:rsidP="00260F11">
      <w:pPr>
        <w:pStyle w:val="TOC1"/>
        <w:rPr>
          <w:rFonts w:asciiTheme="minorHAnsi" w:eastAsiaTheme="minorEastAsia" w:hAnsiTheme="minorHAnsi" w:cstheme="minorBidi"/>
          <w:bCs w:val="0"/>
          <w:noProof/>
          <w:sz w:val="24"/>
          <w:szCs w:val="24"/>
        </w:rPr>
      </w:pPr>
      <w:hyperlink w:anchor="_Toc135041032" w:history="1">
        <w:r w:rsidR="00260F11" w:rsidRPr="009170A8">
          <w:rPr>
            <w:rStyle w:val="Hyperlink"/>
            <w:rFonts w:eastAsiaTheme="majorEastAsia"/>
            <w:noProof/>
            <w:lang w:val="nl-NL"/>
          </w:rPr>
          <w:t>Dankwoord</w:t>
        </w:r>
        <w:r w:rsidR="00260F11">
          <w:rPr>
            <w:noProof/>
            <w:webHidden/>
          </w:rPr>
          <w:tab/>
        </w:r>
        <w:r w:rsidR="00260F11">
          <w:rPr>
            <w:noProof/>
            <w:webHidden/>
          </w:rPr>
          <w:fldChar w:fldCharType="begin"/>
        </w:r>
        <w:r w:rsidR="00260F11">
          <w:rPr>
            <w:noProof/>
            <w:webHidden/>
          </w:rPr>
          <w:instrText xml:space="preserve"> PAGEREF _Toc135041032 \h </w:instrText>
        </w:r>
        <w:r w:rsidR="00260F11">
          <w:rPr>
            <w:noProof/>
            <w:webHidden/>
          </w:rPr>
        </w:r>
        <w:r w:rsidR="00260F11">
          <w:rPr>
            <w:noProof/>
            <w:webHidden/>
          </w:rPr>
          <w:fldChar w:fldCharType="separate"/>
        </w:r>
        <w:r w:rsidR="0006702C">
          <w:rPr>
            <w:noProof/>
            <w:webHidden/>
          </w:rPr>
          <w:t>3</w:t>
        </w:r>
        <w:r w:rsidR="00260F11">
          <w:rPr>
            <w:noProof/>
            <w:webHidden/>
          </w:rPr>
          <w:fldChar w:fldCharType="end"/>
        </w:r>
      </w:hyperlink>
    </w:p>
    <w:p w14:paraId="7678FC0B" w14:textId="287C4F1D" w:rsidR="00260F11" w:rsidRDefault="00C513A6" w:rsidP="00260F11">
      <w:pPr>
        <w:pStyle w:val="TOC1"/>
        <w:rPr>
          <w:rFonts w:asciiTheme="minorHAnsi" w:eastAsiaTheme="minorEastAsia" w:hAnsiTheme="minorHAnsi" w:cstheme="minorBidi"/>
          <w:bCs w:val="0"/>
          <w:noProof/>
          <w:sz w:val="24"/>
          <w:szCs w:val="24"/>
        </w:rPr>
      </w:pPr>
      <w:hyperlink w:anchor="_Toc135041033" w:history="1">
        <w:r w:rsidR="00260F11" w:rsidRPr="009170A8">
          <w:rPr>
            <w:rStyle w:val="Hyperlink"/>
            <w:rFonts w:eastAsiaTheme="majorEastAsia"/>
            <w:noProof/>
            <w:lang w:val="nl-NL"/>
          </w:rPr>
          <w:t>Inhoudsopgave</w:t>
        </w:r>
        <w:r w:rsidR="00260F11">
          <w:rPr>
            <w:noProof/>
            <w:webHidden/>
          </w:rPr>
          <w:tab/>
        </w:r>
        <w:r w:rsidR="00260F11">
          <w:rPr>
            <w:noProof/>
            <w:webHidden/>
          </w:rPr>
          <w:fldChar w:fldCharType="begin"/>
        </w:r>
        <w:r w:rsidR="00260F11">
          <w:rPr>
            <w:noProof/>
            <w:webHidden/>
          </w:rPr>
          <w:instrText xml:space="preserve"> PAGEREF _Toc135041033 \h </w:instrText>
        </w:r>
        <w:r w:rsidR="00260F11">
          <w:rPr>
            <w:noProof/>
            <w:webHidden/>
          </w:rPr>
        </w:r>
        <w:r w:rsidR="00260F11">
          <w:rPr>
            <w:noProof/>
            <w:webHidden/>
          </w:rPr>
          <w:fldChar w:fldCharType="separate"/>
        </w:r>
        <w:r w:rsidR="0006702C">
          <w:rPr>
            <w:noProof/>
            <w:webHidden/>
          </w:rPr>
          <w:t>5</w:t>
        </w:r>
        <w:r w:rsidR="00260F11">
          <w:rPr>
            <w:noProof/>
            <w:webHidden/>
          </w:rPr>
          <w:fldChar w:fldCharType="end"/>
        </w:r>
      </w:hyperlink>
    </w:p>
    <w:p w14:paraId="1A6A1C19" w14:textId="7E3D8AD9" w:rsidR="00260F11" w:rsidRDefault="00C513A6" w:rsidP="00260F11">
      <w:pPr>
        <w:pStyle w:val="TOC1"/>
        <w:rPr>
          <w:rFonts w:asciiTheme="minorHAnsi" w:eastAsiaTheme="minorEastAsia" w:hAnsiTheme="minorHAnsi" w:cstheme="minorBidi"/>
          <w:bCs w:val="0"/>
          <w:noProof/>
          <w:sz w:val="24"/>
          <w:szCs w:val="24"/>
        </w:rPr>
      </w:pPr>
      <w:hyperlink w:anchor="_Toc135041034" w:history="1">
        <w:r w:rsidR="00260F11" w:rsidRPr="009170A8">
          <w:rPr>
            <w:rStyle w:val="Hyperlink"/>
            <w:rFonts w:eastAsiaTheme="majorEastAsia"/>
            <w:noProof/>
            <w:lang w:val="nl-NL"/>
          </w:rPr>
          <w:t>Begrippenlijst</w:t>
        </w:r>
        <w:r w:rsidR="00260F11">
          <w:rPr>
            <w:noProof/>
            <w:webHidden/>
          </w:rPr>
          <w:tab/>
        </w:r>
        <w:r w:rsidR="00260F11">
          <w:rPr>
            <w:noProof/>
            <w:webHidden/>
          </w:rPr>
          <w:fldChar w:fldCharType="begin"/>
        </w:r>
        <w:r w:rsidR="00260F11">
          <w:rPr>
            <w:noProof/>
            <w:webHidden/>
          </w:rPr>
          <w:instrText xml:space="preserve"> PAGEREF _Toc135041034 \h </w:instrText>
        </w:r>
        <w:r w:rsidR="00260F11">
          <w:rPr>
            <w:noProof/>
            <w:webHidden/>
          </w:rPr>
        </w:r>
        <w:r w:rsidR="00260F11">
          <w:rPr>
            <w:noProof/>
            <w:webHidden/>
          </w:rPr>
          <w:fldChar w:fldCharType="separate"/>
        </w:r>
        <w:r w:rsidR="0006702C">
          <w:rPr>
            <w:noProof/>
            <w:webHidden/>
          </w:rPr>
          <w:t>8</w:t>
        </w:r>
        <w:r w:rsidR="00260F11">
          <w:rPr>
            <w:noProof/>
            <w:webHidden/>
          </w:rPr>
          <w:fldChar w:fldCharType="end"/>
        </w:r>
      </w:hyperlink>
    </w:p>
    <w:p w14:paraId="73C4A659" w14:textId="3C0ADE2A" w:rsidR="00260F11" w:rsidRDefault="00C513A6" w:rsidP="00260F11">
      <w:pPr>
        <w:pStyle w:val="TOC1"/>
        <w:rPr>
          <w:rFonts w:asciiTheme="minorHAnsi" w:eastAsiaTheme="minorEastAsia" w:hAnsiTheme="minorHAnsi" w:cstheme="minorBidi"/>
          <w:bCs w:val="0"/>
          <w:noProof/>
          <w:sz w:val="24"/>
          <w:szCs w:val="24"/>
        </w:rPr>
      </w:pPr>
      <w:hyperlink w:anchor="_Toc135041035" w:history="1">
        <w:r w:rsidR="00260F11" w:rsidRPr="009170A8">
          <w:rPr>
            <w:rStyle w:val="Hyperlink"/>
            <w:rFonts w:eastAsiaTheme="majorEastAsia"/>
            <w:noProof/>
            <w:lang w:val="nl-NL"/>
          </w:rPr>
          <w:t>Lijst van bijlagen</w:t>
        </w:r>
        <w:r w:rsidR="00260F11">
          <w:rPr>
            <w:noProof/>
            <w:webHidden/>
          </w:rPr>
          <w:tab/>
        </w:r>
        <w:r w:rsidR="00260F11">
          <w:rPr>
            <w:noProof/>
            <w:webHidden/>
          </w:rPr>
          <w:fldChar w:fldCharType="begin"/>
        </w:r>
        <w:r w:rsidR="00260F11">
          <w:rPr>
            <w:noProof/>
            <w:webHidden/>
          </w:rPr>
          <w:instrText xml:space="preserve"> PAGEREF _Toc135041035 \h </w:instrText>
        </w:r>
        <w:r w:rsidR="00260F11">
          <w:rPr>
            <w:noProof/>
            <w:webHidden/>
          </w:rPr>
        </w:r>
        <w:r w:rsidR="00260F11">
          <w:rPr>
            <w:noProof/>
            <w:webHidden/>
          </w:rPr>
          <w:fldChar w:fldCharType="separate"/>
        </w:r>
        <w:r w:rsidR="0006702C">
          <w:rPr>
            <w:noProof/>
            <w:webHidden/>
          </w:rPr>
          <w:t>9</w:t>
        </w:r>
        <w:r w:rsidR="00260F11">
          <w:rPr>
            <w:noProof/>
            <w:webHidden/>
          </w:rPr>
          <w:fldChar w:fldCharType="end"/>
        </w:r>
      </w:hyperlink>
    </w:p>
    <w:p w14:paraId="5A2E982B" w14:textId="117917B8" w:rsidR="00260F11" w:rsidRDefault="00C513A6" w:rsidP="00260F11">
      <w:pPr>
        <w:pStyle w:val="TOC1"/>
        <w:rPr>
          <w:rFonts w:asciiTheme="minorHAnsi" w:eastAsiaTheme="minorEastAsia" w:hAnsiTheme="minorHAnsi" w:cstheme="minorBidi"/>
          <w:bCs w:val="0"/>
          <w:noProof/>
          <w:sz w:val="24"/>
          <w:szCs w:val="24"/>
        </w:rPr>
      </w:pPr>
      <w:hyperlink w:anchor="_Toc135041036" w:history="1">
        <w:r w:rsidR="00260F11" w:rsidRPr="009170A8">
          <w:rPr>
            <w:rStyle w:val="Hyperlink"/>
            <w:rFonts w:eastAsiaTheme="majorEastAsia"/>
            <w:noProof/>
            <w:lang w:val="nl-NL"/>
          </w:rPr>
          <w:t>Inleiding</w:t>
        </w:r>
        <w:r w:rsidR="00260F11">
          <w:rPr>
            <w:noProof/>
            <w:webHidden/>
          </w:rPr>
          <w:tab/>
        </w:r>
        <w:r w:rsidR="00260F11">
          <w:rPr>
            <w:noProof/>
            <w:webHidden/>
          </w:rPr>
          <w:fldChar w:fldCharType="begin"/>
        </w:r>
        <w:r w:rsidR="00260F11">
          <w:rPr>
            <w:noProof/>
            <w:webHidden/>
          </w:rPr>
          <w:instrText xml:space="preserve"> PAGEREF _Toc135041036 \h </w:instrText>
        </w:r>
        <w:r w:rsidR="00260F11">
          <w:rPr>
            <w:noProof/>
            <w:webHidden/>
          </w:rPr>
        </w:r>
        <w:r w:rsidR="00260F11">
          <w:rPr>
            <w:noProof/>
            <w:webHidden/>
          </w:rPr>
          <w:fldChar w:fldCharType="separate"/>
        </w:r>
        <w:r w:rsidR="0006702C">
          <w:rPr>
            <w:noProof/>
            <w:webHidden/>
          </w:rPr>
          <w:t>11</w:t>
        </w:r>
        <w:r w:rsidR="00260F11">
          <w:rPr>
            <w:noProof/>
            <w:webHidden/>
          </w:rPr>
          <w:fldChar w:fldCharType="end"/>
        </w:r>
      </w:hyperlink>
    </w:p>
    <w:p w14:paraId="4890A2EE" w14:textId="3B37EC6F" w:rsidR="00260F11" w:rsidRDefault="00C513A6" w:rsidP="00260F11">
      <w:pPr>
        <w:pStyle w:val="TOC2"/>
        <w:tabs>
          <w:tab w:val="left" w:pos="540"/>
          <w:tab w:val="right" w:leader="dot" w:pos="9062"/>
        </w:tabs>
        <w:spacing w:line="360" w:lineRule="auto"/>
        <w:rPr>
          <w:rFonts w:asciiTheme="minorHAnsi" w:eastAsiaTheme="minorEastAsia" w:hAnsiTheme="minorHAnsi" w:cstheme="minorBidi"/>
          <w:noProof/>
          <w:sz w:val="24"/>
          <w:szCs w:val="24"/>
        </w:rPr>
      </w:pPr>
      <w:hyperlink w:anchor="_Toc135041037" w:history="1">
        <w:r w:rsidR="00260F11" w:rsidRPr="009170A8">
          <w:rPr>
            <w:rStyle w:val="Hyperlink"/>
            <w:rFonts w:eastAsiaTheme="majorEastAsia"/>
            <w:noProof/>
            <w:lang w:val="nl-NL"/>
          </w:rPr>
          <w:t>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Belgisch recht</w:t>
        </w:r>
        <w:r w:rsidR="00260F11">
          <w:rPr>
            <w:noProof/>
            <w:webHidden/>
          </w:rPr>
          <w:tab/>
        </w:r>
        <w:r w:rsidR="00260F11">
          <w:rPr>
            <w:noProof/>
            <w:webHidden/>
          </w:rPr>
          <w:fldChar w:fldCharType="begin"/>
        </w:r>
        <w:r w:rsidR="00260F11">
          <w:rPr>
            <w:noProof/>
            <w:webHidden/>
          </w:rPr>
          <w:instrText xml:space="preserve"> PAGEREF _Toc135041037 \h </w:instrText>
        </w:r>
        <w:r w:rsidR="00260F11">
          <w:rPr>
            <w:noProof/>
            <w:webHidden/>
          </w:rPr>
        </w:r>
        <w:r w:rsidR="00260F11">
          <w:rPr>
            <w:noProof/>
            <w:webHidden/>
          </w:rPr>
          <w:fldChar w:fldCharType="separate"/>
        </w:r>
        <w:r w:rsidR="0006702C">
          <w:rPr>
            <w:noProof/>
            <w:webHidden/>
          </w:rPr>
          <w:t>17</w:t>
        </w:r>
        <w:r w:rsidR="00260F11">
          <w:rPr>
            <w:noProof/>
            <w:webHidden/>
          </w:rPr>
          <w:fldChar w:fldCharType="end"/>
        </w:r>
      </w:hyperlink>
    </w:p>
    <w:p w14:paraId="6FC76138" w14:textId="315574EE"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038" w:history="1">
        <w:r w:rsidR="00260F11" w:rsidRPr="009170A8">
          <w:rPr>
            <w:rStyle w:val="Hyperlink"/>
            <w:rFonts w:eastAsiaTheme="majorEastAsia"/>
            <w:noProof/>
            <w:lang w:val="nl-NL"/>
          </w:rPr>
          <w:t>1.1</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Aanranding van de eerbaarheid respectievelijk aantasting van de seksuele integriteit</w:t>
        </w:r>
        <w:r w:rsidR="00260F11">
          <w:rPr>
            <w:noProof/>
            <w:webHidden/>
          </w:rPr>
          <w:tab/>
        </w:r>
        <w:r w:rsidR="00260F11">
          <w:rPr>
            <w:noProof/>
            <w:webHidden/>
          </w:rPr>
          <w:fldChar w:fldCharType="begin"/>
        </w:r>
        <w:r w:rsidR="00260F11">
          <w:rPr>
            <w:noProof/>
            <w:webHidden/>
          </w:rPr>
          <w:instrText xml:space="preserve"> PAGEREF _Toc135041038 \h </w:instrText>
        </w:r>
        <w:r w:rsidR="00260F11">
          <w:rPr>
            <w:noProof/>
            <w:webHidden/>
          </w:rPr>
        </w:r>
        <w:r w:rsidR="00260F11">
          <w:rPr>
            <w:noProof/>
            <w:webHidden/>
          </w:rPr>
          <w:fldChar w:fldCharType="separate"/>
        </w:r>
        <w:r w:rsidR="0006702C">
          <w:rPr>
            <w:noProof/>
            <w:webHidden/>
          </w:rPr>
          <w:t>18</w:t>
        </w:r>
        <w:r w:rsidR="00260F11">
          <w:rPr>
            <w:noProof/>
            <w:webHidden/>
          </w:rPr>
          <w:fldChar w:fldCharType="end"/>
        </w:r>
      </w:hyperlink>
    </w:p>
    <w:p w14:paraId="4EE99C9A" w14:textId="0E00E42A"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39" w:history="1">
        <w:r w:rsidR="00260F11" w:rsidRPr="009170A8">
          <w:rPr>
            <w:rStyle w:val="Hyperlink"/>
            <w:rFonts w:eastAsiaTheme="majorEastAsia"/>
            <w:noProof/>
            <w:lang w:val="nl-NL"/>
          </w:rPr>
          <w:t>1.1.1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Aanranding van de eerbaarheid (oud recht)</w:t>
        </w:r>
        <w:r w:rsidR="00260F11">
          <w:rPr>
            <w:noProof/>
            <w:webHidden/>
          </w:rPr>
          <w:tab/>
        </w:r>
        <w:r w:rsidR="00260F11">
          <w:rPr>
            <w:noProof/>
            <w:webHidden/>
          </w:rPr>
          <w:fldChar w:fldCharType="begin"/>
        </w:r>
        <w:r w:rsidR="00260F11">
          <w:rPr>
            <w:noProof/>
            <w:webHidden/>
          </w:rPr>
          <w:instrText xml:space="preserve"> PAGEREF _Toc135041039 \h </w:instrText>
        </w:r>
        <w:r w:rsidR="00260F11">
          <w:rPr>
            <w:noProof/>
            <w:webHidden/>
          </w:rPr>
        </w:r>
        <w:r w:rsidR="00260F11">
          <w:rPr>
            <w:noProof/>
            <w:webHidden/>
          </w:rPr>
          <w:fldChar w:fldCharType="separate"/>
        </w:r>
        <w:r w:rsidR="0006702C">
          <w:rPr>
            <w:noProof/>
            <w:webHidden/>
          </w:rPr>
          <w:t>18</w:t>
        </w:r>
        <w:r w:rsidR="00260F11">
          <w:rPr>
            <w:noProof/>
            <w:webHidden/>
          </w:rPr>
          <w:fldChar w:fldCharType="end"/>
        </w:r>
      </w:hyperlink>
    </w:p>
    <w:p w14:paraId="73299224" w14:textId="08316C4C"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0" w:history="1">
        <w:r w:rsidR="00260F11" w:rsidRPr="009170A8">
          <w:rPr>
            <w:rStyle w:val="Hyperlink"/>
            <w:rFonts w:eastAsiaTheme="majorEastAsia"/>
            <w:noProof/>
            <w:lang w:val="nl-NL"/>
          </w:rPr>
          <w:t>1.1.1.1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_Toc135041040 \h </w:instrText>
        </w:r>
        <w:r w:rsidR="00260F11">
          <w:rPr>
            <w:noProof/>
            <w:webHidden/>
          </w:rPr>
        </w:r>
        <w:r w:rsidR="00260F11">
          <w:rPr>
            <w:noProof/>
            <w:webHidden/>
          </w:rPr>
          <w:fldChar w:fldCharType="separate"/>
        </w:r>
        <w:r w:rsidR="0006702C">
          <w:rPr>
            <w:noProof/>
            <w:webHidden/>
          </w:rPr>
          <w:t>19</w:t>
        </w:r>
        <w:r w:rsidR="00260F11">
          <w:rPr>
            <w:noProof/>
            <w:webHidden/>
          </w:rPr>
          <w:fldChar w:fldCharType="end"/>
        </w:r>
      </w:hyperlink>
    </w:p>
    <w:p w14:paraId="1CD852E3" w14:textId="05C444AB"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1" w:history="1">
        <w:r w:rsidR="00260F11" w:rsidRPr="009170A8">
          <w:rPr>
            <w:rStyle w:val="Hyperlink"/>
            <w:rFonts w:eastAsiaTheme="majorEastAsia"/>
            <w:noProof/>
            <w:lang w:val="nl-NL"/>
          </w:rPr>
          <w:t>1.1.1.2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_Toc135041041 \h </w:instrText>
        </w:r>
        <w:r w:rsidR="00260F11">
          <w:rPr>
            <w:noProof/>
            <w:webHidden/>
          </w:rPr>
        </w:r>
        <w:r w:rsidR="00260F11">
          <w:rPr>
            <w:noProof/>
            <w:webHidden/>
          </w:rPr>
          <w:fldChar w:fldCharType="separate"/>
        </w:r>
        <w:r w:rsidR="0006702C">
          <w:rPr>
            <w:noProof/>
            <w:webHidden/>
          </w:rPr>
          <w:t>23</w:t>
        </w:r>
        <w:r w:rsidR="00260F11">
          <w:rPr>
            <w:noProof/>
            <w:webHidden/>
          </w:rPr>
          <w:fldChar w:fldCharType="end"/>
        </w:r>
      </w:hyperlink>
    </w:p>
    <w:p w14:paraId="31F07FD8" w14:textId="51A3CAC5"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2" w:history="1">
        <w:r w:rsidR="00260F11" w:rsidRPr="009170A8">
          <w:rPr>
            <w:rStyle w:val="Hyperlink"/>
            <w:rFonts w:eastAsiaTheme="majorEastAsia"/>
            <w:noProof/>
            <w:lang w:val="nl-NL"/>
          </w:rPr>
          <w:t>1.1.1.3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 slachtoffer</w:t>
        </w:r>
        <w:r w:rsidR="00260F11">
          <w:rPr>
            <w:noProof/>
            <w:webHidden/>
          </w:rPr>
          <w:tab/>
        </w:r>
        <w:r w:rsidR="00260F11">
          <w:rPr>
            <w:noProof/>
            <w:webHidden/>
          </w:rPr>
          <w:fldChar w:fldCharType="begin"/>
        </w:r>
        <w:r w:rsidR="00260F11">
          <w:rPr>
            <w:noProof/>
            <w:webHidden/>
          </w:rPr>
          <w:instrText xml:space="preserve"> PAGEREF _Toc135041042 \h </w:instrText>
        </w:r>
        <w:r w:rsidR="00260F11">
          <w:rPr>
            <w:noProof/>
            <w:webHidden/>
          </w:rPr>
        </w:r>
        <w:r w:rsidR="00260F11">
          <w:rPr>
            <w:noProof/>
            <w:webHidden/>
          </w:rPr>
          <w:fldChar w:fldCharType="separate"/>
        </w:r>
        <w:r w:rsidR="0006702C">
          <w:rPr>
            <w:noProof/>
            <w:webHidden/>
          </w:rPr>
          <w:t>24</w:t>
        </w:r>
        <w:r w:rsidR="00260F11">
          <w:rPr>
            <w:noProof/>
            <w:webHidden/>
          </w:rPr>
          <w:fldChar w:fldCharType="end"/>
        </w:r>
      </w:hyperlink>
    </w:p>
    <w:p w14:paraId="72654FD7" w14:textId="01BDA8C8"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3" w:history="1">
        <w:r w:rsidR="00260F11" w:rsidRPr="009170A8">
          <w:rPr>
            <w:rStyle w:val="Hyperlink"/>
            <w:rFonts w:eastAsiaTheme="majorEastAsia"/>
            <w:noProof/>
            <w:lang w:val="nl-NL"/>
          </w:rPr>
          <w:t>1.1.1.4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_Toc135041043 \h </w:instrText>
        </w:r>
        <w:r w:rsidR="00260F11">
          <w:rPr>
            <w:noProof/>
            <w:webHidden/>
          </w:rPr>
        </w:r>
        <w:r w:rsidR="00260F11">
          <w:rPr>
            <w:noProof/>
            <w:webHidden/>
          </w:rPr>
          <w:fldChar w:fldCharType="separate"/>
        </w:r>
        <w:r w:rsidR="0006702C">
          <w:rPr>
            <w:noProof/>
            <w:webHidden/>
          </w:rPr>
          <w:t>27</w:t>
        </w:r>
        <w:r w:rsidR="00260F11">
          <w:rPr>
            <w:noProof/>
            <w:webHidden/>
          </w:rPr>
          <w:fldChar w:fldCharType="end"/>
        </w:r>
      </w:hyperlink>
    </w:p>
    <w:p w14:paraId="33B4EB29" w14:textId="0A0B4E08"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4" w:history="1">
        <w:r w:rsidR="00260F11" w:rsidRPr="009170A8">
          <w:rPr>
            <w:rStyle w:val="Hyperlink"/>
            <w:rFonts w:eastAsiaTheme="majorEastAsia"/>
            <w:noProof/>
            <w:lang w:val="nl-NL"/>
          </w:rPr>
          <w:t>1.1.1.5</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Pijnpunten van de strafbaarstelling</w:t>
        </w:r>
        <w:r w:rsidR="00260F11">
          <w:rPr>
            <w:noProof/>
            <w:webHidden/>
          </w:rPr>
          <w:tab/>
        </w:r>
        <w:r w:rsidR="00260F11">
          <w:rPr>
            <w:noProof/>
            <w:webHidden/>
          </w:rPr>
          <w:fldChar w:fldCharType="begin"/>
        </w:r>
        <w:r w:rsidR="00260F11">
          <w:rPr>
            <w:noProof/>
            <w:webHidden/>
          </w:rPr>
          <w:instrText xml:space="preserve"> PAGEREF _Toc135041044 \h </w:instrText>
        </w:r>
        <w:r w:rsidR="00260F11">
          <w:rPr>
            <w:noProof/>
            <w:webHidden/>
          </w:rPr>
        </w:r>
        <w:r w:rsidR="00260F11">
          <w:rPr>
            <w:noProof/>
            <w:webHidden/>
          </w:rPr>
          <w:fldChar w:fldCharType="separate"/>
        </w:r>
        <w:r w:rsidR="0006702C">
          <w:rPr>
            <w:noProof/>
            <w:webHidden/>
          </w:rPr>
          <w:t>29</w:t>
        </w:r>
        <w:r w:rsidR="00260F11">
          <w:rPr>
            <w:noProof/>
            <w:webHidden/>
          </w:rPr>
          <w:fldChar w:fldCharType="end"/>
        </w:r>
      </w:hyperlink>
    </w:p>
    <w:p w14:paraId="3EAE47B4" w14:textId="6A63C88F"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45" w:history="1">
        <w:r w:rsidR="00260F11" w:rsidRPr="009170A8">
          <w:rPr>
            <w:rStyle w:val="Hyperlink"/>
            <w:rFonts w:eastAsiaTheme="majorEastAsia"/>
            <w:noProof/>
            <w:lang w:val="nl-NL"/>
          </w:rPr>
          <w:t>1.1.2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Aantasting van de seksuele integriteit (huidig recht)</w:t>
        </w:r>
        <w:r w:rsidR="00260F11">
          <w:rPr>
            <w:noProof/>
            <w:webHidden/>
          </w:rPr>
          <w:tab/>
        </w:r>
        <w:r w:rsidR="00260F11">
          <w:rPr>
            <w:noProof/>
            <w:webHidden/>
          </w:rPr>
          <w:fldChar w:fldCharType="begin"/>
        </w:r>
        <w:r w:rsidR="00260F11">
          <w:rPr>
            <w:noProof/>
            <w:webHidden/>
          </w:rPr>
          <w:instrText xml:space="preserve"> PAGEREF _Toc135041045 \h </w:instrText>
        </w:r>
        <w:r w:rsidR="00260F11">
          <w:rPr>
            <w:noProof/>
            <w:webHidden/>
          </w:rPr>
        </w:r>
        <w:r w:rsidR="00260F11">
          <w:rPr>
            <w:noProof/>
            <w:webHidden/>
          </w:rPr>
          <w:fldChar w:fldCharType="separate"/>
        </w:r>
        <w:r w:rsidR="0006702C">
          <w:rPr>
            <w:noProof/>
            <w:webHidden/>
          </w:rPr>
          <w:t>31</w:t>
        </w:r>
        <w:r w:rsidR="00260F11">
          <w:rPr>
            <w:noProof/>
            <w:webHidden/>
          </w:rPr>
          <w:fldChar w:fldCharType="end"/>
        </w:r>
      </w:hyperlink>
    </w:p>
    <w:p w14:paraId="3F01ACFE" w14:textId="7BEEBE99"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6" w:history="1">
        <w:r w:rsidR="00260F11" w:rsidRPr="009170A8">
          <w:rPr>
            <w:rStyle w:val="Hyperlink"/>
            <w:rFonts w:eastAsiaTheme="majorEastAsia"/>
            <w:noProof/>
            <w:lang w:val="nl-NL"/>
          </w:rPr>
          <w:t>1.1.2.1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_Toc135041046 \h </w:instrText>
        </w:r>
        <w:r w:rsidR="00260F11">
          <w:rPr>
            <w:noProof/>
            <w:webHidden/>
          </w:rPr>
        </w:r>
        <w:r w:rsidR="00260F11">
          <w:rPr>
            <w:noProof/>
            <w:webHidden/>
          </w:rPr>
          <w:fldChar w:fldCharType="separate"/>
        </w:r>
        <w:r w:rsidR="0006702C">
          <w:rPr>
            <w:noProof/>
            <w:webHidden/>
          </w:rPr>
          <w:t>32</w:t>
        </w:r>
        <w:r w:rsidR="00260F11">
          <w:rPr>
            <w:noProof/>
            <w:webHidden/>
          </w:rPr>
          <w:fldChar w:fldCharType="end"/>
        </w:r>
      </w:hyperlink>
    </w:p>
    <w:p w14:paraId="3E5655A1" w14:textId="1E83FEC1"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7" w:history="1">
        <w:r w:rsidR="00260F11" w:rsidRPr="009170A8">
          <w:rPr>
            <w:rStyle w:val="Hyperlink"/>
            <w:rFonts w:eastAsiaTheme="majorEastAsia"/>
            <w:noProof/>
            <w:lang w:val="nl-NL"/>
          </w:rPr>
          <w:t>1.1.2.2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_Toc135041047 \h </w:instrText>
        </w:r>
        <w:r w:rsidR="00260F11">
          <w:rPr>
            <w:noProof/>
            <w:webHidden/>
          </w:rPr>
        </w:r>
        <w:r w:rsidR="00260F11">
          <w:rPr>
            <w:noProof/>
            <w:webHidden/>
          </w:rPr>
          <w:fldChar w:fldCharType="separate"/>
        </w:r>
        <w:r w:rsidR="0006702C">
          <w:rPr>
            <w:noProof/>
            <w:webHidden/>
          </w:rPr>
          <w:t>33</w:t>
        </w:r>
        <w:r w:rsidR="00260F11">
          <w:rPr>
            <w:noProof/>
            <w:webHidden/>
          </w:rPr>
          <w:fldChar w:fldCharType="end"/>
        </w:r>
      </w:hyperlink>
    </w:p>
    <w:p w14:paraId="111FD4A9" w14:textId="10D98578"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8" w:history="1">
        <w:r w:rsidR="00260F11" w:rsidRPr="009170A8">
          <w:rPr>
            <w:rStyle w:val="Hyperlink"/>
            <w:rFonts w:eastAsiaTheme="majorEastAsia"/>
            <w:noProof/>
            <w:lang w:val="nl-NL"/>
          </w:rPr>
          <w:t>1.1.2.3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 slachtoffer</w:t>
        </w:r>
        <w:r w:rsidR="00260F11">
          <w:rPr>
            <w:noProof/>
            <w:webHidden/>
          </w:rPr>
          <w:tab/>
        </w:r>
        <w:r w:rsidR="00260F11">
          <w:rPr>
            <w:noProof/>
            <w:webHidden/>
          </w:rPr>
          <w:fldChar w:fldCharType="begin"/>
        </w:r>
        <w:r w:rsidR="00260F11">
          <w:rPr>
            <w:noProof/>
            <w:webHidden/>
          </w:rPr>
          <w:instrText xml:space="preserve"> PAGEREF _Toc135041048 \h </w:instrText>
        </w:r>
        <w:r w:rsidR="00260F11">
          <w:rPr>
            <w:noProof/>
            <w:webHidden/>
          </w:rPr>
        </w:r>
        <w:r w:rsidR="00260F11">
          <w:rPr>
            <w:noProof/>
            <w:webHidden/>
          </w:rPr>
          <w:fldChar w:fldCharType="separate"/>
        </w:r>
        <w:r w:rsidR="0006702C">
          <w:rPr>
            <w:noProof/>
            <w:webHidden/>
          </w:rPr>
          <w:t>33</w:t>
        </w:r>
        <w:r w:rsidR="00260F11">
          <w:rPr>
            <w:noProof/>
            <w:webHidden/>
          </w:rPr>
          <w:fldChar w:fldCharType="end"/>
        </w:r>
      </w:hyperlink>
    </w:p>
    <w:p w14:paraId="0D2E22B3" w14:textId="139BFC83"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49" w:history="1">
        <w:r w:rsidR="00260F11" w:rsidRPr="009170A8">
          <w:rPr>
            <w:rStyle w:val="Hyperlink"/>
            <w:rFonts w:eastAsiaTheme="majorEastAsia"/>
            <w:noProof/>
            <w:lang w:val="nl-NL"/>
          </w:rPr>
          <w:t>1.1.2.4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_Toc135041049 \h </w:instrText>
        </w:r>
        <w:r w:rsidR="00260F11">
          <w:rPr>
            <w:noProof/>
            <w:webHidden/>
          </w:rPr>
        </w:r>
        <w:r w:rsidR="00260F11">
          <w:rPr>
            <w:noProof/>
            <w:webHidden/>
          </w:rPr>
          <w:fldChar w:fldCharType="separate"/>
        </w:r>
        <w:r w:rsidR="0006702C">
          <w:rPr>
            <w:noProof/>
            <w:webHidden/>
          </w:rPr>
          <w:t>38</w:t>
        </w:r>
        <w:r w:rsidR="00260F11">
          <w:rPr>
            <w:noProof/>
            <w:webHidden/>
          </w:rPr>
          <w:fldChar w:fldCharType="end"/>
        </w:r>
      </w:hyperlink>
    </w:p>
    <w:p w14:paraId="3DF5F58F" w14:textId="54FF7A33"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50" w:history="1">
        <w:r w:rsidR="00260F11" w:rsidRPr="009170A8">
          <w:rPr>
            <w:rStyle w:val="Hyperlink"/>
            <w:rFonts w:eastAsiaTheme="majorEastAsia"/>
            <w:noProof/>
            <w:lang w:val="nl-NL"/>
          </w:rPr>
          <w:t>1.1.3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Vergelijking strafbaarstellingen en temporele werking</w:t>
        </w:r>
        <w:r w:rsidR="00260F11">
          <w:rPr>
            <w:noProof/>
            <w:webHidden/>
          </w:rPr>
          <w:tab/>
        </w:r>
        <w:r w:rsidR="00260F11">
          <w:rPr>
            <w:noProof/>
            <w:webHidden/>
          </w:rPr>
          <w:fldChar w:fldCharType="begin"/>
        </w:r>
        <w:r w:rsidR="00260F11">
          <w:rPr>
            <w:noProof/>
            <w:webHidden/>
          </w:rPr>
          <w:instrText xml:space="preserve"> PAGEREF _Toc135041050 \h </w:instrText>
        </w:r>
        <w:r w:rsidR="00260F11">
          <w:rPr>
            <w:noProof/>
            <w:webHidden/>
          </w:rPr>
        </w:r>
        <w:r w:rsidR="00260F11">
          <w:rPr>
            <w:noProof/>
            <w:webHidden/>
          </w:rPr>
          <w:fldChar w:fldCharType="separate"/>
        </w:r>
        <w:r w:rsidR="0006702C">
          <w:rPr>
            <w:noProof/>
            <w:webHidden/>
          </w:rPr>
          <w:t>39</w:t>
        </w:r>
        <w:r w:rsidR="00260F11">
          <w:rPr>
            <w:noProof/>
            <w:webHidden/>
          </w:rPr>
          <w:fldChar w:fldCharType="end"/>
        </w:r>
      </w:hyperlink>
    </w:p>
    <w:p w14:paraId="1FDA4232" w14:textId="5E8179F2"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51" w:history="1">
        <w:r w:rsidR="00260F11" w:rsidRPr="009170A8">
          <w:rPr>
            <w:rStyle w:val="Hyperlink"/>
            <w:rFonts w:eastAsiaTheme="majorEastAsia"/>
            <w:noProof/>
            <w:lang w:val="nl-NL"/>
          </w:rPr>
          <w:t>1.1.3.1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_Toc135041051 \h </w:instrText>
        </w:r>
        <w:r w:rsidR="00260F11">
          <w:rPr>
            <w:noProof/>
            <w:webHidden/>
          </w:rPr>
        </w:r>
        <w:r w:rsidR="00260F11">
          <w:rPr>
            <w:noProof/>
            <w:webHidden/>
          </w:rPr>
          <w:fldChar w:fldCharType="separate"/>
        </w:r>
        <w:r w:rsidR="0006702C">
          <w:rPr>
            <w:noProof/>
            <w:webHidden/>
          </w:rPr>
          <w:t>42</w:t>
        </w:r>
        <w:r w:rsidR="00260F11">
          <w:rPr>
            <w:noProof/>
            <w:webHidden/>
          </w:rPr>
          <w:fldChar w:fldCharType="end"/>
        </w:r>
      </w:hyperlink>
    </w:p>
    <w:p w14:paraId="132A4A70" w14:textId="584C1C46"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52" w:history="1">
        <w:r w:rsidR="00260F11" w:rsidRPr="009170A8">
          <w:rPr>
            <w:rStyle w:val="Hyperlink"/>
            <w:rFonts w:eastAsiaTheme="majorEastAsia"/>
            <w:noProof/>
            <w:lang w:val="nl-NL"/>
          </w:rPr>
          <w:t>1.1.3.2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_Toc135041052 \h </w:instrText>
        </w:r>
        <w:r w:rsidR="00260F11">
          <w:rPr>
            <w:noProof/>
            <w:webHidden/>
          </w:rPr>
        </w:r>
        <w:r w:rsidR="00260F11">
          <w:rPr>
            <w:noProof/>
            <w:webHidden/>
          </w:rPr>
          <w:fldChar w:fldCharType="separate"/>
        </w:r>
        <w:r w:rsidR="0006702C">
          <w:rPr>
            <w:noProof/>
            <w:webHidden/>
          </w:rPr>
          <w:t>43</w:t>
        </w:r>
        <w:r w:rsidR="00260F11">
          <w:rPr>
            <w:noProof/>
            <w:webHidden/>
          </w:rPr>
          <w:fldChar w:fldCharType="end"/>
        </w:r>
      </w:hyperlink>
    </w:p>
    <w:p w14:paraId="58766F19" w14:textId="545F436A"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53" w:history="1">
        <w:r w:rsidR="00260F11" w:rsidRPr="009170A8">
          <w:rPr>
            <w:rStyle w:val="Hyperlink"/>
            <w:rFonts w:eastAsiaTheme="majorEastAsia"/>
            <w:noProof/>
            <w:lang w:val="nl-NL"/>
          </w:rPr>
          <w:t>1.1.3.3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 slachtoffer</w:t>
        </w:r>
        <w:r w:rsidR="00260F11">
          <w:rPr>
            <w:noProof/>
            <w:webHidden/>
          </w:rPr>
          <w:tab/>
        </w:r>
        <w:r w:rsidR="00260F11">
          <w:rPr>
            <w:noProof/>
            <w:webHidden/>
          </w:rPr>
          <w:fldChar w:fldCharType="begin"/>
        </w:r>
        <w:r w:rsidR="00260F11">
          <w:rPr>
            <w:noProof/>
            <w:webHidden/>
          </w:rPr>
          <w:instrText xml:space="preserve"> PAGEREF _Toc135041053 \h </w:instrText>
        </w:r>
        <w:r w:rsidR="00260F11">
          <w:rPr>
            <w:noProof/>
            <w:webHidden/>
          </w:rPr>
        </w:r>
        <w:r w:rsidR="00260F11">
          <w:rPr>
            <w:noProof/>
            <w:webHidden/>
          </w:rPr>
          <w:fldChar w:fldCharType="separate"/>
        </w:r>
        <w:r w:rsidR="0006702C">
          <w:rPr>
            <w:noProof/>
            <w:webHidden/>
          </w:rPr>
          <w:t>44</w:t>
        </w:r>
        <w:r w:rsidR="00260F11">
          <w:rPr>
            <w:noProof/>
            <w:webHidden/>
          </w:rPr>
          <w:fldChar w:fldCharType="end"/>
        </w:r>
      </w:hyperlink>
    </w:p>
    <w:p w14:paraId="5290E5B4" w14:textId="4B613039"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54" w:history="1">
        <w:r w:rsidR="00260F11" w:rsidRPr="009170A8">
          <w:rPr>
            <w:rStyle w:val="Hyperlink"/>
            <w:rFonts w:eastAsiaTheme="majorEastAsia"/>
            <w:noProof/>
            <w:lang w:val="nl-NL"/>
          </w:rPr>
          <w:t>1.1.3.4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_Toc135041054 \h </w:instrText>
        </w:r>
        <w:r w:rsidR="00260F11">
          <w:rPr>
            <w:noProof/>
            <w:webHidden/>
          </w:rPr>
        </w:r>
        <w:r w:rsidR="00260F11">
          <w:rPr>
            <w:noProof/>
            <w:webHidden/>
          </w:rPr>
          <w:fldChar w:fldCharType="separate"/>
        </w:r>
        <w:r w:rsidR="0006702C">
          <w:rPr>
            <w:noProof/>
            <w:webHidden/>
          </w:rPr>
          <w:t>48</w:t>
        </w:r>
        <w:r w:rsidR="00260F11">
          <w:rPr>
            <w:noProof/>
            <w:webHidden/>
          </w:rPr>
          <w:fldChar w:fldCharType="end"/>
        </w:r>
      </w:hyperlink>
    </w:p>
    <w:p w14:paraId="1BC8F925" w14:textId="60EAB498"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055" w:history="1">
        <w:r w:rsidR="00260F11" w:rsidRPr="009170A8">
          <w:rPr>
            <w:rStyle w:val="Hyperlink"/>
            <w:rFonts w:eastAsiaTheme="majorEastAsia"/>
            <w:noProof/>
            <w:lang w:val="nl-NL"/>
          </w:rPr>
          <w:t>1.2</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Verkrachting</w:t>
        </w:r>
        <w:r w:rsidR="00260F11">
          <w:rPr>
            <w:noProof/>
            <w:webHidden/>
          </w:rPr>
          <w:tab/>
        </w:r>
        <w:r w:rsidR="00260F11">
          <w:rPr>
            <w:noProof/>
            <w:webHidden/>
          </w:rPr>
          <w:fldChar w:fldCharType="begin"/>
        </w:r>
        <w:r w:rsidR="00260F11">
          <w:rPr>
            <w:noProof/>
            <w:webHidden/>
          </w:rPr>
          <w:instrText xml:space="preserve"> PAGEREF _Toc135041055 \h </w:instrText>
        </w:r>
        <w:r w:rsidR="00260F11">
          <w:rPr>
            <w:noProof/>
            <w:webHidden/>
          </w:rPr>
        </w:r>
        <w:r w:rsidR="00260F11">
          <w:rPr>
            <w:noProof/>
            <w:webHidden/>
          </w:rPr>
          <w:fldChar w:fldCharType="separate"/>
        </w:r>
        <w:r w:rsidR="0006702C">
          <w:rPr>
            <w:noProof/>
            <w:webHidden/>
          </w:rPr>
          <w:t>49</w:t>
        </w:r>
        <w:r w:rsidR="00260F11">
          <w:rPr>
            <w:noProof/>
            <w:webHidden/>
          </w:rPr>
          <w:fldChar w:fldCharType="end"/>
        </w:r>
      </w:hyperlink>
    </w:p>
    <w:p w14:paraId="080AB040" w14:textId="70956E21"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56" w:history="1">
        <w:r w:rsidR="00260F11" w:rsidRPr="009170A8">
          <w:rPr>
            <w:rStyle w:val="Hyperlink"/>
            <w:rFonts w:eastAsiaTheme="majorEastAsia"/>
            <w:noProof/>
            <w:lang w:val="nl-NL"/>
          </w:rPr>
          <w:t>1.2.1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Verkrachting (oud recht)</w:t>
        </w:r>
        <w:r w:rsidR="00260F11">
          <w:rPr>
            <w:noProof/>
            <w:webHidden/>
          </w:rPr>
          <w:tab/>
        </w:r>
        <w:r w:rsidR="00260F11">
          <w:rPr>
            <w:noProof/>
            <w:webHidden/>
          </w:rPr>
          <w:fldChar w:fldCharType="begin"/>
        </w:r>
        <w:r w:rsidR="00260F11">
          <w:rPr>
            <w:noProof/>
            <w:webHidden/>
          </w:rPr>
          <w:instrText xml:space="preserve"> PAGEREF _Toc135041056 \h </w:instrText>
        </w:r>
        <w:r w:rsidR="00260F11">
          <w:rPr>
            <w:noProof/>
            <w:webHidden/>
          </w:rPr>
        </w:r>
        <w:r w:rsidR="00260F11">
          <w:rPr>
            <w:noProof/>
            <w:webHidden/>
          </w:rPr>
          <w:fldChar w:fldCharType="separate"/>
        </w:r>
        <w:r w:rsidR="0006702C">
          <w:rPr>
            <w:noProof/>
            <w:webHidden/>
          </w:rPr>
          <w:t>49</w:t>
        </w:r>
        <w:r w:rsidR="00260F11">
          <w:rPr>
            <w:noProof/>
            <w:webHidden/>
          </w:rPr>
          <w:fldChar w:fldCharType="end"/>
        </w:r>
      </w:hyperlink>
    </w:p>
    <w:p w14:paraId="1D183662" w14:textId="62EEFE7A"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57" w:history="1">
        <w:r w:rsidR="00260F11" w:rsidRPr="009170A8">
          <w:rPr>
            <w:rStyle w:val="Hyperlink"/>
            <w:rFonts w:eastAsiaTheme="majorEastAsia"/>
            <w:noProof/>
            <w:lang w:val="nl-NL"/>
          </w:rPr>
          <w:t>1.2.1.1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_Toc135041057 \h </w:instrText>
        </w:r>
        <w:r w:rsidR="00260F11">
          <w:rPr>
            <w:noProof/>
            <w:webHidden/>
          </w:rPr>
        </w:r>
        <w:r w:rsidR="00260F11">
          <w:rPr>
            <w:noProof/>
            <w:webHidden/>
          </w:rPr>
          <w:fldChar w:fldCharType="separate"/>
        </w:r>
        <w:r w:rsidR="0006702C">
          <w:rPr>
            <w:noProof/>
            <w:webHidden/>
          </w:rPr>
          <w:t>50</w:t>
        </w:r>
        <w:r w:rsidR="00260F11">
          <w:rPr>
            <w:noProof/>
            <w:webHidden/>
          </w:rPr>
          <w:fldChar w:fldCharType="end"/>
        </w:r>
      </w:hyperlink>
    </w:p>
    <w:p w14:paraId="44EB0ABE" w14:textId="3AD8222C"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58" w:history="1">
        <w:r w:rsidR="00260F11" w:rsidRPr="009170A8">
          <w:rPr>
            <w:rStyle w:val="Hyperlink"/>
            <w:rFonts w:eastAsiaTheme="majorEastAsia"/>
            <w:noProof/>
            <w:lang w:val="nl-NL"/>
          </w:rPr>
          <w:t>1.2.1.2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_Toc135041058 \h </w:instrText>
        </w:r>
        <w:r w:rsidR="00260F11">
          <w:rPr>
            <w:noProof/>
            <w:webHidden/>
          </w:rPr>
        </w:r>
        <w:r w:rsidR="00260F11">
          <w:rPr>
            <w:noProof/>
            <w:webHidden/>
          </w:rPr>
          <w:fldChar w:fldCharType="separate"/>
        </w:r>
        <w:r w:rsidR="0006702C">
          <w:rPr>
            <w:noProof/>
            <w:webHidden/>
          </w:rPr>
          <w:t>53</w:t>
        </w:r>
        <w:r w:rsidR="00260F11">
          <w:rPr>
            <w:noProof/>
            <w:webHidden/>
          </w:rPr>
          <w:fldChar w:fldCharType="end"/>
        </w:r>
      </w:hyperlink>
    </w:p>
    <w:p w14:paraId="0807FD42" w14:textId="75C99B17"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59" w:history="1">
        <w:r w:rsidR="00260F11" w:rsidRPr="009170A8">
          <w:rPr>
            <w:rStyle w:val="Hyperlink"/>
            <w:rFonts w:eastAsiaTheme="majorEastAsia"/>
            <w:noProof/>
            <w:lang w:val="nl-NL"/>
          </w:rPr>
          <w:t>1.2.1.3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 slachtoffer</w:t>
        </w:r>
        <w:r w:rsidR="00260F11">
          <w:rPr>
            <w:noProof/>
            <w:webHidden/>
          </w:rPr>
          <w:tab/>
        </w:r>
        <w:r w:rsidR="00260F11">
          <w:rPr>
            <w:noProof/>
            <w:webHidden/>
          </w:rPr>
          <w:fldChar w:fldCharType="begin"/>
        </w:r>
        <w:r w:rsidR="00260F11">
          <w:rPr>
            <w:noProof/>
            <w:webHidden/>
          </w:rPr>
          <w:instrText xml:space="preserve"> PAGEREF _Toc135041059 \h </w:instrText>
        </w:r>
        <w:r w:rsidR="00260F11">
          <w:rPr>
            <w:noProof/>
            <w:webHidden/>
          </w:rPr>
        </w:r>
        <w:r w:rsidR="00260F11">
          <w:rPr>
            <w:noProof/>
            <w:webHidden/>
          </w:rPr>
          <w:fldChar w:fldCharType="separate"/>
        </w:r>
        <w:r w:rsidR="0006702C">
          <w:rPr>
            <w:noProof/>
            <w:webHidden/>
          </w:rPr>
          <w:t>54</w:t>
        </w:r>
        <w:r w:rsidR="00260F11">
          <w:rPr>
            <w:noProof/>
            <w:webHidden/>
          </w:rPr>
          <w:fldChar w:fldCharType="end"/>
        </w:r>
      </w:hyperlink>
    </w:p>
    <w:p w14:paraId="358B8579" w14:textId="57658C6B"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0" w:history="1">
        <w:r w:rsidR="00260F11" w:rsidRPr="009170A8">
          <w:rPr>
            <w:rStyle w:val="Hyperlink"/>
            <w:rFonts w:eastAsiaTheme="majorEastAsia"/>
            <w:noProof/>
            <w:lang w:val="nl-NL"/>
          </w:rPr>
          <w:t>1.2.1.4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_Toc135041060 \h </w:instrText>
        </w:r>
        <w:r w:rsidR="00260F11">
          <w:rPr>
            <w:noProof/>
            <w:webHidden/>
          </w:rPr>
        </w:r>
        <w:r w:rsidR="00260F11">
          <w:rPr>
            <w:noProof/>
            <w:webHidden/>
          </w:rPr>
          <w:fldChar w:fldCharType="separate"/>
        </w:r>
        <w:r w:rsidR="0006702C">
          <w:rPr>
            <w:noProof/>
            <w:webHidden/>
          </w:rPr>
          <w:t>56</w:t>
        </w:r>
        <w:r w:rsidR="00260F11">
          <w:rPr>
            <w:noProof/>
            <w:webHidden/>
          </w:rPr>
          <w:fldChar w:fldCharType="end"/>
        </w:r>
      </w:hyperlink>
    </w:p>
    <w:p w14:paraId="448C4B26" w14:textId="4B4BA6A4"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1" w:history="1">
        <w:r w:rsidR="00260F11" w:rsidRPr="009170A8">
          <w:rPr>
            <w:rStyle w:val="Hyperlink"/>
            <w:rFonts w:eastAsiaTheme="majorEastAsia"/>
            <w:noProof/>
            <w:lang w:val="nl-NL"/>
          </w:rPr>
          <w:t>1.2.1.5</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Pijnpunten van de strafbaarstelling</w:t>
        </w:r>
        <w:r w:rsidR="00260F11">
          <w:rPr>
            <w:noProof/>
            <w:webHidden/>
          </w:rPr>
          <w:tab/>
        </w:r>
        <w:r w:rsidR="00260F11">
          <w:rPr>
            <w:noProof/>
            <w:webHidden/>
          </w:rPr>
          <w:fldChar w:fldCharType="begin"/>
        </w:r>
        <w:r w:rsidR="00260F11">
          <w:rPr>
            <w:noProof/>
            <w:webHidden/>
          </w:rPr>
          <w:instrText xml:space="preserve"> PAGEREF _Toc135041061 \h </w:instrText>
        </w:r>
        <w:r w:rsidR="00260F11">
          <w:rPr>
            <w:noProof/>
            <w:webHidden/>
          </w:rPr>
        </w:r>
        <w:r w:rsidR="00260F11">
          <w:rPr>
            <w:noProof/>
            <w:webHidden/>
          </w:rPr>
          <w:fldChar w:fldCharType="separate"/>
        </w:r>
        <w:r w:rsidR="0006702C">
          <w:rPr>
            <w:noProof/>
            <w:webHidden/>
          </w:rPr>
          <w:t>58</w:t>
        </w:r>
        <w:r w:rsidR="00260F11">
          <w:rPr>
            <w:noProof/>
            <w:webHidden/>
          </w:rPr>
          <w:fldChar w:fldCharType="end"/>
        </w:r>
      </w:hyperlink>
    </w:p>
    <w:p w14:paraId="552BC2A0" w14:textId="56781952"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62" w:history="1">
        <w:r w:rsidR="00260F11" w:rsidRPr="009170A8">
          <w:rPr>
            <w:rStyle w:val="Hyperlink"/>
            <w:rFonts w:eastAsiaTheme="majorEastAsia"/>
            <w:noProof/>
            <w:lang w:val="nl-NL"/>
          </w:rPr>
          <w:t>1.2.2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Verkrachting (huidig recht)</w:t>
        </w:r>
        <w:r w:rsidR="00260F11">
          <w:rPr>
            <w:noProof/>
            <w:webHidden/>
          </w:rPr>
          <w:tab/>
        </w:r>
        <w:r w:rsidR="00260F11">
          <w:rPr>
            <w:noProof/>
            <w:webHidden/>
          </w:rPr>
          <w:fldChar w:fldCharType="begin"/>
        </w:r>
        <w:r w:rsidR="00260F11">
          <w:rPr>
            <w:noProof/>
            <w:webHidden/>
          </w:rPr>
          <w:instrText xml:space="preserve"> PAGEREF _Toc135041062 \h </w:instrText>
        </w:r>
        <w:r w:rsidR="00260F11">
          <w:rPr>
            <w:noProof/>
            <w:webHidden/>
          </w:rPr>
        </w:r>
        <w:r w:rsidR="00260F11">
          <w:rPr>
            <w:noProof/>
            <w:webHidden/>
          </w:rPr>
          <w:fldChar w:fldCharType="separate"/>
        </w:r>
        <w:r w:rsidR="0006702C">
          <w:rPr>
            <w:noProof/>
            <w:webHidden/>
          </w:rPr>
          <w:t>61</w:t>
        </w:r>
        <w:r w:rsidR="00260F11">
          <w:rPr>
            <w:noProof/>
            <w:webHidden/>
          </w:rPr>
          <w:fldChar w:fldCharType="end"/>
        </w:r>
      </w:hyperlink>
    </w:p>
    <w:p w14:paraId="0AD65B74" w14:textId="64C343F3"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3" w:history="1">
        <w:r w:rsidR="00260F11" w:rsidRPr="009170A8">
          <w:rPr>
            <w:rStyle w:val="Hyperlink"/>
            <w:rFonts w:eastAsiaTheme="majorEastAsia"/>
            <w:noProof/>
            <w:lang w:val="nl-NL"/>
          </w:rPr>
          <w:t>1.2.2.1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_Toc135041063 \h </w:instrText>
        </w:r>
        <w:r w:rsidR="00260F11">
          <w:rPr>
            <w:noProof/>
            <w:webHidden/>
          </w:rPr>
        </w:r>
        <w:r w:rsidR="00260F11">
          <w:rPr>
            <w:noProof/>
            <w:webHidden/>
          </w:rPr>
          <w:fldChar w:fldCharType="separate"/>
        </w:r>
        <w:r w:rsidR="0006702C">
          <w:rPr>
            <w:noProof/>
            <w:webHidden/>
          </w:rPr>
          <w:t>61</w:t>
        </w:r>
        <w:r w:rsidR="00260F11">
          <w:rPr>
            <w:noProof/>
            <w:webHidden/>
          </w:rPr>
          <w:fldChar w:fldCharType="end"/>
        </w:r>
      </w:hyperlink>
    </w:p>
    <w:p w14:paraId="5C7F371F" w14:textId="139E287B"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4" w:history="1">
        <w:r w:rsidR="00260F11" w:rsidRPr="009170A8">
          <w:rPr>
            <w:rStyle w:val="Hyperlink"/>
            <w:rFonts w:eastAsiaTheme="majorEastAsia"/>
            <w:noProof/>
            <w:lang w:val="nl-NL"/>
          </w:rPr>
          <w:t>1.2.2.2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_Toc135041064 \h </w:instrText>
        </w:r>
        <w:r w:rsidR="00260F11">
          <w:rPr>
            <w:noProof/>
            <w:webHidden/>
          </w:rPr>
        </w:r>
        <w:r w:rsidR="00260F11">
          <w:rPr>
            <w:noProof/>
            <w:webHidden/>
          </w:rPr>
          <w:fldChar w:fldCharType="separate"/>
        </w:r>
        <w:r w:rsidR="0006702C">
          <w:rPr>
            <w:noProof/>
            <w:webHidden/>
          </w:rPr>
          <w:t>63</w:t>
        </w:r>
        <w:r w:rsidR="00260F11">
          <w:rPr>
            <w:noProof/>
            <w:webHidden/>
          </w:rPr>
          <w:fldChar w:fldCharType="end"/>
        </w:r>
      </w:hyperlink>
    </w:p>
    <w:p w14:paraId="17729321" w14:textId="18712991"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5" w:history="1">
        <w:r w:rsidR="00260F11" w:rsidRPr="009170A8">
          <w:rPr>
            <w:rStyle w:val="Hyperlink"/>
            <w:rFonts w:eastAsiaTheme="majorEastAsia"/>
            <w:noProof/>
            <w:lang w:val="nl-NL"/>
          </w:rPr>
          <w:t>1.2.2.3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 slachtoffer</w:t>
        </w:r>
        <w:r w:rsidR="00260F11">
          <w:rPr>
            <w:noProof/>
            <w:webHidden/>
          </w:rPr>
          <w:tab/>
        </w:r>
        <w:r w:rsidR="00260F11">
          <w:rPr>
            <w:noProof/>
            <w:webHidden/>
          </w:rPr>
          <w:fldChar w:fldCharType="begin"/>
        </w:r>
        <w:r w:rsidR="00260F11">
          <w:rPr>
            <w:noProof/>
            <w:webHidden/>
          </w:rPr>
          <w:instrText xml:space="preserve"> PAGEREF _Toc135041065 \h </w:instrText>
        </w:r>
        <w:r w:rsidR="00260F11">
          <w:rPr>
            <w:noProof/>
            <w:webHidden/>
          </w:rPr>
        </w:r>
        <w:r w:rsidR="00260F11">
          <w:rPr>
            <w:noProof/>
            <w:webHidden/>
          </w:rPr>
          <w:fldChar w:fldCharType="separate"/>
        </w:r>
        <w:r w:rsidR="0006702C">
          <w:rPr>
            <w:noProof/>
            <w:webHidden/>
          </w:rPr>
          <w:t>63</w:t>
        </w:r>
        <w:r w:rsidR="00260F11">
          <w:rPr>
            <w:noProof/>
            <w:webHidden/>
          </w:rPr>
          <w:fldChar w:fldCharType="end"/>
        </w:r>
      </w:hyperlink>
    </w:p>
    <w:p w14:paraId="21831DED" w14:textId="690EEDEB"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6" w:history="1">
        <w:r w:rsidR="00260F11" w:rsidRPr="009170A8">
          <w:rPr>
            <w:rStyle w:val="Hyperlink"/>
            <w:rFonts w:eastAsiaTheme="majorEastAsia"/>
            <w:noProof/>
            <w:lang w:val="nl-NL"/>
          </w:rPr>
          <w:t>1.2.2.4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_Toc135041066 \h </w:instrText>
        </w:r>
        <w:r w:rsidR="00260F11">
          <w:rPr>
            <w:noProof/>
            <w:webHidden/>
          </w:rPr>
        </w:r>
        <w:r w:rsidR="00260F11">
          <w:rPr>
            <w:noProof/>
            <w:webHidden/>
          </w:rPr>
          <w:fldChar w:fldCharType="separate"/>
        </w:r>
        <w:r w:rsidR="0006702C">
          <w:rPr>
            <w:noProof/>
            <w:webHidden/>
          </w:rPr>
          <w:t>64</w:t>
        </w:r>
        <w:r w:rsidR="00260F11">
          <w:rPr>
            <w:noProof/>
            <w:webHidden/>
          </w:rPr>
          <w:fldChar w:fldCharType="end"/>
        </w:r>
      </w:hyperlink>
    </w:p>
    <w:p w14:paraId="3E1FC4C5" w14:textId="786AEA1B"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67" w:history="1">
        <w:r w:rsidR="00260F11" w:rsidRPr="009170A8">
          <w:rPr>
            <w:rStyle w:val="Hyperlink"/>
            <w:rFonts w:eastAsiaTheme="majorEastAsia"/>
            <w:noProof/>
            <w:lang w:val="nl-NL"/>
          </w:rPr>
          <w:t>1.2.3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Vergelijking strafbaarstellingen en temporele werking</w:t>
        </w:r>
        <w:r w:rsidR="00260F11">
          <w:rPr>
            <w:noProof/>
            <w:webHidden/>
          </w:rPr>
          <w:tab/>
        </w:r>
        <w:r w:rsidR="00260F11">
          <w:rPr>
            <w:noProof/>
            <w:webHidden/>
          </w:rPr>
          <w:fldChar w:fldCharType="begin"/>
        </w:r>
        <w:r w:rsidR="00260F11">
          <w:rPr>
            <w:noProof/>
            <w:webHidden/>
          </w:rPr>
          <w:instrText xml:space="preserve"> PAGEREF _Toc135041067 \h </w:instrText>
        </w:r>
        <w:r w:rsidR="00260F11">
          <w:rPr>
            <w:noProof/>
            <w:webHidden/>
          </w:rPr>
        </w:r>
        <w:r w:rsidR="00260F11">
          <w:rPr>
            <w:noProof/>
            <w:webHidden/>
          </w:rPr>
          <w:fldChar w:fldCharType="separate"/>
        </w:r>
        <w:r w:rsidR="0006702C">
          <w:rPr>
            <w:noProof/>
            <w:webHidden/>
          </w:rPr>
          <w:t>65</w:t>
        </w:r>
        <w:r w:rsidR="00260F11">
          <w:rPr>
            <w:noProof/>
            <w:webHidden/>
          </w:rPr>
          <w:fldChar w:fldCharType="end"/>
        </w:r>
      </w:hyperlink>
    </w:p>
    <w:p w14:paraId="63CC91D4" w14:textId="07DFE4AB"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8" w:history="1">
        <w:r w:rsidR="00260F11" w:rsidRPr="009170A8">
          <w:rPr>
            <w:rStyle w:val="Hyperlink"/>
            <w:rFonts w:eastAsiaTheme="majorEastAsia"/>
            <w:noProof/>
            <w:lang w:val="nl-NL"/>
          </w:rPr>
          <w:t>1.2.3.1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_Toc135041068 \h </w:instrText>
        </w:r>
        <w:r w:rsidR="00260F11">
          <w:rPr>
            <w:noProof/>
            <w:webHidden/>
          </w:rPr>
        </w:r>
        <w:r w:rsidR="00260F11">
          <w:rPr>
            <w:noProof/>
            <w:webHidden/>
          </w:rPr>
          <w:fldChar w:fldCharType="separate"/>
        </w:r>
        <w:r w:rsidR="0006702C">
          <w:rPr>
            <w:noProof/>
            <w:webHidden/>
          </w:rPr>
          <w:t>65</w:t>
        </w:r>
        <w:r w:rsidR="00260F11">
          <w:rPr>
            <w:noProof/>
            <w:webHidden/>
          </w:rPr>
          <w:fldChar w:fldCharType="end"/>
        </w:r>
      </w:hyperlink>
    </w:p>
    <w:p w14:paraId="3A03712B" w14:textId="406B7424"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69" w:history="1">
        <w:r w:rsidR="00260F11" w:rsidRPr="009170A8">
          <w:rPr>
            <w:rStyle w:val="Hyperlink"/>
            <w:rFonts w:eastAsiaTheme="majorEastAsia"/>
            <w:noProof/>
            <w:lang w:val="nl-NL"/>
          </w:rPr>
          <w:t>1.2.3.2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_Toc135041069 \h </w:instrText>
        </w:r>
        <w:r w:rsidR="00260F11">
          <w:rPr>
            <w:noProof/>
            <w:webHidden/>
          </w:rPr>
        </w:r>
        <w:r w:rsidR="00260F11">
          <w:rPr>
            <w:noProof/>
            <w:webHidden/>
          </w:rPr>
          <w:fldChar w:fldCharType="separate"/>
        </w:r>
        <w:r w:rsidR="0006702C">
          <w:rPr>
            <w:noProof/>
            <w:webHidden/>
          </w:rPr>
          <w:t>66</w:t>
        </w:r>
        <w:r w:rsidR="00260F11">
          <w:rPr>
            <w:noProof/>
            <w:webHidden/>
          </w:rPr>
          <w:fldChar w:fldCharType="end"/>
        </w:r>
      </w:hyperlink>
    </w:p>
    <w:p w14:paraId="311961D4" w14:textId="18D61C44"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70" w:history="1">
        <w:r w:rsidR="00260F11" w:rsidRPr="009170A8">
          <w:rPr>
            <w:rStyle w:val="Hyperlink"/>
            <w:rFonts w:eastAsiaTheme="majorEastAsia"/>
            <w:noProof/>
            <w:lang w:val="nl-NL"/>
          </w:rPr>
          <w:t>1.2.3.3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 slachtoffer</w:t>
        </w:r>
        <w:r w:rsidR="00260F11">
          <w:rPr>
            <w:noProof/>
            <w:webHidden/>
          </w:rPr>
          <w:tab/>
        </w:r>
        <w:r w:rsidR="00260F11">
          <w:rPr>
            <w:noProof/>
            <w:webHidden/>
          </w:rPr>
          <w:fldChar w:fldCharType="begin"/>
        </w:r>
        <w:r w:rsidR="00260F11">
          <w:rPr>
            <w:noProof/>
            <w:webHidden/>
          </w:rPr>
          <w:instrText xml:space="preserve"> PAGEREF _Toc135041070 \h </w:instrText>
        </w:r>
        <w:r w:rsidR="00260F11">
          <w:rPr>
            <w:noProof/>
            <w:webHidden/>
          </w:rPr>
        </w:r>
        <w:r w:rsidR="00260F11">
          <w:rPr>
            <w:noProof/>
            <w:webHidden/>
          </w:rPr>
          <w:fldChar w:fldCharType="separate"/>
        </w:r>
        <w:r w:rsidR="0006702C">
          <w:rPr>
            <w:noProof/>
            <w:webHidden/>
          </w:rPr>
          <w:t>68</w:t>
        </w:r>
        <w:r w:rsidR="00260F11">
          <w:rPr>
            <w:noProof/>
            <w:webHidden/>
          </w:rPr>
          <w:fldChar w:fldCharType="end"/>
        </w:r>
      </w:hyperlink>
    </w:p>
    <w:p w14:paraId="35CAC860" w14:textId="4EA88A85"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71" w:history="1">
        <w:r w:rsidR="00260F11" w:rsidRPr="009170A8">
          <w:rPr>
            <w:rStyle w:val="Hyperlink"/>
            <w:rFonts w:eastAsiaTheme="majorEastAsia"/>
            <w:noProof/>
            <w:lang w:val="nl-NL"/>
          </w:rPr>
          <w:t>1.2.3.4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_Toc135041071 \h </w:instrText>
        </w:r>
        <w:r w:rsidR="00260F11">
          <w:rPr>
            <w:noProof/>
            <w:webHidden/>
          </w:rPr>
        </w:r>
        <w:r w:rsidR="00260F11">
          <w:rPr>
            <w:noProof/>
            <w:webHidden/>
          </w:rPr>
          <w:fldChar w:fldCharType="separate"/>
        </w:r>
        <w:r w:rsidR="0006702C">
          <w:rPr>
            <w:noProof/>
            <w:webHidden/>
          </w:rPr>
          <w:t>71</w:t>
        </w:r>
        <w:r w:rsidR="00260F11">
          <w:rPr>
            <w:noProof/>
            <w:webHidden/>
          </w:rPr>
          <w:fldChar w:fldCharType="end"/>
        </w:r>
      </w:hyperlink>
    </w:p>
    <w:p w14:paraId="3F75D3DB" w14:textId="7C547602"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072" w:history="1">
        <w:r w:rsidR="00260F11" w:rsidRPr="009170A8">
          <w:rPr>
            <w:rStyle w:val="Hyperlink"/>
            <w:rFonts w:eastAsiaTheme="majorEastAsia"/>
            <w:noProof/>
            <w:lang w:val="nl-NL"/>
          </w:rPr>
          <w:t>1.3</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Tussenconclusie</w:t>
        </w:r>
        <w:r w:rsidR="00260F11">
          <w:rPr>
            <w:noProof/>
            <w:webHidden/>
          </w:rPr>
          <w:tab/>
        </w:r>
        <w:r w:rsidR="00260F11">
          <w:rPr>
            <w:noProof/>
            <w:webHidden/>
          </w:rPr>
          <w:fldChar w:fldCharType="begin"/>
        </w:r>
        <w:r w:rsidR="00260F11">
          <w:rPr>
            <w:noProof/>
            <w:webHidden/>
          </w:rPr>
          <w:instrText xml:space="preserve"> PAGEREF _Toc135041072 \h </w:instrText>
        </w:r>
        <w:r w:rsidR="00260F11">
          <w:rPr>
            <w:noProof/>
            <w:webHidden/>
          </w:rPr>
        </w:r>
        <w:r w:rsidR="00260F11">
          <w:rPr>
            <w:noProof/>
            <w:webHidden/>
          </w:rPr>
          <w:fldChar w:fldCharType="separate"/>
        </w:r>
        <w:r w:rsidR="0006702C">
          <w:rPr>
            <w:noProof/>
            <w:webHidden/>
          </w:rPr>
          <w:t>72</w:t>
        </w:r>
        <w:r w:rsidR="00260F11">
          <w:rPr>
            <w:noProof/>
            <w:webHidden/>
          </w:rPr>
          <w:fldChar w:fldCharType="end"/>
        </w:r>
      </w:hyperlink>
    </w:p>
    <w:p w14:paraId="264D4F41" w14:textId="69435AA8"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73" w:history="1">
        <w:r w:rsidR="00260F11" w:rsidRPr="009170A8">
          <w:rPr>
            <w:rStyle w:val="Hyperlink"/>
            <w:rFonts w:eastAsiaTheme="majorEastAsia"/>
            <w:noProof/>
            <w:lang w:val="nl-NL"/>
          </w:rPr>
          <w:t>1.3.1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Criterium des onderscheids</w:t>
        </w:r>
        <w:r w:rsidR="00260F11">
          <w:rPr>
            <w:noProof/>
            <w:webHidden/>
          </w:rPr>
          <w:tab/>
        </w:r>
        <w:r w:rsidR="00260F11">
          <w:rPr>
            <w:noProof/>
            <w:webHidden/>
          </w:rPr>
          <w:fldChar w:fldCharType="begin"/>
        </w:r>
        <w:r w:rsidR="00260F11">
          <w:rPr>
            <w:noProof/>
            <w:webHidden/>
          </w:rPr>
          <w:instrText xml:space="preserve"> PAGEREF _Toc135041073 \h </w:instrText>
        </w:r>
        <w:r w:rsidR="00260F11">
          <w:rPr>
            <w:noProof/>
            <w:webHidden/>
          </w:rPr>
        </w:r>
        <w:r w:rsidR="00260F11">
          <w:rPr>
            <w:noProof/>
            <w:webHidden/>
          </w:rPr>
          <w:fldChar w:fldCharType="separate"/>
        </w:r>
        <w:r w:rsidR="0006702C">
          <w:rPr>
            <w:noProof/>
            <w:webHidden/>
          </w:rPr>
          <w:t>72</w:t>
        </w:r>
        <w:r w:rsidR="00260F11">
          <w:rPr>
            <w:noProof/>
            <w:webHidden/>
          </w:rPr>
          <w:fldChar w:fldCharType="end"/>
        </w:r>
      </w:hyperlink>
    </w:p>
    <w:p w14:paraId="7EE62A28" w14:textId="26D37F88"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74" w:history="1">
        <w:r w:rsidR="00260F11" w:rsidRPr="009170A8">
          <w:rPr>
            <w:rStyle w:val="Hyperlink"/>
            <w:rFonts w:eastAsiaTheme="majorEastAsia"/>
            <w:noProof/>
            <w:lang w:val="nl-NL"/>
          </w:rPr>
          <w:t>1.3.2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Temporele werking</w:t>
        </w:r>
        <w:r w:rsidR="00260F11">
          <w:rPr>
            <w:noProof/>
            <w:webHidden/>
          </w:rPr>
          <w:tab/>
        </w:r>
        <w:r w:rsidR="00260F11">
          <w:rPr>
            <w:noProof/>
            <w:webHidden/>
          </w:rPr>
          <w:fldChar w:fldCharType="begin"/>
        </w:r>
        <w:r w:rsidR="00260F11">
          <w:rPr>
            <w:noProof/>
            <w:webHidden/>
          </w:rPr>
          <w:instrText xml:space="preserve"> PAGEREF _Toc135041074 \h </w:instrText>
        </w:r>
        <w:r w:rsidR="00260F11">
          <w:rPr>
            <w:noProof/>
            <w:webHidden/>
          </w:rPr>
        </w:r>
        <w:r w:rsidR="00260F11">
          <w:rPr>
            <w:noProof/>
            <w:webHidden/>
          </w:rPr>
          <w:fldChar w:fldCharType="separate"/>
        </w:r>
        <w:r w:rsidR="0006702C">
          <w:rPr>
            <w:noProof/>
            <w:webHidden/>
          </w:rPr>
          <w:t>74</w:t>
        </w:r>
        <w:r w:rsidR="00260F11">
          <w:rPr>
            <w:noProof/>
            <w:webHidden/>
          </w:rPr>
          <w:fldChar w:fldCharType="end"/>
        </w:r>
      </w:hyperlink>
    </w:p>
    <w:p w14:paraId="5EEC2D8D" w14:textId="45CDD34B" w:rsidR="00260F11" w:rsidRDefault="00C513A6" w:rsidP="00260F11">
      <w:pPr>
        <w:pStyle w:val="TOC2"/>
        <w:tabs>
          <w:tab w:val="left" w:pos="540"/>
          <w:tab w:val="right" w:leader="dot" w:pos="9062"/>
        </w:tabs>
        <w:spacing w:line="360" w:lineRule="auto"/>
        <w:rPr>
          <w:rFonts w:asciiTheme="minorHAnsi" w:eastAsiaTheme="minorEastAsia" w:hAnsiTheme="minorHAnsi" w:cstheme="minorBidi"/>
          <w:noProof/>
          <w:sz w:val="24"/>
          <w:szCs w:val="24"/>
        </w:rPr>
      </w:pPr>
      <w:hyperlink w:anchor="_Toc135041075" w:history="1">
        <w:r w:rsidR="00260F11" w:rsidRPr="009170A8">
          <w:rPr>
            <w:rStyle w:val="Hyperlink"/>
            <w:rFonts w:eastAsiaTheme="majorEastAsia"/>
            <w:noProof/>
            <w:lang w:val="nl-NL"/>
          </w:rPr>
          <w:t>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Brits recht</w:t>
        </w:r>
        <w:r w:rsidR="00260F11">
          <w:rPr>
            <w:noProof/>
            <w:webHidden/>
          </w:rPr>
          <w:tab/>
        </w:r>
        <w:r w:rsidR="00260F11">
          <w:rPr>
            <w:noProof/>
            <w:webHidden/>
          </w:rPr>
          <w:fldChar w:fldCharType="begin"/>
        </w:r>
        <w:r w:rsidR="00260F11">
          <w:rPr>
            <w:noProof/>
            <w:webHidden/>
          </w:rPr>
          <w:instrText xml:space="preserve"> PAGEREF _Toc135041075 \h </w:instrText>
        </w:r>
        <w:r w:rsidR="00260F11">
          <w:rPr>
            <w:noProof/>
            <w:webHidden/>
          </w:rPr>
        </w:r>
        <w:r w:rsidR="00260F11">
          <w:rPr>
            <w:noProof/>
            <w:webHidden/>
          </w:rPr>
          <w:fldChar w:fldCharType="separate"/>
        </w:r>
        <w:r w:rsidR="0006702C">
          <w:rPr>
            <w:noProof/>
            <w:webHidden/>
          </w:rPr>
          <w:t>75</w:t>
        </w:r>
        <w:r w:rsidR="00260F11">
          <w:rPr>
            <w:noProof/>
            <w:webHidden/>
          </w:rPr>
          <w:fldChar w:fldCharType="end"/>
        </w:r>
      </w:hyperlink>
    </w:p>
    <w:p w14:paraId="259C5F27" w14:textId="360F4A00"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076" w:history="1">
        <w:r w:rsidR="00260F11" w:rsidRPr="009170A8">
          <w:rPr>
            <w:rStyle w:val="Hyperlink"/>
            <w:rFonts w:eastAsiaTheme="majorEastAsia"/>
            <w:noProof/>
            <w:lang w:val="nl-NL"/>
          </w:rPr>
          <w:t>2.1</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Aantasting van de seksuele integriteit naar Brits recht</w:t>
        </w:r>
        <w:r w:rsidR="00260F11">
          <w:rPr>
            <w:noProof/>
            <w:webHidden/>
          </w:rPr>
          <w:tab/>
        </w:r>
        <w:r w:rsidR="00260F11">
          <w:rPr>
            <w:noProof/>
            <w:webHidden/>
          </w:rPr>
          <w:fldChar w:fldCharType="begin"/>
        </w:r>
        <w:r w:rsidR="00260F11">
          <w:rPr>
            <w:noProof/>
            <w:webHidden/>
          </w:rPr>
          <w:instrText xml:space="preserve"> PAGEREF _Toc135041076 \h </w:instrText>
        </w:r>
        <w:r w:rsidR="00260F11">
          <w:rPr>
            <w:noProof/>
            <w:webHidden/>
          </w:rPr>
        </w:r>
        <w:r w:rsidR="00260F11">
          <w:rPr>
            <w:noProof/>
            <w:webHidden/>
          </w:rPr>
          <w:fldChar w:fldCharType="separate"/>
        </w:r>
        <w:r w:rsidR="0006702C">
          <w:rPr>
            <w:noProof/>
            <w:webHidden/>
          </w:rPr>
          <w:t>76</w:t>
        </w:r>
        <w:r w:rsidR="00260F11">
          <w:rPr>
            <w:noProof/>
            <w:webHidden/>
          </w:rPr>
          <w:fldChar w:fldCharType="end"/>
        </w:r>
      </w:hyperlink>
    </w:p>
    <w:p w14:paraId="7AFB2857" w14:textId="4A23C818"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77" w:history="1">
        <w:r w:rsidR="00260F11" w:rsidRPr="009170A8">
          <w:rPr>
            <w:rStyle w:val="Hyperlink"/>
            <w:rFonts w:eastAsiaTheme="majorEastAsia"/>
            <w:noProof/>
            <w:lang w:val="nl-NL"/>
          </w:rPr>
          <w:t>2.1.1</w:t>
        </w:r>
        <w:r w:rsidR="00260F11">
          <w:rPr>
            <w:rFonts w:asciiTheme="minorHAnsi" w:eastAsiaTheme="minorEastAsia" w:hAnsiTheme="minorHAnsi" w:cstheme="minorBidi"/>
            <w:noProof/>
            <w:sz w:val="24"/>
            <w:szCs w:val="24"/>
          </w:rPr>
          <w:tab/>
        </w:r>
        <w:r w:rsidR="00260F11" w:rsidRPr="009170A8">
          <w:rPr>
            <w:rStyle w:val="Hyperlink"/>
            <w:rFonts w:eastAsiaTheme="majorEastAsia"/>
            <w:i/>
            <w:noProof/>
            <w:lang w:val="nl-NL"/>
          </w:rPr>
          <w:t>Sexual assault</w:t>
        </w:r>
        <w:r w:rsidR="00260F11">
          <w:rPr>
            <w:noProof/>
            <w:webHidden/>
          </w:rPr>
          <w:tab/>
        </w:r>
        <w:r w:rsidR="00260F11">
          <w:rPr>
            <w:noProof/>
            <w:webHidden/>
          </w:rPr>
          <w:fldChar w:fldCharType="begin"/>
        </w:r>
        <w:r w:rsidR="00260F11">
          <w:rPr>
            <w:noProof/>
            <w:webHidden/>
          </w:rPr>
          <w:instrText xml:space="preserve"> PAGEREF _Toc135041077 \h </w:instrText>
        </w:r>
        <w:r w:rsidR="00260F11">
          <w:rPr>
            <w:noProof/>
            <w:webHidden/>
          </w:rPr>
        </w:r>
        <w:r w:rsidR="00260F11">
          <w:rPr>
            <w:noProof/>
            <w:webHidden/>
          </w:rPr>
          <w:fldChar w:fldCharType="separate"/>
        </w:r>
        <w:r w:rsidR="0006702C">
          <w:rPr>
            <w:noProof/>
            <w:webHidden/>
          </w:rPr>
          <w:t>76</w:t>
        </w:r>
        <w:r w:rsidR="00260F11">
          <w:rPr>
            <w:noProof/>
            <w:webHidden/>
          </w:rPr>
          <w:fldChar w:fldCharType="end"/>
        </w:r>
      </w:hyperlink>
    </w:p>
    <w:p w14:paraId="10479542" w14:textId="3A8848F5"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78" w:history="1">
        <w:r w:rsidR="00260F11" w:rsidRPr="009170A8">
          <w:rPr>
            <w:rStyle w:val="Hyperlink"/>
            <w:rFonts w:eastAsiaTheme="majorEastAsia"/>
            <w:noProof/>
            <w:lang w:val="nl-NL"/>
          </w:rPr>
          <w:t>2.1.1.1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Materiële bestanddelen</w:t>
        </w:r>
        <w:r w:rsidR="00260F11">
          <w:rPr>
            <w:noProof/>
            <w:webHidden/>
          </w:rPr>
          <w:tab/>
        </w:r>
        <w:r w:rsidR="00260F11">
          <w:rPr>
            <w:noProof/>
            <w:webHidden/>
          </w:rPr>
          <w:fldChar w:fldCharType="begin"/>
        </w:r>
        <w:r w:rsidR="00260F11">
          <w:rPr>
            <w:noProof/>
            <w:webHidden/>
          </w:rPr>
          <w:instrText xml:space="preserve"> PAGEREF _Toc135041078 \h </w:instrText>
        </w:r>
        <w:r w:rsidR="00260F11">
          <w:rPr>
            <w:noProof/>
            <w:webHidden/>
          </w:rPr>
        </w:r>
        <w:r w:rsidR="00260F11">
          <w:rPr>
            <w:noProof/>
            <w:webHidden/>
          </w:rPr>
          <w:fldChar w:fldCharType="separate"/>
        </w:r>
        <w:r w:rsidR="0006702C">
          <w:rPr>
            <w:noProof/>
            <w:webHidden/>
          </w:rPr>
          <w:t>76</w:t>
        </w:r>
        <w:r w:rsidR="00260F11">
          <w:rPr>
            <w:noProof/>
            <w:webHidden/>
          </w:rPr>
          <w:fldChar w:fldCharType="end"/>
        </w:r>
      </w:hyperlink>
    </w:p>
    <w:p w14:paraId="2535BE00" w14:textId="208375FB"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79" w:history="1">
        <w:r w:rsidR="00260F11" w:rsidRPr="009170A8">
          <w:rPr>
            <w:rStyle w:val="Hyperlink"/>
            <w:rFonts w:eastAsiaTheme="majorEastAsia"/>
            <w:noProof/>
            <w:lang w:val="nl-NL"/>
          </w:rPr>
          <w:t>2.1.1.2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_Toc135041079 \h </w:instrText>
        </w:r>
        <w:r w:rsidR="00260F11">
          <w:rPr>
            <w:noProof/>
            <w:webHidden/>
          </w:rPr>
        </w:r>
        <w:r w:rsidR="00260F11">
          <w:rPr>
            <w:noProof/>
            <w:webHidden/>
          </w:rPr>
          <w:fldChar w:fldCharType="separate"/>
        </w:r>
        <w:r w:rsidR="0006702C">
          <w:rPr>
            <w:noProof/>
            <w:webHidden/>
          </w:rPr>
          <w:t>81</w:t>
        </w:r>
        <w:r w:rsidR="00260F11">
          <w:rPr>
            <w:noProof/>
            <w:webHidden/>
          </w:rPr>
          <w:fldChar w:fldCharType="end"/>
        </w:r>
      </w:hyperlink>
    </w:p>
    <w:p w14:paraId="19C6C23F" w14:textId="56AB121F"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80" w:history="1">
        <w:r w:rsidR="00260F11" w:rsidRPr="009170A8">
          <w:rPr>
            <w:rStyle w:val="Hyperlink"/>
            <w:rFonts w:eastAsiaTheme="majorEastAsia"/>
            <w:noProof/>
            <w:lang w:val="nl-NL"/>
          </w:rPr>
          <w:t>2.1.2</w:t>
        </w:r>
        <w:r w:rsidR="00260F11">
          <w:rPr>
            <w:rFonts w:asciiTheme="minorHAnsi" w:eastAsiaTheme="minorEastAsia" w:hAnsiTheme="minorHAnsi" w:cstheme="minorBidi"/>
            <w:noProof/>
            <w:sz w:val="24"/>
            <w:szCs w:val="24"/>
          </w:rPr>
          <w:tab/>
        </w:r>
        <w:r w:rsidR="00260F11" w:rsidRPr="009170A8">
          <w:rPr>
            <w:rStyle w:val="Hyperlink"/>
            <w:rFonts w:eastAsiaTheme="majorEastAsia"/>
            <w:i/>
            <w:noProof/>
            <w:lang w:val="nl-NL"/>
          </w:rPr>
          <w:t>Causing a person to engage in sexual activity without consent (CESA)</w:t>
        </w:r>
        <w:r w:rsidR="00260F11">
          <w:rPr>
            <w:noProof/>
            <w:webHidden/>
          </w:rPr>
          <w:tab/>
        </w:r>
        <w:r w:rsidR="00260F11">
          <w:rPr>
            <w:noProof/>
            <w:webHidden/>
          </w:rPr>
          <w:fldChar w:fldCharType="begin"/>
        </w:r>
        <w:r w:rsidR="00260F11">
          <w:rPr>
            <w:noProof/>
            <w:webHidden/>
          </w:rPr>
          <w:instrText xml:space="preserve"> PAGEREF _Toc135041080 \h </w:instrText>
        </w:r>
        <w:r w:rsidR="00260F11">
          <w:rPr>
            <w:noProof/>
            <w:webHidden/>
          </w:rPr>
        </w:r>
        <w:r w:rsidR="00260F11">
          <w:rPr>
            <w:noProof/>
            <w:webHidden/>
          </w:rPr>
          <w:fldChar w:fldCharType="separate"/>
        </w:r>
        <w:r w:rsidR="0006702C">
          <w:rPr>
            <w:noProof/>
            <w:webHidden/>
          </w:rPr>
          <w:t>82</w:t>
        </w:r>
        <w:r w:rsidR="00260F11">
          <w:rPr>
            <w:noProof/>
            <w:webHidden/>
          </w:rPr>
          <w:fldChar w:fldCharType="end"/>
        </w:r>
      </w:hyperlink>
    </w:p>
    <w:p w14:paraId="79169FDC" w14:textId="52819DDB"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81" w:history="1">
        <w:r w:rsidR="00260F11" w:rsidRPr="009170A8">
          <w:rPr>
            <w:rStyle w:val="Hyperlink"/>
            <w:rFonts w:eastAsiaTheme="majorEastAsia"/>
            <w:noProof/>
            <w:lang w:val="nl-NL"/>
          </w:rPr>
          <w:t>2.1.2.1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Materiële bestanddelen</w:t>
        </w:r>
        <w:r w:rsidR="00260F11">
          <w:rPr>
            <w:noProof/>
            <w:webHidden/>
          </w:rPr>
          <w:tab/>
        </w:r>
        <w:r w:rsidR="00260F11">
          <w:rPr>
            <w:noProof/>
            <w:webHidden/>
          </w:rPr>
          <w:fldChar w:fldCharType="begin"/>
        </w:r>
        <w:r w:rsidR="00260F11">
          <w:rPr>
            <w:noProof/>
            <w:webHidden/>
          </w:rPr>
          <w:instrText xml:space="preserve"> PAGEREF _Toc135041081 \h </w:instrText>
        </w:r>
        <w:r w:rsidR="00260F11">
          <w:rPr>
            <w:noProof/>
            <w:webHidden/>
          </w:rPr>
        </w:r>
        <w:r w:rsidR="00260F11">
          <w:rPr>
            <w:noProof/>
            <w:webHidden/>
          </w:rPr>
          <w:fldChar w:fldCharType="separate"/>
        </w:r>
        <w:r w:rsidR="0006702C">
          <w:rPr>
            <w:noProof/>
            <w:webHidden/>
          </w:rPr>
          <w:t>83</w:t>
        </w:r>
        <w:r w:rsidR="00260F11">
          <w:rPr>
            <w:noProof/>
            <w:webHidden/>
          </w:rPr>
          <w:fldChar w:fldCharType="end"/>
        </w:r>
      </w:hyperlink>
    </w:p>
    <w:p w14:paraId="73FFA4DE" w14:textId="5CE8088E"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82" w:history="1">
        <w:r w:rsidR="00260F11" w:rsidRPr="009170A8">
          <w:rPr>
            <w:rStyle w:val="Hyperlink"/>
            <w:rFonts w:eastAsiaTheme="majorEastAsia"/>
            <w:noProof/>
            <w:lang w:val="nl-NL"/>
          </w:rPr>
          <w:t>2.1.2.2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_Toc135041082 \h </w:instrText>
        </w:r>
        <w:r w:rsidR="00260F11">
          <w:rPr>
            <w:noProof/>
            <w:webHidden/>
          </w:rPr>
        </w:r>
        <w:r w:rsidR="00260F11">
          <w:rPr>
            <w:noProof/>
            <w:webHidden/>
          </w:rPr>
          <w:fldChar w:fldCharType="separate"/>
        </w:r>
        <w:r w:rsidR="0006702C">
          <w:rPr>
            <w:noProof/>
            <w:webHidden/>
          </w:rPr>
          <w:t>83</w:t>
        </w:r>
        <w:r w:rsidR="00260F11">
          <w:rPr>
            <w:noProof/>
            <w:webHidden/>
          </w:rPr>
          <w:fldChar w:fldCharType="end"/>
        </w:r>
      </w:hyperlink>
    </w:p>
    <w:p w14:paraId="3164D2DC" w14:textId="405FA22F"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083" w:history="1">
        <w:r w:rsidR="00260F11" w:rsidRPr="009170A8">
          <w:rPr>
            <w:rStyle w:val="Hyperlink"/>
            <w:rFonts w:eastAsiaTheme="majorEastAsia"/>
            <w:noProof/>
            <w:lang w:val="nl-NL"/>
          </w:rPr>
          <w:t>2.2</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Verkrachting naar Brits recht</w:t>
        </w:r>
        <w:r w:rsidR="00260F11">
          <w:rPr>
            <w:noProof/>
            <w:webHidden/>
          </w:rPr>
          <w:tab/>
        </w:r>
        <w:r w:rsidR="00260F11">
          <w:rPr>
            <w:noProof/>
            <w:webHidden/>
          </w:rPr>
          <w:fldChar w:fldCharType="begin"/>
        </w:r>
        <w:r w:rsidR="00260F11">
          <w:rPr>
            <w:noProof/>
            <w:webHidden/>
          </w:rPr>
          <w:instrText xml:space="preserve"> PAGEREF _Toc135041083 \h </w:instrText>
        </w:r>
        <w:r w:rsidR="00260F11">
          <w:rPr>
            <w:noProof/>
            <w:webHidden/>
          </w:rPr>
        </w:r>
        <w:r w:rsidR="00260F11">
          <w:rPr>
            <w:noProof/>
            <w:webHidden/>
          </w:rPr>
          <w:fldChar w:fldCharType="separate"/>
        </w:r>
        <w:r w:rsidR="0006702C">
          <w:rPr>
            <w:noProof/>
            <w:webHidden/>
          </w:rPr>
          <w:t>84</w:t>
        </w:r>
        <w:r w:rsidR="00260F11">
          <w:rPr>
            <w:noProof/>
            <w:webHidden/>
          </w:rPr>
          <w:fldChar w:fldCharType="end"/>
        </w:r>
      </w:hyperlink>
    </w:p>
    <w:p w14:paraId="03F9FF4B" w14:textId="66B3028B"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84" w:history="1">
        <w:r w:rsidR="00260F11" w:rsidRPr="009170A8">
          <w:rPr>
            <w:rStyle w:val="Hyperlink"/>
            <w:rFonts w:eastAsiaTheme="majorEastAsia"/>
            <w:noProof/>
            <w:lang w:val="nl-NL"/>
          </w:rPr>
          <w:t>2.2.1</w:t>
        </w:r>
        <w:r w:rsidR="00260F11">
          <w:rPr>
            <w:rFonts w:asciiTheme="minorHAnsi" w:eastAsiaTheme="minorEastAsia" w:hAnsiTheme="minorHAnsi" w:cstheme="minorBidi"/>
            <w:noProof/>
            <w:sz w:val="24"/>
            <w:szCs w:val="24"/>
          </w:rPr>
          <w:tab/>
        </w:r>
        <w:r w:rsidR="00260F11" w:rsidRPr="009170A8">
          <w:rPr>
            <w:rStyle w:val="Hyperlink"/>
            <w:rFonts w:eastAsiaTheme="majorEastAsia"/>
            <w:i/>
            <w:noProof/>
            <w:lang w:val="nl-NL"/>
          </w:rPr>
          <w:t>Rape</w:t>
        </w:r>
        <w:r w:rsidR="00260F11">
          <w:rPr>
            <w:noProof/>
            <w:webHidden/>
          </w:rPr>
          <w:tab/>
        </w:r>
        <w:r w:rsidR="00260F11">
          <w:rPr>
            <w:noProof/>
            <w:webHidden/>
          </w:rPr>
          <w:fldChar w:fldCharType="begin"/>
        </w:r>
        <w:r w:rsidR="00260F11">
          <w:rPr>
            <w:noProof/>
            <w:webHidden/>
          </w:rPr>
          <w:instrText xml:space="preserve"> PAGEREF _Toc135041084 \h </w:instrText>
        </w:r>
        <w:r w:rsidR="00260F11">
          <w:rPr>
            <w:noProof/>
            <w:webHidden/>
          </w:rPr>
        </w:r>
        <w:r w:rsidR="00260F11">
          <w:rPr>
            <w:noProof/>
            <w:webHidden/>
          </w:rPr>
          <w:fldChar w:fldCharType="separate"/>
        </w:r>
        <w:r w:rsidR="0006702C">
          <w:rPr>
            <w:noProof/>
            <w:webHidden/>
          </w:rPr>
          <w:t>84</w:t>
        </w:r>
        <w:r w:rsidR="00260F11">
          <w:rPr>
            <w:noProof/>
            <w:webHidden/>
          </w:rPr>
          <w:fldChar w:fldCharType="end"/>
        </w:r>
      </w:hyperlink>
    </w:p>
    <w:p w14:paraId="28C38AA8" w14:textId="41E81D9E"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85" w:history="1">
        <w:r w:rsidR="00260F11" w:rsidRPr="009170A8">
          <w:rPr>
            <w:rStyle w:val="Hyperlink"/>
            <w:rFonts w:eastAsiaTheme="majorEastAsia"/>
            <w:noProof/>
            <w:lang w:val="nl-NL"/>
          </w:rPr>
          <w:t>2.2.1.1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Materiële bestanddelen</w:t>
        </w:r>
        <w:r w:rsidR="00260F11">
          <w:rPr>
            <w:noProof/>
            <w:webHidden/>
          </w:rPr>
          <w:tab/>
        </w:r>
        <w:r w:rsidR="00260F11">
          <w:rPr>
            <w:noProof/>
            <w:webHidden/>
          </w:rPr>
          <w:fldChar w:fldCharType="begin"/>
        </w:r>
        <w:r w:rsidR="00260F11">
          <w:rPr>
            <w:noProof/>
            <w:webHidden/>
          </w:rPr>
          <w:instrText xml:space="preserve"> PAGEREF _Toc135041085 \h </w:instrText>
        </w:r>
        <w:r w:rsidR="00260F11">
          <w:rPr>
            <w:noProof/>
            <w:webHidden/>
          </w:rPr>
        </w:r>
        <w:r w:rsidR="00260F11">
          <w:rPr>
            <w:noProof/>
            <w:webHidden/>
          </w:rPr>
          <w:fldChar w:fldCharType="separate"/>
        </w:r>
        <w:r w:rsidR="0006702C">
          <w:rPr>
            <w:noProof/>
            <w:webHidden/>
          </w:rPr>
          <w:t>84</w:t>
        </w:r>
        <w:r w:rsidR="00260F11">
          <w:rPr>
            <w:noProof/>
            <w:webHidden/>
          </w:rPr>
          <w:fldChar w:fldCharType="end"/>
        </w:r>
      </w:hyperlink>
    </w:p>
    <w:p w14:paraId="70AB2186" w14:textId="2301465A"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86" w:history="1">
        <w:r w:rsidR="00260F11" w:rsidRPr="009170A8">
          <w:rPr>
            <w:rStyle w:val="Hyperlink"/>
            <w:rFonts w:eastAsiaTheme="majorEastAsia"/>
            <w:noProof/>
            <w:lang w:val="nl-NL"/>
          </w:rPr>
          <w:t>2.2.1.2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_Toc135041086 \h </w:instrText>
        </w:r>
        <w:r w:rsidR="00260F11">
          <w:rPr>
            <w:noProof/>
            <w:webHidden/>
          </w:rPr>
        </w:r>
        <w:r w:rsidR="00260F11">
          <w:rPr>
            <w:noProof/>
            <w:webHidden/>
          </w:rPr>
          <w:fldChar w:fldCharType="separate"/>
        </w:r>
        <w:r w:rsidR="0006702C">
          <w:rPr>
            <w:noProof/>
            <w:webHidden/>
          </w:rPr>
          <w:t>85</w:t>
        </w:r>
        <w:r w:rsidR="00260F11">
          <w:rPr>
            <w:noProof/>
            <w:webHidden/>
          </w:rPr>
          <w:fldChar w:fldCharType="end"/>
        </w:r>
      </w:hyperlink>
    </w:p>
    <w:p w14:paraId="7032115B" w14:textId="7FCBFF7A"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87" w:history="1">
        <w:r w:rsidR="00260F11" w:rsidRPr="009170A8">
          <w:rPr>
            <w:rStyle w:val="Hyperlink"/>
            <w:rFonts w:eastAsiaTheme="majorEastAsia"/>
            <w:noProof/>
            <w:lang w:val="nl-NL"/>
          </w:rPr>
          <w:t>2.2.2</w:t>
        </w:r>
        <w:r w:rsidR="00260F11">
          <w:rPr>
            <w:rFonts w:asciiTheme="minorHAnsi" w:eastAsiaTheme="minorEastAsia" w:hAnsiTheme="minorHAnsi" w:cstheme="minorBidi"/>
            <w:noProof/>
            <w:sz w:val="24"/>
            <w:szCs w:val="24"/>
          </w:rPr>
          <w:tab/>
        </w:r>
        <w:r w:rsidR="00260F11" w:rsidRPr="009170A8">
          <w:rPr>
            <w:rStyle w:val="Hyperlink"/>
            <w:rFonts w:eastAsiaTheme="majorEastAsia"/>
            <w:i/>
            <w:noProof/>
            <w:lang w:val="nl-NL"/>
          </w:rPr>
          <w:t>Assault by penetration</w:t>
        </w:r>
        <w:r w:rsidR="00260F11">
          <w:rPr>
            <w:noProof/>
            <w:webHidden/>
          </w:rPr>
          <w:tab/>
        </w:r>
        <w:r w:rsidR="00260F11">
          <w:rPr>
            <w:noProof/>
            <w:webHidden/>
          </w:rPr>
          <w:fldChar w:fldCharType="begin"/>
        </w:r>
        <w:r w:rsidR="00260F11">
          <w:rPr>
            <w:noProof/>
            <w:webHidden/>
          </w:rPr>
          <w:instrText xml:space="preserve"> PAGEREF _Toc135041087 \h </w:instrText>
        </w:r>
        <w:r w:rsidR="00260F11">
          <w:rPr>
            <w:noProof/>
            <w:webHidden/>
          </w:rPr>
        </w:r>
        <w:r w:rsidR="00260F11">
          <w:rPr>
            <w:noProof/>
            <w:webHidden/>
          </w:rPr>
          <w:fldChar w:fldCharType="separate"/>
        </w:r>
        <w:r w:rsidR="0006702C">
          <w:rPr>
            <w:noProof/>
            <w:webHidden/>
          </w:rPr>
          <w:t>85</w:t>
        </w:r>
        <w:r w:rsidR="00260F11">
          <w:rPr>
            <w:noProof/>
            <w:webHidden/>
          </w:rPr>
          <w:fldChar w:fldCharType="end"/>
        </w:r>
      </w:hyperlink>
    </w:p>
    <w:p w14:paraId="4BD0BDAE" w14:textId="4FCE531C"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88" w:history="1">
        <w:r w:rsidR="00260F11" w:rsidRPr="009170A8">
          <w:rPr>
            <w:rStyle w:val="Hyperlink"/>
            <w:rFonts w:eastAsiaTheme="majorEastAsia"/>
            <w:noProof/>
            <w:lang w:val="nl-NL"/>
          </w:rPr>
          <w:t>2.2.2.1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Materiële bestanddelen</w:t>
        </w:r>
        <w:r w:rsidR="00260F11">
          <w:rPr>
            <w:noProof/>
            <w:webHidden/>
          </w:rPr>
          <w:tab/>
        </w:r>
        <w:r w:rsidR="00260F11">
          <w:rPr>
            <w:noProof/>
            <w:webHidden/>
          </w:rPr>
          <w:fldChar w:fldCharType="begin"/>
        </w:r>
        <w:r w:rsidR="00260F11">
          <w:rPr>
            <w:noProof/>
            <w:webHidden/>
          </w:rPr>
          <w:instrText xml:space="preserve"> PAGEREF _Toc135041088 \h </w:instrText>
        </w:r>
        <w:r w:rsidR="00260F11">
          <w:rPr>
            <w:noProof/>
            <w:webHidden/>
          </w:rPr>
        </w:r>
        <w:r w:rsidR="00260F11">
          <w:rPr>
            <w:noProof/>
            <w:webHidden/>
          </w:rPr>
          <w:fldChar w:fldCharType="separate"/>
        </w:r>
        <w:r w:rsidR="0006702C">
          <w:rPr>
            <w:noProof/>
            <w:webHidden/>
          </w:rPr>
          <w:t>85</w:t>
        </w:r>
        <w:r w:rsidR="00260F11">
          <w:rPr>
            <w:noProof/>
            <w:webHidden/>
          </w:rPr>
          <w:fldChar w:fldCharType="end"/>
        </w:r>
      </w:hyperlink>
    </w:p>
    <w:p w14:paraId="22098C29" w14:textId="6063F63C"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89" w:history="1">
        <w:r w:rsidR="00260F11" w:rsidRPr="009170A8">
          <w:rPr>
            <w:rStyle w:val="Hyperlink"/>
            <w:rFonts w:eastAsiaTheme="majorEastAsia"/>
            <w:noProof/>
            <w:lang w:val="nl-NL"/>
          </w:rPr>
          <w:t>2.2.2.2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_Toc135041089 \h </w:instrText>
        </w:r>
        <w:r w:rsidR="00260F11">
          <w:rPr>
            <w:noProof/>
            <w:webHidden/>
          </w:rPr>
        </w:r>
        <w:r w:rsidR="00260F11">
          <w:rPr>
            <w:noProof/>
            <w:webHidden/>
          </w:rPr>
          <w:fldChar w:fldCharType="separate"/>
        </w:r>
        <w:r w:rsidR="0006702C">
          <w:rPr>
            <w:noProof/>
            <w:webHidden/>
          </w:rPr>
          <w:t>86</w:t>
        </w:r>
        <w:r w:rsidR="00260F11">
          <w:rPr>
            <w:noProof/>
            <w:webHidden/>
          </w:rPr>
          <w:fldChar w:fldCharType="end"/>
        </w:r>
      </w:hyperlink>
    </w:p>
    <w:p w14:paraId="6352D377" w14:textId="390F323C"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90" w:history="1">
        <w:r w:rsidR="00260F11" w:rsidRPr="009170A8">
          <w:rPr>
            <w:rStyle w:val="Hyperlink"/>
            <w:rFonts w:eastAsiaTheme="majorEastAsia"/>
            <w:i/>
            <w:noProof/>
            <w:lang w:val="nl-NL"/>
          </w:rPr>
          <w:t>2.2.3</w:t>
        </w:r>
        <w:r w:rsidR="00260F11">
          <w:rPr>
            <w:rFonts w:asciiTheme="minorHAnsi" w:eastAsiaTheme="minorEastAsia" w:hAnsiTheme="minorHAnsi" w:cstheme="minorBidi"/>
            <w:noProof/>
            <w:sz w:val="24"/>
            <w:szCs w:val="24"/>
          </w:rPr>
          <w:tab/>
        </w:r>
        <w:r w:rsidR="00260F11" w:rsidRPr="009170A8">
          <w:rPr>
            <w:rStyle w:val="Hyperlink"/>
            <w:rFonts w:eastAsiaTheme="majorEastAsia"/>
            <w:i/>
            <w:noProof/>
            <w:lang w:val="nl-NL"/>
          </w:rPr>
          <w:t>Causing a person to engage in sexual activity without consent (CESA)</w:t>
        </w:r>
        <w:r w:rsidR="00260F11">
          <w:rPr>
            <w:noProof/>
            <w:webHidden/>
          </w:rPr>
          <w:tab/>
        </w:r>
        <w:r w:rsidR="00260F11">
          <w:rPr>
            <w:noProof/>
            <w:webHidden/>
          </w:rPr>
          <w:fldChar w:fldCharType="begin"/>
        </w:r>
        <w:r w:rsidR="00260F11">
          <w:rPr>
            <w:noProof/>
            <w:webHidden/>
          </w:rPr>
          <w:instrText xml:space="preserve"> PAGEREF _Toc135041090 \h </w:instrText>
        </w:r>
        <w:r w:rsidR="00260F11">
          <w:rPr>
            <w:noProof/>
            <w:webHidden/>
          </w:rPr>
        </w:r>
        <w:r w:rsidR="00260F11">
          <w:rPr>
            <w:noProof/>
            <w:webHidden/>
          </w:rPr>
          <w:fldChar w:fldCharType="separate"/>
        </w:r>
        <w:r w:rsidR="0006702C">
          <w:rPr>
            <w:noProof/>
            <w:webHidden/>
          </w:rPr>
          <w:t>86</w:t>
        </w:r>
        <w:r w:rsidR="00260F11">
          <w:rPr>
            <w:noProof/>
            <w:webHidden/>
          </w:rPr>
          <w:fldChar w:fldCharType="end"/>
        </w:r>
      </w:hyperlink>
    </w:p>
    <w:p w14:paraId="7B875C83" w14:textId="033E173C"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091" w:history="1">
        <w:r w:rsidR="00260F11" w:rsidRPr="009170A8">
          <w:rPr>
            <w:rStyle w:val="Hyperlink"/>
            <w:rFonts w:eastAsiaTheme="majorEastAsia"/>
            <w:noProof/>
            <w:lang w:val="nl-NL"/>
          </w:rPr>
          <w:t>2.3</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Vergelijking met huidig Belgisch rechtsstelsel</w:t>
        </w:r>
        <w:r w:rsidR="00260F11">
          <w:rPr>
            <w:noProof/>
            <w:webHidden/>
          </w:rPr>
          <w:tab/>
        </w:r>
        <w:r w:rsidR="00260F11">
          <w:rPr>
            <w:noProof/>
            <w:webHidden/>
          </w:rPr>
          <w:fldChar w:fldCharType="begin"/>
        </w:r>
        <w:r w:rsidR="00260F11">
          <w:rPr>
            <w:noProof/>
            <w:webHidden/>
          </w:rPr>
          <w:instrText xml:space="preserve"> PAGEREF _Toc135041091 \h </w:instrText>
        </w:r>
        <w:r w:rsidR="00260F11">
          <w:rPr>
            <w:noProof/>
            <w:webHidden/>
          </w:rPr>
        </w:r>
        <w:r w:rsidR="00260F11">
          <w:rPr>
            <w:noProof/>
            <w:webHidden/>
          </w:rPr>
          <w:fldChar w:fldCharType="separate"/>
        </w:r>
        <w:r w:rsidR="0006702C">
          <w:rPr>
            <w:noProof/>
            <w:webHidden/>
          </w:rPr>
          <w:t>88</w:t>
        </w:r>
        <w:r w:rsidR="00260F11">
          <w:rPr>
            <w:noProof/>
            <w:webHidden/>
          </w:rPr>
          <w:fldChar w:fldCharType="end"/>
        </w:r>
      </w:hyperlink>
    </w:p>
    <w:p w14:paraId="12F4F718" w14:textId="36ABE316"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92" w:history="1">
        <w:r w:rsidR="00260F11" w:rsidRPr="009170A8">
          <w:rPr>
            <w:rStyle w:val="Hyperlink"/>
            <w:rFonts w:eastAsiaTheme="majorEastAsia"/>
            <w:noProof/>
            <w:lang w:val="nl-NL"/>
          </w:rPr>
          <w:t>2.3.1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Aantasting van de seksuele integriteit</w:t>
        </w:r>
        <w:r w:rsidR="00260F11">
          <w:rPr>
            <w:noProof/>
            <w:webHidden/>
          </w:rPr>
          <w:tab/>
        </w:r>
        <w:r w:rsidR="00260F11">
          <w:rPr>
            <w:noProof/>
            <w:webHidden/>
          </w:rPr>
          <w:fldChar w:fldCharType="begin"/>
        </w:r>
        <w:r w:rsidR="00260F11">
          <w:rPr>
            <w:noProof/>
            <w:webHidden/>
          </w:rPr>
          <w:instrText xml:space="preserve"> PAGEREF _Toc135041092 \h </w:instrText>
        </w:r>
        <w:r w:rsidR="00260F11">
          <w:rPr>
            <w:noProof/>
            <w:webHidden/>
          </w:rPr>
        </w:r>
        <w:r w:rsidR="00260F11">
          <w:rPr>
            <w:noProof/>
            <w:webHidden/>
          </w:rPr>
          <w:fldChar w:fldCharType="separate"/>
        </w:r>
        <w:r w:rsidR="0006702C">
          <w:rPr>
            <w:noProof/>
            <w:webHidden/>
          </w:rPr>
          <w:t>88</w:t>
        </w:r>
        <w:r w:rsidR="00260F11">
          <w:rPr>
            <w:noProof/>
            <w:webHidden/>
          </w:rPr>
          <w:fldChar w:fldCharType="end"/>
        </w:r>
      </w:hyperlink>
    </w:p>
    <w:p w14:paraId="5AB7FD9A" w14:textId="05A9D68B"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93" w:history="1">
        <w:r w:rsidR="00260F11" w:rsidRPr="009170A8">
          <w:rPr>
            <w:rStyle w:val="Hyperlink"/>
            <w:rFonts w:eastAsiaTheme="majorEastAsia"/>
            <w:noProof/>
            <w:lang w:val="nl-NL"/>
          </w:rPr>
          <w:t>2.3.2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Verkrachting</w:t>
        </w:r>
        <w:r w:rsidR="00260F11">
          <w:rPr>
            <w:noProof/>
            <w:webHidden/>
          </w:rPr>
          <w:tab/>
        </w:r>
        <w:r w:rsidR="00260F11">
          <w:rPr>
            <w:noProof/>
            <w:webHidden/>
          </w:rPr>
          <w:fldChar w:fldCharType="begin"/>
        </w:r>
        <w:r w:rsidR="00260F11">
          <w:rPr>
            <w:noProof/>
            <w:webHidden/>
          </w:rPr>
          <w:instrText xml:space="preserve"> PAGEREF _Toc135041093 \h </w:instrText>
        </w:r>
        <w:r w:rsidR="00260F11">
          <w:rPr>
            <w:noProof/>
            <w:webHidden/>
          </w:rPr>
        </w:r>
        <w:r w:rsidR="00260F11">
          <w:rPr>
            <w:noProof/>
            <w:webHidden/>
          </w:rPr>
          <w:fldChar w:fldCharType="separate"/>
        </w:r>
        <w:r w:rsidR="0006702C">
          <w:rPr>
            <w:noProof/>
            <w:webHidden/>
          </w:rPr>
          <w:t>90</w:t>
        </w:r>
        <w:r w:rsidR="00260F11">
          <w:rPr>
            <w:noProof/>
            <w:webHidden/>
          </w:rPr>
          <w:fldChar w:fldCharType="end"/>
        </w:r>
      </w:hyperlink>
    </w:p>
    <w:p w14:paraId="5F88EB63" w14:textId="6F42B8D1" w:rsidR="00260F11" w:rsidRDefault="00C513A6" w:rsidP="00260F11">
      <w:pPr>
        <w:pStyle w:val="TOC2"/>
        <w:tabs>
          <w:tab w:val="left" w:pos="540"/>
          <w:tab w:val="right" w:leader="dot" w:pos="9062"/>
        </w:tabs>
        <w:spacing w:line="360" w:lineRule="auto"/>
        <w:rPr>
          <w:rFonts w:asciiTheme="minorHAnsi" w:eastAsiaTheme="minorEastAsia" w:hAnsiTheme="minorHAnsi" w:cstheme="minorBidi"/>
          <w:noProof/>
          <w:sz w:val="24"/>
          <w:szCs w:val="24"/>
        </w:rPr>
      </w:pPr>
      <w:hyperlink w:anchor="_Toc135041094" w:history="1">
        <w:r w:rsidR="00260F11" w:rsidRPr="009170A8">
          <w:rPr>
            <w:rStyle w:val="Hyperlink"/>
            <w:rFonts w:eastAsiaTheme="majorEastAsia"/>
            <w:noProof/>
            <w:lang w:val="nl-NL"/>
          </w:rPr>
          <w:t>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Evaluatie van de hervormde strafbaarstellingen en aanbevelingen</w:t>
        </w:r>
        <w:r w:rsidR="00260F11">
          <w:rPr>
            <w:noProof/>
            <w:webHidden/>
          </w:rPr>
          <w:tab/>
        </w:r>
        <w:r w:rsidR="00260F11">
          <w:rPr>
            <w:noProof/>
            <w:webHidden/>
          </w:rPr>
          <w:fldChar w:fldCharType="begin"/>
        </w:r>
        <w:r w:rsidR="00260F11">
          <w:rPr>
            <w:noProof/>
            <w:webHidden/>
          </w:rPr>
          <w:instrText xml:space="preserve"> PAGEREF _Toc135041094 \h </w:instrText>
        </w:r>
        <w:r w:rsidR="00260F11">
          <w:rPr>
            <w:noProof/>
            <w:webHidden/>
          </w:rPr>
        </w:r>
        <w:r w:rsidR="00260F11">
          <w:rPr>
            <w:noProof/>
            <w:webHidden/>
          </w:rPr>
          <w:fldChar w:fldCharType="separate"/>
        </w:r>
        <w:r w:rsidR="0006702C">
          <w:rPr>
            <w:noProof/>
            <w:webHidden/>
          </w:rPr>
          <w:t>93</w:t>
        </w:r>
        <w:r w:rsidR="00260F11">
          <w:rPr>
            <w:noProof/>
            <w:webHidden/>
          </w:rPr>
          <w:fldChar w:fldCharType="end"/>
        </w:r>
      </w:hyperlink>
    </w:p>
    <w:p w14:paraId="22BB2B21" w14:textId="71EE589D"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095" w:history="1">
        <w:r w:rsidR="00260F11" w:rsidRPr="009170A8">
          <w:rPr>
            <w:rStyle w:val="Hyperlink"/>
            <w:rFonts w:eastAsiaTheme="majorEastAsia"/>
            <w:noProof/>
            <w:lang w:val="nl-NL"/>
          </w:rPr>
          <w:t>3.1</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Gemeenschappelijk aan beide strafbaarstellingen</w:t>
        </w:r>
        <w:r w:rsidR="00260F11">
          <w:rPr>
            <w:noProof/>
            <w:webHidden/>
          </w:rPr>
          <w:tab/>
        </w:r>
        <w:r w:rsidR="00260F11">
          <w:rPr>
            <w:noProof/>
            <w:webHidden/>
          </w:rPr>
          <w:fldChar w:fldCharType="begin"/>
        </w:r>
        <w:r w:rsidR="00260F11">
          <w:rPr>
            <w:noProof/>
            <w:webHidden/>
          </w:rPr>
          <w:instrText xml:space="preserve"> PAGEREF _Toc135041095 \h </w:instrText>
        </w:r>
        <w:r w:rsidR="00260F11">
          <w:rPr>
            <w:noProof/>
            <w:webHidden/>
          </w:rPr>
        </w:r>
        <w:r w:rsidR="00260F11">
          <w:rPr>
            <w:noProof/>
            <w:webHidden/>
          </w:rPr>
          <w:fldChar w:fldCharType="separate"/>
        </w:r>
        <w:r w:rsidR="0006702C">
          <w:rPr>
            <w:noProof/>
            <w:webHidden/>
          </w:rPr>
          <w:t>94</w:t>
        </w:r>
        <w:r w:rsidR="00260F11">
          <w:rPr>
            <w:noProof/>
            <w:webHidden/>
          </w:rPr>
          <w:fldChar w:fldCharType="end"/>
        </w:r>
      </w:hyperlink>
    </w:p>
    <w:p w14:paraId="017255A0" w14:textId="75AB6279"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96" w:history="1">
        <w:r w:rsidR="00260F11" w:rsidRPr="009170A8">
          <w:rPr>
            <w:rStyle w:val="Hyperlink"/>
            <w:rFonts w:eastAsiaTheme="majorEastAsia"/>
            <w:noProof/>
            <w:lang w:val="nl-NL"/>
          </w:rPr>
          <w:t>3.1.1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Nieuwe plaats binnen het Strafwetboek</w:t>
        </w:r>
        <w:r w:rsidR="00260F11">
          <w:rPr>
            <w:noProof/>
            <w:webHidden/>
          </w:rPr>
          <w:tab/>
        </w:r>
        <w:r w:rsidR="00260F11">
          <w:rPr>
            <w:noProof/>
            <w:webHidden/>
          </w:rPr>
          <w:fldChar w:fldCharType="begin"/>
        </w:r>
        <w:r w:rsidR="00260F11">
          <w:rPr>
            <w:noProof/>
            <w:webHidden/>
          </w:rPr>
          <w:instrText xml:space="preserve"> PAGEREF _Toc135041096 \h </w:instrText>
        </w:r>
        <w:r w:rsidR="00260F11">
          <w:rPr>
            <w:noProof/>
            <w:webHidden/>
          </w:rPr>
        </w:r>
        <w:r w:rsidR="00260F11">
          <w:rPr>
            <w:noProof/>
            <w:webHidden/>
          </w:rPr>
          <w:fldChar w:fldCharType="separate"/>
        </w:r>
        <w:r w:rsidR="0006702C">
          <w:rPr>
            <w:noProof/>
            <w:webHidden/>
          </w:rPr>
          <w:t>94</w:t>
        </w:r>
        <w:r w:rsidR="00260F11">
          <w:rPr>
            <w:noProof/>
            <w:webHidden/>
          </w:rPr>
          <w:fldChar w:fldCharType="end"/>
        </w:r>
      </w:hyperlink>
    </w:p>
    <w:p w14:paraId="1A4B9D4A" w14:textId="1E079AAE"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097" w:history="1">
        <w:r w:rsidR="00260F11" w:rsidRPr="009170A8">
          <w:rPr>
            <w:rStyle w:val="Hyperlink"/>
            <w:rFonts w:eastAsiaTheme="majorEastAsia"/>
            <w:noProof/>
          </w:rPr>
          <w:t>3.1.2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rPr>
          <w:t>Toestemmingspremisse</w:t>
        </w:r>
        <w:r w:rsidR="00260F11">
          <w:rPr>
            <w:noProof/>
            <w:webHidden/>
          </w:rPr>
          <w:tab/>
        </w:r>
        <w:r w:rsidR="00260F11">
          <w:rPr>
            <w:noProof/>
            <w:webHidden/>
          </w:rPr>
          <w:fldChar w:fldCharType="begin"/>
        </w:r>
        <w:r w:rsidR="00260F11">
          <w:rPr>
            <w:noProof/>
            <w:webHidden/>
          </w:rPr>
          <w:instrText xml:space="preserve"> PAGEREF _Toc135041097 \h </w:instrText>
        </w:r>
        <w:r w:rsidR="00260F11">
          <w:rPr>
            <w:noProof/>
            <w:webHidden/>
          </w:rPr>
        </w:r>
        <w:r w:rsidR="00260F11">
          <w:rPr>
            <w:noProof/>
            <w:webHidden/>
          </w:rPr>
          <w:fldChar w:fldCharType="separate"/>
        </w:r>
        <w:r w:rsidR="0006702C">
          <w:rPr>
            <w:noProof/>
            <w:webHidden/>
          </w:rPr>
          <w:t>95</w:t>
        </w:r>
        <w:r w:rsidR="00260F11">
          <w:rPr>
            <w:noProof/>
            <w:webHidden/>
          </w:rPr>
          <w:fldChar w:fldCharType="end"/>
        </w:r>
      </w:hyperlink>
    </w:p>
    <w:p w14:paraId="61DDE245" w14:textId="52CC0CC5"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98" w:history="1">
        <w:r w:rsidR="00260F11" w:rsidRPr="009170A8">
          <w:rPr>
            <w:rStyle w:val="Hyperlink"/>
            <w:rFonts w:eastAsiaTheme="majorEastAsia"/>
            <w:noProof/>
            <w:lang w:val="nl-NL"/>
          </w:rPr>
          <w:t>3.1.2.1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Overkoepelende definitie</w:t>
        </w:r>
        <w:r w:rsidR="00260F11">
          <w:rPr>
            <w:noProof/>
            <w:webHidden/>
          </w:rPr>
          <w:tab/>
        </w:r>
        <w:r w:rsidR="00260F11">
          <w:rPr>
            <w:noProof/>
            <w:webHidden/>
          </w:rPr>
          <w:fldChar w:fldCharType="begin"/>
        </w:r>
        <w:r w:rsidR="00260F11">
          <w:rPr>
            <w:noProof/>
            <w:webHidden/>
          </w:rPr>
          <w:instrText xml:space="preserve"> PAGEREF _Toc135041098 \h </w:instrText>
        </w:r>
        <w:r w:rsidR="00260F11">
          <w:rPr>
            <w:noProof/>
            <w:webHidden/>
          </w:rPr>
        </w:r>
        <w:r w:rsidR="00260F11">
          <w:rPr>
            <w:noProof/>
            <w:webHidden/>
          </w:rPr>
          <w:fldChar w:fldCharType="separate"/>
        </w:r>
        <w:r w:rsidR="0006702C">
          <w:rPr>
            <w:noProof/>
            <w:webHidden/>
          </w:rPr>
          <w:t>95</w:t>
        </w:r>
        <w:r w:rsidR="00260F11">
          <w:rPr>
            <w:noProof/>
            <w:webHidden/>
          </w:rPr>
          <w:fldChar w:fldCharType="end"/>
        </w:r>
      </w:hyperlink>
    </w:p>
    <w:p w14:paraId="183E53DD" w14:textId="5EDD3441"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099" w:history="1">
        <w:r w:rsidR="00260F11" w:rsidRPr="009170A8">
          <w:rPr>
            <w:rStyle w:val="Hyperlink"/>
            <w:rFonts w:eastAsiaTheme="majorEastAsia"/>
            <w:noProof/>
            <w:lang w:val="nl-NL"/>
          </w:rPr>
          <w:t>3.1.2.2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Inhoud definitie</w:t>
        </w:r>
        <w:r w:rsidR="00260F11">
          <w:rPr>
            <w:noProof/>
            <w:webHidden/>
          </w:rPr>
          <w:tab/>
        </w:r>
        <w:r w:rsidR="00260F11">
          <w:rPr>
            <w:noProof/>
            <w:webHidden/>
          </w:rPr>
          <w:fldChar w:fldCharType="begin"/>
        </w:r>
        <w:r w:rsidR="00260F11">
          <w:rPr>
            <w:noProof/>
            <w:webHidden/>
          </w:rPr>
          <w:instrText xml:space="preserve"> PAGEREF _Toc135041099 \h </w:instrText>
        </w:r>
        <w:r w:rsidR="00260F11">
          <w:rPr>
            <w:noProof/>
            <w:webHidden/>
          </w:rPr>
        </w:r>
        <w:r w:rsidR="00260F11">
          <w:rPr>
            <w:noProof/>
            <w:webHidden/>
          </w:rPr>
          <w:fldChar w:fldCharType="separate"/>
        </w:r>
        <w:r w:rsidR="0006702C">
          <w:rPr>
            <w:noProof/>
            <w:webHidden/>
          </w:rPr>
          <w:t>95</w:t>
        </w:r>
        <w:r w:rsidR="00260F11">
          <w:rPr>
            <w:noProof/>
            <w:webHidden/>
          </w:rPr>
          <w:fldChar w:fldCharType="end"/>
        </w:r>
      </w:hyperlink>
    </w:p>
    <w:p w14:paraId="2A23F88A" w14:textId="64C057F2"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00" w:history="1">
        <w:r w:rsidR="00260F11" w:rsidRPr="009170A8">
          <w:rPr>
            <w:rStyle w:val="Hyperlink"/>
            <w:rFonts w:eastAsiaTheme="majorEastAsia"/>
            <w:noProof/>
            <w:lang w:val="nl-NL"/>
          </w:rPr>
          <w:t>3.1.3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Seksuele meerderjarigheid</w:t>
        </w:r>
        <w:r w:rsidR="00260F11">
          <w:rPr>
            <w:noProof/>
            <w:webHidden/>
          </w:rPr>
          <w:tab/>
        </w:r>
        <w:r w:rsidR="00260F11">
          <w:rPr>
            <w:noProof/>
            <w:webHidden/>
          </w:rPr>
          <w:fldChar w:fldCharType="begin"/>
        </w:r>
        <w:r w:rsidR="00260F11">
          <w:rPr>
            <w:noProof/>
            <w:webHidden/>
          </w:rPr>
          <w:instrText xml:space="preserve"> PAGEREF _Toc135041100 \h </w:instrText>
        </w:r>
        <w:r w:rsidR="00260F11">
          <w:rPr>
            <w:noProof/>
            <w:webHidden/>
          </w:rPr>
        </w:r>
        <w:r w:rsidR="00260F11">
          <w:rPr>
            <w:noProof/>
            <w:webHidden/>
          </w:rPr>
          <w:fldChar w:fldCharType="separate"/>
        </w:r>
        <w:r w:rsidR="0006702C">
          <w:rPr>
            <w:noProof/>
            <w:webHidden/>
          </w:rPr>
          <w:t>98</w:t>
        </w:r>
        <w:r w:rsidR="00260F11">
          <w:rPr>
            <w:noProof/>
            <w:webHidden/>
          </w:rPr>
          <w:fldChar w:fldCharType="end"/>
        </w:r>
      </w:hyperlink>
    </w:p>
    <w:p w14:paraId="410282E6" w14:textId="501A95E6"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01" w:history="1">
        <w:r w:rsidR="00260F11" w:rsidRPr="009170A8">
          <w:rPr>
            <w:rStyle w:val="Hyperlink"/>
            <w:rFonts w:eastAsiaTheme="majorEastAsia"/>
            <w:noProof/>
            <w:lang w:val="nl-NL"/>
          </w:rPr>
          <w:t>3.1.3.1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Uniforme leeftijdsgrens</w:t>
        </w:r>
        <w:r w:rsidR="00260F11">
          <w:rPr>
            <w:noProof/>
            <w:webHidden/>
          </w:rPr>
          <w:tab/>
        </w:r>
        <w:r w:rsidR="00260F11">
          <w:rPr>
            <w:noProof/>
            <w:webHidden/>
          </w:rPr>
          <w:fldChar w:fldCharType="begin"/>
        </w:r>
        <w:r w:rsidR="00260F11">
          <w:rPr>
            <w:noProof/>
            <w:webHidden/>
          </w:rPr>
          <w:instrText xml:space="preserve"> PAGEREF _Toc135041101 \h </w:instrText>
        </w:r>
        <w:r w:rsidR="00260F11">
          <w:rPr>
            <w:noProof/>
            <w:webHidden/>
          </w:rPr>
        </w:r>
        <w:r w:rsidR="00260F11">
          <w:rPr>
            <w:noProof/>
            <w:webHidden/>
          </w:rPr>
          <w:fldChar w:fldCharType="separate"/>
        </w:r>
        <w:r w:rsidR="0006702C">
          <w:rPr>
            <w:noProof/>
            <w:webHidden/>
          </w:rPr>
          <w:t>98</w:t>
        </w:r>
        <w:r w:rsidR="00260F11">
          <w:rPr>
            <w:noProof/>
            <w:webHidden/>
          </w:rPr>
          <w:fldChar w:fldCharType="end"/>
        </w:r>
      </w:hyperlink>
    </w:p>
    <w:p w14:paraId="1864974F" w14:textId="30BF638A"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02" w:history="1">
        <w:r w:rsidR="00260F11" w:rsidRPr="009170A8">
          <w:rPr>
            <w:rStyle w:val="Hyperlink"/>
            <w:rFonts w:eastAsiaTheme="majorEastAsia"/>
            <w:noProof/>
            <w:lang w:val="nl-NL"/>
          </w:rPr>
          <w:t>3.1.3.2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Flexibel systeem</w:t>
        </w:r>
        <w:r w:rsidR="00260F11">
          <w:rPr>
            <w:noProof/>
            <w:webHidden/>
          </w:rPr>
          <w:tab/>
        </w:r>
        <w:r w:rsidR="00260F11">
          <w:rPr>
            <w:noProof/>
            <w:webHidden/>
          </w:rPr>
          <w:fldChar w:fldCharType="begin"/>
        </w:r>
        <w:r w:rsidR="00260F11">
          <w:rPr>
            <w:noProof/>
            <w:webHidden/>
          </w:rPr>
          <w:instrText xml:space="preserve"> PAGEREF _Toc135041102 \h </w:instrText>
        </w:r>
        <w:r w:rsidR="00260F11">
          <w:rPr>
            <w:noProof/>
            <w:webHidden/>
          </w:rPr>
        </w:r>
        <w:r w:rsidR="00260F11">
          <w:rPr>
            <w:noProof/>
            <w:webHidden/>
          </w:rPr>
          <w:fldChar w:fldCharType="separate"/>
        </w:r>
        <w:r w:rsidR="0006702C">
          <w:rPr>
            <w:noProof/>
            <w:webHidden/>
          </w:rPr>
          <w:t>99</w:t>
        </w:r>
        <w:r w:rsidR="00260F11">
          <w:rPr>
            <w:noProof/>
            <w:webHidden/>
          </w:rPr>
          <w:fldChar w:fldCharType="end"/>
        </w:r>
      </w:hyperlink>
    </w:p>
    <w:p w14:paraId="660D7ECC" w14:textId="5BA9D776"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03" w:history="1">
        <w:r w:rsidR="00260F11" w:rsidRPr="009170A8">
          <w:rPr>
            <w:rStyle w:val="Hyperlink"/>
            <w:rFonts w:eastAsiaTheme="majorEastAsia"/>
            <w:noProof/>
            <w:lang w:val="nl-NL"/>
          </w:rPr>
          <w:t>3.1.4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Moreel bestanddeel</w:t>
        </w:r>
        <w:r w:rsidR="00260F11">
          <w:rPr>
            <w:noProof/>
            <w:webHidden/>
          </w:rPr>
          <w:tab/>
        </w:r>
        <w:r w:rsidR="00260F11">
          <w:rPr>
            <w:noProof/>
            <w:webHidden/>
          </w:rPr>
          <w:fldChar w:fldCharType="begin"/>
        </w:r>
        <w:r w:rsidR="00260F11">
          <w:rPr>
            <w:noProof/>
            <w:webHidden/>
          </w:rPr>
          <w:instrText xml:space="preserve"> PAGEREF _Toc135041103 \h </w:instrText>
        </w:r>
        <w:r w:rsidR="00260F11">
          <w:rPr>
            <w:noProof/>
            <w:webHidden/>
          </w:rPr>
        </w:r>
        <w:r w:rsidR="00260F11">
          <w:rPr>
            <w:noProof/>
            <w:webHidden/>
          </w:rPr>
          <w:fldChar w:fldCharType="separate"/>
        </w:r>
        <w:r w:rsidR="0006702C">
          <w:rPr>
            <w:noProof/>
            <w:webHidden/>
          </w:rPr>
          <w:t>100</w:t>
        </w:r>
        <w:r w:rsidR="00260F11">
          <w:rPr>
            <w:noProof/>
            <w:webHidden/>
          </w:rPr>
          <w:fldChar w:fldCharType="end"/>
        </w:r>
      </w:hyperlink>
    </w:p>
    <w:p w14:paraId="2EC654CB" w14:textId="44449440"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04" w:history="1">
        <w:r w:rsidR="00260F11" w:rsidRPr="009170A8">
          <w:rPr>
            <w:rStyle w:val="Hyperlink"/>
            <w:rFonts w:eastAsiaTheme="majorEastAsia"/>
            <w:noProof/>
            <w:lang w:val="nl-NL"/>
          </w:rPr>
          <w:t>3.1.4.1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Stilzwijgen wetgever</w:t>
        </w:r>
        <w:r w:rsidR="00260F11">
          <w:rPr>
            <w:noProof/>
            <w:webHidden/>
          </w:rPr>
          <w:tab/>
        </w:r>
        <w:r w:rsidR="00260F11">
          <w:rPr>
            <w:noProof/>
            <w:webHidden/>
          </w:rPr>
          <w:fldChar w:fldCharType="begin"/>
        </w:r>
        <w:r w:rsidR="00260F11">
          <w:rPr>
            <w:noProof/>
            <w:webHidden/>
          </w:rPr>
          <w:instrText xml:space="preserve"> PAGEREF _Toc135041104 \h </w:instrText>
        </w:r>
        <w:r w:rsidR="00260F11">
          <w:rPr>
            <w:noProof/>
            <w:webHidden/>
          </w:rPr>
        </w:r>
        <w:r w:rsidR="00260F11">
          <w:rPr>
            <w:noProof/>
            <w:webHidden/>
          </w:rPr>
          <w:fldChar w:fldCharType="separate"/>
        </w:r>
        <w:r w:rsidR="0006702C">
          <w:rPr>
            <w:noProof/>
            <w:webHidden/>
          </w:rPr>
          <w:t>100</w:t>
        </w:r>
        <w:r w:rsidR="00260F11">
          <w:rPr>
            <w:noProof/>
            <w:webHidden/>
          </w:rPr>
          <w:fldChar w:fldCharType="end"/>
        </w:r>
      </w:hyperlink>
    </w:p>
    <w:p w14:paraId="09AFACD1" w14:textId="6F6CB5C4"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05" w:history="1">
        <w:r w:rsidR="00260F11" w:rsidRPr="009170A8">
          <w:rPr>
            <w:rStyle w:val="Hyperlink"/>
            <w:rFonts w:eastAsiaTheme="majorEastAsia"/>
            <w:noProof/>
            <w:lang w:val="nl-NL"/>
          </w:rPr>
          <w:t>3.1.4.2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Differentiëren</w:t>
        </w:r>
        <w:r w:rsidR="00260F11">
          <w:rPr>
            <w:noProof/>
            <w:webHidden/>
          </w:rPr>
          <w:tab/>
        </w:r>
        <w:r w:rsidR="00260F11">
          <w:rPr>
            <w:noProof/>
            <w:webHidden/>
          </w:rPr>
          <w:fldChar w:fldCharType="begin"/>
        </w:r>
        <w:r w:rsidR="00260F11">
          <w:rPr>
            <w:noProof/>
            <w:webHidden/>
          </w:rPr>
          <w:instrText xml:space="preserve"> PAGEREF _Toc135041105 \h </w:instrText>
        </w:r>
        <w:r w:rsidR="00260F11">
          <w:rPr>
            <w:noProof/>
            <w:webHidden/>
          </w:rPr>
        </w:r>
        <w:r w:rsidR="00260F11">
          <w:rPr>
            <w:noProof/>
            <w:webHidden/>
          </w:rPr>
          <w:fldChar w:fldCharType="separate"/>
        </w:r>
        <w:r w:rsidR="0006702C">
          <w:rPr>
            <w:noProof/>
            <w:webHidden/>
          </w:rPr>
          <w:t>101</w:t>
        </w:r>
        <w:r w:rsidR="00260F11">
          <w:rPr>
            <w:noProof/>
            <w:webHidden/>
          </w:rPr>
          <w:fldChar w:fldCharType="end"/>
        </w:r>
      </w:hyperlink>
    </w:p>
    <w:p w14:paraId="338582D4" w14:textId="08A2350E"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06" w:history="1">
        <w:r w:rsidR="00260F11" w:rsidRPr="009170A8">
          <w:rPr>
            <w:rStyle w:val="Hyperlink"/>
            <w:rFonts w:eastAsiaTheme="majorEastAsia"/>
            <w:noProof/>
            <w:lang w:val="nl-NL"/>
          </w:rPr>
          <w:t>3.1.4.3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Seksuele drijfveer?</w:t>
        </w:r>
        <w:r w:rsidR="00260F11">
          <w:rPr>
            <w:noProof/>
            <w:webHidden/>
          </w:rPr>
          <w:tab/>
        </w:r>
        <w:r w:rsidR="00260F11">
          <w:rPr>
            <w:noProof/>
            <w:webHidden/>
          </w:rPr>
          <w:fldChar w:fldCharType="begin"/>
        </w:r>
        <w:r w:rsidR="00260F11">
          <w:rPr>
            <w:noProof/>
            <w:webHidden/>
          </w:rPr>
          <w:instrText xml:space="preserve"> PAGEREF _Toc135041106 \h </w:instrText>
        </w:r>
        <w:r w:rsidR="00260F11">
          <w:rPr>
            <w:noProof/>
            <w:webHidden/>
          </w:rPr>
        </w:r>
        <w:r w:rsidR="00260F11">
          <w:rPr>
            <w:noProof/>
            <w:webHidden/>
          </w:rPr>
          <w:fldChar w:fldCharType="separate"/>
        </w:r>
        <w:r w:rsidR="0006702C">
          <w:rPr>
            <w:noProof/>
            <w:webHidden/>
          </w:rPr>
          <w:t>102</w:t>
        </w:r>
        <w:r w:rsidR="00260F11">
          <w:rPr>
            <w:noProof/>
            <w:webHidden/>
          </w:rPr>
          <w:fldChar w:fldCharType="end"/>
        </w:r>
      </w:hyperlink>
    </w:p>
    <w:p w14:paraId="23F8BBA2" w14:textId="352D4026"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107" w:history="1">
        <w:r w:rsidR="00260F11" w:rsidRPr="009170A8">
          <w:rPr>
            <w:rStyle w:val="Hyperlink"/>
            <w:rFonts w:eastAsiaTheme="majorEastAsia"/>
            <w:noProof/>
            <w:lang w:val="nl-NL"/>
          </w:rPr>
          <w:t>3.2</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Aantasting van de seksuele integriteit</w:t>
        </w:r>
        <w:r w:rsidR="00260F11">
          <w:rPr>
            <w:noProof/>
            <w:webHidden/>
          </w:rPr>
          <w:tab/>
        </w:r>
        <w:r w:rsidR="00260F11">
          <w:rPr>
            <w:noProof/>
            <w:webHidden/>
          </w:rPr>
          <w:fldChar w:fldCharType="begin"/>
        </w:r>
        <w:r w:rsidR="00260F11">
          <w:rPr>
            <w:noProof/>
            <w:webHidden/>
          </w:rPr>
          <w:instrText xml:space="preserve"> PAGEREF _Toc135041107 \h </w:instrText>
        </w:r>
        <w:r w:rsidR="00260F11">
          <w:rPr>
            <w:noProof/>
            <w:webHidden/>
          </w:rPr>
        </w:r>
        <w:r w:rsidR="00260F11">
          <w:rPr>
            <w:noProof/>
            <w:webHidden/>
          </w:rPr>
          <w:fldChar w:fldCharType="separate"/>
        </w:r>
        <w:r w:rsidR="0006702C">
          <w:rPr>
            <w:noProof/>
            <w:webHidden/>
          </w:rPr>
          <w:t>103</w:t>
        </w:r>
        <w:r w:rsidR="00260F11">
          <w:rPr>
            <w:noProof/>
            <w:webHidden/>
          </w:rPr>
          <w:fldChar w:fldCharType="end"/>
        </w:r>
      </w:hyperlink>
    </w:p>
    <w:p w14:paraId="18430DAC" w14:textId="1A092D97"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08" w:history="1">
        <w:r w:rsidR="00260F11" w:rsidRPr="009170A8">
          <w:rPr>
            <w:rStyle w:val="Hyperlink"/>
            <w:rFonts w:eastAsiaTheme="majorEastAsia"/>
            <w:noProof/>
            <w:lang w:val="nl-NL"/>
          </w:rPr>
          <w:t>3.2.1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_Toc135041108 \h </w:instrText>
        </w:r>
        <w:r w:rsidR="00260F11">
          <w:rPr>
            <w:noProof/>
            <w:webHidden/>
          </w:rPr>
        </w:r>
        <w:r w:rsidR="00260F11">
          <w:rPr>
            <w:noProof/>
            <w:webHidden/>
          </w:rPr>
          <w:fldChar w:fldCharType="separate"/>
        </w:r>
        <w:r w:rsidR="0006702C">
          <w:rPr>
            <w:noProof/>
            <w:webHidden/>
          </w:rPr>
          <w:t>103</w:t>
        </w:r>
        <w:r w:rsidR="00260F11">
          <w:rPr>
            <w:noProof/>
            <w:webHidden/>
          </w:rPr>
          <w:fldChar w:fldCharType="end"/>
        </w:r>
      </w:hyperlink>
    </w:p>
    <w:p w14:paraId="5F702E76" w14:textId="0277E92A"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09" w:history="1">
        <w:r w:rsidR="00260F11" w:rsidRPr="009170A8">
          <w:rPr>
            <w:rStyle w:val="Hyperlink"/>
            <w:rFonts w:eastAsiaTheme="majorEastAsia"/>
            <w:noProof/>
            <w:lang w:val="nl-NL"/>
          </w:rPr>
          <w:t>3.2.1.1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Nieuwe benaming</w:t>
        </w:r>
        <w:r w:rsidR="00260F11">
          <w:rPr>
            <w:noProof/>
            <w:webHidden/>
          </w:rPr>
          <w:tab/>
        </w:r>
        <w:r w:rsidR="00260F11">
          <w:rPr>
            <w:noProof/>
            <w:webHidden/>
          </w:rPr>
          <w:fldChar w:fldCharType="begin"/>
        </w:r>
        <w:r w:rsidR="00260F11">
          <w:rPr>
            <w:noProof/>
            <w:webHidden/>
          </w:rPr>
          <w:instrText xml:space="preserve"> PAGEREF _Toc135041109 \h </w:instrText>
        </w:r>
        <w:r w:rsidR="00260F11">
          <w:rPr>
            <w:noProof/>
            <w:webHidden/>
          </w:rPr>
        </w:r>
        <w:r w:rsidR="00260F11">
          <w:rPr>
            <w:noProof/>
            <w:webHidden/>
          </w:rPr>
          <w:fldChar w:fldCharType="separate"/>
        </w:r>
        <w:r w:rsidR="0006702C">
          <w:rPr>
            <w:noProof/>
            <w:webHidden/>
          </w:rPr>
          <w:t>103</w:t>
        </w:r>
        <w:r w:rsidR="00260F11">
          <w:rPr>
            <w:noProof/>
            <w:webHidden/>
          </w:rPr>
          <w:fldChar w:fldCharType="end"/>
        </w:r>
      </w:hyperlink>
    </w:p>
    <w:p w14:paraId="6DB360CC" w14:textId="0F7885C9"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10" w:history="1">
        <w:r w:rsidR="00260F11" w:rsidRPr="009170A8">
          <w:rPr>
            <w:rStyle w:val="Hyperlink"/>
            <w:rFonts w:eastAsiaTheme="majorEastAsia"/>
            <w:noProof/>
            <w:lang w:val="nl-NL"/>
          </w:rPr>
          <w:t>3.2.1.2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Wettelijke definitie</w:t>
        </w:r>
        <w:r w:rsidR="00260F11">
          <w:rPr>
            <w:noProof/>
            <w:webHidden/>
          </w:rPr>
          <w:tab/>
        </w:r>
        <w:r w:rsidR="00260F11">
          <w:rPr>
            <w:noProof/>
            <w:webHidden/>
          </w:rPr>
          <w:fldChar w:fldCharType="begin"/>
        </w:r>
        <w:r w:rsidR="00260F11">
          <w:rPr>
            <w:noProof/>
            <w:webHidden/>
          </w:rPr>
          <w:instrText xml:space="preserve"> PAGEREF _Toc135041110 \h </w:instrText>
        </w:r>
        <w:r w:rsidR="00260F11">
          <w:rPr>
            <w:noProof/>
            <w:webHidden/>
          </w:rPr>
        </w:r>
        <w:r w:rsidR="00260F11">
          <w:rPr>
            <w:noProof/>
            <w:webHidden/>
          </w:rPr>
          <w:fldChar w:fldCharType="separate"/>
        </w:r>
        <w:r w:rsidR="0006702C">
          <w:rPr>
            <w:noProof/>
            <w:webHidden/>
          </w:rPr>
          <w:t>104</w:t>
        </w:r>
        <w:r w:rsidR="00260F11">
          <w:rPr>
            <w:noProof/>
            <w:webHidden/>
          </w:rPr>
          <w:fldChar w:fldCharType="end"/>
        </w:r>
      </w:hyperlink>
    </w:p>
    <w:p w14:paraId="15955C96" w14:textId="32D90C36"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11" w:history="1">
        <w:r w:rsidR="00260F11" w:rsidRPr="009170A8">
          <w:rPr>
            <w:rStyle w:val="Hyperlink"/>
            <w:rFonts w:eastAsiaTheme="majorEastAsia"/>
            <w:noProof/>
            <w:lang w:val="nl-NL"/>
          </w:rPr>
          <w:t>3.2.1.3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Seksuele handeling</w:t>
        </w:r>
        <w:r w:rsidR="00260F11">
          <w:rPr>
            <w:noProof/>
            <w:webHidden/>
          </w:rPr>
          <w:tab/>
        </w:r>
        <w:r w:rsidR="00260F11">
          <w:rPr>
            <w:noProof/>
            <w:webHidden/>
          </w:rPr>
          <w:fldChar w:fldCharType="begin"/>
        </w:r>
        <w:r w:rsidR="00260F11">
          <w:rPr>
            <w:noProof/>
            <w:webHidden/>
          </w:rPr>
          <w:instrText xml:space="preserve"> PAGEREF _Toc135041111 \h </w:instrText>
        </w:r>
        <w:r w:rsidR="00260F11">
          <w:rPr>
            <w:noProof/>
            <w:webHidden/>
          </w:rPr>
        </w:r>
        <w:r w:rsidR="00260F11">
          <w:rPr>
            <w:noProof/>
            <w:webHidden/>
          </w:rPr>
          <w:fldChar w:fldCharType="separate"/>
        </w:r>
        <w:r w:rsidR="0006702C">
          <w:rPr>
            <w:noProof/>
            <w:webHidden/>
          </w:rPr>
          <w:t>104</w:t>
        </w:r>
        <w:r w:rsidR="00260F11">
          <w:rPr>
            <w:noProof/>
            <w:webHidden/>
          </w:rPr>
          <w:fldChar w:fldCharType="end"/>
        </w:r>
      </w:hyperlink>
    </w:p>
    <w:p w14:paraId="1E0D9E51" w14:textId="2967CE77"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12" w:history="1">
        <w:r w:rsidR="00260F11" w:rsidRPr="009170A8">
          <w:rPr>
            <w:rStyle w:val="Hyperlink"/>
            <w:rFonts w:eastAsiaTheme="majorEastAsia"/>
            <w:noProof/>
            <w:lang w:val="nl-NL"/>
          </w:rPr>
          <w:t>3.2.2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_Toc135041112 \h </w:instrText>
        </w:r>
        <w:r w:rsidR="00260F11">
          <w:rPr>
            <w:noProof/>
            <w:webHidden/>
          </w:rPr>
        </w:r>
        <w:r w:rsidR="00260F11">
          <w:rPr>
            <w:noProof/>
            <w:webHidden/>
          </w:rPr>
          <w:fldChar w:fldCharType="separate"/>
        </w:r>
        <w:r w:rsidR="0006702C">
          <w:rPr>
            <w:noProof/>
            <w:webHidden/>
          </w:rPr>
          <w:t>107</w:t>
        </w:r>
        <w:r w:rsidR="00260F11">
          <w:rPr>
            <w:noProof/>
            <w:webHidden/>
          </w:rPr>
          <w:fldChar w:fldCharType="end"/>
        </w:r>
      </w:hyperlink>
    </w:p>
    <w:p w14:paraId="0B7F4945" w14:textId="58C90C1A"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13" w:history="1">
        <w:r w:rsidR="00260F11" w:rsidRPr="009170A8">
          <w:rPr>
            <w:rStyle w:val="Hyperlink"/>
            <w:rFonts w:eastAsiaTheme="majorEastAsia"/>
            <w:noProof/>
            <w:lang w:val="nl-NL"/>
          </w:rPr>
          <w:t>3.2.2.1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Formulering strafbaarstelling</w:t>
        </w:r>
        <w:r w:rsidR="00260F11">
          <w:rPr>
            <w:noProof/>
            <w:webHidden/>
          </w:rPr>
          <w:tab/>
        </w:r>
        <w:r w:rsidR="00260F11">
          <w:rPr>
            <w:noProof/>
            <w:webHidden/>
          </w:rPr>
          <w:fldChar w:fldCharType="begin"/>
        </w:r>
        <w:r w:rsidR="00260F11">
          <w:rPr>
            <w:noProof/>
            <w:webHidden/>
          </w:rPr>
          <w:instrText xml:space="preserve"> PAGEREF _Toc135041113 \h </w:instrText>
        </w:r>
        <w:r w:rsidR="00260F11">
          <w:rPr>
            <w:noProof/>
            <w:webHidden/>
          </w:rPr>
        </w:r>
        <w:r w:rsidR="00260F11">
          <w:rPr>
            <w:noProof/>
            <w:webHidden/>
          </w:rPr>
          <w:fldChar w:fldCharType="separate"/>
        </w:r>
        <w:r w:rsidR="0006702C">
          <w:rPr>
            <w:noProof/>
            <w:webHidden/>
          </w:rPr>
          <w:t>107</w:t>
        </w:r>
        <w:r w:rsidR="00260F11">
          <w:rPr>
            <w:noProof/>
            <w:webHidden/>
          </w:rPr>
          <w:fldChar w:fldCharType="end"/>
        </w:r>
      </w:hyperlink>
    </w:p>
    <w:p w14:paraId="2D2A8641" w14:textId="04407111"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14" w:history="1">
        <w:r w:rsidR="00260F11" w:rsidRPr="009170A8">
          <w:rPr>
            <w:rStyle w:val="Hyperlink"/>
            <w:rFonts w:eastAsiaTheme="majorEastAsia"/>
            <w:noProof/>
            <w:lang w:val="nl-NL"/>
          </w:rPr>
          <w:t>3.2.2.2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Geslacht slachtoffer</w:t>
        </w:r>
        <w:r w:rsidR="00260F11">
          <w:rPr>
            <w:noProof/>
            <w:webHidden/>
          </w:rPr>
          <w:tab/>
        </w:r>
        <w:r w:rsidR="00260F11">
          <w:rPr>
            <w:noProof/>
            <w:webHidden/>
          </w:rPr>
          <w:fldChar w:fldCharType="begin"/>
        </w:r>
        <w:r w:rsidR="00260F11">
          <w:rPr>
            <w:noProof/>
            <w:webHidden/>
          </w:rPr>
          <w:instrText xml:space="preserve"> PAGEREF _Toc135041114 \h </w:instrText>
        </w:r>
        <w:r w:rsidR="00260F11">
          <w:rPr>
            <w:noProof/>
            <w:webHidden/>
          </w:rPr>
        </w:r>
        <w:r w:rsidR="00260F11">
          <w:rPr>
            <w:noProof/>
            <w:webHidden/>
          </w:rPr>
          <w:fldChar w:fldCharType="separate"/>
        </w:r>
        <w:r w:rsidR="0006702C">
          <w:rPr>
            <w:noProof/>
            <w:webHidden/>
          </w:rPr>
          <w:t>109</w:t>
        </w:r>
        <w:r w:rsidR="00260F11">
          <w:rPr>
            <w:noProof/>
            <w:webHidden/>
          </w:rPr>
          <w:fldChar w:fldCharType="end"/>
        </w:r>
      </w:hyperlink>
    </w:p>
    <w:p w14:paraId="536D2934" w14:textId="6B601C3A"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15" w:history="1">
        <w:r w:rsidR="00260F11" w:rsidRPr="009170A8">
          <w:rPr>
            <w:rStyle w:val="Hyperlink"/>
            <w:rFonts w:eastAsiaTheme="majorEastAsia"/>
            <w:noProof/>
            <w:lang w:val="nl-NL"/>
          </w:rPr>
          <w:t>3.2.3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w:t>
        </w:r>
        <w:r w:rsidR="00260F11">
          <w:rPr>
            <w:noProof/>
            <w:webHidden/>
          </w:rPr>
          <w:tab/>
        </w:r>
        <w:r w:rsidR="00260F11">
          <w:rPr>
            <w:noProof/>
            <w:webHidden/>
          </w:rPr>
          <w:fldChar w:fldCharType="begin"/>
        </w:r>
        <w:r w:rsidR="00260F11">
          <w:rPr>
            <w:noProof/>
            <w:webHidden/>
          </w:rPr>
          <w:instrText xml:space="preserve"> PAGEREF _Toc135041115 \h </w:instrText>
        </w:r>
        <w:r w:rsidR="00260F11">
          <w:rPr>
            <w:noProof/>
            <w:webHidden/>
          </w:rPr>
        </w:r>
        <w:r w:rsidR="00260F11">
          <w:rPr>
            <w:noProof/>
            <w:webHidden/>
          </w:rPr>
          <w:fldChar w:fldCharType="separate"/>
        </w:r>
        <w:r w:rsidR="0006702C">
          <w:rPr>
            <w:noProof/>
            <w:webHidden/>
          </w:rPr>
          <w:t>109</w:t>
        </w:r>
        <w:r w:rsidR="00260F11">
          <w:rPr>
            <w:noProof/>
            <w:webHidden/>
          </w:rPr>
          <w:fldChar w:fldCharType="end"/>
        </w:r>
      </w:hyperlink>
    </w:p>
    <w:p w14:paraId="1DD29592" w14:textId="4EBD167E"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16" w:history="1">
        <w:r w:rsidR="00260F11" w:rsidRPr="009170A8">
          <w:rPr>
            <w:rStyle w:val="Hyperlink"/>
            <w:rFonts w:eastAsiaTheme="majorEastAsia"/>
            <w:noProof/>
            <w:lang w:val="nl-NL"/>
          </w:rPr>
          <w:t>3.2.4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Restcategorie</w:t>
        </w:r>
        <w:r w:rsidR="00260F11">
          <w:rPr>
            <w:noProof/>
            <w:webHidden/>
          </w:rPr>
          <w:tab/>
        </w:r>
        <w:r w:rsidR="00260F11">
          <w:rPr>
            <w:noProof/>
            <w:webHidden/>
          </w:rPr>
          <w:fldChar w:fldCharType="begin"/>
        </w:r>
        <w:r w:rsidR="00260F11">
          <w:rPr>
            <w:noProof/>
            <w:webHidden/>
          </w:rPr>
          <w:instrText xml:space="preserve"> PAGEREF _Toc135041116 \h </w:instrText>
        </w:r>
        <w:r w:rsidR="00260F11">
          <w:rPr>
            <w:noProof/>
            <w:webHidden/>
          </w:rPr>
        </w:r>
        <w:r w:rsidR="00260F11">
          <w:rPr>
            <w:noProof/>
            <w:webHidden/>
          </w:rPr>
          <w:fldChar w:fldCharType="separate"/>
        </w:r>
        <w:r w:rsidR="0006702C">
          <w:rPr>
            <w:noProof/>
            <w:webHidden/>
          </w:rPr>
          <w:t>110</w:t>
        </w:r>
        <w:r w:rsidR="00260F11">
          <w:rPr>
            <w:noProof/>
            <w:webHidden/>
          </w:rPr>
          <w:fldChar w:fldCharType="end"/>
        </w:r>
      </w:hyperlink>
    </w:p>
    <w:p w14:paraId="32C0C82C" w14:textId="02779E52" w:rsidR="00260F11" w:rsidRDefault="00C513A6" w:rsidP="00260F11">
      <w:pPr>
        <w:pStyle w:val="TOC3"/>
        <w:tabs>
          <w:tab w:val="left" w:pos="900"/>
          <w:tab w:val="right" w:leader="dot" w:pos="9062"/>
        </w:tabs>
        <w:spacing w:line="360" w:lineRule="auto"/>
        <w:rPr>
          <w:rFonts w:asciiTheme="minorHAnsi" w:eastAsiaTheme="minorEastAsia" w:hAnsiTheme="minorHAnsi" w:cstheme="minorBidi"/>
          <w:iCs w:val="0"/>
          <w:noProof/>
          <w:sz w:val="24"/>
          <w:szCs w:val="24"/>
        </w:rPr>
      </w:pPr>
      <w:hyperlink w:anchor="_Toc135041117" w:history="1">
        <w:r w:rsidR="00260F11" w:rsidRPr="009170A8">
          <w:rPr>
            <w:rStyle w:val="Hyperlink"/>
            <w:rFonts w:eastAsiaTheme="majorEastAsia"/>
            <w:noProof/>
            <w:lang w:val="nl-NL"/>
          </w:rPr>
          <w:t>3.3</w:t>
        </w:r>
        <w:r w:rsidR="00260F11">
          <w:rPr>
            <w:rFonts w:asciiTheme="minorHAnsi" w:eastAsiaTheme="minorEastAsia" w:hAnsiTheme="minorHAnsi" w:cstheme="minorBidi"/>
            <w:iCs w:val="0"/>
            <w:noProof/>
            <w:sz w:val="24"/>
            <w:szCs w:val="24"/>
          </w:rPr>
          <w:tab/>
        </w:r>
        <w:r w:rsidR="00260F11" w:rsidRPr="009170A8">
          <w:rPr>
            <w:rStyle w:val="Hyperlink"/>
            <w:rFonts w:eastAsiaTheme="majorEastAsia"/>
            <w:noProof/>
            <w:lang w:val="nl-NL"/>
          </w:rPr>
          <w:t>Verkrachting</w:t>
        </w:r>
        <w:r w:rsidR="00260F11">
          <w:rPr>
            <w:noProof/>
            <w:webHidden/>
          </w:rPr>
          <w:tab/>
        </w:r>
        <w:r w:rsidR="00260F11">
          <w:rPr>
            <w:noProof/>
            <w:webHidden/>
          </w:rPr>
          <w:fldChar w:fldCharType="begin"/>
        </w:r>
        <w:r w:rsidR="00260F11">
          <w:rPr>
            <w:noProof/>
            <w:webHidden/>
          </w:rPr>
          <w:instrText xml:space="preserve"> PAGEREF _Toc135041117 \h </w:instrText>
        </w:r>
        <w:r w:rsidR="00260F11">
          <w:rPr>
            <w:noProof/>
            <w:webHidden/>
          </w:rPr>
        </w:r>
        <w:r w:rsidR="00260F11">
          <w:rPr>
            <w:noProof/>
            <w:webHidden/>
          </w:rPr>
          <w:fldChar w:fldCharType="separate"/>
        </w:r>
        <w:r w:rsidR="0006702C">
          <w:rPr>
            <w:noProof/>
            <w:webHidden/>
          </w:rPr>
          <w:t>110</w:t>
        </w:r>
        <w:r w:rsidR="00260F11">
          <w:rPr>
            <w:noProof/>
            <w:webHidden/>
          </w:rPr>
          <w:fldChar w:fldCharType="end"/>
        </w:r>
      </w:hyperlink>
    </w:p>
    <w:p w14:paraId="28CC1A6D" w14:textId="4B77CBCC"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18" w:history="1">
        <w:r w:rsidR="00260F11" w:rsidRPr="009170A8">
          <w:rPr>
            <w:rStyle w:val="Hyperlink"/>
            <w:rFonts w:eastAsiaTheme="majorEastAsia"/>
            <w:noProof/>
            <w:lang w:val="nl-NL"/>
          </w:rPr>
          <w:t>3.3.1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 xml:space="preserve">Materiële gedraging </w:t>
        </w:r>
        <w:r w:rsidR="00260F11" w:rsidRPr="009170A8">
          <w:rPr>
            <w:rStyle w:val="Hyperlink"/>
            <w:rFonts w:eastAsiaTheme="majorEastAsia"/>
            <w:i/>
            <w:noProof/>
            <w:lang w:val="nl-NL"/>
          </w:rPr>
          <w:t>sensu stricto</w:t>
        </w:r>
        <w:r w:rsidR="00260F11">
          <w:rPr>
            <w:noProof/>
            <w:webHidden/>
          </w:rPr>
          <w:tab/>
        </w:r>
        <w:r w:rsidR="00260F11">
          <w:rPr>
            <w:noProof/>
            <w:webHidden/>
          </w:rPr>
          <w:fldChar w:fldCharType="begin"/>
        </w:r>
        <w:r w:rsidR="00260F11">
          <w:rPr>
            <w:noProof/>
            <w:webHidden/>
          </w:rPr>
          <w:instrText xml:space="preserve"> PAGEREF _Toc135041118 \h </w:instrText>
        </w:r>
        <w:r w:rsidR="00260F11">
          <w:rPr>
            <w:noProof/>
            <w:webHidden/>
          </w:rPr>
        </w:r>
        <w:r w:rsidR="00260F11">
          <w:rPr>
            <w:noProof/>
            <w:webHidden/>
          </w:rPr>
          <w:fldChar w:fldCharType="separate"/>
        </w:r>
        <w:r w:rsidR="0006702C">
          <w:rPr>
            <w:noProof/>
            <w:webHidden/>
          </w:rPr>
          <w:t>111</w:t>
        </w:r>
        <w:r w:rsidR="00260F11">
          <w:rPr>
            <w:noProof/>
            <w:webHidden/>
          </w:rPr>
          <w:fldChar w:fldCharType="end"/>
        </w:r>
      </w:hyperlink>
    </w:p>
    <w:p w14:paraId="391E844A" w14:textId="148CA985"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19" w:history="1">
        <w:r w:rsidR="00260F11" w:rsidRPr="009170A8">
          <w:rPr>
            <w:rStyle w:val="Hyperlink"/>
            <w:rFonts w:eastAsiaTheme="majorEastAsia"/>
            <w:noProof/>
            <w:lang w:val="nl-NL"/>
          </w:rPr>
          <w:t>3.3.1.1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Seksuele penetratie</w:t>
        </w:r>
        <w:r w:rsidR="00260F11">
          <w:rPr>
            <w:noProof/>
            <w:webHidden/>
          </w:rPr>
          <w:tab/>
        </w:r>
        <w:r w:rsidR="00260F11">
          <w:rPr>
            <w:noProof/>
            <w:webHidden/>
          </w:rPr>
          <w:fldChar w:fldCharType="begin"/>
        </w:r>
        <w:r w:rsidR="00260F11">
          <w:rPr>
            <w:noProof/>
            <w:webHidden/>
          </w:rPr>
          <w:instrText xml:space="preserve"> PAGEREF _Toc135041119 \h </w:instrText>
        </w:r>
        <w:r w:rsidR="00260F11">
          <w:rPr>
            <w:noProof/>
            <w:webHidden/>
          </w:rPr>
        </w:r>
        <w:r w:rsidR="00260F11">
          <w:rPr>
            <w:noProof/>
            <w:webHidden/>
          </w:rPr>
          <w:fldChar w:fldCharType="separate"/>
        </w:r>
        <w:r w:rsidR="0006702C">
          <w:rPr>
            <w:noProof/>
            <w:webHidden/>
          </w:rPr>
          <w:t>111</w:t>
        </w:r>
        <w:r w:rsidR="00260F11">
          <w:rPr>
            <w:noProof/>
            <w:webHidden/>
          </w:rPr>
          <w:fldChar w:fldCharType="end"/>
        </w:r>
      </w:hyperlink>
    </w:p>
    <w:p w14:paraId="62C5E9AA" w14:textId="60386A62"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20" w:history="1">
        <w:r w:rsidR="00260F11" w:rsidRPr="009170A8">
          <w:rPr>
            <w:rStyle w:val="Hyperlink"/>
            <w:rFonts w:eastAsiaTheme="majorEastAsia"/>
            <w:noProof/>
            <w:lang w:val="nl-NL"/>
          </w:rPr>
          <w:t>3.3.1.2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Van welke aard en met welk middel ook</w:t>
        </w:r>
        <w:r w:rsidR="00260F11">
          <w:rPr>
            <w:noProof/>
            <w:webHidden/>
          </w:rPr>
          <w:tab/>
        </w:r>
        <w:r w:rsidR="00260F11">
          <w:rPr>
            <w:noProof/>
            <w:webHidden/>
          </w:rPr>
          <w:fldChar w:fldCharType="begin"/>
        </w:r>
        <w:r w:rsidR="00260F11">
          <w:rPr>
            <w:noProof/>
            <w:webHidden/>
          </w:rPr>
          <w:instrText xml:space="preserve"> PAGEREF _Toc135041120 \h </w:instrText>
        </w:r>
        <w:r w:rsidR="00260F11">
          <w:rPr>
            <w:noProof/>
            <w:webHidden/>
          </w:rPr>
        </w:r>
        <w:r w:rsidR="00260F11">
          <w:rPr>
            <w:noProof/>
            <w:webHidden/>
          </w:rPr>
          <w:fldChar w:fldCharType="separate"/>
        </w:r>
        <w:r w:rsidR="0006702C">
          <w:rPr>
            <w:noProof/>
            <w:webHidden/>
          </w:rPr>
          <w:t>112</w:t>
        </w:r>
        <w:r w:rsidR="00260F11">
          <w:rPr>
            <w:noProof/>
            <w:webHidden/>
          </w:rPr>
          <w:fldChar w:fldCharType="end"/>
        </w:r>
      </w:hyperlink>
    </w:p>
    <w:p w14:paraId="5DA21658" w14:textId="53C536ED" w:rsidR="00260F11" w:rsidRDefault="00C513A6" w:rsidP="00260F11">
      <w:pPr>
        <w:pStyle w:val="TOC5"/>
        <w:tabs>
          <w:tab w:val="left" w:pos="1614"/>
          <w:tab w:val="right" w:leader="dot" w:pos="9062"/>
        </w:tabs>
        <w:spacing w:line="360" w:lineRule="auto"/>
        <w:rPr>
          <w:rFonts w:asciiTheme="minorHAnsi" w:eastAsiaTheme="minorEastAsia" w:hAnsiTheme="minorHAnsi" w:cstheme="minorBidi"/>
          <w:noProof/>
          <w:sz w:val="24"/>
          <w:szCs w:val="24"/>
        </w:rPr>
      </w:pPr>
      <w:hyperlink w:anchor="_Toc135041121" w:history="1">
        <w:r w:rsidR="00260F11" w:rsidRPr="009170A8">
          <w:rPr>
            <w:rStyle w:val="Hyperlink"/>
            <w:rFonts w:eastAsiaTheme="majorEastAsia"/>
            <w:noProof/>
            <w:lang w:val="nl-NL"/>
          </w:rPr>
          <w:t>3.3.1.1</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(Mede) bestaand uit een seksuele penetratie</w:t>
        </w:r>
        <w:r w:rsidR="00260F11">
          <w:rPr>
            <w:noProof/>
            <w:webHidden/>
          </w:rPr>
          <w:tab/>
        </w:r>
        <w:r w:rsidR="00260F11">
          <w:rPr>
            <w:noProof/>
            <w:webHidden/>
          </w:rPr>
          <w:fldChar w:fldCharType="begin"/>
        </w:r>
        <w:r w:rsidR="00260F11">
          <w:rPr>
            <w:noProof/>
            <w:webHidden/>
          </w:rPr>
          <w:instrText xml:space="preserve"> PAGEREF _Toc135041121 \h </w:instrText>
        </w:r>
        <w:r w:rsidR="00260F11">
          <w:rPr>
            <w:noProof/>
            <w:webHidden/>
          </w:rPr>
        </w:r>
        <w:r w:rsidR="00260F11">
          <w:rPr>
            <w:noProof/>
            <w:webHidden/>
          </w:rPr>
          <w:fldChar w:fldCharType="separate"/>
        </w:r>
        <w:r w:rsidR="0006702C">
          <w:rPr>
            <w:noProof/>
            <w:webHidden/>
          </w:rPr>
          <w:t>115</w:t>
        </w:r>
        <w:r w:rsidR="00260F11">
          <w:rPr>
            <w:noProof/>
            <w:webHidden/>
          </w:rPr>
          <w:fldChar w:fldCharType="end"/>
        </w:r>
      </w:hyperlink>
    </w:p>
    <w:p w14:paraId="2E4003EA" w14:textId="5639CA56"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22" w:history="1">
        <w:r w:rsidR="00260F11" w:rsidRPr="009170A8">
          <w:rPr>
            <w:rStyle w:val="Hyperlink"/>
            <w:rFonts w:eastAsiaTheme="majorEastAsia"/>
            <w:noProof/>
            <w:lang w:val="nl-NL"/>
          </w:rPr>
          <w:t>3.3.2</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Rol van het slachtoffer</w:t>
        </w:r>
        <w:r w:rsidR="00260F11">
          <w:rPr>
            <w:noProof/>
            <w:webHidden/>
          </w:rPr>
          <w:tab/>
        </w:r>
        <w:r w:rsidR="00260F11">
          <w:rPr>
            <w:noProof/>
            <w:webHidden/>
          </w:rPr>
          <w:fldChar w:fldCharType="begin"/>
        </w:r>
        <w:r w:rsidR="00260F11">
          <w:rPr>
            <w:noProof/>
            <w:webHidden/>
          </w:rPr>
          <w:instrText xml:space="preserve"> PAGEREF _Toc135041122 \h </w:instrText>
        </w:r>
        <w:r w:rsidR="00260F11">
          <w:rPr>
            <w:noProof/>
            <w:webHidden/>
          </w:rPr>
        </w:r>
        <w:r w:rsidR="00260F11">
          <w:rPr>
            <w:noProof/>
            <w:webHidden/>
          </w:rPr>
          <w:fldChar w:fldCharType="separate"/>
        </w:r>
        <w:r w:rsidR="0006702C">
          <w:rPr>
            <w:noProof/>
            <w:webHidden/>
          </w:rPr>
          <w:t>115</w:t>
        </w:r>
        <w:r w:rsidR="00260F11">
          <w:rPr>
            <w:noProof/>
            <w:webHidden/>
          </w:rPr>
          <w:fldChar w:fldCharType="end"/>
        </w:r>
      </w:hyperlink>
    </w:p>
    <w:p w14:paraId="68E2E898" w14:textId="59FBEEA9" w:rsidR="00260F11" w:rsidRDefault="00C513A6" w:rsidP="00260F11">
      <w:pPr>
        <w:pStyle w:val="TOC4"/>
        <w:tabs>
          <w:tab w:val="left" w:pos="1260"/>
          <w:tab w:val="right" w:leader="dot" w:pos="9062"/>
        </w:tabs>
        <w:spacing w:line="360" w:lineRule="auto"/>
        <w:rPr>
          <w:rFonts w:asciiTheme="minorHAnsi" w:eastAsiaTheme="minorEastAsia" w:hAnsiTheme="minorHAnsi" w:cstheme="minorBidi"/>
          <w:noProof/>
          <w:sz w:val="24"/>
          <w:szCs w:val="24"/>
        </w:rPr>
      </w:pPr>
      <w:hyperlink w:anchor="_Toc135041123" w:history="1">
        <w:r w:rsidR="00260F11" w:rsidRPr="009170A8">
          <w:rPr>
            <w:rStyle w:val="Hyperlink"/>
            <w:rFonts w:eastAsiaTheme="majorEastAsia"/>
            <w:noProof/>
            <w:lang w:val="nl-NL"/>
          </w:rPr>
          <w:t>3.3.3</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Afwezigheid geldige toestemming</w:t>
        </w:r>
        <w:r w:rsidR="00260F11">
          <w:rPr>
            <w:noProof/>
            <w:webHidden/>
          </w:rPr>
          <w:tab/>
        </w:r>
        <w:r w:rsidR="00260F11">
          <w:rPr>
            <w:noProof/>
            <w:webHidden/>
          </w:rPr>
          <w:fldChar w:fldCharType="begin"/>
        </w:r>
        <w:r w:rsidR="00260F11">
          <w:rPr>
            <w:noProof/>
            <w:webHidden/>
          </w:rPr>
          <w:instrText xml:space="preserve"> PAGEREF _Toc135041123 \h </w:instrText>
        </w:r>
        <w:r w:rsidR="00260F11">
          <w:rPr>
            <w:noProof/>
            <w:webHidden/>
          </w:rPr>
        </w:r>
        <w:r w:rsidR="00260F11">
          <w:rPr>
            <w:noProof/>
            <w:webHidden/>
          </w:rPr>
          <w:fldChar w:fldCharType="separate"/>
        </w:r>
        <w:r w:rsidR="0006702C">
          <w:rPr>
            <w:noProof/>
            <w:webHidden/>
          </w:rPr>
          <w:t>117</w:t>
        </w:r>
        <w:r w:rsidR="00260F11">
          <w:rPr>
            <w:noProof/>
            <w:webHidden/>
          </w:rPr>
          <w:fldChar w:fldCharType="end"/>
        </w:r>
      </w:hyperlink>
    </w:p>
    <w:p w14:paraId="6401FF16" w14:textId="5BFD8843" w:rsidR="00260F11" w:rsidRDefault="00C513A6" w:rsidP="00260F11">
      <w:pPr>
        <w:pStyle w:val="TOC2"/>
        <w:tabs>
          <w:tab w:val="left" w:pos="540"/>
          <w:tab w:val="right" w:leader="dot" w:pos="9062"/>
        </w:tabs>
        <w:spacing w:line="360" w:lineRule="auto"/>
        <w:rPr>
          <w:rFonts w:asciiTheme="minorHAnsi" w:eastAsiaTheme="minorEastAsia" w:hAnsiTheme="minorHAnsi" w:cstheme="minorBidi"/>
          <w:noProof/>
          <w:sz w:val="24"/>
          <w:szCs w:val="24"/>
        </w:rPr>
      </w:pPr>
      <w:hyperlink w:anchor="_Toc135041124" w:history="1">
        <w:r w:rsidR="00260F11" w:rsidRPr="009170A8">
          <w:rPr>
            <w:rStyle w:val="Hyperlink"/>
            <w:rFonts w:eastAsiaTheme="majorEastAsia"/>
            <w:noProof/>
            <w:lang w:val="nl-NL"/>
          </w:rPr>
          <w:t>4</w:t>
        </w:r>
        <w:r w:rsidR="00260F11">
          <w:rPr>
            <w:rFonts w:asciiTheme="minorHAnsi" w:eastAsiaTheme="minorEastAsia" w:hAnsiTheme="minorHAnsi" w:cstheme="minorBidi"/>
            <w:noProof/>
            <w:sz w:val="24"/>
            <w:szCs w:val="24"/>
          </w:rPr>
          <w:tab/>
        </w:r>
        <w:r w:rsidR="00260F11" w:rsidRPr="009170A8">
          <w:rPr>
            <w:rStyle w:val="Hyperlink"/>
            <w:rFonts w:eastAsiaTheme="majorEastAsia"/>
            <w:noProof/>
            <w:lang w:val="nl-NL"/>
          </w:rPr>
          <w:t>Eigen wetsvoorstel</w:t>
        </w:r>
        <w:r w:rsidR="00260F11">
          <w:rPr>
            <w:noProof/>
            <w:webHidden/>
          </w:rPr>
          <w:tab/>
        </w:r>
        <w:r w:rsidR="00260F11">
          <w:rPr>
            <w:noProof/>
            <w:webHidden/>
          </w:rPr>
          <w:fldChar w:fldCharType="begin"/>
        </w:r>
        <w:r w:rsidR="00260F11">
          <w:rPr>
            <w:noProof/>
            <w:webHidden/>
          </w:rPr>
          <w:instrText xml:space="preserve"> PAGEREF _Toc135041124 \h </w:instrText>
        </w:r>
        <w:r w:rsidR="00260F11">
          <w:rPr>
            <w:noProof/>
            <w:webHidden/>
          </w:rPr>
        </w:r>
        <w:r w:rsidR="00260F11">
          <w:rPr>
            <w:noProof/>
            <w:webHidden/>
          </w:rPr>
          <w:fldChar w:fldCharType="separate"/>
        </w:r>
        <w:r w:rsidR="0006702C">
          <w:rPr>
            <w:noProof/>
            <w:webHidden/>
          </w:rPr>
          <w:t>119</w:t>
        </w:r>
        <w:r w:rsidR="00260F11">
          <w:rPr>
            <w:noProof/>
            <w:webHidden/>
          </w:rPr>
          <w:fldChar w:fldCharType="end"/>
        </w:r>
      </w:hyperlink>
    </w:p>
    <w:p w14:paraId="3BA3D01A" w14:textId="387AA976" w:rsidR="00260F11" w:rsidRDefault="00C513A6" w:rsidP="00260F11">
      <w:pPr>
        <w:pStyle w:val="TOC1"/>
        <w:rPr>
          <w:rFonts w:asciiTheme="minorHAnsi" w:eastAsiaTheme="minorEastAsia" w:hAnsiTheme="minorHAnsi" w:cstheme="minorBidi"/>
          <w:bCs w:val="0"/>
          <w:noProof/>
          <w:sz w:val="24"/>
          <w:szCs w:val="24"/>
        </w:rPr>
      </w:pPr>
      <w:hyperlink w:anchor="_Toc135041125" w:history="1">
        <w:r w:rsidR="00260F11" w:rsidRPr="009170A8">
          <w:rPr>
            <w:rStyle w:val="Hyperlink"/>
            <w:rFonts w:eastAsiaTheme="majorEastAsia"/>
            <w:noProof/>
            <w:lang w:val="nl-NL"/>
          </w:rPr>
          <w:t>Conclusie</w:t>
        </w:r>
        <w:r w:rsidR="00260F11">
          <w:rPr>
            <w:noProof/>
            <w:webHidden/>
          </w:rPr>
          <w:tab/>
        </w:r>
        <w:r w:rsidR="00260F11">
          <w:rPr>
            <w:noProof/>
            <w:webHidden/>
          </w:rPr>
          <w:fldChar w:fldCharType="begin"/>
        </w:r>
        <w:r w:rsidR="00260F11">
          <w:rPr>
            <w:noProof/>
            <w:webHidden/>
          </w:rPr>
          <w:instrText xml:space="preserve"> PAGEREF _Toc135041125 \h </w:instrText>
        </w:r>
        <w:r w:rsidR="00260F11">
          <w:rPr>
            <w:noProof/>
            <w:webHidden/>
          </w:rPr>
        </w:r>
        <w:r w:rsidR="00260F11">
          <w:rPr>
            <w:noProof/>
            <w:webHidden/>
          </w:rPr>
          <w:fldChar w:fldCharType="separate"/>
        </w:r>
        <w:r w:rsidR="0006702C">
          <w:rPr>
            <w:noProof/>
            <w:webHidden/>
          </w:rPr>
          <w:t>121</w:t>
        </w:r>
        <w:r w:rsidR="00260F11">
          <w:rPr>
            <w:noProof/>
            <w:webHidden/>
          </w:rPr>
          <w:fldChar w:fldCharType="end"/>
        </w:r>
      </w:hyperlink>
    </w:p>
    <w:p w14:paraId="16733882" w14:textId="7913467C" w:rsidR="00260F11" w:rsidRDefault="00C513A6" w:rsidP="00260F11">
      <w:pPr>
        <w:pStyle w:val="TOC1"/>
        <w:rPr>
          <w:rFonts w:asciiTheme="minorHAnsi" w:eastAsiaTheme="minorEastAsia" w:hAnsiTheme="minorHAnsi" w:cstheme="minorBidi"/>
          <w:bCs w:val="0"/>
          <w:noProof/>
          <w:sz w:val="24"/>
          <w:szCs w:val="24"/>
        </w:rPr>
      </w:pPr>
      <w:hyperlink w:anchor="_Toc135041126" w:history="1">
        <w:r w:rsidR="00260F11" w:rsidRPr="009170A8">
          <w:rPr>
            <w:rStyle w:val="Hyperlink"/>
            <w:rFonts w:eastAsiaTheme="majorEastAsia"/>
            <w:noProof/>
          </w:rPr>
          <w:t>Bibliografie</w:t>
        </w:r>
        <w:r w:rsidR="00260F11">
          <w:rPr>
            <w:noProof/>
            <w:webHidden/>
          </w:rPr>
          <w:tab/>
        </w:r>
        <w:r w:rsidR="00260F11">
          <w:rPr>
            <w:noProof/>
            <w:webHidden/>
          </w:rPr>
          <w:fldChar w:fldCharType="begin"/>
        </w:r>
        <w:r w:rsidR="00260F11">
          <w:rPr>
            <w:noProof/>
            <w:webHidden/>
          </w:rPr>
          <w:instrText xml:space="preserve"> PAGEREF _Toc135041126 \h </w:instrText>
        </w:r>
        <w:r w:rsidR="00260F11">
          <w:rPr>
            <w:noProof/>
            <w:webHidden/>
          </w:rPr>
        </w:r>
        <w:r w:rsidR="00260F11">
          <w:rPr>
            <w:noProof/>
            <w:webHidden/>
          </w:rPr>
          <w:fldChar w:fldCharType="separate"/>
        </w:r>
        <w:r w:rsidR="0006702C">
          <w:rPr>
            <w:noProof/>
            <w:webHidden/>
          </w:rPr>
          <w:t>127</w:t>
        </w:r>
        <w:r w:rsidR="00260F11">
          <w:rPr>
            <w:noProof/>
            <w:webHidden/>
          </w:rPr>
          <w:fldChar w:fldCharType="end"/>
        </w:r>
      </w:hyperlink>
    </w:p>
    <w:p w14:paraId="5D4B9C81" w14:textId="2C354C23" w:rsidR="00260F11" w:rsidRDefault="00C513A6" w:rsidP="00260F11">
      <w:pPr>
        <w:pStyle w:val="TOC1"/>
        <w:rPr>
          <w:rFonts w:asciiTheme="minorHAnsi" w:eastAsiaTheme="minorEastAsia" w:hAnsiTheme="minorHAnsi" w:cstheme="minorBidi"/>
          <w:bCs w:val="0"/>
          <w:noProof/>
          <w:sz w:val="24"/>
          <w:szCs w:val="24"/>
        </w:rPr>
      </w:pPr>
      <w:hyperlink w:anchor="_Toc135041127" w:history="1">
        <w:r w:rsidR="00260F11" w:rsidRPr="009170A8">
          <w:rPr>
            <w:rStyle w:val="Hyperlink"/>
            <w:rFonts w:eastAsiaTheme="majorEastAsia"/>
            <w:noProof/>
            <w:lang w:val="nl-NL"/>
          </w:rPr>
          <w:t>Bijlagen</w:t>
        </w:r>
        <w:r w:rsidR="00260F11">
          <w:rPr>
            <w:noProof/>
            <w:webHidden/>
          </w:rPr>
          <w:tab/>
        </w:r>
        <w:r w:rsidR="00260F11">
          <w:rPr>
            <w:noProof/>
            <w:webHidden/>
          </w:rPr>
          <w:fldChar w:fldCharType="begin"/>
        </w:r>
        <w:r w:rsidR="00260F11">
          <w:rPr>
            <w:noProof/>
            <w:webHidden/>
          </w:rPr>
          <w:instrText xml:space="preserve"> PAGEREF _Toc135041127 \h </w:instrText>
        </w:r>
        <w:r w:rsidR="00260F11">
          <w:rPr>
            <w:noProof/>
            <w:webHidden/>
          </w:rPr>
        </w:r>
        <w:r w:rsidR="00260F11">
          <w:rPr>
            <w:noProof/>
            <w:webHidden/>
          </w:rPr>
          <w:fldChar w:fldCharType="separate"/>
        </w:r>
        <w:r w:rsidR="0006702C">
          <w:rPr>
            <w:noProof/>
            <w:webHidden/>
          </w:rPr>
          <w:t>141</w:t>
        </w:r>
        <w:r w:rsidR="00260F11">
          <w:rPr>
            <w:noProof/>
            <w:webHidden/>
          </w:rPr>
          <w:fldChar w:fldCharType="end"/>
        </w:r>
      </w:hyperlink>
    </w:p>
    <w:p w14:paraId="0C86D391" w14:textId="0E6AA4AA" w:rsidR="00882309" w:rsidRPr="000B4AB2" w:rsidRDefault="00F67CF1" w:rsidP="00260F11">
      <w:pPr>
        <w:spacing w:line="360" w:lineRule="auto"/>
        <w:rPr>
          <w:szCs w:val="18"/>
          <w:lang w:val="nl-NL"/>
        </w:rPr>
      </w:pPr>
      <w:r w:rsidRPr="000B4AB2">
        <w:rPr>
          <w:rFonts w:cs="Times New Roman (Hoofdtekst CS)"/>
          <w:bCs/>
          <w:szCs w:val="18"/>
          <w:lang w:val="nl-NL"/>
        </w:rPr>
        <w:fldChar w:fldCharType="end"/>
      </w:r>
    </w:p>
    <w:p w14:paraId="6404AE1C" w14:textId="36314070" w:rsidR="00AE3AEA" w:rsidRPr="00902E04" w:rsidRDefault="00882309" w:rsidP="00260F11">
      <w:pPr>
        <w:spacing w:line="360" w:lineRule="auto"/>
        <w:rPr>
          <w:color w:val="000000" w:themeColor="text1"/>
          <w:szCs w:val="18"/>
          <w:lang w:val="nl-NL"/>
        </w:rPr>
      </w:pPr>
      <w:r w:rsidRPr="000B4AB2">
        <w:rPr>
          <w:b/>
          <w:szCs w:val="18"/>
          <w:lang w:val="nl-NL"/>
        </w:rPr>
        <w:br w:type="page"/>
      </w:r>
    </w:p>
    <w:p w14:paraId="4B22C279" w14:textId="752E3F53" w:rsidR="0019471A" w:rsidRDefault="0019471A" w:rsidP="00260F11">
      <w:pPr>
        <w:pStyle w:val="Heading1"/>
        <w:rPr>
          <w:lang w:val="nl-NL"/>
        </w:rPr>
      </w:pPr>
      <w:bookmarkStart w:id="3" w:name="_Toc135041034"/>
      <w:r>
        <w:rPr>
          <w:lang w:val="nl-NL"/>
        </w:rPr>
        <w:lastRenderedPageBreak/>
        <w:t>Begrippenlijst</w:t>
      </w:r>
      <w:bookmarkEnd w:id="3"/>
    </w:p>
    <w:p w14:paraId="0A4058AE" w14:textId="6196B2B2" w:rsidR="0019471A" w:rsidRDefault="0019471A" w:rsidP="00260F11">
      <w:pPr>
        <w:spacing w:line="360" w:lineRule="auto"/>
        <w:rPr>
          <w:lang w:val="nl-NL"/>
        </w:rPr>
      </w:pPr>
    </w:p>
    <w:p w14:paraId="192B6F8D" w14:textId="7C0D290A" w:rsidR="0019471A" w:rsidRDefault="0019471A" w:rsidP="00260F11">
      <w:pPr>
        <w:spacing w:line="360" w:lineRule="auto"/>
        <w:rPr>
          <w:color w:val="000000" w:themeColor="text1"/>
        </w:rPr>
      </w:pPr>
      <w:r>
        <w:rPr>
          <w:b/>
          <w:szCs w:val="18"/>
          <w:lang w:val="nl-NL"/>
        </w:rPr>
        <w:t>C</w:t>
      </w:r>
      <w:r w:rsidRPr="0019471A">
        <w:rPr>
          <w:b/>
          <w:szCs w:val="18"/>
          <w:lang w:val="nl-NL"/>
        </w:rPr>
        <w:t>onstitutieve bestanddelen</w:t>
      </w:r>
      <w:r w:rsidRPr="00E807A8">
        <w:rPr>
          <w:color w:val="000000" w:themeColor="text1"/>
        </w:rPr>
        <w:t>. De constitutieve bestanddelen</w:t>
      </w:r>
      <w:r>
        <w:rPr>
          <w:color w:val="000000" w:themeColor="text1"/>
        </w:rPr>
        <w:t>, z</w:t>
      </w:r>
      <w:r w:rsidRPr="00E807A8">
        <w:rPr>
          <w:color w:val="000000" w:themeColor="text1"/>
        </w:rPr>
        <w:t>oals begrepen door VERSTRAETEN en VERBRUGGEN</w:t>
      </w:r>
      <w:r>
        <w:rPr>
          <w:color w:val="000000" w:themeColor="text1"/>
        </w:rPr>
        <w:t>,</w:t>
      </w:r>
      <w:r w:rsidRPr="00E807A8">
        <w:rPr>
          <w:color w:val="000000" w:themeColor="text1"/>
        </w:rPr>
        <w:t xml:space="preserve"> vormen </w:t>
      </w:r>
      <w:r w:rsidR="00655DA6">
        <w:rPr>
          <w:color w:val="000000" w:themeColor="text1"/>
        </w:rPr>
        <w:t>één</w:t>
      </w:r>
      <w:r w:rsidRPr="00E807A8">
        <w:rPr>
          <w:color w:val="000000" w:themeColor="text1"/>
        </w:rPr>
        <w:t xml:space="preserve"> van de vier constitutieve elementen die volgens voornoemde auteurs nodig zijn om van een misdrijf te spreken. Naast de constitutieve bestanddelen (delictstypiciteit) zijn nog vereist: de wederrechtelijkheid van een gedraging, de schuld en tot slot de strafwaardigheid. De constitutieve bestanddelen bestaan uit een materieel bestanddeel (objectieve delictstypiciteit) en een moreel bestanddeel (subjectieve delictstypiciteit). In sommige rechtsleer evenals in de rechtspraak van het Hof van Cassatie wordt evenwel over het “moreel element” gesproken. Dit valt uiteen in het voornoemde moreel bestanddeel enerzijds en de schuldvraag anderzijds.</w:t>
      </w:r>
      <w:r w:rsidRPr="001B13D5">
        <w:rPr>
          <w:rStyle w:val="FootnoteReference"/>
          <w:szCs w:val="18"/>
          <w:lang w:val="nl-NL"/>
        </w:rPr>
        <w:footnoteReference w:id="1"/>
      </w:r>
    </w:p>
    <w:p w14:paraId="4284CD3C" w14:textId="77777777" w:rsidR="0019471A" w:rsidRDefault="0019471A" w:rsidP="00260F11">
      <w:pPr>
        <w:spacing w:line="360" w:lineRule="auto"/>
        <w:rPr>
          <w:b/>
          <w:szCs w:val="18"/>
          <w:lang w:val="nl-NL"/>
        </w:rPr>
      </w:pPr>
    </w:p>
    <w:p w14:paraId="5BABC579" w14:textId="52E63CFB" w:rsidR="0019471A" w:rsidRDefault="0019471A" w:rsidP="00260F11">
      <w:pPr>
        <w:spacing w:line="360" w:lineRule="auto"/>
      </w:pPr>
      <w:r>
        <w:rPr>
          <w:b/>
          <w:szCs w:val="18"/>
          <w:lang w:val="nl-NL"/>
        </w:rPr>
        <w:t xml:space="preserve">Materiële gedraging </w:t>
      </w:r>
      <w:r>
        <w:rPr>
          <w:b/>
          <w:i/>
          <w:szCs w:val="18"/>
          <w:lang w:val="nl-NL"/>
        </w:rPr>
        <w:t>sensu stricto</w:t>
      </w:r>
      <w:r w:rsidRPr="006E2820">
        <w:rPr>
          <w:szCs w:val="18"/>
          <w:lang w:val="nl-NL"/>
        </w:rPr>
        <w:t>.</w:t>
      </w:r>
      <w:r>
        <w:rPr>
          <w:szCs w:val="18"/>
          <w:lang w:val="nl-NL"/>
        </w:rPr>
        <w:t xml:space="preserve"> </w:t>
      </w:r>
      <w:r w:rsidRPr="00613E6B">
        <w:t>Hiermee wordt het constitutief bestanddeel bedoeld dat doorheen deze masterscriptie telkens als eerste zal worden besproken. Het heeft betrekking op de concrete gedraging op zich die strafbaar wordt gesteld, los van de vraag t.a.v. wie deze gedraging moet worden gesteld (zie begrip ”rol van het slachtoffer”</w:t>
      </w:r>
      <w:r w:rsidR="007E37A2">
        <w:t xml:space="preserve">) </w:t>
      </w:r>
      <w:r w:rsidRPr="00613E6B">
        <w:t>en of er al dan niet sprake was van een geldige toestemming. Evenmin heeft dit betrekking op het al dan niet vervuld zijn van het moreel bestanddeel.</w:t>
      </w:r>
    </w:p>
    <w:p w14:paraId="2942882B" w14:textId="77777777" w:rsidR="0019471A" w:rsidRPr="0019471A" w:rsidRDefault="0019471A" w:rsidP="00260F11">
      <w:pPr>
        <w:spacing w:line="360" w:lineRule="auto"/>
        <w:rPr>
          <w:szCs w:val="18"/>
          <w:lang w:val="nl-NL"/>
        </w:rPr>
      </w:pPr>
    </w:p>
    <w:p w14:paraId="6D524C4D" w14:textId="0929582F" w:rsidR="0019471A" w:rsidRPr="0019471A" w:rsidRDefault="0019471A" w:rsidP="00260F11">
      <w:pPr>
        <w:spacing w:line="360" w:lineRule="auto"/>
        <w:rPr>
          <w:lang w:val="nl-NL"/>
        </w:rPr>
      </w:pPr>
      <w:r w:rsidRPr="0019471A">
        <w:rPr>
          <w:b/>
          <w:szCs w:val="18"/>
          <w:lang w:val="nl-NL"/>
        </w:rPr>
        <w:t>Rol van het slachtoffer</w:t>
      </w:r>
      <w:r>
        <w:rPr>
          <w:szCs w:val="18"/>
          <w:lang w:val="nl-NL"/>
        </w:rPr>
        <w:t xml:space="preserve">. </w:t>
      </w:r>
      <w:r w:rsidRPr="00613E6B">
        <w:t xml:space="preserve">Dit begrip wordt doorheen de masterscriptie gebruikt en doelt op het constitutief bestanddeel van de strafbaarstelling waaruit blijkt t.a.v. wie de “materiële gedraging </w:t>
      </w:r>
      <w:r w:rsidRPr="00613E6B">
        <w:rPr>
          <w:i/>
        </w:rPr>
        <w:t>sensu stricto”</w:t>
      </w:r>
      <w:r w:rsidRPr="00613E6B">
        <w:t xml:space="preserve"> moet worden gesteld. Zo kan de strafbaarstelling b</w:t>
      </w:r>
      <w:r w:rsidR="00077866">
        <w:t>ijvoorbeeld</w:t>
      </w:r>
      <w:r w:rsidRPr="00613E6B">
        <w:t xml:space="preserve"> de woorden “op een persoon” bevatten, al dan niet met de toevoeging “of met behulp van een persoon”. Dit overkoepelend begrip “rol van het slachtoffer” wordt duidelijkheidshalve gebruikt, om de onderlinge vergelijkbaarheid van de misdrijven te </w:t>
      </w:r>
      <w:r w:rsidR="00ED41BF">
        <w:t>verhogen</w:t>
      </w:r>
      <w:r w:rsidRPr="00613E6B">
        <w:t>.</w:t>
      </w:r>
    </w:p>
    <w:p w14:paraId="74A3B731" w14:textId="06ECF294" w:rsidR="00E656C3" w:rsidRPr="000B4AB2" w:rsidRDefault="00E656C3" w:rsidP="00260F11">
      <w:pPr>
        <w:pStyle w:val="Heading1"/>
        <w:rPr>
          <w:lang w:val="nl-NL"/>
        </w:rPr>
      </w:pPr>
      <w:bookmarkStart w:id="4" w:name="_Toc135041035"/>
      <w:r w:rsidRPr="000B4AB2">
        <w:rPr>
          <w:lang w:val="nl-NL"/>
        </w:rPr>
        <w:lastRenderedPageBreak/>
        <w:t>Lijst van bijlagen</w:t>
      </w:r>
      <w:bookmarkEnd w:id="4"/>
    </w:p>
    <w:p w14:paraId="31D1011F" w14:textId="799F5A82" w:rsidR="00E656C3" w:rsidRPr="000B4AB2" w:rsidRDefault="00E656C3" w:rsidP="00260F11">
      <w:pPr>
        <w:spacing w:line="360" w:lineRule="auto"/>
        <w:rPr>
          <w:color w:val="000000" w:themeColor="text1"/>
          <w:szCs w:val="18"/>
          <w:lang w:val="nl-NL"/>
        </w:rPr>
      </w:pPr>
    </w:p>
    <w:p w14:paraId="7C9B998F" w14:textId="7995C2D2" w:rsidR="001B302B" w:rsidRPr="00961642" w:rsidRDefault="001404C5" w:rsidP="00260F11">
      <w:pPr>
        <w:pStyle w:val="ListParagraph"/>
        <w:numPr>
          <w:ilvl w:val="0"/>
          <w:numId w:val="14"/>
        </w:numPr>
        <w:spacing w:line="360" w:lineRule="auto"/>
        <w:rPr>
          <w:szCs w:val="18"/>
        </w:rPr>
      </w:pPr>
      <w:r>
        <w:rPr>
          <w:szCs w:val="18"/>
        </w:rPr>
        <w:t>Bijlage</w:t>
      </w:r>
      <w:r w:rsidR="001B302B" w:rsidRPr="00961642">
        <w:rPr>
          <w:szCs w:val="18"/>
        </w:rPr>
        <w:t xml:space="preserve"> </w:t>
      </w:r>
      <w:r w:rsidR="00B10463" w:rsidRPr="00961642">
        <w:rPr>
          <w:szCs w:val="18"/>
        </w:rPr>
        <w:t>1</w:t>
      </w:r>
      <w:r w:rsidR="001B302B" w:rsidRPr="00961642">
        <w:rPr>
          <w:szCs w:val="18"/>
        </w:rPr>
        <w:t xml:space="preserve">: </w:t>
      </w:r>
      <w:r>
        <w:rPr>
          <w:szCs w:val="18"/>
        </w:rPr>
        <w:t>m</w:t>
      </w:r>
      <w:r w:rsidRPr="00961642">
        <w:rPr>
          <w:szCs w:val="18"/>
        </w:rPr>
        <w:t xml:space="preserve">ailverkeer met </w:t>
      </w:r>
      <w:r>
        <w:rPr>
          <w:szCs w:val="18"/>
        </w:rPr>
        <w:t>C</w:t>
      </w:r>
      <w:r w:rsidRPr="00961642">
        <w:rPr>
          <w:szCs w:val="18"/>
        </w:rPr>
        <w:t>ollege van procureurs-generaal</w:t>
      </w:r>
    </w:p>
    <w:p w14:paraId="24FF98F4" w14:textId="6589011D" w:rsidR="001B302B" w:rsidRPr="00961642" w:rsidRDefault="001404C5" w:rsidP="00260F11">
      <w:pPr>
        <w:pStyle w:val="ListParagraph"/>
        <w:numPr>
          <w:ilvl w:val="0"/>
          <w:numId w:val="14"/>
        </w:numPr>
        <w:spacing w:line="360" w:lineRule="auto"/>
        <w:rPr>
          <w:szCs w:val="18"/>
        </w:rPr>
      </w:pPr>
      <w:r>
        <w:rPr>
          <w:szCs w:val="18"/>
        </w:rPr>
        <w:t>B</w:t>
      </w:r>
      <w:r w:rsidRPr="00961642">
        <w:rPr>
          <w:szCs w:val="18"/>
        </w:rPr>
        <w:t>ijlage 2: schematische weergave temporele werking aantasting van de seksuele integriteit</w:t>
      </w:r>
    </w:p>
    <w:p w14:paraId="57E3A3AB" w14:textId="1B9F2157" w:rsidR="001404C5" w:rsidRDefault="001404C5" w:rsidP="00260F11">
      <w:pPr>
        <w:pStyle w:val="ListParagraph"/>
        <w:numPr>
          <w:ilvl w:val="0"/>
          <w:numId w:val="14"/>
        </w:numPr>
        <w:spacing w:line="360" w:lineRule="auto"/>
        <w:rPr>
          <w:szCs w:val="18"/>
        </w:rPr>
      </w:pPr>
      <w:r>
        <w:rPr>
          <w:szCs w:val="18"/>
        </w:rPr>
        <w:t>B</w:t>
      </w:r>
      <w:r w:rsidRPr="00961642">
        <w:rPr>
          <w:szCs w:val="18"/>
        </w:rPr>
        <w:t>ijlage 3: schematische weergave temporele werking verkrachting</w:t>
      </w:r>
    </w:p>
    <w:p w14:paraId="38A87818" w14:textId="363C8824" w:rsidR="001404C5" w:rsidRPr="009C29A6" w:rsidRDefault="001404C5" w:rsidP="00260F11">
      <w:pPr>
        <w:pStyle w:val="ListParagraph"/>
        <w:numPr>
          <w:ilvl w:val="0"/>
          <w:numId w:val="14"/>
        </w:numPr>
        <w:spacing w:line="360" w:lineRule="auto"/>
        <w:rPr>
          <w:szCs w:val="18"/>
          <w:lang w:val="fr-FR"/>
        </w:rPr>
      </w:pPr>
      <w:r w:rsidRPr="009C29A6">
        <w:rPr>
          <w:szCs w:val="18"/>
          <w:lang w:val="fr-FR"/>
        </w:rPr>
        <w:t xml:space="preserve">Bijlage 4: relevante </w:t>
      </w:r>
      <w:r w:rsidRPr="009C29A6">
        <w:rPr>
          <w:i/>
          <w:szCs w:val="18"/>
          <w:lang w:val="fr-FR"/>
        </w:rPr>
        <w:t>sections</w:t>
      </w:r>
      <w:r w:rsidRPr="009C29A6">
        <w:rPr>
          <w:szCs w:val="18"/>
          <w:lang w:val="fr-FR"/>
        </w:rPr>
        <w:t xml:space="preserve"> uit de </w:t>
      </w:r>
      <w:r w:rsidRPr="009C29A6">
        <w:rPr>
          <w:i/>
          <w:szCs w:val="18"/>
          <w:lang w:val="fr-FR"/>
        </w:rPr>
        <w:t>Sexual Offences Act</w:t>
      </w:r>
    </w:p>
    <w:p w14:paraId="464504B0" w14:textId="7DE3BC63" w:rsidR="004F5D4E" w:rsidRPr="00961642" w:rsidRDefault="001404C5" w:rsidP="00260F11">
      <w:pPr>
        <w:pStyle w:val="ListParagraph"/>
        <w:numPr>
          <w:ilvl w:val="0"/>
          <w:numId w:val="14"/>
        </w:numPr>
        <w:spacing w:line="360" w:lineRule="auto"/>
        <w:rPr>
          <w:szCs w:val="18"/>
          <w:lang w:val="nl-NL"/>
        </w:rPr>
      </w:pPr>
      <w:r>
        <w:rPr>
          <w:szCs w:val="18"/>
          <w:lang w:val="nl-NL"/>
        </w:rPr>
        <w:t>B</w:t>
      </w:r>
      <w:r w:rsidRPr="00961642">
        <w:rPr>
          <w:szCs w:val="18"/>
          <w:lang w:val="nl-NL"/>
        </w:rPr>
        <w:t xml:space="preserve">ijlage </w:t>
      </w:r>
      <w:r>
        <w:rPr>
          <w:szCs w:val="18"/>
          <w:lang w:val="nl-NL"/>
        </w:rPr>
        <w:t>5</w:t>
      </w:r>
      <w:r w:rsidRPr="00961642">
        <w:rPr>
          <w:szCs w:val="18"/>
          <w:lang w:val="nl-NL"/>
        </w:rPr>
        <w:t>: schematische weergave pijnpunten aanranding van de eerbaarheid respectievelijk aantasting van de seksuele integriteit</w:t>
      </w:r>
    </w:p>
    <w:p w14:paraId="4B06284E" w14:textId="48C5A123" w:rsidR="004F5D4E" w:rsidRDefault="001404C5" w:rsidP="00260F11">
      <w:pPr>
        <w:pStyle w:val="ListParagraph"/>
        <w:numPr>
          <w:ilvl w:val="0"/>
          <w:numId w:val="14"/>
        </w:numPr>
        <w:spacing w:line="360" w:lineRule="auto"/>
        <w:rPr>
          <w:szCs w:val="18"/>
          <w:lang w:val="nl-NL"/>
        </w:rPr>
      </w:pPr>
      <w:r>
        <w:rPr>
          <w:szCs w:val="18"/>
          <w:lang w:val="nl-NL"/>
        </w:rPr>
        <w:t>B</w:t>
      </w:r>
      <w:r w:rsidRPr="00961642">
        <w:rPr>
          <w:szCs w:val="18"/>
          <w:lang w:val="nl-NL"/>
        </w:rPr>
        <w:t xml:space="preserve">ijlage </w:t>
      </w:r>
      <w:r>
        <w:rPr>
          <w:szCs w:val="18"/>
          <w:lang w:val="nl-NL"/>
        </w:rPr>
        <w:t>6</w:t>
      </w:r>
      <w:r w:rsidRPr="00961642">
        <w:rPr>
          <w:szCs w:val="18"/>
          <w:lang w:val="nl-NL"/>
        </w:rPr>
        <w:t>: schematische weergave pijnpunten verkrachting</w:t>
      </w:r>
    </w:p>
    <w:p w14:paraId="40593421" w14:textId="77777777" w:rsidR="00557BAB" w:rsidRPr="00557BAB" w:rsidRDefault="00557BAB" w:rsidP="00260F11">
      <w:pPr>
        <w:spacing w:line="360" w:lineRule="auto"/>
        <w:rPr>
          <w:color w:val="000000" w:themeColor="text1"/>
          <w:szCs w:val="18"/>
          <w:lang w:val="nl-NL"/>
        </w:rPr>
      </w:pPr>
    </w:p>
    <w:p w14:paraId="3931BE84" w14:textId="77777777" w:rsidR="00557BAB" w:rsidRDefault="00557BAB" w:rsidP="00260F11">
      <w:pPr>
        <w:spacing w:line="360" w:lineRule="auto"/>
        <w:rPr>
          <w:color w:val="000000" w:themeColor="text1"/>
          <w:szCs w:val="18"/>
          <w:lang w:val="nl-NL"/>
        </w:rPr>
      </w:pPr>
    </w:p>
    <w:p w14:paraId="44669057" w14:textId="77777777" w:rsidR="00557BAB" w:rsidRDefault="00557BAB" w:rsidP="00260F11">
      <w:pPr>
        <w:spacing w:line="360" w:lineRule="auto"/>
        <w:jc w:val="left"/>
        <w:rPr>
          <w:color w:val="000000" w:themeColor="text1"/>
          <w:szCs w:val="18"/>
          <w:lang w:val="nl-NL"/>
        </w:rPr>
        <w:sectPr w:rsidR="00557BAB" w:rsidSect="0026404D">
          <w:footerReference w:type="default" r:id="rId15"/>
          <w:pgSz w:w="11906" w:h="16838"/>
          <w:pgMar w:top="1417" w:right="1417" w:bottom="1417" w:left="1417" w:header="709" w:footer="709" w:gutter="0"/>
          <w:cols w:space="708"/>
          <w:docGrid w:linePitch="360"/>
        </w:sectPr>
      </w:pPr>
    </w:p>
    <w:p w14:paraId="2DBC30E6" w14:textId="77777777" w:rsidR="00557BAB" w:rsidRDefault="00557BAB" w:rsidP="00260F11">
      <w:pPr>
        <w:spacing w:line="360" w:lineRule="auto"/>
        <w:jc w:val="left"/>
        <w:rPr>
          <w:color w:val="000000" w:themeColor="text1"/>
          <w:szCs w:val="18"/>
          <w:lang w:val="nl-NL"/>
        </w:rPr>
        <w:sectPr w:rsidR="00557BAB" w:rsidSect="0026404D">
          <w:footerReference w:type="default" r:id="rId16"/>
          <w:pgSz w:w="11906" w:h="16838"/>
          <w:pgMar w:top="1417" w:right="1417" w:bottom="1417" w:left="1417" w:header="709" w:footer="709" w:gutter="0"/>
          <w:cols w:space="708"/>
          <w:docGrid w:linePitch="360"/>
        </w:sectPr>
      </w:pPr>
    </w:p>
    <w:p w14:paraId="33C91B5C" w14:textId="20594709" w:rsidR="00A17622" w:rsidRPr="000B4AB2" w:rsidRDefault="005B1D29" w:rsidP="00260F11">
      <w:pPr>
        <w:pStyle w:val="Heading1"/>
        <w:rPr>
          <w:lang w:val="nl-NL"/>
        </w:rPr>
      </w:pPr>
      <w:bookmarkStart w:id="5" w:name="_Toc135041036"/>
      <w:r w:rsidRPr="000B4AB2">
        <w:rPr>
          <w:lang w:val="nl-NL"/>
        </w:rPr>
        <w:lastRenderedPageBreak/>
        <w:t>Inleiding</w:t>
      </w:r>
      <w:bookmarkEnd w:id="5"/>
    </w:p>
    <w:p w14:paraId="01983E8F" w14:textId="77777777" w:rsidR="001F2E0D" w:rsidRPr="000B4AB2" w:rsidRDefault="001F2E0D" w:rsidP="00260F11">
      <w:pPr>
        <w:spacing w:line="360" w:lineRule="auto"/>
        <w:rPr>
          <w:szCs w:val="18"/>
          <w:lang w:val="nl-NL"/>
        </w:rPr>
      </w:pPr>
    </w:p>
    <w:p w14:paraId="6304DDCF" w14:textId="3B2CFD81" w:rsidR="0095242E" w:rsidRDefault="005A7763" w:rsidP="00260F11">
      <w:pPr>
        <w:pStyle w:val="ListParagraph"/>
        <w:numPr>
          <w:ilvl w:val="0"/>
          <w:numId w:val="1"/>
        </w:numPr>
        <w:spacing w:line="360" w:lineRule="auto"/>
        <w:ind w:left="0" w:hanging="709"/>
        <w:rPr>
          <w:color w:val="000000" w:themeColor="text1"/>
          <w:szCs w:val="18"/>
          <w:lang w:val="nl-NL"/>
        </w:rPr>
      </w:pPr>
      <w:r w:rsidRPr="000B4AB2">
        <w:rPr>
          <w:szCs w:val="18"/>
          <w:lang w:val="nl-NL"/>
        </w:rPr>
        <w:t>“</w:t>
      </w:r>
      <w:r w:rsidRPr="000B4AB2">
        <w:rPr>
          <w:i/>
          <w:szCs w:val="18"/>
          <w:lang w:val="nl-NL"/>
        </w:rPr>
        <w:t>De golf van seksueel geweld is niet nieuw</w:t>
      </w:r>
      <w:r w:rsidRPr="000B4AB2">
        <w:rPr>
          <w:szCs w:val="18"/>
          <w:lang w:val="nl-NL"/>
        </w:rPr>
        <w:t>”, aldus de federale minister van Justitie, Van Quickenborne.</w:t>
      </w:r>
      <w:r w:rsidRPr="000B4AB2">
        <w:rPr>
          <w:rStyle w:val="FootnoteReference"/>
          <w:szCs w:val="18"/>
          <w:lang w:val="nl-NL"/>
        </w:rPr>
        <w:footnoteReference w:id="2"/>
      </w:r>
      <w:r w:rsidRPr="000B4AB2">
        <w:rPr>
          <w:szCs w:val="18"/>
          <w:lang w:val="nl-NL"/>
        </w:rPr>
        <w:t xml:space="preserve"> </w:t>
      </w:r>
      <w:r w:rsidR="0095242E">
        <w:rPr>
          <w:szCs w:val="18"/>
          <w:lang w:val="nl-NL"/>
        </w:rPr>
        <w:t>Zo werden in</w:t>
      </w:r>
      <w:r w:rsidRPr="000B4AB2">
        <w:rPr>
          <w:szCs w:val="18"/>
          <w:lang w:val="nl-NL"/>
        </w:rPr>
        <w:t xml:space="preserve"> 2021 meer dan 4000 verkrachtingen geregistreerd in België.</w:t>
      </w:r>
      <w:r w:rsidRPr="000B4AB2">
        <w:rPr>
          <w:rStyle w:val="FootnoteReference"/>
          <w:szCs w:val="18"/>
          <w:lang w:val="nl-NL"/>
        </w:rPr>
        <w:footnoteReference w:id="3"/>
      </w:r>
      <w:r w:rsidRPr="000B4AB2">
        <w:rPr>
          <w:szCs w:val="18"/>
          <w:lang w:val="nl-NL"/>
        </w:rPr>
        <w:t xml:space="preserve"> </w:t>
      </w:r>
      <w:r w:rsidR="0095242E">
        <w:rPr>
          <w:szCs w:val="18"/>
          <w:lang w:val="nl-NL"/>
        </w:rPr>
        <w:t>Ook de</w:t>
      </w:r>
      <w:r w:rsidR="00B33D5C" w:rsidRPr="000B4AB2">
        <w:rPr>
          <w:szCs w:val="18"/>
          <w:lang w:val="nl-NL"/>
        </w:rPr>
        <w:t xml:space="preserve"> brutale moord op Julie Van Espen in mei </w:t>
      </w:r>
      <w:r w:rsidR="00B33D5C" w:rsidRPr="00C07309">
        <w:rPr>
          <w:caps/>
          <w:szCs w:val="18"/>
          <w:lang w:val="nl-NL"/>
        </w:rPr>
        <w:t>2019</w:t>
      </w:r>
      <w:r w:rsidR="00B33D5C" w:rsidRPr="000B4AB2">
        <w:rPr>
          <w:szCs w:val="18"/>
          <w:lang w:val="nl-NL"/>
        </w:rPr>
        <w:t xml:space="preserve"> en de seksuele schandalen uit het </w:t>
      </w:r>
      <w:r w:rsidR="00C168A9">
        <w:rPr>
          <w:szCs w:val="18"/>
          <w:lang w:val="nl-NL"/>
        </w:rPr>
        <w:t xml:space="preserve">Gents en Brussels </w:t>
      </w:r>
      <w:r w:rsidR="00B33D5C" w:rsidRPr="000B4AB2">
        <w:rPr>
          <w:szCs w:val="18"/>
          <w:lang w:val="nl-NL"/>
        </w:rPr>
        <w:t xml:space="preserve">uitgaansleven </w:t>
      </w:r>
      <w:r w:rsidR="00C168A9">
        <w:rPr>
          <w:szCs w:val="18"/>
          <w:lang w:val="nl-NL"/>
        </w:rPr>
        <w:t xml:space="preserve">die </w:t>
      </w:r>
      <w:r w:rsidR="00B94FA8" w:rsidRPr="000B4AB2">
        <w:rPr>
          <w:szCs w:val="18"/>
          <w:lang w:val="nl-NL"/>
        </w:rPr>
        <w:t xml:space="preserve">eind 2021 </w:t>
      </w:r>
      <w:r w:rsidR="00B33D5C" w:rsidRPr="000B4AB2">
        <w:rPr>
          <w:szCs w:val="18"/>
          <w:lang w:val="nl-NL"/>
        </w:rPr>
        <w:t xml:space="preserve">aan het licht kwamen, tonen aan dat de strijd tegen seksueel geweld </w:t>
      </w:r>
      <w:r w:rsidR="00C168A9">
        <w:rPr>
          <w:szCs w:val="18"/>
          <w:lang w:val="nl-NL"/>
        </w:rPr>
        <w:t>nog</w:t>
      </w:r>
      <w:r w:rsidR="00B33D5C" w:rsidRPr="000B4AB2">
        <w:rPr>
          <w:szCs w:val="18"/>
          <w:lang w:val="nl-NL"/>
        </w:rPr>
        <w:t xml:space="preserve"> volop aan de orde is</w:t>
      </w:r>
      <w:r w:rsidRPr="000B4AB2">
        <w:rPr>
          <w:szCs w:val="18"/>
          <w:lang w:val="nl-NL"/>
        </w:rPr>
        <w:t>.</w:t>
      </w:r>
      <w:r w:rsidRPr="000B4AB2">
        <w:rPr>
          <w:rStyle w:val="FootnoteReference"/>
          <w:szCs w:val="18"/>
          <w:lang w:val="nl-NL"/>
        </w:rPr>
        <w:footnoteReference w:id="4"/>
      </w:r>
      <w:r w:rsidR="001776EF" w:rsidRPr="000B4AB2">
        <w:rPr>
          <w:color w:val="000000" w:themeColor="text1"/>
          <w:szCs w:val="18"/>
          <w:lang w:val="nl-NL"/>
        </w:rPr>
        <w:t xml:space="preserve"> </w:t>
      </w:r>
    </w:p>
    <w:p w14:paraId="38ADBB4D" w14:textId="77777777" w:rsidR="0095242E" w:rsidRDefault="0095242E" w:rsidP="00260F11">
      <w:pPr>
        <w:pStyle w:val="ListParagraph"/>
        <w:spacing w:line="360" w:lineRule="auto"/>
        <w:ind w:left="0"/>
        <w:rPr>
          <w:szCs w:val="18"/>
          <w:lang w:val="nl-NL"/>
        </w:rPr>
      </w:pPr>
    </w:p>
    <w:p w14:paraId="4FF4F7C0" w14:textId="07BF9E28" w:rsidR="007F7F78" w:rsidRPr="00C168A9" w:rsidRDefault="005A7763" w:rsidP="00260F11">
      <w:pPr>
        <w:pStyle w:val="ListParagraph"/>
        <w:spacing w:line="360" w:lineRule="auto"/>
        <w:ind w:left="0"/>
        <w:rPr>
          <w:color w:val="000000" w:themeColor="text1"/>
          <w:szCs w:val="18"/>
          <w:lang w:val="nl-NL"/>
        </w:rPr>
      </w:pPr>
      <w:r w:rsidRPr="00FD21CE">
        <w:rPr>
          <w:szCs w:val="18"/>
          <w:lang w:val="nl-NL"/>
        </w:rPr>
        <w:t>Mede tegen deze achtergrond, kon de hervorming van het seksueel strafrecht niet langer op zich laten wachten, aldus Van Quickenborne.</w:t>
      </w:r>
      <w:r w:rsidRPr="00FD21CE">
        <w:rPr>
          <w:rStyle w:val="FootnoteReference"/>
          <w:szCs w:val="18"/>
          <w:lang w:val="nl-NL"/>
        </w:rPr>
        <w:footnoteReference w:id="5"/>
      </w:r>
      <w:r w:rsidRPr="00FD21CE">
        <w:rPr>
          <w:szCs w:val="18"/>
          <w:lang w:val="nl-NL"/>
        </w:rPr>
        <w:t xml:space="preserve"> </w:t>
      </w:r>
      <w:r w:rsidR="00C168A9" w:rsidRPr="00FD21CE">
        <w:rPr>
          <w:szCs w:val="18"/>
          <w:lang w:val="nl-NL"/>
        </w:rPr>
        <w:t>Ook</w:t>
      </w:r>
      <w:r w:rsidR="0001223D" w:rsidRPr="00FD21CE">
        <w:rPr>
          <w:szCs w:val="18"/>
          <w:lang w:val="nl-NL"/>
        </w:rPr>
        <w:t xml:space="preserve"> de Hoge Raad voor de Justitie </w:t>
      </w:r>
      <w:r w:rsidR="00C168A9" w:rsidRPr="00FD21CE">
        <w:rPr>
          <w:szCs w:val="18"/>
          <w:lang w:val="nl-NL"/>
        </w:rPr>
        <w:t>drong</w:t>
      </w:r>
      <w:r w:rsidR="00B94FA8" w:rsidRPr="00FD21CE">
        <w:rPr>
          <w:szCs w:val="18"/>
          <w:lang w:val="nl-NL"/>
        </w:rPr>
        <w:t xml:space="preserve"> </w:t>
      </w:r>
      <w:r w:rsidR="00FB3C8E" w:rsidRPr="00FD21CE">
        <w:rPr>
          <w:szCs w:val="18"/>
          <w:lang w:val="nl-NL"/>
        </w:rPr>
        <w:t xml:space="preserve">er </w:t>
      </w:r>
      <w:r w:rsidR="0001223D" w:rsidRPr="00FD21CE">
        <w:rPr>
          <w:szCs w:val="18"/>
          <w:lang w:val="nl-NL"/>
        </w:rPr>
        <w:t>meermaals</w:t>
      </w:r>
      <w:r w:rsidR="00B94FA8" w:rsidRPr="00FD21CE">
        <w:rPr>
          <w:szCs w:val="18"/>
          <w:lang w:val="nl-NL"/>
        </w:rPr>
        <w:t xml:space="preserve"> </w:t>
      </w:r>
      <w:r w:rsidR="00FB3C8E" w:rsidRPr="00FD21CE">
        <w:rPr>
          <w:szCs w:val="18"/>
          <w:lang w:val="nl-NL"/>
        </w:rPr>
        <w:t xml:space="preserve">op </w:t>
      </w:r>
      <w:r w:rsidR="0001223D" w:rsidRPr="00FD21CE">
        <w:rPr>
          <w:szCs w:val="18"/>
          <w:lang w:val="nl-NL"/>
        </w:rPr>
        <w:t>aan een prioriteit te maken van de strijd tegen seksueel geweld.</w:t>
      </w:r>
      <w:r w:rsidR="0001223D" w:rsidRPr="00FD21CE">
        <w:rPr>
          <w:rStyle w:val="FootnoteReference"/>
          <w:szCs w:val="18"/>
          <w:lang w:val="nl-NL"/>
        </w:rPr>
        <w:footnoteReference w:id="6"/>
      </w:r>
      <w:r w:rsidR="0095242E" w:rsidRPr="00FD21CE">
        <w:rPr>
          <w:szCs w:val="18"/>
          <w:lang w:val="nl-NL"/>
        </w:rPr>
        <w:t xml:space="preserve"> Desalniettemin gingen er tevens dissonante stemmen op die stelden dat in de praktijk geen nood was aan een dergelijke hervorming.</w:t>
      </w:r>
      <w:r w:rsidR="0095242E" w:rsidRPr="00FD21CE">
        <w:rPr>
          <w:rStyle w:val="FootnoteReference"/>
          <w:szCs w:val="18"/>
          <w:lang w:val="nl-NL"/>
        </w:rPr>
        <w:footnoteReference w:id="7"/>
      </w:r>
      <w:r w:rsidR="0095242E">
        <w:rPr>
          <w:szCs w:val="18"/>
          <w:lang w:val="nl-NL"/>
        </w:rPr>
        <w:t xml:space="preserve"> </w:t>
      </w:r>
    </w:p>
    <w:p w14:paraId="13F168FC" w14:textId="77777777" w:rsidR="007F7F78" w:rsidRPr="00C07309" w:rsidRDefault="007F7F78" w:rsidP="00260F11">
      <w:pPr>
        <w:pStyle w:val="ListParagraph"/>
        <w:spacing w:line="360" w:lineRule="auto"/>
        <w:ind w:left="0"/>
        <w:rPr>
          <w:caps/>
          <w:color w:val="000000" w:themeColor="text1"/>
          <w:szCs w:val="18"/>
          <w:lang w:val="nl-NL"/>
        </w:rPr>
      </w:pPr>
    </w:p>
    <w:p w14:paraId="0FF42D81" w14:textId="509B97B2" w:rsidR="00B47E51" w:rsidRPr="00BE0E73" w:rsidRDefault="0095242E" w:rsidP="00260F11">
      <w:pPr>
        <w:pStyle w:val="ListParagraph"/>
        <w:spacing w:line="360" w:lineRule="auto"/>
        <w:ind w:left="0"/>
        <w:rPr>
          <w:szCs w:val="18"/>
          <w:lang w:val="nl-NL"/>
        </w:rPr>
      </w:pPr>
      <w:r>
        <w:rPr>
          <w:szCs w:val="18"/>
          <w:lang w:val="nl-NL"/>
        </w:rPr>
        <w:t>Afgezien van de vraag of</w:t>
      </w:r>
      <w:r w:rsidR="005A7763" w:rsidRPr="000B4AB2">
        <w:rPr>
          <w:szCs w:val="18"/>
          <w:lang w:val="nl-NL"/>
        </w:rPr>
        <w:t xml:space="preserve"> het seksueel strafrecht </w:t>
      </w:r>
      <w:r>
        <w:rPr>
          <w:szCs w:val="18"/>
          <w:lang w:val="nl-NL"/>
        </w:rPr>
        <w:t>nu</w:t>
      </w:r>
      <w:r w:rsidR="005A7763" w:rsidRPr="000B4AB2">
        <w:rPr>
          <w:szCs w:val="18"/>
          <w:lang w:val="nl-NL"/>
        </w:rPr>
        <w:t xml:space="preserve"> aan herziening toe</w:t>
      </w:r>
      <w:r>
        <w:rPr>
          <w:szCs w:val="18"/>
          <w:lang w:val="nl-NL"/>
        </w:rPr>
        <w:t xml:space="preserve"> was of niet</w:t>
      </w:r>
      <w:r w:rsidR="005A7763" w:rsidRPr="000B4AB2">
        <w:rPr>
          <w:szCs w:val="18"/>
          <w:lang w:val="nl-NL"/>
        </w:rPr>
        <w:t xml:space="preserve">, </w:t>
      </w:r>
      <w:r>
        <w:rPr>
          <w:szCs w:val="18"/>
          <w:lang w:val="nl-NL"/>
        </w:rPr>
        <w:t xml:space="preserve">was duidelijk dat dit </w:t>
      </w:r>
      <w:r w:rsidR="00153B8C">
        <w:rPr>
          <w:szCs w:val="18"/>
          <w:lang w:val="nl-NL"/>
        </w:rPr>
        <w:t xml:space="preserve">wel </w:t>
      </w:r>
      <w:r>
        <w:rPr>
          <w:szCs w:val="18"/>
          <w:lang w:val="nl-NL"/>
        </w:rPr>
        <w:t xml:space="preserve">het geval was voor </w:t>
      </w:r>
      <w:r w:rsidR="005A7763" w:rsidRPr="000B4AB2">
        <w:rPr>
          <w:szCs w:val="18"/>
          <w:lang w:val="nl-NL"/>
        </w:rPr>
        <w:t>het gehele</w:t>
      </w:r>
      <w:r w:rsidR="00A242AA" w:rsidRPr="000B4AB2">
        <w:rPr>
          <w:szCs w:val="18"/>
          <w:lang w:val="nl-NL"/>
        </w:rPr>
        <w:t xml:space="preserve"> Belgische</w:t>
      </w:r>
      <w:r w:rsidR="005A7763" w:rsidRPr="000B4AB2">
        <w:rPr>
          <w:szCs w:val="18"/>
          <w:lang w:val="nl-NL"/>
        </w:rPr>
        <w:t xml:space="preserve"> </w:t>
      </w:r>
      <w:r w:rsidR="005A7763" w:rsidRPr="002C0C65">
        <w:rPr>
          <w:szCs w:val="18"/>
          <w:lang w:val="nl-NL"/>
        </w:rPr>
        <w:t>Strafwetboek</w:t>
      </w:r>
      <w:r w:rsidRPr="002C0C65">
        <w:rPr>
          <w:szCs w:val="18"/>
          <w:lang w:val="nl-NL"/>
        </w:rPr>
        <w:t>, daterend van 1867</w:t>
      </w:r>
      <w:r w:rsidR="005A7763" w:rsidRPr="002C0C65">
        <w:rPr>
          <w:szCs w:val="18"/>
          <w:lang w:val="nl-NL"/>
        </w:rPr>
        <w:t>.</w:t>
      </w:r>
      <w:r w:rsidR="002266F2" w:rsidRPr="002C0C65">
        <w:rPr>
          <w:rStyle w:val="FootnoteReference"/>
          <w:szCs w:val="18"/>
          <w:lang w:val="nl-NL"/>
        </w:rPr>
        <w:footnoteReference w:id="8"/>
      </w:r>
      <w:r w:rsidR="005A7763" w:rsidRPr="002C0C65">
        <w:rPr>
          <w:szCs w:val="18"/>
          <w:lang w:val="nl-NL"/>
        </w:rPr>
        <w:t xml:space="preserve"> </w:t>
      </w:r>
      <w:r w:rsidR="00A77F4D" w:rsidRPr="002C0C65">
        <w:rPr>
          <w:szCs w:val="18"/>
          <w:lang w:val="nl-NL"/>
        </w:rPr>
        <w:t>Gewezen</w:t>
      </w:r>
      <w:r w:rsidR="005A7763" w:rsidRPr="002C0C65">
        <w:rPr>
          <w:szCs w:val="18"/>
          <w:lang w:val="nl-NL"/>
        </w:rPr>
        <w:t xml:space="preserve"> federale</w:t>
      </w:r>
      <w:r w:rsidR="005A7763" w:rsidRPr="000B4AB2">
        <w:rPr>
          <w:szCs w:val="18"/>
          <w:lang w:val="nl-NL"/>
        </w:rPr>
        <w:t xml:space="preserve"> minister van Justitie Geens richtte </w:t>
      </w:r>
      <w:r>
        <w:rPr>
          <w:szCs w:val="18"/>
          <w:lang w:val="nl-NL"/>
        </w:rPr>
        <w:t>dan ook</w:t>
      </w:r>
      <w:r w:rsidR="00C24A14">
        <w:rPr>
          <w:szCs w:val="18"/>
          <w:lang w:val="nl-NL"/>
        </w:rPr>
        <w:t xml:space="preserve"> </w:t>
      </w:r>
      <w:r w:rsidR="005A7763" w:rsidRPr="000B4AB2">
        <w:rPr>
          <w:szCs w:val="18"/>
          <w:lang w:val="nl-NL"/>
        </w:rPr>
        <w:t xml:space="preserve">een </w:t>
      </w:r>
      <w:r w:rsidR="003B6CD4">
        <w:rPr>
          <w:szCs w:val="18"/>
          <w:lang w:val="nl-NL"/>
        </w:rPr>
        <w:t>C</w:t>
      </w:r>
      <w:r w:rsidR="005A7763" w:rsidRPr="000B4AB2">
        <w:rPr>
          <w:szCs w:val="18"/>
          <w:lang w:val="nl-NL"/>
        </w:rPr>
        <w:t>ommissie tot hervorming van het strafrecht</w:t>
      </w:r>
      <w:r w:rsidR="00FB3C8E">
        <w:rPr>
          <w:szCs w:val="18"/>
          <w:lang w:val="nl-NL"/>
        </w:rPr>
        <w:t xml:space="preserve"> </w:t>
      </w:r>
      <w:r w:rsidR="005A7763" w:rsidRPr="000B4AB2">
        <w:rPr>
          <w:szCs w:val="18"/>
          <w:lang w:val="nl-NL"/>
        </w:rPr>
        <w:t xml:space="preserve">op, </w:t>
      </w:r>
      <w:r w:rsidR="003B6CD4">
        <w:rPr>
          <w:szCs w:val="18"/>
          <w:lang w:val="nl-NL"/>
        </w:rPr>
        <w:t>wiens</w:t>
      </w:r>
      <w:r w:rsidR="005A7763" w:rsidRPr="000B4AB2">
        <w:rPr>
          <w:szCs w:val="18"/>
          <w:lang w:val="nl-NL"/>
        </w:rPr>
        <w:t xml:space="preserve"> taak</w:t>
      </w:r>
      <w:r w:rsidR="003D377B" w:rsidRPr="000B4AB2">
        <w:rPr>
          <w:szCs w:val="18"/>
          <w:lang w:val="nl-NL"/>
        </w:rPr>
        <w:t xml:space="preserve"> erin bestond</w:t>
      </w:r>
      <w:r w:rsidR="005A7763" w:rsidRPr="000B4AB2">
        <w:rPr>
          <w:szCs w:val="18"/>
          <w:lang w:val="nl-NL"/>
        </w:rPr>
        <w:t xml:space="preserve"> een voorstel van hervorming van het Strafwetboek uit te werken.</w:t>
      </w:r>
      <w:r w:rsidR="005A7763" w:rsidRPr="000B4AB2">
        <w:rPr>
          <w:rStyle w:val="FootnoteReference"/>
          <w:szCs w:val="18"/>
          <w:lang w:val="nl-NL"/>
        </w:rPr>
        <w:footnoteReference w:id="9"/>
      </w:r>
      <w:r w:rsidR="005A7763" w:rsidRPr="000B4AB2">
        <w:rPr>
          <w:szCs w:val="18"/>
          <w:lang w:val="nl-NL"/>
        </w:rPr>
        <w:t xml:space="preserve"> </w:t>
      </w:r>
      <w:r w:rsidR="00BE0E73">
        <w:rPr>
          <w:szCs w:val="18"/>
          <w:lang w:val="nl-NL"/>
        </w:rPr>
        <w:t>Deze</w:t>
      </w:r>
      <w:r w:rsidR="005A7763" w:rsidRPr="000B4AB2">
        <w:rPr>
          <w:szCs w:val="18"/>
          <w:lang w:val="nl-NL"/>
        </w:rPr>
        <w:t xml:space="preserve"> Commissie bracht in 2017 </w:t>
      </w:r>
      <w:r w:rsidR="00B8425A" w:rsidRPr="000B4AB2">
        <w:rPr>
          <w:szCs w:val="18"/>
          <w:lang w:val="nl-NL"/>
        </w:rPr>
        <w:t>haar</w:t>
      </w:r>
      <w:r w:rsidR="005A7763" w:rsidRPr="000B4AB2">
        <w:rPr>
          <w:szCs w:val="18"/>
          <w:lang w:val="nl-NL"/>
        </w:rPr>
        <w:t xml:space="preserve"> voorstel voor Boek </w:t>
      </w:r>
      <w:r w:rsidR="00CE0637">
        <w:rPr>
          <w:szCs w:val="18"/>
          <w:lang w:val="nl-NL"/>
        </w:rPr>
        <w:t>I</w:t>
      </w:r>
      <w:r w:rsidR="005A7763" w:rsidRPr="000B4AB2">
        <w:rPr>
          <w:szCs w:val="18"/>
          <w:lang w:val="nl-NL"/>
        </w:rPr>
        <w:t xml:space="preserve"> van het Strafwetboek uit</w:t>
      </w:r>
      <w:r w:rsidR="00B8425A" w:rsidRPr="000B4AB2">
        <w:rPr>
          <w:szCs w:val="18"/>
          <w:lang w:val="nl-NL"/>
        </w:rPr>
        <w:t xml:space="preserve"> en in 2019</w:t>
      </w:r>
      <w:r w:rsidR="005A7763" w:rsidRPr="000B4AB2">
        <w:rPr>
          <w:szCs w:val="18"/>
          <w:lang w:val="nl-NL"/>
        </w:rPr>
        <w:t xml:space="preserve"> voor Boek </w:t>
      </w:r>
      <w:r w:rsidR="003B6CD4">
        <w:rPr>
          <w:szCs w:val="18"/>
          <w:lang w:val="nl-NL"/>
        </w:rPr>
        <w:t>II</w:t>
      </w:r>
      <w:r w:rsidR="005A7763" w:rsidRPr="000B4AB2">
        <w:rPr>
          <w:szCs w:val="18"/>
          <w:lang w:val="nl-NL"/>
        </w:rPr>
        <w:t>.</w:t>
      </w:r>
      <w:r w:rsidR="005A7763" w:rsidRPr="000B4AB2">
        <w:rPr>
          <w:rStyle w:val="FootnoteReference"/>
          <w:szCs w:val="18"/>
          <w:lang w:val="nl-NL"/>
        </w:rPr>
        <w:footnoteReference w:id="10"/>
      </w:r>
      <w:r w:rsidR="00754CEC" w:rsidRPr="000B4AB2">
        <w:rPr>
          <w:szCs w:val="18"/>
          <w:lang w:val="nl-NL"/>
        </w:rPr>
        <w:t xml:space="preserve"> </w:t>
      </w:r>
      <w:r w:rsidR="00BE0E73">
        <w:rPr>
          <w:szCs w:val="18"/>
          <w:lang w:val="nl-NL"/>
        </w:rPr>
        <w:t>Deze Commissie werd eind 2020 opnieuw aangesteld door Van Quickenborne</w:t>
      </w:r>
      <w:r w:rsidR="004D09D0">
        <w:rPr>
          <w:color w:val="000000" w:themeColor="text1"/>
          <w:szCs w:val="18"/>
          <w:lang w:val="nl-NL"/>
        </w:rPr>
        <w:t xml:space="preserve">, dit keer </w:t>
      </w:r>
      <w:r w:rsidR="00754CEC" w:rsidRPr="000B4AB2">
        <w:rPr>
          <w:color w:val="000000" w:themeColor="text1"/>
          <w:szCs w:val="18"/>
          <w:lang w:val="nl-NL"/>
        </w:rPr>
        <w:t xml:space="preserve">met de </w:t>
      </w:r>
      <w:r w:rsidR="001776EF" w:rsidRPr="000B4AB2">
        <w:rPr>
          <w:color w:val="000000" w:themeColor="text1"/>
          <w:szCs w:val="18"/>
          <w:lang w:val="nl-NL"/>
        </w:rPr>
        <w:t>expliciete</w:t>
      </w:r>
      <w:r w:rsidR="00754CEC" w:rsidRPr="000B4AB2">
        <w:rPr>
          <w:color w:val="000000" w:themeColor="text1"/>
          <w:szCs w:val="18"/>
          <w:lang w:val="nl-NL"/>
        </w:rPr>
        <w:t xml:space="preserve"> vraag om “</w:t>
      </w:r>
      <w:r w:rsidR="00754CEC" w:rsidRPr="000B4AB2">
        <w:rPr>
          <w:i/>
          <w:color w:val="000000" w:themeColor="text1"/>
          <w:szCs w:val="18"/>
          <w:lang w:val="nl-NL"/>
        </w:rPr>
        <w:t xml:space="preserve">het seksueel strafrecht te hervormen teneinde de nieuwe bepalingen in het </w:t>
      </w:r>
      <w:r w:rsidR="00754CEC" w:rsidRPr="000B4AB2">
        <w:rPr>
          <w:i/>
          <w:color w:val="000000" w:themeColor="text1"/>
          <w:szCs w:val="18"/>
          <w:lang w:val="nl-NL"/>
        </w:rPr>
        <w:lastRenderedPageBreak/>
        <w:t>huidige Strafwetboek in te voegen</w:t>
      </w:r>
      <w:r w:rsidR="00754CEC" w:rsidRPr="000B4AB2">
        <w:rPr>
          <w:color w:val="000000" w:themeColor="text1"/>
          <w:szCs w:val="18"/>
          <w:lang w:val="nl-NL"/>
        </w:rPr>
        <w:t>”.</w:t>
      </w:r>
      <w:r w:rsidR="00754CEC" w:rsidRPr="000B4AB2">
        <w:rPr>
          <w:rStyle w:val="FootnoteReference"/>
          <w:color w:val="000000" w:themeColor="text1"/>
          <w:szCs w:val="18"/>
          <w:lang w:val="nl-NL"/>
        </w:rPr>
        <w:footnoteReference w:id="11"/>
      </w:r>
      <w:r w:rsidR="001776EF" w:rsidRPr="000B4AB2">
        <w:rPr>
          <w:color w:val="000000" w:themeColor="text1"/>
          <w:szCs w:val="18"/>
          <w:lang w:val="nl-NL"/>
        </w:rPr>
        <w:t xml:space="preserve"> Van Quickenborne </w:t>
      </w:r>
      <w:r w:rsidR="00C24A14">
        <w:rPr>
          <w:color w:val="000000" w:themeColor="text1"/>
          <w:szCs w:val="18"/>
          <w:lang w:val="nl-NL"/>
        </w:rPr>
        <w:t>werd hierdoor evenwel verweten</w:t>
      </w:r>
      <w:r w:rsidR="001776EF" w:rsidRPr="000B4AB2">
        <w:rPr>
          <w:color w:val="000000" w:themeColor="text1"/>
          <w:szCs w:val="18"/>
          <w:lang w:val="nl-NL"/>
        </w:rPr>
        <w:t xml:space="preserve"> aan </w:t>
      </w:r>
      <w:r w:rsidR="001776EF" w:rsidRPr="000B4AB2">
        <w:rPr>
          <w:i/>
          <w:color w:val="000000" w:themeColor="text1"/>
          <w:szCs w:val="18"/>
          <w:lang w:val="nl-NL"/>
        </w:rPr>
        <w:t xml:space="preserve">cherry picking </w:t>
      </w:r>
      <w:r w:rsidR="001776EF" w:rsidRPr="000B4AB2">
        <w:rPr>
          <w:color w:val="000000" w:themeColor="text1"/>
          <w:szCs w:val="18"/>
          <w:lang w:val="nl-NL"/>
        </w:rPr>
        <w:t>te doen.</w:t>
      </w:r>
      <w:r w:rsidR="001776EF" w:rsidRPr="000B4AB2">
        <w:rPr>
          <w:rStyle w:val="FootnoteReference"/>
          <w:color w:val="000000" w:themeColor="text1"/>
          <w:szCs w:val="18"/>
          <w:lang w:val="nl-NL"/>
        </w:rPr>
        <w:footnoteReference w:id="12"/>
      </w:r>
    </w:p>
    <w:p w14:paraId="603FF5C4" w14:textId="77777777" w:rsidR="007F7F78" w:rsidRPr="000B4AB2" w:rsidRDefault="007F7F78" w:rsidP="00260F11">
      <w:pPr>
        <w:spacing w:line="360" w:lineRule="auto"/>
        <w:rPr>
          <w:szCs w:val="18"/>
          <w:lang w:val="nl-NL"/>
        </w:rPr>
      </w:pPr>
    </w:p>
    <w:p w14:paraId="7E9EE25E" w14:textId="44B55002" w:rsidR="00C24A14" w:rsidRDefault="005A7763" w:rsidP="00260F11">
      <w:pPr>
        <w:pStyle w:val="ListParagraph"/>
        <w:spacing w:line="360" w:lineRule="auto"/>
        <w:ind w:left="0"/>
        <w:rPr>
          <w:szCs w:val="18"/>
          <w:lang w:val="nl-NL"/>
        </w:rPr>
      </w:pPr>
      <w:r w:rsidRPr="000B4AB2">
        <w:rPr>
          <w:szCs w:val="18"/>
          <w:lang w:val="nl-NL"/>
        </w:rPr>
        <w:t>Voor de hervorming van het seksueel strafrecht kon</w:t>
      </w:r>
      <w:r w:rsidR="00901250" w:rsidRPr="000B4AB2">
        <w:rPr>
          <w:szCs w:val="18"/>
          <w:lang w:val="nl-NL"/>
        </w:rPr>
        <w:t xml:space="preserve"> </w:t>
      </w:r>
      <w:r w:rsidRPr="000B4AB2">
        <w:rPr>
          <w:szCs w:val="18"/>
          <w:lang w:val="nl-NL"/>
        </w:rPr>
        <w:t xml:space="preserve">worden vertrokken van de teksten die de Commissie tot hervorming van het strafrecht hieromtrent </w:t>
      </w:r>
      <w:r w:rsidR="00754CEC" w:rsidRPr="000B4AB2">
        <w:rPr>
          <w:szCs w:val="18"/>
          <w:lang w:val="nl-NL"/>
        </w:rPr>
        <w:t>reeds had</w:t>
      </w:r>
      <w:r w:rsidRPr="000B4AB2">
        <w:rPr>
          <w:szCs w:val="18"/>
          <w:lang w:val="nl-NL"/>
        </w:rPr>
        <w:t xml:space="preserve"> opgesteld</w:t>
      </w:r>
      <w:r w:rsidR="00C24A14">
        <w:rPr>
          <w:szCs w:val="18"/>
          <w:lang w:val="nl-NL"/>
        </w:rPr>
        <w:t xml:space="preserve"> in haar eerder voorstel voor Boek II van het Strafwetboek</w:t>
      </w:r>
      <w:r w:rsidRPr="000B4AB2">
        <w:rPr>
          <w:szCs w:val="18"/>
          <w:lang w:val="nl-NL"/>
        </w:rPr>
        <w:t>.</w:t>
      </w:r>
      <w:r w:rsidRPr="000B4AB2">
        <w:rPr>
          <w:rStyle w:val="FootnoteReference"/>
          <w:szCs w:val="18"/>
          <w:lang w:val="nl-NL"/>
        </w:rPr>
        <w:footnoteReference w:id="13"/>
      </w:r>
    </w:p>
    <w:p w14:paraId="4C7E9915" w14:textId="77777777" w:rsidR="00C24A14" w:rsidRDefault="00C24A14" w:rsidP="00260F11">
      <w:pPr>
        <w:pStyle w:val="ListParagraph"/>
        <w:spacing w:line="360" w:lineRule="auto"/>
        <w:ind w:left="0"/>
        <w:rPr>
          <w:szCs w:val="18"/>
          <w:lang w:val="nl-NL"/>
        </w:rPr>
      </w:pPr>
    </w:p>
    <w:p w14:paraId="2AA9F7CA" w14:textId="287738C0" w:rsidR="007F7F78" w:rsidRPr="000B4AB2" w:rsidRDefault="0095242E" w:rsidP="00260F11">
      <w:pPr>
        <w:pStyle w:val="ListParagraph"/>
        <w:spacing w:line="360" w:lineRule="auto"/>
        <w:ind w:left="0"/>
        <w:rPr>
          <w:szCs w:val="18"/>
          <w:lang w:val="nl-NL"/>
        </w:rPr>
      </w:pPr>
      <w:r>
        <w:rPr>
          <w:szCs w:val="18"/>
          <w:lang w:val="nl-NL"/>
        </w:rPr>
        <w:t>Uiteindelijk resulteerde dit in</w:t>
      </w:r>
      <w:r w:rsidR="00385BC2" w:rsidRPr="000B4AB2">
        <w:rPr>
          <w:szCs w:val="18"/>
          <w:lang w:val="nl-NL"/>
        </w:rPr>
        <w:t xml:space="preserve"> de </w:t>
      </w:r>
      <w:r w:rsidR="005A7763" w:rsidRPr="000B4AB2">
        <w:rPr>
          <w:szCs w:val="18"/>
          <w:lang w:val="nl-NL"/>
        </w:rPr>
        <w:t>wet van 21 maart 2022</w:t>
      </w:r>
      <w:r w:rsidR="00385BC2" w:rsidRPr="000B4AB2">
        <w:rPr>
          <w:szCs w:val="18"/>
          <w:lang w:val="nl-NL"/>
        </w:rPr>
        <w:t xml:space="preserve">, dewelke </w:t>
      </w:r>
      <w:r w:rsidR="005A7763" w:rsidRPr="000B4AB2">
        <w:rPr>
          <w:szCs w:val="18"/>
          <w:lang w:val="nl-NL"/>
        </w:rPr>
        <w:t>op 1 juni 2022</w:t>
      </w:r>
      <w:r w:rsidR="00385BC2" w:rsidRPr="000B4AB2">
        <w:rPr>
          <w:szCs w:val="18"/>
          <w:lang w:val="nl-NL"/>
        </w:rPr>
        <w:t xml:space="preserve"> in werking is getreden.</w:t>
      </w:r>
      <w:r w:rsidR="005A7763" w:rsidRPr="000B4AB2">
        <w:rPr>
          <w:rStyle w:val="FootnoteReference"/>
          <w:szCs w:val="18"/>
          <w:lang w:val="nl-NL"/>
        </w:rPr>
        <w:footnoteReference w:id="14"/>
      </w:r>
      <w:r w:rsidR="005A7763" w:rsidRPr="000B4AB2">
        <w:rPr>
          <w:szCs w:val="18"/>
          <w:lang w:val="nl-NL"/>
        </w:rPr>
        <w:t xml:space="preserve"> </w:t>
      </w:r>
      <w:r w:rsidR="00C24A14">
        <w:rPr>
          <w:szCs w:val="18"/>
          <w:lang w:val="nl-NL"/>
        </w:rPr>
        <w:t>Deze</w:t>
      </w:r>
      <w:r w:rsidR="005A7763" w:rsidRPr="000B4AB2">
        <w:rPr>
          <w:szCs w:val="18"/>
          <w:lang w:val="nl-NL"/>
        </w:rPr>
        <w:t xml:space="preserve"> wet </w:t>
      </w:r>
      <w:r w:rsidR="00153B8C">
        <w:rPr>
          <w:szCs w:val="18"/>
          <w:lang w:val="nl-NL"/>
        </w:rPr>
        <w:t>zou</w:t>
      </w:r>
      <w:r w:rsidR="005A7763" w:rsidRPr="000B4AB2">
        <w:rPr>
          <w:szCs w:val="18"/>
          <w:lang w:val="nl-NL"/>
        </w:rPr>
        <w:t xml:space="preserve"> de hoeksteen </w:t>
      </w:r>
      <w:r w:rsidR="00153B8C">
        <w:rPr>
          <w:szCs w:val="18"/>
          <w:lang w:val="nl-NL"/>
        </w:rPr>
        <w:t xml:space="preserve">vormen </w:t>
      </w:r>
      <w:r w:rsidR="005A7763" w:rsidRPr="000B4AB2">
        <w:rPr>
          <w:szCs w:val="18"/>
          <w:lang w:val="nl-NL"/>
        </w:rPr>
        <w:t>van de strijd tegen seksueel geweld in België.</w:t>
      </w:r>
      <w:r w:rsidR="005A7763" w:rsidRPr="000B4AB2">
        <w:rPr>
          <w:rStyle w:val="FootnoteReference"/>
          <w:szCs w:val="18"/>
          <w:lang w:val="nl-NL"/>
        </w:rPr>
        <w:footnoteReference w:id="15"/>
      </w:r>
      <w:r w:rsidR="005A7763" w:rsidRPr="000B4AB2">
        <w:rPr>
          <w:szCs w:val="18"/>
          <w:lang w:val="nl-NL"/>
        </w:rPr>
        <w:t xml:space="preserve"> </w:t>
      </w:r>
    </w:p>
    <w:p w14:paraId="5593DA85" w14:textId="77777777" w:rsidR="007F7F78" w:rsidRPr="000B4AB2" w:rsidRDefault="007F7F78" w:rsidP="00260F11">
      <w:pPr>
        <w:pStyle w:val="ListParagraph"/>
        <w:spacing w:line="360" w:lineRule="auto"/>
        <w:rPr>
          <w:szCs w:val="18"/>
          <w:highlight w:val="yellow"/>
          <w:lang w:val="nl-NL"/>
        </w:rPr>
      </w:pPr>
    </w:p>
    <w:p w14:paraId="28DAE693" w14:textId="4A3B6A02" w:rsidR="00FB2E81" w:rsidRPr="00177E15" w:rsidRDefault="005A7763"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Probleemstelling en relevantie</w:t>
      </w:r>
      <w:r w:rsidRPr="000B4AB2">
        <w:rPr>
          <w:szCs w:val="18"/>
          <w:lang w:val="nl-NL"/>
        </w:rPr>
        <w:t xml:space="preserve">. Zoals elke hervorming, </w:t>
      </w:r>
      <w:r w:rsidR="003768A2">
        <w:rPr>
          <w:szCs w:val="18"/>
          <w:lang w:val="nl-NL"/>
        </w:rPr>
        <w:t>geeft</w:t>
      </w:r>
      <w:r w:rsidRPr="000B4AB2">
        <w:rPr>
          <w:szCs w:val="18"/>
          <w:lang w:val="nl-NL"/>
        </w:rPr>
        <w:t xml:space="preserve"> ook deze hervorming </w:t>
      </w:r>
      <w:r w:rsidR="003768A2">
        <w:rPr>
          <w:szCs w:val="18"/>
          <w:lang w:val="nl-NL"/>
        </w:rPr>
        <w:t xml:space="preserve">aanleiding tot </w:t>
      </w:r>
      <w:r w:rsidRPr="000B4AB2">
        <w:rPr>
          <w:szCs w:val="18"/>
          <w:lang w:val="nl-NL"/>
        </w:rPr>
        <w:t xml:space="preserve">een aantal vragen. </w:t>
      </w:r>
      <w:r w:rsidR="004D09D0">
        <w:rPr>
          <w:szCs w:val="18"/>
          <w:lang w:val="nl-NL"/>
        </w:rPr>
        <w:t xml:space="preserve">In welke mate bracht deze hervorming bijvoorbeeld werkelijk verbetering met zich mee en zijn deze verbeteringen nu reeds voelbaar? </w:t>
      </w:r>
      <w:r w:rsidRPr="000B4AB2">
        <w:rPr>
          <w:szCs w:val="18"/>
          <w:lang w:val="nl-NL"/>
        </w:rPr>
        <w:t xml:space="preserve">De volledige hervorming bespreken en evalueren, ligt evenwel buiten het bestek van deze masterscriptie. </w:t>
      </w:r>
      <w:r w:rsidR="004D09D0">
        <w:rPr>
          <w:szCs w:val="18"/>
          <w:lang w:val="nl-NL"/>
        </w:rPr>
        <w:t>Dit onderzoek</w:t>
      </w:r>
      <w:r w:rsidRPr="000B4AB2">
        <w:rPr>
          <w:szCs w:val="18"/>
          <w:lang w:val="nl-NL"/>
        </w:rPr>
        <w:t xml:space="preserve"> zal </w:t>
      </w:r>
      <w:r w:rsidR="00153B8C">
        <w:rPr>
          <w:szCs w:val="18"/>
          <w:lang w:val="nl-NL"/>
        </w:rPr>
        <w:t xml:space="preserve">zich </w:t>
      </w:r>
      <w:r w:rsidR="004D09D0">
        <w:rPr>
          <w:szCs w:val="18"/>
          <w:lang w:val="nl-NL"/>
        </w:rPr>
        <w:t>dan ook</w:t>
      </w:r>
      <w:r w:rsidRPr="000B4AB2">
        <w:rPr>
          <w:szCs w:val="18"/>
          <w:lang w:val="nl-NL"/>
        </w:rPr>
        <w:t xml:space="preserve"> </w:t>
      </w:r>
      <w:r w:rsidR="004D09D0">
        <w:rPr>
          <w:szCs w:val="18"/>
          <w:lang w:val="nl-NL"/>
        </w:rPr>
        <w:t>toespitsen</w:t>
      </w:r>
      <w:r w:rsidRPr="000B4AB2">
        <w:rPr>
          <w:szCs w:val="18"/>
          <w:lang w:val="nl-NL"/>
        </w:rPr>
        <w:t xml:space="preserve"> op </w:t>
      </w:r>
      <w:r w:rsidR="0095242E">
        <w:rPr>
          <w:szCs w:val="18"/>
          <w:lang w:val="nl-NL"/>
        </w:rPr>
        <w:t xml:space="preserve">de evaluatie van </w:t>
      </w:r>
      <w:r w:rsidRPr="000B4AB2">
        <w:rPr>
          <w:szCs w:val="18"/>
          <w:lang w:val="nl-NL"/>
        </w:rPr>
        <w:t xml:space="preserve">twee misdrijven: verkrachting en aantasting van de seksuele integriteit, </w:t>
      </w:r>
      <w:r w:rsidR="003768A2">
        <w:rPr>
          <w:szCs w:val="18"/>
          <w:lang w:val="nl-NL"/>
        </w:rPr>
        <w:t xml:space="preserve">dit laatste was </w:t>
      </w:r>
      <w:r w:rsidRPr="000B4AB2">
        <w:rPr>
          <w:szCs w:val="18"/>
          <w:lang w:val="nl-NL"/>
        </w:rPr>
        <w:t>vroeger gekend als “aanranding van de eerbaarheid”.</w:t>
      </w:r>
      <w:r w:rsidR="004D09D0">
        <w:rPr>
          <w:szCs w:val="18"/>
          <w:lang w:val="nl-NL"/>
        </w:rPr>
        <w:t xml:space="preserve"> Daarnaast</w:t>
      </w:r>
      <w:r w:rsidR="004D09D0" w:rsidRPr="000B4AB2">
        <w:rPr>
          <w:szCs w:val="18"/>
          <w:lang w:val="nl-NL"/>
        </w:rPr>
        <w:t xml:space="preserve"> zal </w:t>
      </w:r>
      <w:r w:rsidR="004D09D0">
        <w:rPr>
          <w:szCs w:val="18"/>
          <w:lang w:val="nl-NL"/>
        </w:rPr>
        <w:t>dit onderzoek tevens stilstaan</w:t>
      </w:r>
      <w:r w:rsidR="004D09D0" w:rsidRPr="000B4AB2">
        <w:rPr>
          <w:szCs w:val="18"/>
          <w:lang w:val="nl-NL"/>
        </w:rPr>
        <w:t xml:space="preserve"> bij de temporele werking van de nieuwe strafbaarstellingen</w:t>
      </w:r>
      <w:r w:rsidR="004D09D0">
        <w:rPr>
          <w:szCs w:val="18"/>
          <w:lang w:val="nl-NL"/>
        </w:rPr>
        <w:t>.</w:t>
      </w:r>
    </w:p>
    <w:p w14:paraId="70447B94" w14:textId="0167A128" w:rsidR="004D09D0" w:rsidRDefault="004D09D0" w:rsidP="00260F11">
      <w:pPr>
        <w:spacing w:line="360" w:lineRule="auto"/>
        <w:rPr>
          <w:color w:val="000000" w:themeColor="text1"/>
          <w:szCs w:val="18"/>
          <w:lang w:val="nl-NL"/>
        </w:rPr>
      </w:pPr>
    </w:p>
    <w:p w14:paraId="473AE3DD" w14:textId="7538134D" w:rsidR="00FB2E81" w:rsidRDefault="004D09D0" w:rsidP="00260F11">
      <w:pPr>
        <w:pStyle w:val="ListParagraph"/>
        <w:spacing w:line="360" w:lineRule="auto"/>
        <w:ind w:left="0"/>
        <w:rPr>
          <w:szCs w:val="18"/>
          <w:lang w:val="nl-NL"/>
        </w:rPr>
      </w:pPr>
      <w:r w:rsidRPr="000B4AB2">
        <w:rPr>
          <w:szCs w:val="18"/>
          <w:lang w:val="nl-NL"/>
        </w:rPr>
        <w:t>De relevantie van d</w:t>
      </w:r>
      <w:r w:rsidR="00153B8C">
        <w:rPr>
          <w:szCs w:val="18"/>
          <w:lang w:val="nl-NL"/>
        </w:rPr>
        <w:t xml:space="preserve">it onderzoek </w:t>
      </w:r>
      <w:r w:rsidRPr="000B4AB2">
        <w:rPr>
          <w:szCs w:val="18"/>
          <w:lang w:val="nl-NL"/>
        </w:rPr>
        <w:t xml:space="preserve">situeert zich </w:t>
      </w:r>
      <w:r w:rsidR="00FB2E81">
        <w:rPr>
          <w:szCs w:val="18"/>
          <w:lang w:val="nl-NL"/>
        </w:rPr>
        <w:t>dan ook in de eerste plaats</w:t>
      </w:r>
      <w:r w:rsidRPr="000B4AB2">
        <w:rPr>
          <w:szCs w:val="18"/>
          <w:lang w:val="nl-NL"/>
        </w:rPr>
        <w:t xml:space="preserve"> op academisch vlak</w:t>
      </w:r>
      <w:r>
        <w:rPr>
          <w:szCs w:val="18"/>
          <w:lang w:val="nl-NL"/>
        </w:rPr>
        <w:t xml:space="preserve">. </w:t>
      </w:r>
      <w:r w:rsidR="002266F2">
        <w:rPr>
          <w:szCs w:val="18"/>
          <w:lang w:val="nl-NL"/>
        </w:rPr>
        <w:t>Toch zal dit onderzoek eveneens nuttig kunnen</w:t>
      </w:r>
      <w:r w:rsidR="00FB2E81">
        <w:rPr>
          <w:szCs w:val="18"/>
          <w:lang w:val="nl-NL"/>
        </w:rPr>
        <w:t xml:space="preserve"> </w:t>
      </w:r>
      <w:r>
        <w:rPr>
          <w:szCs w:val="18"/>
          <w:lang w:val="nl-NL"/>
        </w:rPr>
        <w:t>zijn voor</w:t>
      </w:r>
      <w:r w:rsidRPr="000B4AB2">
        <w:rPr>
          <w:szCs w:val="18"/>
          <w:lang w:val="nl-NL"/>
        </w:rPr>
        <w:t xml:space="preserve"> de </w:t>
      </w:r>
      <w:r>
        <w:rPr>
          <w:szCs w:val="18"/>
          <w:lang w:val="nl-NL"/>
        </w:rPr>
        <w:t>rechts</w:t>
      </w:r>
      <w:r w:rsidRPr="000B4AB2">
        <w:rPr>
          <w:szCs w:val="18"/>
          <w:lang w:val="nl-NL"/>
        </w:rPr>
        <w:t>praktijk</w:t>
      </w:r>
      <w:r>
        <w:rPr>
          <w:szCs w:val="18"/>
          <w:lang w:val="nl-NL"/>
        </w:rPr>
        <w:t>,</w:t>
      </w:r>
      <w:r w:rsidRPr="000B4AB2">
        <w:rPr>
          <w:szCs w:val="18"/>
          <w:lang w:val="nl-NL"/>
        </w:rPr>
        <w:t xml:space="preserve"> </w:t>
      </w:r>
      <w:r>
        <w:rPr>
          <w:szCs w:val="18"/>
          <w:lang w:val="nl-NL"/>
        </w:rPr>
        <w:t>in het bijzonder gelet op de</w:t>
      </w:r>
      <w:r w:rsidRPr="000B4AB2">
        <w:rPr>
          <w:szCs w:val="18"/>
          <w:lang w:val="nl-NL"/>
        </w:rPr>
        <w:t xml:space="preserve"> temporele werking </w:t>
      </w:r>
      <w:r>
        <w:rPr>
          <w:szCs w:val="18"/>
          <w:lang w:val="nl-NL"/>
        </w:rPr>
        <w:t>van de strafbaarstellingen</w:t>
      </w:r>
      <w:r w:rsidR="002266F2">
        <w:rPr>
          <w:szCs w:val="18"/>
          <w:lang w:val="nl-NL"/>
        </w:rPr>
        <w:t>.</w:t>
      </w:r>
      <w:r>
        <w:rPr>
          <w:szCs w:val="18"/>
          <w:lang w:val="nl-NL"/>
        </w:rPr>
        <w:t xml:space="preserve"> </w:t>
      </w:r>
      <w:r w:rsidR="002266F2">
        <w:rPr>
          <w:szCs w:val="18"/>
          <w:lang w:val="nl-NL"/>
        </w:rPr>
        <w:t>Dit zal immers</w:t>
      </w:r>
      <w:r>
        <w:rPr>
          <w:szCs w:val="18"/>
          <w:lang w:val="nl-NL"/>
        </w:rPr>
        <w:t xml:space="preserve"> aanleiding geven </w:t>
      </w:r>
      <w:r w:rsidRPr="000B4AB2">
        <w:rPr>
          <w:szCs w:val="18"/>
          <w:lang w:val="nl-NL"/>
        </w:rPr>
        <w:t>tot heel wat discussies</w:t>
      </w:r>
      <w:r w:rsidR="002266F2">
        <w:rPr>
          <w:szCs w:val="18"/>
          <w:lang w:val="nl-NL"/>
        </w:rPr>
        <w:t xml:space="preserve"> in de praktijk</w:t>
      </w:r>
      <w:r w:rsidRPr="000B4AB2">
        <w:rPr>
          <w:szCs w:val="18"/>
          <w:lang w:val="nl-NL"/>
        </w:rPr>
        <w:t>.</w:t>
      </w:r>
      <w:r w:rsidRPr="000B4AB2">
        <w:rPr>
          <w:rStyle w:val="FootnoteReference"/>
          <w:szCs w:val="18"/>
          <w:lang w:val="nl-NL"/>
        </w:rPr>
        <w:footnoteReference w:id="16"/>
      </w:r>
    </w:p>
    <w:p w14:paraId="0CD96734" w14:textId="77777777" w:rsidR="00FB2E81" w:rsidRPr="00FB2E81" w:rsidRDefault="00FB2E81" w:rsidP="00260F11">
      <w:pPr>
        <w:pStyle w:val="ListParagraph"/>
        <w:spacing w:line="360" w:lineRule="auto"/>
        <w:ind w:left="0"/>
        <w:rPr>
          <w:szCs w:val="18"/>
          <w:lang w:val="nl-NL"/>
        </w:rPr>
      </w:pPr>
    </w:p>
    <w:p w14:paraId="6DD8E1A0" w14:textId="75DA38A1" w:rsidR="001B13D5" w:rsidRPr="00177E15" w:rsidRDefault="005A7763" w:rsidP="00260F11">
      <w:pPr>
        <w:pStyle w:val="ListParagraph"/>
        <w:numPr>
          <w:ilvl w:val="0"/>
          <w:numId w:val="1"/>
        </w:numPr>
        <w:spacing w:line="360" w:lineRule="auto"/>
        <w:ind w:left="0" w:hanging="709"/>
        <w:rPr>
          <w:color w:val="000000" w:themeColor="text1"/>
          <w:szCs w:val="18"/>
          <w:lang w:val="nl-NL"/>
        </w:rPr>
      </w:pPr>
      <w:r w:rsidRPr="00FB2E81">
        <w:rPr>
          <w:b/>
          <w:szCs w:val="18"/>
          <w:lang w:val="nl-NL"/>
        </w:rPr>
        <w:t>Beperkingen</w:t>
      </w:r>
      <w:r w:rsidRPr="00FB2E81">
        <w:rPr>
          <w:szCs w:val="18"/>
          <w:lang w:val="nl-NL"/>
        </w:rPr>
        <w:t>.</w:t>
      </w:r>
      <w:r w:rsidR="00754CEC" w:rsidRPr="00FB2E81">
        <w:rPr>
          <w:szCs w:val="18"/>
          <w:lang w:val="nl-NL"/>
        </w:rPr>
        <w:t xml:space="preserve"> </w:t>
      </w:r>
      <w:r w:rsidRPr="00FB2E81">
        <w:rPr>
          <w:szCs w:val="18"/>
          <w:lang w:val="nl-NL"/>
        </w:rPr>
        <w:t xml:space="preserve">Dit onderzoek spitst zich toe op </w:t>
      </w:r>
      <w:r w:rsidR="000138AE" w:rsidRPr="00FB2E81">
        <w:rPr>
          <w:szCs w:val="18"/>
          <w:lang w:val="nl-NL"/>
        </w:rPr>
        <w:t xml:space="preserve">de </w:t>
      </w:r>
      <w:r w:rsidR="004A6C03" w:rsidRPr="00FB2E81">
        <w:rPr>
          <w:szCs w:val="18"/>
          <w:lang w:val="nl-NL"/>
        </w:rPr>
        <w:t xml:space="preserve">constitutieve bestanddelen van de </w:t>
      </w:r>
      <w:r w:rsidR="000138AE" w:rsidRPr="00FB2E81">
        <w:rPr>
          <w:szCs w:val="18"/>
          <w:lang w:val="nl-NL"/>
        </w:rPr>
        <w:t>basismis</w:t>
      </w:r>
      <w:r w:rsidR="00AB687A">
        <w:rPr>
          <w:szCs w:val="18"/>
          <w:lang w:val="nl-NL"/>
        </w:rPr>
        <w:t>d</w:t>
      </w:r>
      <w:r w:rsidR="000138AE" w:rsidRPr="00FB2E81">
        <w:rPr>
          <w:szCs w:val="18"/>
          <w:lang w:val="nl-NL"/>
        </w:rPr>
        <w:t xml:space="preserve">rijven </w:t>
      </w:r>
      <w:r w:rsidRPr="00FB2E81">
        <w:rPr>
          <w:szCs w:val="18"/>
          <w:lang w:val="nl-NL"/>
        </w:rPr>
        <w:t xml:space="preserve">aantasting van de seksuele </w:t>
      </w:r>
      <w:r w:rsidRPr="00177E15">
        <w:rPr>
          <w:szCs w:val="18"/>
          <w:lang w:val="nl-NL"/>
        </w:rPr>
        <w:t>integriteit</w:t>
      </w:r>
      <w:r w:rsidR="00323ABF" w:rsidRPr="00177E15">
        <w:rPr>
          <w:szCs w:val="18"/>
          <w:lang w:val="nl-NL"/>
        </w:rPr>
        <w:t xml:space="preserve"> en verkrachting</w:t>
      </w:r>
      <w:r w:rsidRPr="00177E15">
        <w:rPr>
          <w:szCs w:val="18"/>
          <w:lang w:val="nl-NL"/>
        </w:rPr>
        <w:t>.</w:t>
      </w:r>
      <w:r w:rsidR="000B5A6C" w:rsidRPr="00177E15">
        <w:rPr>
          <w:rStyle w:val="FootnoteReference"/>
          <w:szCs w:val="18"/>
          <w:lang w:val="nl-NL"/>
        </w:rPr>
        <w:footnoteReference w:id="17"/>
      </w:r>
      <w:r w:rsidRPr="00177E15">
        <w:rPr>
          <w:szCs w:val="18"/>
          <w:lang w:val="nl-NL"/>
        </w:rPr>
        <w:t xml:space="preserve"> </w:t>
      </w:r>
      <w:r w:rsidR="00406018" w:rsidRPr="00177E15">
        <w:rPr>
          <w:szCs w:val="18"/>
          <w:lang w:val="nl-NL"/>
        </w:rPr>
        <w:t xml:space="preserve">Gelet op de focus van het onderzoek evenals de </w:t>
      </w:r>
      <w:r w:rsidR="00153B8C">
        <w:rPr>
          <w:szCs w:val="18"/>
          <w:lang w:val="nl-NL"/>
        </w:rPr>
        <w:t>opgelegde</w:t>
      </w:r>
      <w:r w:rsidR="00406018" w:rsidRPr="00177E15">
        <w:rPr>
          <w:szCs w:val="18"/>
          <w:lang w:val="nl-NL"/>
        </w:rPr>
        <w:t xml:space="preserve"> omvang ervan, kent dit onderzoek ook beperkingen. </w:t>
      </w:r>
      <w:r w:rsidR="00532687" w:rsidRPr="00177E15">
        <w:rPr>
          <w:szCs w:val="18"/>
          <w:lang w:val="nl-NL"/>
        </w:rPr>
        <w:t xml:space="preserve">Aantasting van de seksuele integriteit “bij gelijkstelling”, toegevoegd in het tweede lid van artikel 417/7 </w:t>
      </w:r>
      <w:r w:rsidR="00F3504F">
        <w:rPr>
          <w:szCs w:val="18"/>
          <w:lang w:val="nl-NL"/>
        </w:rPr>
        <w:t xml:space="preserve">van het </w:t>
      </w:r>
      <w:r w:rsidR="00532687" w:rsidRPr="00177E15">
        <w:rPr>
          <w:szCs w:val="18"/>
          <w:lang w:val="nl-NL"/>
        </w:rPr>
        <w:t xml:space="preserve">Strafwetboek, blijft </w:t>
      </w:r>
      <w:r w:rsidR="00837CA8">
        <w:rPr>
          <w:szCs w:val="18"/>
          <w:lang w:val="nl-NL"/>
        </w:rPr>
        <w:t>bijvoorbeeld</w:t>
      </w:r>
      <w:r w:rsidR="00532687" w:rsidRPr="00177E15">
        <w:rPr>
          <w:szCs w:val="18"/>
          <w:lang w:val="nl-NL"/>
        </w:rPr>
        <w:t xml:space="preserve"> buiten beschouwing. Evenmin wordt het derde lid van voornoemd artikel uitvoerig besproken, waarin wordt bepaald dat aantasting bestaat van zodra er een begin van uitvoering is. </w:t>
      </w:r>
    </w:p>
    <w:p w14:paraId="3040AC51" w14:textId="77777777" w:rsidR="001B13D5" w:rsidRPr="00177E15" w:rsidRDefault="001B13D5" w:rsidP="00260F11">
      <w:pPr>
        <w:pStyle w:val="ListParagraph"/>
        <w:spacing w:line="360" w:lineRule="auto"/>
        <w:ind w:left="0"/>
        <w:rPr>
          <w:b/>
          <w:szCs w:val="18"/>
          <w:lang w:val="nl-NL"/>
        </w:rPr>
      </w:pPr>
    </w:p>
    <w:p w14:paraId="347455C8" w14:textId="33C685FD" w:rsidR="00C877E2" w:rsidRPr="00177E15" w:rsidRDefault="00C877E2" w:rsidP="00260F11">
      <w:pPr>
        <w:pStyle w:val="ListParagraph"/>
        <w:spacing w:line="360" w:lineRule="auto"/>
        <w:ind w:left="0"/>
        <w:rPr>
          <w:szCs w:val="18"/>
          <w:lang w:val="nl-NL"/>
        </w:rPr>
      </w:pPr>
      <w:r w:rsidRPr="00177E15">
        <w:rPr>
          <w:szCs w:val="18"/>
          <w:lang w:val="nl-NL"/>
        </w:rPr>
        <w:lastRenderedPageBreak/>
        <w:t xml:space="preserve">Voor de concrete invulling van de constitutieve bestanddelen van aantasting van de seksuele integriteit en verkrachting, dienen eveneens de artikelen 417/5 en 417/6 </w:t>
      </w:r>
      <w:r w:rsidR="0081584B">
        <w:rPr>
          <w:szCs w:val="18"/>
          <w:lang w:val="nl-NL"/>
        </w:rPr>
        <w:t xml:space="preserve">van het </w:t>
      </w:r>
      <w:r w:rsidRPr="00177E15">
        <w:rPr>
          <w:szCs w:val="18"/>
          <w:lang w:val="nl-NL"/>
        </w:rPr>
        <w:t xml:space="preserve">Strafwetboek te worden betrokken. Hierin wordt voorzien in een overkoepelende definitie van toestemming m.b.t. het seksueel zelfbeschikkingsrecht evenals een uniforme leeftijd m.b.t. de seksuele meerderjarigheid. Daarbij blijven evenwel de specifieke daderhoedanigheden uit art. 417/6, </w:t>
      </w:r>
      <w:r w:rsidR="0081584B">
        <w:rPr>
          <w:szCs w:val="18"/>
          <w:lang w:val="nl-NL"/>
        </w:rPr>
        <w:t xml:space="preserve">paragraaf </w:t>
      </w:r>
      <w:r w:rsidRPr="00177E15">
        <w:rPr>
          <w:szCs w:val="18"/>
          <w:lang w:val="nl-NL"/>
        </w:rPr>
        <w:t xml:space="preserve">3 </w:t>
      </w:r>
      <w:r w:rsidR="0081584B">
        <w:rPr>
          <w:szCs w:val="18"/>
          <w:lang w:val="nl-NL"/>
        </w:rPr>
        <w:t xml:space="preserve">van het </w:t>
      </w:r>
      <w:r w:rsidRPr="00177E15">
        <w:rPr>
          <w:szCs w:val="18"/>
          <w:lang w:val="nl-NL"/>
        </w:rPr>
        <w:t>Strafwetboek buiten beschouwing die voornoemde leeftijdsgrens uitzonderlijk naar achttien jaar verplaatsen.</w:t>
      </w:r>
      <w:r w:rsidR="00E94E7B" w:rsidRPr="00177E15">
        <w:rPr>
          <w:szCs w:val="18"/>
          <w:lang w:val="nl-NL"/>
        </w:rPr>
        <w:t xml:space="preserve"> </w:t>
      </w:r>
    </w:p>
    <w:p w14:paraId="52ACB867" w14:textId="77777777" w:rsidR="00C877E2" w:rsidRPr="00177E15" w:rsidRDefault="00C877E2" w:rsidP="00260F11">
      <w:pPr>
        <w:pStyle w:val="ListParagraph"/>
        <w:spacing w:line="360" w:lineRule="auto"/>
        <w:ind w:left="0"/>
        <w:rPr>
          <w:b/>
          <w:szCs w:val="18"/>
          <w:lang w:val="nl-NL"/>
        </w:rPr>
      </w:pPr>
    </w:p>
    <w:p w14:paraId="0B3FB361" w14:textId="09CDEBBE" w:rsidR="007F7F78" w:rsidRDefault="005A7763" w:rsidP="00260F11">
      <w:pPr>
        <w:pStyle w:val="ListParagraph"/>
        <w:spacing w:line="360" w:lineRule="auto"/>
        <w:ind w:left="0"/>
        <w:rPr>
          <w:szCs w:val="18"/>
          <w:lang w:val="nl-NL"/>
        </w:rPr>
      </w:pPr>
      <w:r w:rsidRPr="00177E15">
        <w:rPr>
          <w:szCs w:val="18"/>
          <w:lang w:val="nl-NL"/>
        </w:rPr>
        <w:t>De andere elementen van de hervorming van het Belgisch seksueel strafrecht</w:t>
      </w:r>
      <w:r w:rsidR="000138AE" w:rsidRPr="00177E15">
        <w:rPr>
          <w:szCs w:val="18"/>
          <w:lang w:val="nl-NL"/>
        </w:rPr>
        <w:t xml:space="preserve"> </w:t>
      </w:r>
      <w:r w:rsidR="000D1A7D" w:rsidRPr="00177E15">
        <w:rPr>
          <w:szCs w:val="18"/>
          <w:lang w:val="nl-NL"/>
        </w:rPr>
        <w:t>zoals o.m.</w:t>
      </w:r>
      <w:r w:rsidR="000138AE" w:rsidRPr="00177E15">
        <w:rPr>
          <w:szCs w:val="18"/>
          <w:lang w:val="nl-NL"/>
        </w:rPr>
        <w:t xml:space="preserve"> de verzwaarde misdrijven</w:t>
      </w:r>
      <w:r w:rsidR="000D1A7D" w:rsidRPr="00177E15">
        <w:rPr>
          <w:rStyle w:val="FootnoteReference"/>
          <w:szCs w:val="18"/>
          <w:lang w:val="nl-NL"/>
        </w:rPr>
        <w:footnoteReference w:id="18"/>
      </w:r>
      <w:r w:rsidR="000138AE" w:rsidRPr="00177E15">
        <w:rPr>
          <w:szCs w:val="18"/>
          <w:lang w:val="nl-NL"/>
        </w:rPr>
        <w:t xml:space="preserve"> </w:t>
      </w:r>
      <w:r w:rsidR="000D1A7D" w:rsidRPr="00177E15">
        <w:rPr>
          <w:szCs w:val="18"/>
          <w:lang w:val="nl-NL"/>
        </w:rPr>
        <w:t>en de verzwarende factoren</w:t>
      </w:r>
      <w:r w:rsidR="000D1A7D" w:rsidRPr="00177E15">
        <w:rPr>
          <w:rStyle w:val="FootnoteReference"/>
          <w:szCs w:val="18"/>
          <w:lang w:val="nl-NL"/>
        </w:rPr>
        <w:footnoteReference w:id="19"/>
      </w:r>
      <w:r w:rsidR="000D1A7D" w:rsidRPr="00177E15">
        <w:rPr>
          <w:szCs w:val="18"/>
          <w:lang w:val="nl-NL"/>
        </w:rPr>
        <w:t xml:space="preserve"> </w:t>
      </w:r>
      <w:r w:rsidRPr="00177E15">
        <w:rPr>
          <w:szCs w:val="18"/>
          <w:lang w:val="nl-NL"/>
        </w:rPr>
        <w:t>blijven in beginsel</w:t>
      </w:r>
      <w:r w:rsidR="00532687" w:rsidRPr="00177E15">
        <w:rPr>
          <w:szCs w:val="18"/>
          <w:lang w:val="nl-NL"/>
        </w:rPr>
        <w:t xml:space="preserve"> </w:t>
      </w:r>
      <w:r w:rsidR="002266F2">
        <w:rPr>
          <w:szCs w:val="18"/>
          <w:lang w:val="nl-NL"/>
        </w:rPr>
        <w:t>ook</w:t>
      </w:r>
      <w:r w:rsidRPr="00177E15">
        <w:rPr>
          <w:szCs w:val="18"/>
          <w:lang w:val="nl-NL"/>
        </w:rPr>
        <w:t xml:space="preserve"> buiten beschouwing.</w:t>
      </w:r>
      <w:r w:rsidR="000138AE" w:rsidRPr="00177E15">
        <w:rPr>
          <w:szCs w:val="18"/>
          <w:lang w:val="nl-NL"/>
        </w:rPr>
        <w:t xml:space="preserve"> </w:t>
      </w:r>
      <w:r w:rsidR="004A6C03" w:rsidRPr="00177E15">
        <w:rPr>
          <w:szCs w:val="18"/>
          <w:lang w:val="nl-NL"/>
        </w:rPr>
        <w:t>Evenmin worden de bijbehorende straffen besproken.</w:t>
      </w:r>
      <w:r w:rsidR="0053160E" w:rsidRPr="00C877E2">
        <w:rPr>
          <w:szCs w:val="18"/>
          <w:lang w:val="nl-NL"/>
        </w:rPr>
        <w:t xml:space="preserve"> </w:t>
      </w:r>
    </w:p>
    <w:p w14:paraId="4D391ADE" w14:textId="22C89237" w:rsidR="00406018" w:rsidRDefault="00406018" w:rsidP="00260F11">
      <w:pPr>
        <w:pStyle w:val="ListParagraph"/>
        <w:spacing w:line="360" w:lineRule="auto"/>
        <w:ind w:left="0"/>
        <w:rPr>
          <w:szCs w:val="18"/>
          <w:lang w:val="nl-NL"/>
        </w:rPr>
      </w:pPr>
    </w:p>
    <w:p w14:paraId="1AAF19A4" w14:textId="4A775815" w:rsidR="00752645" w:rsidRPr="00C877E2" w:rsidRDefault="00406018" w:rsidP="00260F11">
      <w:pPr>
        <w:pStyle w:val="ListParagraph"/>
        <w:spacing w:line="360" w:lineRule="auto"/>
        <w:ind w:left="0"/>
        <w:rPr>
          <w:szCs w:val="18"/>
          <w:lang w:val="nl-NL"/>
        </w:rPr>
      </w:pPr>
      <w:r>
        <w:rPr>
          <w:szCs w:val="18"/>
          <w:lang w:val="nl-NL"/>
        </w:rPr>
        <w:t>Bovenstaande beperkingen van dit onderzoek tonen uiteraard aan dat er keuzes moesten worden gemaakt m.b.t. wat precies zou worden onderzocht</w:t>
      </w:r>
      <w:r w:rsidR="002266F2">
        <w:rPr>
          <w:szCs w:val="18"/>
          <w:lang w:val="nl-NL"/>
        </w:rPr>
        <w:t xml:space="preserve"> in deze masterscriptie</w:t>
      </w:r>
      <w:r>
        <w:rPr>
          <w:szCs w:val="18"/>
          <w:lang w:val="nl-NL"/>
        </w:rPr>
        <w:t xml:space="preserve">. Dit onderzoek vormt aldus geen sluitend werk omtrent dit onderwerp. Tegelijkertijd en misschien zelfs bovenal, tonen deze beperkingen de veelzijdigheid aan van het onderwerp </w:t>
      </w:r>
      <w:r w:rsidR="00E94E7B">
        <w:rPr>
          <w:szCs w:val="18"/>
          <w:lang w:val="nl-NL"/>
        </w:rPr>
        <w:t>alsook de</w:t>
      </w:r>
      <w:r>
        <w:rPr>
          <w:szCs w:val="18"/>
          <w:lang w:val="nl-NL"/>
        </w:rPr>
        <w:t xml:space="preserve"> mogelijkheden naar verder</w:t>
      </w:r>
      <w:r w:rsidR="00E94E7B">
        <w:rPr>
          <w:szCs w:val="18"/>
          <w:lang w:val="nl-NL"/>
        </w:rPr>
        <w:t xml:space="preserve"> </w:t>
      </w:r>
      <w:r>
        <w:rPr>
          <w:szCs w:val="18"/>
          <w:lang w:val="nl-NL"/>
        </w:rPr>
        <w:t>onderzoek.</w:t>
      </w:r>
    </w:p>
    <w:p w14:paraId="148F5D8E" w14:textId="77777777" w:rsidR="00754CEC" w:rsidRPr="000B4AB2" w:rsidRDefault="00754CEC" w:rsidP="00260F11">
      <w:pPr>
        <w:pStyle w:val="ListParagraph"/>
        <w:spacing w:line="360" w:lineRule="auto"/>
        <w:ind w:left="0"/>
        <w:rPr>
          <w:szCs w:val="18"/>
          <w:lang w:val="nl-NL"/>
        </w:rPr>
      </w:pPr>
    </w:p>
    <w:p w14:paraId="0C603DAA" w14:textId="38D1A2CC" w:rsidR="00752645" w:rsidRPr="00752645" w:rsidRDefault="005A7763"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Onderzoeksvragen</w:t>
      </w:r>
      <w:r w:rsidRPr="000B4AB2">
        <w:rPr>
          <w:szCs w:val="18"/>
          <w:lang w:val="nl-NL"/>
        </w:rPr>
        <w:t xml:space="preserve">. De centrale onderzoeksvraag van </w:t>
      </w:r>
      <w:r w:rsidR="00EB70D5" w:rsidRPr="000B4AB2">
        <w:rPr>
          <w:szCs w:val="18"/>
          <w:lang w:val="nl-NL"/>
        </w:rPr>
        <w:t>deze masterscriptie</w:t>
      </w:r>
      <w:r w:rsidRPr="000B4AB2">
        <w:rPr>
          <w:szCs w:val="18"/>
          <w:lang w:val="nl-NL"/>
        </w:rPr>
        <w:t xml:space="preserve"> luidt als volgt: </w:t>
      </w:r>
      <w:r w:rsidR="00CE0AE0" w:rsidRPr="000B4AB2">
        <w:rPr>
          <w:szCs w:val="18"/>
          <w:lang w:val="nl-NL"/>
        </w:rPr>
        <w:t>“</w:t>
      </w:r>
      <w:r w:rsidRPr="000B4AB2">
        <w:rPr>
          <w:szCs w:val="18"/>
          <w:lang w:val="nl-NL"/>
        </w:rPr>
        <w:t xml:space="preserve">In welke mate is de hervorming van de strafbaarstellingen van aantasting van de seksuele integriteit </w:t>
      </w:r>
      <w:r w:rsidR="000A200E">
        <w:rPr>
          <w:szCs w:val="18"/>
          <w:lang w:val="nl-NL"/>
        </w:rPr>
        <w:t xml:space="preserve">en verkrachting </w:t>
      </w:r>
      <w:r w:rsidR="00053DF7" w:rsidRPr="000B4AB2">
        <w:rPr>
          <w:szCs w:val="18"/>
          <w:lang w:val="nl-NL"/>
        </w:rPr>
        <w:t>op dit ogenblik reeds</w:t>
      </w:r>
      <w:r w:rsidR="006D5996" w:rsidRPr="000B4AB2">
        <w:rPr>
          <w:szCs w:val="18"/>
          <w:lang w:val="nl-NL"/>
        </w:rPr>
        <w:t xml:space="preserve"> </w:t>
      </w:r>
      <w:r w:rsidRPr="000B4AB2">
        <w:rPr>
          <w:szCs w:val="18"/>
          <w:lang w:val="nl-NL"/>
        </w:rPr>
        <w:t xml:space="preserve">aan te merken als een positieve evolutie, mede gelet op de </w:t>
      </w:r>
      <w:r w:rsidR="00904610">
        <w:rPr>
          <w:szCs w:val="18"/>
          <w:lang w:val="nl-NL"/>
        </w:rPr>
        <w:t xml:space="preserve">pijnpunten van de </w:t>
      </w:r>
      <w:r w:rsidRPr="000B4AB2">
        <w:rPr>
          <w:szCs w:val="18"/>
          <w:lang w:val="nl-NL"/>
        </w:rPr>
        <w:t>oude corresponderende strafbaarstellingen evenals het Brits recht?</w:t>
      </w:r>
      <w:r w:rsidR="00CE0AE0" w:rsidRPr="000B4AB2">
        <w:rPr>
          <w:szCs w:val="18"/>
          <w:lang w:val="nl-NL"/>
        </w:rPr>
        <w:t>”</w:t>
      </w:r>
      <w:r w:rsidRPr="000B4AB2">
        <w:rPr>
          <w:color w:val="000000" w:themeColor="text1"/>
          <w:szCs w:val="18"/>
          <w:lang w:val="nl-NL"/>
        </w:rPr>
        <w:t>.</w:t>
      </w:r>
      <w:r w:rsidRPr="000B4AB2">
        <w:rPr>
          <w:rStyle w:val="FootnoteReference"/>
          <w:color w:val="000000" w:themeColor="text1"/>
          <w:szCs w:val="18"/>
          <w:lang w:val="nl-NL"/>
        </w:rPr>
        <w:footnoteReference w:id="20"/>
      </w:r>
      <w:r w:rsidRPr="000B4AB2">
        <w:rPr>
          <w:color w:val="000000" w:themeColor="text1"/>
          <w:szCs w:val="18"/>
          <w:lang w:val="nl-NL"/>
        </w:rPr>
        <w:t xml:space="preserve"> </w:t>
      </w:r>
    </w:p>
    <w:p w14:paraId="70BB851E" w14:textId="77777777" w:rsidR="00FB2E81" w:rsidRPr="00FB2E81" w:rsidRDefault="00FB2E81" w:rsidP="00260F11">
      <w:pPr>
        <w:pStyle w:val="ListParagraph"/>
        <w:spacing w:line="360" w:lineRule="auto"/>
        <w:ind w:left="0"/>
        <w:rPr>
          <w:color w:val="000000" w:themeColor="text1"/>
          <w:szCs w:val="18"/>
          <w:lang w:val="nl-NL"/>
        </w:rPr>
      </w:pPr>
    </w:p>
    <w:p w14:paraId="74D8B473" w14:textId="093436B3" w:rsidR="005A7763" w:rsidRPr="000B4AB2" w:rsidRDefault="005A7763" w:rsidP="00260F11">
      <w:pPr>
        <w:pStyle w:val="ListParagraph"/>
        <w:spacing w:line="360" w:lineRule="auto"/>
        <w:ind w:left="0"/>
        <w:rPr>
          <w:szCs w:val="18"/>
          <w:lang w:val="nl-NL"/>
        </w:rPr>
      </w:pPr>
      <w:r w:rsidRPr="000B4AB2">
        <w:rPr>
          <w:color w:val="000000" w:themeColor="text1"/>
          <w:szCs w:val="18"/>
          <w:lang w:val="nl-NL"/>
        </w:rPr>
        <w:t xml:space="preserve">Om een antwoord te kunnen formuleren op </w:t>
      </w:r>
      <w:r w:rsidR="00CE0AE0" w:rsidRPr="000B4AB2">
        <w:rPr>
          <w:color w:val="000000" w:themeColor="text1"/>
          <w:szCs w:val="18"/>
          <w:lang w:val="nl-NL"/>
        </w:rPr>
        <w:t>deze</w:t>
      </w:r>
      <w:r w:rsidRPr="000B4AB2">
        <w:rPr>
          <w:color w:val="000000" w:themeColor="text1"/>
          <w:szCs w:val="18"/>
          <w:lang w:val="nl-NL"/>
        </w:rPr>
        <w:t xml:space="preserve"> centrale onderzoeksvraag, zullen </w:t>
      </w:r>
      <w:r w:rsidR="00CE0AE0" w:rsidRPr="000B4AB2">
        <w:rPr>
          <w:color w:val="000000" w:themeColor="text1"/>
          <w:szCs w:val="18"/>
          <w:lang w:val="nl-NL"/>
        </w:rPr>
        <w:t xml:space="preserve">de </w:t>
      </w:r>
      <w:r w:rsidRPr="000B4AB2">
        <w:rPr>
          <w:color w:val="000000" w:themeColor="text1"/>
          <w:szCs w:val="18"/>
          <w:lang w:val="nl-NL"/>
        </w:rPr>
        <w:t xml:space="preserve">volgende </w:t>
      </w:r>
      <w:r w:rsidR="00457F74" w:rsidRPr="000B4AB2">
        <w:rPr>
          <w:color w:val="000000" w:themeColor="text1"/>
          <w:szCs w:val="18"/>
          <w:lang w:val="nl-NL"/>
        </w:rPr>
        <w:t>subonderzoeksvragen</w:t>
      </w:r>
      <w:r w:rsidRPr="000B4AB2">
        <w:rPr>
          <w:color w:val="000000" w:themeColor="text1"/>
          <w:szCs w:val="18"/>
          <w:lang w:val="nl-NL"/>
        </w:rPr>
        <w:t xml:space="preserve"> beantwoord worden:</w:t>
      </w:r>
    </w:p>
    <w:p w14:paraId="4A60CCEE" w14:textId="6EA9390C" w:rsidR="005A7763" w:rsidRPr="000B4AB2" w:rsidRDefault="005A7763" w:rsidP="00260F11">
      <w:pPr>
        <w:spacing w:line="360" w:lineRule="auto"/>
        <w:rPr>
          <w:color w:val="000000" w:themeColor="text1"/>
          <w:szCs w:val="18"/>
          <w:lang w:val="nl-NL"/>
        </w:rPr>
      </w:pPr>
    </w:p>
    <w:p w14:paraId="2DB72E9E" w14:textId="67071751" w:rsidR="00CE0AE0" w:rsidRPr="000B4AB2" w:rsidRDefault="00F265B0" w:rsidP="00260F11">
      <w:pPr>
        <w:pStyle w:val="ListParagraph"/>
        <w:numPr>
          <w:ilvl w:val="0"/>
          <w:numId w:val="4"/>
        </w:numPr>
        <w:spacing w:after="160" w:line="360" w:lineRule="auto"/>
        <w:rPr>
          <w:szCs w:val="18"/>
          <w:lang w:val="nl-NL"/>
        </w:rPr>
      </w:pPr>
      <w:r w:rsidRPr="000B4AB2">
        <w:rPr>
          <w:szCs w:val="18"/>
          <w:lang w:val="nl-NL"/>
        </w:rPr>
        <w:t>“</w:t>
      </w:r>
      <w:r w:rsidR="00CE0AE0" w:rsidRPr="000B4AB2">
        <w:rPr>
          <w:szCs w:val="18"/>
          <w:lang w:val="nl-NL"/>
        </w:rPr>
        <w:t xml:space="preserve">Wat zijn de constitutieve bestanddelen van de misdrijven </w:t>
      </w:r>
      <w:r w:rsidR="006D5996" w:rsidRPr="000B4AB2">
        <w:rPr>
          <w:szCs w:val="18"/>
          <w:lang w:val="nl-NL"/>
        </w:rPr>
        <w:t xml:space="preserve">aanranding van de eerbaarheid respectievelijk </w:t>
      </w:r>
      <w:r w:rsidR="00CE0AE0" w:rsidRPr="000B4AB2">
        <w:rPr>
          <w:szCs w:val="18"/>
          <w:lang w:val="nl-NL"/>
        </w:rPr>
        <w:t>aantasting van de seksuele integriteit</w:t>
      </w:r>
      <w:r w:rsidR="00BD17B1" w:rsidRPr="000B4AB2">
        <w:rPr>
          <w:szCs w:val="18"/>
          <w:lang w:val="nl-NL"/>
        </w:rPr>
        <w:t xml:space="preserve"> </w:t>
      </w:r>
      <w:r w:rsidR="006D5996" w:rsidRPr="000B4AB2">
        <w:rPr>
          <w:szCs w:val="18"/>
          <w:lang w:val="nl-NL"/>
        </w:rPr>
        <w:t xml:space="preserve">enerzijds </w:t>
      </w:r>
      <w:r w:rsidR="00BD17B1" w:rsidRPr="000B4AB2">
        <w:rPr>
          <w:szCs w:val="18"/>
          <w:lang w:val="nl-NL"/>
        </w:rPr>
        <w:t>en verkrachting</w:t>
      </w:r>
      <w:r w:rsidR="006D5996" w:rsidRPr="000B4AB2">
        <w:rPr>
          <w:szCs w:val="18"/>
          <w:lang w:val="nl-NL"/>
        </w:rPr>
        <w:t xml:space="preserve"> anderzijds</w:t>
      </w:r>
      <w:r w:rsidR="00CE0AE0" w:rsidRPr="000B4AB2">
        <w:rPr>
          <w:szCs w:val="18"/>
          <w:lang w:val="nl-NL"/>
        </w:rPr>
        <w:t xml:space="preserve">, zowel naar oud als naar </w:t>
      </w:r>
      <w:r w:rsidR="00FD3CBB">
        <w:rPr>
          <w:szCs w:val="18"/>
          <w:lang w:val="nl-NL"/>
        </w:rPr>
        <w:t>huidig</w:t>
      </w:r>
      <w:r w:rsidR="00CE0AE0" w:rsidRPr="000B4AB2">
        <w:rPr>
          <w:szCs w:val="18"/>
          <w:lang w:val="nl-NL"/>
        </w:rPr>
        <w:t xml:space="preserve"> Belgisch recht?”</w:t>
      </w:r>
      <w:r w:rsidR="00CE0AE0" w:rsidRPr="000B4AB2">
        <w:rPr>
          <w:rStyle w:val="FootnoteReference"/>
          <w:szCs w:val="18"/>
          <w:lang w:val="nl-NL"/>
        </w:rPr>
        <w:footnoteReference w:id="21"/>
      </w:r>
      <w:r w:rsidR="00CE0AE0" w:rsidRPr="000B4AB2">
        <w:rPr>
          <w:szCs w:val="18"/>
          <w:lang w:val="nl-NL"/>
        </w:rPr>
        <w:t xml:space="preserve"> </w:t>
      </w:r>
    </w:p>
    <w:p w14:paraId="480E970A" w14:textId="77777777" w:rsidR="002F4FE3" w:rsidRPr="000B4AB2" w:rsidRDefault="002F4FE3" w:rsidP="00260F11">
      <w:pPr>
        <w:pStyle w:val="ListParagraph"/>
        <w:spacing w:after="160" w:line="360" w:lineRule="auto"/>
        <w:rPr>
          <w:szCs w:val="18"/>
          <w:lang w:val="nl-NL"/>
        </w:rPr>
      </w:pPr>
    </w:p>
    <w:p w14:paraId="0AF7436B" w14:textId="777FE729" w:rsidR="00075D07" w:rsidRPr="000B4AB2" w:rsidRDefault="00075D07" w:rsidP="00260F11">
      <w:pPr>
        <w:pStyle w:val="ListParagraph"/>
        <w:numPr>
          <w:ilvl w:val="0"/>
          <w:numId w:val="4"/>
        </w:numPr>
        <w:spacing w:after="160" w:line="360" w:lineRule="auto"/>
        <w:rPr>
          <w:szCs w:val="18"/>
          <w:lang w:val="nl-NL"/>
        </w:rPr>
      </w:pPr>
      <w:r w:rsidRPr="000B4AB2">
        <w:rPr>
          <w:szCs w:val="18"/>
          <w:lang w:val="nl-NL"/>
        </w:rPr>
        <w:t>“Wat zijn de pijnpunten van de oude strafbaarstellingen</w:t>
      </w:r>
      <w:r w:rsidR="006D5996" w:rsidRPr="000B4AB2">
        <w:rPr>
          <w:szCs w:val="18"/>
          <w:lang w:val="nl-NL"/>
        </w:rPr>
        <w:t xml:space="preserve"> van aanranding van de eerbaarheid en verkrachting, gelet op de rechtspraak en rechtsleer?”</w:t>
      </w:r>
      <w:r w:rsidR="006D5996" w:rsidRPr="000B4AB2">
        <w:rPr>
          <w:rStyle w:val="FootnoteReference"/>
          <w:szCs w:val="18"/>
          <w:lang w:val="nl-NL"/>
        </w:rPr>
        <w:footnoteReference w:id="22"/>
      </w:r>
    </w:p>
    <w:p w14:paraId="4AE21705" w14:textId="77777777" w:rsidR="00075D07" w:rsidRPr="000B4AB2" w:rsidRDefault="00075D07" w:rsidP="00260F11">
      <w:pPr>
        <w:pStyle w:val="ListParagraph"/>
        <w:spacing w:line="360" w:lineRule="auto"/>
        <w:rPr>
          <w:szCs w:val="18"/>
          <w:lang w:val="nl-NL"/>
        </w:rPr>
      </w:pPr>
    </w:p>
    <w:p w14:paraId="67843957" w14:textId="7D002C87" w:rsidR="00CE0AE0" w:rsidRPr="000B4AB2" w:rsidRDefault="00CE0AE0" w:rsidP="00260F11">
      <w:pPr>
        <w:pStyle w:val="ListParagraph"/>
        <w:numPr>
          <w:ilvl w:val="0"/>
          <w:numId w:val="4"/>
        </w:numPr>
        <w:spacing w:after="160" w:line="360" w:lineRule="auto"/>
        <w:rPr>
          <w:szCs w:val="18"/>
          <w:lang w:val="nl-NL"/>
        </w:rPr>
      </w:pPr>
      <w:r w:rsidRPr="000B4AB2">
        <w:rPr>
          <w:szCs w:val="18"/>
          <w:lang w:val="nl-NL"/>
        </w:rPr>
        <w:t xml:space="preserve">“In hoeverre </w:t>
      </w:r>
      <w:r w:rsidR="00B312C6">
        <w:rPr>
          <w:szCs w:val="18"/>
          <w:lang w:val="nl-NL"/>
        </w:rPr>
        <w:t>verschillen</w:t>
      </w:r>
      <w:r w:rsidRPr="000B4AB2">
        <w:rPr>
          <w:szCs w:val="18"/>
          <w:lang w:val="nl-NL"/>
        </w:rPr>
        <w:t xml:space="preserve"> de constitutieve bestanddelen van de misdrijven aantasting van de seksuele </w:t>
      </w:r>
      <w:r w:rsidR="005E6B85" w:rsidRPr="000B4AB2">
        <w:rPr>
          <w:szCs w:val="18"/>
          <w:lang w:val="nl-NL"/>
        </w:rPr>
        <w:t xml:space="preserve">integriteit en verkrachting </w:t>
      </w:r>
      <w:r w:rsidRPr="000B4AB2">
        <w:rPr>
          <w:szCs w:val="18"/>
          <w:lang w:val="nl-NL"/>
        </w:rPr>
        <w:t>ten opzichte van het oude recht?”</w:t>
      </w:r>
      <w:r w:rsidRPr="000B4AB2">
        <w:rPr>
          <w:rStyle w:val="FootnoteReference"/>
          <w:szCs w:val="18"/>
          <w:lang w:val="nl-NL"/>
        </w:rPr>
        <w:footnoteReference w:id="23"/>
      </w:r>
    </w:p>
    <w:p w14:paraId="42F5BDD7" w14:textId="1D5E4D28" w:rsidR="00992539" w:rsidRPr="000B4AB2" w:rsidRDefault="00E76270" w:rsidP="00260F11">
      <w:pPr>
        <w:pStyle w:val="ListParagraph"/>
        <w:numPr>
          <w:ilvl w:val="0"/>
          <w:numId w:val="4"/>
        </w:numPr>
        <w:spacing w:after="160" w:line="360" w:lineRule="auto"/>
        <w:rPr>
          <w:szCs w:val="18"/>
          <w:lang w:val="nl-NL"/>
        </w:rPr>
      </w:pPr>
      <w:r w:rsidRPr="000B4AB2">
        <w:rPr>
          <w:szCs w:val="18"/>
          <w:lang w:val="nl-NL"/>
        </w:rPr>
        <w:lastRenderedPageBreak/>
        <w:t xml:space="preserve"> </w:t>
      </w:r>
      <w:r w:rsidR="00F265B0" w:rsidRPr="000B4AB2">
        <w:rPr>
          <w:szCs w:val="18"/>
          <w:lang w:val="nl-NL"/>
        </w:rPr>
        <w:t xml:space="preserve">“Wat valt onder het toepassingsgebied </w:t>
      </w:r>
      <w:r w:rsidR="00F265B0" w:rsidRPr="000B4AB2">
        <w:rPr>
          <w:i/>
          <w:szCs w:val="18"/>
          <w:lang w:val="nl-NL"/>
        </w:rPr>
        <w:t>ratione temporis</w:t>
      </w:r>
      <w:r w:rsidR="00F265B0" w:rsidRPr="000B4AB2">
        <w:rPr>
          <w:szCs w:val="18"/>
          <w:lang w:val="nl-NL"/>
        </w:rPr>
        <w:t xml:space="preserve"> van de</w:t>
      </w:r>
      <w:r w:rsidR="00BD17B1" w:rsidRPr="000B4AB2">
        <w:rPr>
          <w:szCs w:val="18"/>
          <w:lang w:val="nl-NL"/>
        </w:rPr>
        <w:t xml:space="preserve"> huidige strafbaarstellingen, gelet op de verschillen die deze vertonen ten aanzien van de oude </w:t>
      </w:r>
      <w:r w:rsidR="005E6B85" w:rsidRPr="000B4AB2">
        <w:rPr>
          <w:szCs w:val="18"/>
          <w:lang w:val="nl-NL"/>
        </w:rPr>
        <w:t>strafbaarstellingen</w:t>
      </w:r>
      <w:r w:rsidR="00BD17B1" w:rsidRPr="000B4AB2">
        <w:rPr>
          <w:szCs w:val="18"/>
          <w:lang w:val="nl-NL"/>
        </w:rPr>
        <w:t>?”</w:t>
      </w:r>
      <w:r w:rsidR="00BD17B1" w:rsidRPr="000B4AB2">
        <w:rPr>
          <w:rStyle w:val="FootnoteReference"/>
          <w:szCs w:val="18"/>
          <w:lang w:val="nl-NL"/>
        </w:rPr>
        <w:footnoteReference w:id="24"/>
      </w:r>
    </w:p>
    <w:p w14:paraId="5698A58E" w14:textId="77777777" w:rsidR="00CE0AE0" w:rsidRPr="000B4AB2" w:rsidRDefault="00CE0AE0" w:rsidP="00260F11">
      <w:pPr>
        <w:pStyle w:val="ListParagraph"/>
        <w:spacing w:line="360" w:lineRule="auto"/>
        <w:ind w:left="0"/>
        <w:rPr>
          <w:szCs w:val="18"/>
          <w:lang w:val="nl-NL"/>
        </w:rPr>
      </w:pPr>
    </w:p>
    <w:p w14:paraId="640FBBC0" w14:textId="1CD4BC23" w:rsidR="00E87944" w:rsidRPr="000B4AB2" w:rsidRDefault="00CE0AE0" w:rsidP="00260F11">
      <w:pPr>
        <w:pStyle w:val="ListParagraph"/>
        <w:numPr>
          <w:ilvl w:val="0"/>
          <w:numId w:val="4"/>
        </w:numPr>
        <w:spacing w:after="160" w:line="360" w:lineRule="auto"/>
        <w:rPr>
          <w:szCs w:val="18"/>
          <w:lang w:val="nl-NL"/>
        </w:rPr>
      </w:pPr>
      <w:r w:rsidRPr="000B4AB2">
        <w:rPr>
          <w:szCs w:val="18"/>
          <w:lang w:val="nl-NL"/>
        </w:rPr>
        <w:t>“</w:t>
      </w:r>
      <w:r w:rsidR="00BD17B1" w:rsidRPr="000B4AB2">
        <w:rPr>
          <w:szCs w:val="18"/>
          <w:lang w:val="nl-NL"/>
        </w:rPr>
        <w:t>W</w:t>
      </w:r>
      <w:r w:rsidRPr="000B4AB2">
        <w:rPr>
          <w:szCs w:val="18"/>
          <w:lang w:val="nl-NL"/>
        </w:rPr>
        <w:t xml:space="preserve">elke misdrijven </w:t>
      </w:r>
      <w:r w:rsidR="00902E04">
        <w:rPr>
          <w:szCs w:val="18"/>
          <w:lang w:val="nl-NL"/>
        </w:rPr>
        <w:t>onder het Brits recht corresponderen</w:t>
      </w:r>
      <w:r w:rsidR="00BD17B1" w:rsidRPr="000B4AB2">
        <w:rPr>
          <w:szCs w:val="18"/>
          <w:lang w:val="nl-NL"/>
        </w:rPr>
        <w:t xml:space="preserve"> met de misdrijven van aantasting van de seksuele integriteit en verkrachting naar huidig Belgisch recht</w:t>
      </w:r>
      <w:r w:rsidR="00902E04">
        <w:rPr>
          <w:szCs w:val="18"/>
          <w:lang w:val="nl-NL"/>
        </w:rPr>
        <w:t xml:space="preserve"> </w:t>
      </w:r>
      <w:r w:rsidR="0053160E">
        <w:rPr>
          <w:szCs w:val="18"/>
          <w:lang w:val="nl-NL"/>
        </w:rPr>
        <w:t xml:space="preserve">en hoe verhouden deze zich </w:t>
      </w:r>
      <w:r w:rsidR="0053420F">
        <w:rPr>
          <w:szCs w:val="18"/>
          <w:lang w:val="nl-NL"/>
        </w:rPr>
        <w:t>ten aanzien van</w:t>
      </w:r>
      <w:r w:rsidR="0053160E">
        <w:rPr>
          <w:szCs w:val="18"/>
          <w:lang w:val="nl-NL"/>
        </w:rPr>
        <w:t xml:space="preserve"> </w:t>
      </w:r>
      <w:r w:rsidR="0053420F">
        <w:rPr>
          <w:szCs w:val="18"/>
          <w:lang w:val="nl-NL"/>
        </w:rPr>
        <w:t>voornoemde</w:t>
      </w:r>
      <w:r w:rsidR="0053160E">
        <w:rPr>
          <w:szCs w:val="18"/>
          <w:lang w:val="nl-NL"/>
        </w:rPr>
        <w:t xml:space="preserve"> Belgische strafbaarstellingen</w:t>
      </w:r>
      <w:r w:rsidRPr="000B4AB2">
        <w:rPr>
          <w:szCs w:val="18"/>
          <w:lang w:val="nl-NL"/>
        </w:rPr>
        <w:t>?”</w:t>
      </w:r>
      <w:r w:rsidR="00BD17B1" w:rsidRPr="000B4AB2">
        <w:rPr>
          <w:rStyle w:val="FootnoteReference"/>
          <w:szCs w:val="18"/>
          <w:lang w:val="nl-NL"/>
        </w:rPr>
        <w:footnoteReference w:id="25"/>
      </w:r>
    </w:p>
    <w:p w14:paraId="19A7C943" w14:textId="77777777" w:rsidR="00F310BF" w:rsidRPr="000B4AB2" w:rsidRDefault="00F310BF" w:rsidP="00260F11">
      <w:pPr>
        <w:pStyle w:val="ListParagraph"/>
        <w:spacing w:line="360" w:lineRule="auto"/>
        <w:ind w:left="0"/>
        <w:rPr>
          <w:color w:val="000000" w:themeColor="text1"/>
          <w:szCs w:val="18"/>
          <w:lang w:val="nl-NL"/>
        </w:rPr>
      </w:pPr>
    </w:p>
    <w:p w14:paraId="77C7C810" w14:textId="1FD81A2A" w:rsidR="00FB2E81" w:rsidRPr="002266F2" w:rsidRDefault="007E5012" w:rsidP="00260F11">
      <w:pPr>
        <w:pStyle w:val="ListParagraph"/>
        <w:numPr>
          <w:ilvl w:val="0"/>
          <w:numId w:val="1"/>
        </w:numPr>
        <w:spacing w:line="360" w:lineRule="auto"/>
        <w:ind w:left="0" w:hanging="709"/>
        <w:rPr>
          <w:color w:val="000000" w:themeColor="text1"/>
          <w:szCs w:val="18"/>
          <w:lang w:val="nl-NL"/>
        </w:rPr>
      </w:pPr>
      <w:r w:rsidRPr="002266F2">
        <w:rPr>
          <w:b/>
          <w:color w:val="000000" w:themeColor="text1"/>
          <w:szCs w:val="18"/>
          <w:lang w:val="nl-NL"/>
        </w:rPr>
        <w:t>Methodologie</w:t>
      </w:r>
      <w:r w:rsidR="00142580" w:rsidRPr="002266F2">
        <w:rPr>
          <w:b/>
          <w:color w:val="000000" w:themeColor="text1"/>
          <w:szCs w:val="18"/>
          <w:lang w:val="nl-NL"/>
        </w:rPr>
        <w:t>.</w:t>
      </w:r>
      <w:r w:rsidR="008A3D43" w:rsidRPr="002266F2">
        <w:rPr>
          <w:color w:val="000000" w:themeColor="text1"/>
          <w:szCs w:val="18"/>
          <w:lang w:val="nl-NL"/>
        </w:rPr>
        <w:t xml:space="preserve"> </w:t>
      </w:r>
      <w:r w:rsidR="00FB2E81" w:rsidRPr="002266F2">
        <w:rPr>
          <w:szCs w:val="18"/>
          <w:lang w:val="nl-NL"/>
        </w:rPr>
        <w:t>Om na te kunnen gaan of en in welke mate de hervorming inderdaad verbetering heeft gebracht in het Belgisch seksueel strafrecht m.b.t. de misdrijven</w:t>
      </w:r>
      <w:r w:rsidR="000C4387">
        <w:rPr>
          <w:szCs w:val="18"/>
          <w:lang w:val="nl-NL"/>
        </w:rPr>
        <w:t xml:space="preserve"> van aantasting van de seksuele integriteit en verkrachting</w:t>
      </w:r>
      <w:r w:rsidR="00FB2E81" w:rsidRPr="002266F2">
        <w:rPr>
          <w:szCs w:val="18"/>
          <w:lang w:val="nl-NL"/>
        </w:rPr>
        <w:t>, zullen de nieuwe strafbaarstellingen worden geanalyseerd in het licht van de oude corresponderende wetgeving.</w:t>
      </w:r>
      <w:r w:rsidR="002266F2">
        <w:rPr>
          <w:szCs w:val="18"/>
          <w:lang w:val="nl-NL"/>
        </w:rPr>
        <w:t xml:space="preserve"> </w:t>
      </w:r>
      <w:r w:rsidR="00FB2E81" w:rsidRPr="002266F2">
        <w:rPr>
          <w:szCs w:val="18"/>
          <w:lang w:val="nl-NL"/>
        </w:rPr>
        <w:t xml:space="preserve">Hierbij zal tevens stilgestaan worden bij de temporele werking van de nieuwe strafbaarstellingen. </w:t>
      </w:r>
      <w:r w:rsidR="002266F2">
        <w:rPr>
          <w:szCs w:val="18"/>
          <w:lang w:val="nl-NL"/>
        </w:rPr>
        <w:t xml:space="preserve">Zowel het oude als het nieuwe recht </w:t>
      </w:r>
      <w:r w:rsidR="00837CA8">
        <w:rPr>
          <w:szCs w:val="18"/>
          <w:lang w:val="nl-NL"/>
        </w:rPr>
        <w:t>wordt</w:t>
      </w:r>
      <w:r w:rsidR="002266F2">
        <w:rPr>
          <w:szCs w:val="18"/>
          <w:lang w:val="nl-NL"/>
        </w:rPr>
        <w:t xml:space="preserve"> uiteengezet </w:t>
      </w:r>
      <w:r w:rsidR="00837CA8">
        <w:rPr>
          <w:szCs w:val="18"/>
          <w:lang w:val="nl-NL"/>
        </w:rPr>
        <w:t>a.d.h.v.</w:t>
      </w:r>
      <w:r w:rsidR="002266F2">
        <w:rPr>
          <w:szCs w:val="18"/>
          <w:lang w:val="nl-NL"/>
        </w:rPr>
        <w:t xml:space="preserve"> (</w:t>
      </w:r>
      <w:r w:rsidR="000C4387">
        <w:rPr>
          <w:szCs w:val="18"/>
          <w:lang w:val="nl-NL"/>
        </w:rPr>
        <w:t xml:space="preserve">de </w:t>
      </w:r>
      <w:r w:rsidR="002266F2">
        <w:rPr>
          <w:szCs w:val="18"/>
          <w:lang w:val="nl-NL"/>
        </w:rPr>
        <w:t xml:space="preserve">voorbereidende </w:t>
      </w:r>
      <w:r w:rsidR="000C4387">
        <w:rPr>
          <w:szCs w:val="18"/>
          <w:lang w:val="nl-NL"/>
        </w:rPr>
        <w:t>werkzaamheden</w:t>
      </w:r>
      <w:r w:rsidR="002266F2">
        <w:rPr>
          <w:szCs w:val="18"/>
          <w:lang w:val="nl-NL"/>
        </w:rPr>
        <w:t xml:space="preserve"> van) wetgeving, rechtspraak en rechtsleer. </w:t>
      </w:r>
    </w:p>
    <w:p w14:paraId="4652FF7B" w14:textId="77777777" w:rsidR="00FB2E81" w:rsidRPr="000B4AB2" w:rsidRDefault="00FB2E81" w:rsidP="00260F11">
      <w:pPr>
        <w:pStyle w:val="ListParagraph"/>
        <w:spacing w:line="360" w:lineRule="auto"/>
        <w:rPr>
          <w:szCs w:val="18"/>
          <w:lang w:val="nl-NL"/>
        </w:rPr>
      </w:pPr>
    </w:p>
    <w:p w14:paraId="791FDA49" w14:textId="6CFB1B84" w:rsidR="00FB2E81" w:rsidRPr="000B4AB2" w:rsidRDefault="000C4387" w:rsidP="00260F11">
      <w:pPr>
        <w:pStyle w:val="ListParagraph"/>
        <w:spacing w:line="360" w:lineRule="auto"/>
        <w:ind w:left="0"/>
        <w:rPr>
          <w:color w:val="000000" w:themeColor="text1"/>
          <w:szCs w:val="18"/>
          <w:lang w:val="nl-NL"/>
        </w:rPr>
      </w:pPr>
      <w:r>
        <w:rPr>
          <w:szCs w:val="18"/>
          <w:lang w:val="nl-NL"/>
        </w:rPr>
        <w:t>Om tot een onderbouwde evaluatie te kunnen komen</w:t>
      </w:r>
      <w:r w:rsidR="00FB2E81" w:rsidRPr="002266F2">
        <w:rPr>
          <w:szCs w:val="18"/>
          <w:lang w:val="nl-NL"/>
        </w:rPr>
        <w:t xml:space="preserve">, is het opportuun om dit onderwerp mede vanuit rechtsvergelijkend perspectief te analyseren. Zo kunnen </w:t>
      </w:r>
      <w:r w:rsidR="00837CA8">
        <w:rPr>
          <w:szCs w:val="18"/>
          <w:lang w:val="nl-NL"/>
        </w:rPr>
        <w:t xml:space="preserve">uitspraken </w:t>
      </w:r>
      <w:r w:rsidR="00FB2E81" w:rsidRPr="002266F2">
        <w:rPr>
          <w:szCs w:val="18"/>
          <w:lang w:val="nl-NL"/>
        </w:rPr>
        <w:t xml:space="preserve">worden gedaan over het Belgisch rechtsstelsel </w:t>
      </w:r>
      <w:r w:rsidR="00277D84">
        <w:rPr>
          <w:szCs w:val="18"/>
          <w:lang w:val="nl-NL"/>
        </w:rPr>
        <w:t>die</w:t>
      </w:r>
      <w:r w:rsidR="00FB2E81" w:rsidRPr="002266F2">
        <w:rPr>
          <w:szCs w:val="18"/>
          <w:lang w:val="nl-NL"/>
        </w:rPr>
        <w:t xml:space="preserve"> zelfs na rechtsvergelijkend onderzoek pertinent blijven. Meer bepaald zal een vergelijking plaatsvinden met het Brits rechtsstelsel.</w:t>
      </w:r>
      <w:r w:rsidR="00FB2E81" w:rsidRPr="002266F2">
        <w:rPr>
          <w:rStyle w:val="FootnoteReference"/>
          <w:szCs w:val="18"/>
          <w:lang w:val="nl-NL"/>
        </w:rPr>
        <w:footnoteReference w:id="26"/>
      </w:r>
      <w:r w:rsidR="00FB2E81" w:rsidRPr="002266F2">
        <w:rPr>
          <w:szCs w:val="18"/>
          <w:lang w:val="nl-NL"/>
        </w:rPr>
        <w:t xml:space="preserve"> Deze keuze werd o.m. ingegeven doordat de Belgische wetgever bij de hervorming van het seksueel strafrecht zelf ook inspiratie lijkt te hebben gezocht in dit rechtsstelsel.</w:t>
      </w:r>
      <w:r w:rsidR="00FB2E81" w:rsidRPr="002266F2">
        <w:rPr>
          <w:rStyle w:val="FootnoteReference"/>
          <w:color w:val="000000" w:themeColor="text1"/>
          <w:szCs w:val="18"/>
          <w:lang w:val="nl-NL"/>
        </w:rPr>
        <w:footnoteReference w:id="27"/>
      </w:r>
    </w:p>
    <w:p w14:paraId="7D711F39" w14:textId="77777777" w:rsidR="00FB2E81" w:rsidRDefault="00FB2E81" w:rsidP="00260F11">
      <w:pPr>
        <w:pStyle w:val="ListParagraph"/>
        <w:spacing w:line="360" w:lineRule="auto"/>
        <w:ind w:left="0"/>
        <w:rPr>
          <w:color w:val="000000" w:themeColor="text1"/>
          <w:szCs w:val="18"/>
          <w:lang w:val="nl-NL"/>
        </w:rPr>
      </w:pPr>
    </w:p>
    <w:p w14:paraId="4D72E525" w14:textId="1E783624" w:rsidR="00247553" w:rsidRPr="002266F2" w:rsidRDefault="002266F2" w:rsidP="00260F11">
      <w:pPr>
        <w:pStyle w:val="ListParagraph"/>
        <w:spacing w:line="360" w:lineRule="auto"/>
        <w:ind w:left="0"/>
        <w:rPr>
          <w:color w:val="000000" w:themeColor="text1"/>
          <w:szCs w:val="18"/>
          <w:lang w:val="nl-NL"/>
        </w:rPr>
      </w:pPr>
      <w:r>
        <w:rPr>
          <w:szCs w:val="18"/>
        </w:rPr>
        <w:t>De externe</w:t>
      </w:r>
      <w:r w:rsidR="003F5566" w:rsidRPr="000B4AB2">
        <w:rPr>
          <w:szCs w:val="18"/>
        </w:rPr>
        <w:t xml:space="preserve"> rechtsvergelijking werd op dogmatische wijze benaderd</w:t>
      </w:r>
      <w:r w:rsidR="003B6CD4">
        <w:rPr>
          <w:szCs w:val="18"/>
        </w:rPr>
        <w:t>,</w:t>
      </w:r>
      <w:r w:rsidR="003F5566" w:rsidRPr="000B4AB2">
        <w:rPr>
          <w:rStyle w:val="FootnoteReference"/>
          <w:rFonts w:eastAsiaTheme="majorEastAsia"/>
          <w:szCs w:val="18"/>
        </w:rPr>
        <w:footnoteReference w:id="28"/>
      </w:r>
      <w:r w:rsidR="003F5566" w:rsidRPr="000B4AB2">
        <w:rPr>
          <w:szCs w:val="18"/>
        </w:rPr>
        <w:t xml:space="preserve"> </w:t>
      </w:r>
      <w:r w:rsidR="003B6CD4">
        <w:rPr>
          <w:szCs w:val="18"/>
        </w:rPr>
        <w:t>a</w:t>
      </w:r>
      <w:r w:rsidR="003F5566" w:rsidRPr="000B4AB2">
        <w:rPr>
          <w:szCs w:val="18"/>
        </w:rPr>
        <w:t>angevuld met een functionele benadering.</w:t>
      </w:r>
      <w:r w:rsidR="003F5566" w:rsidRPr="000B4AB2">
        <w:rPr>
          <w:rStyle w:val="FootnoteReference"/>
          <w:rFonts w:eastAsiaTheme="majorEastAsia"/>
          <w:szCs w:val="18"/>
        </w:rPr>
        <w:footnoteReference w:id="29"/>
      </w:r>
      <w:r w:rsidR="001315C4">
        <w:rPr>
          <w:color w:val="000000" w:themeColor="text1"/>
          <w:szCs w:val="18"/>
          <w:lang w:val="nl-NL"/>
        </w:rPr>
        <w:t xml:space="preserve"> </w:t>
      </w:r>
      <w:r w:rsidR="003F5566" w:rsidRPr="001315C4">
        <w:rPr>
          <w:szCs w:val="18"/>
        </w:rPr>
        <w:t xml:space="preserve">Dankzij deze benadering </w:t>
      </w:r>
      <w:r w:rsidR="003F5566" w:rsidRPr="001315C4">
        <w:rPr>
          <w:i/>
          <w:szCs w:val="18"/>
        </w:rPr>
        <w:t>sui generis</w:t>
      </w:r>
      <w:r w:rsidR="001315C4" w:rsidRPr="000B4AB2">
        <w:rPr>
          <w:rStyle w:val="FootnoteReference"/>
          <w:rFonts w:eastAsiaTheme="majorEastAsia"/>
          <w:szCs w:val="18"/>
        </w:rPr>
        <w:footnoteReference w:id="30"/>
      </w:r>
      <w:r w:rsidR="003F5566" w:rsidRPr="001315C4">
        <w:rPr>
          <w:szCs w:val="18"/>
        </w:rPr>
        <w:t xml:space="preserve"> kon tot een zo volledig mogelijke rechtsvergelijking worden gekomen voor </w:t>
      </w:r>
      <w:r w:rsidR="00837CA8">
        <w:rPr>
          <w:szCs w:val="18"/>
        </w:rPr>
        <w:t xml:space="preserve">de doeleinden van </w:t>
      </w:r>
      <w:r w:rsidR="003F5566" w:rsidRPr="001315C4">
        <w:rPr>
          <w:szCs w:val="18"/>
        </w:rPr>
        <w:t>dit onderzoek.</w:t>
      </w:r>
      <w:r w:rsidR="001315C4" w:rsidRPr="000B4AB2">
        <w:rPr>
          <w:rStyle w:val="FootnoteReference"/>
          <w:szCs w:val="18"/>
        </w:rPr>
        <w:footnoteReference w:id="31"/>
      </w:r>
      <w:r>
        <w:rPr>
          <w:szCs w:val="18"/>
        </w:rPr>
        <w:t xml:space="preserve"> Deze externe rechtsvergelijking</w:t>
      </w:r>
      <w:r w:rsidR="003F5566" w:rsidRPr="000B4AB2">
        <w:rPr>
          <w:szCs w:val="18"/>
        </w:rPr>
        <w:t xml:space="preserve"> </w:t>
      </w:r>
      <w:r w:rsidR="00971FA7" w:rsidRPr="000B4AB2">
        <w:rPr>
          <w:szCs w:val="18"/>
        </w:rPr>
        <w:t>houdt enerzijds een</w:t>
      </w:r>
      <w:r w:rsidR="003F5566" w:rsidRPr="000B4AB2">
        <w:rPr>
          <w:szCs w:val="18"/>
        </w:rPr>
        <w:t xml:space="preserve"> beschrijv</w:t>
      </w:r>
      <w:r w:rsidR="00971FA7" w:rsidRPr="000B4AB2">
        <w:rPr>
          <w:szCs w:val="18"/>
        </w:rPr>
        <w:t>i</w:t>
      </w:r>
      <w:r w:rsidR="003F5566" w:rsidRPr="000B4AB2">
        <w:rPr>
          <w:szCs w:val="18"/>
        </w:rPr>
        <w:t>n</w:t>
      </w:r>
      <w:r w:rsidR="00971FA7" w:rsidRPr="000B4AB2">
        <w:rPr>
          <w:szCs w:val="18"/>
        </w:rPr>
        <w:t>g</w:t>
      </w:r>
      <w:r w:rsidR="003F5566" w:rsidRPr="000B4AB2">
        <w:rPr>
          <w:szCs w:val="18"/>
        </w:rPr>
        <w:t xml:space="preserve"> </w:t>
      </w:r>
      <w:r w:rsidR="00971FA7" w:rsidRPr="000B4AB2">
        <w:rPr>
          <w:szCs w:val="18"/>
        </w:rPr>
        <w:t>in</w:t>
      </w:r>
      <w:r w:rsidR="003F5566" w:rsidRPr="000B4AB2">
        <w:rPr>
          <w:szCs w:val="18"/>
        </w:rPr>
        <w:t xml:space="preserve"> van het buitenlands rechtsstelsel</w:t>
      </w:r>
      <w:r w:rsidR="00971FA7" w:rsidRPr="000B4AB2">
        <w:rPr>
          <w:szCs w:val="18"/>
        </w:rPr>
        <w:t xml:space="preserve"> en anderzijds </w:t>
      </w:r>
      <w:r w:rsidR="003F5566" w:rsidRPr="000B4AB2">
        <w:rPr>
          <w:szCs w:val="18"/>
        </w:rPr>
        <w:lastRenderedPageBreak/>
        <w:t>een expliciet</w:t>
      </w:r>
      <w:r w:rsidR="00DE080C" w:rsidRPr="000B4AB2">
        <w:rPr>
          <w:szCs w:val="18"/>
        </w:rPr>
        <w:t>e</w:t>
      </w:r>
      <w:r w:rsidR="003F5566" w:rsidRPr="000B4AB2">
        <w:rPr>
          <w:szCs w:val="18"/>
        </w:rPr>
        <w:t xml:space="preserve"> vergelijk</w:t>
      </w:r>
      <w:r w:rsidR="00971FA7" w:rsidRPr="000B4AB2">
        <w:rPr>
          <w:szCs w:val="18"/>
        </w:rPr>
        <w:t>i</w:t>
      </w:r>
      <w:r w:rsidR="003F5566" w:rsidRPr="000B4AB2">
        <w:rPr>
          <w:szCs w:val="18"/>
        </w:rPr>
        <w:t>n</w:t>
      </w:r>
      <w:r w:rsidR="00971FA7" w:rsidRPr="000B4AB2">
        <w:rPr>
          <w:szCs w:val="18"/>
        </w:rPr>
        <w:t>g</w:t>
      </w:r>
      <w:r w:rsidR="003F5566" w:rsidRPr="000B4AB2">
        <w:rPr>
          <w:szCs w:val="18"/>
        </w:rPr>
        <w:t xml:space="preserve">. </w:t>
      </w:r>
      <w:r w:rsidR="0053420F">
        <w:rPr>
          <w:szCs w:val="18"/>
        </w:rPr>
        <w:t>Hiervoor</w:t>
      </w:r>
      <w:r w:rsidR="00971FA7" w:rsidRPr="000B4AB2">
        <w:rPr>
          <w:szCs w:val="18"/>
        </w:rPr>
        <w:t xml:space="preserve"> </w:t>
      </w:r>
      <w:r w:rsidR="003F5566" w:rsidRPr="000B4AB2">
        <w:rPr>
          <w:szCs w:val="18"/>
        </w:rPr>
        <w:t xml:space="preserve">zal gebruik gemaakt worden van een </w:t>
      </w:r>
      <w:r w:rsidR="003F5566" w:rsidRPr="000B4AB2">
        <w:rPr>
          <w:i/>
          <w:szCs w:val="18"/>
        </w:rPr>
        <w:t>parallel column</w:t>
      </w:r>
      <w:r w:rsidR="003F5566" w:rsidRPr="000B4AB2">
        <w:rPr>
          <w:szCs w:val="18"/>
        </w:rPr>
        <w:t xml:space="preserve">, om zo de verschillende rechtsstelsels duidelijk </w:t>
      </w:r>
      <w:r w:rsidR="00CE0637">
        <w:rPr>
          <w:szCs w:val="18"/>
        </w:rPr>
        <w:t>t.o.v.</w:t>
      </w:r>
      <w:r w:rsidR="003F5566" w:rsidRPr="000B4AB2">
        <w:rPr>
          <w:szCs w:val="18"/>
        </w:rPr>
        <w:t xml:space="preserve"> elkaar te kunnen vergelijken.</w:t>
      </w:r>
      <w:r w:rsidR="003F5566" w:rsidRPr="000B4AB2">
        <w:rPr>
          <w:rStyle w:val="FootnoteReference"/>
          <w:rFonts w:eastAsiaTheme="majorEastAsia"/>
          <w:szCs w:val="18"/>
        </w:rPr>
        <w:footnoteReference w:id="32"/>
      </w:r>
    </w:p>
    <w:p w14:paraId="7427046E" w14:textId="77777777" w:rsidR="00247553" w:rsidRPr="000B4AB2" w:rsidRDefault="00247553" w:rsidP="00260F11">
      <w:pPr>
        <w:spacing w:line="360" w:lineRule="auto"/>
        <w:rPr>
          <w:szCs w:val="18"/>
        </w:rPr>
      </w:pPr>
    </w:p>
    <w:p w14:paraId="5C6C1F9A" w14:textId="17D4091E" w:rsidR="001315C4" w:rsidRPr="00335CAD" w:rsidRDefault="002266F2" w:rsidP="00260F11">
      <w:pPr>
        <w:spacing w:line="360" w:lineRule="auto"/>
        <w:rPr>
          <w:color w:val="000000" w:themeColor="text1"/>
          <w:szCs w:val="18"/>
          <w:lang w:val="nl-NL"/>
        </w:rPr>
      </w:pPr>
      <w:r>
        <w:rPr>
          <w:color w:val="000000" w:themeColor="text1"/>
          <w:szCs w:val="18"/>
          <w:lang w:val="nl-NL"/>
        </w:rPr>
        <w:t>Ten slotte</w:t>
      </w:r>
      <w:r w:rsidR="001315C4" w:rsidRPr="00335CAD">
        <w:rPr>
          <w:color w:val="000000" w:themeColor="text1"/>
          <w:szCs w:val="18"/>
          <w:lang w:val="nl-NL"/>
        </w:rPr>
        <w:t xml:space="preserve"> worden de huidige strafbaarstellingen van aantasting van de seksuele integriteit en verkrachting geëvalueerd. Deze evaluatie gebeurt niet alleen in het licht van de doorheen deze masterscriptie geïdentificeerde pijnpunten van de oude corresponderende strafbaarstellingen, maar </w:t>
      </w:r>
      <w:r>
        <w:rPr>
          <w:color w:val="000000" w:themeColor="text1"/>
          <w:szCs w:val="18"/>
          <w:lang w:val="nl-NL"/>
        </w:rPr>
        <w:t>eveneens</w:t>
      </w:r>
      <w:r w:rsidR="000929B5" w:rsidRPr="00335CAD">
        <w:rPr>
          <w:color w:val="000000" w:themeColor="text1"/>
          <w:szCs w:val="18"/>
          <w:lang w:val="nl-NL"/>
        </w:rPr>
        <w:t xml:space="preserve"> in het licht</w:t>
      </w:r>
      <w:r w:rsidR="001315C4" w:rsidRPr="00335CAD">
        <w:rPr>
          <w:color w:val="000000" w:themeColor="text1"/>
          <w:szCs w:val="18"/>
          <w:lang w:val="nl-NL"/>
        </w:rPr>
        <w:t xml:space="preserve"> van de corresponderende strafbaarstellingen naar Brits recht. </w:t>
      </w:r>
      <w:r w:rsidR="000929B5" w:rsidRPr="00335CAD">
        <w:rPr>
          <w:color w:val="000000" w:themeColor="text1"/>
          <w:szCs w:val="18"/>
          <w:lang w:val="nl-NL"/>
        </w:rPr>
        <w:t xml:space="preserve">Daarbij zal regelmatig worden teruggekoppeld naar het </w:t>
      </w:r>
      <w:r w:rsidR="000B36A0" w:rsidRPr="007510BC">
        <w:rPr>
          <w:i/>
          <w:color w:val="000000" w:themeColor="text1"/>
          <w:szCs w:val="18"/>
          <w:lang w:val="nl-NL"/>
        </w:rPr>
        <w:t>lex certa-</w:t>
      </w:r>
      <w:r w:rsidR="000B36A0" w:rsidRPr="007510BC">
        <w:rPr>
          <w:color w:val="000000" w:themeColor="text1"/>
          <w:szCs w:val="18"/>
          <w:lang w:val="nl-NL"/>
        </w:rPr>
        <w:t>beginsel</w:t>
      </w:r>
      <w:r w:rsidR="000929B5" w:rsidRPr="00335CAD">
        <w:rPr>
          <w:color w:val="000000" w:themeColor="text1"/>
          <w:szCs w:val="18"/>
          <w:lang w:val="nl-NL"/>
        </w:rPr>
        <w:t xml:space="preserve">. </w:t>
      </w:r>
      <w:r w:rsidR="000B36A0">
        <w:rPr>
          <w:color w:val="000000" w:themeColor="text1"/>
          <w:szCs w:val="18"/>
          <w:lang w:val="nl-NL"/>
        </w:rPr>
        <w:t>Dit beginsel stelt</w:t>
      </w:r>
      <w:r w:rsidR="000929B5" w:rsidRPr="00335CAD">
        <w:rPr>
          <w:color w:val="000000" w:themeColor="text1"/>
          <w:szCs w:val="18"/>
          <w:lang w:val="nl-NL"/>
        </w:rPr>
        <w:t xml:space="preserve"> immers </w:t>
      </w:r>
      <w:r w:rsidR="000B36A0">
        <w:rPr>
          <w:color w:val="000000" w:themeColor="text1"/>
          <w:szCs w:val="18"/>
          <w:lang w:val="nl-NL"/>
        </w:rPr>
        <w:t xml:space="preserve">inhoudelijke </w:t>
      </w:r>
      <w:r w:rsidR="000929B5" w:rsidRPr="00335CAD">
        <w:rPr>
          <w:color w:val="000000" w:themeColor="text1"/>
          <w:szCs w:val="18"/>
          <w:lang w:val="nl-NL"/>
        </w:rPr>
        <w:t>vereisten waaraan strafbaarstellingen moeten voldoen.</w:t>
      </w:r>
      <w:r w:rsidR="00335CAD">
        <w:rPr>
          <w:rStyle w:val="FootnoteReference"/>
          <w:color w:val="000000" w:themeColor="text1"/>
          <w:szCs w:val="18"/>
          <w:lang w:val="nl-NL"/>
        </w:rPr>
        <w:footnoteReference w:id="33"/>
      </w:r>
    </w:p>
    <w:p w14:paraId="1C110140" w14:textId="77777777" w:rsidR="003B6CD4" w:rsidRPr="003B6CD4" w:rsidRDefault="003B6CD4" w:rsidP="00260F11">
      <w:pPr>
        <w:pStyle w:val="ListParagraph"/>
        <w:spacing w:line="360" w:lineRule="auto"/>
        <w:ind w:left="0"/>
        <w:rPr>
          <w:color w:val="000000" w:themeColor="text1"/>
          <w:szCs w:val="18"/>
          <w:lang w:val="nl-NL"/>
        </w:rPr>
      </w:pPr>
    </w:p>
    <w:p w14:paraId="71FBD3E6" w14:textId="7A20863C" w:rsidR="00F6414E" w:rsidRPr="00B47214" w:rsidRDefault="00F6414E"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Structuur</w:t>
      </w:r>
      <w:r w:rsidRPr="000B4AB2">
        <w:rPr>
          <w:szCs w:val="18"/>
          <w:lang w:val="nl-NL"/>
        </w:rPr>
        <w:t xml:space="preserve">. In wat volgt zal eerst en vooral het Belgisch recht uiteen worden gezet. Hier zal de strafbaarstelling van </w:t>
      </w:r>
      <w:r w:rsidR="006857D3">
        <w:rPr>
          <w:szCs w:val="18"/>
          <w:lang w:val="nl-NL"/>
        </w:rPr>
        <w:t>aanranding van de eerbaarheid</w:t>
      </w:r>
      <w:r w:rsidRPr="000B4AB2">
        <w:rPr>
          <w:szCs w:val="18"/>
          <w:lang w:val="nl-NL"/>
        </w:rPr>
        <w:t xml:space="preserve"> onder het oude recht geanalyseerd worden</w:t>
      </w:r>
      <w:r w:rsidR="00C9745A">
        <w:rPr>
          <w:szCs w:val="18"/>
          <w:lang w:val="nl-NL"/>
        </w:rPr>
        <w:t xml:space="preserve"> </w:t>
      </w:r>
      <w:r w:rsidR="006857D3">
        <w:rPr>
          <w:szCs w:val="18"/>
          <w:lang w:val="nl-NL"/>
        </w:rPr>
        <w:t xml:space="preserve">en zullen de pijnpunten ervan </w:t>
      </w:r>
      <w:r w:rsidR="006857D3" w:rsidRPr="00240991">
        <w:rPr>
          <w:szCs w:val="18"/>
          <w:lang w:val="nl-NL"/>
        </w:rPr>
        <w:t xml:space="preserve">worden </w:t>
      </w:r>
      <w:r w:rsidR="00B47214" w:rsidRPr="00240991">
        <w:rPr>
          <w:szCs w:val="18"/>
          <w:lang w:val="nl-NL"/>
        </w:rPr>
        <w:t>blootgeleg</w:t>
      </w:r>
      <w:r w:rsidR="00C9745A" w:rsidRPr="00240991">
        <w:rPr>
          <w:szCs w:val="18"/>
          <w:lang w:val="nl-NL"/>
        </w:rPr>
        <w:t>d</w:t>
      </w:r>
      <w:r w:rsidR="006857D3" w:rsidRPr="00240991">
        <w:rPr>
          <w:szCs w:val="18"/>
          <w:lang w:val="nl-NL"/>
        </w:rPr>
        <w:t xml:space="preserve">. Vervolgens wordt de </w:t>
      </w:r>
      <w:r w:rsidR="00B47214" w:rsidRPr="00240991">
        <w:rPr>
          <w:szCs w:val="18"/>
          <w:lang w:val="nl-NL"/>
        </w:rPr>
        <w:t>huidige</w:t>
      </w:r>
      <w:r w:rsidR="006857D3" w:rsidRPr="00240991">
        <w:rPr>
          <w:szCs w:val="18"/>
          <w:lang w:val="nl-NL"/>
        </w:rPr>
        <w:t xml:space="preserve"> strafbaarstelling van aantasting van de seksuele integriteit toegelicht</w:t>
      </w:r>
      <w:r w:rsidRPr="00240991">
        <w:rPr>
          <w:szCs w:val="18"/>
          <w:lang w:val="nl-NL"/>
        </w:rPr>
        <w:t xml:space="preserve">. </w:t>
      </w:r>
      <w:r w:rsidR="006857D3" w:rsidRPr="00240991">
        <w:rPr>
          <w:szCs w:val="18"/>
          <w:lang w:val="nl-NL"/>
        </w:rPr>
        <w:t xml:space="preserve">Daarna zal de oude </w:t>
      </w:r>
      <w:r w:rsidR="00B47214" w:rsidRPr="00240991">
        <w:rPr>
          <w:szCs w:val="18"/>
          <w:lang w:val="nl-NL"/>
        </w:rPr>
        <w:t xml:space="preserve">strafbaarstelling </w:t>
      </w:r>
      <w:r w:rsidR="006857D3" w:rsidRPr="00240991">
        <w:rPr>
          <w:szCs w:val="18"/>
          <w:lang w:val="nl-NL"/>
        </w:rPr>
        <w:t>met de huidige</w:t>
      </w:r>
      <w:r w:rsidRPr="00240991">
        <w:rPr>
          <w:szCs w:val="18"/>
          <w:lang w:val="nl-NL"/>
        </w:rPr>
        <w:t xml:space="preserve"> worden vergeleken.</w:t>
      </w:r>
      <w:r w:rsidR="00B47214" w:rsidRPr="00240991">
        <w:rPr>
          <w:szCs w:val="18"/>
          <w:lang w:val="nl-NL"/>
        </w:rPr>
        <w:t xml:space="preserve"> </w:t>
      </w:r>
      <w:r w:rsidRPr="00240991">
        <w:rPr>
          <w:szCs w:val="18"/>
          <w:lang w:val="nl-NL"/>
        </w:rPr>
        <w:t xml:space="preserve">Voor het misdrijf </w:t>
      </w:r>
      <w:r w:rsidR="006857D3" w:rsidRPr="00240991">
        <w:rPr>
          <w:szCs w:val="18"/>
          <w:lang w:val="nl-NL"/>
        </w:rPr>
        <w:t>van verkrachting</w:t>
      </w:r>
      <w:r w:rsidRPr="00240991">
        <w:rPr>
          <w:szCs w:val="18"/>
          <w:lang w:val="nl-NL"/>
        </w:rPr>
        <w:t xml:space="preserve"> zal hetzelfde stramien gevolgd worden</w:t>
      </w:r>
      <w:r w:rsidR="00C9745A" w:rsidRPr="00240991">
        <w:rPr>
          <w:szCs w:val="18"/>
          <w:lang w:val="nl-NL"/>
        </w:rPr>
        <w:t>. In dit deel wordt aldus een antwoord geformuleerd</w:t>
      </w:r>
      <w:r w:rsidR="00C9745A">
        <w:rPr>
          <w:szCs w:val="18"/>
          <w:lang w:val="nl-NL"/>
        </w:rPr>
        <w:t xml:space="preserve"> op de eerste drie subonderzoeksvragen</w:t>
      </w:r>
      <w:r w:rsidR="0039329C">
        <w:rPr>
          <w:szCs w:val="18"/>
          <w:lang w:val="nl-NL"/>
        </w:rPr>
        <w:t>.</w:t>
      </w:r>
      <w:r w:rsidR="0039329C">
        <w:rPr>
          <w:rStyle w:val="FootnoteReference"/>
          <w:szCs w:val="18"/>
          <w:lang w:val="nl-NL"/>
        </w:rPr>
        <w:footnoteReference w:id="34"/>
      </w:r>
    </w:p>
    <w:p w14:paraId="709CDDBB" w14:textId="77777777" w:rsidR="00F6414E" w:rsidRPr="000B4AB2" w:rsidRDefault="00F6414E" w:rsidP="00260F11">
      <w:pPr>
        <w:pStyle w:val="ListParagraph"/>
        <w:spacing w:line="360" w:lineRule="auto"/>
        <w:ind w:left="0"/>
        <w:rPr>
          <w:szCs w:val="18"/>
          <w:lang w:val="nl-NL"/>
        </w:rPr>
      </w:pPr>
    </w:p>
    <w:p w14:paraId="24346385" w14:textId="0033EDE5" w:rsidR="00B47214" w:rsidRDefault="00F6414E" w:rsidP="00260F11">
      <w:pPr>
        <w:pStyle w:val="ListParagraph"/>
        <w:spacing w:line="360" w:lineRule="auto"/>
        <w:ind w:left="0"/>
        <w:rPr>
          <w:szCs w:val="18"/>
          <w:lang w:val="nl-NL"/>
        </w:rPr>
      </w:pPr>
      <w:r w:rsidRPr="000B4AB2">
        <w:rPr>
          <w:szCs w:val="18"/>
          <w:lang w:val="nl-NL"/>
        </w:rPr>
        <w:t xml:space="preserve">In een </w:t>
      </w:r>
      <w:r w:rsidR="006857D3">
        <w:rPr>
          <w:szCs w:val="18"/>
          <w:lang w:val="nl-NL"/>
        </w:rPr>
        <w:t>volgend</w:t>
      </w:r>
      <w:r w:rsidRPr="000B4AB2">
        <w:rPr>
          <w:szCs w:val="18"/>
          <w:lang w:val="nl-NL"/>
        </w:rPr>
        <w:t xml:space="preserve"> deel zal het Britse recht hieromtrent worden </w:t>
      </w:r>
      <w:r w:rsidR="00B47214">
        <w:rPr>
          <w:szCs w:val="18"/>
          <w:lang w:val="nl-NL"/>
        </w:rPr>
        <w:t>uiteengezet</w:t>
      </w:r>
      <w:r w:rsidRPr="000B4AB2">
        <w:rPr>
          <w:szCs w:val="18"/>
          <w:lang w:val="nl-NL"/>
        </w:rPr>
        <w:t xml:space="preserve">. </w:t>
      </w:r>
      <w:r w:rsidR="006857D3">
        <w:rPr>
          <w:szCs w:val="18"/>
          <w:lang w:val="nl-NL"/>
        </w:rPr>
        <w:t>Daarbij</w:t>
      </w:r>
      <w:r w:rsidRPr="000B4AB2">
        <w:rPr>
          <w:szCs w:val="18"/>
          <w:lang w:val="nl-NL"/>
        </w:rPr>
        <w:t xml:space="preserve"> zal eerst worden ingegaan op </w:t>
      </w:r>
      <w:r w:rsidR="006857D3">
        <w:rPr>
          <w:szCs w:val="18"/>
          <w:lang w:val="nl-NL"/>
        </w:rPr>
        <w:t>de</w:t>
      </w:r>
      <w:r w:rsidRPr="000B4AB2">
        <w:rPr>
          <w:szCs w:val="18"/>
          <w:lang w:val="nl-NL"/>
        </w:rPr>
        <w:t xml:space="preserve"> misdrijven </w:t>
      </w:r>
      <w:r w:rsidR="00B47214">
        <w:rPr>
          <w:szCs w:val="18"/>
          <w:lang w:val="nl-NL"/>
        </w:rPr>
        <w:t>onder</w:t>
      </w:r>
      <w:r w:rsidRPr="000B4AB2">
        <w:rPr>
          <w:szCs w:val="18"/>
          <w:lang w:val="nl-NL"/>
        </w:rPr>
        <w:t xml:space="preserve"> Brits recht die vergelijkbaar zijn met het Belgische misdrijf van </w:t>
      </w:r>
      <w:r w:rsidR="006857D3">
        <w:rPr>
          <w:szCs w:val="18"/>
          <w:lang w:val="nl-NL"/>
        </w:rPr>
        <w:t>aantasting van de seksuele integriteit</w:t>
      </w:r>
      <w:r w:rsidRPr="000B4AB2">
        <w:rPr>
          <w:szCs w:val="18"/>
          <w:lang w:val="nl-NL"/>
        </w:rPr>
        <w:t xml:space="preserve">. </w:t>
      </w:r>
      <w:r w:rsidR="00B47214">
        <w:rPr>
          <w:szCs w:val="18"/>
          <w:lang w:val="nl-NL"/>
        </w:rPr>
        <w:t xml:space="preserve">Hetzelfde stramien wordt gevolgd </w:t>
      </w:r>
      <w:r w:rsidR="00D95615">
        <w:rPr>
          <w:szCs w:val="18"/>
          <w:lang w:val="nl-NL"/>
        </w:rPr>
        <w:t>m.b.t.</w:t>
      </w:r>
      <w:r w:rsidRPr="000B4AB2">
        <w:rPr>
          <w:szCs w:val="18"/>
          <w:lang w:val="nl-NL"/>
        </w:rPr>
        <w:t xml:space="preserve"> </w:t>
      </w:r>
      <w:r w:rsidR="00B47214">
        <w:rPr>
          <w:szCs w:val="18"/>
          <w:lang w:val="nl-NL"/>
        </w:rPr>
        <w:t>de misdrijven verg</w:t>
      </w:r>
      <w:r w:rsidR="00277D84">
        <w:rPr>
          <w:szCs w:val="18"/>
          <w:lang w:val="nl-NL"/>
        </w:rPr>
        <w:t>e</w:t>
      </w:r>
      <w:r w:rsidR="00B47214">
        <w:rPr>
          <w:szCs w:val="18"/>
          <w:lang w:val="nl-NL"/>
        </w:rPr>
        <w:t xml:space="preserve">lijkbaar met </w:t>
      </w:r>
      <w:r w:rsidRPr="000B4AB2">
        <w:rPr>
          <w:szCs w:val="18"/>
          <w:lang w:val="nl-NL"/>
        </w:rPr>
        <w:t xml:space="preserve">het Belgische misdrijf </w:t>
      </w:r>
      <w:r w:rsidR="006857D3">
        <w:rPr>
          <w:szCs w:val="18"/>
          <w:lang w:val="nl-NL"/>
        </w:rPr>
        <w:t>verkrachting</w:t>
      </w:r>
      <w:r w:rsidRPr="000B4AB2">
        <w:rPr>
          <w:szCs w:val="18"/>
          <w:lang w:val="nl-NL"/>
        </w:rPr>
        <w:t>.</w:t>
      </w:r>
      <w:r w:rsidR="00B47214">
        <w:rPr>
          <w:szCs w:val="18"/>
          <w:lang w:val="nl-NL"/>
        </w:rPr>
        <w:t xml:space="preserve"> </w:t>
      </w:r>
      <w:r w:rsidR="00376C61">
        <w:rPr>
          <w:szCs w:val="18"/>
          <w:lang w:val="nl-NL"/>
        </w:rPr>
        <w:t>O</w:t>
      </w:r>
      <w:r w:rsidR="0053420F">
        <w:rPr>
          <w:szCs w:val="18"/>
          <w:lang w:val="nl-NL"/>
        </w:rPr>
        <w:t>p grond hiervan kan tot een schematische weergave worden gekomen waaruit de gelijkenissen en verschillen tussen beide rechtsstelsels blijken</w:t>
      </w:r>
      <w:r w:rsidR="00B47214">
        <w:rPr>
          <w:szCs w:val="18"/>
          <w:lang w:val="nl-NL"/>
        </w:rPr>
        <w:t>.</w:t>
      </w:r>
    </w:p>
    <w:p w14:paraId="4562CB2C" w14:textId="77777777" w:rsidR="00F6414E" w:rsidRPr="00B47214" w:rsidRDefault="00F6414E" w:rsidP="00260F11">
      <w:pPr>
        <w:spacing w:line="360" w:lineRule="auto"/>
        <w:rPr>
          <w:szCs w:val="18"/>
          <w:lang w:val="nl-NL"/>
        </w:rPr>
      </w:pPr>
    </w:p>
    <w:p w14:paraId="2C074904" w14:textId="3AAADD2B" w:rsidR="00337D20" w:rsidRDefault="00F6414E" w:rsidP="00260F11">
      <w:pPr>
        <w:pStyle w:val="ListParagraph"/>
        <w:spacing w:line="360" w:lineRule="auto"/>
        <w:ind w:left="0"/>
        <w:rPr>
          <w:szCs w:val="18"/>
          <w:lang w:val="nl-NL"/>
        </w:rPr>
      </w:pPr>
      <w:r w:rsidRPr="000B4AB2">
        <w:rPr>
          <w:szCs w:val="18"/>
          <w:lang w:val="nl-NL"/>
        </w:rPr>
        <w:t xml:space="preserve">Dankzij </w:t>
      </w:r>
      <w:r w:rsidR="00B47214">
        <w:rPr>
          <w:szCs w:val="18"/>
          <w:lang w:val="nl-NL"/>
        </w:rPr>
        <w:t xml:space="preserve">de </w:t>
      </w:r>
      <w:r w:rsidR="00722F6D">
        <w:rPr>
          <w:szCs w:val="18"/>
          <w:lang w:val="nl-NL"/>
        </w:rPr>
        <w:t>geïdentificeerde</w:t>
      </w:r>
      <w:r w:rsidR="00B47214">
        <w:rPr>
          <w:szCs w:val="18"/>
          <w:lang w:val="nl-NL"/>
        </w:rPr>
        <w:t xml:space="preserve"> pijnpunten van de oude strafbaarstellingen evenals het </w:t>
      </w:r>
      <w:r w:rsidRPr="000B4AB2">
        <w:rPr>
          <w:szCs w:val="18"/>
          <w:lang w:val="nl-NL"/>
        </w:rPr>
        <w:t>rechtsvergelijkend onderzoek</w:t>
      </w:r>
      <w:r w:rsidR="00B47214">
        <w:rPr>
          <w:szCs w:val="18"/>
          <w:lang w:val="nl-NL"/>
        </w:rPr>
        <w:t xml:space="preserve"> - </w:t>
      </w:r>
      <w:r w:rsidRPr="000B4AB2">
        <w:rPr>
          <w:szCs w:val="18"/>
          <w:lang w:val="nl-NL"/>
        </w:rPr>
        <w:t>zowel intern</w:t>
      </w:r>
      <w:r w:rsidR="0039329C">
        <w:rPr>
          <w:rStyle w:val="FootnoteReference"/>
          <w:szCs w:val="18"/>
          <w:lang w:val="nl-NL"/>
        </w:rPr>
        <w:footnoteReference w:id="35"/>
      </w:r>
      <w:r w:rsidR="006857D3">
        <w:rPr>
          <w:szCs w:val="18"/>
          <w:lang w:val="nl-NL"/>
        </w:rPr>
        <w:t xml:space="preserve"> </w:t>
      </w:r>
      <w:r w:rsidRPr="000B4AB2">
        <w:rPr>
          <w:szCs w:val="18"/>
          <w:lang w:val="nl-NL"/>
        </w:rPr>
        <w:t>als extern</w:t>
      </w:r>
      <w:r w:rsidR="0039329C">
        <w:rPr>
          <w:rStyle w:val="FootnoteReference"/>
          <w:szCs w:val="18"/>
          <w:lang w:val="nl-NL"/>
        </w:rPr>
        <w:footnoteReference w:id="36"/>
      </w:r>
      <w:r w:rsidR="00B47214">
        <w:rPr>
          <w:szCs w:val="18"/>
          <w:lang w:val="nl-NL"/>
        </w:rPr>
        <w:t xml:space="preserve"> - </w:t>
      </w:r>
      <w:r w:rsidRPr="000B4AB2">
        <w:rPr>
          <w:szCs w:val="18"/>
          <w:lang w:val="nl-NL"/>
        </w:rPr>
        <w:t xml:space="preserve">kan tot een onderbouwde evaluatie worden gekomen </w:t>
      </w:r>
      <w:r w:rsidR="00D95615" w:rsidRPr="000B4AB2">
        <w:rPr>
          <w:szCs w:val="18"/>
          <w:lang w:val="nl-NL"/>
        </w:rPr>
        <w:t xml:space="preserve">van de hervormde strafbaarstellingen </w:t>
      </w:r>
      <w:r w:rsidRPr="000B4AB2">
        <w:rPr>
          <w:szCs w:val="18"/>
          <w:lang w:val="nl-NL"/>
        </w:rPr>
        <w:t>van aantasting van de seksuele integriteit</w:t>
      </w:r>
      <w:r w:rsidR="00B47214">
        <w:rPr>
          <w:szCs w:val="18"/>
          <w:lang w:val="nl-NL"/>
        </w:rPr>
        <w:t xml:space="preserve"> en verkrachting</w:t>
      </w:r>
      <w:r w:rsidRPr="000B4AB2">
        <w:rPr>
          <w:szCs w:val="18"/>
          <w:lang w:val="nl-NL"/>
        </w:rPr>
        <w:t xml:space="preserve">. </w:t>
      </w:r>
      <w:r w:rsidR="0053420F">
        <w:rPr>
          <w:szCs w:val="18"/>
          <w:lang w:val="nl-NL"/>
        </w:rPr>
        <w:t xml:space="preserve">Hierbij worden waar mogelijk tevens aanbevelingen geformuleerd. </w:t>
      </w:r>
      <w:r w:rsidR="00D95615">
        <w:rPr>
          <w:szCs w:val="18"/>
          <w:lang w:val="nl-NL"/>
        </w:rPr>
        <w:t xml:space="preserve">O.g.v. de geformuleerde aanbevelingen, wordt in het laatste deel een eigen wetsvoorstel opgesteld. </w:t>
      </w:r>
      <w:r w:rsidRPr="000B4AB2">
        <w:rPr>
          <w:szCs w:val="18"/>
          <w:lang w:val="nl-NL"/>
        </w:rPr>
        <w:t>Op het einde volgen uiteraard nog enkele slotbeschouwingen.</w:t>
      </w:r>
    </w:p>
    <w:p w14:paraId="47F39C1A" w14:textId="77777777" w:rsidR="0026404D" w:rsidRPr="000B4AB2" w:rsidRDefault="0026404D" w:rsidP="00260F11">
      <w:pPr>
        <w:pStyle w:val="ListParagraph"/>
        <w:spacing w:line="360" w:lineRule="auto"/>
        <w:ind w:left="0"/>
        <w:rPr>
          <w:color w:val="000000" w:themeColor="text1"/>
          <w:szCs w:val="18"/>
          <w:lang w:val="nl-NL"/>
        </w:rPr>
      </w:pPr>
    </w:p>
    <w:p w14:paraId="4F7E485C" w14:textId="77777777" w:rsidR="0026404D" w:rsidRDefault="0026404D" w:rsidP="00260F11">
      <w:pPr>
        <w:spacing w:line="360" w:lineRule="auto"/>
        <w:rPr>
          <w:color w:val="000000" w:themeColor="text1"/>
          <w:szCs w:val="18"/>
          <w:lang w:val="nl-NL"/>
        </w:rPr>
        <w:sectPr w:rsidR="0026404D" w:rsidSect="00557BAB">
          <w:footerReference w:type="default" r:id="rId17"/>
          <w:pgSz w:w="11906" w:h="16838"/>
          <w:pgMar w:top="1417" w:right="1417" w:bottom="1417" w:left="1417" w:header="709" w:footer="709" w:gutter="0"/>
          <w:cols w:space="708"/>
          <w:docGrid w:linePitch="360"/>
        </w:sectPr>
      </w:pPr>
    </w:p>
    <w:p w14:paraId="223BB73F" w14:textId="2BE01B26" w:rsidR="00A17622" w:rsidRDefault="00A17622" w:rsidP="00260F11">
      <w:pPr>
        <w:spacing w:line="360" w:lineRule="auto"/>
        <w:rPr>
          <w:color w:val="000000" w:themeColor="text1"/>
          <w:szCs w:val="18"/>
          <w:lang w:val="nl-NL"/>
        </w:rPr>
      </w:pPr>
    </w:p>
    <w:p w14:paraId="76AF10A6" w14:textId="77777777" w:rsidR="0026404D" w:rsidRDefault="0026404D" w:rsidP="00260F11">
      <w:pPr>
        <w:spacing w:line="360" w:lineRule="auto"/>
        <w:rPr>
          <w:color w:val="000000" w:themeColor="text1"/>
          <w:szCs w:val="18"/>
          <w:lang w:val="nl-NL"/>
        </w:rPr>
      </w:pPr>
    </w:p>
    <w:p w14:paraId="404091A8" w14:textId="77777777" w:rsidR="0026404D" w:rsidRDefault="0026404D" w:rsidP="00260F11">
      <w:pPr>
        <w:spacing w:line="360" w:lineRule="auto"/>
        <w:rPr>
          <w:color w:val="000000" w:themeColor="text1"/>
          <w:szCs w:val="18"/>
          <w:lang w:val="nl-NL"/>
        </w:rPr>
        <w:sectPr w:rsidR="0026404D" w:rsidSect="0026404D">
          <w:footerReference w:type="default" r:id="rId18"/>
          <w:pgSz w:w="11906" w:h="16838"/>
          <w:pgMar w:top="1417" w:right="1417" w:bottom="1417" w:left="1417" w:header="709" w:footer="709" w:gutter="0"/>
          <w:cols w:space="708"/>
          <w:docGrid w:linePitch="360"/>
        </w:sectPr>
      </w:pPr>
    </w:p>
    <w:p w14:paraId="7AECF010" w14:textId="46429B82" w:rsidR="00001FD8" w:rsidRPr="000B4AB2" w:rsidRDefault="00851AE9" w:rsidP="00260F11">
      <w:pPr>
        <w:pStyle w:val="Heading2"/>
        <w:spacing w:line="360" w:lineRule="auto"/>
        <w:rPr>
          <w:szCs w:val="18"/>
          <w:lang w:val="nl-NL"/>
        </w:rPr>
      </w:pPr>
      <w:bookmarkStart w:id="6" w:name="_Toc135041037"/>
      <w:r w:rsidRPr="000B4AB2">
        <w:rPr>
          <w:szCs w:val="18"/>
          <w:lang w:val="nl-NL"/>
        </w:rPr>
        <w:lastRenderedPageBreak/>
        <w:t>Belgisch recht</w:t>
      </w:r>
      <w:bookmarkEnd w:id="6"/>
    </w:p>
    <w:p w14:paraId="6EC27F75" w14:textId="77777777" w:rsidR="00AC6960" w:rsidRPr="000B4AB2" w:rsidRDefault="00AC6960" w:rsidP="00260F11">
      <w:pPr>
        <w:spacing w:line="360" w:lineRule="auto"/>
        <w:rPr>
          <w:szCs w:val="18"/>
          <w:lang w:val="nl-NL"/>
        </w:rPr>
      </w:pPr>
    </w:p>
    <w:p w14:paraId="7ABED119" w14:textId="09EFD444" w:rsidR="004A41BC" w:rsidRDefault="00513DCF" w:rsidP="00260F11">
      <w:pPr>
        <w:pStyle w:val="ListParagraph"/>
        <w:numPr>
          <w:ilvl w:val="0"/>
          <w:numId w:val="1"/>
        </w:numPr>
        <w:spacing w:line="360" w:lineRule="auto"/>
        <w:ind w:left="0" w:hanging="709"/>
        <w:rPr>
          <w:szCs w:val="18"/>
          <w:lang w:val="nl-NL"/>
        </w:rPr>
      </w:pPr>
      <w:r w:rsidRPr="006857D3">
        <w:rPr>
          <w:b/>
          <w:szCs w:val="18"/>
          <w:lang w:val="nl-NL"/>
        </w:rPr>
        <w:t xml:space="preserve">Plaats </w:t>
      </w:r>
      <w:r w:rsidR="006857D3" w:rsidRPr="006857D3">
        <w:rPr>
          <w:b/>
          <w:szCs w:val="18"/>
          <w:lang w:val="nl-NL"/>
        </w:rPr>
        <w:t>binnen</w:t>
      </w:r>
      <w:r w:rsidRPr="006857D3">
        <w:rPr>
          <w:b/>
          <w:szCs w:val="18"/>
          <w:lang w:val="nl-NL"/>
        </w:rPr>
        <w:t xml:space="preserve"> het Strafwetboek</w:t>
      </w:r>
      <w:r w:rsidRPr="006857D3">
        <w:rPr>
          <w:szCs w:val="18"/>
          <w:lang w:val="nl-NL"/>
        </w:rPr>
        <w:t xml:space="preserve">. </w:t>
      </w:r>
      <w:r w:rsidR="00380458" w:rsidRPr="006857D3">
        <w:rPr>
          <w:szCs w:val="18"/>
          <w:lang w:val="nl-NL"/>
        </w:rPr>
        <w:t xml:space="preserve">De misdrijven verkrachting en </w:t>
      </w:r>
      <w:r w:rsidR="00894F15">
        <w:rPr>
          <w:szCs w:val="18"/>
          <w:lang w:val="nl-NL"/>
        </w:rPr>
        <w:t xml:space="preserve">aanranding van de eerbaarheid respectievelijk </w:t>
      </w:r>
      <w:r w:rsidR="00380458" w:rsidRPr="006857D3">
        <w:rPr>
          <w:szCs w:val="18"/>
          <w:lang w:val="nl-NL"/>
        </w:rPr>
        <w:t xml:space="preserve">aantasting van de seksuele integriteit bevinden zich in Boek </w:t>
      </w:r>
      <w:r w:rsidR="000E2C19">
        <w:rPr>
          <w:szCs w:val="18"/>
          <w:lang w:val="nl-NL"/>
        </w:rPr>
        <w:t>II</w:t>
      </w:r>
      <w:r w:rsidR="00380458" w:rsidRPr="006857D3">
        <w:rPr>
          <w:szCs w:val="18"/>
          <w:lang w:val="nl-NL"/>
        </w:rPr>
        <w:t xml:space="preserve"> van het Strafwetboek. </w:t>
      </w:r>
    </w:p>
    <w:p w14:paraId="6E8F3B42" w14:textId="77777777" w:rsidR="006857D3" w:rsidRPr="006857D3" w:rsidRDefault="006857D3" w:rsidP="00260F11">
      <w:pPr>
        <w:pStyle w:val="ListParagraph"/>
        <w:spacing w:line="360" w:lineRule="auto"/>
        <w:ind w:left="0"/>
        <w:rPr>
          <w:szCs w:val="18"/>
          <w:lang w:val="nl-NL"/>
        </w:rPr>
      </w:pPr>
    </w:p>
    <w:p w14:paraId="564EB04C" w14:textId="3BA1BB59" w:rsidR="00AD2DCC" w:rsidRPr="000B4AB2" w:rsidRDefault="00894F15" w:rsidP="00260F11">
      <w:pPr>
        <w:pStyle w:val="ListParagraph"/>
        <w:spacing w:line="360" w:lineRule="auto"/>
        <w:ind w:left="0"/>
        <w:rPr>
          <w:szCs w:val="18"/>
          <w:lang w:val="nl-NL"/>
        </w:rPr>
      </w:pPr>
      <w:r>
        <w:rPr>
          <w:szCs w:val="18"/>
          <w:lang w:val="nl-NL"/>
        </w:rPr>
        <w:t>De oude strafbaarstellingen</w:t>
      </w:r>
      <w:r w:rsidR="00380458" w:rsidRPr="000B4AB2">
        <w:rPr>
          <w:szCs w:val="18"/>
          <w:lang w:val="nl-NL"/>
        </w:rPr>
        <w:t xml:space="preserve"> </w:t>
      </w:r>
      <w:r>
        <w:rPr>
          <w:szCs w:val="18"/>
          <w:lang w:val="nl-NL"/>
        </w:rPr>
        <w:t>bevonden</w:t>
      </w:r>
      <w:r w:rsidR="00380458" w:rsidRPr="000B4AB2">
        <w:rPr>
          <w:szCs w:val="18"/>
          <w:lang w:val="nl-NL"/>
        </w:rPr>
        <w:t xml:space="preserve"> zich </w:t>
      </w:r>
      <w:r w:rsidR="00E851C6">
        <w:rPr>
          <w:szCs w:val="18"/>
          <w:lang w:val="nl-NL"/>
        </w:rPr>
        <w:t xml:space="preserve">meer specifiek </w:t>
      </w:r>
      <w:r w:rsidR="00380458" w:rsidRPr="000B4AB2">
        <w:rPr>
          <w:szCs w:val="18"/>
          <w:lang w:val="nl-NL"/>
        </w:rPr>
        <w:t xml:space="preserve">onder Titel VII: “Misdaden en wanbedrijven tegen de orde van de familie”, Hoofdstuk V: “Misdaden en wanbedrijven tegen de orde der familie en tegen de openbare </w:t>
      </w:r>
      <w:r w:rsidR="00380458" w:rsidRPr="000B4AB2">
        <w:rPr>
          <w:color w:val="000000" w:themeColor="text1"/>
          <w:szCs w:val="18"/>
          <w:lang w:val="nl-NL"/>
        </w:rPr>
        <w:t>zedelijkheid”. De bescherming van de orde van de familie</w:t>
      </w:r>
      <w:r w:rsidR="00380458" w:rsidRPr="000B4AB2">
        <w:rPr>
          <w:rStyle w:val="FootnoteReference"/>
          <w:color w:val="000000" w:themeColor="text1"/>
          <w:szCs w:val="18"/>
          <w:lang w:val="nl-NL"/>
        </w:rPr>
        <w:footnoteReference w:id="37"/>
      </w:r>
      <w:r w:rsidR="00380458" w:rsidRPr="000B4AB2">
        <w:rPr>
          <w:color w:val="000000" w:themeColor="text1"/>
          <w:szCs w:val="18"/>
          <w:lang w:val="nl-NL"/>
        </w:rPr>
        <w:t xml:space="preserve"> kreeg</w:t>
      </w:r>
      <w:r w:rsidR="00837CA8" w:rsidRPr="000B4AB2">
        <w:rPr>
          <w:rStyle w:val="FootnoteReference"/>
          <w:color w:val="000000" w:themeColor="text1"/>
          <w:szCs w:val="18"/>
          <w:lang w:val="nl-NL"/>
        </w:rPr>
        <w:footnoteReference w:id="38"/>
      </w:r>
      <w:r w:rsidR="00380458" w:rsidRPr="000B4AB2">
        <w:rPr>
          <w:color w:val="000000" w:themeColor="text1"/>
          <w:szCs w:val="18"/>
          <w:lang w:val="nl-NL"/>
        </w:rPr>
        <w:t xml:space="preserve"> voorrang op de bescherming van de seksuele integriteit van een individu.</w:t>
      </w:r>
      <w:r w:rsidR="00380458" w:rsidRPr="000B4AB2">
        <w:rPr>
          <w:rStyle w:val="FootnoteReference"/>
          <w:color w:val="000000" w:themeColor="text1"/>
          <w:szCs w:val="18"/>
          <w:lang w:val="nl-NL"/>
        </w:rPr>
        <w:footnoteReference w:id="39"/>
      </w:r>
      <w:r w:rsidR="003032BB" w:rsidRPr="000B4AB2">
        <w:rPr>
          <w:color w:val="000000" w:themeColor="text1"/>
          <w:szCs w:val="18"/>
          <w:lang w:val="nl-NL"/>
        </w:rPr>
        <w:t xml:space="preserve"> </w:t>
      </w:r>
    </w:p>
    <w:p w14:paraId="23CE3432" w14:textId="77777777" w:rsidR="00AD2DCC" w:rsidRPr="000B4AB2" w:rsidRDefault="00AD2DCC" w:rsidP="00260F11">
      <w:pPr>
        <w:pStyle w:val="ListParagraph"/>
        <w:spacing w:line="360" w:lineRule="auto"/>
        <w:rPr>
          <w:szCs w:val="18"/>
          <w:lang w:val="nl-NL"/>
        </w:rPr>
      </w:pPr>
    </w:p>
    <w:p w14:paraId="7F71292B" w14:textId="0BF8F85F" w:rsidR="00AD2DCC" w:rsidRDefault="00894F15" w:rsidP="00260F11">
      <w:pPr>
        <w:pStyle w:val="ListParagraph"/>
        <w:spacing w:line="360" w:lineRule="auto"/>
        <w:ind w:left="0"/>
        <w:rPr>
          <w:color w:val="000000" w:themeColor="text1"/>
          <w:szCs w:val="18"/>
          <w:lang w:val="nl-NL"/>
        </w:rPr>
      </w:pPr>
      <w:r>
        <w:rPr>
          <w:szCs w:val="18"/>
          <w:lang w:val="nl-NL"/>
        </w:rPr>
        <w:t>De huidige strafbaarstellingen</w:t>
      </w:r>
      <w:r w:rsidR="00AD2DCC" w:rsidRPr="000B4AB2">
        <w:rPr>
          <w:szCs w:val="18"/>
          <w:lang w:val="nl-NL"/>
        </w:rPr>
        <w:t xml:space="preserve"> worden </w:t>
      </w:r>
      <w:r w:rsidR="00AD2DCC" w:rsidRPr="000B4AB2">
        <w:rPr>
          <w:color w:val="000000" w:themeColor="text1"/>
          <w:szCs w:val="18"/>
          <w:lang w:val="nl-NL"/>
        </w:rPr>
        <w:t>ondergebracht onder Titel VIII: “</w:t>
      </w:r>
      <w:r w:rsidR="00AD2DCC" w:rsidRPr="000B4AB2">
        <w:rPr>
          <w:i/>
          <w:color w:val="000000" w:themeColor="text1"/>
          <w:szCs w:val="18"/>
          <w:lang w:val="nl-NL"/>
        </w:rPr>
        <w:t>Misdaden en wanbedrijven tegen personen</w:t>
      </w:r>
      <w:r w:rsidR="00AD2DCC" w:rsidRPr="000B4AB2">
        <w:rPr>
          <w:color w:val="000000" w:themeColor="text1"/>
          <w:szCs w:val="18"/>
          <w:lang w:val="nl-NL"/>
        </w:rPr>
        <w:t>”, Hoofdstuk I/1: “</w:t>
      </w:r>
      <w:r w:rsidR="00AD2DCC" w:rsidRPr="000B4AB2">
        <w:rPr>
          <w:i/>
          <w:color w:val="000000" w:themeColor="text1"/>
          <w:szCs w:val="18"/>
          <w:lang w:val="nl-NL"/>
        </w:rPr>
        <w:t>Misdrijven tegen de seksuele integriteit, het seksuele zelfbeschikkingsrecht en de goede zeden</w:t>
      </w:r>
      <w:r w:rsidR="00AD2DCC" w:rsidRPr="000B4AB2">
        <w:rPr>
          <w:color w:val="000000" w:themeColor="text1"/>
          <w:szCs w:val="18"/>
          <w:lang w:val="nl-NL"/>
        </w:rPr>
        <w:t xml:space="preserve">”. </w:t>
      </w:r>
      <w:r>
        <w:rPr>
          <w:color w:val="000000" w:themeColor="text1"/>
          <w:szCs w:val="18"/>
          <w:lang w:val="nl-NL"/>
        </w:rPr>
        <w:t>Hiermee</w:t>
      </w:r>
      <w:r w:rsidR="00F85BB8">
        <w:rPr>
          <w:color w:val="000000" w:themeColor="text1"/>
          <w:szCs w:val="18"/>
          <w:lang w:val="nl-NL"/>
        </w:rPr>
        <w:t xml:space="preserve"> wil </w:t>
      </w:r>
      <w:r w:rsidR="00AD2DCC" w:rsidRPr="000B4AB2">
        <w:rPr>
          <w:color w:val="000000" w:themeColor="text1"/>
          <w:szCs w:val="18"/>
          <w:lang w:val="nl-NL"/>
        </w:rPr>
        <w:t>de wetgever de seksuele autonomie van het individu benadrukken</w:t>
      </w:r>
      <w:r w:rsidR="006855FB" w:rsidRPr="000B4AB2">
        <w:rPr>
          <w:color w:val="000000" w:themeColor="text1"/>
          <w:szCs w:val="18"/>
          <w:lang w:val="nl-NL"/>
        </w:rPr>
        <w:t>, maar ook algemener benadru</w:t>
      </w:r>
      <w:r w:rsidR="0059263B" w:rsidRPr="000B4AB2">
        <w:rPr>
          <w:color w:val="000000" w:themeColor="text1"/>
          <w:szCs w:val="18"/>
          <w:lang w:val="nl-NL"/>
        </w:rPr>
        <w:t>kken dat seksuele misdrijven zeer ernstige misdrijven zijn</w:t>
      </w:r>
      <w:r w:rsidR="00AD2DCC" w:rsidRPr="000B4AB2">
        <w:rPr>
          <w:color w:val="000000" w:themeColor="text1"/>
          <w:szCs w:val="18"/>
          <w:lang w:val="nl-NL"/>
        </w:rPr>
        <w:t>.</w:t>
      </w:r>
      <w:r w:rsidR="00AD2DCC" w:rsidRPr="000B4AB2">
        <w:rPr>
          <w:rStyle w:val="FootnoteReference"/>
          <w:color w:val="000000" w:themeColor="text1"/>
          <w:szCs w:val="18"/>
          <w:lang w:val="nl-NL"/>
        </w:rPr>
        <w:footnoteReference w:id="40"/>
      </w:r>
    </w:p>
    <w:p w14:paraId="5C6D7AC3" w14:textId="7C6A4001" w:rsidR="00824FB8" w:rsidRDefault="00824FB8" w:rsidP="00260F11">
      <w:pPr>
        <w:spacing w:line="360" w:lineRule="auto"/>
        <w:jc w:val="left"/>
        <w:rPr>
          <w:color w:val="000000" w:themeColor="text1"/>
          <w:szCs w:val="18"/>
          <w:lang w:val="nl-NL"/>
        </w:rPr>
      </w:pPr>
      <w:r>
        <w:rPr>
          <w:color w:val="000000" w:themeColor="text1"/>
          <w:szCs w:val="18"/>
          <w:lang w:val="nl-NL"/>
        </w:rPr>
        <w:br w:type="page"/>
      </w:r>
    </w:p>
    <w:p w14:paraId="1F532919" w14:textId="77777777" w:rsidR="008C220A" w:rsidRPr="000B4AB2" w:rsidRDefault="00853F85" w:rsidP="00260F11">
      <w:pPr>
        <w:pStyle w:val="Heading3"/>
        <w:spacing w:line="360" w:lineRule="auto"/>
        <w:rPr>
          <w:szCs w:val="18"/>
          <w:lang w:val="nl-NL"/>
        </w:rPr>
      </w:pPr>
      <w:bookmarkStart w:id="7" w:name="_Toc135041038"/>
      <w:r w:rsidRPr="000B4AB2">
        <w:rPr>
          <w:szCs w:val="18"/>
          <w:lang w:val="nl-NL"/>
        </w:rPr>
        <w:lastRenderedPageBreak/>
        <w:t>Aanranding van de eerbaarheid respectievelijk aantasting van de seksuele integriteit</w:t>
      </w:r>
      <w:bookmarkEnd w:id="7"/>
    </w:p>
    <w:p w14:paraId="73EA11EA" w14:textId="1AD3D503" w:rsidR="001A0357" w:rsidRPr="000B4AB2" w:rsidRDefault="00712B9D" w:rsidP="00260F11">
      <w:pPr>
        <w:pStyle w:val="Heading4"/>
        <w:spacing w:line="360" w:lineRule="auto"/>
        <w:rPr>
          <w:szCs w:val="18"/>
          <w:lang w:val="nl-NL"/>
        </w:rPr>
      </w:pPr>
      <w:bookmarkStart w:id="8" w:name="_Toc135041039"/>
      <w:r w:rsidRPr="000B4AB2">
        <w:rPr>
          <w:szCs w:val="18"/>
          <w:lang w:val="nl-NL"/>
        </w:rPr>
        <w:t>A</w:t>
      </w:r>
      <w:r w:rsidR="00853F85" w:rsidRPr="000B4AB2">
        <w:rPr>
          <w:szCs w:val="18"/>
          <w:lang w:val="nl-NL"/>
        </w:rPr>
        <w:t>anranding van de eerbaarheid</w:t>
      </w:r>
      <w:r w:rsidR="00920BD9" w:rsidRPr="000B4AB2">
        <w:rPr>
          <w:rStyle w:val="FootnoteReference"/>
          <w:szCs w:val="18"/>
          <w:lang w:val="nl-NL"/>
        </w:rPr>
        <w:footnoteReference w:id="41"/>
      </w:r>
      <w:r w:rsidRPr="000B4AB2">
        <w:rPr>
          <w:szCs w:val="18"/>
          <w:lang w:val="nl-NL"/>
        </w:rPr>
        <w:t xml:space="preserve"> </w:t>
      </w:r>
      <w:r w:rsidR="001106D3" w:rsidRPr="000B4AB2">
        <w:rPr>
          <w:szCs w:val="18"/>
          <w:lang w:val="nl-NL"/>
        </w:rPr>
        <w:t>(</w:t>
      </w:r>
      <w:r w:rsidRPr="000B4AB2">
        <w:rPr>
          <w:szCs w:val="18"/>
          <w:lang w:val="nl-NL"/>
        </w:rPr>
        <w:t>oud recht</w:t>
      </w:r>
      <w:r w:rsidR="001106D3" w:rsidRPr="000B4AB2">
        <w:rPr>
          <w:szCs w:val="18"/>
          <w:lang w:val="nl-NL"/>
        </w:rPr>
        <w:t>)</w:t>
      </w:r>
      <w:bookmarkEnd w:id="8"/>
    </w:p>
    <w:p w14:paraId="77BA020C" w14:textId="77777777" w:rsidR="00243C86" w:rsidRPr="000B4AB2" w:rsidRDefault="00243C86" w:rsidP="00260F11">
      <w:pPr>
        <w:pStyle w:val="ListParagraph"/>
        <w:spacing w:line="360" w:lineRule="auto"/>
        <w:ind w:left="0"/>
        <w:rPr>
          <w:color w:val="000000" w:themeColor="text1"/>
          <w:szCs w:val="18"/>
          <w:lang w:val="nl-NL"/>
        </w:rPr>
      </w:pPr>
    </w:p>
    <w:p w14:paraId="0727F6EF" w14:textId="789E7C85" w:rsidR="0061652A" w:rsidRDefault="0061652A"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In dit deel wordt een deelantwoord geformuleerd op de eerste subonderzoeksvraag.</w:t>
      </w:r>
      <w:r w:rsidR="002541B1">
        <w:rPr>
          <w:rStyle w:val="FootnoteReference"/>
          <w:color w:val="000000" w:themeColor="text1"/>
          <w:szCs w:val="18"/>
          <w:lang w:val="nl-NL"/>
        </w:rPr>
        <w:footnoteReference w:id="42"/>
      </w:r>
      <w:r>
        <w:rPr>
          <w:color w:val="000000" w:themeColor="text1"/>
          <w:szCs w:val="18"/>
          <w:lang w:val="nl-NL"/>
        </w:rPr>
        <w:t xml:space="preserve"> Met name zal worden nagegaan wat de constitutieve bestanddelen van de oude strafbaarstelling van aanranding van de eerbaarheid </w:t>
      </w:r>
      <w:r w:rsidR="00234900">
        <w:rPr>
          <w:color w:val="000000" w:themeColor="text1"/>
          <w:szCs w:val="18"/>
          <w:lang w:val="nl-NL"/>
        </w:rPr>
        <w:t>waren</w:t>
      </w:r>
      <w:r>
        <w:rPr>
          <w:color w:val="000000" w:themeColor="text1"/>
          <w:szCs w:val="18"/>
          <w:lang w:val="nl-NL"/>
        </w:rPr>
        <w:t>.</w:t>
      </w:r>
    </w:p>
    <w:p w14:paraId="4222B4D6" w14:textId="77777777" w:rsidR="0061652A" w:rsidRPr="0061652A" w:rsidRDefault="0061652A" w:rsidP="00260F11">
      <w:pPr>
        <w:pStyle w:val="ListParagraph"/>
        <w:spacing w:line="360" w:lineRule="auto"/>
        <w:ind w:left="0"/>
        <w:rPr>
          <w:color w:val="000000" w:themeColor="text1"/>
          <w:szCs w:val="18"/>
          <w:lang w:val="nl-NL"/>
        </w:rPr>
      </w:pPr>
    </w:p>
    <w:p w14:paraId="6ED40DF9" w14:textId="62A299C1" w:rsidR="00A258A4" w:rsidRPr="000B4AB2" w:rsidRDefault="00826178" w:rsidP="00260F11">
      <w:pPr>
        <w:pStyle w:val="ListParagraph"/>
        <w:numPr>
          <w:ilvl w:val="0"/>
          <w:numId w:val="1"/>
        </w:numPr>
        <w:spacing w:line="360" w:lineRule="auto"/>
        <w:ind w:left="0" w:hanging="709"/>
        <w:rPr>
          <w:color w:val="000000" w:themeColor="text1"/>
          <w:szCs w:val="18"/>
          <w:lang w:val="nl-NL"/>
        </w:rPr>
      </w:pPr>
      <w:r w:rsidRPr="000B4AB2">
        <w:rPr>
          <w:szCs w:val="18"/>
          <w:lang w:val="nl-NL"/>
        </w:rPr>
        <w:t xml:space="preserve">De oude artikelen 372 t.e.m. 374 </w:t>
      </w:r>
      <w:r w:rsidR="0081584B">
        <w:rPr>
          <w:szCs w:val="18"/>
          <w:lang w:val="nl-NL"/>
        </w:rPr>
        <w:t xml:space="preserve">van het </w:t>
      </w:r>
      <w:r w:rsidR="00CE0637">
        <w:rPr>
          <w:szCs w:val="18"/>
          <w:lang w:val="nl-NL"/>
        </w:rPr>
        <w:t>Strafwetboek</w:t>
      </w:r>
      <w:r w:rsidRPr="000B4AB2">
        <w:rPr>
          <w:szCs w:val="18"/>
          <w:lang w:val="nl-NL"/>
        </w:rPr>
        <w:t xml:space="preserve"> </w:t>
      </w:r>
      <w:r w:rsidR="006271C7" w:rsidRPr="000B4AB2">
        <w:rPr>
          <w:color w:val="000000" w:themeColor="text1"/>
          <w:szCs w:val="18"/>
          <w:lang w:val="nl-NL"/>
        </w:rPr>
        <w:t xml:space="preserve">bevatten de strafbaarstelling </w:t>
      </w:r>
      <w:r w:rsidR="00FB3C8E">
        <w:rPr>
          <w:color w:val="000000" w:themeColor="text1"/>
          <w:szCs w:val="18"/>
          <w:lang w:val="nl-NL"/>
        </w:rPr>
        <w:t>m.b.t.</w:t>
      </w:r>
      <w:r w:rsidRPr="000B4AB2">
        <w:rPr>
          <w:color w:val="000000" w:themeColor="text1"/>
          <w:szCs w:val="18"/>
          <w:lang w:val="nl-NL"/>
        </w:rPr>
        <w:t xml:space="preserve"> aanranding van de eerbaarheid</w:t>
      </w:r>
      <w:r w:rsidR="00166765" w:rsidRPr="000B4AB2">
        <w:rPr>
          <w:color w:val="000000" w:themeColor="text1"/>
          <w:szCs w:val="18"/>
          <w:lang w:val="nl-NL"/>
        </w:rPr>
        <w:t>.</w:t>
      </w:r>
      <w:r w:rsidR="00A719AE" w:rsidRPr="000B4AB2">
        <w:rPr>
          <w:color w:val="000000" w:themeColor="text1"/>
          <w:szCs w:val="18"/>
          <w:lang w:val="nl-NL"/>
        </w:rPr>
        <w:t xml:space="preserve"> </w:t>
      </w:r>
      <w:r w:rsidR="00A719AE" w:rsidRPr="000B4AB2">
        <w:rPr>
          <w:szCs w:val="18"/>
          <w:lang w:val="nl-NL"/>
        </w:rPr>
        <w:t xml:space="preserve">Het </w:t>
      </w:r>
      <w:r w:rsidR="006271C7" w:rsidRPr="000B4AB2">
        <w:rPr>
          <w:szCs w:val="18"/>
          <w:lang w:val="nl-NL"/>
        </w:rPr>
        <w:t>eerstgenoemde</w:t>
      </w:r>
      <w:r w:rsidR="00A719AE" w:rsidRPr="000B4AB2">
        <w:rPr>
          <w:szCs w:val="18"/>
          <w:lang w:val="nl-NL"/>
        </w:rPr>
        <w:t xml:space="preserve"> artikel</w:t>
      </w:r>
      <w:r w:rsidR="00A258A4" w:rsidRPr="000B4AB2">
        <w:rPr>
          <w:szCs w:val="18"/>
          <w:lang w:val="nl-NL"/>
        </w:rPr>
        <w:t xml:space="preserve"> </w:t>
      </w:r>
      <w:r w:rsidR="006271C7" w:rsidRPr="000B4AB2">
        <w:rPr>
          <w:szCs w:val="18"/>
          <w:lang w:val="nl-NL"/>
        </w:rPr>
        <w:t>bepaalde</w:t>
      </w:r>
      <w:r w:rsidR="00A258A4" w:rsidRPr="000B4AB2">
        <w:rPr>
          <w:szCs w:val="18"/>
          <w:lang w:val="nl-NL"/>
        </w:rPr>
        <w:t>: “</w:t>
      </w:r>
      <w:r w:rsidR="00A258A4" w:rsidRPr="000B4AB2">
        <w:rPr>
          <w:i/>
          <w:szCs w:val="18"/>
          <w:lang w:val="nl-NL"/>
        </w:rPr>
        <w:t>Elke aanranding van de eerbaarheid, zonder geweld of bedreiging gepleegd op de persoon of met behulp van de persoon van een kind van het mannelijke of vrouwelijke geslacht beneden de volle leeftijd van zestien jaar, wordt gestraft met opsluiting van vijf jaar tot tien jaar.</w:t>
      </w:r>
    </w:p>
    <w:p w14:paraId="324A18D1" w14:textId="0406BBA3" w:rsidR="00A258A4" w:rsidRPr="000B4AB2" w:rsidRDefault="00A258A4" w:rsidP="00260F11">
      <w:pPr>
        <w:pStyle w:val="ListParagraph"/>
        <w:spacing w:line="360" w:lineRule="auto"/>
        <w:ind w:left="0"/>
        <w:rPr>
          <w:i/>
          <w:color w:val="000000" w:themeColor="text1"/>
          <w:szCs w:val="18"/>
          <w:lang w:val="nl-NL"/>
        </w:rPr>
      </w:pPr>
      <w:r w:rsidRPr="000B4AB2">
        <w:rPr>
          <w:i/>
          <w:color w:val="000000" w:themeColor="text1"/>
          <w:szCs w:val="18"/>
          <w:lang w:val="nl-NL"/>
        </w:rPr>
        <w:t>De aanranding van de eerbaarheid, zonder geweld of bedreiging, door een bloedverwant in de opgaande lijn of adoptant gepleegd op de persoon of met behulp van de persoon van een minderjarige, zelfs indien deze de volle leeftijd van zestien jaar heeft bereikt, wordt gestraft met opsluiting van tien jaar tot vijftien jaar. Dezelfde straf wordt toegepast indien de schuldige hetzij de broer of de zus van het minderjarige slachtoffer is of ieder ander persoon die een soortgelijke positie heeft in het gezin, hetzij onverschillig welke persoon die gewoonlijk of occasioneel met het slachtoffer samenwoont en die over dat slachtoffer gezag heeft.”</w:t>
      </w:r>
    </w:p>
    <w:p w14:paraId="5B3FF47E" w14:textId="77777777" w:rsidR="00166765" w:rsidRPr="000B4AB2" w:rsidRDefault="00166765" w:rsidP="00260F11">
      <w:pPr>
        <w:pStyle w:val="ListParagraph"/>
        <w:spacing w:line="360" w:lineRule="auto"/>
        <w:ind w:left="0"/>
        <w:rPr>
          <w:color w:val="000000" w:themeColor="text1"/>
          <w:szCs w:val="18"/>
          <w:lang w:val="nl-NL"/>
        </w:rPr>
      </w:pPr>
    </w:p>
    <w:p w14:paraId="2C01A4CB" w14:textId="226A2193" w:rsidR="00A258A4" w:rsidRPr="000B4AB2" w:rsidRDefault="00AA14EB" w:rsidP="00260F11">
      <w:pPr>
        <w:pStyle w:val="ListParagraph"/>
        <w:spacing w:line="360" w:lineRule="auto"/>
        <w:ind w:left="0"/>
        <w:rPr>
          <w:i/>
          <w:color w:val="000000" w:themeColor="text1"/>
          <w:szCs w:val="18"/>
          <w:lang w:val="nl-NL"/>
        </w:rPr>
      </w:pPr>
      <w:r w:rsidRPr="000B4AB2">
        <w:rPr>
          <w:color w:val="000000" w:themeColor="text1"/>
          <w:szCs w:val="18"/>
          <w:lang w:val="nl-NL"/>
        </w:rPr>
        <w:t>Oud a</w:t>
      </w:r>
      <w:r w:rsidR="00A258A4" w:rsidRPr="000B4AB2">
        <w:rPr>
          <w:color w:val="000000" w:themeColor="text1"/>
          <w:szCs w:val="18"/>
          <w:lang w:val="nl-NL"/>
        </w:rPr>
        <w:t xml:space="preserve">rtikel 373 </w:t>
      </w:r>
      <w:r w:rsidR="0081584B">
        <w:rPr>
          <w:color w:val="000000" w:themeColor="text1"/>
          <w:szCs w:val="18"/>
          <w:lang w:val="nl-NL"/>
        </w:rPr>
        <w:t>van het Strafwetboek</w:t>
      </w:r>
      <w:r w:rsidR="00A258A4" w:rsidRPr="000B4AB2">
        <w:rPr>
          <w:color w:val="000000" w:themeColor="text1"/>
          <w:szCs w:val="18"/>
          <w:lang w:val="nl-NL"/>
        </w:rPr>
        <w:t xml:space="preserve"> </w:t>
      </w:r>
      <w:r w:rsidR="006271C7" w:rsidRPr="000B4AB2">
        <w:rPr>
          <w:color w:val="000000" w:themeColor="text1"/>
          <w:szCs w:val="18"/>
          <w:lang w:val="nl-NL"/>
        </w:rPr>
        <w:t>bepaalde</w:t>
      </w:r>
      <w:r w:rsidR="00A719AE" w:rsidRPr="000B4AB2">
        <w:rPr>
          <w:color w:val="000000" w:themeColor="text1"/>
          <w:szCs w:val="18"/>
          <w:lang w:val="nl-NL"/>
        </w:rPr>
        <w:t xml:space="preserve"> vervolgens</w:t>
      </w:r>
      <w:r w:rsidR="00A258A4" w:rsidRPr="000B4AB2">
        <w:rPr>
          <w:color w:val="000000" w:themeColor="text1"/>
          <w:szCs w:val="18"/>
          <w:lang w:val="nl-NL"/>
        </w:rPr>
        <w:t xml:space="preserve">: </w:t>
      </w:r>
      <w:r w:rsidR="00A258A4" w:rsidRPr="000B4AB2">
        <w:rPr>
          <w:i/>
          <w:color w:val="000000" w:themeColor="text1"/>
          <w:szCs w:val="18"/>
          <w:lang w:val="nl-NL"/>
        </w:rPr>
        <w:t xml:space="preserve">“Met gevangenisstraf van zes maanden tot vijf jaar wordt gestraft de aanranding van de eerbaarheid gepleegd op personen of met behulp van personen van het mannelijke of vrouwelijke geslacht, met geweld, dwang, bedreiging, verrassing of list, of die mogelijk werd gemaakt door een onvolwaardigheid of een lichamelijk of geestelijk gebrek van het slachtoffer. </w:t>
      </w:r>
    </w:p>
    <w:p w14:paraId="6CC7389A" w14:textId="3D663B2E" w:rsidR="00A258A4" w:rsidRPr="000B4AB2" w:rsidRDefault="00A258A4" w:rsidP="00260F11">
      <w:pPr>
        <w:pStyle w:val="ListParagraph"/>
        <w:spacing w:line="360" w:lineRule="auto"/>
        <w:ind w:left="0"/>
        <w:rPr>
          <w:i/>
          <w:color w:val="000000" w:themeColor="text1"/>
          <w:szCs w:val="18"/>
          <w:lang w:val="nl-NL"/>
        </w:rPr>
      </w:pPr>
      <w:r w:rsidRPr="000B4AB2">
        <w:rPr>
          <w:i/>
          <w:color w:val="000000" w:themeColor="text1"/>
          <w:szCs w:val="18"/>
          <w:lang w:val="nl-NL"/>
        </w:rPr>
        <w:t xml:space="preserve">Wordt de aanranding gepleegd op de persoon of met behulp van de persoon van een minderjarige boven de volle leeftijd van zestien jaar, dan wordt de schuldige gestraft met opsluiting van vijf jaar tot tien jaar. </w:t>
      </w:r>
    </w:p>
    <w:p w14:paraId="236A36A2" w14:textId="0C2BB1C6" w:rsidR="00A258A4" w:rsidRPr="000B4AB2" w:rsidRDefault="00A258A4" w:rsidP="00260F11">
      <w:pPr>
        <w:pStyle w:val="ListParagraph"/>
        <w:spacing w:line="360" w:lineRule="auto"/>
        <w:ind w:left="0"/>
        <w:rPr>
          <w:i/>
          <w:color w:val="000000" w:themeColor="text1"/>
          <w:szCs w:val="18"/>
          <w:lang w:val="nl-NL"/>
        </w:rPr>
      </w:pPr>
      <w:r w:rsidRPr="000B4AB2">
        <w:rPr>
          <w:i/>
          <w:color w:val="000000" w:themeColor="text1"/>
          <w:szCs w:val="18"/>
          <w:lang w:val="nl-NL"/>
        </w:rPr>
        <w:t>Is de minderjarige geen volle zestien jaar oud, dan is de straf opsluiting van tien jaar tot vijftien jaar.”</w:t>
      </w:r>
    </w:p>
    <w:p w14:paraId="034FA943" w14:textId="77777777" w:rsidR="00A258A4" w:rsidRPr="000B4AB2" w:rsidRDefault="00A258A4" w:rsidP="00260F11">
      <w:pPr>
        <w:pStyle w:val="ListParagraph"/>
        <w:spacing w:line="360" w:lineRule="auto"/>
        <w:ind w:left="0"/>
        <w:rPr>
          <w:color w:val="000000" w:themeColor="text1"/>
          <w:szCs w:val="18"/>
          <w:lang w:val="nl-NL"/>
        </w:rPr>
      </w:pPr>
    </w:p>
    <w:p w14:paraId="646E4FF7" w14:textId="6E6598A7" w:rsidR="00A258A4" w:rsidRPr="000B4AB2" w:rsidRDefault="006604D4"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Volledigheidshalve </w:t>
      </w:r>
      <w:r w:rsidR="00655D80" w:rsidRPr="000B4AB2">
        <w:rPr>
          <w:color w:val="000000" w:themeColor="text1"/>
          <w:szCs w:val="18"/>
          <w:lang w:val="nl-NL"/>
        </w:rPr>
        <w:t>dient nog te worden gewezen op oud</w:t>
      </w:r>
      <w:r w:rsidRPr="000B4AB2">
        <w:rPr>
          <w:color w:val="000000" w:themeColor="text1"/>
          <w:szCs w:val="18"/>
          <w:lang w:val="nl-NL"/>
        </w:rPr>
        <w:t xml:space="preserve"> </w:t>
      </w:r>
      <w:r w:rsidR="00774182" w:rsidRPr="000B4AB2">
        <w:rPr>
          <w:color w:val="000000" w:themeColor="text1"/>
          <w:szCs w:val="18"/>
          <w:lang w:val="nl-NL"/>
        </w:rPr>
        <w:t>a</w:t>
      </w:r>
      <w:r w:rsidR="00A258A4" w:rsidRPr="000B4AB2">
        <w:rPr>
          <w:color w:val="000000" w:themeColor="text1"/>
          <w:szCs w:val="18"/>
          <w:lang w:val="nl-NL"/>
        </w:rPr>
        <w:t xml:space="preserve">rtikel 374 </w:t>
      </w:r>
      <w:r w:rsidR="0081584B">
        <w:rPr>
          <w:color w:val="000000" w:themeColor="text1"/>
          <w:szCs w:val="18"/>
          <w:lang w:val="nl-NL"/>
        </w:rPr>
        <w:t>van het Strafwetboek</w:t>
      </w:r>
      <w:r w:rsidR="00A46F1D" w:rsidRPr="000B4AB2">
        <w:rPr>
          <w:color w:val="000000" w:themeColor="text1"/>
          <w:szCs w:val="18"/>
          <w:lang w:val="nl-NL"/>
        </w:rPr>
        <w:t>,</w:t>
      </w:r>
      <w:r w:rsidR="00A258A4" w:rsidRPr="000B4AB2">
        <w:rPr>
          <w:color w:val="000000" w:themeColor="text1"/>
          <w:szCs w:val="18"/>
          <w:lang w:val="nl-NL"/>
        </w:rPr>
        <w:t xml:space="preserve"> </w:t>
      </w:r>
      <w:r w:rsidR="00655D80" w:rsidRPr="000B4AB2">
        <w:rPr>
          <w:color w:val="000000" w:themeColor="text1"/>
          <w:szCs w:val="18"/>
          <w:lang w:val="nl-NL"/>
        </w:rPr>
        <w:t>waarin het</w:t>
      </w:r>
      <w:r w:rsidR="006271C7" w:rsidRPr="000B4AB2">
        <w:rPr>
          <w:color w:val="000000" w:themeColor="text1"/>
          <w:szCs w:val="18"/>
          <w:lang w:val="nl-NL"/>
        </w:rPr>
        <w:t xml:space="preserve"> </w:t>
      </w:r>
      <w:r w:rsidRPr="000B4AB2">
        <w:rPr>
          <w:color w:val="000000" w:themeColor="text1"/>
          <w:szCs w:val="18"/>
          <w:lang w:val="nl-NL"/>
        </w:rPr>
        <w:t>volgende bepaald</w:t>
      </w:r>
      <w:r w:rsidR="00655D80" w:rsidRPr="000B4AB2">
        <w:rPr>
          <w:color w:val="000000" w:themeColor="text1"/>
          <w:szCs w:val="18"/>
          <w:lang w:val="nl-NL"/>
        </w:rPr>
        <w:t xml:space="preserve"> werd</w:t>
      </w:r>
      <w:r w:rsidR="00A258A4" w:rsidRPr="000B4AB2">
        <w:rPr>
          <w:i/>
          <w:color w:val="000000" w:themeColor="text1"/>
          <w:szCs w:val="18"/>
          <w:lang w:val="nl-NL"/>
        </w:rPr>
        <w:t>: “Aanranding bestaat, zodra er een begin van uitvoering is</w:t>
      </w:r>
      <w:r w:rsidR="0088029A">
        <w:rPr>
          <w:i/>
          <w:color w:val="000000" w:themeColor="text1"/>
          <w:szCs w:val="18"/>
          <w:lang w:val="nl-NL"/>
        </w:rPr>
        <w:t>.”</w:t>
      </w:r>
      <w:r w:rsidR="00FA3D97" w:rsidRPr="000B4AB2">
        <w:rPr>
          <w:rStyle w:val="FootnoteReference"/>
          <w:color w:val="000000" w:themeColor="text1"/>
          <w:szCs w:val="18"/>
          <w:lang w:val="nl-NL"/>
        </w:rPr>
        <w:footnoteReference w:id="43"/>
      </w:r>
    </w:p>
    <w:p w14:paraId="465B935B" w14:textId="5F00219B" w:rsidR="001A0357" w:rsidRPr="000B4AB2" w:rsidRDefault="001A0357" w:rsidP="00260F11">
      <w:pPr>
        <w:pStyle w:val="ListParagraph"/>
        <w:spacing w:line="360" w:lineRule="auto"/>
        <w:ind w:left="0"/>
        <w:rPr>
          <w:color w:val="000000" w:themeColor="text1"/>
          <w:szCs w:val="18"/>
          <w:lang w:val="nl-NL"/>
        </w:rPr>
      </w:pPr>
    </w:p>
    <w:p w14:paraId="7741971B" w14:textId="731BE0D1" w:rsidR="00F66E71" w:rsidRPr="000B4AB2" w:rsidRDefault="001A0357"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lastRenderedPageBreak/>
        <w:t>Vooraleer de</w:t>
      </w:r>
      <w:r w:rsidR="00EE04BF" w:rsidRPr="000B4AB2">
        <w:rPr>
          <w:color w:val="000000" w:themeColor="text1"/>
          <w:szCs w:val="18"/>
          <w:lang w:val="nl-NL"/>
        </w:rPr>
        <w:t xml:space="preserve"> </w:t>
      </w:r>
      <w:r w:rsidRPr="000B4AB2">
        <w:rPr>
          <w:color w:val="000000" w:themeColor="text1"/>
          <w:szCs w:val="18"/>
          <w:lang w:val="nl-NL"/>
        </w:rPr>
        <w:t>constitutieve bestanddelen</w:t>
      </w:r>
      <w:r w:rsidR="003C3337" w:rsidRPr="000B4AB2">
        <w:rPr>
          <w:color w:val="000000" w:themeColor="text1"/>
          <w:szCs w:val="18"/>
          <w:lang w:val="nl-NL"/>
        </w:rPr>
        <w:t xml:space="preserve"> </w:t>
      </w:r>
      <w:r w:rsidRPr="000B4AB2">
        <w:rPr>
          <w:color w:val="000000" w:themeColor="text1"/>
          <w:szCs w:val="18"/>
          <w:lang w:val="nl-NL"/>
        </w:rPr>
        <w:t>van het misdrijf</w:t>
      </w:r>
      <w:r w:rsidR="00F66E71" w:rsidRPr="000B4AB2">
        <w:rPr>
          <w:color w:val="000000" w:themeColor="text1"/>
          <w:szCs w:val="18"/>
          <w:lang w:val="nl-NL"/>
        </w:rPr>
        <w:t xml:space="preserve"> aanranding van de eerbaarheid</w:t>
      </w:r>
      <w:r w:rsidRPr="000B4AB2">
        <w:rPr>
          <w:color w:val="000000" w:themeColor="text1"/>
          <w:szCs w:val="18"/>
          <w:lang w:val="nl-NL"/>
        </w:rPr>
        <w:t xml:space="preserve"> zullen worden uiteengezet, </w:t>
      </w:r>
      <w:r w:rsidR="00DC7903">
        <w:rPr>
          <w:color w:val="000000" w:themeColor="text1"/>
          <w:szCs w:val="18"/>
          <w:lang w:val="nl-NL"/>
        </w:rPr>
        <w:t>kunnen deze schematisch reeds als volgt worden weergegeven</w:t>
      </w:r>
      <w:r w:rsidR="006D0678" w:rsidRPr="000B4AB2">
        <w:rPr>
          <w:color w:val="000000" w:themeColor="text1"/>
          <w:szCs w:val="18"/>
          <w:lang w:val="nl-NL"/>
        </w:rPr>
        <w:t xml:space="preserve">. </w:t>
      </w:r>
    </w:p>
    <w:p w14:paraId="0256B25C" w14:textId="77777777" w:rsidR="00E134C4" w:rsidRPr="000B4AB2" w:rsidRDefault="00E134C4"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F66E71" w:rsidRPr="000B4AB2" w14:paraId="040D0EC4" w14:textId="77777777" w:rsidTr="00450F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3D6C6FE2" w14:textId="1255BFA9" w:rsidR="00F66E71" w:rsidRPr="000B4AB2" w:rsidRDefault="00F66E71" w:rsidP="00260F11">
            <w:pPr>
              <w:pStyle w:val="ListParagraph"/>
              <w:spacing w:line="360" w:lineRule="auto"/>
              <w:ind w:left="0"/>
              <w:rPr>
                <w:color w:val="000000" w:themeColor="text1"/>
                <w:szCs w:val="18"/>
                <w:lang w:val="nl-NL"/>
              </w:rPr>
            </w:pPr>
            <w:r w:rsidRPr="000B4AB2">
              <w:rPr>
                <w:color w:val="000000" w:themeColor="text1"/>
                <w:szCs w:val="18"/>
                <w:lang w:val="nl-NL"/>
              </w:rPr>
              <w:t>Constitutieve bestanddelen aanranding van de eerbaarheid (</w:t>
            </w:r>
            <w:r w:rsidR="0062357F" w:rsidRPr="000B4AB2">
              <w:rPr>
                <w:color w:val="000000" w:themeColor="text1"/>
                <w:szCs w:val="18"/>
                <w:lang w:val="nl-NL"/>
              </w:rPr>
              <w:t xml:space="preserve">oud </w:t>
            </w:r>
            <w:r w:rsidRPr="000B4AB2">
              <w:rPr>
                <w:color w:val="000000" w:themeColor="text1"/>
                <w:szCs w:val="18"/>
                <w:lang w:val="nl-NL"/>
              </w:rPr>
              <w:t>art. 372-374 Sw.)</w:t>
            </w:r>
          </w:p>
        </w:tc>
      </w:tr>
      <w:tr w:rsidR="00F66E71" w:rsidRPr="000B4AB2" w14:paraId="13D1B4A7" w14:textId="77777777" w:rsidTr="00450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3FC2AA2" w14:textId="148CA240" w:rsidR="00F66E71" w:rsidRPr="000B4AB2" w:rsidRDefault="00F66E71"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7BFC2984" w14:textId="77777777" w:rsidR="00F66E71" w:rsidRPr="000B4AB2" w:rsidRDefault="00F66E71"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F66E71" w:rsidRPr="00B03D25" w14:paraId="76CA332D" w14:textId="77777777" w:rsidTr="00450F24">
        <w:tc>
          <w:tcPr>
            <w:cnfStyle w:val="001000000000" w:firstRow="0" w:lastRow="0" w:firstColumn="1" w:lastColumn="0" w:oddVBand="0" w:evenVBand="0" w:oddHBand="0" w:evenHBand="0" w:firstRowFirstColumn="0" w:firstRowLastColumn="0" w:lastRowFirstColumn="0" w:lastRowLastColumn="0"/>
            <w:tcW w:w="4531" w:type="dxa"/>
          </w:tcPr>
          <w:p w14:paraId="6F0C1C58" w14:textId="18A35C79" w:rsidR="00F66E71" w:rsidRPr="00B03D25" w:rsidRDefault="00B03D25" w:rsidP="00260F11">
            <w:pPr>
              <w:spacing w:line="360" w:lineRule="auto"/>
              <w:jc w:val="left"/>
              <w:rPr>
                <w:b w:val="0"/>
                <w:color w:val="000000" w:themeColor="text1"/>
                <w:szCs w:val="18"/>
                <w:lang w:val="nl-NL"/>
              </w:rPr>
            </w:pPr>
            <w:r w:rsidRPr="00B03D25">
              <w:rPr>
                <w:b w:val="0"/>
                <w:color w:val="000000" w:themeColor="text1"/>
                <w:szCs w:val="18"/>
                <w:lang w:val="nl-NL"/>
              </w:rPr>
              <w:t xml:space="preserve">- </w:t>
            </w:r>
            <w:r w:rsidR="00457F74" w:rsidRPr="00B03D25">
              <w:rPr>
                <w:b w:val="0"/>
                <w:color w:val="000000" w:themeColor="text1"/>
                <w:szCs w:val="18"/>
                <w:lang w:val="nl-NL"/>
              </w:rPr>
              <w:t>Ernstige</w:t>
            </w:r>
            <w:r w:rsidR="00F66E71" w:rsidRPr="00B03D25">
              <w:rPr>
                <w:b w:val="0"/>
                <w:color w:val="000000" w:themeColor="text1"/>
                <w:szCs w:val="18"/>
                <w:lang w:val="nl-NL"/>
              </w:rPr>
              <w:t xml:space="preserve"> handeling die een inbreuk maakt op de seksuele integriteit</w:t>
            </w:r>
          </w:p>
          <w:p w14:paraId="3EA84638" w14:textId="22E565D8" w:rsidR="00F66E71" w:rsidRPr="00B03D25" w:rsidRDefault="00457F74" w:rsidP="00260F11">
            <w:pPr>
              <w:pStyle w:val="ListParagraph"/>
              <w:numPr>
                <w:ilvl w:val="0"/>
                <w:numId w:val="3"/>
              </w:numPr>
              <w:spacing w:line="360" w:lineRule="auto"/>
              <w:jc w:val="left"/>
              <w:rPr>
                <w:b w:val="0"/>
                <w:color w:val="000000" w:themeColor="text1"/>
                <w:szCs w:val="18"/>
                <w:lang w:val="nl-NL"/>
              </w:rPr>
            </w:pPr>
            <w:r w:rsidRPr="00B03D25">
              <w:rPr>
                <w:b w:val="0"/>
                <w:color w:val="000000" w:themeColor="text1"/>
                <w:szCs w:val="18"/>
                <w:lang w:val="nl-NL"/>
              </w:rPr>
              <w:t>Toetsing</w:t>
            </w:r>
            <w:r w:rsidR="00F66E71" w:rsidRPr="00B03D25">
              <w:rPr>
                <w:b w:val="0"/>
                <w:color w:val="000000" w:themeColor="text1"/>
                <w:szCs w:val="18"/>
                <w:lang w:val="nl-NL"/>
              </w:rPr>
              <w:t xml:space="preserve"> aan collectief bewustzijn</w:t>
            </w:r>
          </w:p>
          <w:p w14:paraId="589A9BB3" w14:textId="03E39969" w:rsidR="00F66E71" w:rsidRPr="00B03D25" w:rsidRDefault="00B03D25" w:rsidP="00260F11">
            <w:pPr>
              <w:spacing w:line="360" w:lineRule="auto"/>
              <w:jc w:val="left"/>
              <w:rPr>
                <w:b w:val="0"/>
                <w:bCs w:val="0"/>
                <w:color w:val="000000" w:themeColor="text1"/>
                <w:szCs w:val="18"/>
                <w:lang w:val="nl-NL"/>
              </w:rPr>
            </w:pPr>
            <w:r w:rsidRPr="00B03D25">
              <w:rPr>
                <w:b w:val="0"/>
                <w:color w:val="000000" w:themeColor="text1"/>
                <w:szCs w:val="18"/>
                <w:lang w:val="nl-NL"/>
              </w:rPr>
              <w:t xml:space="preserve">- </w:t>
            </w:r>
            <w:r w:rsidR="00457F74" w:rsidRPr="00B03D25">
              <w:rPr>
                <w:b w:val="0"/>
                <w:color w:val="000000" w:themeColor="text1"/>
                <w:szCs w:val="18"/>
                <w:lang w:val="nl-NL"/>
              </w:rPr>
              <w:t>Gesteld</w:t>
            </w:r>
            <w:r w:rsidR="00F66E71" w:rsidRPr="00B03D25">
              <w:rPr>
                <w:b w:val="0"/>
                <w:color w:val="000000" w:themeColor="text1"/>
                <w:szCs w:val="18"/>
                <w:lang w:val="nl-NL"/>
              </w:rPr>
              <w:t xml:space="preserve"> op of met behulp van een persoon</w:t>
            </w:r>
          </w:p>
          <w:p w14:paraId="3E53F533" w14:textId="2B080FAA" w:rsidR="00F66E71" w:rsidRPr="00B03D25" w:rsidRDefault="00B03D25" w:rsidP="00260F11">
            <w:pPr>
              <w:spacing w:line="360" w:lineRule="auto"/>
              <w:jc w:val="left"/>
              <w:rPr>
                <w:b w:val="0"/>
                <w:bCs w:val="0"/>
                <w:color w:val="000000" w:themeColor="text1"/>
                <w:szCs w:val="18"/>
                <w:lang w:val="nl-NL"/>
              </w:rPr>
            </w:pPr>
            <w:r w:rsidRPr="00B03D25">
              <w:rPr>
                <w:b w:val="0"/>
                <w:color w:val="000000" w:themeColor="text1"/>
                <w:szCs w:val="18"/>
                <w:lang w:val="nl-NL"/>
              </w:rPr>
              <w:t xml:space="preserve">- </w:t>
            </w:r>
            <w:r w:rsidR="00457F74" w:rsidRPr="00B03D25">
              <w:rPr>
                <w:b w:val="0"/>
                <w:color w:val="000000" w:themeColor="text1"/>
                <w:szCs w:val="18"/>
                <w:lang w:val="nl-NL"/>
              </w:rPr>
              <w:t>Zonder</w:t>
            </w:r>
            <w:r w:rsidR="00F66E71" w:rsidRPr="00B03D25">
              <w:rPr>
                <w:b w:val="0"/>
                <w:color w:val="000000" w:themeColor="text1"/>
                <w:szCs w:val="18"/>
                <w:lang w:val="nl-NL"/>
              </w:rPr>
              <w:t xml:space="preserve"> geldige toestemming in hoofde van het slachtoffer</w:t>
            </w:r>
          </w:p>
          <w:p w14:paraId="22A6CA50" w14:textId="77777777" w:rsidR="00F66E71" w:rsidRPr="00B03D25" w:rsidRDefault="00F66E71" w:rsidP="00260F11">
            <w:pPr>
              <w:pStyle w:val="ListParagraph"/>
              <w:numPr>
                <w:ilvl w:val="0"/>
                <w:numId w:val="3"/>
              </w:numPr>
              <w:spacing w:line="360" w:lineRule="auto"/>
              <w:jc w:val="left"/>
              <w:rPr>
                <w:b w:val="0"/>
                <w:bCs w:val="0"/>
                <w:color w:val="000000" w:themeColor="text1"/>
                <w:szCs w:val="18"/>
                <w:lang w:val="nl-NL"/>
              </w:rPr>
            </w:pPr>
            <w:r w:rsidRPr="00B03D25">
              <w:rPr>
                <w:b w:val="0"/>
                <w:bCs w:val="0"/>
                <w:color w:val="000000" w:themeColor="text1"/>
                <w:szCs w:val="18"/>
                <w:lang w:val="nl-NL"/>
              </w:rPr>
              <w:t>O.g.v. een welbepaalde minderjarige leeftijd van het slachtoffer</w:t>
            </w:r>
          </w:p>
          <w:p w14:paraId="30DF63E9" w14:textId="2D62E033" w:rsidR="00DC120D" w:rsidRPr="00B03D25" w:rsidRDefault="00DC120D" w:rsidP="00260F11">
            <w:pPr>
              <w:pStyle w:val="ListParagraph"/>
              <w:numPr>
                <w:ilvl w:val="0"/>
                <w:numId w:val="3"/>
              </w:numPr>
              <w:spacing w:line="360" w:lineRule="auto"/>
              <w:jc w:val="left"/>
              <w:rPr>
                <w:b w:val="0"/>
                <w:bCs w:val="0"/>
                <w:color w:val="000000" w:themeColor="text1"/>
                <w:szCs w:val="18"/>
                <w:lang w:val="nl-NL"/>
              </w:rPr>
            </w:pPr>
            <w:r w:rsidRPr="00B03D25">
              <w:rPr>
                <w:b w:val="0"/>
                <w:bCs w:val="0"/>
                <w:color w:val="000000" w:themeColor="text1"/>
                <w:szCs w:val="18"/>
                <w:lang w:val="nl-NL"/>
              </w:rPr>
              <w:t xml:space="preserve">O.g.v. </w:t>
            </w:r>
            <w:r w:rsidR="00457F74" w:rsidRPr="00B03D25">
              <w:rPr>
                <w:b w:val="0"/>
                <w:bCs w:val="0"/>
                <w:color w:val="000000" w:themeColor="text1"/>
                <w:szCs w:val="18"/>
                <w:lang w:val="nl-NL"/>
              </w:rPr>
              <w:t>een</w:t>
            </w:r>
            <w:r w:rsidRPr="00B03D25">
              <w:rPr>
                <w:b w:val="0"/>
                <w:bCs w:val="0"/>
                <w:color w:val="000000" w:themeColor="text1"/>
                <w:szCs w:val="18"/>
                <w:lang w:val="nl-NL"/>
              </w:rPr>
              <w:t xml:space="preserve"> van de toestemmingsuitsluitende gronden</w:t>
            </w:r>
          </w:p>
        </w:tc>
        <w:tc>
          <w:tcPr>
            <w:tcW w:w="4531" w:type="dxa"/>
          </w:tcPr>
          <w:p w14:paraId="2169E6DB" w14:textId="5F994ED4" w:rsidR="00067AF4" w:rsidRPr="00B03D25" w:rsidRDefault="005B083B" w:rsidP="00260F11">
            <w:pPr>
              <w:pStyle w:val="ListParagraph"/>
              <w:spacing w:line="360" w:lineRule="auto"/>
              <w:ind w:left="0"/>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B03D25">
              <w:rPr>
                <w:color w:val="000000" w:themeColor="text1"/>
                <w:szCs w:val="18"/>
                <w:lang w:val="nl-NL"/>
              </w:rPr>
              <w:t>S</w:t>
            </w:r>
            <w:r w:rsidR="00067AF4" w:rsidRPr="00B03D25">
              <w:rPr>
                <w:color w:val="000000" w:themeColor="text1"/>
                <w:szCs w:val="18"/>
                <w:lang w:val="nl-NL"/>
              </w:rPr>
              <w:t>tilzwijgen wetgever</w:t>
            </w:r>
          </w:p>
        </w:tc>
      </w:tr>
    </w:tbl>
    <w:p w14:paraId="31C12724" w14:textId="77777777" w:rsidR="00824FB8" w:rsidRDefault="00824FB8" w:rsidP="00260F11">
      <w:pPr>
        <w:spacing w:line="360" w:lineRule="auto"/>
        <w:rPr>
          <w:lang w:val="nl-NL"/>
        </w:rPr>
      </w:pPr>
    </w:p>
    <w:p w14:paraId="2298CE60" w14:textId="25FB38DC" w:rsidR="000E1EB4" w:rsidRPr="000B4AB2" w:rsidRDefault="001E2681" w:rsidP="00260F11">
      <w:pPr>
        <w:pStyle w:val="Heading5"/>
        <w:spacing w:line="360" w:lineRule="auto"/>
        <w:rPr>
          <w:szCs w:val="18"/>
          <w:lang w:val="nl-NL"/>
        </w:rPr>
      </w:pPr>
      <w:bookmarkStart w:id="9" w:name="_Toc135041040"/>
      <w:r w:rsidRPr="000B4AB2">
        <w:rPr>
          <w:szCs w:val="18"/>
          <w:lang w:val="nl-NL"/>
        </w:rPr>
        <w:t xml:space="preserve">Materiële gedraging </w:t>
      </w:r>
      <w:r w:rsidRPr="000B4AB2">
        <w:rPr>
          <w:i/>
          <w:szCs w:val="18"/>
          <w:lang w:val="nl-NL"/>
        </w:rPr>
        <w:t>sensu stricto</w:t>
      </w:r>
      <w:bookmarkEnd w:id="9"/>
    </w:p>
    <w:p w14:paraId="3E2082D6" w14:textId="77777777" w:rsidR="00876804" w:rsidRPr="000B4AB2" w:rsidRDefault="00876804" w:rsidP="00260F11">
      <w:pPr>
        <w:spacing w:line="360" w:lineRule="auto"/>
        <w:rPr>
          <w:szCs w:val="18"/>
          <w:lang w:val="nl-NL"/>
        </w:rPr>
      </w:pPr>
    </w:p>
    <w:p w14:paraId="5884335E" w14:textId="34BC4A8E" w:rsidR="00F53770" w:rsidRDefault="00DC7903"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Geen wettelijke definitie</w:t>
      </w:r>
      <w:r w:rsidR="007B6FC7" w:rsidRPr="000B4AB2">
        <w:rPr>
          <w:color w:val="000000" w:themeColor="text1"/>
          <w:szCs w:val="18"/>
          <w:lang w:val="nl-NL"/>
        </w:rPr>
        <w:t xml:space="preserve">. </w:t>
      </w:r>
      <w:r w:rsidR="00F77958" w:rsidRPr="000B4AB2">
        <w:rPr>
          <w:color w:val="000000" w:themeColor="text1"/>
          <w:szCs w:val="18"/>
          <w:lang w:val="nl-NL"/>
        </w:rPr>
        <w:t>Aanranding</w:t>
      </w:r>
      <w:r w:rsidR="00366AF6" w:rsidRPr="000B4AB2">
        <w:rPr>
          <w:color w:val="000000" w:themeColor="text1"/>
          <w:szCs w:val="18"/>
          <w:lang w:val="nl-NL"/>
        </w:rPr>
        <w:t xml:space="preserve"> van de eerbaarheid </w:t>
      </w:r>
      <w:r w:rsidR="009E4790" w:rsidRPr="000B4AB2">
        <w:rPr>
          <w:color w:val="000000" w:themeColor="text1"/>
          <w:szCs w:val="18"/>
          <w:lang w:val="nl-NL"/>
        </w:rPr>
        <w:t>werd</w:t>
      </w:r>
      <w:r w:rsidR="00F77958" w:rsidRPr="000B4AB2">
        <w:rPr>
          <w:color w:val="000000" w:themeColor="text1"/>
          <w:szCs w:val="18"/>
          <w:lang w:val="nl-NL"/>
        </w:rPr>
        <w:t xml:space="preserve"> niet gedefinieerd in de wet</w:t>
      </w:r>
      <w:r w:rsidR="00366AF6" w:rsidRPr="000B4AB2">
        <w:rPr>
          <w:color w:val="000000" w:themeColor="text1"/>
          <w:szCs w:val="18"/>
          <w:lang w:val="nl-NL"/>
        </w:rPr>
        <w:t xml:space="preserve">. </w:t>
      </w:r>
      <w:r w:rsidR="00F43D7E" w:rsidRPr="000B4AB2">
        <w:rPr>
          <w:color w:val="000000" w:themeColor="text1"/>
          <w:szCs w:val="18"/>
          <w:lang w:val="nl-NL"/>
        </w:rPr>
        <w:t>De</w:t>
      </w:r>
      <w:r w:rsidR="00F77958" w:rsidRPr="000B4AB2">
        <w:rPr>
          <w:color w:val="000000" w:themeColor="text1"/>
          <w:szCs w:val="18"/>
          <w:lang w:val="nl-NL"/>
        </w:rPr>
        <w:t xml:space="preserve"> wetgever vond </w:t>
      </w:r>
      <w:r w:rsidR="000304C9" w:rsidRPr="000B4AB2">
        <w:rPr>
          <w:color w:val="000000" w:themeColor="text1"/>
          <w:szCs w:val="18"/>
          <w:lang w:val="nl-NL"/>
        </w:rPr>
        <w:t>immers</w:t>
      </w:r>
      <w:r w:rsidR="00F43D7E" w:rsidRPr="000B4AB2">
        <w:rPr>
          <w:color w:val="000000" w:themeColor="text1"/>
          <w:szCs w:val="18"/>
          <w:lang w:val="nl-NL"/>
        </w:rPr>
        <w:t xml:space="preserve"> </w:t>
      </w:r>
      <w:r w:rsidR="00F77958" w:rsidRPr="000B4AB2">
        <w:rPr>
          <w:color w:val="000000" w:themeColor="text1"/>
          <w:szCs w:val="18"/>
          <w:lang w:val="nl-NL"/>
        </w:rPr>
        <w:t xml:space="preserve">dat </w:t>
      </w:r>
      <w:r w:rsidR="0087300E" w:rsidRPr="000B4AB2">
        <w:rPr>
          <w:color w:val="000000" w:themeColor="text1"/>
          <w:szCs w:val="18"/>
          <w:lang w:val="nl-NL"/>
        </w:rPr>
        <w:t>dit</w:t>
      </w:r>
      <w:r w:rsidR="00F43D7E" w:rsidRPr="000B4AB2">
        <w:rPr>
          <w:color w:val="000000" w:themeColor="text1"/>
          <w:szCs w:val="18"/>
          <w:lang w:val="nl-NL"/>
        </w:rPr>
        <w:t xml:space="preserve"> een</w:t>
      </w:r>
      <w:r w:rsidR="00F77958" w:rsidRPr="000B4AB2">
        <w:rPr>
          <w:color w:val="000000" w:themeColor="text1"/>
          <w:szCs w:val="18"/>
          <w:lang w:val="nl-NL"/>
        </w:rPr>
        <w:t xml:space="preserve"> tijdsgebonden begrip </w:t>
      </w:r>
      <w:r w:rsidR="0065040E" w:rsidRPr="000B4AB2">
        <w:rPr>
          <w:color w:val="000000" w:themeColor="text1"/>
          <w:szCs w:val="18"/>
          <w:lang w:val="nl-NL"/>
        </w:rPr>
        <w:t>uitmaakte</w:t>
      </w:r>
      <w:r w:rsidR="00F77958" w:rsidRPr="000B4AB2">
        <w:rPr>
          <w:color w:val="000000" w:themeColor="text1"/>
          <w:szCs w:val="18"/>
          <w:lang w:val="nl-NL"/>
        </w:rPr>
        <w:t xml:space="preserve">, </w:t>
      </w:r>
      <w:r w:rsidR="0087300E" w:rsidRPr="000B4AB2">
        <w:rPr>
          <w:color w:val="000000" w:themeColor="text1"/>
          <w:szCs w:val="18"/>
          <w:lang w:val="nl-NL"/>
        </w:rPr>
        <w:t>d</w:t>
      </w:r>
      <w:r w:rsidR="00F77958" w:rsidRPr="000B4AB2">
        <w:rPr>
          <w:color w:val="000000" w:themeColor="text1"/>
          <w:szCs w:val="18"/>
          <w:lang w:val="nl-NL"/>
        </w:rPr>
        <w:t>at evolutief moest kunnen worden geïnterpreteerd.</w:t>
      </w:r>
      <w:r w:rsidR="00F77958" w:rsidRPr="000B4AB2">
        <w:rPr>
          <w:rStyle w:val="FootnoteReference"/>
          <w:color w:val="000000" w:themeColor="text1"/>
          <w:szCs w:val="18"/>
          <w:lang w:val="nl-NL"/>
        </w:rPr>
        <w:footnoteReference w:id="44"/>
      </w:r>
      <w:r w:rsidR="00F77958" w:rsidRPr="000B4AB2">
        <w:rPr>
          <w:color w:val="000000" w:themeColor="text1"/>
          <w:szCs w:val="18"/>
          <w:lang w:val="nl-NL"/>
        </w:rPr>
        <w:t xml:space="preserve"> </w:t>
      </w:r>
      <w:r w:rsidR="000E1EB4" w:rsidRPr="000B4AB2">
        <w:rPr>
          <w:color w:val="000000" w:themeColor="text1"/>
          <w:szCs w:val="18"/>
          <w:lang w:val="nl-NL"/>
        </w:rPr>
        <w:t xml:space="preserve">Het Hof van Cassatie </w:t>
      </w:r>
      <w:r w:rsidR="0038609D" w:rsidRPr="000B4AB2">
        <w:rPr>
          <w:color w:val="000000" w:themeColor="text1"/>
          <w:szCs w:val="18"/>
          <w:lang w:val="nl-NL"/>
        </w:rPr>
        <w:t>omschreef</w:t>
      </w:r>
      <w:r w:rsidR="00476EC7" w:rsidRPr="000B4AB2">
        <w:rPr>
          <w:color w:val="000000" w:themeColor="text1"/>
          <w:szCs w:val="18"/>
          <w:lang w:val="nl-NL"/>
        </w:rPr>
        <w:t xml:space="preserve"> </w:t>
      </w:r>
      <w:r w:rsidR="00D21D7F" w:rsidRPr="000B4AB2">
        <w:rPr>
          <w:color w:val="000000" w:themeColor="text1"/>
          <w:szCs w:val="18"/>
          <w:lang w:val="nl-NL"/>
        </w:rPr>
        <w:t>aanranding van de eerbaarheid</w:t>
      </w:r>
      <w:r w:rsidR="00476EC7" w:rsidRPr="000B4AB2">
        <w:rPr>
          <w:color w:val="000000" w:themeColor="text1"/>
          <w:szCs w:val="18"/>
          <w:lang w:val="nl-NL"/>
        </w:rPr>
        <w:t xml:space="preserve"> in het bekende “roltraparrest”</w:t>
      </w:r>
      <w:r w:rsidR="000E1EB4" w:rsidRPr="000B4AB2">
        <w:rPr>
          <w:color w:val="000000" w:themeColor="text1"/>
          <w:szCs w:val="18"/>
          <w:lang w:val="nl-NL"/>
        </w:rPr>
        <w:t xml:space="preserve"> </w:t>
      </w:r>
      <w:r w:rsidR="0038609D" w:rsidRPr="000B4AB2">
        <w:rPr>
          <w:color w:val="000000" w:themeColor="text1"/>
          <w:szCs w:val="18"/>
          <w:lang w:val="nl-NL"/>
        </w:rPr>
        <w:t>als volgt:</w:t>
      </w:r>
      <w:r>
        <w:rPr>
          <w:color w:val="000000" w:themeColor="text1"/>
          <w:szCs w:val="18"/>
          <w:lang w:val="nl-NL"/>
        </w:rPr>
        <w:t xml:space="preserve"> </w:t>
      </w:r>
      <w:r w:rsidR="000E1EB4" w:rsidRPr="00DC7903">
        <w:rPr>
          <w:color w:val="000000" w:themeColor="text1"/>
          <w:szCs w:val="18"/>
          <w:lang w:val="nl-NL"/>
        </w:rPr>
        <w:t>“</w:t>
      </w:r>
      <w:r w:rsidR="000E1EB4" w:rsidRPr="00DC7903">
        <w:rPr>
          <w:i/>
          <w:color w:val="000000" w:themeColor="text1"/>
          <w:szCs w:val="18"/>
          <w:lang w:val="nl-NL"/>
        </w:rPr>
        <w:t xml:space="preserve">iedere met de zeden strijdige </w:t>
      </w:r>
      <w:r w:rsidR="00476EC7" w:rsidRPr="00DC7903">
        <w:rPr>
          <w:i/>
          <w:color w:val="000000" w:themeColor="text1"/>
          <w:szCs w:val="18"/>
          <w:lang w:val="nl-NL"/>
        </w:rPr>
        <w:t>(…)</w:t>
      </w:r>
      <w:r w:rsidR="000E1EB4" w:rsidRPr="00DC7903">
        <w:rPr>
          <w:i/>
          <w:color w:val="000000" w:themeColor="text1"/>
          <w:szCs w:val="18"/>
          <w:lang w:val="nl-NL"/>
        </w:rPr>
        <w:t xml:space="preserve"> daad, </w:t>
      </w:r>
      <w:r w:rsidR="00476EC7" w:rsidRPr="00DC7903">
        <w:rPr>
          <w:i/>
          <w:color w:val="000000" w:themeColor="text1"/>
          <w:szCs w:val="18"/>
          <w:lang w:val="nl-NL"/>
        </w:rPr>
        <w:t xml:space="preserve">(…) </w:t>
      </w:r>
      <w:r w:rsidR="000E1EB4" w:rsidRPr="00DC7903">
        <w:rPr>
          <w:i/>
          <w:color w:val="000000" w:themeColor="text1"/>
          <w:szCs w:val="18"/>
          <w:lang w:val="nl-NL"/>
        </w:rPr>
        <w:t>waarbij het algemeen eerbaarheidsgevoel werd gekrenkt. Zij vereist dat de handelingen van een bepaalde ernst worden gesteld, die afbreuk doen aan de seksuele integriteit van een persoon, zoals die door het collectieve bewustzijn van een bepaalde samenleving op een bepaald tijdstip wordt ervaren</w:t>
      </w:r>
      <w:r w:rsidR="0088029A">
        <w:rPr>
          <w:i/>
          <w:color w:val="000000" w:themeColor="text1"/>
          <w:szCs w:val="18"/>
          <w:lang w:val="nl-NL"/>
        </w:rPr>
        <w:t>.”</w:t>
      </w:r>
      <w:r w:rsidR="0038609D" w:rsidRPr="000B4AB2">
        <w:rPr>
          <w:rStyle w:val="FootnoteReference"/>
          <w:color w:val="000000" w:themeColor="text1"/>
          <w:szCs w:val="18"/>
          <w:lang w:val="nl-NL"/>
        </w:rPr>
        <w:footnoteReference w:id="45"/>
      </w:r>
    </w:p>
    <w:p w14:paraId="4A13CFAB" w14:textId="77777777" w:rsidR="00234900" w:rsidRPr="002541B1" w:rsidRDefault="00234900" w:rsidP="00260F11">
      <w:pPr>
        <w:pStyle w:val="ListParagraph"/>
        <w:spacing w:line="360" w:lineRule="auto"/>
        <w:ind w:left="0"/>
        <w:rPr>
          <w:color w:val="000000" w:themeColor="text1"/>
          <w:szCs w:val="18"/>
          <w:lang w:val="nl-NL"/>
        </w:rPr>
      </w:pPr>
    </w:p>
    <w:p w14:paraId="1D4F9266" w14:textId="2D5FF386" w:rsidR="00F53770" w:rsidRPr="000B4AB2" w:rsidRDefault="004674FD"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Een met de zeden strijdige gedraging</w:t>
      </w:r>
      <w:r w:rsidRPr="000B4AB2">
        <w:rPr>
          <w:color w:val="000000" w:themeColor="text1"/>
          <w:szCs w:val="18"/>
          <w:lang w:val="nl-NL"/>
        </w:rPr>
        <w:t>.</w:t>
      </w:r>
      <w:r w:rsidR="00182DE8" w:rsidRPr="000B4AB2">
        <w:rPr>
          <w:color w:val="000000" w:themeColor="text1"/>
          <w:szCs w:val="18"/>
          <w:lang w:val="nl-NL"/>
        </w:rPr>
        <w:t xml:space="preserve"> Het Hof van Cassatie </w:t>
      </w:r>
      <w:r w:rsidR="00EC1A7C" w:rsidRPr="000B4AB2">
        <w:rPr>
          <w:szCs w:val="18"/>
          <w:lang w:val="nl-NL"/>
        </w:rPr>
        <w:t>had</w:t>
      </w:r>
      <w:r w:rsidR="00164705" w:rsidRPr="000B4AB2">
        <w:rPr>
          <w:szCs w:val="18"/>
          <w:lang w:val="nl-NL"/>
        </w:rPr>
        <w:t xml:space="preserve"> het</w:t>
      </w:r>
      <w:r w:rsidR="00D8661D" w:rsidRPr="000B4AB2">
        <w:rPr>
          <w:szCs w:val="18"/>
          <w:lang w:val="nl-NL"/>
        </w:rPr>
        <w:t xml:space="preserve"> in dit opzicht</w:t>
      </w:r>
      <w:r w:rsidR="00182DE8" w:rsidRPr="000B4AB2">
        <w:rPr>
          <w:szCs w:val="18"/>
          <w:lang w:val="nl-NL"/>
        </w:rPr>
        <w:t xml:space="preserve"> ook over “</w:t>
      </w:r>
      <w:r w:rsidR="00182DE8" w:rsidRPr="000B4AB2">
        <w:rPr>
          <w:i/>
          <w:szCs w:val="18"/>
          <w:lang w:val="nl-NL"/>
        </w:rPr>
        <w:t>immorel</w:t>
      </w:r>
      <w:r w:rsidR="00D8661D" w:rsidRPr="000B4AB2">
        <w:rPr>
          <w:i/>
          <w:szCs w:val="18"/>
          <w:lang w:val="nl-NL"/>
        </w:rPr>
        <w:t>e</w:t>
      </w:r>
      <w:r w:rsidR="00182DE8" w:rsidRPr="000B4AB2">
        <w:rPr>
          <w:i/>
          <w:szCs w:val="18"/>
          <w:lang w:val="nl-NL"/>
        </w:rPr>
        <w:t xml:space="preserve"> of obscen</w:t>
      </w:r>
      <w:r w:rsidR="00D8661D" w:rsidRPr="000B4AB2">
        <w:rPr>
          <w:i/>
          <w:szCs w:val="18"/>
          <w:lang w:val="nl-NL"/>
        </w:rPr>
        <w:t>e</w:t>
      </w:r>
      <w:r w:rsidR="00182DE8" w:rsidRPr="000B4AB2">
        <w:rPr>
          <w:szCs w:val="18"/>
          <w:lang w:val="nl-NL"/>
        </w:rPr>
        <w:t xml:space="preserve">” </w:t>
      </w:r>
      <w:r w:rsidR="00182DE8" w:rsidRPr="000B4AB2">
        <w:rPr>
          <w:color w:val="000000" w:themeColor="text1"/>
          <w:szCs w:val="18"/>
          <w:lang w:val="nl-NL"/>
        </w:rPr>
        <w:t>handelingen</w:t>
      </w:r>
      <w:r w:rsidR="00D8661D" w:rsidRPr="000B4AB2">
        <w:rPr>
          <w:color w:val="000000" w:themeColor="text1"/>
          <w:szCs w:val="18"/>
          <w:lang w:val="nl-NL"/>
        </w:rPr>
        <w:t>.</w:t>
      </w:r>
      <w:r w:rsidR="00BF53B5" w:rsidRPr="000B4AB2">
        <w:rPr>
          <w:color w:val="000000" w:themeColor="text1"/>
          <w:szCs w:val="18"/>
          <w:lang w:val="nl-NL"/>
        </w:rPr>
        <w:t xml:space="preserve"> Deze handeling moe</w:t>
      </w:r>
      <w:r w:rsidR="00EC1A7C" w:rsidRPr="000B4AB2">
        <w:rPr>
          <w:color w:val="000000" w:themeColor="text1"/>
          <w:szCs w:val="18"/>
          <w:lang w:val="nl-NL"/>
        </w:rPr>
        <w:t>s</w:t>
      </w:r>
      <w:r w:rsidR="00BF53B5" w:rsidRPr="000B4AB2">
        <w:rPr>
          <w:color w:val="000000" w:themeColor="text1"/>
          <w:szCs w:val="18"/>
          <w:lang w:val="nl-NL"/>
        </w:rPr>
        <w:t>t een krenking teweegbrengen van het</w:t>
      </w:r>
      <w:r w:rsidR="00923A01" w:rsidRPr="000B4AB2">
        <w:rPr>
          <w:color w:val="000000" w:themeColor="text1"/>
          <w:szCs w:val="18"/>
          <w:lang w:val="nl-NL"/>
        </w:rPr>
        <w:t xml:space="preserve"> algemeen eerbaarheidsgevoel</w:t>
      </w:r>
      <w:r w:rsidR="00BF53B5" w:rsidRPr="000B4AB2">
        <w:rPr>
          <w:color w:val="000000" w:themeColor="text1"/>
          <w:szCs w:val="18"/>
          <w:lang w:val="nl-NL"/>
        </w:rPr>
        <w:t>.</w:t>
      </w:r>
      <w:r w:rsidR="00F53770" w:rsidRPr="000B4AB2">
        <w:rPr>
          <w:rStyle w:val="FootnoteReference"/>
          <w:szCs w:val="18"/>
          <w:lang w:val="nl-NL"/>
        </w:rPr>
        <w:footnoteReference w:id="46"/>
      </w:r>
    </w:p>
    <w:p w14:paraId="10B01764" w14:textId="77777777" w:rsidR="00F53770" w:rsidRPr="000B4AB2" w:rsidRDefault="00F53770" w:rsidP="00260F11">
      <w:pPr>
        <w:pStyle w:val="ListParagraph"/>
        <w:spacing w:line="360" w:lineRule="auto"/>
        <w:rPr>
          <w:color w:val="000000" w:themeColor="text1"/>
          <w:szCs w:val="18"/>
          <w:lang w:val="nl-NL"/>
        </w:rPr>
      </w:pPr>
    </w:p>
    <w:p w14:paraId="722D8CD2" w14:textId="77777777" w:rsidR="00DC7903" w:rsidRDefault="00FD3F6E"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Inbreuk op</w:t>
      </w:r>
      <w:r w:rsidR="00F53770" w:rsidRPr="000B4AB2">
        <w:rPr>
          <w:b/>
          <w:color w:val="000000" w:themeColor="text1"/>
          <w:szCs w:val="18"/>
          <w:lang w:val="nl-NL"/>
        </w:rPr>
        <w:t xml:space="preserve"> de seksuele integriteit</w:t>
      </w:r>
      <w:r w:rsidR="001C1488" w:rsidRPr="000B4AB2">
        <w:rPr>
          <w:b/>
          <w:color w:val="000000" w:themeColor="text1"/>
          <w:szCs w:val="18"/>
          <w:lang w:val="nl-NL"/>
        </w:rPr>
        <w:t xml:space="preserve"> volgens het collectief bewustzijn</w:t>
      </w:r>
      <w:r w:rsidR="00F53770" w:rsidRPr="000B4AB2">
        <w:rPr>
          <w:b/>
          <w:color w:val="000000" w:themeColor="text1"/>
          <w:szCs w:val="18"/>
          <w:lang w:val="nl-NL"/>
        </w:rPr>
        <w:t>.</w:t>
      </w:r>
      <w:r w:rsidR="00082807" w:rsidRPr="000B4AB2">
        <w:rPr>
          <w:rStyle w:val="FootnoteReference"/>
          <w:color w:val="000000" w:themeColor="text1"/>
          <w:szCs w:val="18"/>
          <w:lang w:val="nl-NL"/>
        </w:rPr>
        <w:footnoteReference w:id="47"/>
      </w:r>
      <w:r w:rsidR="00BF53B5" w:rsidRPr="000B4AB2">
        <w:rPr>
          <w:color w:val="000000" w:themeColor="text1"/>
          <w:szCs w:val="18"/>
          <w:lang w:val="nl-NL"/>
        </w:rPr>
        <w:t xml:space="preserve"> </w:t>
      </w:r>
      <w:r w:rsidRPr="000B4AB2">
        <w:rPr>
          <w:color w:val="000000" w:themeColor="text1"/>
          <w:szCs w:val="18"/>
          <w:lang w:val="nl-NL"/>
        </w:rPr>
        <w:t xml:space="preserve">Of een gedraging afbreuk </w:t>
      </w:r>
      <w:r w:rsidR="00EC1A7C" w:rsidRPr="000B4AB2">
        <w:rPr>
          <w:color w:val="000000" w:themeColor="text1"/>
          <w:szCs w:val="18"/>
          <w:lang w:val="nl-NL"/>
        </w:rPr>
        <w:t>deed</w:t>
      </w:r>
      <w:r w:rsidRPr="000B4AB2">
        <w:rPr>
          <w:color w:val="000000" w:themeColor="text1"/>
          <w:szCs w:val="18"/>
          <w:lang w:val="nl-NL"/>
        </w:rPr>
        <w:t xml:space="preserve"> aan de seksuele integriteit</w:t>
      </w:r>
      <w:r w:rsidR="00164705" w:rsidRPr="000B4AB2">
        <w:rPr>
          <w:color w:val="000000" w:themeColor="text1"/>
          <w:szCs w:val="18"/>
          <w:lang w:val="nl-NL"/>
        </w:rPr>
        <w:t xml:space="preserve"> </w:t>
      </w:r>
      <w:r w:rsidR="00BF53B5" w:rsidRPr="000B4AB2">
        <w:rPr>
          <w:color w:val="000000" w:themeColor="text1"/>
          <w:szCs w:val="18"/>
          <w:lang w:val="nl-NL"/>
        </w:rPr>
        <w:t>dien</w:t>
      </w:r>
      <w:r w:rsidR="00EC1A7C" w:rsidRPr="000B4AB2">
        <w:rPr>
          <w:color w:val="000000" w:themeColor="text1"/>
          <w:szCs w:val="18"/>
          <w:lang w:val="nl-NL"/>
        </w:rPr>
        <w:t>de</w:t>
      </w:r>
      <w:r w:rsidR="00BF53B5" w:rsidRPr="000B4AB2">
        <w:rPr>
          <w:color w:val="000000" w:themeColor="text1"/>
          <w:szCs w:val="18"/>
          <w:lang w:val="nl-NL"/>
        </w:rPr>
        <w:t xml:space="preserve"> objectief bekeken te worden.</w:t>
      </w:r>
      <w:r w:rsidR="00BF53B5" w:rsidRPr="000B4AB2">
        <w:rPr>
          <w:rStyle w:val="FootnoteReference"/>
          <w:szCs w:val="18"/>
          <w:lang w:val="nl-NL"/>
        </w:rPr>
        <w:footnoteReference w:id="48"/>
      </w:r>
      <w:r w:rsidR="00BF53B5" w:rsidRPr="000B4AB2">
        <w:rPr>
          <w:color w:val="000000" w:themeColor="text1"/>
          <w:szCs w:val="18"/>
          <w:lang w:val="nl-NL"/>
        </w:rPr>
        <w:t xml:space="preserve"> </w:t>
      </w:r>
      <w:r w:rsidR="00DC7903">
        <w:rPr>
          <w:color w:val="000000" w:themeColor="text1"/>
          <w:szCs w:val="18"/>
          <w:lang w:val="nl-NL"/>
        </w:rPr>
        <w:t>Zowel de</w:t>
      </w:r>
      <w:r w:rsidR="00C86802" w:rsidRPr="000B4AB2">
        <w:rPr>
          <w:color w:val="000000" w:themeColor="text1"/>
          <w:szCs w:val="18"/>
          <w:lang w:val="nl-NL"/>
        </w:rPr>
        <w:t xml:space="preserve"> </w:t>
      </w:r>
      <w:r w:rsidR="00164705" w:rsidRPr="000B4AB2">
        <w:rPr>
          <w:szCs w:val="18"/>
          <w:lang w:val="nl-NL"/>
        </w:rPr>
        <w:t>persoonlijk</w:t>
      </w:r>
      <w:r w:rsidR="00EE22CE" w:rsidRPr="000B4AB2">
        <w:rPr>
          <w:szCs w:val="18"/>
          <w:lang w:val="nl-NL"/>
        </w:rPr>
        <w:t xml:space="preserve">e </w:t>
      </w:r>
      <w:r w:rsidR="00EE22CE" w:rsidRPr="000B4AB2">
        <w:rPr>
          <w:szCs w:val="18"/>
          <w:lang w:val="nl-NL"/>
        </w:rPr>
        <w:lastRenderedPageBreak/>
        <w:t xml:space="preserve">perceptie </w:t>
      </w:r>
      <w:r w:rsidR="00164705" w:rsidRPr="000B4AB2">
        <w:rPr>
          <w:szCs w:val="18"/>
          <w:lang w:val="nl-NL"/>
        </w:rPr>
        <w:t xml:space="preserve">van </w:t>
      </w:r>
      <w:r w:rsidR="00DC7903">
        <w:rPr>
          <w:szCs w:val="18"/>
          <w:lang w:val="nl-NL"/>
        </w:rPr>
        <w:t>het</w:t>
      </w:r>
      <w:r w:rsidR="00164705" w:rsidRPr="000B4AB2">
        <w:rPr>
          <w:szCs w:val="18"/>
          <w:lang w:val="nl-NL"/>
        </w:rPr>
        <w:t xml:space="preserve"> slachtoffer</w:t>
      </w:r>
      <w:r w:rsidR="00DC7903">
        <w:rPr>
          <w:szCs w:val="18"/>
          <w:lang w:val="nl-NL"/>
        </w:rPr>
        <w:t xml:space="preserve"> als van</w:t>
      </w:r>
      <w:r w:rsidR="00F23766" w:rsidRPr="000B4AB2">
        <w:rPr>
          <w:szCs w:val="18"/>
          <w:lang w:val="nl-NL"/>
        </w:rPr>
        <w:t xml:space="preserve"> de dader</w:t>
      </w:r>
      <w:r w:rsidR="00DC7903">
        <w:rPr>
          <w:szCs w:val="18"/>
          <w:lang w:val="nl-NL"/>
        </w:rPr>
        <w:t xml:space="preserve"> waren irrelevant</w:t>
      </w:r>
      <w:r w:rsidR="00164705" w:rsidRPr="000B4AB2">
        <w:rPr>
          <w:szCs w:val="18"/>
          <w:lang w:val="nl-NL"/>
        </w:rPr>
        <w:t>.</w:t>
      </w:r>
      <w:r w:rsidR="00164705" w:rsidRPr="000B4AB2">
        <w:rPr>
          <w:rStyle w:val="FootnoteReference"/>
          <w:szCs w:val="18"/>
          <w:lang w:val="nl-NL"/>
        </w:rPr>
        <w:footnoteReference w:id="49"/>
      </w:r>
      <w:r w:rsidR="00A97E0E" w:rsidRPr="000B4AB2">
        <w:rPr>
          <w:szCs w:val="18"/>
          <w:lang w:val="nl-NL"/>
        </w:rPr>
        <w:t xml:space="preserve"> </w:t>
      </w:r>
      <w:r w:rsidR="00EC1A7C" w:rsidRPr="000B4AB2">
        <w:rPr>
          <w:szCs w:val="18"/>
          <w:lang w:val="nl-NL"/>
        </w:rPr>
        <w:t>Bepalend</w:t>
      </w:r>
      <w:r w:rsidR="00A97E0E" w:rsidRPr="000B4AB2">
        <w:rPr>
          <w:szCs w:val="18"/>
          <w:lang w:val="nl-NL"/>
        </w:rPr>
        <w:t xml:space="preserve"> </w:t>
      </w:r>
      <w:r w:rsidR="00EC1A7C" w:rsidRPr="000B4AB2">
        <w:rPr>
          <w:szCs w:val="18"/>
          <w:lang w:val="nl-NL"/>
        </w:rPr>
        <w:t>was</w:t>
      </w:r>
      <w:r w:rsidR="00A97E0E" w:rsidRPr="000B4AB2">
        <w:rPr>
          <w:szCs w:val="18"/>
          <w:lang w:val="nl-NL"/>
        </w:rPr>
        <w:t xml:space="preserve"> de</w:t>
      </w:r>
      <w:r w:rsidR="00A97E0E" w:rsidRPr="000B4AB2">
        <w:rPr>
          <w:color w:val="000000" w:themeColor="text1"/>
          <w:szCs w:val="18"/>
          <w:lang w:val="nl-NL"/>
        </w:rPr>
        <w:t xml:space="preserve"> </w:t>
      </w:r>
      <w:r w:rsidR="00C86802" w:rsidRPr="000B4AB2">
        <w:rPr>
          <w:color w:val="000000" w:themeColor="text1"/>
          <w:szCs w:val="18"/>
          <w:lang w:val="nl-NL"/>
        </w:rPr>
        <w:t xml:space="preserve">maatschappelijke opvatting </w:t>
      </w:r>
      <w:r w:rsidR="00A97E0E" w:rsidRPr="000B4AB2">
        <w:rPr>
          <w:color w:val="000000" w:themeColor="text1"/>
          <w:szCs w:val="18"/>
          <w:lang w:val="nl-NL"/>
        </w:rPr>
        <w:t>omtrent</w:t>
      </w:r>
      <w:r w:rsidR="00C86802" w:rsidRPr="000B4AB2">
        <w:rPr>
          <w:color w:val="000000" w:themeColor="text1"/>
          <w:szCs w:val="18"/>
          <w:lang w:val="nl-NL"/>
        </w:rPr>
        <w:t xml:space="preserve"> de seksuele integriteit</w:t>
      </w:r>
      <w:r w:rsidR="00A97E0E" w:rsidRPr="000B4AB2">
        <w:rPr>
          <w:color w:val="000000" w:themeColor="text1"/>
          <w:szCs w:val="18"/>
          <w:lang w:val="nl-NL"/>
        </w:rPr>
        <w:t xml:space="preserve"> op een bepaald moment</w:t>
      </w:r>
      <w:r w:rsidR="00A136F6" w:rsidRPr="000B4AB2">
        <w:rPr>
          <w:color w:val="000000" w:themeColor="text1"/>
          <w:szCs w:val="18"/>
          <w:lang w:val="nl-NL"/>
        </w:rPr>
        <w:t xml:space="preserve"> (het zogenaamde collectief bewustzijn)</w:t>
      </w:r>
      <w:r w:rsidR="00EC1A7C" w:rsidRPr="000B4AB2">
        <w:rPr>
          <w:color w:val="000000" w:themeColor="text1"/>
          <w:szCs w:val="18"/>
          <w:lang w:val="nl-NL"/>
        </w:rPr>
        <w:t>.</w:t>
      </w:r>
      <w:r w:rsidR="009B0459" w:rsidRPr="000B4AB2">
        <w:rPr>
          <w:rStyle w:val="FootnoteReference"/>
          <w:color w:val="000000" w:themeColor="text1"/>
          <w:szCs w:val="18"/>
          <w:lang w:val="nl-NL"/>
        </w:rPr>
        <w:footnoteReference w:id="50"/>
      </w:r>
      <w:r w:rsidR="00A97E0E" w:rsidRPr="000B4AB2">
        <w:rPr>
          <w:szCs w:val="18"/>
          <w:lang w:val="nl-NL"/>
        </w:rPr>
        <w:t xml:space="preserve"> </w:t>
      </w:r>
      <w:r w:rsidR="00DC7903">
        <w:rPr>
          <w:szCs w:val="18"/>
          <w:lang w:val="nl-NL"/>
        </w:rPr>
        <w:t>Zo</w:t>
      </w:r>
      <w:r w:rsidR="00EC098C" w:rsidRPr="000B4AB2">
        <w:rPr>
          <w:szCs w:val="18"/>
          <w:lang w:val="nl-NL"/>
        </w:rPr>
        <w:t xml:space="preserve"> </w:t>
      </w:r>
      <w:r w:rsidR="00EC1A7C" w:rsidRPr="000B4AB2">
        <w:rPr>
          <w:szCs w:val="18"/>
          <w:lang w:val="nl-NL"/>
        </w:rPr>
        <w:t>werd</w:t>
      </w:r>
      <w:r w:rsidR="00EC098C" w:rsidRPr="000B4AB2">
        <w:rPr>
          <w:szCs w:val="18"/>
          <w:lang w:val="nl-NL"/>
        </w:rPr>
        <w:t xml:space="preserve"> </w:t>
      </w:r>
      <w:r w:rsidR="0029153D" w:rsidRPr="000B4AB2">
        <w:rPr>
          <w:szCs w:val="18"/>
          <w:lang w:val="nl-NL"/>
        </w:rPr>
        <w:t xml:space="preserve">ook </w:t>
      </w:r>
      <w:r w:rsidR="00EC098C" w:rsidRPr="000B4AB2">
        <w:rPr>
          <w:szCs w:val="18"/>
          <w:lang w:val="nl-NL"/>
        </w:rPr>
        <w:t>r</w:t>
      </w:r>
      <w:r w:rsidR="00C86802" w:rsidRPr="000B4AB2">
        <w:rPr>
          <w:szCs w:val="18"/>
          <w:lang w:val="nl-NL"/>
        </w:rPr>
        <w:t>ekening gehouden met de evolutieve tijdsgeest</w:t>
      </w:r>
      <w:r w:rsidR="00A97E0E" w:rsidRPr="000B4AB2">
        <w:rPr>
          <w:szCs w:val="18"/>
          <w:lang w:val="nl-NL"/>
        </w:rPr>
        <w:t>.</w:t>
      </w:r>
      <w:r w:rsidR="00A97E0E" w:rsidRPr="000B4AB2">
        <w:rPr>
          <w:rStyle w:val="FootnoteReference"/>
          <w:szCs w:val="18"/>
          <w:lang w:val="nl-NL"/>
        </w:rPr>
        <w:footnoteReference w:id="51"/>
      </w:r>
      <w:r w:rsidR="00DC7903">
        <w:rPr>
          <w:color w:val="000000" w:themeColor="text1"/>
          <w:szCs w:val="18"/>
          <w:lang w:val="nl-NL"/>
        </w:rPr>
        <w:t xml:space="preserve"> In de rechtsleer werd evenwel gewezen op de moeilijkheid om op casusoverstijgende wijze te omschrijven vanaf wanneer een gedraging conform het collectief bewustzijn raakte aan de seksuele integriteit</w:t>
      </w:r>
      <w:r w:rsidR="00D33F76" w:rsidRPr="00DC7903">
        <w:rPr>
          <w:szCs w:val="18"/>
          <w:lang w:val="nl-NL"/>
        </w:rPr>
        <w:t>.</w:t>
      </w:r>
      <w:r w:rsidR="00D8426C" w:rsidRPr="000B4AB2">
        <w:rPr>
          <w:rStyle w:val="FootnoteReference"/>
          <w:szCs w:val="18"/>
          <w:lang w:val="nl-NL"/>
        </w:rPr>
        <w:footnoteReference w:id="52"/>
      </w:r>
      <w:r w:rsidR="001C1488" w:rsidRPr="00DC7903">
        <w:rPr>
          <w:szCs w:val="18"/>
          <w:lang w:val="nl-NL"/>
        </w:rPr>
        <w:t xml:space="preserve"> </w:t>
      </w:r>
    </w:p>
    <w:p w14:paraId="5880505E" w14:textId="77777777" w:rsidR="00DC7903" w:rsidRPr="00DC7903" w:rsidRDefault="00DC7903" w:rsidP="00260F11">
      <w:pPr>
        <w:pStyle w:val="ListParagraph"/>
        <w:spacing w:line="360" w:lineRule="auto"/>
        <w:rPr>
          <w:szCs w:val="18"/>
          <w:lang w:val="nl-NL"/>
        </w:rPr>
      </w:pPr>
    </w:p>
    <w:p w14:paraId="25C9721A" w14:textId="35866BA5" w:rsidR="00F52D29" w:rsidRPr="00337378" w:rsidRDefault="0026166F" w:rsidP="00260F11">
      <w:pPr>
        <w:pStyle w:val="ListParagraph"/>
        <w:numPr>
          <w:ilvl w:val="0"/>
          <w:numId w:val="1"/>
        </w:numPr>
        <w:spacing w:line="360" w:lineRule="auto"/>
        <w:ind w:left="0" w:hanging="709"/>
        <w:rPr>
          <w:color w:val="000000" w:themeColor="text1"/>
          <w:szCs w:val="18"/>
          <w:lang w:val="nl-NL"/>
        </w:rPr>
      </w:pPr>
      <w:r w:rsidRPr="00DC7903">
        <w:rPr>
          <w:szCs w:val="18"/>
          <w:lang w:val="nl-NL"/>
        </w:rPr>
        <w:t xml:space="preserve">In 2015 </w:t>
      </w:r>
      <w:r w:rsidR="004F008A">
        <w:rPr>
          <w:szCs w:val="18"/>
          <w:lang w:val="nl-NL"/>
        </w:rPr>
        <w:t>probeerde</w:t>
      </w:r>
      <w:r w:rsidRPr="00DC7903">
        <w:rPr>
          <w:szCs w:val="18"/>
          <w:lang w:val="nl-NL"/>
        </w:rPr>
        <w:t xml:space="preserve"> DELBROUCK een omschrijving </w:t>
      </w:r>
      <w:r w:rsidR="004F008A">
        <w:rPr>
          <w:szCs w:val="18"/>
          <w:lang w:val="nl-NL"/>
        </w:rPr>
        <w:t xml:space="preserve">te geven </w:t>
      </w:r>
      <w:r w:rsidRPr="00DC7903">
        <w:rPr>
          <w:szCs w:val="18"/>
          <w:lang w:val="nl-NL"/>
        </w:rPr>
        <w:t>van hetgeen volgens de (toenmalige) maatschappelijke opvatting beschouwd zou worden als een inbreuk op de seksuele integriteit. Voornoemde auteur hanteer</w:t>
      </w:r>
      <w:r w:rsidR="004F008A">
        <w:rPr>
          <w:szCs w:val="18"/>
          <w:lang w:val="nl-NL"/>
        </w:rPr>
        <w:t>de</w:t>
      </w:r>
      <w:r w:rsidRPr="00DC7903">
        <w:rPr>
          <w:szCs w:val="18"/>
          <w:lang w:val="nl-NL"/>
        </w:rPr>
        <w:t xml:space="preserve"> hierbij een onderscheid naargelang op welke lichaamsdelen de handelingen gericht zijn. Zo zouden handelingen gericht op “</w:t>
      </w:r>
      <w:r w:rsidR="00F52D29" w:rsidRPr="00DC7903">
        <w:rPr>
          <w:i/>
          <w:color w:val="000000" w:themeColor="text1"/>
        </w:rPr>
        <w:t>de geslachtsorganen alsook de secundaire, erogene geslachtskenmerken, zoals de borsten bij de vrouw, maar niet de baard bij de man, deel uitmaken van de intieme seksuele persoonlijkheid van elk individu</w:t>
      </w:r>
      <w:r w:rsidRPr="00DC7903">
        <w:rPr>
          <w:i/>
          <w:color w:val="000000" w:themeColor="text1"/>
        </w:rPr>
        <w:t xml:space="preserve">” </w:t>
      </w:r>
      <w:r w:rsidRPr="00DC7903">
        <w:rPr>
          <w:color w:val="000000" w:themeColor="text1"/>
        </w:rPr>
        <w:t xml:space="preserve">en bijgevolg niet geschonden mogen worden volgens het collectief bewustzijn. </w:t>
      </w:r>
      <w:r w:rsidR="00F52D29" w:rsidRPr="000B4AB2">
        <w:t>Handelingen gericht op andere lichaamsdelen</w:t>
      </w:r>
      <w:r w:rsidR="00EA7C9E" w:rsidRPr="000B4AB2">
        <w:t xml:space="preserve"> </w:t>
      </w:r>
      <w:r w:rsidR="00F52D29" w:rsidRPr="000B4AB2">
        <w:t>zouden volgens Delbrouck</w:t>
      </w:r>
      <w:r w:rsidR="00EA7C9E" w:rsidRPr="000B4AB2">
        <w:t>,</w:t>
      </w:r>
      <w:r w:rsidR="00F52D29" w:rsidRPr="000B4AB2">
        <w:t xml:space="preserve"> “</w:t>
      </w:r>
      <w:r w:rsidR="00F52D29" w:rsidRPr="00DC7903">
        <w:rPr>
          <w:i/>
        </w:rPr>
        <w:t>zelfs al heeft de dader de bedoeling aldus seksueel opgewonden te geraken”</w:t>
      </w:r>
      <w:r w:rsidR="00EA7C9E" w:rsidRPr="000B4AB2">
        <w:t xml:space="preserve">, </w:t>
      </w:r>
      <w:r w:rsidR="00F52D29" w:rsidRPr="000B4AB2">
        <w:t>geen aanranding van de eerbaarheid kunnen uitmaken. Het is immers de maatschappelijke opvatting die centraal staat, niet die van de dader of het slachtoffer</w:t>
      </w:r>
      <w:r w:rsidR="008878C8" w:rsidRPr="000B4AB2">
        <w:t>.</w:t>
      </w:r>
      <w:r w:rsidR="008878C8" w:rsidRPr="000B4AB2">
        <w:rPr>
          <w:rStyle w:val="FootnoteReference"/>
        </w:rPr>
        <w:footnoteReference w:id="53"/>
      </w:r>
      <w:r w:rsidR="008878C8" w:rsidRPr="000B4AB2">
        <w:t xml:space="preserve"> Vanuit deze optiek werd</w:t>
      </w:r>
      <w:r w:rsidR="00DC7903">
        <w:t xml:space="preserve"> in de rechtsleer dan ook </w:t>
      </w:r>
      <w:r w:rsidR="008878C8" w:rsidRPr="000B4AB2">
        <w:t xml:space="preserve">– </w:t>
      </w:r>
      <w:r w:rsidR="00511E74" w:rsidRPr="000B4AB2">
        <w:t>m.i.</w:t>
      </w:r>
      <w:r w:rsidR="008878C8" w:rsidRPr="000B4AB2">
        <w:t xml:space="preserve"> juridisch terecht - kritiek geuit </w:t>
      </w:r>
      <w:r w:rsidR="00CE0637">
        <w:t>t.o.v.</w:t>
      </w:r>
      <w:r w:rsidR="008878C8" w:rsidRPr="000B4AB2">
        <w:t xml:space="preserve"> de kwalificatie </w:t>
      </w:r>
      <w:r w:rsidRPr="000B4AB2">
        <w:t>van</w:t>
      </w:r>
      <w:r w:rsidR="008878C8" w:rsidRPr="000B4AB2">
        <w:t xml:space="preserve"> </w:t>
      </w:r>
      <w:r w:rsidR="008878C8" w:rsidRPr="00337378">
        <w:rPr>
          <w:i/>
        </w:rPr>
        <w:t>voetenfetisjisme</w:t>
      </w:r>
      <w:r w:rsidR="008878C8" w:rsidRPr="000B4AB2">
        <w:t xml:space="preserve"> als aanranding van de eerbaarheid.</w:t>
      </w:r>
      <w:r w:rsidR="008878C8" w:rsidRPr="000B4AB2">
        <w:rPr>
          <w:rStyle w:val="FootnoteReference"/>
        </w:rPr>
        <w:footnoteReference w:id="54"/>
      </w:r>
    </w:p>
    <w:p w14:paraId="48749509" w14:textId="77777777" w:rsidR="0026166F" w:rsidRPr="000B4AB2" w:rsidRDefault="0026166F" w:rsidP="00260F11">
      <w:pPr>
        <w:pStyle w:val="ListParagraph"/>
        <w:spacing w:line="360" w:lineRule="auto"/>
        <w:ind w:left="0"/>
        <w:rPr>
          <w:szCs w:val="18"/>
          <w:lang w:val="nl-NL"/>
        </w:rPr>
      </w:pPr>
    </w:p>
    <w:p w14:paraId="7DFDFF3A" w14:textId="1C0F5633" w:rsidR="00D33F76" w:rsidRPr="000B4AB2" w:rsidRDefault="00DC7903" w:rsidP="00260F11">
      <w:pPr>
        <w:pStyle w:val="ListParagraph"/>
        <w:spacing w:line="360" w:lineRule="auto"/>
        <w:ind w:left="0"/>
        <w:rPr>
          <w:szCs w:val="18"/>
          <w:lang w:val="nl-NL"/>
        </w:rPr>
      </w:pPr>
      <w:r>
        <w:rPr>
          <w:szCs w:val="18"/>
          <w:lang w:val="nl-NL"/>
        </w:rPr>
        <w:t>Gelet op het bovenstaande acht DIERICKX</w:t>
      </w:r>
      <w:r w:rsidR="00D33F76" w:rsidRPr="000B4AB2">
        <w:rPr>
          <w:szCs w:val="18"/>
          <w:lang w:val="nl-NL"/>
        </w:rPr>
        <w:t xml:space="preserve"> de kans reëel “</w:t>
      </w:r>
      <w:r w:rsidR="00D33F76" w:rsidRPr="000B4AB2">
        <w:rPr>
          <w:i/>
          <w:szCs w:val="18"/>
          <w:lang w:val="nl-NL"/>
        </w:rPr>
        <w:t>dat de ene strafrechter een bepaalde gedraging strafbaar acht terwijl de andere tot de straffeloosheid zou besluiten</w:t>
      </w:r>
      <w:r w:rsidR="00D33F76" w:rsidRPr="000B4AB2">
        <w:rPr>
          <w:szCs w:val="18"/>
          <w:lang w:val="nl-NL"/>
        </w:rPr>
        <w:t>”.</w:t>
      </w:r>
      <w:r w:rsidR="00D33F76" w:rsidRPr="000B4AB2">
        <w:rPr>
          <w:rStyle w:val="FootnoteReference"/>
          <w:szCs w:val="18"/>
          <w:lang w:val="nl-NL"/>
        </w:rPr>
        <w:footnoteReference w:id="55"/>
      </w:r>
    </w:p>
    <w:p w14:paraId="527236C9" w14:textId="77777777" w:rsidR="004804BC" w:rsidRPr="000B4AB2" w:rsidRDefault="004804BC" w:rsidP="00260F11">
      <w:pPr>
        <w:pStyle w:val="ListParagraph"/>
        <w:spacing w:line="360" w:lineRule="auto"/>
        <w:ind w:left="0"/>
        <w:rPr>
          <w:color w:val="000000" w:themeColor="text1"/>
          <w:szCs w:val="18"/>
          <w:lang w:val="nl-NL"/>
        </w:rPr>
      </w:pPr>
    </w:p>
    <w:p w14:paraId="3507B754" w14:textId="4829975F" w:rsidR="00F21A22" w:rsidRPr="00136951" w:rsidRDefault="00BF6435"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Ernstig</w:t>
      </w:r>
      <w:r w:rsidR="00654DB9" w:rsidRPr="000B4AB2">
        <w:rPr>
          <w:color w:val="000000" w:themeColor="text1"/>
          <w:szCs w:val="18"/>
          <w:lang w:val="nl-NL"/>
        </w:rPr>
        <w:t>.</w:t>
      </w:r>
      <w:r w:rsidR="004B54FC" w:rsidRPr="000B4AB2">
        <w:rPr>
          <w:color w:val="000000" w:themeColor="text1"/>
          <w:szCs w:val="18"/>
          <w:lang w:val="nl-NL"/>
        </w:rPr>
        <w:t xml:space="preserve"> </w:t>
      </w:r>
      <w:r w:rsidR="00654DB9" w:rsidRPr="000B4AB2">
        <w:rPr>
          <w:color w:val="000000" w:themeColor="text1"/>
          <w:szCs w:val="18"/>
          <w:lang w:val="nl-NL"/>
        </w:rPr>
        <w:t>N</w:t>
      </w:r>
      <w:r w:rsidR="004B54FC" w:rsidRPr="000B4AB2">
        <w:rPr>
          <w:color w:val="000000" w:themeColor="text1"/>
          <w:szCs w:val="18"/>
          <w:lang w:val="nl-NL"/>
        </w:rPr>
        <w:t xml:space="preserve">iet elke seksueel getinte gedraging </w:t>
      </w:r>
      <w:r w:rsidR="00EC1A7C" w:rsidRPr="000B4AB2">
        <w:rPr>
          <w:color w:val="000000" w:themeColor="text1"/>
          <w:szCs w:val="18"/>
          <w:lang w:val="nl-NL"/>
        </w:rPr>
        <w:t>viel</w:t>
      </w:r>
      <w:r w:rsidR="00654DB9" w:rsidRPr="000B4AB2">
        <w:rPr>
          <w:color w:val="000000" w:themeColor="text1"/>
          <w:szCs w:val="18"/>
          <w:lang w:val="nl-NL"/>
        </w:rPr>
        <w:t xml:space="preserve"> </w:t>
      </w:r>
      <w:r w:rsidR="004B54FC" w:rsidRPr="000B4AB2">
        <w:rPr>
          <w:color w:val="000000" w:themeColor="text1"/>
          <w:szCs w:val="18"/>
          <w:lang w:val="nl-NL"/>
        </w:rPr>
        <w:t>onder de strafbaarstelling</w:t>
      </w:r>
      <w:r w:rsidR="00DC7903">
        <w:rPr>
          <w:color w:val="000000" w:themeColor="text1"/>
          <w:szCs w:val="18"/>
          <w:lang w:val="nl-NL"/>
        </w:rPr>
        <w:t xml:space="preserve">, daarvoor was immers </w:t>
      </w:r>
      <w:r w:rsidR="001D61C7" w:rsidRPr="000B4AB2">
        <w:rPr>
          <w:color w:val="000000" w:themeColor="text1"/>
          <w:szCs w:val="18"/>
          <w:lang w:val="nl-NL"/>
        </w:rPr>
        <w:t>een zekere gradatie van ernst</w:t>
      </w:r>
      <w:r w:rsidR="00FD3F6E" w:rsidRPr="000B4AB2">
        <w:rPr>
          <w:color w:val="000000" w:themeColor="text1"/>
          <w:szCs w:val="18"/>
          <w:lang w:val="nl-NL"/>
        </w:rPr>
        <w:t xml:space="preserve"> </w:t>
      </w:r>
      <w:r w:rsidR="00DC7903">
        <w:rPr>
          <w:color w:val="000000" w:themeColor="text1"/>
          <w:szCs w:val="18"/>
          <w:lang w:val="nl-NL"/>
        </w:rPr>
        <w:t>vereist</w:t>
      </w:r>
      <w:r w:rsidR="004B54FC" w:rsidRPr="000B4AB2">
        <w:rPr>
          <w:color w:val="000000" w:themeColor="text1"/>
          <w:szCs w:val="18"/>
          <w:lang w:val="nl-NL"/>
        </w:rPr>
        <w:t>.</w:t>
      </w:r>
      <w:r w:rsidR="004B54FC" w:rsidRPr="000B4AB2">
        <w:rPr>
          <w:rStyle w:val="FootnoteReference"/>
          <w:color w:val="000000" w:themeColor="text1"/>
          <w:szCs w:val="18"/>
          <w:lang w:val="nl-NL"/>
        </w:rPr>
        <w:footnoteReference w:id="56"/>
      </w:r>
      <w:r w:rsidR="004B54FC" w:rsidRPr="000B4AB2">
        <w:rPr>
          <w:color w:val="000000" w:themeColor="text1"/>
          <w:szCs w:val="18"/>
          <w:lang w:val="nl-NL"/>
        </w:rPr>
        <w:t xml:space="preserve"> </w:t>
      </w:r>
      <w:r w:rsidR="00DC7903">
        <w:rPr>
          <w:color w:val="000000" w:themeColor="text1"/>
          <w:szCs w:val="18"/>
          <w:lang w:val="nl-NL"/>
        </w:rPr>
        <w:t xml:space="preserve">In de doctrine werd </w:t>
      </w:r>
      <w:r w:rsidR="00136951">
        <w:rPr>
          <w:color w:val="000000" w:themeColor="text1"/>
          <w:szCs w:val="18"/>
          <w:lang w:val="nl-NL"/>
        </w:rPr>
        <w:t xml:space="preserve">deze vereiste evenwel bekritiseerd en werd </w:t>
      </w:r>
      <w:r w:rsidR="00DC7903">
        <w:rPr>
          <w:color w:val="000000" w:themeColor="text1"/>
          <w:szCs w:val="18"/>
          <w:lang w:val="nl-NL"/>
        </w:rPr>
        <w:t>gewezen op</w:t>
      </w:r>
      <w:r w:rsidR="007B6FC7" w:rsidRPr="000B4AB2">
        <w:rPr>
          <w:color w:val="000000" w:themeColor="text1"/>
          <w:szCs w:val="18"/>
          <w:lang w:val="nl-NL"/>
        </w:rPr>
        <w:t xml:space="preserve"> een i</w:t>
      </w:r>
      <w:r w:rsidR="005C22B7" w:rsidRPr="000B4AB2">
        <w:rPr>
          <w:color w:val="000000" w:themeColor="text1"/>
          <w:szCs w:val="18"/>
          <w:lang w:val="nl-NL"/>
        </w:rPr>
        <w:t>nherent gevaar aan een</w:t>
      </w:r>
      <w:r w:rsidR="00DC7903">
        <w:rPr>
          <w:color w:val="000000" w:themeColor="text1"/>
          <w:szCs w:val="18"/>
          <w:lang w:val="nl-NL"/>
        </w:rPr>
        <w:t xml:space="preserve"> dermate</w:t>
      </w:r>
      <w:r w:rsidR="005C22B7" w:rsidRPr="000B4AB2">
        <w:rPr>
          <w:color w:val="000000" w:themeColor="text1"/>
          <w:szCs w:val="18"/>
          <w:lang w:val="nl-NL"/>
        </w:rPr>
        <w:t xml:space="preserve"> vaag begrip. </w:t>
      </w:r>
      <w:r w:rsidR="00EC1A7C" w:rsidRPr="000B4AB2">
        <w:rPr>
          <w:color w:val="000000" w:themeColor="text1"/>
          <w:szCs w:val="18"/>
          <w:lang w:val="nl-NL"/>
        </w:rPr>
        <w:t xml:space="preserve">Hierdoor zouden </w:t>
      </w:r>
      <w:r w:rsidR="005C22B7" w:rsidRPr="000B4AB2">
        <w:rPr>
          <w:color w:val="000000" w:themeColor="text1"/>
          <w:szCs w:val="18"/>
          <w:lang w:val="nl-NL"/>
        </w:rPr>
        <w:t xml:space="preserve">verschillende persoonlijke oordelen </w:t>
      </w:r>
      <w:r w:rsidR="00032070">
        <w:rPr>
          <w:color w:val="000000" w:themeColor="text1"/>
          <w:szCs w:val="18"/>
          <w:lang w:val="nl-NL"/>
        </w:rPr>
        <w:t>m.b.t.</w:t>
      </w:r>
      <w:r w:rsidR="005C22B7" w:rsidRPr="000B4AB2">
        <w:rPr>
          <w:color w:val="000000" w:themeColor="text1"/>
          <w:szCs w:val="18"/>
          <w:lang w:val="nl-NL"/>
        </w:rPr>
        <w:t xml:space="preserve"> seksualiteit toch een rol </w:t>
      </w:r>
      <w:r w:rsidR="003A0E10" w:rsidRPr="000B4AB2">
        <w:rPr>
          <w:color w:val="000000" w:themeColor="text1"/>
          <w:szCs w:val="18"/>
          <w:lang w:val="nl-NL"/>
        </w:rPr>
        <w:t>kunnen</w:t>
      </w:r>
      <w:r w:rsidR="005C22B7" w:rsidRPr="000B4AB2">
        <w:rPr>
          <w:color w:val="000000" w:themeColor="text1"/>
          <w:szCs w:val="18"/>
          <w:lang w:val="nl-NL"/>
        </w:rPr>
        <w:t xml:space="preserve"> </w:t>
      </w:r>
      <w:r w:rsidR="00EC1A7C" w:rsidRPr="000B4AB2">
        <w:rPr>
          <w:color w:val="000000" w:themeColor="text1"/>
          <w:szCs w:val="18"/>
          <w:lang w:val="nl-NL"/>
        </w:rPr>
        <w:t>spelen</w:t>
      </w:r>
      <w:r w:rsidR="005C22B7" w:rsidRPr="000B4AB2">
        <w:rPr>
          <w:color w:val="000000" w:themeColor="text1"/>
          <w:szCs w:val="18"/>
          <w:lang w:val="nl-NL"/>
        </w:rPr>
        <w:t xml:space="preserve"> bij de invulling van het begrip </w:t>
      </w:r>
      <w:r w:rsidR="005C22B7" w:rsidRPr="000B4AB2">
        <w:rPr>
          <w:color w:val="000000" w:themeColor="text1"/>
          <w:szCs w:val="18"/>
          <w:lang w:val="nl-NL"/>
        </w:rPr>
        <w:lastRenderedPageBreak/>
        <w:t>aanranding van de eerbaarheid.</w:t>
      </w:r>
      <w:r w:rsidR="00136951">
        <w:rPr>
          <w:color w:val="000000" w:themeColor="text1"/>
          <w:szCs w:val="18"/>
          <w:lang w:val="nl-NL"/>
        </w:rPr>
        <w:t xml:space="preserve"> </w:t>
      </w:r>
      <w:r w:rsidR="00EC1A7C" w:rsidRPr="00136951">
        <w:rPr>
          <w:color w:val="000000" w:themeColor="text1"/>
          <w:szCs w:val="18"/>
          <w:lang w:val="nl-NL"/>
        </w:rPr>
        <w:t>Daartegenover staat evenwel dat</w:t>
      </w:r>
      <w:r w:rsidR="005C22B7" w:rsidRPr="00136951">
        <w:rPr>
          <w:color w:val="000000" w:themeColor="text1"/>
          <w:szCs w:val="18"/>
          <w:lang w:val="nl-NL"/>
        </w:rPr>
        <w:t xml:space="preserve"> dankzij dit begrip de </w:t>
      </w:r>
      <w:r w:rsidR="005C22B7" w:rsidRPr="00136951">
        <w:rPr>
          <w:szCs w:val="18"/>
          <w:lang w:val="nl-NL"/>
        </w:rPr>
        <w:t xml:space="preserve">concrete omstandigheden van de zaak in aanmerking </w:t>
      </w:r>
      <w:r w:rsidR="00EC1A7C" w:rsidRPr="00136951">
        <w:rPr>
          <w:szCs w:val="18"/>
          <w:lang w:val="nl-NL"/>
        </w:rPr>
        <w:t xml:space="preserve">konden </w:t>
      </w:r>
      <w:r w:rsidR="005C22B7" w:rsidRPr="00136951">
        <w:rPr>
          <w:szCs w:val="18"/>
          <w:lang w:val="nl-NL"/>
        </w:rPr>
        <w:t>worden genomen.</w:t>
      </w:r>
      <w:r w:rsidR="005C22B7" w:rsidRPr="000B4AB2">
        <w:rPr>
          <w:rStyle w:val="FootnoteReference"/>
          <w:szCs w:val="18"/>
          <w:lang w:val="nl-NL"/>
        </w:rPr>
        <w:footnoteReference w:id="57"/>
      </w:r>
      <w:r w:rsidR="005C22B7" w:rsidRPr="00136951">
        <w:rPr>
          <w:szCs w:val="18"/>
          <w:lang w:val="nl-NL"/>
        </w:rPr>
        <w:t xml:space="preserve"> Bovendien </w:t>
      </w:r>
      <w:r w:rsidR="00EC1A7C" w:rsidRPr="00136951">
        <w:rPr>
          <w:szCs w:val="18"/>
          <w:lang w:val="nl-NL"/>
        </w:rPr>
        <w:t>liet</w:t>
      </w:r>
      <w:r w:rsidR="005C22B7" w:rsidRPr="00136951">
        <w:rPr>
          <w:szCs w:val="18"/>
          <w:lang w:val="nl-NL"/>
        </w:rPr>
        <w:t xml:space="preserve"> dit begrip ruimte om een onderscheid te maken naargelang de leeftijd van het slachtoffer. Sommige handelingen zouden </w:t>
      </w:r>
      <w:r w:rsidR="00896094" w:rsidRPr="00136951">
        <w:rPr>
          <w:szCs w:val="18"/>
          <w:lang w:val="nl-NL"/>
        </w:rPr>
        <w:t>t.a.v.</w:t>
      </w:r>
      <w:r w:rsidR="005C22B7" w:rsidRPr="00136951">
        <w:rPr>
          <w:szCs w:val="18"/>
          <w:lang w:val="nl-NL"/>
        </w:rPr>
        <w:t xml:space="preserve"> een volwassene niet als ernstig worden beschouwd,</w:t>
      </w:r>
      <w:r w:rsidR="007D05D9" w:rsidRPr="00136951">
        <w:rPr>
          <w:szCs w:val="18"/>
          <w:lang w:val="nl-NL"/>
        </w:rPr>
        <w:t xml:space="preserve"> maar</w:t>
      </w:r>
      <w:r w:rsidR="005C22B7" w:rsidRPr="00136951">
        <w:rPr>
          <w:szCs w:val="18"/>
          <w:lang w:val="nl-NL"/>
        </w:rPr>
        <w:t xml:space="preserve"> </w:t>
      </w:r>
      <w:r w:rsidR="007D05D9" w:rsidRPr="00136951">
        <w:rPr>
          <w:szCs w:val="18"/>
          <w:lang w:val="nl-NL"/>
        </w:rPr>
        <w:t>indien</w:t>
      </w:r>
      <w:r w:rsidR="005C22B7" w:rsidRPr="00136951">
        <w:rPr>
          <w:szCs w:val="18"/>
          <w:lang w:val="nl-NL"/>
        </w:rPr>
        <w:t xml:space="preserve"> deze gesteld worden </w:t>
      </w:r>
      <w:r w:rsidR="00896094" w:rsidRPr="00136951">
        <w:rPr>
          <w:szCs w:val="18"/>
          <w:lang w:val="nl-NL"/>
        </w:rPr>
        <w:t>t.a.v.</w:t>
      </w:r>
      <w:r w:rsidR="005C22B7" w:rsidRPr="00136951">
        <w:rPr>
          <w:szCs w:val="18"/>
          <w:lang w:val="nl-NL"/>
        </w:rPr>
        <w:t xml:space="preserve"> een minderjarige zou de maatschappij hier een andere opvatting over kunnen hebben.</w:t>
      </w:r>
      <w:r w:rsidR="005C22B7" w:rsidRPr="000B4AB2">
        <w:rPr>
          <w:rStyle w:val="FootnoteReference"/>
          <w:color w:val="000000" w:themeColor="text1"/>
          <w:szCs w:val="18"/>
          <w:lang w:val="nl-NL"/>
        </w:rPr>
        <w:footnoteReference w:id="58"/>
      </w:r>
      <w:r w:rsidR="00F21A22" w:rsidRPr="00136951">
        <w:rPr>
          <w:color w:val="000000" w:themeColor="text1"/>
          <w:szCs w:val="18"/>
          <w:lang w:val="nl-NL"/>
        </w:rPr>
        <w:t xml:space="preserve"> </w:t>
      </w:r>
    </w:p>
    <w:p w14:paraId="5ECAC48E" w14:textId="77777777" w:rsidR="006B29B0" w:rsidRPr="000B4AB2" w:rsidRDefault="006B29B0" w:rsidP="00260F11">
      <w:pPr>
        <w:pStyle w:val="ListParagraph"/>
        <w:spacing w:line="360" w:lineRule="auto"/>
        <w:ind w:left="0"/>
        <w:rPr>
          <w:color w:val="000000" w:themeColor="text1"/>
          <w:szCs w:val="18"/>
          <w:lang w:val="nl-NL"/>
        </w:rPr>
      </w:pPr>
    </w:p>
    <w:p w14:paraId="6106FDE5" w14:textId="0B85D2A4" w:rsidR="000913C0" w:rsidRPr="000B4AB2" w:rsidRDefault="006B29B0"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Lichamelijke aanraking?</w:t>
      </w:r>
      <w:r w:rsidRPr="000B4AB2">
        <w:rPr>
          <w:color w:val="000000" w:themeColor="text1"/>
          <w:szCs w:val="18"/>
          <w:lang w:val="nl-NL"/>
        </w:rPr>
        <w:t xml:space="preserve"> </w:t>
      </w:r>
      <w:r w:rsidR="005B76EC" w:rsidRPr="000B4AB2">
        <w:rPr>
          <w:color w:val="000000" w:themeColor="text1"/>
          <w:szCs w:val="18"/>
          <w:lang w:val="nl-NL"/>
        </w:rPr>
        <w:t xml:space="preserve">Tot slot </w:t>
      </w:r>
      <w:r w:rsidR="00EC1A7C" w:rsidRPr="000B4AB2">
        <w:rPr>
          <w:color w:val="000000" w:themeColor="text1"/>
          <w:szCs w:val="18"/>
          <w:lang w:val="nl-NL"/>
        </w:rPr>
        <w:t>was</w:t>
      </w:r>
      <w:r w:rsidR="005B76EC" w:rsidRPr="000B4AB2">
        <w:rPr>
          <w:color w:val="000000" w:themeColor="text1"/>
          <w:szCs w:val="18"/>
          <w:lang w:val="nl-NL"/>
        </w:rPr>
        <w:t xml:space="preserve"> een lichamelijke aanraking </w:t>
      </w:r>
      <w:r w:rsidR="00F21A22" w:rsidRPr="000B4AB2">
        <w:rPr>
          <w:color w:val="000000" w:themeColor="text1"/>
          <w:szCs w:val="18"/>
          <w:lang w:val="nl-NL"/>
        </w:rPr>
        <w:t xml:space="preserve">tussen dader en slachtoffer </w:t>
      </w:r>
      <w:r w:rsidR="005B76EC" w:rsidRPr="000B4AB2">
        <w:rPr>
          <w:color w:val="000000" w:themeColor="text1"/>
          <w:szCs w:val="18"/>
          <w:lang w:val="nl-NL"/>
        </w:rPr>
        <w:t>geen vereiste.</w:t>
      </w:r>
      <w:r w:rsidR="00684B4D" w:rsidRPr="000B4AB2">
        <w:rPr>
          <w:rStyle w:val="FootnoteReference"/>
          <w:color w:val="000000" w:themeColor="text1"/>
          <w:szCs w:val="18"/>
          <w:lang w:val="nl-NL"/>
        </w:rPr>
        <w:footnoteReference w:id="59"/>
      </w:r>
      <w:r w:rsidR="00684B4D" w:rsidRPr="000B4AB2">
        <w:rPr>
          <w:color w:val="000000" w:themeColor="text1"/>
          <w:szCs w:val="18"/>
          <w:lang w:val="nl-NL"/>
        </w:rPr>
        <w:t xml:space="preserve"> </w:t>
      </w:r>
      <w:r w:rsidR="006E32E7" w:rsidRPr="000B4AB2">
        <w:rPr>
          <w:color w:val="000000" w:themeColor="text1"/>
          <w:szCs w:val="18"/>
          <w:lang w:val="nl-NL"/>
        </w:rPr>
        <w:t>Dit k</w:t>
      </w:r>
      <w:r w:rsidR="00EC1A7C" w:rsidRPr="000B4AB2">
        <w:rPr>
          <w:color w:val="000000" w:themeColor="text1"/>
          <w:szCs w:val="18"/>
          <w:lang w:val="nl-NL"/>
        </w:rPr>
        <w:t>o</w:t>
      </w:r>
      <w:r w:rsidR="006E32E7" w:rsidRPr="000B4AB2">
        <w:rPr>
          <w:color w:val="000000" w:themeColor="text1"/>
          <w:szCs w:val="18"/>
          <w:lang w:val="nl-NL"/>
        </w:rPr>
        <w:t xml:space="preserve">n </w:t>
      </w:r>
      <w:r w:rsidR="00DC7903">
        <w:rPr>
          <w:color w:val="000000" w:themeColor="text1"/>
          <w:szCs w:val="18"/>
          <w:lang w:val="nl-NL"/>
        </w:rPr>
        <w:t>o.m.</w:t>
      </w:r>
      <w:r w:rsidR="006E32E7" w:rsidRPr="000B4AB2">
        <w:rPr>
          <w:color w:val="000000" w:themeColor="text1"/>
          <w:szCs w:val="18"/>
          <w:lang w:val="nl-NL"/>
        </w:rPr>
        <w:t xml:space="preserve"> verklaard worden </w:t>
      </w:r>
      <w:r w:rsidR="00376C61">
        <w:rPr>
          <w:color w:val="000000" w:themeColor="text1"/>
          <w:szCs w:val="18"/>
          <w:lang w:val="nl-NL"/>
        </w:rPr>
        <w:t>a.d.h.v.</w:t>
      </w:r>
      <w:r w:rsidR="006E32E7" w:rsidRPr="000B4AB2">
        <w:rPr>
          <w:color w:val="000000" w:themeColor="text1"/>
          <w:szCs w:val="18"/>
          <w:lang w:val="nl-NL"/>
        </w:rPr>
        <w:t xml:space="preserve"> oud artikel 374 </w:t>
      </w:r>
      <w:r w:rsidR="0081584B">
        <w:rPr>
          <w:color w:val="000000" w:themeColor="text1"/>
          <w:szCs w:val="18"/>
          <w:lang w:val="nl-NL"/>
        </w:rPr>
        <w:t xml:space="preserve">van het </w:t>
      </w:r>
      <w:r w:rsidR="00CE0637">
        <w:rPr>
          <w:color w:val="000000" w:themeColor="text1"/>
          <w:szCs w:val="18"/>
          <w:lang w:val="nl-NL"/>
        </w:rPr>
        <w:t>Strafwetboek</w:t>
      </w:r>
      <w:r w:rsidR="006E32E7" w:rsidRPr="000B4AB2">
        <w:rPr>
          <w:color w:val="000000" w:themeColor="text1"/>
          <w:szCs w:val="18"/>
          <w:lang w:val="nl-NL"/>
        </w:rPr>
        <w:t xml:space="preserve">, op grond waarvan een </w:t>
      </w:r>
      <w:r w:rsidR="00F04E4E" w:rsidRPr="000B4AB2">
        <w:rPr>
          <w:color w:val="000000" w:themeColor="text1"/>
          <w:szCs w:val="18"/>
          <w:lang w:val="nl-NL"/>
        </w:rPr>
        <w:t xml:space="preserve">poging - en bijgevolg een </w:t>
      </w:r>
      <w:r w:rsidR="006E32E7" w:rsidRPr="000B4AB2">
        <w:rPr>
          <w:color w:val="000000" w:themeColor="text1"/>
          <w:szCs w:val="18"/>
          <w:lang w:val="nl-NL"/>
        </w:rPr>
        <w:t>vrijwillige terugtred</w:t>
      </w:r>
      <w:r w:rsidR="00F04E4E" w:rsidRPr="000B4AB2">
        <w:rPr>
          <w:color w:val="000000" w:themeColor="text1"/>
          <w:szCs w:val="18"/>
          <w:lang w:val="nl-NL"/>
        </w:rPr>
        <w:t xml:space="preserve"> </w:t>
      </w:r>
      <w:r w:rsidR="00DC7903">
        <w:rPr>
          <w:color w:val="000000" w:themeColor="text1"/>
          <w:szCs w:val="18"/>
          <w:lang w:val="nl-NL"/>
        </w:rPr>
        <w:t>–</w:t>
      </w:r>
      <w:r w:rsidR="006E32E7" w:rsidRPr="000B4AB2">
        <w:rPr>
          <w:color w:val="000000" w:themeColor="text1"/>
          <w:szCs w:val="18"/>
          <w:lang w:val="nl-NL"/>
        </w:rPr>
        <w:t xml:space="preserve"> </w:t>
      </w:r>
      <w:r w:rsidR="00DC7903">
        <w:rPr>
          <w:color w:val="000000" w:themeColor="text1"/>
          <w:szCs w:val="18"/>
          <w:lang w:val="nl-NL"/>
        </w:rPr>
        <w:t>i.g.v.</w:t>
      </w:r>
      <w:r w:rsidR="006E32E7" w:rsidRPr="000B4AB2">
        <w:rPr>
          <w:color w:val="000000" w:themeColor="text1"/>
          <w:szCs w:val="18"/>
          <w:lang w:val="nl-NL"/>
        </w:rPr>
        <w:t xml:space="preserve"> aanranding van de eerbaarheid </w:t>
      </w:r>
      <w:r w:rsidR="00F04E4E" w:rsidRPr="000B4AB2">
        <w:rPr>
          <w:color w:val="000000" w:themeColor="text1"/>
          <w:szCs w:val="18"/>
          <w:lang w:val="nl-NL"/>
        </w:rPr>
        <w:t xml:space="preserve">niet </w:t>
      </w:r>
      <w:r w:rsidR="006E32E7" w:rsidRPr="000B4AB2">
        <w:rPr>
          <w:color w:val="000000" w:themeColor="text1"/>
          <w:szCs w:val="18"/>
          <w:lang w:val="nl-NL"/>
        </w:rPr>
        <w:t>mogelijk</w:t>
      </w:r>
      <w:r w:rsidR="00F04E4E" w:rsidRPr="000B4AB2">
        <w:rPr>
          <w:color w:val="000000" w:themeColor="text1"/>
          <w:szCs w:val="18"/>
          <w:lang w:val="nl-NL"/>
        </w:rPr>
        <w:t xml:space="preserve"> </w:t>
      </w:r>
      <w:r w:rsidR="0046591C">
        <w:rPr>
          <w:color w:val="000000" w:themeColor="text1"/>
          <w:szCs w:val="18"/>
          <w:lang w:val="nl-NL"/>
        </w:rPr>
        <w:t>was</w:t>
      </w:r>
      <w:r w:rsidR="006E32E7" w:rsidRPr="000B4AB2">
        <w:rPr>
          <w:color w:val="000000" w:themeColor="text1"/>
          <w:szCs w:val="18"/>
          <w:lang w:val="nl-NL"/>
        </w:rPr>
        <w:t>.</w:t>
      </w:r>
      <w:r w:rsidR="006E32E7" w:rsidRPr="000B4AB2">
        <w:rPr>
          <w:rStyle w:val="FootnoteReference"/>
          <w:color w:val="000000" w:themeColor="text1"/>
          <w:szCs w:val="18"/>
          <w:lang w:val="nl-NL"/>
        </w:rPr>
        <w:footnoteReference w:id="60"/>
      </w:r>
      <w:r w:rsidR="006E32E7" w:rsidRPr="000B4AB2">
        <w:rPr>
          <w:color w:val="000000" w:themeColor="text1"/>
          <w:szCs w:val="18"/>
          <w:lang w:val="nl-NL"/>
        </w:rPr>
        <w:t xml:space="preserve"> Anderzijds</w:t>
      </w:r>
      <w:r w:rsidR="00C55F3C" w:rsidRPr="000B4AB2">
        <w:rPr>
          <w:color w:val="000000" w:themeColor="text1"/>
          <w:szCs w:val="18"/>
          <w:lang w:val="nl-NL"/>
        </w:rPr>
        <w:t xml:space="preserve"> </w:t>
      </w:r>
      <w:r w:rsidR="00EC1A7C" w:rsidRPr="000B4AB2">
        <w:rPr>
          <w:color w:val="000000" w:themeColor="text1"/>
          <w:szCs w:val="18"/>
          <w:lang w:val="nl-NL"/>
        </w:rPr>
        <w:t>waren</w:t>
      </w:r>
      <w:r w:rsidR="00C55F3C" w:rsidRPr="000B4AB2">
        <w:rPr>
          <w:color w:val="000000" w:themeColor="text1"/>
          <w:szCs w:val="18"/>
          <w:lang w:val="nl-NL"/>
        </w:rPr>
        <w:t xml:space="preserve"> ook voltrokken situaties van aanrandin</w:t>
      </w:r>
      <w:r w:rsidR="00610194" w:rsidRPr="000B4AB2">
        <w:rPr>
          <w:color w:val="000000" w:themeColor="text1"/>
          <w:szCs w:val="18"/>
          <w:lang w:val="nl-NL"/>
        </w:rPr>
        <w:t xml:space="preserve">g </w:t>
      </w:r>
      <w:r w:rsidR="00FE7EC2" w:rsidRPr="000B4AB2">
        <w:rPr>
          <w:color w:val="000000" w:themeColor="text1"/>
          <w:szCs w:val="18"/>
          <w:lang w:val="nl-NL"/>
        </w:rPr>
        <w:t xml:space="preserve">van de eerbaarheid denkbaar </w:t>
      </w:r>
      <w:r w:rsidR="00610194" w:rsidRPr="000B4AB2">
        <w:rPr>
          <w:color w:val="000000" w:themeColor="text1"/>
          <w:szCs w:val="18"/>
          <w:lang w:val="nl-NL"/>
        </w:rPr>
        <w:t>zonder lichamelijke aanraking</w:t>
      </w:r>
      <w:r w:rsidR="00C55F3C" w:rsidRPr="000B4AB2">
        <w:rPr>
          <w:color w:val="000000" w:themeColor="text1"/>
          <w:szCs w:val="18"/>
          <w:lang w:val="nl-NL"/>
        </w:rPr>
        <w:t xml:space="preserve">: bijvoorbeeld de aanranding </w:t>
      </w:r>
      <w:r w:rsidR="005B76EC" w:rsidRPr="000B4AB2">
        <w:rPr>
          <w:color w:val="000000" w:themeColor="text1"/>
          <w:szCs w:val="18"/>
          <w:lang w:val="nl-NL"/>
        </w:rPr>
        <w:t xml:space="preserve">die </w:t>
      </w:r>
      <w:r w:rsidR="00EC1A7C" w:rsidRPr="000B4AB2">
        <w:rPr>
          <w:color w:val="000000" w:themeColor="text1"/>
          <w:szCs w:val="18"/>
          <w:lang w:val="nl-NL"/>
        </w:rPr>
        <w:t>plaatsvond</w:t>
      </w:r>
      <w:r w:rsidR="005B76EC" w:rsidRPr="000B4AB2">
        <w:rPr>
          <w:color w:val="000000" w:themeColor="text1"/>
          <w:szCs w:val="18"/>
          <w:lang w:val="nl-NL"/>
        </w:rPr>
        <w:t xml:space="preserve"> via de webcam</w:t>
      </w:r>
      <w:r w:rsidR="0016591E" w:rsidRPr="000B4AB2">
        <w:rPr>
          <w:color w:val="000000" w:themeColor="text1"/>
          <w:szCs w:val="18"/>
          <w:lang w:val="nl-NL"/>
        </w:rPr>
        <w:t>,</w:t>
      </w:r>
      <w:r w:rsidR="0046153F" w:rsidRPr="000B4AB2">
        <w:rPr>
          <w:rStyle w:val="FootnoteReference"/>
          <w:color w:val="000000" w:themeColor="text1"/>
          <w:szCs w:val="18"/>
          <w:lang w:val="nl-NL"/>
        </w:rPr>
        <w:footnoteReference w:id="61"/>
      </w:r>
      <w:r w:rsidR="005B76EC" w:rsidRPr="000B4AB2">
        <w:rPr>
          <w:color w:val="000000" w:themeColor="text1"/>
          <w:szCs w:val="18"/>
          <w:lang w:val="nl-NL"/>
        </w:rPr>
        <w:t xml:space="preserve"> of door een bevel van de dader aan het slachtoffer om zich uit te kleden</w:t>
      </w:r>
      <w:r w:rsidR="0016591E" w:rsidRPr="000B4AB2">
        <w:rPr>
          <w:color w:val="000000" w:themeColor="text1"/>
          <w:szCs w:val="18"/>
          <w:lang w:val="nl-NL"/>
        </w:rPr>
        <w:t>.</w:t>
      </w:r>
      <w:r w:rsidR="0046153F" w:rsidRPr="000B4AB2">
        <w:rPr>
          <w:rStyle w:val="FootnoteReference"/>
          <w:color w:val="000000" w:themeColor="text1"/>
          <w:szCs w:val="18"/>
          <w:lang w:val="nl-NL"/>
        </w:rPr>
        <w:footnoteReference w:id="62"/>
      </w:r>
    </w:p>
    <w:p w14:paraId="64472257" w14:textId="77777777" w:rsidR="000913C0" w:rsidRPr="000B4AB2" w:rsidRDefault="000913C0" w:rsidP="00260F11">
      <w:pPr>
        <w:pStyle w:val="ListParagraph"/>
        <w:spacing w:line="360" w:lineRule="auto"/>
        <w:rPr>
          <w:b/>
          <w:color w:val="000000" w:themeColor="text1"/>
          <w:szCs w:val="18"/>
          <w:lang w:val="nl-NL"/>
        </w:rPr>
      </w:pPr>
    </w:p>
    <w:p w14:paraId="124571B8" w14:textId="74E00499" w:rsidR="000A0670" w:rsidRPr="000B4AB2" w:rsidRDefault="00F21A22"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Interactie </w:t>
      </w:r>
      <w:r w:rsidR="00057773" w:rsidRPr="000B4AB2">
        <w:rPr>
          <w:b/>
          <w:color w:val="000000" w:themeColor="text1"/>
          <w:szCs w:val="18"/>
          <w:lang w:val="nl-NL"/>
        </w:rPr>
        <w:t>en schaamtegevoel</w:t>
      </w:r>
      <w:r w:rsidR="000A0670" w:rsidRPr="000B4AB2">
        <w:rPr>
          <w:b/>
          <w:color w:val="000000" w:themeColor="text1"/>
          <w:szCs w:val="18"/>
          <w:lang w:val="nl-NL"/>
        </w:rPr>
        <w:t xml:space="preserve">. </w:t>
      </w:r>
      <w:r w:rsidRPr="000B4AB2">
        <w:rPr>
          <w:color w:val="000000" w:themeColor="text1"/>
          <w:szCs w:val="18"/>
          <w:lang w:val="nl-NL"/>
        </w:rPr>
        <w:t>Hoewel een lichamelijke aanraking</w:t>
      </w:r>
      <w:r w:rsidR="00556468" w:rsidRPr="000B4AB2">
        <w:rPr>
          <w:color w:val="000000" w:themeColor="text1"/>
          <w:szCs w:val="18"/>
          <w:lang w:val="nl-NL"/>
        </w:rPr>
        <w:t xml:space="preserve"> </w:t>
      </w:r>
      <w:r w:rsidR="001161D5" w:rsidRPr="000B4AB2">
        <w:rPr>
          <w:color w:val="000000" w:themeColor="text1"/>
          <w:szCs w:val="18"/>
          <w:lang w:val="nl-NL"/>
        </w:rPr>
        <w:t xml:space="preserve">niet </w:t>
      </w:r>
      <w:r w:rsidR="00536093" w:rsidRPr="000B4AB2">
        <w:rPr>
          <w:color w:val="000000" w:themeColor="text1"/>
          <w:szCs w:val="18"/>
          <w:lang w:val="nl-NL"/>
        </w:rPr>
        <w:t>noodzakelijk</w:t>
      </w:r>
      <w:r w:rsidR="001161D5" w:rsidRPr="000B4AB2">
        <w:rPr>
          <w:color w:val="000000" w:themeColor="text1"/>
          <w:szCs w:val="18"/>
          <w:lang w:val="nl-NL"/>
        </w:rPr>
        <w:t xml:space="preserve"> </w:t>
      </w:r>
      <w:r w:rsidR="00EC1A7C" w:rsidRPr="000B4AB2">
        <w:rPr>
          <w:color w:val="000000" w:themeColor="text1"/>
          <w:szCs w:val="18"/>
          <w:lang w:val="nl-NL"/>
        </w:rPr>
        <w:t>wa</w:t>
      </w:r>
      <w:r w:rsidR="001161D5" w:rsidRPr="000B4AB2">
        <w:rPr>
          <w:color w:val="000000" w:themeColor="text1"/>
          <w:szCs w:val="18"/>
          <w:lang w:val="nl-NL"/>
        </w:rPr>
        <w:t>s</w:t>
      </w:r>
      <w:r w:rsidR="00536093" w:rsidRPr="000B4AB2">
        <w:rPr>
          <w:color w:val="000000" w:themeColor="text1"/>
          <w:szCs w:val="18"/>
          <w:lang w:val="nl-NL"/>
        </w:rPr>
        <w:t xml:space="preserve"> om te kunnen spreken van aanranding van de eerbaarheid</w:t>
      </w:r>
      <w:r w:rsidR="00295521" w:rsidRPr="000B4AB2">
        <w:rPr>
          <w:color w:val="000000" w:themeColor="text1"/>
          <w:szCs w:val="18"/>
          <w:lang w:val="nl-NL"/>
        </w:rPr>
        <w:t xml:space="preserve">, </w:t>
      </w:r>
      <w:r w:rsidR="00EC1A7C" w:rsidRPr="000B4AB2">
        <w:rPr>
          <w:color w:val="000000" w:themeColor="text1"/>
          <w:szCs w:val="18"/>
          <w:lang w:val="nl-NL"/>
        </w:rPr>
        <w:t>was</w:t>
      </w:r>
      <w:r w:rsidR="00536093" w:rsidRPr="000B4AB2">
        <w:rPr>
          <w:color w:val="000000" w:themeColor="text1"/>
          <w:szCs w:val="18"/>
          <w:lang w:val="nl-NL"/>
        </w:rPr>
        <w:t xml:space="preserve"> daarentegen</w:t>
      </w:r>
      <w:r w:rsidR="00295521" w:rsidRPr="000B4AB2">
        <w:rPr>
          <w:color w:val="000000" w:themeColor="text1"/>
          <w:szCs w:val="18"/>
          <w:lang w:val="nl-NL"/>
        </w:rPr>
        <w:t xml:space="preserve"> wel vereist dat </w:t>
      </w:r>
      <w:r w:rsidR="00240615" w:rsidRPr="000B4AB2">
        <w:rPr>
          <w:color w:val="000000" w:themeColor="text1"/>
          <w:szCs w:val="18"/>
          <w:lang w:val="nl-NL"/>
        </w:rPr>
        <w:t xml:space="preserve">er zich </w:t>
      </w:r>
      <w:r w:rsidR="00295521" w:rsidRPr="000B4AB2">
        <w:rPr>
          <w:color w:val="000000" w:themeColor="text1"/>
          <w:szCs w:val="18"/>
          <w:lang w:val="nl-NL"/>
        </w:rPr>
        <w:t xml:space="preserve">tussen dader en slachtoffer </w:t>
      </w:r>
      <w:r w:rsidR="00240615" w:rsidRPr="000B4AB2">
        <w:rPr>
          <w:color w:val="000000" w:themeColor="text1"/>
          <w:szCs w:val="18"/>
          <w:lang w:val="nl-NL"/>
        </w:rPr>
        <w:t>seksueel</w:t>
      </w:r>
      <w:r w:rsidR="00295521" w:rsidRPr="000B4AB2">
        <w:rPr>
          <w:color w:val="000000" w:themeColor="text1"/>
          <w:szCs w:val="18"/>
          <w:lang w:val="nl-NL"/>
        </w:rPr>
        <w:t xml:space="preserve"> interactie</w:t>
      </w:r>
      <w:r w:rsidR="00536093" w:rsidRPr="000B4AB2">
        <w:rPr>
          <w:color w:val="000000" w:themeColor="text1"/>
          <w:szCs w:val="18"/>
          <w:lang w:val="nl-NL"/>
        </w:rPr>
        <w:t>f</w:t>
      </w:r>
      <w:r w:rsidR="00295521" w:rsidRPr="000B4AB2">
        <w:rPr>
          <w:color w:val="000000" w:themeColor="text1"/>
          <w:szCs w:val="18"/>
          <w:lang w:val="nl-NL"/>
        </w:rPr>
        <w:t xml:space="preserve"> </w:t>
      </w:r>
      <w:r w:rsidR="00240615" w:rsidRPr="000B4AB2">
        <w:rPr>
          <w:color w:val="000000" w:themeColor="text1"/>
          <w:szCs w:val="18"/>
          <w:lang w:val="nl-NL"/>
        </w:rPr>
        <w:t>gedrag afspeel</w:t>
      </w:r>
      <w:r w:rsidR="00EC1A7C" w:rsidRPr="000B4AB2">
        <w:rPr>
          <w:color w:val="000000" w:themeColor="text1"/>
          <w:szCs w:val="18"/>
          <w:lang w:val="nl-NL"/>
        </w:rPr>
        <w:t>de</w:t>
      </w:r>
      <w:r w:rsidRPr="000B4AB2">
        <w:rPr>
          <w:color w:val="000000" w:themeColor="text1"/>
          <w:szCs w:val="18"/>
          <w:lang w:val="nl-NL"/>
        </w:rPr>
        <w:t>.</w:t>
      </w:r>
      <w:r w:rsidRPr="000B4AB2">
        <w:rPr>
          <w:rStyle w:val="FootnoteReference"/>
          <w:color w:val="000000" w:themeColor="text1"/>
          <w:szCs w:val="18"/>
          <w:lang w:val="nl-NL"/>
        </w:rPr>
        <w:footnoteReference w:id="63"/>
      </w:r>
      <w:r w:rsidR="00A607EE" w:rsidRPr="000B4AB2">
        <w:rPr>
          <w:color w:val="000000" w:themeColor="text1"/>
          <w:szCs w:val="18"/>
          <w:lang w:val="nl-NL"/>
        </w:rPr>
        <w:t xml:space="preserve"> </w:t>
      </w:r>
      <w:r w:rsidR="00684B4D" w:rsidRPr="000B4AB2">
        <w:rPr>
          <w:color w:val="000000" w:themeColor="text1"/>
          <w:szCs w:val="18"/>
          <w:lang w:val="nl-NL"/>
        </w:rPr>
        <w:t>Het</w:t>
      </w:r>
      <w:r w:rsidR="00556468" w:rsidRPr="000B4AB2">
        <w:rPr>
          <w:color w:val="000000" w:themeColor="text1"/>
          <w:szCs w:val="18"/>
          <w:lang w:val="nl-NL"/>
        </w:rPr>
        <w:t xml:space="preserve"> Hof van Cassatie </w:t>
      </w:r>
      <w:r w:rsidR="00684B4D" w:rsidRPr="000B4AB2">
        <w:rPr>
          <w:color w:val="000000" w:themeColor="text1"/>
          <w:szCs w:val="18"/>
          <w:lang w:val="nl-NL"/>
        </w:rPr>
        <w:t xml:space="preserve">omschreef </w:t>
      </w:r>
      <w:r w:rsidR="00556468" w:rsidRPr="000B4AB2">
        <w:rPr>
          <w:color w:val="000000" w:themeColor="text1"/>
          <w:szCs w:val="18"/>
          <w:lang w:val="nl-NL"/>
        </w:rPr>
        <w:t>deze voorwaarde als volgt: “</w:t>
      </w:r>
      <w:r w:rsidR="00556468" w:rsidRPr="000B4AB2">
        <w:rPr>
          <w:i/>
          <w:color w:val="000000" w:themeColor="text1"/>
          <w:szCs w:val="18"/>
          <w:lang w:val="nl-NL"/>
        </w:rPr>
        <w:t>Om te bepalen of een handeling die zonder aanraking is gesteld de eerbaarheid kwetst, (…) moet het lichaam van het slachtoffer daarenboven tegen zijn wil zijn betrokken bij een handeling die het slachtoffer, op het ogenblik dat die handeling wordt gesteld, in verlegenheid brengt omdat ze in strijd is met de algemene opvatting van de goede zeden.</w:t>
      </w:r>
      <w:r w:rsidR="00556468" w:rsidRPr="000B4AB2">
        <w:rPr>
          <w:color w:val="000000" w:themeColor="text1"/>
          <w:szCs w:val="18"/>
          <w:lang w:val="nl-NL"/>
        </w:rPr>
        <w:t>”</w:t>
      </w:r>
      <w:r w:rsidR="00556468" w:rsidRPr="000B4AB2">
        <w:rPr>
          <w:rStyle w:val="FootnoteReference"/>
          <w:color w:val="000000" w:themeColor="text1"/>
          <w:szCs w:val="18"/>
          <w:lang w:val="nl-NL"/>
        </w:rPr>
        <w:footnoteReference w:id="64"/>
      </w:r>
      <w:r w:rsidR="00D412D6" w:rsidRPr="000B4AB2">
        <w:rPr>
          <w:color w:val="000000" w:themeColor="text1"/>
          <w:szCs w:val="18"/>
          <w:lang w:val="nl-NL"/>
        </w:rPr>
        <w:t xml:space="preserve"> </w:t>
      </w:r>
    </w:p>
    <w:p w14:paraId="2B231EC4" w14:textId="76B0140A" w:rsidR="00E65397" w:rsidRPr="000B4AB2" w:rsidRDefault="00651BDC" w:rsidP="00260F11">
      <w:pPr>
        <w:pStyle w:val="ListParagraph"/>
        <w:spacing w:line="360" w:lineRule="auto"/>
        <w:ind w:left="0"/>
        <w:rPr>
          <w:color w:val="000000" w:themeColor="text1"/>
          <w:szCs w:val="18"/>
          <w:lang w:val="nl-NL"/>
        </w:rPr>
      </w:pPr>
      <w:r>
        <w:rPr>
          <w:color w:val="000000" w:themeColor="text1"/>
          <w:szCs w:val="18"/>
          <w:lang w:val="nl-NL"/>
        </w:rPr>
        <w:lastRenderedPageBreak/>
        <w:t>Bij</w:t>
      </w:r>
      <w:r w:rsidR="000913C0" w:rsidRPr="000B4AB2">
        <w:rPr>
          <w:color w:val="000000" w:themeColor="text1"/>
          <w:szCs w:val="18"/>
          <w:lang w:val="nl-NL"/>
        </w:rPr>
        <w:t xml:space="preserve"> deze voorwaarde van interactie, maakt</w:t>
      </w:r>
      <w:r w:rsidR="00EC1A7C" w:rsidRPr="000B4AB2">
        <w:rPr>
          <w:color w:val="000000" w:themeColor="text1"/>
          <w:szCs w:val="18"/>
          <w:lang w:val="nl-NL"/>
        </w:rPr>
        <w:t>e</w:t>
      </w:r>
      <w:r w:rsidR="000913C0" w:rsidRPr="000B4AB2">
        <w:rPr>
          <w:color w:val="000000" w:themeColor="text1"/>
          <w:szCs w:val="18"/>
          <w:lang w:val="nl-NL"/>
        </w:rPr>
        <w:t xml:space="preserve"> het Hof van Cassatie ook gewag van een schaamtegevoel dat moe</w:t>
      </w:r>
      <w:r w:rsidR="00EC1A7C" w:rsidRPr="000B4AB2">
        <w:rPr>
          <w:color w:val="000000" w:themeColor="text1"/>
          <w:szCs w:val="18"/>
          <w:lang w:val="nl-NL"/>
        </w:rPr>
        <w:t>s</w:t>
      </w:r>
      <w:r w:rsidR="000913C0" w:rsidRPr="000B4AB2">
        <w:rPr>
          <w:color w:val="000000" w:themeColor="text1"/>
          <w:szCs w:val="18"/>
          <w:lang w:val="nl-NL"/>
        </w:rPr>
        <w:t>t zijn opgewekt bij het slachtoffer door de dader op het moment van de feiten.</w:t>
      </w:r>
      <w:r w:rsidR="000913C0" w:rsidRPr="000B4AB2">
        <w:rPr>
          <w:rStyle w:val="FootnoteReference"/>
          <w:color w:val="000000" w:themeColor="text1"/>
          <w:szCs w:val="18"/>
          <w:lang w:val="nl-NL"/>
        </w:rPr>
        <w:footnoteReference w:id="65"/>
      </w:r>
      <w:r w:rsidR="000913C0" w:rsidRPr="000B4AB2">
        <w:rPr>
          <w:color w:val="000000" w:themeColor="text1"/>
          <w:szCs w:val="18"/>
          <w:lang w:val="nl-NL"/>
        </w:rPr>
        <w:t xml:space="preserve"> </w:t>
      </w:r>
      <w:r w:rsidR="00CA642F" w:rsidRPr="000B4AB2">
        <w:rPr>
          <w:color w:val="000000" w:themeColor="text1"/>
          <w:szCs w:val="18"/>
          <w:lang w:val="nl-NL"/>
        </w:rPr>
        <w:t xml:space="preserve">Volgens DELBROUCK </w:t>
      </w:r>
      <w:r w:rsidR="00E65397" w:rsidRPr="000B4AB2">
        <w:rPr>
          <w:color w:val="000000" w:themeColor="text1"/>
          <w:szCs w:val="18"/>
          <w:lang w:val="nl-NL"/>
        </w:rPr>
        <w:t>zijn voor de beoordeling van dit schaamtegevoel niet de subjectieve beleving van het slachtoffer, maar de maatschappelijke opvattingen daaromtrent doorslaggevend.</w:t>
      </w:r>
      <w:r w:rsidR="00E65397" w:rsidRPr="000B4AB2">
        <w:rPr>
          <w:rStyle w:val="FootnoteReference"/>
          <w:color w:val="000000" w:themeColor="text1"/>
          <w:szCs w:val="18"/>
          <w:lang w:val="nl-NL"/>
        </w:rPr>
        <w:footnoteReference w:id="66"/>
      </w:r>
    </w:p>
    <w:p w14:paraId="309C9769" w14:textId="02697303" w:rsidR="00E65397" w:rsidRPr="000B4AB2" w:rsidRDefault="00E65397" w:rsidP="00260F11">
      <w:pPr>
        <w:pStyle w:val="ListParagraph"/>
        <w:spacing w:line="360" w:lineRule="auto"/>
        <w:ind w:left="0"/>
        <w:rPr>
          <w:color w:val="000000" w:themeColor="text1"/>
          <w:szCs w:val="18"/>
          <w:lang w:val="nl-NL"/>
        </w:rPr>
      </w:pPr>
    </w:p>
    <w:p w14:paraId="226DE1BB" w14:textId="15FAE901" w:rsidR="00E65397" w:rsidRPr="000B4AB2" w:rsidRDefault="00E65397" w:rsidP="00260F11">
      <w:pPr>
        <w:pStyle w:val="ListParagraph"/>
        <w:spacing w:line="360" w:lineRule="auto"/>
        <w:ind w:left="0"/>
        <w:rPr>
          <w:color w:val="000000" w:themeColor="text1"/>
          <w:szCs w:val="18"/>
          <w:lang w:val="nl-NL"/>
        </w:rPr>
      </w:pPr>
      <w:r w:rsidRPr="000B4AB2">
        <w:rPr>
          <w:color w:val="000000" w:themeColor="text1"/>
          <w:szCs w:val="18"/>
          <w:lang w:val="nl-NL"/>
        </w:rPr>
        <w:t>In de rechtsleer werd in dit opzicht ook wel gesproken van een “fysieke aantasting”</w:t>
      </w:r>
      <w:r w:rsidRPr="000B4AB2">
        <w:rPr>
          <w:rStyle w:val="FootnoteReference"/>
          <w:color w:val="000000" w:themeColor="text1"/>
          <w:szCs w:val="18"/>
          <w:lang w:val="nl-NL"/>
        </w:rPr>
        <w:footnoteReference w:id="67"/>
      </w:r>
      <w:r w:rsidRPr="000B4AB2">
        <w:rPr>
          <w:color w:val="000000" w:themeColor="text1"/>
          <w:szCs w:val="18"/>
          <w:lang w:val="nl-NL"/>
        </w:rPr>
        <w:t xml:space="preserve"> die moest hebben plaatsgevonden, van “</w:t>
      </w:r>
      <w:r w:rsidRPr="000B4AB2">
        <w:rPr>
          <w:i/>
          <w:color w:val="000000" w:themeColor="text1"/>
          <w:szCs w:val="18"/>
          <w:lang w:val="nl-NL"/>
        </w:rPr>
        <w:t>een rechtsreeks op elkaar inwerkend fysiek gedrag met een seksueel kenmerk</w:t>
      </w:r>
      <w:r w:rsidRPr="000B4AB2">
        <w:rPr>
          <w:color w:val="000000" w:themeColor="text1"/>
          <w:szCs w:val="18"/>
          <w:lang w:val="nl-NL"/>
        </w:rPr>
        <w:t>”</w:t>
      </w:r>
      <w:r w:rsidRPr="000B4AB2">
        <w:rPr>
          <w:rStyle w:val="FootnoteReference"/>
          <w:color w:val="000000" w:themeColor="text1"/>
          <w:szCs w:val="18"/>
          <w:lang w:val="nl-NL"/>
        </w:rPr>
        <w:footnoteReference w:id="68"/>
      </w:r>
      <w:r w:rsidRPr="000B4AB2">
        <w:rPr>
          <w:color w:val="000000" w:themeColor="text1"/>
          <w:szCs w:val="18"/>
          <w:lang w:val="nl-NL"/>
        </w:rPr>
        <w:t>, of van het “bewust beleven”</w:t>
      </w:r>
      <w:r w:rsidRPr="000B4AB2">
        <w:rPr>
          <w:rStyle w:val="FootnoteReference"/>
          <w:color w:val="000000" w:themeColor="text1"/>
          <w:szCs w:val="18"/>
          <w:lang w:val="nl-NL"/>
        </w:rPr>
        <w:footnoteReference w:id="69"/>
      </w:r>
      <w:r w:rsidRPr="000B4AB2">
        <w:rPr>
          <w:color w:val="000000" w:themeColor="text1"/>
          <w:szCs w:val="18"/>
          <w:lang w:val="nl-NL"/>
        </w:rPr>
        <w:t xml:space="preserve"> van de gedraging.</w:t>
      </w:r>
    </w:p>
    <w:p w14:paraId="6C36B03E" w14:textId="77777777" w:rsidR="00E7313A" w:rsidRPr="000B4AB2" w:rsidRDefault="00E7313A" w:rsidP="00260F11">
      <w:pPr>
        <w:pStyle w:val="ListParagraph"/>
        <w:spacing w:line="360" w:lineRule="auto"/>
        <w:ind w:left="0"/>
        <w:rPr>
          <w:color w:val="000000" w:themeColor="text1"/>
          <w:szCs w:val="18"/>
          <w:lang w:val="nl-NL"/>
        </w:rPr>
      </w:pPr>
    </w:p>
    <w:p w14:paraId="6717B7F2" w14:textId="254C1C04" w:rsidR="00C84B62" w:rsidRPr="000B4AB2" w:rsidRDefault="00057773"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Schaamte: o</w:t>
      </w:r>
      <w:r w:rsidR="002E5F83" w:rsidRPr="000B4AB2">
        <w:rPr>
          <w:b/>
          <w:color w:val="000000" w:themeColor="text1"/>
          <w:szCs w:val="18"/>
          <w:lang w:val="nl-NL"/>
        </w:rPr>
        <w:t>ok voor minderjarigen?</w:t>
      </w:r>
      <w:r w:rsidR="002E5F83" w:rsidRPr="000B4AB2">
        <w:rPr>
          <w:color w:val="000000" w:themeColor="text1"/>
          <w:szCs w:val="18"/>
          <w:lang w:val="nl-NL"/>
        </w:rPr>
        <w:t xml:space="preserve"> </w:t>
      </w:r>
      <w:r w:rsidR="0001507D" w:rsidRPr="000B4AB2">
        <w:rPr>
          <w:color w:val="000000" w:themeColor="text1"/>
          <w:szCs w:val="18"/>
          <w:lang w:val="nl-NL"/>
        </w:rPr>
        <w:t xml:space="preserve">Of deze vereiste van schaamte ook </w:t>
      </w:r>
      <w:r w:rsidRPr="000B4AB2">
        <w:rPr>
          <w:color w:val="000000" w:themeColor="text1"/>
          <w:szCs w:val="18"/>
          <w:lang w:val="nl-NL"/>
        </w:rPr>
        <w:t>gold</w:t>
      </w:r>
      <w:r w:rsidR="0001507D" w:rsidRPr="000B4AB2">
        <w:rPr>
          <w:color w:val="000000" w:themeColor="text1"/>
          <w:szCs w:val="18"/>
          <w:lang w:val="nl-NL"/>
        </w:rPr>
        <w:t xml:space="preserve"> voor minderjarigen, </w:t>
      </w:r>
      <w:r w:rsidR="0046591C">
        <w:rPr>
          <w:color w:val="000000" w:themeColor="text1"/>
          <w:szCs w:val="18"/>
          <w:lang w:val="nl-NL"/>
        </w:rPr>
        <w:t>leek</w:t>
      </w:r>
      <w:r w:rsidR="0001507D" w:rsidRPr="000B4AB2">
        <w:rPr>
          <w:color w:val="000000" w:themeColor="text1"/>
          <w:szCs w:val="18"/>
          <w:lang w:val="nl-NL"/>
        </w:rPr>
        <w:t xml:space="preserve"> ter discussie </w:t>
      </w:r>
      <w:r w:rsidR="0046591C">
        <w:rPr>
          <w:color w:val="000000" w:themeColor="text1"/>
          <w:szCs w:val="18"/>
          <w:lang w:val="nl-NL"/>
        </w:rPr>
        <w:t xml:space="preserve">te staan </w:t>
      </w:r>
      <w:r w:rsidR="00651BDC">
        <w:rPr>
          <w:color w:val="000000" w:themeColor="text1"/>
          <w:szCs w:val="18"/>
          <w:lang w:val="nl-NL"/>
        </w:rPr>
        <w:t>n.a.v.</w:t>
      </w:r>
      <w:r w:rsidR="00512949" w:rsidRPr="000B4AB2">
        <w:rPr>
          <w:color w:val="000000" w:themeColor="text1"/>
          <w:szCs w:val="18"/>
          <w:lang w:val="nl-NL"/>
        </w:rPr>
        <w:t xml:space="preserve"> een </w:t>
      </w:r>
      <w:r w:rsidR="0072624F" w:rsidRPr="000B4AB2">
        <w:rPr>
          <w:color w:val="000000" w:themeColor="text1"/>
          <w:szCs w:val="18"/>
          <w:lang w:val="nl-NL"/>
        </w:rPr>
        <w:t>c</w:t>
      </w:r>
      <w:r w:rsidR="00512949" w:rsidRPr="000B4AB2">
        <w:rPr>
          <w:color w:val="000000" w:themeColor="text1"/>
          <w:szCs w:val="18"/>
          <w:lang w:val="nl-NL"/>
        </w:rPr>
        <w:t>assatiearrest waarin het volgende werd gesteld: “</w:t>
      </w:r>
      <w:r w:rsidR="00512949" w:rsidRPr="000B4AB2">
        <w:rPr>
          <w:i/>
          <w:color w:val="000000" w:themeColor="text1"/>
          <w:szCs w:val="18"/>
          <w:lang w:val="nl-NL"/>
        </w:rPr>
        <w:t>Of die aanranding werkelijk heeft plaatsgevonden, wordt objectief beoordeeld en niet op grond van het persoonlijk aanvoelen van het kind.</w:t>
      </w:r>
      <w:r w:rsidR="00512949" w:rsidRPr="000B4AB2">
        <w:rPr>
          <w:color w:val="000000" w:themeColor="text1"/>
          <w:szCs w:val="18"/>
          <w:lang w:val="nl-NL"/>
        </w:rPr>
        <w:t xml:space="preserve"> </w:t>
      </w:r>
      <w:r w:rsidR="00512949" w:rsidRPr="000B4AB2">
        <w:rPr>
          <w:i/>
          <w:color w:val="000000" w:themeColor="text1"/>
          <w:szCs w:val="18"/>
          <w:lang w:val="nl-NL"/>
        </w:rPr>
        <w:t>Daaruit volgt dat het strafbare karakter van de handeling niet afhangt van het bewustzijn of de inschatting die de minderjarige ervan heeft op het ogenblik waarop jegens hem de handeling wordt gesteld en evenmin van het onbehagen, de gêne of de schaamte die de handelingen van de dader al dan niet bij hem hebben opgewekt</w:t>
      </w:r>
      <w:r w:rsidR="0088029A">
        <w:rPr>
          <w:i/>
          <w:color w:val="000000" w:themeColor="text1"/>
          <w:szCs w:val="18"/>
          <w:lang w:val="nl-NL"/>
        </w:rPr>
        <w:t>.”</w:t>
      </w:r>
      <w:r w:rsidR="00512949" w:rsidRPr="000B4AB2">
        <w:rPr>
          <w:rStyle w:val="FootnoteReference"/>
          <w:color w:val="000000" w:themeColor="text1"/>
          <w:szCs w:val="18"/>
          <w:lang w:val="nl-NL"/>
        </w:rPr>
        <w:footnoteReference w:id="70"/>
      </w:r>
      <w:r w:rsidR="009A0E1B" w:rsidRPr="000B4AB2">
        <w:rPr>
          <w:rStyle w:val="FootnoteReference"/>
          <w:color w:val="000000" w:themeColor="text1"/>
          <w:szCs w:val="18"/>
          <w:vertAlign w:val="baseline"/>
          <w:lang w:val="nl-NL"/>
        </w:rPr>
        <w:t xml:space="preserve"> </w:t>
      </w:r>
    </w:p>
    <w:p w14:paraId="46A3AC45" w14:textId="77777777" w:rsidR="00C84B62" w:rsidRPr="000B4AB2" w:rsidRDefault="00C84B62" w:rsidP="00260F11">
      <w:pPr>
        <w:pStyle w:val="ListParagraph"/>
        <w:spacing w:line="360" w:lineRule="auto"/>
        <w:ind w:left="0"/>
        <w:rPr>
          <w:color w:val="000000" w:themeColor="text1"/>
          <w:szCs w:val="18"/>
          <w:lang w:val="nl-NL"/>
        </w:rPr>
      </w:pPr>
    </w:p>
    <w:p w14:paraId="415C8779" w14:textId="1FA95F02" w:rsidR="00E7313A" w:rsidRPr="000B4AB2" w:rsidRDefault="004B331D"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Over dit arrest werd in de doctrine gesteld dat </w:t>
      </w:r>
      <w:r w:rsidR="00FB55A8" w:rsidRPr="000B4AB2">
        <w:rPr>
          <w:color w:val="000000" w:themeColor="text1"/>
          <w:szCs w:val="18"/>
          <w:lang w:val="nl-NL"/>
        </w:rPr>
        <w:t xml:space="preserve">het Hof </w:t>
      </w:r>
      <w:r w:rsidR="007D7C48" w:rsidRPr="000B4AB2">
        <w:rPr>
          <w:color w:val="000000" w:themeColor="text1"/>
          <w:szCs w:val="18"/>
          <w:lang w:val="nl-NL"/>
        </w:rPr>
        <w:t xml:space="preserve">enkel </w:t>
      </w:r>
      <w:r w:rsidRPr="000B4AB2">
        <w:rPr>
          <w:color w:val="000000" w:themeColor="text1"/>
          <w:szCs w:val="18"/>
          <w:lang w:val="nl-NL"/>
        </w:rPr>
        <w:t>wilde benadrukken</w:t>
      </w:r>
      <w:r w:rsidR="007D7C48" w:rsidRPr="000B4AB2">
        <w:rPr>
          <w:color w:val="000000" w:themeColor="text1"/>
          <w:szCs w:val="18"/>
          <w:lang w:val="nl-NL"/>
        </w:rPr>
        <w:t xml:space="preserve"> dat het niet de subjectieve beleving van het slachtoffer is </w:t>
      </w:r>
      <w:r w:rsidR="00DA359C" w:rsidRPr="000B4AB2">
        <w:rPr>
          <w:color w:val="000000" w:themeColor="text1"/>
          <w:szCs w:val="18"/>
          <w:lang w:val="nl-NL"/>
        </w:rPr>
        <w:t>die</w:t>
      </w:r>
      <w:r w:rsidR="007D7C48" w:rsidRPr="000B4AB2">
        <w:rPr>
          <w:color w:val="000000" w:themeColor="text1"/>
          <w:szCs w:val="18"/>
          <w:lang w:val="nl-NL"/>
        </w:rPr>
        <w:t xml:space="preserve"> relevant zou zijn voor de beoordeling van de strafbaarheid van de gedraging</w:t>
      </w:r>
      <w:r w:rsidR="00E7313A" w:rsidRPr="000B4AB2">
        <w:rPr>
          <w:color w:val="000000" w:themeColor="text1"/>
          <w:szCs w:val="18"/>
          <w:lang w:val="nl-NL"/>
        </w:rPr>
        <w:t>.</w:t>
      </w:r>
      <w:r w:rsidR="00D44E2F" w:rsidRPr="000B4AB2">
        <w:rPr>
          <w:color w:val="000000" w:themeColor="text1"/>
          <w:szCs w:val="18"/>
          <w:lang w:val="nl-NL"/>
        </w:rPr>
        <w:t xml:space="preserve"> Dit zou bijgevolg geen afbreuk doen aan de rechtspraak waarin interactief seksueel gedrag wordt vereist met een schaamtegevoel op het moment van de feiten.</w:t>
      </w:r>
      <w:r w:rsidR="00E7313A" w:rsidRPr="000B4AB2">
        <w:rPr>
          <w:rStyle w:val="FootnoteReference"/>
          <w:color w:val="000000" w:themeColor="text1"/>
          <w:szCs w:val="18"/>
          <w:lang w:val="nl-NL"/>
        </w:rPr>
        <w:footnoteReference w:id="71"/>
      </w:r>
    </w:p>
    <w:p w14:paraId="1256DE23" w14:textId="77777777" w:rsidR="000913C0" w:rsidRPr="000B4AB2" w:rsidRDefault="000913C0" w:rsidP="00260F11">
      <w:pPr>
        <w:spacing w:line="360" w:lineRule="auto"/>
        <w:rPr>
          <w:color w:val="000000" w:themeColor="text1"/>
          <w:szCs w:val="18"/>
          <w:lang w:val="nl-NL"/>
        </w:rPr>
      </w:pPr>
    </w:p>
    <w:p w14:paraId="60CB5F39" w14:textId="43D4B174" w:rsidR="00093A78" w:rsidRPr="000B4AB2" w:rsidRDefault="00390AB6"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G</w:t>
      </w:r>
      <w:r w:rsidR="002E5F83" w:rsidRPr="000B4AB2">
        <w:rPr>
          <w:b/>
          <w:color w:val="000000" w:themeColor="text1"/>
          <w:szCs w:val="18"/>
          <w:lang w:val="nl-NL"/>
        </w:rPr>
        <w:t>een voyeurisme (meer)</w:t>
      </w:r>
      <w:r w:rsidR="002E5F83" w:rsidRPr="000B4AB2">
        <w:rPr>
          <w:color w:val="000000" w:themeColor="text1"/>
          <w:szCs w:val="18"/>
          <w:lang w:val="nl-NL"/>
        </w:rPr>
        <w:t xml:space="preserve">. </w:t>
      </w:r>
      <w:r w:rsidR="008079F2" w:rsidRPr="000B4AB2">
        <w:rPr>
          <w:color w:val="000000" w:themeColor="text1"/>
          <w:szCs w:val="18"/>
          <w:lang w:val="nl-NL"/>
        </w:rPr>
        <w:t xml:space="preserve">Het </w:t>
      </w:r>
      <w:r w:rsidR="00834EE7" w:rsidRPr="000B4AB2">
        <w:rPr>
          <w:color w:val="000000" w:themeColor="text1"/>
          <w:szCs w:val="18"/>
          <w:lang w:val="nl-NL"/>
        </w:rPr>
        <w:t xml:space="preserve">Hof van Cassatie </w:t>
      </w:r>
      <w:r w:rsidR="008079F2" w:rsidRPr="000B4AB2">
        <w:rPr>
          <w:color w:val="000000" w:themeColor="text1"/>
          <w:szCs w:val="18"/>
          <w:lang w:val="nl-NL"/>
        </w:rPr>
        <w:t xml:space="preserve">herhaalde de hiervoor geciteerde omschrijving </w:t>
      </w:r>
      <w:r w:rsidR="002E5F83" w:rsidRPr="000B4AB2">
        <w:rPr>
          <w:color w:val="000000" w:themeColor="text1"/>
          <w:szCs w:val="18"/>
          <w:lang w:val="nl-NL"/>
        </w:rPr>
        <w:t>van de interactievereiste</w:t>
      </w:r>
      <w:r w:rsidR="00651BDC">
        <w:rPr>
          <w:rStyle w:val="FootnoteReference"/>
          <w:color w:val="000000" w:themeColor="text1"/>
          <w:szCs w:val="18"/>
          <w:lang w:val="nl-NL"/>
        </w:rPr>
        <w:footnoteReference w:id="72"/>
      </w:r>
      <w:r w:rsidR="002E5F83" w:rsidRPr="000B4AB2">
        <w:rPr>
          <w:color w:val="000000" w:themeColor="text1"/>
          <w:szCs w:val="18"/>
          <w:lang w:val="nl-NL"/>
        </w:rPr>
        <w:t xml:space="preserve"> </w:t>
      </w:r>
      <w:r w:rsidR="008079F2" w:rsidRPr="000B4AB2">
        <w:rPr>
          <w:color w:val="000000" w:themeColor="text1"/>
          <w:szCs w:val="18"/>
          <w:lang w:val="nl-NL"/>
        </w:rPr>
        <w:t>nogmaals in een arrest in 2015</w:t>
      </w:r>
      <w:r w:rsidR="00C97D56" w:rsidRPr="000B4AB2">
        <w:rPr>
          <w:color w:val="000000" w:themeColor="text1"/>
          <w:szCs w:val="18"/>
          <w:lang w:val="nl-NL"/>
        </w:rPr>
        <w:t>.</w:t>
      </w:r>
      <w:r w:rsidR="00F60AE9" w:rsidRPr="000B4AB2">
        <w:rPr>
          <w:rStyle w:val="FootnoteReference"/>
          <w:color w:val="000000" w:themeColor="text1"/>
          <w:szCs w:val="18"/>
          <w:lang w:val="nl-NL"/>
        </w:rPr>
        <w:footnoteReference w:id="73"/>
      </w:r>
      <w:r w:rsidR="008079F2" w:rsidRPr="000B4AB2">
        <w:rPr>
          <w:color w:val="000000" w:themeColor="text1"/>
          <w:szCs w:val="18"/>
          <w:lang w:val="nl-NL"/>
        </w:rPr>
        <w:t xml:space="preserve"> </w:t>
      </w:r>
      <w:r w:rsidR="00C97D56" w:rsidRPr="000B4AB2">
        <w:rPr>
          <w:color w:val="000000" w:themeColor="text1"/>
          <w:szCs w:val="18"/>
          <w:lang w:val="nl-NL"/>
        </w:rPr>
        <w:t>Hiermee werd</w:t>
      </w:r>
      <w:r w:rsidR="008079F2" w:rsidRPr="000B4AB2">
        <w:rPr>
          <w:color w:val="000000" w:themeColor="text1"/>
          <w:szCs w:val="18"/>
          <w:lang w:val="nl-NL"/>
        </w:rPr>
        <w:t xml:space="preserve"> </w:t>
      </w:r>
      <w:r w:rsidR="00EC513E" w:rsidRPr="000B4AB2">
        <w:rPr>
          <w:color w:val="000000" w:themeColor="text1"/>
          <w:szCs w:val="18"/>
          <w:lang w:val="nl-NL"/>
        </w:rPr>
        <w:t xml:space="preserve">de deur </w:t>
      </w:r>
      <w:r w:rsidR="00BA6C07" w:rsidRPr="000B4AB2">
        <w:rPr>
          <w:color w:val="000000" w:themeColor="text1"/>
          <w:szCs w:val="18"/>
          <w:lang w:val="nl-NL"/>
        </w:rPr>
        <w:t xml:space="preserve">definitief </w:t>
      </w:r>
      <w:r w:rsidR="00E23904" w:rsidRPr="000B4AB2">
        <w:rPr>
          <w:color w:val="000000" w:themeColor="text1"/>
          <w:szCs w:val="18"/>
          <w:lang w:val="nl-NL"/>
        </w:rPr>
        <w:t>gesloten</w:t>
      </w:r>
      <w:r w:rsidR="008079F2" w:rsidRPr="000B4AB2">
        <w:rPr>
          <w:color w:val="000000" w:themeColor="text1"/>
          <w:szCs w:val="18"/>
          <w:lang w:val="nl-NL"/>
        </w:rPr>
        <w:t xml:space="preserve"> </w:t>
      </w:r>
      <w:r w:rsidR="00EC513E" w:rsidRPr="000B4AB2">
        <w:rPr>
          <w:color w:val="000000" w:themeColor="text1"/>
          <w:szCs w:val="18"/>
          <w:lang w:val="nl-NL"/>
        </w:rPr>
        <w:t>om voyeurisme als aanranding van de eerbaarheid te kunnen kwalificeren</w:t>
      </w:r>
      <w:r w:rsidR="004E174D" w:rsidRPr="000B4AB2">
        <w:rPr>
          <w:color w:val="000000" w:themeColor="text1"/>
          <w:szCs w:val="18"/>
          <w:lang w:val="nl-NL"/>
        </w:rPr>
        <w:t>.</w:t>
      </w:r>
      <w:r w:rsidR="004E174D" w:rsidRPr="000B4AB2">
        <w:rPr>
          <w:rStyle w:val="FootnoteReference"/>
          <w:color w:val="000000" w:themeColor="text1"/>
          <w:szCs w:val="18"/>
          <w:lang w:val="nl-NL"/>
        </w:rPr>
        <w:footnoteReference w:id="74"/>
      </w:r>
      <w:r w:rsidR="009D3F83" w:rsidRPr="000B4AB2">
        <w:rPr>
          <w:color w:val="000000" w:themeColor="text1"/>
          <w:szCs w:val="18"/>
          <w:lang w:val="nl-NL"/>
        </w:rPr>
        <w:t xml:space="preserve"> </w:t>
      </w:r>
      <w:r w:rsidR="004E174D" w:rsidRPr="000B4AB2">
        <w:rPr>
          <w:color w:val="000000" w:themeColor="text1"/>
          <w:szCs w:val="18"/>
          <w:lang w:val="nl-NL"/>
        </w:rPr>
        <w:t>In</w:t>
      </w:r>
      <w:r w:rsidR="009D3F83" w:rsidRPr="000B4AB2">
        <w:rPr>
          <w:color w:val="000000" w:themeColor="text1"/>
          <w:szCs w:val="18"/>
          <w:lang w:val="nl-NL"/>
        </w:rPr>
        <w:t xml:space="preserve"> dergelijke situaties </w:t>
      </w:r>
      <w:r w:rsidR="004E174D" w:rsidRPr="000B4AB2">
        <w:rPr>
          <w:color w:val="000000" w:themeColor="text1"/>
          <w:szCs w:val="18"/>
          <w:lang w:val="nl-NL"/>
        </w:rPr>
        <w:lastRenderedPageBreak/>
        <w:t xml:space="preserve">is </w:t>
      </w:r>
      <w:r w:rsidR="009D3F83" w:rsidRPr="000B4AB2">
        <w:rPr>
          <w:color w:val="000000" w:themeColor="text1"/>
          <w:szCs w:val="18"/>
          <w:lang w:val="nl-NL"/>
        </w:rPr>
        <w:t>immers geen sprake van daadwerkelijke seksuele interactie, noch van een gevoel van schaamte op het moment van de feiten</w:t>
      </w:r>
      <w:r w:rsidR="004E174D" w:rsidRPr="000B4AB2">
        <w:rPr>
          <w:color w:val="000000" w:themeColor="text1"/>
          <w:szCs w:val="18"/>
          <w:lang w:val="nl-NL"/>
        </w:rPr>
        <w:t>.</w:t>
      </w:r>
      <w:r w:rsidR="004B6623" w:rsidRPr="000B4AB2">
        <w:rPr>
          <w:rStyle w:val="FootnoteReference"/>
          <w:color w:val="000000" w:themeColor="text1"/>
          <w:szCs w:val="18"/>
          <w:lang w:val="nl-NL"/>
        </w:rPr>
        <w:footnoteReference w:id="75"/>
      </w:r>
      <w:r w:rsidR="004E174D" w:rsidRPr="000B4AB2">
        <w:rPr>
          <w:color w:val="000000" w:themeColor="text1"/>
          <w:szCs w:val="18"/>
          <w:lang w:val="nl-NL"/>
        </w:rPr>
        <w:t xml:space="preserve"> </w:t>
      </w:r>
      <w:r w:rsidR="007D4315" w:rsidRPr="000B4AB2">
        <w:rPr>
          <w:color w:val="000000" w:themeColor="text1"/>
          <w:szCs w:val="18"/>
          <w:lang w:val="nl-NL"/>
        </w:rPr>
        <w:t>De</w:t>
      </w:r>
      <w:r w:rsidR="00BA6C07" w:rsidRPr="000B4AB2">
        <w:rPr>
          <w:color w:val="000000" w:themeColor="text1"/>
          <w:szCs w:val="18"/>
          <w:lang w:val="nl-NL"/>
        </w:rPr>
        <w:t xml:space="preserve"> wetgever voerde in 2016</w:t>
      </w:r>
      <w:r w:rsidR="00066B88" w:rsidRPr="000B4AB2">
        <w:rPr>
          <w:color w:val="000000" w:themeColor="text1"/>
          <w:szCs w:val="18"/>
          <w:lang w:val="nl-NL"/>
        </w:rPr>
        <w:t xml:space="preserve"> </w:t>
      </w:r>
      <w:r w:rsidR="00BA6C07" w:rsidRPr="000B4AB2">
        <w:rPr>
          <w:color w:val="000000" w:themeColor="text1"/>
          <w:szCs w:val="18"/>
          <w:lang w:val="nl-NL"/>
        </w:rPr>
        <w:t>dan ook een autonome strafbaarstelling in voor het voyeurismemisdrijf.</w:t>
      </w:r>
      <w:r w:rsidR="00066B88" w:rsidRPr="000B4AB2">
        <w:rPr>
          <w:rStyle w:val="FootnoteReference"/>
          <w:color w:val="000000" w:themeColor="text1"/>
          <w:szCs w:val="18"/>
          <w:lang w:val="nl-NL"/>
        </w:rPr>
        <w:footnoteReference w:id="76"/>
      </w:r>
    </w:p>
    <w:p w14:paraId="2A20E743" w14:textId="51D6F494" w:rsidR="00530F46" w:rsidRPr="000B4AB2" w:rsidRDefault="00EC513E" w:rsidP="00260F11">
      <w:pPr>
        <w:pStyle w:val="ListParagraph"/>
        <w:spacing w:line="360" w:lineRule="auto"/>
        <w:ind w:left="0"/>
        <w:rPr>
          <w:color w:val="000000" w:themeColor="text1"/>
          <w:szCs w:val="18"/>
          <w:highlight w:val="yellow"/>
          <w:lang w:val="nl-NL"/>
        </w:rPr>
      </w:pPr>
      <w:r w:rsidRPr="000B4AB2">
        <w:rPr>
          <w:color w:val="000000" w:themeColor="text1"/>
          <w:szCs w:val="18"/>
          <w:lang w:val="nl-NL"/>
        </w:rPr>
        <w:t xml:space="preserve"> </w:t>
      </w:r>
    </w:p>
    <w:p w14:paraId="38D177AB" w14:textId="4ABE7074" w:rsidR="00731050" w:rsidRPr="000B4AB2" w:rsidRDefault="009D271A" w:rsidP="00260F11">
      <w:pPr>
        <w:pStyle w:val="Heading5"/>
        <w:spacing w:line="360" w:lineRule="auto"/>
        <w:rPr>
          <w:szCs w:val="18"/>
          <w:lang w:val="nl-NL"/>
        </w:rPr>
      </w:pPr>
      <w:bookmarkStart w:id="10" w:name="_Toc135041041"/>
      <w:r w:rsidRPr="000B4AB2">
        <w:rPr>
          <w:szCs w:val="18"/>
          <w:lang w:val="nl-NL"/>
        </w:rPr>
        <w:t>Rol</w:t>
      </w:r>
      <w:r w:rsidR="00C168A9">
        <w:rPr>
          <w:szCs w:val="18"/>
          <w:lang w:val="nl-NL"/>
        </w:rPr>
        <w:t xml:space="preserve"> van het</w:t>
      </w:r>
      <w:r w:rsidRPr="000B4AB2">
        <w:rPr>
          <w:szCs w:val="18"/>
          <w:lang w:val="nl-NL"/>
        </w:rPr>
        <w:t xml:space="preserve"> slachtoffer</w:t>
      </w:r>
      <w:bookmarkEnd w:id="10"/>
    </w:p>
    <w:p w14:paraId="24DB1D0C" w14:textId="5450FC2B" w:rsidR="00DB33B3" w:rsidRPr="000B4AB2" w:rsidRDefault="00DB33B3" w:rsidP="00260F11">
      <w:pPr>
        <w:pStyle w:val="ListParagraph"/>
        <w:spacing w:line="360" w:lineRule="auto"/>
        <w:ind w:left="0"/>
        <w:rPr>
          <w:color w:val="000000" w:themeColor="text1"/>
          <w:szCs w:val="18"/>
          <w:lang w:val="nl-NL"/>
        </w:rPr>
      </w:pPr>
    </w:p>
    <w:p w14:paraId="5CDC0DA1" w14:textId="55D2EF65" w:rsidR="009C4B43" w:rsidRDefault="009D271A" w:rsidP="00260F11">
      <w:pPr>
        <w:pStyle w:val="ListParagraph"/>
        <w:numPr>
          <w:ilvl w:val="0"/>
          <w:numId w:val="1"/>
        </w:numPr>
        <w:spacing w:line="360" w:lineRule="auto"/>
        <w:ind w:left="0" w:hanging="709"/>
        <w:rPr>
          <w:color w:val="000000" w:themeColor="text1"/>
          <w:szCs w:val="18"/>
          <w:lang w:val="nl-NL"/>
        </w:rPr>
      </w:pPr>
      <w:r w:rsidRPr="0088029A">
        <w:rPr>
          <w:b/>
          <w:szCs w:val="18"/>
          <w:lang w:val="nl-NL"/>
        </w:rPr>
        <w:t>Op of met behulp van een welbepaald persoon</w:t>
      </w:r>
      <w:r w:rsidRPr="0088029A">
        <w:rPr>
          <w:color w:val="000000" w:themeColor="text1"/>
          <w:szCs w:val="18"/>
          <w:lang w:val="nl-NL"/>
        </w:rPr>
        <w:t xml:space="preserve">. </w:t>
      </w:r>
      <w:r w:rsidR="00046F8A" w:rsidRPr="0088029A">
        <w:rPr>
          <w:color w:val="000000" w:themeColor="text1"/>
          <w:szCs w:val="18"/>
          <w:lang w:val="nl-NL"/>
        </w:rPr>
        <w:t xml:space="preserve">De hierboven beschreven ernstige handeling die de seksuele </w:t>
      </w:r>
      <w:r w:rsidR="00B6005B" w:rsidRPr="0088029A">
        <w:rPr>
          <w:color w:val="000000" w:themeColor="text1"/>
          <w:szCs w:val="18"/>
          <w:lang w:val="nl-NL"/>
        </w:rPr>
        <w:t>integriteit</w:t>
      </w:r>
      <w:r w:rsidR="00E02CEC" w:rsidRPr="0088029A">
        <w:rPr>
          <w:color w:val="000000" w:themeColor="text1"/>
          <w:szCs w:val="18"/>
          <w:lang w:val="nl-NL"/>
        </w:rPr>
        <w:t xml:space="preserve"> aantast</w:t>
      </w:r>
      <w:r w:rsidR="00046F8A" w:rsidRPr="0088029A">
        <w:rPr>
          <w:color w:val="000000" w:themeColor="text1"/>
          <w:szCs w:val="18"/>
          <w:lang w:val="nl-NL"/>
        </w:rPr>
        <w:t>, moe</w:t>
      </w:r>
      <w:r w:rsidR="00101811" w:rsidRPr="0088029A">
        <w:rPr>
          <w:color w:val="000000" w:themeColor="text1"/>
          <w:szCs w:val="18"/>
          <w:lang w:val="nl-NL"/>
        </w:rPr>
        <w:t>s</w:t>
      </w:r>
      <w:r w:rsidR="00046F8A" w:rsidRPr="0088029A">
        <w:rPr>
          <w:color w:val="000000" w:themeColor="text1"/>
          <w:szCs w:val="18"/>
          <w:lang w:val="nl-NL"/>
        </w:rPr>
        <w:t>t gesteld worden op of met behulp van</w:t>
      </w:r>
      <w:r w:rsidR="00385E5B" w:rsidRPr="000B4AB2">
        <w:rPr>
          <w:rStyle w:val="FootnoteReference"/>
          <w:color w:val="000000" w:themeColor="text1"/>
          <w:szCs w:val="18"/>
          <w:lang w:val="nl-NL"/>
        </w:rPr>
        <w:footnoteReference w:id="77"/>
      </w:r>
      <w:r w:rsidR="00046F8A" w:rsidRPr="0088029A">
        <w:rPr>
          <w:color w:val="000000" w:themeColor="text1"/>
          <w:szCs w:val="18"/>
          <w:lang w:val="nl-NL"/>
        </w:rPr>
        <w:t xml:space="preserve"> een </w:t>
      </w:r>
      <w:r w:rsidR="00E5477B" w:rsidRPr="0088029A">
        <w:rPr>
          <w:color w:val="000000" w:themeColor="text1"/>
          <w:szCs w:val="18"/>
          <w:lang w:val="nl-NL"/>
        </w:rPr>
        <w:t xml:space="preserve">levend </w:t>
      </w:r>
      <w:r w:rsidR="00046F8A" w:rsidRPr="0088029A">
        <w:rPr>
          <w:color w:val="000000" w:themeColor="text1"/>
          <w:szCs w:val="18"/>
          <w:lang w:val="nl-NL"/>
        </w:rPr>
        <w:t xml:space="preserve">persoon. </w:t>
      </w:r>
      <w:r w:rsidR="0051483D" w:rsidRPr="0088029A">
        <w:rPr>
          <w:color w:val="000000" w:themeColor="text1"/>
          <w:szCs w:val="18"/>
          <w:lang w:val="nl-NL"/>
        </w:rPr>
        <w:t xml:space="preserve">Wanneer deze gedraging </w:t>
      </w:r>
      <w:r w:rsidR="00101811" w:rsidRPr="0088029A">
        <w:rPr>
          <w:color w:val="000000" w:themeColor="text1"/>
          <w:szCs w:val="18"/>
          <w:lang w:val="nl-NL"/>
        </w:rPr>
        <w:t>werd</w:t>
      </w:r>
      <w:r w:rsidR="0051483D" w:rsidRPr="0088029A">
        <w:rPr>
          <w:color w:val="000000" w:themeColor="text1"/>
          <w:szCs w:val="18"/>
          <w:lang w:val="nl-NL"/>
        </w:rPr>
        <w:t xml:space="preserve"> gesteld op een persoon, beteken</w:t>
      </w:r>
      <w:r w:rsidR="00B6005B" w:rsidRPr="0088029A">
        <w:rPr>
          <w:color w:val="000000" w:themeColor="text1"/>
          <w:szCs w:val="18"/>
          <w:lang w:val="nl-NL"/>
        </w:rPr>
        <w:t>de</w:t>
      </w:r>
      <w:r w:rsidR="0051483D" w:rsidRPr="0088029A">
        <w:rPr>
          <w:color w:val="000000" w:themeColor="text1"/>
          <w:szCs w:val="18"/>
          <w:lang w:val="nl-NL"/>
        </w:rPr>
        <w:t xml:space="preserve"> dit dat het slachtoffer de </w:t>
      </w:r>
      <w:r w:rsidR="005C34D3" w:rsidRPr="0088029A">
        <w:rPr>
          <w:color w:val="000000" w:themeColor="text1"/>
          <w:szCs w:val="18"/>
          <w:lang w:val="nl-NL"/>
        </w:rPr>
        <w:t>handeling</w:t>
      </w:r>
      <w:r w:rsidR="0051483D" w:rsidRPr="0088029A">
        <w:rPr>
          <w:color w:val="000000" w:themeColor="text1"/>
          <w:szCs w:val="18"/>
          <w:lang w:val="nl-NL"/>
        </w:rPr>
        <w:t xml:space="preserve"> </w:t>
      </w:r>
      <w:r w:rsidR="00B6005B" w:rsidRPr="0088029A">
        <w:rPr>
          <w:color w:val="000000" w:themeColor="text1"/>
          <w:szCs w:val="18"/>
          <w:lang w:val="nl-NL"/>
        </w:rPr>
        <w:t>onderging</w:t>
      </w:r>
      <w:r w:rsidR="0051483D" w:rsidRPr="0088029A">
        <w:rPr>
          <w:color w:val="000000" w:themeColor="text1"/>
          <w:szCs w:val="18"/>
          <w:lang w:val="nl-NL"/>
        </w:rPr>
        <w:t xml:space="preserve">. </w:t>
      </w:r>
      <w:r w:rsidR="00101811" w:rsidRPr="0088029A">
        <w:rPr>
          <w:color w:val="000000" w:themeColor="text1"/>
          <w:szCs w:val="18"/>
          <w:lang w:val="nl-NL"/>
        </w:rPr>
        <w:t>Daarnaast viseerde deze strafbaarstelling</w:t>
      </w:r>
      <w:r w:rsidR="0051483D" w:rsidRPr="0088029A">
        <w:rPr>
          <w:color w:val="000000" w:themeColor="text1"/>
          <w:szCs w:val="18"/>
          <w:lang w:val="nl-NL"/>
        </w:rPr>
        <w:t xml:space="preserve"> ook situaties waarin het slachtoffer door de dader verplicht </w:t>
      </w:r>
      <w:r w:rsidR="00101811" w:rsidRPr="0088029A">
        <w:rPr>
          <w:color w:val="000000" w:themeColor="text1"/>
          <w:szCs w:val="18"/>
          <w:lang w:val="nl-NL"/>
        </w:rPr>
        <w:t>werd</w:t>
      </w:r>
      <w:r w:rsidR="0051483D" w:rsidRPr="0088029A">
        <w:rPr>
          <w:color w:val="000000" w:themeColor="text1"/>
          <w:szCs w:val="18"/>
          <w:lang w:val="nl-NL"/>
        </w:rPr>
        <w:t xml:space="preserve"> bepaalde handelingen te stellen. Die handelingen </w:t>
      </w:r>
      <w:r w:rsidR="00101811" w:rsidRPr="0088029A">
        <w:rPr>
          <w:color w:val="000000" w:themeColor="text1"/>
          <w:szCs w:val="18"/>
          <w:lang w:val="nl-NL"/>
        </w:rPr>
        <w:t>konden</w:t>
      </w:r>
      <w:r w:rsidR="0051483D" w:rsidRPr="0088029A">
        <w:rPr>
          <w:color w:val="000000" w:themeColor="text1"/>
          <w:szCs w:val="18"/>
          <w:lang w:val="nl-NL"/>
        </w:rPr>
        <w:t xml:space="preserve"> bijvoorbeeld op de dader</w:t>
      </w:r>
      <w:r w:rsidR="00101811" w:rsidRPr="0088029A">
        <w:rPr>
          <w:color w:val="000000" w:themeColor="text1"/>
          <w:szCs w:val="18"/>
          <w:lang w:val="nl-NL"/>
        </w:rPr>
        <w:t xml:space="preserve"> of op een derde</w:t>
      </w:r>
      <w:r w:rsidR="0051483D" w:rsidRPr="0088029A">
        <w:rPr>
          <w:color w:val="000000" w:themeColor="text1"/>
          <w:szCs w:val="18"/>
          <w:lang w:val="nl-NL"/>
        </w:rPr>
        <w:t xml:space="preserve"> worden gesteld</w:t>
      </w:r>
      <w:r w:rsidR="00101811" w:rsidRPr="0088029A">
        <w:rPr>
          <w:color w:val="000000" w:themeColor="text1"/>
          <w:szCs w:val="18"/>
          <w:lang w:val="nl-NL"/>
        </w:rPr>
        <w:t xml:space="preserve">, </w:t>
      </w:r>
      <w:r w:rsidR="0051483D" w:rsidRPr="0088029A">
        <w:rPr>
          <w:color w:val="000000" w:themeColor="text1"/>
          <w:szCs w:val="18"/>
          <w:lang w:val="nl-NL"/>
        </w:rPr>
        <w:t>maar ook op het slachtoffer zelf.</w:t>
      </w:r>
      <w:r w:rsidR="0019380F" w:rsidRPr="000B4AB2">
        <w:rPr>
          <w:rStyle w:val="FootnoteReference"/>
          <w:color w:val="000000" w:themeColor="text1"/>
          <w:szCs w:val="18"/>
          <w:lang w:val="nl-NL"/>
        </w:rPr>
        <w:footnoteReference w:id="78"/>
      </w:r>
      <w:r w:rsidR="005C34D3" w:rsidRPr="0088029A">
        <w:rPr>
          <w:color w:val="000000" w:themeColor="text1"/>
          <w:szCs w:val="18"/>
          <w:lang w:val="nl-NL"/>
        </w:rPr>
        <w:t xml:space="preserve"> </w:t>
      </w:r>
    </w:p>
    <w:p w14:paraId="3CCE8922" w14:textId="77777777" w:rsidR="0088029A" w:rsidRPr="0088029A" w:rsidRDefault="0088029A" w:rsidP="00260F11">
      <w:pPr>
        <w:pStyle w:val="ListParagraph"/>
        <w:spacing w:line="360" w:lineRule="auto"/>
        <w:ind w:left="0"/>
        <w:rPr>
          <w:color w:val="000000" w:themeColor="text1"/>
          <w:szCs w:val="18"/>
          <w:lang w:val="nl-NL"/>
        </w:rPr>
      </w:pPr>
    </w:p>
    <w:p w14:paraId="18E9700E" w14:textId="6BA9227B" w:rsidR="005C34D3" w:rsidRPr="00132612" w:rsidRDefault="009C4B43"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rPr>
        <w:t xml:space="preserve">Zowel in artikel 372 als 373 oud </w:t>
      </w:r>
      <w:r w:rsidR="0081584B">
        <w:rPr>
          <w:color w:val="000000" w:themeColor="text1"/>
        </w:rPr>
        <w:t xml:space="preserve">van het </w:t>
      </w:r>
      <w:r w:rsidRPr="000B4AB2">
        <w:rPr>
          <w:color w:val="000000" w:themeColor="text1"/>
        </w:rPr>
        <w:t xml:space="preserve">Strafwetboek stond dat het slachtoffer “van het mannelijke of vrouwelijke geslacht” kon zijn. Hoewel deze zinsnede wellicht tot doel had de gelijkheid tussen geslachten te benadrukken, dreigde deze echter het omgekeerde effect te hebben. </w:t>
      </w:r>
      <w:r w:rsidR="00651BDC">
        <w:rPr>
          <w:color w:val="000000" w:themeColor="text1"/>
        </w:rPr>
        <w:t xml:space="preserve">Hierdoor </w:t>
      </w:r>
      <w:r w:rsidR="001911E1" w:rsidRPr="006140B6">
        <w:rPr>
          <w:color w:val="000000" w:themeColor="text1"/>
        </w:rPr>
        <w:t>bestond</w:t>
      </w:r>
      <w:r w:rsidRPr="006140B6">
        <w:rPr>
          <w:color w:val="000000" w:themeColor="text1"/>
        </w:rPr>
        <w:t xml:space="preserve"> </w:t>
      </w:r>
      <w:r w:rsidR="00651BDC">
        <w:rPr>
          <w:color w:val="000000" w:themeColor="text1"/>
        </w:rPr>
        <w:t>immers -</w:t>
      </w:r>
      <w:r w:rsidRPr="006140B6">
        <w:rPr>
          <w:color w:val="000000" w:themeColor="text1"/>
        </w:rPr>
        <w:t xml:space="preserve"> </w:t>
      </w:r>
      <w:r w:rsidR="000A2089" w:rsidRPr="006140B6">
        <w:rPr>
          <w:color w:val="000000" w:themeColor="text1"/>
        </w:rPr>
        <w:t xml:space="preserve">theoretisch gezien </w:t>
      </w:r>
      <w:r w:rsidR="00651BDC">
        <w:rPr>
          <w:color w:val="000000" w:themeColor="text1"/>
        </w:rPr>
        <w:t xml:space="preserve">- </w:t>
      </w:r>
      <w:r w:rsidRPr="006140B6">
        <w:rPr>
          <w:color w:val="000000" w:themeColor="text1"/>
        </w:rPr>
        <w:t>een lacune voor wat betreft het geslacht X.</w:t>
      </w:r>
      <w:r w:rsidR="000A2089" w:rsidRPr="006140B6">
        <w:rPr>
          <w:color w:val="000000" w:themeColor="text1"/>
        </w:rPr>
        <w:t xml:space="preserve"> </w:t>
      </w:r>
      <w:r w:rsidR="00651BDC">
        <w:rPr>
          <w:color w:val="000000" w:themeColor="text1"/>
        </w:rPr>
        <w:t xml:space="preserve">In </w:t>
      </w:r>
      <w:r w:rsidR="000A2089" w:rsidRPr="006140B6">
        <w:rPr>
          <w:color w:val="000000" w:themeColor="text1"/>
        </w:rPr>
        <w:t xml:space="preserve">de rechtspraktijk stelden zich </w:t>
      </w:r>
      <w:r w:rsidR="00651BDC">
        <w:rPr>
          <w:color w:val="000000" w:themeColor="text1"/>
        </w:rPr>
        <w:t>hieromtrent evenwel geen discussies</w:t>
      </w:r>
      <w:r w:rsidR="000A2089" w:rsidRPr="006140B6">
        <w:rPr>
          <w:color w:val="000000" w:themeColor="text1"/>
        </w:rPr>
        <w:t>.</w:t>
      </w:r>
      <w:r w:rsidRPr="006140B6">
        <w:rPr>
          <w:rStyle w:val="FootnoteReference"/>
          <w:color w:val="000000" w:themeColor="text1"/>
        </w:rPr>
        <w:footnoteReference w:id="79"/>
      </w:r>
      <w:r w:rsidR="000A2089" w:rsidRPr="006140B6">
        <w:rPr>
          <w:color w:val="000000" w:themeColor="text1"/>
        </w:rPr>
        <w:t xml:space="preserve"> </w:t>
      </w:r>
    </w:p>
    <w:p w14:paraId="5738DDDB" w14:textId="4C1E9811" w:rsidR="009E1D50" w:rsidRDefault="009E1D50" w:rsidP="00260F11">
      <w:pPr>
        <w:spacing w:line="360" w:lineRule="auto"/>
        <w:jc w:val="left"/>
        <w:rPr>
          <w:color w:val="000000" w:themeColor="text1"/>
          <w:szCs w:val="18"/>
          <w:lang w:val="nl-NL"/>
        </w:rPr>
      </w:pPr>
      <w:r>
        <w:rPr>
          <w:color w:val="000000" w:themeColor="text1"/>
          <w:szCs w:val="18"/>
          <w:lang w:val="nl-NL"/>
        </w:rPr>
        <w:br w:type="page"/>
      </w:r>
    </w:p>
    <w:p w14:paraId="130253A3" w14:textId="7F53D1D3" w:rsidR="003F318D" w:rsidRPr="000B4AB2" w:rsidRDefault="00C168A9" w:rsidP="00260F11">
      <w:pPr>
        <w:pStyle w:val="Heading5"/>
        <w:spacing w:line="360" w:lineRule="auto"/>
        <w:rPr>
          <w:szCs w:val="18"/>
          <w:lang w:val="nl-NL"/>
        </w:rPr>
      </w:pPr>
      <w:bookmarkStart w:id="11" w:name="_Toc135041042"/>
      <w:r>
        <w:rPr>
          <w:szCs w:val="18"/>
          <w:lang w:val="nl-NL"/>
        </w:rPr>
        <w:lastRenderedPageBreak/>
        <w:t>Afwezigheid</w:t>
      </w:r>
      <w:r w:rsidR="00826178" w:rsidRPr="000B4AB2">
        <w:rPr>
          <w:szCs w:val="18"/>
          <w:lang w:val="nl-NL"/>
        </w:rPr>
        <w:t xml:space="preserve"> geldige toestemming slachtoffe</w:t>
      </w:r>
      <w:r>
        <w:rPr>
          <w:szCs w:val="18"/>
          <w:lang w:val="nl-NL"/>
        </w:rPr>
        <w:t>r</w:t>
      </w:r>
      <w:bookmarkEnd w:id="11"/>
    </w:p>
    <w:p w14:paraId="6454BF56" w14:textId="0412BBFB" w:rsidR="00731050" w:rsidRPr="000B4AB2" w:rsidRDefault="00731050" w:rsidP="00260F11">
      <w:pPr>
        <w:pStyle w:val="ListParagraph"/>
        <w:spacing w:line="360" w:lineRule="auto"/>
        <w:ind w:left="0"/>
        <w:rPr>
          <w:color w:val="000000" w:themeColor="text1"/>
          <w:szCs w:val="18"/>
          <w:lang w:val="nl-NL"/>
        </w:rPr>
      </w:pPr>
    </w:p>
    <w:p w14:paraId="1CFA85C8" w14:textId="4FC794B8" w:rsidR="00361E5C" w:rsidRPr="000B4AB2" w:rsidRDefault="00B6005B"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Het gebrek van toestemming in hoofde van het slachtoffer kon</w:t>
      </w:r>
      <w:r w:rsidR="005C2658" w:rsidRPr="000B4AB2">
        <w:rPr>
          <w:color w:val="000000" w:themeColor="text1"/>
          <w:szCs w:val="18"/>
          <w:lang w:val="nl-NL"/>
        </w:rPr>
        <w:t xml:space="preserve"> blijken uit het gegeven dat het slachtoffer een welbepaalde minderjarige </w:t>
      </w:r>
      <w:r w:rsidR="00D14946" w:rsidRPr="000B4AB2">
        <w:rPr>
          <w:color w:val="000000" w:themeColor="text1"/>
          <w:szCs w:val="18"/>
          <w:lang w:val="nl-NL"/>
        </w:rPr>
        <w:t>was</w:t>
      </w:r>
      <w:r w:rsidR="00651BDC">
        <w:rPr>
          <w:color w:val="000000" w:themeColor="text1"/>
          <w:szCs w:val="18"/>
          <w:lang w:val="nl-NL"/>
        </w:rPr>
        <w:t>, maar ook</w:t>
      </w:r>
      <w:r w:rsidR="00670A9F" w:rsidRPr="000B4AB2">
        <w:rPr>
          <w:color w:val="000000" w:themeColor="text1"/>
          <w:szCs w:val="18"/>
          <w:lang w:val="nl-NL"/>
        </w:rPr>
        <w:t xml:space="preserve"> wanneer het slachtoffer zich </w:t>
      </w:r>
      <w:r w:rsidR="00D14946" w:rsidRPr="000B4AB2">
        <w:rPr>
          <w:color w:val="000000" w:themeColor="text1"/>
          <w:szCs w:val="18"/>
          <w:lang w:val="nl-NL"/>
        </w:rPr>
        <w:t>kon</w:t>
      </w:r>
      <w:r w:rsidR="00670A9F" w:rsidRPr="000B4AB2">
        <w:rPr>
          <w:color w:val="000000" w:themeColor="text1"/>
          <w:szCs w:val="18"/>
          <w:lang w:val="nl-NL"/>
        </w:rPr>
        <w:t xml:space="preserve"> beroepen op</w:t>
      </w:r>
      <w:r w:rsidR="00670A9F" w:rsidRPr="000B4AB2">
        <w:rPr>
          <w:szCs w:val="18"/>
          <w:lang w:val="nl-NL"/>
        </w:rPr>
        <w:t xml:space="preserve"> </w:t>
      </w:r>
      <w:r w:rsidR="00457F74" w:rsidRPr="000B4AB2">
        <w:rPr>
          <w:szCs w:val="18"/>
          <w:lang w:val="nl-NL"/>
        </w:rPr>
        <w:t>een</w:t>
      </w:r>
      <w:r w:rsidR="00670A9F" w:rsidRPr="000B4AB2">
        <w:rPr>
          <w:szCs w:val="18"/>
          <w:lang w:val="nl-NL"/>
        </w:rPr>
        <w:t xml:space="preserve"> van de toestemmingsuitsluitende gronden uit</w:t>
      </w:r>
      <w:r w:rsidR="006752EF" w:rsidRPr="000B4AB2">
        <w:rPr>
          <w:szCs w:val="18"/>
          <w:lang w:val="nl-NL"/>
        </w:rPr>
        <w:t xml:space="preserve"> oud</w:t>
      </w:r>
      <w:r w:rsidR="00670A9F" w:rsidRPr="000B4AB2">
        <w:rPr>
          <w:szCs w:val="18"/>
          <w:lang w:val="nl-NL"/>
        </w:rPr>
        <w:t xml:space="preserve"> artikel 373 </w:t>
      </w:r>
      <w:r w:rsidR="0081584B">
        <w:rPr>
          <w:szCs w:val="18"/>
          <w:lang w:val="nl-NL"/>
        </w:rPr>
        <w:t xml:space="preserve">van het </w:t>
      </w:r>
      <w:r w:rsidR="00670A9F" w:rsidRPr="000B4AB2">
        <w:rPr>
          <w:szCs w:val="18"/>
          <w:lang w:val="nl-NL"/>
        </w:rPr>
        <w:t xml:space="preserve">Strafwetboek. </w:t>
      </w:r>
      <w:r w:rsidR="00D14946" w:rsidRPr="000B4AB2">
        <w:rPr>
          <w:color w:val="000000" w:themeColor="text1"/>
          <w:szCs w:val="18"/>
          <w:lang w:val="nl-NL"/>
        </w:rPr>
        <w:t>B</w:t>
      </w:r>
      <w:r w:rsidR="00670A9F" w:rsidRPr="000B4AB2">
        <w:rPr>
          <w:color w:val="000000" w:themeColor="text1"/>
          <w:szCs w:val="18"/>
          <w:lang w:val="nl-NL"/>
        </w:rPr>
        <w:t xml:space="preserve">eide gevallen </w:t>
      </w:r>
      <w:r w:rsidR="00D14946" w:rsidRPr="000B4AB2">
        <w:rPr>
          <w:color w:val="000000" w:themeColor="text1"/>
          <w:szCs w:val="18"/>
          <w:lang w:val="nl-NL"/>
        </w:rPr>
        <w:t>zullen hieronder</w:t>
      </w:r>
      <w:r w:rsidR="00670A9F" w:rsidRPr="000B4AB2">
        <w:rPr>
          <w:color w:val="000000" w:themeColor="text1"/>
          <w:szCs w:val="18"/>
          <w:lang w:val="nl-NL"/>
        </w:rPr>
        <w:t xml:space="preserve"> worden </w:t>
      </w:r>
      <w:r w:rsidR="00D14946" w:rsidRPr="000B4AB2">
        <w:rPr>
          <w:color w:val="000000" w:themeColor="text1"/>
          <w:szCs w:val="18"/>
          <w:lang w:val="nl-NL"/>
        </w:rPr>
        <w:t>uiteengezet</w:t>
      </w:r>
      <w:r w:rsidR="00670A9F" w:rsidRPr="000B4AB2">
        <w:rPr>
          <w:color w:val="000000" w:themeColor="text1"/>
          <w:szCs w:val="18"/>
          <w:lang w:val="nl-NL"/>
        </w:rPr>
        <w:t>.</w:t>
      </w:r>
    </w:p>
    <w:p w14:paraId="09692F3E" w14:textId="77777777" w:rsidR="004053DF" w:rsidRPr="000B4AB2" w:rsidRDefault="004053DF" w:rsidP="00260F11">
      <w:pPr>
        <w:pStyle w:val="ListParagraph"/>
        <w:spacing w:line="360" w:lineRule="auto"/>
        <w:ind w:left="0"/>
        <w:rPr>
          <w:szCs w:val="18"/>
          <w:lang w:val="nl-NL"/>
        </w:rPr>
      </w:pPr>
    </w:p>
    <w:p w14:paraId="13C028FE" w14:textId="7F3179AE" w:rsidR="006A383B" w:rsidRPr="000B4AB2" w:rsidRDefault="008C3CFB" w:rsidP="00260F11">
      <w:pPr>
        <w:pStyle w:val="ListParagraph"/>
        <w:numPr>
          <w:ilvl w:val="0"/>
          <w:numId w:val="1"/>
        </w:numPr>
        <w:spacing w:line="360" w:lineRule="auto"/>
        <w:ind w:left="0" w:hanging="709"/>
        <w:rPr>
          <w:szCs w:val="18"/>
          <w:lang w:val="nl-NL"/>
        </w:rPr>
      </w:pPr>
      <w:r w:rsidRPr="000B4AB2">
        <w:rPr>
          <w:b/>
          <w:szCs w:val="18"/>
          <w:lang w:val="nl-NL"/>
        </w:rPr>
        <w:t xml:space="preserve">(1) </w:t>
      </w:r>
      <w:r w:rsidR="007E0B88" w:rsidRPr="000B4AB2">
        <w:rPr>
          <w:b/>
          <w:szCs w:val="18"/>
          <w:lang w:val="nl-NL"/>
        </w:rPr>
        <w:t>Geen geldige toestemming omdat het slachtoffer een welbepaalde minderjarige is</w:t>
      </w:r>
      <w:r w:rsidR="004053DF" w:rsidRPr="000B4AB2">
        <w:rPr>
          <w:szCs w:val="18"/>
          <w:lang w:val="nl-NL"/>
        </w:rPr>
        <w:t xml:space="preserve">. </w:t>
      </w:r>
      <w:r w:rsidR="00AA14EB" w:rsidRPr="000B4AB2">
        <w:rPr>
          <w:szCs w:val="18"/>
          <w:lang w:val="nl-NL"/>
        </w:rPr>
        <w:t>Oud a</w:t>
      </w:r>
      <w:r w:rsidR="00A649E1" w:rsidRPr="000B4AB2">
        <w:rPr>
          <w:szCs w:val="18"/>
          <w:lang w:val="nl-NL"/>
        </w:rPr>
        <w:t xml:space="preserve">rtikel 372 </w:t>
      </w:r>
      <w:r w:rsidR="0081584B">
        <w:rPr>
          <w:szCs w:val="18"/>
          <w:lang w:val="nl-NL"/>
        </w:rPr>
        <w:t xml:space="preserve">van het </w:t>
      </w:r>
      <w:r w:rsidR="00A649E1" w:rsidRPr="000B4AB2">
        <w:rPr>
          <w:szCs w:val="18"/>
          <w:lang w:val="nl-NL"/>
        </w:rPr>
        <w:t>Strafwetboek</w:t>
      </w:r>
      <w:r w:rsidR="00D663EE" w:rsidRPr="000B4AB2">
        <w:rPr>
          <w:szCs w:val="18"/>
          <w:lang w:val="nl-NL"/>
        </w:rPr>
        <w:t xml:space="preserve"> </w:t>
      </w:r>
      <w:r w:rsidR="007E0B88" w:rsidRPr="000B4AB2">
        <w:rPr>
          <w:szCs w:val="18"/>
          <w:lang w:val="nl-NL"/>
        </w:rPr>
        <w:t>stel</w:t>
      </w:r>
      <w:r w:rsidR="007115B9" w:rsidRPr="000B4AB2">
        <w:rPr>
          <w:szCs w:val="18"/>
          <w:lang w:val="nl-NL"/>
        </w:rPr>
        <w:t>de</w:t>
      </w:r>
      <w:r w:rsidR="007E0B88" w:rsidRPr="000B4AB2">
        <w:rPr>
          <w:szCs w:val="18"/>
          <w:lang w:val="nl-NL"/>
        </w:rPr>
        <w:t xml:space="preserve"> de </w:t>
      </w:r>
      <w:r w:rsidR="003C5549" w:rsidRPr="000B4AB2">
        <w:rPr>
          <w:szCs w:val="18"/>
          <w:lang w:val="nl-NL"/>
        </w:rPr>
        <w:t>zogenaamde geweldloze</w:t>
      </w:r>
      <w:r w:rsidR="00651BDC">
        <w:rPr>
          <w:rStyle w:val="FootnoteReference"/>
          <w:szCs w:val="18"/>
          <w:lang w:val="nl-NL"/>
        </w:rPr>
        <w:footnoteReference w:id="80"/>
      </w:r>
      <w:r w:rsidR="003C5549" w:rsidRPr="000B4AB2">
        <w:rPr>
          <w:szCs w:val="18"/>
          <w:lang w:val="nl-NL"/>
        </w:rPr>
        <w:t xml:space="preserve"> </w:t>
      </w:r>
      <w:r w:rsidR="007E0B88" w:rsidRPr="000B4AB2">
        <w:rPr>
          <w:szCs w:val="18"/>
          <w:lang w:val="nl-NL"/>
        </w:rPr>
        <w:t xml:space="preserve">aanranding van de eerbaarheid op een minderjarige </w:t>
      </w:r>
      <w:r w:rsidR="00F376F9" w:rsidRPr="000B4AB2">
        <w:rPr>
          <w:szCs w:val="18"/>
          <w:lang w:val="nl-NL"/>
        </w:rPr>
        <w:t xml:space="preserve">strafbaar. </w:t>
      </w:r>
      <w:r w:rsidR="00F40AA5" w:rsidRPr="000B4AB2">
        <w:rPr>
          <w:szCs w:val="18"/>
          <w:lang w:val="nl-NL"/>
        </w:rPr>
        <w:t xml:space="preserve">Het artikel </w:t>
      </w:r>
      <w:r w:rsidR="00C67B8E" w:rsidRPr="000B4AB2">
        <w:rPr>
          <w:szCs w:val="18"/>
          <w:lang w:val="nl-NL"/>
        </w:rPr>
        <w:t>differentieerde</w:t>
      </w:r>
      <w:r w:rsidR="00721E74" w:rsidRPr="000B4AB2">
        <w:rPr>
          <w:szCs w:val="18"/>
          <w:lang w:val="nl-NL"/>
        </w:rPr>
        <w:t xml:space="preserve"> tussen</w:t>
      </w:r>
      <w:r w:rsidR="00F40AA5" w:rsidRPr="000B4AB2">
        <w:rPr>
          <w:szCs w:val="18"/>
          <w:lang w:val="nl-NL"/>
        </w:rPr>
        <w:t xml:space="preserve"> twee leeftijdscategorieën: </w:t>
      </w:r>
      <w:r w:rsidR="00651BDC">
        <w:rPr>
          <w:szCs w:val="18"/>
          <w:lang w:val="nl-NL"/>
        </w:rPr>
        <w:t xml:space="preserve">de </w:t>
      </w:r>
      <w:r w:rsidR="00F40AA5" w:rsidRPr="000B4AB2">
        <w:rPr>
          <w:szCs w:val="18"/>
          <w:lang w:val="nl-NL"/>
        </w:rPr>
        <w:t>minzestienjarigen</w:t>
      </w:r>
      <w:r w:rsidR="00651BDC">
        <w:rPr>
          <w:szCs w:val="18"/>
          <w:lang w:val="nl-NL"/>
        </w:rPr>
        <w:t xml:space="preserve"> enerzijds en de </w:t>
      </w:r>
      <w:r w:rsidR="00F40AA5" w:rsidRPr="000B4AB2">
        <w:rPr>
          <w:szCs w:val="18"/>
          <w:lang w:val="nl-NL"/>
        </w:rPr>
        <w:t>minderjarigen tussen de zes- en achttien jaar</w:t>
      </w:r>
      <w:r w:rsidR="00651BDC">
        <w:rPr>
          <w:szCs w:val="18"/>
          <w:lang w:val="nl-NL"/>
        </w:rPr>
        <w:t xml:space="preserve"> anderzijds</w:t>
      </w:r>
      <w:r w:rsidR="00F40AA5" w:rsidRPr="000B4AB2">
        <w:rPr>
          <w:szCs w:val="18"/>
          <w:lang w:val="nl-NL"/>
        </w:rPr>
        <w:t>.</w:t>
      </w:r>
    </w:p>
    <w:p w14:paraId="4DF148AD" w14:textId="77777777" w:rsidR="006A383B" w:rsidRPr="000B4AB2" w:rsidRDefault="006A383B" w:rsidP="00260F11">
      <w:pPr>
        <w:pStyle w:val="ListParagraph"/>
        <w:spacing w:line="360" w:lineRule="auto"/>
        <w:rPr>
          <w:szCs w:val="18"/>
          <w:lang w:val="nl-NL"/>
        </w:rPr>
      </w:pPr>
    </w:p>
    <w:p w14:paraId="3D91BB84" w14:textId="2F85355F" w:rsidR="0048783E" w:rsidRPr="00651BDC" w:rsidRDefault="00213EF7" w:rsidP="00260F11">
      <w:pPr>
        <w:pStyle w:val="ListParagraph"/>
        <w:numPr>
          <w:ilvl w:val="0"/>
          <w:numId w:val="1"/>
        </w:numPr>
        <w:spacing w:line="360" w:lineRule="auto"/>
        <w:ind w:left="0" w:hanging="709"/>
        <w:rPr>
          <w:szCs w:val="18"/>
          <w:lang w:val="nl-NL"/>
        </w:rPr>
      </w:pPr>
      <w:r w:rsidRPr="000B4AB2">
        <w:rPr>
          <w:b/>
          <w:szCs w:val="18"/>
          <w:lang w:val="nl-NL"/>
        </w:rPr>
        <w:t>Minzestienjarigen</w:t>
      </w:r>
      <w:r w:rsidRPr="000B4AB2">
        <w:rPr>
          <w:szCs w:val="18"/>
          <w:lang w:val="nl-NL"/>
        </w:rPr>
        <w:t xml:space="preserve">. </w:t>
      </w:r>
      <w:r w:rsidR="004F046F" w:rsidRPr="000B4AB2">
        <w:rPr>
          <w:szCs w:val="18"/>
          <w:lang w:val="nl-NL"/>
        </w:rPr>
        <w:t xml:space="preserve">Het eerste lid van voornoemd artikel </w:t>
      </w:r>
      <w:r w:rsidRPr="000B4AB2">
        <w:rPr>
          <w:szCs w:val="18"/>
          <w:lang w:val="nl-NL"/>
        </w:rPr>
        <w:t>vermoedde op onweerlegbare wijze dat het</w:t>
      </w:r>
      <w:r w:rsidR="004F046F" w:rsidRPr="000B4AB2">
        <w:rPr>
          <w:szCs w:val="18"/>
          <w:lang w:val="nl-NL"/>
        </w:rPr>
        <w:t xml:space="preserve"> </w:t>
      </w:r>
      <w:r w:rsidR="00651BDC">
        <w:rPr>
          <w:szCs w:val="18"/>
          <w:lang w:val="nl-NL"/>
        </w:rPr>
        <w:t>minzestienjarige</w:t>
      </w:r>
      <w:r w:rsidR="00D23696" w:rsidRPr="000B4AB2">
        <w:rPr>
          <w:szCs w:val="18"/>
          <w:lang w:val="nl-NL"/>
        </w:rPr>
        <w:t xml:space="preserve"> s</w:t>
      </w:r>
      <w:r w:rsidR="004F046F" w:rsidRPr="000B4AB2">
        <w:rPr>
          <w:szCs w:val="18"/>
          <w:lang w:val="nl-NL"/>
        </w:rPr>
        <w:t xml:space="preserve">lachtoffer </w:t>
      </w:r>
      <w:r w:rsidRPr="000B4AB2">
        <w:rPr>
          <w:szCs w:val="18"/>
          <w:lang w:val="nl-NL"/>
        </w:rPr>
        <w:t>niet kon instemmen met gedragingen die de seksuele integriteit konden aantasten.</w:t>
      </w:r>
      <w:r w:rsidR="00B300C7" w:rsidRPr="000B4AB2">
        <w:rPr>
          <w:szCs w:val="18"/>
          <w:lang w:val="nl-NL"/>
        </w:rPr>
        <w:t xml:space="preserve"> </w:t>
      </w:r>
      <w:r w:rsidR="00651BDC">
        <w:rPr>
          <w:szCs w:val="18"/>
          <w:lang w:val="nl-NL"/>
        </w:rPr>
        <w:t xml:space="preserve">Deze </w:t>
      </w:r>
      <w:r w:rsidR="00B300C7" w:rsidRPr="000B4AB2">
        <w:rPr>
          <w:szCs w:val="18"/>
          <w:lang w:val="nl-NL"/>
        </w:rPr>
        <w:t xml:space="preserve">leeftijd </w:t>
      </w:r>
      <w:r w:rsidR="008C19FD" w:rsidRPr="000B4AB2">
        <w:rPr>
          <w:szCs w:val="18"/>
          <w:lang w:val="nl-NL"/>
        </w:rPr>
        <w:t xml:space="preserve">van het slachtoffer </w:t>
      </w:r>
      <w:r w:rsidR="00B300C7" w:rsidRPr="000B4AB2">
        <w:rPr>
          <w:szCs w:val="18"/>
          <w:lang w:val="nl-NL"/>
        </w:rPr>
        <w:t xml:space="preserve">vormde </w:t>
      </w:r>
      <w:r w:rsidRPr="000B4AB2">
        <w:rPr>
          <w:szCs w:val="18"/>
          <w:lang w:val="nl-NL"/>
        </w:rPr>
        <w:t xml:space="preserve">bijgevolg </w:t>
      </w:r>
      <w:r w:rsidR="00B300C7" w:rsidRPr="000B4AB2">
        <w:rPr>
          <w:szCs w:val="18"/>
          <w:lang w:val="nl-NL"/>
        </w:rPr>
        <w:t>een constitutief bestanddeel van dit misdrijf</w:t>
      </w:r>
      <w:r w:rsidR="007E7636" w:rsidRPr="000B4AB2">
        <w:rPr>
          <w:szCs w:val="18"/>
          <w:lang w:val="nl-NL"/>
        </w:rPr>
        <w:t xml:space="preserve">. </w:t>
      </w:r>
      <w:r w:rsidR="0006778B" w:rsidRPr="000B4AB2">
        <w:rPr>
          <w:szCs w:val="18"/>
          <w:lang w:val="nl-NL"/>
        </w:rPr>
        <w:t xml:space="preserve">Het </w:t>
      </w:r>
      <w:r w:rsidR="008C19FD" w:rsidRPr="000B4AB2">
        <w:rPr>
          <w:szCs w:val="18"/>
          <w:lang w:val="nl-NL"/>
        </w:rPr>
        <w:t>was</w:t>
      </w:r>
      <w:r w:rsidR="0006778B" w:rsidRPr="000B4AB2">
        <w:rPr>
          <w:szCs w:val="18"/>
          <w:lang w:val="nl-NL"/>
        </w:rPr>
        <w:t xml:space="preserve"> </w:t>
      </w:r>
      <w:r w:rsidRPr="000B4AB2">
        <w:rPr>
          <w:szCs w:val="18"/>
          <w:lang w:val="nl-NL"/>
        </w:rPr>
        <w:t>dan ook</w:t>
      </w:r>
      <w:r w:rsidR="00EC24F1" w:rsidRPr="000B4AB2">
        <w:rPr>
          <w:szCs w:val="18"/>
          <w:lang w:val="nl-NL"/>
        </w:rPr>
        <w:t xml:space="preserve"> irrelevant of de minzestienjarige</w:t>
      </w:r>
      <w:r w:rsidRPr="000B4AB2">
        <w:rPr>
          <w:szCs w:val="18"/>
          <w:lang w:val="nl-NL"/>
        </w:rPr>
        <w:t xml:space="preserve"> </w:t>
      </w:r>
      <w:r w:rsidR="00651BDC">
        <w:rPr>
          <w:i/>
          <w:szCs w:val="18"/>
          <w:lang w:val="nl-NL"/>
        </w:rPr>
        <w:t xml:space="preserve">in concreto </w:t>
      </w:r>
      <w:r w:rsidR="00651BDC">
        <w:rPr>
          <w:szCs w:val="18"/>
          <w:lang w:val="nl-NL"/>
        </w:rPr>
        <w:t>had toegestemd</w:t>
      </w:r>
      <w:r w:rsidR="00EC24F1" w:rsidRPr="00651BDC">
        <w:rPr>
          <w:szCs w:val="18"/>
          <w:lang w:val="nl-NL"/>
        </w:rPr>
        <w:t>.</w:t>
      </w:r>
      <w:r w:rsidR="00132612" w:rsidRPr="000B4AB2">
        <w:rPr>
          <w:rStyle w:val="FootnoteReference"/>
          <w:szCs w:val="18"/>
          <w:lang w:val="nl-NL"/>
        </w:rPr>
        <w:footnoteReference w:id="81"/>
      </w:r>
    </w:p>
    <w:p w14:paraId="1AD39A50" w14:textId="77777777" w:rsidR="0048783E" w:rsidRPr="0048783E" w:rsidRDefault="0048783E" w:rsidP="00260F11">
      <w:pPr>
        <w:pStyle w:val="ListParagraph"/>
        <w:spacing w:line="360" w:lineRule="auto"/>
        <w:rPr>
          <w:b/>
          <w:szCs w:val="18"/>
          <w:lang w:val="nl-NL"/>
        </w:rPr>
      </w:pPr>
    </w:p>
    <w:p w14:paraId="6248A891" w14:textId="7821EC42" w:rsidR="003C4043" w:rsidRPr="0048783E" w:rsidRDefault="0062119B" w:rsidP="00260F11">
      <w:pPr>
        <w:pStyle w:val="ListParagraph"/>
        <w:numPr>
          <w:ilvl w:val="0"/>
          <w:numId w:val="1"/>
        </w:numPr>
        <w:spacing w:line="360" w:lineRule="auto"/>
        <w:ind w:left="0" w:hanging="709"/>
        <w:rPr>
          <w:szCs w:val="18"/>
          <w:lang w:val="nl-NL"/>
        </w:rPr>
      </w:pPr>
      <w:r w:rsidRPr="0048783E">
        <w:rPr>
          <w:b/>
          <w:szCs w:val="18"/>
          <w:lang w:val="nl-NL"/>
        </w:rPr>
        <w:t>Zestien- en zeventienjarigen</w:t>
      </w:r>
      <w:r w:rsidRPr="0048783E">
        <w:rPr>
          <w:szCs w:val="18"/>
          <w:lang w:val="nl-NL"/>
        </w:rPr>
        <w:t xml:space="preserve">. </w:t>
      </w:r>
      <w:r w:rsidR="004F046F" w:rsidRPr="0048783E">
        <w:rPr>
          <w:szCs w:val="18"/>
          <w:lang w:val="nl-NL"/>
        </w:rPr>
        <w:t xml:space="preserve">Het tweede lid van </w:t>
      </w:r>
      <w:r w:rsidR="007E7636" w:rsidRPr="0048783E">
        <w:rPr>
          <w:szCs w:val="18"/>
          <w:lang w:val="nl-NL"/>
        </w:rPr>
        <w:t xml:space="preserve">oud </w:t>
      </w:r>
      <w:r w:rsidR="004F046F" w:rsidRPr="0048783E">
        <w:rPr>
          <w:szCs w:val="18"/>
          <w:lang w:val="nl-NL"/>
        </w:rPr>
        <w:t xml:space="preserve">artikel </w:t>
      </w:r>
      <w:r w:rsidR="007E7636" w:rsidRPr="0048783E">
        <w:rPr>
          <w:szCs w:val="18"/>
          <w:lang w:val="nl-NL"/>
        </w:rPr>
        <w:t xml:space="preserve">372 </w:t>
      </w:r>
      <w:r w:rsidR="0081584B">
        <w:rPr>
          <w:szCs w:val="18"/>
          <w:lang w:val="nl-NL"/>
        </w:rPr>
        <w:t xml:space="preserve">van het </w:t>
      </w:r>
      <w:r w:rsidR="007E7636" w:rsidRPr="0048783E">
        <w:rPr>
          <w:szCs w:val="18"/>
          <w:lang w:val="nl-NL"/>
        </w:rPr>
        <w:t xml:space="preserve">Strafwetboek </w:t>
      </w:r>
      <w:r w:rsidR="004F046F" w:rsidRPr="0048783E">
        <w:rPr>
          <w:szCs w:val="18"/>
          <w:lang w:val="nl-NL"/>
        </w:rPr>
        <w:t>stel</w:t>
      </w:r>
      <w:r w:rsidR="008C19FD" w:rsidRPr="0048783E">
        <w:rPr>
          <w:szCs w:val="18"/>
          <w:lang w:val="nl-NL"/>
        </w:rPr>
        <w:t>de</w:t>
      </w:r>
      <w:r w:rsidR="004F046F" w:rsidRPr="0048783E">
        <w:rPr>
          <w:szCs w:val="18"/>
          <w:lang w:val="nl-NL"/>
        </w:rPr>
        <w:t xml:space="preserve"> </w:t>
      </w:r>
      <w:r w:rsidR="005E70E8" w:rsidRPr="0048783E">
        <w:rPr>
          <w:szCs w:val="18"/>
          <w:lang w:val="nl-NL"/>
        </w:rPr>
        <w:t xml:space="preserve">ten slotte </w:t>
      </w:r>
      <w:r w:rsidR="004F046F" w:rsidRPr="0048783E">
        <w:rPr>
          <w:szCs w:val="18"/>
          <w:lang w:val="nl-NL"/>
        </w:rPr>
        <w:t xml:space="preserve">de </w:t>
      </w:r>
      <w:r w:rsidR="005E70E8" w:rsidRPr="0048783E">
        <w:rPr>
          <w:szCs w:val="18"/>
          <w:lang w:val="nl-NL"/>
        </w:rPr>
        <w:t xml:space="preserve">geweldloze </w:t>
      </w:r>
      <w:r w:rsidR="004F046F" w:rsidRPr="0048783E">
        <w:rPr>
          <w:szCs w:val="18"/>
          <w:lang w:val="nl-NL"/>
        </w:rPr>
        <w:t xml:space="preserve">aanranding </w:t>
      </w:r>
      <w:r w:rsidR="005E70E8" w:rsidRPr="0048783E">
        <w:rPr>
          <w:szCs w:val="18"/>
          <w:lang w:val="nl-NL"/>
        </w:rPr>
        <w:t>gepleegd door een dader met een welbepaalde hoedanigheid</w:t>
      </w:r>
      <w:r w:rsidR="005E70E8">
        <w:rPr>
          <w:rStyle w:val="FootnoteReference"/>
          <w:szCs w:val="18"/>
          <w:lang w:val="nl-NL"/>
        </w:rPr>
        <w:footnoteReference w:id="82"/>
      </w:r>
      <w:r w:rsidR="005E70E8" w:rsidRPr="0048783E">
        <w:rPr>
          <w:szCs w:val="18"/>
          <w:lang w:val="nl-NL"/>
        </w:rPr>
        <w:t xml:space="preserve"> </w:t>
      </w:r>
      <w:r w:rsidR="00896094" w:rsidRPr="0048783E">
        <w:rPr>
          <w:szCs w:val="18"/>
          <w:lang w:val="nl-NL"/>
        </w:rPr>
        <w:t>t.a.v.</w:t>
      </w:r>
      <w:r w:rsidR="004F046F" w:rsidRPr="0048783E">
        <w:rPr>
          <w:color w:val="000000" w:themeColor="text1"/>
          <w:szCs w:val="18"/>
          <w:lang w:val="nl-NL"/>
        </w:rPr>
        <w:t xml:space="preserve"> </w:t>
      </w:r>
      <w:r w:rsidR="005E70E8" w:rsidRPr="0048783E">
        <w:rPr>
          <w:color w:val="000000" w:themeColor="text1"/>
          <w:szCs w:val="18"/>
          <w:lang w:val="nl-NL"/>
        </w:rPr>
        <w:t>een</w:t>
      </w:r>
      <w:r w:rsidR="003D66A1" w:rsidRPr="0048783E">
        <w:rPr>
          <w:color w:val="000000" w:themeColor="text1"/>
          <w:szCs w:val="18"/>
          <w:lang w:val="nl-NL"/>
        </w:rPr>
        <w:t xml:space="preserve"> </w:t>
      </w:r>
      <w:r w:rsidR="004F046F" w:rsidRPr="0048783E">
        <w:rPr>
          <w:color w:val="000000" w:themeColor="text1"/>
          <w:szCs w:val="18"/>
          <w:lang w:val="nl-NL"/>
        </w:rPr>
        <w:t>minderjarig</w:t>
      </w:r>
      <w:r w:rsidR="005E70E8" w:rsidRPr="0048783E">
        <w:rPr>
          <w:color w:val="000000" w:themeColor="text1"/>
          <w:szCs w:val="18"/>
          <w:lang w:val="nl-NL"/>
        </w:rPr>
        <w:t xml:space="preserve"> slachtoffer</w:t>
      </w:r>
      <w:r w:rsidR="00A43509">
        <w:rPr>
          <w:color w:val="000000" w:themeColor="text1"/>
          <w:szCs w:val="18"/>
          <w:lang w:val="nl-NL"/>
        </w:rPr>
        <w:t xml:space="preserve"> </w:t>
      </w:r>
      <w:r w:rsidR="00A43509" w:rsidRPr="0048783E">
        <w:rPr>
          <w:szCs w:val="18"/>
          <w:lang w:val="nl-NL"/>
        </w:rPr>
        <w:t>strafbaar</w:t>
      </w:r>
      <w:r w:rsidR="00CF565A" w:rsidRPr="0048783E">
        <w:rPr>
          <w:szCs w:val="18"/>
          <w:lang w:val="nl-NL"/>
        </w:rPr>
        <w:t>.</w:t>
      </w:r>
      <w:r w:rsidR="00F841D2" w:rsidRPr="000B4AB2">
        <w:rPr>
          <w:rStyle w:val="FootnoteReference"/>
          <w:szCs w:val="18"/>
          <w:lang w:val="nl-NL"/>
        </w:rPr>
        <w:footnoteReference w:id="83"/>
      </w:r>
      <w:r w:rsidR="00CF565A" w:rsidRPr="0048783E">
        <w:rPr>
          <w:szCs w:val="18"/>
          <w:lang w:val="nl-NL"/>
        </w:rPr>
        <w:t xml:space="preserve"> </w:t>
      </w:r>
      <w:r w:rsidR="003C4043" w:rsidRPr="0048783E">
        <w:rPr>
          <w:szCs w:val="18"/>
          <w:lang w:val="nl-NL"/>
        </w:rPr>
        <w:t xml:space="preserve">Voor </w:t>
      </w:r>
      <w:r w:rsidR="005E70E8" w:rsidRPr="0048783E">
        <w:rPr>
          <w:szCs w:val="18"/>
          <w:lang w:val="nl-NL"/>
        </w:rPr>
        <w:t>dit misdrijf</w:t>
      </w:r>
      <w:r w:rsidR="000259F2" w:rsidRPr="0048783E">
        <w:rPr>
          <w:szCs w:val="18"/>
          <w:lang w:val="nl-NL"/>
        </w:rPr>
        <w:t xml:space="preserve"> </w:t>
      </w:r>
      <w:r w:rsidR="00F6588E" w:rsidRPr="0048783E">
        <w:rPr>
          <w:szCs w:val="18"/>
          <w:lang w:val="nl-NL"/>
        </w:rPr>
        <w:t>vormden</w:t>
      </w:r>
      <w:r w:rsidR="003C4043" w:rsidRPr="0048783E">
        <w:rPr>
          <w:szCs w:val="18"/>
          <w:lang w:val="nl-NL"/>
        </w:rPr>
        <w:t xml:space="preserve"> zowel de leeftijd</w:t>
      </w:r>
      <w:r w:rsidR="00C33667" w:rsidRPr="0048783E">
        <w:rPr>
          <w:szCs w:val="18"/>
          <w:lang w:val="nl-NL"/>
        </w:rPr>
        <w:t xml:space="preserve"> van het slachtoffer </w:t>
      </w:r>
      <w:r w:rsidR="003C4043" w:rsidRPr="0048783E">
        <w:rPr>
          <w:szCs w:val="18"/>
          <w:lang w:val="nl-NL"/>
        </w:rPr>
        <w:t xml:space="preserve">als de hoedanigheid van de dader </w:t>
      </w:r>
      <w:r w:rsidR="00C33667" w:rsidRPr="0048783E">
        <w:rPr>
          <w:szCs w:val="18"/>
          <w:lang w:val="nl-NL"/>
        </w:rPr>
        <w:t>een constitutief bestanddeel van het misdrijf</w:t>
      </w:r>
      <w:r w:rsidR="006A383B" w:rsidRPr="0048783E">
        <w:rPr>
          <w:szCs w:val="18"/>
          <w:lang w:val="nl-NL"/>
        </w:rPr>
        <w:t>.</w:t>
      </w:r>
      <w:r w:rsidR="00D51E65" w:rsidRPr="0048783E">
        <w:rPr>
          <w:szCs w:val="18"/>
          <w:lang w:val="nl-NL"/>
        </w:rPr>
        <w:t xml:space="preserve"> </w:t>
      </w:r>
      <w:r w:rsidR="008C19FD" w:rsidRPr="0048783E">
        <w:rPr>
          <w:szCs w:val="18"/>
          <w:lang w:val="nl-NL"/>
        </w:rPr>
        <w:t>Ook hier ging het om een onweerlegbaar vermoeden van afwezigheid van toestemming</w:t>
      </w:r>
      <w:r w:rsidR="00C33667" w:rsidRPr="0048783E">
        <w:rPr>
          <w:szCs w:val="18"/>
          <w:lang w:val="nl-NL"/>
        </w:rPr>
        <w:t>.</w:t>
      </w:r>
      <w:r w:rsidR="00E47326" w:rsidRPr="000B4AB2">
        <w:rPr>
          <w:rStyle w:val="FootnoteReference"/>
          <w:szCs w:val="18"/>
          <w:lang w:val="nl-NL"/>
        </w:rPr>
        <w:footnoteReference w:id="84"/>
      </w:r>
    </w:p>
    <w:p w14:paraId="538C2550" w14:textId="77777777" w:rsidR="004053DF" w:rsidRPr="000B4AB2" w:rsidRDefault="004053DF" w:rsidP="00260F11">
      <w:pPr>
        <w:pStyle w:val="ListParagraph"/>
        <w:spacing w:line="360" w:lineRule="auto"/>
        <w:rPr>
          <w:szCs w:val="18"/>
          <w:lang w:val="nl-NL"/>
        </w:rPr>
      </w:pPr>
    </w:p>
    <w:p w14:paraId="61756B63" w14:textId="222FB01F" w:rsidR="00FC3DAA" w:rsidRPr="000B4AB2" w:rsidRDefault="008C3CFB" w:rsidP="00260F11">
      <w:pPr>
        <w:pStyle w:val="ListParagraph"/>
        <w:numPr>
          <w:ilvl w:val="0"/>
          <w:numId w:val="1"/>
        </w:numPr>
        <w:spacing w:line="360" w:lineRule="auto"/>
        <w:ind w:left="0" w:hanging="709"/>
        <w:rPr>
          <w:szCs w:val="18"/>
          <w:lang w:val="nl-NL"/>
        </w:rPr>
      </w:pPr>
      <w:r w:rsidRPr="000B4AB2">
        <w:rPr>
          <w:b/>
          <w:szCs w:val="18"/>
          <w:lang w:val="nl-NL"/>
        </w:rPr>
        <w:t>Situaties die niet onder oud artikel 372 ressorteerden</w:t>
      </w:r>
      <w:r w:rsidRPr="000B4AB2">
        <w:rPr>
          <w:szCs w:val="18"/>
          <w:lang w:val="nl-NL"/>
        </w:rPr>
        <w:t xml:space="preserve">. </w:t>
      </w:r>
      <w:r w:rsidR="00651BDC">
        <w:rPr>
          <w:szCs w:val="18"/>
          <w:lang w:val="nl-NL"/>
        </w:rPr>
        <w:t>I.g.v.</w:t>
      </w:r>
      <w:r w:rsidR="003C4043" w:rsidRPr="000B4AB2">
        <w:rPr>
          <w:szCs w:val="18"/>
          <w:lang w:val="nl-NL"/>
        </w:rPr>
        <w:t xml:space="preserve"> een</w:t>
      </w:r>
      <w:r w:rsidR="00CE1325" w:rsidRPr="000B4AB2">
        <w:rPr>
          <w:szCs w:val="18"/>
          <w:lang w:val="nl-NL"/>
        </w:rPr>
        <w:t xml:space="preserve"> minderjarig </w:t>
      </w:r>
      <w:r w:rsidR="003C4043" w:rsidRPr="000B4AB2">
        <w:rPr>
          <w:szCs w:val="18"/>
          <w:lang w:val="nl-NL"/>
        </w:rPr>
        <w:t xml:space="preserve">slachtoffer </w:t>
      </w:r>
      <w:r w:rsidR="00B44814" w:rsidRPr="000B4AB2">
        <w:rPr>
          <w:szCs w:val="18"/>
          <w:lang w:val="nl-NL"/>
        </w:rPr>
        <w:t xml:space="preserve">boven de zestien </w:t>
      </w:r>
      <w:r w:rsidR="00937695" w:rsidRPr="000B4AB2">
        <w:rPr>
          <w:szCs w:val="18"/>
          <w:lang w:val="nl-NL"/>
        </w:rPr>
        <w:t xml:space="preserve">jaar, </w:t>
      </w:r>
      <w:r w:rsidR="003C4043" w:rsidRPr="000B4AB2">
        <w:rPr>
          <w:szCs w:val="18"/>
          <w:lang w:val="nl-NL"/>
        </w:rPr>
        <w:t xml:space="preserve">waarbij de </w:t>
      </w:r>
      <w:r w:rsidR="003C4043" w:rsidRPr="000B4AB2">
        <w:rPr>
          <w:color w:val="000000" w:themeColor="text1"/>
          <w:szCs w:val="18"/>
          <w:lang w:val="nl-NL"/>
        </w:rPr>
        <w:t>dader niet</w:t>
      </w:r>
      <w:r w:rsidR="00937695" w:rsidRPr="000B4AB2">
        <w:rPr>
          <w:color w:val="000000" w:themeColor="text1"/>
          <w:szCs w:val="18"/>
          <w:lang w:val="nl-NL"/>
        </w:rPr>
        <w:t xml:space="preserve"> over</w:t>
      </w:r>
      <w:r w:rsidR="003C4043" w:rsidRPr="000B4AB2">
        <w:rPr>
          <w:color w:val="000000" w:themeColor="text1"/>
          <w:szCs w:val="18"/>
          <w:lang w:val="nl-NL"/>
        </w:rPr>
        <w:t xml:space="preserve"> de vereiste hoedanigheid</w:t>
      </w:r>
      <w:r w:rsidR="00651BDC">
        <w:rPr>
          <w:rStyle w:val="FootnoteReference"/>
          <w:color w:val="000000" w:themeColor="text1"/>
          <w:szCs w:val="18"/>
          <w:lang w:val="nl-NL"/>
        </w:rPr>
        <w:footnoteReference w:id="85"/>
      </w:r>
      <w:r w:rsidR="003C4043" w:rsidRPr="000B4AB2">
        <w:rPr>
          <w:color w:val="000000" w:themeColor="text1"/>
          <w:szCs w:val="18"/>
          <w:lang w:val="nl-NL"/>
        </w:rPr>
        <w:t xml:space="preserve"> </w:t>
      </w:r>
      <w:r w:rsidR="00937695" w:rsidRPr="000B4AB2">
        <w:rPr>
          <w:color w:val="000000" w:themeColor="text1"/>
          <w:szCs w:val="18"/>
          <w:lang w:val="nl-NL"/>
        </w:rPr>
        <w:t>beschikt</w:t>
      </w:r>
      <w:r w:rsidR="003C4043" w:rsidRPr="000B4AB2">
        <w:rPr>
          <w:szCs w:val="18"/>
          <w:lang w:val="nl-NL"/>
        </w:rPr>
        <w:t xml:space="preserve">, </w:t>
      </w:r>
      <w:r w:rsidRPr="000B4AB2">
        <w:rPr>
          <w:szCs w:val="18"/>
          <w:lang w:val="nl-NL"/>
        </w:rPr>
        <w:t>konden</w:t>
      </w:r>
      <w:r w:rsidR="003C4043" w:rsidRPr="000B4AB2">
        <w:rPr>
          <w:szCs w:val="18"/>
          <w:lang w:val="nl-NL"/>
        </w:rPr>
        <w:t xml:space="preserve"> de feiten niet worden gekwalificeerd als een aanranding van de eerbaarheid </w:t>
      </w:r>
      <w:r w:rsidR="00376C61">
        <w:rPr>
          <w:szCs w:val="18"/>
          <w:lang w:val="nl-NL"/>
        </w:rPr>
        <w:t>o.g.v.</w:t>
      </w:r>
      <w:r w:rsidR="00AA14EB" w:rsidRPr="000B4AB2">
        <w:rPr>
          <w:szCs w:val="18"/>
          <w:lang w:val="nl-NL"/>
        </w:rPr>
        <w:t xml:space="preserve"> oud</w:t>
      </w:r>
      <w:r w:rsidR="003C4043" w:rsidRPr="000B4AB2">
        <w:rPr>
          <w:szCs w:val="18"/>
          <w:lang w:val="nl-NL"/>
        </w:rPr>
        <w:t xml:space="preserve"> artikel 372 </w:t>
      </w:r>
      <w:r w:rsidR="0081584B">
        <w:rPr>
          <w:szCs w:val="18"/>
          <w:lang w:val="nl-NL"/>
        </w:rPr>
        <w:t xml:space="preserve">van het </w:t>
      </w:r>
      <w:r w:rsidR="00CE0637">
        <w:rPr>
          <w:szCs w:val="18"/>
          <w:lang w:val="nl-NL"/>
        </w:rPr>
        <w:t>Strafwetboek</w:t>
      </w:r>
      <w:r w:rsidR="00CE1325" w:rsidRPr="000B4AB2">
        <w:rPr>
          <w:szCs w:val="18"/>
          <w:lang w:val="nl-NL"/>
        </w:rPr>
        <w:t>.</w:t>
      </w:r>
      <w:r w:rsidR="00920CBA">
        <w:rPr>
          <w:rStyle w:val="FootnoteReference"/>
          <w:szCs w:val="18"/>
          <w:lang w:val="nl-NL"/>
        </w:rPr>
        <w:footnoteReference w:id="86"/>
      </w:r>
      <w:r w:rsidRPr="000B4AB2">
        <w:rPr>
          <w:szCs w:val="18"/>
          <w:lang w:val="nl-NL"/>
        </w:rPr>
        <w:t xml:space="preserve"> </w:t>
      </w:r>
      <w:r w:rsidR="00D51E65" w:rsidRPr="000B4AB2">
        <w:rPr>
          <w:szCs w:val="18"/>
          <w:lang w:val="nl-NL"/>
        </w:rPr>
        <w:t xml:space="preserve">Feiten met een meerderjarig slachtoffer </w:t>
      </w:r>
      <w:r w:rsidRPr="000B4AB2">
        <w:rPr>
          <w:szCs w:val="18"/>
          <w:lang w:val="nl-NL"/>
        </w:rPr>
        <w:t>konden</w:t>
      </w:r>
      <w:r w:rsidR="00D51E65" w:rsidRPr="000B4AB2">
        <w:rPr>
          <w:szCs w:val="18"/>
          <w:lang w:val="nl-NL"/>
        </w:rPr>
        <w:t xml:space="preserve"> evenmin </w:t>
      </w:r>
      <w:r w:rsidR="00376C61">
        <w:rPr>
          <w:szCs w:val="18"/>
          <w:lang w:val="nl-NL"/>
        </w:rPr>
        <w:t>o.g.v.</w:t>
      </w:r>
      <w:r w:rsidR="00D51E65" w:rsidRPr="000B4AB2">
        <w:rPr>
          <w:szCs w:val="18"/>
          <w:lang w:val="nl-NL"/>
        </w:rPr>
        <w:t xml:space="preserve"> voornoemde </w:t>
      </w:r>
      <w:r w:rsidR="00D51E65" w:rsidRPr="000B4AB2">
        <w:rPr>
          <w:szCs w:val="18"/>
          <w:lang w:val="nl-NL"/>
        </w:rPr>
        <w:lastRenderedPageBreak/>
        <w:t>bepaling als aanranding van de eerbaarheid worden gekwalificeerd.</w:t>
      </w:r>
      <w:r w:rsidR="00EE4B97" w:rsidRPr="000B4AB2">
        <w:rPr>
          <w:szCs w:val="18"/>
          <w:lang w:val="nl-NL"/>
        </w:rPr>
        <w:t xml:space="preserve"> </w:t>
      </w:r>
      <w:r w:rsidR="006E1DA0" w:rsidRPr="000B4AB2">
        <w:rPr>
          <w:szCs w:val="18"/>
          <w:lang w:val="nl-NL"/>
        </w:rPr>
        <w:t>Dergelijke</w:t>
      </w:r>
      <w:r w:rsidR="00D51E65" w:rsidRPr="000B4AB2">
        <w:rPr>
          <w:szCs w:val="18"/>
          <w:lang w:val="nl-NL"/>
        </w:rPr>
        <w:t xml:space="preserve"> situaties</w:t>
      </w:r>
      <w:r w:rsidR="00CE1325" w:rsidRPr="000B4AB2">
        <w:rPr>
          <w:szCs w:val="18"/>
          <w:lang w:val="nl-NL"/>
        </w:rPr>
        <w:t xml:space="preserve"> </w:t>
      </w:r>
      <w:r w:rsidR="0003029E" w:rsidRPr="000B4AB2">
        <w:rPr>
          <w:szCs w:val="18"/>
          <w:lang w:val="nl-NL"/>
        </w:rPr>
        <w:t>konden</w:t>
      </w:r>
      <w:r w:rsidR="003C4043" w:rsidRPr="000B4AB2">
        <w:rPr>
          <w:szCs w:val="18"/>
          <w:lang w:val="nl-NL"/>
        </w:rPr>
        <w:t xml:space="preserve"> </w:t>
      </w:r>
      <w:r w:rsidR="00940A65" w:rsidRPr="000B4AB2">
        <w:rPr>
          <w:szCs w:val="18"/>
          <w:lang w:val="nl-NL"/>
        </w:rPr>
        <w:t xml:space="preserve">wel </w:t>
      </w:r>
      <w:r w:rsidR="00651BDC">
        <w:rPr>
          <w:szCs w:val="18"/>
          <w:lang w:val="nl-NL"/>
        </w:rPr>
        <w:t xml:space="preserve">ressorteren onder de strafbaarstelling in </w:t>
      </w:r>
      <w:r w:rsidR="00937695" w:rsidRPr="000B4AB2">
        <w:rPr>
          <w:szCs w:val="18"/>
          <w:lang w:val="nl-NL"/>
        </w:rPr>
        <w:t>oud</w:t>
      </w:r>
      <w:r w:rsidR="003C4043" w:rsidRPr="000B4AB2">
        <w:rPr>
          <w:szCs w:val="18"/>
          <w:lang w:val="nl-NL"/>
        </w:rPr>
        <w:t xml:space="preserve"> artikel 373 </w:t>
      </w:r>
      <w:r w:rsidR="0081584B">
        <w:rPr>
          <w:szCs w:val="18"/>
          <w:lang w:val="nl-NL"/>
        </w:rPr>
        <w:t xml:space="preserve">van het </w:t>
      </w:r>
      <w:r w:rsidR="00CE0637">
        <w:rPr>
          <w:szCs w:val="18"/>
          <w:lang w:val="nl-NL"/>
        </w:rPr>
        <w:t>Strafwetboek</w:t>
      </w:r>
      <w:r w:rsidR="00CE1325" w:rsidRPr="000B4AB2">
        <w:rPr>
          <w:szCs w:val="18"/>
          <w:lang w:val="nl-NL"/>
        </w:rPr>
        <w:t>.</w:t>
      </w:r>
      <w:r w:rsidR="00940A65" w:rsidRPr="000B4AB2">
        <w:rPr>
          <w:rStyle w:val="FootnoteReference"/>
          <w:szCs w:val="18"/>
          <w:lang w:val="nl-NL"/>
        </w:rPr>
        <w:footnoteReference w:id="87"/>
      </w:r>
      <w:r w:rsidR="00C2414F" w:rsidRPr="000B4AB2">
        <w:rPr>
          <w:szCs w:val="18"/>
          <w:lang w:val="nl-NL"/>
        </w:rPr>
        <w:t xml:space="preserve"> </w:t>
      </w:r>
    </w:p>
    <w:p w14:paraId="02F5DE78" w14:textId="77777777" w:rsidR="000F264B" w:rsidRPr="000B4AB2" w:rsidRDefault="000F264B" w:rsidP="00260F11">
      <w:pPr>
        <w:pStyle w:val="ListParagraph"/>
        <w:spacing w:line="360" w:lineRule="auto"/>
        <w:ind w:left="0"/>
        <w:rPr>
          <w:szCs w:val="18"/>
          <w:lang w:val="nl-NL"/>
        </w:rPr>
      </w:pPr>
    </w:p>
    <w:p w14:paraId="21C35238" w14:textId="36C4930A" w:rsidR="00C80C14" w:rsidRPr="000B4AB2" w:rsidRDefault="008C3CFB" w:rsidP="00260F11">
      <w:pPr>
        <w:pStyle w:val="ListParagraph"/>
        <w:numPr>
          <w:ilvl w:val="0"/>
          <w:numId w:val="1"/>
        </w:numPr>
        <w:spacing w:line="360" w:lineRule="auto"/>
        <w:ind w:left="0" w:hanging="709"/>
        <w:rPr>
          <w:szCs w:val="18"/>
          <w:lang w:val="nl-NL"/>
        </w:rPr>
      </w:pPr>
      <w:r w:rsidRPr="000B4AB2">
        <w:rPr>
          <w:b/>
          <w:szCs w:val="18"/>
          <w:lang w:val="nl-NL"/>
        </w:rPr>
        <w:t xml:space="preserve">(2) </w:t>
      </w:r>
      <w:r w:rsidR="00670A9F" w:rsidRPr="000B4AB2">
        <w:rPr>
          <w:b/>
          <w:szCs w:val="18"/>
          <w:lang w:val="nl-NL"/>
        </w:rPr>
        <w:t>Slachtoffer k</w:t>
      </w:r>
      <w:r w:rsidR="001D5818" w:rsidRPr="000B4AB2">
        <w:rPr>
          <w:b/>
          <w:szCs w:val="18"/>
          <w:lang w:val="nl-NL"/>
        </w:rPr>
        <w:t>o</w:t>
      </w:r>
      <w:r w:rsidR="00670A9F" w:rsidRPr="000B4AB2">
        <w:rPr>
          <w:b/>
          <w:szCs w:val="18"/>
          <w:lang w:val="nl-NL"/>
        </w:rPr>
        <w:t xml:space="preserve">n zich beroepen op </w:t>
      </w:r>
      <w:r w:rsidR="00457F74" w:rsidRPr="000B4AB2">
        <w:rPr>
          <w:b/>
          <w:szCs w:val="18"/>
          <w:lang w:val="nl-NL"/>
        </w:rPr>
        <w:t>een</w:t>
      </w:r>
      <w:r w:rsidR="00670A9F" w:rsidRPr="000B4AB2">
        <w:rPr>
          <w:b/>
          <w:szCs w:val="18"/>
          <w:lang w:val="nl-NL"/>
        </w:rPr>
        <w:t xml:space="preserve"> van de toestemmingsuitsluitende gronden</w:t>
      </w:r>
      <w:r w:rsidR="00670A9F" w:rsidRPr="000B4AB2">
        <w:rPr>
          <w:szCs w:val="18"/>
          <w:lang w:val="nl-NL"/>
        </w:rPr>
        <w:t xml:space="preserve">. </w:t>
      </w:r>
      <w:r w:rsidR="00BA13C0" w:rsidRPr="000B4AB2">
        <w:rPr>
          <w:szCs w:val="18"/>
          <w:lang w:val="nl-NL"/>
        </w:rPr>
        <w:t xml:space="preserve">Opdat sprake </w:t>
      </w:r>
      <w:r w:rsidR="00763F26" w:rsidRPr="000B4AB2">
        <w:rPr>
          <w:szCs w:val="18"/>
          <w:lang w:val="nl-NL"/>
        </w:rPr>
        <w:t>kon zijn</w:t>
      </w:r>
      <w:r w:rsidR="00BA13C0" w:rsidRPr="000B4AB2">
        <w:rPr>
          <w:szCs w:val="18"/>
          <w:lang w:val="nl-NL"/>
        </w:rPr>
        <w:t xml:space="preserve"> van aanranding van de eerbaarheid </w:t>
      </w:r>
      <w:r w:rsidR="00AE5CEF" w:rsidRPr="000B4AB2">
        <w:rPr>
          <w:szCs w:val="18"/>
          <w:lang w:val="nl-NL"/>
        </w:rPr>
        <w:t>o.g.v.</w:t>
      </w:r>
      <w:r w:rsidR="006752EF" w:rsidRPr="000B4AB2">
        <w:rPr>
          <w:szCs w:val="18"/>
          <w:lang w:val="nl-NL"/>
        </w:rPr>
        <w:t xml:space="preserve"> oud</w:t>
      </w:r>
      <w:r w:rsidR="00670A9F" w:rsidRPr="000B4AB2">
        <w:rPr>
          <w:szCs w:val="18"/>
          <w:lang w:val="nl-NL"/>
        </w:rPr>
        <w:t xml:space="preserve"> artikel 373 </w:t>
      </w:r>
      <w:r w:rsidR="0081584B">
        <w:rPr>
          <w:szCs w:val="18"/>
          <w:lang w:val="nl-NL"/>
        </w:rPr>
        <w:t xml:space="preserve">van het </w:t>
      </w:r>
      <w:r w:rsidR="00670A9F" w:rsidRPr="000B4AB2">
        <w:rPr>
          <w:szCs w:val="18"/>
          <w:lang w:val="nl-NL"/>
        </w:rPr>
        <w:t xml:space="preserve">Strafwetboek, </w:t>
      </w:r>
      <w:r w:rsidR="008217DD" w:rsidRPr="000B4AB2">
        <w:rPr>
          <w:szCs w:val="18"/>
          <w:lang w:val="nl-NL"/>
        </w:rPr>
        <w:t>moe</w:t>
      </w:r>
      <w:r w:rsidR="00763F26" w:rsidRPr="000B4AB2">
        <w:rPr>
          <w:szCs w:val="18"/>
          <w:lang w:val="nl-NL"/>
        </w:rPr>
        <w:t>s</w:t>
      </w:r>
      <w:r w:rsidR="008217DD" w:rsidRPr="000B4AB2">
        <w:rPr>
          <w:szCs w:val="18"/>
          <w:lang w:val="nl-NL"/>
        </w:rPr>
        <w:t>t</w:t>
      </w:r>
      <w:r w:rsidR="00BA13C0" w:rsidRPr="000B4AB2">
        <w:rPr>
          <w:szCs w:val="18"/>
          <w:lang w:val="nl-NL"/>
        </w:rPr>
        <w:t xml:space="preserve"> </w:t>
      </w:r>
      <w:r w:rsidR="00457F74" w:rsidRPr="000B4AB2">
        <w:rPr>
          <w:szCs w:val="18"/>
          <w:lang w:val="nl-NL"/>
        </w:rPr>
        <w:t>een</w:t>
      </w:r>
      <w:r w:rsidR="00D21F64" w:rsidRPr="000B4AB2">
        <w:rPr>
          <w:szCs w:val="18"/>
          <w:lang w:val="nl-NL"/>
        </w:rPr>
        <w:t xml:space="preserve"> van de</w:t>
      </w:r>
      <w:r w:rsidR="0048797B" w:rsidRPr="000B4AB2">
        <w:rPr>
          <w:szCs w:val="18"/>
          <w:lang w:val="nl-NL"/>
        </w:rPr>
        <w:t xml:space="preserve"> in voornoemd artikel opgesomde</w:t>
      </w:r>
      <w:r w:rsidR="00D21F64" w:rsidRPr="000B4AB2">
        <w:rPr>
          <w:szCs w:val="18"/>
          <w:lang w:val="nl-NL"/>
        </w:rPr>
        <w:t xml:space="preserve"> toestemmingsuitsluitende gronden</w:t>
      </w:r>
      <w:r w:rsidR="008217DD" w:rsidRPr="000B4AB2">
        <w:rPr>
          <w:szCs w:val="18"/>
          <w:lang w:val="nl-NL"/>
        </w:rPr>
        <w:t xml:space="preserve"> voorhanden zij</w:t>
      </w:r>
      <w:r w:rsidR="0048797B" w:rsidRPr="000B4AB2">
        <w:rPr>
          <w:szCs w:val="18"/>
          <w:lang w:val="nl-NL"/>
        </w:rPr>
        <w:t>n. Sinds 2016</w:t>
      </w:r>
      <w:r w:rsidR="0048797B" w:rsidRPr="000B4AB2">
        <w:rPr>
          <w:rStyle w:val="FootnoteReference"/>
          <w:szCs w:val="18"/>
          <w:lang w:val="nl-NL"/>
        </w:rPr>
        <w:footnoteReference w:id="88"/>
      </w:r>
      <w:r w:rsidR="0048797B" w:rsidRPr="000B4AB2">
        <w:rPr>
          <w:szCs w:val="18"/>
          <w:lang w:val="nl-NL"/>
        </w:rPr>
        <w:t xml:space="preserve"> stem</w:t>
      </w:r>
      <w:r w:rsidR="00763F26" w:rsidRPr="000B4AB2">
        <w:rPr>
          <w:szCs w:val="18"/>
          <w:lang w:val="nl-NL"/>
        </w:rPr>
        <w:t>de</w:t>
      </w:r>
      <w:r w:rsidR="0048797B" w:rsidRPr="000B4AB2">
        <w:rPr>
          <w:szCs w:val="18"/>
          <w:lang w:val="nl-NL"/>
        </w:rPr>
        <w:t xml:space="preserve"> </w:t>
      </w:r>
      <w:r w:rsidR="009725CF" w:rsidRPr="000B4AB2">
        <w:rPr>
          <w:szCs w:val="18"/>
          <w:lang w:val="nl-NL"/>
        </w:rPr>
        <w:t>de</w:t>
      </w:r>
      <w:r w:rsidR="00914426">
        <w:rPr>
          <w:szCs w:val="18"/>
          <w:lang w:val="nl-NL"/>
        </w:rPr>
        <w:t>ze</w:t>
      </w:r>
      <w:r w:rsidR="0048797B" w:rsidRPr="000B4AB2">
        <w:rPr>
          <w:szCs w:val="18"/>
          <w:lang w:val="nl-NL"/>
        </w:rPr>
        <w:t xml:space="preserve"> lijst inhoudelijk overeen met deze voor verkrachtin</w:t>
      </w:r>
      <w:r w:rsidR="00F901B1">
        <w:rPr>
          <w:szCs w:val="18"/>
          <w:lang w:val="nl-NL"/>
        </w:rPr>
        <w:t>g</w:t>
      </w:r>
      <w:r w:rsidR="0048797B" w:rsidRPr="000B4AB2">
        <w:rPr>
          <w:szCs w:val="18"/>
          <w:lang w:val="nl-NL"/>
        </w:rPr>
        <w:t>.</w:t>
      </w:r>
      <w:r w:rsidR="0048797B" w:rsidRPr="000B4AB2">
        <w:rPr>
          <w:rStyle w:val="FootnoteReference"/>
          <w:szCs w:val="18"/>
          <w:lang w:val="nl-NL"/>
        </w:rPr>
        <w:footnoteReference w:id="89"/>
      </w:r>
      <w:r w:rsidR="0048797B" w:rsidRPr="000B4AB2">
        <w:rPr>
          <w:szCs w:val="18"/>
          <w:lang w:val="nl-NL"/>
        </w:rPr>
        <w:t xml:space="preserve"> Voor deze wijziging werden enkel geweld</w:t>
      </w:r>
      <w:r w:rsidR="00D866BF" w:rsidRPr="000B4AB2">
        <w:rPr>
          <w:rStyle w:val="FootnoteReference"/>
          <w:szCs w:val="18"/>
          <w:lang w:val="nl-NL"/>
        </w:rPr>
        <w:footnoteReference w:id="90"/>
      </w:r>
      <w:r w:rsidR="0048797B" w:rsidRPr="000B4AB2">
        <w:rPr>
          <w:szCs w:val="18"/>
          <w:lang w:val="nl-NL"/>
        </w:rPr>
        <w:t xml:space="preserve"> en bedreiging</w:t>
      </w:r>
      <w:r w:rsidR="00D866BF" w:rsidRPr="000B4AB2">
        <w:rPr>
          <w:rStyle w:val="FootnoteReference"/>
          <w:szCs w:val="18"/>
          <w:lang w:val="nl-NL"/>
        </w:rPr>
        <w:footnoteReference w:id="91"/>
      </w:r>
      <w:r w:rsidR="0048797B" w:rsidRPr="000B4AB2">
        <w:rPr>
          <w:szCs w:val="18"/>
          <w:lang w:val="nl-NL"/>
        </w:rPr>
        <w:t xml:space="preserve"> als toestemmingsuitsluitende grond</w:t>
      </w:r>
      <w:r w:rsidR="00920CBA">
        <w:rPr>
          <w:szCs w:val="18"/>
          <w:lang w:val="nl-NL"/>
        </w:rPr>
        <w:t>en</w:t>
      </w:r>
      <w:r w:rsidR="0048797B" w:rsidRPr="000B4AB2">
        <w:rPr>
          <w:szCs w:val="18"/>
          <w:lang w:val="nl-NL"/>
        </w:rPr>
        <w:t xml:space="preserve"> vermeld voor aanranding van de eerbaarheid. Sinds </w:t>
      </w:r>
      <w:r w:rsidR="00920CBA">
        <w:rPr>
          <w:szCs w:val="18"/>
          <w:lang w:val="nl-NL"/>
        </w:rPr>
        <w:t>voornoemde</w:t>
      </w:r>
      <w:r w:rsidR="0048797B" w:rsidRPr="000B4AB2">
        <w:rPr>
          <w:szCs w:val="18"/>
          <w:lang w:val="nl-NL"/>
        </w:rPr>
        <w:t xml:space="preserve"> </w:t>
      </w:r>
      <w:r w:rsidR="002E24FD" w:rsidRPr="000B4AB2">
        <w:rPr>
          <w:szCs w:val="18"/>
          <w:lang w:val="nl-NL"/>
        </w:rPr>
        <w:t>wijziging</w:t>
      </w:r>
      <w:r w:rsidR="0048797B" w:rsidRPr="000B4AB2">
        <w:rPr>
          <w:szCs w:val="18"/>
          <w:lang w:val="nl-NL"/>
        </w:rPr>
        <w:t xml:space="preserve"> </w:t>
      </w:r>
      <w:r w:rsidR="00763F26" w:rsidRPr="000B4AB2">
        <w:rPr>
          <w:szCs w:val="18"/>
          <w:lang w:val="nl-NL"/>
        </w:rPr>
        <w:t>werden</w:t>
      </w:r>
      <w:r w:rsidR="0048797B" w:rsidRPr="000B4AB2">
        <w:rPr>
          <w:szCs w:val="18"/>
          <w:lang w:val="nl-NL"/>
        </w:rPr>
        <w:t xml:space="preserve"> </w:t>
      </w:r>
      <w:r w:rsidR="00D866BF" w:rsidRPr="000B4AB2">
        <w:rPr>
          <w:szCs w:val="18"/>
          <w:lang w:val="nl-NL"/>
        </w:rPr>
        <w:t>daaraan de volgende</w:t>
      </w:r>
      <w:r w:rsidR="0048797B" w:rsidRPr="000B4AB2">
        <w:rPr>
          <w:szCs w:val="18"/>
          <w:lang w:val="nl-NL"/>
        </w:rPr>
        <w:t xml:space="preserve"> toestemmingsuitsluitende gronden</w:t>
      </w:r>
      <w:r w:rsidR="00D866BF" w:rsidRPr="000B4AB2">
        <w:rPr>
          <w:szCs w:val="18"/>
          <w:lang w:val="nl-NL"/>
        </w:rPr>
        <w:t xml:space="preserve"> toegevoegd</w:t>
      </w:r>
      <w:r w:rsidR="0048797B" w:rsidRPr="000B4AB2">
        <w:rPr>
          <w:szCs w:val="18"/>
          <w:lang w:val="nl-NL"/>
        </w:rPr>
        <w:t xml:space="preserve">: </w:t>
      </w:r>
      <w:r w:rsidR="00BA13C0" w:rsidRPr="000B4AB2">
        <w:rPr>
          <w:szCs w:val="18"/>
          <w:lang w:val="nl-NL"/>
        </w:rPr>
        <w:t>dwang, verrassing</w:t>
      </w:r>
      <w:r w:rsidR="00D21F64" w:rsidRPr="000B4AB2">
        <w:rPr>
          <w:szCs w:val="18"/>
          <w:lang w:val="nl-NL"/>
        </w:rPr>
        <w:t xml:space="preserve">, </w:t>
      </w:r>
      <w:r w:rsidR="00BA13C0" w:rsidRPr="000B4AB2">
        <w:rPr>
          <w:szCs w:val="18"/>
          <w:lang w:val="nl-NL"/>
        </w:rPr>
        <w:t>list</w:t>
      </w:r>
      <w:r w:rsidR="00D21F64" w:rsidRPr="000B4AB2">
        <w:rPr>
          <w:szCs w:val="18"/>
          <w:lang w:val="nl-NL"/>
        </w:rPr>
        <w:t xml:space="preserve">, </w:t>
      </w:r>
      <w:r w:rsidR="00BA13C0" w:rsidRPr="000B4AB2">
        <w:rPr>
          <w:szCs w:val="18"/>
          <w:lang w:val="nl-NL"/>
        </w:rPr>
        <w:t xml:space="preserve">de gedragingen </w:t>
      </w:r>
      <w:r w:rsidR="00D21F64" w:rsidRPr="000B4AB2">
        <w:rPr>
          <w:szCs w:val="18"/>
          <w:lang w:val="nl-NL"/>
        </w:rPr>
        <w:t xml:space="preserve">werden </w:t>
      </w:r>
      <w:r w:rsidR="00BA13C0" w:rsidRPr="000B4AB2">
        <w:rPr>
          <w:szCs w:val="18"/>
          <w:lang w:val="nl-NL"/>
        </w:rPr>
        <w:t xml:space="preserve">mogelijk </w:t>
      </w:r>
      <w:r w:rsidR="00D21F64" w:rsidRPr="000B4AB2">
        <w:rPr>
          <w:szCs w:val="18"/>
          <w:lang w:val="nl-NL"/>
        </w:rPr>
        <w:t>gemaakt</w:t>
      </w:r>
      <w:r w:rsidR="00BA13C0" w:rsidRPr="000B4AB2">
        <w:rPr>
          <w:szCs w:val="18"/>
          <w:lang w:val="nl-NL"/>
        </w:rPr>
        <w:t xml:space="preserve"> </w:t>
      </w:r>
      <w:r w:rsidR="00D21F64" w:rsidRPr="000B4AB2">
        <w:rPr>
          <w:szCs w:val="18"/>
          <w:lang w:val="nl-NL"/>
        </w:rPr>
        <w:t>door</w:t>
      </w:r>
      <w:r w:rsidR="00BA13C0" w:rsidRPr="000B4AB2">
        <w:rPr>
          <w:szCs w:val="18"/>
          <w:lang w:val="nl-NL"/>
        </w:rPr>
        <w:t xml:space="preserve"> een onvolwaardigheid of een lichamelijk of geestelijk gebrek van het slachtoffer.</w:t>
      </w:r>
      <w:r w:rsidR="002E24FD" w:rsidRPr="000B4AB2">
        <w:rPr>
          <w:rStyle w:val="FootnoteReference"/>
          <w:szCs w:val="18"/>
          <w:lang w:val="nl-NL"/>
        </w:rPr>
        <w:footnoteReference w:id="92"/>
      </w:r>
      <w:r w:rsidR="003C5BA5" w:rsidRPr="000B4AB2">
        <w:rPr>
          <w:szCs w:val="18"/>
          <w:lang w:val="nl-NL"/>
        </w:rPr>
        <w:t xml:space="preserve"> </w:t>
      </w:r>
    </w:p>
    <w:p w14:paraId="5D36027D" w14:textId="77777777" w:rsidR="00C80C14" w:rsidRPr="000B4AB2" w:rsidRDefault="00C80C14" w:rsidP="00260F11">
      <w:pPr>
        <w:pStyle w:val="ListParagraph"/>
        <w:spacing w:line="360" w:lineRule="auto"/>
        <w:rPr>
          <w:szCs w:val="18"/>
          <w:lang w:val="nl-NL"/>
        </w:rPr>
      </w:pPr>
    </w:p>
    <w:p w14:paraId="215FCD1F" w14:textId="093A60C9" w:rsidR="00C80C14" w:rsidRPr="000B4AB2" w:rsidRDefault="00670A9F" w:rsidP="00260F11">
      <w:pPr>
        <w:pStyle w:val="ListParagraph"/>
        <w:numPr>
          <w:ilvl w:val="0"/>
          <w:numId w:val="1"/>
        </w:numPr>
        <w:spacing w:line="360" w:lineRule="auto"/>
        <w:ind w:left="0" w:hanging="709"/>
        <w:rPr>
          <w:szCs w:val="18"/>
          <w:lang w:val="nl-NL"/>
        </w:rPr>
      </w:pPr>
      <w:r w:rsidRPr="000B4AB2">
        <w:rPr>
          <w:szCs w:val="18"/>
          <w:lang w:val="nl-NL"/>
        </w:rPr>
        <w:t xml:space="preserve">In de doctrine </w:t>
      </w:r>
      <w:r w:rsidR="00CC57C6" w:rsidRPr="000B4AB2">
        <w:rPr>
          <w:szCs w:val="18"/>
          <w:lang w:val="nl-NL"/>
        </w:rPr>
        <w:t>werd</w:t>
      </w:r>
      <w:r w:rsidRPr="000B4AB2">
        <w:rPr>
          <w:szCs w:val="18"/>
          <w:lang w:val="nl-NL"/>
        </w:rPr>
        <w:t xml:space="preserve"> </w:t>
      </w:r>
      <w:r w:rsidR="00B434B2" w:rsidRPr="000B4AB2">
        <w:rPr>
          <w:szCs w:val="18"/>
          <w:lang w:val="nl-NL"/>
        </w:rPr>
        <w:t>onderhavige</w:t>
      </w:r>
      <w:r w:rsidRPr="000B4AB2">
        <w:rPr>
          <w:szCs w:val="18"/>
          <w:lang w:val="nl-NL"/>
        </w:rPr>
        <w:t xml:space="preserve"> strafbaarstelling </w:t>
      </w:r>
      <w:r w:rsidR="00C80C14" w:rsidRPr="000B4AB2">
        <w:rPr>
          <w:szCs w:val="18"/>
          <w:lang w:val="nl-NL"/>
        </w:rPr>
        <w:t>dan ook</w:t>
      </w:r>
      <w:r w:rsidRPr="000B4AB2">
        <w:rPr>
          <w:szCs w:val="18"/>
          <w:lang w:val="nl-NL"/>
        </w:rPr>
        <w:t xml:space="preserve"> de </w:t>
      </w:r>
      <w:r w:rsidRPr="000B4AB2">
        <w:rPr>
          <w:i/>
          <w:szCs w:val="18"/>
          <w:lang w:val="nl-NL"/>
        </w:rPr>
        <w:t>“agressieve”</w:t>
      </w:r>
      <w:r w:rsidRPr="000B4AB2">
        <w:rPr>
          <w:szCs w:val="18"/>
          <w:lang w:val="nl-NL"/>
        </w:rPr>
        <w:t xml:space="preserve"> aanranding van de eerbaarheid genoemd</w:t>
      </w:r>
      <w:r w:rsidR="00B2163D" w:rsidRPr="000B4AB2">
        <w:rPr>
          <w:szCs w:val="18"/>
          <w:lang w:val="nl-NL"/>
        </w:rPr>
        <w:t xml:space="preserve">, </w:t>
      </w:r>
      <w:r w:rsidR="004369DC" w:rsidRPr="000B4AB2">
        <w:rPr>
          <w:szCs w:val="18"/>
          <w:lang w:val="nl-NL"/>
        </w:rPr>
        <w:t>geplaatst tegenover de “</w:t>
      </w:r>
      <w:r w:rsidR="004369DC" w:rsidRPr="000B4AB2">
        <w:rPr>
          <w:i/>
          <w:szCs w:val="18"/>
          <w:lang w:val="nl-NL"/>
        </w:rPr>
        <w:t>geweldloze”</w:t>
      </w:r>
      <w:r w:rsidR="004369DC" w:rsidRPr="000B4AB2">
        <w:rPr>
          <w:szCs w:val="18"/>
          <w:lang w:val="nl-NL"/>
        </w:rPr>
        <w:t xml:space="preserve"> aanranding uit </w:t>
      </w:r>
      <w:r w:rsidR="00B2163D" w:rsidRPr="000B4AB2">
        <w:rPr>
          <w:szCs w:val="18"/>
          <w:lang w:val="nl-NL"/>
        </w:rPr>
        <w:t xml:space="preserve">oud </w:t>
      </w:r>
      <w:r w:rsidR="004369DC" w:rsidRPr="000B4AB2">
        <w:rPr>
          <w:szCs w:val="18"/>
          <w:lang w:val="nl-NL"/>
        </w:rPr>
        <w:t xml:space="preserve">artikel </w:t>
      </w:r>
      <w:r w:rsidR="0081584B">
        <w:rPr>
          <w:szCs w:val="18"/>
          <w:lang w:val="nl-NL"/>
        </w:rPr>
        <w:t xml:space="preserve">van het </w:t>
      </w:r>
      <w:r w:rsidR="00B2163D" w:rsidRPr="000B4AB2">
        <w:rPr>
          <w:szCs w:val="18"/>
          <w:lang w:val="nl-NL"/>
        </w:rPr>
        <w:t xml:space="preserve">372 </w:t>
      </w:r>
      <w:r w:rsidR="00CE0637">
        <w:rPr>
          <w:szCs w:val="18"/>
          <w:lang w:val="nl-NL"/>
        </w:rPr>
        <w:t>Strafwetboek</w:t>
      </w:r>
      <w:r w:rsidRPr="000B4AB2">
        <w:rPr>
          <w:szCs w:val="18"/>
          <w:lang w:val="nl-NL"/>
        </w:rPr>
        <w:t>.</w:t>
      </w:r>
      <w:r w:rsidRPr="000B4AB2">
        <w:rPr>
          <w:rStyle w:val="FootnoteReference"/>
          <w:szCs w:val="18"/>
          <w:lang w:val="nl-NL"/>
        </w:rPr>
        <w:footnoteReference w:id="93"/>
      </w:r>
      <w:r w:rsidR="009D72E9" w:rsidRPr="000B4AB2">
        <w:rPr>
          <w:szCs w:val="18"/>
          <w:lang w:val="nl-NL"/>
        </w:rPr>
        <w:t xml:space="preserve"> </w:t>
      </w:r>
      <w:r w:rsidR="00C80C14" w:rsidRPr="000B4AB2">
        <w:rPr>
          <w:szCs w:val="18"/>
          <w:lang w:val="nl-NL"/>
        </w:rPr>
        <w:t xml:space="preserve">De leeftijd van het slachtoffer vormde voor wat betreft deze “agressieve” aanranding </w:t>
      </w:r>
      <w:r w:rsidR="00C80C14" w:rsidRPr="000B4AB2">
        <w:rPr>
          <w:szCs w:val="18"/>
          <w:lang w:val="nl-NL"/>
        </w:rPr>
        <w:lastRenderedPageBreak/>
        <w:t>van de eerbaarheid geen constitutief bestanddeel, maar</w:t>
      </w:r>
      <w:r w:rsidR="0035203B">
        <w:rPr>
          <w:szCs w:val="18"/>
          <w:lang w:val="nl-NL"/>
        </w:rPr>
        <w:t xml:space="preserve"> eventueel</w:t>
      </w:r>
      <w:r w:rsidR="00C80C14" w:rsidRPr="000B4AB2">
        <w:rPr>
          <w:szCs w:val="18"/>
          <w:lang w:val="nl-NL"/>
        </w:rPr>
        <w:t xml:space="preserve"> een verzwarende omstandigheid.</w:t>
      </w:r>
      <w:r w:rsidR="00C80C14" w:rsidRPr="000B4AB2">
        <w:rPr>
          <w:rStyle w:val="FootnoteReference"/>
          <w:szCs w:val="18"/>
          <w:lang w:val="nl-NL"/>
        </w:rPr>
        <w:footnoteReference w:id="94"/>
      </w:r>
      <w:r w:rsidR="00C80C14" w:rsidRPr="000B4AB2">
        <w:rPr>
          <w:szCs w:val="18"/>
          <w:lang w:val="nl-NL"/>
        </w:rPr>
        <w:t xml:space="preserve"> </w:t>
      </w:r>
    </w:p>
    <w:p w14:paraId="7EB314F1" w14:textId="77777777" w:rsidR="009D72E9" w:rsidRPr="000B4AB2" w:rsidRDefault="009D72E9" w:rsidP="00260F11">
      <w:pPr>
        <w:spacing w:line="360" w:lineRule="auto"/>
        <w:rPr>
          <w:szCs w:val="18"/>
          <w:lang w:val="nl-NL"/>
        </w:rPr>
      </w:pPr>
    </w:p>
    <w:p w14:paraId="3716CC15" w14:textId="5A3D6BDA" w:rsidR="00C80C14" w:rsidRPr="003D11B4" w:rsidRDefault="00C80C14"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Limitatieve opsomming</w:t>
      </w:r>
      <w:r w:rsidR="001209A1" w:rsidRPr="000B4AB2">
        <w:rPr>
          <w:b/>
          <w:color w:val="000000" w:themeColor="text1"/>
          <w:szCs w:val="18"/>
          <w:lang w:val="nl-NL"/>
        </w:rPr>
        <w:t>?</w:t>
      </w:r>
      <w:r w:rsidRPr="000B4AB2">
        <w:rPr>
          <w:b/>
          <w:color w:val="000000" w:themeColor="text1"/>
          <w:szCs w:val="18"/>
          <w:lang w:val="nl-NL"/>
        </w:rPr>
        <w:t xml:space="preserve"> </w:t>
      </w:r>
      <w:r w:rsidR="00E05A25" w:rsidRPr="000B4AB2">
        <w:rPr>
          <w:color w:val="000000" w:themeColor="text1"/>
          <w:szCs w:val="18"/>
          <w:lang w:val="nl-NL"/>
        </w:rPr>
        <w:t>De vraag of de toestemmingsuitsluitende gronden limitatief dan wel exemplatief w</w:t>
      </w:r>
      <w:r w:rsidR="00CC57C6" w:rsidRPr="000B4AB2">
        <w:rPr>
          <w:color w:val="000000" w:themeColor="text1"/>
          <w:szCs w:val="18"/>
          <w:lang w:val="nl-NL"/>
        </w:rPr>
        <w:t>e</w:t>
      </w:r>
      <w:r w:rsidR="00E05A25" w:rsidRPr="000B4AB2">
        <w:rPr>
          <w:color w:val="000000" w:themeColor="text1"/>
          <w:szCs w:val="18"/>
          <w:lang w:val="nl-NL"/>
        </w:rPr>
        <w:t xml:space="preserve">rden opgesomd in oud artikel 373 </w:t>
      </w:r>
      <w:r w:rsidR="0081584B">
        <w:rPr>
          <w:color w:val="000000" w:themeColor="text1"/>
          <w:szCs w:val="18"/>
          <w:lang w:val="nl-NL"/>
        </w:rPr>
        <w:t xml:space="preserve">van het </w:t>
      </w:r>
      <w:r w:rsidR="00E05A25" w:rsidRPr="000B4AB2">
        <w:rPr>
          <w:color w:val="000000" w:themeColor="text1"/>
          <w:szCs w:val="18"/>
          <w:lang w:val="nl-NL"/>
        </w:rPr>
        <w:t xml:space="preserve">Strafwetboek, zorgde voor discussie binnen de doctrine. </w:t>
      </w:r>
      <w:r w:rsidR="00361E5C" w:rsidRPr="000B4AB2">
        <w:rPr>
          <w:szCs w:val="18"/>
          <w:lang w:val="nl-NL"/>
        </w:rPr>
        <w:t>De aanleiding</w:t>
      </w:r>
      <w:r w:rsidR="00C8502E" w:rsidRPr="000B4AB2">
        <w:rPr>
          <w:rStyle w:val="FootnoteReference"/>
          <w:szCs w:val="18"/>
          <w:lang w:val="nl-NL"/>
        </w:rPr>
        <w:footnoteReference w:id="95"/>
      </w:r>
      <w:r w:rsidR="00361E5C" w:rsidRPr="000B4AB2">
        <w:rPr>
          <w:szCs w:val="18"/>
          <w:lang w:val="nl-NL"/>
        </w:rPr>
        <w:t xml:space="preserve"> hiertoe was het zogenaamde </w:t>
      </w:r>
      <w:r w:rsidR="005206C3" w:rsidRPr="000B4AB2">
        <w:rPr>
          <w:szCs w:val="18"/>
          <w:lang w:val="nl-NL"/>
        </w:rPr>
        <w:t>“</w:t>
      </w:r>
      <w:r w:rsidR="00361E5C" w:rsidRPr="000B4AB2">
        <w:rPr>
          <w:szCs w:val="18"/>
          <w:lang w:val="nl-NL"/>
        </w:rPr>
        <w:t>roltraparrest</w:t>
      </w:r>
      <w:r w:rsidR="005206C3" w:rsidRPr="000B4AB2">
        <w:rPr>
          <w:szCs w:val="18"/>
          <w:lang w:val="nl-NL"/>
        </w:rPr>
        <w:t>”</w:t>
      </w:r>
      <w:r w:rsidR="00361E5C" w:rsidRPr="000B4AB2">
        <w:rPr>
          <w:szCs w:val="18"/>
          <w:lang w:val="nl-NL"/>
        </w:rPr>
        <w:t xml:space="preserve"> van het </w:t>
      </w:r>
      <w:r w:rsidR="00C54418" w:rsidRPr="000B4AB2">
        <w:rPr>
          <w:szCs w:val="18"/>
          <w:lang w:val="nl-NL"/>
        </w:rPr>
        <w:t>Hof van Cassatie</w:t>
      </w:r>
      <w:r w:rsidR="00D72CAB" w:rsidRPr="000B4AB2">
        <w:rPr>
          <w:szCs w:val="18"/>
          <w:lang w:val="nl-NL"/>
        </w:rPr>
        <w:t xml:space="preserve">, waarin het </w:t>
      </w:r>
      <w:r w:rsidR="00D55577" w:rsidRPr="000B4AB2">
        <w:rPr>
          <w:szCs w:val="18"/>
          <w:lang w:val="nl-NL"/>
        </w:rPr>
        <w:t>H</w:t>
      </w:r>
      <w:r w:rsidR="00D72CAB" w:rsidRPr="000B4AB2">
        <w:rPr>
          <w:szCs w:val="18"/>
          <w:lang w:val="nl-NL"/>
        </w:rPr>
        <w:t>of de reeds geciteerde omschrijving van aanranding van de eerbaarheid gaf</w:t>
      </w:r>
      <w:r w:rsidR="00E234F9">
        <w:rPr>
          <w:szCs w:val="18"/>
          <w:lang w:val="nl-NL"/>
        </w:rPr>
        <w:t>.</w:t>
      </w:r>
      <w:r w:rsidR="00E234F9">
        <w:rPr>
          <w:rStyle w:val="FootnoteReference"/>
          <w:szCs w:val="18"/>
          <w:lang w:val="nl-NL"/>
        </w:rPr>
        <w:footnoteReference w:id="96"/>
      </w:r>
      <w:r w:rsidR="00BF6435" w:rsidRPr="000B4AB2">
        <w:rPr>
          <w:szCs w:val="18"/>
          <w:lang w:val="nl-NL"/>
        </w:rPr>
        <w:t xml:space="preserve"> </w:t>
      </w:r>
      <w:r w:rsidR="005206C3" w:rsidRPr="000B4AB2">
        <w:rPr>
          <w:szCs w:val="18"/>
          <w:lang w:val="nl-NL"/>
        </w:rPr>
        <w:t xml:space="preserve">Volgens </w:t>
      </w:r>
      <w:r w:rsidRPr="000B4AB2">
        <w:rPr>
          <w:szCs w:val="18"/>
          <w:lang w:val="nl-NL"/>
        </w:rPr>
        <w:t>bepaalde auteurs</w:t>
      </w:r>
      <w:r w:rsidR="005206C3" w:rsidRPr="000B4AB2">
        <w:rPr>
          <w:szCs w:val="18"/>
          <w:lang w:val="nl-NL"/>
        </w:rPr>
        <w:t xml:space="preserve"> zou het Hof hier</w:t>
      </w:r>
      <w:r w:rsidR="0035203B">
        <w:rPr>
          <w:szCs w:val="18"/>
          <w:lang w:val="nl-NL"/>
        </w:rPr>
        <w:t>mee</w:t>
      </w:r>
      <w:r w:rsidR="005206C3" w:rsidRPr="000B4AB2">
        <w:rPr>
          <w:szCs w:val="18"/>
          <w:lang w:val="nl-NL"/>
        </w:rPr>
        <w:t xml:space="preserve"> </w:t>
      </w:r>
      <w:r w:rsidR="00EB0829" w:rsidRPr="000B4AB2">
        <w:rPr>
          <w:szCs w:val="18"/>
          <w:lang w:val="nl-NL"/>
        </w:rPr>
        <w:t xml:space="preserve">de deur hebben opengezet naar gebrek aan toestemming </w:t>
      </w:r>
      <w:r w:rsidR="00EB0829" w:rsidRPr="000B4AB2">
        <w:rPr>
          <w:i/>
          <w:szCs w:val="18"/>
          <w:lang w:val="nl-NL"/>
        </w:rPr>
        <w:t>an sich</w:t>
      </w:r>
      <w:r w:rsidR="00EB0829" w:rsidRPr="000B4AB2">
        <w:rPr>
          <w:szCs w:val="18"/>
          <w:lang w:val="nl-NL"/>
        </w:rPr>
        <w:t xml:space="preserve"> als constitutief bestanddeel van het misdrijf</w:t>
      </w:r>
      <w:r w:rsidR="00361E5C" w:rsidRPr="000B4AB2">
        <w:rPr>
          <w:szCs w:val="18"/>
          <w:lang w:val="nl-NL"/>
        </w:rPr>
        <w:t>.</w:t>
      </w:r>
      <w:r w:rsidR="0035203B" w:rsidRPr="000B4AB2">
        <w:rPr>
          <w:rStyle w:val="FootnoteReference"/>
          <w:szCs w:val="18"/>
          <w:lang w:val="nl-NL"/>
        </w:rPr>
        <w:footnoteReference w:id="97"/>
      </w:r>
    </w:p>
    <w:p w14:paraId="4637D14B" w14:textId="77777777" w:rsidR="003D11B4" w:rsidRPr="000B4AB2" w:rsidRDefault="003D11B4" w:rsidP="00260F11">
      <w:pPr>
        <w:pStyle w:val="ListParagraph"/>
        <w:spacing w:line="360" w:lineRule="auto"/>
        <w:ind w:left="0"/>
        <w:rPr>
          <w:color w:val="000000" w:themeColor="text1"/>
          <w:szCs w:val="18"/>
          <w:lang w:val="nl-NL"/>
        </w:rPr>
      </w:pPr>
    </w:p>
    <w:p w14:paraId="275EE685" w14:textId="162E1BD5" w:rsidR="00D07F91" w:rsidRPr="0035203B" w:rsidRDefault="00C80C14" w:rsidP="00260F11">
      <w:pPr>
        <w:pStyle w:val="ListParagraph"/>
        <w:spacing w:line="360" w:lineRule="auto"/>
        <w:ind w:left="0"/>
        <w:rPr>
          <w:szCs w:val="18"/>
          <w:lang w:val="nl-NL"/>
        </w:rPr>
      </w:pPr>
      <w:r w:rsidRPr="000B4AB2">
        <w:rPr>
          <w:szCs w:val="18"/>
          <w:lang w:val="nl-NL"/>
        </w:rPr>
        <w:t>Voorgaande conclusie</w:t>
      </w:r>
      <w:r w:rsidR="00361E5C" w:rsidRPr="000B4AB2">
        <w:rPr>
          <w:szCs w:val="18"/>
          <w:lang w:val="nl-NL"/>
        </w:rPr>
        <w:t xml:space="preserve"> </w:t>
      </w:r>
      <w:r w:rsidRPr="000B4AB2">
        <w:rPr>
          <w:szCs w:val="18"/>
          <w:lang w:val="nl-NL"/>
        </w:rPr>
        <w:t>wa</w:t>
      </w:r>
      <w:r w:rsidR="00361E5C" w:rsidRPr="000B4AB2">
        <w:rPr>
          <w:szCs w:val="18"/>
          <w:lang w:val="nl-NL"/>
        </w:rPr>
        <w:t>s evenwel tegen de letter van de wet.</w:t>
      </w:r>
      <w:r w:rsidR="008831F6" w:rsidRPr="000B4AB2">
        <w:rPr>
          <w:rStyle w:val="FootnoteReference"/>
          <w:szCs w:val="18"/>
          <w:lang w:val="nl-NL"/>
        </w:rPr>
        <w:footnoteReference w:id="98"/>
      </w:r>
      <w:r w:rsidR="008831F6" w:rsidRPr="000B4AB2">
        <w:rPr>
          <w:szCs w:val="18"/>
          <w:lang w:val="nl-NL"/>
        </w:rPr>
        <w:t xml:space="preserve"> </w:t>
      </w:r>
      <w:r w:rsidR="00361E5C" w:rsidRPr="000B4AB2">
        <w:rPr>
          <w:szCs w:val="18"/>
          <w:lang w:val="nl-NL"/>
        </w:rPr>
        <w:t xml:space="preserve">SPRIET e.a. </w:t>
      </w:r>
      <w:r w:rsidR="0083564F" w:rsidRPr="000B4AB2">
        <w:rPr>
          <w:szCs w:val="18"/>
          <w:lang w:val="nl-NL"/>
        </w:rPr>
        <w:t>weerleg</w:t>
      </w:r>
      <w:r w:rsidRPr="000B4AB2">
        <w:rPr>
          <w:szCs w:val="18"/>
          <w:lang w:val="nl-NL"/>
        </w:rPr>
        <w:t>d</w:t>
      </w:r>
      <w:r w:rsidR="0083564F" w:rsidRPr="000B4AB2">
        <w:rPr>
          <w:szCs w:val="18"/>
          <w:lang w:val="nl-NL"/>
        </w:rPr>
        <w:t>en</w:t>
      </w:r>
      <w:r w:rsidR="00E66B2E">
        <w:rPr>
          <w:szCs w:val="18"/>
          <w:lang w:val="nl-NL"/>
        </w:rPr>
        <w:t>, m.i. terecht,</w:t>
      </w:r>
      <w:r w:rsidR="0083564F" w:rsidRPr="000B4AB2">
        <w:rPr>
          <w:szCs w:val="18"/>
          <w:lang w:val="nl-NL"/>
        </w:rPr>
        <w:t xml:space="preserve"> deze visie </w:t>
      </w:r>
      <w:r w:rsidRPr="000B4AB2">
        <w:rPr>
          <w:szCs w:val="18"/>
          <w:lang w:val="nl-NL"/>
        </w:rPr>
        <w:t xml:space="preserve">dan ook </w:t>
      </w:r>
      <w:r w:rsidR="0083564F" w:rsidRPr="000B4AB2">
        <w:rPr>
          <w:szCs w:val="18"/>
          <w:lang w:val="nl-NL"/>
        </w:rPr>
        <w:t xml:space="preserve">en </w:t>
      </w:r>
      <w:r w:rsidRPr="000B4AB2">
        <w:rPr>
          <w:szCs w:val="18"/>
          <w:lang w:val="nl-NL"/>
        </w:rPr>
        <w:t>besloten</w:t>
      </w:r>
      <w:r w:rsidR="00361E5C" w:rsidRPr="000B4AB2">
        <w:rPr>
          <w:szCs w:val="18"/>
          <w:lang w:val="nl-NL"/>
        </w:rPr>
        <w:t xml:space="preserve"> dat Cassatie zich nooit in die zin heeft uitgesproken.</w:t>
      </w:r>
      <w:r w:rsidR="0083564F" w:rsidRPr="000B4AB2">
        <w:rPr>
          <w:rStyle w:val="FootnoteReference"/>
          <w:szCs w:val="18"/>
          <w:lang w:val="nl-NL"/>
        </w:rPr>
        <w:footnoteReference w:id="99"/>
      </w:r>
      <w:r w:rsidRPr="000B4AB2">
        <w:rPr>
          <w:szCs w:val="18"/>
          <w:lang w:val="nl-NL"/>
        </w:rPr>
        <w:t xml:space="preserve"> </w:t>
      </w:r>
      <w:r w:rsidR="00822058" w:rsidRPr="000B4AB2">
        <w:rPr>
          <w:szCs w:val="18"/>
          <w:lang w:val="nl-NL"/>
        </w:rPr>
        <w:t xml:space="preserve">Deze zienswijze </w:t>
      </w:r>
      <w:r w:rsidR="00934030">
        <w:rPr>
          <w:szCs w:val="18"/>
          <w:lang w:val="nl-NL"/>
        </w:rPr>
        <w:t>vond</w:t>
      </w:r>
      <w:r w:rsidR="00361E5C" w:rsidRPr="000B4AB2">
        <w:rPr>
          <w:szCs w:val="18"/>
          <w:lang w:val="nl-NL"/>
        </w:rPr>
        <w:t xml:space="preserve"> bovendien bevestiging in </w:t>
      </w:r>
      <w:r w:rsidR="00934030">
        <w:rPr>
          <w:szCs w:val="18"/>
          <w:lang w:val="nl-NL"/>
        </w:rPr>
        <w:t xml:space="preserve">zeer recente </w:t>
      </w:r>
      <w:r w:rsidR="00361E5C" w:rsidRPr="000B4AB2">
        <w:rPr>
          <w:szCs w:val="18"/>
          <w:lang w:val="nl-NL"/>
        </w:rPr>
        <w:t xml:space="preserve">rechtspraak van het Hof, waarin </w:t>
      </w:r>
      <w:r w:rsidR="00A729C0" w:rsidRPr="000B4AB2">
        <w:rPr>
          <w:szCs w:val="18"/>
          <w:lang w:val="nl-NL"/>
        </w:rPr>
        <w:t xml:space="preserve">het voorhanden zijn van </w:t>
      </w:r>
      <w:r w:rsidR="00457F74" w:rsidRPr="000B4AB2">
        <w:rPr>
          <w:szCs w:val="18"/>
          <w:lang w:val="nl-NL"/>
        </w:rPr>
        <w:t>een</w:t>
      </w:r>
      <w:r w:rsidR="00361E5C" w:rsidRPr="000B4AB2">
        <w:rPr>
          <w:szCs w:val="18"/>
          <w:lang w:val="nl-NL"/>
        </w:rPr>
        <w:t xml:space="preserve"> van de toestemmingsuitsluitende gronden een constitutief bestanddeel </w:t>
      </w:r>
      <w:r w:rsidRPr="000B4AB2">
        <w:rPr>
          <w:szCs w:val="18"/>
          <w:lang w:val="nl-NL"/>
        </w:rPr>
        <w:t>werd genoemd</w:t>
      </w:r>
      <w:r w:rsidR="00361E5C" w:rsidRPr="000B4AB2">
        <w:rPr>
          <w:szCs w:val="18"/>
          <w:lang w:val="nl-NL"/>
        </w:rPr>
        <w:t>.</w:t>
      </w:r>
      <w:r w:rsidR="00361E5C" w:rsidRPr="000B4AB2">
        <w:rPr>
          <w:rStyle w:val="FootnoteReference"/>
          <w:szCs w:val="18"/>
          <w:lang w:val="nl-NL"/>
        </w:rPr>
        <w:footnoteReference w:id="100"/>
      </w:r>
      <w:r w:rsidR="00CE774D" w:rsidRPr="000B4AB2">
        <w:rPr>
          <w:szCs w:val="18"/>
          <w:lang w:val="nl-NL"/>
        </w:rPr>
        <w:t xml:space="preserve"> </w:t>
      </w:r>
      <w:r w:rsidR="007B1411">
        <w:rPr>
          <w:color w:val="000000" w:themeColor="text1"/>
          <w:szCs w:val="18"/>
          <w:lang w:val="nl-NL"/>
        </w:rPr>
        <w:t>Volgens de meerderheidsvisie maakte het</w:t>
      </w:r>
      <w:r w:rsidR="00CE774D" w:rsidRPr="000B4AB2">
        <w:rPr>
          <w:color w:val="000000" w:themeColor="text1"/>
          <w:szCs w:val="18"/>
          <w:lang w:val="nl-NL"/>
        </w:rPr>
        <w:t xml:space="preserve"> ontbreken van </w:t>
      </w:r>
      <w:r w:rsidR="007B1411">
        <w:rPr>
          <w:color w:val="000000" w:themeColor="text1"/>
          <w:szCs w:val="18"/>
          <w:lang w:val="nl-NL"/>
        </w:rPr>
        <w:t xml:space="preserve">de </w:t>
      </w:r>
      <w:r w:rsidR="00CE774D" w:rsidRPr="000B4AB2">
        <w:rPr>
          <w:color w:val="000000" w:themeColor="text1"/>
          <w:szCs w:val="18"/>
          <w:lang w:val="nl-NL"/>
        </w:rPr>
        <w:t xml:space="preserve">toestemming op zich </w:t>
      </w:r>
      <w:r w:rsidR="007B1411">
        <w:rPr>
          <w:color w:val="000000" w:themeColor="text1"/>
          <w:szCs w:val="18"/>
          <w:lang w:val="nl-NL"/>
        </w:rPr>
        <w:t xml:space="preserve">dan ook </w:t>
      </w:r>
      <w:r w:rsidR="00CE774D" w:rsidRPr="000B4AB2">
        <w:rPr>
          <w:color w:val="000000" w:themeColor="text1"/>
          <w:szCs w:val="18"/>
          <w:lang w:val="nl-NL"/>
        </w:rPr>
        <w:t xml:space="preserve">geen constitutief bestanddeel </w:t>
      </w:r>
      <w:r w:rsidR="007B1411">
        <w:rPr>
          <w:color w:val="000000" w:themeColor="text1"/>
          <w:szCs w:val="18"/>
          <w:lang w:val="nl-NL"/>
        </w:rPr>
        <w:t>uit</w:t>
      </w:r>
      <w:r w:rsidR="00074566" w:rsidRPr="000B4AB2">
        <w:rPr>
          <w:color w:val="000000" w:themeColor="text1"/>
          <w:szCs w:val="18"/>
          <w:lang w:val="nl-NL"/>
        </w:rPr>
        <w:t xml:space="preserve"> </w:t>
      </w:r>
      <w:r w:rsidR="00CE774D" w:rsidRPr="000B4AB2">
        <w:rPr>
          <w:color w:val="000000" w:themeColor="text1"/>
          <w:szCs w:val="18"/>
          <w:lang w:val="nl-NL"/>
        </w:rPr>
        <w:t xml:space="preserve">van </w:t>
      </w:r>
      <w:r w:rsidR="00074566" w:rsidRPr="000B4AB2">
        <w:rPr>
          <w:color w:val="000000" w:themeColor="text1"/>
          <w:szCs w:val="18"/>
          <w:lang w:val="nl-NL"/>
        </w:rPr>
        <w:t>de strafbaarstelling in</w:t>
      </w:r>
      <w:r w:rsidR="00A729C0" w:rsidRPr="000B4AB2">
        <w:rPr>
          <w:color w:val="000000" w:themeColor="text1"/>
          <w:szCs w:val="18"/>
          <w:lang w:val="nl-NL"/>
        </w:rPr>
        <w:t xml:space="preserve"> oud artikel 373 </w:t>
      </w:r>
      <w:r w:rsidR="0081584B">
        <w:rPr>
          <w:color w:val="000000" w:themeColor="text1"/>
          <w:szCs w:val="18"/>
          <w:lang w:val="nl-NL"/>
        </w:rPr>
        <w:t xml:space="preserve">van het </w:t>
      </w:r>
      <w:r w:rsidR="00A729C0" w:rsidRPr="000B4AB2">
        <w:rPr>
          <w:color w:val="000000" w:themeColor="text1"/>
          <w:szCs w:val="18"/>
          <w:lang w:val="nl-NL"/>
        </w:rPr>
        <w:t>Strafwetboek</w:t>
      </w:r>
      <w:r w:rsidR="00CE774D" w:rsidRPr="000B4AB2">
        <w:rPr>
          <w:color w:val="000000" w:themeColor="text1"/>
          <w:szCs w:val="18"/>
          <w:lang w:val="nl-NL"/>
        </w:rPr>
        <w:t>.</w:t>
      </w:r>
      <w:r w:rsidR="00AA79DA" w:rsidRPr="000B4AB2">
        <w:rPr>
          <w:rStyle w:val="FootnoteReference"/>
          <w:color w:val="000000" w:themeColor="text1"/>
          <w:szCs w:val="18"/>
          <w:lang w:val="nl-NL"/>
        </w:rPr>
        <w:footnoteReference w:id="101"/>
      </w:r>
    </w:p>
    <w:p w14:paraId="058C5C2E" w14:textId="71A47025" w:rsidR="004053DF" w:rsidRPr="000B4AB2" w:rsidRDefault="004053DF" w:rsidP="00260F11">
      <w:pPr>
        <w:spacing w:line="360" w:lineRule="auto"/>
        <w:rPr>
          <w:szCs w:val="18"/>
          <w:lang w:val="nl-NL"/>
        </w:rPr>
      </w:pPr>
    </w:p>
    <w:p w14:paraId="4C6F34E6" w14:textId="5F777CBF" w:rsidR="004053DF" w:rsidRPr="000B4AB2" w:rsidRDefault="004053DF" w:rsidP="00260F11">
      <w:pPr>
        <w:pStyle w:val="Heading5"/>
        <w:spacing w:line="360" w:lineRule="auto"/>
        <w:rPr>
          <w:szCs w:val="18"/>
          <w:lang w:val="nl-NL"/>
        </w:rPr>
      </w:pPr>
      <w:bookmarkStart w:id="12" w:name="_Toc135041043"/>
      <w:r w:rsidRPr="000B4AB2">
        <w:rPr>
          <w:szCs w:val="18"/>
          <w:lang w:val="nl-NL"/>
        </w:rPr>
        <w:lastRenderedPageBreak/>
        <w:t>Moreel bestanddeel</w:t>
      </w:r>
      <w:bookmarkEnd w:id="12"/>
    </w:p>
    <w:p w14:paraId="6C8FD822" w14:textId="77777777" w:rsidR="004053DF" w:rsidRPr="000B4AB2" w:rsidRDefault="004053DF" w:rsidP="00260F11">
      <w:pPr>
        <w:spacing w:line="360" w:lineRule="auto"/>
        <w:rPr>
          <w:szCs w:val="18"/>
          <w:lang w:val="nl-NL"/>
        </w:rPr>
      </w:pPr>
    </w:p>
    <w:p w14:paraId="67623A97" w14:textId="05C9093C" w:rsidR="008A5B9F" w:rsidRPr="0035203B" w:rsidRDefault="0035203B"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Voor wat betreft het vereiste moreel bestanddeel</w:t>
      </w:r>
      <w:r w:rsidR="008A5B9F" w:rsidRPr="000B4AB2">
        <w:rPr>
          <w:color w:val="000000" w:themeColor="text1"/>
          <w:szCs w:val="18"/>
          <w:lang w:val="nl-NL"/>
        </w:rPr>
        <w:t xml:space="preserve"> dien</w:t>
      </w:r>
      <w:r w:rsidR="00DB7FAD" w:rsidRPr="000B4AB2">
        <w:rPr>
          <w:color w:val="000000" w:themeColor="text1"/>
          <w:szCs w:val="18"/>
          <w:lang w:val="nl-NL"/>
        </w:rPr>
        <w:t>de</w:t>
      </w:r>
      <w:r w:rsidR="008A5B9F" w:rsidRPr="000B4AB2">
        <w:rPr>
          <w:color w:val="000000" w:themeColor="text1"/>
          <w:szCs w:val="18"/>
          <w:lang w:val="nl-NL"/>
        </w:rPr>
        <w:t xml:space="preserve"> een onderscheid gemaakt te worden tussen</w:t>
      </w:r>
      <w:r>
        <w:rPr>
          <w:color w:val="000000" w:themeColor="text1"/>
          <w:szCs w:val="18"/>
          <w:lang w:val="nl-NL"/>
        </w:rPr>
        <w:t xml:space="preserve"> </w:t>
      </w:r>
      <w:r w:rsidR="008A5B9F" w:rsidRPr="0035203B">
        <w:rPr>
          <w:color w:val="000000" w:themeColor="text1"/>
          <w:szCs w:val="18"/>
          <w:lang w:val="nl-NL"/>
        </w:rPr>
        <w:t xml:space="preserve">het moreel bestanddeel dat vereist </w:t>
      </w:r>
      <w:r w:rsidR="00343D2D" w:rsidRPr="0035203B">
        <w:rPr>
          <w:color w:val="000000" w:themeColor="text1"/>
          <w:szCs w:val="18"/>
          <w:lang w:val="nl-NL"/>
        </w:rPr>
        <w:t>werd</w:t>
      </w:r>
      <w:r w:rsidR="008A5B9F" w:rsidRPr="0035203B">
        <w:rPr>
          <w:color w:val="000000" w:themeColor="text1"/>
          <w:szCs w:val="18"/>
          <w:lang w:val="nl-NL"/>
        </w:rPr>
        <w:t xml:space="preserve"> t.a.v. </w:t>
      </w:r>
      <w:r>
        <w:rPr>
          <w:color w:val="000000" w:themeColor="text1"/>
          <w:szCs w:val="18"/>
          <w:lang w:val="nl-NL"/>
        </w:rPr>
        <w:t xml:space="preserve">enerzijds </w:t>
      </w:r>
      <w:r w:rsidR="008A5B9F" w:rsidRPr="0035203B">
        <w:rPr>
          <w:color w:val="000000" w:themeColor="text1"/>
          <w:szCs w:val="18"/>
          <w:lang w:val="nl-NL"/>
        </w:rPr>
        <w:t xml:space="preserve">de </w:t>
      </w:r>
      <w:r>
        <w:rPr>
          <w:color w:val="000000" w:themeColor="text1"/>
          <w:szCs w:val="18"/>
          <w:lang w:val="nl-NL"/>
        </w:rPr>
        <w:t xml:space="preserve">minderjarige </w:t>
      </w:r>
      <w:r w:rsidR="008A5B9F" w:rsidRPr="0035203B">
        <w:rPr>
          <w:color w:val="000000" w:themeColor="text1"/>
          <w:szCs w:val="18"/>
          <w:lang w:val="nl-NL"/>
        </w:rPr>
        <w:t xml:space="preserve">leeftijd </w:t>
      </w:r>
      <w:r>
        <w:rPr>
          <w:color w:val="000000" w:themeColor="text1"/>
          <w:szCs w:val="18"/>
          <w:lang w:val="nl-NL"/>
        </w:rPr>
        <w:t>van het</w:t>
      </w:r>
      <w:r w:rsidR="008A5B9F" w:rsidRPr="0035203B">
        <w:rPr>
          <w:color w:val="000000" w:themeColor="text1"/>
          <w:szCs w:val="18"/>
          <w:lang w:val="nl-NL"/>
        </w:rPr>
        <w:t xml:space="preserve"> slachtoffer </w:t>
      </w:r>
      <w:r>
        <w:rPr>
          <w:color w:val="000000" w:themeColor="text1"/>
          <w:szCs w:val="18"/>
          <w:lang w:val="nl-NL"/>
        </w:rPr>
        <w:t>als</w:t>
      </w:r>
      <w:r w:rsidR="008A5B9F" w:rsidRPr="0035203B">
        <w:rPr>
          <w:color w:val="000000" w:themeColor="text1"/>
          <w:szCs w:val="18"/>
          <w:lang w:val="nl-NL"/>
        </w:rPr>
        <w:t xml:space="preserve"> constitutief bestanddeel en </w:t>
      </w:r>
      <w:r>
        <w:rPr>
          <w:color w:val="000000" w:themeColor="text1"/>
          <w:szCs w:val="18"/>
          <w:lang w:val="nl-NL"/>
        </w:rPr>
        <w:t xml:space="preserve">anderzijds </w:t>
      </w:r>
      <w:r w:rsidR="008A5B9F" w:rsidRPr="0035203B">
        <w:rPr>
          <w:color w:val="000000" w:themeColor="text1"/>
          <w:szCs w:val="18"/>
          <w:lang w:val="nl-NL"/>
        </w:rPr>
        <w:t>overige constitutieve bestanddelen van het misdrijf (hierna: de materiële gedraging</w:t>
      </w:r>
      <w:r w:rsidR="005A7F08" w:rsidRPr="0035203B">
        <w:rPr>
          <w:color w:val="000000" w:themeColor="text1"/>
          <w:szCs w:val="18"/>
          <w:lang w:val="nl-NL"/>
        </w:rPr>
        <w:t xml:space="preserve"> </w:t>
      </w:r>
      <w:r w:rsidR="005A7F08" w:rsidRPr="0035203B">
        <w:rPr>
          <w:i/>
          <w:color w:val="000000" w:themeColor="text1"/>
          <w:szCs w:val="18"/>
          <w:lang w:val="nl-NL"/>
        </w:rPr>
        <w:t>sensu lato</w:t>
      </w:r>
      <w:r w:rsidR="008A5B9F" w:rsidRPr="0035203B">
        <w:rPr>
          <w:color w:val="000000" w:themeColor="text1"/>
          <w:szCs w:val="18"/>
          <w:lang w:val="nl-NL"/>
        </w:rPr>
        <w:t>).</w:t>
      </w:r>
      <w:r w:rsidR="008A5B9F" w:rsidRPr="000B4AB2">
        <w:rPr>
          <w:rStyle w:val="FootnoteReference"/>
          <w:color w:val="000000" w:themeColor="text1"/>
          <w:szCs w:val="18"/>
          <w:lang w:val="nl-NL"/>
        </w:rPr>
        <w:footnoteReference w:id="102"/>
      </w:r>
    </w:p>
    <w:p w14:paraId="331DEE92" w14:textId="77777777" w:rsidR="008A5B9F" w:rsidRPr="000B4AB2" w:rsidRDefault="008A5B9F" w:rsidP="00260F11">
      <w:pPr>
        <w:pStyle w:val="ListParagraph"/>
        <w:spacing w:line="360" w:lineRule="auto"/>
        <w:ind w:left="0"/>
        <w:rPr>
          <w:color w:val="000000" w:themeColor="text1"/>
          <w:szCs w:val="18"/>
          <w:lang w:val="nl-NL"/>
        </w:rPr>
      </w:pPr>
    </w:p>
    <w:p w14:paraId="30A680A7" w14:textId="3E0F2825" w:rsidR="00823A14" w:rsidRPr="000B4AB2" w:rsidRDefault="005E425D"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(1) </w:t>
      </w:r>
      <w:r w:rsidR="008A5B9F" w:rsidRPr="000B4AB2">
        <w:rPr>
          <w:b/>
          <w:color w:val="000000" w:themeColor="text1"/>
          <w:szCs w:val="18"/>
          <w:lang w:val="nl-NL"/>
        </w:rPr>
        <w:t xml:space="preserve">Moreel bestanddeel </w:t>
      </w:r>
      <w:r w:rsidR="00F87581">
        <w:rPr>
          <w:b/>
          <w:color w:val="000000" w:themeColor="text1"/>
          <w:szCs w:val="18"/>
          <w:lang w:val="nl-NL"/>
        </w:rPr>
        <w:t>m.b.t.</w:t>
      </w:r>
      <w:r w:rsidR="008A5B9F" w:rsidRPr="000B4AB2">
        <w:rPr>
          <w:b/>
          <w:color w:val="000000" w:themeColor="text1"/>
          <w:szCs w:val="18"/>
          <w:lang w:val="nl-NL"/>
        </w:rPr>
        <w:t xml:space="preserve"> de materiële gedraging</w:t>
      </w:r>
      <w:r w:rsidR="005A7F08">
        <w:rPr>
          <w:b/>
          <w:color w:val="000000" w:themeColor="text1"/>
          <w:szCs w:val="18"/>
          <w:lang w:val="nl-NL"/>
        </w:rPr>
        <w:t xml:space="preserve"> </w:t>
      </w:r>
      <w:r w:rsidR="005A7F08" w:rsidRPr="005A7F08">
        <w:rPr>
          <w:b/>
          <w:i/>
          <w:color w:val="000000" w:themeColor="text1"/>
          <w:szCs w:val="18"/>
          <w:lang w:val="nl-NL"/>
        </w:rPr>
        <w:t>sensu lato</w:t>
      </w:r>
      <w:r w:rsidR="008A5B9F" w:rsidRPr="000B4AB2">
        <w:rPr>
          <w:color w:val="000000" w:themeColor="text1"/>
          <w:szCs w:val="18"/>
          <w:lang w:val="nl-NL"/>
        </w:rPr>
        <w:t xml:space="preserve">. </w:t>
      </w:r>
      <w:r w:rsidR="00441D88" w:rsidRPr="000B4AB2">
        <w:rPr>
          <w:szCs w:val="18"/>
          <w:lang w:val="nl-NL"/>
        </w:rPr>
        <w:t xml:space="preserve">De wetgever </w:t>
      </w:r>
      <w:r w:rsidR="00DB7FAD" w:rsidRPr="000B4AB2">
        <w:rPr>
          <w:szCs w:val="18"/>
          <w:lang w:val="nl-NL"/>
        </w:rPr>
        <w:t>bepaalde</w:t>
      </w:r>
      <w:r w:rsidR="00441D88" w:rsidRPr="000B4AB2">
        <w:rPr>
          <w:szCs w:val="18"/>
          <w:lang w:val="nl-NL"/>
        </w:rPr>
        <w:t xml:space="preserve"> niet expliciet welk moreel bestanddeel vereist </w:t>
      </w:r>
      <w:r w:rsidR="00DB7FAD" w:rsidRPr="000B4AB2">
        <w:rPr>
          <w:szCs w:val="18"/>
          <w:lang w:val="nl-NL"/>
        </w:rPr>
        <w:t>wa</w:t>
      </w:r>
      <w:r w:rsidR="00441D88" w:rsidRPr="000B4AB2">
        <w:rPr>
          <w:szCs w:val="18"/>
          <w:lang w:val="nl-NL"/>
        </w:rPr>
        <w:t xml:space="preserve">s voor het misdrijf aanranding van de eerbaarheid. Bij </w:t>
      </w:r>
      <w:r w:rsidR="0035203B">
        <w:rPr>
          <w:szCs w:val="18"/>
          <w:lang w:val="nl-NL"/>
        </w:rPr>
        <w:t xml:space="preserve">een dergelijk </w:t>
      </w:r>
      <w:r w:rsidR="00441D88" w:rsidRPr="000B4AB2">
        <w:rPr>
          <w:szCs w:val="18"/>
          <w:lang w:val="nl-NL"/>
        </w:rPr>
        <w:t xml:space="preserve">wetgevend stilzwijgen, stelt de </w:t>
      </w:r>
      <w:r w:rsidR="008A5B9F" w:rsidRPr="000B4AB2">
        <w:rPr>
          <w:szCs w:val="18"/>
          <w:lang w:val="nl-NL"/>
        </w:rPr>
        <w:t>thans heersende</w:t>
      </w:r>
      <w:r w:rsidR="00441D88" w:rsidRPr="000B4AB2">
        <w:rPr>
          <w:szCs w:val="18"/>
          <w:lang w:val="nl-NL"/>
        </w:rPr>
        <w:t xml:space="preserve"> leer</w:t>
      </w:r>
      <w:r w:rsidR="00441D88" w:rsidRPr="000B4AB2">
        <w:rPr>
          <w:rStyle w:val="FootnoteReference"/>
          <w:szCs w:val="18"/>
          <w:lang w:val="nl-NL"/>
        </w:rPr>
        <w:footnoteReference w:id="103"/>
      </w:r>
      <w:r w:rsidR="00441D88" w:rsidRPr="000B4AB2">
        <w:rPr>
          <w:szCs w:val="18"/>
          <w:lang w:val="nl-NL"/>
        </w:rPr>
        <w:t xml:space="preserve"> dat een algemeen opzet voldoende is</w:t>
      </w:r>
      <w:r w:rsidR="007C4254" w:rsidRPr="000B4AB2">
        <w:rPr>
          <w:szCs w:val="18"/>
          <w:lang w:val="nl-NL"/>
        </w:rPr>
        <w:t>.</w:t>
      </w:r>
      <w:r w:rsidR="00750690" w:rsidRPr="000B4AB2">
        <w:rPr>
          <w:rStyle w:val="FootnoteReference"/>
          <w:szCs w:val="18"/>
          <w:lang w:val="nl-NL"/>
        </w:rPr>
        <w:footnoteReference w:id="104"/>
      </w:r>
      <w:r w:rsidR="00191E3C" w:rsidRPr="000B4AB2">
        <w:rPr>
          <w:szCs w:val="18"/>
          <w:lang w:val="nl-NL"/>
        </w:rPr>
        <w:t xml:space="preserve"> </w:t>
      </w:r>
      <w:r w:rsidR="007C4254" w:rsidRPr="000B4AB2">
        <w:rPr>
          <w:szCs w:val="18"/>
          <w:lang w:val="nl-NL"/>
        </w:rPr>
        <w:t xml:space="preserve">De dader moest </w:t>
      </w:r>
      <w:r w:rsidR="00A005D1" w:rsidRPr="000B4AB2">
        <w:rPr>
          <w:szCs w:val="18"/>
          <w:lang w:val="nl-NL"/>
        </w:rPr>
        <w:t xml:space="preserve">wetens en willens gehandeld hebben: </w:t>
      </w:r>
      <w:r w:rsidR="00D26D90">
        <w:rPr>
          <w:szCs w:val="18"/>
          <w:lang w:val="nl-NL"/>
        </w:rPr>
        <w:t>deze</w:t>
      </w:r>
      <w:r w:rsidR="00A005D1" w:rsidRPr="000B4AB2">
        <w:rPr>
          <w:szCs w:val="18"/>
          <w:lang w:val="nl-NL"/>
        </w:rPr>
        <w:t xml:space="preserve"> moest </w:t>
      </w:r>
      <w:r w:rsidR="007C4254" w:rsidRPr="000B4AB2">
        <w:rPr>
          <w:szCs w:val="18"/>
          <w:lang w:val="nl-NL"/>
        </w:rPr>
        <w:t>weten</w:t>
      </w:r>
      <w:r w:rsidR="00235E76" w:rsidRPr="000B4AB2">
        <w:rPr>
          <w:szCs w:val="18"/>
          <w:lang w:val="nl-NL"/>
        </w:rPr>
        <w:t xml:space="preserve"> dat de beoogde handelingen “</w:t>
      </w:r>
      <w:r w:rsidR="00235E76" w:rsidRPr="000B4AB2">
        <w:rPr>
          <w:i/>
          <w:szCs w:val="18"/>
          <w:lang w:val="nl-NL"/>
        </w:rPr>
        <w:t xml:space="preserve">immoreel of </w:t>
      </w:r>
      <w:r w:rsidR="00C82A0A" w:rsidRPr="000B4AB2">
        <w:rPr>
          <w:i/>
          <w:szCs w:val="18"/>
          <w:lang w:val="nl-NL"/>
        </w:rPr>
        <w:t>obsceen</w:t>
      </w:r>
      <w:r w:rsidR="00235E76" w:rsidRPr="000B4AB2">
        <w:rPr>
          <w:szCs w:val="18"/>
          <w:lang w:val="nl-NL"/>
        </w:rPr>
        <w:t xml:space="preserve">” </w:t>
      </w:r>
      <w:r w:rsidR="00DC5B16" w:rsidRPr="000B4AB2">
        <w:rPr>
          <w:szCs w:val="18"/>
          <w:lang w:val="nl-NL"/>
        </w:rPr>
        <w:t>waren</w:t>
      </w:r>
      <w:r w:rsidR="00235E76" w:rsidRPr="000B4AB2">
        <w:rPr>
          <w:szCs w:val="18"/>
          <w:lang w:val="nl-NL"/>
        </w:rPr>
        <w:t xml:space="preserve"> en </w:t>
      </w:r>
      <w:r w:rsidR="00287B3C" w:rsidRPr="000B4AB2">
        <w:rPr>
          <w:szCs w:val="18"/>
          <w:lang w:val="nl-NL"/>
        </w:rPr>
        <w:t>diens</w:t>
      </w:r>
      <w:r w:rsidR="00235E76" w:rsidRPr="000B4AB2">
        <w:rPr>
          <w:szCs w:val="18"/>
          <w:lang w:val="nl-NL"/>
        </w:rPr>
        <w:t xml:space="preserve"> wil </w:t>
      </w:r>
      <w:r w:rsidR="007C4254" w:rsidRPr="000B4AB2">
        <w:rPr>
          <w:szCs w:val="18"/>
          <w:lang w:val="nl-NL"/>
        </w:rPr>
        <w:t xml:space="preserve">moest </w:t>
      </w:r>
      <w:r w:rsidR="00235E76" w:rsidRPr="000B4AB2">
        <w:rPr>
          <w:szCs w:val="18"/>
          <w:lang w:val="nl-NL"/>
        </w:rPr>
        <w:t xml:space="preserve">erop gericht </w:t>
      </w:r>
      <w:r w:rsidR="00D26D90">
        <w:rPr>
          <w:szCs w:val="18"/>
          <w:lang w:val="nl-NL"/>
        </w:rPr>
        <w:t xml:space="preserve">zijn </w:t>
      </w:r>
      <w:r w:rsidR="00235E76" w:rsidRPr="000B4AB2">
        <w:rPr>
          <w:szCs w:val="18"/>
          <w:lang w:val="nl-NL"/>
        </w:rPr>
        <w:t>deze handelingen te stellen.</w:t>
      </w:r>
      <w:r w:rsidR="00E727B7" w:rsidRPr="000B4AB2">
        <w:rPr>
          <w:rStyle w:val="FootnoteReference"/>
          <w:szCs w:val="18"/>
          <w:lang w:val="nl-NL"/>
        </w:rPr>
        <w:footnoteReference w:id="105"/>
      </w:r>
      <w:r w:rsidR="00005721" w:rsidRPr="000B4AB2">
        <w:rPr>
          <w:szCs w:val="18"/>
          <w:lang w:val="nl-NL"/>
        </w:rPr>
        <w:t xml:space="preserve"> Irrelevant daarbij </w:t>
      </w:r>
      <w:r w:rsidR="00334348" w:rsidRPr="000B4AB2">
        <w:rPr>
          <w:szCs w:val="18"/>
          <w:lang w:val="nl-NL"/>
        </w:rPr>
        <w:t>was</w:t>
      </w:r>
      <w:r w:rsidR="00235E76" w:rsidRPr="000B4AB2">
        <w:rPr>
          <w:szCs w:val="18"/>
          <w:lang w:val="nl-NL"/>
        </w:rPr>
        <w:t xml:space="preserve"> of de dader </w:t>
      </w:r>
      <w:r w:rsidR="00005721" w:rsidRPr="000B4AB2">
        <w:rPr>
          <w:szCs w:val="18"/>
          <w:lang w:val="nl-NL"/>
        </w:rPr>
        <w:t>met deze gedraging</w:t>
      </w:r>
      <w:r w:rsidR="00235E76" w:rsidRPr="000B4AB2">
        <w:rPr>
          <w:szCs w:val="18"/>
          <w:lang w:val="nl-NL"/>
        </w:rPr>
        <w:t xml:space="preserve"> </w:t>
      </w:r>
      <w:r w:rsidR="0035203B">
        <w:rPr>
          <w:szCs w:val="18"/>
          <w:lang w:val="nl-NL"/>
        </w:rPr>
        <w:t>diens</w:t>
      </w:r>
      <w:r w:rsidR="00235E76" w:rsidRPr="000B4AB2">
        <w:rPr>
          <w:szCs w:val="18"/>
          <w:lang w:val="nl-NL"/>
        </w:rPr>
        <w:t xml:space="preserve"> driften </w:t>
      </w:r>
      <w:r w:rsidR="00DC5B16" w:rsidRPr="000B4AB2">
        <w:rPr>
          <w:szCs w:val="18"/>
          <w:lang w:val="nl-NL"/>
        </w:rPr>
        <w:t>wilde</w:t>
      </w:r>
      <w:r w:rsidR="00235E76" w:rsidRPr="000B4AB2">
        <w:rPr>
          <w:szCs w:val="18"/>
          <w:lang w:val="nl-NL"/>
        </w:rPr>
        <w:t xml:space="preserve"> bevredigen. Dit laatste </w:t>
      </w:r>
      <w:r w:rsidR="00334348" w:rsidRPr="000B4AB2">
        <w:rPr>
          <w:szCs w:val="18"/>
          <w:lang w:val="nl-NL"/>
        </w:rPr>
        <w:t>slaat</w:t>
      </w:r>
      <w:r w:rsidR="00235E76" w:rsidRPr="000B4AB2">
        <w:rPr>
          <w:szCs w:val="18"/>
          <w:lang w:val="nl-NL"/>
        </w:rPr>
        <w:t xml:space="preserve"> </w:t>
      </w:r>
      <w:r w:rsidR="007C4254" w:rsidRPr="000B4AB2">
        <w:rPr>
          <w:szCs w:val="18"/>
          <w:lang w:val="nl-NL"/>
        </w:rPr>
        <w:t>namelijk</w:t>
      </w:r>
      <w:r w:rsidR="00235E76" w:rsidRPr="000B4AB2">
        <w:rPr>
          <w:szCs w:val="18"/>
          <w:lang w:val="nl-NL"/>
        </w:rPr>
        <w:t xml:space="preserve"> op de persoonlijke drijfveer van de dader, wat geen constitutief bestanddeel van het misdrijf </w:t>
      </w:r>
      <w:r w:rsidR="00334348" w:rsidRPr="000B4AB2">
        <w:rPr>
          <w:szCs w:val="18"/>
          <w:lang w:val="nl-NL"/>
        </w:rPr>
        <w:t>was</w:t>
      </w:r>
      <w:r w:rsidR="00235E76" w:rsidRPr="000B4AB2">
        <w:rPr>
          <w:szCs w:val="18"/>
          <w:lang w:val="nl-NL"/>
        </w:rPr>
        <w:t>.</w:t>
      </w:r>
      <w:r w:rsidR="00CA2A80" w:rsidRPr="000B4AB2">
        <w:rPr>
          <w:rStyle w:val="FootnoteReference"/>
          <w:szCs w:val="18"/>
          <w:lang w:val="nl-NL"/>
        </w:rPr>
        <w:footnoteReference w:id="106"/>
      </w:r>
      <w:r w:rsidR="00E5449F">
        <w:rPr>
          <w:szCs w:val="18"/>
          <w:lang w:val="nl-NL"/>
        </w:rPr>
        <w:t xml:space="preserve"> </w:t>
      </w:r>
    </w:p>
    <w:p w14:paraId="06972BFA" w14:textId="7BB5B5CF" w:rsidR="00BF0E18" w:rsidRPr="000B4AB2" w:rsidRDefault="00BF0E18" w:rsidP="00260F11">
      <w:pPr>
        <w:pStyle w:val="ListParagraph"/>
        <w:spacing w:line="360" w:lineRule="auto"/>
        <w:ind w:left="0"/>
        <w:rPr>
          <w:szCs w:val="18"/>
          <w:lang w:val="nl-NL"/>
        </w:rPr>
      </w:pPr>
    </w:p>
    <w:p w14:paraId="79482328" w14:textId="1F1426CE" w:rsidR="00085F95" w:rsidRPr="000B4AB2" w:rsidRDefault="003826BF" w:rsidP="00260F11">
      <w:pPr>
        <w:pStyle w:val="ListParagraph"/>
        <w:numPr>
          <w:ilvl w:val="0"/>
          <w:numId w:val="1"/>
        </w:numPr>
        <w:spacing w:line="360" w:lineRule="auto"/>
        <w:ind w:left="0" w:hanging="709"/>
        <w:rPr>
          <w:szCs w:val="18"/>
          <w:lang w:val="nl-NL"/>
        </w:rPr>
      </w:pPr>
      <w:r w:rsidRPr="000B4AB2">
        <w:rPr>
          <w:b/>
          <w:szCs w:val="18"/>
          <w:lang w:val="nl-NL"/>
        </w:rPr>
        <w:t>B</w:t>
      </w:r>
      <w:r w:rsidR="006B585C" w:rsidRPr="000B4AB2">
        <w:rPr>
          <w:b/>
          <w:szCs w:val="18"/>
          <w:lang w:val="nl-NL"/>
        </w:rPr>
        <w:t>edoeling om eerbaarheid aan te randen?</w:t>
      </w:r>
      <w:r w:rsidR="005B2F1B" w:rsidRPr="005B2F1B">
        <w:rPr>
          <w:rStyle w:val="FootnoteReference"/>
          <w:szCs w:val="18"/>
          <w:lang w:val="nl-NL"/>
        </w:rPr>
        <w:footnoteReference w:id="107"/>
      </w:r>
      <w:r w:rsidR="006B585C" w:rsidRPr="000B4AB2">
        <w:rPr>
          <w:b/>
          <w:szCs w:val="18"/>
          <w:lang w:val="nl-NL"/>
        </w:rPr>
        <w:t xml:space="preserve"> </w:t>
      </w:r>
      <w:r w:rsidR="00823A14" w:rsidRPr="000B4AB2">
        <w:rPr>
          <w:szCs w:val="18"/>
          <w:lang w:val="nl-NL"/>
        </w:rPr>
        <w:t xml:space="preserve">Het moreel bestanddeel </w:t>
      </w:r>
      <w:r w:rsidR="00334348" w:rsidRPr="000B4AB2">
        <w:rPr>
          <w:szCs w:val="18"/>
          <w:lang w:val="nl-NL"/>
        </w:rPr>
        <w:t>werd</w:t>
      </w:r>
      <w:r w:rsidR="00823A14" w:rsidRPr="000B4AB2">
        <w:rPr>
          <w:szCs w:val="18"/>
          <w:lang w:val="nl-NL"/>
        </w:rPr>
        <w:t xml:space="preserve"> </w:t>
      </w:r>
      <w:r w:rsidR="006B585C" w:rsidRPr="000B4AB2">
        <w:rPr>
          <w:szCs w:val="18"/>
          <w:lang w:val="nl-NL"/>
        </w:rPr>
        <w:t xml:space="preserve">geacht </w:t>
      </w:r>
      <w:r w:rsidR="00823A14" w:rsidRPr="000B4AB2">
        <w:rPr>
          <w:szCs w:val="18"/>
          <w:lang w:val="nl-NL"/>
        </w:rPr>
        <w:t xml:space="preserve">aanwezig </w:t>
      </w:r>
      <w:r w:rsidR="006B585C" w:rsidRPr="000B4AB2">
        <w:rPr>
          <w:szCs w:val="18"/>
          <w:lang w:val="nl-NL"/>
        </w:rPr>
        <w:t>te zijn</w:t>
      </w:r>
      <w:r w:rsidR="00823A14" w:rsidRPr="000B4AB2">
        <w:rPr>
          <w:szCs w:val="18"/>
          <w:lang w:val="nl-NL"/>
        </w:rPr>
        <w:t xml:space="preserve"> wanneer de dader handelde met de bedoeling de eerbaarheid </w:t>
      </w:r>
      <w:r w:rsidR="00757EBE" w:rsidRPr="000B4AB2">
        <w:rPr>
          <w:szCs w:val="18"/>
          <w:lang w:val="nl-NL"/>
        </w:rPr>
        <w:t xml:space="preserve">(van het slachtoffer) </w:t>
      </w:r>
      <w:r w:rsidR="00823A14" w:rsidRPr="000B4AB2">
        <w:rPr>
          <w:szCs w:val="18"/>
          <w:lang w:val="nl-NL"/>
        </w:rPr>
        <w:t>aan te randen.</w:t>
      </w:r>
      <w:r w:rsidR="006B585C" w:rsidRPr="000B4AB2">
        <w:rPr>
          <w:rStyle w:val="FootnoteReference"/>
          <w:szCs w:val="18"/>
          <w:lang w:val="nl-NL"/>
        </w:rPr>
        <w:footnoteReference w:id="108"/>
      </w:r>
      <w:r w:rsidR="00823A14" w:rsidRPr="000B4AB2">
        <w:rPr>
          <w:szCs w:val="18"/>
          <w:lang w:val="nl-NL"/>
        </w:rPr>
        <w:t xml:space="preserve"> </w:t>
      </w:r>
      <w:r w:rsidR="00085F95" w:rsidRPr="000B4AB2">
        <w:rPr>
          <w:szCs w:val="18"/>
          <w:lang w:val="nl-NL"/>
        </w:rPr>
        <w:t xml:space="preserve">Of dit werkelijk vereist </w:t>
      </w:r>
      <w:r w:rsidR="00334348" w:rsidRPr="000B4AB2">
        <w:rPr>
          <w:szCs w:val="18"/>
          <w:lang w:val="nl-NL"/>
        </w:rPr>
        <w:t>was</w:t>
      </w:r>
      <w:r w:rsidR="00085F95" w:rsidRPr="000B4AB2">
        <w:rPr>
          <w:szCs w:val="18"/>
          <w:lang w:val="nl-NL"/>
        </w:rPr>
        <w:t xml:space="preserve">, </w:t>
      </w:r>
      <w:r w:rsidR="00334348" w:rsidRPr="000B4AB2">
        <w:rPr>
          <w:szCs w:val="18"/>
          <w:lang w:val="nl-NL"/>
        </w:rPr>
        <w:t>stond</w:t>
      </w:r>
      <w:r w:rsidR="00085F95" w:rsidRPr="000B4AB2">
        <w:rPr>
          <w:szCs w:val="18"/>
          <w:lang w:val="nl-NL"/>
        </w:rPr>
        <w:t xml:space="preserve"> ter discussie binnen de rechtsleer</w:t>
      </w:r>
      <w:r w:rsidR="00673D20" w:rsidRPr="000B4AB2">
        <w:rPr>
          <w:szCs w:val="18"/>
          <w:lang w:val="nl-NL"/>
        </w:rPr>
        <w:t xml:space="preserve">. </w:t>
      </w:r>
      <w:r w:rsidR="002E6738" w:rsidRPr="000B4AB2">
        <w:rPr>
          <w:szCs w:val="18"/>
          <w:lang w:val="nl-NL"/>
        </w:rPr>
        <w:t xml:space="preserve">Dit ondanks het </w:t>
      </w:r>
      <w:r w:rsidR="002E6738" w:rsidRPr="000B4AB2">
        <w:rPr>
          <w:szCs w:val="18"/>
          <w:lang w:val="nl-NL"/>
        </w:rPr>
        <w:lastRenderedPageBreak/>
        <w:t xml:space="preserve">gegeven dat voor het misdrijf aanranding van de eerbaarheid geenszins een bijzonder opzet vereist </w:t>
      </w:r>
      <w:r w:rsidR="00334348" w:rsidRPr="000B4AB2">
        <w:rPr>
          <w:szCs w:val="18"/>
          <w:lang w:val="nl-NL"/>
        </w:rPr>
        <w:t>wa</w:t>
      </w:r>
      <w:r w:rsidR="00D26D90">
        <w:rPr>
          <w:szCs w:val="18"/>
          <w:lang w:val="nl-NL"/>
        </w:rPr>
        <w:t>s</w:t>
      </w:r>
      <w:r w:rsidR="002E6738" w:rsidRPr="000B4AB2">
        <w:rPr>
          <w:szCs w:val="18"/>
          <w:lang w:val="nl-NL"/>
        </w:rPr>
        <w:t>.</w:t>
      </w:r>
    </w:p>
    <w:p w14:paraId="0026F452" w14:textId="77777777" w:rsidR="008A2A19" w:rsidRPr="000B4AB2" w:rsidRDefault="008A2A19" w:rsidP="00260F11">
      <w:pPr>
        <w:pStyle w:val="ListParagraph"/>
        <w:spacing w:line="360" w:lineRule="auto"/>
        <w:ind w:left="0"/>
        <w:rPr>
          <w:szCs w:val="18"/>
          <w:lang w:val="nl-NL"/>
        </w:rPr>
      </w:pPr>
    </w:p>
    <w:p w14:paraId="36017067" w14:textId="0493BA86" w:rsidR="003A3187" w:rsidRPr="009C29A6" w:rsidRDefault="00085F95" w:rsidP="00260F11">
      <w:pPr>
        <w:pStyle w:val="ListParagraph"/>
        <w:spacing w:line="360" w:lineRule="auto"/>
        <w:ind w:left="0"/>
        <w:rPr>
          <w:szCs w:val="18"/>
          <w:lang w:val="fr-FR"/>
        </w:rPr>
      </w:pPr>
      <w:r w:rsidRPr="009C29A6">
        <w:rPr>
          <w:szCs w:val="18"/>
          <w:lang w:val="fr-FR"/>
        </w:rPr>
        <w:t>Volgens</w:t>
      </w:r>
      <w:r w:rsidR="003A3187" w:rsidRPr="009C29A6">
        <w:rPr>
          <w:szCs w:val="18"/>
          <w:lang w:val="fr-FR"/>
        </w:rPr>
        <w:t xml:space="preserve"> </w:t>
      </w:r>
      <w:r w:rsidR="005753A1" w:rsidRPr="009C29A6">
        <w:rPr>
          <w:szCs w:val="18"/>
          <w:lang w:val="fr-FR"/>
        </w:rPr>
        <w:t>heel wat auteurs</w:t>
      </w:r>
      <w:r w:rsidRPr="009C29A6">
        <w:rPr>
          <w:szCs w:val="18"/>
          <w:lang w:val="fr-FR"/>
        </w:rPr>
        <w:t xml:space="preserve"> </w:t>
      </w:r>
      <w:r w:rsidR="00334348" w:rsidRPr="009C29A6">
        <w:rPr>
          <w:szCs w:val="18"/>
          <w:lang w:val="fr-FR"/>
        </w:rPr>
        <w:t>was</w:t>
      </w:r>
      <w:r w:rsidRPr="009C29A6">
        <w:rPr>
          <w:szCs w:val="18"/>
          <w:lang w:val="fr-FR"/>
        </w:rPr>
        <w:t xml:space="preserve"> </w:t>
      </w:r>
      <w:r w:rsidR="00590FE3" w:rsidRPr="009C29A6">
        <w:rPr>
          <w:szCs w:val="18"/>
          <w:lang w:val="fr-FR"/>
        </w:rPr>
        <w:t>een dergelijke bedoeling</w:t>
      </w:r>
      <w:r w:rsidR="0035203B" w:rsidRPr="009C29A6">
        <w:rPr>
          <w:szCs w:val="18"/>
          <w:lang w:val="fr-FR"/>
        </w:rPr>
        <w:t xml:space="preserve"> -</w:t>
      </w:r>
      <w:r w:rsidR="009A2693" w:rsidRPr="009C29A6">
        <w:rPr>
          <w:szCs w:val="18"/>
          <w:lang w:val="fr-FR"/>
        </w:rPr>
        <w:t xml:space="preserve"> </w:t>
      </w:r>
      <w:r w:rsidR="000505EF" w:rsidRPr="009C29A6">
        <w:rPr>
          <w:szCs w:val="18"/>
          <w:lang w:val="fr-FR"/>
        </w:rPr>
        <w:t>m.i. terecht</w:t>
      </w:r>
      <w:r w:rsidR="000505EF">
        <w:rPr>
          <w:rStyle w:val="FootnoteReference"/>
          <w:szCs w:val="18"/>
          <w:lang w:val="nl-NL"/>
        </w:rPr>
        <w:footnoteReference w:id="109"/>
      </w:r>
      <w:r w:rsidR="0035203B" w:rsidRPr="009C29A6">
        <w:rPr>
          <w:szCs w:val="18"/>
          <w:lang w:val="fr-FR"/>
        </w:rPr>
        <w:t xml:space="preserve"> -</w:t>
      </w:r>
      <w:r w:rsidRPr="009C29A6">
        <w:rPr>
          <w:szCs w:val="18"/>
          <w:lang w:val="fr-FR"/>
        </w:rPr>
        <w:t xml:space="preserve"> geenszins vereist</w:t>
      </w:r>
      <w:r w:rsidR="00FF24B4" w:rsidRPr="009C29A6">
        <w:rPr>
          <w:szCs w:val="18"/>
          <w:lang w:val="fr-FR"/>
        </w:rPr>
        <w:t>: “</w:t>
      </w:r>
      <w:r w:rsidR="00FF24B4" w:rsidRPr="009C29A6">
        <w:rPr>
          <w:i/>
          <w:szCs w:val="18"/>
          <w:lang w:val="fr-FR"/>
        </w:rPr>
        <w:t>L’infraction d’attentat à la pudeur ne requiert nullement un dol spécial consistant en (…) l’intention d’attenter à la pudeur de la victime: il suffit que l’acte posé par le prévenu porte objectivement atteinte à la pudeur de la victime</w:t>
      </w:r>
      <w:r w:rsidR="00850004" w:rsidRPr="009C29A6">
        <w:rPr>
          <w:i/>
          <w:szCs w:val="18"/>
          <w:lang w:val="fr-FR"/>
        </w:rPr>
        <w:t>.</w:t>
      </w:r>
      <w:r w:rsidR="00FF24B4" w:rsidRPr="009C29A6">
        <w:rPr>
          <w:szCs w:val="18"/>
          <w:lang w:val="fr-FR"/>
        </w:rPr>
        <w:t>”</w:t>
      </w:r>
      <w:r w:rsidR="00C574B6" w:rsidRPr="000B4AB2">
        <w:rPr>
          <w:rStyle w:val="FootnoteReference"/>
          <w:szCs w:val="18"/>
          <w:lang w:val="nl-NL"/>
        </w:rPr>
        <w:footnoteReference w:id="110"/>
      </w:r>
      <w:r w:rsidR="003A3187" w:rsidRPr="009C29A6">
        <w:rPr>
          <w:szCs w:val="18"/>
          <w:lang w:val="fr-FR"/>
        </w:rPr>
        <w:t xml:space="preserve"> </w:t>
      </w:r>
      <w:r w:rsidR="005A4AA2" w:rsidRPr="009C29A6">
        <w:rPr>
          <w:szCs w:val="18"/>
          <w:lang w:val="fr-FR"/>
        </w:rPr>
        <w:t xml:space="preserve">Of: </w:t>
      </w:r>
      <w:r w:rsidR="003A3187" w:rsidRPr="009C29A6">
        <w:rPr>
          <w:szCs w:val="18"/>
          <w:lang w:val="fr-FR"/>
        </w:rPr>
        <w:t>“</w:t>
      </w:r>
      <w:r w:rsidR="00E5018D" w:rsidRPr="009C29A6">
        <w:rPr>
          <w:i/>
          <w:szCs w:val="18"/>
          <w:lang w:val="fr-FR"/>
        </w:rPr>
        <w:t>I</w:t>
      </w:r>
      <w:r w:rsidR="003A3187" w:rsidRPr="009C29A6">
        <w:rPr>
          <w:i/>
          <w:szCs w:val="18"/>
          <w:lang w:val="fr-FR"/>
        </w:rPr>
        <w:t>l suffit (…) que l’auteur ait eu la volonté de commettre l’acte contraire aux moeurs. Il n’est pas nécessaire qu’il ait voulu porter atteinte à la pudeur individuelle de la personne à laquelle il s’est attaque</w:t>
      </w:r>
      <w:r w:rsidR="003A3187" w:rsidRPr="009C29A6">
        <w:rPr>
          <w:szCs w:val="18"/>
          <w:lang w:val="fr-FR"/>
        </w:rPr>
        <w:t>.”</w:t>
      </w:r>
      <w:r w:rsidR="003A3187" w:rsidRPr="000B4AB2">
        <w:rPr>
          <w:rStyle w:val="FootnoteReference"/>
          <w:szCs w:val="18"/>
          <w:lang w:val="nl-NL"/>
        </w:rPr>
        <w:footnoteReference w:id="111"/>
      </w:r>
    </w:p>
    <w:p w14:paraId="4B236E41" w14:textId="77777777" w:rsidR="00850004" w:rsidRPr="009C29A6" w:rsidRDefault="00850004" w:rsidP="00260F11">
      <w:pPr>
        <w:pStyle w:val="ListParagraph"/>
        <w:spacing w:line="360" w:lineRule="auto"/>
        <w:ind w:left="0"/>
        <w:rPr>
          <w:szCs w:val="18"/>
          <w:lang w:val="fr-FR"/>
        </w:rPr>
      </w:pPr>
    </w:p>
    <w:p w14:paraId="6636F34C" w14:textId="79BB2609" w:rsidR="0035272C" w:rsidRPr="000B4AB2" w:rsidRDefault="00B35AC0" w:rsidP="00260F11">
      <w:pPr>
        <w:pStyle w:val="ListParagraph"/>
        <w:spacing w:line="360" w:lineRule="auto"/>
        <w:ind w:left="0"/>
        <w:rPr>
          <w:color w:val="000000" w:themeColor="text1"/>
          <w:szCs w:val="18"/>
          <w:lang w:val="nl-NL"/>
        </w:rPr>
      </w:pPr>
      <w:r w:rsidRPr="000B4AB2">
        <w:rPr>
          <w:szCs w:val="18"/>
          <w:lang w:val="nl-NL"/>
        </w:rPr>
        <w:t>Anderen stel</w:t>
      </w:r>
      <w:r w:rsidR="00334348" w:rsidRPr="000B4AB2">
        <w:rPr>
          <w:szCs w:val="18"/>
          <w:lang w:val="nl-NL"/>
        </w:rPr>
        <w:t>d</w:t>
      </w:r>
      <w:r w:rsidRPr="000B4AB2">
        <w:rPr>
          <w:szCs w:val="18"/>
          <w:lang w:val="nl-NL"/>
        </w:rPr>
        <w:t xml:space="preserve">en </w:t>
      </w:r>
      <w:r w:rsidR="005A4AA2" w:rsidRPr="000B4AB2">
        <w:rPr>
          <w:szCs w:val="18"/>
          <w:lang w:val="nl-NL"/>
        </w:rPr>
        <w:t>daarentegen dat</w:t>
      </w:r>
      <w:r w:rsidRPr="000B4AB2">
        <w:rPr>
          <w:szCs w:val="18"/>
          <w:lang w:val="nl-NL"/>
        </w:rPr>
        <w:t xml:space="preserve"> de dader de bedoeling moet hebben gehad om de eerbaarheid van het slachtoffer aan te </w:t>
      </w:r>
      <w:r w:rsidR="00AA42F6" w:rsidRPr="000B4AB2">
        <w:rPr>
          <w:szCs w:val="18"/>
          <w:lang w:val="nl-NL"/>
        </w:rPr>
        <w:t>randen</w:t>
      </w:r>
      <w:r w:rsidR="0018098B" w:rsidRPr="000B4AB2">
        <w:rPr>
          <w:szCs w:val="18"/>
          <w:lang w:val="nl-NL"/>
        </w:rPr>
        <w:t xml:space="preserve">, zodat bijvoorbeeld </w:t>
      </w:r>
      <w:r w:rsidR="0035203B">
        <w:rPr>
          <w:szCs w:val="18"/>
          <w:lang w:val="nl-NL"/>
        </w:rPr>
        <w:t>bepaalde aanrakingen</w:t>
      </w:r>
      <w:r w:rsidR="0018098B" w:rsidRPr="000B4AB2">
        <w:rPr>
          <w:szCs w:val="18"/>
          <w:lang w:val="nl-NL"/>
        </w:rPr>
        <w:t xml:space="preserve"> tijdens een vechtpartij</w:t>
      </w:r>
      <w:r w:rsidR="00B118CC" w:rsidRPr="000B4AB2">
        <w:rPr>
          <w:szCs w:val="18"/>
          <w:lang w:val="nl-NL"/>
        </w:rPr>
        <w:t xml:space="preserve">, zelfs </w:t>
      </w:r>
      <w:r w:rsidR="00A30E10" w:rsidRPr="000B4AB2">
        <w:rPr>
          <w:szCs w:val="18"/>
          <w:lang w:val="nl-NL"/>
        </w:rPr>
        <w:t>bewust</w:t>
      </w:r>
      <w:r w:rsidR="00B118CC" w:rsidRPr="000B4AB2">
        <w:rPr>
          <w:szCs w:val="18"/>
          <w:lang w:val="nl-NL"/>
        </w:rPr>
        <w:t>,</w:t>
      </w:r>
      <w:r w:rsidR="0018098B" w:rsidRPr="000B4AB2">
        <w:rPr>
          <w:szCs w:val="18"/>
          <w:lang w:val="nl-NL"/>
        </w:rPr>
        <w:t xml:space="preserve"> niet zou kunnen worden gekwalificeerd als aanranding van de eerbaarheid</w:t>
      </w:r>
      <w:r w:rsidRPr="000B4AB2">
        <w:rPr>
          <w:szCs w:val="18"/>
          <w:lang w:val="nl-NL"/>
        </w:rPr>
        <w:t>.</w:t>
      </w:r>
      <w:r w:rsidRPr="000B4AB2">
        <w:rPr>
          <w:rStyle w:val="FootnoteReference"/>
          <w:szCs w:val="18"/>
          <w:lang w:val="nl-NL"/>
        </w:rPr>
        <w:footnoteReference w:id="112"/>
      </w:r>
      <w:r w:rsidRPr="000B4AB2">
        <w:rPr>
          <w:szCs w:val="18"/>
          <w:lang w:val="nl-NL"/>
        </w:rPr>
        <w:t xml:space="preserve"> </w:t>
      </w:r>
      <w:r w:rsidR="00085F95" w:rsidRPr="000B4AB2">
        <w:rPr>
          <w:color w:val="000000" w:themeColor="text1"/>
          <w:szCs w:val="18"/>
          <w:lang w:val="nl-NL"/>
        </w:rPr>
        <w:t xml:space="preserve">Gelet op </w:t>
      </w:r>
      <w:r w:rsidR="00F4202C" w:rsidRPr="000B4AB2">
        <w:rPr>
          <w:color w:val="000000" w:themeColor="text1"/>
          <w:szCs w:val="18"/>
          <w:lang w:val="nl-NL"/>
        </w:rPr>
        <w:t>deze</w:t>
      </w:r>
      <w:r w:rsidR="00085F95" w:rsidRPr="000B4AB2">
        <w:rPr>
          <w:color w:val="000000" w:themeColor="text1"/>
          <w:szCs w:val="18"/>
          <w:lang w:val="nl-NL"/>
        </w:rPr>
        <w:t xml:space="preserve"> discussie,</w:t>
      </w:r>
      <w:r w:rsidR="001275DB" w:rsidRPr="000B4AB2">
        <w:rPr>
          <w:color w:val="000000" w:themeColor="text1"/>
          <w:szCs w:val="18"/>
          <w:lang w:val="nl-NL"/>
        </w:rPr>
        <w:t xml:space="preserve"> </w:t>
      </w:r>
      <w:r w:rsidR="00334348" w:rsidRPr="000B4AB2">
        <w:rPr>
          <w:color w:val="000000" w:themeColor="text1"/>
          <w:szCs w:val="18"/>
          <w:lang w:val="nl-NL"/>
        </w:rPr>
        <w:t>was</w:t>
      </w:r>
      <w:r w:rsidR="001275DB" w:rsidRPr="000B4AB2">
        <w:rPr>
          <w:color w:val="000000" w:themeColor="text1"/>
          <w:szCs w:val="18"/>
          <w:lang w:val="nl-NL"/>
        </w:rPr>
        <w:t xml:space="preserve"> het niet </w:t>
      </w:r>
      <w:r w:rsidR="005A4AA2" w:rsidRPr="000B4AB2">
        <w:rPr>
          <w:color w:val="000000" w:themeColor="text1"/>
          <w:szCs w:val="18"/>
          <w:lang w:val="nl-NL"/>
        </w:rPr>
        <w:t>altijd</w:t>
      </w:r>
      <w:r w:rsidR="00F4202C" w:rsidRPr="000B4AB2">
        <w:rPr>
          <w:color w:val="000000" w:themeColor="text1"/>
          <w:szCs w:val="18"/>
          <w:lang w:val="nl-NL"/>
        </w:rPr>
        <w:t xml:space="preserve"> </w:t>
      </w:r>
      <w:r w:rsidR="001275DB" w:rsidRPr="000B4AB2">
        <w:rPr>
          <w:color w:val="000000" w:themeColor="text1"/>
          <w:szCs w:val="18"/>
          <w:lang w:val="nl-NL"/>
        </w:rPr>
        <w:t>voor de hand liggend om de grens af te bakenen met het misdrijf slagen en verwondingen</w:t>
      </w:r>
      <w:r w:rsidR="009B6F70" w:rsidRPr="000B4AB2">
        <w:rPr>
          <w:color w:val="000000" w:themeColor="text1"/>
          <w:szCs w:val="18"/>
          <w:lang w:val="nl-NL"/>
        </w:rPr>
        <w:t>.</w:t>
      </w:r>
      <w:r w:rsidR="009B6F70" w:rsidRPr="000B4AB2">
        <w:rPr>
          <w:rStyle w:val="FootnoteReference"/>
          <w:color w:val="000000" w:themeColor="text1"/>
          <w:szCs w:val="18"/>
          <w:lang w:val="nl-NL"/>
        </w:rPr>
        <w:footnoteReference w:id="113"/>
      </w:r>
      <w:r w:rsidR="009B6F70" w:rsidRPr="000B4AB2">
        <w:rPr>
          <w:color w:val="000000" w:themeColor="text1"/>
          <w:szCs w:val="18"/>
          <w:lang w:val="nl-NL"/>
        </w:rPr>
        <w:t xml:space="preserve"> </w:t>
      </w:r>
    </w:p>
    <w:p w14:paraId="7040801B" w14:textId="77777777" w:rsidR="0035272C" w:rsidRPr="000B4AB2" w:rsidRDefault="0035272C" w:rsidP="00260F11">
      <w:pPr>
        <w:pStyle w:val="ListParagraph"/>
        <w:spacing w:line="360" w:lineRule="auto"/>
        <w:ind w:left="0"/>
        <w:rPr>
          <w:color w:val="000000" w:themeColor="text1"/>
          <w:szCs w:val="18"/>
          <w:lang w:val="nl-NL"/>
        </w:rPr>
      </w:pPr>
    </w:p>
    <w:p w14:paraId="69E2F8E7" w14:textId="17EF7143" w:rsidR="00460302" w:rsidRPr="000B4AB2" w:rsidRDefault="00654526"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(2) </w:t>
      </w:r>
      <w:r w:rsidR="00493139" w:rsidRPr="000B4AB2">
        <w:rPr>
          <w:b/>
          <w:color w:val="000000" w:themeColor="text1"/>
          <w:szCs w:val="18"/>
          <w:lang w:val="nl-NL"/>
        </w:rPr>
        <w:t xml:space="preserve">Moreel bestanddeel </w:t>
      </w:r>
      <w:r w:rsidR="00F87581">
        <w:rPr>
          <w:b/>
          <w:color w:val="000000" w:themeColor="text1"/>
          <w:szCs w:val="18"/>
          <w:lang w:val="nl-NL"/>
        </w:rPr>
        <w:t>m.b.t.</w:t>
      </w:r>
      <w:r w:rsidR="00493139" w:rsidRPr="000B4AB2">
        <w:rPr>
          <w:b/>
          <w:color w:val="000000" w:themeColor="text1"/>
          <w:szCs w:val="18"/>
          <w:lang w:val="nl-NL"/>
        </w:rPr>
        <w:t xml:space="preserve"> de welbepaalde minderjarige leeftijd van het </w:t>
      </w:r>
      <w:r w:rsidR="0035203B">
        <w:rPr>
          <w:b/>
          <w:color w:val="000000" w:themeColor="text1"/>
          <w:szCs w:val="18"/>
          <w:lang w:val="nl-NL"/>
        </w:rPr>
        <w:t>als constitutief bestanddeel</w:t>
      </w:r>
      <w:r w:rsidR="00493139" w:rsidRPr="000B4AB2">
        <w:rPr>
          <w:color w:val="000000" w:themeColor="text1"/>
          <w:szCs w:val="18"/>
          <w:lang w:val="nl-NL"/>
        </w:rPr>
        <w:t>.</w:t>
      </w:r>
      <w:r w:rsidR="0035203B">
        <w:rPr>
          <w:rStyle w:val="FootnoteReference"/>
          <w:color w:val="000000" w:themeColor="text1"/>
          <w:szCs w:val="18"/>
          <w:lang w:val="nl-NL"/>
        </w:rPr>
        <w:footnoteReference w:id="114"/>
      </w:r>
      <w:r w:rsidR="00533318" w:rsidRPr="000B4AB2">
        <w:rPr>
          <w:color w:val="000000" w:themeColor="text1"/>
          <w:szCs w:val="18"/>
          <w:lang w:val="nl-NL"/>
        </w:rPr>
        <w:t xml:space="preserve"> </w:t>
      </w:r>
      <w:r w:rsidR="00E06DF6" w:rsidRPr="000B4AB2">
        <w:rPr>
          <w:color w:val="000000" w:themeColor="text1"/>
          <w:szCs w:val="18"/>
          <w:lang w:val="nl-NL"/>
        </w:rPr>
        <w:t>In de doctrine bestond geen eensgezindheid omtrent welke subjectieve delictstypiciteit voor dit constitutief bestanddeel vereist was</w:t>
      </w:r>
      <w:r w:rsidR="0035203B">
        <w:rPr>
          <w:color w:val="000000" w:themeColor="text1"/>
          <w:szCs w:val="18"/>
          <w:lang w:val="nl-NL"/>
        </w:rPr>
        <w:t>.</w:t>
      </w:r>
    </w:p>
    <w:p w14:paraId="481340F6" w14:textId="77777777" w:rsidR="00460302" w:rsidRPr="000B4AB2" w:rsidRDefault="00460302" w:rsidP="00260F11">
      <w:pPr>
        <w:pStyle w:val="ListParagraph"/>
        <w:spacing w:line="360" w:lineRule="auto"/>
        <w:ind w:left="0"/>
        <w:rPr>
          <w:color w:val="000000" w:themeColor="text1"/>
          <w:szCs w:val="18"/>
          <w:lang w:val="nl-NL"/>
        </w:rPr>
      </w:pPr>
    </w:p>
    <w:p w14:paraId="41CFE2E4" w14:textId="7D013001" w:rsidR="00F756DF" w:rsidRPr="000B4AB2" w:rsidRDefault="00E06DF6"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Onachtzaamheid</w:t>
      </w:r>
      <w:r w:rsidR="006C35D4" w:rsidRPr="00C642E8">
        <w:rPr>
          <w:b/>
          <w:szCs w:val="18"/>
          <w:lang w:val="nl-NL"/>
        </w:rPr>
        <w:t>?</w:t>
      </w:r>
      <w:r w:rsidR="00334348" w:rsidRPr="00C642E8">
        <w:rPr>
          <w:b/>
          <w:szCs w:val="18"/>
          <w:lang w:val="nl-NL"/>
        </w:rPr>
        <w:t xml:space="preserve"> </w:t>
      </w:r>
      <w:r w:rsidR="00CA44FE" w:rsidRPr="000B4AB2">
        <w:rPr>
          <w:szCs w:val="18"/>
          <w:lang w:val="nl-NL"/>
        </w:rPr>
        <w:t>Indien de dader aanvoer</w:t>
      </w:r>
      <w:r w:rsidR="00334348" w:rsidRPr="000B4AB2">
        <w:rPr>
          <w:szCs w:val="18"/>
          <w:lang w:val="nl-NL"/>
        </w:rPr>
        <w:t>de</w:t>
      </w:r>
      <w:r w:rsidR="00CA44FE" w:rsidRPr="000B4AB2">
        <w:rPr>
          <w:szCs w:val="18"/>
          <w:lang w:val="nl-NL"/>
        </w:rPr>
        <w:t xml:space="preserve"> niet op de hoogte </w:t>
      </w:r>
      <w:r w:rsidR="00334348" w:rsidRPr="000B4AB2">
        <w:rPr>
          <w:szCs w:val="18"/>
          <w:lang w:val="nl-NL"/>
        </w:rPr>
        <w:t>te zijn geweest</w:t>
      </w:r>
      <w:r w:rsidR="00CA44FE" w:rsidRPr="000B4AB2">
        <w:rPr>
          <w:szCs w:val="18"/>
          <w:lang w:val="nl-NL"/>
        </w:rPr>
        <w:t xml:space="preserve"> van de leeftijd van het slachtoffer, </w:t>
      </w:r>
      <w:r w:rsidR="00334348" w:rsidRPr="000B4AB2">
        <w:rPr>
          <w:szCs w:val="18"/>
          <w:lang w:val="nl-NL"/>
        </w:rPr>
        <w:t>mocht</w:t>
      </w:r>
      <w:r w:rsidR="00CA44FE" w:rsidRPr="000B4AB2">
        <w:rPr>
          <w:szCs w:val="18"/>
          <w:lang w:val="nl-NL"/>
        </w:rPr>
        <w:t xml:space="preserve"> de dader op dit vlak volgens SPRIET e.a. niet onachtzaam geweest zijn. </w:t>
      </w:r>
      <w:r w:rsidR="009E5088" w:rsidRPr="000B4AB2">
        <w:rPr>
          <w:szCs w:val="18"/>
          <w:lang w:val="nl-NL"/>
        </w:rPr>
        <w:t xml:space="preserve">Een onachtzame dader is een dader die zich niet als </w:t>
      </w:r>
      <w:r w:rsidR="00C8631B" w:rsidRPr="000B4AB2">
        <w:rPr>
          <w:szCs w:val="18"/>
          <w:lang w:val="nl-NL"/>
        </w:rPr>
        <w:t xml:space="preserve">een normaal, voorzichtig en redelijk persoon </w:t>
      </w:r>
      <w:r w:rsidR="009E5088" w:rsidRPr="000B4AB2">
        <w:rPr>
          <w:szCs w:val="18"/>
          <w:lang w:val="nl-NL"/>
        </w:rPr>
        <w:t xml:space="preserve">(hierna: NVR-persoon) in dezelfde omstandigheden </w:t>
      </w:r>
      <w:r w:rsidR="00D064EB" w:rsidRPr="000B4AB2">
        <w:rPr>
          <w:szCs w:val="18"/>
          <w:lang w:val="nl-NL"/>
        </w:rPr>
        <w:t>gedroeg</w:t>
      </w:r>
      <w:r w:rsidR="009E5088" w:rsidRPr="000B4AB2">
        <w:rPr>
          <w:szCs w:val="18"/>
          <w:lang w:val="nl-NL"/>
        </w:rPr>
        <w:t>.</w:t>
      </w:r>
      <w:r w:rsidR="009E5088" w:rsidRPr="000B4AB2">
        <w:rPr>
          <w:rStyle w:val="FootnoteReference"/>
          <w:szCs w:val="18"/>
          <w:lang w:val="nl-NL"/>
        </w:rPr>
        <w:footnoteReference w:id="115"/>
      </w:r>
      <w:r w:rsidR="009E5088" w:rsidRPr="000B4AB2">
        <w:rPr>
          <w:szCs w:val="18"/>
          <w:lang w:val="nl-NL"/>
        </w:rPr>
        <w:t xml:space="preserve"> </w:t>
      </w:r>
      <w:r w:rsidR="00054C92">
        <w:rPr>
          <w:szCs w:val="18"/>
          <w:lang w:val="nl-NL"/>
        </w:rPr>
        <w:t xml:space="preserve">I.g.v. een onachtzame dader </w:t>
      </w:r>
      <w:r w:rsidR="009E5088" w:rsidRPr="000B4AB2">
        <w:rPr>
          <w:szCs w:val="18"/>
          <w:lang w:val="nl-NL"/>
        </w:rPr>
        <w:t>zal</w:t>
      </w:r>
      <w:r w:rsidR="00CA44FE" w:rsidRPr="000B4AB2">
        <w:rPr>
          <w:szCs w:val="18"/>
          <w:lang w:val="nl-NL"/>
        </w:rPr>
        <w:t xml:space="preserve"> voldaan</w:t>
      </w:r>
      <w:r w:rsidR="009E5088" w:rsidRPr="000B4AB2">
        <w:rPr>
          <w:szCs w:val="18"/>
          <w:lang w:val="nl-NL"/>
        </w:rPr>
        <w:t xml:space="preserve"> zijn</w:t>
      </w:r>
      <w:r w:rsidR="00CA44FE" w:rsidRPr="000B4AB2">
        <w:rPr>
          <w:szCs w:val="18"/>
          <w:lang w:val="nl-NL"/>
        </w:rPr>
        <w:t xml:space="preserve"> aan de vereiste subjectieve delictstypiciteit </w:t>
      </w:r>
      <w:r w:rsidR="00A816B1">
        <w:rPr>
          <w:szCs w:val="18"/>
          <w:lang w:val="nl-NL"/>
        </w:rPr>
        <w:t>m.b.t.</w:t>
      </w:r>
      <w:r w:rsidR="00CA44FE" w:rsidRPr="000B4AB2">
        <w:rPr>
          <w:szCs w:val="18"/>
          <w:lang w:val="nl-NL"/>
        </w:rPr>
        <w:t xml:space="preserve"> de leeftijd van het slachtoffer.</w:t>
      </w:r>
    </w:p>
    <w:p w14:paraId="5F401DEB" w14:textId="77777777" w:rsidR="00F756DF" w:rsidRPr="009E1D50" w:rsidRDefault="00F756DF" w:rsidP="00260F11">
      <w:pPr>
        <w:spacing w:line="360" w:lineRule="auto"/>
        <w:rPr>
          <w:szCs w:val="18"/>
          <w:lang w:val="nl-NL"/>
        </w:rPr>
      </w:pPr>
    </w:p>
    <w:p w14:paraId="2CE6CC6F" w14:textId="53A9D646" w:rsidR="00334348" w:rsidRPr="000B4AB2" w:rsidRDefault="00CA44FE" w:rsidP="00260F11">
      <w:pPr>
        <w:pStyle w:val="ListParagraph"/>
        <w:spacing w:line="360" w:lineRule="auto"/>
        <w:ind w:left="0"/>
        <w:rPr>
          <w:color w:val="000000" w:themeColor="text1"/>
          <w:szCs w:val="18"/>
          <w:lang w:val="nl-NL"/>
        </w:rPr>
      </w:pPr>
      <w:r w:rsidRPr="000B4AB2">
        <w:rPr>
          <w:szCs w:val="18"/>
          <w:lang w:val="nl-NL"/>
        </w:rPr>
        <w:lastRenderedPageBreak/>
        <w:t xml:space="preserve">In deze visie </w:t>
      </w:r>
      <w:r w:rsidR="00A816B1">
        <w:rPr>
          <w:szCs w:val="18"/>
          <w:lang w:val="nl-NL"/>
        </w:rPr>
        <w:t>was</w:t>
      </w:r>
      <w:r w:rsidRPr="000B4AB2">
        <w:rPr>
          <w:szCs w:val="18"/>
          <w:lang w:val="nl-NL"/>
        </w:rPr>
        <w:t xml:space="preserve"> voor het misdrijf van aanranding van de eerbaarheid bijgevolg een gemengd opzet vereist: enerzijds het algemene opzet m.b.t. de materiële </w:t>
      </w:r>
      <w:r w:rsidR="00EA4DD8">
        <w:rPr>
          <w:szCs w:val="18"/>
          <w:lang w:val="nl-NL"/>
        </w:rPr>
        <w:t xml:space="preserve">gedraging </w:t>
      </w:r>
      <w:r w:rsidR="00EA4DD8">
        <w:rPr>
          <w:i/>
          <w:szCs w:val="18"/>
          <w:lang w:val="nl-NL"/>
        </w:rPr>
        <w:t>sensu lato</w:t>
      </w:r>
      <w:r w:rsidRPr="000B4AB2">
        <w:rPr>
          <w:szCs w:val="18"/>
          <w:lang w:val="nl-NL"/>
        </w:rPr>
        <w:t xml:space="preserve"> en anderzijds de onachtzaamheid m.b.t. de leeftijd.</w:t>
      </w:r>
      <w:r w:rsidRPr="000B4AB2">
        <w:rPr>
          <w:rStyle w:val="FootnoteReference"/>
          <w:color w:val="000000" w:themeColor="text1"/>
          <w:szCs w:val="18"/>
          <w:lang w:val="nl-NL"/>
        </w:rPr>
        <w:footnoteReference w:id="116"/>
      </w:r>
      <w:r w:rsidRPr="000B4AB2">
        <w:rPr>
          <w:szCs w:val="18"/>
          <w:lang w:val="nl-NL"/>
        </w:rPr>
        <w:t xml:space="preserve"> </w:t>
      </w:r>
    </w:p>
    <w:p w14:paraId="2D3D8B5A" w14:textId="77777777" w:rsidR="00334348" w:rsidRPr="000B4AB2" w:rsidRDefault="00334348" w:rsidP="00260F11">
      <w:pPr>
        <w:pStyle w:val="ListParagraph"/>
        <w:spacing w:line="360" w:lineRule="auto"/>
        <w:rPr>
          <w:b/>
          <w:szCs w:val="18"/>
          <w:lang w:val="nl-NL"/>
        </w:rPr>
      </w:pPr>
    </w:p>
    <w:p w14:paraId="73D04FCD" w14:textId="77777777" w:rsidR="0026606D" w:rsidRDefault="00E06DF6"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Algemeen opze</w:t>
      </w:r>
      <w:r w:rsidRPr="00C642E8">
        <w:rPr>
          <w:b/>
          <w:szCs w:val="18"/>
          <w:lang w:val="nl-NL"/>
        </w:rPr>
        <w:t>t</w:t>
      </w:r>
      <w:r w:rsidR="006C35D4" w:rsidRPr="00C642E8">
        <w:rPr>
          <w:b/>
          <w:szCs w:val="18"/>
          <w:lang w:val="nl-NL"/>
        </w:rPr>
        <w:t>?</w:t>
      </w:r>
      <w:r w:rsidR="00334348" w:rsidRPr="000B4AB2">
        <w:rPr>
          <w:szCs w:val="18"/>
          <w:lang w:val="nl-NL"/>
        </w:rPr>
        <w:t xml:space="preserve"> </w:t>
      </w:r>
      <w:r w:rsidR="00BC4AD8" w:rsidRPr="000B4AB2">
        <w:rPr>
          <w:szCs w:val="18"/>
          <w:lang w:val="nl-NL"/>
        </w:rPr>
        <w:t xml:space="preserve">De meerderheidsvisie </w:t>
      </w:r>
      <w:r w:rsidR="003C4C99" w:rsidRPr="000B4AB2">
        <w:rPr>
          <w:szCs w:val="18"/>
          <w:lang w:val="nl-NL"/>
        </w:rPr>
        <w:t>stelde</w:t>
      </w:r>
      <w:r w:rsidR="00BC4AD8" w:rsidRPr="000B4AB2">
        <w:rPr>
          <w:szCs w:val="18"/>
          <w:lang w:val="nl-NL"/>
        </w:rPr>
        <w:t xml:space="preserve"> evenwel dat voor </w:t>
      </w:r>
      <w:r w:rsidR="009E5088" w:rsidRPr="000B4AB2">
        <w:rPr>
          <w:szCs w:val="18"/>
          <w:lang w:val="nl-NL"/>
        </w:rPr>
        <w:t>aanranding van de eerbaarheid</w:t>
      </w:r>
      <w:r w:rsidR="00BC4AD8" w:rsidRPr="000B4AB2">
        <w:rPr>
          <w:szCs w:val="18"/>
          <w:lang w:val="nl-NL"/>
        </w:rPr>
        <w:t xml:space="preserve"> een algemeen opzet vereist </w:t>
      </w:r>
      <w:r w:rsidR="0016235E" w:rsidRPr="000B4AB2">
        <w:rPr>
          <w:szCs w:val="18"/>
          <w:lang w:val="nl-NL"/>
        </w:rPr>
        <w:t>was</w:t>
      </w:r>
      <w:r w:rsidR="00BC4AD8" w:rsidRPr="000B4AB2">
        <w:rPr>
          <w:szCs w:val="18"/>
          <w:lang w:val="nl-NL"/>
        </w:rPr>
        <w:t xml:space="preserve"> voor elk constitutief bestanddeel en bijgevolg ook voor wat betreft de leeftijd van het slachtoffer.</w:t>
      </w:r>
      <w:r w:rsidR="00F756DF" w:rsidRPr="000B4AB2">
        <w:rPr>
          <w:rStyle w:val="FootnoteReference"/>
          <w:color w:val="000000" w:themeColor="text1"/>
          <w:szCs w:val="18"/>
          <w:lang w:val="nl-NL"/>
        </w:rPr>
        <w:footnoteReference w:id="117"/>
      </w:r>
      <w:r w:rsidR="0026606D">
        <w:rPr>
          <w:color w:val="000000" w:themeColor="text1"/>
          <w:szCs w:val="18"/>
          <w:lang w:val="nl-NL"/>
        </w:rPr>
        <w:t xml:space="preserve"> </w:t>
      </w:r>
    </w:p>
    <w:p w14:paraId="1EE0D8B3" w14:textId="77777777" w:rsidR="0026606D" w:rsidRDefault="0026606D" w:rsidP="00260F11">
      <w:pPr>
        <w:pStyle w:val="ListParagraph"/>
        <w:spacing w:line="360" w:lineRule="auto"/>
        <w:ind w:left="0"/>
        <w:rPr>
          <w:b/>
          <w:szCs w:val="18"/>
          <w:lang w:val="nl-NL"/>
        </w:rPr>
      </w:pPr>
    </w:p>
    <w:p w14:paraId="4473357C" w14:textId="19925C05" w:rsidR="007D7F08" w:rsidRPr="0026606D" w:rsidRDefault="00BC4AD8" w:rsidP="00260F11">
      <w:pPr>
        <w:pStyle w:val="ListParagraph"/>
        <w:spacing w:line="360" w:lineRule="auto"/>
        <w:ind w:left="0"/>
        <w:rPr>
          <w:color w:val="000000" w:themeColor="text1"/>
          <w:szCs w:val="18"/>
          <w:lang w:val="nl-NL"/>
        </w:rPr>
      </w:pPr>
      <w:r w:rsidRPr="0026606D">
        <w:rPr>
          <w:szCs w:val="18"/>
          <w:lang w:val="nl-NL"/>
        </w:rPr>
        <w:t xml:space="preserve">Vervolgens </w:t>
      </w:r>
      <w:r w:rsidR="008D3F60" w:rsidRPr="0026606D">
        <w:rPr>
          <w:szCs w:val="18"/>
          <w:lang w:val="nl-NL"/>
        </w:rPr>
        <w:t>stelden</w:t>
      </w:r>
      <w:r w:rsidRPr="0026606D">
        <w:rPr>
          <w:szCs w:val="18"/>
          <w:lang w:val="nl-NL"/>
        </w:rPr>
        <w:t xml:space="preserve"> </w:t>
      </w:r>
      <w:r w:rsidR="008D3F60" w:rsidRPr="0026606D">
        <w:rPr>
          <w:szCs w:val="18"/>
          <w:lang w:val="nl-NL"/>
        </w:rPr>
        <w:t>diezelfde</w:t>
      </w:r>
      <w:r w:rsidRPr="0026606D">
        <w:rPr>
          <w:szCs w:val="18"/>
          <w:lang w:val="nl-NL"/>
        </w:rPr>
        <w:t xml:space="preserve"> auteurs dat indien</w:t>
      </w:r>
      <w:r w:rsidR="008D3F60" w:rsidRPr="0026606D">
        <w:rPr>
          <w:szCs w:val="18"/>
          <w:lang w:val="nl-NL"/>
        </w:rPr>
        <w:t xml:space="preserve"> </w:t>
      </w:r>
      <w:r w:rsidRPr="0026606D">
        <w:rPr>
          <w:szCs w:val="18"/>
          <w:lang w:val="nl-NL"/>
        </w:rPr>
        <w:t xml:space="preserve">de dader niet op de hoogte </w:t>
      </w:r>
      <w:r w:rsidR="008D3F60" w:rsidRPr="0026606D">
        <w:rPr>
          <w:szCs w:val="18"/>
          <w:lang w:val="nl-NL"/>
        </w:rPr>
        <w:t>zou zijn geweest</w:t>
      </w:r>
      <w:r w:rsidRPr="0026606D">
        <w:rPr>
          <w:szCs w:val="18"/>
          <w:lang w:val="nl-NL"/>
        </w:rPr>
        <w:t xml:space="preserve"> van de leeftijd van het slachtoffer, dit een onoverkomelijke dwaling in hoofde van de dader moe</w:t>
      </w:r>
      <w:r w:rsidR="008D3F60" w:rsidRPr="0026606D">
        <w:rPr>
          <w:szCs w:val="18"/>
          <w:lang w:val="nl-NL"/>
        </w:rPr>
        <w:t>s</w:t>
      </w:r>
      <w:r w:rsidRPr="0026606D">
        <w:rPr>
          <w:szCs w:val="18"/>
          <w:lang w:val="nl-NL"/>
        </w:rPr>
        <w:t>t uitmaken.</w:t>
      </w:r>
      <w:r w:rsidR="008D3F60" w:rsidRPr="000B4AB2">
        <w:rPr>
          <w:rStyle w:val="FootnoteReference"/>
          <w:color w:val="000000" w:themeColor="text1"/>
          <w:szCs w:val="18"/>
          <w:lang w:val="nl-NL"/>
        </w:rPr>
        <w:footnoteReference w:id="118"/>
      </w:r>
      <w:r w:rsidRPr="0026606D">
        <w:rPr>
          <w:szCs w:val="18"/>
          <w:lang w:val="nl-NL"/>
        </w:rPr>
        <w:t xml:space="preserve"> Of een dwaling al dan niet onoverkomelijk is, wordt </w:t>
      </w:r>
      <w:r w:rsidR="008D3F60" w:rsidRPr="0026606D">
        <w:rPr>
          <w:szCs w:val="18"/>
          <w:lang w:val="nl-NL"/>
        </w:rPr>
        <w:t xml:space="preserve">echter </w:t>
      </w:r>
      <w:r w:rsidRPr="0026606D">
        <w:rPr>
          <w:szCs w:val="18"/>
          <w:lang w:val="nl-NL"/>
        </w:rPr>
        <w:t xml:space="preserve">eveneens beoordeeld </w:t>
      </w:r>
      <w:r w:rsidR="00376C61" w:rsidRPr="0026606D">
        <w:rPr>
          <w:szCs w:val="18"/>
          <w:lang w:val="nl-NL"/>
        </w:rPr>
        <w:t>a.d.h.v.</w:t>
      </w:r>
      <w:r w:rsidRPr="0026606D">
        <w:rPr>
          <w:szCs w:val="18"/>
          <w:lang w:val="nl-NL"/>
        </w:rPr>
        <w:t xml:space="preserve"> de vergelijking met een NVR-persoon.</w:t>
      </w:r>
      <w:r w:rsidRPr="000B4AB2">
        <w:rPr>
          <w:rStyle w:val="FootnoteReference"/>
          <w:szCs w:val="18"/>
          <w:lang w:val="nl-NL"/>
        </w:rPr>
        <w:footnoteReference w:id="119"/>
      </w:r>
      <w:r w:rsidRPr="0026606D">
        <w:rPr>
          <w:szCs w:val="18"/>
          <w:lang w:val="nl-NL"/>
        </w:rPr>
        <w:t xml:space="preserve"> Als die NVR-persoon ook zou hebben gedwaald, </w:t>
      </w:r>
      <w:r w:rsidR="0046092C" w:rsidRPr="0026606D">
        <w:rPr>
          <w:szCs w:val="18"/>
          <w:lang w:val="nl-NL"/>
        </w:rPr>
        <w:t>gaf</w:t>
      </w:r>
      <w:r w:rsidRPr="0026606D">
        <w:rPr>
          <w:szCs w:val="18"/>
          <w:lang w:val="nl-NL"/>
        </w:rPr>
        <w:t xml:space="preserve"> dit </w:t>
      </w:r>
      <w:r w:rsidR="0046092C" w:rsidRPr="0026606D">
        <w:rPr>
          <w:szCs w:val="18"/>
          <w:lang w:val="nl-NL"/>
        </w:rPr>
        <w:t xml:space="preserve">aanleiding </w:t>
      </w:r>
      <w:r w:rsidRPr="0026606D">
        <w:rPr>
          <w:szCs w:val="18"/>
          <w:lang w:val="nl-NL"/>
        </w:rPr>
        <w:t>tot schulduitsluiting.</w:t>
      </w:r>
      <w:r w:rsidRPr="000B4AB2">
        <w:rPr>
          <w:rStyle w:val="FootnoteReference"/>
          <w:color w:val="000000" w:themeColor="text1"/>
          <w:szCs w:val="18"/>
          <w:lang w:val="nl-NL"/>
        </w:rPr>
        <w:footnoteReference w:id="120"/>
      </w:r>
      <w:r w:rsidRPr="0026606D">
        <w:rPr>
          <w:szCs w:val="18"/>
          <w:lang w:val="nl-NL"/>
        </w:rPr>
        <w:t xml:space="preserve"> </w:t>
      </w:r>
    </w:p>
    <w:p w14:paraId="12D7B356" w14:textId="77777777" w:rsidR="007D7F08" w:rsidRPr="000B4AB2" w:rsidRDefault="007D7F08" w:rsidP="00260F11">
      <w:pPr>
        <w:pStyle w:val="ListParagraph"/>
        <w:spacing w:line="360" w:lineRule="auto"/>
        <w:rPr>
          <w:szCs w:val="18"/>
          <w:lang w:val="nl-NL"/>
        </w:rPr>
      </w:pPr>
    </w:p>
    <w:p w14:paraId="4F158FF4" w14:textId="1B81072F" w:rsidR="0094159E" w:rsidRPr="00054C92" w:rsidRDefault="00334348"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Gevolg discussie</w:t>
      </w:r>
      <w:r w:rsidRPr="000B4AB2">
        <w:rPr>
          <w:szCs w:val="18"/>
          <w:lang w:val="nl-NL"/>
        </w:rPr>
        <w:t xml:space="preserve">. </w:t>
      </w:r>
      <w:r w:rsidR="007D7F08" w:rsidRPr="000B4AB2">
        <w:rPr>
          <w:szCs w:val="18"/>
          <w:lang w:val="nl-NL"/>
        </w:rPr>
        <w:t xml:space="preserve">In beide visies </w:t>
      </w:r>
      <w:r w:rsidR="0046092C" w:rsidRPr="000B4AB2">
        <w:rPr>
          <w:szCs w:val="18"/>
          <w:lang w:val="nl-NL"/>
        </w:rPr>
        <w:t>werd</w:t>
      </w:r>
      <w:r w:rsidR="007D7F08" w:rsidRPr="000B4AB2">
        <w:rPr>
          <w:szCs w:val="18"/>
          <w:lang w:val="nl-NL"/>
        </w:rPr>
        <w:t xml:space="preserve"> de houding van de dader </w:t>
      </w:r>
      <w:r w:rsidR="0059097D">
        <w:rPr>
          <w:szCs w:val="18"/>
          <w:lang w:val="nl-NL"/>
        </w:rPr>
        <w:t>m.b.t.</w:t>
      </w:r>
      <w:r w:rsidR="007D7F08" w:rsidRPr="000B4AB2">
        <w:rPr>
          <w:szCs w:val="18"/>
          <w:lang w:val="nl-NL"/>
        </w:rPr>
        <w:t xml:space="preserve"> de leeftijd van het slachtoffer vergeleken met een NVR-persoon.</w:t>
      </w:r>
      <w:r w:rsidR="00054C92" w:rsidRPr="00054C92">
        <w:rPr>
          <w:color w:val="000000" w:themeColor="text1"/>
          <w:szCs w:val="18"/>
          <w:lang w:val="nl-NL"/>
        </w:rPr>
        <w:t xml:space="preserve"> Dit laatste bleek evenwel streng te worden beoordeeld in de rechtspraak</w:t>
      </w:r>
      <w:r w:rsidR="00054C92" w:rsidRPr="00054C92">
        <w:rPr>
          <w:szCs w:val="18"/>
          <w:lang w:val="nl-NL"/>
        </w:rPr>
        <w:t>.</w:t>
      </w:r>
      <w:r w:rsidR="00054C92" w:rsidRPr="000B4AB2">
        <w:rPr>
          <w:rStyle w:val="FootnoteReference"/>
          <w:szCs w:val="18"/>
          <w:lang w:val="nl-NL"/>
        </w:rPr>
        <w:footnoteReference w:id="121"/>
      </w:r>
      <w:r w:rsidR="007D7F08" w:rsidRPr="000B4AB2">
        <w:rPr>
          <w:szCs w:val="18"/>
          <w:lang w:val="nl-NL"/>
        </w:rPr>
        <w:t xml:space="preserve"> </w:t>
      </w:r>
      <w:r w:rsidR="00054C92">
        <w:rPr>
          <w:color w:val="000000" w:themeColor="text1"/>
          <w:szCs w:val="18"/>
          <w:lang w:val="nl-NL"/>
        </w:rPr>
        <w:t>Het voorgaande betreft aldus een “louter” academische discussie</w:t>
      </w:r>
      <w:r w:rsidR="007D7F08" w:rsidRPr="00054C92">
        <w:rPr>
          <w:color w:val="000000" w:themeColor="text1"/>
          <w:szCs w:val="18"/>
          <w:lang w:val="nl-NL"/>
        </w:rPr>
        <w:t>.</w:t>
      </w:r>
      <w:r w:rsidR="00E55B97" w:rsidRPr="00054C92">
        <w:rPr>
          <w:color w:val="000000" w:themeColor="text1"/>
          <w:szCs w:val="18"/>
          <w:lang w:val="nl-NL"/>
        </w:rPr>
        <w:t xml:space="preserve"> </w:t>
      </w:r>
    </w:p>
    <w:p w14:paraId="5B0C4DFB" w14:textId="77777777" w:rsidR="0094159E" w:rsidRPr="000B4AB2" w:rsidRDefault="0094159E" w:rsidP="00260F11">
      <w:pPr>
        <w:spacing w:line="360" w:lineRule="auto"/>
        <w:rPr>
          <w:color w:val="000000" w:themeColor="text1"/>
          <w:szCs w:val="18"/>
          <w:lang w:val="nl-NL"/>
        </w:rPr>
      </w:pPr>
    </w:p>
    <w:p w14:paraId="02187E1D" w14:textId="21C2D8F1" w:rsidR="0094159E" w:rsidRPr="000B4AB2" w:rsidRDefault="004D299C" w:rsidP="00260F11">
      <w:pPr>
        <w:pStyle w:val="Heading5"/>
        <w:spacing w:line="360" w:lineRule="auto"/>
        <w:rPr>
          <w:lang w:val="nl-NL"/>
        </w:rPr>
      </w:pPr>
      <w:bookmarkStart w:id="13" w:name="_Toc135041044"/>
      <w:r w:rsidRPr="000B4AB2">
        <w:rPr>
          <w:lang w:val="nl-NL"/>
        </w:rPr>
        <w:t>P</w:t>
      </w:r>
      <w:r w:rsidR="00DE406A" w:rsidRPr="000B4AB2">
        <w:rPr>
          <w:lang w:val="nl-NL"/>
        </w:rPr>
        <w:t>ijnpunten</w:t>
      </w:r>
      <w:r w:rsidR="0094159E" w:rsidRPr="000B4AB2">
        <w:rPr>
          <w:lang w:val="nl-NL"/>
        </w:rPr>
        <w:t xml:space="preserve"> van de strafbaarstelling</w:t>
      </w:r>
      <w:bookmarkEnd w:id="13"/>
    </w:p>
    <w:p w14:paraId="279578FD" w14:textId="77777777" w:rsidR="003C6BBA" w:rsidRPr="000B4AB2" w:rsidRDefault="003C6BBA" w:rsidP="00260F11">
      <w:pPr>
        <w:pStyle w:val="ListParagraph"/>
        <w:spacing w:line="360" w:lineRule="auto"/>
        <w:ind w:left="0"/>
        <w:rPr>
          <w:color w:val="000000" w:themeColor="text1"/>
          <w:szCs w:val="18"/>
          <w:lang w:val="nl-NL"/>
        </w:rPr>
      </w:pPr>
    </w:p>
    <w:p w14:paraId="18A942A3" w14:textId="33719E77" w:rsidR="00174C12" w:rsidRPr="00174C12" w:rsidRDefault="00174C12"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A.d.h.v.</w:t>
      </w:r>
      <w:r w:rsidRPr="000B4AB2">
        <w:rPr>
          <w:color w:val="000000" w:themeColor="text1"/>
          <w:szCs w:val="18"/>
          <w:lang w:val="nl-NL"/>
        </w:rPr>
        <w:t xml:space="preserve"> </w:t>
      </w:r>
      <w:r>
        <w:rPr>
          <w:color w:val="000000" w:themeColor="text1"/>
          <w:szCs w:val="18"/>
          <w:lang w:val="nl-NL"/>
        </w:rPr>
        <w:t>het voorgaande</w:t>
      </w:r>
      <w:r w:rsidRPr="000B4AB2">
        <w:rPr>
          <w:color w:val="000000" w:themeColor="text1"/>
          <w:szCs w:val="18"/>
          <w:lang w:val="nl-NL"/>
        </w:rPr>
        <w:t xml:space="preserve"> kunnen een aantal pijnpunten </w:t>
      </w:r>
      <w:r>
        <w:rPr>
          <w:color w:val="000000" w:themeColor="text1"/>
          <w:szCs w:val="18"/>
          <w:lang w:val="nl-NL"/>
        </w:rPr>
        <w:t>van de oude strafbaarstelling van aanranding van de eerbaarheid</w:t>
      </w:r>
      <w:r w:rsidRPr="000B4AB2">
        <w:rPr>
          <w:color w:val="000000" w:themeColor="text1"/>
          <w:szCs w:val="18"/>
          <w:lang w:val="nl-NL"/>
        </w:rPr>
        <w:t xml:space="preserve"> worden geïdentificeerd. Deze zullen in wat volgt nader worden geduid</w:t>
      </w:r>
      <w:r>
        <w:rPr>
          <w:color w:val="000000" w:themeColor="text1"/>
          <w:szCs w:val="18"/>
          <w:lang w:val="nl-NL"/>
        </w:rPr>
        <w:t xml:space="preserve"> en vormen een deelantwoord op </w:t>
      </w:r>
      <w:r w:rsidR="00664603">
        <w:rPr>
          <w:color w:val="000000" w:themeColor="text1"/>
          <w:szCs w:val="18"/>
          <w:lang w:val="nl-NL"/>
        </w:rPr>
        <w:t xml:space="preserve">de </w:t>
      </w:r>
      <w:r>
        <w:rPr>
          <w:color w:val="000000" w:themeColor="text1"/>
          <w:szCs w:val="18"/>
          <w:lang w:val="nl-NL"/>
        </w:rPr>
        <w:t>tweede subonderzoeksvraag.</w:t>
      </w:r>
      <w:r>
        <w:rPr>
          <w:rStyle w:val="FootnoteReference"/>
          <w:color w:val="000000" w:themeColor="text1"/>
          <w:szCs w:val="18"/>
          <w:lang w:val="nl-NL"/>
        </w:rPr>
        <w:footnoteReference w:id="122"/>
      </w:r>
      <w:r>
        <w:rPr>
          <w:color w:val="000000" w:themeColor="text1"/>
          <w:szCs w:val="18"/>
          <w:lang w:val="nl-NL"/>
        </w:rPr>
        <w:t xml:space="preserve"> </w:t>
      </w:r>
      <w:r w:rsidR="00513089">
        <w:rPr>
          <w:color w:val="000000" w:themeColor="text1"/>
          <w:szCs w:val="18"/>
          <w:lang w:val="nl-NL"/>
        </w:rPr>
        <w:t xml:space="preserve">A.d.h.v. deze pijnpunten kan verderop in deze masterscriptie tot een </w:t>
      </w:r>
      <w:r w:rsidR="00513089" w:rsidRPr="0078547B">
        <w:rPr>
          <w:szCs w:val="18"/>
          <w:lang w:val="nl-NL"/>
        </w:rPr>
        <w:t xml:space="preserve">meer onderbouwde evaluatie van de huidige strafbaarstelling </w:t>
      </w:r>
      <w:r w:rsidR="00513089">
        <w:rPr>
          <w:szCs w:val="18"/>
          <w:lang w:val="nl-NL"/>
        </w:rPr>
        <w:t>worden ge</w:t>
      </w:r>
      <w:r w:rsidR="00513089" w:rsidRPr="0078547B">
        <w:rPr>
          <w:szCs w:val="18"/>
          <w:lang w:val="nl-NL"/>
        </w:rPr>
        <w:t>komen</w:t>
      </w:r>
      <w:r w:rsidR="00513089">
        <w:rPr>
          <w:szCs w:val="18"/>
          <w:lang w:val="nl-NL"/>
        </w:rPr>
        <w:t>.</w:t>
      </w:r>
    </w:p>
    <w:p w14:paraId="7B82864A" w14:textId="12D3D331" w:rsidR="003C6BBA" w:rsidRPr="000B4AB2" w:rsidRDefault="003C6BBA" w:rsidP="00260F11">
      <w:pPr>
        <w:pStyle w:val="ListParagraph"/>
        <w:spacing w:line="360" w:lineRule="auto"/>
        <w:ind w:left="0"/>
        <w:rPr>
          <w:color w:val="000000" w:themeColor="text1"/>
          <w:szCs w:val="18"/>
          <w:lang w:val="nl-NL"/>
        </w:rPr>
      </w:pPr>
    </w:p>
    <w:p w14:paraId="0E1DDA64" w14:textId="521C2370" w:rsidR="00174C12" w:rsidRPr="00174C12" w:rsidRDefault="00174C12" w:rsidP="00260F11">
      <w:pPr>
        <w:pStyle w:val="ListParagraph"/>
        <w:numPr>
          <w:ilvl w:val="0"/>
          <w:numId w:val="1"/>
        </w:numPr>
        <w:spacing w:line="360" w:lineRule="auto"/>
        <w:ind w:left="0" w:hanging="709"/>
        <w:rPr>
          <w:color w:val="000000" w:themeColor="text1"/>
          <w:szCs w:val="18"/>
          <w:lang w:val="nl-NL"/>
        </w:rPr>
      </w:pPr>
      <w:r w:rsidRPr="00174C12">
        <w:rPr>
          <w:b/>
          <w:color w:val="000000" w:themeColor="text1"/>
          <w:szCs w:val="18"/>
          <w:lang w:val="nl-NL"/>
        </w:rPr>
        <w:t>Eerste pijnpunt - g</w:t>
      </w:r>
      <w:r w:rsidR="003C6BBA" w:rsidRPr="00174C12">
        <w:rPr>
          <w:b/>
          <w:color w:val="000000" w:themeColor="text1"/>
          <w:szCs w:val="18"/>
          <w:lang w:val="nl-NL"/>
        </w:rPr>
        <w:t>een wettelijke definitie</w:t>
      </w:r>
      <w:r w:rsidR="003C6BBA" w:rsidRPr="00174C12">
        <w:rPr>
          <w:color w:val="000000" w:themeColor="text1"/>
          <w:szCs w:val="18"/>
          <w:lang w:val="nl-NL"/>
        </w:rPr>
        <w:t xml:space="preserve">. </w:t>
      </w:r>
      <w:r w:rsidR="00054C92" w:rsidRPr="00174C12">
        <w:rPr>
          <w:color w:val="000000" w:themeColor="text1"/>
          <w:szCs w:val="18"/>
          <w:lang w:val="nl-NL"/>
        </w:rPr>
        <w:t>Zoals uiteengezet, voorzag de wetgever niet in een definitie van aanranding van de eerbaarheid</w:t>
      </w:r>
      <w:r w:rsidR="00DE406A" w:rsidRPr="00174C12">
        <w:rPr>
          <w:color w:val="000000" w:themeColor="text1"/>
          <w:szCs w:val="18"/>
          <w:lang w:val="nl-NL"/>
        </w:rPr>
        <w:t xml:space="preserve">. </w:t>
      </w:r>
      <w:r w:rsidRPr="00174C12">
        <w:rPr>
          <w:color w:val="000000" w:themeColor="text1"/>
          <w:szCs w:val="18"/>
          <w:lang w:val="nl-NL"/>
        </w:rPr>
        <w:t xml:space="preserve">Door dit gebrek aan wettelijke definitie van het misdrijf, bleken de voor het misdrijf vereiste constitutieve bestanddelen geenszins duidelijk uit de </w:t>
      </w:r>
      <w:r w:rsidRPr="00174C12">
        <w:rPr>
          <w:color w:val="000000" w:themeColor="text1"/>
          <w:szCs w:val="18"/>
          <w:lang w:val="nl-NL"/>
        </w:rPr>
        <w:lastRenderedPageBreak/>
        <w:t xml:space="preserve">strafbaarstelling zelf. </w:t>
      </w:r>
      <w:r>
        <w:rPr>
          <w:color w:val="000000" w:themeColor="text1"/>
          <w:szCs w:val="18"/>
          <w:lang w:val="nl-NL"/>
        </w:rPr>
        <w:t>Het</w:t>
      </w:r>
      <w:r w:rsidR="00DE406A" w:rsidRPr="00174C12">
        <w:rPr>
          <w:color w:val="000000" w:themeColor="text1"/>
          <w:szCs w:val="18"/>
          <w:lang w:val="nl-NL"/>
        </w:rPr>
        <w:t xml:space="preserve"> Hof van Cassatie </w:t>
      </w:r>
      <w:r w:rsidR="00C5785E" w:rsidRPr="00174C12">
        <w:rPr>
          <w:color w:val="000000" w:themeColor="text1"/>
          <w:szCs w:val="18"/>
          <w:lang w:val="nl-NL"/>
        </w:rPr>
        <w:t>formuleerde wel een definitie van dit misdrijf</w:t>
      </w:r>
      <w:r w:rsidR="00DE406A" w:rsidRPr="00174C12">
        <w:rPr>
          <w:color w:val="000000" w:themeColor="text1"/>
          <w:szCs w:val="18"/>
          <w:lang w:val="nl-NL"/>
        </w:rPr>
        <w:t>,</w:t>
      </w:r>
      <w:r w:rsidR="009038E6">
        <w:rPr>
          <w:rStyle w:val="FootnoteReference"/>
          <w:color w:val="000000" w:themeColor="text1"/>
          <w:szCs w:val="18"/>
          <w:lang w:val="nl-NL"/>
        </w:rPr>
        <w:footnoteReference w:id="123"/>
      </w:r>
      <w:r w:rsidR="00DE406A" w:rsidRPr="00174C12">
        <w:rPr>
          <w:color w:val="000000" w:themeColor="text1"/>
          <w:szCs w:val="18"/>
          <w:lang w:val="nl-NL"/>
        </w:rPr>
        <w:t xml:space="preserve"> </w:t>
      </w:r>
      <w:r w:rsidR="00054C92" w:rsidRPr="00174C12">
        <w:rPr>
          <w:color w:val="000000" w:themeColor="text1"/>
          <w:szCs w:val="18"/>
          <w:lang w:val="nl-NL"/>
        </w:rPr>
        <w:t>hetgeen</w:t>
      </w:r>
      <w:r w:rsidR="00DE406A" w:rsidRPr="00174C12">
        <w:rPr>
          <w:color w:val="000000" w:themeColor="text1"/>
          <w:szCs w:val="18"/>
          <w:lang w:val="nl-NL"/>
        </w:rPr>
        <w:t xml:space="preserve"> vervolgens aanleiding</w:t>
      </w:r>
      <w:r w:rsidR="00054C92" w:rsidRPr="00174C12">
        <w:rPr>
          <w:color w:val="000000" w:themeColor="text1"/>
          <w:szCs w:val="18"/>
          <w:lang w:val="nl-NL"/>
        </w:rPr>
        <w:t xml:space="preserve"> gaf</w:t>
      </w:r>
      <w:r w:rsidR="00DE406A" w:rsidRPr="00174C12">
        <w:rPr>
          <w:color w:val="000000" w:themeColor="text1"/>
          <w:szCs w:val="18"/>
          <w:lang w:val="nl-NL"/>
        </w:rPr>
        <w:t xml:space="preserve"> tot verdeeldheid binnen de rechtsleer. </w:t>
      </w:r>
      <w:r w:rsidR="003635A4">
        <w:rPr>
          <w:color w:val="000000" w:themeColor="text1"/>
          <w:szCs w:val="18"/>
          <w:lang w:val="nl-NL"/>
        </w:rPr>
        <w:t>Uit dit pijnpunt, vloeien in essentie drie moeilijkheden voort.</w:t>
      </w:r>
    </w:p>
    <w:p w14:paraId="2A4FD84A" w14:textId="77777777" w:rsidR="00174C12" w:rsidRPr="00174C12" w:rsidRDefault="00174C12" w:rsidP="00260F11">
      <w:pPr>
        <w:pStyle w:val="ListParagraph"/>
        <w:spacing w:line="360" w:lineRule="auto"/>
        <w:rPr>
          <w:color w:val="000000" w:themeColor="text1"/>
          <w:szCs w:val="18"/>
          <w:lang w:val="nl-NL"/>
        </w:rPr>
      </w:pPr>
    </w:p>
    <w:p w14:paraId="75EBCA59" w14:textId="748BEFF9" w:rsidR="006E7951" w:rsidRDefault="00174C12" w:rsidP="00260F11">
      <w:pPr>
        <w:pStyle w:val="ListParagraph"/>
        <w:numPr>
          <w:ilvl w:val="0"/>
          <w:numId w:val="1"/>
        </w:numPr>
        <w:spacing w:line="360" w:lineRule="auto"/>
        <w:ind w:left="0" w:hanging="709"/>
        <w:rPr>
          <w:color w:val="000000" w:themeColor="text1"/>
          <w:szCs w:val="18"/>
          <w:lang w:val="nl-NL"/>
        </w:rPr>
      </w:pPr>
      <w:r w:rsidRPr="00174C12">
        <w:rPr>
          <w:b/>
          <w:color w:val="000000" w:themeColor="text1"/>
          <w:szCs w:val="18"/>
          <w:lang w:val="nl-NL"/>
        </w:rPr>
        <w:t>Afwezigheid van toestemming: constitutief bestanddeel?</w:t>
      </w:r>
      <w:r>
        <w:rPr>
          <w:color w:val="000000" w:themeColor="text1"/>
          <w:szCs w:val="18"/>
          <w:lang w:val="nl-NL"/>
        </w:rPr>
        <w:t xml:space="preserve"> </w:t>
      </w:r>
      <w:r w:rsidR="00DE406A" w:rsidRPr="00174C12">
        <w:rPr>
          <w:color w:val="000000" w:themeColor="text1"/>
          <w:szCs w:val="18"/>
          <w:lang w:val="nl-NL"/>
        </w:rPr>
        <w:t xml:space="preserve">De voornaamste discussie </w:t>
      </w:r>
      <w:r w:rsidR="00382629" w:rsidRPr="00174C12">
        <w:rPr>
          <w:color w:val="000000" w:themeColor="text1"/>
          <w:szCs w:val="18"/>
          <w:lang w:val="nl-NL"/>
        </w:rPr>
        <w:t>had betrekking op de</w:t>
      </w:r>
      <w:r w:rsidR="00DE406A" w:rsidRPr="00174C12">
        <w:rPr>
          <w:color w:val="000000" w:themeColor="text1"/>
          <w:szCs w:val="18"/>
          <w:lang w:val="nl-NL"/>
        </w:rPr>
        <w:t xml:space="preserve"> vraag of het loutere gebrek aan toestemming in hoofde van het slachtoffer hierdoor al dan niet tot constitutief bestanddeel </w:t>
      </w:r>
      <w:r w:rsidR="00382629" w:rsidRPr="00174C12">
        <w:rPr>
          <w:color w:val="000000" w:themeColor="text1"/>
          <w:szCs w:val="18"/>
          <w:lang w:val="nl-NL"/>
        </w:rPr>
        <w:t>uitgeroepen zou zijn</w:t>
      </w:r>
      <w:r w:rsidR="00466D5C" w:rsidRPr="00174C12">
        <w:rPr>
          <w:color w:val="000000" w:themeColor="text1"/>
          <w:szCs w:val="18"/>
          <w:lang w:val="nl-NL"/>
        </w:rPr>
        <w:t>. De meerderheidsvisie binnen de rechtsleer beantwoordde deze vraag negatief, gelet op de limitatieve opsomming van toestemmingsuitsluitende gronden in het wetsartikel zelf, wat in schril contrast werd geplaatst tegenover de oude strafbaarstelling van verkrachting</w:t>
      </w:r>
      <w:r w:rsidR="009038E6" w:rsidRPr="00174C12">
        <w:rPr>
          <w:color w:val="000000" w:themeColor="text1"/>
          <w:szCs w:val="18"/>
          <w:lang w:val="nl-NL"/>
        </w:rPr>
        <w:t>.</w:t>
      </w:r>
      <w:r w:rsidR="009038E6">
        <w:rPr>
          <w:rStyle w:val="FootnoteReference"/>
          <w:color w:val="000000" w:themeColor="text1"/>
          <w:szCs w:val="18"/>
          <w:lang w:val="nl-NL"/>
        </w:rPr>
        <w:footnoteReference w:id="124"/>
      </w:r>
      <w:r w:rsidR="00466D5C" w:rsidRPr="00174C12">
        <w:rPr>
          <w:color w:val="000000" w:themeColor="text1"/>
          <w:szCs w:val="18"/>
          <w:lang w:val="nl-NL"/>
        </w:rPr>
        <w:t xml:space="preserve"> </w:t>
      </w:r>
    </w:p>
    <w:p w14:paraId="71BE9C82" w14:textId="77777777" w:rsidR="006E7951" w:rsidRPr="006E7951" w:rsidRDefault="006E7951" w:rsidP="00260F11">
      <w:pPr>
        <w:pStyle w:val="ListParagraph"/>
        <w:spacing w:line="360" w:lineRule="auto"/>
        <w:rPr>
          <w:b/>
          <w:color w:val="000000" w:themeColor="text1"/>
          <w:szCs w:val="18"/>
          <w:lang w:val="nl-NL"/>
        </w:rPr>
      </w:pPr>
    </w:p>
    <w:p w14:paraId="011FA963" w14:textId="33BB29B4" w:rsidR="00925874" w:rsidRPr="00925874" w:rsidRDefault="00174C12" w:rsidP="00260F11">
      <w:pPr>
        <w:pStyle w:val="ListParagraph"/>
        <w:numPr>
          <w:ilvl w:val="0"/>
          <w:numId w:val="1"/>
        </w:numPr>
        <w:spacing w:line="360" w:lineRule="auto"/>
        <w:ind w:left="0" w:hanging="709"/>
        <w:rPr>
          <w:color w:val="000000" w:themeColor="text1"/>
          <w:szCs w:val="18"/>
          <w:lang w:val="nl-NL"/>
        </w:rPr>
      </w:pPr>
      <w:r w:rsidRPr="006E7951">
        <w:rPr>
          <w:b/>
          <w:color w:val="000000" w:themeColor="text1"/>
          <w:szCs w:val="18"/>
          <w:lang w:val="nl-NL"/>
        </w:rPr>
        <w:t>Collectief bewustzijn?</w:t>
      </w:r>
      <w:r w:rsidRPr="006E7951">
        <w:rPr>
          <w:color w:val="000000" w:themeColor="text1"/>
          <w:szCs w:val="18"/>
          <w:lang w:val="nl-NL"/>
        </w:rPr>
        <w:t xml:space="preserve"> </w:t>
      </w:r>
      <w:r w:rsidR="00466D5C" w:rsidRPr="006E7951">
        <w:rPr>
          <w:color w:val="000000" w:themeColor="text1"/>
          <w:szCs w:val="18"/>
          <w:lang w:val="nl-NL"/>
        </w:rPr>
        <w:t xml:space="preserve">Bovendien was het niet geheel duidelijk wat </w:t>
      </w:r>
      <w:r w:rsidR="00466D5C" w:rsidRPr="006E7951">
        <w:rPr>
          <w:szCs w:val="18"/>
        </w:rPr>
        <w:t>volgens het collectief bewustzijn als inbreuk op de seksuele integriteit moe</w:t>
      </w:r>
      <w:r w:rsidR="00673173" w:rsidRPr="006E7951">
        <w:rPr>
          <w:szCs w:val="18"/>
        </w:rPr>
        <w:t>s</w:t>
      </w:r>
      <w:r w:rsidR="00466D5C" w:rsidRPr="006E7951">
        <w:rPr>
          <w:szCs w:val="18"/>
        </w:rPr>
        <w:t xml:space="preserve">t worden beschouwd. Dit was immers moeilijk vooraf te bepalen. In de rechtsleer werd hierdoor het risico gesignaleerd dat een welbepaalde gedraging door de ene rechter wel en de andere rechter niet als aanranding van de eerbaarheid zou worden gekwalificeerd. </w:t>
      </w:r>
      <w:r w:rsidR="00925874">
        <w:rPr>
          <w:szCs w:val="18"/>
        </w:rPr>
        <w:t>In de rechtsleer werd evenwel ook gewezen op een pluspunt van dit beoordelingscriterium, m.n. dat dit een evolutief begrip was</w:t>
      </w:r>
      <w:r w:rsidR="00925874" w:rsidRPr="00925874">
        <w:rPr>
          <w:szCs w:val="18"/>
        </w:rPr>
        <w:t>.</w:t>
      </w:r>
      <w:r w:rsidR="00925874">
        <w:rPr>
          <w:rStyle w:val="FootnoteReference"/>
          <w:szCs w:val="18"/>
        </w:rPr>
        <w:footnoteReference w:id="125"/>
      </w:r>
    </w:p>
    <w:p w14:paraId="403D8D77" w14:textId="77777777" w:rsidR="00925874" w:rsidRPr="00925874" w:rsidRDefault="00925874" w:rsidP="00260F11">
      <w:pPr>
        <w:pStyle w:val="ListParagraph"/>
        <w:spacing w:line="360" w:lineRule="auto"/>
        <w:rPr>
          <w:color w:val="000000" w:themeColor="text1"/>
          <w:szCs w:val="18"/>
          <w:lang w:val="nl-NL"/>
        </w:rPr>
      </w:pPr>
    </w:p>
    <w:p w14:paraId="2E3B9E88" w14:textId="74971B44" w:rsidR="00925874" w:rsidRPr="00925874" w:rsidRDefault="00925874" w:rsidP="00260F11">
      <w:pPr>
        <w:pStyle w:val="ListParagraph"/>
        <w:numPr>
          <w:ilvl w:val="0"/>
          <w:numId w:val="1"/>
        </w:numPr>
        <w:spacing w:line="360" w:lineRule="auto"/>
        <w:ind w:left="0" w:hanging="709"/>
        <w:rPr>
          <w:color w:val="000000" w:themeColor="text1"/>
          <w:szCs w:val="18"/>
          <w:lang w:val="nl-NL"/>
        </w:rPr>
      </w:pPr>
      <w:r w:rsidRPr="00925874">
        <w:rPr>
          <w:b/>
          <w:color w:val="000000" w:themeColor="text1"/>
          <w:szCs w:val="18"/>
          <w:lang w:val="nl-NL"/>
        </w:rPr>
        <w:t>Ernstig?</w:t>
      </w:r>
      <w:r w:rsidRPr="00925874">
        <w:rPr>
          <w:color w:val="000000" w:themeColor="text1"/>
          <w:szCs w:val="18"/>
          <w:lang w:val="nl-NL"/>
        </w:rPr>
        <w:t xml:space="preserve"> Tevens werd in de rechtsleer gewezen op de risico’s van de eis dat de gestelde gedraging “ernstig” diende te zijn. </w:t>
      </w:r>
      <w:r>
        <w:rPr>
          <w:color w:val="000000" w:themeColor="text1"/>
          <w:szCs w:val="18"/>
          <w:lang w:val="nl-NL"/>
        </w:rPr>
        <w:t>O.w.v.</w:t>
      </w:r>
      <w:r w:rsidRPr="00925874">
        <w:rPr>
          <w:color w:val="000000" w:themeColor="text1"/>
          <w:szCs w:val="18"/>
          <w:lang w:val="nl-NL"/>
        </w:rPr>
        <w:t xml:space="preserve"> de vaagheid van het begrip zouden immers persoonlijke oordelen m.b.t. seksualiteit een rol kunnen spelen</w:t>
      </w:r>
      <w:r>
        <w:rPr>
          <w:color w:val="000000" w:themeColor="text1"/>
          <w:szCs w:val="18"/>
          <w:lang w:val="nl-NL"/>
        </w:rPr>
        <w:t>.</w:t>
      </w:r>
      <w:r>
        <w:rPr>
          <w:rStyle w:val="FootnoteReference"/>
          <w:color w:val="000000" w:themeColor="text1"/>
          <w:szCs w:val="18"/>
          <w:lang w:val="nl-NL"/>
        </w:rPr>
        <w:footnoteReference w:id="126"/>
      </w:r>
      <w:r w:rsidRPr="00925874">
        <w:rPr>
          <w:color w:val="000000" w:themeColor="text1"/>
          <w:szCs w:val="18"/>
          <w:lang w:val="nl-NL"/>
        </w:rPr>
        <w:t xml:space="preserve"> </w:t>
      </w:r>
    </w:p>
    <w:p w14:paraId="4CD82374" w14:textId="77777777" w:rsidR="00925874" w:rsidRPr="00925874" w:rsidRDefault="00925874" w:rsidP="00260F11">
      <w:pPr>
        <w:pStyle w:val="ListParagraph"/>
        <w:spacing w:line="360" w:lineRule="auto"/>
        <w:rPr>
          <w:color w:val="000000" w:themeColor="text1"/>
          <w:szCs w:val="18"/>
          <w:lang w:val="nl-NL"/>
        </w:rPr>
      </w:pPr>
    </w:p>
    <w:p w14:paraId="319F71A9" w14:textId="1B290D8E" w:rsidR="00925874" w:rsidRPr="00925874" w:rsidRDefault="00925874" w:rsidP="00260F11">
      <w:pPr>
        <w:pStyle w:val="ListParagraph"/>
        <w:numPr>
          <w:ilvl w:val="0"/>
          <w:numId w:val="1"/>
        </w:numPr>
        <w:spacing w:line="360" w:lineRule="auto"/>
        <w:ind w:left="0" w:hanging="709"/>
        <w:rPr>
          <w:color w:val="000000" w:themeColor="text1"/>
          <w:szCs w:val="18"/>
          <w:lang w:val="nl-NL"/>
        </w:rPr>
      </w:pPr>
      <w:r w:rsidRPr="00925874">
        <w:rPr>
          <w:b/>
          <w:color w:val="000000" w:themeColor="text1"/>
          <w:szCs w:val="18"/>
          <w:lang w:val="nl-NL"/>
        </w:rPr>
        <w:t>Schaamtegevoel?</w:t>
      </w:r>
      <w:r w:rsidRPr="00925874">
        <w:rPr>
          <w:color w:val="000000" w:themeColor="text1"/>
          <w:szCs w:val="18"/>
          <w:lang w:val="nl-NL"/>
        </w:rPr>
        <w:t xml:space="preserve"> De eis van de seksuele interactie tussen dader en slachtoffer stelde bovendien problemen in de mate waarin vereist werd dat dit een schaamtegevoel diende op te wekken bij het slachtoffer. Hoewel dit de deur leek open te zetten om rekening te houden met de subjectieve beleving van het slachtoffer, diende dit te worden beoordeeld in het licht van de maatschappelijke opvattingen daaromtrent.</w:t>
      </w:r>
      <w:r>
        <w:rPr>
          <w:rStyle w:val="FootnoteReference"/>
          <w:color w:val="000000" w:themeColor="text1"/>
          <w:szCs w:val="18"/>
          <w:lang w:val="nl-NL"/>
        </w:rPr>
        <w:footnoteReference w:id="127"/>
      </w:r>
      <w:r w:rsidRPr="00925874">
        <w:rPr>
          <w:color w:val="000000" w:themeColor="text1"/>
          <w:szCs w:val="18"/>
          <w:lang w:val="nl-NL"/>
        </w:rPr>
        <w:t xml:space="preserve"> In die zin vormde dit dan ook niet echt (meer) een pijnpunt.</w:t>
      </w:r>
    </w:p>
    <w:p w14:paraId="7C88A544" w14:textId="77777777" w:rsidR="00297B16" w:rsidRPr="006E7951" w:rsidRDefault="00297B16" w:rsidP="00260F11">
      <w:pPr>
        <w:spacing w:line="360" w:lineRule="auto"/>
        <w:rPr>
          <w:color w:val="000000" w:themeColor="text1"/>
          <w:szCs w:val="18"/>
          <w:lang w:val="nl-NL"/>
        </w:rPr>
      </w:pPr>
    </w:p>
    <w:p w14:paraId="584D77E4" w14:textId="43AF4A9A" w:rsidR="00297B16" w:rsidRPr="000B4AB2" w:rsidRDefault="00174C12"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Tweede </w:t>
      </w:r>
      <w:r w:rsidR="006E7951">
        <w:rPr>
          <w:b/>
          <w:color w:val="000000" w:themeColor="text1"/>
          <w:szCs w:val="18"/>
          <w:lang w:val="nl-NL"/>
        </w:rPr>
        <w:t xml:space="preserve">(theoretisch) </w:t>
      </w:r>
      <w:r>
        <w:rPr>
          <w:b/>
          <w:color w:val="000000" w:themeColor="text1"/>
          <w:szCs w:val="18"/>
          <w:lang w:val="nl-NL"/>
        </w:rPr>
        <w:t>pijnpunt - g</w:t>
      </w:r>
      <w:r w:rsidR="003C6BBA" w:rsidRPr="000B4AB2">
        <w:rPr>
          <w:b/>
          <w:color w:val="000000" w:themeColor="text1"/>
          <w:szCs w:val="18"/>
          <w:lang w:val="nl-NL"/>
        </w:rPr>
        <w:t>eslacht</w:t>
      </w:r>
      <w:r w:rsidR="003C6BBA" w:rsidRPr="000B4AB2">
        <w:rPr>
          <w:color w:val="000000" w:themeColor="text1"/>
          <w:szCs w:val="18"/>
          <w:lang w:val="nl-NL"/>
        </w:rPr>
        <w:t xml:space="preserve">. </w:t>
      </w:r>
      <w:r w:rsidR="00297B16" w:rsidRPr="000B4AB2">
        <w:rPr>
          <w:color w:val="000000" w:themeColor="text1"/>
          <w:szCs w:val="18"/>
          <w:lang w:val="nl-NL"/>
        </w:rPr>
        <w:t xml:space="preserve">Zowel oud artikel 372 als 373 </w:t>
      </w:r>
      <w:r w:rsidR="0081584B">
        <w:rPr>
          <w:color w:val="000000" w:themeColor="text1"/>
          <w:szCs w:val="18"/>
          <w:lang w:val="nl-NL"/>
        </w:rPr>
        <w:t xml:space="preserve">van het </w:t>
      </w:r>
      <w:r w:rsidR="00CE0637">
        <w:rPr>
          <w:color w:val="000000" w:themeColor="text1"/>
          <w:szCs w:val="18"/>
          <w:lang w:val="nl-NL"/>
        </w:rPr>
        <w:t>Strafwetboek</w:t>
      </w:r>
      <w:r w:rsidR="00297B16" w:rsidRPr="000B4AB2">
        <w:rPr>
          <w:color w:val="000000" w:themeColor="text1"/>
          <w:szCs w:val="18"/>
          <w:lang w:val="nl-NL"/>
        </w:rPr>
        <w:t xml:space="preserve"> vermeldden dat het </w:t>
      </w:r>
      <w:r w:rsidR="00297B16" w:rsidRPr="000B4AB2">
        <w:rPr>
          <w:color w:val="000000" w:themeColor="text1"/>
          <w:szCs w:val="18"/>
        </w:rPr>
        <w:t>slachtoffer “van het mannelijke of vrouwelijke geslacht” kon zijn</w:t>
      </w:r>
      <w:r w:rsidR="006140B6">
        <w:rPr>
          <w:szCs w:val="18"/>
        </w:rPr>
        <w:t>. Hoewel dit in de rechtspraktijk geen probleem vormde, zou dit</w:t>
      </w:r>
      <w:r w:rsidR="00297B16" w:rsidRPr="000B4AB2">
        <w:rPr>
          <w:szCs w:val="18"/>
        </w:rPr>
        <w:t xml:space="preserve"> </w:t>
      </w:r>
      <w:r w:rsidR="006140B6">
        <w:rPr>
          <w:szCs w:val="18"/>
        </w:rPr>
        <w:t xml:space="preserve">in theorie toch </w:t>
      </w:r>
      <w:r w:rsidR="00CD3A61" w:rsidRPr="000B4AB2">
        <w:rPr>
          <w:szCs w:val="18"/>
        </w:rPr>
        <w:t>aanleiding kunnen geven tot</w:t>
      </w:r>
      <w:r w:rsidR="00297B16" w:rsidRPr="000B4AB2">
        <w:rPr>
          <w:szCs w:val="18"/>
        </w:rPr>
        <w:t xml:space="preserve"> </w:t>
      </w:r>
      <w:r w:rsidR="006140B6">
        <w:rPr>
          <w:szCs w:val="18"/>
        </w:rPr>
        <w:t>nodeloze discussies m.b.t.</w:t>
      </w:r>
      <w:r w:rsidR="005D35CA" w:rsidRPr="000B4AB2">
        <w:rPr>
          <w:szCs w:val="18"/>
        </w:rPr>
        <w:t xml:space="preserve"> personen van het geslacht X</w:t>
      </w:r>
      <w:r w:rsidR="005D35CA" w:rsidRPr="000B4AB2">
        <w:rPr>
          <w:color w:val="000000" w:themeColor="text1"/>
          <w:szCs w:val="18"/>
          <w:lang w:val="nl-NL"/>
        </w:rPr>
        <w:t>.</w:t>
      </w:r>
      <w:r w:rsidR="009038E6">
        <w:rPr>
          <w:rStyle w:val="FootnoteReference"/>
          <w:color w:val="000000" w:themeColor="text1"/>
          <w:szCs w:val="18"/>
          <w:lang w:val="nl-NL"/>
        </w:rPr>
        <w:footnoteReference w:id="128"/>
      </w:r>
    </w:p>
    <w:p w14:paraId="15B36CE6" w14:textId="77777777" w:rsidR="005D35CA" w:rsidRPr="006C5145" w:rsidRDefault="005D35CA" w:rsidP="00260F11">
      <w:pPr>
        <w:spacing w:line="360" w:lineRule="auto"/>
        <w:rPr>
          <w:color w:val="000000" w:themeColor="text1"/>
          <w:szCs w:val="18"/>
          <w:lang w:val="nl-NL"/>
        </w:rPr>
      </w:pPr>
    </w:p>
    <w:p w14:paraId="02BFFDF8" w14:textId="0A44ED70" w:rsidR="0083001F" w:rsidRPr="000B4AB2" w:rsidRDefault="00174C12"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Derde pijnpunt - m</w:t>
      </w:r>
      <w:r w:rsidR="003C6BBA" w:rsidRPr="000B4AB2">
        <w:rPr>
          <w:b/>
          <w:color w:val="000000" w:themeColor="text1"/>
          <w:szCs w:val="18"/>
          <w:lang w:val="nl-NL"/>
        </w:rPr>
        <w:t>oreel bestanddeel</w:t>
      </w:r>
      <w:r w:rsidR="003C6BBA" w:rsidRPr="000B4AB2">
        <w:rPr>
          <w:color w:val="000000" w:themeColor="text1"/>
          <w:szCs w:val="18"/>
          <w:lang w:val="nl-NL"/>
        </w:rPr>
        <w:t xml:space="preserve">. </w:t>
      </w:r>
      <w:r w:rsidR="00054C92">
        <w:rPr>
          <w:color w:val="000000" w:themeColor="text1"/>
          <w:szCs w:val="18"/>
          <w:lang w:val="nl-NL"/>
        </w:rPr>
        <w:t xml:space="preserve">Gelet op het wetgevend stilzwijgen omtrent het moreel bestanddeel, vereiste de </w:t>
      </w:r>
      <w:r w:rsidR="003C6BBA" w:rsidRPr="000B4AB2">
        <w:rPr>
          <w:color w:val="000000" w:themeColor="text1"/>
          <w:szCs w:val="18"/>
          <w:lang w:val="nl-NL"/>
        </w:rPr>
        <w:t>meerderheidsvisie een algemeen opzet</w:t>
      </w:r>
      <w:r w:rsidR="00054C92">
        <w:rPr>
          <w:color w:val="000000" w:themeColor="text1"/>
          <w:szCs w:val="18"/>
          <w:lang w:val="nl-NL"/>
        </w:rPr>
        <w:t xml:space="preserve">. Desondanks </w:t>
      </w:r>
      <w:r w:rsidR="00B87F15" w:rsidRPr="000B4AB2">
        <w:rPr>
          <w:color w:val="000000" w:themeColor="text1"/>
          <w:szCs w:val="18"/>
          <w:lang w:val="nl-NL"/>
        </w:rPr>
        <w:t>gaf</w:t>
      </w:r>
      <w:r w:rsidR="003C6BBA" w:rsidRPr="000B4AB2">
        <w:rPr>
          <w:color w:val="000000" w:themeColor="text1"/>
          <w:szCs w:val="18"/>
          <w:lang w:val="nl-NL"/>
        </w:rPr>
        <w:t xml:space="preserve"> </w:t>
      </w:r>
      <w:r w:rsidR="00054C92">
        <w:rPr>
          <w:color w:val="000000" w:themeColor="text1"/>
          <w:szCs w:val="18"/>
          <w:lang w:val="nl-NL"/>
        </w:rPr>
        <w:t>dit wetgevend stilzwijgen</w:t>
      </w:r>
      <w:r w:rsidR="003C6BBA" w:rsidRPr="000B4AB2">
        <w:rPr>
          <w:color w:val="000000" w:themeColor="text1"/>
          <w:szCs w:val="18"/>
          <w:lang w:val="nl-NL"/>
        </w:rPr>
        <w:t xml:space="preserve"> </w:t>
      </w:r>
      <w:r w:rsidR="00B87F15" w:rsidRPr="000B4AB2">
        <w:rPr>
          <w:color w:val="000000" w:themeColor="text1"/>
          <w:szCs w:val="18"/>
          <w:lang w:val="nl-NL"/>
        </w:rPr>
        <w:t xml:space="preserve">aanleiding </w:t>
      </w:r>
      <w:r w:rsidR="003C6BBA" w:rsidRPr="000B4AB2">
        <w:rPr>
          <w:color w:val="000000" w:themeColor="text1"/>
          <w:szCs w:val="18"/>
          <w:lang w:val="nl-NL"/>
        </w:rPr>
        <w:t>tot vermijdbare discussie</w:t>
      </w:r>
      <w:r w:rsidR="003C53D3" w:rsidRPr="000B4AB2">
        <w:rPr>
          <w:color w:val="000000" w:themeColor="text1"/>
          <w:szCs w:val="18"/>
          <w:lang w:val="nl-NL"/>
        </w:rPr>
        <w:t>s</w:t>
      </w:r>
      <w:r w:rsidR="0019746D">
        <w:rPr>
          <w:color w:val="000000" w:themeColor="text1"/>
          <w:szCs w:val="18"/>
          <w:lang w:val="nl-NL"/>
        </w:rPr>
        <w:t xml:space="preserve"> die hoger reeds werden uiteengezet</w:t>
      </w:r>
      <w:r w:rsidR="003C6BBA" w:rsidRPr="000B4AB2">
        <w:rPr>
          <w:color w:val="000000" w:themeColor="text1"/>
          <w:szCs w:val="18"/>
          <w:lang w:val="nl-NL"/>
        </w:rPr>
        <w:t>.</w:t>
      </w:r>
      <w:r w:rsidR="009038E6">
        <w:rPr>
          <w:rStyle w:val="FootnoteReference"/>
          <w:color w:val="000000" w:themeColor="text1"/>
          <w:szCs w:val="18"/>
          <w:lang w:val="nl-NL"/>
        </w:rPr>
        <w:footnoteReference w:id="129"/>
      </w:r>
    </w:p>
    <w:p w14:paraId="1A7ECA3E" w14:textId="142026FF" w:rsidR="00AA42F6" w:rsidRPr="00364E34" w:rsidRDefault="0083001F" w:rsidP="00260F11">
      <w:pPr>
        <w:spacing w:line="360" w:lineRule="auto"/>
        <w:rPr>
          <w:color w:val="000000" w:themeColor="text1"/>
          <w:szCs w:val="18"/>
          <w:highlight w:val="yellow"/>
          <w:lang w:val="nl-NL"/>
        </w:rPr>
      </w:pPr>
      <w:r w:rsidRPr="000B4AB2">
        <w:rPr>
          <w:color w:val="000000" w:themeColor="text1"/>
          <w:szCs w:val="18"/>
          <w:highlight w:val="yellow"/>
          <w:lang w:val="nl-NL"/>
        </w:rPr>
        <w:br w:type="page"/>
      </w:r>
    </w:p>
    <w:p w14:paraId="61C97322" w14:textId="1C274AB5" w:rsidR="0000690D" w:rsidRPr="000B4AB2" w:rsidRDefault="00712B9D" w:rsidP="00260F11">
      <w:pPr>
        <w:pStyle w:val="Heading4"/>
        <w:spacing w:line="360" w:lineRule="auto"/>
        <w:rPr>
          <w:szCs w:val="18"/>
          <w:lang w:val="nl-NL"/>
        </w:rPr>
      </w:pPr>
      <w:bookmarkStart w:id="14" w:name="_Toc135041045"/>
      <w:r w:rsidRPr="000B4AB2">
        <w:rPr>
          <w:szCs w:val="18"/>
          <w:lang w:val="nl-NL"/>
        </w:rPr>
        <w:lastRenderedPageBreak/>
        <w:t>A</w:t>
      </w:r>
      <w:r w:rsidR="00853F85" w:rsidRPr="000B4AB2">
        <w:rPr>
          <w:szCs w:val="18"/>
          <w:lang w:val="nl-NL"/>
        </w:rPr>
        <w:t>antasting van de seksuele integriteit</w:t>
      </w:r>
      <w:r w:rsidRPr="000B4AB2">
        <w:rPr>
          <w:szCs w:val="18"/>
          <w:lang w:val="nl-NL"/>
        </w:rPr>
        <w:t xml:space="preserve"> </w:t>
      </w:r>
      <w:r w:rsidR="001106D3" w:rsidRPr="000B4AB2">
        <w:rPr>
          <w:szCs w:val="18"/>
          <w:lang w:val="nl-NL"/>
        </w:rPr>
        <w:t>(</w:t>
      </w:r>
      <w:r w:rsidR="00CA766A" w:rsidRPr="000B4AB2">
        <w:rPr>
          <w:szCs w:val="18"/>
          <w:lang w:val="nl-NL"/>
        </w:rPr>
        <w:t>huidig</w:t>
      </w:r>
      <w:r w:rsidRPr="000B4AB2">
        <w:rPr>
          <w:szCs w:val="18"/>
          <w:lang w:val="nl-NL"/>
        </w:rPr>
        <w:t xml:space="preserve"> recht</w:t>
      </w:r>
      <w:r w:rsidR="001106D3" w:rsidRPr="000B4AB2">
        <w:rPr>
          <w:szCs w:val="18"/>
          <w:lang w:val="nl-NL"/>
        </w:rPr>
        <w:t>)</w:t>
      </w:r>
      <w:bookmarkEnd w:id="14"/>
    </w:p>
    <w:p w14:paraId="0852C508" w14:textId="285D158D" w:rsidR="0000690D" w:rsidRPr="000B4AB2" w:rsidRDefault="00E3374E"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 </w:t>
      </w:r>
    </w:p>
    <w:p w14:paraId="576DC3C6" w14:textId="1D1F9BD9" w:rsidR="0061652A" w:rsidRDefault="0061652A"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In dit deel wordt een deelantwoord geformuleerd op de eerste subonderzoeksvraa</w:t>
      </w:r>
      <w:r w:rsidR="009038E6">
        <w:rPr>
          <w:color w:val="000000" w:themeColor="text1"/>
          <w:szCs w:val="18"/>
          <w:lang w:val="nl-NL"/>
        </w:rPr>
        <w:t>g</w:t>
      </w:r>
      <w:r>
        <w:rPr>
          <w:color w:val="000000" w:themeColor="text1"/>
          <w:szCs w:val="18"/>
          <w:lang w:val="nl-NL"/>
        </w:rPr>
        <w:t>.</w:t>
      </w:r>
      <w:r w:rsidR="009038E6">
        <w:rPr>
          <w:rStyle w:val="FootnoteReference"/>
          <w:color w:val="000000" w:themeColor="text1"/>
          <w:szCs w:val="18"/>
          <w:lang w:val="nl-NL"/>
        </w:rPr>
        <w:footnoteReference w:id="130"/>
      </w:r>
      <w:r>
        <w:rPr>
          <w:color w:val="000000" w:themeColor="text1"/>
          <w:szCs w:val="18"/>
          <w:lang w:val="nl-NL"/>
        </w:rPr>
        <w:t xml:space="preserve"> Met </w:t>
      </w:r>
      <w:r w:rsidR="00C86F4B">
        <w:rPr>
          <w:color w:val="000000" w:themeColor="text1"/>
          <w:szCs w:val="18"/>
          <w:lang w:val="nl-NL"/>
        </w:rPr>
        <w:t xml:space="preserve">name zullen </w:t>
      </w:r>
      <w:r>
        <w:rPr>
          <w:color w:val="000000" w:themeColor="text1"/>
          <w:szCs w:val="18"/>
          <w:lang w:val="nl-NL"/>
        </w:rPr>
        <w:t xml:space="preserve">de constitutieve bestanddelen van de huidige strafbaarstelling van aantasting van de seksuele integriteit </w:t>
      </w:r>
      <w:r w:rsidR="00C86F4B">
        <w:rPr>
          <w:color w:val="000000" w:themeColor="text1"/>
          <w:szCs w:val="18"/>
          <w:lang w:val="nl-NL"/>
        </w:rPr>
        <w:t>uiteen worden gezet</w:t>
      </w:r>
      <w:r>
        <w:rPr>
          <w:color w:val="000000" w:themeColor="text1"/>
          <w:szCs w:val="18"/>
          <w:lang w:val="nl-NL"/>
        </w:rPr>
        <w:t>.</w:t>
      </w:r>
    </w:p>
    <w:p w14:paraId="6E8DF7F1" w14:textId="77777777" w:rsidR="0061652A" w:rsidRDefault="0061652A" w:rsidP="00260F11">
      <w:pPr>
        <w:pStyle w:val="ListParagraph"/>
        <w:spacing w:line="360" w:lineRule="auto"/>
        <w:ind w:left="0"/>
        <w:rPr>
          <w:color w:val="000000" w:themeColor="text1"/>
          <w:szCs w:val="18"/>
          <w:lang w:val="nl-NL"/>
        </w:rPr>
      </w:pPr>
    </w:p>
    <w:p w14:paraId="6A5D8A09" w14:textId="2A24A88B" w:rsidR="00177977" w:rsidRPr="00C86F4B" w:rsidRDefault="003752B8"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Een eerste nieuwigheid is de </w:t>
      </w:r>
      <w:r w:rsidRPr="00FA6A31">
        <w:rPr>
          <w:color w:val="000000" w:themeColor="text1"/>
          <w:szCs w:val="18"/>
          <w:lang w:val="nl-NL"/>
        </w:rPr>
        <w:t>naamsverandering</w:t>
      </w:r>
      <w:r>
        <w:rPr>
          <w:color w:val="000000" w:themeColor="text1"/>
          <w:szCs w:val="18"/>
          <w:lang w:val="nl-NL"/>
        </w:rPr>
        <w:t xml:space="preserve"> van het misdrijf.</w:t>
      </w:r>
      <w:r w:rsidR="00C86F4B" w:rsidRPr="000B4AB2">
        <w:rPr>
          <w:rStyle w:val="FootnoteReference"/>
          <w:szCs w:val="18"/>
          <w:lang w:val="nl-NL"/>
        </w:rPr>
        <w:footnoteReference w:id="131"/>
      </w:r>
      <w:r>
        <w:rPr>
          <w:color w:val="000000" w:themeColor="text1"/>
          <w:szCs w:val="18"/>
          <w:lang w:val="nl-NL"/>
        </w:rPr>
        <w:t xml:space="preserve"> </w:t>
      </w:r>
      <w:r w:rsidR="00FA6A31">
        <w:rPr>
          <w:color w:val="000000" w:themeColor="text1"/>
          <w:szCs w:val="18"/>
          <w:lang w:val="nl-NL"/>
        </w:rPr>
        <w:t>De wetgever wilde hiermee voornamelijk benadrukken dat de</w:t>
      </w:r>
      <w:r w:rsidR="000324A0" w:rsidRPr="000B4AB2">
        <w:rPr>
          <w:color w:val="000000" w:themeColor="text1"/>
          <w:szCs w:val="18"/>
          <w:lang w:val="nl-NL"/>
        </w:rPr>
        <w:t xml:space="preserve"> seksuele integriteit en het seksueel zelfbeschikkingsrecht </w:t>
      </w:r>
      <w:r w:rsidR="00FA6A31">
        <w:rPr>
          <w:color w:val="000000" w:themeColor="text1"/>
          <w:szCs w:val="18"/>
          <w:lang w:val="nl-NL"/>
        </w:rPr>
        <w:t xml:space="preserve">het te beschermen rechtsgoed vormen, </w:t>
      </w:r>
      <w:r w:rsidR="000324A0" w:rsidRPr="000B4AB2">
        <w:rPr>
          <w:color w:val="000000" w:themeColor="text1"/>
          <w:szCs w:val="18"/>
          <w:lang w:val="nl-NL"/>
        </w:rPr>
        <w:t>eerder dan de eer van het individu of de familie.</w:t>
      </w:r>
      <w:r w:rsidR="000324A0" w:rsidRPr="000B4AB2">
        <w:rPr>
          <w:rStyle w:val="FootnoteReference"/>
          <w:color w:val="000000" w:themeColor="text1"/>
          <w:szCs w:val="18"/>
          <w:lang w:val="nl-NL"/>
        </w:rPr>
        <w:footnoteReference w:id="132"/>
      </w:r>
      <w:r w:rsidR="00C86F4B">
        <w:rPr>
          <w:color w:val="000000" w:themeColor="text1"/>
          <w:szCs w:val="18"/>
          <w:lang w:val="nl-NL"/>
        </w:rPr>
        <w:t xml:space="preserve"> </w:t>
      </w:r>
      <w:r w:rsidR="00C86F4B" w:rsidRPr="00C86F4B">
        <w:rPr>
          <w:szCs w:val="18"/>
          <w:lang w:val="nl-NL"/>
        </w:rPr>
        <w:t>Bovendien voorziet de wetgever voortaan in wettelijke definitie</w:t>
      </w:r>
      <w:r w:rsidR="00364E34">
        <w:rPr>
          <w:szCs w:val="18"/>
          <w:lang w:val="nl-NL"/>
        </w:rPr>
        <w:t xml:space="preserve"> in</w:t>
      </w:r>
      <w:r w:rsidRPr="00C86F4B">
        <w:rPr>
          <w:szCs w:val="18"/>
          <w:lang w:val="nl-NL"/>
        </w:rPr>
        <w:t xml:space="preserve"> </w:t>
      </w:r>
      <w:r w:rsidR="00364E34">
        <w:rPr>
          <w:szCs w:val="18"/>
          <w:lang w:val="nl-NL"/>
        </w:rPr>
        <w:t>a</w:t>
      </w:r>
      <w:r w:rsidR="00742D1B" w:rsidRPr="00C86F4B">
        <w:rPr>
          <w:szCs w:val="18"/>
          <w:lang w:val="nl-NL"/>
        </w:rPr>
        <w:t>rtikel 417/7</w:t>
      </w:r>
      <w:r w:rsidRPr="00C86F4B">
        <w:rPr>
          <w:szCs w:val="18"/>
          <w:lang w:val="nl-NL"/>
        </w:rPr>
        <w:t>, eerste lid</w:t>
      </w:r>
      <w:r w:rsidR="00364E34">
        <w:rPr>
          <w:szCs w:val="18"/>
          <w:lang w:val="nl-NL"/>
        </w:rPr>
        <w:t xml:space="preserve"> </w:t>
      </w:r>
      <w:r w:rsidR="0081584B">
        <w:rPr>
          <w:szCs w:val="18"/>
          <w:lang w:val="nl-NL"/>
        </w:rPr>
        <w:t xml:space="preserve">van het </w:t>
      </w:r>
      <w:r w:rsidR="00364E34">
        <w:rPr>
          <w:szCs w:val="18"/>
          <w:lang w:val="nl-NL"/>
        </w:rPr>
        <w:t>Strafwetboek</w:t>
      </w:r>
      <w:r w:rsidR="00177977" w:rsidRPr="00C86F4B">
        <w:rPr>
          <w:szCs w:val="18"/>
          <w:lang w:val="nl-NL"/>
        </w:rPr>
        <w:t xml:space="preserve">: </w:t>
      </w:r>
      <w:r w:rsidR="00177977" w:rsidRPr="00C86F4B">
        <w:rPr>
          <w:i/>
          <w:szCs w:val="18"/>
          <w:lang w:val="nl-NL"/>
        </w:rPr>
        <w:t>“Aantasting van de seksuele integriteit is het stellen van een seksuele handeling op een pers</w:t>
      </w:r>
      <w:r w:rsidR="00654577" w:rsidRPr="00C86F4B">
        <w:rPr>
          <w:i/>
          <w:szCs w:val="18"/>
          <w:lang w:val="nl-NL"/>
        </w:rPr>
        <w:t>o</w:t>
      </w:r>
      <w:r w:rsidR="00177977" w:rsidRPr="00C86F4B">
        <w:rPr>
          <w:i/>
          <w:szCs w:val="18"/>
          <w:lang w:val="nl-NL"/>
        </w:rPr>
        <w:t>on die daar niet in toestemt, al dan niet met behulp van een derde persoon die daar niet in toestemt, dan wel het laten stellen van een seksuele handeling door een persoon die daar niet in toestemt</w:t>
      </w:r>
      <w:r w:rsidRPr="00C86F4B">
        <w:rPr>
          <w:i/>
          <w:szCs w:val="18"/>
          <w:lang w:val="nl-NL"/>
        </w:rPr>
        <w:t>. (…)</w:t>
      </w:r>
      <w:r w:rsidR="00177977" w:rsidRPr="00C86F4B">
        <w:rPr>
          <w:i/>
          <w:szCs w:val="18"/>
          <w:lang w:val="nl-NL"/>
        </w:rPr>
        <w:t>”</w:t>
      </w:r>
      <w:r w:rsidR="00C86F4B" w:rsidRPr="00C86F4B">
        <w:rPr>
          <w:szCs w:val="18"/>
          <w:lang w:val="nl-NL"/>
        </w:rPr>
        <w:t>.</w:t>
      </w:r>
      <w:r w:rsidR="00177977" w:rsidRPr="00C86F4B">
        <w:rPr>
          <w:rStyle w:val="FootnoteReference"/>
          <w:szCs w:val="18"/>
          <w:lang w:val="nl-NL"/>
        </w:rPr>
        <w:footnoteReference w:id="133"/>
      </w:r>
    </w:p>
    <w:p w14:paraId="2AC956AB" w14:textId="77777777" w:rsidR="00AC7912" w:rsidRPr="003752B8" w:rsidRDefault="00AC7912" w:rsidP="00260F11">
      <w:pPr>
        <w:spacing w:line="360" w:lineRule="auto"/>
        <w:rPr>
          <w:color w:val="000000" w:themeColor="text1"/>
          <w:szCs w:val="18"/>
          <w:lang w:val="nl-NL"/>
        </w:rPr>
      </w:pPr>
    </w:p>
    <w:p w14:paraId="2D0E928A" w14:textId="79571F10" w:rsidR="00225695" w:rsidRPr="000B4AB2" w:rsidRDefault="00987068"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De constitutieve bestanddelen van</w:t>
      </w:r>
      <w:r w:rsidR="00EF19FE" w:rsidRPr="000B4AB2">
        <w:rPr>
          <w:color w:val="000000" w:themeColor="text1"/>
          <w:szCs w:val="18"/>
          <w:lang w:val="nl-NL"/>
        </w:rPr>
        <w:t xml:space="preserve"> het misdrijf</w:t>
      </w:r>
      <w:r w:rsidRPr="000B4AB2">
        <w:rPr>
          <w:color w:val="000000" w:themeColor="text1"/>
          <w:szCs w:val="18"/>
          <w:lang w:val="nl-NL"/>
        </w:rPr>
        <w:t xml:space="preserve"> aantasting van de seksuele integriteit kunnen</w:t>
      </w:r>
      <w:r w:rsidR="00EF19FE" w:rsidRPr="000B4AB2">
        <w:rPr>
          <w:color w:val="000000" w:themeColor="text1"/>
          <w:szCs w:val="18"/>
          <w:lang w:val="nl-NL"/>
        </w:rPr>
        <w:t>, in grote lijnen,</w:t>
      </w:r>
      <w:r w:rsidRPr="000B4AB2">
        <w:rPr>
          <w:color w:val="000000" w:themeColor="text1"/>
          <w:szCs w:val="18"/>
          <w:lang w:val="nl-NL"/>
        </w:rPr>
        <w:t xml:space="preserve"> schematisch als volgt worden voorgesteld.</w:t>
      </w:r>
      <w:r w:rsidR="00C86F4B">
        <w:rPr>
          <w:color w:val="000000" w:themeColor="text1"/>
          <w:szCs w:val="18"/>
          <w:lang w:val="nl-NL"/>
        </w:rPr>
        <w:t xml:space="preserve"> Deze worden verderop nader toegelicht.</w:t>
      </w:r>
    </w:p>
    <w:p w14:paraId="6B3A62DD" w14:textId="522845D9" w:rsidR="00DA0EDB" w:rsidRPr="000B4AB2" w:rsidRDefault="00DA0EDB" w:rsidP="00260F11">
      <w:pPr>
        <w:spacing w:line="360" w:lineRule="auto"/>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7B2CBF" w:rsidRPr="000B4AB2" w14:paraId="64F49B63" w14:textId="77777777" w:rsidTr="00585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443FF707" w14:textId="7C7E72DE" w:rsidR="007B2CBF" w:rsidRPr="000B4AB2" w:rsidRDefault="007B2CBF"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Constitutieve bestanddelen </w:t>
            </w:r>
            <w:r w:rsidR="00641A7D" w:rsidRPr="000B4AB2">
              <w:rPr>
                <w:color w:val="000000" w:themeColor="text1"/>
                <w:szCs w:val="18"/>
                <w:lang w:val="nl-NL"/>
              </w:rPr>
              <w:t>aantasting</w:t>
            </w:r>
            <w:r w:rsidRPr="000B4AB2">
              <w:rPr>
                <w:color w:val="000000" w:themeColor="text1"/>
                <w:szCs w:val="18"/>
                <w:lang w:val="nl-NL"/>
              </w:rPr>
              <w:t xml:space="preserve"> van de </w:t>
            </w:r>
            <w:r w:rsidR="00641A7D" w:rsidRPr="000B4AB2">
              <w:rPr>
                <w:color w:val="000000" w:themeColor="text1"/>
                <w:szCs w:val="18"/>
                <w:lang w:val="nl-NL"/>
              </w:rPr>
              <w:t>seksuele integriteit</w:t>
            </w:r>
            <w:r w:rsidRPr="000B4AB2">
              <w:rPr>
                <w:color w:val="000000" w:themeColor="text1"/>
                <w:szCs w:val="18"/>
                <w:lang w:val="nl-NL"/>
              </w:rPr>
              <w:t xml:space="preserve"> (art. </w:t>
            </w:r>
            <w:r w:rsidR="00641A7D" w:rsidRPr="000B4AB2">
              <w:rPr>
                <w:color w:val="000000" w:themeColor="text1"/>
                <w:szCs w:val="18"/>
                <w:lang w:val="nl-NL"/>
              </w:rPr>
              <w:t>417/7</w:t>
            </w:r>
            <w:r w:rsidRPr="000B4AB2">
              <w:rPr>
                <w:color w:val="000000" w:themeColor="text1"/>
                <w:szCs w:val="18"/>
                <w:lang w:val="nl-NL"/>
              </w:rPr>
              <w:t xml:space="preserve"> Sw.)</w:t>
            </w:r>
          </w:p>
        </w:tc>
      </w:tr>
      <w:tr w:rsidR="007B2CBF" w:rsidRPr="000B4AB2" w14:paraId="00F5E24C" w14:textId="77777777" w:rsidTr="00585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6FA089F" w14:textId="76DE529D" w:rsidR="007B2CBF" w:rsidRPr="000B4AB2" w:rsidRDefault="007B2CBF"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11298592" w14:textId="77777777" w:rsidR="007B2CBF" w:rsidRPr="000B4AB2" w:rsidRDefault="007B2CBF"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7B2CBF" w:rsidRPr="000B4AB2" w14:paraId="599D8D06" w14:textId="77777777" w:rsidTr="00585404">
        <w:tc>
          <w:tcPr>
            <w:cnfStyle w:val="001000000000" w:firstRow="0" w:lastRow="0" w:firstColumn="1" w:lastColumn="0" w:oddVBand="0" w:evenVBand="0" w:oddHBand="0" w:evenHBand="0" w:firstRowFirstColumn="0" w:firstRowLastColumn="0" w:lastRowFirstColumn="0" w:lastRowLastColumn="0"/>
            <w:tcW w:w="4531" w:type="dxa"/>
          </w:tcPr>
          <w:p w14:paraId="1F0BA407" w14:textId="5E82A64A" w:rsidR="00987068" w:rsidRPr="000B4AB2" w:rsidRDefault="00987068" w:rsidP="00260F11">
            <w:pPr>
              <w:pStyle w:val="ListParagraph"/>
              <w:numPr>
                <w:ilvl w:val="0"/>
                <w:numId w:val="3"/>
              </w:numPr>
              <w:spacing w:line="360" w:lineRule="auto"/>
              <w:jc w:val="left"/>
              <w:rPr>
                <w:b w:val="0"/>
                <w:color w:val="000000" w:themeColor="text1"/>
                <w:szCs w:val="18"/>
                <w:lang w:val="nl-NL"/>
              </w:rPr>
            </w:pPr>
            <w:r w:rsidRPr="000B4AB2">
              <w:rPr>
                <w:b w:val="0"/>
                <w:color w:val="000000" w:themeColor="text1"/>
                <w:szCs w:val="18"/>
                <w:lang w:val="nl-NL"/>
              </w:rPr>
              <w:t xml:space="preserve">Seksuele handeling </w:t>
            </w:r>
            <w:r w:rsidR="00156D93" w:rsidRPr="000B4AB2">
              <w:rPr>
                <w:b w:val="0"/>
                <w:color w:val="000000" w:themeColor="text1"/>
                <w:szCs w:val="18"/>
                <w:lang w:val="nl-NL"/>
              </w:rPr>
              <w:t>die de seksuele integriteit aantast</w:t>
            </w:r>
          </w:p>
          <w:p w14:paraId="653C4E07" w14:textId="77777777" w:rsidR="000804CF" w:rsidRPr="000B4AB2" w:rsidRDefault="00156D93" w:rsidP="00260F11">
            <w:pPr>
              <w:pStyle w:val="ListParagraph"/>
              <w:numPr>
                <w:ilvl w:val="1"/>
                <w:numId w:val="3"/>
              </w:numPr>
              <w:spacing w:line="360" w:lineRule="auto"/>
              <w:jc w:val="left"/>
              <w:rPr>
                <w:b w:val="0"/>
                <w:color w:val="000000" w:themeColor="text1"/>
                <w:szCs w:val="18"/>
                <w:lang w:val="nl-NL"/>
              </w:rPr>
            </w:pPr>
            <w:r w:rsidRPr="000B4AB2">
              <w:rPr>
                <w:b w:val="0"/>
                <w:color w:val="000000" w:themeColor="text1"/>
                <w:szCs w:val="18"/>
                <w:lang w:val="nl-NL"/>
              </w:rPr>
              <w:t>zoals ervaren door een redelijk persoon</w:t>
            </w:r>
          </w:p>
          <w:p w14:paraId="1410A6F7" w14:textId="3CE5F9CA" w:rsidR="000804CF" w:rsidRPr="000B4AB2" w:rsidRDefault="000804CF" w:rsidP="00260F11">
            <w:pPr>
              <w:pStyle w:val="ListParagraph"/>
              <w:numPr>
                <w:ilvl w:val="0"/>
                <w:numId w:val="3"/>
              </w:numPr>
              <w:spacing w:line="360" w:lineRule="auto"/>
              <w:jc w:val="left"/>
              <w:rPr>
                <w:b w:val="0"/>
                <w:color w:val="000000" w:themeColor="text1"/>
                <w:szCs w:val="18"/>
                <w:lang w:val="nl-NL"/>
              </w:rPr>
            </w:pPr>
            <w:r w:rsidRPr="000B4AB2">
              <w:rPr>
                <w:b w:val="0"/>
                <w:szCs w:val="18"/>
                <w:lang w:val="nl-NL"/>
              </w:rPr>
              <w:t xml:space="preserve">Op een persoon, al dan niet met behulp van een </w:t>
            </w:r>
            <w:r w:rsidR="005B17B2" w:rsidRPr="000B4AB2">
              <w:rPr>
                <w:b w:val="0"/>
                <w:szCs w:val="18"/>
                <w:lang w:val="nl-NL"/>
              </w:rPr>
              <w:t xml:space="preserve">derde </w:t>
            </w:r>
            <w:r w:rsidRPr="000B4AB2">
              <w:rPr>
                <w:b w:val="0"/>
                <w:szCs w:val="18"/>
                <w:lang w:val="nl-NL"/>
              </w:rPr>
              <w:t>persoon of laten stellen door een persoon</w:t>
            </w:r>
          </w:p>
          <w:p w14:paraId="4DE67694" w14:textId="77777777" w:rsidR="007B2CBF" w:rsidRPr="000B4AB2" w:rsidRDefault="007B2CBF" w:rsidP="00260F11">
            <w:pPr>
              <w:pStyle w:val="ListParagraph"/>
              <w:numPr>
                <w:ilvl w:val="0"/>
                <w:numId w:val="3"/>
              </w:numPr>
              <w:spacing w:line="360" w:lineRule="auto"/>
              <w:jc w:val="left"/>
              <w:rPr>
                <w:bCs w:val="0"/>
                <w:color w:val="000000" w:themeColor="text1"/>
                <w:szCs w:val="18"/>
                <w:lang w:val="nl-NL"/>
              </w:rPr>
            </w:pPr>
            <w:r w:rsidRPr="000B4AB2">
              <w:rPr>
                <w:b w:val="0"/>
                <w:color w:val="000000" w:themeColor="text1"/>
                <w:szCs w:val="18"/>
                <w:lang w:val="nl-NL"/>
              </w:rPr>
              <w:t>zonder geldige toestemming in hoofde van het slachtoffer</w:t>
            </w:r>
          </w:p>
          <w:p w14:paraId="3998149D" w14:textId="6A57DC77" w:rsidR="006B379A" w:rsidRPr="000B4AB2" w:rsidRDefault="006B379A" w:rsidP="00260F11">
            <w:pPr>
              <w:pStyle w:val="ListParagraph"/>
              <w:numPr>
                <w:ilvl w:val="1"/>
                <w:numId w:val="3"/>
              </w:numPr>
              <w:spacing w:line="360" w:lineRule="auto"/>
              <w:jc w:val="left"/>
              <w:rPr>
                <w:bCs w:val="0"/>
                <w:color w:val="000000" w:themeColor="text1"/>
                <w:szCs w:val="18"/>
                <w:lang w:val="nl-NL"/>
              </w:rPr>
            </w:pPr>
            <w:r w:rsidRPr="000B4AB2">
              <w:rPr>
                <w:b w:val="0"/>
                <w:bCs w:val="0"/>
                <w:color w:val="000000" w:themeColor="text1"/>
                <w:szCs w:val="18"/>
                <w:lang w:val="nl-NL"/>
              </w:rPr>
              <w:t>Art. 417/5 en 417/6 Sw.</w:t>
            </w:r>
          </w:p>
        </w:tc>
        <w:tc>
          <w:tcPr>
            <w:tcW w:w="4531" w:type="dxa"/>
          </w:tcPr>
          <w:p w14:paraId="57184861" w14:textId="60116F3E" w:rsidR="007B2CBF" w:rsidRPr="000B4AB2" w:rsidRDefault="004E1ACC" w:rsidP="00260F11">
            <w:pPr>
              <w:pStyle w:val="ListParagraph"/>
              <w:spacing w:line="360" w:lineRule="auto"/>
              <w:ind w:left="0"/>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Stilzwijgen wetgever</w:t>
            </w:r>
          </w:p>
        </w:tc>
      </w:tr>
    </w:tbl>
    <w:p w14:paraId="7D9D888E" w14:textId="3E188B09" w:rsidR="00364E34" w:rsidRDefault="00364E34" w:rsidP="00260F11">
      <w:pPr>
        <w:spacing w:line="360" w:lineRule="auto"/>
        <w:rPr>
          <w:lang w:val="nl-NL"/>
        </w:rPr>
      </w:pPr>
    </w:p>
    <w:p w14:paraId="4E9AA705" w14:textId="77777777" w:rsidR="00364E34" w:rsidRDefault="00364E34" w:rsidP="00260F11">
      <w:pPr>
        <w:spacing w:line="360" w:lineRule="auto"/>
        <w:rPr>
          <w:lang w:val="nl-NL"/>
        </w:rPr>
      </w:pPr>
      <w:r>
        <w:rPr>
          <w:lang w:val="nl-NL"/>
        </w:rPr>
        <w:br w:type="page"/>
      </w:r>
    </w:p>
    <w:p w14:paraId="02972ECE" w14:textId="11D6EF0D" w:rsidR="00356FAB" w:rsidRPr="000B4AB2" w:rsidRDefault="001E2681" w:rsidP="00260F11">
      <w:pPr>
        <w:pStyle w:val="Heading5"/>
        <w:spacing w:line="360" w:lineRule="auto"/>
        <w:rPr>
          <w:szCs w:val="18"/>
          <w:lang w:val="nl-NL"/>
        </w:rPr>
      </w:pPr>
      <w:bookmarkStart w:id="15" w:name="_Toc135041046"/>
      <w:r w:rsidRPr="000B4AB2">
        <w:rPr>
          <w:szCs w:val="18"/>
          <w:lang w:val="nl-NL"/>
        </w:rPr>
        <w:lastRenderedPageBreak/>
        <w:t xml:space="preserve">Materiële gedraging </w:t>
      </w:r>
      <w:r w:rsidRPr="000B4AB2">
        <w:rPr>
          <w:i/>
          <w:szCs w:val="18"/>
          <w:lang w:val="nl-NL"/>
        </w:rPr>
        <w:t>sensu stricto</w:t>
      </w:r>
      <w:bookmarkEnd w:id="15"/>
    </w:p>
    <w:p w14:paraId="07C07AC1" w14:textId="77777777" w:rsidR="008176CA" w:rsidRPr="000B4AB2" w:rsidRDefault="008176CA" w:rsidP="00260F11">
      <w:pPr>
        <w:pStyle w:val="ListParagraph"/>
        <w:spacing w:line="360" w:lineRule="auto"/>
        <w:ind w:left="0"/>
        <w:rPr>
          <w:color w:val="000000" w:themeColor="text1"/>
          <w:szCs w:val="18"/>
          <w:lang w:val="nl-NL"/>
        </w:rPr>
      </w:pPr>
    </w:p>
    <w:p w14:paraId="72383043" w14:textId="0FBC3461" w:rsidR="0099533A" w:rsidRPr="00253D21" w:rsidRDefault="00D1590F"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Seksuele handeling</w:t>
      </w:r>
      <w:r w:rsidRPr="000B4AB2">
        <w:rPr>
          <w:color w:val="000000" w:themeColor="text1"/>
          <w:szCs w:val="18"/>
          <w:lang w:val="nl-NL"/>
        </w:rPr>
        <w:t xml:space="preserve">. </w:t>
      </w:r>
      <w:r w:rsidR="00BE725B" w:rsidRPr="000B4AB2">
        <w:rPr>
          <w:color w:val="000000" w:themeColor="text1"/>
          <w:szCs w:val="18"/>
          <w:lang w:val="nl-NL"/>
        </w:rPr>
        <w:t>Opdat sprake kan zijn van het misdrijf aantasting van de seksuele integriteit, dient een seksuele handeling te hebben plaatsgevonden.</w:t>
      </w:r>
      <w:r w:rsidR="008D2750">
        <w:rPr>
          <w:color w:val="000000" w:themeColor="text1"/>
          <w:szCs w:val="18"/>
          <w:lang w:val="nl-NL"/>
        </w:rPr>
        <w:t xml:space="preserve"> </w:t>
      </w:r>
      <w:r w:rsidR="008D2750" w:rsidRPr="000B4AB2">
        <w:rPr>
          <w:color w:val="000000" w:themeColor="text1"/>
          <w:szCs w:val="18"/>
          <w:lang w:val="nl-NL"/>
        </w:rPr>
        <w:t>De handeling moet</w:t>
      </w:r>
      <w:r w:rsidR="008D2750">
        <w:rPr>
          <w:color w:val="000000" w:themeColor="text1"/>
          <w:szCs w:val="18"/>
          <w:lang w:val="nl-NL"/>
        </w:rPr>
        <w:t xml:space="preserve"> - conform de memorie van toelichting - </w:t>
      </w:r>
      <w:r w:rsidR="008D2750" w:rsidRPr="000B4AB2">
        <w:rPr>
          <w:color w:val="000000" w:themeColor="text1"/>
          <w:szCs w:val="18"/>
          <w:lang w:val="nl-NL"/>
        </w:rPr>
        <w:t>door een redelijk persoon als seksueel worden beschouwd en bijgevolg als een inbreuk op de seksuele integriteit van een individu.</w:t>
      </w:r>
      <w:r w:rsidR="008D2750" w:rsidRPr="000B4AB2">
        <w:rPr>
          <w:rStyle w:val="FootnoteReference"/>
          <w:color w:val="000000" w:themeColor="text1"/>
          <w:szCs w:val="18"/>
          <w:lang w:val="nl-NL"/>
        </w:rPr>
        <w:footnoteReference w:id="134"/>
      </w:r>
      <w:r w:rsidR="00BE725B" w:rsidRPr="000B4AB2">
        <w:rPr>
          <w:color w:val="000000" w:themeColor="text1"/>
          <w:szCs w:val="18"/>
          <w:lang w:val="nl-NL"/>
        </w:rPr>
        <w:t xml:space="preserve"> Hoewel </w:t>
      </w:r>
      <w:r w:rsidR="00CE60F7" w:rsidRPr="000B4AB2">
        <w:rPr>
          <w:color w:val="000000" w:themeColor="text1"/>
          <w:szCs w:val="18"/>
          <w:lang w:val="nl-NL"/>
        </w:rPr>
        <w:t>een dergelijke omschrijving nieuw is</w:t>
      </w:r>
      <w:r w:rsidR="00BE725B" w:rsidRPr="000B4AB2">
        <w:rPr>
          <w:color w:val="000000" w:themeColor="text1"/>
          <w:szCs w:val="18"/>
          <w:lang w:val="nl-NL"/>
        </w:rPr>
        <w:t xml:space="preserve">, wordt in de voorbereidende werken </w:t>
      </w:r>
      <w:r w:rsidR="006A453B" w:rsidRPr="000B4AB2">
        <w:rPr>
          <w:color w:val="000000" w:themeColor="text1"/>
          <w:szCs w:val="18"/>
          <w:lang w:val="nl-NL"/>
        </w:rPr>
        <w:t>en</w:t>
      </w:r>
      <w:r w:rsidR="00BE725B" w:rsidRPr="000B4AB2">
        <w:rPr>
          <w:color w:val="000000" w:themeColor="text1"/>
          <w:szCs w:val="18"/>
          <w:lang w:val="nl-NL"/>
        </w:rPr>
        <w:t xml:space="preserve"> de rechtsleer benadrukt </w:t>
      </w:r>
      <w:r w:rsidR="00253D21" w:rsidRPr="00A1443D">
        <w:rPr>
          <w:color w:val="000000" w:themeColor="text1"/>
          <w:szCs w:val="18"/>
          <w:lang w:val="nl-NL"/>
        </w:rPr>
        <w:t xml:space="preserve">dat het </w:t>
      </w:r>
      <w:r w:rsidR="00253D21">
        <w:rPr>
          <w:color w:val="000000" w:themeColor="text1"/>
          <w:szCs w:val="18"/>
          <w:lang w:val="nl-NL"/>
        </w:rPr>
        <w:t>geenszins</w:t>
      </w:r>
      <w:r w:rsidR="00253D21" w:rsidRPr="00A1443D">
        <w:rPr>
          <w:color w:val="000000" w:themeColor="text1"/>
          <w:szCs w:val="18"/>
          <w:lang w:val="nl-NL"/>
        </w:rPr>
        <w:t xml:space="preserve"> de bedoeling is om gedragingen die onder de oude strafbaarstelling ressorteerden, niet meer te viseren met de huidige strafbaarstelling</w:t>
      </w:r>
      <w:r w:rsidR="00253D21">
        <w:rPr>
          <w:color w:val="000000" w:themeColor="text1"/>
          <w:szCs w:val="18"/>
          <w:lang w:val="nl-NL"/>
        </w:rPr>
        <w:t>.</w:t>
      </w:r>
      <w:r w:rsidR="006A453B" w:rsidRPr="000B4AB2">
        <w:rPr>
          <w:rStyle w:val="FootnoteReference"/>
          <w:color w:val="000000" w:themeColor="text1"/>
          <w:szCs w:val="18"/>
          <w:lang w:val="nl-NL"/>
        </w:rPr>
        <w:footnoteReference w:id="135"/>
      </w:r>
      <w:r w:rsidR="00253D21">
        <w:rPr>
          <w:color w:val="000000" w:themeColor="text1"/>
          <w:szCs w:val="18"/>
          <w:lang w:val="nl-NL"/>
        </w:rPr>
        <w:t xml:space="preserve"> </w:t>
      </w:r>
      <w:r w:rsidR="0099533A" w:rsidRPr="00253D21">
        <w:rPr>
          <w:color w:val="000000" w:themeColor="text1"/>
          <w:szCs w:val="18"/>
          <w:lang w:val="nl-NL"/>
        </w:rPr>
        <w:t>De wetgever specifieert bovendien in de memorie van toelichting dat verbaal seksueel geweld niet onder de strafbaarstelling ressorteert.</w:t>
      </w:r>
      <w:r w:rsidR="0099533A">
        <w:rPr>
          <w:rStyle w:val="FootnoteReference"/>
          <w:color w:val="000000" w:themeColor="text1"/>
          <w:szCs w:val="18"/>
          <w:lang w:val="nl-NL"/>
        </w:rPr>
        <w:footnoteReference w:id="136"/>
      </w:r>
    </w:p>
    <w:p w14:paraId="4B87B327" w14:textId="77777777" w:rsidR="001756F9" w:rsidRPr="000B4AB2" w:rsidRDefault="001756F9" w:rsidP="00260F11">
      <w:pPr>
        <w:pStyle w:val="ListParagraph"/>
        <w:spacing w:line="360" w:lineRule="auto"/>
        <w:ind w:left="0"/>
        <w:rPr>
          <w:color w:val="000000" w:themeColor="text1"/>
          <w:szCs w:val="18"/>
          <w:lang w:val="nl-NL"/>
        </w:rPr>
      </w:pPr>
    </w:p>
    <w:p w14:paraId="06B8E906" w14:textId="2881E5CC" w:rsidR="00BE725B" w:rsidRPr="000B4AB2" w:rsidRDefault="001756F9"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Inbreuk op seksuele integriteit</w:t>
      </w:r>
      <w:r w:rsidRPr="000B4AB2">
        <w:rPr>
          <w:color w:val="000000" w:themeColor="text1"/>
          <w:szCs w:val="18"/>
          <w:lang w:val="nl-NL"/>
        </w:rPr>
        <w:t xml:space="preserve">. </w:t>
      </w:r>
      <w:r w:rsidR="00550FE2">
        <w:rPr>
          <w:color w:val="000000" w:themeColor="text1"/>
          <w:szCs w:val="18"/>
          <w:lang w:val="nl-NL"/>
        </w:rPr>
        <w:t>De</w:t>
      </w:r>
      <w:r w:rsidR="006A453B" w:rsidRPr="000B4AB2">
        <w:rPr>
          <w:color w:val="000000" w:themeColor="text1"/>
          <w:szCs w:val="18"/>
          <w:lang w:val="nl-NL"/>
        </w:rPr>
        <w:t xml:space="preserve"> seksuele handeling </w:t>
      </w:r>
      <w:r w:rsidR="00550FE2">
        <w:rPr>
          <w:color w:val="000000" w:themeColor="text1"/>
          <w:szCs w:val="18"/>
          <w:lang w:val="nl-NL"/>
        </w:rPr>
        <w:t xml:space="preserve">dient bovendien </w:t>
      </w:r>
      <w:r w:rsidR="006A453B" w:rsidRPr="000B4AB2">
        <w:rPr>
          <w:color w:val="000000" w:themeColor="text1"/>
          <w:szCs w:val="18"/>
          <w:lang w:val="nl-NL"/>
        </w:rPr>
        <w:t xml:space="preserve">inbreuk te maken op de seksuele integriteit. </w:t>
      </w:r>
    </w:p>
    <w:p w14:paraId="64286404" w14:textId="77777777" w:rsidR="006E7417" w:rsidRPr="000B4AB2" w:rsidRDefault="006E7417" w:rsidP="00260F11">
      <w:pPr>
        <w:pStyle w:val="ListParagraph"/>
        <w:spacing w:line="360" w:lineRule="auto"/>
        <w:rPr>
          <w:color w:val="000000" w:themeColor="text1"/>
          <w:szCs w:val="18"/>
          <w:lang w:val="nl-NL"/>
        </w:rPr>
      </w:pPr>
    </w:p>
    <w:p w14:paraId="66034AE8" w14:textId="76D65756" w:rsidR="007605D5" w:rsidRDefault="006E7417" w:rsidP="00260F11">
      <w:pPr>
        <w:pStyle w:val="ListParagraph"/>
        <w:numPr>
          <w:ilvl w:val="0"/>
          <w:numId w:val="1"/>
        </w:numPr>
        <w:spacing w:line="360" w:lineRule="auto"/>
        <w:ind w:left="0" w:hanging="709"/>
        <w:rPr>
          <w:color w:val="000000" w:themeColor="text1"/>
          <w:szCs w:val="18"/>
          <w:lang w:val="nl-NL"/>
        </w:rPr>
      </w:pPr>
      <w:r w:rsidRPr="00A1443D">
        <w:rPr>
          <w:b/>
          <w:color w:val="000000" w:themeColor="text1"/>
          <w:szCs w:val="18"/>
          <w:lang w:val="nl-NL"/>
        </w:rPr>
        <w:t>Ernst</w:t>
      </w:r>
      <w:r w:rsidR="0029153D" w:rsidRPr="00A1443D">
        <w:rPr>
          <w:b/>
          <w:color w:val="000000" w:themeColor="text1"/>
          <w:szCs w:val="18"/>
          <w:lang w:val="nl-NL"/>
        </w:rPr>
        <w:t xml:space="preserve">. </w:t>
      </w:r>
      <w:r w:rsidR="00A1443D" w:rsidRPr="00A1443D">
        <w:rPr>
          <w:color w:val="000000" w:themeColor="text1"/>
          <w:szCs w:val="18"/>
          <w:lang w:val="nl-NL"/>
        </w:rPr>
        <w:t>Ten slotte stelt de memorie van toelichting nog dat de voorwaarde van ernst voortvloeit uit het seksueel karakter van de gedraging.</w:t>
      </w:r>
      <w:r w:rsidR="00A1443D" w:rsidRPr="00A1443D">
        <w:rPr>
          <w:rStyle w:val="FootnoteReference"/>
          <w:color w:val="000000" w:themeColor="text1"/>
          <w:szCs w:val="18"/>
          <w:lang w:val="nl-NL"/>
        </w:rPr>
        <w:footnoteReference w:id="137"/>
      </w:r>
      <w:r w:rsidR="00A1443D" w:rsidRPr="00A1443D">
        <w:rPr>
          <w:color w:val="000000" w:themeColor="text1"/>
        </w:rPr>
        <w:t xml:space="preserve"> </w:t>
      </w:r>
      <w:r w:rsidR="00534952">
        <w:rPr>
          <w:color w:val="000000" w:themeColor="text1"/>
          <w:szCs w:val="18"/>
          <w:lang w:val="nl-NL"/>
        </w:rPr>
        <w:t>De</w:t>
      </w:r>
      <w:r w:rsidR="007605D5">
        <w:rPr>
          <w:color w:val="000000" w:themeColor="text1"/>
          <w:szCs w:val="18"/>
          <w:lang w:val="nl-NL"/>
        </w:rPr>
        <w:t xml:space="preserve"> wetgever</w:t>
      </w:r>
      <w:r w:rsidR="00534952">
        <w:rPr>
          <w:color w:val="000000" w:themeColor="text1"/>
          <w:szCs w:val="18"/>
          <w:lang w:val="nl-NL"/>
        </w:rPr>
        <w:t xml:space="preserve"> lijkt</w:t>
      </w:r>
      <w:r w:rsidR="007605D5">
        <w:rPr>
          <w:color w:val="000000" w:themeColor="text1"/>
          <w:szCs w:val="18"/>
          <w:lang w:val="nl-NL"/>
        </w:rPr>
        <w:t xml:space="preserve"> hierdoor </w:t>
      </w:r>
      <w:r w:rsidR="00A1443D" w:rsidRPr="007605D5">
        <w:rPr>
          <w:color w:val="000000" w:themeColor="text1"/>
          <w:szCs w:val="18"/>
          <w:lang w:val="nl-NL"/>
        </w:rPr>
        <w:t>m.i. te zijn afgestapt van de bijkomende (en onder het oude recht bekritiseerde) vereiste van ernst</w:t>
      </w:r>
      <w:r w:rsidR="007605D5">
        <w:rPr>
          <w:color w:val="000000" w:themeColor="text1"/>
          <w:szCs w:val="18"/>
          <w:lang w:val="nl-NL"/>
        </w:rPr>
        <w:t xml:space="preserve"> en zal een handeling die als seksueel wordt beschouwd hoe dan ook ernstig genoeg zijn om te kunnen </w:t>
      </w:r>
      <w:r w:rsidR="001B7BBD">
        <w:rPr>
          <w:color w:val="000000" w:themeColor="text1"/>
          <w:szCs w:val="18"/>
          <w:lang w:val="nl-NL"/>
        </w:rPr>
        <w:t>worden gekwalificeerd</w:t>
      </w:r>
      <w:r w:rsidR="007605D5">
        <w:rPr>
          <w:color w:val="000000" w:themeColor="text1"/>
          <w:szCs w:val="18"/>
          <w:lang w:val="nl-NL"/>
        </w:rPr>
        <w:t xml:space="preserve"> als aantasting van de seksuele integriteit.</w:t>
      </w:r>
      <w:r w:rsidR="00A1443D" w:rsidRPr="007605D5">
        <w:rPr>
          <w:color w:val="000000" w:themeColor="text1"/>
          <w:szCs w:val="18"/>
          <w:lang w:val="nl-NL"/>
        </w:rPr>
        <w:t xml:space="preserve"> </w:t>
      </w:r>
    </w:p>
    <w:p w14:paraId="275D8824" w14:textId="77777777" w:rsidR="007605D5" w:rsidRPr="007605D5" w:rsidRDefault="007605D5" w:rsidP="00260F11">
      <w:pPr>
        <w:pStyle w:val="ListParagraph"/>
        <w:spacing w:line="360" w:lineRule="auto"/>
        <w:rPr>
          <w:color w:val="000000" w:themeColor="text1"/>
          <w:szCs w:val="18"/>
          <w:lang w:val="nl-NL"/>
        </w:rPr>
      </w:pPr>
    </w:p>
    <w:p w14:paraId="012E3E71" w14:textId="31D50BCD" w:rsidR="00A1443D" w:rsidRPr="007605D5" w:rsidRDefault="00755320" w:rsidP="00260F11">
      <w:pPr>
        <w:pStyle w:val="ListParagraph"/>
        <w:spacing w:line="360" w:lineRule="auto"/>
        <w:ind w:left="0"/>
        <w:rPr>
          <w:color w:val="000000" w:themeColor="text1"/>
          <w:szCs w:val="18"/>
          <w:lang w:val="nl-NL"/>
        </w:rPr>
      </w:pPr>
      <w:r w:rsidRPr="007605D5">
        <w:rPr>
          <w:color w:val="000000" w:themeColor="text1"/>
          <w:szCs w:val="18"/>
          <w:lang w:val="nl-NL"/>
        </w:rPr>
        <w:t xml:space="preserve">Inhoudelijk zal </w:t>
      </w:r>
      <w:r w:rsidR="00253D21" w:rsidRPr="007605D5">
        <w:rPr>
          <w:color w:val="000000" w:themeColor="text1"/>
          <w:szCs w:val="18"/>
          <w:lang w:val="nl-NL"/>
        </w:rPr>
        <w:t>wellicht</w:t>
      </w:r>
      <w:r w:rsidRPr="007605D5">
        <w:rPr>
          <w:color w:val="000000" w:themeColor="text1"/>
          <w:szCs w:val="18"/>
          <w:lang w:val="nl-NL"/>
        </w:rPr>
        <w:t xml:space="preserve"> weinig</w:t>
      </w:r>
      <w:r w:rsidR="00253D21" w:rsidRPr="007605D5">
        <w:rPr>
          <w:color w:val="000000" w:themeColor="text1"/>
          <w:szCs w:val="18"/>
          <w:lang w:val="nl-NL"/>
        </w:rPr>
        <w:t xml:space="preserve"> of </w:t>
      </w:r>
      <w:r w:rsidRPr="007605D5">
        <w:rPr>
          <w:color w:val="000000" w:themeColor="text1"/>
          <w:szCs w:val="18"/>
          <w:lang w:val="nl-NL"/>
        </w:rPr>
        <w:t xml:space="preserve">niets veranderen. Dit </w:t>
      </w:r>
      <w:r w:rsidR="00253D21" w:rsidRPr="007605D5">
        <w:rPr>
          <w:color w:val="000000" w:themeColor="text1"/>
          <w:szCs w:val="18"/>
          <w:lang w:val="nl-NL"/>
        </w:rPr>
        <w:t>gelet op de bedoeling van de wetgever</w:t>
      </w:r>
      <w:r w:rsidR="00A1443D" w:rsidRPr="007605D5">
        <w:rPr>
          <w:color w:val="000000" w:themeColor="text1"/>
          <w:szCs w:val="18"/>
          <w:lang w:val="nl-NL"/>
        </w:rPr>
        <w:t xml:space="preserve"> om gedragingen die onder de oude strafbaarstelling ressorteerden </w:t>
      </w:r>
      <w:r w:rsidR="00253D21" w:rsidRPr="007605D5">
        <w:rPr>
          <w:color w:val="000000" w:themeColor="text1"/>
          <w:szCs w:val="18"/>
          <w:lang w:val="nl-NL"/>
        </w:rPr>
        <w:t>eveneens</w:t>
      </w:r>
      <w:r w:rsidR="00A1443D" w:rsidRPr="007605D5">
        <w:rPr>
          <w:color w:val="000000" w:themeColor="text1"/>
          <w:szCs w:val="18"/>
          <w:lang w:val="nl-NL"/>
        </w:rPr>
        <w:t xml:space="preserve"> te viseren met de huidige strafbaarstelling.</w:t>
      </w:r>
      <w:r w:rsidR="00A1443D" w:rsidRPr="00A1443D">
        <w:rPr>
          <w:rStyle w:val="FootnoteReference"/>
          <w:color w:val="000000" w:themeColor="text1"/>
          <w:szCs w:val="18"/>
          <w:lang w:val="nl-NL"/>
        </w:rPr>
        <w:footnoteReference w:id="138"/>
      </w:r>
    </w:p>
    <w:p w14:paraId="45BD107C" w14:textId="77777777" w:rsidR="00A1443D" w:rsidRPr="000B4AB2" w:rsidRDefault="00A1443D" w:rsidP="00260F11">
      <w:pPr>
        <w:pStyle w:val="ListParagraph"/>
        <w:spacing w:line="360" w:lineRule="auto"/>
        <w:ind w:left="0"/>
        <w:rPr>
          <w:color w:val="000000" w:themeColor="text1"/>
          <w:szCs w:val="18"/>
          <w:lang w:val="nl-NL"/>
        </w:rPr>
      </w:pPr>
    </w:p>
    <w:p w14:paraId="55EF5EE3" w14:textId="2D6827ED" w:rsidR="00212E5A" w:rsidRPr="000B4AB2" w:rsidRDefault="00212E5A"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Interactie</w:t>
      </w:r>
      <w:r w:rsidRPr="000B4AB2">
        <w:rPr>
          <w:color w:val="000000" w:themeColor="text1"/>
          <w:szCs w:val="18"/>
          <w:lang w:val="nl-NL"/>
        </w:rPr>
        <w:t xml:space="preserve">. Opdat een gedraging gekwalificeerd kan worden als een aantasting van de seksuele integriteit is vereist dat er tussen dader en slachtoffer sprake was van interactie, zonder dat daarbij lichamelijk contact vereist </w:t>
      </w:r>
      <w:r w:rsidR="004617E6" w:rsidRPr="000B4AB2">
        <w:rPr>
          <w:color w:val="000000" w:themeColor="text1"/>
          <w:szCs w:val="18"/>
          <w:lang w:val="nl-NL"/>
        </w:rPr>
        <w:t>is</w:t>
      </w:r>
      <w:r w:rsidRPr="000B4AB2">
        <w:rPr>
          <w:color w:val="000000" w:themeColor="text1"/>
          <w:szCs w:val="18"/>
          <w:lang w:val="nl-NL"/>
        </w:rPr>
        <w:t>.</w:t>
      </w:r>
      <w:r w:rsidR="002102F7" w:rsidRPr="000B4AB2">
        <w:rPr>
          <w:rStyle w:val="FootnoteReference"/>
          <w:color w:val="000000" w:themeColor="text1"/>
          <w:szCs w:val="18"/>
          <w:lang w:val="nl-NL"/>
        </w:rPr>
        <w:footnoteReference w:id="139"/>
      </w:r>
      <w:r w:rsidRPr="000B4AB2">
        <w:rPr>
          <w:color w:val="000000" w:themeColor="text1"/>
          <w:szCs w:val="18"/>
          <w:lang w:val="nl-NL"/>
        </w:rPr>
        <w:t xml:space="preserve"> </w:t>
      </w:r>
      <w:r w:rsidR="00282D70" w:rsidRPr="000B4AB2">
        <w:rPr>
          <w:color w:val="000000" w:themeColor="text1"/>
          <w:szCs w:val="18"/>
          <w:lang w:val="nl-NL"/>
        </w:rPr>
        <w:t>Voor</w:t>
      </w:r>
      <w:r w:rsidRPr="000B4AB2">
        <w:rPr>
          <w:color w:val="000000" w:themeColor="text1"/>
          <w:szCs w:val="18"/>
          <w:lang w:val="nl-NL"/>
        </w:rPr>
        <w:t xml:space="preserve"> </w:t>
      </w:r>
      <w:r w:rsidR="00282D70" w:rsidRPr="000B4AB2">
        <w:rPr>
          <w:color w:val="000000" w:themeColor="text1"/>
          <w:szCs w:val="18"/>
          <w:lang w:val="nl-NL"/>
        </w:rPr>
        <w:t xml:space="preserve">wat betreft </w:t>
      </w:r>
      <w:r w:rsidR="004617E6" w:rsidRPr="000B4AB2">
        <w:rPr>
          <w:color w:val="000000" w:themeColor="text1"/>
          <w:szCs w:val="18"/>
          <w:lang w:val="nl-NL"/>
        </w:rPr>
        <w:t xml:space="preserve">de inhoud van </w:t>
      </w:r>
      <w:r w:rsidR="00282D70" w:rsidRPr="000B4AB2">
        <w:rPr>
          <w:color w:val="000000" w:themeColor="text1"/>
          <w:szCs w:val="18"/>
          <w:lang w:val="nl-NL"/>
        </w:rPr>
        <w:t>d</w:t>
      </w:r>
      <w:r w:rsidRPr="000B4AB2">
        <w:rPr>
          <w:color w:val="000000" w:themeColor="text1"/>
          <w:szCs w:val="18"/>
          <w:lang w:val="nl-NL"/>
        </w:rPr>
        <w:t>eze voorwaarde kan worden verwezen naar de bespreking onder het oude recht.</w:t>
      </w:r>
      <w:r w:rsidR="009038E6">
        <w:rPr>
          <w:rStyle w:val="FootnoteReference"/>
          <w:color w:val="000000" w:themeColor="text1"/>
          <w:szCs w:val="18"/>
          <w:lang w:val="nl-NL"/>
        </w:rPr>
        <w:footnoteReference w:id="140"/>
      </w:r>
    </w:p>
    <w:p w14:paraId="1BF8F0A5" w14:textId="77777777" w:rsidR="00212E5A" w:rsidRPr="000B4AB2" w:rsidRDefault="00212E5A" w:rsidP="00260F11">
      <w:pPr>
        <w:pStyle w:val="ListParagraph"/>
        <w:spacing w:line="360" w:lineRule="auto"/>
        <w:ind w:left="0"/>
        <w:rPr>
          <w:color w:val="000000" w:themeColor="text1"/>
          <w:szCs w:val="18"/>
          <w:lang w:val="nl-NL"/>
        </w:rPr>
      </w:pPr>
    </w:p>
    <w:p w14:paraId="439D79D5" w14:textId="259D4425" w:rsidR="00265257" w:rsidRPr="00B74D8A" w:rsidRDefault="001756F9"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Restcategorie</w:t>
      </w:r>
      <w:r w:rsidRPr="000B4AB2">
        <w:rPr>
          <w:color w:val="000000" w:themeColor="text1"/>
          <w:szCs w:val="18"/>
          <w:lang w:val="nl-NL"/>
        </w:rPr>
        <w:t xml:space="preserve">. </w:t>
      </w:r>
      <w:r w:rsidR="00D132B4" w:rsidRPr="000B4AB2">
        <w:rPr>
          <w:color w:val="000000" w:themeColor="text1"/>
          <w:szCs w:val="18"/>
          <w:lang w:val="nl-NL"/>
        </w:rPr>
        <w:t xml:space="preserve">Aantasting van de seksuele integriteit </w:t>
      </w:r>
      <w:r w:rsidR="00B74D8A">
        <w:rPr>
          <w:color w:val="000000" w:themeColor="text1"/>
          <w:szCs w:val="18"/>
          <w:lang w:val="nl-NL"/>
        </w:rPr>
        <w:t>vormt</w:t>
      </w:r>
      <w:r w:rsidR="00D132B4" w:rsidRPr="000B4AB2">
        <w:rPr>
          <w:color w:val="000000" w:themeColor="text1"/>
          <w:szCs w:val="18"/>
          <w:lang w:val="nl-NL"/>
        </w:rPr>
        <w:t xml:space="preserve"> een</w:t>
      </w:r>
      <w:r w:rsidR="00DB31E3" w:rsidRPr="000B4AB2">
        <w:rPr>
          <w:color w:val="000000" w:themeColor="text1"/>
          <w:szCs w:val="18"/>
          <w:lang w:val="nl-NL"/>
        </w:rPr>
        <w:t xml:space="preserve"> </w:t>
      </w:r>
      <w:r w:rsidR="00D132B4" w:rsidRPr="000B4AB2">
        <w:rPr>
          <w:color w:val="000000" w:themeColor="text1"/>
          <w:szCs w:val="18"/>
          <w:lang w:val="nl-NL"/>
        </w:rPr>
        <w:t>restcategorie</w:t>
      </w:r>
      <w:r w:rsidR="00E63083" w:rsidRPr="000B4AB2">
        <w:rPr>
          <w:color w:val="000000" w:themeColor="text1"/>
          <w:szCs w:val="18"/>
          <w:lang w:val="nl-NL"/>
        </w:rPr>
        <w:t xml:space="preserve"> </w:t>
      </w:r>
      <w:r w:rsidR="00CE0637">
        <w:rPr>
          <w:color w:val="000000" w:themeColor="text1"/>
          <w:szCs w:val="18"/>
          <w:lang w:val="nl-NL"/>
        </w:rPr>
        <w:t>t.o.v.</w:t>
      </w:r>
      <w:r w:rsidR="00DB31E3" w:rsidRPr="000B4AB2">
        <w:rPr>
          <w:color w:val="000000" w:themeColor="text1"/>
          <w:szCs w:val="18"/>
          <w:lang w:val="nl-NL"/>
        </w:rPr>
        <w:t xml:space="preserve"> de misdrijven van voyeurisme, niet-consensuele verspreiding van seksueel getinte inhoud en </w:t>
      </w:r>
      <w:r w:rsidR="00A8690D" w:rsidRPr="000B4AB2">
        <w:rPr>
          <w:color w:val="000000" w:themeColor="text1"/>
          <w:szCs w:val="18"/>
          <w:lang w:val="nl-NL"/>
        </w:rPr>
        <w:t>verkrachting</w:t>
      </w:r>
      <w:r w:rsidR="00DB31E3" w:rsidRPr="000B4AB2">
        <w:rPr>
          <w:color w:val="000000" w:themeColor="text1"/>
          <w:szCs w:val="18"/>
          <w:lang w:val="nl-NL"/>
        </w:rPr>
        <w:t>.</w:t>
      </w:r>
      <w:r w:rsidR="00DB31E3" w:rsidRPr="000B4AB2">
        <w:rPr>
          <w:rStyle w:val="FootnoteReference"/>
          <w:color w:val="000000" w:themeColor="text1"/>
          <w:szCs w:val="18"/>
          <w:lang w:val="nl-NL"/>
        </w:rPr>
        <w:footnoteReference w:id="141"/>
      </w:r>
      <w:r w:rsidR="00FF18CE" w:rsidRPr="000B4AB2">
        <w:rPr>
          <w:color w:val="000000" w:themeColor="text1"/>
          <w:szCs w:val="18"/>
          <w:lang w:val="nl-NL"/>
        </w:rPr>
        <w:t xml:space="preserve"> </w:t>
      </w:r>
      <w:r w:rsidR="00A8690D" w:rsidRPr="000B4AB2">
        <w:rPr>
          <w:color w:val="000000" w:themeColor="text1"/>
          <w:szCs w:val="18"/>
          <w:lang w:val="nl-NL"/>
        </w:rPr>
        <w:t xml:space="preserve">De wetgever </w:t>
      </w:r>
      <w:r w:rsidR="00AA4E83" w:rsidRPr="000B4AB2">
        <w:rPr>
          <w:color w:val="000000" w:themeColor="text1"/>
          <w:szCs w:val="18"/>
          <w:lang w:val="nl-NL"/>
        </w:rPr>
        <w:t xml:space="preserve">heeft dit </w:t>
      </w:r>
      <w:r w:rsidR="00B74D8A">
        <w:rPr>
          <w:color w:val="000000" w:themeColor="text1"/>
          <w:szCs w:val="18"/>
          <w:lang w:val="nl-NL"/>
        </w:rPr>
        <w:t>o.m.</w:t>
      </w:r>
      <w:r w:rsidR="00AA4E83" w:rsidRPr="000B4AB2">
        <w:rPr>
          <w:color w:val="000000" w:themeColor="text1"/>
          <w:szCs w:val="18"/>
          <w:lang w:val="nl-NL"/>
        </w:rPr>
        <w:t xml:space="preserve"> willen bewerkstellingen</w:t>
      </w:r>
      <w:r w:rsidR="00A8690D" w:rsidRPr="000B4AB2">
        <w:rPr>
          <w:color w:val="000000" w:themeColor="text1"/>
          <w:szCs w:val="18"/>
          <w:lang w:val="nl-NL"/>
        </w:rPr>
        <w:t xml:space="preserve"> door de strafbaarstelling van aantasting van de seksuele integriteit op te nemen in het eerste artikel van voornoemde misdrijve</w:t>
      </w:r>
      <w:r w:rsidR="00F5063A" w:rsidRPr="000B4AB2">
        <w:rPr>
          <w:color w:val="000000" w:themeColor="text1"/>
          <w:szCs w:val="18"/>
          <w:lang w:val="nl-NL"/>
        </w:rPr>
        <w:t>n.</w:t>
      </w:r>
      <w:r w:rsidR="00F5063A" w:rsidRPr="000B4AB2">
        <w:rPr>
          <w:rStyle w:val="FootnoteReference"/>
          <w:color w:val="000000" w:themeColor="text1"/>
          <w:szCs w:val="18"/>
          <w:lang w:val="nl-NL"/>
        </w:rPr>
        <w:footnoteReference w:id="142"/>
      </w:r>
      <w:r w:rsidR="00B74D8A">
        <w:rPr>
          <w:color w:val="000000" w:themeColor="text1"/>
          <w:szCs w:val="18"/>
          <w:lang w:val="nl-NL"/>
        </w:rPr>
        <w:t xml:space="preserve"> </w:t>
      </w:r>
      <w:r w:rsidR="00661E4B" w:rsidRPr="00B74D8A">
        <w:rPr>
          <w:color w:val="000000" w:themeColor="text1"/>
          <w:szCs w:val="18"/>
          <w:lang w:val="nl-NL"/>
        </w:rPr>
        <w:t xml:space="preserve">De penetratie </w:t>
      </w:r>
      <w:r w:rsidR="00661E4B" w:rsidRPr="00B74D8A">
        <w:rPr>
          <w:color w:val="000000" w:themeColor="text1"/>
          <w:szCs w:val="18"/>
          <w:lang w:val="nl-NL"/>
        </w:rPr>
        <w:lastRenderedPageBreak/>
        <w:t>maakt nog steeds het onderscheiden</w:t>
      </w:r>
      <w:r w:rsidR="006E40BC" w:rsidRPr="00B74D8A">
        <w:rPr>
          <w:color w:val="000000" w:themeColor="text1"/>
          <w:szCs w:val="18"/>
          <w:lang w:val="nl-NL"/>
        </w:rPr>
        <w:t>d</w:t>
      </w:r>
      <w:r w:rsidR="00661E4B" w:rsidRPr="00B74D8A">
        <w:rPr>
          <w:color w:val="000000" w:themeColor="text1"/>
          <w:szCs w:val="18"/>
          <w:lang w:val="nl-NL"/>
        </w:rPr>
        <w:t xml:space="preserve"> criterium uit </w:t>
      </w:r>
      <w:r w:rsidR="00B74D8A">
        <w:rPr>
          <w:color w:val="000000" w:themeColor="text1"/>
          <w:szCs w:val="18"/>
          <w:lang w:val="nl-NL"/>
        </w:rPr>
        <w:t>met</w:t>
      </w:r>
      <w:r w:rsidR="00661E4B" w:rsidRPr="00B74D8A">
        <w:rPr>
          <w:color w:val="000000" w:themeColor="text1"/>
          <w:szCs w:val="18"/>
          <w:lang w:val="nl-NL"/>
        </w:rPr>
        <w:t xml:space="preserve"> </w:t>
      </w:r>
      <w:r w:rsidR="00B74D8A">
        <w:rPr>
          <w:color w:val="000000" w:themeColor="text1"/>
          <w:szCs w:val="18"/>
          <w:lang w:val="nl-NL"/>
        </w:rPr>
        <w:t>het misdrijf</w:t>
      </w:r>
      <w:r w:rsidR="00661E4B" w:rsidRPr="00B74D8A">
        <w:rPr>
          <w:color w:val="000000" w:themeColor="text1"/>
          <w:szCs w:val="18"/>
          <w:lang w:val="nl-NL"/>
        </w:rPr>
        <w:t xml:space="preserve"> verkrachting</w:t>
      </w:r>
      <w:r w:rsidR="00AA2ECD" w:rsidRPr="00B74D8A">
        <w:rPr>
          <w:color w:val="000000" w:themeColor="text1"/>
          <w:szCs w:val="18"/>
          <w:lang w:val="nl-NL"/>
        </w:rPr>
        <w:t>.</w:t>
      </w:r>
      <w:r w:rsidR="00D4371D" w:rsidRPr="000B4AB2">
        <w:rPr>
          <w:rStyle w:val="FootnoteReference"/>
          <w:color w:val="000000" w:themeColor="text1"/>
          <w:szCs w:val="18"/>
          <w:lang w:val="nl-NL"/>
        </w:rPr>
        <w:footnoteReference w:id="143"/>
      </w:r>
      <w:r w:rsidR="00AA2ECD" w:rsidRPr="00B74D8A">
        <w:rPr>
          <w:color w:val="000000" w:themeColor="text1"/>
          <w:szCs w:val="18"/>
          <w:lang w:val="nl-NL"/>
        </w:rPr>
        <w:t xml:space="preserve"> De interactie tussen dader en slachtoffer onderscheidt aantasting van de seksuele integriteit </w:t>
      </w:r>
      <w:r w:rsidR="0049493D" w:rsidRPr="00B74D8A">
        <w:rPr>
          <w:color w:val="000000" w:themeColor="text1"/>
          <w:szCs w:val="18"/>
          <w:lang w:val="nl-NL"/>
        </w:rPr>
        <w:t>van</w:t>
      </w:r>
      <w:r w:rsidR="00AA2ECD" w:rsidRPr="00B74D8A">
        <w:rPr>
          <w:color w:val="000000" w:themeColor="text1"/>
          <w:szCs w:val="18"/>
          <w:lang w:val="nl-NL"/>
        </w:rPr>
        <w:t xml:space="preserve"> voyeurisme.</w:t>
      </w:r>
      <w:r w:rsidR="00314917" w:rsidRPr="000B4AB2">
        <w:rPr>
          <w:rStyle w:val="FootnoteReference"/>
          <w:color w:val="000000" w:themeColor="text1"/>
          <w:szCs w:val="18"/>
          <w:lang w:val="nl-NL"/>
        </w:rPr>
        <w:footnoteReference w:id="144"/>
      </w:r>
      <w:r w:rsidR="00FA0CC7" w:rsidRPr="00B74D8A">
        <w:rPr>
          <w:color w:val="000000" w:themeColor="text1"/>
          <w:szCs w:val="18"/>
          <w:lang w:val="nl-NL"/>
        </w:rPr>
        <w:t xml:space="preserve"> </w:t>
      </w:r>
    </w:p>
    <w:p w14:paraId="402DE6D5" w14:textId="77777777" w:rsidR="00FA0CC7" w:rsidRPr="000B4AB2" w:rsidRDefault="00FA0CC7" w:rsidP="00260F11">
      <w:pPr>
        <w:pStyle w:val="ListParagraph"/>
        <w:spacing w:line="360" w:lineRule="auto"/>
        <w:ind w:left="0"/>
        <w:rPr>
          <w:color w:val="000000" w:themeColor="text1"/>
          <w:szCs w:val="18"/>
          <w:lang w:val="nl-NL"/>
        </w:rPr>
      </w:pPr>
    </w:p>
    <w:p w14:paraId="5A3B011D" w14:textId="4DA7BB4C" w:rsidR="00D132B4" w:rsidRPr="000B4AB2" w:rsidRDefault="009D271A" w:rsidP="00260F11">
      <w:pPr>
        <w:pStyle w:val="Heading5"/>
        <w:spacing w:line="360" w:lineRule="auto"/>
        <w:rPr>
          <w:szCs w:val="18"/>
          <w:lang w:val="nl-NL"/>
        </w:rPr>
      </w:pPr>
      <w:bookmarkStart w:id="16" w:name="_Toc135041047"/>
      <w:r w:rsidRPr="000B4AB2">
        <w:rPr>
          <w:szCs w:val="18"/>
          <w:lang w:val="nl-NL"/>
        </w:rPr>
        <w:t xml:space="preserve">Rol </w:t>
      </w:r>
      <w:r w:rsidR="00C168A9">
        <w:rPr>
          <w:szCs w:val="18"/>
          <w:lang w:val="nl-NL"/>
        </w:rPr>
        <w:t xml:space="preserve">van het </w:t>
      </w:r>
      <w:r w:rsidRPr="000B4AB2">
        <w:rPr>
          <w:szCs w:val="18"/>
          <w:lang w:val="nl-NL"/>
        </w:rPr>
        <w:t>slachtoffer</w:t>
      </w:r>
      <w:bookmarkEnd w:id="16"/>
    </w:p>
    <w:p w14:paraId="028E6E71" w14:textId="77777777" w:rsidR="00654577" w:rsidRPr="000B4AB2" w:rsidRDefault="00654577" w:rsidP="00260F11">
      <w:pPr>
        <w:pStyle w:val="ListParagraph"/>
        <w:spacing w:line="360" w:lineRule="auto"/>
        <w:ind w:left="0"/>
        <w:rPr>
          <w:color w:val="000000" w:themeColor="text1"/>
          <w:szCs w:val="18"/>
          <w:lang w:val="nl-NL"/>
        </w:rPr>
      </w:pPr>
    </w:p>
    <w:p w14:paraId="33C4EB36" w14:textId="242AE62A" w:rsidR="00D73C96" w:rsidRPr="000B4AB2" w:rsidRDefault="00145D6F"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Op een persoon. </w:t>
      </w:r>
      <w:r w:rsidR="00CE4339" w:rsidRPr="000B4AB2">
        <w:rPr>
          <w:color w:val="000000" w:themeColor="text1"/>
          <w:szCs w:val="18"/>
          <w:lang w:val="nl-NL"/>
        </w:rPr>
        <w:t xml:space="preserve">Vooreerst stelt </w:t>
      </w:r>
      <w:r w:rsidR="00CE4339" w:rsidRPr="000B4AB2">
        <w:rPr>
          <w:szCs w:val="18"/>
          <w:lang w:val="nl-NL"/>
        </w:rPr>
        <w:t xml:space="preserve">artikel 417/7 </w:t>
      </w:r>
      <w:r w:rsidR="0081584B">
        <w:rPr>
          <w:szCs w:val="18"/>
          <w:lang w:val="nl-NL"/>
        </w:rPr>
        <w:t xml:space="preserve">van het </w:t>
      </w:r>
      <w:r w:rsidR="00CE0637">
        <w:rPr>
          <w:szCs w:val="18"/>
          <w:lang w:val="nl-NL"/>
        </w:rPr>
        <w:t>Strafwetboek</w:t>
      </w:r>
      <w:r w:rsidR="00CE4339" w:rsidRPr="000B4AB2">
        <w:rPr>
          <w:color w:val="000000" w:themeColor="text1"/>
          <w:szCs w:val="18"/>
          <w:lang w:val="nl-NL"/>
        </w:rPr>
        <w:t xml:space="preserve"> de</w:t>
      </w:r>
      <w:r w:rsidR="00656305" w:rsidRPr="000B4AB2">
        <w:rPr>
          <w:color w:val="000000" w:themeColor="text1"/>
          <w:szCs w:val="18"/>
          <w:lang w:val="nl-NL"/>
        </w:rPr>
        <w:t xml:space="preserve"> seksuele handelingen</w:t>
      </w:r>
      <w:r w:rsidR="00CE4339" w:rsidRPr="000B4AB2">
        <w:rPr>
          <w:color w:val="000000" w:themeColor="text1"/>
          <w:szCs w:val="18"/>
          <w:lang w:val="nl-NL"/>
        </w:rPr>
        <w:t xml:space="preserve"> strafbaar</w:t>
      </w:r>
      <w:r w:rsidR="00656305" w:rsidRPr="000B4AB2">
        <w:rPr>
          <w:color w:val="000000" w:themeColor="text1"/>
          <w:szCs w:val="18"/>
          <w:lang w:val="nl-NL"/>
        </w:rPr>
        <w:t xml:space="preserve"> </w:t>
      </w:r>
      <w:r w:rsidR="00FE2360" w:rsidRPr="000B4AB2">
        <w:rPr>
          <w:color w:val="000000" w:themeColor="text1"/>
          <w:szCs w:val="18"/>
          <w:lang w:val="nl-NL"/>
        </w:rPr>
        <w:t>die</w:t>
      </w:r>
      <w:r w:rsidR="00654577" w:rsidRPr="000B4AB2">
        <w:rPr>
          <w:color w:val="000000" w:themeColor="text1"/>
          <w:szCs w:val="18"/>
          <w:lang w:val="nl-NL"/>
        </w:rPr>
        <w:t xml:space="preserve"> door de dader</w:t>
      </w:r>
      <w:r w:rsidR="00656305" w:rsidRPr="000B4AB2">
        <w:rPr>
          <w:color w:val="000000" w:themeColor="text1"/>
          <w:szCs w:val="18"/>
          <w:lang w:val="nl-NL"/>
        </w:rPr>
        <w:t xml:space="preserve"> </w:t>
      </w:r>
      <w:r w:rsidR="00C521DC" w:rsidRPr="000B4AB2">
        <w:rPr>
          <w:color w:val="000000" w:themeColor="text1"/>
          <w:szCs w:val="18"/>
          <w:lang w:val="nl-NL"/>
        </w:rPr>
        <w:t xml:space="preserve">zelf </w:t>
      </w:r>
      <w:r w:rsidR="00656305" w:rsidRPr="000B4AB2">
        <w:rPr>
          <w:color w:val="000000" w:themeColor="text1"/>
          <w:szCs w:val="18"/>
          <w:lang w:val="nl-NL"/>
        </w:rPr>
        <w:t>op het slachtoffer</w:t>
      </w:r>
      <w:r w:rsidR="00FE2360" w:rsidRPr="000B4AB2">
        <w:rPr>
          <w:color w:val="000000" w:themeColor="text1"/>
          <w:szCs w:val="18"/>
          <w:lang w:val="nl-NL"/>
        </w:rPr>
        <w:t xml:space="preserve"> worden gesteld</w:t>
      </w:r>
      <w:r w:rsidR="00C521DC" w:rsidRPr="000B4AB2">
        <w:rPr>
          <w:color w:val="000000" w:themeColor="text1"/>
          <w:szCs w:val="18"/>
          <w:lang w:val="nl-NL"/>
        </w:rPr>
        <w:t>.</w:t>
      </w:r>
      <w:r w:rsidR="0018772F" w:rsidRPr="000B4AB2">
        <w:rPr>
          <w:rStyle w:val="FootnoteReference"/>
          <w:color w:val="000000" w:themeColor="text1"/>
          <w:szCs w:val="18"/>
          <w:lang w:val="nl-NL"/>
        </w:rPr>
        <w:footnoteReference w:id="145"/>
      </w:r>
    </w:p>
    <w:p w14:paraId="1BEABCA9" w14:textId="77777777" w:rsidR="00145D6F" w:rsidRPr="000B4AB2" w:rsidRDefault="00145D6F" w:rsidP="00260F11">
      <w:pPr>
        <w:spacing w:line="360" w:lineRule="auto"/>
        <w:rPr>
          <w:color w:val="000000" w:themeColor="text1"/>
          <w:szCs w:val="18"/>
          <w:lang w:val="nl-NL"/>
        </w:rPr>
      </w:pPr>
    </w:p>
    <w:p w14:paraId="35CD3158" w14:textId="370DDB96" w:rsidR="00145D6F" w:rsidRPr="000B4AB2" w:rsidRDefault="00145D6F"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Slachtoffer als instrument</w:t>
      </w:r>
      <w:r w:rsidRPr="000B4AB2">
        <w:rPr>
          <w:color w:val="000000" w:themeColor="text1"/>
          <w:szCs w:val="18"/>
          <w:lang w:val="nl-NL"/>
        </w:rPr>
        <w:t>.</w:t>
      </w:r>
      <w:r w:rsidRPr="009E75AB">
        <w:rPr>
          <w:color w:val="000000" w:themeColor="text1"/>
          <w:szCs w:val="18"/>
          <w:lang w:val="nl-NL"/>
        </w:rPr>
        <w:t xml:space="preserve"> </w:t>
      </w:r>
      <w:r w:rsidRPr="000B4AB2">
        <w:rPr>
          <w:color w:val="000000" w:themeColor="text1"/>
          <w:szCs w:val="18"/>
          <w:lang w:val="nl-NL"/>
        </w:rPr>
        <w:t xml:space="preserve">Daarnaast worden eveneens de situaties geviseerd waarbij de dader het slachtoffer als instrument gebruikt. Te denken valt aan het slachtoffer dat verplicht wordt om bepaalde seksuele handelingen te stellen op de dader of </w:t>
      </w:r>
      <w:r w:rsidR="00C859B6">
        <w:rPr>
          <w:color w:val="000000" w:themeColor="text1"/>
          <w:szCs w:val="18"/>
          <w:lang w:val="nl-NL"/>
        </w:rPr>
        <w:t xml:space="preserve">op </w:t>
      </w:r>
      <w:r w:rsidRPr="000B4AB2">
        <w:rPr>
          <w:color w:val="000000" w:themeColor="text1"/>
          <w:szCs w:val="18"/>
          <w:lang w:val="nl-NL"/>
        </w:rPr>
        <w:t>een derde.</w:t>
      </w:r>
      <w:r w:rsidRPr="000B4AB2">
        <w:rPr>
          <w:rStyle w:val="FootnoteReference"/>
          <w:color w:val="000000" w:themeColor="text1"/>
          <w:szCs w:val="18"/>
          <w:lang w:val="nl-NL"/>
        </w:rPr>
        <w:footnoteReference w:id="146"/>
      </w:r>
    </w:p>
    <w:p w14:paraId="700497DA" w14:textId="77777777" w:rsidR="00145D6F" w:rsidRPr="000B4AB2" w:rsidRDefault="00145D6F" w:rsidP="00260F11">
      <w:pPr>
        <w:pStyle w:val="ListParagraph"/>
        <w:spacing w:line="360" w:lineRule="auto"/>
        <w:rPr>
          <w:color w:val="000000" w:themeColor="text1"/>
          <w:szCs w:val="18"/>
          <w:lang w:val="nl-NL"/>
        </w:rPr>
      </w:pPr>
    </w:p>
    <w:p w14:paraId="0F80FF59" w14:textId="77777777" w:rsidR="00C859B6" w:rsidRPr="00C859B6" w:rsidRDefault="00145D6F" w:rsidP="00260F11">
      <w:pPr>
        <w:pStyle w:val="ListParagraph"/>
        <w:numPr>
          <w:ilvl w:val="0"/>
          <w:numId w:val="1"/>
        </w:numPr>
        <w:spacing w:line="360" w:lineRule="auto"/>
        <w:ind w:left="0" w:hanging="709"/>
        <w:rPr>
          <w:i/>
          <w:color w:val="000000" w:themeColor="text1"/>
          <w:szCs w:val="18"/>
          <w:lang w:val="nl-NL"/>
        </w:rPr>
      </w:pPr>
      <w:r w:rsidRPr="000B4AB2">
        <w:rPr>
          <w:b/>
          <w:color w:val="000000" w:themeColor="text1"/>
          <w:szCs w:val="18"/>
          <w:lang w:val="nl-NL"/>
        </w:rPr>
        <w:t>Derde als instrument</w:t>
      </w:r>
      <w:r w:rsidRPr="000B4AB2">
        <w:rPr>
          <w:color w:val="000000" w:themeColor="text1"/>
          <w:szCs w:val="18"/>
          <w:lang w:val="nl-NL"/>
        </w:rPr>
        <w:t>. Tot slot</w:t>
      </w:r>
      <w:r w:rsidR="00D73C96" w:rsidRPr="000B4AB2">
        <w:rPr>
          <w:color w:val="000000" w:themeColor="text1"/>
          <w:szCs w:val="18"/>
          <w:lang w:val="nl-NL"/>
        </w:rPr>
        <w:t xml:space="preserve"> </w:t>
      </w:r>
      <w:r w:rsidR="008D2750">
        <w:rPr>
          <w:color w:val="000000" w:themeColor="text1"/>
          <w:szCs w:val="18"/>
          <w:lang w:val="nl-NL"/>
        </w:rPr>
        <w:t>viseert</w:t>
      </w:r>
      <w:r w:rsidR="00D73C96" w:rsidRPr="000B4AB2">
        <w:rPr>
          <w:color w:val="000000" w:themeColor="text1"/>
          <w:szCs w:val="18"/>
          <w:lang w:val="nl-NL"/>
        </w:rPr>
        <w:t xml:space="preserve"> de </w:t>
      </w:r>
      <w:r w:rsidRPr="000B4AB2">
        <w:rPr>
          <w:color w:val="000000" w:themeColor="text1"/>
          <w:szCs w:val="18"/>
          <w:lang w:val="nl-NL"/>
        </w:rPr>
        <w:t>strafbepaling</w:t>
      </w:r>
      <w:r w:rsidR="00D73C96" w:rsidRPr="000B4AB2">
        <w:rPr>
          <w:color w:val="000000" w:themeColor="text1"/>
          <w:szCs w:val="18"/>
          <w:lang w:val="nl-NL"/>
        </w:rPr>
        <w:t xml:space="preserve"> ook situaties waarbij een derde, die </w:t>
      </w:r>
      <w:r w:rsidR="00ED7487">
        <w:rPr>
          <w:color w:val="000000" w:themeColor="text1"/>
          <w:szCs w:val="18"/>
          <w:lang w:val="nl-NL"/>
        </w:rPr>
        <w:t>daarin</w:t>
      </w:r>
      <w:r w:rsidR="00D73C96" w:rsidRPr="000B4AB2">
        <w:rPr>
          <w:color w:val="000000" w:themeColor="text1"/>
          <w:szCs w:val="18"/>
          <w:lang w:val="nl-NL"/>
        </w:rPr>
        <w:t xml:space="preserve"> niet toestemt, door de dader wordt verplicht om bepaalde seksuele handelingen te stellen op het slachtoffer.</w:t>
      </w:r>
      <w:r w:rsidR="0018772F" w:rsidRPr="000B4AB2">
        <w:rPr>
          <w:rStyle w:val="FootnoteReference"/>
          <w:color w:val="000000" w:themeColor="text1"/>
          <w:szCs w:val="18"/>
          <w:lang w:val="nl-NL"/>
        </w:rPr>
        <w:footnoteReference w:id="147"/>
      </w:r>
      <w:r w:rsidR="00ED7487">
        <w:rPr>
          <w:color w:val="000000" w:themeColor="text1"/>
          <w:szCs w:val="18"/>
          <w:lang w:val="nl-NL"/>
        </w:rPr>
        <w:t xml:space="preserve"> </w:t>
      </w:r>
    </w:p>
    <w:p w14:paraId="62D0A65D" w14:textId="77777777" w:rsidR="00C859B6" w:rsidRPr="00C859B6" w:rsidRDefault="00C859B6" w:rsidP="00260F11">
      <w:pPr>
        <w:pStyle w:val="ListParagraph"/>
        <w:spacing w:line="360" w:lineRule="auto"/>
        <w:rPr>
          <w:color w:val="000000" w:themeColor="text1"/>
          <w:szCs w:val="18"/>
          <w:lang w:val="nl-NL"/>
        </w:rPr>
      </w:pPr>
    </w:p>
    <w:p w14:paraId="20BBD545" w14:textId="02F846E5" w:rsidR="00145D6F" w:rsidRPr="000B4AB2" w:rsidRDefault="00ED7487" w:rsidP="00260F11">
      <w:pPr>
        <w:pStyle w:val="ListParagraph"/>
        <w:spacing w:line="360" w:lineRule="auto"/>
        <w:ind w:left="0"/>
        <w:rPr>
          <w:i/>
          <w:color w:val="000000" w:themeColor="text1"/>
          <w:szCs w:val="18"/>
          <w:lang w:val="nl-NL"/>
        </w:rPr>
      </w:pPr>
      <w:r>
        <w:rPr>
          <w:color w:val="000000" w:themeColor="text1"/>
          <w:szCs w:val="18"/>
          <w:lang w:val="nl-NL"/>
        </w:rPr>
        <w:t>Deze</w:t>
      </w:r>
      <w:r w:rsidR="00D73C96" w:rsidRPr="000B4AB2">
        <w:rPr>
          <w:color w:val="000000" w:themeColor="text1"/>
          <w:szCs w:val="18"/>
          <w:lang w:val="nl-NL"/>
        </w:rPr>
        <w:t xml:space="preserve"> derde zal zich desgevallend kunnen beroepen op de schulduitsluitingsgrond</w:t>
      </w:r>
      <w:r w:rsidR="00D73C96" w:rsidRPr="000B4AB2">
        <w:rPr>
          <w:rStyle w:val="FootnoteReference"/>
          <w:color w:val="000000" w:themeColor="text1"/>
          <w:szCs w:val="18"/>
          <w:lang w:val="nl-NL"/>
        </w:rPr>
        <w:footnoteReference w:id="148"/>
      </w:r>
      <w:r w:rsidR="00D73C96" w:rsidRPr="000B4AB2">
        <w:rPr>
          <w:color w:val="000000" w:themeColor="text1"/>
          <w:szCs w:val="18"/>
          <w:lang w:val="nl-NL"/>
        </w:rPr>
        <w:t xml:space="preserve"> van dwang uit artikel 71 </w:t>
      </w:r>
      <w:r w:rsidR="0081584B">
        <w:rPr>
          <w:color w:val="000000" w:themeColor="text1"/>
          <w:szCs w:val="18"/>
          <w:lang w:val="nl-NL"/>
        </w:rPr>
        <w:t xml:space="preserve">van het </w:t>
      </w:r>
      <w:r w:rsidR="00CE0637">
        <w:rPr>
          <w:color w:val="000000" w:themeColor="text1"/>
          <w:szCs w:val="18"/>
          <w:lang w:val="nl-NL"/>
        </w:rPr>
        <w:t>Strafwetboek</w:t>
      </w:r>
      <w:r w:rsidR="00D73C96" w:rsidRPr="000B4AB2">
        <w:rPr>
          <w:color w:val="000000" w:themeColor="text1"/>
          <w:szCs w:val="18"/>
          <w:lang w:val="nl-NL"/>
        </w:rPr>
        <w:t>.</w:t>
      </w:r>
      <w:r w:rsidR="00D73C96" w:rsidRPr="000B4AB2">
        <w:rPr>
          <w:rStyle w:val="FootnoteReference"/>
          <w:color w:val="000000" w:themeColor="text1"/>
          <w:szCs w:val="18"/>
          <w:lang w:val="nl-NL"/>
        </w:rPr>
        <w:footnoteReference w:id="149"/>
      </w:r>
      <w:r w:rsidR="00D73C96" w:rsidRPr="000B4AB2">
        <w:rPr>
          <w:color w:val="000000" w:themeColor="text1"/>
          <w:szCs w:val="18"/>
          <w:lang w:val="nl-NL"/>
        </w:rPr>
        <w:t xml:space="preserve"> </w:t>
      </w:r>
      <w:r w:rsidR="008D2750">
        <w:rPr>
          <w:color w:val="000000" w:themeColor="text1"/>
          <w:szCs w:val="18"/>
          <w:lang w:val="nl-NL"/>
        </w:rPr>
        <w:t>Deze</w:t>
      </w:r>
      <w:r w:rsidR="004F1DBB" w:rsidRPr="000B4AB2">
        <w:rPr>
          <w:color w:val="000000" w:themeColor="text1"/>
          <w:szCs w:val="18"/>
          <w:lang w:val="nl-NL"/>
        </w:rPr>
        <w:t xml:space="preserve"> toevoeging </w:t>
      </w:r>
      <w:r w:rsidR="008D2750">
        <w:rPr>
          <w:color w:val="000000" w:themeColor="text1"/>
          <w:szCs w:val="18"/>
          <w:lang w:val="nl-NL"/>
        </w:rPr>
        <w:t xml:space="preserve">is </w:t>
      </w:r>
      <w:r w:rsidR="004F1DBB" w:rsidRPr="000B4AB2">
        <w:rPr>
          <w:color w:val="000000" w:themeColor="text1"/>
          <w:szCs w:val="18"/>
          <w:lang w:val="nl-NL"/>
        </w:rPr>
        <w:t xml:space="preserve">nieuw </w:t>
      </w:r>
      <w:r w:rsidR="00CE0637">
        <w:rPr>
          <w:color w:val="000000" w:themeColor="text1"/>
          <w:szCs w:val="18"/>
          <w:lang w:val="nl-NL"/>
        </w:rPr>
        <w:t>t.o.v.</w:t>
      </w:r>
      <w:r w:rsidR="004F1DBB" w:rsidRPr="000B4AB2">
        <w:rPr>
          <w:color w:val="000000" w:themeColor="text1"/>
          <w:szCs w:val="18"/>
          <w:lang w:val="nl-NL"/>
        </w:rPr>
        <w:t xml:space="preserve"> de </w:t>
      </w:r>
      <w:r w:rsidR="008D2750">
        <w:rPr>
          <w:color w:val="000000" w:themeColor="text1"/>
          <w:szCs w:val="18"/>
          <w:lang w:val="nl-NL"/>
        </w:rPr>
        <w:t xml:space="preserve">oude </w:t>
      </w:r>
      <w:r w:rsidR="004F1DBB" w:rsidRPr="000B4AB2">
        <w:rPr>
          <w:color w:val="000000" w:themeColor="text1"/>
          <w:szCs w:val="18"/>
          <w:lang w:val="nl-NL"/>
        </w:rPr>
        <w:t>strafbaarstelling,</w:t>
      </w:r>
      <w:r w:rsidR="008D2750">
        <w:rPr>
          <w:color w:val="000000" w:themeColor="text1"/>
          <w:szCs w:val="18"/>
          <w:lang w:val="nl-NL"/>
        </w:rPr>
        <w:t xml:space="preserve"> maar</w:t>
      </w:r>
      <w:r w:rsidR="004F1DBB" w:rsidRPr="000B4AB2">
        <w:rPr>
          <w:color w:val="000000" w:themeColor="text1"/>
          <w:szCs w:val="18"/>
          <w:lang w:val="nl-NL"/>
        </w:rPr>
        <w:t xml:space="preserve"> </w:t>
      </w:r>
      <w:r w:rsidR="00D73C96" w:rsidRPr="000B4AB2">
        <w:rPr>
          <w:color w:val="000000" w:themeColor="text1"/>
          <w:szCs w:val="18"/>
          <w:lang w:val="nl-NL"/>
        </w:rPr>
        <w:t xml:space="preserve">ROZIE </w:t>
      </w:r>
      <w:r w:rsidR="008D2750">
        <w:rPr>
          <w:color w:val="000000" w:themeColor="text1"/>
          <w:szCs w:val="18"/>
          <w:lang w:val="nl-NL"/>
        </w:rPr>
        <w:t xml:space="preserve">merkt </w:t>
      </w:r>
      <w:r w:rsidR="004F1DBB" w:rsidRPr="000B4AB2">
        <w:rPr>
          <w:color w:val="000000" w:themeColor="text1"/>
          <w:szCs w:val="18"/>
          <w:lang w:val="nl-NL"/>
        </w:rPr>
        <w:t>-</w:t>
      </w:r>
      <w:r w:rsidR="00D73C96" w:rsidRPr="000B4AB2">
        <w:rPr>
          <w:color w:val="000000" w:themeColor="text1"/>
          <w:szCs w:val="18"/>
          <w:lang w:val="nl-NL"/>
        </w:rPr>
        <w:t xml:space="preserve"> </w:t>
      </w:r>
      <w:r w:rsidR="00C410C9">
        <w:rPr>
          <w:color w:val="000000" w:themeColor="text1"/>
          <w:szCs w:val="18"/>
          <w:lang w:val="nl-NL"/>
        </w:rPr>
        <w:t>m.i.</w:t>
      </w:r>
      <w:r w:rsidR="00D73C96" w:rsidRPr="000B4AB2">
        <w:rPr>
          <w:color w:val="000000" w:themeColor="text1"/>
          <w:szCs w:val="18"/>
          <w:lang w:val="nl-NL"/>
        </w:rPr>
        <w:t xml:space="preserve"> terecht</w:t>
      </w:r>
      <w:r w:rsidR="004F1DBB" w:rsidRPr="000B4AB2">
        <w:rPr>
          <w:color w:val="000000" w:themeColor="text1"/>
          <w:szCs w:val="18"/>
          <w:lang w:val="nl-NL"/>
        </w:rPr>
        <w:t xml:space="preserve"> -</w:t>
      </w:r>
      <w:r w:rsidR="00D73C96" w:rsidRPr="000B4AB2">
        <w:rPr>
          <w:color w:val="000000" w:themeColor="text1"/>
          <w:szCs w:val="18"/>
          <w:lang w:val="nl-NL"/>
        </w:rPr>
        <w:t xml:space="preserve"> op dat </w:t>
      </w:r>
      <w:r w:rsidR="008D2750">
        <w:rPr>
          <w:color w:val="000000" w:themeColor="text1"/>
          <w:szCs w:val="18"/>
          <w:lang w:val="nl-NL"/>
        </w:rPr>
        <w:t>dit</w:t>
      </w:r>
      <w:r w:rsidR="00D73C96" w:rsidRPr="000B4AB2">
        <w:rPr>
          <w:color w:val="000000" w:themeColor="text1"/>
          <w:szCs w:val="18"/>
          <w:lang w:val="nl-NL"/>
        </w:rPr>
        <w:t xml:space="preserve"> strikt juridisch gezien niet nodig was. Dit aangezien “</w:t>
      </w:r>
      <w:r w:rsidR="00D73C96" w:rsidRPr="000B4AB2">
        <w:rPr>
          <w:i/>
          <w:color w:val="000000" w:themeColor="text1"/>
          <w:szCs w:val="18"/>
          <w:lang w:val="nl-NL"/>
        </w:rPr>
        <w:t xml:space="preserve">de definitie van daderschap ook deze situatie” </w:t>
      </w:r>
      <w:r w:rsidR="00D73C96" w:rsidRPr="000B4AB2">
        <w:rPr>
          <w:color w:val="000000" w:themeColor="text1"/>
          <w:szCs w:val="18"/>
          <w:lang w:val="nl-NL"/>
        </w:rPr>
        <w:t>zou omvatten</w:t>
      </w:r>
      <w:r w:rsidR="008D2750">
        <w:rPr>
          <w:color w:val="000000" w:themeColor="text1"/>
          <w:szCs w:val="18"/>
          <w:lang w:val="nl-NL"/>
        </w:rPr>
        <w:t>.</w:t>
      </w:r>
      <w:r w:rsidR="00D73C96" w:rsidRPr="000B4AB2">
        <w:rPr>
          <w:rStyle w:val="FootnoteReference"/>
          <w:color w:val="000000" w:themeColor="text1"/>
          <w:szCs w:val="18"/>
          <w:lang w:val="nl-NL"/>
        </w:rPr>
        <w:footnoteReference w:id="150"/>
      </w:r>
      <w:r w:rsidR="00D73C96" w:rsidRPr="000B4AB2">
        <w:rPr>
          <w:color w:val="000000" w:themeColor="text1"/>
          <w:szCs w:val="18"/>
          <w:lang w:val="nl-NL"/>
        </w:rPr>
        <w:t xml:space="preserve"> </w:t>
      </w:r>
    </w:p>
    <w:p w14:paraId="7935CF3D" w14:textId="32E61D4D" w:rsidR="00253D21" w:rsidRDefault="00253D21" w:rsidP="00260F11">
      <w:pPr>
        <w:spacing w:line="360" w:lineRule="auto"/>
        <w:rPr>
          <w:szCs w:val="18"/>
          <w:lang w:val="nl-NL"/>
        </w:rPr>
      </w:pPr>
    </w:p>
    <w:p w14:paraId="5DBE984F" w14:textId="05F2BE0F" w:rsidR="00356FAB" w:rsidRDefault="00C168A9" w:rsidP="00260F11">
      <w:pPr>
        <w:pStyle w:val="Heading5"/>
        <w:spacing w:line="360" w:lineRule="auto"/>
        <w:rPr>
          <w:szCs w:val="18"/>
          <w:lang w:val="nl-NL"/>
        </w:rPr>
      </w:pPr>
      <w:bookmarkStart w:id="17" w:name="_Toc135041048"/>
      <w:r>
        <w:rPr>
          <w:szCs w:val="18"/>
          <w:lang w:val="nl-NL"/>
        </w:rPr>
        <w:t>Afwezigheid</w:t>
      </w:r>
      <w:r w:rsidRPr="00C168A9">
        <w:rPr>
          <w:szCs w:val="18"/>
          <w:lang w:val="nl-NL"/>
        </w:rPr>
        <w:t xml:space="preserve"> geldige toestemming slachtoffer</w:t>
      </w:r>
      <w:bookmarkEnd w:id="17"/>
    </w:p>
    <w:p w14:paraId="2389FE47" w14:textId="77777777" w:rsidR="00C168A9" w:rsidRPr="00C168A9" w:rsidRDefault="00C168A9" w:rsidP="00260F11">
      <w:pPr>
        <w:spacing w:line="360" w:lineRule="auto"/>
        <w:rPr>
          <w:lang w:val="nl-NL"/>
        </w:rPr>
      </w:pPr>
    </w:p>
    <w:p w14:paraId="71C76B5F" w14:textId="14966F1F" w:rsidR="00973D87" w:rsidRPr="000B4AB2" w:rsidRDefault="00CB04FB" w:rsidP="00260F11">
      <w:pPr>
        <w:pStyle w:val="ListParagraph"/>
        <w:numPr>
          <w:ilvl w:val="0"/>
          <w:numId w:val="1"/>
        </w:numPr>
        <w:spacing w:line="360" w:lineRule="auto"/>
        <w:ind w:left="0" w:hanging="709"/>
        <w:rPr>
          <w:szCs w:val="18"/>
          <w:lang w:val="nl-NL"/>
        </w:rPr>
      </w:pPr>
      <w:r w:rsidRPr="000B4AB2">
        <w:rPr>
          <w:color w:val="000000" w:themeColor="text1"/>
          <w:szCs w:val="18"/>
          <w:lang w:val="nl-NL"/>
        </w:rPr>
        <w:t>Het gebrek aan toestemming in hoofde van het slachtoffer van aantasting van de seksuele integriteit</w:t>
      </w:r>
      <w:r w:rsidRPr="000B4AB2">
        <w:rPr>
          <w:szCs w:val="18"/>
          <w:lang w:val="nl-NL"/>
        </w:rPr>
        <w:t xml:space="preserve"> </w:t>
      </w:r>
      <w:r w:rsidR="008D2750">
        <w:rPr>
          <w:szCs w:val="18"/>
          <w:lang w:val="nl-NL"/>
        </w:rPr>
        <w:t>werd uitdrukkelijk</w:t>
      </w:r>
      <w:r w:rsidR="00AB6749" w:rsidRPr="000B4AB2">
        <w:rPr>
          <w:szCs w:val="18"/>
          <w:lang w:val="nl-NL"/>
        </w:rPr>
        <w:t xml:space="preserve"> </w:t>
      </w:r>
      <w:r w:rsidR="0090508B">
        <w:rPr>
          <w:szCs w:val="18"/>
          <w:lang w:val="nl-NL"/>
        </w:rPr>
        <w:t>als</w:t>
      </w:r>
      <w:r w:rsidRPr="000B4AB2">
        <w:rPr>
          <w:szCs w:val="18"/>
          <w:lang w:val="nl-NL"/>
        </w:rPr>
        <w:t xml:space="preserve"> constitutief bestanddeel van het misdrijf </w:t>
      </w:r>
      <w:r w:rsidR="0090508B">
        <w:rPr>
          <w:szCs w:val="18"/>
          <w:lang w:val="nl-NL"/>
        </w:rPr>
        <w:t>benoemd</w:t>
      </w:r>
      <w:r w:rsidRPr="000B4AB2">
        <w:rPr>
          <w:szCs w:val="18"/>
          <w:lang w:val="nl-NL"/>
        </w:rPr>
        <w:t>.</w:t>
      </w:r>
    </w:p>
    <w:p w14:paraId="78BB6F69" w14:textId="77777777" w:rsidR="00CB04FB" w:rsidRPr="000B4AB2" w:rsidRDefault="00CB04FB" w:rsidP="00260F11">
      <w:pPr>
        <w:pStyle w:val="ListParagraph"/>
        <w:spacing w:line="360" w:lineRule="auto"/>
        <w:ind w:left="0"/>
        <w:rPr>
          <w:color w:val="000000" w:themeColor="text1"/>
          <w:szCs w:val="18"/>
          <w:lang w:val="nl-NL"/>
        </w:rPr>
      </w:pPr>
    </w:p>
    <w:p w14:paraId="04E17A5C" w14:textId="70C54CF6" w:rsidR="00292AD5" w:rsidRPr="000B4AB2" w:rsidRDefault="008D2750"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Wat onder een geldige toestemming wordt verstaan, wordt uitdrukkelijk bepaald door de wetgever. Het </w:t>
      </w:r>
      <w:r w:rsidR="00292AD5" w:rsidRPr="000B4AB2">
        <w:rPr>
          <w:color w:val="000000" w:themeColor="text1"/>
          <w:szCs w:val="18"/>
          <w:lang w:val="nl-NL"/>
        </w:rPr>
        <w:t>Strafwetboek</w:t>
      </w:r>
      <w:r w:rsidR="00516705" w:rsidRPr="000B4AB2">
        <w:rPr>
          <w:color w:val="000000" w:themeColor="text1"/>
          <w:szCs w:val="18"/>
          <w:lang w:val="nl-NL"/>
        </w:rPr>
        <w:t xml:space="preserve"> </w:t>
      </w:r>
      <w:r>
        <w:rPr>
          <w:color w:val="000000" w:themeColor="text1"/>
          <w:szCs w:val="18"/>
          <w:lang w:val="nl-NL"/>
        </w:rPr>
        <w:t xml:space="preserve">bevat immers </w:t>
      </w:r>
      <w:r w:rsidR="00292AD5" w:rsidRPr="000B4AB2">
        <w:rPr>
          <w:color w:val="000000" w:themeColor="text1"/>
          <w:szCs w:val="18"/>
          <w:lang w:val="nl-NL"/>
        </w:rPr>
        <w:t xml:space="preserve">een onderafdeling </w:t>
      </w:r>
      <w:r w:rsidR="00003BA2" w:rsidRPr="000B4AB2">
        <w:rPr>
          <w:color w:val="000000" w:themeColor="text1"/>
          <w:szCs w:val="18"/>
          <w:lang w:val="nl-NL"/>
        </w:rPr>
        <w:t xml:space="preserve">volledig </w:t>
      </w:r>
      <w:r w:rsidR="00C63505">
        <w:rPr>
          <w:color w:val="000000" w:themeColor="text1"/>
          <w:szCs w:val="18"/>
          <w:lang w:val="nl-NL"/>
        </w:rPr>
        <w:t>gewijd</w:t>
      </w:r>
      <w:r w:rsidR="00292AD5" w:rsidRPr="000B4AB2">
        <w:rPr>
          <w:color w:val="000000" w:themeColor="text1"/>
          <w:szCs w:val="18"/>
          <w:lang w:val="nl-NL"/>
        </w:rPr>
        <w:t xml:space="preserve"> aan de toestemming </w:t>
      </w:r>
      <w:r w:rsidR="00385EAA" w:rsidRPr="000B4AB2">
        <w:rPr>
          <w:color w:val="000000" w:themeColor="text1"/>
          <w:szCs w:val="18"/>
          <w:lang w:val="nl-NL"/>
        </w:rPr>
        <w:t xml:space="preserve">m.b.t. </w:t>
      </w:r>
      <w:r w:rsidR="00292AD5" w:rsidRPr="000B4AB2">
        <w:rPr>
          <w:color w:val="000000" w:themeColor="text1"/>
          <w:szCs w:val="18"/>
          <w:lang w:val="nl-NL"/>
        </w:rPr>
        <w:t>het seksuele zelfbeschikkingsrecht.</w:t>
      </w:r>
      <w:r>
        <w:rPr>
          <w:color w:val="000000" w:themeColor="text1"/>
          <w:szCs w:val="18"/>
          <w:lang w:val="nl-NL"/>
        </w:rPr>
        <w:t xml:space="preserve"> </w:t>
      </w:r>
      <w:r w:rsidR="00292AD5" w:rsidRPr="000B4AB2">
        <w:rPr>
          <w:color w:val="000000" w:themeColor="text1"/>
          <w:szCs w:val="18"/>
          <w:lang w:val="nl-NL"/>
        </w:rPr>
        <w:t>De</w:t>
      </w:r>
      <w:r w:rsidR="00516705" w:rsidRPr="000B4AB2">
        <w:rPr>
          <w:color w:val="000000" w:themeColor="text1"/>
          <w:szCs w:val="18"/>
          <w:lang w:val="nl-NL"/>
        </w:rPr>
        <w:t>ze</w:t>
      </w:r>
      <w:r w:rsidR="00292AD5" w:rsidRPr="000B4AB2">
        <w:rPr>
          <w:color w:val="000000" w:themeColor="text1"/>
          <w:szCs w:val="18"/>
          <w:lang w:val="nl-NL"/>
        </w:rPr>
        <w:t xml:space="preserve"> onderafdeling bestaat uit de artikelen 417/5 en 417/6 </w:t>
      </w:r>
      <w:r w:rsidR="0081584B">
        <w:rPr>
          <w:color w:val="000000" w:themeColor="text1"/>
          <w:szCs w:val="18"/>
          <w:lang w:val="nl-NL"/>
        </w:rPr>
        <w:t xml:space="preserve">van het </w:t>
      </w:r>
      <w:r w:rsidR="00292AD5" w:rsidRPr="000B4AB2">
        <w:rPr>
          <w:color w:val="000000" w:themeColor="text1"/>
          <w:szCs w:val="18"/>
          <w:lang w:val="nl-NL"/>
        </w:rPr>
        <w:t xml:space="preserve">Strafwetboek. Het </w:t>
      </w:r>
      <w:r w:rsidR="00C11843" w:rsidRPr="000B4AB2">
        <w:rPr>
          <w:color w:val="000000" w:themeColor="text1"/>
          <w:szCs w:val="18"/>
          <w:lang w:val="nl-NL"/>
        </w:rPr>
        <w:t>eerste</w:t>
      </w:r>
      <w:r w:rsidR="00292AD5" w:rsidRPr="000B4AB2">
        <w:rPr>
          <w:color w:val="000000" w:themeColor="text1"/>
          <w:szCs w:val="18"/>
          <w:lang w:val="nl-NL"/>
        </w:rPr>
        <w:t xml:space="preserve"> artikel bevat een algemene definitie van toestemming </w:t>
      </w:r>
      <w:r w:rsidR="00385EAA" w:rsidRPr="000B4AB2">
        <w:rPr>
          <w:color w:val="000000" w:themeColor="text1"/>
          <w:szCs w:val="18"/>
          <w:lang w:val="nl-NL"/>
        </w:rPr>
        <w:t xml:space="preserve">m.b.t. </w:t>
      </w:r>
      <w:r w:rsidR="00292AD5" w:rsidRPr="000B4AB2">
        <w:rPr>
          <w:color w:val="000000" w:themeColor="text1"/>
          <w:szCs w:val="18"/>
          <w:lang w:val="nl-NL"/>
        </w:rPr>
        <w:t xml:space="preserve">het seksuele zelfbeschikkingsrecht. Het </w:t>
      </w:r>
      <w:r w:rsidR="00C11843" w:rsidRPr="000B4AB2">
        <w:rPr>
          <w:color w:val="000000" w:themeColor="text1"/>
          <w:szCs w:val="18"/>
          <w:lang w:val="nl-NL"/>
        </w:rPr>
        <w:t>tweede</w:t>
      </w:r>
      <w:r w:rsidR="00292AD5" w:rsidRPr="000B4AB2">
        <w:rPr>
          <w:color w:val="000000" w:themeColor="text1"/>
          <w:szCs w:val="18"/>
          <w:lang w:val="nl-NL"/>
        </w:rPr>
        <w:t xml:space="preserve"> artikel </w:t>
      </w:r>
      <w:r w:rsidR="001D2E63" w:rsidRPr="000B4AB2">
        <w:rPr>
          <w:color w:val="000000" w:themeColor="text1"/>
          <w:szCs w:val="18"/>
          <w:lang w:val="nl-NL"/>
        </w:rPr>
        <w:t>bevat</w:t>
      </w:r>
      <w:r w:rsidR="00292AD5" w:rsidRPr="000B4AB2">
        <w:rPr>
          <w:color w:val="000000" w:themeColor="text1"/>
          <w:szCs w:val="18"/>
          <w:lang w:val="nl-NL"/>
        </w:rPr>
        <w:t xml:space="preserve"> enkele </w:t>
      </w:r>
      <w:r w:rsidR="003F0287" w:rsidRPr="000B4AB2">
        <w:rPr>
          <w:color w:val="000000" w:themeColor="text1"/>
          <w:szCs w:val="18"/>
          <w:lang w:val="nl-NL"/>
        </w:rPr>
        <w:t>beperkingen</w:t>
      </w:r>
      <w:r w:rsidR="00292AD5" w:rsidRPr="000B4AB2">
        <w:rPr>
          <w:color w:val="000000" w:themeColor="text1"/>
          <w:szCs w:val="18"/>
          <w:lang w:val="nl-NL"/>
        </w:rPr>
        <w:t xml:space="preserve"> </w:t>
      </w:r>
      <w:r w:rsidR="00C27B83" w:rsidRPr="000B4AB2">
        <w:rPr>
          <w:color w:val="000000" w:themeColor="text1"/>
          <w:szCs w:val="18"/>
          <w:lang w:val="nl-NL"/>
        </w:rPr>
        <w:t xml:space="preserve">die door de wetgever worden gesteld </w:t>
      </w:r>
      <w:r w:rsidR="001D2E63" w:rsidRPr="000B4AB2">
        <w:rPr>
          <w:color w:val="000000" w:themeColor="text1"/>
          <w:szCs w:val="18"/>
          <w:lang w:val="nl-NL"/>
        </w:rPr>
        <w:t>aan de mogelijkheid om als minderjarige een dergelijke toestemming te geven</w:t>
      </w:r>
      <w:r w:rsidR="00C27B83" w:rsidRPr="000B4AB2">
        <w:rPr>
          <w:color w:val="000000" w:themeColor="text1"/>
          <w:szCs w:val="18"/>
          <w:lang w:val="nl-NL"/>
        </w:rPr>
        <w:t xml:space="preserve">. Het artikel </w:t>
      </w:r>
      <w:r w:rsidR="00C27B83" w:rsidRPr="000B4AB2">
        <w:rPr>
          <w:color w:val="000000" w:themeColor="text1"/>
          <w:szCs w:val="18"/>
          <w:lang w:val="nl-NL"/>
        </w:rPr>
        <w:lastRenderedPageBreak/>
        <w:t>stelt</w:t>
      </w:r>
      <w:r w:rsidR="001D2E63" w:rsidRPr="000B4AB2">
        <w:rPr>
          <w:color w:val="000000" w:themeColor="text1"/>
          <w:szCs w:val="18"/>
          <w:lang w:val="nl-NL"/>
        </w:rPr>
        <w:t xml:space="preserve"> </w:t>
      </w:r>
      <w:r>
        <w:rPr>
          <w:color w:val="000000" w:themeColor="text1"/>
          <w:szCs w:val="18"/>
          <w:lang w:val="nl-NL"/>
        </w:rPr>
        <w:t>aldus</w:t>
      </w:r>
      <w:r w:rsidR="001D2E63" w:rsidRPr="000B4AB2">
        <w:rPr>
          <w:color w:val="000000" w:themeColor="text1"/>
          <w:szCs w:val="18"/>
          <w:lang w:val="nl-NL"/>
        </w:rPr>
        <w:t xml:space="preserve"> de leeftijdsgrens</w:t>
      </w:r>
      <w:r w:rsidR="00C27B83" w:rsidRPr="000B4AB2">
        <w:rPr>
          <w:color w:val="000000" w:themeColor="text1"/>
          <w:szCs w:val="18"/>
          <w:lang w:val="nl-NL"/>
        </w:rPr>
        <w:t xml:space="preserve"> vast</w:t>
      </w:r>
      <w:r w:rsidR="001D2E63" w:rsidRPr="000B4AB2">
        <w:rPr>
          <w:color w:val="000000" w:themeColor="text1"/>
          <w:szCs w:val="18"/>
          <w:lang w:val="nl-NL"/>
        </w:rPr>
        <w:t xml:space="preserve"> </w:t>
      </w:r>
      <w:r>
        <w:rPr>
          <w:color w:val="000000" w:themeColor="text1"/>
          <w:szCs w:val="18"/>
          <w:lang w:val="nl-NL"/>
        </w:rPr>
        <w:t>m.b.t.</w:t>
      </w:r>
      <w:r w:rsidR="001D2E63" w:rsidRPr="000B4AB2">
        <w:rPr>
          <w:color w:val="000000" w:themeColor="text1"/>
          <w:szCs w:val="18"/>
          <w:lang w:val="nl-NL"/>
        </w:rPr>
        <w:t xml:space="preserve"> de seksuele meerderjarigheid.</w:t>
      </w:r>
      <w:r w:rsidR="001D2E63" w:rsidRPr="000B4AB2">
        <w:rPr>
          <w:rStyle w:val="FootnoteReference"/>
          <w:color w:val="000000" w:themeColor="text1"/>
          <w:szCs w:val="18"/>
          <w:lang w:val="nl-NL"/>
        </w:rPr>
        <w:footnoteReference w:id="151"/>
      </w:r>
      <w:r w:rsidR="001D2E63" w:rsidRPr="000B4AB2">
        <w:rPr>
          <w:color w:val="000000" w:themeColor="text1"/>
          <w:szCs w:val="18"/>
          <w:lang w:val="nl-NL"/>
        </w:rPr>
        <w:t xml:space="preserve"> </w:t>
      </w:r>
      <w:r w:rsidR="00013533" w:rsidRPr="000B4AB2">
        <w:rPr>
          <w:color w:val="000000" w:themeColor="text1"/>
          <w:szCs w:val="18"/>
          <w:lang w:val="nl-NL"/>
        </w:rPr>
        <w:t>Beide artikelen zullen hierna achtereenvolgens worden besproken.</w:t>
      </w:r>
    </w:p>
    <w:p w14:paraId="540F1FEB" w14:textId="77777777" w:rsidR="001D2E63" w:rsidRPr="000B4AB2" w:rsidRDefault="001D2E63" w:rsidP="00260F11">
      <w:pPr>
        <w:pStyle w:val="ListParagraph"/>
        <w:spacing w:line="360" w:lineRule="auto"/>
        <w:ind w:left="0"/>
        <w:rPr>
          <w:color w:val="000000" w:themeColor="text1"/>
          <w:szCs w:val="18"/>
          <w:highlight w:val="yellow"/>
          <w:lang w:val="nl-NL"/>
        </w:rPr>
      </w:pPr>
    </w:p>
    <w:p w14:paraId="7399BBE0" w14:textId="063946C4" w:rsidR="00356FAB" w:rsidRPr="001F479E" w:rsidRDefault="004E61E0" w:rsidP="00260F11">
      <w:pPr>
        <w:pStyle w:val="ListParagraph"/>
        <w:numPr>
          <w:ilvl w:val="0"/>
          <w:numId w:val="1"/>
        </w:numPr>
        <w:spacing w:line="360" w:lineRule="auto"/>
        <w:ind w:left="0" w:hanging="709"/>
        <w:rPr>
          <w:i/>
          <w:color w:val="000000" w:themeColor="text1"/>
          <w:szCs w:val="18"/>
          <w:lang w:val="nl-NL"/>
        </w:rPr>
      </w:pPr>
      <w:r w:rsidRPr="000B4AB2">
        <w:rPr>
          <w:b/>
          <w:szCs w:val="18"/>
          <w:lang w:val="nl-NL"/>
        </w:rPr>
        <w:t xml:space="preserve">(1) </w:t>
      </w:r>
      <w:r w:rsidR="0053188D" w:rsidRPr="000B4AB2">
        <w:rPr>
          <w:b/>
          <w:szCs w:val="18"/>
          <w:lang w:val="nl-NL"/>
        </w:rPr>
        <w:t>Definitie toestemming</w:t>
      </w:r>
      <w:r w:rsidR="00E13AC7" w:rsidRPr="000B4AB2">
        <w:rPr>
          <w:b/>
          <w:szCs w:val="18"/>
          <w:lang w:val="nl-NL"/>
        </w:rPr>
        <w:t xml:space="preserve"> </w:t>
      </w:r>
      <w:r w:rsidR="00032070">
        <w:rPr>
          <w:b/>
          <w:szCs w:val="18"/>
          <w:lang w:val="nl-NL"/>
        </w:rPr>
        <w:t>m.b.t.</w:t>
      </w:r>
      <w:r w:rsidR="00E13AC7" w:rsidRPr="000B4AB2">
        <w:rPr>
          <w:b/>
          <w:szCs w:val="18"/>
          <w:lang w:val="nl-NL"/>
        </w:rPr>
        <w:t xml:space="preserve"> het seksueel zelfbeschikkingsrecht</w:t>
      </w:r>
      <w:r w:rsidR="00AE6038" w:rsidRPr="000B4AB2">
        <w:rPr>
          <w:b/>
          <w:szCs w:val="18"/>
          <w:lang w:val="nl-NL"/>
        </w:rPr>
        <w:t>.</w:t>
      </w:r>
      <w:r w:rsidR="00E13AC7" w:rsidRPr="000B4AB2">
        <w:rPr>
          <w:szCs w:val="18"/>
          <w:lang w:val="nl-NL"/>
        </w:rPr>
        <w:t xml:space="preserve"> </w:t>
      </w:r>
      <w:r w:rsidR="003623CA" w:rsidRPr="000B4AB2">
        <w:rPr>
          <w:szCs w:val="18"/>
          <w:lang w:val="nl-NL"/>
        </w:rPr>
        <w:t>Artikel</w:t>
      </w:r>
      <w:r w:rsidR="00E13AC7" w:rsidRPr="000B4AB2">
        <w:rPr>
          <w:color w:val="000000" w:themeColor="text1"/>
          <w:szCs w:val="18"/>
          <w:lang w:val="nl-NL"/>
        </w:rPr>
        <w:t xml:space="preserve"> 417/5 </w:t>
      </w:r>
      <w:r w:rsidR="0081584B">
        <w:rPr>
          <w:color w:val="000000" w:themeColor="text1"/>
          <w:szCs w:val="18"/>
          <w:lang w:val="nl-NL"/>
        </w:rPr>
        <w:t xml:space="preserve">van het </w:t>
      </w:r>
      <w:r w:rsidR="00E13AC7" w:rsidRPr="000B4AB2">
        <w:rPr>
          <w:color w:val="000000" w:themeColor="text1"/>
          <w:szCs w:val="18"/>
          <w:lang w:val="nl-NL"/>
        </w:rPr>
        <w:t>Strafwetboek definieert toestemming als volgt:</w:t>
      </w:r>
      <w:r w:rsidR="001F479E">
        <w:rPr>
          <w:i/>
          <w:color w:val="000000" w:themeColor="text1"/>
          <w:szCs w:val="18"/>
          <w:lang w:val="nl-NL"/>
        </w:rPr>
        <w:t xml:space="preserve"> </w:t>
      </w:r>
      <w:r w:rsidR="00356FAB" w:rsidRPr="001F479E">
        <w:rPr>
          <w:i/>
          <w:color w:val="000000" w:themeColor="text1"/>
          <w:szCs w:val="18"/>
          <w:lang w:val="nl-NL"/>
        </w:rPr>
        <w:t>“Toestemming veronderstelt dat deze uit vrije wil is gegeven. Dit wordt beoordeeld in het licht van de omstandigheden van de zaak. De toestemming kan niet worden afgeleid uit de loutere ontstentenis van verweer van het slachtoffer. De toestemming kan worden ingetrokken op elk ogenblik voor of tijdens de seksuele handeling.</w:t>
      </w:r>
    </w:p>
    <w:p w14:paraId="6BC9696C" w14:textId="007913B4" w:rsidR="00356FAB" w:rsidRPr="000B4AB2" w:rsidRDefault="00356FAB" w:rsidP="00260F11">
      <w:pPr>
        <w:pStyle w:val="ListParagraph"/>
        <w:spacing w:line="360" w:lineRule="auto"/>
        <w:ind w:left="0"/>
        <w:rPr>
          <w:i/>
          <w:color w:val="000000" w:themeColor="text1"/>
          <w:szCs w:val="18"/>
          <w:lang w:val="nl-NL"/>
        </w:rPr>
      </w:pPr>
      <w:r w:rsidRPr="000B4AB2">
        <w:rPr>
          <w:i/>
          <w:color w:val="000000" w:themeColor="text1"/>
          <w:szCs w:val="18"/>
          <w:lang w:val="nl-NL"/>
        </w:rPr>
        <w:t>Toestemming is er niet wanneer de seksuele handeling is gepleegd door gebruik te maken van de kwetsbare toestand van het slachtoffer ten gevolge van onder meer angst, invloed van alcohol, verdovende middelen, psychotrope stoffen of enige andere substantie met een soortgelijke uitwerking, een ziekte of een handicapsituatie, waardoor de vrije wil is aangetast.</w:t>
      </w:r>
    </w:p>
    <w:p w14:paraId="28DE478D" w14:textId="026C967A" w:rsidR="00356FAB" w:rsidRPr="000B4AB2" w:rsidRDefault="00356FAB" w:rsidP="00260F11">
      <w:pPr>
        <w:pStyle w:val="ListParagraph"/>
        <w:spacing w:line="360" w:lineRule="auto"/>
        <w:ind w:left="0"/>
        <w:rPr>
          <w:i/>
          <w:color w:val="000000" w:themeColor="text1"/>
          <w:szCs w:val="18"/>
          <w:lang w:val="nl-NL"/>
        </w:rPr>
      </w:pPr>
      <w:r w:rsidRPr="000B4AB2">
        <w:rPr>
          <w:i/>
          <w:color w:val="000000" w:themeColor="text1"/>
          <w:szCs w:val="18"/>
          <w:lang w:val="nl-NL"/>
        </w:rPr>
        <w:t>Toestemming is er in ieder geval niet indien de seksuele handeling het gevolg is van een bedreiging, fysiek of psychisch geweld, dwang, verrassing, list of van enige andere strafbare gedraging.</w:t>
      </w:r>
    </w:p>
    <w:p w14:paraId="56812305" w14:textId="0B19F3E6" w:rsidR="00356FAB" w:rsidRPr="000B4AB2" w:rsidRDefault="00356FAB" w:rsidP="00260F11">
      <w:pPr>
        <w:pStyle w:val="ListParagraph"/>
        <w:spacing w:line="360" w:lineRule="auto"/>
        <w:ind w:left="0"/>
        <w:rPr>
          <w:i/>
          <w:color w:val="000000" w:themeColor="text1"/>
          <w:szCs w:val="18"/>
          <w:lang w:val="nl-NL"/>
        </w:rPr>
      </w:pPr>
      <w:r w:rsidRPr="000B4AB2">
        <w:rPr>
          <w:i/>
          <w:color w:val="000000" w:themeColor="text1"/>
          <w:szCs w:val="18"/>
          <w:lang w:val="nl-NL"/>
        </w:rPr>
        <w:t>Toestemming is er in ieder geval niet wanneer de seksuele handeling is gepleegd ten nadele van een bewusteloos of slapend slachtoffer.”</w:t>
      </w:r>
    </w:p>
    <w:p w14:paraId="28D5F706" w14:textId="57C2E9F5" w:rsidR="00AE6038" w:rsidRPr="000B4AB2" w:rsidRDefault="00AE6038" w:rsidP="00260F11">
      <w:pPr>
        <w:spacing w:line="360" w:lineRule="auto"/>
        <w:rPr>
          <w:szCs w:val="18"/>
          <w:lang w:val="nl-NL"/>
        </w:rPr>
      </w:pPr>
    </w:p>
    <w:p w14:paraId="6B964AD2" w14:textId="1C11F1DF" w:rsidR="00E13AC7" w:rsidRPr="000B4AB2" w:rsidRDefault="00FF1A7C" w:rsidP="00260F11">
      <w:pPr>
        <w:pStyle w:val="ListParagraph"/>
        <w:spacing w:line="360" w:lineRule="auto"/>
        <w:ind w:left="0"/>
        <w:rPr>
          <w:color w:val="000000" w:themeColor="text1"/>
          <w:szCs w:val="18"/>
          <w:lang w:val="nl-NL"/>
        </w:rPr>
      </w:pPr>
      <w:r w:rsidRPr="000B4AB2">
        <w:rPr>
          <w:color w:val="000000" w:themeColor="text1"/>
          <w:szCs w:val="18"/>
          <w:lang w:val="nl-NL"/>
        </w:rPr>
        <w:t>Dit</w:t>
      </w:r>
      <w:r w:rsidR="00E13AC7" w:rsidRPr="000B4AB2">
        <w:rPr>
          <w:color w:val="000000" w:themeColor="text1"/>
          <w:szCs w:val="18"/>
          <w:lang w:val="nl-NL"/>
        </w:rPr>
        <w:t xml:space="preserve"> </w:t>
      </w:r>
      <w:r w:rsidR="001F479E">
        <w:rPr>
          <w:color w:val="000000" w:themeColor="text1"/>
          <w:szCs w:val="18"/>
          <w:lang w:val="nl-NL"/>
        </w:rPr>
        <w:t>is</w:t>
      </w:r>
      <w:r w:rsidR="00E13AC7" w:rsidRPr="000B4AB2">
        <w:rPr>
          <w:color w:val="000000" w:themeColor="text1"/>
          <w:szCs w:val="18"/>
          <w:lang w:val="nl-NL"/>
        </w:rPr>
        <w:t xml:space="preserve"> een overkoepelende definitie voor </w:t>
      </w:r>
      <w:r w:rsidR="00831B26" w:rsidRPr="000B4AB2">
        <w:rPr>
          <w:color w:val="000000" w:themeColor="text1"/>
          <w:szCs w:val="18"/>
          <w:lang w:val="nl-NL"/>
        </w:rPr>
        <w:t>de misdrijven van aantasting van de seksuele integriteit, voyeurisme, niet-consensuele verspreiding van seksueel getinte inhoud en verkrachting.</w:t>
      </w:r>
      <w:r w:rsidR="00E13AC7" w:rsidRPr="000B4AB2">
        <w:rPr>
          <w:rStyle w:val="FootnoteReference"/>
          <w:color w:val="000000" w:themeColor="text1"/>
          <w:szCs w:val="18"/>
          <w:lang w:val="nl-NL"/>
        </w:rPr>
        <w:footnoteReference w:id="152"/>
      </w:r>
    </w:p>
    <w:p w14:paraId="22FD46F4" w14:textId="77777777" w:rsidR="00FF1A7C" w:rsidRPr="000B4AB2" w:rsidRDefault="00FF1A7C" w:rsidP="00260F11">
      <w:pPr>
        <w:pStyle w:val="ListParagraph"/>
        <w:spacing w:line="360" w:lineRule="auto"/>
        <w:ind w:left="0"/>
        <w:rPr>
          <w:color w:val="000000" w:themeColor="text1"/>
          <w:szCs w:val="18"/>
          <w:lang w:val="nl-NL"/>
        </w:rPr>
      </w:pPr>
    </w:p>
    <w:p w14:paraId="0E4EFEC1" w14:textId="101C6354" w:rsidR="0086165A" w:rsidRPr="0086165A" w:rsidRDefault="0086165A" w:rsidP="00260F11">
      <w:pPr>
        <w:pStyle w:val="ListParagraph"/>
        <w:numPr>
          <w:ilvl w:val="0"/>
          <w:numId w:val="1"/>
        </w:numPr>
        <w:spacing w:line="360" w:lineRule="auto"/>
        <w:ind w:left="0" w:hanging="709"/>
        <w:rPr>
          <w:color w:val="000000" w:themeColor="text1"/>
          <w:szCs w:val="18"/>
          <w:lang w:val="nl-NL"/>
        </w:rPr>
      </w:pPr>
      <w:r>
        <w:rPr>
          <w:b/>
          <w:szCs w:val="18"/>
          <w:lang w:val="nl-NL"/>
        </w:rPr>
        <w:t>Artikel 417/5, eerste lid</w:t>
      </w:r>
      <w:r w:rsidR="002E4FBB" w:rsidRPr="000B4AB2">
        <w:rPr>
          <w:szCs w:val="18"/>
          <w:lang w:val="nl-NL"/>
        </w:rPr>
        <w:t xml:space="preserve">. </w:t>
      </w:r>
      <w:r w:rsidR="008D2750">
        <w:rPr>
          <w:szCs w:val="18"/>
          <w:lang w:val="nl-NL"/>
        </w:rPr>
        <w:t>Toestemming</w:t>
      </w:r>
      <w:r w:rsidR="0053188D" w:rsidRPr="000B4AB2">
        <w:rPr>
          <w:szCs w:val="18"/>
          <w:lang w:val="nl-NL"/>
        </w:rPr>
        <w:t xml:space="preserve"> moet </w:t>
      </w:r>
      <w:r w:rsidR="007E0CAC" w:rsidRPr="000B4AB2">
        <w:rPr>
          <w:szCs w:val="18"/>
          <w:lang w:val="nl-NL"/>
        </w:rPr>
        <w:t>steeds</w:t>
      </w:r>
      <w:r w:rsidR="0053188D" w:rsidRPr="000B4AB2">
        <w:rPr>
          <w:szCs w:val="18"/>
          <w:lang w:val="nl-NL"/>
        </w:rPr>
        <w:t xml:space="preserve"> uit vrije wil gegeven zijn</w:t>
      </w:r>
      <w:r w:rsidR="007E0CAC" w:rsidRPr="000B4AB2">
        <w:rPr>
          <w:szCs w:val="18"/>
          <w:lang w:val="nl-NL"/>
        </w:rPr>
        <w:t>, zelfs al zou het artikel dit niet specifiek bepalen</w:t>
      </w:r>
      <w:r w:rsidR="0053188D" w:rsidRPr="000B4AB2">
        <w:rPr>
          <w:szCs w:val="18"/>
          <w:lang w:val="nl-NL"/>
        </w:rPr>
        <w:t xml:space="preserve">. Toch meende de wetgever dat deze tautologie </w:t>
      </w:r>
      <w:r w:rsidR="008D2750">
        <w:rPr>
          <w:szCs w:val="18"/>
          <w:lang w:val="nl-NL"/>
        </w:rPr>
        <w:t xml:space="preserve">duidelijkheidshalve </w:t>
      </w:r>
      <w:r w:rsidR="0053188D" w:rsidRPr="000B4AB2">
        <w:rPr>
          <w:szCs w:val="18"/>
          <w:lang w:val="nl-NL"/>
        </w:rPr>
        <w:t>nodig was.</w:t>
      </w:r>
      <w:r w:rsidR="0053188D" w:rsidRPr="000B4AB2">
        <w:rPr>
          <w:rStyle w:val="FootnoteReference"/>
          <w:szCs w:val="18"/>
          <w:lang w:val="nl-NL"/>
        </w:rPr>
        <w:footnoteReference w:id="153"/>
      </w:r>
      <w:r>
        <w:rPr>
          <w:color w:val="000000" w:themeColor="text1"/>
          <w:szCs w:val="18"/>
          <w:lang w:val="nl-NL"/>
        </w:rPr>
        <w:t xml:space="preserve"> </w:t>
      </w:r>
      <w:r w:rsidR="0053188D" w:rsidRPr="0086165A">
        <w:rPr>
          <w:szCs w:val="18"/>
          <w:lang w:val="nl-NL"/>
        </w:rPr>
        <w:t xml:space="preserve">Vervolgens wordt expliciet bepaald dat het gebrek aan verweer </w:t>
      </w:r>
      <w:r w:rsidR="00B02B72" w:rsidRPr="0086165A">
        <w:rPr>
          <w:szCs w:val="18"/>
          <w:lang w:val="nl-NL"/>
        </w:rPr>
        <w:t xml:space="preserve">door het slachtoffer </w:t>
      </w:r>
      <w:r w:rsidR="0053188D" w:rsidRPr="0086165A">
        <w:rPr>
          <w:szCs w:val="18"/>
          <w:lang w:val="nl-NL"/>
        </w:rPr>
        <w:t>op zich niet gelijk kan worden gesteld aan toestemming.</w:t>
      </w:r>
      <w:r w:rsidR="006A2A8C" w:rsidRPr="0086165A">
        <w:rPr>
          <w:szCs w:val="18"/>
          <w:lang w:val="nl-NL"/>
        </w:rPr>
        <w:t xml:space="preserve"> </w:t>
      </w:r>
      <w:r w:rsidR="009A0314" w:rsidRPr="0086165A">
        <w:rPr>
          <w:szCs w:val="18"/>
          <w:lang w:val="nl-NL"/>
        </w:rPr>
        <w:t xml:space="preserve">Dit houdt rekening met de wetenschappelijke </w:t>
      </w:r>
      <w:r w:rsidR="00B02B72" w:rsidRPr="0086165A">
        <w:rPr>
          <w:szCs w:val="18"/>
          <w:lang w:val="nl-NL"/>
        </w:rPr>
        <w:t>inzichten</w:t>
      </w:r>
      <w:r w:rsidR="009A0314" w:rsidRPr="0086165A">
        <w:rPr>
          <w:szCs w:val="18"/>
          <w:lang w:val="nl-NL"/>
        </w:rPr>
        <w:t xml:space="preserve"> omtrent de fysieke onmogelijkheid tot verweer waarin een slachtoffer van seksueel geweld zich kan bevinden</w:t>
      </w:r>
      <w:r w:rsidR="00364E34">
        <w:rPr>
          <w:szCs w:val="18"/>
          <w:lang w:val="nl-NL"/>
        </w:rPr>
        <w:t xml:space="preserve">, </w:t>
      </w:r>
      <w:r w:rsidR="009A0314" w:rsidRPr="0086165A">
        <w:rPr>
          <w:szCs w:val="18"/>
          <w:lang w:val="nl-NL"/>
        </w:rPr>
        <w:t xml:space="preserve">ook wel </w:t>
      </w:r>
      <w:r w:rsidR="00C94CE6" w:rsidRPr="0086165A">
        <w:rPr>
          <w:i/>
          <w:szCs w:val="18"/>
          <w:lang w:val="nl-NL"/>
        </w:rPr>
        <w:t>“tonic immobility”</w:t>
      </w:r>
      <w:r w:rsidR="003415F6" w:rsidRPr="0086165A">
        <w:rPr>
          <w:i/>
          <w:szCs w:val="18"/>
          <w:lang w:val="nl-NL"/>
        </w:rPr>
        <w:t xml:space="preserve">, “frozen fright” </w:t>
      </w:r>
      <w:r w:rsidR="00C94CE6" w:rsidRPr="0086165A">
        <w:rPr>
          <w:szCs w:val="18"/>
          <w:lang w:val="nl-NL"/>
        </w:rPr>
        <w:t xml:space="preserve">of </w:t>
      </w:r>
      <w:r w:rsidR="00C94CE6" w:rsidRPr="0086165A">
        <w:rPr>
          <w:i/>
          <w:szCs w:val="18"/>
          <w:lang w:val="nl-NL"/>
        </w:rPr>
        <w:t>“rape induced paralysis”</w:t>
      </w:r>
      <w:r w:rsidR="009A0314" w:rsidRPr="0086165A">
        <w:rPr>
          <w:szCs w:val="18"/>
          <w:lang w:val="nl-NL"/>
        </w:rPr>
        <w:t xml:space="preserve"> genoemd.</w:t>
      </w:r>
      <w:r w:rsidR="009A0314" w:rsidRPr="000B4AB2">
        <w:rPr>
          <w:rStyle w:val="FootnoteReference"/>
          <w:szCs w:val="18"/>
          <w:lang w:val="nl-NL"/>
        </w:rPr>
        <w:footnoteReference w:id="154"/>
      </w:r>
      <w:r w:rsidR="00956813" w:rsidRPr="0086165A">
        <w:rPr>
          <w:color w:val="000000" w:themeColor="text1"/>
          <w:szCs w:val="18"/>
          <w:lang w:val="nl-NL"/>
        </w:rPr>
        <w:t xml:space="preserve"> </w:t>
      </w:r>
      <w:r w:rsidR="009A0314" w:rsidRPr="0086165A">
        <w:rPr>
          <w:szCs w:val="18"/>
          <w:lang w:val="nl-NL"/>
        </w:rPr>
        <w:t xml:space="preserve">Het expliciet opnemen </w:t>
      </w:r>
      <w:r w:rsidR="00956813" w:rsidRPr="0086165A">
        <w:rPr>
          <w:szCs w:val="18"/>
          <w:lang w:val="nl-NL"/>
        </w:rPr>
        <w:t xml:space="preserve">hiervan </w:t>
      </w:r>
      <w:r w:rsidR="009A0314" w:rsidRPr="0086165A">
        <w:rPr>
          <w:szCs w:val="18"/>
          <w:lang w:val="nl-NL"/>
        </w:rPr>
        <w:t xml:space="preserve">in de wet </w:t>
      </w:r>
      <w:r w:rsidR="006C4F58" w:rsidRPr="0086165A">
        <w:rPr>
          <w:szCs w:val="18"/>
          <w:lang w:val="nl-NL"/>
        </w:rPr>
        <w:t xml:space="preserve">zou </w:t>
      </w:r>
      <w:r w:rsidR="009A0314" w:rsidRPr="0086165A">
        <w:rPr>
          <w:szCs w:val="18"/>
          <w:lang w:val="nl-NL"/>
        </w:rPr>
        <w:t>zowel de maatschappij als de professionals op dit vlak</w:t>
      </w:r>
      <w:r w:rsidR="006C4F58" w:rsidRPr="0086165A">
        <w:rPr>
          <w:szCs w:val="18"/>
          <w:lang w:val="nl-NL"/>
        </w:rPr>
        <w:t xml:space="preserve"> </w:t>
      </w:r>
      <w:r w:rsidR="0050012A" w:rsidRPr="0086165A">
        <w:rPr>
          <w:szCs w:val="18"/>
          <w:lang w:val="nl-NL"/>
        </w:rPr>
        <w:t xml:space="preserve">moeten </w:t>
      </w:r>
      <w:r w:rsidR="006C4F58" w:rsidRPr="0086165A">
        <w:rPr>
          <w:szCs w:val="18"/>
          <w:lang w:val="nl-NL"/>
        </w:rPr>
        <w:t>sensibiliseren</w:t>
      </w:r>
      <w:r w:rsidR="009A0314" w:rsidRPr="0086165A">
        <w:rPr>
          <w:szCs w:val="18"/>
          <w:lang w:val="nl-NL"/>
        </w:rPr>
        <w:t>.</w:t>
      </w:r>
      <w:r w:rsidR="009A0314" w:rsidRPr="000B4AB2">
        <w:rPr>
          <w:rStyle w:val="FootnoteReference"/>
          <w:szCs w:val="18"/>
          <w:lang w:val="nl-NL"/>
        </w:rPr>
        <w:footnoteReference w:id="155"/>
      </w:r>
      <w:r>
        <w:rPr>
          <w:rStyle w:val="FootnoteReference"/>
          <w:color w:val="000000" w:themeColor="text1"/>
          <w:szCs w:val="18"/>
          <w:vertAlign w:val="baseline"/>
          <w:lang w:val="nl-NL"/>
        </w:rPr>
        <w:t xml:space="preserve"> </w:t>
      </w:r>
      <w:r w:rsidR="00E326B5" w:rsidRPr="0086165A">
        <w:rPr>
          <w:szCs w:val="18"/>
          <w:lang w:val="nl-NL"/>
        </w:rPr>
        <w:t>De wetgever heeft bovendien expliciet bepaald dat toestemming kan worden ingetrokken voor of tijdens de seksuele handeling.</w:t>
      </w:r>
      <w:r w:rsidR="00E326B5" w:rsidRPr="000B4AB2">
        <w:rPr>
          <w:rStyle w:val="FootnoteReference"/>
          <w:szCs w:val="18"/>
          <w:lang w:val="nl-NL"/>
        </w:rPr>
        <w:footnoteReference w:id="156"/>
      </w:r>
      <w:r w:rsidR="00E326B5" w:rsidRPr="0086165A">
        <w:rPr>
          <w:szCs w:val="18"/>
          <w:lang w:val="nl-NL"/>
        </w:rPr>
        <w:t xml:space="preserve"> </w:t>
      </w:r>
    </w:p>
    <w:p w14:paraId="7FB0B371" w14:textId="77777777" w:rsidR="00606AAD" w:rsidRPr="000B4AB2" w:rsidRDefault="00606AAD" w:rsidP="00260F11">
      <w:pPr>
        <w:pStyle w:val="ListParagraph"/>
        <w:spacing w:line="360" w:lineRule="auto"/>
        <w:rPr>
          <w:b/>
          <w:szCs w:val="18"/>
          <w:lang w:val="nl-NL"/>
        </w:rPr>
      </w:pPr>
    </w:p>
    <w:p w14:paraId="24C4763D" w14:textId="150336EB" w:rsidR="00606AAD" w:rsidRPr="000B4AB2" w:rsidRDefault="00364E34" w:rsidP="00260F11">
      <w:pPr>
        <w:pStyle w:val="ListParagraph"/>
        <w:numPr>
          <w:ilvl w:val="0"/>
          <w:numId w:val="1"/>
        </w:numPr>
        <w:spacing w:line="360" w:lineRule="auto"/>
        <w:ind w:left="0" w:hanging="709"/>
        <w:rPr>
          <w:szCs w:val="18"/>
          <w:lang w:val="nl-NL"/>
        </w:rPr>
      </w:pPr>
      <w:r>
        <w:rPr>
          <w:b/>
          <w:szCs w:val="18"/>
          <w:lang w:val="nl-NL"/>
        </w:rPr>
        <w:t>Artikel 417/5, overige leden</w:t>
      </w:r>
      <w:r w:rsidR="004D417D" w:rsidRPr="000B4AB2">
        <w:rPr>
          <w:szCs w:val="18"/>
          <w:lang w:val="nl-NL"/>
        </w:rPr>
        <w:t xml:space="preserve">. In haar laatste drie leden bevat artikel 417/5 </w:t>
      </w:r>
      <w:r w:rsidR="0081584B">
        <w:rPr>
          <w:szCs w:val="18"/>
          <w:lang w:val="nl-NL"/>
        </w:rPr>
        <w:t xml:space="preserve">van het </w:t>
      </w:r>
      <w:r w:rsidR="00CE0637">
        <w:rPr>
          <w:szCs w:val="18"/>
          <w:lang w:val="nl-NL"/>
        </w:rPr>
        <w:t>Strafwetboek</w:t>
      </w:r>
      <w:r w:rsidR="004D417D" w:rsidRPr="000B4AB2">
        <w:rPr>
          <w:szCs w:val="18"/>
          <w:lang w:val="nl-NL"/>
        </w:rPr>
        <w:t xml:space="preserve"> nog enkele exemplatieve opsommingen van </w:t>
      </w:r>
      <w:r w:rsidR="00606AAD" w:rsidRPr="000B4AB2">
        <w:rPr>
          <w:szCs w:val="18"/>
          <w:lang w:val="nl-NL"/>
        </w:rPr>
        <w:t>toestemmingsuitsluitende gronden.</w:t>
      </w:r>
      <w:r w:rsidR="00B22820" w:rsidRPr="000B4AB2">
        <w:rPr>
          <w:szCs w:val="18"/>
          <w:lang w:val="nl-NL"/>
        </w:rPr>
        <w:t xml:space="preserve"> </w:t>
      </w:r>
      <w:r w:rsidR="00375A57" w:rsidRPr="000B4AB2">
        <w:rPr>
          <w:szCs w:val="18"/>
          <w:lang w:val="nl-NL"/>
        </w:rPr>
        <w:t>Voornoemde</w:t>
      </w:r>
      <w:r w:rsidR="00B22820" w:rsidRPr="000B4AB2">
        <w:rPr>
          <w:szCs w:val="18"/>
          <w:lang w:val="nl-NL"/>
        </w:rPr>
        <w:t xml:space="preserve"> </w:t>
      </w:r>
      <w:r w:rsidR="00B22820" w:rsidRPr="000B4AB2">
        <w:rPr>
          <w:szCs w:val="18"/>
          <w:lang w:val="nl-NL"/>
        </w:rPr>
        <w:lastRenderedPageBreak/>
        <w:t>factoren dienen ruim te worden opgevat.</w:t>
      </w:r>
      <w:r w:rsidR="00B22820" w:rsidRPr="000B4AB2">
        <w:rPr>
          <w:rStyle w:val="FootnoteReference"/>
          <w:szCs w:val="18"/>
          <w:lang w:val="nl-NL"/>
        </w:rPr>
        <w:footnoteReference w:id="157"/>
      </w:r>
      <w:r w:rsidR="00B22820" w:rsidRPr="000B4AB2">
        <w:rPr>
          <w:szCs w:val="18"/>
          <w:lang w:val="nl-NL"/>
        </w:rPr>
        <w:t xml:space="preserve"> </w:t>
      </w:r>
      <w:r w:rsidR="00606AAD" w:rsidRPr="000B4AB2">
        <w:rPr>
          <w:szCs w:val="18"/>
          <w:lang w:val="nl-NL"/>
        </w:rPr>
        <w:t xml:space="preserve">Elk van deze gronden hier </w:t>
      </w:r>
      <w:r w:rsidR="00156BF8" w:rsidRPr="000B4AB2">
        <w:rPr>
          <w:szCs w:val="18"/>
          <w:lang w:val="nl-NL"/>
        </w:rPr>
        <w:t xml:space="preserve">uitgebreid </w:t>
      </w:r>
      <w:r w:rsidR="00606AAD" w:rsidRPr="000B4AB2">
        <w:rPr>
          <w:szCs w:val="18"/>
          <w:lang w:val="nl-NL"/>
        </w:rPr>
        <w:t xml:space="preserve">bespreken zou deze masterscriptie te ver leiden, maar toch </w:t>
      </w:r>
      <w:r w:rsidR="00156BF8" w:rsidRPr="000B4AB2">
        <w:rPr>
          <w:szCs w:val="18"/>
          <w:lang w:val="nl-NL"/>
        </w:rPr>
        <w:t xml:space="preserve">zal </w:t>
      </w:r>
      <w:r w:rsidR="00606AAD" w:rsidRPr="000B4AB2">
        <w:rPr>
          <w:szCs w:val="18"/>
          <w:lang w:val="nl-NL"/>
        </w:rPr>
        <w:t>bij wijze van voorbeeld op enkele van deze gronden kort worden ingegaan.</w:t>
      </w:r>
      <w:r w:rsidR="001149F7" w:rsidRPr="000B4AB2">
        <w:rPr>
          <w:szCs w:val="18"/>
          <w:lang w:val="nl-NL"/>
        </w:rPr>
        <w:t xml:space="preserve"> </w:t>
      </w:r>
    </w:p>
    <w:p w14:paraId="1FF8BB08" w14:textId="77777777" w:rsidR="00606AAD" w:rsidRPr="000B4AB2" w:rsidRDefault="00606AAD" w:rsidP="00260F11">
      <w:pPr>
        <w:pStyle w:val="ListParagraph"/>
        <w:spacing w:line="360" w:lineRule="auto"/>
        <w:rPr>
          <w:szCs w:val="18"/>
          <w:lang w:val="nl-NL"/>
        </w:rPr>
      </w:pPr>
    </w:p>
    <w:p w14:paraId="4BAF0529" w14:textId="5986C859" w:rsidR="008729AB" w:rsidRPr="000B4AB2" w:rsidRDefault="00E66ADC" w:rsidP="00260F11">
      <w:pPr>
        <w:pStyle w:val="ListParagraph"/>
        <w:numPr>
          <w:ilvl w:val="0"/>
          <w:numId w:val="1"/>
        </w:numPr>
        <w:spacing w:line="360" w:lineRule="auto"/>
        <w:ind w:left="0" w:hanging="709"/>
        <w:rPr>
          <w:szCs w:val="18"/>
          <w:lang w:val="nl-NL"/>
        </w:rPr>
      </w:pPr>
      <w:r w:rsidRPr="000B4AB2">
        <w:rPr>
          <w:b/>
          <w:i/>
          <w:szCs w:val="18"/>
          <w:lang w:val="nl-NL"/>
        </w:rPr>
        <w:t>Artikel 417/5, tweede lid:</w:t>
      </w:r>
      <w:r w:rsidR="00B97E18" w:rsidRPr="000B4AB2">
        <w:rPr>
          <w:b/>
          <w:i/>
          <w:szCs w:val="18"/>
          <w:lang w:val="nl-NL"/>
        </w:rPr>
        <w:t xml:space="preserve"> </w:t>
      </w:r>
      <w:r w:rsidRPr="000B4AB2">
        <w:rPr>
          <w:b/>
          <w:i/>
          <w:szCs w:val="18"/>
          <w:lang w:val="nl-NL"/>
        </w:rPr>
        <w:t xml:space="preserve">gebrek </w:t>
      </w:r>
      <w:r w:rsidR="00B97E18" w:rsidRPr="000B4AB2">
        <w:rPr>
          <w:b/>
          <w:i/>
          <w:szCs w:val="18"/>
          <w:lang w:val="nl-NL"/>
        </w:rPr>
        <w:t>aan toestemming te wijten aan bepaalde k</w:t>
      </w:r>
      <w:r w:rsidR="00D26900" w:rsidRPr="000B4AB2">
        <w:rPr>
          <w:b/>
          <w:i/>
          <w:szCs w:val="18"/>
          <w:lang w:val="nl-NL"/>
        </w:rPr>
        <w:t>wetsbare toestand slachtoffer</w:t>
      </w:r>
      <w:r w:rsidR="00D26900" w:rsidRPr="000B4AB2">
        <w:rPr>
          <w:szCs w:val="18"/>
          <w:lang w:val="nl-NL"/>
        </w:rPr>
        <w:t>.</w:t>
      </w:r>
      <w:r w:rsidR="00577A83" w:rsidRPr="000B4AB2">
        <w:rPr>
          <w:rStyle w:val="FootnoteReference"/>
          <w:szCs w:val="18"/>
          <w:lang w:val="nl-NL"/>
        </w:rPr>
        <w:footnoteReference w:id="158"/>
      </w:r>
      <w:r w:rsidR="00D26900" w:rsidRPr="000B4AB2">
        <w:rPr>
          <w:szCs w:val="18"/>
          <w:lang w:val="nl-NL"/>
        </w:rPr>
        <w:t xml:space="preserve"> </w:t>
      </w:r>
      <w:r w:rsidR="008729AB" w:rsidRPr="000B4AB2">
        <w:rPr>
          <w:szCs w:val="18"/>
          <w:lang w:val="nl-NL"/>
        </w:rPr>
        <w:t>De wetgever somt</w:t>
      </w:r>
      <w:r w:rsidR="00D26900" w:rsidRPr="000B4AB2">
        <w:rPr>
          <w:szCs w:val="18"/>
          <w:lang w:val="nl-NL"/>
        </w:rPr>
        <w:t xml:space="preserve"> enkele situaties </w:t>
      </w:r>
      <w:r w:rsidR="008729AB" w:rsidRPr="000B4AB2">
        <w:rPr>
          <w:szCs w:val="18"/>
          <w:lang w:val="nl-NL"/>
        </w:rPr>
        <w:t xml:space="preserve">op </w:t>
      </w:r>
      <w:r w:rsidR="00D26900" w:rsidRPr="000B4AB2">
        <w:rPr>
          <w:szCs w:val="18"/>
          <w:lang w:val="nl-NL"/>
        </w:rPr>
        <w:t>waarin het slachtoffer zich in een bepaalde kwetsbare toestand bevindt</w:t>
      </w:r>
      <w:r w:rsidR="008729AB" w:rsidRPr="000B4AB2">
        <w:rPr>
          <w:szCs w:val="18"/>
          <w:lang w:val="nl-NL"/>
        </w:rPr>
        <w:t xml:space="preserve"> </w:t>
      </w:r>
      <w:r w:rsidR="008D2750">
        <w:rPr>
          <w:szCs w:val="18"/>
          <w:lang w:val="nl-NL"/>
        </w:rPr>
        <w:t>en er</w:t>
      </w:r>
      <w:r w:rsidR="008729AB" w:rsidRPr="000B4AB2">
        <w:rPr>
          <w:szCs w:val="18"/>
          <w:lang w:val="nl-NL"/>
        </w:rPr>
        <w:t xml:space="preserve"> geen geldige toestemming kan zijn indien daarvan gebruik wordt gemaakt</w:t>
      </w:r>
      <w:r w:rsidR="008B5DB4">
        <w:rPr>
          <w:szCs w:val="18"/>
          <w:lang w:val="nl-NL"/>
        </w:rPr>
        <w:t xml:space="preserve"> door de dader</w:t>
      </w:r>
      <w:r w:rsidR="00D26900" w:rsidRPr="000B4AB2">
        <w:rPr>
          <w:szCs w:val="18"/>
          <w:lang w:val="nl-NL"/>
        </w:rPr>
        <w:t>.</w:t>
      </w:r>
      <w:r w:rsidR="00577A83" w:rsidRPr="000B4AB2">
        <w:rPr>
          <w:szCs w:val="18"/>
          <w:lang w:val="nl-NL"/>
        </w:rPr>
        <w:t xml:space="preserve"> </w:t>
      </w:r>
    </w:p>
    <w:p w14:paraId="1465CAF1" w14:textId="77777777" w:rsidR="008729AB" w:rsidRPr="000B4AB2" w:rsidRDefault="008729AB" w:rsidP="00260F11">
      <w:pPr>
        <w:pStyle w:val="ListParagraph"/>
        <w:spacing w:line="360" w:lineRule="auto"/>
        <w:rPr>
          <w:szCs w:val="18"/>
          <w:lang w:val="nl-NL"/>
        </w:rPr>
      </w:pPr>
    </w:p>
    <w:p w14:paraId="52248C53" w14:textId="3DB3F2F3" w:rsidR="00606AAD" w:rsidRPr="000B4AB2" w:rsidRDefault="00D26900" w:rsidP="00260F11">
      <w:pPr>
        <w:pStyle w:val="ListParagraph"/>
        <w:spacing w:line="360" w:lineRule="auto"/>
        <w:ind w:left="0"/>
        <w:rPr>
          <w:szCs w:val="18"/>
          <w:lang w:val="nl-NL"/>
        </w:rPr>
      </w:pPr>
      <w:r w:rsidRPr="000B4AB2">
        <w:rPr>
          <w:szCs w:val="18"/>
          <w:lang w:val="nl-NL"/>
        </w:rPr>
        <w:t>Zo kan er bijvoorbeeld</w:t>
      </w:r>
      <w:r w:rsidR="00606AAD" w:rsidRPr="000B4AB2">
        <w:rPr>
          <w:szCs w:val="18"/>
          <w:lang w:val="nl-NL"/>
        </w:rPr>
        <w:t xml:space="preserve"> geen toestemming </w:t>
      </w:r>
      <w:r w:rsidR="008B5DB4">
        <w:rPr>
          <w:szCs w:val="18"/>
          <w:lang w:val="nl-NL"/>
        </w:rPr>
        <w:t xml:space="preserve">zijn </w:t>
      </w:r>
      <w:r w:rsidR="00606AAD" w:rsidRPr="000B4AB2">
        <w:rPr>
          <w:szCs w:val="18"/>
          <w:lang w:val="nl-NL"/>
        </w:rPr>
        <w:t xml:space="preserve">wanneer de dader de seksuele handeling heeft gesteld door gebruik te maken van de kwetsbare toestand van het slachtoffer waarin het slachtoffer zich bevond </w:t>
      </w:r>
      <w:r w:rsidR="001A287B">
        <w:rPr>
          <w:szCs w:val="18"/>
          <w:lang w:val="nl-NL"/>
        </w:rPr>
        <w:t xml:space="preserve">ten gevolge van </w:t>
      </w:r>
      <w:r w:rsidR="00606AAD" w:rsidRPr="000B4AB2">
        <w:rPr>
          <w:szCs w:val="18"/>
          <w:lang w:val="nl-NL"/>
        </w:rPr>
        <w:t>invloed van alcohol, waardoor de vrije wil van het slachtoffer aangetast is.</w:t>
      </w:r>
    </w:p>
    <w:p w14:paraId="4ED1A2BE" w14:textId="77777777" w:rsidR="00606AAD" w:rsidRPr="000B4AB2" w:rsidRDefault="00606AAD" w:rsidP="00260F11">
      <w:pPr>
        <w:pStyle w:val="ListParagraph"/>
        <w:spacing w:line="360" w:lineRule="auto"/>
        <w:ind w:left="0"/>
        <w:rPr>
          <w:szCs w:val="18"/>
          <w:lang w:val="nl-NL"/>
        </w:rPr>
      </w:pPr>
    </w:p>
    <w:p w14:paraId="27165342" w14:textId="49F67714" w:rsidR="00606AAD" w:rsidRPr="000B4AB2" w:rsidRDefault="00606AAD" w:rsidP="00260F11">
      <w:pPr>
        <w:spacing w:after="160" w:line="360" w:lineRule="auto"/>
        <w:rPr>
          <w:szCs w:val="18"/>
          <w:lang w:val="nl-NL"/>
        </w:rPr>
      </w:pPr>
      <w:r w:rsidRPr="000B4AB2">
        <w:rPr>
          <w:szCs w:val="18"/>
          <w:lang w:val="nl-NL"/>
        </w:rPr>
        <w:t xml:space="preserve">Dit betekent geenszins dat </w:t>
      </w:r>
      <w:r w:rsidR="008D2750">
        <w:rPr>
          <w:szCs w:val="18"/>
          <w:lang w:val="nl-NL"/>
        </w:rPr>
        <w:t>nooit consensuele seksuele handelingen zouden kunnen</w:t>
      </w:r>
      <w:r w:rsidRPr="000B4AB2">
        <w:rPr>
          <w:szCs w:val="18"/>
          <w:lang w:val="nl-NL"/>
        </w:rPr>
        <w:t xml:space="preserve"> plaatsvinden met een persoon die onder invloed van alcohol is. </w:t>
      </w:r>
      <w:r w:rsidR="008D2750">
        <w:rPr>
          <w:szCs w:val="18"/>
          <w:lang w:val="nl-NL"/>
        </w:rPr>
        <w:t>Opdat sprake is van een gebrek aan toestemming, dient immers voldaan te zijn aan</w:t>
      </w:r>
      <w:r w:rsidRPr="000B4AB2">
        <w:rPr>
          <w:szCs w:val="18"/>
          <w:lang w:val="nl-NL"/>
        </w:rPr>
        <w:t xml:space="preserve"> de voorwaarden </w:t>
      </w:r>
      <w:r w:rsidR="008D2750">
        <w:rPr>
          <w:szCs w:val="18"/>
          <w:lang w:val="nl-NL"/>
        </w:rPr>
        <w:t>uit</w:t>
      </w:r>
      <w:r w:rsidRPr="000B4AB2">
        <w:rPr>
          <w:szCs w:val="18"/>
          <w:lang w:val="nl-NL"/>
        </w:rPr>
        <w:t xml:space="preserve"> het artikel. Zo moet het slachtoffer zich eerst en vooral in een kwetsbare toestand bevinden door de alcohol</w:t>
      </w:r>
      <w:r w:rsidR="00C753D1" w:rsidRPr="000B4AB2">
        <w:rPr>
          <w:szCs w:val="18"/>
          <w:lang w:val="nl-NL"/>
        </w:rPr>
        <w:t xml:space="preserve"> en moet</w:t>
      </w:r>
      <w:r w:rsidRPr="000B4AB2">
        <w:rPr>
          <w:szCs w:val="18"/>
          <w:lang w:val="nl-NL"/>
        </w:rPr>
        <w:t xml:space="preserve"> de vrije wil van het slachtoffer door </w:t>
      </w:r>
      <w:r w:rsidR="00C753D1" w:rsidRPr="000B4AB2">
        <w:rPr>
          <w:szCs w:val="18"/>
          <w:lang w:val="nl-NL"/>
        </w:rPr>
        <w:t>de</w:t>
      </w:r>
      <w:r w:rsidRPr="000B4AB2">
        <w:rPr>
          <w:szCs w:val="18"/>
          <w:lang w:val="nl-NL"/>
        </w:rPr>
        <w:t xml:space="preserve"> invloed van alcohol zijn aangetast. </w:t>
      </w:r>
      <w:r w:rsidR="00C753D1" w:rsidRPr="000B4AB2">
        <w:rPr>
          <w:szCs w:val="18"/>
          <w:lang w:val="nl-NL"/>
        </w:rPr>
        <w:t>Bovendien</w:t>
      </w:r>
      <w:r w:rsidRPr="000B4AB2">
        <w:rPr>
          <w:szCs w:val="18"/>
          <w:lang w:val="nl-NL"/>
        </w:rPr>
        <w:t xml:space="preserve"> moet de dader </w:t>
      </w:r>
      <w:r w:rsidR="001A287B">
        <w:rPr>
          <w:szCs w:val="18"/>
          <w:lang w:val="nl-NL"/>
        </w:rPr>
        <w:t xml:space="preserve">gebruik hebben gemaakt </w:t>
      </w:r>
      <w:r w:rsidRPr="000B4AB2">
        <w:rPr>
          <w:szCs w:val="18"/>
          <w:lang w:val="nl-NL"/>
        </w:rPr>
        <w:t xml:space="preserve">van </w:t>
      </w:r>
      <w:r w:rsidR="001A287B">
        <w:rPr>
          <w:szCs w:val="18"/>
          <w:lang w:val="nl-NL"/>
        </w:rPr>
        <w:t>deze</w:t>
      </w:r>
      <w:r w:rsidRPr="000B4AB2">
        <w:rPr>
          <w:szCs w:val="18"/>
          <w:lang w:val="nl-NL"/>
        </w:rPr>
        <w:t xml:space="preserve"> kwetsbare toestand van het slachtoffer om de seksuele handelingen te stellen. Of hieraan voldaan is, zal de rechter </w:t>
      </w:r>
      <w:r w:rsidRPr="000B4AB2">
        <w:rPr>
          <w:i/>
          <w:szCs w:val="18"/>
          <w:lang w:val="nl-NL"/>
        </w:rPr>
        <w:t>in concreto</w:t>
      </w:r>
      <w:r w:rsidRPr="000B4AB2">
        <w:rPr>
          <w:szCs w:val="18"/>
          <w:lang w:val="nl-NL"/>
        </w:rPr>
        <w:t xml:space="preserve"> moeten nagaan.</w:t>
      </w:r>
      <w:r w:rsidR="00C94CE6" w:rsidRPr="000B4AB2">
        <w:rPr>
          <w:rStyle w:val="FootnoteReference"/>
          <w:szCs w:val="18"/>
          <w:lang w:val="nl-NL"/>
        </w:rPr>
        <w:footnoteReference w:id="159"/>
      </w:r>
    </w:p>
    <w:p w14:paraId="22673254" w14:textId="25FC1FFF" w:rsidR="0026606D" w:rsidRDefault="00D8194A" w:rsidP="00260F11">
      <w:pPr>
        <w:spacing w:after="160" w:line="360" w:lineRule="auto"/>
        <w:rPr>
          <w:szCs w:val="18"/>
          <w:lang w:val="nl-NL"/>
        </w:rPr>
      </w:pPr>
      <w:r w:rsidRPr="000B4AB2">
        <w:rPr>
          <w:szCs w:val="18"/>
          <w:lang w:val="nl-NL"/>
        </w:rPr>
        <w:t>Het feit dat de</w:t>
      </w:r>
      <w:r w:rsidR="008729AB" w:rsidRPr="000B4AB2">
        <w:rPr>
          <w:szCs w:val="18"/>
          <w:lang w:val="nl-NL"/>
        </w:rPr>
        <w:t>ze</w:t>
      </w:r>
      <w:r w:rsidRPr="000B4AB2">
        <w:rPr>
          <w:szCs w:val="18"/>
          <w:lang w:val="nl-NL"/>
        </w:rPr>
        <w:t xml:space="preserve"> </w:t>
      </w:r>
      <w:r w:rsidR="001E7E3C" w:rsidRPr="000B4AB2">
        <w:rPr>
          <w:szCs w:val="18"/>
          <w:lang w:val="nl-NL"/>
        </w:rPr>
        <w:t xml:space="preserve">gronden </w:t>
      </w:r>
      <w:r w:rsidR="008729AB" w:rsidRPr="000B4AB2">
        <w:rPr>
          <w:szCs w:val="18"/>
          <w:lang w:val="nl-NL"/>
        </w:rPr>
        <w:t xml:space="preserve">uit </w:t>
      </w:r>
      <w:r w:rsidR="001E7E3C" w:rsidRPr="000B4AB2">
        <w:rPr>
          <w:szCs w:val="18"/>
          <w:lang w:val="nl-NL"/>
        </w:rPr>
        <w:t xml:space="preserve">het tweede lid van artikel 417/5 </w:t>
      </w:r>
      <w:r w:rsidR="0081584B">
        <w:rPr>
          <w:szCs w:val="18"/>
          <w:lang w:val="nl-NL"/>
        </w:rPr>
        <w:t xml:space="preserve">van het </w:t>
      </w:r>
      <w:r w:rsidR="00CE0637">
        <w:rPr>
          <w:szCs w:val="18"/>
          <w:lang w:val="nl-NL"/>
        </w:rPr>
        <w:t>Strafwetboek</w:t>
      </w:r>
      <w:r w:rsidR="001E7E3C" w:rsidRPr="000B4AB2">
        <w:rPr>
          <w:szCs w:val="18"/>
          <w:lang w:val="nl-NL"/>
        </w:rPr>
        <w:t xml:space="preserve"> </w:t>
      </w:r>
      <w:r w:rsidRPr="000B4AB2">
        <w:rPr>
          <w:szCs w:val="18"/>
          <w:lang w:val="nl-NL"/>
        </w:rPr>
        <w:t xml:space="preserve">voorhanden zijn, brengt </w:t>
      </w:r>
      <w:r w:rsidR="00D46697">
        <w:rPr>
          <w:szCs w:val="18"/>
          <w:lang w:val="nl-NL"/>
        </w:rPr>
        <w:t xml:space="preserve">dus </w:t>
      </w:r>
      <w:r w:rsidRPr="000B4AB2">
        <w:rPr>
          <w:szCs w:val="18"/>
          <w:lang w:val="nl-NL"/>
        </w:rPr>
        <w:t>niet noodzakelijkerwijs met zich mee dat er geen geldige toestemming was. Daarvoor</w:t>
      </w:r>
      <w:r w:rsidR="004E32EE" w:rsidRPr="000B4AB2">
        <w:rPr>
          <w:szCs w:val="18"/>
          <w:lang w:val="nl-NL"/>
        </w:rPr>
        <w:t xml:space="preserve"> dient immers aan de bijkomende voorwaarden van voornoemd lid te zijn voldaan.</w:t>
      </w:r>
      <w:r w:rsidR="004E32EE" w:rsidRPr="000B4AB2">
        <w:rPr>
          <w:rStyle w:val="FootnoteReference"/>
          <w:szCs w:val="18"/>
          <w:lang w:val="nl-NL"/>
        </w:rPr>
        <w:footnoteReference w:id="160"/>
      </w:r>
      <w:r w:rsidR="004E32EE" w:rsidRPr="000B4AB2">
        <w:rPr>
          <w:szCs w:val="18"/>
          <w:lang w:val="nl-NL"/>
        </w:rPr>
        <w:t xml:space="preserve"> </w:t>
      </w:r>
      <w:r w:rsidRPr="000B4AB2">
        <w:rPr>
          <w:szCs w:val="18"/>
          <w:lang w:val="nl-NL"/>
        </w:rPr>
        <w:t>Dit</w:t>
      </w:r>
      <w:r w:rsidR="00000B5D" w:rsidRPr="000B4AB2">
        <w:rPr>
          <w:szCs w:val="18"/>
          <w:lang w:val="nl-NL"/>
        </w:rPr>
        <w:t xml:space="preserve"> blijkt ook uit het verschil in formulering van het zojuist besproken lid </w:t>
      </w:r>
      <w:r w:rsidR="00CE0637">
        <w:rPr>
          <w:szCs w:val="18"/>
          <w:lang w:val="nl-NL"/>
        </w:rPr>
        <w:t>t.o.v.</w:t>
      </w:r>
      <w:r w:rsidR="00000B5D" w:rsidRPr="000B4AB2">
        <w:rPr>
          <w:szCs w:val="18"/>
          <w:lang w:val="nl-NL"/>
        </w:rPr>
        <w:t xml:space="preserve"> de twee daaropvolgende leden</w:t>
      </w:r>
      <w:r w:rsidR="007078D5" w:rsidRPr="000B4AB2">
        <w:rPr>
          <w:szCs w:val="18"/>
          <w:lang w:val="nl-NL"/>
        </w:rPr>
        <w:t>.</w:t>
      </w:r>
      <w:r w:rsidR="00000B5D" w:rsidRPr="000B4AB2">
        <w:rPr>
          <w:rStyle w:val="FootnoteReference"/>
          <w:szCs w:val="18"/>
          <w:lang w:val="nl-NL"/>
        </w:rPr>
        <w:footnoteReference w:id="161"/>
      </w:r>
    </w:p>
    <w:p w14:paraId="32B47935" w14:textId="77777777" w:rsidR="0026606D" w:rsidRPr="0026606D" w:rsidRDefault="0026606D" w:rsidP="00260F11">
      <w:pPr>
        <w:spacing w:line="360" w:lineRule="auto"/>
        <w:rPr>
          <w:lang w:val="nl-NL"/>
        </w:rPr>
      </w:pPr>
    </w:p>
    <w:p w14:paraId="3B6F2659" w14:textId="6AB1DD2D" w:rsidR="00384327" w:rsidRPr="00C903AC" w:rsidRDefault="00E66ADC" w:rsidP="00260F11">
      <w:pPr>
        <w:pStyle w:val="ListParagraph"/>
        <w:numPr>
          <w:ilvl w:val="0"/>
          <w:numId w:val="1"/>
        </w:numPr>
        <w:spacing w:line="360" w:lineRule="auto"/>
        <w:ind w:left="0" w:hanging="709"/>
        <w:rPr>
          <w:i/>
          <w:color w:val="000000" w:themeColor="text1"/>
          <w:szCs w:val="18"/>
          <w:lang w:val="nl-NL"/>
        </w:rPr>
      </w:pPr>
      <w:r w:rsidRPr="000B4AB2">
        <w:rPr>
          <w:b/>
          <w:i/>
          <w:szCs w:val="18"/>
          <w:lang w:val="nl-NL"/>
        </w:rPr>
        <w:t xml:space="preserve">Artikel 417/5, derde lid: </w:t>
      </w:r>
      <w:r w:rsidRPr="000B4AB2">
        <w:rPr>
          <w:b/>
          <w:i/>
          <w:color w:val="000000" w:themeColor="text1"/>
          <w:szCs w:val="18"/>
          <w:lang w:val="nl-NL"/>
        </w:rPr>
        <w:t>g</w:t>
      </w:r>
      <w:r w:rsidR="00B97E18" w:rsidRPr="000B4AB2">
        <w:rPr>
          <w:b/>
          <w:i/>
          <w:color w:val="000000" w:themeColor="text1"/>
          <w:szCs w:val="18"/>
          <w:lang w:val="nl-NL"/>
        </w:rPr>
        <w:t>ebrek aan toestemming te wijten aan gedrag van de dader</w:t>
      </w:r>
      <w:r w:rsidR="00B97E18" w:rsidRPr="000B4AB2">
        <w:rPr>
          <w:color w:val="000000" w:themeColor="text1"/>
          <w:szCs w:val="18"/>
          <w:lang w:val="nl-NL"/>
        </w:rPr>
        <w:t>.</w:t>
      </w:r>
      <w:r w:rsidR="00B97E18" w:rsidRPr="000B4AB2">
        <w:rPr>
          <w:rStyle w:val="FootnoteReference"/>
          <w:color w:val="000000" w:themeColor="text1"/>
          <w:szCs w:val="18"/>
          <w:lang w:val="nl-NL"/>
        </w:rPr>
        <w:footnoteReference w:id="162"/>
      </w:r>
      <w:r w:rsidR="00D46697">
        <w:rPr>
          <w:color w:val="000000" w:themeColor="text1"/>
          <w:szCs w:val="18"/>
          <w:lang w:val="nl-NL"/>
        </w:rPr>
        <w:t xml:space="preserve"> </w:t>
      </w:r>
      <w:r w:rsidRPr="000B4AB2">
        <w:rPr>
          <w:color w:val="000000" w:themeColor="text1"/>
          <w:szCs w:val="18"/>
          <w:lang w:val="nl-NL"/>
        </w:rPr>
        <w:t>Daarnaast kan er</w:t>
      </w:r>
      <w:r w:rsidR="000944C8" w:rsidRPr="000B4AB2">
        <w:rPr>
          <w:color w:val="000000" w:themeColor="text1"/>
          <w:szCs w:val="18"/>
          <w:lang w:val="nl-NL"/>
        </w:rPr>
        <w:t xml:space="preserve"> </w:t>
      </w:r>
      <w:r w:rsidR="00D46697">
        <w:rPr>
          <w:color w:val="000000" w:themeColor="text1"/>
          <w:szCs w:val="18"/>
          <w:lang w:val="nl-NL"/>
        </w:rPr>
        <w:t>“</w:t>
      </w:r>
      <w:r w:rsidR="000944C8" w:rsidRPr="000B4AB2">
        <w:rPr>
          <w:color w:val="000000" w:themeColor="text1"/>
          <w:szCs w:val="18"/>
          <w:lang w:val="nl-NL"/>
        </w:rPr>
        <w:t xml:space="preserve">in </w:t>
      </w:r>
      <w:r w:rsidR="00D46697">
        <w:rPr>
          <w:color w:val="000000" w:themeColor="text1"/>
          <w:szCs w:val="18"/>
          <w:lang w:val="nl-NL"/>
        </w:rPr>
        <w:t>ieder</w:t>
      </w:r>
      <w:r w:rsidR="000944C8" w:rsidRPr="000B4AB2">
        <w:rPr>
          <w:color w:val="000000" w:themeColor="text1"/>
          <w:szCs w:val="18"/>
          <w:lang w:val="nl-NL"/>
        </w:rPr>
        <w:t xml:space="preserve"> geval</w:t>
      </w:r>
      <w:r w:rsidR="00D46697">
        <w:rPr>
          <w:color w:val="000000" w:themeColor="text1"/>
          <w:szCs w:val="18"/>
          <w:lang w:val="nl-NL"/>
        </w:rPr>
        <w:t>”</w:t>
      </w:r>
      <w:r w:rsidR="00EC11FF" w:rsidRPr="000B4AB2">
        <w:rPr>
          <w:color w:val="000000" w:themeColor="text1"/>
          <w:szCs w:val="18"/>
          <w:lang w:val="nl-NL"/>
        </w:rPr>
        <w:t xml:space="preserve"> </w:t>
      </w:r>
      <w:r w:rsidR="000944C8" w:rsidRPr="000B4AB2">
        <w:rPr>
          <w:color w:val="000000" w:themeColor="text1"/>
          <w:szCs w:val="18"/>
          <w:lang w:val="nl-NL"/>
        </w:rPr>
        <w:t>geen toestemming zijn wanneer “</w:t>
      </w:r>
      <w:r w:rsidR="000944C8" w:rsidRPr="000B4AB2">
        <w:rPr>
          <w:i/>
          <w:color w:val="000000" w:themeColor="text1"/>
          <w:szCs w:val="18"/>
          <w:lang w:val="nl-NL"/>
        </w:rPr>
        <w:t xml:space="preserve">de </w:t>
      </w:r>
      <w:r w:rsidR="004904F1" w:rsidRPr="000B4AB2">
        <w:rPr>
          <w:i/>
          <w:color w:val="000000" w:themeColor="text1"/>
          <w:szCs w:val="18"/>
          <w:lang w:val="nl-NL"/>
        </w:rPr>
        <w:t xml:space="preserve">seksuele handeling het gevolg </w:t>
      </w:r>
      <w:r w:rsidR="004904F1" w:rsidRPr="000B4AB2">
        <w:rPr>
          <w:i/>
          <w:color w:val="000000" w:themeColor="text1"/>
          <w:szCs w:val="18"/>
          <w:lang w:val="nl-NL"/>
        </w:rPr>
        <w:lastRenderedPageBreak/>
        <w:t>is van een bedreiging, fysiek of psychisch geweld, dwang, verrassing, list of van enige andere strafbare gedraging</w:t>
      </w:r>
      <w:r w:rsidR="0088029A">
        <w:rPr>
          <w:i/>
          <w:color w:val="000000" w:themeColor="text1"/>
          <w:szCs w:val="18"/>
          <w:lang w:val="nl-NL"/>
        </w:rPr>
        <w:t>.”</w:t>
      </w:r>
      <w:r w:rsidR="00E5449F">
        <w:rPr>
          <w:i/>
          <w:color w:val="000000" w:themeColor="text1"/>
          <w:szCs w:val="18"/>
          <w:lang w:val="nl-NL"/>
        </w:rPr>
        <w:t xml:space="preserve"> </w:t>
      </w:r>
      <w:r w:rsidR="000944C8" w:rsidRPr="00C903AC">
        <w:rPr>
          <w:color w:val="000000" w:themeColor="text1"/>
          <w:szCs w:val="18"/>
          <w:lang w:val="nl-NL"/>
        </w:rPr>
        <w:t xml:space="preserve">Veel van deze toestemmingsuitsluitende gronden, kwamen ook reeds voor in </w:t>
      </w:r>
      <w:r w:rsidR="00D46697" w:rsidRPr="00C903AC">
        <w:rPr>
          <w:color w:val="000000" w:themeColor="text1"/>
          <w:szCs w:val="18"/>
          <w:lang w:val="nl-NL"/>
        </w:rPr>
        <w:t>de oude strafbaarstelling</w:t>
      </w:r>
      <w:r w:rsidR="000944C8" w:rsidRPr="00C903AC">
        <w:rPr>
          <w:color w:val="000000" w:themeColor="text1"/>
          <w:szCs w:val="18"/>
          <w:lang w:val="nl-NL"/>
        </w:rPr>
        <w:t>.</w:t>
      </w:r>
      <w:r w:rsidR="00BC7E69" w:rsidRPr="00C903AC">
        <w:rPr>
          <w:color w:val="000000" w:themeColor="text1"/>
          <w:szCs w:val="18"/>
          <w:lang w:val="nl-NL"/>
        </w:rPr>
        <w:t xml:space="preserve"> </w:t>
      </w:r>
      <w:r w:rsidR="00BC7E69" w:rsidRPr="00C903AC">
        <w:rPr>
          <w:szCs w:val="18"/>
          <w:lang w:val="nl-NL"/>
        </w:rPr>
        <w:t>Hoewel ROZIE en DE HERDT</w:t>
      </w:r>
      <w:r w:rsidR="00BC7E69" w:rsidRPr="000B4AB2">
        <w:rPr>
          <w:rStyle w:val="FootnoteReference"/>
          <w:szCs w:val="18"/>
          <w:lang w:val="nl-NL"/>
        </w:rPr>
        <w:footnoteReference w:id="163"/>
      </w:r>
      <w:r w:rsidR="00BC7E69" w:rsidRPr="00C903AC">
        <w:rPr>
          <w:szCs w:val="18"/>
          <w:lang w:val="nl-NL"/>
        </w:rPr>
        <w:t xml:space="preserve"> benadrukken dat dit louter een veruitwendiging zou uitmaken van de heersende rechtspraak,</w:t>
      </w:r>
      <w:r w:rsidR="00BC7E69" w:rsidRPr="000B4AB2">
        <w:rPr>
          <w:rStyle w:val="FootnoteReference"/>
          <w:szCs w:val="18"/>
          <w:lang w:val="nl-NL"/>
        </w:rPr>
        <w:footnoteReference w:id="164"/>
      </w:r>
      <w:r w:rsidR="00BC7E69" w:rsidRPr="00C903AC">
        <w:rPr>
          <w:szCs w:val="18"/>
          <w:lang w:val="nl-NL"/>
        </w:rPr>
        <w:t xml:space="preserve"> dient eraan te worden herinnerd dat </w:t>
      </w:r>
      <w:r w:rsidR="00D46697" w:rsidRPr="00C903AC">
        <w:rPr>
          <w:szCs w:val="18"/>
          <w:lang w:val="nl-NL"/>
        </w:rPr>
        <w:t xml:space="preserve">volgens de meerderheidsvisie </w:t>
      </w:r>
      <w:r w:rsidR="00BC7E69" w:rsidRPr="00C903AC">
        <w:rPr>
          <w:szCs w:val="18"/>
          <w:lang w:val="nl-NL"/>
        </w:rPr>
        <w:t xml:space="preserve">onder het oude recht </w:t>
      </w:r>
      <w:r w:rsidR="00612BF5" w:rsidRPr="00C903AC">
        <w:rPr>
          <w:szCs w:val="18"/>
          <w:lang w:val="nl-NL"/>
        </w:rPr>
        <w:t>een</w:t>
      </w:r>
      <w:r w:rsidR="00BC7E69" w:rsidRPr="00C903AC">
        <w:rPr>
          <w:szCs w:val="18"/>
          <w:lang w:val="nl-NL"/>
        </w:rPr>
        <w:t xml:space="preserve"> van de limitatief opgesomde toestemmingsuitsluitende gronden aanwezig diende te zijn opdat er sprake kon zijn van aanranding van de eerbaarheid</w:t>
      </w:r>
      <w:r w:rsidR="00D46697" w:rsidRPr="00C903AC">
        <w:rPr>
          <w:szCs w:val="18"/>
          <w:lang w:val="nl-NL"/>
        </w:rPr>
        <w:t xml:space="preserve">. </w:t>
      </w:r>
      <w:r w:rsidR="00BC7E69" w:rsidRPr="00C903AC">
        <w:rPr>
          <w:szCs w:val="18"/>
          <w:lang w:val="nl-NL"/>
        </w:rPr>
        <w:t xml:space="preserve">Het loutere gebrek aan toestemming was </w:t>
      </w:r>
      <w:r w:rsidR="00D46697" w:rsidRPr="00C903AC">
        <w:rPr>
          <w:szCs w:val="18"/>
          <w:lang w:val="nl-NL"/>
        </w:rPr>
        <w:t xml:space="preserve">volgens de meerderheidsvisie </w:t>
      </w:r>
      <w:r w:rsidR="00BC7E69" w:rsidRPr="00C903AC">
        <w:rPr>
          <w:szCs w:val="18"/>
          <w:lang w:val="nl-NL"/>
        </w:rPr>
        <w:t>bijgevolg onvoldoende om onder de strafbaarstelling te vallen</w:t>
      </w:r>
      <w:r w:rsidR="00177977" w:rsidRPr="00C903AC">
        <w:rPr>
          <w:szCs w:val="18"/>
          <w:lang w:val="nl-NL"/>
        </w:rPr>
        <w:t>.</w:t>
      </w:r>
      <w:r w:rsidR="00E65D1F">
        <w:rPr>
          <w:rStyle w:val="FootnoteReference"/>
          <w:szCs w:val="18"/>
          <w:lang w:val="nl-NL"/>
        </w:rPr>
        <w:footnoteReference w:id="165"/>
      </w:r>
    </w:p>
    <w:p w14:paraId="67E40C96" w14:textId="32C3D2CD" w:rsidR="00255CB3" w:rsidRPr="000B4AB2" w:rsidRDefault="00255CB3" w:rsidP="00260F11">
      <w:pPr>
        <w:pStyle w:val="ListParagraph"/>
        <w:spacing w:line="360" w:lineRule="auto"/>
        <w:ind w:left="0"/>
        <w:rPr>
          <w:color w:val="000000" w:themeColor="text1"/>
          <w:szCs w:val="18"/>
          <w:lang w:val="nl-NL"/>
        </w:rPr>
      </w:pPr>
    </w:p>
    <w:p w14:paraId="1D7AC310" w14:textId="05CE8C8E" w:rsidR="00255CB3" w:rsidRPr="000B4AB2" w:rsidRDefault="00255CB3"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Nieuw in deze opsomming is </w:t>
      </w:r>
      <w:r w:rsidR="00A508C2" w:rsidRPr="000B4AB2">
        <w:rPr>
          <w:color w:val="000000" w:themeColor="text1"/>
          <w:szCs w:val="18"/>
          <w:lang w:val="nl-NL"/>
        </w:rPr>
        <w:t>bovendien</w:t>
      </w:r>
      <w:r w:rsidRPr="000B4AB2">
        <w:rPr>
          <w:color w:val="000000" w:themeColor="text1"/>
          <w:szCs w:val="18"/>
          <w:lang w:val="nl-NL"/>
        </w:rPr>
        <w:t xml:space="preserve"> het feit dat eender welke andere strafbare gedraging, waarvan de seksuele handeling het gevolg is, een toestemmingsuitsluitende grond </w:t>
      </w:r>
      <w:r w:rsidR="001C7FE7" w:rsidRPr="000B4AB2">
        <w:rPr>
          <w:color w:val="000000" w:themeColor="text1"/>
          <w:szCs w:val="18"/>
          <w:lang w:val="nl-NL"/>
        </w:rPr>
        <w:t>uitmaakt</w:t>
      </w:r>
      <w:r w:rsidRPr="000B4AB2">
        <w:rPr>
          <w:color w:val="000000" w:themeColor="text1"/>
          <w:szCs w:val="18"/>
          <w:lang w:val="nl-NL"/>
        </w:rPr>
        <w:t>.</w:t>
      </w:r>
      <w:r w:rsidR="009622AD" w:rsidRPr="000B4AB2">
        <w:rPr>
          <w:rStyle w:val="FootnoteReference"/>
          <w:color w:val="000000" w:themeColor="text1"/>
          <w:szCs w:val="18"/>
          <w:lang w:val="nl-NL"/>
        </w:rPr>
        <w:footnoteReference w:id="166"/>
      </w:r>
      <w:r w:rsidR="003901A4" w:rsidRPr="000B4AB2">
        <w:rPr>
          <w:color w:val="000000" w:themeColor="text1"/>
          <w:szCs w:val="18"/>
          <w:lang w:val="nl-NL"/>
        </w:rPr>
        <w:t xml:space="preserve"> </w:t>
      </w:r>
    </w:p>
    <w:p w14:paraId="7C3CBFE8" w14:textId="77777777" w:rsidR="00384327" w:rsidRPr="000B4AB2" w:rsidRDefault="00384327" w:rsidP="00260F11">
      <w:pPr>
        <w:pStyle w:val="ListParagraph"/>
        <w:spacing w:line="360" w:lineRule="auto"/>
        <w:ind w:left="0"/>
        <w:rPr>
          <w:color w:val="000000" w:themeColor="text1"/>
          <w:szCs w:val="18"/>
          <w:lang w:val="nl-NL"/>
        </w:rPr>
      </w:pPr>
    </w:p>
    <w:p w14:paraId="48F7C6C9" w14:textId="51D58C52" w:rsidR="00853D63" w:rsidRPr="000B4AB2" w:rsidRDefault="00E66ADC" w:rsidP="00260F11">
      <w:pPr>
        <w:pStyle w:val="ListParagraph"/>
        <w:numPr>
          <w:ilvl w:val="0"/>
          <w:numId w:val="1"/>
        </w:numPr>
        <w:spacing w:line="360" w:lineRule="auto"/>
        <w:ind w:left="0" w:hanging="709"/>
        <w:rPr>
          <w:i/>
          <w:color w:val="000000" w:themeColor="text1"/>
          <w:szCs w:val="18"/>
          <w:lang w:val="nl-NL"/>
        </w:rPr>
      </w:pPr>
      <w:r w:rsidRPr="000B4AB2">
        <w:rPr>
          <w:b/>
          <w:i/>
          <w:szCs w:val="18"/>
          <w:lang w:val="nl-NL"/>
        </w:rPr>
        <w:t xml:space="preserve">Artikel 417/5, vierde lid: </w:t>
      </w:r>
      <w:r w:rsidR="00B97E18" w:rsidRPr="000B4AB2">
        <w:rPr>
          <w:b/>
          <w:i/>
          <w:color w:val="000000" w:themeColor="text1"/>
          <w:szCs w:val="18"/>
          <w:lang w:val="nl-NL"/>
        </w:rPr>
        <w:t>Gebrek aan toestemming te wijten aan staat waarin slachtoffer zich bevindt</w:t>
      </w:r>
      <w:r w:rsidR="00B97E18" w:rsidRPr="000B4AB2">
        <w:rPr>
          <w:color w:val="000000" w:themeColor="text1"/>
          <w:szCs w:val="18"/>
          <w:lang w:val="nl-NL"/>
        </w:rPr>
        <w:t>.</w:t>
      </w:r>
      <w:r w:rsidR="00B97E18" w:rsidRPr="000B4AB2">
        <w:rPr>
          <w:rStyle w:val="FootnoteReference"/>
          <w:color w:val="000000" w:themeColor="text1"/>
          <w:szCs w:val="18"/>
          <w:lang w:val="nl-NL"/>
        </w:rPr>
        <w:footnoteReference w:id="167"/>
      </w:r>
      <w:r w:rsidR="00B97E18" w:rsidRPr="000B4AB2">
        <w:rPr>
          <w:color w:val="000000" w:themeColor="text1"/>
          <w:szCs w:val="18"/>
          <w:lang w:val="nl-NL"/>
        </w:rPr>
        <w:t xml:space="preserve"> </w:t>
      </w:r>
      <w:r w:rsidRPr="000B4AB2">
        <w:rPr>
          <w:szCs w:val="18"/>
          <w:lang w:val="nl-NL"/>
        </w:rPr>
        <w:t>T</w:t>
      </w:r>
      <w:r w:rsidR="00853D63" w:rsidRPr="000B4AB2">
        <w:rPr>
          <w:szCs w:val="18"/>
          <w:lang w:val="nl-NL"/>
        </w:rPr>
        <w:t>ot slot</w:t>
      </w:r>
      <w:r w:rsidR="00057F41" w:rsidRPr="000B4AB2">
        <w:rPr>
          <w:szCs w:val="18"/>
          <w:lang w:val="nl-NL"/>
        </w:rPr>
        <w:t xml:space="preserve"> </w:t>
      </w:r>
      <w:r w:rsidRPr="000B4AB2">
        <w:rPr>
          <w:szCs w:val="18"/>
          <w:lang w:val="nl-NL"/>
        </w:rPr>
        <w:t>kan</w:t>
      </w:r>
      <w:r w:rsidR="00D55427" w:rsidRPr="000B4AB2">
        <w:rPr>
          <w:szCs w:val="18"/>
          <w:lang w:val="nl-NL"/>
        </w:rPr>
        <w:t xml:space="preserve"> er </w:t>
      </w:r>
      <w:r w:rsidR="00D46697">
        <w:rPr>
          <w:szCs w:val="18"/>
          <w:lang w:val="nl-NL"/>
        </w:rPr>
        <w:t>“</w:t>
      </w:r>
      <w:r w:rsidR="00752CB4" w:rsidRPr="000B4AB2">
        <w:rPr>
          <w:szCs w:val="18"/>
          <w:lang w:val="nl-NL"/>
        </w:rPr>
        <w:t xml:space="preserve">in </w:t>
      </w:r>
      <w:r w:rsidR="00D46697">
        <w:rPr>
          <w:szCs w:val="18"/>
          <w:lang w:val="nl-NL"/>
        </w:rPr>
        <w:t>ieder</w:t>
      </w:r>
      <w:r w:rsidR="00752CB4" w:rsidRPr="000B4AB2">
        <w:rPr>
          <w:szCs w:val="18"/>
          <w:lang w:val="nl-NL"/>
        </w:rPr>
        <w:t xml:space="preserve"> geval</w:t>
      </w:r>
      <w:r w:rsidR="00D46697">
        <w:rPr>
          <w:szCs w:val="18"/>
          <w:lang w:val="nl-NL"/>
        </w:rPr>
        <w:t>”</w:t>
      </w:r>
      <w:r w:rsidR="00E4085C" w:rsidRPr="000B4AB2">
        <w:rPr>
          <w:szCs w:val="18"/>
          <w:lang w:val="nl-NL"/>
        </w:rPr>
        <w:t xml:space="preserve"> </w:t>
      </w:r>
      <w:r w:rsidR="00D55427" w:rsidRPr="000B4AB2">
        <w:rPr>
          <w:szCs w:val="18"/>
          <w:lang w:val="nl-NL"/>
        </w:rPr>
        <w:t>geen toestemming zijn in hoofde van een slapend</w:t>
      </w:r>
      <w:r w:rsidR="00752CB4" w:rsidRPr="000B4AB2">
        <w:rPr>
          <w:szCs w:val="18"/>
          <w:lang w:val="nl-NL"/>
        </w:rPr>
        <w:t xml:space="preserve"> </w:t>
      </w:r>
      <w:r w:rsidR="00645335" w:rsidRPr="000B4AB2">
        <w:rPr>
          <w:szCs w:val="18"/>
          <w:lang w:val="nl-NL"/>
        </w:rPr>
        <w:t xml:space="preserve">of </w:t>
      </w:r>
      <w:r w:rsidR="00752CB4" w:rsidRPr="000B4AB2">
        <w:rPr>
          <w:szCs w:val="18"/>
          <w:lang w:val="nl-NL"/>
        </w:rPr>
        <w:t xml:space="preserve">bewusteloos </w:t>
      </w:r>
      <w:r w:rsidR="00D55427" w:rsidRPr="000B4AB2">
        <w:rPr>
          <w:szCs w:val="18"/>
          <w:lang w:val="nl-NL"/>
        </w:rPr>
        <w:t>slachtoffer.</w:t>
      </w:r>
      <w:r w:rsidR="00435CCC" w:rsidRPr="000B4AB2">
        <w:rPr>
          <w:rStyle w:val="FootnoteReference"/>
          <w:szCs w:val="18"/>
          <w:lang w:val="nl-NL"/>
        </w:rPr>
        <w:footnoteReference w:id="168"/>
      </w:r>
    </w:p>
    <w:p w14:paraId="57A0969E" w14:textId="77777777" w:rsidR="00AE6038" w:rsidRPr="000B4AB2" w:rsidRDefault="00AE6038" w:rsidP="00260F11">
      <w:pPr>
        <w:pStyle w:val="ListParagraph"/>
        <w:spacing w:line="360" w:lineRule="auto"/>
        <w:ind w:left="0"/>
        <w:rPr>
          <w:color w:val="000000" w:themeColor="text1"/>
          <w:szCs w:val="18"/>
          <w:lang w:val="nl-NL"/>
        </w:rPr>
      </w:pPr>
    </w:p>
    <w:p w14:paraId="3A4687F3" w14:textId="49413E42" w:rsidR="005457DE" w:rsidRPr="009B305D" w:rsidRDefault="004E61E0"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 xml:space="preserve">(2) </w:t>
      </w:r>
      <w:r w:rsidR="00AE6038" w:rsidRPr="000B4AB2">
        <w:rPr>
          <w:b/>
          <w:szCs w:val="18"/>
          <w:lang w:val="nl-NL"/>
        </w:rPr>
        <w:t xml:space="preserve">Beperkingen aan de mogelijkheid tot toestemming door de minderjarige. </w:t>
      </w:r>
      <w:r w:rsidR="005457DE" w:rsidRPr="000B4AB2">
        <w:rPr>
          <w:szCs w:val="18"/>
          <w:lang w:val="nl-NL"/>
        </w:rPr>
        <w:t>A</w:t>
      </w:r>
      <w:r w:rsidR="00E05365" w:rsidRPr="000B4AB2">
        <w:rPr>
          <w:szCs w:val="18"/>
          <w:lang w:val="nl-NL"/>
        </w:rPr>
        <w:t xml:space="preserve">rtikel 417/6 </w:t>
      </w:r>
      <w:r w:rsidR="0081584B">
        <w:rPr>
          <w:szCs w:val="18"/>
          <w:lang w:val="nl-NL"/>
        </w:rPr>
        <w:t xml:space="preserve">van het </w:t>
      </w:r>
      <w:r w:rsidR="00E05365" w:rsidRPr="000B4AB2">
        <w:rPr>
          <w:szCs w:val="18"/>
          <w:lang w:val="nl-NL"/>
        </w:rPr>
        <w:t>Strafwetboek</w:t>
      </w:r>
      <w:r w:rsidR="005457DE" w:rsidRPr="000B4AB2">
        <w:rPr>
          <w:szCs w:val="18"/>
          <w:lang w:val="nl-NL"/>
        </w:rPr>
        <w:t xml:space="preserve"> bepaalt hierover het volgende:</w:t>
      </w:r>
      <w:r w:rsidR="009B305D">
        <w:rPr>
          <w:color w:val="000000" w:themeColor="text1"/>
          <w:szCs w:val="18"/>
          <w:lang w:val="nl-NL"/>
        </w:rPr>
        <w:t xml:space="preserve"> </w:t>
      </w:r>
      <w:r w:rsidR="005457DE" w:rsidRPr="009B305D">
        <w:rPr>
          <w:i/>
          <w:color w:val="000000" w:themeColor="text1"/>
          <w:szCs w:val="18"/>
          <w:lang w:val="nl-NL"/>
        </w:rPr>
        <w:t>“§ 1. Onder voorbehoud van paragraaf 2 wordt een minderjarige die de volle leeftijd van zestien jaar niet heeft bereikt, niet geacht uit vrije wil te kunnen toestemmen.</w:t>
      </w:r>
    </w:p>
    <w:p w14:paraId="3EDA3DCF" w14:textId="4B7C0F3F" w:rsidR="005457DE" w:rsidRPr="000B4AB2" w:rsidRDefault="005457DE" w:rsidP="00260F11">
      <w:pPr>
        <w:pStyle w:val="ListParagraph"/>
        <w:spacing w:line="360" w:lineRule="auto"/>
        <w:ind w:left="0"/>
        <w:rPr>
          <w:i/>
          <w:color w:val="000000" w:themeColor="text1"/>
          <w:szCs w:val="18"/>
          <w:lang w:val="nl-NL"/>
        </w:rPr>
      </w:pPr>
      <w:r w:rsidRPr="000B4AB2">
        <w:rPr>
          <w:i/>
          <w:color w:val="000000" w:themeColor="text1"/>
          <w:szCs w:val="18"/>
          <w:lang w:val="nl-NL"/>
        </w:rPr>
        <w:t xml:space="preserve"> § 2. Een minderjarige die de volle leeftijd van veertien jaar heeft bereikt, maar niet de volle leeftijd van zestien jaar, kan uit vrije wil toestemmen indien het leeftijdsverschil met de andere persoon niet meer dan drie jaar bedraagt.</w:t>
      </w:r>
    </w:p>
    <w:p w14:paraId="55820172" w14:textId="438239BF" w:rsidR="005457DE" w:rsidRPr="000B4AB2" w:rsidRDefault="005457DE" w:rsidP="00260F11">
      <w:pPr>
        <w:pStyle w:val="ListParagraph"/>
        <w:spacing w:line="360" w:lineRule="auto"/>
        <w:ind w:left="0"/>
        <w:rPr>
          <w:i/>
          <w:color w:val="000000" w:themeColor="text1"/>
          <w:szCs w:val="18"/>
          <w:lang w:val="nl-NL"/>
        </w:rPr>
      </w:pPr>
      <w:r w:rsidRPr="000B4AB2">
        <w:rPr>
          <w:i/>
          <w:color w:val="000000" w:themeColor="text1"/>
          <w:szCs w:val="18"/>
          <w:lang w:val="nl-NL"/>
        </w:rPr>
        <w:t>Er is geen misdrijf tussen minderjarigen die de volle leeftijd van veertien jaar hebben bereikt en die met wederzijdse toestemming handelen wanneer het onderlinge leeftijdsverschil meer dan drie jaar bedraagt.</w:t>
      </w:r>
    </w:p>
    <w:p w14:paraId="777E44AF" w14:textId="560EA402" w:rsidR="005457DE" w:rsidRPr="000B4AB2" w:rsidRDefault="005457DE" w:rsidP="00260F11">
      <w:pPr>
        <w:pStyle w:val="ListParagraph"/>
        <w:spacing w:line="360" w:lineRule="auto"/>
        <w:ind w:left="0"/>
        <w:rPr>
          <w:i/>
          <w:color w:val="000000" w:themeColor="text1"/>
          <w:szCs w:val="18"/>
          <w:lang w:val="nl-NL"/>
        </w:rPr>
      </w:pPr>
      <w:r w:rsidRPr="000B4AB2">
        <w:rPr>
          <w:i/>
          <w:color w:val="000000" w:themeColor="text1"/>
          <w:szCs w:val="18"/>
          <w:lang w:val="nl-NL"/>
        </w:rPr>
        <w:t>§ 3. Een minderjarige kan nooit uit vrije wil toestemmen indien:</w:t>
      </w:r>
    </w:p>
    <w:p w14:paraId="421DD859" w14:textId="38B0334E" w:rsidR="005457DE" w:rsidRPr="000B4AB2" w:rsidRDefault="005457DE" w:rsidP="00260F11">
      <w:pPr>
        <w:pStyle w:val="ListParagraph"/>
        <w:spacing w:line="360" w:lineRule="auto"/>
        <w:ind w:left="0"/>
        <w:rPr>
          <w:i/>
          <w:color w:val="000000" w:themeColor="text1"/>
          <w:szCs w:val="18"/>
          <w:lang w:val="nl-NL"/>
        </w:rPr>
      </w:pPr>
      <w:r w:rsidRPr="000B4AB2">
        <w:rPr>
          <w:i/>
          <w:color w:val="000000" w:themeColor="text1"/>
          <w:szCs w:val="18"/>
          <w:lang w:val="nl-NL"/>
        </w:rPr>
        <w:t>1° de dader een bloedverwant of aanverwant is in de rechte opgaande lijn of een adoptant of een bloedverwant of aanverwant in de zijlijn tot en met de derde graad of ieder ander persoon die een soortgelijke positie heeft in het gezin of ongeacht welke persoon die gewoonlijk of occasioneel met de minderjarige samenwoont en die over die minderjarige gezag heeft, of</w:t>
      </w:r>
    </w:p>
    <w:p w14:paraId="0E01A208" w14:textId="209400B1" w:rsidR="005457DE" w:rsidRPr="000B4AB2" w:rsidRDefault="005457DE" w:rsidP="00260F11">
      <w:pPr>
        <w:pStyle w:val="ListParagraph"/>
        <w:spacing w:line="360" w:lineRule="auto"/>
        <w:ind w:left="0"/>
        <w:rPr>
          <w:i/>
          <w:color w:val="000000" w:themeColor="text1"/>
          <w:szCs w:val="18"/>
          <w:lang w:val="nl-NL"/>
        </w:rPr>
      </w:pPr>
      <w:r w:rsidRPr="000B4AB2">
        <w:rPr>
          <w:i/>
          <w:color w:val="000000" w:themeColor="text1"/>
          <w:szCs w:val="18"/>
          <w:lang w:val="nl-NL"/>
        </w:rPr>
        <w:t>2° de daad mogelijk is gemaakt doordat de dader gebruik heeft gemaakt van een erkende positie van vertrouwen, gezag of invloed ten aanzien van de minderjarige, of</w:t>
      </w:r>
    </w:p>
    <w:p w14:paraId="3584488E" w14:textId="4DF4367A" w:rsidR="005457DE" w:rsidRDefault="005457DE" w:rsidP="00260F11">
      <w:pPr>
        <w:pStyle w:val="ListParagraph"/>
        <w:spacing w:line="360" w:lineRule="auto"/>
        <w:ind w:left="0"/>
        <w:rPr>
          <w:i/>
          <w:color w:val="000000" w:themeColor="text1"/>
          <w:szCs w:val="18"/>
          <w:lang w:val="nl-NL"/>
        </w:rPr>
      </w:pPr>
      <w:r w:rsidRPr="000B4AB2">
        <w:rPr>
          <w:i/>
          <w:color w:val="000000" w:themeColor="text1"/>
          <w:szCs w:val="18"/>
          <w:lang w:val="nl-NL"/>
        </w:rPr>
        <w:lastRenderedPageBreak/>
        <w:t>3° de daad wordt beschouwd als een daad van ontucht of prostitutie als bedoeld in onderafdeling 2 van afdeling 2, luidende "Seksuele uitbuiting van minderjarigen met het oog op prostitutie.”</w:t>
      </w:r>
    </w:p>
    <w:p w14:paraId="2CDAC196" w14:textId="77777777" w:rsidR="00AD48D6" w:rsidRPr="000B4AB2" w:rsidRDefault="00AD48D6" w:rsidP="00260F11">
      <w:pPr>
        <w:pStyle w:val="ListParagraph"/>
        <w:spacing w:line="360" w:lineRule="auto"/>
        <w:ind w:left="0"/>
        <w:rPr>
          <w:i/>
          <w:color w:val="000000" w:themeColor="text1"/>
          <w:szCs w:val="18"/>
          <w:lang w:val="nl-NL"/>
        </w:rPr>
      </w:pPr>
    </w:p>
    <w:p w14:paraId="170A168D" w14:textId="71C1848E" w:rsidR="0063433B" w:rsidRPr="000B4AB2" w:rsidRDefault="00D23AE4"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Tot voor kort werd in de wet niet expliciet bepaald vanaf welke leeftijd een minderjarige zou kunnen instemmen met seksuele handelingen. Dit </w:t>
      </w:r>
      <w:r w:rsidR="006C4F58" w:rsidRPr="000B4AB2">
        <w:rPr>
          <w:szCs w:val="18"/>
          <w:lang w:val="nl-NL"/>
        </w:rPr>
        <w:t xml:space="preserve">diende te worden </w:t>
      </w:r>
      <w:r w:rsidRPr="000B4AB2">
        <w:rPr>
          <w:szCs w:val="18"/>
          <w:lang w:val="nl-NL"/>
        </w:rPr>
        <w:t>afgeleid uit</w:t>
      </w:r>
      <w:r w:rsidR="006C4F58" w:rsidRPr="000B4AB2">
        <w:rPr>
          <w:szCs w:val="18"/>
          <w:lang w:val="nl-NL"/>
        </w:rPr>
        <w:t xml:space="preserve"> de strafbaarstellingen zelf. </w:t>
      </w:r>
      <w:r w:rsidRPr="000B4AB2">
        <w:rPr>
          <w:szCs w:val="18"/>
          <w:lang w:val="nl-NL"/>
        </w:rPr>
        <w:t xml:space="preserve">Zo bevatte oud artikel 372, eerste lid </w:t>
      </w:r>
      <w:r w:rsidR="0081584B">
        <w:rPr>
          <w:szCs w:val="18"/>
          <w:lang w:val="nl-NL"/>
        </w:rPr>
        <w:t xml:space="preserve">van het </w:t>
      </w:r>
      <w:r w:rsidR="00CE0637">
        <w:rPr>
          <w:szCs w:val="18"/>
          <w:lang w:val="nl-NL"/>
        </w:rPr>
        <w:t>Strafwetboek</w:t>
      </w:r>
      <w:r w:rsidRPr="000B4AB2">
        <w:rPr>
          <w:szCs w:val="18"/>
          <w:lang w:val="nl-NL"/>
        </w:rPr>
        <w:t xml:space="preserve"> bijvoorbeeld een onweerlegbaar vermoeden van afwezigheid van toestemming bij minzestienjarigen</w:t>
      </w:r>
      <w:r w:rsidR="00D46697">
        <w:rPr>
          <w:szCs w:val="18"/>
          <w:lang w:val="nl-NL"/>
        </w:rPr>
        <w:t>.</w:t>
      </w:r>
      <w:r w:rsidR="00D46697">
        <w:rPr>
          <w:rStyle w:val="FootnoteReference"/>
          <w:szCs w:val="18"/>
          <w:lang w:val="nl-NL"/>
        </w:rPr>
        <w:footnoteReference w:id="169"/>
      </w:r>
      <w:r w:rsidR="00D46697">
        <w:rPr>
          <w:szCs w:val="18"/>
          <w:lang w:val="nl-NL"/>
        </w:rPr>
        <w:t xml:space="preserve"> </w:t>
      </w:r>
      <w:r w:rsidR="006C4F58" w:rsidRPr="000B4AB2">
        <w:rPr>
          <w:szCs w:val="18"/>
          <w:lang w:val="nl-NL"/>
        </w:rPr>
        <w:t>Voortaan</w:t>
      </w:r>
      <w:r w:rsidR="009741C7" w:rsidRPr="000B4AB2">
        <w:rPr>
          <w:szCs w:val="18"/>
          <w:lang w:val="nl-NL"/>
        </w:rPr>
        <w:t xml:space="preserve"> </w:t>
      </w:r>
      <w:r w:rsidR="00612353" w:rsidRPr="000B4AB2">
        <w:rPr>
          <w:szCs w:val="18"/>
          <w:lang w:val="nl-NL"/>
        </w:rPr>
        <w:t xml:space="preserve">is hier </w:t>
      </w:r>
      <w:r w:rsidR="0031207C" w:rsidRPr="000B4AB2">
        <w:rPr>
          <w:szCs w:val="18"/>
          <w:lang w:val="nl-NL"/>
        </w:rPr>
        <w:t xml:space="preserve">echter </w:t>
      </w:r>
      <w:r w:rsidR="00612353" w:rsidRPr="000B4AB2">
        <w:rPr>
          <w:szCs w:val="18"/>
          <w:lang w:val="nl-NL"/>
        </w:rPr>
        <w:t xml:space="preserve">een </w:t>
      </w:r>
      <w:r w:rsidR="0031207C" w:rsidRPr="000B4AB2">
        <w:rPr>
          <w:szCs w:val="18"/>
          <w:lang w:val="nl-NL"/>
        </w:rPr>
        <w:t>volledig</w:t>
      </w:r>
      <w:r w:rsidR="00612353" w:rsidRPr="000B4AB2">
        <w:rPr>
          <w:szCs w:val="18"/>
          <w:lang w:val="nl-NL"/>
        </w:rPr>
        <w:t xml:space="preserve"> artikel aan </w:t>
      </w:r>
      <w:r w:rsidR="00C63505">
        <w:rPr>
          <w:szCs w:val="18"/>
          <w:lang w:val="nl-NL"/>
        </w:rPr>
        <w:t>gewijd</w:t>
      </w:r>
      <w:r w:rsidR="00612353" w:rsidRPr="000B4AB2">
        <w:rPr>
          <w:szCs w:val="18"/>
          <w:lang w:val="nl-NL"/>
        </w:rPr>
        <w:t xml:space="preserve"> en heeft de wetgever een uniforme leeftijdsgrens </w:t>
      </w:r>
      <w:r w:rsidR="000E2B38" w:rsidRPr="000B4AB2">
        <w:rPr>
          <w:szCs w:val="18"/>
          <w:lang w:val="nl-NL"/>
        </w:rPr>
        <w:t xml:space="preserve">vastgelegd </w:t>
      </w:r>
      <w:r w:rsidR="00584181">
        <w:rPr>
          <w:szCs w:val="18"/>
          <w:lang w:val="nl-NL"/>
        </w:rPr>
        <w:t>m.b.t.</w:t>
      </w:r>
      <w:r w:rsidR="00612353" w:rsidRPr="000B4AB2">
        <w:rPr>
          <w:szCs w:val="18"/>
          <w:lang w:val="nl-NL"/>
        </w:rPr>
        <w:t xml:space="preserve"> de seksuele meerderjarigheid. </w:t>
      </w:r>
    </w:p>
    <w:p w14:paraId="702F81E5" w14:textId="77777777" w:rsidR="0063433B" w:rsidRPr="000B4AB2" w:rsidRDefault="0063433B" w:rsidP="00260F11">
      <w:pPr>
        <w:pStyle w:val="ListParagraph"/>
        <w:spacing w:line="360" w:lineRule="auto"/>
        <w:ind w:left="0"/>
        <w:rPr>
          <w:color w:val="000000" w:themeColor="text1"/>
          <w:szCs w:val="18"/>
          <w:lang w:val="nl-NL"/>
        </w:rPr>
      </w:pPr>
    </w:p>
    <w:p w14:paraId="6421504A" w14:textId="4ACD63DA" w:rsidR="00DF4AB4" w:rsidRPr="000B4AB2" w:rsidRDefault="00612353"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De Belgische wetgever </w:t>
      </w:r>
      <w:r w:rsidR="006C4F58" w:rsidRPr="000B4AB2">
        <w:rPr>
          <w:color w:val="000000" w:themeColor="text1"/>
          <w:szCs w:val="18"/>
          <w:lang w:val="nl-NL"/>
        </w:rPr>
        <w:t>heeft, na uitvoerige discussies hieromtrent</w:t>
      </w:r>
      <w:r w:rsidR="00D46697">
        <w:rPr>
          <w:color w:val="000000" w:themeColor="text1"/>
          <w:szCs w:val="18"/>
          <w:lang w:val="nl-NL"/>
        </w:rPr>
        <w:t>,</w:t>
      </w:r>
      <w:r w:rsidR="00B82AB9" w:rsidRPr="000B4AB2">
        <w:rPr>
          <w:rStyle w:val="FootnoteReference"/>
          <w:color w:val="000000" w:themeColor="text1"/>
          <w:szCs w:val="18"/>
          <w:lang w:val="nl-NL"/>
        </w:rPr>
        <w:footnoteReference w:id="170"/>
      </w:r>
      <w:r w:rsidR="006C4F58" w:rsidRPr="000B4AB2">
        <w:rPr>
          <w:color w:val="000000" w:themeColor="text1"/>
          <w:szCs w:val="18"/>
          <w:lang w:val="nl-NL"/>
        </w:rPr>
        <w:t xml:space="preserve"> ervoor geopteerd om </w:t>
      </w:r>
      <w:r w:rsidR="00B82AB9" w:rsidRPr="000B4AB2">
        <w:rPr>
          <w:color w:val="000000" w:themeColor="text1"/>
          <w:szCs w:val="18"/>
          <w:lang w:val="nl-NL"/>
        </w:rPr>
        <w:t xml:space="preserve">de leeftijdsgrens voor seksuele meerderjarigheid principieel op zestien jaar </w:t>
      </w:r>
      <w:r w:rsidR="00197E97" w:rsidRPr="000B4AB2">
        <w:rPr>
          <w:color w:val="000000" w:themeColor="text1"/>
          <w:szCs w:val="18"/>
          <w:lang w:val="nl-NL"/>
        </w:rPr>
        <w:t xml:space="preserve">te </w:t>
      </w:r>
      <w:r w:rsidR="00403C5F" w:rsidRPr="000B4AB2">
        <w:rPr>
          <w:color w:val="000000" w:themeColor="text1"/>
          <w:szCs w:val="18"/>
          <w:lang w:val="nl-NL"/>
        </w:rPr>
        <w:t>leggen</w:t>
      </w:r>
      <w:r w:rsidR="00B82AB9" w:rsidRPr="000B4AB2">
        <w:rPr>
          <w:color w:val="000000" w:themeColor="text1"/>
          <w:szCs w:val="18"/>
          <w:lang w:val="nl-NL"/>
        </w:rPr>
        <w:t>.</w:t>
      </w:r>
      <w:r w:rsidRPr="000B4AB2">
        <w:rPr>
          <w:rStyle w:val="FootnoteReference"/>
          <w:color w:val="000000" w:themeColor="text1"/>
          <w:szCs w:val="18"/>
          <w:lang w:val="nl-NL"/>
        </w:rPr>
        <w:footnoteReference w:id="171"/>
      </w:r>
      <w:r w:rsidR="0031207C" w:rsidRPr="000B4AB2">
        <w:rPr>
          <w:color w:val="000000" w:themeColor="text1"/>
          <w:szCs w:val="18"/>
          <w:lang w:val="nl-NL"/>
        </w:rPr>
        <w:t xml:space="preserve"> </w:t>
      </w:r>
      <w:r w:rsidR="00DF4AB4" w:rsidRPr="000B4AB2">
        <w:rPr>
          <w:color w:val="000000" w:themeColor="text1"/>
          <w:szCs w:val="18"/>
          <w:lang w:val="nl-NL"/>
        </w:rPr>
        <w:t xml:space="preserve">Onder de leeftijd van zestien jaar kunnen minderjarigen in beginsel dus </w:t>
      </w:r>
      <w:r w:rsidR="00D46697">
        <w:rPr>
          <w:color w:val="000000" w:themeColor="text1"/>
          <w:szCs w:val="18"/>
          <w:lang w:val="nl-NL"/>
        </w:rPr>
        <w:t>niet</w:t>
      </w:r>
      <w:r w:rsidR="00DF4AB4" w:rsidRPr="000B4AB2">
        <w:rPr>
          <w:color w:val="000000" w:themeColor="text1"/>
          <w:szCs w:val="18"/>
          <w:lang w:val="nl-NL"/>
        </w:rPr>
        <w:t xml:space="preserve"> </w:t>
      </w:r>
      <w:r w:rsidR="00D46697">
        <w:rPr>
          <w:color w:val="000000" w:themeColor="text1"/>
          <w:szCs w:val="18"/>
          <w:lang w:val="nl-NL"/>
        </w:rPr>
        <w:t>instemmen</w:t>
      </w:r>
      <w:r w:rsidR="00DF4AB4" w:rsidRPr="000B4AB2">
        <w:rPr>
          <w:color w:val="000000" w:themeColor="text1"/>
          <w:szCs w:val="18"/>
          <w:lang w:val="nl-NL"/>
        </w:rPr>
        <w:t xml:space="preserve"> </w:t>
      </w:r>
      <w:r w:rsidR="00D46697">
        <w:rPr>
          <w:color w:val="000000" w:themeColor="text1"/>
          <w:szCs w:val="18"/>
          <w:lang w:val="nl-NL"/>
        </w:rPr>
        <w:t>met</w:t>
      </w:r>
      <w:r w:rsidR="00DF4AB4" w:rsidRPr="000B4AB2">
        <w:rPr>
          <w:color w:val="000000" w:themeColor="text1"/>
          <w:szCs w:val="18"/>
          <w:lang w:val="nl-NL"/>
        </w:rPr>
        <w:t xml:space="preserve"> seksuele handelingen</w:t>
      </w:r>
      <w:r w:rsidR="00D46697">
        <w:rPr>
          <w:color w:val="000000" w:themeColor="text1"/>
          <w:szCs w:val="18"/>
          <w:lang w:val="nl-NL"/>
        </w:rPr>
        <w:t>.</w:t>
      </w:r>
      <w:r w:rsidR="00DF4AB4" w:rsidRPr="000B4AB2">
        <w:rPr>
          <w:color w:val="000000" w:themeColor="text1"/>
          <w:szCs w:val="18"/>
          <w:lang w:val="nl-NL"/>
        </w:rPr>
        <w:t xml:space="preserve"> </w:t>
      </w:r>
      <w:r w:rsidR="00D46697">
        <w:rPr>
          <w:color w:val="000000" w:themeColor="text1"/>
          <w:szCs w:val="18"/>
          <w:lang w:val="nl-NL"/>
        </w:rPr>
        <w:t>V</w:t>
      </w:r>
      <w:r w:rsidR="00DF4AB4" w:rsidRPr="000B4AB2">
        <w:rPr>
          <w:color w:val="000000" w:themeColor="text1"/>
          <w:szCs w:val="18"/>
          <w:lang w:val="nl-NL"/>
        </w:rPr>
        <w:t xml:space="preserve">anaf de leeftijd van zestien jaar kunnen zij dit in beginsel wel. </w:t>
      </w:r>
      <w:r w:rsidR="00584181">
        <w:rPr>
          <w:color w:val="000000" w:themeColor="text1"/>
          <w:szCs w:val="18"/>
          <w:lang w:val="nl-NL"/>
        </w:rPr>
        <w:t>De wetgever heeft tevens in uitzonderingen voorzien op deze regel</w:t>
      </w:r>
      <w:r w:rsidR="003A26EC" w:rsidRPr="000B4AB2">
        <w:rPr>
          <w:color w:val="000000" w:themeColor="text1"/>
          <w:szCs w:val="18"/>
          <w:lang w:val="nl-NL"/>
        </w:rPr>
        <w:t>.</w:t>
      </w:r>
    </w:p>
    <w:p w14:paraId="48C76CAA" w14:textId="77777777" w:rsidR="0031207C" w:rsidRPr="000B4AB2" w:rsidRDefault="0031207C" w:rsidP="00260F11">
      <w:pPr>
        <w:spacing w:line="360" w:lineRule="auto"/>
        <w:rPr>
          <w:color w:val="000000" w:themeColor="text1"/>
          <w:szCs w:val="18"/>
          <w:lang w:val="nl-NL"/>
        </w:rPr>
      </w:pPr>
    </w:p>
    <w:p w14:paraId="05398386" w14:textId="32445E4B" w:rsidR="00614055" w:rsidRPr="000B4AB2" w:rsidRDefault="0031207C"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Uitzondering op </w:t>
      </w:r>
      <w:r w:rsidR="00634D35" w:rsidRPr="000B4AB2">
        <w:rPr>
          <w:b/>
          <w:color w:val="000000" w:themeColor="text1"/>
          <w:szCs w:val="18"/>
          <w:lang w:val="nl-NL"/>
        </w:rPr>
        <w:t>de regel dat</w:t>
      </w:r>
      <w:r w:rsidRPr="000B4AB2">
        <w:rPr>
          <w:b/>
          <w:color w:val="000000" w:themeColor="text1"/>
          <w:szCs w:val="18"/>
          <w:lang w:val="nl-NL"/>
        </w:rPr>
        <w:t xml:space="preserve"> </w:t>
      </w:r>
      <w:r w:rsidR="00634D35" w:rsidRPr="000B4AB2">
        <w:rPr>
          <w:b/>
          <w:color w:val="000000" w:themeColor="text1"/>
          <w:szCs w:val="18"/>
          <w:lang w:val="nl-NL"/>
        </w:rPr>
        <w:t>minzestienjarigen</w:t>
      </w:r>
      <w:r w:rsidRPr="000B4AB2">
        <w:rPr>
          <w:b/>
          <w:color w:val="000000" w:themeColor="text1"/>
          <w:szCs w:val="18"/>
          <w:lang w:val="nl-NL"/>
        </w:rPr>
        <w:t xml:space="preserve"> </w:t>
      </w:r>
      <w:r w:rsidR="006151BC" w:rsidRPr="000B4AB2">
        <w:rPr>
          <w:b/>
          <w:color w:val="000000" w:themeColor="text1"/>
          <w:szCs w:val="18"/>
          <w:lang w:val="nl-NL"/>
        </w:rPr>
        <w:t>geen toestemming kunnen geven tot</w:t>
      </w:r>
      <w:r w:rsidRPr="000B4AB2">
        <w:rPr>
          <w:b/>
          <w:color w:val="000000" w:themeColor="text1"/>
          <w:szCs w:val="18"/>
          <w:lang w:val="nl-NL"/>
        </w:rPr>
        <w:t xml:space="preserve"> </w:t>
      </w:r>
      <w:r w:rsidR="00634D35" w:rsidRPr="000B4AB2">
        <w:rPr>
          <w:b/>
          <w:color w:val="000000" w:themeColor="text1"/>
          <w:szCs w:val="18"/>
          <w:lang w:val="nl-NL"/>
        </w:rPr>
        <w:t xml:space="preserve">seksuele handelingen. </w:t>
      </w:r>
      <w:r w:rsidR="00952682" w:rsidRPr="000B4AB2">
        <w:rPr>
          <w:color w:val="000000" w:themeColor="text1"/>
          <w:szCs w:val="18"/>
          <w:lang w:val="nl-NL"/>
        </w:rPr>
        <w:t>Artikel</w:t>
      </w:r>
      <w:r w:rsidRPr="000B4AB2">
        <w:rPr>
          <w:color w:val="000000" w:themeColor="text1"/>
          <w:szCs w:val="18"/>
          <w:lang w:val="nl-NL"/>
        </w:rPr>
        <w:t xml:space="preserve"> </w:t>
      </w:r>
      <w:r w:rsidRPr="000B4AB2">
        <w:rPr>
          <w:szCs w:val="18"/>
          <w:lang w:val="nl-NL"/>
        </w:rPr>
        <w:t>417/6</w:t>
      </w:r>
      <w:r w:rsidR="00952682" w:rsidRPr="000B4AB2">
        <w:rPr>
          <w:szCs w:val="18"/>
          <w:lang w:val="nl-NL"/>
        </w:rPr>
        <w:t>, §2</w:t>
      </w:r>
      <w:r w:rsidRPr="000B4AB2">
        <w:rPr>
          <w:szCs w:val="18"/>
          <w:lang w:val="nl-NL"/>
        </w:rPr>
        <w:t xml:space="preserve"> </w:t>
      </w:r>
      <w:r w:rsidR="0081584B">
        <w:rPr>
          <w:szCs w:val="18"/>
          <w:lang w:val="nl-NL"/>
        </w:rPr>
        <w:t xml:space="preserve">van het </w:t>
      </w:r>
      <w:r w:rsidRPr="000B4AB2">
        <w:rPr>
          <w:szCs w:val="18"/>
          <w:lang w:val="nl-NL"/>
        </w:rPr>
        <w:t xml:space="preserve">Strafwetboek, bevat een uitzondering </w:t>
      </w:r>
      <w:r w:rsidR="00634D35" w:rsidRPr="000B4AB2">
        <w:rPr>
          <w:szCs w:val="18"/>
          <w:lang w:val="nl-NL"/>
        </w:rPr>
        <w:t>op grond waarvan minderjarigen vanaf veertien jaar toch zouden kunnen instemmen met seksuele handelingen. Deze uitzondering is bijgevolg relevant voor veertien- en vijftienjarigen.</w:t>
      </w:r>
      <w:r w:rsidR="00762695" w:rsidRPr="000B4AB2">
        <w:rPr>
          <w:rStyle w:val="FootnoteReference"/>
          <w:szCs w:val="18"/>
          <w:lang w:val="nl-NL"/>
        </w:rPr>
        <w:footnoteReference w:id="172"/>
      </w:r>
    </w:p>
    <w:p w14:paraId="6A61E628" w14:textId="751CC90B" w:rsidR="0031207C" w:rsidRPr="000B4AB2" w:rsidRDefault="00634D35" w:rsidP="00260F11">
      <w:pPr>
        <w:pStyle w:val="ListParagraph"/>
        <w:spacing w:line="360" w:lineRule="auto"/>
        <w:ind w:left="0"/>
        <w:rPr>
          <w:szCs w:val="18"/>
          <w:lang w:val="nl-NL"/>
        </w:rPr>
      </w:pPr>
      <w:r w:rsidRPr="000B4AB2">
        <w:rPr>
          <w:szCs w:val="18"/>
          <w:lang w:val="nl-NL"/>
        </w:rPr>
        <w:t xml:space="preserve">De uitzondering geldt enkel </w:t>
      </w:r>
      <w:r w:rsidR="00032070">
        <w:rPr>
          <w:szCs w:val="18"/>
          <w:lang w:val="nl-NL"/>
        </w:rPr>
        <w:t>m.b.t.</w:t>
      </w:r>
      <w:r w:rsidRPr="000B4AB2">
        <w:rPr>
          <w:szCs w:val="18"/>
          <w:lang w:val="nl-NL"/>
        </w:rPr>
        <w:t xml:space="preserve"> seksuele handelingen die worden gesteld </w:t>
      </w:r>
      <w:r w:rsidR="006E173C">
        <w:rPr>
          <w:szCs w:val="18"/>
          <w:lang w:val="nl-NL"/>
        </w:rPr>
        <w:t>door een</w:t>
      </w:r>
      <w:r w:rsidRPr="000B4AB2">
        <w:rPr>
          <w:szCs w:val="18"/>
          <w:lang w:val="nl-NL"/>
        </w:rPr>
        <w:t xml:space="preserve"> minderjarige </w:t>
      </w:r>
      <w:r w:rsidR="006E173C">
        <w:rPr>
          <w:szCs w:val="18"/>
          <w:lang w:val="nl-NL"/>
        </w:rPr>
        <w:t xml:space="preserve">met een ander persoon </w:t>
      </w:r>
      <w:r w:rsidR="00584181">
        <w:rPr>
          <w:szCs w:val="18"/>
          <w:lang w:val="nl-NL"/>
        </w:rPr>
        <w:t>waartussen</w:t>
      </w:r>
      <w:r w:rsidRPr="000B4AB2">
        <w:rPr>
          <w:szCs w:val="18"/>
          <w:lang w:val="nl-NL"/>
        </w:rPr>
        <w:t xml:space="preserve"> het onderling leeftijdsverschil </w:t>
      </w:r>
      <w:r w:rsidR="00614055" w:rsidRPr="000B4AB2">
        <w:rPr>
          <w:szCs w:val="18"/>
          <w:lang w:val="nl-NL"/>
        </w:rPr>
        <w:t>minder</w:t>
      </w:r>
      <w:r w:rsidRPr="000B4AB2">
        <w:rPr>
          <w:szCs w:val="18"/>
          <w:lang w:val="nl-NL"/>
        </w:rPr>
        <w:t xml:space="preserve"> dan drie jaar</w:t>
      </w:r>
      <w:r w:rsidR="00614055" w:rsidRPr="000B4AB2">
        <w:rPr>
          <w:szCs w:val="18"/>
          <w:lang w:val="nl-NL"/>
        </w:rPr>
        <w:t xml:space="preserve"> bedraagt. Dit wordt van (geboorte-)dag op (geboorte-)dag geteld.</w:t>
      </w:r>
      <w:r w:rsidR="00E61139" w:rsidRPr="000B4AB2">
        <w:rPr>
          <w:rStyle w:val="FootnoteReference"/>
          <w:szCs w:val="18"/>
          <w:lang w:val="nl-NL"/>
        </w:rPr>
        <w:footnoteReference w:id="173"/>
      </w:r>
    </w:p>
    <w:p w14:paraId="0C9B5F88" w14:textId="3FACA5BE" w:rsidR="00D64858" w:rsidRPr="000B4AB2" w:rsidRDefault="00D64858" w:rsidP="00260F11">
      <w:pPr>
        <w:pStyle w:val="ListParagraph"/>
        <w:spacing w:line="360" w:lineRule="auto"/>
        <w:ind w:left="0"/>
        <w:rPr>
          <w:color w:val="000000" w:themeColor="text1"/>
          <w:szCs w:val="18"/>
          <w:lang w:val="nl-NL"/>
        </w:rPr>
      </w:pPr>
    </w:p>
    <w:p w14:paraId="5D5F52D9" w14:textId="54A6CA3F" w:rsidR="00D64858" w:rsidRPr="000B4AB2" w:rsidRDefault="003A26EC"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Uit het voorgaande kan enerzijds worden afgeleid dat </w:t>
      </w:r>
      <w:r w:rsidR="00D64858" w:rsidRPr="000B4AB2">
        <w:rPr>
          <w:color w:val="000000" w:themeColor="text1"/>
          <w:szCs w:val="18"/>
          <w:lang w:val="nl-NL"/>
        </w:rPr>
        <w:t>minveertienjarige</w:t>
      </w:r>
      <w:r w:rsidRPr="000B4AB2">
        <w:rPr>
          <w:color w:val="000000" w:themeColor="text1"/>
          <w:szCs w:val="18"/>
          <w:lang w:val="nl-NL"/>
        </w:rPr>
        <w:t>n</w:t>
      </w:r>
      <w:r w:rsidR="00D64858" w:rsidRPr="000B4AB2">
        <w:rPr>
          <w:color w:val="000000" w:themeColor="text1"/>
          <w:szCs w:val="18"/>
          <w:lang w:val="nl-NL"/>
        </w:rPr>
        <w:t xml:space="preserve"> niet met seksuele handelingen </w:t>
      </w:r>
      <w:r w:rsidRPr="000B4AB2">
        <w:rPr>
          <w:color w:val="000000" w:themeColor="text1"/>
          <w:szCs w:val="18"/>
          <w:lang w:val="nl-NL"/>
        </w:rPr>
        <w:t>kunnen</w:t>
      </w:r>
      <w:r w:rsidR="00D64858" w:rsidRPr="000B4AB2">
        <w:rPr>
          <w:color w:val="000000" w:themeColor="text1"/>
          <w:szCs w:val="18"/>
          <w:lang w:val="nl-NL"/>
        </w:rPr>
        <w:t xml:space="preserve"> instemmen</w:t>
      </w:r>
      <w:r w:rsidR="0037617B" w:rsidRPr="000B4AB2">
        <w:rPr>
          <w:color w:val="000000" w:themeColor="text1"/>
          <w:szCs w:val="18"/>
          <w:lang w:val="nl-NL"/>
        </w:rPr>
        <w:t>. A</w:t>
      </w:r>
      <w:r w:rsidR="00D64858" w:rsidRPr="000B4AB2">
        <w:rPr>
          <w:color w:val="000000" w:themeColor="text1"/>
          <w:szCs w:val="18"/>
          <w:lang w:val="nl-NL"/>
        </w:rPr>
        <w:t xml:space="preserve">nderzijds </w:t>
      </w:r>
      <w:r w:rsidR="009E6219">
        <w:rPr>
          <w:color w:val="000000" w:themeColor="text1"/>
          <w:szCs w:val="18"/>
          <w:lang w:val="nl-NL"/>
        </w:rPr>
        <w:t>zou deze regel</w:t>
      </w:r>
      <w:r w:rsidR="0037617B" w:rsidRPr="000B4AB2">
        <w:rPr>
          <w:color w:val="000000" w:themeColor="text1"/>
          <w:szCs w:val="18"/>
          <w:lang w:val="nl-NL"/>
        </w:rPr>
        <w:t xml:space="preserve"> </w:t>
      </w:r>
      <w:r w:rsidR="001D5BA0" w:rsidRPr="000B4AB2">
        <w:rPr>
          <w:color w:val="000000" w:themeColor="text1"/>
          <w:szCs w:val="18"/>
          <w:lang w:val="nl-NL"/>
        </w:rPr>
        <w:t>eveneens</w:t>
      </w:r>
      <w:r w:rsidR="00D64858" w:rsidRPr="000B4AB2">
        <w:rPr>
          <w:color w:val="000000" w:themeColor="text1"/>
          <w:szCs w:val="18"/>
          <w:lang w:val="nl-NL"/>
        </w:rPr>
        <w:t xml:space="preserve"> </w:t>
      </w:r>
      <w:r w:rsidR="009E6219">
        <w:rPr>
          <w:color w:val="000000" w:themeColor="text1"/>
          <w:szCs w:val="18"/>
          <w:lang w:val="nl-NL"/>
        </w:rPr>
        <w:t xml:space="preserve">impliceren </w:t>
      </w:r>
      <w:r w:rsidR="00D64858" w:rsidRPr="000B4AB2">
        <w:rPr>
          <w:color w:val="000000" w:themeColor="text1"/>
          <w:szCs w:val="18"/>
          <w:lang w:val="nl-NL"/>
        </w:rPr>
        <w:t xml:space="preserve">dat een veertienjarige niet met seksuele handelingen kan instemmen met een zeventienjarige indien het </w:t>
      </w:r>
      <w:r w:rsidR="00D46697">
        <w:rPr>
          <w:color w:val="000000" w:themeColor="text1"/>
          <w:szCs w:val="18"/>
          <w:lang w:val="nl-NL"/>
        </w:rPr>
        <w:t>leeftijds</w:t>
      </w:r>
      <w:r w:rsidR="00D64858" w:rsidRPr="000B4AB2">
        <w:rPr>
          <w:color w:val="000000" w:themeColor="text1"/>
          <w:szCs w:val="18"/>
          <w:lang w:val="nl-NL"/>
        </w:rPr>
        <w:t xml:space="preserve">verschil tussen hen </w:t>
      </w:r>
      <w:r w:rsidR="00D46697">
        <w:rPr>
          <w:color w:val="000000" w:themeColor="text1"/>
          <w:szCs w:val="18"/>
          <w:lang w:val="nl-NL"/>
        </w:rPr>
        <w:t>groter is dan</w:t>
      </w:r>
      <w:r w:rsidR="00D64858" w:rsidRPr="000B4AB2">
        <w:rPr>
          <w:color w:val="000000" w:themeColor="text1"/>
          <w:szCs w:val="18"/>
          <w:lang w:val="nl-NL"/>
        </w:rPr>
        <w:t xml:space="preserve"> drie jaar. Dit kan het geval zijn wanneer de zeventienjarige bijvoorbeeld </w:t>
      </w:r>
      <w:r w:rsidR="006B245F" w:rsidRPr="000B4AB2">
        <w:rPr>
          <w:color w:val="000000" w:themeColor="text1"/>
          <w:szCs w:val="18"/>
          <w:lang w:val="nl-NL"/>
        </w:rPr>
        <w:t>zeventien</w:t>
      </w:r>
      <w:r w:rsidR="00D64858" w:rsidRPr="000B4AB2">
        <w:rPr>
          <w:color w:val="000000" w:themeColor="text1"/>
          <w:szCs w:val="18"/>
          <w:lang w:val="nl-NL"/>
        </w:rPr>
        <w:t xml:space="preserve"> jaar en </w:t>
      </w:r>
      <w:r w:rsidR="006B245F" w:rsidRPr="000B4AB2">
        <w:rPr>
          <w:color w:val="000000" w:themeColor="text1"/>
          <w:szCs w:val="18"/>
          <w:lang w:val="nl-NL"/>
        </w:rPr>
        <w:t>zes</w:t>
      </w:r>
      <w:r w:rsidR="00D64858" w:rsidRPr="000B4AB2">
        <w:rPr>
          <w:color w:val="000000" w:themeColor="text1"/>
          <w:szCs w:val="18"/>
          <w:lang w:val="nl-NL"/>
        </w:rPr>
        <w:t xml:space="preserve"> maand</w:t>
      </w:r>
      <w:r w:rsidR="006B245F" w:rsidRPr="000B4AB2">
        <w:rPr>
          <w:color w:val="000000" w:themeColor="text1"/>
          <w:szCs w:val="18"/>
          <w:lang w:val="nl-NL"/>
        </w:rPr>
        <w:t>en</w:t>
      </w:r>
      <w:r w:rsidR="00D64858" w:rsidRPr="000B4AB2">
        <w:rPr>
          <w:color w:val="000000" w:themeColor="text1"/>
          <w:szCs w:val="18"/>
          <w:lang w:val="nl-NL"/>
        </w:rPr>
        <w:t xml:space="preserve"> is, terwijl de veertienjarige nog maar </w:t>
      </w:r>
      <w:r w:rsidR="006B245F" w:rsidRPr="000B4AB2">
        <w:rPr>
          <w:color w:val="000000" w:themeColor="text1"/>
          <w:szCs w:val="18"/>
          <w:lang w:val="nl-NL"/>
        </w:rPr>
        <w:t>één</w:t>
      </w:r>
      <w:r w:rsidR="00D64858" w:rsidRPr="000B4AB2">
        <w:rPr>
          <w:color w:val="000000" w:themeColor="text1"/>
          <w:szCs w:val="18"/>
          <w:lang w:val="nl-NL"/>
        </w:rPr>
        <w:t xml:space="preserve"> maand veertien is. De wetgever achtte het </w:t>
      </w:r>
      <w:r w:rsidR="00D46697">
        <w:rPr>
          <w:color w:val="000000" w:themeColor="text1"/>
          <w:szCs w:val="18"/>
          <w:lang w:val="nl-NL"/>
        </w:rPr>
        <w:t>echter</w:t>
      </w:r>
      <w:r w:rsidR="0037617B" w:rsidRPr="000B4AB2">
        <w:rPr>
          <w:color w:val="000000" w:themeColor="text1"/>
          <w:szCs w:val="18"/>
          <w:lang w:val="nl-NL"/>
        </w:rPr>
        <w:t xml:space="preserve"> </w:t>
      </w:r>
      <w:r w:rsidR="00D64858" w:rsidRPr="000B4AB2">
        <w:rPr>
          <w:color w:val="000000" w:themeColor="text1"/>
          <w:szCs w:val="18"/>
          <w:lang w:val="nl-NL"/>
        </w:rPr>
        <w:t>niet wenselijk om dergelijke situaties te penaliseren en heeft daarom in een uitzondering op de uitzondering voorzien, te vinden in paragraaf twee, twee</w:t>
      </w:r>
      <w:r w:rsidR="00E51D0F" w:rsidRPr="000B4AB2">
        <w:rPr>
          <w:color w:val="000000" w:themeColor="text1"/>
          <w:szCs w:val="18"/>
          <w:lang w:val="nl-NL"/>
        </w:rPr>
        <w:t>de lid</w:t>
      </w:r>
      <w:r w:rsidR="00D64858" w:rsidRPr="000B4AB2">
        <w:rPr>
          <w:color w:val="000000" w:themeColor="text1"/>
          <w:szCs w:val="18"/>
          <w:lang w:val="nl-NL"/>
        </w:rPr>
        <w:t>.</w:t>
      </w:r>
      <w:r w:rsidR="00C94CE6" w:rsidRPr="000B4AB2">
        <w:rPr>
          <w:rStyle w:val="FootnoteReference"/>
          <w:color w:val="000000" w:themeColor="text1"/>
          <w:szCs w:val="18"/>
          <w:lang w:val="nl-NL"/>
        </w:rPr>
        <w:footnoteReference w:id="174"/>
      </w:r>
      <w:r w:rsidR="008A5956" w:rsidRPr="000B4AB2">
        <w:rPr>
          <w:color w:val="000000" w:themeColor="text1"/>
          <w:szCs w:val="18"/>
          <w:lang w:val="nl-NL"/>
        </w:rPr>
        <w:t xml:space="preserve"> Hierdoor </w:t>
      </w:r>
      <w:r w:rsidR="00537FC1" w:rsidRPr="000B4AB2">
        <w:rPr>
          <w:color w:val="000000" w:themeColor="text1"/>
          <w:szCs w:val="18"/>
          <w:lang w:val="nl-NL"/>
        </w:rPr>
        <w:t>zal</w:t>
      </w:r>
      <w:r w:rsidR="008A5956" w:rsidRPr="000B4AB2">
        <w:rPr>
          <w:color w:val="000000" w:themeColor="text1"/>
          <w:szCs w:val="18"/>
          <w:lang w:val="nl-NL"/>
        </w:rPr>
        <w:t xml:space="preserve"> </w:t>
      </w:r>
      <w:r w:rsidR="00537FC1" w:rsidRPr="000B4AB2">
        <w:rPr>
          <w:color w:val="000000" w:themeColor="text1"/>
          <w:szCs w:val="18"/>
          <w:lang w:val="nl-NL"/>
        </w:rPr>
        <w:t>de zonet beschreven situatie toch niet (zonder meer) als niet-consensueel gekwalificeerd worden</w:t>
      </w:r>
      <w:r w:rsidR="008A5956" w:rsidRPr="000B4AB2">
        <w:rPr>
          <w:color w:val="000000" w:themeColor="text1"/>
          <w:szCs w:val="18"/>
          <w:lang w:val="nl-NL"/>
        </w:rPr>
        <w:t>.</w:t>
      </w:r>
      <w:r w:rsidR="00035F88" w:rsidRPr="000B4AB2">
        <w:rPr>
          <w:rStyle w:val="FootnoteReference"/>
          <w:color w:val="000000" w:themeColor="text1"/>
          <w:szCs w:val="18"/>
          <w:lang w:val="nl-NL"/>
        </w:rPr>
        <w:footnoteReference w:id="175"/>
      </w:r>
    </w:p>
    <w:p w14:paraId="3557ACF9" w14:textId="766354CC" w:rsidR="0089411A" w:rsidRPr="000B4AB2" w:rsidRDefault="0037617B"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lastRenderedPageBreak/>
        <w:t xml:space="preserve">Uitzondering op de regel dat een </w:t>
      </w:r>
      <w:r w:rsidR="00DF4AB4" w:rsidRPr="000B4AB2">
        <w:rPr>
          <w:b/>
          <w:color w:val="000000" w:themeColor="text1"/>
          <w:szCs w:val="18"/>
          <w:lang w:val="nl-NL"/>
        </w:rPr>
        <w:t xml:space="preserve">minderjarige </w:t>
      </w:r>
      <w:r w:rsidRPr="000B4AB2">
        <w:rPr>
          <w:b/>
          <w:color w:val="000000" w:themeColor="text1"/>
          <w:szCs w:val="18"/>
          <w:lang w:val="nl-NL"/>
        </w:rPr>
        <w:t>kan toestemmen met seksuele handelingen</w:t>
      </w:r>
      <w:r w:rsidRPr="000B4AB2">
        <w:rPr>
          <w:color w:val="000000" w:themeColor="text1"/>
          <w:szCs w:val="18"/>
          <w:lang w:val="nl-NL"/>
        </w:rPr>
        <w:t xml:space="preserve">. </w:t>
      </w:r>
      <w:r w:rsidR="007211DD">
        <w:t>De derde paragraaf van artikel</w:t>
      </w:r>
      <w:r w:rsidR="00D46697">
        <w:t xml:space="preserve"> 417/6</w:t>
      </w:r>
      <w:r w:rsidR="007211DD">
        <w:t xml:space="preserve"> </w:t>
      </w:r>
      <w:r w:rsidR="0081584B">
        <w:t xml:space="preserve">van het </w:t>
      </w:r>
      <w:r w:rsidR="00D46697">
        <w:t xml:space="preserve">Strafwetboek bevat </w:t>
      </w:r>
      <w:r w:rsidRPr="000B4AB2">
        <w:rPr>
          <w:color w:val="000000" w:themeColor="text1"/>
          <w:szCs w:val="18"/>
          <w:lang w:val="nl-NL"/>
        </w:rPr>
        <w:t xml:space="preserve">enkele situaties waarin een minderjarige nooit uit vrije wil kan </w:t>
      </w:r>
      <w:r w:rsidRPr="009B305D">
        <w:rPr>
          <w:color w:val="000000" w:themeColor="text1"/>
          <w:szCs w:val="18"/>
          <w:lang w:val="nl-NL"/>
        </w:rPr>
        <w:t>toestemmen. In deze masterscriptie zal niet uitgebreid stilgestaan worden bij elk van deze gevallen.</w:t>
      </w:r>
      <w:r w:rsidR="004446BF">
        <w:rPr>
          <w:rStyle w:val="FootnoteReference"/>
          <w:color w:val="000000" w:themeColor="text1"/>
          <w:szCs w:val="18"/>
          <w:lang w:val="nl-NL"/>
        </w:rPr>
        <w:footnoteReference w:id="176"/>
      </w:r>
      <w:r w:rsidRPr="009B305D">
        <w:rPr>
          <w:color w:val="000000" w:themeColor="text1"/>
          <w:szCs w:val="18"/>
          <w:lang w:val="nl-NL"/>
        </w:rPr>
        <w:t xml:space="preserve"> Bij wijze va</w:t>
      </w:r>
      <w:r w:rsidRPr="000B4AB2">
        <w:rPr>
          <w:color w:val="000000" w:themeColor="text1"/>
          <w:szCs w:val="18"/>
          <w:lang w:val="nl-NL"/>
        </w:rPr>
        <w:t>n voorbeeld kan worden gewezen op de situatie waarin de dader een ouder is van de minderjarige (bloedverwant in rechte opgaande lijn). In een dergelijk geval wordt de minderjarige onweerlegbaar vermoed niet te hebben ingestemd met de handelingen.</w:t>
      </w:r>
      <w:r w:rsidR="00A26D67" w:rsidRPr="000B4AB2">
        <w:rPr>
          <w:rStyle w:val="FootnoteReference"/>
          <w:color w:val="000000" w:themeColor="text1"/>
          <w:szCs w:val="18"/>
          <w:lang w:val="nl-NL"/>
        </w:rPr>
        <w:footnoteReference w:id="177"/>
      </w:r>
    </w:p>
    <w:p w14:paraId="11AB4CCF" w14:textId="77777777" w:rsidR="00D97EC3" w:rsidRPr="000B4AB2" w:rsidRDefault="00D97EC3" w:rsidP="00260F11">
      <w:pPr>
        <w:pStyle w:val="ListParagraph"/>
        <w:spacing w:line="360" w:lineRule="auto"/>
        <w:ind w:left="0"/>
        <w:rPr>
          <w:color w:val="000000" w:themeColor="text1"/>
          <w:szCs w:val="18"/>
          <w:lang w:val="nl-NL"/>
        </w:rPr>
      </w:pPr>
    </w:p>
    <w:p w14:paraId="37729D71" w14:textId="0CE21794" w:rsidR="00D97EC3" w:rsidRPr="000B4AB2" w:rsidRDefault="00D97EC3"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Samenvattend</w:t>
      </w:r>
      <w:r w:rsidRPr="000B4AB2">
        <w:rPr>
          <w:color w:val="000000" w:themeColor="text1"/>
          <w:szCs w:val="18"/>
          <w:lang w:val="nl-NL"/>
        </w:rPr>
        <w:t xml:space="preserve">. Samenvattend kan worden gesteld dat voor toestemming tot seksuele gedragingen kan worden gegeven vanaf zestien jaar. Die leeftijdsgrens wordt verhoogd naar achttien </w:t>
      </w:r>
      <w:r w:rsidR="009E6219">
        <w:rPr>
          <w:color w:val="000000" w:themeColor="text1"/>
          <w:szCs w:val="18"/>
          <w:lang w:val="nl-NL"/>
        </w:rPr>
        <w:t>i.g.v. een bepaalde daderhoedanigheid</w:t>
      </w:r>
      <w:r w:rsidRPr="000B4AB2">
        <w:rPr>
          <w:color w:val="000000" w:themeColor="text1"/>
          <w:szCs w:val="18"/>
          <w:lang w:val="nl-NL"/>
        </w:rPr>
        <w:t>.</w:t>
      </w:r>
      <w:r w:rsidR="00CC11CD" w:rsidRPr="000B4AB2">
        <w:rPr>
          <w:color w:val="000000" w:themeColor="text1"/>
          <w:szCs w:val="18"/>
          <w:lang w:val="nl-NL"/>
        </w:rPr>
        <w:t xml:space="preserve"> Van zodra de minderjarige de </w:t>
      </w:r>
      <w:r w:rsidR="0099636A" w:rsidRPr="000B4AB2">
        <w:rPr>
          <w:color w:val="000000" w:themeColor="text1"/>
          <w:szCs w:val="18"/>
          <w:lang w:val="nl-NL"/>
        </w:rPr>
        <w:t>leeftijd</w:t>
      </w:r>
      <w:r w:rsidR="00CC11CD" w:rsidRPr="000B4AB2">
        <w:rPr>
          <w:color w:val="000000" w:themeColor="text1"/>
          <w:szCs w:val="18"/>
          <w:lang w:val="nl-NL"/>
        </w:rPr>
        <w:t xml:space="preserve"> van veertien jaar bereikt heeft, kan deze evenwel toestemmen met seksuele handelingen met andere minderjarigen die de leeftijd van veertien jaar bereikt hebben</w:t>
      </w:r>
      <w:r w:rsidR="009B305D">
        <w:rPr>
          <w:color w:val="000000" w:themeColor="text1"/>
          <w:szCs w:val="18"/>
          <w:lang w:val="nl-NL"/>
        </w:rPr>
        <w:t>.</w:t>
      </w:r>
      <w:r w:rsidR="006E173C">
        <w:rPr>
          <w:color w:val="000000" w:themeColor="text1"/>
          <w:szCs w:val="18"/>
          <w:lang w:val="nl-NL"/>
        </w:rPr>
        <w:t xml:space="preserve"> De vijftienjarige kan ten slotte instemmen met handelingen met een achttienjarige, voor zover het onderling leeftijdsverschil niet meer dan drie jaar bedraagt.</w:t>
      </w:r>
    </w:p>
    <w:p w14:paraId="456CD63B" w14:textId="1D16F81C" w:rsidR="00BA727D" w:rsidRDefault="00BA727D" w:rsidP="00260F11">
      <w:pPr>
        <w:spacing w:line="360" w:lineRule="auto"/>
        <w:rPr>
          <w:color w:val="000000" w:themeColor="text1"/>
          <w:szCs w:val="18"/>
          <w:lang w:val="nl-NL"/>
        </w:rPr>
      </w:pPr>
    </w:p>
    <w:p w14:paraId="6EDEBCC0" w14:textId="457B6196" w:rsidR="00454662" w:rsidRPr="000B4AB2" w:rsidRDefault="00454662" w:rsidP="00260F11">
      <w:pPr>
        <w:pStyle w:val="Heading5"/>
        <w:spacing w:line="360" w:lineRule="auto"/>
        <w:rPr>
          <w:szCs w:val="18"/>
          <w:lang w:val="nl-NL"/>
        </w:rPr>
      </w:pPr>
      <w:bookmarkStart w:id="18" w:name="_Toc135041049"/>
      <w:r w:rsidRPr="000B4AB2">
        <w:rPr>
          <w:szCs w:val="18"/>
          <w:lang w:val="nl-NL"/>
        </w:rPr>
        <w:t>Moreel bestanddeel</w:t>
      </w:r>
      <w:bookmarkEnd w:id="18"/>
    </w:p>
    <w:p w14:paraId="59A81661" w14:textId="10873A8E" w:rsidR="004E1ACC" w:rsidRPr="000B4AB2" w:rsidRDefault="004E1ACC" w:rsidP="00260F11">
      <w:pPr>
        <w:pStyle w:val="ListParagraph"/>
        <w:spacing w:line="360" w:lineRule="auto"/>
        <w:ind w:left="0"/>
        <w:rPr>
          <w:color w:val="000000" w:themeColor="text1"/>
          <w:szCs w:val="18"/>
          <w:lang w:val="nl-NL"/>
        </w:rPr>
      </w:pPr>
    </w:p>
    <w:p w14:paraId="680E5994" w14:textId="3B59D6DD" w:rsidR="008816F2" w:rsidRDefault="004E1ACC"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Net zoals onder het oude recht, bepaalt de wetgever niet expliciet welk moreel bestanddeel vereist is voor het misdrijf van aantasting van de seksuele integriteit.</w:t>
      </w:r>
      <w:r w:rsidRPr="000B4AB2">
        <w:rPr>
          <w:rStyle w:val="FootnoteReference"/>
          <w:color w:val="000000" w:themeColor="text1"/>
          <w:szCs w:val="18"/>
          <w:lang w:val="nl-NL"/>
        </w:rPr>
        <w:footnoteReference w:id="178"/>
      </w:r>
      <w:r w:rsidRPr="000B4AB2">
        <w:rPr>
          <w:color w:val="000000" w:themeColor="text1"/>
          <w:szCs w:val="18"/>
          <w:lang w:val="nl-NL"/>
        </w:rPr>
        <w:t xml:space="preserve"> </w:t>
      </w:r>
      <w:r w:rsidR="008C3243" w:rsidRPr="00C766F8">
        <w:rPr>
          <w:color w:val="000000" w:themeColor="text1"/>
          <w:szCs w:val="18"/>
          <w:lang w:val="nl-NL"/>
        </w:rPr>
        <w:t>Zoals reeds werd uiteengezet</w:t>
      </w:r>
      <w:r w:rsidR="00D46697" w:rsidRPr="00C766F8">
        <w:rPr>
          <w:color w:val="000000" w:themeColor="text1"/>
          <w:szCs w:val="18"/>
          <w:lang w:val="nl-NL"/>
        </w:rPr>
        <w:t xml:space="preserve">, </w:t>
      </w:r>
      <w:r w:rsidR="008C3243" w:rsidRPr="00C766F8">
        <w:rPr>
          <w:color w:val="000000" w:themeColor="text1"/>
          <w:szCs w:val="18"/>
          <w:lang w:val="nl-NL"/>
        </w:rPr>
        <w:t>vereist de meerderheidsvisie</w:t>
      </w:r>
      <w:r w:rsidR="007E1365" w:rsidRPr="00C766F8">
        <w:rPr>
          <w:color w:val="000000" w:themeColor="text1"/>
          <w:szCs w:val="18"/>
          <w:lang w:val="nl-NL"/>
        </w:rPr>
        <w:t xml:space="preserve"> </w:t>
      </w:r>
      <w:r w:rsidR="008C3243" w:rsidRPr="00C766F8">
        <w:rPr>
          <w:color w:val="000000" w:themeColor="text1"/>
          <w:szCs w:val="18"/>
          <w:lang w:val="nl-NL"/>
        </w:rPr>
        <w:t>een algemeen opzet bij een dergelijk wetgevend stilzwijgen.</w:t>
      </w:r>
      <w:r w:rsidR="00D46697" w:rsidRPr="000A4834">
        <w:rPr>
          <w:rStyle w:val="FootnoteReference"/>
          <w:color w:val="000000" w:themeColor="text1"/>
          <w:szCs w:val="18"/>
          <w:lang w:val="nl-NL"/>
        </w:rPr>
        <w:footnoteReference w:id="179"/>
      </w:r>
      <w:r w:rsidR="008C3243" w:rsidRPr="00C766F8">
        <w:rPr>
          <w:color w:val="000000" w:themeColor="text1"/>
          <w:szCs w:val="18"/>
          <w:lang w:val="nl-NL"/>
        </w:rPr>
        <w:t xml:space="preserve"> Voor aantasting van de seksuele integriteit is bijgevolg een algemeen opzet vereist.</w:t>
      </w:r>
      <w:r w:rsidR="008C3243" w:rsidRPr="000B4AB2">
        <w:rPr>
          <w:rStyle w:val="FootnoteReference"/>
          <w:color w:val="000000" w:themeColor="text1"/>
          <w:szCs w:val="18"/>
          <w:lang w:val="nl-NL"/>
        </w:rPr>
        <w:footnoteReference w:id="180"/>
      </w:r>
      <w:r w:rsidR="008C3243" w:rsidRPr="00C766F8">
        <w:rPr>
          <w:color w:val="000000" w:themeColor="text1"/>
          <w:szCs w:val="18"/>
          <w:lang w:val="nl-NL"/>
        </w:rPr>
        <w:t xml:space="preserve"> Hierbij dienen evenwel dezelfde kanttekeningen te worden gemaakt als onder het oude recht, zodat voor het overige verwezen wordt naar de uiteenzetting van het moreel bestanddeel van aanranding van de eerbaarheid</w:t>
      </w:r>
      <w:r w:rsidR="001F3566" w:rsidRPr="00C766F8">
        <w:rPr>
          <w:color w:val="000000" w:themeColor="text1"/>
          <w:szCs w:val="18"/>
          <w:lang w:val="nl-NL"/>
        </w:rPr>
        <w:t>.</w:t>
      </w:r>
      <w:r w:rsidR="00D46697">
        <w:rPr>
          <w:rStyle w:val="FootnoteReference"/>
          <w:color w:val="000000" w:themeColor="text1"/>
          <w:szCs w:val="18"/>
          <w:lang w:val="nl-NL"/>
        </w:rPr>
        <w:footnoteReference w:id="181"/>
      </w:r>
      <w:r w:rsidR="001F3566" w:rsidRPr="00C766F8">
        <w:rPr>
          <w:color w:val="000000" w:themeColor="text1"/>
          <w:szCs w:val="18"/>
          <w:lang w:val="nl-NL"/>
        </w:rPr>
        <w:t xml:space="preserve"> </w:t>
      </w:r>
    </w:p>
    <w:p w14:paraId="3BD59069" w14:textId="403FD2B6" w:rsidR="005143CE" w:rsidRDefault="005143CE" w:rsidP="00260F11">
      <w:pPr>
        <w:spacing w:line="360" w:lineRule="auto"/>
        <w:rPr>
          <w:color w:val="000000" w:themeColor="text1"/>
          <w:szCs w:val="18"/>
          <w:lang w:val="nl-NL"/>
        </w:rPr>
      </w:pPr>
      <w:r>
        <w:rPr>
          <w:color w:val="000000" w:themeColor="text1"/>
          <w:szCs w:val="18"/>
          <w:lang w:val="nl-NL"/>
        </w:rPr>
        <w:br w:type="page"/>
      </w:r>
    </w:p>
    <w:p w14:paraId="0D6F7A71" w14:textId="4AA21D96" w:rsidR="009F5025" w:rsidRPr="000B4AB2" w:rsidRDefault="0000690D" w:rsidP="00260F11">
      <w:pPr>
        <w:pStyle w:val="Heading4"/>
        <w:spacing w:line="360" w:lineRule="auto"/>
        <w:rPr>
          <w:szCs w:val="18"/>
          <w:lang w:val="nl-NL"/>
        </w:rPr>
      </w:pPr>
      <w:bookmarkStart w:id="19" w:name="_Toc135041050"/>
      <w:r w:rsidRPr="000B4AB2">
        <w:rPr>
          <w:szCs w:val="18"/>
          <w:lang w:val="nl-NL"/>
        </w:rPr>
        <w:lastRenderedPageBreak/>
        <w:t>Vergelijking</w:t>
      </w:r>
      <w:r w:rsidR="00B07942" w:rsidRPr="000B4AB2">
        <w:rPr>
          <w:szCs w:val="18"/>
          <w:lang w:val="nl-NL"/>
        </w:rPr>
        <w:t xml:space="preserve"> </w:t>
      </w:r>
      <w:r w:rsidR="00796090" w:rsidRPr="000B4AB2">
        <w:rPr>
          <w:szCs w:val="18"/>
          <w:lang w:val="nl-NL"/>
        </w:rPr>
        <w:t xml:space="preserve">strafbaarstellingen </w:t>
      </w:r>
      <w:r w:rsidR="00B07942" w:rsidRPr="000B4AB2">
        <w:rPr>
          <w:szCs w:val="18"/>
          <w:lang w:val="nl-NL"/>
        </w:rPr>
        <w:t>en</w:t>
      </w:r>
      <w:r w:rsidR="00951CED" w:rsidRPr="000B4AB2">
        <w:rPr>
          <w:szCs w:val="18"/>
          <w:lang w:val="nl-NL"/>
        </w:rPr>
        <w:t xml:space="preserve"> </w:t>
      </w:r>
      <w:r w:rsidR="00B07942" w:rsidRPr="000B4AB2">
        <w:rPr>
          <w:szCs w:val="18"/>
          <w:lang w:val="nl-NL"/>
        </w:rPr>
        <w:t>temporele werking</w:t>
      </w:r>
      <w:bookmarkEnd w:id="19"/>
    </w:p>
    <w:p w14:paraId="3E4F0C6B" w14:textId="4908B274" w:rsidR="000B1094" w:rsidRPr="000B4AB2" w:rsidRDefault="000B1094" w:rsidP="00260F11">
      <w:pPr>
        <w:spacing w:line="360" w:lineRule="auto"/>
        <w:rPr>
          <w:lang w:val="nl-NL"/>
        </w:rPr>
      </w:pPr>
    </w:p>
    <w:p w14:paraId="2FB52DC8" w14:textId="5E4E3D66" w:rsidR="00A341CE" w:rsidRPr="00A341CE" w:rsidRDefault="00B00AE2"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Structuur</w:t>
      </w:r>
      <w:r w:rsidRPr="000B4AB2">
        <w:rPr>
          <w:color w:val="000000" w:themeColor="text1"/>
          <w:szCs w:val="18"/>
          <w:lang w:val="nl-NL"/>
        </w:rPr>
        <w:t xml:space="preserve">. </w:t>
      </w:r>
      <w:r w:rsidR="00A341CE" w:rsidRPr="00A341CE">
        <w:rPr>
          <w:color w:val="000000" w:themeColor="text1"/>
          <w:szCs w:val="18"/>
          <w:lang w:val="nl-NL"/>
        </w:rPr>
        <w:t xml:space="preserve">In </w:t>
      </w:r>
      <w:r w:rsidR="00BA727D">
        <w:rPr>
          <w:color w:val="000000" w:themeColor="text1"/>
          <w:szCs w:val="18"/>
          <w:lang w:val="nl-NL"/>
        </w:rPr>
        <w:t>wat volgt,</w:t>
      </w:r>
      <w:r w:rsidR="00A341CE" w:rsidRPr="00A341CE">
        <w:rPr>
          <w:color w:val="000000" w:themeColor="text1"/>
          <w:szCs w:val="18"/>
          <w:lang w:val="nl-NL"/>
        </w:rPr>
        <w:t xml:space="preserve"> wordt </w:t>
      </w:r>
      <w:r w:rsidR="00984D83">
        <w:rPr>
          <w:color w:val="000000" w:themeColor="text1"/>
          <w:szCs w:val="18"/>
          <w:lang w:val="nl-NL"/>
        </w:rPr>
        <w:t xml:space="preserve">een </w:t>
      </w:r>
      <w:r w:rsidR="00A341CE" w:rsidRPr="00A341CE">
        <w:rPr>
          <w:color w:val="000000" w:themeColor="text1"/>
          <w:szCs w:val="18"/>
          <w:lang w:val="nl-NL"/>
        </w:rPr>
        <w:t xml:space="preserve">deelantwoord geformuleerd op de </w:t>
      </w:r>
      <w:r w:rsidR="00A341CE">
        <w:rPr>
          <w:color w:val="000000" w:themeColor="text1"/>
          <w:szCs w:val="18"/>
          <w:lang w:val="nl-NL"/>
        </w:rPr>
        <w:t>derde</w:t>
      </w:r>
      <w:r w:rsidR="00A341CE" w:rsidRPr="00A341CE">
        <w:rPr>
          <w:color w:val="000000" w:themeColor="text1"/>
          <w:szCs w:val="18"/>
          <w:lang w:val="nl-NL"/>
        </w:rPr>
        <w:t xml:space="preserve"> subonderzoeksvraag.</w:t>
      </w:r>
      <w:r w:rsidR="00984D83">
        <w:rPr>
          <w:rStyle w:val="FootnoteReference"/>
          <w:color w:val="000000" w:themeColor="text1"/>
          <w:szCs w:val="18"/>
          <w:lang w:val="nl-NL"/>
        </w:rPr>
        <w:footnoteReference w:id="182"/>
      </w:r>
      <w:r w:rsidR="00984D83">
        <w:rPr>
          <w:color w:val="000000" w:themeColor="text1"/>
          <w:szCs w:val="18"/>
          <w:lang w:val="nl-NL"/>
        </w:rPr>
        <w:t xml:space="preserve"> </w:t>
      </w:r>
      <w:r w:rsidR="00A341CE" w:rsidRPr="00A341CE">
        <w:rPr>
          <w:color w:val="000000" w:themeColor="text1"/>
          <w:szCs w:val="18"/>
          <w:lang w:val="nl-NL"/>
        </w:rPr>
        <w:t xml:space="preserve">Met name zal worden nagegaan </w:t>
      </w:r>
      <w:r w:rsidR="00A341CE">
        <w:rPr>
          <w:color w:val="000000" w:themeColor="text1"/>
          <w:szCs w:val="18"/>
          <w:lang w:val="nl-NL"/>
        </w:rPr>
        <w:t>in hoeverre</w:t>
      </w:r>
      <w:r w:rsidR="00A341CE" w:rsidRPr="00A341CE">
        <w:rPr>
          <w:color w:val="000000" w:themeColor="text1"/>
          <w:szCs w:val="18"/>
          <w:lang w:val="nl-NL"/>
        </w:rPr>
        <w:t xml:space="preserve"> de constitutieve bestanddelen van de oude strafbaarstelling van aanranding van de eerbaarheid </w:t>
      </w:r>
      <w:r w:rsidR="00A341CE">
        <w:rPr>
          <w:color w:val="000000" w:themeColor="text1"/>
          <w:szCs w:val="18"/>
          <w:lang w:val="nl-NL"/>
        </w:rPr>
        <w:t xml:space="preserve">verschillen t.o.v. </w:t>
      </w:r>
      <w:r w:rsidR="00BA727D">
        <w:rPr>
          <w:color w:val="000000" w:themeColor="text1"/>
          <w:szCs w:val="18"/>
          <w:lang w:val="nl-NL"/>
        </w:rPr>
        <w:t xml:space="preserve">deze van </w:t>
      </w:r>
      <w:r w:rsidR="00A341CE">
        <w:rPr>
          <w:color w:val="000000" w:themeColor="text1"/>
          <w:szCs w:val="18"/>
          <w:lang w:val="nl-NL"/>
        </w:rPr>
        <w:t>de huidige strafbaarstelling</w:t>
      </w:r>
      <w:r w:rsidR="00A341CE" w:rsidRPr="00A341CE">
        <w:rPr>
          <w:color w:val="000000" w:themeColor="text1"/>
          <w:szCs w:val="18"/>
          <w:lang w:val="nl-NL"/>
        </w:rPr>
        <w:t>.</w:t>
      </w:r>
    </w:p>
    <w:p w14:paraId="3AE424A6" w14:textId="77777777" w:rsidR="00C71889" w:rsidRPr="000B4AB2" w:rsidRDefault="00C71889" w:rsidP="00260F11">
      <w:pPr>
        <w:pStyle w:val="ListParagraph"/>
        <w:spacing w:line="360" w:lineRule="auto"/>
        <w:ind w:left="0"/>
        <w:rPr>
          <w:b/>
          <w:color w:val="000000" w:themeColor="text1"/>
          <w:szCs w:val="18"/>
          <w:lang w:val="nl-NL"/>
        </w:rPr>
      </w:pPr>
    </w:p>
    <w:p w14:paraId="146B7FB1" w14:textId="1B4D184D" w:rsidR="00C71889" w:rsidRPr="000B4AB2" w:rsidRDefault="00984D83" w:rsidP="00260F11">
      <w:pPr>
        <w:pStyle w:val="ListParagraph"/>
        <w:spacing w:line="360" w:lineRule="auto"/>
        <w:ind w:left="0"/>
        <w:rPr>
          <w:color w:val="000000" w:themeColor="text1"/>
          <w:szCs w:val="18"/>
          <w:lang w:val="nl-NL"/>
        </w:rPr>
      </w:pPr>
      <w:r>
        <w:rPr>
          <w:color w:val="000000" w:themeColor="text1"/>
          <w:szCs w:val="18"/>
          <w:lang w:val="nl-NL"/>
        </w:rPr>
        <w:t xml:space="preserve">Daarnaast wordt </w:t>
      </w:r>
      <w:r w:rsidR="00A341CE">
        <w:rPr>
          <w:color w:val="000000" w:themeColor="text1"/>
          <w:szCs w:val="18"/>
          <w:lang w:val="nl-NL"/>
        </w:rPr>
        <w:t xml:space="preserve">een </w:t>
      </w:r>
      <w:r w:rsidR="001625A2">
        <w:rPr>
          <w:color w:val="000000" w:themeColor="text1"/>
          <w:szCs w:val="18"/>
          <w:lang w:val="nl-NL"/>
        </w:rPr>
        <w:t>deel</w:t>
      </w:r>
      <w:r w:rsidR="00A341CE">
        <w:rPr>
          <w:color w:val="000000" w:themeColor="text1"/>
          <w:szCs w:val="18"/>
          <w:lang w:val="nl-NL"/>
        </w:rPr>
        <w:t>antwoord geformuleerd op de vierde subonderzoeksvraag.</w:t>
      </w:r>
      <w:r>
        <w:rPr>
          <w:rStyle w:val="FootnoteReference"/>
          <w:color w:val="000000" w:themeColor="text1"/>
          <w:szCs w:val="18"/>
          <w:lang w:val="nl-NL"/>
        </w:rPr>
        <w:footnoteReference w:id="183"/>
      </w:r>
      <w:r w:rsidR="00A341CE">
        <w:rPr>
          <w:color w:val="000000" w:themeColor="text1"/>
          <w:szCs w:val="18"/>
          <w:lang w:val="nl-NL"/>
        </w:rPr>
        <w:t xml:space="preserve"> </w:t>
      </w:r>
      <w:r>
        <w:rPr>
          <w:color w:val="000000" w:themeColor="text1"/>
          <w:szCs w:val="18"/>
          <w:lang w:val="nl-NL"/>
        </w:rPr>
        <w:t>Met name zal a</w:t>
      </w:r>
      <w:r w:rsidR="00376C61">
        <w:rPr>
          <w:color w:val="000000" w:themeColor="text1"/>
          <w:szCs w:val="18"/>
          <w:lang w:val="nl-NL"/>
        </w:rPr>
        <w:t>.d.h.v.</w:t>
      </w:r>
      <w:r w:rsidR="000B1094" w:rsidRPr="000B4AB2">
        <w:rPr>
          <w:color w:val="000000" w:themeColor="text1"/>
          <w:szCs w:val="18"/>
          <w:lang w:val="nl-NL"/>
        </w:rPr>
        <w:t xml:space="preserve"> </w:t>
      </w:r>
      <w:r>
        <w:rPr>
          <w:color w:val="000000" w:themeColor="text1"/>
          <w:szCs w:val="18"/>
          <w:lang w:val="nl-NL"/>
        </w:rPr>
        <w:t>de interne</w:t>
      </w:r>
      <w:r w:rsidR="000B1094" w:rsidRPr="000B4AB2">
        <w:rPr>
          <w:color w:val="000000" w:themeColor="text1"/>
          <w:szCs w:val="18"/>
          <w:lang w:val="nl-NL"/>
        </w:rPr>
        <w:t xml:space="preserve"> </w:t>
      </w:r>
      <w:r>
        <w:rPr>
          <w:color w:val="000000" w:themeColor="text1"/>
          <w:szCs w:val="18"/>
          <w:lang w:val="nl-NL"/>
        </w:rPr>
        <w:t>rechts</w:t>
      </w:r>
      <w:r w:rsidR="000B1094" w:rsidRPr="000B4AB2">
        <w:rPr>
          <w:color w:val="000000" w:themeColor="text1"/>
          <w:szCs w:val="18"/>
          <w:lang w:val="nl-NL"/>
        </w:rPr>
        <w:t xml:space="preserve">vergelijking de temporele werking van de </w:t>
      </w:r>
      <w:r>
        <w:rPr>
          <w:color w:val="000000" w:themeColor="text1"/>
          <w:szCs w:val="18"/>
          <w:lang w:val="nl-NL"/>
        </w:rPr>
        <w:t>huidige</w:t>
      </w:r>
      <w:r w:rsidR="000B1094" w:rsidRPr="000B4AB2">
        <w:rPr>
          <w:color w:val="000000" w:themeColor="text1"/>
          <w:szCs w:val="18"/>
          <w:lang w:val="nl-NL"/>
        </w:rPr>
        <w:t xml:space="preserve"> strafbaarstelling</w:t>
      </w:r>
      <w:r>
        <w:rPr>
          <w:color w:val="000000" w:themeColor="text1"/>
          <w:szCs w:val="18"/>
          <w:lang w:val="nl-NL"/>
        </w:rPr>
        <w:t xml:space="preserve"> uiteen worden gezet</w:t>
      </w:r>
      <w:r w:rsidR="000B1094" w:rsidRPr="000B4AB2">
        <w:rPr>
          <w:color w:val="000000" w:themeColor="text1"/>
          <w:szCs w:val="18"/>
          <w:lang w:val="nl-NL"/>
        </w:rPr>
        <w:t>.</w:t>
      </w:r>
      <w:r w:rsidR="00A341CE">
        <w:rPr>
          <w:color w:val="000000" w:themeColor="text1"/>
          <w:szCs w:val="18"/>
          <w:lang w:val="nl-NL"/>
        </w:rPr>
        <w:t xml:space="preserve"> </w:t>
      </w:r>
      <w:r>
        <w:rPr>
          <w:color w:val="000000" w:themeColor="text1"/>
          <w:szCs w:val="18"/>
          <w:lang w:val="nl-NL"/>
        </w:rPr>
        <w:t>Dit</w:t>
      </w:r>
      <w:r w:rsidR="0017375E" w:rsidRPr="000B4AB2">
        <w:rPr>
          <w:color w:val="000000" w:themeColor="text1"/>
          <w:szCs w:val="18"/>
          <w:lang w:val="nl-NL"/>
        </w:rPr>
        <w:t xml:space="preserve"> zal </w:t>
      </w:r>
      <w:r w:rsidR="00B07942" w:rsidRPr="000B4AB2">
        <w:rPr>
          <w:color w:val="000000" w:themeColor="text1"/>
          <w:szCs w:val="18"/>
          <w:lang w:val="nl-NL"/>
        </w:rPr>
        <w:t xml:space="preserve">duidelijkheidshalve </w:t>
      </w:r>
      <w:r w:rsidR="0017375E" w:rsidRPr="000B4AB2">
        <w:rPr>
          <w:color w:val="000000" w:themeColor="text1"/>
          <w:szCs w:val="18"/>
          <w:lang w:val="nl-NL"/>
        </w:rPr>
        <w:t xml:space="preserve">opnieuw </w:t>
      </w:r>
      <w:r w:rsidR="00B07942" w:rsidRPr="000B4AB2">
        <w:rPr>
          <w:color w:val="000000" w:themeColor="text1"/>
          <w:szCs w:val="18"/>
          <w:lang w:val="nl-NL"/>
        </w:rPr>
        <w:t>plaatsvinden</w:t>
      </w:r>
      <w:r w:rsidR="0017375E" w:rsidRPr="000B4AB2">
        <w:rPr>
          <w:color w:val="000000" w:themeColor="text1"/>
          <w:szCs w:val="18"/>
          <w:lang w:val="nl-NL"/>
        </w:rPr>
        <w:t xml:space="preserve"> per constitutief bestanddeel van het misdrijf</w:t>
      </w:r>
      <w:r w:rsidR="00716614">
        <w:rPr>
          <w:color w:val="000000" w:themeColor="text1"/>
          <w:szCs w:val="18"/>
          <w:lang w:val="nl-NL"/>
        </w:rPr>
        <w:t xml:space="preserve">. </w:t>
      </w:r>
      <w:r>
        <w:rPr>
          <w:color w:val="000000" w:themeColor="text1"/>
          <w:szCs w:val="18"/>
          <w:lang w:val="nl-NL"/>
        </w:rPr>
        <w:t>Zo</w:t>
      </w:r>
      <w:r w:rsidR="00716614">
        <w:rPr>
          <w:color w:val="000000" w:themeColor="text1"/>
          <w:szCs w:val="18"/>
          <w:lang w:val="nl-NL"/>
        </w:rPr>
        <w:t xml:space="preserve"> </w:t>
      </w:r>
      <w:r w:rsidR="00C71889" w:rsidRPr="000B4AB2">
        <w:rPr>
          <w:color w:val="000000" w:themeColor="text1"/>
          <w:szCs w:val="18"/>
          <w:lang w:val="nl-NL"/>
        </w:rPr>
        <w:t>wordt duidelijk waar de verschillen tussen de oude en de nieuwe strafbepaling</w:t>
      </w:r>
      <w:r>
        <w:rPr>
          <w:color w:val="000000" w:themeColor="text1"/>
          <w:szCs w:val="18"/>
          <w:lang w:val="nl-NL"/>
        </w:rPr>
        <w:t xml:space="preserve"> </w:t>
      </w:r>
      <w:r w:rsidRPr="000B4AB2">
        <w:rPr>
          <w:color w:val="000000" w:themeColor="text1"/>
          <w:szCs w:val="18"/>
          <w:lang w:val="nl-NL"/>
        </w:rPr>
        <w:t>precies zitten</w:t>
      </w:r>
      <w:r w:rsidR="00C71889" w:rsidRPr="000B4AB2">
        <w:rPr>
          <w:color w:val="000000" w:themeColor="text1"/>
          <w:szCs w:val="18"/>
          <w:lang w:val="nl-NL"/>
        </w:rPr>
        <w:t>. Hoewel dit een versnipperd beeld kan geven</w:t>
      </w:r>
      <w:r>
        <w:rPr>
          <w:color w:val="000000" w:themeColor="text1"/>
          <w:szCs w:val="18"/>
          <w:lang w:val="nl-NL"/>
        </w:rPr>
        <w:t xml:space="preserve"> van de temporele werking</w:t>
      </w:r>
      <w:r w:rsidR="00C71889" w:rsidRPr="000B4AB2">
        <w:rPr>
          <w:color w:val="000000" w:themeColor="text1"/>
          <w:szCs w:val="18"/>
          <w:lang w:val="nl-NL"/>
        </w:rPr>
        <w:t>, is dit</w:t>
      </w:r>
      <w:r>
        <w:rPr>
          <w:color w:val="000000" w:themeColor="text1"/>
          <w:szCs w:val="18"/>
          <w:lang w:val="nl-NL"/>
        </w:rPr>
        <w:t xml:space="preserve"> gelet op</w:t>
      </w:r>
      <w:r w:rsidR="00C71889" w:rsidRPr="000B4AB2">
        <w:rPr>
          <w:color w:val="000000" w:themeColor="text1"/>
          <w:szCs w:val="18"/>
          <w:lang w:val="nl-NL"/>
        </w:rPr>
        <w:t xml:space="preserve"> voornoemde redenen toch aangewezen.</w:t>
      </w:r>
      <w:r w:rsidR="00C71889" w:rsidRPr="000B4AB2">
        <w:rPr>
          <w:rStyle w:val="FootnoteReference"/>
          <w:color w:val="000000" w:themeColor="text1"/>
          <w:szCs w:val="18"/>
          <w:lang w:val="nl-NL"/>
        </w:rPr>
        <w:footnoteReference w:id="184"/>
      </w:r>
      <w:r w:rsidR="00A341CE">
        <w:rPr>
          <w:color w:val="000000" w:themeColor="text1"/>
          <w:szCs w:val="18"/>
          <w:lang w:val="nl-NL"/>
        </w:rPr>
        <w:t xml:space="preserve"> </w:t>
      </w:r>
    </w:p>
    <w:p w14:paraId="15D2AF38" w14:textId="77777777" w:rsidR="00C71889" w:rsidRPr="000B4AB2" w:rsidRDefault="00C71889" w:rsidP="00260F11">
      <w:pPr>
        <w:pStyle w:val="ListParagraph"/>
        <w:spacing w:line="360" w:lineRule="auto"/>
        <w:ind w:left="0"/>
        <w:rPr>
          <w:b/>
          <w:color w:val="000000" w:themeColor="text1"/>
          <w:szCs w:val="18"/>
          <w:lang w:val="nl-NL"/>
        </w:rPr>
      </w:pPr>
    </w:p>
    <w:p w14:paraId="224AD436" w14:textId="4C8857F7" w:rsidR="00B00AE2" w:rsidRDefault="008E422A" w:rsidP="00260F11">
      <w:pPr>
        <w:pStyle w:val="ListParagraph"/>
        <w:spacing w:line="360" w:lineRule="auto"/>
        <w:ind w:left="0"/>
        <w:rPr>
          <w:color w:val="000000" w:themeColor="text1"/>
          <w:szCs w:val="18"/>
          <w:lang w:val="nl-NL"/>
        </w:rPr>
      </w:pPr>
      <w:r w:rsidRPr="000B4AB2">
        <w:rPr>
          <w:color w:val="000000" w:themeColor="text1"/>
          <w:szCs w:val="18"/>
          <w:lang w:val="nl-NL"/>
        </w:rPr>
        <w:t>Alvorens hiertoe over te gaan,</w:t>
      </w:r>
      <w:r w:rsidR="00974AD0" w:rsidRPr="000B4AB2">
        <w:rPr>
          <w:color w:val="000000" w:themeColor="text1"/>
          <w:szCs w:val="18"/>
          <w:lang w:val="nl-NL"/>
        </w:rPr>
        <w:t xml:space="preserve"> dienen eerst de basisprincipes inzake de werking van de strafwet in de tijd in herinnering te worden gebracht.</w:t>
      </w:r>
    </w:p>
    <w:p w14:paraId="1BE8E57A" w14:textId="77777777" w:rsidR="00B00AE2" w:rsidRPr="000B4AB2" w:rsidRDefault="00B00AE2" w:rsidP="00260F11">
      <w:pPr>
        <w:pStyle w:val="ListParagraph"/>
        <w:spacing w:line="360" w:lineRule="auto"/>
        <w:ind w:left="0"/>
        <w:rPr>
          <w:color w:val="000000" w:themeColor="text1"/>
          <w:szCs w:val="18"/>
          <w:lang w:val="nl-NL"/>
        </w:rPr>
      </w:pPr>
    </w:p>
    <w:p w14:paraId="7696A90E" w14:textId="6ECD5402" w:rsidR="00426267" w:rsidRPr="000B4AB2" w:rsidRDefault="00B00AE2"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Basisprincipes temporele werking van de </w:t>
      </w:r>
      <w:r w:rsidR="00B07942" w:rsidRPr="000B4AB2">
        <w:rPr>
          <w:b/>
          <w:color w:val="000000" w:themeColor="text1"/>
          <w:szCs w:val="18"/>
          <w:lang w:val="nl-NL"/>
        </w:rPr>
        <w:t>s</w:t>
      </w:r>
      <w:r w:rsidRPr="000B4AB2">
        <w:rPr>
          <w:b/>
          <w:color w:val="000000" w:themeColor="text1"/>
          <w:szCs w:val="18"/>
          <w:lang w:val="nl-NL"/>
        </w:rPr>
        <w:t>trafwet</w:t>
      </w:r>
      <w:r w:rsidRPr="000B4AB2">
        <w:rPr>
          <w:color w:val="000000" w:themeColor="text1"/>
          <w:szCs w:val="18"/>
          <w:lang w:val="nl-NL"/>
        </w:rPr>
        <w:t>.</w:t>
      </w:r>
      <w:r w:rsidR="00BC7D76" w:rsidRPr="000B4AB2">
        <w:rPr>
          <w:rStyle w:val="FootnoteReference"/>
          <w:color w:val="000000" w:themeColor="text1"/>
          <w:szCs w:val="18"/>
          <w:lang w:val="nl-NL"/>
        </w:rPr>
        <w:footnoteReference w:id="185"/>
      </w:r>
      <w:r w:rsidR="00B07942" w:rsidRPr="000B4AB2">
        <w:rPr>
          <w:color w:val="000000" w:themeColor="text1"/>
          <w:szCs w:val="18"/>
          <w:lang w:val="nl-NL"/>
        </w:rPr>
        <w:t xml:space="preserve"> </w:t>
      </w:r>
      <w:r w:rsidR="00426267" w:rsidRPr="000B4AB2">
        <w:rPr>
          <w:color w:val="000000" w:themeColor="text1"/>
          <w:szCs w:val="18"/>
          <w:lang w:val="nl-NL"/>
        </w:rPr>
        <w:t>De wet van 21 maart 2022 trad in werking op 1 juni van datzelfde jaar.</w:t>
      </w:r>
      <w:r w:rsidR="00426267" w:rsidRPr="000B4AB2">
        <w:rPr>
          <w:rStyle w:val="FootnoteReference"/>
          <w:color w:val="000000" w:themeColor="text1"/>
          <w:szCs w:val="18"/>
          <w:lang w:val="nl-NL"/>
        </w:rPr>
        <w:footnoteReference w:id="186"/>
      </w:r>
      <w:r w:rsidR="00426267" w:rsidRPr="000B4AB2">
        <w:rPr>
          <w:color w:val="000000" w:themeColor="text1"/>
          <w:szCs w:val="18"/>
          <w:lang w:val="nl-NL"/>
        </w:rPr>
        <w:t xml:space="preserve"> </w:t>
      </w:r>
      <w:r w:rsidR="00984D83">
        <w:rPr>
          <w:color w:val="000000" w:themeColor="text1"/>
          <w:szCs w:val="18"/>
          <w:lang w:val="nl-NL"/>
        </w:rPr>
        <w:t>Deze</w:t>
      </w:r>
      <w:r w:rsidR="00426267" w:rsidRPr="000B4AB2">
        <w:rPr>
          <w:color w:val="000000" w:themeColor="text1"/>
          <w:szCs w:val="18"/>
          <w:lang w:val="nl-NL"/>
        </w:rPr>
        <w:t xml:space="preserve"> wet is dus van toepassing op feiten gepleegd vanaf 1 juni 2022. Moeilijker is echter de vraag naar de temporele werking van voornoemde wet op feiten die voor deze datum werden gepleegd, maar waarover nog </w:t>
      </w:r>
      <w:r w:rsidR="00984D83">
        <w:rPr>
          <w:color w:val="000000" w:themeColor="text1"/>
          <w:szCs w:val="18"/>
          <w:lang w:val="nl-NL"/>
        </w:rPr>
        <w:t>g</w:t>
      </w:r>
      <w:r w:rsidR="00426267" w:rsidRPr="000B4AB2">
        <w:rPr>
          <w:color w:val="000000" w:themeColor="text1"/>
          <w:szCs w:val="18"/>
          <w:lang w:val="nl-NL"/>
        </w:rPr>
        <w:t>een definitieve uitspraak</w:t>
      </w:r>
      <w:r w:rsidR="00984D83">
        <w:rPr>
          <w:color w:val="000000" w:themeColor="text1"/>
          <w:szCs w:val="18"/>
          <w:lang w:val="nl-NL"/>
        </w:rPr>
        <w:t xml:space="preserve"> werd gedaan</w:t>
      </w:r>
      <w:r w:rsidR="00426267" w:rsidRPr="000B4AB2">
        <w:rPr>
          <w:color w:val="000000" w:themeColor="text1"/>
          <w:szCs w:val="18"/>
          <w:lang w:val="nl-NL"/>
        </w:rPr>
        <w:t>.</w:t>
      </w:r>
      <w:r w:rsidR="00984D83" w:rsidRPr="000B4AB2">
        <w:rPr>
          <w:rStyle w:val="FootnoteReference"/>
          <w:color w:val="000000" w:themeColor="text1"/>
          <w:szCs w:val="18"/>
          <w:lang w:val="nl-NL"/>
        </w:rPr>
        <w:footnoteReference w:id="187"/>
      </w:r>
      <w:r w:rsidR="007B08D1" w:rsidRPr="000B4AB2">
        <w:rPr>
          <w:color w:val="000000" w:themeColor="text1"/>
          <w:szCs w:val="18"/>
          <w:lang w:val="nl-NL"/>
        </w:rPr>
        <w:t xml:space="preserve"> </w:t>
      </w:r>
      <w:r w:rsidR="003C5850" w:rsidRPr="000B4AB2">
        <w:rPr>
          <w:color w:val="000000" w:themeColor="text1"/>
          <w:szCs w:val="18"/>
          <w:lang w:val="nl-NL"/>
        </w:rPr>
        <w:t>Om deze vraag</w:t>
      </w:r>
      <w:r w:rsidR="00984D83">
        <w:rPr>
          <w:color w:val="000000" w:themeColor="text1"/>
          <w:szCs w:val="18"/>
          <w:lang w:val="nl-NL"/>
        </w:rPr>
        <w:t xml:space="preserve"> </w:t>
      </w:r>
      <w:r w:rsidR="003C5850" w:rsidRPr="000B4AB2">
        <w:rPr>
          <w:color w:val="000000" w:themeColor="text1"/>
          <w:szCs w:val="18"/>
          <w:lang w:val="nl-NL"/>
        </w:rPr>
        <w:t xml:space="preserve">te kunnen beantwoorden </w:t>
      </w:r>
      <w:r w:rsidR="004F7B09" w:rsidRPr="000B4AB2">
        <w:rPr>
          <w:color w:val="000000" w:themeColor="text1"/>
          <w:szCs w:val="18"/>
          <w:lang w:val="nl-NL"/>
        </w:rPr>
        <w:t xml:space="preserve">dienen </w:t>
      </w:r>
      <w:r w:rsidR="00984D83">
        <w:rPr>
          <w:color w:val="000000" w:themeColor="text1"/>
          <w:szCs w:val="18"/>
          <w:lang w:val="nl-NL"/>
        </w:rPr>
        <w:t>eerst</w:t>
      </w:r>
      <w:r w:rsidR="004F7B09" w:rsidRPr="000B4AB2">
        <w:rPr>
          <w:color w:val="000000" w:themeColor="text1"/>
          <w:szCs w:val="18"/>
          <w:lang w:val="nl-NL"/>
        </w:rPr>
        <w:t xml:space="preserve"> enkele principes inzake de temporele werking van de strafwet </w:t>
      </w:r>
      <w:r w:rsidR="00984D83">
        <w:rPr>
          <w:color w:val="000000" w:themeColor="text1"/>
          <w:szCs w:val="18"/>
          <w:lang w:val="nl-NL"/>
        </w:rPr>
        <w:t>te worden uiteengezet</w:t>
      </w:r>
      <w:r w:rsidR="004F7B09" w:rsidRPr="000B4AB2">
        <w:rPr>
          <w:color w:val="000000" w:themeColor="text1"/>
          <w:szCs w:val="18"/>
          <w:lang w:val="nl-NL"/>
        </w:rPr>
        <w:t xml:space="preserve">. </w:t>
      </w:r>
    </w:p>
    <w:p w14:paraId="0CE07E11" w14:textId="77777777" w:rsidR="00426267" w:rsidRPr="000B4AB2" w:rsidRDefault="00426267" w:rsidP="00260F11">
      <w:pPr>
        <w:pStyle w:val="ListParagraph"/>
        <w:spacing w:line="360" w:lineRule="auto"/>
        <w:rPr>
          <w:color w:val="000000" w:themeColor="text1"/>
          <w:szCs w:val="18"/>
          <w:lang w:val="nl-NL"/>
        </w:rPr>
      </w:pPr>
    </w:p>
    <w:p w14:paraId="13CFB8F4" w14:textId="1E0733BC" w:rsidR="00347614" w:rsidRPr="000B4AB2" w:rsidRDefault="004F7B09"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Het materieelrechtelijk legaliteitsbeginsel in strafzaken wordt </w:t>
      </w:r>
      <w:r w:rsidR="005238DF" w:rsidRPr="000B4AB2">
        <w:rPr>
          <w:color w:val="000000" w:themeColor="text1"/>
          <w:szCs w:val="18"/>
          <w:lang w:val="nl-NL"/>
        </w:rPr>
        <w:t>vaak</w:t>
      </w:r>
      <w:r w:rsidRPr="000B4AB2">
        <w:rPr>
          <w:color w:val="000000" w:themeColor="text1"/>
          <w:szCs w:val="18"/>
          <w:lang w:val="nl-NL"/>
        </w:rPr>
        <w:t xml:space="preserve"> samengevat met het adagium </w:t>
      </w:r>
      <w:r w:rsidRPr="000B4AB2">
        <w:rPr>
          <w:i/>
          <w:color w:val="000000" w:themeColor="text1"/>
          <w:szCs w:val="18"/>
          <w:lang w:val="nl-NL"/>
        </w:rPr>
        <w:t>“nullum crimen, nulla poena sine lege”</w:t>
      </w:r>
      <w:r w:rsidR="00FB724C" w:rsidRPr="000B4AB2">
        <w:rPr>
          <w:i/>
          <w:color w:val="000000" w:themeColor="text1"/>
          <w:szCs w:val="18"/>
          <w:lang w:val="nl-NL"/>
        </w:rPr>
        <w:t xml:space="preserve">, </w:t>
      </w:r>
      <w:r w:rsidR="00FB724C" w:rsidRPr="000B4AB2">
        <w:rPr>
          <w:color w:val="000000" w:themeColor="text1"/>
          <w:szCs w:val="18"/>
          <w:lang w:val="nl-NL"/>
        </w:rPr>
        <w:t>hetgeen</w:t>
      </w:r>
      <w:r w:rsidR="00256091">
        <w:rPr>
          <w:color w:val="000000" w:themeColor="text1"/>
          <w:szCs w:val="18"/>
          <w:lang w:val="nl-NL"/>
        </w:rPr>
        <w:t xml:space="preserve"> o.m.</w:t>
      </w:r>
      <w:r w:rsidR="00FB724C" w:rsidRPr="000B4AB2">
        <w:rPr>
          <w:color w:val="000000" w:themeColor="text1"/>
          <w:szCs w:val="18"/>
          <w:lang w:val="nl-NL"/>
        </w:rPr>
        <w:t xml:space="preserve"> betekent dat de </w:t>
      </w:r>
      <w:r w:rsidRPr="000B4AB2">
        <w:rPr>
          <w:color w:val="000000" w:themeColor="text1"/>
          <w:szCs w:val="18"/>
          <w:lang w:val="nl-NL"/>
        </w:rPr>
        <w:t>gedragingen die strafbaar zijn en de straffen die daarop staan door of krachtens een wet</w:t>
      </w:r>
      <w:r w:rsidR="003E6501">
        <w:rPr>
          <w:color w:val="000000" w:themeColor="text1"/>
          <w:szCs w:val="18"/>
          <w:lang w:val="nl-NL"/>
        </w:rPr>
        <w:t>gevende norm</w:t>
      </w:r>
      <w:r w:rsidRPr="000B4AB2">
        <w:rPr>
          <w:color w:val="000000" w:themeColor="text1"/>
          <w:szCs w:val="18"/>
          <w:lang w:val="nl-NL"/>
        </w:rPr>
        <w:t xml:space="preserve"> </w:t>
      </w:r>
      <w:r w:rsidR="003E6501">
        <w:rPr>
          <w:color w:val="000000" w:themeColor="text1"/>
          <w:szCs w:val="18"/>
          <w:lang w:val="nl-NL"/>
        </w:rPr>
        <w:t xml:space="preserve">moeten </w:t>
      </w:r>
      <w:r w:rsidRPr="000B4AB2">
        <w:rPr>
          <w:color w:val="000000" w:themeColor="text1"/>
          <w:szCs w:val="18"/>
          <w:lang w:val="nl-NL"/>
        </w:rPr>
        <w:t xml:space="preserve">worden bepaald. Dit moet bovendien </w:t>
      </w:r>
      <w:r w:rsidR="00FB724C" w:rsidRPr="000B4AB2">
        <w:rPr>
          <w:color w:val="000000" w:themeColor="text1"/>
          <w:szCs w:val="18"/>
          <w:lang w:val="nl-NL"/>
        </w:rPr>
        <w:t>zo</w:t>
      </w:r>
      <w:r w:rsidRPr="000B4AB2">
        <w:rPr>
          <w:color w:val="000000" w:themeColor="text1"/>
          <w:szCs w:val="18"/>
          <w:lang w:val="nl-NL"/>
        </w:rPr>
        <w:t xml:space="preserve"> zijn op het ogenblik waarop de gedraging plaatsvond. </w:t>
      </w:r>
      <w:r w:rsidR="00347614" w:rsidRPr="000B4AB2">
        <w:rPr>
          <w:color w:val="000000" w:themeColor="text1"/>
          <w:szCs w:val="18"/>
          <w:lang w:val="nl-NL"/>
        </w:rPr>
        <w:t>Om het strafbare karakter van een bepaalde gedraging te kunnen beoordelen dient dan ook in beginsel te worden gekeken naar de strafwet zoals deze gold op het ogenblik waarop de gedraging plaatsvond.</w:t>
      </w:r>
      <w:r w:rsidR="00256091">
        <w:rPr>
          <w:rStyle w:val="FootnoteReference"/>
          <w:color w:val="000000" w:themeColor="text1"/>
          <w:szCs w:val="18"/>
          <w:lang w:val="nl-NL"/>
        </w:rPr>
        <w:footnoteReference w:id="188"/>
      </w:r>
    </w:p>
    <w:p w14:paraId="7D96D5B6" w14:textId="77777777" w:rsidR="00347614" w:rsidRPr="000B4AB2" w:rsidRDefault="00347614" w:rsidP="00260F11">
      <w:pPr>
        <w:pStyle w:val="ListParagraph"/>
        <w:spacing w:line="360" w:lineRule="auto"/>
        <w:ind w:left="0"/>
        <w:rPr>
          <w:color w:val="000000" w:themeColor="text1"/>
          <w:szCs w:val="18"/>
          <w:lang w:val="nl-NL"/>
        </w:rPr>
      </w:pPr>
    </w:p>
    <w:p w14:paraId="3F68B263" w14:textId="2ABCE06D" w:rsidR="005648CB" w:rsidRDefault="004F7B09"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In de Belgische rechtsorde is dit beginsel </w:t>
      </w:r>
      <w:r w:rsidR="00984D83">
        <w:rPr>
          <w:color w:val="000000" w:themeColor="text1"/>
          <w:szCs w:val="18"/>
          <w:lang w:val="nl-NL"/>
        </w:rPr>
        <w:t xml:space="preserve">o.m. </w:t>
      </w:r>
      <w:r w:rsidRPr="000B4AB2">
        <w:rPr>
          <w:color w:val="000000" w:themeColor="text1"/>
          <w:szCs w:val="18"/>
          <w:lang w:val="nl-NL"/>
        </w:rPr>
        <w:t>verankerd in artikel 12 en 14 van de Grondwet</w:t>
      </w:r>
      <w:r w:rsidR="00984D83">
        <w:rPr>
          <w:color w:val="000000" w:themeColor="text1"/>
          <w:szCs w:val="18"/>
          <w:lang w:val="nl-NL"/>
        </w:rPr>
        <w:t xml:space="preserve"> en artikel</w:t>
      </w:r>
      <w:r w:rsidRPr="000B4AB2">
        <w:rPr>
          <w:color w:val="000000" w:themeColor="text1"/>
          <w:szCs w:val="18"/>
          <w:lang w:val="nl-NL"/>
        </w:rPr>
        <w:t xml:space="preserve"> 2</w:t>
      </w:r>
      <w:r w:rsidR="00256091">
        <w:rPr>
          <w:color w:val="000000" w:themeColor="text1"/>
          <w:szCs w:val="18"/>
          <w:lang w:val="nl-NL"/>
        </w:rPr>
        <w:t xml:space="preserve">, </w:t>
      </w:r>
      <w:r w:rsidR="00EA090B" w:rsidRPr="000B4AB2">
        <w:rPr>
          <w:color w:val="000000" w:themeColor="text1"/>
          <w:szCs w:val="18"/>
          <w:lang w:val="nl-NL"/>
        </w:rPr>
        <w:t>eerste lid</w:t>
      </w:r>
      <w:r w:rsidRPr="000B4AB2">
        <w:rPr>
          <w:color w:val="000000" w:themeColor="text1"/>
          <w:szCs w:val="18"/>
          <w:lang w:val="nl-NL"/>
        </w:rPr>
        <w:t xml:space="preserve"> </w:t>
      </w:r>
      <w:r w:rsidR="0081584B">
        <w:rPr>
          <w:color w:val="000000" w:themeColor="text1"/>
          <w:szCs w:val="18"/>
          <w:lang w:val="nl-NL"/>
        </w:rPr>
        <w:t xml:space="preserve">van het </w:t>
      </w:r>
      <w:r w:rsidR="00CE0637">
        <w:rPr>
          <w:color w:val="000000" w:themeColor="text1"/>
          <w:szCs w:val="18"/>
          <w:lang w:val="nl-NL"/>
        </w:rPr>
        <w:t>Strafwetboek</w:t>
      </w:r>
      <w:r w:rsidR="00256091">
        <w:rPr>
          <w:color w:val="000000" w:themeColor="text1"/>
          <w:szCs w:val="18"/>
          <w:lang w:val="nl-NL"/>
        </w:rPr>
        <w:t>.</w:t>
      </w:r>
      <w:r w:rsidR="008A50B6" w:rsidRPr="000B4AB2">
        <w:rPr>
          <w:color w:val="000000" w:themeColor="text1"/>
          <w:szCs w:val="18"/>
          <w:lang w:val="nl-NL"/>
        </w:rPr>
        <w:t xml:space="preserve"> </w:t>
      </w:r>
      <w:r w:rsidR="006022A6">
        <w:rPr>
          <w:color w:val="000000" w:themeColor="text1"/>
          <w:szCs w:val="18"/>
          <w:lang w:val="nl-NL"/>
        </w:rPr>
        <w:t>Laatstgenoemd artikel</w:t>
      </w:r>
      <w:r w:rsidR="00EA090B" w:rsidRPr="000B4AB2">
        <w:rPr>
          <w:color w:val="000000" w:themeColor="text1"/>
          <w:szCs w:val="18"/>
          <w:lang w:val="nl-NL"/>
        </w:rPr>
        <w:t xml:space="preserve"> </w:t>
      </w:r>
      <w:r w:rsidR="0072413B" w:rsidRPr="000B4AB2">
        <w:rPr>
          <w:color w:val="000000" w:themeColor="text1"/>
          <w:szCs w:val="18"/>
          <w:lang w:val="nl-NL"/>
        </w:rPr>
        <w:t>verwoordt</w:t>
      </w:r>
      <w:r w:rsidR="008A50B6" w:rsidRPr="000B4AB2">
        <w:rPr>
          <w:color w:val="000000" w:themeColor="text1"/>
          <w:szCs w:val="18"/>
          <w:lang w:val="nl-NL"/>
        </w:rPr>
        <w:t xml:space="preserve"> </w:t>
      </w:r>
      <w:r w:rsidR="005648CB">
        <w:rPr>
          <w:color w:val="000000" w:themeColor="text1"/>
          <w:szCs w:val="18"/>
          <w:lang w:val="nl-NL"/>
        </w:rPr>
        <w:t>enerzijds</w:t>
      </w:r>
      <w:r w:rsidR="008A50B6" w:rsidRPr="000B4AB2">
        <w:rPr>
          <w:color w:val="000000" w:themeColor="text1"/>
          <w:szCs w:val="18"/>
          <w:lang w:val="nl-NL"/>
        </w:rPr>
        <w:t xml:space="preserve"> het algemeen </w:t>
      </w:r>
      <w:r w:rsidR="008A50B6" w:rsidRPr="000B4AB2">
        <w:rPr>
          <w:color w:val="000000" w:themeColor="text1"/>
          <w:szCs w:val="18"/>
          <w:lang w:val="nl-NL"/>
        </w:rPr>
        <w:lastRenderedPageBreak/>
        <w:t>beginsel dat strafwetten niet-retroactief mogen werken</w:t>
      </w:r>
      <w:r w:rsidR="008A50B6" w:rsidRPr="000B4AB2">
        <w:rPr>
          <w:rStyle w:val="FootnoteReference"/>
          <w:color w:val="000000" w:themeColor="text1"/>
          <w:szCs w:val="18"/>
          <w:lang w:val="nl-NL"/>
        </w:rPr>
        <w:footnoteReference w:id="189"/>
      </w:r>
      <w:r w:rsidR="008A50B6" w:rsidRPr="000B4AB2">
        <w:rPr>
          <w:color w:val="000000" w:themeColor="text1"/>
          <w:szCs w:val="18"/>
          <w:lang w:val="nl-NL"/>
        </w:rPr>
        <w:t xml:space="preserve"> </w:t>
      </w:r>
      <w:r w:rsidR="005648CB">
        <w:rPr>
          <w:color w:val="000000" w:themeColor="text1"/>
          <w:szCs w:val="18"/>
          <w:lang w:val="nl-NL"/>
        </w:rPr>
        <w:t xml:space="preserve">en anderzijds </w:t>
      </w:r>
      <w:r w:rsidR="008A50B6" w:rsidRPr="000B4AB2">
        <w:rPr>
          <w:color w:val="000000" w:themeColor="text1"/>
          <w:szCs w:val="18"/>
          <w:lang w:val="nl-NL"/>
        </w:rPr>
        <w:t xml:space="preserve">de uitzondering </w:t>
      </w:r>
      <w:r w:rsidR="005648CB">
        <w:rPr>
          <w:color w:val="000000" w:themeColor="text1"/>
          <w:szCs w:val="18"/>
          <w:lang w:val="nl-NL"/>
        </w:rPr>
        <w:t>op voornoemd beginsel</w:t>
      </w:r>
      <w:r w:rsidR="008A50B6" w:rsidRPr="000B4AB2">
        <w:rPr>
          <w:color w:val="000000" w:themeColor="text1"/>
          <w:szCs w:val="18"/>
          <w:lang w:val="nl-NL"/>
        </w:rPr>
        <w:t xml:space="preserve"> dat de mildere strafwet wel retroactieve werking kent.</w:t>
      </w:r>
      <w:r w:rsidR="00011779" w:rsidRPr="000B4AB2">
        <w:rPr>
          <w:rStyle w:val="FootnoteReference"/>
          <w:color w:val="000000" w:themeColor="text1"/>
          <w:szCs w:val="18"/>
          <w:lang w:val="nl-NL"/>
        </w:rPr>
        <w:footnoteReference w:id="190"/>
      </w:r>
      <w:r w:rsidR="002957CB" w:rsidRPr="000B4AB2">
        <w:rPr>
          <w:color w:val="000000" w:themeColor="text1"/>
          <w:szCs w:val="18"/>
          <w:lang w:val="nl-NL"/>
        </w:rPr>
        <w:t xml:space="preserve"> </w:t>
      </w:r>
      <w:r w:rsidR="008A50B6" w:rsidRPr="000B4AB2">
        <w:rPr>
          <w:color w:val="000000" w:themeColor="text1"/>
          <w:szCs w:val="18"/>
          <w:lang w:val="nl-NL"/>
        </w:rPr>
        <w:t xml:space="preserve">Hoewel </w:t>
      </w:r>
      <w:r w:rsidR="002957CB" w:rsidRPr="000B4AB2">
        <w:rPr>
          <w:color w:val="000000" w:themeColor="text1"/>
          <w:szCs w:val="18"/>
          <w:lang w:val="nl-NL"/>
        </w:rPr>
        <w:t>dit</w:t>
      </w:r>
      <w:r w:rsidR="008A50B6" w:rsidRPr="000B4AB2">
        <w:rPr>
          <w:color w:val="000000" w:themeColor="text1"/>
          <w:szCs w:val="18"/>
          <w:lang w:val="nl-NL"/>
        </w:rPr>
        <w:t xml:space="preserve"> niet expliciet uit het geciteerde artikel blijkt, </w:t>
      </w:r>
      <w:r w:rsidR="002957CB" w:rsidRPr="000B4AB2">
        <w:rPr>
          <w:color w:val="000000" w:themeColor="text1"/>
          <w:szCs w:val="18"/>
          <w:lang w:val="nl-NL"/>
        </w:rPr>
        <w:t xml:space="preserve">hebben </w:t>
      </w:r>
      <w:r w:rsidR="005648CB">
        <w:rPr>
          <w:color w:val="000000" w:themeColor="text1"/>
          <w:szCs w:val="18"/>
          <w:lang w:val="nl-NL"/>
        </w:rPr>
        <w:t>deze</w:t>
      </w:r>
      <w:r w:rsidR="002957CB" w:rsidRPr="000B4AB2">
        <w:rPr>
          <w:color w:val="000000" w:themeColor="text1"/>
          <w:szCs w:val="18"/>
          <w:lang w:val="nl-NL"/>
        </w:rPr>
        <w:t xml:space="preserve"> principes</w:t>
      </w:r>
      <w:r w:rsidR="00193138" w:rsidRPr="000B4AB2">
        <w:rPr>
          <w:color w:val="000000" w:themeColor="text1"/>
          <w:szCs w:val="18"/>
          <w:lang w:val="nl-NL"/>
        </w:rPr>
        <w:t xml:space="preserve"> betrekking op de </w:t>
      </w:r>
      <w:r w:rsidR="0056386F" w:rsidRPr="000B4AB2">
        <w:rPr>
          <w:color w:val="000000" w:themeColor="text1"/>
          <w:szCs w:val="18"/>
          <w:lang w:val="nl-NL"/>
        </w:rPr>
        <w:t>straf</w:t>
      </w:r>
      <w:r w:rsidR="00193138" w:rsidRPr="000B4AB2">
        <w:rPr>
          <w:color w:val="000000" w:themeColor="text1"/>
          <w:szCs w:val="18"/>
          <w:lang w:val="nl-NL"/>
        </w:rPr>
        <w:t xml:space="preserve"> </w:t>
      </w:r>
      <w:r w:rsidR="005648CB">
        <w:rPr>
          <w:color w:val="000000" w:themeColor="text1"/>
          <w:szCs w:val="18"/>
          <w:lang w:val="nl-NL"/>
        </w:rPr>
        <w:t>en</w:t>
      </w:r>
      <w:r w:rsidR="00193138" w:rsidRPr="000B4AB2">
        <w:rPr>
          <w:color w:val="000000" w:themeColor="text1"/>
          <w:szCs w:val="18"/>
          <w:lang w:val="nl-NL"/>
        </w:rPr>
        <w:t xml:space="preserve"> de strafbaarstelling.</w:t>
      </w:r>
      <w:r w:rsidR="00193138" w:rsidRPr="000B4AB2">
        <w:rPr>
          <w:rStyle w:val="FootnoteReference"/>
          <w:color w:val="000000" w:themeColor="text1"/>
          <w:szCs w:val="18"/>
          <w:lang w:val="nl-NL"/>
        </w:rPr>
        <w:footnoteReference w:id="191"/>
      </w:r>
      <w:r w:rsidR="00AF0514" w:rsidRPr="000B4AB2">
        <w:rPr>
          <w:color w:val="000000" w:themeColor="text1"/>
          <w:szCs w:val="18"/>
          <w:lang w:val="nl-NL"/>
        </w:rPr>
        <w:t xml:space="preserve"> </w:t>
      </w:r>
    </w:p>
    <w:p w14:paraId="493B9D80" w14:textId="77777777" w:rsidR="005648CB" w:rsidRPr="000B4AB2" w:rsidRDefault="005648CB" w:rsidP="00260F11">
      <w:pPr>
        <w:pStyle w:val="ListParagraph"/>
        <w:spacing w:line="360" w:lineRule="auto"/>
        <w:ind w:left="0"/>
        <w:rPr>
          <w:color w:val="000000" w:themeColor="text1"/>
          <w:szCs w:val="18"/>
          <w:lang w:val="nl-NL"/>
        </w:rPr>
      </w:pPr>
    </w:p>
    <w:p w14:paraId="4A559B11" w14:textId="267B43F3" w:rsidR="00770044" w:rsidRPr="000B4AB2" w:rsidRDefault="00770044" w:rsidP="00260F11">
      <w:pPr>
        <w:spacing w:line="360" w:lineRule="auto"/>
        <w:rPr>
          <w:color w:val="000000" w:themeColor="text1"/>
          <w:szCs w:val="18"/>
          <w:lang w:val="nl-NL"/>
        </w:rPr>
      </w:pPr>
      <w:r w:rsidRPr="000B4AB2">
        <w:rPr>
          <w:color w:val="000000" w:themeColor="text1"/>
          <w:szCs w:val="18"/>
          <w:lang w:val="nl-NL"/>
        </w:rPr>
        <w:t>Opdat een mildere strafwet retroactief zou kunnen werken, vereist het Hof van Cassatie evenwel dat het inzicht van de wetgever omtrent de strafwaardigheid van de gedraging gewijzigd is.</w:t>
      </w:r>
      <w:r w:rsidRPr="000B4AB2">
        <w:rPr>
          <w:rStyle w:val="FootnoteReference"/>
          <w:color w:val="000000" w:themeColor="text1"/>
          <w:szCs w:val="18"/>
          <w:lang w:val="nl-NL"/>
        </w:rPr>
        <w:footnoteReference w:id="192"/>
      </w:r>
      <w:r w:rsidRPr="000B4AB2">
        <w:rPr>
          <w:color w:val="000000" w:themeColor="text1"/>
          <w:szCs w:val="18"/>
          <w:lang w:val="nl-NL"/>
        </w:rPr>
        <w:t xml:space="preserve"> </w:t>
      </w:r>
    </w:p>
    <w:p w14:paraId="7A147935" w14:textId="33700AA6" w:rsidR="00461B08" w:rsidRPr="000B4AB2" w:rsidRDefault="00461B08" w:rsidP="00260F11">
      <w:pPr>
        <w:pStyle w:val="ListParagraph"/>
        <w:spacing w:line="360" w:lineRule="auto"/>
        <w:ind w:left="0"/>
        <w:rPr>
          <w:color w:val="000000" w:themeColor="text1"/>
          <w:szCs w:val="18"/>
          <w:lang w:val="nl-NL"/>
        </w:rPr>
      </w:pPr>
    </w:p>
    <w:p w14:paraId="6C554CB5" w14:textId="59A13F26" w:rsidR="004A51D5" w:rsidRPr="000B4AB2" w:rsidRDefault="004A51D5"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Wanneer de nieuwe strafbaarstelling inhoudelijk onveranderd is gebleven </w:t>
      </w:r>
      <w:r w:rsidR="00DF5BEB" w:rsidRPr="000B4AB2">
        <w:rPr>
          <w:color w:val="000000" w:themeColor="text1"/>
          <w:szCs w:val="18"/>
          <w:lang w:val="nl-NL"/>
        </w:rPr>
        <w:t>t.a.v.</w:t>
      </w:r>
      <w:r w:rsidRPr="000B4AB2">
        <w:rPr>
          <w:color w:val="000000" w:themeColor="text1"/>
          <w:szCs w:val="18"/>
          <w:lang w:val="nl-NL"/>
        </w:rPr>
        <w:t xml:space="preserve"> de oude strafbaarstelling, is evenmin sprake van een verboden retroactieve toepassing.</w:t>
      </w:r>
      <w:r w:rsidRPr="000B4AB2">
        <w:rPr>
          <w:rStyle w:val="FootnoteReference"/>
          <w:color w:val="000000" w:themeColor="text1"/>
          <w:szCs w:val="18"/>
          <w:lang w:val="nl-NL"/>
        </w:rPr>
        <w:footnoteReference w:id="193"/>
      </w:r>
    </w:p>
    <w:p w14:paraId="2AEB668E" w14:textId="1660A024" w:rsidR="004A51D5" w:rsidRPr="000B4AB2" w:rsidRDefault="004A51D5" w:rsidP="00260F11">
      <w:pPr>
        <w:pStyle w:val="ListParagraph"/>
        <w:spacing w:line="360" w:lineRule="auto"/>
        <w:ind w:left="0"/>
        <w:rPr>
          <w:color w:val="000000" w:themeColor="text1"/>
          <w:szCs w:val="18"/>
          <w:lang w:val="nl-NL"/>
        </w:rPr>
      </w:pPr>
    </w:p>
    <w:p w14:paraId="1DDC372C" w14:textId="72DCA036" w:rsidR="00347614" w:rsidRPr="00E20ADB" w:rsidRDefault="00347614"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Een nieuwe wet is milder wanneer de straf lichter is dan onder de oude wet, maar evenzeer wanneer deze het strafbaar karakter aan een bepaalde gedraging volledig ontneemt of indien deze het toepassingsgebied </w:t>
      </w:r>
      <w:r w:rsidRPr="00E20ADB">
        <w:rPr>
          <w:color w:val="000000" w:themeColor="text1"/>
          <w:szCs w:val="18"/>
          <w:lang w:val="nl-NL"/>
        </w:rPr>
        <w:t>van een strafbaarstelling inperkt door een wijziging van de constitutieve bestanddelen van het misdrijf.</w:t>
      </w:r>
      <w:r w:rsidRPr="00E20ADB">
        <w:rPr>
          <w:rStyle w:val="FootnoteReference"/>
          <w:color w:val="000000" w:themeColor="text1"/>
          <w:szCs w:val="18"/>
          <w:lang w:val="nl-NL"/>
        </w:rPr>
        <w:footnoteReference w:id="194"/>
      </w:r>
      <w:r w:rsidRPr="00E20ADB">
        <w:rPr>
          <w:color w:val="000000" w:themeColor="text1"/>
          <w:szCs w:val="18"/>
          <w:lang w:val="nl-NL"/>
        </w:rPr>
        <w:t xml:space="preserve"> </w:t>
      </w:r>
      <w:r w:rsidR="002C7F83" w:rsidRPr="00E20ADB">
        <w:rPr>
          <w:color w:val="000000" w:themeColor="text1"/>
          <w:szCs w:val="18"/>
          <w:lang w:val="nl-NL"/>
        </w:rPr>
        <w:t>Omgekeerd is een nieuwe strafbaarstelling dus strenger wanneer deze de constitutieve bestanddelen zodanig wijzigt dat het toepassingsgebied van de strafbaarstelling wordt uitgebreid.</w:t>
      </w:r>
      <w:r w:rsidR="00DD1CDE" w:rsidRPr="00E20ADB">
        <w:rPr>
          <w:rStyle w:val="FootnoteReference"/>
          <w:color w:val="000000" w:themeColor="text1"/>
          <w:szCs w:val="18"/>
          <w:lang w:val="nl-NL"/>
        </w:rPr>
        <w:footnoteReference w:id="195"/>
      </w:r>
    </w:p>
    <w:p w14:paraId="6A0D2A23" w14:textId="77777777" w:rsidR="00263B0E" w:rsidRPr="000B4AB2" w:rsidRDefault="00263B0E" w:rsidP="00260F11">
      <w:pPr>
        <w:pStyle w:val="ListParagraph"/>
        <w:spacing w:line="360" w:lineRule="auto"/>
        <w:ind w:left="0"/>
        <w:rPr>
          <w:color w:val="000000" w:themeColor="text1"/>
          <w:szCs w:val="18"/>
          <w:lang w:val="nl-NL"/>
        </w:rPr>
      </w:pPr>
    </w:p>
    <w:p w14:paraId="3812F0B3" w14:textId="6419DF1B" w:rsidR="00B7615B" w:rsidRPr="00786604" w:rsidRDefault="003D77AF" w:rsidP="00260F11">
      <w:pPr>
        <w:pStyle w:val="ListParagraph"/>
        <w:numPr>
          <w:ilvl w:val="0"/>
          <w:numId w:val="1"/>
        </w:numPr>
        <w:spacing w:line="360" w:lineRule="auto"/>
        <w:ind w:left="0" w:hanging="709"/>
        <w:rPr>
          <w:color w:val="000000" w:themeColor="text1"/>
          <w:szCs w:val="18"/>
          <w:lang w:val="nl-NL"/>
        </w:rPr>
      </w:pPr>
      <w:r w:rsidRPr="00786604">
        <w:rPr>
          <w:color w:val="000000" w:themeColor="text1"/>
          <w:szCs w:val="18"/>
          <w:lang w:val="nl-NL"/>
        </w:rPr>
        <w:t>Van belang hierbij is dat de oude</w:t>
      </w:r>
      <w:r w:rsidR="002707F3" w:rsidRPr="00786604">
        <w:rPr>
          <w:color w:val="000000" w:themeColor="text1"/>
          <w:szCs w:val="18"/>
          <w:lang w:val="nl-NL"/>
        </w:rPr>
        <w:t xml:space="preserve"> strafbaarstelling samen dient te worden genomen met de interpretatie </w:t>
      </w:r>
      <w:r w:rsidR="004622B0" w:rsidRPr="00786604">
        <w:rPr>
          <w:color w:val="000000" w:themeColor="text1"/>
          <w:szCs w:val="18"/>
          <w:lang w:val="nl-NL"/>
        </w:rPr>
        <w:t>die daaraan werd gegeven in de rechtspraak</w:t>
      </w:r>
      <w:r w:rsidR="002707F3" w:rsidRPr="00786604">
        <w:rPr>
          <w:color w:val="000000" w:themeColor="text1"/>
          <w:szCs w:val="18"/>
          <w:lang w:val="nl-NL"/>
        </w:rPr>
        <w:t>. Wanneer</w:t>
      </w:r>
      <w:r w:rsidR="00984D83">
        <w:rPr>
          <w:color w:val="000000" w:themeColor="text1"/>
          <w:szCs w:val="18"/>
          <w:lang w:val="nl-NL"/>
        </w:rPr>
        <w:t xml:space="preserve"> bijgevolg </w:t>
      </w:r>
      <w:r w:rsidR="002707F3" w:rsidRPr="00786604">
        <w:rPr>
          <w:color w:val="000000" w:themeColor="text1"/>
          <w:szCs w:val="18"/>
          <w:lang w:val="nl-NL"/>
        </w:rPr>
        <w:t xml:space="preserve">de nieuwe strafbaarstelling de vertaling uitmaakt van de oude strafbaarstelling zoals geïnterpreteerd door de </w:t>
      </w:r>
      <w:r w:rsidR="008054D7" w:rsidRPr="00786604">
        <w:rPr>
          <w:color w:val="000000" w:themeColor="text1"/>
          <w:szCs w:val="18"/>
          <w:lang w:val="nl-NL"/>
        </w:rPr>
        <w:t xml:space="preserve">rechtspraak, </w:t>
      </w:r>
      <w:r w:rsidR="00331479" w:rsidRPr="00786604">
        <w:rPr>
          <w:color w:val="000000" w:themeColor="text1"/>
          <w:szCs w:val="18"/>
          <w:lang w:val="nl-NL"/>
        </w:rPr>
        <w:t xml:space="preserve">zal </w:t>
      </w:r>
      <w:r w:rsidR="002707F3" w:rsidRPr="00786604">
        <w:rPr>
          <w:color w:val="000000" w:themeColor="text1"/>
          <w:szCs w:val="18"/>
          <w:lang w:val="nl-NL"/>
        </w:rPr>
        <w:t>dit geen verboden retroactieve toepassing van de strafwet uitma</w:t>
      </w:r>
      <w:r w:rsidR="00331479" w:rsidRPr="00786604">
        <w:rPr>
          <w:color w:val="000000" w:themeColor="text1"/>
          <w:szCs w:val="18"/>
          <w:lang w:val="nl-NL"/>
        </w:rPr>
        <w:t>ken</w:t>
      </w:r>
      <w:r w:rsidR="00585D23" w:rsidRPr="00786604">
        <w:rPr>
          <w:color w:val="000000" w:themeColor="text1"/>
          <w:szCs w:val="18"/>
          <w:lang w:val="nl-NL"/>
        </w:rPr>
        <w:t>, aldus het Hof van Cassatie</w:t>
      </w:r>
      <w:r w:rsidR="002707F3" w:rsidRPr="00786604">
        <w:rPr>
          <w:color w:val="000000" w:themeColor="text1"/>
          <w:szCs w:val="18"/>
          <w:lang w:val="nl-NL"/>
        </w:rPr>
        <w:t>.</w:t>
      </w:r>
      <w:r w:rsidR="002707F3" w:rsidRPr="00786604">
        <w:rPr>
          <w:rStyle w:val="FootnoteReference"/>
          <w:color w:val="000000" w:themeColor="text1"/>
          <w:szCs w:val="18"/>
          <w:lang w:val="nl-NL"/>
        </w:rPr>
        <w:footnoteReference w:id="196"/>
      </w:r>
      <w:r w:rsidR="00585D23" w:rsidRPr="00786604">
        <w:rPr>
          <w:color w:val="000000" w:themeColor="text1"/>
          <w:szCs w:val="18"/>
          <w:lang w:val="nl-NL"/>
        </w:rPr>
        <w:t xml:space="preserve"> </w:t>
      </w:r>
      <w:r w:rsidR="002707F3" w:rsidRPr="00786604">
        <w:rPr>
          <w:color w:val="000000" w:themeColor="text1"/>
          <w:szCs w:val="18"/>
          <w:lang w:val="nl-NL"/>
        </w:rPr>
        <w:t>Belangrijk</w:t>
      </w:r>
      <w:r w:rsidR="004622B0" w:rsidRPr="00786604">
        <w:rPr>
          <w:color w:val="000000" w:themeColor="text1"/>
          <w:szCs w:val="18"/>
          <w:lang w:val="nl-NL"/>
        </w:rPr>
        <w:t xml:space="preserve"> </w:t>
      </w:r>
      <w:r w:rsidR="002A613C">
        <w:rPr>
          <w:color w:val="000000" w:themeColor="text1"/>
          <w:szCs w:val="18"/>
          <w:lang w:val="nl-NL"/>
        </w:rPr>
        <w:t>daarbij</w:t>
      </w:r>
      <w:r w:rsidR="002707F3" w:rsidRPr="00786604">
        <w:rPr>
          <w:color w:val="000000" w:themeColor="text1"/>
          <w:szCs w:val="18"/>
          <w:lang w:val="nl-NL"/>
        </w:rPr>
        <w:t xml:space="preserve"> is dat de interpretatie die </w:t>
      </w:r>
      <w:r w:rsidR="004622B0" w:rsidRPr="00786604">
        <w:rPr>
          <w:color w:val="000000" w:themeColor="text1"/>
          <w:szCs w:val="18"/>
          <w:lang w:val="nl-NL"/>
        </w:rPr>
        <w:t>in de onderliggende zaak</w:t>
      </w:r>
      <w:r w:rsidR="002707F3" w:rsidRPr="00786604">
        <w:rPr>
          <w:color w:val="000000" w:themeColor="text1"/>
          <w:szCs w:val="18"/>
          <w:lang w:val="nl-NL"/>
        </w:rPr>
        <w:t xml:space="preserve"> in aanmerking </w:t>
      </w:r>
      <w:r w:rsidR="002707F3" w:rsidRPr="00786604">
        <w:rPr>
          <w:color w:val="000000" w:themeColor="text1"/>
          <w:szCs w:val="18"/>
          <w:lang w:val="nl-NL"/>
        </w:rPr>
        <w:lastRenderedPageBreak/>
        <w:t xml:space="preserve">genomen werd door de rechters ten gronde en vervolgens </w:t>
      </w:r>
      <w:r w:rsidR="00585D23" w:rsidRPr="00786604">
        <w:rPr>
          <w:color w:val="000000" w:themeColor="text1"/>
          <w:szCs w:val="18"/>
          <w:lang w:val="nl-NL"/>
        </w:rPr>
        <w:t>ook</w:t>
      </w:r>
      <w:r w:rsidR="002707F3" w:rsidRPr="00786604">
        <w:rPr>
          <w:color w:val="000000" w:themeColor="text1"/>
          <w:szCs w:val="18"/>
          <w:lang w:val="nl-NL"/>
        </w:rPr>
        <w:t xml:space="preserve"> door het Hof van Cassatie, geenszins unaniem aanvaard werd</w:t>
      </w:r>
      <w:r w:rsidR="00A90514" w:rsidRPr="00786604">
        <w:rPr>
          <w:color w:val="000000" w:themeColor="text1"/>
          <w:szCs w:val="18"/>
          <w:lang w:val="nl-NL"/>
        </w:rPr>
        <w:t xml:space="preserve"> b</w:t>
      </w:r>
      <w:r w:rsidR="002707F3" w:rsidRPr="00786604">
        <w:rPr>
          <w:color w:val="000000" w:themeColor="text1"/>
          <w:szCs w:val="18"/>
          <w:lang w:val="nl-NL"/>
        </w:rPr>
        <w:t>innen de doctrine</w:t>
      </w:r>
      <w:r w:rsidR="00A90514" w:rsidRPr="00786604">
        <w:rPr>
          <w:color w:val="000000" w:themeColor="text1"/>
          <w:szCs w:val="18"/>
          <w:lang w:val="nl-NL"/>
        </w:rPr>
        <w:t xml:space="preserve">, noch binnen </w:t>
      </w:r>
      <w:r w:rsidR="002707F3" w:rsidRPr="00786604">
        <w:rPr>
          <w:color w:val="000000" w:themeColor="text1"/>
          <w:szCs w:val="18"/>
          <w:lang w:val="nl-NL"/>
        </w:rPr>
        <w:t>de jurisprudentie.</w:t>
      </w:r>
      <w:r w:rsidR="002707F3" w:rsidRPr="00786604">
        <w:rPr>
          <w:rStyle w:val="FootnoteReference"/>
          <w:color w:val="000000" w:themeColor="text1"/>
          <w:szCs w:val="18"/>
          <w:lang w:val="nl-NL"/>
        </w:rPr>
        <w:footnoteReference w:id="197"/>
      </w:r>
      <w:r w:rsidR="00C26EBA" w:rsidRPr="00786604">
        <w:rPr>
          <w:color w:val="000000" w:themeColor="text1"/>
          <w:szCs w:val="18"/>
          <w:lang w:val="nl-NL"/>
        </w:rPr>
        <w:t xml:space="preserve"> </w:t>
      </w:r>
    </w:p>
    <w:p w14:paraId="446F5902" w14:textId="77777777" w:rsidR="001E6AA3" w:rsidRPr="000B4AB2" w:rsidRDefault="001E6AA3" w:rsidP="00260F11">
      <w:pPr>
        <w:pStyle w:val="ListParagraph"/>
        <w:spacing w:line="360" w:lineRule="auto"/>
        <w:ind w:left="0"/>
        <w:rPr>
          <w:color w:val="000000" w:themeColor="text1"/>
          <w:szCs w:val="18"/>
          <w:lang w:val="nl-NL"/>
        </w:rPr>
      </w:pPr>
    </w:p>
    <w:p w14:paraId="535357C3" w14:textId="55775EBE" w:rsidR="006410D8" w:rsidRPr="000B4AB2" w:rsidRDefault="00697EC7" w:rsidP="00260F11">
      <w:pPr>
        <w:pStyle w:val="ListParagraph"/>
        <w:spacing w:line="360" w:lineRule="auto"/>
        <w:ind w:left="0"/>
        <w:rPr>
          <w:lang w:val="nl-NL"/>
        </w:rPr>
      </w:pPr>
      <w:r w:rsidRPr="00786604">
        <w:rPr>
          <w:lang w:val="nl-NL"/>
        </w:rPr>
        <w:t xml:space="preserve">Voor volledige duidelijkheid omtrent de temporele werking </w:t>
      </w:r>
      <w:r w:rsidR="002E115A" w:rsidRPr="00786604">
        <w:rPr>
          <w:lang w:val="nl-NL"/>
        </w:rPr>
        <w:t>van het nieuw seksueel strafrecht</w:t>
      </w:r>
      <w:r w:rsidR="002D3588" w:rsidRPr="00786604">
        <w:rPr>
          <w:rStyle w:val="FootnoteReference"/>
          <w:lang w:val="nl-NL"/>
        </w:rPr>
        <w:footnoteReference w:id="198"/>
      </w:r>
      <w:r w:rsidR="002E115A" w:rsidRPr="00786604">
        <w:rPr>
          <w:lang w:val="nl-NL"/>
        </w:rPr>
        <w:t xml:space="preserve"> </w:t>
      </w:r>
      <w:r w:rsidRPr="00786604">
        <w:rPr>
          <w:lang w:val="nl-NL"/>
        </w:rPr>
        <w:t xml:space="preserve">zal het </w:t>
      </w:r>
      <w:r w:rsidR="007F0344" w:rsidRPr="00786604">
        <w:rPr>
          <w:lang w:val="nl-NL"/>
        </w:rPr>
        <w:t xml:space="preserve">dan ook </w:t>
      </w:r>
      <w:r w:rsidRPr="00786604">
        <w:rPr>
          <w:lang w:val="nl-NL"/>
        </w:rPr>
        <w:t>wachten zijn op de</w:t>
      </w:r>
      <w:r w:rsidR="00642775" w:rsidRPr="00786604">
        <w:rPr>
          <w:lang w:val="nl-NL"/>
        </w:rPr>
        <w:t xml:space="preserve"> beoordeling van</w:t>
      </w:r>
      <w:r w:rsidR="00867B89" w:rsidRPr="00786604">
        <w:rPr>
          <w:lang w:val="nl-NL"/>
        </w:rPr>
        <w:t xml:space="preserve"> </w:t>
      </w:r>
      <w:r w:rsidR="00867B89" w:rsidRPr="00786604">
        <w:rPr>
          <w:i/>
          <w:lang w:val="nl-NL"/>
        </w:rPr>
        <w:t xml:space="preserve">(de rechters ten gronde – althans </w:t>
      </w:r>
      <w:r w:rsidR="00C410C9">
        <w:rPr>
          <w:i/>
          <w:lang w:val="nl-NL"/>
        </w:rPr>
        <w:t>m.i.</w:t>
      </w:r>
      <w:r w:rsidR="00E5449F">
        <w:rPr>
          <w:i/>
          <w:lang w:val="nl-NL"/>
        </w:rPr>
        <w:t xml:space="preserve"> </w:t>
      </w:r>
      <w:r w:rsidR="00867B89" w:rsidRPr="00786604">
        <w:rPr>
          <w:i/>
          <w:lang w:val="nl-NL"/>
        </w:rPr>
        <w:t>– en vervolgens van)</w:t>
      </w:r>
      <w:r w:rsidR="00642775" w:rsidRPr="00786604">
        <w:rPr>
          <w:i/>
          <w:lang w:val="nl-NL"/>
        </w:rPr>
        <w:t xml:space="preserve"> </w:t>
      </w:r>
      <w:r w:rsidR="00642775" w:rsidRPr="00786604">
        <w:rPr>
          <w:lang w:val="nl-NL"/>
        </w:rPr>
        <w:t>het Hof van Cassatie.</w:t>
      </w:r>
      <w:r w:rsidR="00786B92" w:rsidRPr="00786604">
        <w:rPr>
          <w:rStyle w:val="FootnoteReference"/>
          <w:lang w:val="nl-NL"/>
        </w:rPr>
        <w:footnoteReference w:id="199"/>
      </w:r>
      <w:r w:rsidR="007F0344" w:rsidRPr="00786604">
        <w:rPr>
          <w:lang w:val="nl-NL"/>
        </w:rPr>
        <w:t xml:space="preserve"> Dit neemt evenwel niet weg dat een bespreking van de nieuwe strafbaarstelling met aandacht voor de toepassing ervan </w:t>
      </w:r>
      <w:r w:rsidR="007F0344" w:rsidRPr="00786604">
        <w:rPr>
          <w:i/>
          <w:lang w:val="nl-NL"/>
        </w:rPr>
        <w:t>ratione temporis</w:t>
      </w:r>
      <w:r w:rsidR="007F0344" w:rsidRPr="00786604">
        <w:rPr>
          <w:lang w:val="nl-NL"/>
        </w:rPr>
        <w:t xml:space="preserve"> zeker nuttig kan zijn voor rechtspractici die geconfronteerd worden met deze overgangsproblematiek</w:t>
      </w:r>
      <w:r w:rsidR="00F170BF" w:rsidRPr="00786604">
        <w:rPr>
          <w:lang w:val="nl-NL"/>
        </w:rPr>
        <w:t>.</w:t>
      </w:r>
    </w:p>
    <w:p w14:paraId="22AA3B30" w14:textId="77777777" w:rsidR="00642775" w:rsidRPr="000B4AB2" w:rsidRDefault="00642775" w:rsidP="00260F11">
      <w:pPr>
        <w:pStyle w:val="ListParagraph"/>
        <w:spacing w:line="360" w:lineRule="auto"/>
        <w:ind w:left="0"/>
        <w:rPr>
          <w:lang w:val="nl-NL"/>
        </w:rPr>
      </w:pPr>
    </w:p>
    <w:p w14:paraId="7E840475" w14:textId="24034D40" w:rsidR="00BF673B" w:rsidRPr="00EB5B63" w:rsidRDefault="00F1254E"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Tot slot </w:t>
      </w:r>
      <w:r w:rsidR="00EB5B63">
        <w:rPr>
          <w:color w:val="000000" w:themeColor="text1"/>
          <w:szCs w:val="18"/>
          <w:lang w:val="nl-NL"/>
        </w:rPr>
        <w:t xml:space="preserve">dient op de mogelijkheid te worden gewezen </w:t>
      </w:r>
      <w:r w:rsidR="0076373A" w:rsidRPr="00EB5B63">
        <w:rPr>
          <w:color w:val="000000" w:themeColor="text1"/>
          <w:szCs w:val="18"/>
          <w:lang w:val="nl-NL"/>
        </w:rPr>
        <w:t>dat de nieuwe strafbaarstelling niet op alle vlakken aan te merken is als een strengere, mildere dan wel gelijkluidende bepaling.</w:t>
      </w:r>
      <w:r w:rsidR="0076373A" w:rsidRPr="000B4AB2">
        <w:rPr>
          <w:rStyle w:val="FootnoteReference"/>
          <w:color w:val="000000" w:themeColor="text1"/>
          <w:szCs w:val="18"/>
          <w:lang w:val="nl-NL"/>
        </w:rPr>
        <w:footnoteReference w:id="200"/>
      </w:r>
      <w:r w:rsidR="002050A8" w:rsidRPr="00EB5B63">
        <w:rPr>
          <w:color w:val="000000" w:themeColor="text1"/>
          <w:szCs w:val="18"/>
          <w:lang w:val="nl-NL"/>
        </w:rPr>
        <w:t xml:space="preserve"> </w:t>
      </w:r>
      <w:r w:rsidR="004447B3" w:rsidRPr="00EB5B63">
        <w:rPr>
          <w:color w:val="000000" w:themeColor="text1"/>
          <w:szCs w:val="18"/>
          <w:lang w:val="nl-NL"/>
        </w:rPr>
        <w:t>Dit is dan ook de voornaamste reden waarom</w:t>
      </w:r>
      <w:r w:rsidR="002A613C" w:rsidRPr="00EB5B63">
        <w:rPr>
          <w:color w:val="000000" w:themeColor="text1"/>
          <w:szCs w:val="18"/>
          <w:lang w:val="nl-NL"/>
        </w:rPr>
        <w:t xml:space="preserve"> de temporele werking per </w:t>
      </w:r>
      <w:r w:rsidR="004447B3" w:rsidRPr="00EB5B63">
        <w:rPr>
          <w:color w:val="000000" w:themeColor="text1"/>
          <w:szCs w:val="18"/>
          <w:lang w:val="nl-NL"/>
        </w:rPr>
        <w:t>constitutief bestanddeel zal worden geanalyseerd.</w:t>
      </w:r>
      <w:r w:rsidR="004447B3" w:rsidRPr="000B4AB2">
        <w:rPr>
          <w:rStyle w:val="FootnoteReference"/>
          <w:color w:val="000000" w:themeColor="text1"/>
          <w:szCs w:val="18"/>
          <w:lang w:val="nl-NL"/>
        </w:rPr>
        <w:footnoteReference w:id="201"/>
      </w:r>
    </w:p>
    <w:p w14:paraId="30E35E18" w14:textId="77777777" w:rsidR="009A3B43" w:rsidRPr="000B4AB2" w:rsidRDefault="009A3B43" w:rsidP="00260F11">
      <w:pPr>
        <w:pStyle w:val="ListParagraph"/>
        <w:spacing w:line="360" w:lineRule="auto"/>
        <w:ind w:left="0"/>
        <w:rPr>
          <w:color w:val="000000" w:themeColor="text1"/>
          <w:szCs w:val="18"/>
          <w:lang w:val="nl-NL"/>
        </w:rPr>
      </w:pPr>
    </w:p>
    <w:p w14:paraId="2B2BA7AE" w14:textId="23B426E6" w:rsidR="00C71889" w:rsidRDefault="002707F3"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Samenvattend kan worden gesteld dat een strengere strafwet niet</w:t>
      </w:r>
      <w:r w:rsidR="00B343CC" w:rsidRPr="000B4AB2">
        <w:rPr>
          <w:color w:val="000000" w:themeColor="text1"/>
          <w:szCs w:val="18"/>
          <w:lang w:val="nl-NL"/>
        </w:rPr>
        <w:t xml:space="preserve"> </w:t>
      </w:r>
      <w:r w:rsidRPr="000B4AB2">
        <w:rPr>
          <w:color w:val="000000" w:themeColor="text1"/>
          <w:szCs w:val="18"/>
          <w:lang w:val="nl-NL"/>
        </w:rPr>
        <w:t xml:space="preserve">retroactief mag worden toegepast, </w:t>
      </w:r>
      <w:r w:rsidR="00766417">
        <w:rPr>
          <w:color w:val="000000" w:themeColor="text1"/>
          <w:szCs w:val="18"/>
          <w:lang w:val="nl-NL"/>
        </w:rPr>
        <w:t>maar</w:t>
      </w:r>
      <w:r w:rsidRPr="000B4AB2">
        <w:rPr>
          <w:color w:val="000000" w:themeColor="text1"/>
          <w:szCs w:val="18"/>
          <w:lang w:val="nl-NL"/>
        </w:rPr>
        <w:t xml:space="preserve"> een </w:t>
      </w:r>
      <w:r w:rsidR="00770044" w:rsidRPr="000B4AB2">
        <w:rPr>
          <w:color w:val="000000" w:themeColor="text1"/>
          <w:szCs w:val="18"/>
          <w:lang w:val="nl-NL"/>
        </w:rPr>
        <w:t xml:space="preserve">(door de wetgever aldus bedoelde) </w:t>
      </w:r>
      <w:r w:rsidRPr="000B4AB2">
        <w:rPr>
          <w:color w:val="000000" w:themeColor="text1"/>
          <w:szCs w:val="18"/>
          <w:lang w:val="nl-NL"/>
        </w:rPr>
        <w:t>mildere strafwet</w:t>
      </w:r>
      <w:r w:rsidR="00766417">
        <w:rPr>
          <w:color w:val="000000" w:themeColor="text1"/>
          <w:szCs w:val="18"/>
          <w:lang w:val="nl-NL"/>
        </w:rPr>
        <w:t xml:space="preserve"> </w:t>
      </w:r>
      <w:r w:rsidRPr="000B4AB2">
        <w:rPr>
          <w:color w:val="000000" w:themeColor="text1"/>
          <w:szCs w:val="18"/>
          <w:lang w:val="nl-NL"/>
        </w:rPr>
        <w:t xml:space="preserve">wel retroactief </w:t>
      </w:r>
      <w:r w:rsidR="004B233B" w:rsidRPr="000B4AB2">
        <w:rPr>
          <w:color w:val="000000" w:themeColor="text1"/>
          <w:szCs w:val="18"/>
          <w:lang w:val="nl-NL"/>
        </w:rPr>
        <w:t>zal</w:t>
      </w:r>
      <w:r w:rsidRPr="000B4AB2">
        <w:rPr>
          <w:color w:val="000000" w:themeColor="text1"/>
          <w:szCs w:val="18"/>
          <w:lang w:val="nl-NL"/>
        </w:rPr>
        <w:t xml:space="preserve"> worden toegepast.</w:t>
      </w:r>
      <w:r w:rsidRPr="000B4AB2">
        <w:rPr>
          <w:rStyle w:val="FootnoteReference"/>
          <w:color w:val="000000" w:themeColor="text1"/>
          <w:szCs w:val="18"/>
          <w:lang w:val="nl-NL"/>
        </w:rPr>
        <w:footnoteReference w:id="202"/>
      </w:r>
      <w:r w:rsidRPr="000B4AB2">
        <w:rPr>
          <w:color w:val="000000" w:themeColor="text1"/>
          <w:szCs w:val="18"/>
          <w:lang w:val="nl-NL"/>
        </w:rPr>
        <w:t xml:space="preserve"> De nieuwe strafwet dient te worden vergeleken met de oude strafwet, waarbij ook de interpretatie door de jurisprudentie mee in aanmerking wordt genomen.</w:t>
      </w:r>
      <w:r w:rsidR="00693D50" w:rsidRPr="000B4AB2">
        <w:rPr>
          <w:color w:val="000000" w:themeColor="text1"/>
          <w:szCs w:val="18"/>
          <w:lang w:val="nl-NL"/>
        </w:rPr>
        <w:t xml:space="preserve"> Het Hof van Cassatie lijkt hiervoor niet te vereisen dat die interpretatie in de rechtspraak eenduidig was.</w:t>
      </w:r>
      <w:r w:rsidR="00693D50" w:rsidRPr="000B4AB2">
        <w:rPr>
          <w:rStyle w:val="FootnoteReference"/>
          <w:color w:val="000000" w:themeColor="text1"/>
          <w:szCs w:val="18"/>
          <w:lang w:val="nl-NL"/>
        </w:rPr>
        <w:footnoteReference w:id="203"/>
      </w:r>
    </w:p>
    <w:p w14:paraId="02157DDE" w14:textId="77777777" w:rsidR="00CE70FE" w:rsidRDefault="00CE70FE" w:rsidP="00260F11">
      <w:pPr>
        <w:pStyle w:val="ListParagraph"/>
        <w:spacing w:line="360" w:lineRule="auto"/>
        <w:ind w:left="0"/>
        <w:rPr>
          <w:color w:val="000000" w:themeColor="text1"/>
          <w:szCs w:val="18"/>
          <w:lang w:val="nl-NL"/>
        </w:rPr>
      </w:pPr>
    </w:p>
    <w:p w14:paraId="28B4E386" w14:textId="2BF7439F" w:rsidR="00E17C29" w:rsidRPr="00971ACC" w:rsidRDefault="00CE70FE" w:rsidP="00260F11">
      <w:pPr>
        <w:pStyle w:val="ListParagraph"/>
        <w:numPr>
          <w:ilvl w:val="0"/>
          <w:numId w:val="1"/>
        </w:numPr>
        <w:spacing w:line="360" w:lineRule="auto"/>
        <w:ind w:left="0" w:hanging="709"/>
        <w:rPr>
          <w:color w:val="000000" w:themeColor="text1"/>
          <w:szCs w:val="18"/>
          <w:lang w:val="nl-NL"/>
        </w:rPr>
      </w:pPr>
      <w:r w:rsidRPr="00CE70FE">
        <w:rPr>
          <w:b/>
          <w:color w:val="000000" w:themeColor="text1"/>
          <w:szCs w:val="18"/>
          <w:lang w:val="nl-NL"/>
        </w:rPr>
        <w:t>Retroactieve werking mogelijk</w:t>
      </w:r>
      <w:r w:rsidRPr="009F616D">
        <w:rPr>
          <w:b/>
          <w:color w:val="000000" w:themeColor="text1"/>
          <w:szCs w:val="18"/>
          <w:lang w:val="nl-NL"/>
        </w:rPr>
        <w:t>?</w:t>
      </w:r>
      <w:r>
        <w:rPr>
          <w:color w:val="000000" w:themeColor="text1"/>
          <w:szCs w:val="18"/>
          <w:lang w:val="nl-NL"/>
        </w:rPr>
        <w:t xml:space="preserve"> In wat volgt zal per constitutief bestanddeel worden stilgestaan bij de temporele werking ervan. Hierbij zal worden </w:t>
      </w:r>
      <w:r w:rsidR="00766417">
        <w:rPr>
          <w:color w:val="000000" w:themeColor="text1"/>
          <w:szCs w:val="18"/>
          <w:lang w:val="nl-NL"/>
        </w:rPr>
        <w:t>stilgestaan bij de mogelijke retroactieve werking van het bestanddeel</w:t>
      </w:r>
      <w:r>
        <w:rPr>
          <w:color w:val="000000" w:themeColor="text1"/>
          <w:szCs w:val="18"/>
          <w:lang w:val="nl-NL"/>
        </w:rPr>
        <w:t>. Met retroactieve werking wordt bedoeld</w:t>
      </w:r>
      <w:r>
        <w:t xml:space="preserve"> dat </w:t>
      </w:r>
      <w:r w:rsidR="00766417">
        <w:t>de strafbaarstelling</w:t>
      </w:r>
      <w:r>
        <w:t xml:space="preserve"> kan worden toegepast op hangende rechtsgedingen waarin nog geen uitspraak werd gedaan, maar waarvan de feiten dateren van voor de datum van inwerkingtreding van de wet van 21 maart 2022 (m.n. 1 juni 2022). Voor feiten die dateren na 1 juni 2022 stelt zich, zoals reeds aangegeven</w:t>
      </w:r>
      <w:r w:rsidR="007605D5">
        <w:t>,</w:t>
      </w:r>
      <w:r>
        <w:t xml:space="preserve"> geen probleem m.b.t. de temporele werking</w:t>
      </w:r>
      <w:r w:rsidR="009F616D">
        <w:rPr>
          <w:color w:val="000000" w:themeColor="text1"/>
          <w:szCs w:val="18"/>
          <w:lang w:val="nl-NL"/>
        </w:rPr>
        <w:t>.</w:t>
      </w:r>
      <w:r w:rsidR="007605D5">
        <w:rPr>
          <w:rStyle w:val="FootnoteReference"/>
        </w:rPr>
        <w:footnoteReference w:id="204"/>
      </w:r>
      <w:r w:rsidR="009F616D">
        <w:rPr>
          <w:color w:val="000000" w:themeColor="text1"/>
          <w:szCs w:val="18"/>
          <w:lang w:val="nl-NL"/>
        </w:rPr>
        <w:t xml:space="preserve"> Retroactieve werking zal mogelijk zijn wanneer de strafbaarstelling op dit punt een versoepeling uitmaakt dan wel inhoudelijk identiek is aan de oude strafbepaling.</w:t>
      </w:r>
    </w:p>
    <w:p w14:paraId="55E04379" w14:textId="5AFC75E2" w:rsidR="008C220A" w:rsidRPr="000B4AB2" w:rsidRDefault="000B1094" w:rsidP="00260F11">
      <w:pPr>
        <w:pStyle w:val="Heading5"/>
        <w:spacing w:line="360" w:lineRule="auto"/>
        <w:rPr>
          <w:szCs w:val="18"/>
          <w:lang w:val="nl-NL"/>
        </w:rPr>
      </w:pPr>
      <w:bookmarkStart w:id="20" w:name="_Toc135041051"/>
      <w:r w:rsidRPr="000B4AB2">
        <w:rPr>
          <w:szCs w:val="18"/>
          <w:lang w:val="nl-NL"/>
        </w:rPr>
        <w:lastRenderedPageBreak/>
        <w:t>Materiële</w:t>
      </w:r>
      <w:r w:rsidR="009F5025" w:rsidRPr="000B4AB2">
        <w:rPr>
          <w:szCs w:val="18"/>
          <w:lang w:val="nl-NL"/>
        </w:rPr>
        <w:t xml:space="preserve"> </w:t>
      </w:r>
      <w:r w:rsidRPr="000B4AB2">
        <w:rPr>
          <w:szCs w:val="18"/>
          <w:lang w:val="nl-NL"/>
        </w:rPr>
        <w:t xml:space="preserve">gedraging </w:t>
      </w:r>
      <w:r w:rsidRPr="000B4AB2">
        <w:rPr>
          <w:i/>
          <w:szCs w:val="18"/>
          <w:lang w:val="nl-NL"/>
        </w:rPr>
        <w:t>sensu stricto</w:t>
      </w:r>
      <w:bookmarkEnd w:id="20"/>
    </w:p>
    <w:p w14:paraId="64FE074B" w14:textId="4FAE88D7" w:rsidR="00607C0A" w:rsidRPr="000B4AB2" w:rsidRDefault="00607C0A" w:rsidP="00260F11">
      <w:pPr>
        <w:pStyle w:val="ListParagraph"/>
        <w:spacing w:line="360" w:lineRule="auto"/>
        <w:ind w:left="0"/>
        <w:rPr>
          <w:color w:val="000000" w:themeColor="text1"/>
          <w:szCs w:val="18"/>
          <w:lang w:val="nl-NL"/>
        </w:rPr>
      </w:pPr>
    </w:p>
    <w:p w14:paraId="2DBD3BDE" w14:textId="4AC31D03" w:rsidR="00E17C29" w:rsidRDefault="001C3264"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Pr="000B4AB2">
        <w:rPr>
          <w:color w:val="000000" w:themeColor="text1"/>
          <w:szCs w:val="18"/>
          <w:lang w:val="nl-NL"/>
        </w:rPr>
        <w:t xml:space="preserve">. </w:t>
      </w:r>
      <w:r w:rsidR="002A613C">
        <w:rPr>
          <w:color w:val="000000" w:themeColor="text1"/>
          <w:szCs w:val="18"/>
          <w:lang w:val="nl-NL"/>
        </w:rPr>
        <w:t>O.b.v.</w:t>
      </w:r>
      <w:r w:rsidR="00607C0A" w:rsidRPr="000B4AB2">
        <w:rPr>
          <w:color w:val="000000" w:themeColor="text1"/>
          <w:szCs w:val="18"/>
          <w:lang w:val="nl-NL"/>
        </w:rPr>
        <w:t xml:space="preserve"> de uiteenzetting van de strafbaarstellingen van aanranding van de eerbaarheid en aantasting van de seksuele integriteit, kan volgend vergelijkend schema worden opgesteld</w:t>
      </w:r>
      <w:r w:rsidR="00C46CA1">
        <w:rPr>
          <w:color w:val="000000" w:themeColor="text1"/>
          <w:szCs w:val="18"/>
          <w:lang w:val="nl-NL"/>
        </w:rPr>
        <w:t xml:space="preserve"> m.b.t. dit constitutief bestanddeel.</w:t>
      </w:r>
    </w:p>
    <w:p w14:paraId="70F7D90A" w14:textId="26CC78F3" w:rsidR="00607C0A" w:rsidRPr="000B4AB2" w:rsidRDefault="00607C0A" w:rsidP="00260F11">
      <w:pPr>
        <w:spacing w:line="360" w:lineRule="auto"/>
        <w:rPr>
          <w:color w:val="000000" w:themeColor="text1"/>
          <w:szCs w:val="18"/>
          <w:lang w:val="nl-NL"/>
        </w:rPr>
      </w:pPr>
    </w:p>
    <w:tbl>
      <w:tblPr>
        <w:tblStyle w:val="GridTable4-Accent3"/>
        <w:tblW w:w="0" w:type="auto"/>
        <w:tblLook w:val="04A0" w:firstRow="1" w:lastRow="0" w:firstColumn="1" w:lastColumn="0" w:noHBand="0" w:noVBand="1"/>
      </w:tblPr>
      <w:tblGrid>
        <w:gridCol w:w="3823"/>
        <w:gridCol w:w="3732"/>
        <w:gridCol w:w="1507"/>
      </w:tblGrid>
      <w:tr w:rsidR="00607C0A" w:rsidRPr="000B4AB2" w14:paraId="6257D0C8" w14:textId="77777777" w:rsidTr="00AE6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5AD96DD8" w14:textId="77777777" w:rsidR="00607C0A" w:rsidRPr="000B4AB2" w:rsidRDefault="00607C0A" w:rsidP="00260F11">
            <w:pPr>
              <w:spacing w:line="360" w:lineRule="auto"/>
              <w:rPr>
                <w:b w:val="0"/>
                <w:bCs w:val="0"/>
                <w:i/>
                <w:color w:val="000000" w:themeColor="text1"/>
                <w:szCs w:val="18"/>
              </w:rPr>
            </w:pPr>
            <w:r w:rsidRPr="000B4AB2">
              <w:rPr>
                <w:color w:val="000000" w:themeColor="text1"/>
                <w:szCs w:val="18"/>
                <w:lang w:val="nl-NL"/>
              </w:rPr>
              <w:t xml:space="preserve">Vergelijking </w:t>
            </w:r>
            <w:r w:rsidRPr="000B4AB2">
              <w:rPr>
                <w:color w:val="000000" w:themeColor="text1"/>
                <w:szCs w:val="18"/>
              </w:rPr>
              <w:t xml:space="preserve">materiële gedraging </w:t>
            </w:r>
            <w:r w:rsidRPr="000B4AB2">
              <w:rPr>
                <w:i/>
                <w:color w:val="000000" w:themeColor="text1"/>
                <w:szCs w:val="18"/>
              </w:rPr>
              <w:t>sensu stricto</w:t>
            </w:r>
          </w:p>
        </w:tc>
      </w:tr>
      <w:tr w:rsidR="00607C0A" w:rsidRPr="000B4AB2" w14:paraId="4A37159C" w14:textId="77777777" w:rsidTr="005648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DF17646" w14:textId="00D85936" w:rsidR="00607C0A" w:rsidRPr="000B4AB2" w:rsidRDefault="00C46CA1" w:rsidP="00260F11">
            <w:pPr>
              <w:spacing w:line="360" w:lineRule="auto"/>
              <w:rPr>
                <w:color w:val="000000" w:themeColor="text1"/>
                <w:szCs w:val="18"/>
                <w:lang w:val="nl-NL"/>
              </w:rPr>
            </w:pPr>
            <w:r>
              <w:rPr>
                <w:bCs w:val="0"/>
                <w:color w:val="000000" w:themeColor="text1"/>
                <w:szCs w:val="18"/>
                <w:lang w:val="nl-NL"/>
              </w:rPr>
              <w:t>Oud art. 373 Sw.</w:t>
            </w:r>
          </w:p>
        </w:tc>
        <w:tc>
          <w:tcPr>
            <w:tcW w:w="3732" w:type="dxa"/>
          </w:tcPr>
          <w:p w14:paraId="135351AB" w14:textId="622E4A88" w:rsidR="00607C0A" w:rsidRPr="000B4AB2" w:rsidRDefault="00C46CA1"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lang w:val="nl-NL"/>
              </w:rPr>
            </w:pPr>
            <w:r>
              <w:rPr>
                <w:b/>
                <w:bCs/>
                <w:color w:val="000000" w:themeColor="text1"/>
                <w:szCs w:val="18"/>
                <w:lang w:val="nl-NL"/>
              </w:rPr>
              <w:t>Art. 417/7 Sw.</w:t>
            </w:r>
          </w:p>
        </w:tc>
        <w:tc>
          <w:tcPr>
            <w:tcW w:w="1507" w:type="dxa"/>
          </w:tcPr>
          <w:p w14:paraId="7E70D8B8" w14:textId="77777777" w:rsidR="00607C0A" w:rsidRPr="000B4AB2" w:rsidRDefault="00607C0A"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lang w:val="nl-NL"/>
              </w:rPr>
            </w:pPr>
            <w:r w:rsidRPr="000B4AB2">
              <w:rPr>
                <w:b/>
                <w:bCs/>
                <w:color w:val="000000" w:themeColor="text1"/>
                <w:szCs w:val="18"/>
                <w:lang w:val="nl-NL"/>
              </w:rPr>
              <w:t>Verschil</w:t>
            </w:r>
          </w:p>
        </w:tc>
      </w:tr>
      <w:tr w:rsidR="00607C0A" w:rsidRPr="002A613C" w14:paraId="7E094EA3" w14:textId="77777777" w:rsidTr="005648CB">
        <w:trPr>
          <w:trHeight w:val="1134"/>
        </w:trPr>
        <w:tc>
          <w:tcPr>
            <w:cnfStyle w:val="001000000000" w:firstRow="0" w:lastRow="0" w:firstColumn="1" w:lastColumn="0" w:oddVBand="0" w:evenVBand="0" w:oddHBand="0" w:evenHBand="0" w:firstRowFirstColumn="0" w:firstRowLastColumn="0" w:lastRowFirstColumn="0" w:lastRowLastColumn="0"/>
            <w:tcW w:w="3823" w:type="dxa"/>
          </w:tcPr>
          <w:p w14:paraId="45CDFF6D" w14:textId="4C0D77B5" w:rsidR="00607C0A" w:rsidRPr="002A613C" w:rsidRDefault="00953C26" w:rsidP="00260F11">
            <w:pPr>
              <w:spacing w:line="360" w:lineRule="auto"/>
              <w:jc w:val="left"/>
              <w:rPr>
                <w:b w:val="0"/>
                <w:color w:val="000000" w:themeColor="text1"/>
                <w:szCs w:val="18"/>
                <w:lang w:val="nl-NL"/>
              </w:rPr>
            </w:pPr>
            <w:r>
              <w:rPr>
                <w:b w:val="0"/>
                <w:color w:val="000000" w:themeColor="text1"/>
                <w:szCs w:val="18"/>
                <w:lang w:val="nl-NL"/>
              </w:rPr>
              <w:t>-</w:t>
            </w:r>
            <w:r w:rsidR="00607C0A" w:rsidRPr="002A613C">
              <w:rPr>
                <w:b w:val="0"/>
                <w:color w:val="000000" w:themeColor="text1"/>
                <w:szCs w:val="18"/>
                <w:lang w:val="nl-NL"/>
              </w:rPr>
              <w:t xml:space="preserve"> Inbreuk op seksuele integriteit</w:t>
            </w:r>
          </w:p>
          <w:p w14:paraId="0ACCC69A" w14:textId="77777777" w:rsidR="00607C0A" w:rsidRPr="002A613C" w:rsidRDefault="00607C0A" w:rsidP="00260F11">
            <w:pPr>
              <w:pStyle w:val="ListParagraph"/>
              <w:numPr>
                <w:ilvl w:val="0"/>
                <w:numId w:val="6"/>
              </w:numPr>
              <w:spacing w:line="360" w:lineRule="auto"/>
              <w:jc w:val="left"/>
              <w:rPr>
                <w:b w:val="0"/>
                <w:color w:val="000000" w:themeColor="text1"/>
                <w:szCs w:val="18"/>
                <w:lang w:val="nl-NL"/>
              </w:rPr>
            </w:pPr>
            <w:r w:rsidRPr="002A613C">
              <w:rPr>
                <w:b w:val="0"/>
                <w:color w:val="000000" w:themeColor="text1"/>
                <w:szCs w:val="18"/>
                <w:lang w:val="nl-NL"/>
              </w:rPr>
              <w:t>Referentiepunt opvatting hierover van een bepaalde maatschappij, op een bepaalde plaats, op een bepaald moment</w:t>
            </w:r>
          </w:p>
          <w:p w14:paraId="6CEBB8CA" w14:textId="77777777" w:rsidR="00607C0A" w:rsidRPr="002A613C" w:rsidRDefault="00607C0A" w:rsidP="00260F11">
            <w:pPr>
              <w:spacing w:line="360" w:lineRule="auto"/>
              <w:ind w:left="360"/>
              <w:jc w:val="left"/>
              <w:rPr>
                <w:b w:val="0"/>
                <w:color w:val="000000" w:themeColor="text1"/>
                <w:szCs w:val="18"/>
                <w:lang w:val="nl-NL"/>
              </w:rPr>
            </w:pPr>
          </w:p>
          <w:p w14:paraId="2A1D1C17" w14:textId="5C85EF1B" w:rsidR="00607C0A" w:rsidRPr="002A613C" w:rsidRDefault="00953C26" w:rsidP="00260F11">
            <w:pPr>
              <w:spacing w:line="360" w:lineRule="auto"/>
              <w:jc w:val="left"/>
              <w:rPr>
                <w:b w:val="0"/>
                <w:color w:val="000000" w:themeColor="text1"/>
                <w:szCs w:val="18"/>
                <w:lang w:val="nl-NL"/>
              </w:rPr>
            </w:pPr>
            <w:r>
              <w:rPr>
                <w:b w:val="0"/>
                <w:color w:val="000000" w:themeColor="text1"/>
                <w:szCs w:val="18"/>
                <w:lang w:val="nl-NL"/>
              </w:rPr>
              <w:t>-</w:t>
            </w:r>
            <w:r w:rsidR="00607C0A" w:rsidRPr="002A613C">
              <w:rPr>
                <w:b w:val="0"/>
                <w:color w:val="000000" w:themeColor="text1"/>
                <w:szCs w:val="18"/>
                <w:lang w:val="nl-NL"/>
              </w:rPr>
              <w:t xml:space="preserve"> Ernstig</w:t>
            </w:r>
          </w:p>
          <w:p w14:paraId="39CB57D4" w14:textId="2CADC7CA" w:rsidR="00607C0A" w:rsidRDefault="00607C0A" w:rsidP="00260F11">
            <w:pPr>
              <w:spacing w:line="360" w:lineRule="auto"/>
              <w:jc w:val="left"/>
              <w:rPr>
                <w:bCs w:val="0"/>
                <w:color w:val="000000" w:themeColor="text1"/>
                <w:szCs w:val="18"/>
                <w:lang w:val="nl-NL"/>
              </w:rPr>
            </w:pPr>
          </w:p>
          <w:p w14:paraId="21D64835" w14:textId="349CD918" w:rsidR="005648CB" w:rsidRDefault="005648CB" w:rsidP="00260F11">
            <w:pPr>
              <w:spacing w:line="360" w:lineRule="auto"/>
              <w:jc w:val="left"/>
              <w:rPr>
                <w:bCs w:val="0"/>
                <w:color w:val="000000" w:themeColor="text1"/>
                <w:szCs w:val="18"/>
                <w:lang w:val="nl-NL"/>
              </w:rPr>
            </w:pPr>
          </w:p>
          <w:p w14:paraId="00413E45" w14:textId="77777777" w:rsidR="005648CB" w:rsidRPr="002A613C" w:rsidRDefault="005648CB" w:rsidP="00260F11">
            <w:pPr>
              <w:spacing w:line="360" w:lineRule="auto"/>
              <w:jc w:val="left"/>
              <w:rPr>
                <w:b w:val="0"/>
                <w:color w:val="000000" w:themeColor="text1"/>
                <w:szCs w:val="18"/>
                <w:lang w:val="nl-NL"/>
              </w:rPr>
            </w:pPr>
          </w:p>
          <w:p w14:paraId="48F51FB4" w14:textId="4A97A1D4" w:rsidR="00607C0A" w:rsidRPr="002A613C" w:rsidRDefault="00953C26" w:rsidP="00260F11">
            <w:pPr>
              <w:spacing w:line="360" w:lineRule="auto"/>
              <w:jc w:val="left"/>
              <w:rPr>
                <w:b w:val="0"/>
                <w:color w:val="000000" w:themeColor="text1"/>
                <w:szCs w:val="18"/>
                <w:lang w:val="nl-NL"/>
              </w:rPr>
            </w:pPr>
            <w:r>
              <w:rPr>
                <w:b w:val="0"/>
                <w:color w:val="000000" w:themeColor="text1"/>
                <w:szCs w:val="18"/>
                <w:lang w:val="nl-NL"/>
              </w:rPr>
              <w:t>-</w:t>
            </w:r>
            <w:r w:rsidR="00607C0A" w:rsidRPr="002A613C">
              <w:rPr>
                <w:b w:val="0"/>
                <w:color w:val="000000" w:themeColor="text1"/>
                <w:szCs w:val="18"/>
                <w:lang w:val="nl-NL"/>
              </w:rPr>
              <w:t xml:space="preserve"> Interactie tussen dader en slachtoffer</w:t>
            </w:r>
          </w:p>
          <w:p w14:paraId="7ECE255D" w14:textId="6BBDC60F" w:rsidR="00607C0A" w:rsidRPr="002A613C" w:rsidRDefault="005648CB" w:rsidP="00260F11">
            <w:pPr>
              <w:pStyle w:val="ListParagraph"/>
              <w:numPr>
                <w:ilvl w:val="0"/>
                <w:numId w:val="6"/>
              </w:numPr>
              <w:tabs>
                <w:tab w:val="left" w:pos="602"/>
              </w:tabs>
              <w:spacing w:line="360" w:lineRule="auto"/>
              <w:jc w:val="left"/>
              <w:rPr>
                <w:b w:val="0"/>
                <w:color w:val="000000" w:themeColor="text1"/>
                <w:szCs w:val="18"/>
                <w:lang w:val="nl-NL"/>
              </w:rPr>
            </w:pPr>
            <w:r>
              <w:rPr>
                <w:b w:val="0"/>
                <w:color w:val="000000" w:themeColor="text1"/>
                <w:szCs w:val="18"/>
                <w:lang w:val="nl-NL"/>
              </w:rPr>
              <w:t>geen</w:t>
            </w:r>
            <w:r w:rsidR="00607C0A" w:rsidRPr="002A613C">
              <w:rPr>
                <w:b w:val="0"/>
                <w:color w:val="000000" w:themeColor="text1"/>
                <w:szCs w:val="18"/>
                <w:lang w:val="nl-NL"/>
              </w:rPr>
              <w:t xml:space="preserve"> lichamelijk contact</w:t>
            </w:r>
            <w:r>
              <w:rPr>
                <w:b w:val="0"/>
                <w:color w:val="000000" w:themeColor="text1"/>
                <w:szCs w:val="18"/>
                <w:lang w:val="nl-NL"/>
              </w:rPr>
              <w:t xml:space="preserve"> vereist</w:t>
            </w:r>
          </w:p>
        </w:tc>
        <w:tc>
          <w:tcPr>
            <w:tcW w:w="3732" w:type="dxa"/>
          </w:tcPr>
          <w:p w14:paraId="026A0BB7" w14:textId="1EF6373C" w:rsidR="00607C0A" w:rsidRPr="002A613C"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w:t>
            </w:r>
            <w:r w:rsidR="00607C0A" w:rsidRPr="002A613C">
              <w:rPr>
                <w:color w:val="000000" w:themeColor="text1"/>
                <w:szCs w:val="18"/>
                <w:lang w:val="nl-NL"/>
              </w:rPr>
              <w:t xml:space="preserve"> Inbreuk op seksuele integriteit</w:t>
            </w:r>
          </w:p>
          <w:p w14:paraId="39502267" w14:textId="77777777" w:rsidR="00607C0A" w:rsidRPr="002A613C" w:rsidRDefault="00607C0A" w:rsidP="00260F11">
            <w:pPr>
              <w:pStyle w:val="ListParagraph"/>
              <w:numPr>
                <w:ilvl w:val="0"/>
                <w:numId w:val="7"/>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2A613C">
              <w:rPr>
                <w:color w:val="000000" w:themeColor="text1"/>
                <w:szCs w:val="18"/>
                <w:lang w:val="nl-NL"/>
              </w:rPr>
              <w:t>Referentiepunt: opvatting hierover van een redelijke persoon.</w:t>
            </w:r>
          </w:p>
          <w:p w14:paraId="5244A8BA" w14:textId="1FD13B14" w:rsidR="00607C0A" w:rsidRDefault="00607C0A"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547BCE7F" w14:textId="77777777" w:rsidR="005648CB" w:rsidRDefault="005648CB"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5578FA6A" w14:textId="2F06D732" w:rsidR="005648CB" w:rsidRPr="002A613C" w:rsidRDefault="005648CB"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 xml:space="preserve">- </w:t>
            </w:r>
            <w:r w:rsidRPr="002A613C">
              <w:rPr>
                <w:color w:val="000000" w:themeColor="text1"/>
                <w:szCs w:val="18"/>
                <w:lang w:val="nl-NL"/>
              </w:rPr>
              <w:t>Seksuele handeling</w:t>
            </w:r>
          </w:p>
          <w:p w14:paraId="1D2B92D8" w14:textId="77777777" w:rsidR="005648CB" w:rsidRPr="00E638FD" w:rsidRDefault="005648CB" w:rsidP="00260F11">
            <w:pPr>
              <w:pStyle w:val="ListParagraph"/>
              <w:numPr>
                <w:ilvl w:val="0"/>
                <w:numId w:val="7"/>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En bijgevolg ernstig</w:t>
            </w:r>
          </w:p>
          <w:p w14:paraId="427D2172" w14:textId="77777777" w:rsidR="005648CB" w:rsidRPr="002A613C" w:rsidRDefault="005648CB"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640FAF55" w14:textId="77777777" w:rsidR="00E638FD" w:rsidRPr="002A613C" w:rsidRDefault="00E638FD"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79AEBDC3" w14:textId="68E945CA" w:rsidR="00607C0A" w:rsidRPr="002A613C"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w:t>
            </w:r>
            <w:r w:rsidR="00607C0A" w:rsidRPr="002A613C">
              <w:rPr>
                <w:color w:val="000000" w:themeColor="text1"/>
                <w:szCs w:val="18"/>
                <w:lang w:val="nl-NL"/>
              </w:rPr>
              <w:t xml:space="preserve"> Interactie tussen dader en slachtoffer</w:t>
            </w:r>
          </w:p>
          <w:p w14:paraId="3FB2EB8F" w14:textId="27B5390C" w:rsidR="00607C0A" w:rsidRPr="002A613C" w:rsidRDefault="005648CB" w:rsidP="00260F11">
            <w:pPr>
              <w:pStyle w:val="ListParagraph"/>
              <w:numPr>
                <w:ilvl w:val="0"/>
                <w:numId w:val="8"/>
              </w:numPr>
              <w:tabs>
                <w:tab w:val="left" w:pos="602"/>
              </w:tabs>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geen</w:t>
            </w:r>
            <w:r w:rsidR="00607C0A" w:rsidRPr="002A613C">
              <w:rPr>
                <w:color w:val="000000" w:themeColor="text1"/>
                <w:szCs w:val="18"/>
                <w:lang w:val="nl-NL"/>
              </w:rPr>
              <w:t xml:space="preserve"> lichamelijk contact</w:t>
            </w:r>
            <w:r>
              <w:rPr>
                <w:color w:val="000000" w:themeColor="text1"/>
                <w:szCs w:val="18"/>
                <w:lang w:val="nl-NL"/>
              </w:rPr>
              <w:t xml:space="preserve"> vereist</w:t>
            </w:r>
          </w:p>
        </w:tc>
        <w:tc>
          <w:tcPr>
            <w:tcW w:w="1507" w:type="dxa"/>
          </w:tcPr>
          <w:p w14:paraId="27BDDB59" w14:textId="4E3E5FD5" w:rsidR="00607C0A" w:rsidRPr="002A613C"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w:t>
            </w:r>
            <w:r w:rsidR="00607C0A" w:rsidRPr="002A613C">
              <w:rPr>
                <w:color w:val="000000" w:themeColor="text1"/>
                <w:szCs w:val="18"/>
                <w:lang w:val="nl-NL"/>
              </w:rPr>
              <w:t xml:space="preserve"> Ander referentiepunt</w:t>
            </w:r>
          </w:p>
          <w:p w14:paraId="3994BF06" w14:textId="77777777" w:rsidR="00607C0A" w:rsidRPr="002A613C" w:rsidRDefault="00607C0A"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1A710CEB" w14:textId="77777777" w:rsidR="00607C0A" w:rsidRPr="002A613C" w:rsidRDefault="00607C0A"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tc>
      </w:tr>
    </w:tbl>
    <w:p w14:paraId="1FBB8ED8" w14:textId="77777777" w:rsidR="00607C0A" w:rsidRPr="000B4AB2" w:rsidRDefault="00607C0A" w:rsidP="00260F11">
      <w:pPr>
        <w:pStyle w:val="ListParagraph"/>
        <w:spacing w:line="360" w:lineRule="auto"/>
        <w:ind w:left="0"/>
        <w:rPr>
          <w:color w:val="000000" w:themeColor="text1"/>
          <w:szCs w:val="18"/>
          <w:lang w:val="nl-NL"/>
        </w:rPr>
      </w:pPr>
    </w:p>
    <w:p w14:paraId="54507E3A" w14:textId="759E3066" w:rsidR="00534952" w:rsidRPr="00534952" w:rsidRDefault="001C3264"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Toelichting schema</w:t>
      </w:r>
      <w:r w:rsidRPr="000B4AB2">
        <w:rPr>
          <w:color w:val="000000" w:themeColor="text1"/>
          <w:szCs w:val="18"/>
          <w:lang w:val="nl-NL"/>
        </w:rPr>
        <w:t xml:space="preserve">. </w:t>
      </w:r>
      <w:r w:rsidR="0003400A" w:rsidRPr="000B4AB2">
        <w:rPr>
          <w:color w:val="000000" w:themeColor="text1"/>
          <w:szCs w:val="18"/>
          <w:lang w:val="nl-NL"/>
        </w:rPr>
        <w:t>Vooreerst wordt noch in de wettekst, noch in de parlementaire voorbereidingen gerefereerd aan de “goede zeden”. Daarnaast heeft de wetgever ook voorzien in een ander referentiepunt om te bepalen wanneer effectief sprake is van een inbreuk op de seksuele integriteit. Voor wat betreft het oude misdrijf aanranding van de eerbaarheid werd</w:t>
      </w:r>
      <w:r w:rsidR="00AB2CC0" w:rsidRPr="000B4AB2">
        <w:rPr>
          <w:color w:val="000000" w:themeColor="text1"/>
          <w:szCs w:val="18"/>
          <w:lang w:val="nl-NL"/>
        </w:rPr>
        <w:t xml:space="preserve"> gekeken naar</w:t>
      </w:r>
      <w:r w:rsidR="0003400A" w:rsidRPr="000B4AB2">
        <w:rPr>
          <w:color w:val="000000" w:themeColor="text1"/>
          <w:szCs w:val="18"/>
          <w:lang w:val="nl-NL"/>
        </w:rPr>
        <w:t xml:space="preserve"> de maatschappelijke opvattingen hieromtrent op een bepaalde plaats en op een bepaald tijdstip. Het betrof </w:t>
      </w:r>
      <w:r w:rsidR="00DF5BEB" w:rsidRPr="000B4AB2">
        <w:rPr>
          <w:color w:val="000000" w:themeColor="text1"/>
          <w:szCs w:val="18"/>
          <w:lang w:val="nl-NL"/>
        </w:rPr>
        <w:t>m.a.w.</w:t>
      </w:r>
      <w:r w:rsidR="0003400A" w:rsidRPr="000B4AB2">
        <w:rPr>
          <w:color w:val="000000" w:themeColor="text1"/>
          <w:szCs w:val="18"/>
          <w:lang w:val="nl-NL"/>
        </w:rPr>
        <w:t xml:space="preserve"> een maatschappij-, plaats- en tijdsgebonden beoordelingscriterium. De wetgever heeft evenwel beslist om dit</w:t>
      </w:r>
      <w:r w:rsidR="00E12354" w:rsidRPr="000B4AB2">
        <w:rPr>
          <w:color w:val="000000" w:themeColor="text1"/>
          <w:szCs w:val="18"/>
          <w:lang w:val="nl-NL"/>
        </w:rPr>
        <w:t xml:space="preserve"> criterium</w:t>
      </w:r>
      <w:r w:rsidR="0003400A" w:rsidRPr="000B4AB2">
        <w:rPr>
          <w:color w:val="000000" w:themeColor="text1"/>
          <w:szCs w:val="18"/>
          <w:lang w:val="nl-NL"/>
        </w:rPr>
        <w:t xml:space="preserve"> te veranderen naar de opvattingen hieromtrent van een redelijk persoon. </w:t>
      </w:r>
      <w:r w:rsidR="00E638FD">
        <w:rPr>
          <w:color w:val="000000" w:themeColor="text1"/>
          <w:szCs w:val="18"/>
          <w:lang w:val="nl-NL"/>
        </w:rPr>
        <w:t>E</w:t>
      </w:r>
      <w:r w:rsidR="00534952" w:rsidRPr="00534952">
        <w:rPr>
          <w:color w:val="000000" w:themeColor="text1"/>
          <w:szCs w:val="18"/>
          <w:lang w:val="nl-NL"/>
        </w:rPr>
        <w:t>en handeling die als seksueel wordt beschouwd</w:t>
      </w:r>
      <w:r w:rsidR="00E638FD">
        <w:rPr>
          <w:color w:val="000000" w:themeColor="text1"/>
          <w:szCs w:val="18"/>
          <w:lang w:val="nl-NL"/>
        </w:rPr>
        <w:t>, zal</w:t>
      </w:r>
      <w:r w:rsidR="00534952" w:rsidRPr="00534952">
        <w:rPr>
          <w:color w:val="000000" w:themeColor="text1"/>
          <w:szCs w:val="18"/>
          <w:lang w:val="nl-NL"/>
        </w:rPr>
        <w:t xml:space="preserve"> hoe dan ook ernstig genoeg zijn om </w:t>
      </w:r>
      <w:r w:rsidR="001B7BBD">
        <w:rPr>
          <w:color w:val="000000" w:themeColor="text1"/>
          <w:szCs w:val="18"/>
          <w:lang w:val="nl-NL"/>
        </w:rPr>
        <w:t xml:space="preserve">gekwalificeerd te kunnen worden </w:t>
      </w:r>
      <w:r w:rsidR="00534952" w:rsidRPr="00534952">
        <w:rPr>
          <w:color w:val="000000" w:themeColor="text1"/>
          <w:szCs w:val="18"/>
          <w:lang w:val="nl-NL"/>
        </w:rPr>
        <w:t>als aantasting van de seksuele integriteit.</w:t>
      </w:r>
      <w:r w:rsidR="00534952" w:rsidRPr="000B4AB2">
        <w:rPr>
          <w:rStyle w:val="FootnoteReference"/>
          <w:color w:val="000000" w:themeColor="text1"/>
          <w:szCs w:val="18"/>
          <w:lang w:val="nl-NL"/>
        </w:rPr>
        <w:footnoteReference w:id="205"/>
      </w:r>
    </w:p>
    <w:p w14:paraId="1F68D781" w14:textId="77777777" w:rsidR="00504348" w:rsidRPr="000B4AB2" w:rsidRDefault="00504348" w:rsidP="00260F11">
      <w:pPr>
        <w:pStyle w:val="ListParagraph"/>
        <w:spacing w:line="360" w:lineRule="auto"/>
        <w:ind w:left="0"/>
        <w:rPr>
          <w:color w:val="000000" w:themeColor="text1"/>
          <w:szCs w:val="18"/>
          <w:lang w:val="nl-NL"/>
        </w:rPr>
      </w:pPr>
    </w:p>
    <w:p w14:paraId="0EBF1AFF" w14:textId="0E7E8CA6" w:rsidR="001C3264" w:rsidRDefault="00F1704C" w:rsidP="00260F11">
      <w:pPr>
        <w:pStyle w:val="ListParagraph"/>
        <w:numPr>
          <w:ilvl w:val="0"/>
          <w:numId w:val="1"/>
        </w:numPr>
        <w:spacing w:line="360" w:lineRule="auto"/>
        <w:ind w:left="0" w:hanging="709"/>
        <w:rPr>
          <w:color w:val="000000" w:themeColor="text1"/>
          <w:szCs w:val="18"/>
          <w:lang w:val="nl-NL"/>
        </w:rPr>
      </w:pPr>
      <w:r w:rsidRPr="00311BEB">
        <w:rPr>
          <w:color w:val="000000" w:themeColor="text1"/>
          <w:szCs w:val="18"/>
          <w:lang w:val="nl-NL"/>
        </w:rPr>
        <w:t>Het</w:t>
      </w:r>
      <w:r w:rsidR="0003400A" w:rsidRPr="00311BEB">
        <w:rPr>
          <w:color w:val="000000" w:themeColor="text1"/>
          <w:szCs w:val="18"/>
          <w:lang w:val="nl-NL"/>
        </w:rPr>
        <w:t xml:space="preserve"> concrete gevolg </w:t>
      </w:r>
      <w:r w:rsidRPr="00311BEB">
        <w:rPr>
          <w:color w:val="000000" w:themeColor="text1"/>
          <w:szCs w:val="18"/>
          <w:lang w:val="nl-NL"/>
        </w:rPr>
        <w:t xml:space="preserve">van </w:t>
      </w:r>
      <w:r w:rsidR="00665B92" w:rsidRPr="00311BEB">
        <w:rPr>
          <w:color w:val="000000" w:themeColor="text1"/>
          <w:szCs w:val="18"/>
          <w:lang w:val="nl-NL"/>
        </w:rPr>
        <w:t>de</w:t>
      </w:r>
      <w:r w:rsidRPr="00311BEB">
        <w:rPr>
          <w:color w:val="000000" w:themeColor="text1"/>
          <w:szCs w:val="18"/>
          <w:lang w:val="nl-NL"/>
        </w:rPr>
        <w:t xml:space="preserve"> wijziging</w:t>
      </w:r>
      <w:r w:rsidR="00665B92" w:rsidRPr="00311BEB">
        <w:rPr>
          <w:color w:val="000000" w:themeColor="text1"/>
          <w:szCs w:val="18"/>
          <w:lang w:val="nl-NL"/>
        </w:rPr>
        <w:t xml:space="preserve"> van dit constitutief bestanddeel</w:t>
      </w:r>
      <w:r w:rsidRPr="00311BEB">
        <w:rPr>
          <w:color w:val="000000" w:themeColor="text1"/>
          <w:szCs w:val="18"/>
          <w:lang w:val="nl-NL"/>
        </w:rPr>
        <w:t xml:space="preserve"> zal</w:t>
      </w:r>
      <w:r w:rsidR="0003400A" w:rsidRPr="00311BEB">
        <w:rPr>
          <w:color w:val="000000" w:themeColor="text1"/>
          <w:szCs w:val="18"/>
          <w:lang w:val="nl-NL"/>
        </w:rPr>
        <w:t xml:space="preserve"> </w:t>
      </w:r>
      <w:r w:rsidR="00C410C9" w:rsidRPr="00311BEB">
        <w:rPr>
          <w:color w:val="000000" w:themeColor="text1"/>
          <w:szCs w:val="18"/>
          <w:lang w:val="nl-NL"/>
        </w:rPr>
        <w:t>m.i.</w:t>
      </w:r>
      <w:r w:rsidR="00CD42D0" w:rsidRPr="00311BEB">
        <w:rPr>
          <w:color w:val="000000" w:themeColor="text1"/>
          <w:szCs w:val="18"/>
          <w:lang w:val="nl-NL"/>
        </w:rPr>
        <w:t xml:space="preserve"> </w:t>
      </w:r>
      <w:r w:rsidR="0003400A" w:rsidRPr="00311BEB">
        <w:rPr>
          <w:color w:val="000000" w:themeColor="text1"/>
          <w:szCs w:val="18"/>
          <w:lang w:val="nl-NL"/>
        </w:rPr>
        <w:t>wellicht miniem zijn</w:t>
      </w:r>
      <w:r w:rsidR="00665B92" w:rsidRPr="00311BEB">
        <w:rPr>
          <w:color w:val="000000" w:themeColor="text1"/>
          <w:szCs w:val="18"/>
          <w:lang w:val="nl-NL"/>
        </w:rPr>
        <w:t>, mede gelet op v</w:t>
      </w:r>
      <w:r w:rsidR="00311BEB" w:rsidRPr="00311BEB">
        <w:rPr>
          <w:color w:val="000000" w:themeColor="text1"/>
          <w:szCs w:val="18"/>
          <w:lang w:val="nl-NL"/>
        </w:rPr>
        <w:t>oo</w:t>
      </w:r>
      <w:r w:rsidR="00665B92" w:rsidRPr="00311BEB">
        <w:rPr>
          <w:color w:val="000000" w:themeColor="text1"/>
          <w:szCs w:val="18"/>
          <w:lang w:val="nl-NL"/>
        </w:rPr>
        <w:t>rmelde bedoeling van de wetgever om dezelfde strafbare gedragingen te viseren</w:t>
      </w:r>
      <w:r w:rsidR="0003400A" w:rsidRPr="00311BEB">
        <w:rPr>
          <w:color w:val="000000" w:themeColor="text1"/>
          <w:szCs w:val="18"/>
          <w:lang w:val="nl-NL"/>
        </w:rPr>
        <w:t>.</w:t>
      </w:r>
      <w:r w:rsidR="0003400A" w:rsidRPr="000B4AB2">
        <w:rPr>
          <w:rStyle w:val="FootnoteReference"/>
          <w:color w:val="000000" w:themeColor="text1"/>
          <w:szCs w:val="18"/>
          <w:lang w:val="nl-NL"/>
        </w:rPr>
        <w:footnoteReference w:id="206"/>
      </w:r>
      <w:r w:rsidR="0003400A" w:rsidRPr="00311BEB">
        <w:rPr>
          <w:color w:val="000000" w:themeColor="text1"/>
          <w:szCs w:val="18"/>
          <w:lang w:val="nl-NL"/>
        </w:rPr>
        <w:t xml:space="preserve"> </w:t>
      </w:r>
    </w:p>
    <w:p w14:paraId="27E67FBE" w14:textId="77777777" w:rsidR="00311BEB" w:rsidRPr="00311BEB" w:rsidRDefault="00311BEB" w:rsidP="00260F11">
      <w:pPr>
        <w:pStyle w:val="ListParagraph"/>
        <w:spacing w:line="360" w:lineRule="auto"/>
        <w:ind w:left="0"/>
        <w:rPr>
          <w:color w:val="000000" w:themeColor="text1"/>
          <w:szCs w:val="18"/>
          <w:lang w:val="nl-NL"/>
        </w:rPr>
      </w:pPr>
    </w:p>
    <w:p w14:paraId="3AEDE2C3" w14:textId="4EABFB98" w:rsidR="00B10AAD" w:rsidRPr="000B4AB2" w:rsidRDefault="001C3264"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Temporele werking</w:t>
      </w:r>
      <w:r w:rsidRPr="000B4AB2">
        <w:rPr>
          <w:color w:val="000000" w:themeColor="text1"/>
          <w:szCs w:val="18"/>
          <w:lang w:val="nl-NL"/>
        </w:rPr>
        <w:t xml:space="preserve">. </w:t>
      </w:r>
      <w:r w:rsidR="00311BEB">
        <w:rPr>
          <w:color w:val="000000" w:themeColor="text1"/>
          <w:szCs w:val="18"/>
          <w:lang w:val="nl-NL"/>
        </w:rPr>
        <w:t>Gelet op</w:t>
      </w:r>
      <w:r w:rsidR="00857786" w:rsidRPr="000B4AB2">
        <w:rPr>
          <w:color w:val="000000" w:themeColor="text1"/>
          <w:szCs w:val="18"/>
          <w:lang w:val="nl-NL"/>
        </w:rPr>
        <w:t xml:space="preserve"> het gebrek aan </w:t>
      </w:r>
      <w:r w:rsidR="00665B92" w:rsidRPr="000B4AB2">
        <w:rPr>
          <w:color w:val="000000" w:themeColor="text1"/>
          <w:szCs w:val="18"/>
          <w:lang w:val="nl-NL"/>
        </w:rPr>
        <w:t xml:space="preserve">concreet </w:t>
      </w:r>
      <w:r w:rsidR="00857786" w:rsidRPr="000B4AB2">
        <w:rPr>
          <w:color w:val="000000" w:themeColor="text1"/>
          <w:szCs w:val="18"/>
          <w:lang w:val="nl-NL"/>
        </w:rPr>
        <w:t xml:space="preserve">inhoudelijk verschil tussen beide strafbaarstellingen </w:t>
      </w:r>
      <w:r w:rsidR="00311BEB">
        <w:rPr>
          <w:color w:val="000000" w:themeColor="text1"/>
          <w:szCs w:val="18"/>
          <w:lang w:val="nl-NL"/>
        </w:rPr>
        <w:t>m.b.t.</w:t>
      </w:r>
      <w:r w:rsidR="00857786" w:rsidRPr="000B4AB2">
        <w:rPr>
          <w:color w:val="000000" w:themeColor="text1"/>
          <w:szCs w:val="18"/>
          <w:lang w:val="nl-NL"/>
        </w:rPr>
        <w:t xml:space="preserve"> dit constitutief bestanddeel</w:t>
      </w:r>
      <w:r w:rsidR="00B10AAD" w:rsidRPr="000B4AB2">
        <w:rPr>
          <w:color w:val="000000" w:themeColor="text1"/>
          <w:szCs w:val="18"/>
          <w:lang w:val="nl-NL"/>
        </w:rPr>
        <w:t>,</w:t>
      </w:r>
      <w:r w:rsidR="00857786" w:rsidRPr="000B4AB2">
        <w:rPr>
          <w:color w:val="000000" w:themeColor="text1"/>
          <w:szCs w:val="18"/>
          <w:lang w:val="nl-NL"/>
        </w:rPr>
        <w:t xml:space="preserve"> </w:t>
      </w:r>
      <w:r w:rsidR="00B10AAD" w:rsidRPr="000B4AB2">
        <w:rPr>
          <w:color w:val="000000" w:themeColor="text1"/>
          <w:szCs w:val="18"/>
          <w:lang w:val="nl-NL"/>
        </w:rPr>
        <w:t xml:space="preserve">kan dit </w:t>
      </w:r>
      <w:r w:rsidR="00311BEB">
        <w:rPr>
          <w:color w:val="000000" w:themeColor="text1"/>
          <w:szCs w:val="18"/>
          <w:lang w:val="nl-NL"/>
        </w:rPr>
        <w:t xml:space="preserve">retroactief </w:t>
      </w:r>
      <w:r w:rsidR="00B10AAD" w:rsidRPr="000B4AB2">
        <w:rPr>
          <w:color w:val="000000" w:themeColor="text1"/>
          <w:szCs w:val="18"/>
          <w:lang w:val="nl-NL"/>
        </w:rPr>
        <w:t>worden toegepast</w:t>
      </w:r>
      <w:r w:rsidR="00B558C6" w:rsidRPr="000B4AB2">
        <w:rPr>
          <w:color w:val="000000" w:themeColor="text1"/>
          <w:szCs w:val="18"/>
          <w:lang w:val="nl-NL"/>
        </w:rPr>
        <w:t>.</w:t>
      </w:r>
    </w:p>
    <w:p w14:paraId="6E8E5BAE" w14:textId="66600D82" w:rsidR="007177C8" w:rsidRPr="000B4AB2" w:rsidRDefault="00E17C29" w:rsidP="00260F11">
      <w:pPr>
        <w:spacing w:line="360" w:lineRule="auto"/>
        <w:rPr>
          <w:color w:val="000000" w:themeColor="text1"/>
          <w:szCs w:val="18"/>
          <w:lang w:val="nl-NL"/>
        </w:rPr>
      </w:pPr>
      <w:r>
        <w:rPr>
          <w:color w:val="000000" w:themeColor="text1"/>
          <w:szCs w:val="18"/>
          <w:lang w:val="nl-NL"/>
        </w:rPr>
        <w:br w:type="page"/>
      </w:r>
    </w:p>
    <w:p w14:paraId="25239C4C" w14:textId="0BB11E79" w:rsidR="0033584D" w:rsidRPr="000B4AB2" w:rsidRDefault="009D271A" w:rsidP="00260F11">
      <w:pPr>
        <w:pStyle w:val="Heading5"/>
        <w:spacing w:line="360" w:lineRule="auto"/>
        <w:rPr>
          <w:lang w:val="nl-NL"/>
        </w:rPr>
      </w:pPr>
      <w:bookmarkStart w:id="21" w:name="_Toc135041052"/>
      <w:r w:rsidRPr="000B4AB2">
        <w:rPr>
          <w:lang w:val="nl-NL"/>
        </w:rPr>
        <w:lastRenderedPageBreak/>
        <w:t>Rol van het slachtoffer</w:t>
      </w:r>
      <w:bookmarkEnd w:id="21"/>
    </w:p>
    <w:p w14:paraId="6650D799" w14:textId="77777777" w:rsidR="00857786" w:rsidRPr="000B4AB2" w:rsidRDefault="00857786" w:rsidP="00260F11">
      <w:pPr>
        <w:spacing w:line="360" w:lineRule="auto"/>
        <w:rPr>
          <w:color w:val="000000" w:themeColor="text1"/>
          <w:szCs w:val="18"/>
          <w:highlight w:val="yellow"/>
          <w:lang w:val="nl-NL"/>
        </w:rPr>
      </w:pPr>
    </w:p>
    <w:p w14:paraId="119AFBF8" w14:textId="6AC597E4" w:rsidR="00C546F8" w:rsidRPr="000B4AB2" w:rsidRDefault="00C546F8"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Pr="000B4AB2">
        <w:rPr>
          <w:color w:val="000000" w:themeColor="text1"/>
          <w:szCs w:val="18"/>
          <w:lang w:val="nl-NL"/>
        </w:rPr>
        <w:t xml:space="preserve">. </w:t>
      </w:r>
      <w:r w:rsidR="00297B80">
        <w:rPr>
          <w:color w:val="000000" w:themeColor="text1"/>
          <w:szCs w:val="18"/>
          <w:lang w:val="nl-NL"/>
        </w:rPr>
        <w:t>O.b.v.</w:t>
      </w:r>
      <w:r w:rsidRPr="000B4AB2">
        <w:rPr>
          <w:color w:val="000000" w:themeColor="text1"/>
          <w:szCs w:val="18"/>
          <w:lang w:val="nl-NL"/>
        </w:rPr>
        <w:t xml:space="preserve"> de uiteenzetting van de strafbaarstellingen van aanranding van de eerbaarheid en aantasting van de seksuele integriteit, kan volgend vergelijkend schema worden opgesteld.</w:t>
      </w:r>
    </w:p>
    <w:p w14:paraId="67455496" w14:textId="583F6EDC" w:rsidR="002403F2" w:rsidRPr="000B4AB2" w:rsidRDefault="002403F2"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3823"/>
        <w:gridCol w:w="3732"/>
        <w:gridCol w:w="1507"/>
      </w:tblGrid>
      <w:tr w:rsidR="00C546F8" w:rsidRPr="000B4AB2" w14:paraId="2790DF80" w14:textId="77777777" w:rsidTr="00AE6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06989B77" w14:textId="0932B3CD" w:rsidR="00C546F8" w:rsidRPr="000B4AB2" w:rsidRDefault="00854BFD" w:rsidP="00260F11">
            <w:pPr>
              <w:spacing w:line="360" w:lineRule="auto"/>
              <w:rPr>
                <w:b w:val="0"/>
                <w:bCs w:val="0"/>
                <w:i/>
                <w:color w:val="000000" w:themeColor="text1"/>
                <w:szCs w:val="18"/>
              </w:rPr>
            </w:pPr>
            <w:r w:rsidRPr="000B4AB2">
              <w:rPr>
                <w:color w:val="000000" w:themeColor="text1"/>
                <w:szCs w:val="18"/>
              </w:rPr>
              <w:t>Vergelijking rol van het slachtoffer</w:t>
            </w:r>
          </w:p>
        </w:tc>
      </w:tr>
      <w:tr w:rsidR="00C546F8" w:rsidRPr="000B4AB2" w14:paraId="2ED89AB7" w14:textId="77777777" w:rsidTr="00AE6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BDAFEF9" w14:textId="3F3C66D9" w:rsidR="00C546F8" w:rsidRPr="000B4AB2" w:rsidRDefault="00C46CA1" w:rsidP="00260F11">
            <w:pPr>
              <w:spacing w:line="360" w:lineRule="auto"/>
              <w:rPr>
                <w:color w:val="000000" w:themeColor="text1"/>
                <w:szCs w:val="18"/>
                <w:lang w:val="nl-NL"/>
              </w:rPr>
            </w:pPr>
            <w:r>
              <w:rPr>
                <w:bCs w:val="0"/>
                <w:color w:val="000000" w:themeColor="text1"/>
                <w:szCs w:val="18"/>
                <w:lang w:val="nl-NL"/>
              </w:rPr>
              <w:t>Oud art. 373 Sw.</w:t>
            </w:r>
          </w:p>
        </w:tc>
        <w:tc>
          <w:tcPr>
            <w:tcW w:w="3732" w:type="dxa"/>
          </w:tcPr>
          <w:p w14:paraId="1B748F9E" w14:textId="27859B30" w:rsidR="00C546F8" w:rsidRPr="000B4AB2" w:rsidRDefault="00C46CA1"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lang w:val="nl-NL"/>
              </w:rPr>
            </w:pPr>
            <w:r>
              <w:rPr>
                <w:b/>
                <w:bCs/>
                <w:color w:val="000000" w:themeColor="text1"/>
                <w:szCs w:val="18"/>
                <w:lang w:val="nl-NL"/>
              </w:rPr>
              <w:t>Art. 417/7 Sw.</w:t>
            </w:r>
          </w:p>
        </w:tc>
        <w:tc>
          <w:tcPr>
            <w:tcW w:w="1507" w:type="dxa"/>
          </w:tcPr>
          <w:p w14:paraId="61B66F4C" w14:textId="77777777" w:rsidR="00C546F8" w:rsidRPr="000B4AB2" w:rsidRDefault="00C546F8"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lang w:val="nl-NL"/>
              </w:rPr>
            </w:pPr>
            <w:r w:rsidRPr="000B4AB2">
              <w:rPr>
                <w:b/>
                <w:bCs/>
                <w:color w:val="000000" w:themeColor="text1"/>
                <w:szCs w:val="18"/>
                <w:lang w:val="nl-NL"/>
              </w:rPr>
              <w:t>Verschil</w:t>
            </w:r>
          </w:p>
        </w:tc>
      </w:tr>
      <w:tr w:rsidR="00C546F8" w:rsidRPr="000B4AB2" w14:paraId="5BDDCBDA" w14:textId="77777777" w:rsidTr="00AE6F93">
        <w:trPr>
          <w:trHeight w:val="1134"/>
        </w:trPr>
        <w:tc>
          <w:tcPr>
            <w:cnfStyle w:val="001000000000" w:firstRow="0" w:lastRow="0" w:firstColumn="1" w:lastColumn="0" w:oddVBand="0" w:evenVBand="0" w:oddHBand="0" w:evenHBand="0" w:firstRowFirstColumn="0" w:firstRowLastColumn="0" w:lastRowFirstColumn="0" w:lastRowLastColumn="0"/>
            <w:tcW w:w="3823" w:type="dxa"/>
          </w:tcPr>
          <w:p w14:paraId="46B42BBB" w14:textId="77777777" w:rsidR="00C546F8" w:rsidRPr="000B4AB2" w:rsidRDefault="00C546F8" w:rsidP="00260F11">
            <w:pPr>
              <w:tabs>
                <w:tab w:val="left" w:pos="602"/>
              </w:tabs>
              <w:spacing w:line="360" w:lineRule="auto"/>
              <w:jc w:val="left"/>
              <w:rPr>
                <w:bCs w:val="0"/>
                <w:i/>
                <w:color w:val="000000" w:themeColor="text1"/>
                <w:szCs w:val="18"/>
              </w:rPr>
            </w:pPr>
            <w:r w:rsidRPr="000B4AB2">
              <w:rPr>
                <w:b w:val="0"/>
                <w:i/>
                <w:color w:val="000000" w:themeColor="text1"/>
                <w:szCs w:val="18"/>
              </w:rPr>
              <w:t>“Op of met behulp van een persoon”</w:t>
            </w:r>
          </w:p>
          <w:p w14:paraId="08FE8931" w14:textId="77777777" w:rsidR="00C546F8" w:rsidRPr="000B4AB2" w:rsidRDefault="00C546F8" w:rsidP="00260F11">
            <w:pPr>
              <w:tabs>
                <w:tab w:val="left" w:pos="602"/>
              </w:tabs>
              <w:spacing w:line="360" w:lineRule="auto"/>
              <w:jc w:val="left"/>
              <w:rPr>
                <w:b w:val="0"/>
                <w:color w:val="000000" w:themeColor="text1"/>
                <w:szCs w:val="18"/>
              </w:rPr>
            </w:pPr>
          </w:p>
          <w:p w14:paraId="27E1D1A1" w14:textId="77777777" w:rsidR="00C546F8" w:rsidRPr="000B4AB2" w:rsidRDefault="00C546F8" w:rsidP="00260F11">
            <w:pPr>
              <w:tabs>
                <w:tab w:val="left" w:pos="602"/>
              </w:tabs>
              <w:spacing w:line="360" w:lineRule="auto"/>
              <w:jc w:val="left"/>
              <w:rPr>
                <w:bCs w:val="0"/>
                <w:color w:val="000000" w:themeColor="text1"/>
                <w:szCs w:val="18"/>
              </w:rPr>
            </w:pPr>
          </w:p>
          <w:p w14:paraId="1D33C324" w14:textId="77777777" w:rsidR="00C546F8" w:rsidRPr="000B4AB2" w:rsidRDefault="00C546F8" w:rsidP="00260F11">
            <w:pPr>
              <w:tabs>
                <w:tab w:val="left" w:pos="602"/>
              </w:tabs>
              <w:spacing w:line="360" w:lineRule="auto"/>
              <w:jc w:val="left"/>
              <w:rPr>
                <w:bCs w:val="0"/>
                <w:color w:val="000000" w:themeColor="text1"/>
                <w:szCs w:val="18"/>
              </w:rPr>
            </w:pPr>
          </w:p>
          <w:p w14:paraId="65D1F1A6" w14:textId="650CBF8A" w:rsidR="00C546F8" w:rsidRPr="000B4AB2" w:rsidRDefault="00953C26" w:rsidP="00260F11">
            <w:pPr>
              <w:spacing w:line="360" w:lineRule="auto"/>
              <w:jc w:val="left"/>
              <w:rPr>
                <w:b w:val="0"/>
                <w:color w:val="000000" w:themeColor="text1"/>
                <w:szCs w:val="18"/>
                <w:lang w:val="nl-NL"/>
              </w:rPr>
            </w:pPr>
            <w:r>
              <w:rPr>
                <w:color w:val="000000" w:themeColor="text1"/>
                <w:szCs w:val="18"/>
                <w:lang w:val="nl-NL"/>
              </w:rPr>
              <w:t>-</w:t>
            </w:r>
            <w:r w:rsidR="00C546F8" w:rsidRPr="000B4AB2">
              <w:rPr>
                <w:color w:val="000000" w:themeColor="text1"/>
                <w:szCs w:val="18"/>
                <w:lang w:val="nl-NL"/>
              </w:rPr>
              <w:t xml:space="preserve"> Op een persoon:</w:t>
            </w:r>
            <w:r w:rsidR="00C546F8" w:rsidRPr="000B4AB2">
              <w:rPr>
                <w:b w:val="0"/>
                <w:color w:val="000000" w:themeColor="text1"/>
                <w:szCs w:val="18"/>
                <w:lang w:val="nl-NL"/>
              </w:rPr>
              <w:t xml:space="preserve"> slachtoffer ondergaat </w:t>
            </w:r>
            <w:r w:rsidR="00C546F8" w:rsidRPr="000B4AB2">
              <w:rPr>
                <w:b w:val="0"/>
                <w:color w:val="000000" w:themeColor="text1"/>
                <w:szCs w:val="18"/>
              </w:rPr>
              <w:t xml:space="preserve">materiële gedraging </w:t>
            </w:r>
            <w:r w:rsidR="00C546F8" w:rsidRPr="000B4AB2">
              <w:rPr>
                <w:b w:val="0"/>
                <w:i/>
                <w:color w:val="000000" w:themeColor="text1"/>
                <w:szCs w:val="18"/>
              </w:rPr>
              <w:t>sensu stricto</w:t>
            </w:r>
            <w:r w:rsidR="00C546F8" w:rsidRPr="000B4AB2">
              <w:rPr>
                <w:b w:val="0"/>
                <w:color w:val="000000" w:themeColor="text1"/>
                <w:szCs w:val="18"/>
              </w:rPr>
              <w:t xml:space="preserve"> (zonder diens geldige toestemming)</w:t>
            </w:r>
          </w:p>
          <w:p w14:paraId="423068A3" w14:textId="77777777" w:rsidR="00C546F8" w:rsidRPr="000B4AB2" w:rsidRDefault="00C546F8" w:rsidP="00260F11">
            <w:pPr>
              <w:tabs>
                <w:tab w:val="left" w:pos="602"/>
              </w:tabs>
              <w:spacing w:line="360" w:lineRule="auto"/>
              <w:jc w:val="left"/>
              <w:rPr>
                <w:bCs w:val="0"/>
                <w:color w:val="000000" w:themeColor="text1"/>
                <w:szCs w:val="18"/>
              </w:rPr>
            </w:pPr>
          </w:p>
          <w:p w14:paraId="562B0E4E" w14:textId="77777777" w:rsidR="00C546F8" w:rsidRPr="000B4AB2" w:rsidRDefault="00C546F8" w:rsidP="00260F11">
            <w:pPr>
              <w:tabs>
                <w:tab w:val="left" w:pos="602"/>
              </w:tabs>
              <w:spacing w:line="360" w:lineRule="auto"/>
              <w:jc w:val="left"/>
              <w:rPr>
                <w:bCs w:val="0"/>
                <w:color w:val="000000" w:themeColor="text1"/>
                <w:szCs w:val="18"/>
              </w:rPr>
            </w:pPr>
          </w:p>
          <w:p w14:paraId="4CD09F0D" w14:textId="77777777" w:rsidR="00C546F8" w:rsidRPr="000B4AB2" w:rsidRDefault="00C546F8" w:rsidP="00260F11">
            <w:pPr>
              <w:tabs>
                <w:tab w:val="left" w:pos="602"/>
              </w:tabs>
              <w:spacing w:line="360" w:lineRule="auto"/>
              <w:jc w:val="left"/>
              <w:rPr>
                <w:b w:val="0"/>
                <w:color w:val="000000" w:themeColor="text1"/>
                <w:szCs w:val="18"/>
              </w:rPr>
            </w:pPr>
          </w:p>
          <w:p w14:paraId="7A7291F5" w14:textId="77777777" w:rsidR="00C546F8" w:rsidRPr="000B4AB2" w:rsidRDefault="00C546F8" w:rsidP="00260F11">
            <w:pPr>
              <w:tabs>
                <w:tab w:val="left" w:pos="602"/>
              </w:tabs>
              <w:spacing w:line="360" w:lineRule="auto"/>
              <w:jc w:val="left"/>
              <w:rPr>
                <w:b w:val="0"/>
                <w:color w:val="000000" w:themeColor="text1"/>
                <w:szCs w:val="18"/>
              </w:rPr>
            </w:pPr>
          </w:p>
          <w:p w14:paraId="185654D9" w14:textId="77777777" w:rsidR="00C546F8" w:rsidRPr="000B4AB2" w:rsidRDefault="00C546F8" w:rsidP="00260F11">
            <w:pPr>
              <w:tabs>
                <w:tab w:val="left" w:pos="602"/>
              </w:tabs>
              <w:spacing w:line="360" w:lineRule="auto"/>
              <w:jc w:val="left"/>
              <w:rPr>
                <w:b w:val="0"/>
                <w:color w:val="000000" w:themeColor="text1"/>
                <w:szCs w:val="18"/>
              </w:rPr>
            </w:pPr>
          </w:p>
          <w:p w14:paraId="4301D196" w14:textId="059879F8" w:rsidR="00C546F8" w:rsidRPr="000B4AB2" w:rsidRDefault="00C546F8" w:rsidP="00260F11">
            <w:pPr>
              <w:tabs>
                <w:tab w:val="left" w:pos="602"/>
              </w:tabs>
              <w:spacing w:line="360" w:lineRule="auto"/>
              <w:jc w:val="left"/>
              <w:rPr>
                <w:bCs w:val="0"/>
                <w:color w:val="000000" w:themeColor="text1"/>
                <w:szCs w:val="18"/>
              </w:rPr>
            </w:pPr>
          </w:p>
          <w:p w14:paraId="37D24FA5" w14:textId="77777777" w:rsidR="00C546F8" w:rsidRPr="000B4AB2" w:rsidRDefault="00C546F8" w:rsidP="00260F11">
            <w:pPr>
              <w:tabs>
                <w:tab w:val="left" w:pos="602"/>
              </w:tabs>
              <w:spacing w:line="360" w:lineRule="auto"/>
              <w:jc w:val="left"/>
              <w:rPr>
                <w:bCs w:val="0"/>
                <w:color w:val="000000" w:themeColor="text1"/>
                <w:szCs w:val="18"/>
              </w:rPr>
            </w:pPr>
          </w:p>
          <w:p w14:paraId="12199ABB" w14:textId="3CBA952A" w:rsidR="00C546F8" w:rsidRPr="000B4AB2" w:rsidRDefault="00953C26" w:rsidP="00260F11">
            <w:pPr>
              <w:spacing w:line="360" w:lineRule="auto"/>
              <w:jc w:val="left"/>
              <w:rPr>
                <w:b w:val="0"/>
                <w:color w:val="000000" w:themeColor="text1"/>
                <w:szCs w:val="18"/>
                <w:lang w:val="nl-NL"/>
              </w:rPr>
            </w:pPr>
            <w:r>
              <w:rPr>
                <w:b w:val="0"/>
                <w:color w:val="000000" w:themeColor="text1"/>
                <w:szCs w:val="18"/>
                <w:lang w:val="nl-NL"/>
              </w:rPr>
              <w:t>-</w:t>
            </w:r>
            <w:r w:rsidR="00C546F8" w:rsidRPr="000B4AB2">
              <w:rPr>
                <w:b w:val="0"/>
                <w:color w:val="000000" w:themeColor="text1"/>
                <w:szCs w:val="18"/>
                <w:lang w:val="nl-NL"/>
              </w:rPr>
              <w:t xml:space="preserve"> </w:t>
            </w:r>
            <w:r w:rsidR="00C546F8" w:rsidRPr="000B4AB2">
              <w:rPr>
                <w:color w:val="000000" w:themeColor="text1"/>
                <w:szCs w:val="18"/>
                <w:lang w:val="nl-NL"/>
              </w:rPr>
              <w:t>Met behulp van een persoon</w:t>
            </w:r>
            <w:r w:rsidR="00C546F8" w:rsidRPr="000B4AB2">
              <w:rPr>
                <w:b w:val="0"/>
                <w:color w:val="000000" w:themeColor="text1"/>
                <w:szCs w:val="18"/>
                <w:lang w:val="nl-NL"/>
              </w:rPr>
              <w:t>: dader verplicht het slachtoffer om zelf de gedraging te stellen zoals hierboven beschreven</w:t>
            </w:r>
          </w:p>
        </w:tc>
        <w:tc>
          <w:tcPr>
            <w:tcW w:w="3732" w:type="dxa"/>
          </w:tcPr>
          <w:p w14:paraId="7B51C0FC" w14:textId="77777777" w:rsidR="00C546F8" w:rsidRPr="000B4AB2" w:rsidRDefault="00C546F8" w:rsidP="00260F11">
            <w:pPr>
              <w:spacing w:line="360" w:lineRule="auto"/>
              <w:jc w:val="left"/>
              <w:cnfStyle w:val="000000000000" w:firstRow="0" w:lastRow="0" w:firstColumn="0" w:lastColumn="0" w:oddVBand="0" w:evenVBand="0" w:oddHBand="0" w:evenHBand="0" w:firstRowFirstColumn="0" w:firstRowLastColumn="0" w:lastRowFirstColumn="0" w:lastRowLastColumn="0"/>
              <w:rPr>
                <w:bCs/>
                <w:i/>
                <w:szCs w:val="18"/>
              </w:rPr>
            </w:pPr>
            <w:r w:rsidRPr="000B4AB2">
              <w:rPr>
                <w:bCs/>
                <w:i/>
                <w:szCs w:val="18"/>
                <w:lang w:val="nl-NL"/>
              </w:rPr>
              <w:t xml:space="preserve">“Op een persoon, al dan niet met behulp van een </w:t>
            </w:r>
            <w:r w:rsidRPr="000B4AB2">
              <w:rPr>
                <w:i/>
                <w:szCs w:val="18"/>
                <w:lang w:val="nl-NL"/>
              </w:rPr>
              <w:t xml:space="preserve">derde </w:t>
            </w:r>
            <w:r w:rsidRPr="000B4AB2">
              <w:rPr>
                <w:bCs/>
                <w:i/>
                <w:szCs w:val="18"/>
                <w:lang w:val="nl-NL"/>
              </w:rPr>
              <w:t>persoon of laten stellen door een persoon”</w:t>
            </w:r>
          </w:p>
          <w:p w14:paraId="0A658793" w14:textId="77777777" w:rsidR="00C546F8" w:rsidRPr="000B4AB2" w:rsidRDefault="00C546F8" w:rsidP="00260F11">
            <w:pPr>
              <w:spacing w:line="360" w:lineRule="auto"/>
              <w:jc w:val="left"/>
              <w:cnfStyle w:val="000000000000" w:firstRow="0" w:lastRow="0" w:firstColumn="0" w:lastColumn="0" w:oddVBand="0" w:evenVBand="0" w:oddHBand="0" w:evenHBand="0" w:firstRowFirstColumn="0" w:firstRowLastColumn="0" w:lastRowFirstColumn="0" w:lastRowLastColumn="0"/>
              <w:rPr>
                <w:bCs/>
                <w:szCs w:val="18"/>
                <w:lang w:val="nl-NL"/>
              </w:rPr>
            </w:pPr>
          </w:p>
          <w:p w14:paraId="740EC7F9" w14:textId="351D07BF" w:rsidR="00C546F8" w:rsidRPr="000B4AB2"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b/>
                <w:color w:val="000000" w:themeColor="text1"/>
                <w:szCs w:val="18"/>
                <w:lang w:val="nl-NL"/>
              </w:rPr>
              <w:t>-</w:t>
            </w:r>
            <w:r w:rsidR="00C546F8" w:rsidRPr="000B4AB2">
              <w:rPr>
                <w:b/>
                <w:color w:val="000000" w:themeColor="text1"/>
                <w:szCs w:val="18"/>
                <w:lang w:val="nl-NL"/>
              </w:rPr>
              <w:t xml:space="preserve"> Op een persoon:</w:t>
            </w:r>
            <w:r w:rsidR="00C546F8" w:rsidRPr="000B4AB2">
              <w:rPr>
                <w:color w:val="000000" w:themeColor="text1"/>
                <w:szCs w:val="18"/>
                <w:lang w:val="nl-NL"/>
              </w:rPr>
              <w:t xml:space="preserve"> slachtoffer ondergaat </w:t>
            </w:r>
            <w:r w:rsidR="00C546F8" w:rsidRPr="000B4AB2">
              <w:rPr>
                <w:color w:val="000000" w:themeColor="text1"/>
                <w:szCs w:val="18"/>
              </w:rPr>
              <w:t xml:space="preserve">materiële gedraging </w:t>
            </w:r>
            <w:r w:rsidR="00C546F8" w:rsidRPr="000B4AB2">
              <w:rPr>
                <w:i/>
                <w:color w:val="000000" w:themeColor="text1"/>
                <w:szCs w:val="18"/>
              </w:rPr>
              <w:t>sensu stricto</w:t>
            </w:r>
            <w:r w:rsidR="00C546F8" w:rsidRPr="000B4AB2">
              <w:rPr>
                <w:color w:val="000000" w:themeColor="text1"/>
                <w:szCs w:val="18"/>
              </w:rPr>
              <w:t xml:space="preserve"> (zonder diens geldige toestemming)</w:t>
            </w:r>
          </w:p>
          <w:p w14:paraId="761A96C9" w14:textId="77777777" w:rsidR="00C546F8" w:rsidRPr="000B4AB2" w:rsidRDefault="00C546F8" w:rsidP="00260F11">
            <w:pPr>
              <w:pStyle w:val="ListParagraph"/>
              <w:numPr>
                <w:ilvl w:val="0"/>
                <w:numId w:val="9"/>
              </w:num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0B4AB2">
              <w:rPr>
                <w:b/>
                <w:color w:val="000000" w:themeColor="text1"/>
                <w:szCs w:val="18"/>
                <w:lang w:val="nl-NL"/>
              </w:rPr>
              <w:t>Al dan niet met behulp van een derde persoon:</w:t>
            </w:r>
            <w:r w:rsidRPr="000B4AB2">
              <w:rPr>
                <w:color w:val="000000" w:themeColor="text1"/>
                <w:szCs w:val="18"/>
                <w:lang w:val="nl-NL"/>
              </w:rPr>
              <w:t xml:space="preserve"> derde die gedwongen wordt door dader om dergelijke gedragingen te stellen t.a.v. het slachtoffer.</w:t>
            </w:r>
          </w:p>
          <w:p w14:paraId="3B926295" w14:textId="77777777" w:rsidR="009F616D" w:rsidRPr="005126AC" w:rsidRDefault="009F616D" w:rsidP="00260F11">
            <w:p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p>
          <w:p w14:paraId="2CC8A473" w14:textId="03707433" w:rsidR="00C546F8" w:rsidRPr="000B4AB2"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w:t>
            </w:r>
            <w:r w:rsidR="00C546F8" w:rsidRPr="000B4AB2">
              <w:rPr>
                <w:color w:val="000000" w:themeColor="text1"/>
                <w:szCs w:val="18"/>
                <w:lang w:val="nl-NL"/>
              </w:rPr>
              <w:t xml:space="preserve"> </w:t>
            </w:r>
            <w:r w:rsidR="00C546F8" w:rsidRPr="000B4AB2">
              <w:rPr>
                <w:b/>
                <w:color w:val="000000" w:themeColor="text1"/>
                <w:szCs w:val="18"/>
                <w:lang w:val="nl-NL"/>
              </w:rPr>
              <w:t>Laten stellen door een persoon</w:t>
            </w:r>
            <w:r w:rsidR="00C546F8" w:rsidRPr="000B4AB2">
              <w:rPr>
                <w:color w:val="000000" w:themeColor="text1"/>
                <w:szCs w:val="18"/>
                <w:lang w:val="nl-NL"/>
              </w:rPr>
              <w:t>: dader verplicht het slachtoffer om zelf de gedraging te stellen zoals hierboven beschreven</w:t>
            </w:r>
          </w:p>
        </w:tc>
        <w:tc>
          <w:tcPr>
            <w:tcW w:w="1507" w:type="dxa"/>
          </w:tcPr>
          <w:p w14:paraId="28599DDB" w14:textId="77777777" w:rsidR="00C546F8" w:rsidRPr="000B4AB2" w:rsidRDefault="00C546F8"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bCs/>
                <w:szCs w:val="18"/>
                <w:lang w:val="nl-NL"/>
              </w:rPr>
              <w:t>Inhoudelijk geen verschil, louter andere formulering</w:t>
            </w:r>
          </w:p>
          <w:p w14:paraId="11099861" w14:textId="77777777" w:rsidR="00C546F8" w:rsidRPr="000B4AB2" w:rsidRDefault="00C546F8"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38276F18" w14:textId="77777777" w:rsidR="00C546F8" w:rsidRPr="000B4AB2" w:rsidRDefault="00C546F8"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tc>
      </w:tr>
    </w:tbl>
    <w:p w14:paraId="2C8857AE" w14:textId="77777777" w:rsidR="00885006" w:rsidRPr="000B4AB2" w:rsidRDefault="00885006" w:rsidP="00260F11">
      <w:pPr>
        <w:pStyle w:val="ListParagraph"/>
        <w:spacing w:line="360" w:lineRule="auto"/>
        <w:ind w:left="0"/>
        <w:rPr>
          <w:color w:val="000000" w:themeColor="text1"/>
          <w:szCs w:val="18"/>
          <w:lang w:val="nl-NL"/>
        </w:rPr>
      </w:pPr>
    </w:p>
    <w:p w14:paraId="2A50204C" w14:textId="04873B71" w:rsidR="00223CF1" w:rsidRPr="000B4AB2" w:rsidRDefault="00223CF1"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Toelichting schema</w:t>
      </w:r>
      <w:r w:rsidR="00C521DC" w:rsidRPr="000B4AB2">
        <w:rPr>
          <w:szCs w:val="18"/>
          <w:lang w:val="nl-NL"/>
        </w:rPr>
        <w:t>. Zoals reeds bleek</w:t>
      </w:r>
      <w:r w:rsidR="005126AC">
        <w:rPr>
          <w:szCs w:val="18"/>
          <w:lang w:val="nl-NL"/>
        </w:rPr>
        <w:t>,</w:t>
      </w:r>
      <w:r w:rsidR="00C521DC" w:rsidRPr="000B4AB2">
        <w:rPr>
          <w:szCs w:val="18"/>
          <w:lang w:val="nl-NL"/>
        </w:rPr>
        <w:t xml:space="preserve"> heeft de wetgever weliswaar voor een andere formulering geopteerd</w:t>
      </w:r>
      <w:r w:rsidR="005126AC">
        <w:rPr>
          <w:szCs w:val="18"/>
          <w:lang w:val="nl-NL"/>
        </w:rPr>
        <w:t xml:space="preserve"> van dit constitutief bestanddeel</w:t>
      </w:r>
      <w:r w:rsidR="00C521DC" w:rsidRPr="000B4AB2">
        <w:rPr>
          <w:szCs w:val="18"/>
          <w:lang w:val="nl-NL"/>
        </w:rPr>
        <w:t xml:space="preserve">, maar zal dit geen </w:t>
      </w:r>
      <w:r w:rsidR="00F30E20">
        <w:rPr>
          <w:szCs w:val="18"/>
          <w:lang w:val="nl-NL"/>
        </w:rPr>
        <w:t xml:space="preserve">concreet </w:t>
      </w:r>
      <w:r w:rsidR="00C521DC" w:rsidRPr="000B4AB2">
        <w:rPr>
          <w:szCs w:val="18"/>
          <w:lang w:val="nl-NL"/>
        </w:rPr>
        <w:t>gevolg hebben op het toepassingsgebied van de strafbaarstelling.</w:t>
      </w:r>
      <w:r w:rsidR="005126AC">
        <w:rPr>
          <w:rStyle w:val="FootnoteReference"/>
          <w:szCs w:val="18"/>
          <w:lang w:val="nl-NL"/>
        </w:rPr>
        <w:footnoteReference w:id="207"/>
      </w:r>
    </w:p>
    <w:p w14:paraId="12398E10" w14:textId="77777777" w:rsidR="00E905E0" w:rsidRPr="000B4AB2" w:rsidRDefault="00E905E0" w:rsidP="00260F11">
      <w:pPr>
        <w:pStyle w:val="ListParagraph"/>
        <w:spacing w:line="360" w:lineRule="auto"/>
        <w:ind w:left="0"/>
        <w:rPr>
          <w:color w:val="000000" w:themeColor="text1"/>
          <w:szCs w:val="18"/>
          <w:lang w:val="nl-NL"/>
        </w:rPr>
      </w:pPr>
    </w:p>
    <w:p w14:paraId="66DB7B52" w14:textId="530008D6" w:rsidR="006B1FDA" w:rsidRPr="000B4AB2" w:rsidRDefault="006B1FDA"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Temporele werking</w:t>
      </w:r>
      <w:r w:rsidRPr="000B4AB2">
        <w:rPr>
          <w:color w:val="000000" w:themeColor="text1"/>
          <w:szCs w:val="18"/>
          <w:lang w:val="nl-NL"/>
        </w:rPr>
        <w:t xml:space="preserve">. </w:t>
      </w:r>
      <w:r w:rsidR="009031B0">
        <w:rPr>
          <w:color w:val="000000" w:themeColor="text1"/>
          <w:szCs w:val="18"/>
          <w:lang w:val="nl-NL"/>
        </w:rPr>
        <w:t>Gelet op</w:t>
      </w:r>
      <w:r w:rsidRPr="000B4AB2">
        <w:rPr>
          <w:color w:val="000000" w:themeColor="text1"/>
          <w:szCs w:val="18"/>
          <w:lang w:val="nl-NL"/>
        </w:rPr>
        <w:t xml:space="preserve"> het gebrek aan inhoudelijk verschil tussen beide strafbaarstellingen </w:t>
      </w:r>
      <w:r w:rsidR="009031B0">
        <w:rPr>
          <w:color w:val="000000" w:themeColor="text1"/>
          <w:szCs w:val="18"/>
          <w:lang w:val="nl-NL"/>
        </w:rPr>
        <w:t>m.b.t.</w:t>
      </w:r>
      <w:r w:rsidRPr="000B4AB2">
        <w:rPr>
          <w:color w:val="000000" w:themeColor="text1"/>
          <w:szCs w:val="18"/>
          <w:lang w:val="nl-NL"/>
        </w:rPr>
        <w:t xml:space="preserve"> dit constitutief bestanddeel, kan dit constitutief bestanddeel </w:t>
      </w:r>
      <w:r w:rsidR="009031B0">
        <w:rPr>
          <w:color w:val="000000" w:themeColor="text1"/>
          <w:szCs w:val="18"/>
          <w:lang w:val="nl-NL"/>
        </w:rPr>
        <w:t>retroactief worden toegepast</w:t>
      </w:r>
      <w:r w:rsidR="00B558C6" w:rsidRPr="000B4AB2">
        <w:rPr>
          <w:color w:val="000000" w:themeColor="text1"/>
          <w:szCs w:val="18"/>
          <w:lang w:val="nl-NL"/>
        </w:rPr>
        <w:t>.</w:t>
      </w:r>
    </w:p>
    <w:p w14:paraId="41106C9B" w14:textId="243ABE3E" w:rsidR="002403F2" w:rsidRPr="000B4AB2" w:rsidRDefault="00E17C29" w:rsidP="00260F11">
      <w:pPr>
        <w:spacing w:line="360" w:lineRule="auto"/>
        <w:rPr>
          <w:color w:val="000000" w:themeColor="text1"/>
          <w:szCs w:val="18"/>
          <w:lang w:val="nl-NL"/>
        </w:rPr>
      </w:pPr>
      <w:r>
        <w:rPr>
          <w:color w:val="000000" w:themeColor="text1"/>
          <w:szCs w:val="18"/>
          <w:lang w:val="nl-NL"/>
        </w:rPr>
        <w:br w:type="page"/>
      </w:r>
    </w:p>
    <w:p w14:paraId="6905CC70" w14:textId="73E30202" w:rsidR="00C546F8" w:rsidRPr="000B4AB2" w:rsidRDefault="00C168A9" w:rsidP="00260F11">
      <w:pPr>
        <w:pStyle w:val="Heading5"/>
        <w:spacing w:line="360" w:lineRule="auto"/>
        <w:rPr>
          <w:szCs w:val="18"/>
          <w:lang w:val="nl-NL"/>
        </w:rPr>
      </w:pPr>
      <w:bookmarkStart w:id="22" w:name="_Toc135041053"/>
      <w:r>
        <w:rPr>
          <w:szCs w:val="18"/>
          <w:lang w:val="nl-NL"/>
        </w:rPr>
        <w:lastRenderedPageBreak/>
        <w:t>Afwezigheid</w:t>
      </w:r>
      <w:r w:rsidR="00C546F8" w:rsidRPr="000B4AB2">
        <w:rPr>
          <w:szCs w:val="18"/>
          <w:lang w:val="nl-NL"/>
        </w:rPr>
        <w:t xml:space="preserve"> geldige toestemming slachtoffer</w:t>
      </w:r>
      <w:bookmarkEnd w:id="22"/>
    </w:p>
    <w:p w14:paraId="64DC7012" w14:textId="3E6425E0" w:rsidR="002403F2" w:rsidRPr="000B4AB2" w:rsidRDefault="002403F2" w:rsidP="00260F11">
      <w:pPr>
        <w:pStyle w:val="ListParagraph"/>
        <w:spacing w:line="360" w:lineRule="auto"/>
        <w:ind w:left="0"/>
        <w:rPr>
          <w:color w:val="000000" w:themeColor="text1"/>
          <w:szCs w:val="18"/>
          <w:lang w:val="nl-NL"/>
        </w:rPr>
      </w:pPr>
    </w:p>
    <w:p w14:paraId="58E5B208" w14:textId="397CAF1D" w:rsidR="00AE0787" w:rsidRPr="000B4AB2" w:rsidRDefault="00AE078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Pr="000B4AB2">
        <w:rPr>
          <w:color w:val="000000" w:themeColor="text1"/>
          <w:szCs w:val="18"/>
          <w:lang w:val="nl-NL"/>
        </w:rPr>
        <w:t xml:space="preserve">. </w:t>
      </w:r>
      <w:r w:rsidR="009031B0">
        <w:rPr>
          <w:color w:val="000000" w:themeColor="text1"/>
          <w:szCs w:val="18"/>
          <w:lang w:val="nl-NL"/>
        </w:rPr>
        <w:t>O.b.v.</w:t>
      </w:r>
      <w:r w:rsidRPr="000B4AB2">
        <w:rPr>
          <w:color w:val="000000" w:themeColor="text1"/>
          <w:szCs w:val="18"/>
          <w:lang w:val="nl-NL"/>
        </w:rPr>
        <w:t xml:space="preserve"> de uiteenzetting van de strafbaarstellingen van aanranding van de eerbaarheid en aantasting van de seksuele integriteit, kan volgend vergelijkend schema worden opgesteld.</w:t>
      </w:r>
    </w:p>
    <w:p w14:paraId="32C61AF5" w14:textId="14EE1D5F" w:rsidR="00AE0787" w:rsidRPr="000B4AB2" w:rsidRDefault="00AE0787" w:rsidP="00260F11">
      <w:pPr>
        <w:spacing w:line="360" w:lineRule="auto"/>
        <w:rPr>
          <w:color w:val="000000" w:themeColor="text1"/>
          <w:szCs w:val="18"/>
          <w:lang w:val="nl-NL"/>
        </w:rPr>
      </w:pPr>
    </w:p>
    <w:tbl>
      <w:tblPr>
        <w:tblStyle w:val="GridTable4-Accent3"/>
        <w:tblW w:w="0" w:type="auto"/>
        <w:tblLook w:val="04A0" w:firstRow="1" w:lastRow="0" w:firstColumn="1" w:lastColumn="0" w:noHBand="0" w:noVBand="1"/>
      </w:tblPr>
      <w:tblGrid>
        <w:gridCol w:w="3492"/>
        <w:gridCol w:w="3424"/>
        <w:gridCol w:w="2146"/>
      </w:tblGrid>
      <w:tr w:rsidR="00C34BDF" w:rsidRPr="00587769" w14:paraId="752E6B10" w14:textId="77777777" w:rsidTr="00AE6F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15122BFE" w14:textId="181A0150" w:rsidR="00C34BDF" w:rsidRPr="00587769" w:rsidRDefault="00C34BDF" w:rsidP="00260F11">
            <w:pPr>
              <w:spacing w:line="360" w:lineRule="auto"/>
              <w:rPr>
                <w:b w:val="0"/>
                <w:bCs w:val="0"/>
                <w:i/>
                <w:color w:val="000000" w:themeColor="text1"/>
                <w:szCs w:val="18"/>
              </w:rPr>
            </w:pPr>
            <w:r w:rsidRPr="00587769">
              <w:rPr>
                <w:color w:val="000000" w:themeColor="text1"/>
                <w:szCs w:val="18"/>
                <w:lang w:val="nl-NL"/>
              </w:rPr>
              <w:t xml:space="preserve">Vergelijking </w:t>
            </w:r>
            <w:r w:rsidR="00C168A9">
              <w:rPr>
                <w:color w:val="000000" w:themeColor="text1"/>
                <w:szCs w:val="18"/>
              </w:rPr>
              <w:t>afwezigheid</w:t>
            </w:r>
            <w:r w:rsidRPr="00587769">
              <w:rPr>
                <w:color w:val="000000" w:themeColor="text1"/>
                <w:szCs w:val="18"/>
              </w:rPr>
              <w:t xml:space="preserve"> geldige toestemming</w:t>
            </w:r>
          </w:p>
        </w:tc>
      </w:tr>
      <w:tr w:rsidR="002C5AFF" w:rsidRPr="00587769" w14:paraId="7AF1F94B" w14:textId="77777777" w:rsidTr="00AE6F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0CE4312" w14:textId="0B13F968" w:rsidR="00C34BDF" w:rsidRPr="00587769" w:rsidRDefault="00C46CA1" w:rsidP="00260F11">
            <w:pPr>
              <w:spacing w:line="360" w:lineRule="auto"/>
              <w:rPr>
                <w:color w:val="000000" w:themeColor="text1"/>
                <w:szCs w:val="18"/>
                <w:lang w:val="nl-NL"/>
              </w:rPr>
            </w:pPr>
            <w:r>
              <w:rPr>
                <w:bCs w:val="0"/>
                <w:color w:val="000000" w:themeColor="text1"/>
                <w:szCs w:val="18"/>
                <w:lang w:val="nl-NL"/>
              </w:rPr>
              <w:t>Oud art. 373 Sw.</w:t>
            </w:r>
          </w:p>
        </w:tc>
        <w:tc>
          <w:tcPr>
            <w:tcW w:w="3732" w:type="dxa"/>
          </w:tcPr>
          <w:p w14:paraId="53EFBF90" w14:textId="3649A1AA" w:rsidR="00C34BDF" w:rsidRPr="00587769" w:rsidRDefault="00C46CA1"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lang w:val="nl-NL"/>
              </w:rPr>
            </w:pPr>
            <w:r>
              <w:rPr>
                <w:b/>
                <w:bCs/>
                <w:color w:val="000000" w:themeColor="text1"/>
                <w:szCs w:val="18"/>
                <w:lang w:val="nl-NL"/>
              </w:rPr>
              <w:t>Art. 417/7 Sw.</w:t>
            </w:r>
          </w:p>
        </w:tc>
        <w:tc>
          <w:tcPr>
            <w:tcW w:w="1507" w:type="dxa"/>
          </w:tcPr>
          <w:p w14:paraId="2F94CFBB" w14:textId="77777777" w:rsidR="00C34BDF" w:rsidRPr="00587769" w:rsidRDefault="00C34BDF"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lang w:val="nl-NL"/>
              </w:rPr>
            </w:pPr>
            <w:r w:rsidRPr="00587769">
              <w:rPr>
                <w:b/>
                <w:bCs/>
                <w:color w:val="000000" w:themeColor="text1"/>
                <w:szCs w:val="18"/>
                <w:lang w:val="nl-NL"/>
              </w:rPr>
              <w:t>Verschil</w:t>
            </w:r>
          </w:p>
        </w:tc>
      </w:tr>
      <w:tr w:rsidR="002C5AFF" w:rsidRPr="00587769" w14:paraId="6612E8BF" w14:textId="77777777" w:rsidTr="00AE6F93">
        <w:trPr>
          <w:trHeight w:val="1134"/>
        </w:trPr>
        <w:tc>
          <w:tcPr>
            <w:cnfStyle w:val="001000000000" w:firstRow="0" w:lastRow="0" w:firstColumn="1" w:lastColumn="0" w:oddVBand="0" w:evenVBand="0" w:oddHBand="0" w:evenHBand="0" w:firstRowFirstColumn="0" w:firstRowLastColumn="0" w:lastRowFirstColumn="0" w:lastRowLastColumn="0"/>
            <w:tcW w:w="3823" w:type="dxa"/>
          </w:tcPr>
          <w:p w14:paraId="2FF5B393" w14:textId="77777777" w:rsidR="00C34BDF" w:rsidRPr="00587769" w:rsidRDefault="00C34BDF" w:rsidP="00260F11">
            <w:pPr>
              <w:spacing w:line="360" w:lineRule="auto"/>
              <w:jc w:val="left"/>
              <w:rPr>
                <w:b w:val="0"/>
                <w:color w:val="000000" w:themeColor="text1"/>
                <w:szCs w:val="18"/>
                <w:lang w:val="nl-NL"/>
              </w:rPr>
            </w:pPr>
            <w:r w:rsidRPr="00587769">
              <w:rPr>
                <w:b w:val="0"/>
                <w:color w:val="000000" w:themeColor="text1"/>
                <w:szCs w:val="18"/>
                <w:lang w:val="nl-NL"/>
              </w:rPr>
              <w:t xml:space="preserve">Twee opties: </w:t>
            </w:r>
          </w:p>
          <w:p w14:paraId="7FF6D5A8" w14:textId="77777777" w:rsidR="00C34BDF" w:rsidRPr="00587769" w:rsidRDefault="00C34BDF" w:rsidP="00260F11">
            <w:pPr>
              <w:spacing w:line="360" w:lineRule="auto"/>
              <w:jc w:val="left"/>
              <w:rPr>
                <w:b w:val="0"/>
                <w:color w:val="000000" w:themeColor="text1"/>
                <w:szCs w:val="18"/>
                <w:lang w:val="nl-NL"/>
              </w:rPr>
            </w:pPr>
          </w:p>
          <w:p w14:paraId="421B14D9" w14:textId="68361780" w:rsidR="002C5AFF" w:rsidRPr="002C5AFF" w:rsidRDefault="00953C26" w:rsidP="00260F11">
            <w:pPr>
              <w:spacing w:line="360" w:lineRule="auto"/>
              <w:jc w:val="left"/>
              <w:rPr>
                <w:b w:val="0"/>
                <w:color w:val="000000" w:themeColor="text1"/>
                <w:szCs w:val="18"/>
                <w:lang w:val="nl-NL"/>
              </w:rPr>
            </w:pPr>
            <w:r>
              <w:rPr>
                <w:color w:val="000000" w:themeColor="text1"/>
                <w:szCs w:val="18"/>
                <w:lang w:val="nl-NL"/>
              </w:rPr>
              <w:t>-</w:t>
            </w:r>
            <w:r w:rsidR="00C34BDF" w:rsidRPr="00587769">
              <w:rPr>
                <w:color w:val="000000" w:themeColor="text1"/>
                <w:szCs w:val="18"/>
                <w:lang w:val="nl-NL"/>
              </w:rPr>
              <w:t xml:space="preserve"> Welbepaalde minderjarige leeftijd van het slachtoffer</w:t>
            </w:r>
            <w:r w:rsidR="00C34BDF" w:rsidRPr="00587769">
              <w:rPr>
                <w:b w:val="0"/>
                <w:color w:val="000000" w:themeColor="text1"/>
                <w:szCs w:val="18"/>
                <w:lang w:val="nl-NL"/>
              </w:rPr>
              <w:t xml:space="preserve"> (oud art. 372 Sw.)</w:t>
            </w:r>
          </w:p>
          <w:p w14:paraId="0BB0978A" w14:textId="77777777" w:rsidR="002C5AFF" w:rsidRPr="002C5AFF" w:rsidRDefault="00C34BDF" w:rsidP="00260F11">
            <w:pPr>
              <w:pStyle w:val="ListParagraph"/>
              <w:numPr>
                <w:ilvl w:val="0"/>
                <w:numId w:val="6"/>
              </w:numPr>
              <w:spacing w:line="360" w:lineRule="auto"/>
              <w:jc w:val="left"/>
              <w:rPr>
                <w:b w:val="0"/>
                <w:bCs w:val="0"/>
                <w:color w:val="000000" w:themeColor="text1"/>
                <w:szCs w:val="18"/>
                <w:lang w:val="nl-NL"/>
              </w:rPr>
            </w:pPr>
            <w:r w:rsidRPr="002C5AFF">
              <w:rPr>
                <w:b w:val="0"/>
                <w:color w:val="000000" w:themeColor="text1"/>
                <w:szCs w:val="18"/>
                <w:lang w:val="nl-NL"/>
              </w:rPr>
              <w:t>Minzestienjarigen worden onweerlegbaar vermoed niet te kunnen toestemmen met dergelijke gedragingen</w:t>
            </w:r>
          </w:p>
          <w:p w14:paraId="5CA24244" w14:textId="77B8E831" w:rsidR="00C34BDF" w:rsidRPr="002C5AFF" w:rsidRDefault="00C34BDF" w:rsidP="00260F11">
            <w:pPr>
              <w:pStyle w:val="ListParagraph"/>
              <w:numPr>
                <w:ilvl w:val="0"/>
                <w:numId w:val="6"/>
              </w:numPr>
              <w:spacing w:line="360" w:lineRule="auto"/>
              <w:jc w:val="left"/>
              <w:rPr>
                <w:b w:val="0"/>
                <w:bCs w:val="0"/>
                <w:color w:val="000000" w:themeColor="text1"/>
                <w:szCs w:val="18"/>
                <w:lang w:val="nl-NL"/>
              </w:rPr>
            </w:pPr>
            <w:r w:rsidRPr="002C5AFF">
              <w:rPr>
                <w:b w:val="0"/>
                <w:color w:val="000000" w:themeColor="text1"/>
                <w:szCs w:val="18"/>
                <w:lang w:val="nl-NL"/>
              </w:rPr>
              <w:t xml:space="preserve">Maar: uitzondering in oud art. 372, lid 2 </w:t>
            </w:r>
            <w:r w:rsidR="00D56452" w:rsidRPr="002C5AFF">
              <w:rPr>
                <w:b w:val="0"/>
                <w:color w:val="000000" w:themeColor="text1"/>
                <w:szCs w:val="18"/>
                <w:lang w:val="nl-NL"/>
              </w:rPr>
              <w:t xml:space="preserve">en 3 </w:t>
            </w:r>
            <w:r w:rsidRPr="002C5AFF">
              <w:rPr>
                <w:b w:val="0"/>
                <w:color w:val="000000" w:themeColor="text1"/>
                <w:szCs w:val="18"/>
                <w:lang w:val="nl-NL"/>
              </w:rPr>
              <w:t xml:space="preserve">Sw.) </w:t>
            </w:r>
          </w:p>
          <w:p w14:paraId="232A4E03" w14:textId="77777777" w:rsidR="00C34BDF" w:rsidRPr="002C5AFF" w:rsidRDefault="00C34BDF" w:rsidP="00260F11">
            <w:pPr>
              <w:tabs>
                <w:tab w:val="left" w:pos="602"/>
              </w:tabs>
              <w:spacing w:line="360" w:lineRule="auto"/>
              <w:jc w:val="left"/>
              <w:rPr>
                <w:b w:val="0"/>
                <w:color w:val="000000" w:themeColor="text1"/>
                <w:szCs w:val="18"/>
                <w:lang w:val="nl-NL"/>
              </w:rPr>
            </w:pPr>
          </w:p>
          <w:p w14:paraId="28FF9EBC" w14:textId="7E3086ED" w:rsidR="00C34BDF" w:rsidRPr="00587769" w:rsidRDefault="00953C26" w:rsidP="00260F11">
            <w:pPr>
              <w:spacing w:line="360" w:lineRule="auto"/>
              <w:jc w:val="left"/>
              <w:rPr>
                <w:b w:val="0"/>
                <w:color w:val="000000" w:themeColor="text1"/>
                <w:szCs w:val="18"/>
                <w:lang w:val="nl-NL"/>
              </w:rPr>
            </w:pPr>
            <w:r>
              <w:rPr>
                <w:b w:val="0"/>
                <w:color w:val="000000" w:themeColor="text1"/>
                <w:szCs w:val="18"/>
                <w:lang w:val="nl-NL"/>
              </w:rPr>
              <w:t>-</w:t>
            </w:r>
            <w:r w:rsidR="00C34BDF" w:rsidRPr="00587769">
              <w:rPr>
                <w:b w:val="0"/>
                <w:color w:val="000000" w:themeColor="text1"/>
                <w:szCs w:val="18"/>
                <w:lang w:val="nl-NL"/>
              </w:rPr>
              <w:t xml:space="preserve"> </w:t>
            </w:r>
            <w:r w:rsidR="00C34BDF" w:rsidRPr="00587769">
              <w:rPr>
                <w:color w:val="000000" w:themeColor="text1"/>
                <w:szCs w:val="18"/>
                <w:lang w:val="nl-NL"/>
              </w:rPr>
              <w:t>Slachtoffer kan zich beroepen op een van de wilsuitsluitende gronden</w:t>
            </w:r>
            <w:r w:rsidR="00C34BDF" w:rsidRPr="00587769">
              <w:rPr>
                <w:b w:val="0"/>
                <w:color w:val="000000" w:themeColor="text1"/>
                <w:szCs w:val="18"/>
                <w:lang w:val="nl-NL"/>
              </w:rPr>
              <w:t xml:space="preserve"> (oud art. 373 Sw.)</w:t>
            </w:r>
          </w:p>
          <w:p w14:paraId="71795D5F" w14:textId="77777777" w:rsidR="00C34BDF" w:rsidRPr="00587769" w:rsidRDefault="00C34BDF" w:rsidP="00260F11">
            <w:pPr>
              <w:spacing w:line="360" w:lineRule="auto"/>
              <w:jc w:val="left"/>
              <w:rPr>
                <w:b w:val="0"/>
                <w:color w:val="000000" w:themeColor="text1"/>
                <w:szCs w:val="18"/>
                <w:lang w:val="nl-NL"/>
              </w:rPr>
            </w:pPr>
          </w:p>
        </w:tc>
        <w:tc>
          <w:tcPr>
            <w:tcW w:w="3732" w:type="dxa"/>
          </w:tcPr>
          <w:p w14:paraId="580005DD"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587769">
              <w:rPr>
                <w:color w:val="000000" w:themeColor="text1"/>
                <w:szCs w:val="18"/>
                <w:lang w:val="nl-NL"/>
              </w:rPr>
              <w:t xml:space="preserve">Twee opties: </w:t>
            </w:r>
          </w:p>
          <w:p w14:paraId="13EDCEF9"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2529D836" w14:textId="57E3FB2B" w:rsidR="00C34BDF" w:rsidRPr="00587769"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Pr>
                <w:b/>
                <w:color w:val="000000" w:themeColor="text1"/>
                <w:szCs w:val="18"/>
                <w:lang w:val="nl-NL"/>
              </w:rPr>
              <w:t>-</w:t>
            </w:r>
            <w:r w:rsidR="00C34BDF" w:rsidRPr="00587769">
              <w:rPr>
                <w:b/>
                <w:color w:val="000000" w:themeColor="text1"/>
                <w:szCs w:val="18"/>
                <w:lang w:val="nl-NL"/>
              </w:rPr>
              <w:t xml:space="preserve"> Welbepaalde minderjarige leeftijd van het slachtoffer</w:t>
            </w:r>
            <w:r w:rsidR="00C34BDF" w:rsidRPr="00587769">
              <w:rPr>
                <w:color w:val="000000" w:themeColor="text1"/>
                <w:szCs w:val="18"/>
                <w:lang w:val="nl-NL"/>
              </w:rPr>
              <w:t xml:space="preserve"> (art. 417/6 Sw.)</w:t>
            </w:r>
          </w:p>
          <w:p w14:paraId="51585A78" w14:textId="77777777" w:rsidR="00C34BDF" w:rsidRPr="00587769" w:rsidRDefault="00C34BDF" w:rsidP="00260F11">
            <w:pPr>
              <w:pStyle w:val="ListParagraph"/>
              <w:numPr>
                <w:ilvl w:val="0"/>
                <w:numId w:val="22"/>
              </w:num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587769">
              <w:rPr>
                <w:color w:val="000000" w:themeColor="text1"/>
                <w:szCs w:val="18"/>
                <w:lang w:val="nl-NL"/>
              </w:rPr>
              <w:t>Minzestienjarigen kunnen in beginsel niet toestemmen</w:t>
            </w:r>
          </w:p>
          <w:p w14:paraId="4593990A" w14:textId="77777777" w:rsidR="00C34BDF" w:rsidRPr="00587769" w:rsidRDefault="00C34BDF" w:rsidP="00260F11">
            <w:pPr>
              <w:pStyle w:val="ListParagraph"/>
              <w:numPr>
                <w:ilvl w:val="0"/>
                <w:numId w:val="22"/>
              </w:num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587769">
              <w:rPr>
                <w:bCs/>
                <w:color w:val="000000" w:themeColor="text1"/>
                <w:szCs w:val="18"/>
                <w:lang w:val="nl-NL"/>
              </w:rPr>
              <w:t>Maar: uitzonderingen in artikel</w:t>
            </w:r>
          </w:p>
          <w:p w14:paraId="4A63009B"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66BD7150" w14:textId="77777777" w:rsidR="00D76C7C" w:rsidRPr="00587769" w:rsidRDefault="00D76C7C"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6C493D08" w14:textId="7B066751" w:rsidR="00C34BDF" w:rsidRPr="00587769"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b/>
                <w:color w:val="000000" w:themeColor="text1"/>
                <w:szCs w:val="18"/>
                <w:lang w:val="nl-NL"/>
              </w:rPr>
            </w:pPr>
            <w:r>
              <w:rPr>
                <w:color w:val="000000" w:themeColor="text1"/>
                <w:szCs w:val="18"/>
                <w:lang w:val="nl-NL"/>
              </w:rPr>
              <w:t>-</w:t>
            </w:r>
            <w:r w:rsidR="00C34BDF" w:rsidRPr="00587769">
              <w:rPr>
                <w:color w:val="000000" w:themeColor="text1"/>
                <w:szCs w:val="18"/>
                <w:lang w:val="nl-NL"/>
              </w:rPr>
              <w:t xml:space="preserve"> </w:t>
            </w:r>
            <w:r w:rsidR="00C34BDF" w:rsidRPr="00587769">
              <w:rPr>
                <w:b/>
                <w:color w:val="000000" w:themeColor="text1"/>
                <w:szCs w:val="18"/>
                <w:lang w:val="nl-NL"/>
              </w:rPr>
              <w:t>Slachtoffer heeft niet toegestemd</w:t>
            </w:r>
            <w:r w:rsidR="00C34BDF" w:rsidRPr="00587769">
              <w:rPr>
                <w:color w:val="000000" w:themeColor="text1"/>
                <w:szCs w:val="18"/>
                <w:lang w:val="nl-NL"/>
              </w:rPr>
              <w:t xml:space="preserve"> (art. 417/5 Sw.)</w:t>
            </w:r>
          </w:p>
          <w:p w14:paraId="50B745C7"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tc>
        <w:tc>
          <w:tcPr>
            <w:tcW w:w="1507" w:type="dxa"/>
          </w:tcPr>
          <w:p w14:paraId="21FCD676"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587769">
              <w:rPr>
                <w:color w:val="000000" w:themeColor="text1"/>
                <w:szCs w:val="18"/>
                <w:lang w:val="nl-NL"/>
              </w:rPr>
              <w:t>Verschil:</w:t>
            </w:r>
          </w:p>
          <w:p w14:paraId="7BBC274F"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7C3CF59C" w14:textId="3EAAB1E0" w:rsidR="00C34BDF" w:rsidRPr="00587769"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w:t>
            </w:r>
            <w:r w:rsidR="00C34BDF" w:rsidRPr="00587769">
              <w:rPr>
                <w:color w:val="000000" w:themeColor="text1"/>
                <w:szCs w:val="18"/>
                <w:lang w:val="nl-NL"/>
              </w:rPr>
              <w:t xml:space="preserve"> </w:t>
            </w:r>
            <w:r>
              <w:rPr>
                <w:color w:val="000000" w:themeColor="text1"/>
                <w:szCs w:val="18"/>
                <w:lang w:val="nl-NL"/>
              </w:rPr>
              <w:t xml:space="preserve">andere </w:t>
            </w:r>
            <w:r w:rsidR="00C34BDF" w:rsidRPr="00587769">
              <w:rPr>
                <w:color w:val="000000" w:themeColor="text1"/>
                <w:szCs w:val="18"/>
                <w:lang w:val="nl-NL"/>
              </w:rPr>
              <w:t>leeftijd</w:t>
            </w:r>
            <w:r>
              <w:rPr>
                <w:color w:val="000000" w:themeColor="text1"/>
                <w:szCs w:val="18"/>
                <w:lang w:val="nl-NL"/>
              </w:rPr>
              <w:t xml:space="preserve">sgrens </w:t>
            </w:r>
            <w:r w:rsidR="00C34BDF" w:rsidRPr="00587769">
              <w:rPr>
                <w:color w:val="000000" w:themeColor="text1"/>
                <w:szCs w:val="18"/>
                <w:lang w:val="nl-NL"/>
              </w:rPr>
              <w:t>seksuele meerderjarigheid</w:t>
            </w:r>
          </w:p>
          <w:p w14:paraId="49A761E0"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3562A01F" w14:textId="289F6F78" w:rsidR="00C34BDF" w:rsidRPr="00587769"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Pr>
                <w:color w:val="000000" w:themeColor="text1"/>
                <w:szCs w:val="18"/>
                <w:lang w:val="nl-NL"/>
              </w:rPr>
              <w:t>-</w:t>
            </w:r>
            <w:r w:rsidR="00C34BDF" w:rsidRPr="00587769">
              <w:rPr>
                <w:color w:val="000000" w:themeColor="text1"/>
                <w:szCs w:val="18"/>
                <w:lang w:val="nl-NL"/>
              </w:rPr>
              <w:t xml:space="preserve"> gebrek aan toestemming is constitutief bestanddeel geworden</w:t>
            </w:r>
          </w:p>
          <w:p w14:paraId="23A5A59F"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24CF8EDE" w14:textId="1AA1C394" w:rsidR="00C34BDF" w:rsidRPr="00587769"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w:t>
            </w:r>
            <w:r w:rsidR="00C34BDF" w:rsidRPr="00587769">
              <w:rPr>
                <w:color w:val="000000" w:themeColor="text1"/>
                <w:szCs w:val="18"/>
                <w:lang w:val="nl-NL"/>
              </w:rPr>
              <w:t xml:space="preserve"> toestemming </w:t>
            </w:r>
            <w:r w:rsidR="00032070" w:rsidRPr="00587769">
              <w:rPr>
                <w:color w:val="000000" w:themeColor="text1"/>
                <w:szCs w:val="18"/>
                <w:lang w:val="nl-NL"/>
              </w:rPr>
              <w:t>m.b.t.</w:t>
            </w:r>
            <w:r w:rsidR="00C34BDF" w:rsidRPr="00587769">
              <w:rPr>
                <w:color w:val="000000" w:themeColor="text1"/>
                <w:szCs w:val="18"/>
                <w:lang w:val="nl-NL"/>
              </w:rPr>
              <w:t xml:space="preserve"> het seksueel zelfbeschikkingsrecht wordt wettelijk gedefinieerd</w:t>
            </w:r>
          </w:p>
          <w:p w14:paraId="49A8A6C6" w14:textId="77777777" w:rsidR="00C34BDF" w:rsidRPr="00587769" w:rsidRDefault="00C34BDF"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tc>
      </w:tr>
    </w:tbl>
    <w:p w14:paraId="230DE150" w14:textId="77777777" w:rsidR="002403F2" w:rsidRPr="000B4AB2" w:rsidRDefault="002403F2" w:rsidP="00260F11">
      <w:pPr>
        <w:pStyle w:val="ListParagraph"/>
        <w:spacing w:line="360" w:lineRule="auto"/>
        <w:ind w:left="0"/>
        <w:rPr>
          <w:color w:val="000000" w:themeColor="text1"/>
          <w:szCs w:val="18"/>
          <w:lang w:val="nl-NL"/>
        </w:rPr>
      </w:pPr>
    </w:p>
    <w:p w14:paraId="54C21115" w14:textId="5B2A192A" w:rsidR="00385F84" w:rsidRPr="000B4AB2" w:rsidRDefault="00C34BDF"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Toelichting schema</w:t>
      </w:r>
      <w:r w:rsidR="00223CF1" w:rsidRPr="000B4AB2">
        <w:rPr>
          <w:b/>
          <w:szCs w:val="18"/>
          <w:lang w:val="nl-NL"/>
        </w:rPr>
        <w:t xml:space="preserve">. </w:t>
      </w:r>
      <w:r w:rsidR="00532725">
        <w:rPr>
          <w:szCs w:val="18"/>
          <w:lang w:val="nl-NL"/>
        </w:rPr>
        <w:t>D</w:t>
      </w:r>
      <w:r w:rsidR="00762010" w:rsidRPr="000B4AB2">
        <w:rPr>
          <w:szCs w:val="18"/>
          <w:lang w:val="nl-NL"/>
        </w:rPr>
        <w:t xml:space="preserve">it constitutief bestanddeel </w:t>
      </w:r>
      <w:r w:rsidR="00532725">
        <w:rPr>
          <w:szCs w:val="18"/>
          <w:lang w:val="nl-NL"/>
        </w:rPr>
        <w:t>van de huidige strafbaarstelling bevat heel wat verschilpunten t.o.v. de oude strafbaarstelling</w:t>
      </w:r>
      <w:r w:rsidR="00762010" w:rsidRPr="000B4AB2">
        <w:rPr>
          <w:szCs w:val="18"/>
          <w:lang w:val="nl-NL"/>
        </w:rPr>
        <w:t xml:space="preserve">. In wat volgt zal elk van de schematisch reeds aangehaalde verschilpunten, verder worden uiteengezet. Hiervoor zal per verschilpunt worden stilgestaan </w:t>
      </w:r>
      <w:r w:rsidR="001237E8" w:rsidRPr="000B4AB2">
        <w:rPr>
          <w:szCs w:val="18"/>
          <w:lang w:val="nl-NL"/>
        </w:rPr>
        <w:t>bij</w:t>
      </w:r>
      <w:r w:rsidR="00762010" w:rsidRPr="000B4AB2">
        <w:rPr>
          <w:szCs w:val="18"/>
          <w:lang w:val="nl-NL"/>
        </w:rPr>
        <w:t xml:space="preserve"> de temporele werking ervan.</w:t>
      </w:r>
    </w:p>
    <w:p w14:paraId="78CE99F6" w14:textId="77777777" w:rsidR="00385F84" w:rsidRPr="000B4AB2" w:rsidRDefault="00385F84" w:rsidP="00260F11">
      <w:pPr>
        <w:pStyle w:val="ListParagraph"/>
        <w:spacing w:line="360" w:lineRule="auto"/>
        <w:ind w:left="0"/>
        <w:rPr>
          <w:color w:val="000000" w:themeColor="text1"/>
          <w:szCs w:val="18"/>
          <w:lang w:val="nl-NL"/>
        </w:rPr>
      </w:pPr>
    </w:p>
    <w:p w14:paraId="713CAD36" w14:textId="1C821D6E" w:rsidR="007A029D" w:rsidRPr="00532725" w:rsidRDefault="00762010"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 xml:space="preserve">(1) </w:t>
      </w:r>
      <w:r w:rsidR="00F1005C" w:rsidRPr="000B4AB2">
        <w:rPr>
          <w:b/>
          <w:szCs w:val="18"/>
          <w:lang w:val="nl-NL"/>
        </w:rPr>
        <w:t>Seksuele meerderjarigheid</w:t>
      </w:r>
      <w:r w:rsidR="009F5025" w:rsidRPr="000B4AB2">
        <w:rPr>
          <w:szCs w:val="18"/>
          <w:lang w:val="nl-NL"/>
        </w:rPr>
        <w:t xml:space="preserve">. </w:t>
      </w:r>
      <w:r w:rsidR="00F219B8" w:rsidRPr="000B4AB2">
        <w:rPr>
          <w:szCs w:val="18"/>
          <w:lang w:val="nl-NL"/>
        </w:rPr>
        <w:t xml:space="preserve">Voortaan geldt </w:t>
      </w:r>
      <w:r w:rsidR="00173D40" w:rsidRPr="000B4AB2">
        <w:rPr>
          <w:szCs w:val="18"/>
          <w:lang w:val="nl-NL"/>
        </w:rPr>
        <w:t xml:space="preserve">een uniforme leeftijd van seksuele meerderjarigheid. </w:t>
      </w:r>
      <w:r w:rsidR="00B7356F" w:rsidRPr="000B4AB2">
        <w:rPr>
          <w:szCs w:val="18"/>
          <w:lang w:val="nl-NL"/>
        </w:rPr>
        <w:t>De wetgever maakte aldus komaf</w:t>
      </w:r>
      <w:r w:rsidR="00173D40" w:rsidRPr="000B4AB2">
        <w:rPr>
          <w:szCs w:val="18"/>
          <w:lang w:val="nl-NL"/>
        </w:rPr>
        <w:t xml:space="preserve"> met de wettelijke onweerlegbare vermoedens, zoals </w:t>
      </w:r>
      <w:r w:rsidR="008F01AA" w:rsidRPr="000B4AB2">
        <w:rPr>
          <w:szCs w:val="18"/>
          <w:lang w:val="nl-NL"/>
        </w:rPr>
        <w:t>deze</w:t>
      </w:r>
      <w:r w:rsidR="00173D40" w:rsidRPr="000B4AB2">
        <w:rPr>
          <w:szCs w:val="18"/>
          <w:lang w:val="nl-NL"/>
        </w:rPr>
        <w:t xml:space="preserve"> uit oud artikel 372, eerste</w:t>
      </w:r>
      <w:r w:rsidR="00F219B8" w:rsidRPr="000B4AB2">
        <w:rPr>
          <w:szCs w:val="18"/>
          <w:lang w:val="nl-NL"/>
        </w:rPr>
        <w:t xml:space="preserve"> en tweede</w:t>
      </w:r>
      <w:r w:rsidR="00173D40" w:rsidRPr="000B4AB2">
        <w:rPr>
          <w:szCs w:val="18"/>
          <w:lang w:val="nl-NL"/>
        </w:rPr>
        <w:t xml:space="preserve"> lid </w:t>
      </w:r>
      <w:r w:rsidR="0081584B">
        <w:rPr>
          <w:szCs w:val="18"/>
          <w:lang w:val="nl-NL"/>
        </w:rPr>
        <w:t xml:space="preserve">van het </w:t>
      </w:r>
      <w:r w:rsidR="00173D40" w:rsidRPr="000B4AB2">
        <w:rPr>
          <w:szCs w:val="18"/>
          <w:lang w:val="nl-NL"/>
        </w:rPr>
        <w:t>Strafwetboek</w:t>
      </w:r>
      <w:r w:rsidR="00532725" w:rsidRPr="00532725">
        <w:rPr>
          <w:color w:val="000000" w:themeColor="text1"/>
          <w:szCs w:val="18"/>
          <w:lang w:val="nl-NL"/>
        </w:rPr>
        <w:t>.</w:t>
      </w:r>
      <w:r w:rsidR="00532725">
        <w:rPr>
          <w:rStyle w:val="FootnoteReference"/>
          <w:color w:val="000000" w:themeColor="text1"/>
          <w:szCs w:val="18"/>
          <w:lang w:val="nl-NL"/>
        </w:rPr>
        <w:footnoteReference w:id="208"/>
      </w:r>
    </w:p>
    <w:p w14:paraId="32D843BE" w14:textId="77777777" w:rsidR="00532725" w:rsidRPr="00532725" w:rsidRDefault="00532725" w:rsidP="00260F11">
      <w:pPr>
        <w:pStyle w:val="ListParagraph"/>
        <w:spacing w:line="360" w:lineRule="auto"/>
        <w:ind w:left="0"/>
        <w:rPr>
          <w:color w:val="000000" w:themeColor="text1"/>
          <w:szCs w:val="18"/>
          <w:lang w:val="nl-NL"/>
        </w:rPr>
      </w:pPr>
    </w:p>
    <w:p w14:paraId="525FCB1E" w14:textId="5CEA2456" w:rsidR="00B72A55" w:rsidRPr="000B4AB2" w:rsidRDefault="00313CFF" w:rsidP="00260F11">
      <w:pPr>
        <w:pStyle w:val="ListParagraph"/>
        <w:numPr>
          <w:ilvl w:val="0"/>
          <w:numId w:val="1"/>
        </w:numPr>
        <w:spacing w:line="360" w:lineRule="auto"/>
        <w:ind w:left="0" w:hanging="709"/>
        <w:rPr>
          <w:color w:val="000000" w:themeColor="text1"/>
          <w:szCs w:val="18"/>
          <w:lang w:val="nl-NL"/>
        </w:rPr>
      </w:pPr>
      <w:r w:rsidRPr="000B4AB2">
        <w:rPr>
          <w:szCs w:val="18"/>
          <w:lang w:val="nl-NL"/>
        </w:rPr>
        <w:t>Voornoemde</w:t>
      </w:r>
      <w:r w:rsidR="000B727E" w:rsidRPr="000B4AB2">
        <w:rPr>
          <w:szCs w:val="18"/>
          <w:lang w:val="nl-NL"/>
        </w:rPr>
        <w:t xml:space="preserve"> leeftijdsgrens lijkt op het eerste zicht niet al te veel te verschillen </w:t>
      </w:r>
      <w:r w:rsidR="00844AB7" w:rsidRPr="000B4AB2">
        <w:rPr>
          <w:szCs w:val="18"/>
          <w:lang w:val="nl-NL"/>
        </w:rPr>
        <w:t>van</w:t>
      </w:r>
      <w:r w:rsidR="000B727E" w:rsidRPr="000B4AB2">
        <w:rPr>
          <w:szCs w:val="18"/>
          <w:lang w:val="nl-NL"/>
        </w:rPr>
        <w:t xml:space="preserve"> de leeftijdsgrens </w:t>
      </w:r>
      <w:r w:rsidR="006920A7" w:rsidRPr="000B4AB2">
        <w:rPr>
          <w:szCs w:val="18"/>
          <w:lang w:val="nl-NL"/>
        </w:rPr>
        <w:t xml:space="preserve">in artikel 417/6 </w:t>
      </w:r>
      <w:r w:rsidR="0081584B">
        <w:rPr>
          <w:szCs w:val="18"/>
          <w:lang w:val="nl-NL"/>
        </w:rPr>
        <w:t xml:space="preserve">van het </w:t>
      </w:r>
      <w:r w:rsidR="006920A7" w:rsidRPr="000B4AB2">
        <w:rPr>
          <w:szCs w:val="18"/>
          <w:lang w:val="nl-NL"/>
        </w:rPr>
        <w:t>Strafwetboek</w:t>
      </w:r>
      <w:r w:rsidR="000B727E" w:rsidRPr="000B4AB2">
        <w:rPr>
          <w:szCs w:val="18"/>
          <w:lang w:val="nl-NL"/>
        </w:rPr>
        <w:t xml:space="preserve">. De basisregel is immers </w:t>
      </w:r>
      <w:r w:rsidR="00AF0D30" w:rsidRPr="000B4AB2">
        <w:rPr>
          <w:szCs w:val="18"/>
          <w:lang w:val="nl-NL"/>
        </w:rPr>
        <w:t xml:space="preserve">in beide gevallen </w:t>
      </w:r>
      <w:r w:rsidR="000B727E" w:rsidRPr="000B4AB2">
        <w:rPr>
          <w:szCs w:val="18"/>
          <w:lang w:val="nl-NL"/>
        </w:rPr>
        <w:t>dat minderjarigen vanaf zestien jaar kunnen toestemmen met handelingen</w:t>
      </w:r>
      <w:r w:rsidR="00BB2F50" w:rsidRPr="000B4AB2">
        <w:rPr>
          <w:szCs w:val="18"/>
          <w:lang w:val="nl-NL"/>
        </w:rPr>
        <w:t xml:space="preserve"> die onder de strafbaarstellingen zouden kunnen vallen</w:t>
      </w:r>
      <w:r w:rsidR="000B727E" w:rsidRPr="000B4AB2">
        <w:rPr>
          <w:szCs w:val="18"/>
          <w:lang w:val="nl-NL"/>
        </w:rPr>
        <w:t>.</w:t>
      </w:r>
      <w:r w:rsidR="00101247" w:rsidRPr="000B4AB2">
        <w:rPr>
          <w:rStyle w:val="FootnoteReference"/>
          <w:szCs w:val="18"/>
          <w:lang w:val="nl-NL"/>
        </w:rPr>
        <w:footnoteReference w:id="209"/>
      </w:r>
      <w:r w:rsidR="000B727E" w:rsidRPr="000B4AB2">
        <w:rPr>
          <w:szCs w:val="18"/>
          <w:lang w:val="nl-NL"/>
        </w:rPr>
        <w:t xml:space="preserve"> Hierop is </w:t>
      </w:r>
      <w:r w:rsidR="00AF0D30" w:rsidRPr="000B4AB2">
        <w:rPr>
          <w:szCs w:val="18"/>
          <w:lang w:val="nl-NL"/>
        </w:rPr>
        <w:t xml:space="preserve">telkens </w:t>
      </w:r>
      <w:r w:rsidR="000B727E" w:rsidRPr="000B4AB2">
        <w:rPr>
          <w:szCs w:val="18"/>
          <w:lang w:val="nl-NL"/>
        </w:rPr>
        <w:t xml:space="preserve">in </w:t>
      </w:r>
      <w:r w:rsidR="00D52B9C" w:rsidRPr="000B4AB2">
        <w:rPr>
          <w:szCs w:val="18"/>
          <w:lang w:val="nl-NL"/>
        </w:rPr>
        <w:t>de</w:t>
      </w:r>
      <w:r w:rsidR="000B727E" w:rsidRPr="000B4AB2">
        <w:rPr>
          <w:szCs w:val="18"/>
          <w:lang w:val="nl-NL"/>
        </w:rPr>
        <w:t xml:space="preserve"> uitzondering</w:t>
      </w:r>
      <w:r w:rsidR="00D547A5" w:rsidRPr="000B4AB2">
        <w:rPr>
          <w:szCs w:val="18"/>
          <w:lang w:val="nl-NL"/>
        </w:rPr>
        <w:t xml:space="preserve"> voorzien dat geen enkele minderjarige</w:t>
      </w:r>
      <w:r w:rsidR="00B72A55" w:rsidRPr="000B4AB2">
        <w:rPr>
          <w:szCs w:val="18"/>
          <w:lang w:val="nl-NL"/>
        </w:rPr>
        <w:t xml:space="preserve"> kan </w:t>
      </w:r>
      <w:r w:rsidR="00B72A55" w:rsidRPr="000B4AB2">
        <w:rPr>
          <w:szCs w:val="18"/>
          <w:lang w:val="nl-NL"/>
        </w:rPr>
        <w:lastRenderedPageBreak/>
        <w:t>instemmen met dergelijke gedragingen</w:t>
      </w:r>
      <w:r w:rsidR="00D547A5" w:rsidRPr="000B4AB2">
        <w:rPr>
          <w:szCs w:val="18"/>
          <w:lang w:val="nl-NL"/>
        </w:rPr>
        <w:t xml:space="preserve">, ook niet </w:t>
      </w:r>
      <w:r w:rsidR="00B72A55" w:rsidRPr="000B4AB2">
        <w:rPr>
          <w:szCs w:val="18"/>
          <w:lang w:val="nl-NL"/>
        </w:rPr>
        <w:t>indien ze reeds zestien jaar zijn</w:t>
      </w:r>
      <w:r w:rsidR="00D547A5" w:rsidRPr="000B4AB2">
        <w:rPr>
          <w:szCs w:val="18"/>
          <w:lang w:val="nl-NL"/>
        </w:rPr>
        <w:t>,</w:t>
      </w:r>
      <w:r w:rsidR="000B727E" w:rsidRPr="000B4AB2">
        <w:rPr>
          <w:szCs w:val="18"/>
          <w:lang w:val="nl-NL"/>
        </w:rPr>
        <w:t xml:space="preserve"> </w:t>
      </w:r>
      <w:r w:rsidR="0048783E">
        <w:rPr>
          <w:szCs w:val="18"/>
          <w:lang w:val="nl-NL"/>
        </w:rPr>
        <w:t>i.g.v.</w:t>
      </w:r>
      <w:r w:rsidR="000B727E" w:rsidRPr="000B4AB2">
        <w:rPr>
          <w:szCs w:val="18"/>
          <w:lang w:val="nl-NL"/>
        </w:rPr>
        <w:t xml:space="preserve"> een welbepaalde </w:t>
      </w:r>
      <w:r w:rsidR="00A9299E">
        <w:rPr>
          <w:szCs w:val="18"/>
          <w:lang w:val="nl-NL"/>
        </w:rPr>
        <w:t>daderhoedanigheid</w:t>
      </w:r>
      <w:r w:rsidR="000B727E" w:rsidRPr="000B4AB2">
        <w:rPr>
          <w:szCs w:val="18"/>
          <w:lang w:val="nl-NL"/>
        </w:rPr>
        <w:t>.</w:t>
      </w:r>
      <w:r w:rsidR="00D547A5" w:rsidRPr="000B4AB2">
        <w:rPr>
          <w:rStyle w:val="FootnoteReference"/>
          <w:szCs w:val="18"/>
          <w:lang w:val="nl-NL"/>
        </w:rPr>
        <w:footnoteReference w:id="210"/>
      </w:r>
      <w:r w:rsidR="00BB2F50" w:rsidRPr="000B4AB2">
        <w:rPr>
          <w:color w:val="000000" w:themeColor="text1"/>
          <w:szCs w:val="18"/>
          <w:lang w:val="nl-NL"/>
        </w:rPr>
        <w:t xml:space="preserve"> </w:t>
      </w:r>
    </w:p>
    <w:p w14:paraId="40001EA2" w14:textId="77777777" w:rsidR="00B72A55" w:rsidRPr="000B4AB2" w:rsidRDefault="00B72A55" w:rsidP="00260F11">
      <w:pPr>
        <w:pStyle w:val="ListParagraph"/>
        <w:spacing w:line="360" w:lineRule="auto"/>
        <w:rPr>
          <w:color w:val="000000" w:themeColor="text1"/>
          <w:szCs w:val="18"/>
          <w:lang w:val="nl-NL"/>
        </w:rPr>
      </w:pPr>
    </w:p>
    <w:p w14:paraId="74B72EE5" w14:textId="314877C9" w:rsidR="002D1140" w:rsidRPr="002D1140" w:rsidRDefault="002D1140"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De</w:t>
      </w:r>
      <w:r w:rsidR="00B72A55" w:rsidRPr="000B4AB2">
        <w:rPr>
          <w:color w:val="000000" w:themeColor="text1"/>
          <w:szCs w:val="18"/>
          <w:lang w:val="nl-NL"/>
        </w:rPr>
        <w:t xml:space="preserve"> minimale</w:t>
      </w:r>
      <w:r w:rsidR="000B727E" w:rsidRPr="000B4AB2">
        <w:rPr>
          <w:color w:val="000000" w:themeColor="text1"/>
          <w:szCs w:val="18"/>
          <w:lang w:val="nl-NL"/>
        </w:rPr>
        <w:t xml:space="preserve"> leeftijdsgrens </w:t>
      </w:r>
      <w:r>
        <w:rPr>
          <w:color w:val="000000" w:themeColor="text1"/>
          <w:szCs w:val="18"/>
          <w:lang w:val="nl-NL"/>
        </w:rPr>
        <w:t xml:space="preserve">is voortaan </w:t>
      </w:r>
      <w:r w:rsidR="000B727E" w:rsidRPr="000B4AB2">
        <w:rPr>
          <w:color w:val="000000" w:themeColor="text1"/>
          <w:szCs w:val="18"/>
          <w:lang w:val="nl-NL"/>
        </w:rPr>
        <w:t xml:space="preserve">niet </w:t>
      </w:r>
      <w:r>
        <w:rPr>
          <w:color w:val="000000" w:themeColor="text1"/>
          <w:szCs w:val="18"/>
          <w:lang w:val="nl-NL"/>
        </w:rPr>
        <w:t xml:space="preserve">meer </w:t>
      </w:r>
      <w:r w:rsidR="000B727E" w:rsidRPr="000B4AB2">
        <w:rPr>
          <w:color w:val="000000" w:themeColor="text1"/>
          <w:szCs w:val="18"/>
          <w:lang w:val="nl-NL"/>
        </w:rPr>
        <w:t>absoluut</w:t>
      </w:r>
      <w:r w:rsidR="00BB2F50" w:rsidRPr="000B4AB2">
        <w:rPr>
          <w:color w:val="000000" w:themeColor="text1"/>
          <w:szCs w:val="18"/>
          <w:lang w:val="nl-NL"/>
        </w:rPr>
        <w:t>.</w:t>
      </w:r>
      <w:r w:rsidRPr="002D1140">
        <w:rPr>
          <w:rStyle w:val="FootnoteReference"/>
          <w:color w:val="000000" w:themeColor="text1"/>
          <w:szCs w:val="18"/>
          <w:lang w:val="nl-NL"/>
        </w:rPr>
        <w:t xml:space="preserve"> </w:t>
      </w:r>
      <w:r w:rsidR="00413FD8">
        <w:rPr>
          <w:color w:val="000000" w:themeColor="text1"/>
          <w:szCs w:val="18"/>
          <w:lang w:val="nl-NL"/>
        </w:rPr>
        <w:t>V</w:t>
      </w:r>
      <w:r>
        <w:rPr>
          <w:color w:val="000000" w:themeColor="text1"/>
          <w:szCs w:val="18"/>
          <w:lang w:val="nl-NL"/>
        </w:rPr>
        <w:t>eertienjarigen</w:t>
      </w:r>
      <w:r w:rsidR="00B72A55" w:rsidRPr="000B4AB2">
        <w:rPr>
          <w:color w:val="000000" w:themeColor="text1"/>
          <w:szCs w:val="18"/>
          <w:lang w:val="nl-NL"/>
        </w:rPr>
        <w:t xml:space="preserve"> </w:t>
      </w:r>
      <w:r w:rsidR="00413FD8">
        <w:rPr>
          <w:color w:val="000000" w:themeColor="text1"/>
          <w:szCs w:val="18"/>
          <w:lang w:val="nl-NL"/>
        </w:rPr>
        <w:t xml:space="preserve">kunnen </w:t>
      </w:r>
      <w:r w:rsidR="00B72A55" w:rsidRPr="000B4AB2">
        <w:rPr>
          <w:color w:val="000000" w:themeColor="text1"/>
          <w:szCs w:val="18"/>
          <w:lang w:val="nl-NL"/>
        </w:rPr>
        <w:t>voortaan</w:t>
      </w:r>
      <w:r w:rsidR="000B727E" w:rsidRPr="000B4AB2">
        <w:rPr>
          <w:color w:val="000000" w:themeColor="text1"/>
          <w:szCs w:val="18"/>
          <w:lang w:val="nl-NL"/>
        </w:rPr>
        <w:t xml:space="preserve"> </w:t>
      </w:r>
      <w:r w:rsidR="0048783E">
        <w:rPr>
          <w:color w:val="000000" w:themeColor="text1"/>
          <w:szCs w:val="18"/>
          <w:lang w:val="nl-NL"/>
        </w:rPr>
        <w:t>immers</w:t>
      </w:r>
      <w:r w:rsidR="00910056" w:rsidRPr="000B4AB2">
        <w:rPr>
          <w:color w:val="000000" w:themeColor="text1"/>
          <w:szCs w:val="18"/>
          <w:lang w:val="nl-NL"/>
        </w:rPr>
        <w:t xml:space="preserve"> toestemmen</w:t>
      </w:r>
      <w:r w:rsidR="000B727E" w:rsidRPr="000B4AB2">
        <w:rPr>
          <w:color w:val="000000" w:themeColor="text1"/>
          <w:szCs w:val="18"/>
          <w:lang w:val="nl-NL"/>
        </w:rPr>
        <w:t xml:space="preserve"> </w:t>
      </w:r>
      <w:r w:rsidR="00B72A55" w:rsidRPr="000B4AB2">
        <w:rPr>
          <w:color w:val="000000" w:themeColor="text1"/>
          <w:szCs w:val="18"/>
          <w:lang w:val="nl-NL"/>
        </w:rPr>
        <w:t xml:space="preserve">indien </w:t>
      </w:r>
      <w:r>
        <w:rPr>
          <w:color w:val="000000" w:themeColor="text1"/>
          <w:szCs w:val="18"/>
          <w:lang w:val="nl-NL"/>
        </w:rPr>
        <w:t>de seksuele</w:t>
      </w:r>
      <w:r w:rsidR="00910056" w:rsidRPr="000B4AB2">
        <w:rPr>
          <w:color w:val="000000" w:themeColor="text1"/>
          <w:szCs w:val="18"/>
          <w:lang w:val="nl-NL"/>
        </w:rPr>
        <w:t xml:space="preserve"> handelingen</w:t>
      </w:r>
      <w:r w:rsidR="00B72A55" w:rsidRPr="000B4AB2">
        <w:rPr>
          <w:color w:val="000000" w:themeColor="text1"/>
          <w:szCs w:val="18"/>
          <w:lang w:val="nl-NL"/>
        </w:rPr>
        <w:t xml:space="preserve"> plaatsvinden met een andere minderjarige</w:t>
      </w:r>
      <w:r w:rsidR="00B8416B" w:rsidRPr="000B4AB2">
        <w:rPr>
          <w:color w:val="000000" w:themeColor="text1"/>
          <w:szCs w:val="18"/>
          <w:lang w:val="nl-NL"/>
        </w:rPr>
        <w:t xml:space="preserve"> die zelf eveneens minstens veertien jaar is</w:t>
      </w:r>
      <w:r w:rsidR="000B727E" w:rsidRPr="000B4AB2">
        <w:rPr>
          <w:color w:val="000000" w:themeColor="text1"/>
          <w:szCs w:val="18"/>
          <w:lang w:val="nl-NL"/>
        </w:rPr>
        <w:t>.</w:t>
      </w:r>
      <w:r w:rsidR="00413FD8">
        <w:rPr>
          <w:rStyle w:val="FootnoteReference"/>
          <w:color w:val="000000" w:themeColor="text1"/>
          <w:szCs w:val="18"/>
          <w:lang w:val="nl-NL"/>
        </w:rPr>
        <w:footnoteReference w:id="211"/>
      </w:r>
    </w:p>
    <w:p w14:paraId="4354300E" w14:textId="77777777" w:rsidR="00175E65" w:rsidRPr="000B4AB2" w:rsidRDefault="00175E65" w:rsidP="00260F11">
      <w:pPr>
        <w:spacing w:line="360" w:lineRule="auto"/>
        <w:rPr>
          <w:color w:val="000000" w:themeColor="text1"/>
          <w:szCs w:val="18"/>
          <w:lang w:val="nl-NL"/>
        </w:rPr>
      </w:pPr>
    </w:p>
    <w:p w14:paraId="62BDED23" w14:textId="21751326" w:rsidR="00175E65" w:rsidRPr="00B90B81" w:rsidRDefault="00175E65"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Schematisch kan dit als volgt worden weergegeven</w:t>
      </w:r>
      <w:r w:rsidR="00815FDD">
        <w:rPr>
          <w:color w:val="000000" w:themeColor="text1"/>
          <w:szCs w:val="18"/>
          <w:lang w:val="nl-NL"/>
        </w:rPr>
        <w:t>.</w:t>
      </w:r>
    </w:p>
    <w:tbl>
      <w:tblPr>
        <w:tblStyle w:val="GridTable5Dark-Accent3"/>
        <w:tblpPr w:leftFromText="141" w:rightFromText="141" w:vertAnchor="text" w:horzAnchor="margin" w:tblpY="-14"/>
        <w:tblW w:w="0" w:type="auto"/>
        <w:tblLook w:val="04A0" w:firstRow="1" w:lastRow="0" w:firstColumn="1" w:lastColumn="0" w:noHBand="0" w:noVBand="1"/>
      </w:tblPr>
      <w:tblGrid>
        <w:gridCol w:w="1868"/>
        <w:gridCol w:w="3415"/>
        <w:gridCol w:w="3779"/>
      </w:tblGrid>
      <w:tr w:rsidR="00175E65" w:rsidRPr="008C52B2" w14:paraId="4D08E853" w14:textId="77777777" w:rsidTr="003148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298E2407" w14:textId="2E52D48B" w:rsidR="00EB3B9B" w:rsidRPr="008C52B2" w:rsidRDefault="00175E65" w:rsidP="00260F11">
            <w:pPr>
              <w:spacing w:line="360" w:lineRule="auto"/>
              <w:rPr>
                <w:b w:val="0"/>
                <w:bCs w:val="0"/>
                <w:color w:val="000000" w:themeColor="text1"/>
                <w:szCs w:val="18"/>
                <w:lang w:val="nl-NL"/>
              </w:rPr>
            </w:pPr>
            <w:r w:rsidRPr="008C52B2">
              <w:rPr>
                <w:color w:val="000000" w:themeColor="text1"/>
                <w:szCs w:val="18"/>
                <w:lang w:val="nl-NL"/>
              </w:rPr>
              <w:t>Toestemming minderjarige mogelijk vanaf…</w:t>
            </w:r>
          </w:p>
        </w:tc>
      </w:tr>
      <w:tr w:rsidR="008C52B2" w:rsidRPr="008C52B2" w14:paraId="113B66C8" w14:textId="77777777" w:rsidTr="00314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9C59270" w14:textId="77777777" w:rsidR="00175E65" w:rsidRPr="008C52B2" w:rsidRDefault="00175E65" w:rsidP="00260F11">
            <w:pPr>
              <w:spacing w:line="360" w:lineRule="auto"/>
              <w:rPr>
                <w:color w:val="000000" w:themeColor="text1"/>
                <w:szCs w:val="18"/>
                <w:lang w:val="nl-NL"/>
              </w:rPr>
            </w:pPr>
          </w:p>
        </w:tc>
        <w:tc>
          <w:tcPr>
            <w:tcW w:w="3544" w:type="dxa"/>
          </w:tcPr>
          <w:p w14:paraId="5B8FCE2B" w14:textId="77777777" w:rsidR="00175E65" w:rsidRPr="008C52B2" w:rsidRDefault="00175E65" w:rsidP="00260F11">
            <w:pPr>
              <w:spacing w:line="360" w:lineRule="auto"/>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8C52B2">
              <w:rPr>
                <w:b/>
                <w:color w:val="000000" w:themeColor="text1"/>
                <w:szCs w:val="18"/>
                <w:lang w:val="nl-NL"/>
              </w:rPr>
              <w:t>Aanranding van de eerbaarheid</w:t>
            </w:r>
          </w:p>
        </w:tc>
        <w:tc>
          <w:tcPr>
            <w:tcW w:w="3822" w:type="dxa"/>
          </w:tcPr>
          <w:p w14:paraId="36E52EA6" w14:textId="77777777" w:rsidR="00175E65" w:rsidRPr="008C52B2" w:rsidRDefault="00175E65" w:rsidP="00260F11">
            <w:pPr>
              <w:spacing w:line="360" w:lineRule="auto"/>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8C52B2">
              <w:rPr>
                <w:b/>
                <w:color w:val="000000" w:themeColor="text1"/>
                <w:szCs w:val="18"/>
                <w:lang w:val="nl-NL"/>
              </w:rPr>
              <w:t>Aantasting van de seksuele integriteit</w:t>
            </w:r>
          </w:p>
        </w:tc>
      </w:tr>
      <w:tr w:rsidR="008C52B2" w:rsidRPr="008C52B2" w14:paraId="3BF547F4" w14:textId="77777777" w:rsidTr="00314806">
        <w:tc>
          <w:tcPr>
            <w:cnfStyle w:val="001000000000" w:firstRow="0" w:lastRow="0" w:firstColumn="1" w:lastColumn="0" w:oddVBand="0" w:evenVBand="0" w:oddHBand="0" w:evenHBand="0" w:firstRowFirstColumn="0" w:firstRowLastColumn="0" w:lastRowFirstColumn="0" w:lastRowLastColumn="0"/>
            <w:tcW w:w="1696" w:type="dxa"/>
          </w:tcPr>
          <w:p w14:paraId="4B843697" w14:textId="793D4188" w:rsidR="00175E65" w:rsidRPr="00A12D0E" w:rsidRDefault="00175E65" w:rsidP="00260F11">
            <w:pPr>
              <w:spacing w:line="360" w:lineRule="auto"/>
              <w:rPr>
                <w:b w:val="0"/>
                <w:bCs w:val="0"/>
                <w:color w:val="000000" w:themeColor="text1"/>
                <w:szCs w:val="18"/>
                <w:lang w:val="nl-NL"/>
              </w:rPr>
            </w:pPr>
            <w:r w:rsidRPr="008C52B2">
              <w:rPr>
                <w:color w:val="000000" w:themeColor="text1"/>
                <w:szCs w:val="18"/>
                <w:lang w:val="nl-NL"/>
              </w:rPr>
              <w:t xml:space="preserve">Principe </w:t>
            </w:r>
          </w:p>
        </w:tc>
        <w:tc>
          <w:tcPr>
            <w:tcW w:w="3544" w:type="dxa"/>
          </w:tcPr>
          <w:p w14:paraId="2A2F2AFB" w14:textId="77777777" w:rsidR="00175E65" w:rsidRPr="008C52B2" w:rsidRDefault="00175E65"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8C52B2">
              <w:rPr>
                <w:color w:val="000000" w:themeColor="text1"/>
                <w:szCs w:val="18"/>
                <w:lang w:val="nl-NL"/>
              </w:rPr>
              <w:t>Zestien jaar</w:t>
            </w:r>
          </w:p>
        </w:tc>
        <w:tc>
          <w:tcPr>
            <w:tcW w:w="3822" w:type="dxa"/>
          </w:tcPr>
          <w:p w14:paraId="29E59A87" w14:textId="77777777" w:rsidR="00175E65" w:rsidRDefault="00175E65"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8C52B2">
              <w:rPr>
                <w:color w:val="000000" w:themeColor="text1"/>
                <w:szCs w:val="18"/>
                <w:lang w:val="nl-NL"/>
              </w:rPr>
              <w:t>Zestien jaar</w:t>
            </w:r>
          </w:p>
          <w:p w14:paraId="6E9096C7" w14:textId="0FEA4855" w:rsidR="000121B6" w:rsidRPr="008C52B2" w:rsidRDefault="000121B6"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tc>
      </w:tr>
      <w:tr w:rsidR="00ED34CE" w:rsidRPr="008C52B2" w14:paraId="459C0FB5" w14:textId="77777777" w:rsidTr="00314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BD638A0" w14:textId="1A7CD9A2" w:rsidR="00ED34CE" w:rsidRPr="008C52B2" w:rsidRDefault="00ED34CE" w:rsidP="00260F11">
            <w:pPr>
              <w:spacing w:line="360" w:lineRule="auto"/>
              <w:rPr>
                <w:b w:val="0"/>
                <w:bCs w:val="0"/>
                <w:color w:val="000000" w:themeColor="text1"/>
                <w:szCs w:val="18"/>
                <w:lang w:val="nl-NL"/>
              </w:rPr>
            </w:pPr>
            <w:r w:rsidRPr="008C52B2">
              <w:rPr>
                <w:color w:val="000000" w:themeColor="text1"/>
                <w:szCs w:val="18"/>
                <w:lang w:val="nl-NL"/>
              </w:rPr>
              <w:t>Uitzondering: lagere leeftijdsgrens</w:t>
            </w:r>
          </w:p>
          <w:p w14:paraId="74473BEC" w14:textId="77777777" w:rsidR="00ED34CE" w:rsidRPr="008C52B2" w:rsidRDefault="00ED34CE" w:rsidP="00260F11">
            <w:pPr>
              <w:spacing w:line="360" w:lineRule="auto"/>
              <w:rPr>
                <w:color w:val="000000" w:themeColor="text1"/>
                <w:szCs w:val="18"/>
                <w:lang w:val="nl-NL"/>
              </w:rPr>
            </w:pPr>
          </w:p>
        </w:tc>
        <w:tc>
          <w:tcPr>
            <w:tcW w:w="3544" w:type="dxa"/>
          </w:tcPr>
          <w:p w14:paraId="6BD2B8DB" w14:textId="77777777" w:rsidR="00ED34CE" w:rsidRPr="008C52B2" w:rsidRDefault="00ED34CE"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lang w:val="nl-NL"/>
              </w:rPr>
            </w:pPr>
            <w:r w:rsidRPr="008C52B2">
              <w:rPr>
                <w:color w:val="000000" w:themeColor="text1"/>
                <w:szCs w:val="18"/>
                <w:lang w:val="nl-NL"/>
              </w:rPr>
              <w:t>/</w:t>
            </w:r>
          </w:p>
        </w:tc>
        <w:tc>
          <w:tcPr>
            <w:tcW w:w="3822" w:type="dxa"/>
          </w:tcPr>
          <w:p w14:paraId="5A577C13" w14:textId="77777777" w:rsidR="00ED34CE" w:rsidRPr="00C25EE3" w:rsidRDefault="00ED34CE"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lang w:val="nl-NL"/>
              </w:rPr>
            </w:pPr>
            <w:r w:rsidRPr="00C25EE3">
              <w:rPr>
                <w:color w:val="000000" w:themeColor="text1"/>
                <w:szCs w:val="18"/>
                <w:lang w:val="nl-NL"/>
              </w:rPr>
              <w:t>Veertien jaar indien leeftijdsverschil met “dader” klein genoeg is. Dus a</w:t>
            </w:r>
            <w:r w:rsidRPr="00C25EE3">
              <w:rPr>
                <w:color w:val="000000" w:themeColor="text1"/>
                <w:szCs w:val="18"/>
              </w:rPr>
              <w:t>fhankelijk van de leeftijd van de “dader” (art. 417/6, §2 Sw.):</w:t>
            </w:r>
          </w:p>
          <w:p w14:paraId="693FD332" w14:textId="13CCB6DA" w:rsidR="00ED34CE" w:rsidRDefault="00ED34CE" w:rsidP="00260F11">
            <w:pPr>
              <w:pStyle w:val="ListParagraph"/>
              <w:numPr>
                <w:ilvl w:val="0"/>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 “dader” &lt;18 jaar? </w:t>
            </w:r>
            <w:r w:rsidRPr="00C25EE3">
              <w:rPr>
                <w:color w:val="000000" w:themeColor="text1"/>
                <w:szCs w:val="18"/>
              </w:rPr>
              <w:sym w:font="Wingdings" w:char="F0E0"/>
            </w:r>
            <w:r w:rsidRPr="00C25EE3">
              <w:rPr>
                <w:color w:val="000000" w:themeColor="text1"/>
                <w:szCs w:val="18"/>
              </w:rPr>
              <w:t xml:space="preserve"> niet automatisch niet-consensueel.</w:t>
            </w:r>
          </w:p>
          <w:p w14:paraId="50960D63" w14:textId="4256647C" w:rsidR="00ED34CE" w:rsidRPr="00C25EE3" w:rsidRDefault="00ED34CE" w:rsidP="00260F11">
            <w:pPr>
              <w:pStyle w:val="ListParagraph"/>
              <w:numPr>
                <w:ilvl w:val="0"/>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 dader &gt;18 jaar? </w:t>
            </w:r>
            <w:r w:rsidRPr="00C25EE3">
              <w:rPr>
                <w:color w:val="000000" w:themeColor="text1"/>
                <w:szCs w:val="18"/>
              </w:rPr>
              <w:sym w:font="Wingdings" w:char="F0E0"/>
            </w:r>
            <w:r w:rsidRPr="00C25EE3">
              <w:rPr>
                <w:color w:val="000000" w:themeColor="text1"/>
                <w:szCs w:val="18"/>
              </w:rPr>
              <w:t xml:space="preserve"> afhankelijk van concreet leeftijdsverschil, berekend van geboortedag op geboortedag, tussen slachtoffer en dader: </w:t>
            </w:r>
          </w:p>
          <w:p w14:paraId="278C8235" w14:textId="77777777" w:rsidR="00ED34CE" w:rsidRPr="00C25EE3" w:rsidRDefault="00ED34CE" w:rsidP="00260F11">
            <w:pPr>
              <w:pStyle w:val="ListParagraph"/>
              <w:numPr>
                <w:ilvl w:val="1"/>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Leeftijdsverschil </w:t>
            </w:r>
            <w:r w:rsidRPr="00C25EE3">
              <w:rPr>
                <w:color w:val="000000" w:themeColor="text1"/>
                <w:szCs w:val="18"/>
                <w:lang w:val="nl-NL"/>
              </w:rPr>
              <w:t xml:space="preserve">≤ </w:t>
            </w:r>
            <w:r w:rsidRPr="00C25EE3">
              <w:rPr>
                <w:color w:val="000000" w:themeColor="text1"/>
                <w:szCs w:val="18"/>
              </w:rPr>
              <w:t xml:space="preserve">3 jaar? </w:t>
            </w:r>
            <w:r w:rsidRPr="00C25EE3">
              <w:rPr>
                <w:color w:val="000000" w:themeColor="text1"/>
                <w:szCs w:val="18"/>
              </w:rPr>
              <w:sym w:font="Wingdings" w:char="F0E0"/>
            </w:r>
            <w:r w:rsidRPr="00C25EE3">
              <w:rPr>
                <w:color w:val="000000" w:themeColor="text1"/>
                <w:szCs w:val="18"/>
              </w:rPr>
              <w:t xml:space="preserve"> niet automatisch</w:t>
            </w:r>
            <w:r w:rsidRPr="00C25EE3">
              <w:rPr>
                <w:i/>
                <w:color w:val="000000" w:themeColor="text1"/>
                <w:szCs w:val="18"/>
              </w:rPr>
              <w:t xml:space="preserve"> </w:t>
            </w:r>
            <w:r w:rsidRPr="00C25EE3">
              <w:rPr>
                <w:color w:val="000000" w:themeColor="text1"/>
                <w:szCs w:val="18"/>
              </w:rPr>
              <w:t>niet-consensueel.</w:t>
            </w:r>
          </w:p>
          <w:p w14:paraId="4500AA8F" w14:textId="2627D345" w:rsidR="000121B6" w:rsidRPr="00B90B81" w:rsidRDefault="00ED34CE" w:rsidP="00260F11">
            <w:pPr>
              <w:pStyle w:val="ListParagraph"/>
              <w:numPr>
                <w:ilvl w:val="1"/>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Leeftijdsverschil &gt;3 jaar? </w:t>
            </w:r>
            <w:r w:rsidRPr="00C25EE3">
              <w:rPr>
                <w:color w:val="000000" w:themeColor="text1"/>
              </w:rPr>
              <w:sym w:font="Wingdings" w:char="F0E0"/>
            </w:r>
            <w:r w:rsidRPr="00C25EE3">
              <w:rPr>
                <w:color w:val="000000" w:themeColor="text1"/>
                <w:szCs w:val="18"/>
              </w:rPr>
              <w:t xml:space="preserve"> automatisch</w:t>
            </w:r>
            <w:r w:rsidRPr="00C25EE3">
              <w:rPr>
                <w:i/>
                <w:color w:val="000000" w:themeColor="text1"/>
                <w:szCs w:val="18"/>
              </w:rPr>
              <w:t xml:space="preserve"> </w:t>
            </w:r>
            <w:r w:rsidRPr="00C25EE3">
              <w:rPr>
                <w:color w:val="000000" w:themeColor="text1"/>
                <w:szCs w:val="18"/>
              </w:rPr>
              <w:t>niet-consensueel.</w:t>
            </w:r>
          </w:p>
        </w:tc>
      </w:tr>
      <w:tr w:rsidR="00ED34CE" w:rsidRPr="008C52B2" w14:paraId="50CB4454" w14:textId="77777777" w:rsidTr="00314806">
        <w:tc>
          <w:tcPr>
            <w:cnfStyle w:val="001000000000" w:firstRow="0" w:lastRow="0" w:firstColumn="1" w:lastColumn="0" w:oddVBand="0" w:evenVBand="0" w:oddHBand="0" w:evenHBand="0" w:firstRowFirstColumn="0" w:firstRowLastColumn="0" w:lastRowFirstColumn="0" w:lastRowLastColumn="0"/>
            <w:tcW w:w="1696" w:type="dxa"/>
          </w:tcPr>
          <w:p w14:paraId="520DE0E6" w14:textId="77777777" w:rsidR="00ED34CE" w:rsidRPr="008C52B2" w:rsidRDefault="00ED34CE" w:rsidP="00260F11">
            <w:pPr>
              <w:spacing w:line="360" w:lineRule="auto"/>
              <w:rPr>
                <w:b w:val="0"/>
                <w:bCs w:val="0"/>
                <w:color w:val="000000" w:themeColor="text1"/>
                <w:szCs w:val="18"/>
                <w:lang w:val="nl-NL"/>
              </w:rPr>
            </w:pPr>
            <w:r w:rsidRPr="008C52B2">
              <w:rPr>
                <w:color w:val="000000" w:themeColor="text1"/>
                <w:szCs w:val="18"/>
                <w:lang w:val="nl-NL"/>
              </w:rPr>
              <w:t>Uitzondering:</w:t>
            </w:r>
          </w:p>
          <w:p w14:paraId="27E9FC91" w14:textId="45401B99" w:rsidR="00ED34CE" w:rsidRPr="008C52B2" w:rsidRDefault="00ED34CE" w:rsidP="00260F11">
            <w:pPr>
              <w:spacing w:line="360" w:lineRule="auto"/>
              <w:rPr>
                <w:b w:val="0"/>
                <w:bCs w:val="0"/>
                <w:color w:val="000000" w:themeColor="text1"/>
                <w:szCs w:val="18"/>
                <w:lang w:val="nl-NL"/>
              </w:rPr>
            </w:pPr>
            <w:r w:rsidRPr="008C52B2">
              <w:rPr>
                <w:color w:val="000000" w:themeColor="text1"/>
                <w:szCs w:val="18"/>
                <w:lang w:val="nl-NL"/>
              </w:rPr>
              <w:t>hogere leeftijdsgrens</w:t>
            </w:r>
            <w:r w:rsidR="004446BF">
              <w:rPr>
                <w:rStyle w:val="FootnoteReference"/>
                <w:i/>
                <w:color w:val="000000" w:themeColor="text1"/>
                <w:szCs w:val="18"/>
                <w:lang w:val="nl-NL"/>
              </w:rPr>
              <w:footnoteReference w:id="212"/>
            </w:r>
          </w:p>
        </w:tc>
        <w:tc>
          <w:tcPr>
            <w:tcW w:w="3544" w:type="dxa"/>
          </w:tcPr>
          <w:p w14:paraId="37A3D311" w14:textId="7A0DF5D9" w:rsidR="00ED34CE" w:rsidRPr="00D52224" w:rsidRDefault="00ED34CE"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8C52B2">
              <w:rPr>
                <w:color w:val="000000" w:themeColor="text1"/>
                <w:szCs w:val="18"/>
                <w:lang w:val="nl-NL"/>
              </w:rPr>
              <w:t>Vanaf achttien jaar indien handelingen plaatsvinden met welbepaalde dader</w:t>
            </w:r>
            <w:r w:rsidR="00E5449F">
              <w:rPr>
                <w:color w:val="000000" w:themeColor="text1"/>
                <w:szCs w:val="18"/>
                <w:lang w:val="nl-NL"/>
              </w:rPr>
              <w:t xml:space="preserve"> </w:t>
            </w:r>
            <w:r w:rsidR="00D52224" w:rsidRPr="00D52224">
              <w:rPr>
                <w:i/>
                <w:color w:val="000000" w:themeColor="text1"/>
                <w:szCs w:val="18"/>
                <w:lang w:val="nl-NL"/>
              </w:rPr>
              <w:t xml:space="preserve">(bv. </w:t>
            </w:r>
            <w:r w:rsidRPr="00D52224">
              <w:rPr>
                <w:i/>
                <w:color w:val="000000" w:themeColor="text1"/>
                <w:szCs w:val="18"/>
                <w:lang w:val="nl-NL"/>
              </w:rPr>
              <w:t>dader is de ouder van de minderjarige</w:t>
            </w:r>
            <w:r w:rsidR="00D52224" w:rsidRPr="00D52224">
              <w:rPr>
                <w:i/>
                <w:color w:val="000000" w:themeColor="text1"/>
                <w:szCs w:val="18"/>
                <w:lang w:val="nl-NL"/>
              </w:rPr>
              <w:t>)</w:t>
            </w:r>
          </w:p>
        </w:tc>
        <w:tc>
          <w:tcPr>
            <w:tcW w:w="3822" w:type="dxa"/>
          </w:tcPr>
          <w:p w14:paraId="3AB02D75" w14:textId="77777777" w:rsidR="00D52224" w:rsidRDefault="00ED34CE"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8C52B2">
              <w:rPr>
                <w:color w:val="000000" w:themeColor="text1"/>
                <w:szCs w:val="18"/>
                <w:lang w:val="nl-NL"/>
              </w:rPr>
              <w:t xml:space="preserve">Vanaf achttien jaar indien </w:t>
            </w:r>
          </w:p>
          <w:p w14:paraId="4550F4CA" w14:textId="0704A545" w:rsidR="00D52224" w:rsidRPr="00D52224" w:rsidRDefault="00ED34CE" w:rsidP="00260F11">
            <w:pPr>
              <w:pStyle w:val="ListParagraph"/>
              <w:numPr>
                <w:ilvl w:val="0"/>
                <w:numId w:val="13"/>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D52224">
              <w:rPr>
                <w:color w:val="000000" w:themeColor="text1"/>
                <w:szCs w:val="18"/>
                <w:lang w:val="nl-NL"/>
              </w:rPr>
              <w:t>handelingen plaatsvinden met welbepaalde dader</w:t>
            </w:r>
            <w:r w:rsidR="00D52224">
              <w:rPr>
                <w:color w:val="000000" w:themeColor="text1"/>
                <w:szCs w:val="18"/>
                <w:lang w:val="nl-NL"/>
              </w:rPr>
              <w:t xml:space="preserve"> </w:t>
            </w:r>
            <w:r w:rsidR="00D52224" w:rsidRPr="00D52224">
              <w:rPr>
                <w:i/>
                <w:color w:val="000000" w:themeColor="text1"/>
                <w:szCs w:val="18"/>
                <w:lang w:val="nl-NL"/>
              </w:rPr>
              <w:t>(bv. dader is de ouder van de minderjarige)</w:t>
            </w:r>
          </w:p>
          <w:p w14:paraId="678768C5" w14:textId="38202BE1" w:rsidR="00ED34CE" w:rsidRPr="00D52224" w:rsidRDefault="00D52224" w:rsidP="00260F11">
            <w:pPr>
              <w:pStyle w:val="ListParagraph"/>
              <w:numPr>
                <w:ilvl w:val="0"/>
                <w:numId w:val="13"/>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rPr>
            </w:pPr>
            <w:r>
              <w:rPr>
                <w:color w:val="000000" w:themeColor="text1"/>
                <w:szCs w:val="18"/>
              </w:rPr>
              <w:t xml:space="preserve">welbepaalde </w:t>
            </w:r>
            <w:r w:rsidR="00B661BC">
              <w:rPr>
                <w:color w:val="000000" w:themeColor="text1"/>
                <w:szCs w:val="18"/>
              </w:rPr>
              <w:t>type van daad</w:t>
            </w:r>
            <w:r>
              <w:rPr>
                <w:color w:val="000000" w:themeColor="text1"/>
                <w:szCs w:val="18"/>
              </w:rPr>
              <w:t xml:space="preserve"> </w:t>
            </w:r>
            <w:r w:rsidRPr="00D52224">
              <w:rPr>
                <w:i/>
                <w:color w:val="000000" w:themeColor="text1"/>
                <w:szCs w:val="18"/>
                <w:lang w:val="nl-NL"/>
              </w:rPr>
              <w:t xml:space="preserve">(bv. </w:t>
            </w:r>
            <w:r w:rsidR="00B661BC">
              <w:rPr>
                <w:i/>
                <w:color w:val="000000" w:themeColor="text1"/>
                <w:szCs w:val="18"/>
                <w:lang w:val="nl-NL"/>
              </w:rPr>
              <w:t>daad van ontucht</w:t>
            </w:r>
            <w:r w:rsidRPr="00D52224">
              <w:rPr>
                <w:i/>
                <w:color w:val="000000" w:themeColor="text1"/>
                <w:szCs w:val="18"/>
                <w:lang w:val="nl-NL"/>
              </w:rPr>
              <w:t>)</w:t>
            </w:r>
          </w:p>
        </w:tc>
      </w:tr>
    </w:tbl>
    <w:p w14:paraId="5E7BFFF0" w14:textId="0FC471B0" w:rsidR="00884E0A" w:rsidRPr="000B4AB2" w:rsidRDefault="006818AF"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lastRenderedPageBreak/>
        <w:t>Temporele werking</w:t>
      </w:r>
      <w:r w:rsidRPr="000B4AB2">
        <w:rPr>
          <w:color w:val="000000" w:themeColor="text1"/>
          <w:szCs w:val="18"/>
          <w:lang w:val="nl-NL"/>
        </w:rPr>
        <w:t xml:space="preserve">. </w:t>
      </w:r>
      <w:r w:rsidR="00884E0A" w:rsidRPr="000B4AB2">
        <w:rPr>
          <w:color w:val="000000" w:themeColor="text1"/>
          <w:szCs w:val="18"/>
          <w:lang w:val="nl-NL"/>
        </w:rPr>
        <w:t xml:space="preserve">De leeftijd waarop minderjarigen in principe kunnen instemmen met gedragingen die onder de strafbaarstelling kunnen vallen, bedraagt nog steeds zestien jaar. Deze regel kan dan ook </w:t>
      </w:r>
      <w:r w:rsidR="003E6C07" w:rsidRPr="000B4AB2">
        <w:rPr>
          <w:color w:val="000000" w:themeColor="text1"/>
          <w:szCs w:val="18"/>
          <w:lang w:val="nl-NL"/>
        </w:rPr>
        <w:t>retroactief</w:t>
      </w:r>
      <w:r w:rsidR="00884E0A" w:rsidRPr="000B4AB2">
        <w:rPr>
          <w:color w:val="000000" w:themeColor="text1"/>
          <w:szCs w:val="18"/>
          <w:lang w:val="nl-NL"/>
        </w:rPr>
        <w:t xml:space="preserve"> worden toegepast</w:t>
      </w:r>
      <w:r w:rsidR="003E6C07" w:rsidRPr="000B4AB2">
        <w:rPr>
          <w:color w:val="000000" w:themeColor="text1"/>
          <w:szCs w:val="18"/>
          <w:lang w:val="nl-NL"/>
        </w:rPr>
        <w:t xml:space="preserve"> op hangende rechtsgedingen.</w:t>
      </w:r>
    </w:p>
    <w:p w14:paraId="39C3BBCE" w14:textId="77777777" w:rsidR="00884E0A" w:rsidRPr="000B4AB2" w:rsidRDefault="00884E0A" w:rsidP="00260F11">
      <w:pPr>
        <w:pStyle w:val="ListParagraph"/>
        <w:spacing w:line="360" w:lineRule="auto"/>
        <w:ind w:left="0"/>
        <w:rPr>
          <w:color w:val="000000" w:themeColor="text1"/>
          <w:szCs w:val="18"/>
          <w:highlight w:val="yellow"/>
          <w:lang w:val="nl-NL"/>
        </w:rPr>
      </w:pPr>
    </w:p>
    <w:p w14:paraId="589103F5" w14:textId="2499A0B6" w:rsidR="00884E0A" w:rsidRDefault="00720624"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Het</w:t>
      </w:r>
      <w:r w:rsidR="00884E0A" w:rsidRPr="000B4AB2">
        <w:rPr>
          <w:color w:val="000000" w:themeColor="text1"/>
          <w:szCs w:val="18"/>
          <w:lang w:val="nl-NL"/>
        </w:rPr>
        <w:t xml:space="preserve"> voornaamste verschil </w:t>
      </w:r>
      <w:r w:rsidR="00CE0637">
        <w:rPr>
          <w:color w:val="000000" w:themeColor="text1"/>
          <w:szCs w:val="18"/>
          <w:lang w:val="nl-NL"/>
        </w:rPr>
        <w:t>t.o.v.</w:t>
      </w:r>
      <w:r w:rsidR="00884E0A" w:rsidRPr="000B4AB2">
        <w:rPr>
          <w:color w:val="000000" w:themeColor="text1"/>
          <w:szCs w:val="18"/>
          <w:lang w:val="nl-NL"/>
        </w:rPr>
        <w:t xml:space="preserve"> de oude wetgeving </w:t>
      </w:r>
      <w:r>
        <w:rPr>
          <w:color w:val="000000" w:themeColor="text1"/>
          <w:szCs w:val="18"/>
          <w:lang w:val="nl-NL"/>
        </w:rPr>
        <w:t xml:space="preserve">bestaat </w:t>
      </w:r>
      <w:r w:rsidR="00884E0A" w:rsidRPr="000B4AB2">
        <w:rPr>
          <w:color w:val="000000" w:themeColor="text1"/>
          <w:szCs w:val="18"/>
          <w:lang w:val="nl-NL"/>
        </w:rPr>
        <w:t xml:space="preserve">erin dat veertienjarigen voortaan wel kunnen instemmen met </w:t>
      </w:r>
      <w:r w:rsidR="002D1140">
        <w:rPr>
          <w:color w:val="000000" w:themeColor="text1"/>
          <w:szCs w:val="18"/>
          <w:lang w:val="nl-NL"/>
        </w:rPr>
        <w:t xml:space="preserve">seksuele </w:t>
      </w:r>
      <w:r w:rsidR="00884E0A" w:rsidRPr="000B4AB2">
        <w:rPr>
          <w:color w:val="000000" w:themeColor="text1"/>
          <w:szCs w:val="18"/>
          <w:lang w:val="nl-NL"/>
        </w:rPr>
        <w:t xml:space="preserve">handelingen, mits deze handelingen gesteld worden met een minderjarige die de leeftijd van veertien jaar bereikt heeft. Dit is een mildere strafwet: </w:t>
      </w:r>
      <w:r w:rsidR="003E6C07" w:rsidRPr="000B4AB2">
        <w:rPr>
          <w:color w:val="000000" w:themeColor="text1"/>
          <w:szCs w:val="18"/>
          <w:lang w:val="nl-NL"/>
        </w:rPr>
        <w:t>onder het oude recht werden minzestienjarigen immers</w:t>
      </w:r>
      <w:r w:rsidR="00884E0A" w:rsidRPr="000B4AB2">
        <w:rPr>
          <w:color w:val="000000" w:themeColor="text1"/>
          <w:szCs w:val="18"/>
          <w:lang w:val="nl-NL"/>
        </w:rPr>
        <w:t xml:space="preserve"> onweerlegbaar vermoed </w:t>
      </w:r>
      <w:r w:rsidR="003E6C07" w:rsidRPr="000B4AB2">
        <w:rPr>
          <w:color w:val="000000" w:themeColor="text1"/>
          <w:szCs w:val="18"/>
          <w:lang w:val="nl-NL"/>
        </w:rPr>
        <w:t>geen</w:t>
      </w:r>
      <w:r w:rsidR="00884E0A" w:rsidRPr="000B4AB2">
        <w:rPr>
          <w:color w:val="000000" w:themeColor="text1"/>
          <w:szCs w:val="18"/>
          <w:lang w:val="nl-NL"/>
        </w:rPr>
        <w:t xml:space="preserve"> toestemming </w:t>
      </w:r>
      <w:r w:rsidR="003E6C07" w:rsidRPr="000B4AB2">
        <w:rPr>
          <w:color w:val="000000" w:themeColor="text1"/>
          <w:szCs w:val="18"/>
          <w:lang w:val="nl-NL"/>
        </w:rPr>
        <w:t>te hebben gegeven</w:t>
      </w:r>
      <w:r w:rsidR="00884E0A" w:rsidRPr="000B4AB2">
        <w:rPr>
          <w:color w:val="000000" w:themeColor="text1"/>
          <w:szCs w:val="18"/>
          <w:lang w:val="nl-NL"/>
        </w:rPr>
        <w:t xml:space="preserve">. Deze uitzondering kan </w:t>
      </w:r>
      <w:r w:rsidR="003E6C07" w:rsidRPr="000B4AB2">
        <w:rPr>
          <w:color w:val="000000" w:themeColor="text1"/>
          <w:szCs w:val="18"/>
          <w:lang w:val="nl-NL"/>
        </w:rPr>
        <w:t>bijgevolg</w:t>
      </w:r>
      <w:r w:rsidR="00884E0A" w:rsidRPr="000B4AB2">
        <w:rPr>
          <w:color w:val="000000" w:themeColor="text1"/>
          <w:szCs w:val="18"/>
          <w:lang w:val="nl-NL"/>
        </w:rPr>
        <w:t xml:space="preserve"> </w:t>
      </w:r>
      <w:r w:rsidR="00BC3395" w:rsidRPr="000B4AB2">
        <w:rPr>
          <w:color w:val="000000" w:themeColor="text1"/>
          <w:szCs w:val="18"/>
          <w:lang w:val="nl-NL"/>
        </w:rPr>
        <w:t>retroactief</w:t>
      </w:r>
      <w:r w:rsidR="00884E0A" w:rsidRPr="000B4AB2">
        <w:rPr>
          <w:color w:val="000000" w:themeColor="text1"/>
          <w:szCs w:val="18"/>
          <w:lang w:val="nl-NL"/>
        </w:rPr>
        <w:t xml:space="preserve"> worden toegepast.</w:t>
      </w:r>
      <w:r w:rsidR="003A0AC5" w:rsidRPr="000B4AB2">
        <w:rPr>
          <w:rStyle w:val="FootnoteReference"/>
          <w:color w:val="000000" w:themeColor="text1"/>
          <w:szCs w:val="18"/>
          <w:lang w:val="nl-NL"/>
        </w:rPr>
        <w:footnoteReference w:id="213"/>
      </w:r>
    </w:p>
    <w:p w14:paraId="4BB3542C" w14:textId="77777777" w:rsidR="00100F2A" w:rsidRPr="000B4AB2" w:rsidRDefault="00100F2A" w:rsidP="00260F11">
      <w:pPr>
        <w:pStyle w:val="ListParagraph"/>
        <w:spacing w:line="360" w:lineRule="auto"/>
        <w:ind w:left="0"/>
        <w:rPr>
          <w:color w:val="000000" w:themeColor="text1"/>
          <w:szCs w:val="18"/>
          <w:lang w:val="nl-NL"/>
        </w:rPr>
      </w:pPr>
    </w:p>
    <w:p w14:paraId="17818505" w14:textId="02ABFB85" w:rsidR="00884E0A" w:rsidRPr="000B4AB2" w:rsidRDefault="00AF67A3"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M.b.t. de</w:t>
      </w:r>
      <w:r w:rsidR="00331CC0">
        <w:rPr>
          <w:color w:val="000000" w:themeColor="text1"/>
          <w:szCs w:val="18"/>
          <w:lang w:val="nl-NL"/>
        </w:rPr>
        <w:t xml:space="preserve"> uitzondering die een</w:t>
      </w:r>
      <w:r w:rsidR="007A3709" w:rsidRPr="000B4AB2">
        <w:rPr>
          <w:color w:val="000000" w:themeColor="text1"/>
          <w:szCs w:val="18"/>
          <w:lang w:val="nl-NL"/>
        </w:rPr>
        <w:t xml:space="preserve"> hogere leeftijdsgrens invoert</w:t>
      </w:r>
      <w:r w:rsidR="002D1140">
        <w:rPr>
          <w:color w:val="000000" w:themeColor="text1"/>
          <w:szCs w:val="18"/>
          <w:lang w:val="nl-NL"/>
        </w:rPr>
        <w:t xml:space="preserve"> -</w:t>
      </w:r>
      <w:r w:rsidR="00884E0A" w:rsidRPr="000B4AB2">
        <w:rPr>
          <w:color w:val="000000" w:themeColor="text1"/>
          <w:szCs w:val="18"/>
          <w:lang w:val="nl-NL"/>
        </w:rPr>
        <w:t xml:space="preserve"> dewelke louter volledigheidshalve werd weergegeven</w:t>
      </w:r>
      <w:r w:rsidR="002D1140">
        <w:rPr>
          <w:color w:val="000000" w:themeColor="text1"/>
          <w:szCs w:val="18"/>
          <w:lang w:val="nl-NL"/>
        </w:rPr>
        <w:t xml:space="preserve"> -</w:t>
      </w:r>
      <w:r w:rsidR="00884E0A" w:rsidRPr="000B4AB2">
        <w:rPr>
          <w:color w:val="000000" w:themeColor="text1"/>
          <w:szCs w:val="18"/>
          <w:lang w:val="nl-NL"/>
        </w:rPr>
        <w:t xml:space="preserve"> </w:t>
      </w:r>
      <w:r w:rsidR="00640711">
        <w:rPr>
          <w:color w:val="000000" w:themeColor="text1"/>
          <w:szCs w:val="18"/>
          <w:lang w:val="nl-NL"/>
        </w:rPr>
        <w:t>moet</w:t>
      </w:r>
      <w:r w:rsidR="00884E0A" w:rsidRPr="000B4AB2">
        <w:rPr>
          <w:color w:val="000000" w:themeColor="text1"/>
          <w:szCs w:val="18"/>
          <w:lang w:val="nl-NL"/>
        </w:rPr>
        <w:t xml:space="preserve"> situatie per situatie worden nagegaan of de hoedanigheid van de dader aanleiding gaf en/of geeft tot een onweerlegbaar vermoeden van afwezigheid van instemming in hoofde van de minderjarige.</w:t>
      </w:r>
      <w:r>
        <w:rPr>
          <w:rStyle w:val="FootnoteReference"/>
          <w:color w:val="000000" w:themeColor="text1"/>
          <w:szCs w:val="18"/>
          <w:lang w:val="nl-NL"/>
        </w:rPr>
        <w:footnoteReference w:id="214"/>
      </w:r>
    </w:p>
    <w:p w14:paraId="4E0BA86A" w14:textId="45B19BA6" w:rsidR="009B38E3" w:rsidRPr="000B4AB2" w:rsidRDefault="009B38E3" w:rsidP="00260F11">
      <w:pPr>
        <w:pStyle w:val="ListParagraph"/>
        <w:spacing w:line="360" w:lineRule="auto"/>
        <w:ind w:left="0"/>
        <w:rPr>
          <w:color w:val="000000" w:themeColor="text1"/>
          <w:szCs w:val="18"/>
          <w:lang w:val="nl-NL"/>
        </w:rPr>
      </w:pPr>
    </w:p>
    <w:p w14:paraId="7E9FFFAA" w14:textId="2FCC0881" w:rsidR="005462C2" w:rsidRPr="000B4AB2" w:rsidRDefault="00634642"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(2) </w:t>
      </w:r>
      <w:r w:rsidR="00AC2CFF" w:rsidRPr="000B4AB2">
        <w:rPr>
          <w:b/>
          <w:color w:val="000000" w:themeColor="text1"/>
          <w:szCs w:val="18"/>
          <w:lang w:val="nl-NL"/>
        </w:rPr>
        <w:t>Gebrek aan toestemming als constitutief bestanddeel</w:t>
      </w:r>
      <w:r w:rsidR="00AC2CFF" w:rsidRPr="000B4AB2">
        <w:rPr>
          <w:color w:val="000000" w:themeColor="text1"/>
          <w:szCs w:val="18"/>
          <w:lang w:val="nl-NL"/>
        </w:rPr>
        <w:t>.</w:t>
      </w:r>
      <w:r w:rsidR="005462C2" w:rsidRPr="000B4AB2">
        <w:rPr>
          <w:color w:val="000000" w:themeColor="text1"/>
          <w:szCs w:val="18"/>
          <w:lang w:val="nl-NL"/>
        </w:rPr>
        <w:t xml:space="preserve"> Voor aanranding van de eerbaarheid, was de loutere afwezigheid van toestemming onvoldoende om te kunnen spreken van dit misdrijf. Althans </w:t>
      </w:r>
      <w:r w:rsidR="003D6DFE">
        <w:rPr>
          <w:color w:val="000000" w:themeColor="text1"/>
          <w:szCs w:val="18"/>
          <w:lang w:val="nl-NL"/>
        </w:rPr>
        <w:t xml:space="preserve">m.i., </w:t>
      </w:r>
      <w:r w:rsidR="005462C2" w:rsidRPr="000B4AB2">
        <w:rPr>
          <w:color w:val="000000" w:themeColor="text1"/>
          <w:szCs w:val="18"/>
          <w:lang w:val="nl-NL"/>
        </w:rPr>
        <w:t xml:space="preserve">volgens de letter van de wet evenals de meerderheidsvisie binnen de </w:t>
      </w:r>
      <w:r w:rsidR="000D5F93" w:rsidRPr="000B4AB2">
        <w:rPr>
          <w:color w:val="000000" w:themeColor="text1"/>
          <w:szCs w:val="18"/>
          <w:lang w:val="nl-NL"/>
        </w:rPr>
        <w:t>rechtsleer</w:t>
      </w:r>
      <w:r w:rsidR="00AF67A3">
        <w:rPr>
          <w:color w:val="000000" w:themeColor="text1"/>
          <w:szCs w:val="18"/>
          <w:lang w:val="nl-NL"/>
        </w:rPr>
        <w:t>.</w:t>
      </w:r>
      <w:r w:rsidR="005462C2" w:rsidRPr="000B4AB2">
        <w:rPr>
          <w:rStyle w:val="FootnoteReference"/>
          <w:color w:val="000000" w:themeColor="text1"/>
          <w:szCs w:val="18"/>
          <w:lang w:val="nl-NL"/>
        </w:rPr>
        <w:footnoteReference w:id="215"/>
      </w:r>
    </w:p>
    <w:p w14:paraId="4CFEBFB1" w14:textId="77777777" w:rsidR="005462C2" w:rsidRPr="000B4AB2" w:rsidRDefault="005462C2" w:rsidP="00260F11">
      <w:pPr>
        <w:pStyle w:val="ListParagraph"/>
        <w:spacing w:line="360" w:lineRule="auto"/>
        <w:rPr>
          <w:color w:val="000000" w:themeColor="text1"/>
          <w:szCs w:val="18"/>
          <w:lang w:val="nl-NL"/>
        </w:rPr>
      </w:pPr>
    </w:p>
    <w:p w14:paraId="425744A4" w14:textId="37FA58ED" w:rsidR="00B208C3" w:rsidRPr="000B4AB2" w:rsidRDefault="005462C2"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De hervorming van het seksueel strafrecht heeft een einde gesteld aan voornoemde discussie</w:t>
      </w:r>
      <w:r w:rsidR="00AF67A3">
        <w:rPr>
          <w:color w:val="000000" w:themeColor="text1"/>
          <w:szCs w:val="18"/>
          <w:lang w:val="nl-NL"/>
        </w:rPr>
        <w:t xml:space="preserve"> door </w:t>
      </w:r>
      <w:r w:rsidR="00AC2CFF" w:rsidRPr="000B4AB2">
        <w:rPr>
          <w:color w:val="000000" w:themeColor="text1"/>
          <w:szCs w:val="18"/>
          <w:lang w:val="nl-NL"/>
        </w:rPr>
        <w:t xml:space="preserve">het gebrek aan toestemming </w:t>
      </w:r>
      <w:r w:rsidR="00841AB3">
        <w:rPr>
          <w:color w:val="000000" w:themeColor="text1"/>
          <w:szCs w:val="18"/>
          <w:lang w:val="nl-NL"/>
        </w:rPr>
        <w:t>als</w:t>
      </w:r>
      <w:r w:rsidR="00AC2CFF" w:rsidRPr="000B4AB2">
        <w:rPr>
          <w:color w:val="000000" w:themeColor="text1"/>
          <w:szCs w:val="18"/>
          <w:lang w:val="nl-NL"/>
        </w:rPr>
        <w:t xml:space="preserve"> constitutief bestanddeel van het misdrijf van aantasting van de seksuele integriteit </w:t>
      </w:r>
      <w:r w:rsidR="00AF67A3" w:rsidRPr="00AF67A3">
        <w:rPr>
          <w:color w:val="000000" w:themeColor="text1"/>
          <w:szCs w:val="18"/>
          <w:lang w:val="nl-NL"/>
        </w:rPr>
        <w:t>te</w:t>
      </w:r>
      <w:r w:rsidR="00AC2CFF" w:rsidRPr="00AF67A3">
        <w:rPr>
          <w:color w:val="000000" w:themeColor="text1"/>
          <w:szCs w:val="18"/>
          <w:lang w:val="nl-NL"/>
        </w:rPr>
        <w:t xml:space="preserve"> </w:t>
      </w:r>
      <w:r w:rsidR="00841AB3">
        <w:rPr>
          <w:color w:val="000000" w:themeColor="text1"/>
          <w:szCs w:val="18"/>
          <w:lang w:val="nl-NL"/>
        </w:rPr>
        <w:t>benoemen</w:t>
      </w:r>
      <w:r w:rsidR="00AC2CFF" w:rsidRPr="00AF67A3">
        <w:rPr>
          <w:color w:val="000000" w:themeColor="text1"/>
          <w:szCs w:val="18"/>
          <w:lang w:val="nl-NL"/>
        </w:rPr>
        <w:t>.</w:t>
      </w:r>
      <w:r w:rsidR="000864E9" w:rsidRPr="000B4AB2">
        <w:rPr>
          <w:rStyle w:val="FootnoteReference"/>
          <w:szCs w:val="18"/>
          <w:lang w:val="nl-NL"/>
        </w:rPr>
        <w:footnoteReference w:id="216"/>
      </w:r>
      <w:r w:rsidR="00D84E82" w:rsidRPr="00AF67A3">
        <w:rPr>
          <w:color w:val="000000" w:themeColor="text1"/>
          <w:szCs w:val="18"/>
          <w:lang w:val="nl-NL"/>
        </w:rPr>
        <w:t xml:space="preserve"> Toch</w:t>
      </w:r>
      <w:r w:rsidR="00D84E82" w:rsidRPr="000B4AB2">
        <w:rPr>
          <w:color w:val="000000" w:themeColor="text1"/>
          <w:szCs w:val="18"/>
          <w:lang w:val="nl-NL"/>
        </w:rPr>
        <w:t xml:space="preserve"> </w:t>
      </w:r>
      <w:r w:rsidR="00AA4154" w:rsidRPr="000B4AB2">
        <w:rPr>
          <w:color w:val="000000" w:themeColor="text1"/>
          <w:szCs w:val="18"/>
          <w:lang w:val="nl-NL"/>
        </w:rPr>
        <w:t>wijst</w:t>
      </w:r>
      <w:r w:rsidR="00D84E82" w:rsidRPr="000B4AB2">
        <w:rPr>
          <w:color w:val="000000" w:themeColor="text1"/>
          <w:szCs w:val="18"/>
          <w:lang w:val="nl-NL"/>
        </w:rPr>
        <w:t xml:space="preserve"> bepaalde rechtsleer </w:t>
      </w:r>
      <w:r w:rsidR="00AA4154" w:rsidRPr="000B4AB2">
        <w:rPr>
          <w:color w:val="000000" w:themeColor="text1"/>
          <w:szCs w:val="18"/>
          <w:lang w:val="nl-NL"/>
        </w:rPr>
        <w:t>er</w:t>
      </w:r>
      <w:r w:rsidR="00921D6E" w:rsidRPr="000B4AB2">
        <w:rPr>
          <w:color w:val="000000" w:themeColor="text1"/>
          <w:szCs w:val="18"/>
          <w:lang w:val="nl-NL"/>
        </w:rPr>
        <w:t xml:space="preserve">op </w:t>
      </w:r>
      <w:r w:rsidR="00D84E82" w:rsidRPr="000B4AB2">
        <w:rPr>
          <w:color w:val="000000" w:themeColor="text1"/>
          <w:szCs w:val="18"/>
          <w:lang w:val="nl-NL"/>
        </w:rPr>
        <w:t>dat de impact van deze wijziging miniem zal zijn, aangezien de limitatief opgesomde wilsuitsluitende factoren dermate soepel werden ingevuld door de rechtspraak.</w:t>
      </w:r>
      <w:r w:rsidR="00D84E82" w:rsidRPr="000B4AB2">
        <w:rPr>
          <w:rStyle w:val="FootnoteReference"/>
          <w:color w:val="000000" w:themeColor="text1"/>
          <w:szCs w:val="18"/>
          <w:lang w:val="nl-NL"/>
        </w:rPr>
        <w:footnoteReference w:id="217"/>
      </w:r>
    </w:p>
    <w:p w14:paraId="6C18F547" w14:textId="77777777" w:rsidR="006818AF" w:rsidRPr="000B4AB2" w:rsidRDefault="006818AF" w:rsidP="00260F11">
      <w:pPr>
        <w:pStyle w:val="ListParagraph"/>
        <w:spacing w:line="360" w:lineRule="auto"/>
        <w:rPr>
          <w:color w:val="000000" w:themeColor="text1"/>
          <w:szCs w:val="18"/>
          <w:lang w:val="nl-NL"/>
        </w:rPr>
      </w:pPr>
    </w:p>
    <w:p w14:paraId="6B77C04B" w14:textId="475F414A" w:rsidR="006818AF" w:rsidRDefault="006818AF" w:rsidP="00260F11">
      <w:pPr>
        <w:pStyle w:val="ListParagraph"/>
        <w:numPr>
          <w:ilvl w:val="0"/>
          <w:numId w:val="1"/>
        </w:numPr>
        <w:spacing w:line="360" w:lineRule="auto"/>
        <w:ind w:left="0" w:hanging="709"/>
        <w:rPr>
          <w:color w:val="000000" w:themeColor="text1"/>
          <w:szCs w:val="18"/>
          <w:lang w:val="nl-NL"/>
        </w:rPr>
      </w:pPr>
      <w:r w:rsidRPr="000864E9">
        <w:rPr>
          <w:b/>
          <w:color w:val="000000" w:themeColor="text1"/>
          <w:szCs w:val="18"/>
          <w:lang w:val="nl-NL"/>
        </w:rPr>
        <w:t>Temporele werking</w:t>
      </w:r>
      <w:r w:rsidRPr="000864E9">
        <w:rPr>
          <w:color w:val="000000" w:themeColor="text1"/>
          <w:szCs w:val="18"/>
          <w:lang w:val="nl-NL"/>
        </w:rPr>
        <w:t>.</w:t>
      </w:r>
      <w:r w:rsidR="00893BC8" w:rsidRPr="000864E9">
        <w:rPr>
          <w:color w:val="000000" w:themeColor="text1"/>
          <w:szCs w:val="18"/>
          <w:lang w:val="nl-NL"/>
        </w:rPr>
        <w:t xml:space="preserve"> </w:t>
      </w:r>
      <w:r w:rsidR="00921D6E" w:rsidRPr="000864E9">
        <w:rPr>
          <w:color w:val="000000" w:themeColor="text1"/>
          <w:szCs w:val="18"/>
          <w:lang w:val="nl-NL"/>
        </w:rPr>
        <w:t xml:space="preserve">Afhankelijk van de visie die wordt </w:t>
      </w:r>
      <w:r w:rsidR="000D5F93" w:rsidRPr="000864E9">
        <w:rPr>
          <w:color w:val="000000" w:themeColor="text1"/>
          <w:szCs w:val="18"/>
          <w:lang w:val="nl-NL"/>
        </w:rPr>
        <w:t>gevolgd</w:t>
      </w:r>
      <w:r w:rsidR="00921D6E" w:rsidRPr="000864E9">
        <w:rPr>
          <w:color w:val="000000" w:themeColor="text1"/>
          <w:szCs w:val="18"/>
          <w:lang w:val="nl-NL"/>
        </w:rPr>
        <w:t xml:space="preserve"> </w:t>
      </w:r>
      <w:r w:rsidR="00032070" w:rsidRPr="000864E9">
        <w:rPr>
          <w:color w:val="000000" w:themeColor="text1"/>
          <w:szCs w:val="18"/>
          <w:lang w:val="nl-NL"/>
        </w:rPr>
        <w:t>m.b.t.</w:t>
      </w:r>
      <w:r w:rsidR="00921D6E" w:rsidRPr="000864E9">
        <w:rPr>
          <w:color w:val="000000" w:themeColor="text1"/>
          <w:szCs w:val="18"/>
          <w:lang w:val="nl-NL"/>
        </w:rPr>
        <w:t xml:space="preserve"> de oude strafbaarstelling, zal deze wijziging aldus worden beschouwd als een verstrenging (volgens de meerderheidsvisie)</w:t>
      </w:r>
      <w:r w:rsidR="00722687">
        <w:rPr>
          <w:rStyle w:val="FootnoteReference"/>
          <w:color w:val="000000" w:themeColor="text1"/>
          <w:szCs w:val="18"/>
          <w:lang w:val="nl-NL"/>
        </w:rPr>
        <w:footnoteReference w:id="218"/>
      </w:r>
      <w:r w:rsidR="00921D6E" w:rsidRPr="000864E9">
        <w:rPr>
          <w:color w:val="000000" w:themeColor="text1"/>
          <w:szCs w:val="18"/>
          <w:lang w:val="nl-NL"/>
        </w:rPr>
        <w:t xml:space="preserve"> dan wel als een verfijning (volgens de minderheidsvisie). Deze opvatting heeft belangrijke gevolgen voor de werking van de </w:t>
      </w:r>
      <w:r w:rsidR="009F616D">
        <w:rPr>
          <w:color w:val="000000" w:themeColor="text1"/>
          <w:szCs w:val="18"/>
          <w:lang w:val="nl-NL"/>
        </w:rPr>
        <w:t>huidige</w:t>
      </w:r>
      <w:r w:rsidR="00921D6E" w:rsidRPr="000864E9">
        <w:rPr>
          <w:color w:val="000000" w:themeColor="text1"/>
          <w:szCs w:val="18"/>
          <w:lang w:val="nl-NL"/>
        </w:rPr>
        <w:t xml:space="preserve"> strafbaarstelling in de tijd, aangezien hierdoor de wijziging niet</w:t>
      </w:r>
      <w:r w:rsidR="0095229B">
        <w:rPr>
          <w:rStyle w:val="FootnoteReference"/>
          <w:color w:val="000000" w:themeColor="text1"/>
          <w:szCs w:val="18"/>
          <w:lang w:val="nl-NL"/>
        </w:rPr>
        <w:footnoteReference w:id="219"/>
      </w:r>
      <w:r w:rsidR="00921D6E" w:rsidRPr="000864E9">
        <w:rPr>
          <w:color w:val="000000" w:themeColor="text1"/>
          <w:szCs w:val="18"/>
          <w:lang w:val="nl-NL"/>
        </w:rPr>
        <w:t xml:space="preserve"> </w:t>
      </w:r>
      <w:r w:rsidR="009F616D">
        <w:rPr>
          <w:color w:val="000000" w:themeColor="text1"/>
          <w:szCs w:val="18"/>
          <w:lang w:val="nl-NL"/>
        </w:rPr>
        <w:t>retroactief</w:t>
      </w:r>
      <w:r w:rsidR="00921D6E" w:rsidRPr="000864E9">
        <w:rPr>
          <w:color w:val="000000" w:themeColor="text1"/>
          <w:szCs w:val="18"/>
          <w:lang w:val="nl-NL"/>
        </w:rPr>
        <w:t xml:space="preserve"> mag worden toegepast respectievelijk wél </w:t>
      </w:r>
      <w:r w:rsidR="009F616D">
        <w:rPr>
          <w:color w:val="000000" w:themeColor="text1"/>
          <w:szCs w:val="18"/>
          <w:lang w:val="nl-NL"/>
        </w:rPr>
        <w:t>retroactief</w:t>
      </w:r>
      <w:r w:rsidR="00921D6E" w:rsidRPr="000864E9">
        <w:rPr>
          <w:color w:val="000000" w:themeColor="text1"/>
          <w:szCs w:val="18"/>
          <w:lang w:val="nl-NL"/>
        </w:rPr>
        <w:t xml:space="preserve"> mag worden toegepast.</w:t>
      </w:r>
      <w:r w:rsidR="00921D6E" w:rsidRPr="000864E9">
        <w:rPr>
          <w:rStyle w:val="FootnoteReference"/>
          <w:color w:val="000000" w:themeColor="text1"/>
          <w:szCs w:val="18"/>
          <w:lang w:val="nl-NL"/>
        </w:rPr>
        <w:footnoteReference w:id="220"/>
      </w:r>
    </w:p>
    <w:p w14:paraId="63E9E279" w14:textId="236C6D8D" w:rsidR="00815FDD" w:rsidRDefault="00815FDD" w:rsidP="00260F11">
      <w:pPr>
        <w:spacing w:line="360" w:lineRule="auto"/>
        <w:jc w:val="left"/>
        <w:rPr>
          <w:color w:val="000000" w:themeColor="text1"/>
          <w:szCs w:val="18"/>
          <w:lang w:val="nl-NL"/>
        </w:rPr>
      </w:pPr>
      <w:r>
        <w:rPr>
          <w:color w:val="000000" w:themeColor="text1"/>
          <w:szCs w:val="18"/>
          <w:lang w:val="nl-NL"/>
        </w:rPr>
        <w:br w:type="page"/>
      </w:r>
    </w:p>
    <w:p w14:paraId="1AD40439" w14:textId="359A8756" w:rsidR="00B314EF" w:rsidRDefault="00815FDD"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lastRenderedPageBreak/>
        <w:t xml:space="preserve"> </w:t>
      </w:r>
      <w:r w:rsidR="00634642" w:rsidRPr="000B4AB2">
        <w:rPr>
          <w:b/>
          <w:color w:val="000000" w:themeColor="text1"/>
          <w:szCs w:val="18"/>
          <w:lang w:val="nl-NL"/>
        </w:rPr>
        <w:t>(3) Definitie van toestemming</w:t>
      </w:r>
      <w:r w:rsidR="00634642" w:rsidRPr="000B4AB2">
        <w:rPr>
          <w:color w:val="000000" w:themeColor="text1"/>
          <w:szCs w:val="18"/>
          <w:lang w:val="nl-NL"/>
        </w:rPr>
        <w:t>.</w:t>
      </w:r>
      <w:r w:rsidR="00BB0EA2" w:rsidRPr="000B4AB2">
        <w:rPr>
          <w:color w:val="000000" w:themeColor="text1"/>
          <w:szCs w:val="18"/>
          <w:lang w:val="nl-NL"/>
        </w:rPr>
        <w:t xml:space="preserve"> In de oude artikel</w:t>
      </w:r>
      <w:r w:rsidR="009A4DB1">
        <w:rPr>
          <w:color w:val="000000" w:themeColor="text1"/>
          <w:szCs w:val="18"/>
          <w:lang w:val="nl-NL"/>
        </w:rPr>
        <w:t>en</w:t>
      </w:r>
      <w:r w:rsidR="00BB0EA2" w:rsidRPr="000B4AB2">
        <w:rPr>
          <w:color w:val="000000" w:themeColor="text1"/>
          <w:szCs w:val="18"/>
          <w:lang w:val="nl-NL"/>
        </w:rPr>
        <w:t xml:space="preserve"> 372-375 </w:t>
      </w:r>
      <w:r w:rsidR="0081584B">
        <w:rPr>
          <w:color w:val="000000" w:themeColor="text1"/>
          <w:szCs w:val="18"/>
          <w:lang w:val="nl-NL"/>
        </w:rPr>
        <w:t xml:space="preserve">van het </w:t>
      </w:r>
      <w:r w:rsidR="00CE0637">
        <w:rPr>
          <w:color w:val="000000" w:themeColor="text1"/>
          <w:szCs w:val="18"/>
          <w:lang w:val="nl-NL"/>
        </w:rPr>
        <w:t>Strafwetboek</w:t>
      </w:r>
      <w:r w:rsidR="00BB0EA2" w:rsidRPr="000B4AB2">
        <w:rPr>
          <w:color w:val="000000" w:themeColor="text1"/>
          <w:szCs w:val="18"/>
          <w:lang w:val="nl-NL"/>
        </w:rPr>
        <w:t xml:space="preserve">, werd het begrip toestemming niet gedefinieerd. Het feit dat artikel 417/5 </w:t>
      </w:r>
      <w:r w:rsidR="0081584B">
        <w:rPr>
          <w:color w:val="000000" w:themeColor="text1"/>
          <w:szCs w:val="18"/>
          <w:lang w:val="nl-NL"/>
        </w:rPr>
        <w:t xml:space="preserve">van het </w:t>
      </w:r>
      <w:r w:rsidR="00BB0EA2" w:rsidRPr="000B4AB2">
        <w:rPr>
          <w:color w:val="000000" w:themeColor="text1"/>
          <w:szCs w:val="18"/>
          <w:lang w:val="nl-NL"/>
        </w:rPr>
        <w:t xml:space="preserve">Strafwetboek voortaan wel een definitie bevat van toestemming, is dan ook </w:t>
      </w:r>
      <w:r w:rsidR="009F616D">
        <w:rPr>
          <w:color w:val="000000" w:themeColor="text1"/>
          <w:szCs w:val="18"/>
          <w:lang w:val="nl-NL"/>
        </w:rPr>
        <w:t>nieuw</w:t>
      </w:r>
      <w:r w:rsidR="00BB0EA2" w:rsidRPr="000B4AB2">
        <w:rPr>
          <w:color w:val="000000" w:themeColor="text1"/>
          <w:szCs w:val="18"/>
          <w:lang w:val="nl-NL"/>
        </w:rPr>
        <w:t>. Gelet op de discussie omtrent het al dan niet uitmaken van een constitutief bestanddeel van aanranding van de eerbaarheid, zal de nieuwe definitie van toestemming voornamelijk worden toegelicht bij het misdrijf van verkrachting.</w:t>
      </w:r>
    </w:p>
    <w:p w14:paraId="545A818C" w14:textId="77777777" w:rsidR="005651D2" w:rsidRPr="00E17C29" w:rsidRDefault="005651D2" w:rsidP="00260F11">
      <w:pPr>
        <w:pStyle w:val="ListParagraph"/>
        <w:spacing w:line="360" w:lineRule="auto"/>
        <w:ind w:left="0"/>
        <w:rPr>
          <w:color w:val="000000" w:themeColor="text1"/>
          <w:szCs w:val="18"/>
          <w:lang w:val="nl-NL"/>
        </w:rPr>
      </w:pPr>
    </w:p>
    <w:p w14:paraId="78AEF36A" w14:textId="23D70F50" w:rsidR="00634642" w:rsidRPr="000B4AB2" w:rsidRDefault="00BB0EA2"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Toch kan hier worden gewezen op de toestemmingsuitsluitende grond die werd vermeld in artikel 373 </w:t>
      </w:r>
      <w:r w:rsidR="00B314EF" w:rsidRPr="000B4AB2">
        <w:rPr>
          <w:color w:val="000000" w:themeColor="text1"/>
          <w:szCs w:val="18"/>
          <w:lang w:val="nl-NL"/>
        </w:rPr>
        <w:t>(</w:t>
      </w:r>
      <w:r w:rsidRPr="000B4AB2">
        <w:rPr>
          <w:color w:val="000000" w:themeColor="text1"/>
          <w:szCs w:val="18"/>
          <w:lang w:val="nl-NL"/>
        </w:rPr>
        <w:t>en 375</w:t>
      </w:r>
      <w:r w:rsidR="00B314EF" w:rsidRPr="000B4AB2">
        <w:rPr>
          <w:color w:val="000000" w:themeColor="text1"/>
          <w:szCs w:val="18"/>
          <w:lang w:val="nl-NL"/>
        </w:rPr>
        <w:t>)</w:t>
      </w:r>
      <w:r w:rsidRPr="000B4AB2">
        <w:rPr>
          <w:color w:val="000000" w:themeColor="text1"/>
          <w:szCs w:val="18"/>
          <w:lang w:val="nl-NL"/>
        </w:rPr>
        <w:t xml:space="preserve"> </w:t>
      </w:r>
      <w:r w:rsidR="0081584B">
        <w:rPr>
          <w:color w:val="000000" w:themeColor="text1"/>
          <w:szCs w:val="18"/>
          <w:lang w:val="nl-NL"/>
        </w:rPr>
        <w:t xml:space="preserve">van het </w:t>
      </w:r>
      <w:r w:rsidRPr="000B4AB2">
        <w:rPr>
          <w:color w:val="000000" w:themeColor="text1"/>
          <w:szCs w:val="18"/>
          <w:lang w:val="nl-NL"/>
        </w:rPr>
        <w:t xml:space="preserve">Strafwetboek “onvolwaardigheid of een lichamelijk of een geestelijk gebrek van het slachtoffer”. Deze bewoordingen zijn niet als dusdanig terug te vinden in artikel 417/5 </w:t>
      </w:r>
      <w:r w:rsidR="0081584B">
        <w:rPr>
          <w:color w:val="000000" w:themeColor="text1"/>
          <w:szCs w:val="18"/>
          <w:lang w:val="nl-NL"/>
        </w:rPr>
        <w:t xml:space="preserve">van het </w:t>
      </w:r>
      <w:r w:rsidRPr="000B4AB2">
        <w:rPr>
          <w:color w:val="000000" w:themeColor="text1"/>
          <w:szCs w:val="18"/>
          <w:lang w:val="nl-NL"/>
        </w:rPr>
        <w:t>Strafwetboek, maar werden vervangen door “de kwetsbare toestand van het slachtoffer ten gevolge van een ziekte of handicapsituatie”.</w:t>
      </w:r>
      <w:r w:rsidR="001A7E08" w:rsidRPr="000B4AB2">
        <w:rPr>
          <w:color w:val="000000" w:themeColor="text1"/>
          <w:szCs w:val="18"/>
          <w:lang w:val="nl-NL"/>
        </w:rPr>
        <w:t xml:space="preserve"> Inhoudelijk z</w:t>
      </w:r>
      <w:r w:rsidR="00B314EF" w:rsidRPr="000B4AB2">
        <w:rPr>
          <w:color w:val="000000" w:themeColor="text1"/>
          <w:szCs w:val="18"/>
          <w:lang w:val="nl-NL"/>
        </w:rPr>
        <w:t>ullen beide bewoordingen evenwel met elkaar overeenstemmen.</w:t>
      </w:r>
      <w:r w:rsidR="00B314EF" w:rsidRPr="000B4AB2">
        <w:rPr>
          <w:rStyle w:val="FootnoteReference"/>
          <w:color w:val="000000" w:themeColor="text1"/>
          <w:szCs w:val="18"/>
          <w:lang w:val="nl-NL"/>
        </w:rPr>
        <w:footnoteReference w:id="221"/>
      </w:r>
    </w:p>
    <w:p w14:paraId="576917A0" w14:textId="52B2B33B" w:rsidR="00B314EF" w:rsidRPr="000B4AB2" w:rsidRDefault="00B314EF" w:rsidP="00260F11">
      <w:pPr>
        <w:pStyle w:val="ListParagraph"/>
        <w:spacing w:line="360" w:lineRule="auto"/>
        <w:ind w:left="0"/>
        <w:rPr>
          <w:color w:val="000000" w:themeColor="text1"/>
          <w:szCs w:val="18"/>
          <w:lang w:val="nl-NL"/>
        </w:rPr>
      </w:pPr>
    </w:p>
    <w:p w14:paraId="53258014" w14:textId="01EBA8CD" w:rsidR="00B314EF" w:rsidRPr="000B4AB2" w:rsidRDefault="00B314EF"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De overige toestemmingsuitsluitende gronden vermeld in artikel 373 (en 375) </w:t>
      </w:r>
      <w:r w:rsidR="0081584B">
        <w:rPr>
          <w:color w:val="000000" w:themeColor="text1"/>
          <w:szCs w:val="18"/>
          <w:lang w:val="nl-NL"/>
        </w:rPr>
        <w:t xml:space="preserve">van het </w:t>
      </w:r>
      <w:r w:rsidRPr="000B4AB2">
        <w:rPr>
          <w:color w:val="000000" w:themeColor="text1"/>
          <w:szCs w:val="18"/>
          <w:lang w:val="nl-NL"/>
        </w:rPr>
        <w:t xml:space="preserve">Strafwetboek - zijnde bedreiging, geweld, dwang, verrassing of list – zijn wel als dusdanig terug te vinden in artikel 417/5, voorlaatste lid </w:t>
      </w:r>
      <w:r w:rsidR="0081584B">
        <w:rPr>
          <w:color w:val="000000" w:themeColor="text1"/>
          <w:szCs w:val="18"/>
          <w:lang w:val="nl-NL"/>
        </w:rPr>
        <w:t xml:space="preserve">van het </w:t>
      </w:r>
      <w:r w:rsidRPr="000B4AB2">
        <w:rPr>
          <w:color w:val="000000" w:themeColor="text1"/>
          <w:szCs w:val="18"/>
          <w:lang w:val="nl-NL"/>
        </w:rPr>
        <w:t>Strafwetboek, met dien verstande dat voortaan expliciet wordt gesteld dat geweld zowel fysiek als psychisch kan zijn.</w:t>
      </w:r>
    </w:p>
    <w:p w14:paraId="3D8A3846" w14:textId="77777777" w:rsidR="006818AF" w:rsidRPr="000B4AB2" w:rsidRDefault="006818AF" w:rsidP="00260F11">
      <w:pPr>
        <w:pStyle w:val="ListParagraph"/>
        <w:spacing w:line="360" w:lineRule="auto"/>
        <w:rPr>
          <w:color w:val="000000" w:themeColor="text1"/>
          <w:szCs w:val="18"/>
          <w:lang w:val="nl-NL"/>
        </w:rPr>
      </w:pPr>
    </w:p>
    <w:p w14:paraId="35FAB811" w14:textId="790583BC" w:rsidR="005462C2" w:rsidRPr="000B4AB2" w:rsidRDefault="006818AF"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Temporele werking</w:t>
      </w:r>
      <w:r w:rsidRPr="000B4AB2">
        <w:rPr>
          <w:color w:val="000000" w:themeColor="text1"/>
          <w:szCs w:val="18"/>
          <w:lang w:val="nl-NL"/>
        </w:rPr>
        <w:t xml:space="preserve">. </w:t>
      </w:r>
      <w:r w:rsidR="00AE155D" w:rsidRPr="000B4AB2">
        <w:rPr>
          <w:color w:val="000000" w:themeColor="text1"/>
          <w:szCs w:val="18"/>
          <w:lang w:val="nl-NL"/>
        </w:rPr>
        <w:t>In</w:t>
      </w:r>
      <w:r w:rsidRPr="000B4AB2">
        <w:rPr>
          <w:color w:val="000000" w:themeColor="text1"/>
          <w:szCs w:val="18"/>
          <w:lang w:val="nl-NL"/>
        </w:rPr>
        <w:t xml:space="preserve"> de rechtsleer </w:t>
      </w:r>
      <w:r w:rsidR="00AE155D" w:rsidRPr="000B4AB2">
        <w:rPr>
          <w:color w:val="000000" w:themeColor="text1"/>
          <w:szCs w:val="18"/>
          <w:lang w:val="nl-NL"/>
        </w:rPr>
        <w:t xml:space="preserve">wordt </w:t>
      </w:r>
      <w:r w:rsidR="00EF40B0" w:rsidRPr="000B4AB2">
        <w:rPr>
          <w:color w:val="000000" w:themeColor="text1"/>
          <w:szCs w:val="18"/>
          <w:lang w:val="nl-NL"/>
        </w:rPr>
        <w:t xml:space="preserve">herhaaldelijk </w:t>
      </w:r>
      <w:r w:rsidRPr="000B4AB2">
        <w:rPr>
          <w:color w:val="000000" w:themeColor="text1"/>
          <w:szCs w:val="18"/>
          <w:lang w:val="nl-NL"/>
        </w:rPr>
        <w:t xml:space="preserve">gesteld dat de definitie van toestemming een loutere codificatie </w:t>
      </w:r>
      <w:r w:rsidR="00AE155D" w:rsidRPr="000B4AB2">
        <w:rPr>
          <w:color w:val="000000" w:themeColor="text1"/>
          <w:szCs w:val="18"/>
          <w:lang w:val="nl-NL"/>
        </w:rPr>
        <w:t>uitmaakt</w:t>
      </w:r>
      <w:r w:rsidR="00EF40B0" w:rsidRPr="000B4AB2">
        <w:rPr>
          <w:color w:val="000000" w:themeColor="text1"/>
          <w:szCs w:val="18"/>
          <w:lang w:val="nl-NL"/>
        </w:rPr>
        <w:t>,</w:t>
      </w:r>
      <w:r w:rsidRPr="000B4AB2">
        <w:rPr>
          <w:color w:val="000000" w:themeColor="text1"/>
          <w:szCs w:val="18"/>
          <w:lang w:val="nl-NL"/>
        </w:rPr>
        <w:t xml:space="preserve"> zoals dit tevens reeds door de rechtspraak aanvaard werd </w:t>
      </w:r>
      <w:r w:rsidR="000D45CE" w:rsidRPr="000B4AB2">
        <w:rPr>
          <w:color w:val="000000" w:themeColor="text1"/>
          <w:szCs w:val="18"/>
          <w:lang w:val="nl-NL"/>
        </w:rPr>
        <w:t>onder het oude recht</w:t>
      </w:r>
      <w:r w:rsidR="00AE155D" w:rsidRPr="000B4AB2">
        <w:rPr>
          <w:rStyle w:val="FootnoteReference"/>
          <w:vertAlign w:val="baseline"/>
        </w:rPr>
        <w:t>.</w:t>
      </w:r>
      <w:r w:rsidR="00EF40B0" w:rsidRPr="000B4AB2">
        <w:rPr>
          <w:rStyle w:val="FootnoteReference"/>
          <w:color w:val="000000" w:themeColor="text1"/>
          <w:szCs w:val="18"/>
          <w:lang w:val="nl-NL"/>
        </w:rPr>
        <w:footnoteReference w:id="222"/>
      </w:r>
      <w:r w:rsidRPr="000B4AB2">
        <w:rPr>
          <w:color w:val="000000" w:themeColor="text1"/>
          <w:szCs w:val="18"/>
          <w:lang w:val="nl-NL"/>
        </w:rPr>
        <w:t xml:space="preserve"> </w:t>
      </w:r>
      <w:r w:rsidR="00AE155D" w:rsidRPr="000B4AB2">
        <w:rPr>
          <w:color w:val="000000" w:themeColor="text1"/>
          <w:szCs w:val="18"/>
          <w:lang w:val="nl-NL"/>
        </w:rPr>
        <w:t>Toch is</w:t>
      </w:r>
      <w:r w:rsidR="002570EE" w:rsidRPr="000B4AB2">
        <w:rPr>
          <w:color w:val="000000" w:themeColor="text1"/>
          <w:szCs w:val="18"/>
          <w:lang w:val="nl-NL"/>
        </w:rPr>
        <w:t xml:space="preserve"> dit </w:t>
      </w:r>
      <w:r w:rsidR="00C410C9">
        <w:rPr>
          <w:color w:val="000000" w:themeColor="text1"/>
          <w:szCs w:val="18"/>
          <w:lang w:val="nl-NL"/>
        </w:rPr>
        <w:t>m.i.</w:t>
      </w:r>
      <w:r w:rsidR="00C325DB" w:rsidRPr="000B4AB2">
        <w:rPr>
          <w:color w:val="000000" w:themeColor="text1"/>
          <w:szCs w:val="18"/>
          <w:lang w:val="nl-NL"/>
        </w:rPr>
        <w:t xml:space="preserve"> te</w:t>
      </w:r>
      <w:r w:rsidR="002570EE" w:rsidRPr="000B4AB2">
        <w:rPr>
          <w:color w:val="000000" w:themeColor="text1"/>
          <w:szCs w:val="18"/>
          <w:lang w:val="nl-NL"/>
        </w:rPr>
        <w:t xml:space="preserve"> </w:t>
      </w:r>
      <w:r w:rsidR="00C325DB" w:rsidRPr="000B4AB2">
        <w:rPr>
          <w:color w:val="000000" w:themeColor="text1"/>
          <w:szCs w:val="18"/>
          <w:lang w:val="nl-NL"/>
        </w:rPr>
        <w:t>ongenuanceerd</w:t>
      </w:r>
      <w:r w:rsidR="002570EE" w:rsidRPr="000B4AB2">
        <w:rPr>
          <w:color w:val="000000" w:themeColor="text1"/>
          <w:szCs w:val="18"/>
          <w:lang w:val="nl-NL"/>
        </w:rPr>
        <w:t xml:space="preserve"> </w:t>
      </w:r>
      <w:r w:rsidR="00425B83">
        <w:rPr>
          <w:color w:val="000000" w:themeColor="text1"/>
          <w:szCs w:val="18"/>
          <w:lang w:val="nl-NL"/>
        </w:rPr>
        <w:t>m.b.t.</w:t>
      </w:r>
      <w:r w:rsidR="002570EE" w:rsidRPr="000B4AB2">
        <w:rPr>
          <w:color w:val="000000" w:themeColor="text1"/>
          <w:szCs w:val="18"/>
          <w:lang w:val="nl-NL"/>
        </w:rPr>
        <w:t xml:space="preserve"> het misdrijf aantasting van de seksuele integriteit.</w:t>
      </w:r>
      <w:r w:rsidR="00AE155D" w:rsidRPr="000B4AB2">
        <w:rPr>
          <w:color w:val="000000" w:themeColor="text1"/>
          <w:szCs w:val="18"/>
          <w:lang w:val="nl-NL"/>
        </w:rPr>
        <w:t xml:space="preserve"> </w:t>
      </w:r>
      <w:r w:rsidR="002570EE" w:rsidRPr="000B4AB2">
        <w:rPr>
          <w:color w:val="000000" w:themeColor="text1"/>
          <w:szCs w:val="18"/>
          <w:lang w:val="nl-NL"/>
        </w:rPr>
        <w:t xml:space="preserve">Hoewel het </w:t>
      </w:r>
      <w:r w:rsidR="00AE155D" w:rsidRPr="000B4AB2">
        <w:rPr>
          <w:color w:val="000000" w:themeColor="text1"/>
          <w:szCs w:val="18"/>
          <w:lang w:val="nl-NL"/>
        </w:rPr>
        <w:t xml:space="preserve">voorgaande </w:t>
      </w:r>
      <w:r w:rsidR="00DD1428">
        <w:rPr>
          <w:color w:val="000000" w:themeColor="text1"/>
          <w:szCs w:val="18"/>
          <w:lang w:val="nl-NL"/>
        </w:rPr>
        <w:t>zou kunnen</w:t>
      </w:r>
      <w:r w:rsidR="002570EE" w:rsidRPr="000B4AB2">
        <w:rPr>
          <w:color w:val="000000" w:themeColor="text1"/>
          <w:szCs w:val="18"/>
          <w:lang w:val="nl-NL"/>
        </w:rPr>
        <w:t xml:space="preserve"> kloppen voor de </w:t>
      </w:r>
      <w:r w:rsidR="006A0B73" w:rsidRPr="000B4AB2">
        <w:rPr>
          <w:color w:val="000000" w:themeColor="text1"/>
          <w:szCs w:val="18"/>
          <w:lang w:val="nl-NL"/>
        </w:rPr>
        <w:t>zeden</w:t>
      </w:r>
      <w:r w:rsidR="002570EE" w:rsidRPr="000B4AB2">
        <w:rPr>
          <w:color w:val="000000" w:themeColor="text1"/>
          <w:szCs w:val="18"/>
          <w:lang w:val="nl-NL"/>
        </w:rPr>
        <w:t>misdrijven waar (het ontbreken van) toestemming ook reeds een centrale rol speelde in de oude strafbaarstelling,</w:t>
      </w:r>
      <w:r w:rsidR="00AE155D" w:rsidRPr="000B4AB2">
        <w:rPr>
          <w:color w:val="000000" w:themeColor="text1"/>
          <w:szCs w:val="18"/>
          <w:lang w:val="nl-NL"/>
        </w:rPr>
        <w:t xml:space="preserve"> </w:t>
      </w:r>
      <w:r w:rsidR="00425B83">
        <w:rPr>
          <w:color w:val="000000" w:themeColor="text1"/>
          <w:szCs w:val="18"/>
          <w:lang w:val="nl-NL"/>
        </w:rPr>
        <w:t>kan</w:t>
      </w:r>
      <w:r w:rsidR="00AE155D" w:rsidRPr="000B4AB2">
        <w:rPr>
          <w:color w:val="000000" w:themeColor="text1"/>
          <w:szCs w:val="18"/>
          <w:lang w:val="nl-NL"/>
        </w:rPr>
        <w:t xml:space="preserve"> dit </w:t>
      </w:r>
      <w:r w:rsidR="00C410C9">
        <w:rPr>
          <w:color w:val="000000" w:themeColor="text1"/>
          <w:szCs w:val="18"/>
          <w:lang w:val="nl-NL"/>
        </w:rPr>
        <w:t>m.i.</w:t>
      </w:r>
      <w:r w:rsidR="00AE155D" w:rsidRPr="000B4AB2">
        <w:rPr>
          <w:color w:val="000000" w:themeColor="text1"/>
          <w:szCs w:val="18"/>
          <w:lang w:val="nl-NL"/>
        </w:rPr>
        <w:t xml:space="preserve"> niet </w:t>
      </w:r>
      <w:r w:rsidR="00425B83">
        <w:rPr>
          <w:color w:val="000000" w:themeColor="text1"/>
          <w:szCs w:val="18"/>
          <w:lang w:val="nl-NL"/>
        </w:rPr>
        <w:t>met dezelfde zekerheid worden gesteld m.b.t.</w:t>
      </w:r>
      <w:r w:rsidR="00AE155D" w:rsidRPr="000B4AB2">
        <w:rPr>
          <w:color w:val="000000" w:themeColor="text1"/>
          <w:szCs w:val="18"/>
          <w:lang w:val="nl-NL"/>
        </w:rPr>
        <w:t xml:space="preserve"> aantasting van de seksuele integriteit. </w:t>
      </w:r>
    </w:p>
    <w:p w14:paraId="037617C7" w14:textId="77777777" w:rsidR="008131BE" w:rsidRPr="000B4AB2" w:rsidRDefault="008131BE" w:rsidP="00260F11">
      <w:pPr>
        <w:pStyle w:val="ListParagraph"/>
        <w:spacing w:line="360" w:lineRule="auto"/>
        <w:rPr>
          <w:color w:val="000000" w:themeColor="text1"/>
          <w:szCs w:val="18"/>
          <w:highlight w:val="yellow"/>
          <w:lang w:val="nl-NL"/>
        </w:rPr>
      </w:pPr>
    </w:p>
    <w:p w14:paraId="4C76C526" w14:textId="2788FBFD" w:rsidR="008131BE" w:rsidRPr="000B4AB2" w:rsidRDefault="008131BE" w:rsidP="00260F11">
      <w:pPr>
        <w:pStyle w:val="ListParagraph"/>
        <w:spacing w:line="360" w:lineRule="auto"/>
        <w:ind w:left="0"/>
        <w:rPr>
          <w:color w:val="000000" w:themeColor="text1"/>
          <w:szCs w:val="18"/>
          <w:highlight w:val="yellow"/>
          <w:lang w:val="nl-NL"/>
        </w:rPr>
      </w:pPr>
      <w:r w:rsidRPr="000B4AB2">
        <w:rPr>
          <w:color w:val="000000" w:themeColor="text1"/>
          <w:szCs w:val="18"/>
          <w:lang w:val="nl-NL"/>
        </w:rPr>
        <w:t xml:space="preserve">Voor de temporele werking van de definitie van toestemming kan </w:t>
      </w:r>
      <w:r w:rsidR="00425B83">
        <w:rPr>
          <w:color w:val="000000" w:themeColor="text1"/>
          <w:szCs w:val="18"/>
          <w:lang w:val="nl-NL"/>
        </w:rPr>
        <w:t>m.b.t.</w:t>
      </w:r>
      <w:r w:rsidRPr="000B4AB2">
        <w:rPr>
          <w:color w:val="000000" w:themeColor="text1"/>
          <w:szCs w:val="18"/>
          <w:lang w:val="nl-NL"/>
        </w:rPr>
        <w:t xml:space="preserve"> aantasting van de seksuele integriteit worden verwezen naar </w:t>
      </w:r>
      <w:r w:rsidR="00425B83">
        <w:rPr>
          <w:color w:val="000000" w:themeColor="text1"/>
          <w:szCs w:val="18"/>
          <w:lang w:val="nl-NL"/>
        </w:rPr>
        <w:t>de uiteenzetting van de temporele werking van het constitutief bestanddeel van de afwezige toestemming van het slachtoffer.</w:t>
      </w:r>
      <w:r w:rsidR="00425B83">
        <w:rPr>
          <w:rStyle w:val="FootnoteReference"/>
          <w:color w:val="000000" w:themeColor="text1"/>
          <w:szCs w:val="18"/>
          <w:lang w:val="nl-NL"/>
        </w:rPr>
        <w:footnoteReference w:id="223"/>
      </w:r>
    </w:p>
    <w:p w14:paraId="2E9D3A0C" w14:textId="60C8BB32" w:rsidR="009B38E3" w:rsidRPr="000B4AB2" w:rsidRDefault="00E17C29" w:rsidP="00260F11">
      <w:pPr>
        <w:spacing w:line="360" w:lineRule="auto"/>
        <w:rPr>
          <w:color w:val="000000" w:themeColor="text1"/>
          <w:szCs w:val="18"/>
          <w:lang w:val="nl-NL"/>
        </w:rPr>
      </w:pPr>
      <w:r>
        <w:rPr>
          <w:color w:val="000000" w:themeColor="text1"/>
          <w:szCs w:val="18"/>
          <w:lang w:val="nl-NL"/>
        </w:rPr>
        <w:br w:type="page"/>
      </w:r>
    </w:p>
    <w:p w14:paraId="2CD4D017" w14:textId="2529A0DD" w:rsidR="009F5025" w:rsidRPr="000B4AB2" w:rsidRDefault="0057289A" w:rsidP="00260F11">
      <w:pPr>
        <w:pStyle w:val="Heading5"/>
        <w:spacing w:line="360" w:lineRule="auto"/>
        <w:rPr>
          <w:szCs w:val="18"/>
          <w:lang w:val="nl-NL"/>
        </w:rPr>
      </w:pPr>
      <w:bookmarkStart w:id="23" w:name="_Toc135041054"/>
      <w:r w:rsidRPr="000B4AB2">
        <w:rPr>
          <w:szCs w:val="18"/>
          <w:lang w:val="nl-NL"/>
        </w:rPr>
        <w:lastRenderedPageBreak/>
        <w:t>M</w:t>
      </w:r>
      <w:r w:rsidR="009F5025" w:rsidRPr="000B4AB2">
        <w:rPr>
          <w:szCs w:val="18"/>
          <w:lang w:val="nl-NL"/>
        </w:rPr>
        <w:t>oreel bestanddeel</w:t>
      </w:r>
      <w:bookmarkEnd w:id="23"/>
    </w:p>
    <w:p w14:paraId="0FCA5996" w14:textId="60DB7B79" w:rsidR="009F5025" w:rsidRPr="000B4AB2" w:rsidRDefault="009F5025" w:rsidP="00260F11">
      <w:pPr>
        <w:spacing w:line="360" w:lineRule="auto"/>
        <w:rPr>
          <w:szCs w:val="18"/>
          <w:lang w:val="nl-NL"/>
        </w:rPr>
      </w:pPr>
    </w:p>
    <w:p w14:paraId="325AA13E" w14:textId="4410C466" w:rsidR="009F5025" w:rsidRPr="00E17C29" w:rsidRDefault="006A0B73"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Pr="000B4AB2">
        <w:rPr>
          <w:color w:val="000000" w:themeColor="text1"/>
          <w:szCs w:val="18"/>
          <w:lang w:val="nl-NL"/>
        </w:rPr>
        <w:t xml:space="preserve">. </w:t>
      </w:r>
      <w:r w:rsidR="009F5025" w:rsidRPr="000B4AB2">
        <w:rPr>
          <w:color w:val="000000" w:themeColor="text1"/>
          <w:szCs w:val="18"/>
          <w:lang w:val="nl-NL"/>
        </w:rPr>
        <w:t xml:space="preserve">Het moreel bestanddeel </w:t>
      </w:r>
      <w:r w:rsidR="005A6BF5" w:rsidRPr="000B4AB2">
        <w:rPr>
          <w:color w:val="000000" w:themeColor="text1"/>
          <w:szCs w:val="18"/>
          <w:lang w:val="nl-NL"/>
        </w:rPr>
        <w:t>bleef</w:t>
      </w:r>
      <w:r w:rsidR="009F5025" w:rsidRPr="000B4AB2">
        <w:rPr>
          <w:color w:val="000000" w:themeColor="text1"/>
          <w:szCs w:val="18"/>
          <w:lang w:val="nl-NL"/>
        </w:rPr>
        <w:t xml:space="preserve"> </w:t>
      </w:r>
      <w:r w:rsidR="005A6BF5" w:rsidRPr="000B4AB2">
        <w:rPr>
          <w:color w:val="000000" w:themeColor="text1"/>
          <w:szCs w:val="18"/>
          <w:lang w:val="nl-NL"/>
        </w:rPr>
        <w:t>on</w:t>
      </w:r>
      <w:r w:rsidR="009F5025" w:rsidRPr="000B4AB2">
        <w:rPr>
          <w:color w:val="000000" w:themeColor="text1"/>
          <w:szCs w:val="18"/>
          <w:lang w:val="nl-NL"/>
        </w:rPr>
        <w:t>gewijzigd</w:t>
      </w:r>
      <w:r w:rsidR="004F48D1">
        <w:rPr>
          <w:rStyle w:val="FootnoteReference"/>
          <w:color w:val="000000" w:themeColor="text1"/>
          <w:szCs w:val="18"/>
          <w:lang w:val="nl-NL"/>
        </w:rPr>
        <w:footnoteReference w:id="224"/>
      </w:r>
      <w:r w:rsidR="005A6BF5" w:rsidRPr="000B4AB2">
        <w:rPr>
          <w:color w:val="000000" w:themeColor="text1"/>
          <w:szCs w:val="18"/>
          <w:lang w:val="nl-NL"/>
        </w:rPr>
        <w:t xml:space="preserve"> </w:t>
      </w:r>
      <w:r w:rsidR="009F5025" w:rsidRPr="000B4AB2">
        <w:rPr>
          <w:color w:val="000000" w:themeColor="text1"/>
          <w:szCs w:val="18"/>
          <w:lang w:val="nl-NL"/>
        </w:rPr>
        <w:t>zodat het volgende schema voor zowel het oude als het nieuwe misdrijf geldt.</w:t>
      </w:r>
    </w:p>
    <w:p w14:paraId="5F1CC2B2" w14:textId="77494935" w:rsidR="009F5025" w:rsidRPr="000B4AB2" w:rsidRDefault="009F5025" w:rsidP="00260F11">
      <w:pPr>
        <w:spacing w:line="360" w:lineRule="auto"/>
        <w:rPr>
          <w:szCs w:val="18"/>
          <w:lang w:val="nl-NL"/>
        </w:rPr>
      </w:pPr>
    </w:p>
    <w:tbl>
      <w:tblPr>
        <w:tblStyle w:val="GridTable4-Accent3"/>
        <w:tblW w:w="0" w:type="auto"/>
        <w:tblLook w:val="04A0" w:firstRow="1" w:lastRow="0" w:firstColumn="1" w:lastColumn="0" w:noHBand="0" w:noVBand="1"/>
      </w:tblPr>
      <w:tblGrid>
        <w:gridCol w:w="4531"/>
        <w:gridCol w:w="4531"/>
      </w:tblGrid>
      <w:tr w:rsidR="009F5025" w:rsidRPr="000B4AB2" w14:paraId="11AAC538" w14:textId="77777777" w:rsidTr="000340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501D5DF8" w14:textId="77777777" w:rsidR="009F5025" w:rsidRPr="000B4AB2" w:rsidRDefault="009F5025" w:rsidP="00260F11">
            <w:pPr>
              <w:spacing w:line="360" w:lineRule="auto"/>
              <w:rPr>
                <w:b w:val="0"/>
                <w:bCs w:val="0"/>
                <w:color w:val="000000" w:themeColor="text1"/>
                <w:szCs w:val="18"/>
                <w:lang w:val="nl-NL"/>
              </w:rPr>
            </w:pPr>
            <w:r w:rsidRPr="000B4AB2">
              <w:rPr>
                <w:color w:val="000000" w:themeColor="text1"/>
                <w:szCs w:val="18"/>
                <w:lang w:val="nl-NL"/>
              </w:rPr>
              <w:t>Moreel bestanddeel…</w:t>
            </w:r>
          </w:p>
        </w:tc>
      </w:tr>
      <w:tr w:rsidR="009F5025" w:rsidRPr="000B4AB2" w14:paraId="17E31FD1" w14:textId="77777777" w:rsidTr="000340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F5CABD1" w14:textId="16618FAA" w:rsidR="009F5025" w:rsidRPr="00844F4D" w:rsidRDefault="009F5025" w:rsidP="00260F11">
            <w:pPr>
              <w:spacing w:line="360" w:lineRule="auto"/>
              <w:rPr>
                <w:bCs w:val="0"/>
                <w:i/>
                <w:color w:val="000000" w:themeColor="text1"/>
                <w:szCs w:val="18"/>
                <w:lang w:val="nl-NL"/>
              </w:rPr>
            </w:pPr>
            <w:r w:rsidRPr="000B4AB2">
              <w:rPr>
                <w:color w:val="000000" w:themeColor="text1"/>
                <w:szCs w:val="18"/>
                <w:lang w:val="nl-NL"/>
              </w:rPr>
              <w:t>… m.b.t. de materiële gedraging</w:t>
            </w:r>
            <w:r w:rsidR="00844F4D">
              <w:rPr>
                <w:color w:val="000000" w:themeColor="text1"/>
                <w:szCs w:val="18"/>
                <w:lang w:val="nl-NL"/>
              </w:rPr>
              <w:t xml:space="preserve"> </w:t>
            </w:r>
            <w:r w:rsidR="00844F4D">
              <w:rPr>
                <w:i/>
                <w:color w:val="000000" w:themeColor="text1"/>
                <w:szCs w:val="18"/>
                <w:lang w:val="nl-NL"/>
              </w:rPr>
              <w:t>sensu lato</w:t>
            </w:r>
          </w:p>
          <w:p w14:paraId="01384CCB" w14:textId="77777777" w:rsidR="009F5025" w:rsidRPr="000B4AB2" w:rsidRDefault="009F5025" w:rsidP="00260F11">
            <w:pPr>
              <w:spacing w:line="360" w:lineRule="auto"/>
              <w:rPr>
                <w:b w:val="0"/>
                <w:bCs w:val="0"/>
                <w:color w:val="000000" w:themeColor="text1"/>
                <w:szCs w:val="18"/>
                <w:lang w:val="nl-NL"/>
              </w:rPr>
            </w:pPr>
          </w:p>
        </w:tc>
        <w:tc>
          <w:tcPr>
            <w:tcW w:w="4531" w:type="dxa"/>
          </w:tcPr>
          <w:p w14:paraId="67E6AF62" w14:textId="7395FDEC" w:rsidR="009F5025" w:rsidRPr="000B4AB2" w:rsidRDefault="009F5025"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lang w:val="nl-NL"/>
              </w:rPr>
            </w:pPr>
            <w:r w:rsidRPr="000B4AB2">
              <w:rPr>
                <w:b/>
                <w:color w:val="000000" w:themeColor="text1"/>
                <w:szCs w:val="18"/>
                <w:lang w:val="nl-NL"/>
              </w:rPr>
              <w:t>… m.b.t. de minderjarige leeftijd van het slachtoffer als constitutief bestanddeel</w:t>
            </w:r>
          </w:p>
        </w:tc>
      </w:tr>
      <w:tr w:rsidR="009F5025" w:rsidRPr="00425B83" w14:paraId="4C9D3F8F" w14:textId="77777777" w:rsidTr="0003400A">
        <w:tc>
          <w:tcPr>
            <w:cnfStyle w:val="001000000000" w:firstRow="0" w:lastRow="0" w:firstColumn="1" w:lastColumn="0" w:oddVBand="0" w:evenVBand="0" w:oddHBand="0" w:evenHBand="0" w:firstRowFirstColumn="0" w:firstRowLastColumn="0" w:lastRowFirstColumn="0" w:lastRowLastColumn="0"/>
            <w:tcW w:w="4531" w:type="dxa"/>
          </w:tcPr>
          <w:p w14:paraId="7F48525D" w14:textId="77777777" w:rsidR="009F5025" w:rsidRPr="00425B83" w:rsidRDefault="009F5025" w:rsidP="00260F11">
            <w:pPr>
              <w:spacing w:line="360" w:lineRule="auto"/>
              <w:rPr>
                <w:color w:val="000000" w:themeColor="text1"/>
                <w:szCs w:val="18"/>
                <w:lang w:val="nl-NL"/>
              </w:rPr>
            </w:pPr>
            <w:r w:rsidRPr="00425B83">
              <w:rPr>
                <w:bCs w:val="0"/>
                <w:color w:val="000000" w:themeColor="text1"/>
                <w:szCs w:val="18"/>
                <w:lang w:val="nl-NL"/>
              </w:rPr>
              <w:t>Algemeen opzet:</w:t>
            </w:r>
          </w:p>
          <w:p w14:paraId="148CB7E4" w14:textId="3322985A" w:rsidR="009F5025" w:rsidRPr="00425B83" w:rsidRDefault="009F5025" w:rsidP="00260F11">
            <w:pPr>
              <w:pStyle w:val="ListParagraph"/>
              <w:numPr>
                <w:ilvl w:val="0"/>
                <w:numId w:val="11"/>
              </w:numPr>
              <w:spacing w:line="360" w:lineRule="auto"/>
              <w:ind w:left="319" w:hanging="284"/>
              <w:rPr>
                <w:b w:val="0"/>
                <w:color w:val="000000" w:themeColor="text1"/>
                <w:szCs w:val="18"/>
                <w:lang w:val="nl-NL"/>
              </w:rPr>
            </w:pPr>
            <w:r w:rsidRPr="00425B83">
              <w:rPr>
                <w:b w:val="0"/>
                <w:color w:val="000000" w:themeColor="text1"/>
                <w:szCs w:val="18"/>
                <w:lang w:val="nl-NL"/>
              </w:rPr>
              <w:t>Wetens: weten dat handelingen “immoreel of obsceen” zijn</w:t>
            </w:r>
          </w:p>
          <w:p w14:paraId="5B2E6100" w14:textId="513B8624" w:rsidR="009F5025" w:rsidRPr="00425B83" w:rsidRDefault="009F5025" w:rsidP="00260F11">
            <w:pPr>
              <w:pStyle w:val="ListParagraph"/>
              <w:numPr>
                <w:ilvl w:val="0"/>
                <w:numId w:val="11"/>
              </w:numPr>
              <w:spacing w:line="360" w:lineRule="auto"/>
              <w:ind w:left="319" w:hanging="284"/>
              <w:rPr>
                <w:b w:val="0"/>
                <w:color w:val="000000" w:themeColor="text1"/>
                <w:szCs w:val="18"/>
                <w:lang w:val="nl-NL"/>
              </w:rPr>
            </w:pPr>
            <w:r w:rsidRPr="00425B83">
              <w:rPr>
                <w:b w:val="0"/>
                <w:color w:val="000000" w:themeColor="text1"/>
                <w:szCs w:val="18"/>
                <w:lang w:val="nl-NL"/>
              </w:rPr>
              <w:t>Willens: desondanks toch dergelijke gedragingen willen stellen</w:t>
            </w:r>
          </w:p>
        </w:tc>
        <w:tc>
          <w:tcPr>
            <w:tcW w:w="4531" w:type="dxa"/>
          </w:tcPr>
          <w:p w14:paraId="0B7103A4" w14:textId="3046E9A5" w:rsidR="009F5025" w:rsidRPr="00425B83" w:rsidRDefault="009F5025"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425B83">
              <w:rPr>
                <w:color w:val="000000" w:themeColor="text1"/>
                <w:szCs w:val="18"/>
                <w:lang w:val="nl-NL"/>
              </w:rPr>
              <w:t>(Academische) discussie:</w:t>
            </w:r>
          </w:p>
          <w:p w14:paraId="09A57330" w14:textId="77777777" w:rsidR="009F5025" w:rsidRPr="00425B83" w:rsidRDefault="009F5025" w:rsidP="00260F11">
            <w:pPr>
              <w:pStyle w:val="ListParagraph"/>
              <w:numPr>
                <w:ilvl w:val="0"/>
                <w:numId w:val="11"/>
              </w:numPr>
              <w:spacing w:line="360" w:lineRule="auto"/>
              <w:ind w:left="319" w:hanging="284"/>
              <w:cnfStyle w:val="000000000000" w:firstRow="0" w:lastRow="0" w:firstColumn="0" w:lastColumn="0" w:oddVBand="0" w:evenVBand="0" w:oddHBand="0" w:evenHBand="0" w:firstRowFirstColumn="0" w:firstRowLastColumn="0" w:lastRowFirstColumn="0" w:lastRowLastColumn="0"/>
              <w:rPr>
                <w:b/>
                <w:bCs/>
                <w:color w:val="000000" w:themeColor="text1"/>
                <w:szCs w:val="18"/>
                <w:lang w:val="nl-NL"/>
              </w:rPr>
            </w:pPr>
            <w:r w:rsidRPr="00425B83">
              <w:rPr>
                <w:b/>
                <w:bCs/>
                <w:color w:val="000000" w:themeColor="text1"/>
                <w:szCs w:val="18"/>
                <w:lang w:val="nl-NL"/>
              </w:rPr>
              <w:t>Meerderheidsvisie: Algemeen opzet</w:t>
            </w:r>
          </w:p>
          <w:p w14:paraId="2B40AC4A" w14:textId="77777777" w:rsidR="009F5025" w:rsidRPr="00425B83" w:rsidRDefault="009F5025"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Wetens en willens</w:t>
            </w:r>
          </w:p>
          <w:p w14:paraId="6B1E6108" w14:textId="52EB9792" w:rsidR="009F5025" w:rsidRPr="00425B83" w:rsidRDefault="009F5025"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Indien subjectieve delictstypiciteit vaststaat, kijken of in hoofde van dader sprake was van onoverkomelijke, feitelijke dwaling.</w:t>
            </w:r>
          </w:p>
          <w:p w14:paraId="077D5B0F" w14:textId="77777777" w:rsidR="009F5025" w:rsidRPr="00425B83" w:rsidRDefault="009F5025" w:rsidP="00260F11">
            <w:pPr>
              <w:pStyle w:val="ListParagraph"/>
              <w:numPr>
                <w:ilvl w:val="2"/>
                <w:numId w:val="11"/>
              </w:numPr>
              <w:spacing w:line="360" w:lineRule="auto"/>
              <w:ind w:left="879" w:hanging="284"/>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Beoordelingscriterium: NVR-persoon</w:t>
            </w:r>
          </w:p>
          <w:p w14:paraId="6F1AF855" w14:textId="77777777" w:rsidR="009F5025" w:rsidRPr="00425B83" w:rsidRDefault="009F5025" w:rsidP="00260F11">
            <w:pPr>
              <w:pStyle w:val="ListParagraph"/>
              <w:numPr>
                <w:ilvl w:val="2"/>
                <w:numId w:val="11"/>
              </w:numPr>
              <w:spacing w:line="360" w:lineRule="auto"/>
              <w:ind w:left="879" w:hanging="284"/>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Streng beoordeeld</w:t>
            </w:r>
          </w:p>
          <w:p w14:paraId="78B5C352" w14:textId="77777777" w:rsidR="009F5025" w:rsidRPr="00425B83" w:rsidRDefault="009F5025"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70131719" w14:textId="77777777" w:rsidR="009F5025" w:rsidRPr="00425B83" w:rsidRDefault="009F5025" w:rsidP="00260F11">
            <w:pPr>
              <w:pStyle w:val="ListParagraph"/>
              <w:numPr>
                <w:ilvl w:val="0"/>
                <w:numId w:val="11"/>
              </w:numPr>
              <w:spacing w:line="360" w:lineRule="auto"/>
              <w:ind w:left="319" w:hanging="284"/>
              <w:cnfStyle w:val="000000000000" w:firstRow="0" w:lastRow="0" w:firstColumn="0" w:lastColumn="0" w:oddVBand="0" w:evenVBand="0" w:oddHBand="0" w:evenHBand="0" w:firstRowFirstColumn="0" w:firstRowLastColumn="0" w:lastRowFirstColumn="0" w:lastRowLastColumn="0"/>
              <w:rPr>
                <w:b/>
                <w:bCs/>
                <w:color w:val="000000" w:themeColor="text1"/>
                <w:szCs w:val="18"/>
                <w:lang w:val="nl-NL"/>
              </w:rPr>
            </w:pPr>
            <w:r w:rsidRPr="00425B83">
              <w:rPr>
                <w:b/>
                <w:bCs/>
                <w:color w:val="000000" w:themeColor="text1"/>
                <w:szCs w:val="18"/>
                <w:lang w:val="nl-NL"/>
              </w:rPr>
              <w:t>SPRIET: Onachtzaamheid</w:t>
            </w:r>
          </w:p>
          <w:p w14:paraId="276A1318" w14:textId="77777777" w:rsidR="009F5025" w:rsidRPr="00425B83" w:rsidRDefault="009F5025"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Beoordelingscriterium: NVR-persoon</w:t>
            </w:r>
          </w:p>
          <w:p w14:paraId="2B6B40AF" w14:textId="77777777" w:rsidR="009F5025" w:rsidRPr="00425B83" w:rsidRDefault="009F5025"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Streng beoordeeld</w:t>
            </w:r>
          </w:p>
        </w:tc>
      </w:tr>
    </w:tbl>
    <w:p w14:paraId="518A6872" w14:textId="442DF916" w:rsidR="009F5025" w:rsidRPr="000B4AB2" w:rsidRDefault="009F5025" w:rsidP="00260F11">
      <w:pPr>
        <w:spacing w:line="360" w:lineRule="auto"/>
        <w:rPr>
          <w:szCs w:val="18"/>
          <w:lang w:val="nl-NL"/>
        </w:rPr>
      </w:pPr>
    </w:p>
    <w:p w14:paraId="0A651551" w14:textId="77777777" w:rsidR="00815FDD" w:rsidRDefault="006A0B73"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Temporele werking</w:t>
      </w:r>
      <w:r w:rsidRPr="000B4AB2">
        <w:rPr>
          <w:color w:val="000000" w:themeColor="text1"/>
          <w:szCs w:val="18"/>
          <w:lang w:val="nl-NL"/>
        </w:rPr>
        <w:t xml:space="preserve">. </w:t>
      </w:r>
      <w:r w:rsidR="00893BC8" w:rsidRPr="000B4AB2">
        <w:rPr>
          <w:color w:val="000000" w:themeColor="text1"/>
          <w:szCs w:val="18"/>
          <w:lang w:val="nl-NL"/>
        </w:rPr>
        <w:t>Gelet op</w:t>
      </w:r>
      <w:r w:rsidRPr="000B4AB2">
        <w:rPr>
          <w:color w:val="000000" w:themeColor="text1"/>
          <w:szCs w:val="18"/>
          <w:lang w:val="nl-NL"/>
        </w:rPr>
        <w:t xml:space="preserve"> het gebrek aan inhoudelijk verschil tussen beide strafbaarstellingen </w:t>
      </w:r>
      <w:r w:rsidR="00385577">
        <w:rPr>
          <w:color w:val="000000" w:themeColor="text1"/>
          <w:szCs w:val="18"/>
          <w:lang w:val="nl-NL"/>
        </w:rPr>
        <w:t>m.b.t.</w:t>
      </w:r>
      <w:r w:rsidRPr="000B4AB2">
        <w:rPr>
          <w:color w:val="000000" w:themeColor="text1"/>
          <w:szCs w:val="18"/>
          <w:lang w:val="nl-NL"/>
        </w:rPr>
        <w:t xml:space="preserve"> het moreel bestanddeel</w:t>
      </w:r>
      <w:r w:rsidR="00DE6ED3" w:rsidRPr="000B4AB2">
        <w:rPr>
          <w:color w:val="000000" w:themeColor="text1"/>
          <w:szCs w:val="18"/>
          <w:lang w:val="nl-NL"/>
        </w:rPr>
        <w:t>,</w:t>
      </w:r>
      <w:r w:rsidRPr="000B4AB2">
        <w:rPr>
          <w:color w:val="000000" w:themeColor="text1"/>
          <w:szCs w:val="18"/>
          <w:lang w:val="nl-NL"/>
        </w:rPr>
        <w:t xml:space="preserve"> kan </w:t>
      </w:r>
      <w:r w:rsidR="00893BC8" w:rsidRPr="000B4AB2">
        <w:rPr>
          <w:color w:val="000000" w:themeColor="text1"/>
          <w:szCs w:val="18"/>
          <w:lang w:val="nl-NL"/>
        </w:rPr>
        <w:t>dit constitutief bestanddeel</w:t>
      </w:r>
      <w:r w:rsidR="00385577">
        <w:rPr>
          <w:color w:val="000000" w:themeColor="text1"/>
          <w:szCs w:val="18"/>
          <w:lang w:val="nl-NL"/>
        </w:rPr>
        <w:t xml:space="preserve"> retroactief</w:t>
      </w:r>
      <w:r w:rsidRPr="000B4AB2">
        <w:rPr>
          <w:color w:val="000000" w:themeColor="text1"/>
          <w:szCs w:val="18"/>
          <w:lang w:val="nl-NL"/>
        </w:rPr>
        <w:t xml:space="preserve"> worden </w:t>
      </w:r>
      <w:r w:rsidR="00DE6ED3" w:rsidRPr="000B4AB2">
        <w:rPr>
          <w:color w:val="000000" w:themeColor="text1"/>
          <w:szCs w:val="18"/>
          <w:lang w:val="nl-NL"/>
        </w:rPr>
        <w:t>toegepast.</w:t>
      </w:r>
    </w:p>
    <w:p w14:paraId="5F188BA3" w14:textId="1A96130A" w:rsidR="00915236" w:rsidRPr="000B4AB2" w:rsidRDefault="00B43D21" w:rsidP="00260F11">
      <w:pPr>
        <w:pStyle w:val="ListParagraph"/>
        <w:numPr>
          <w:ilvl w:val="0"/>
          <w:numId w:val="1"/>
        </w:numPr>
        <w:spacing w:line="360" w:lineRule="auto"/>
        <w:ind w:left="0" w:hanging="709"/>
        <w:rPr>
          <w:color w:val="000000" w:themeColor="text1"/>
          <w:szCs w:val="18"/>
          <w:lang w:val="nl-NL"/>
        </w:rPr>
      </w:pPr>
      <w:r w:rsidRPr="000B4AB2">
        <w:rPr>
          <w:szCs w:val="18"/>
          <w:highlight w:val="red"/>
          <w:lang w:val="nl-NL"/>
        </w:rPr>
        <w:br w:type="page"/>
      </w:r>
    </w:p>
    <w:p w14:paraId="4157F576" w14:textId="77777777" w:rsidR="00A17622" w:rsidRPr="000B4AB2" w:rsidRDefault="00853F85" w:rsidP="00260F11">
      <w:pPr>
        <w:pStyle w:val="Heading3"/>
        <w:spacing w:line="360" w:lineRule="auto"/>
        <w:rPr>
          <w:szCs w:val="18"/>
          <w:lang w:val="nl-NL"/>
        </w:rPr>
      </w:pPr>
      <w:bookmarkStart w:id="24" w:name="_Toc135041055"/>
      <w:r w:rsidRPr="000B4AB2">
        <w:rPr>
          <w:szCs w:val="18"/>
          <w:lang w:val="nl-NL"/>
        </w:rPr>
        <w:lastRenderedPageBreak/>
        <w:t>Verkrachting</w:t>
      </w:r>
      <w:bookmarkEnd w:id="24"/>
    </w:p>
    <w:p w14:paraId="66708908" w14:textId="0A3D2F9E" w:rsidR="00662C47" w:rsidRPr="000B4AB2" w:rsidRDefault="00712B9D" w:rsidP="00260F11">
      <w:pPr>
        <w:pStyle w:val="Heading4"/>
        <w:spacing w:line="360" w:lineRule="auto"/>
        <w:rPr>
          <w:szCs w:val="18"/>
          <w:lang w:val="nl-NL"/>
        </w:rPr>
      </w:pPr>
      <w:bookmarkStart w:id="25" w:name="_Toc135041056"/>
      <w:r w:rsidRPr="000B4AB2">
        <w:rPr>
          <w:szCs w:val="18"/>
          <w:lang w:val="nl-NL"/>
        </w:rPr>
        <w:t>Verkrachting</w:t>
      </w:r>
      <w:r w:rsidR="00CA766A" w:rsidRPr="000B4AB2">
        <w:rPr>
          <w:szCs w:val="18"/>
          <w:lang w:val="nl-NL"/>
        </w:rPr>
        <w:t xml:space="preserve"> </w:t>
      </w:r>
      <w:r w:rsidR="001106D3" w:rsidRPr="000B4AB2">
        <w:rPr>
          <w:szCs w:val="18"/>
          <w:lang w:val="nl-NL"/>
        </w:rPr>
        <w:t>(</w:t>
      </w:r>
      <w:r w:rsidRPr="000B4AB2">
        <w:rPr>
          <w:szCs w:val="18"/>
          <w:lang w:val="nl-NL"/>
        </w:rPr>
        <w:t>o</w:t>
      </w:r>
      <w:r w:rsidR="00662C47" w:rsidRPr="000B4AB2">
        <w:rPr>
          <w:szCs w:val="18"/>
          <w:lang w:val="nl-NL"/>
        </w:rPr>
        <w:t>ud recht</w:t>
      </w:r>
      <w:r w:rsidR="001106D3" w:rsidRPr="000B4AB2">
        <w:rPr>
          <w:szCs w:val="18"/>
          <w:lang w:val="nl-NL"/>
        </w:rPr>
        <w:t>)</w:t>
      </w:r>
      <w:bookmarkEnd w:id="25"/>
    </w:p>
    <w:p w14:paraId="0645D798" w14:textId="77777777" w:rsidR="00662C47" w:rsidRPr="000B4AB2" w:rsidRDefault="00662C47" w:rsidP="00260F11">
      <w:pPr>
        <w:spacing w:line="360" w:lineRule="auto"/>
        <w:rPr>
          <w:color w:val="000000" w:themeColor="text1"/>
          <w:szCs w:val="18"/>
          <w:lang w:val="nl-NL"/>
        </w:rPr>
      </w:pPr>
    </w:p>
    <w:p w14:paraId="440AD86A" w14:textId="1E051D13" w:rsidR="00A55F06" w:rsidRDefault="00A55F06"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In </w:t>
      </w:r>
      <w:r w:rsidR="004E0F9F">
        <w:rPr>
          <w:color w:val="000000" w:themeColor="text1"/>
          <w:szCs w:val="18"/>
          <w:lang w:val="nl-NL"/>
        </w:rPr>
        <w:t>wat volgt,</w:t>
      </w:r>
      <w:r>
        <w:rPr>
          <w:color w:val="000000" w:themeColor="text1"/>
          <w:szCs w:val="18"/>
          <w:lang w:val="nl-NL"/>
        </w:rPr>
        <w:t xml:space="preserve"> wordt een deelantwoord geformuleerd op de eerste subonderzoeksvraag.</w:t>
      </w:r>
      <w:r w:rsidR="00DD6B2E">
        <w:rPr>
          <w:rStyle w:val="FootnoteReference"/>
          <w:color w:val="000000" w:themeColor="text1"/>
          <w:szCs w:val="18"/>
          <w:lang w:val="nl-NL"/>
        </w:rPr>
        <w:footnoteReference w:id="225"/>
      </w:r>
      <w:r>
        <w:rPr>
          <w:color w:val="000000" w:themeColor="text1"/>
          <w:szCs w:val="18"/>
          <w:lang w:val="nl-NL"/>
        </w:rPr>
        <w:t xml:space="preserve"> Met name </w:t>
      </w:r>
      <w:r w:rsidR="00FD1616">
        <w:rPr>
          <w:color w:val="000000" w:themeColor="text1"/>
          <w:szCs w:val="18"/>
          <w:lang w:val="nl-NL"/>
        </w:rPr>
        <w:t>zal worden</w:t>
      </w:r>
      <w:r>
        <w:rPr>
          <w:color w:val="000000" w:themeColor="text1"/>
          <w:szCs w:val="18"/>
          <w:lang w:val="nl-NL"/>
        </w:rPr>
        <w:t xml:space="preserve"> nagegaan wat de constitutieve bestanddelen van de oude strafbaarstelling van verkrachting zijn.</w:t>
      </w:r>
    </w:p>
    <w:p w14:paraId="09F2D610" w14:textId="77777777" w:rsidR="00A55F06" w:rsidRPr="00A55F06" w:rsidRDefault="00A55F06" w:rsidP="00260F11">
      <w:pPr>
        <w:pStyle w:val="ListParagraph"/>
        <w:spacing w:line="360" w:lineRule="auto"/>
        <w:ind w:left="0"/>
        <w:rPr>
          <w:color w:val="000000" w:themeColor="text1"/>
          <w:szCs w:val="18"/>
          <w:lang w:val="nl-NL"/>
        </w:rPr>
      </w:pPr>
    </w:p>
    <w:p w14:paraId="0721CF93" w14:textId="08812708" w:rsidR="00370BD4" w:rsidRPr="000B4AB2" w:rsidRDefault="00AD2DCC" w:rsidP="00260F11">
      <w:pPr>
        <w:pStyle w:val="ListParagraph"/>
        <w:numPr>
          <w:ilvl w:val="0"/>
          <w:numId w:val="1"/>
        </w:numPr>
        <w:spacing w:line="360" w:lineRule="auto"/>
        <w:ind w:left="0" w:hanging="709"/>
        <w:rPr>
          <w:i/>
          <w:color w:val="000000" w:themeColor="text1"/>
          <w:szCs w:val="18"/>
          <w:lang w:val="nl-NL"/>
        </w:rPr>
      </w:pPr>
      <w:r w:rsidRPr="000B4AB2">
        <w:rPr>
          <w:szCs w:val="18"/>
          <w:lang w:val="nl-NL"/>
        </w:rPr>
        <w:t xml:space="preserve">Artikel 375 </w:t>
      </w:r>
      <w:r w:rsidR="0081584B">
        <w:rPr>
          <w:szCs w:val="18"/>
          <w:lang w:val="nl-NL"/>
        </w:rPr>
        <w:t xml:space="preserve">van het </w:t>
      </w:r>
      <w:r w:rsidR="00CE0637">
        <w:rPr>
          <w:szCs w:val="18"/>
          <w:lang w:val="nl-NL"/>
        </w:rPr>
        <w:t>Strafwetboek</w:t>
      </w:r>
      <w:r w:rsidRPr="000B4AB2">
        <w:rPr>
          <w:szCs w:val="18"/>
          <w:lang w:val="nl-NL"/>
        </w:rPr>
        <w:t xml:space="preserve"> </w:t>
      </w:r>
      <w:r w:rsidR="005967D1" w:rsidRPr="000B4AB2">
        <w:rPr>
          <w:szCs w:val="18"/>
          <w:lang w:val="nl-NL"/>
        </w:rPr>
        <w:t>luidde als volgt</w:t>
      </w:r>
      <w:r w:rsidR="00370BD4" w:rsidRPr="000B4AB2">
        <w:rPr>
          <w:szCs w:val="18"/>
          <w:lang w:val="nl-NL"/>
        </w:rPr>
        <w:t xml:space="preserve">: </w:t>
      </w:r>
      <w:r w:rsidR="00370BD4" w:rsidRPr="000B4AB2">
        <w:rPr>
          <w:i/>
          <w:szCs w:val="18"/>
          <w:lang w:val="nl-NL"/>
        </w:rPr>
        <w:t>“Verkrachting is elke daad van seksuele penetratie van welke aard en met welk middel ook, gepleegd op een persoon die daar niet in toestemt.</w:t>
      </w:r>
      <w:r w:rsidR="00370BD4" w:rsidRPr="000B4AB2">
        <w:rPr>
          <w:i/>
          <w:color w:val="000000" w:themeColor="text1"/>
          <w:szCs w:val="18"/>
          <w:lang w:val="nl-NL"/>
        </w:rPr>
        <w:t xml:space="preserve"> </w:t>
      </w:r>
    </w:p>
    <w:p w14:paraId="5EFC99A9" w14:textId="7F1C98E0" w:rsidR="00370BD4" w:rsidRPr="000B4AB2" w:rsidRDefault="00370BD4" w:rsidP="00260F11">
      <w:pPr>
        <w:pStyle w:val="ListParagraph"/>
        <w:spacing w:line="360" w:lineRule="auto"/>
        <w:ind w:left="0"/>
        <w:rPr>
          <w:i/>
          <w:color w:val="000000" w:themeColor="text1"/>
          <w:szCs w:val="18"/>
          <w:lang w:val="nl-NL"/>
        </w:rPr>
      </w:pPr>
      <w:r w:rsidRPr="000B4AB2">
        <w:rPr>
          <w:i/>
          <w:color w:val="000000" w:themeColor="text1"/>
          <w:szCs w:val="18"/>
          <w:lang w:val="nl-NL"/>
        </w:rPr>
        <w:t xml:space="preserve">Toestemming is er met name niet wanneer de daad is opgedrongen door middel van geweld, dwang, bedreiging, verrassing of list of mogelijk is gemaakt door een onvolwaardigheid of een lichamelijk of een geestelijk gebrek van het slachtoffer. </w:t>
      </w:r>
    </w:p>
    <w:p w14:paraId="13697ADF" w14:textId="394A18BE" w:rsidR="00370BD4" w:rsidRPr="000B4AB2" w:rsidRDefault="00370BD4" w:rsidP="00260F11">
      <w:pPr>
        <w:pStyle w:val="ListParagraph"/>
        <w:spacing w:line="360" w:lineRule="auto"/>
        <w:ind w:left="0"/>
        <w:rPr>
          <w:i/>
          <w:color w:val="000000" w:themeColor="text1"/>
          <w:szCs w:val="18"/>
          <w:lang w:val="nl-NL"/>
        </w:rPr>
      </w:pPr>
      <w:r w:rsidRPr="000B4AB2">
        <w:rPr>
          <w:i/>
          <w:szCs w:val="18"/>
          <w:lang w:val="nl-NL"/>
        </w:rPr>
        <w:t>Met opsluiting van vijf jaar tot tien jaar wordt gestraft ieder die de misdaad van verkrachting pleegt.</w:t>
      </w:r>
    </w:p>
    <w:p w14:paraId="6AA3F308" w14:textId="41C25988" w:rsidR="00370BD4" w:rsidRPr="000B4AB2" w:rsidRDefault="00370BD4" w:rsidP="00260F11">
      <w:pPr>
        <w:pStyle w:val="ListParagraph"/>
        <w:spacing w:line="360" w:lineRule="auto"/>
        <w:ind w:left="0"/>
        <w:rPr>
          <w:i/>
          <w:color w:val="000000" w:themeColor="text1"/>
          <w:szCs w:val="18"/>
          <w:lang w:val="nl-NL"/>
        </w:rPr>
      </w:pPr>
      <w:r w:rsidRPr="000B4AB2">
        <w:rPr>
          <w:i/>
          <w:color w:val="000000" w:themeColor="text1"/>
          <w:szCs w:val="18"/>
          <w:lang w:val="nl-NL"/>
        </w:rPr>
        <w:t>Wordt de misdaad gepleegd op de persoon van een minderjarige boven de</w:t>
      </w:r>
      <w:r w:rsidR="002D025C" w:rsidRPr="000B4AB2">
        <w:rPr>
          <w:i/>
          <w:color w:val="000000" w:themeColor="text1"/>
          <w:szCs w:val="18"/>
          <w:lang w:val="nl-NL"/>
        </w:rPr>
        <w:t xml:space="preserve"> volle</w:t>
      </w:r>
      <w:r w:rsidRPr="000B4AB2">
        <w:rPr>
          <w:i/>
          <w:color w:val="000000" w:themeColor="text1"/>
          <w:szCs w:val="18"/>
          <w:lang w:val="nl-NL"/>
        </w:rPr>
        <w:t xml:space="preserve"> leeftijd van zestien jaar, dan wordt de schuldige gestraft met opsluiting van tien jaar tot vijftien jaar.</w:t>
      </w:r>
    </w:p>
    <w:p w14:paraId="76BFC40F" w14:textId="2FF9133E" w:rsidR="00370BD4" w:rsidRPr="000B4AB2" w:rsidRDefault="00370BD4" w:rsidP="00260F11">
      <w:pPr>
        <w:pStyle w:val="ListParagraph"/>
        <w:spacing w:line="360" w:lineRule="auto"/>
        <w:ind w:left="0"/>
        <w:rPr>
          <w:i/>
          <w:color w:val="000000" w:themeColor="text1"/>
          <w:szCs w:val="18"/>
          <w:lang w:val="nl-NL"/>
        </w:rPr>
      </w:pPr>
      <w:r w:rsidRPr="000B4AB2">
        <w:rPr>
          <w:i/>
          <w:color w:val="000000" w:themeColor="text1"/>
          <w:szCs w:val="18"/>
          <w:lang w:val="nl-NL"/>
        </w:rPr>
        <w:t>Wordt de misdaad gepleegd op de persoon van een kind boven de volle</w:t>
      </w:r>
      <w:r w:rsidR="0062357F" w:rsidRPr="000B4AB2">
        <w:rPr>
          <w:i/>
          <w:color w:val="000000" w:themeColor="text1"/>
          <w:szCs w:val="18"/>
          <w:lang w:val="nl-NL"/>
        </w:rPr>
        <w:t xml:space="preserve"> l</w:t>
      </w:r>
      <w:r w:rsidRPr="000B4AB2">
        <w:rPr>
          <w:i/>
          <w:color w:val="000000" w:themeColor="text1"/>
          <w:szCs w:val="18"/>
          <w:lang w:val="nl-NL"/>
        </w:rPr>
        <w:t>eeftijd van veertien jaar en beneden die van zestien jaar, dan wordt de schuldige gestraft met opsluiting van vijftien jaar tot twintig jaar.</w:t>
      </w:r>
    </w:p>
    <w:p w14:paraId="69C16653" w14:textId="01640705" w:rsidR="00370BD4" w:rsidRPr="000B4AB2" w:rsidRDefault="00370BD4" w:rsidP="00260F11">
      <w:pPr>
        <w:pStyle w:val="ListParagraph"/>
        <w:spacing w:line="360" w:lineRule="auto"/>
        <w:ind w:left="0"/>
        <w:rPr>
          <w:i/>
          <w:color w:val="000000" w:themeColor="text1"/>
          <w:szCs w:val="18"/>
          <w:lang w:val="nl-NL"/>
        </w:rPr>
      </w:pPr>
      <w:r w:rsidRPr="000B4AB2">
        <w:rPr>
          <w:i/>
          <w:color w:val="000000" w:themeColor="text1"/>
          <w:szCs w:val="18"/>
          <w:lang w:val="nl-NL"/>
        </w:rPr>
        <w:t>Als verkrachting met behulp van geweld wordt beschouwd elke daad van seksuele penetratie, van welke aard en met welk middel ook, die gepleegd wordt op de persoon van een kind dat de volle leeftijd van veertien jaar niet heeft bereikt. In dat geval is de straf opsluiting van vijftien jaar tot twintig jaar.</w:t>
      </w:r>
    </w:p>
    <w:p w14:paraId="35F0948F" w14:textId="6CD8DE04" w:rsidR="00D86637" w:rsidRPr="000B4AB2" w:rsidRDefault="00370BD4" w:rsidP="00260F11">
      <w:pPr>
        <w:pStyle w:val="ListParagraph"/>
        <w:spacing w:line="360" w:lineRule="auto"/>
        <w:ind w:left="0"/>
        <w:rPr>
          <w:i/>
          <w:color w:val="000000" w:themeColor="text1"/>
          <w:szCs w:val="18"/>
          <w:lang w:val="nl-NL"/>
        </w:rPr>
      </w:pPr>
      <w:r w:rsidRPr="000B4AB2">
        <w:rPr>
          <w:i/>
          <w:color w:val="000000" w:themeColor="text1"/>
          <w:szCs w:val="18"/>
          <w:lang w:val="nl-NL"/>
        </w:rPr>
        <w:t>De straf is opsluiting van twintig jaar tot dertig jaar indien het kind geen volle tien jaar oud is.</w:t>
      </w:r>
      <w:r w:rsidR="005967D1" w:rsidRPr="000B4AB2">
        <w:rPr>
          <w:i/>
          <w:color w:val="000000" w:themeColor="text1"/>
          <w:szCs w:val="18"/>
          <w:lang w:val="nl-NL"/>
        </w:rPr>
        <w:t>”</w:t>
      </w:r>
    </w:p>
    <w:p w14:paraId="56CA2042" w14:textId="77777777" w:rsidR="00D86637" w:rsidRPr="000B4AB2" w:rsidRDefault="00D86637" w:rsidP="00260F11">
      <w:pPr>
        <w:pStyle w:val="ListParagraph"/>
        <w:spacing w:line="360" w:lineRule="auto"/>
        <w:ind w:left="0"/>
        <w:rPr>
          <w:i/>
          <w:color w:val="000000" w:themeColor="text1"/>
          <w:szCs w:val="18"/>
          <w:lang w:val="nl-NL"/>
        </w:rPr>
      </w:pPr>
    </w:p>
    <w:p w14:paraId="1EE32203" w14:textId="249520BB" w:rsidR="0062357F" w:rsidRPr="000B4AB2" w:rsidRDefault="0062357F"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Schematisch kunnen de vereiste constitutieve bestanddelen voor het misdrijf</w:t>
      </w:r>
      <w:r w:rsidR="006E16FD" w:rsidRPr="000B4AB2">
        <w:rPr>
          <w:color w:val="000000" w:themeColor="text1"/>
          <w:szCs w:val="18"/>
          <w:lang w:val="nl-NL"/>
        </w:rPr>
        <w:t xml:space="preserve"> van</w:t>
      </w:r>
      <w:r w:rsidRPr="000B4AB2">
        <w:rPr>
          <w:color w:val="000000" w:themeColor="text1"/>
          <w:szCs w:val="18"/>
          <w:lang w:val="nl-NL"/>
        </w:rPr>
        <w:t xml:space="preserve"> verkrachting uit oud artikel 375 </w:t>
      </w:r>
      <w:r w:rsidR="0081584B">
        <w:rPr>
          <w:color w:val="000000" w:themeColor="text1"/>
          <w:szCs w:val="18"/>
          <w:lang w:val="nl-NL"/>
        </w:rPr>
        <w:t xml:space="preserve">van het </w:t>
      </w:r>
      <w:r w:rsidR="00CE0637">
        <w:rPr>
          <w:color w:val="000000" w:themeColor="text1"/>
          <w:szCs w:val="18"/>
          <w:lang w:val="nl-NL"/>
        </w:rPr>
        <w:t>Strafwetboek</w:t>
      </w:r>
      <w:r w:rsidRPr="000B4AB2">
        <w:rPr>
          <w:color w:val="000000" w:themeColor="text1"/>
          <w:szCs w:val="18"/>
          <w:lang w:val="nl-NL"/>
        </w:rPr>
        <w:t xml:space="preserve"> als volgt worden weergegeven.</w:t>
      </w:r>
    </w:p>
    <w:p w14:paraId="0A9C8B82" w14:textId="77777777" w:rsidR="0062357F" w:rsidRPr="000B4AB2" w:rsidRDefault="0062357F"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62357F" w:rsidRPr="000B4AB2" w14:paraId="5AF7EFC2" w14:textId="77777777" w:rsidTr="00C45E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32A0B978" w14:textId="299CC9C6" w:rsidR="0062357F" w:rsidRPr="000B4AB2" w:rsidRDefault="0062357F" w:rsidP="00260F11">
            <w:pPr>
              <w:pStyle w:val="ListParagraph"/>
              <w:spacing w:line="360" w:lineRule="auto"/>
              <w:ind w:left="0"/>
              <w:rPr>
                <w:color w:val="000000" w:themeColor="text1"/>
                <w:szCs w:val="18"/>
                <w:lang w:val="nl-NL"/>
              </w:rPr>
            </w:pPr>
            <w:r w:rsidRPr="000B4AB2">
              <w:rPr>
                <w:color w:val="000000" w:themeColor="text1"/>
                <w:szCs w:val="18"/>
                <w:lang w:val="nl-NL"/>
              </w:rPr>
              <w:t>Constitutieve bestanddelen verkrachting (oud art. 375 Sw.)</w:t>
            </w:r>
          </w:p>
        </w:tc>
      </w:tr>
      <w:tr w:rsidR="0062357F" w:rsidRPr="000B4AB2" w14:paraId="1C899FA9" w14:textId="77777777" w:rsidTr="00C45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4B5C408" w14:textId="2AFAE4DD" w:rsidR="0062357F" w:rsidRPr="000B4AB2" w:rsidRDefault="0062357F"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7C2E6FF2" w14:textId="77777777" w:rsidR="0062357F" w:rsidRPr="000B4AB2" w:rsidRDefault="0062357F"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62357F" w:rsidRPr="000B4AB2" w14:paraId="58107050" w14:textId="77777777" w:rsidTr="00C45E29">
        <w:tc>
          <w:tcPr>
            <w:cnfStyle w:val="001000000000" w:firstRow="0" w:lastRow="0" w:firstColumn="1" w:lastColumn="0" w:oddVBand="0" w:evenVBand="0" w:oddHBand="0" w:evenHBand="0" w:firstRowFirstColumn="0" w:firstRowLastColumn="0" w:lastRowFirstColumn="0" w:lastRowLastColumn="0"/>
            <w:tcW w:w="4531" w:type="dxa"/>
          </w:tcPr>
          <w:p w14:paraId="0F7630E3" w14:textId="77777777" w:rsidR="0062357F" w:rsidRPr="000B4AB2" w:rsidRDefault="00484911"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Seksuele penetratie</w:t>
            </w:r>
          </w:p>
          <w:p w14:paraId="0FF8343D" w14:textId="77777777" w:rsidR="00484911" w:rsidRPr="000B4AB2" w:rsidRDefault="00484911" w:rsidP="00260F11">
            <w:pPr>
              <w:pStyle w:val="ListParagraph"/>
              <w:numPr>
                <w:ilvl w:val="1"/>
                <w:numId w:val="5"/>
              </w:numPr>
              <w:spacing w:line="360" w:lineRule="auto"/>
              <w:rPr>
                <w:b w:val="0"/>
                <w:color w:val="000000" w:themeColor="text1"/>
                <w:szCs w:val="18"/>
                <w:lang w:val="nl-NL"/>
              </w:rPr>
            </w:pPr>
            <w:r w:rsidRPr="000B4AB2">
              <w:rPr>
                <w:b w:val="0"/>
                <w:color w:val="000000" w:themeColor="text1"/>
                <w:szCs w:val="18"/>
                <w:lang w:val="nl-NL"/>
              </w:rPr>
              <w:t>Van welke aard dan ook</w:t>
            </w:r>
          </w:p>
          <w:p w14:paraId="0292AAED" w14:textId="77777777" w:rsidR="00484911" w:rsidRPr="000B4AB2" w:rsidRDefault="00484911" w:rsidP="00260F11">
            <w:pPr>
              <w:pStyle w:val="ListParagraph"/>
              <w:numPr>
                <w:ilvl w:val="1"/>
                <w:numId w:val="5"/>
              </w:numPr>
              <w:spacing w:line="360" w:lineRule="auto"/>
              <w:rPr>
                <w:b w:val="0"/>
                <w:color w:val="000000" w:themeColor="text1"/>
                <w:szCs w:val="18"/>
                <w:lang w:val="nl-NL"/>
              </w:rPr>
            </w:pPr>
            <w:r w:rsidRPr="000B4AB2">
              <w:rPr>
                <w:b w:val="0"/>
                <w:color w:val="000000" w:themeColor="text1"/>
                <w:szCs w:val="18"/>
                <w:lang w:val="nl-NL"/>
              </w:rPr>
              <w:t>Met welk middel dan ook</w:t>
            </w:r>
          </w:p>
          <w:p w14:paraId="4D2BBEF7" w14:textId="5CE63EE5" w:rsidR="006E16FD" w:rsidRPr="000B4AB2" w:rsidRDefault="006E16FD"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Gepleegd op een persoon</w:t>
            </w:r>
          </w:p>
          <w:p w14:paraId="5D2E4A41" w14:textId="15AA9BE8" w:rsidR="00484911" w:rsidRPr="000B4AB2" w:rsidRDefault="00484911"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Zonder geldige toestemming van het slachtoffer</w:t>
            </w:r>
          </w:p>
        </w:tc>
        <w:tc>
          <w:tcPr>
            <w:tcW w:w="4531" w:type="dxa"/>
          </w:tcPr>
          <w:p w14:paraId="53E3751B" w14:textId="2519AC06" w:rsidR="0062357F" w:rsidRPr="000B4AB2" w:rsidRDefault="00067AF4" w:rsidP="00260F11">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Stilzwijgen wetgever</w:t>
            </w:r>
          </w:p>
        </w:tc>
      </w:tr>
    </w:tbl>
    <w:p w14:paraId="6AC83D43" w14:textId="18E0CA85" w:rsidR="00E17C29" w:rsidRDefault="00E17C29" w:rsidP="00260F11">
      <w:pPr>
        <w:pStyle w:val="ListParagraph"/>
        <w:spacing w:line="360" w:lineRule="auto"/>
        <w:ind w:left="0"/>
        <w:rPr>
          <w:color w:val="000000" w:themeColor="text1"/>
          <w:szCs w:val="18"/>
          <w:lang w:val="nl-NL"/>
        </w:rPr>
      </w:pPr>
    </w:p>
    <w:p w14:paraId="586E41D7" w14:textId="052CCAA6" w:rsidR="0062357F" w:rsidRPr="000B4AB2" w:rsidRDefault="00E17C29" w:rsidP="00260F11">
      <w:pPr>
        <w:spacing w:line="360" w:lineRule="auto"/>
        <w:rPr>
          <w:color w:val="000000" w:themeColor="text1"/>
          <w:szCs w:val="18"/>
          <w:lang w:val="nl-NL"/>
        </w:rPr>
      </w:pPr>
      <w:r>
        <w:rPr>
          <w:color w:val="000000" w:themeColor="text1"/>
          <w:szCs w:val="18"/>
          <w:lang w:val="nl-NL"/>
        </w:rPr>
        <w:br w:type="page"/>
      </w:r>
    </w:p>
    <w:p w14:paraId="44FCBC8C" w14:textId="2993ECEE" w:rsidR="006242AE" w:rsidRPr="000B4AB2" w:rsidRDefault="00553861" w:rsidP="00260F11">
      <w:pPr>
        <w:pStyle w:val="Heading5"/>
        <w:spacing w:line="360" w:lineRule="auto"/>
        <w:rPr>
          <w:szCs w:val="18"/>
          <w:lang w:val="nl-NL"/>
        </w:rPr>
      </w:pPr>
      <w:bookmarkStart w:id="26" w:name="_Toc135041057"/>
      <w:r w:rsidRPr="000B4AB2">
        <w:rPr>
          <w:szCs w:val="18"/>
          <w:lang w:val="nl-NL"/>
        </w:rPr>
        <w:lastRenderedPageBreak/>
        <w:t>Materiële gedraging</w:t>
      </w:r>
      <w:r w:rsidR="001E2681" w:rsidRPr="000B4AB2">
        <w:rPr>
          <w:szCs w:val="18"/>
          <w:lang w:val="nl-NL"/>
        </w:rPr>
        <w:t xml:space="preserve"> </w:t>
      </w:r>
      <w:r w:rsidR="001E2681" w:rsidRPr="000B4AB2">
        <w:rPr>
          <w:i/>
          <w:szCs w:val="18"/>
          <w:lang w:val="nl-NL"/>
        </w:rPr>
        <w:t>sensu stricto</w:t>
      </w:r>
      <w:bookmarkEnd w:id="26"/>
    </w:p>
    <w:p w14:paraId="04E7CF0F" w14:textId="4BFF2972" w:rsidR="00E771BC" w:rsidRPr="000B4AB2" w:rsidRDefault="00E771BC" w:rsidP="00260F11">
      <w:pPr>
        <w:pStyle w:val="ListParagraph"/>
        <w:spacing w:line="360" w:lineRule="auto"/>
        <w:ind w:left="0"/>
        <w:rPr>
          <w:color w:val="000000" w:themeColor="text1"/>
          <w:szCs w:val="18"/>
          <w:lang w:val="nl-NL"/>
        </w:rPr>
      </w:pPr>
    </w:p>
    <w:p w14:paraId="31A54CC6" w14:textId="2FC71DE3" w:rsidR="00E771BC" w:rsidRPr="00DD6B2E" w:rsidRDefault="00C51167" w:rsidP="00260F11">
      <w:pPr>
        <w:pStyle w:val="ListParagraph"/>
        <w:numPr>
          <w:ilvl w:val="0"/>
          <w:numId w:val="1"/>
        </w:numPr>
        <w:spacing w:line="360" w:lineRule="auto"/>
        <w:ind w:left="0" w:hanging="709"/>
        <w:rPr>
          <w:i/>
          <w:color w:val="000000" w:themeColor="text1"/>
          <w:szCs w:val="18"/>
          <w:lang w:val="nl-NL"/>
        </w:rPr>
      </w:pPr>
      <w:r w:rsidRPr="00DD6B2E">
        <w:rPr>
          <w:szCs w:val="18"/>
          <w:lang w:val="nl-NL"/>
        </w:rPr>
        <w:t>Het</w:t>
      </w:r>
      <w:r w:rsidR="00E771BC" w:rsidRPr="00DD6B2E">
        <w:rPr>
          <w:szCs w:val="18"/>
          <w:lang w:val="nl-NL"/>
        </w:rPr>
        <w:t xml:space="preserve"> </w:t>
      </w:r>
      <w:r w:rsidRPr="00DD6B2E">
        <w:rPr>
          <w:szCs w:val="18"/>
          <w:lang w:val="nl-NL"/>
        </w:rPr>
        <w:t>Hof van Cassatie omschreef verkrachting</w:t>
      </w:r>
      <w:r w:rsidR="00E771BC" w:rsidRPr="00DD6B2E">
        <w:rPr>
          <w:szCs w:val="18"/>
          <w:lang w:val="nl-NL"/>
        </w:rPr>
        <w:t xml:space="preserve"> </w:t>
      </w:r>
      <w:r w:rsidRPr="00DD6B2E">
        <w:rPr>
          <w:szCs w:val="18"/>
          <w:lang w:val="nl-NL"/>
        </w:rPr>
        <w:t xml:space="preserve">reeds </w:t>
      </w:r>
      <w:r w:rsidR="00E771BC" w:rsidRPr="00DD6B2E">
        <w:rPr>
          <w:szCs w:val="18"/>
          <w:lang w:val="nl-NL"/>
        </w:rPr>
        <w:t xml:space="preserve">in </w:t>
      </w:r>
      <w:r w:rsidR="002E37CE" w:rsidRPr="00DD6B2E">
        <w:rPr>
          <w:szCs w:val="18"/>
          <w:lang w:val="nl-NL"/>
        </w:rPr>
        <w:t>1942</w:t>
      </w:r>
      <w:r w:rsidR="00E771BC" w:rsidRPr="00DD6B2E">
        <w:rPr>
          <w:szCs w:val="18"/>
          <w:lang w:val="nl-NL"/>
        </w:rPr>
        <w:t xml:space="preserve"> als een aanranding van de eerbaarheid “</w:t>
      </w:r>
      <w:r w:rsidR="00E771BC" w:rsidRPr="00DD6B2E">
        <w:rPr>
          <w:i/>
          <w:szCs w:val="18"/>
          <w:lang w:val="nl-NL"/>
        </w:rPr>
        <w:t>waarbij zich bijzondere bestanddelen voegen, die aan het feit een onderscheiden strafrechtelijk karakter verlenen”</w:t>
      </w:r>
      <w:r w:rsidR="00E771BC" w:rsidRPr="00DD6B2E">
        <w:rPr>
          <w:szCs w:val="18"/>
          <w:lang w:val="nl-NL"/>
        </w:rPr>
        <w:t>.</w:t>
      </w:r>
      <w:r w:rsidR="00E771BC" w:rsidRPr="00DD6B2E">
        <w:rPr>
          <w:rStyle w:val="FootnoteReference"/>
          <w:szCs w:val="18"/>
          <w:lang w:val="nl-NL"/>
        </w:rPr>
        <w:footnoteReference w:id="226"/>
      </w:r>
      <w:r w:rsidR="002E37CE" w:rsidRPr="00DD6B2E">
        <w:rPr>
          <w:szCs w:val="18"/>
          <w:lang w:val="nl-NL"/>
        </w:rPr>
        <w:t xml:space="preserve"> </w:t>
      </w:r>
      <w:r w:rsidR="00FF73A5" w:rsidRPr="00DD6B2E">
        <w:rPr>
          <w:szCs w:val="18"/>
          <w:lang w:val="nl-NL"/>
        </w:rPr>
        <w:t xml:space="preserve">Klassiek </w:t>
      </w:r>
      <w:r w:rsidR="006E57DF" w:rsidRPr="00DD6B2E">
        <w:rPr>
          <w:szCs w:val="18"/>
          <w:lang w:val="nl-NL"/>
        </w:rPr>
        <w:t>werd</w:t>
      </w:r>
      <w:r w:rsidR="00FF73A5" w:rsidRPr="00DD6B2E">
        <w:rPr>
          <w:szCs w:val="18"/>
          <w:lang w:val="nl-NL"/>
        </w:rPr>
        <w:t xml:space="preserve"> verkrachting </w:t>
      </w:r>
      <w:r w:rsidR="0003391D" w:rsidRPr="00DD6B2E">
        <w:rPr>
          <w:szCs w:val="18"/>
          <w:lang w:val="nl-NL"/>
        </w:rPr>
        <w:t xml:space="preserve">inderdaad beschouwd als </w:t>
      </w:r>
      <w:r w:rsidR="00FF73A5" w:rsidRPr="00DD6B2E">
        <w:rPr>
          <w:szCs w:val="18"/>
          <w:lang w:val="nl-NL"/>
        </w:rPr>
        <w:t>een aanranding van de eerbaarheid met een seksuele penetratie.</w:t>
      </w:r>
      <w:r w:rsidR="00FF73A5" w:rsidRPr="00DD6B2E">
        <w:rPr>
          <w:rStyle w:val="FootnoteReference"/>
          <w:szCs w:val="18"/>
          <w:lang w:val="nl-NL"/>
        </w:rPr>
        <w:footnoteReference w:id="227"/>
      </w:r>
      <w:r w:rsidR="003C6E86" w:rsidRPr="00DD6B2E">
        <w:rPr>
          <w:color w:val="000000" w:themeColor="text1"/>
          <w:szCs w:val="18"/>
          <w:lang w:val="nl-NL"/>
        </w:rPr>
        <w:t xml:space="preserve"> In de </w:t>
      </w:r>
      <w:r w:rsidR="00EB76B7" w:rsidRPr="00DD6B2E">
        <w:rPr>
          <w:color w:val="000000" w:themeColor="text1"/>
          <w:szCs w:val="18"/>
          <w:lang w:val="nl-NL"/>
        </w:rPr>
        <w:t>meer recente</w:t>
      </w:r>
      <w:r w:rsidR="003C6E86" w:rsidRPr="00DD6B2E">
        <w:rPr>
          <w:color w:val="000000" w:themeColor="text1"/>
          <w:szCs w:val="18"/>
          <w:lang w:val="nl-NL"/>
        </w:rPr>
        <w:t xml:space="preserve"> rechtsleer </w:t>
      </w:r>
      <w:r w:rsidR="006E57DF" w:rsidRPr="00DD6B2E">
        <w:rPr>
          <w:color w:val="000000" w:themeColor="text1"/>
          <w:szCs w:val="18"/>
          <w:lang w:val="nl-NL"/>
        </w:rPr>
        <w:t>werd</w:t>
      </w:r>
      <w:r w:rsidR="003C6E86" w:rsidRPr="00DD6B2E">
        <w:rPr>
          <w:color w:val="000000" w:themeColor="text1"/>
          <w:szCs w:val="18"/>
          <w:lang w:val="nl-NL"/>
        </w:rPr>
        <w:t xml:space="preserve"> deze zienswijze evenwel bekritiseerd</w:t>
      </w:r>
      <w:r w:rsidR="007506C3" w:rsidRPr="00DD6B2E">
        <w:rPr>
          <w:color w:val="000000" w:themeColor="text1"/>
          <w:szCs w:val="18"/>
          <w:lang w:val="nl-NL"/>
        </w:rPr>
        <w:t xml:space="preserve"> en </w:t>
      </w:r>
      <w:r w:rsidR="006E57DF" w:rsidRPr="00DD6B2E">
        <w:rPr>
          <w:color w:val="000000" w:themeColor="text1"/>
          <w:szCs w:val="18"/>
          <w:lang w:val="nl-NL"/>
        </w:rPr>
        <w:t>werd</w:t>
      </w:r>
      <w:r w:rsidRPr="00DD6B2E">
        <w:rPr>
          <w:color w:val="000000" w:themeColor="text1"/>
          <w:szCs w:val="18"/>
          <w:lang w:val="nl-NL"/>
        </w:rPr>
        <w:t xml:space="preserve">, </w:t>
      </w:r>
      <w:r w:rsidR="00C410C9" w:rsidRPr="00DD6B2E">
        <w:rPr>
          <w:color w:val="000000" w:themeColor="text1"/>
          <w:szCs w:val="18"/>
          <w:lang w:val="nl-NL"/>
        </w:rPr>
        <w:t>m.i.</w:t>
      </w:r>
      <w:r w:rsidRPr="00DD6B2E">
        <w:rPr>
          <w:color w:val="000000" w:themeColor="text1"/>
          <w:szCs w:val="18"/>
          <w:lang w:val="nl-NL"/>
        </w:rPr>
        <w:t xml:space="preserve"> terecht,</w:t>
      </w:r>
      <w:r w:rsidR="007506C3" w:rsidRPr="00DD6B2E">
        <w:rPr>
          <w:color w:val="000000" w:themeColor="text1"/>
          <w:szCs w:val="18"/>
          <w:lang w:val="nl-NL"/>
        </w:rPr>
        <w:t xml:space="preserve"> gesteld dat niet elke verkrachting noodzakelijkerwijs een aanranding van de eerbaarheid </w:t>
      </w:r>
      <w:r w:rsidR="00643371" w:rsidRPr="00DD6B2E">
        <w:rPr>
          <w:color w:val="000000" w:themeColor="text1"/>
          <w:szCs w:val="18"/>
          <w:lang w:val="nl-NL"/>
        </w:rPr>
        <w:t>inhoudt</w:t>
      </w:r>
      <w:r w:rsidR="003C6E86" w:rsidRPr="00DD6B2E">
        <w:rPr>
          <w:color w:val="000000" w:themeColor="text1"/>
          <w:szCs w:val="18"/>
          <w:lang w:val="nl-NL"/>
        </w:rPr>
        <w:t>.</w:t>
      </w:r>
      <w:r w:rsidR="001870CC" w:rsidRPr="00DD6B2E">
        <w:rPr>
          <w:rStyle w:val="FootnoteReference"/>
          <w:szCs w:val="18"/>
          <w:lang w:val="nl-NL"/>
        </w:rPr>
        <w:footnoteReference w:id="228"/>
      </w:r>
      <w:r w:rsidRPr="00DD6B2E">
        <w:rPr>
          <w:color w:val="000000" w:themeColor="text1"/>
          <w:szCs w:val="18"/>
          <w:lang w:val="nl-NL"/>
        </w:rPr>
        <w:t xml:space="preserve"> </w:t>
      </w:r>
      <w:r w:rsidRPr="00DD6B2E">
        <w:rPr>
          <w:i/>
          <w:color w:val="000000" w:themeColor="text1"/>
          <w:szCs w:val="18"/>
          <w:lang w:val="nl-NL"/>
        </w:rPr>
        <w:t>“</w:t>
      </w:r>
      <w:r w:rsidR="00D5395E" w:rsidRPr="00DD6B2E">
        <w:rPr>
          <w:i/>
          <w:color w:val="000000" w:themeColor="text1"/>
          <w:szCs w:val="18"/>
          <w:lang w:val="nl-NL"/>
        </w:rPr>
        <w:t>E</w:t>
      </w:r>
      <w:r w:rsidRPr="00DD6B2E">
        <w:rPr>
          <w:i/>
          <w:color w:val="000000" w:themeColor="text1"/>
          <w:szCs w:val="18"/>
          <w:lang w:val="nl-NL"/>
        </w:rPr>
        <w:t>en verkrachting kan tevens een aanranding van de eerbaarheid zijn”</w:t>
      </w:r>
      <w:r w:rsidR="00D5395E" w:rsidRPr="00DD6B2E">
        <w:rPr>
          <w:i/>
          <w:color w:val="000000" w:themeColor="text1"/>
          <w:szCs w:val="18"/>
          <w:lang w:val="nl-NL"/>
        </w:rPr>
        <w:t xml:space="preserve">, </w:t>
      </w:r>
      <w:r w:rsidR="00D5395E" w:rsidRPr="00DD6B2E">
        <w:rPr>
          <w:color w:val="000000" w:themeColor="text1"/>
          <w:szCs w:val="18"/>
          <w:lang w:val="nl-NL"/>
        </w:rPr>
        <w:t>aldus het Hof van Cassatie,</w:t>
      </w:r>
      <w:r w:rsidR="00D5395E" w:rsidRPr="00DD6B2E">
        <w:rPr>
          <w:rStyle w:val="FootnoteReference"/>
          <w:i/>
          <w:color w:val="000000" w:themeColor="text1"/>
          <w:szCs w:val="18"/>
          <w:lang w:val="nl-NL"/>
        </w:rPr>
        <w:footnoteReference w:id="229"/>
      </w:r>
      <w:r w:rsidR="00D5395E" w:rsidRPr="00DD6B2E">
        <w:rPr>
          <w:color w:val="000000" w:themeColor="text1"/>
          <w:szCs w:val="18"/>
          <w:lang w:val="nl-NL"/>
        </w:rPr>
        <w:t xml:space="preserve"> maar dat </w:t>
      </w:r>
      <w:r w:rsidR="00EE0364" w:rsidRPr="00DD6B2E">
        <w:rPr>
          <w:color w:val="000000" w:themeColor="text1"/>
          <w:szCs w:val="18"/>
          <w:lang w:val="nl-NL"/>
        </w:rPr>
        <w:t>was</w:t>
      </w:r>
      <w:r w:rsidR="00D5395E" w:rsidRPr="00DD6B2E">
        <w:rPr>
          <w:color w:val="000000" w:themeColor="text1"/>
          <w:szCs w:val="18"/>
          <w:lang w:val="nl-NL"/>
        </w:rPr>
        <w:t xml:space="preserve"> dus niet</w:t>
      </w:r>
      <w:r w:rsidR="00EE0364" w:rsidRPr="00DD6B2E">
        <w:rPr>
          <w:color w:val="000000" w:themeColor="text1"/>
          <w:szCs w:val="18"/>
          <w:lang w:val="nl-NL"/>
        </w:rPr>
        <w:t xml:space="preserve"> noodzakelijkerwijs zo</w:t>
      </w:r>
      <w:r w:rsidR="00D5395E" w:rsidRPr="00DD6B2E">
        <w:rPr>
          <w:color w:val="000000" w:themeColor="text1"/>
          <w:szCs w:val="18"/>
          <w:lang w:val="nl-NL"/>
        </w:rPr>
        <w:t>.</w:t>
      </w:r>
      <w:r w:rsidR="00D5395E" w:rsidRPr="00DD6B2E">
        <w:rPr>
          <w:rStyle w:val="FootnoteReference"/>
          <w:color w:val="000000" w:themeColor="text1"/>
          <w:szCs w:val="18"/>
          <w:lang w:val="nl-NL"/>
        </w:rPr>
        <w:footnoteReference w:id="230"/>
      </w:r>
      <w:r w:rsidR="0042487A" w:rsidRPr="00DD6B2E">
        <w:rPr>
          <w:color w:val="000000" w:themeColor="text1"/>
          <w:szCs w:val="18"/>
          <w:lang w:val="nl-NL"/>
        </w:rPr>
        <w:t xml:space="preserve"> Toch </w:t>
      </w:r>
      <w:r w:rsidR="00EE0364" w:rsidRPr="00DD6B2E">
        <w:rPr>
          <w:color w:val="000000" w:themeColor="text1"/>
          <w:szCs w:val="18"/>
          <w:lang w:val="nl-NL"/>
        </w:rPr>
        <w:t>bleef</w:t>
      </w:r>
      <w:r w:rsidR="0042487A" w:rsidRPr="00DD6B2E">
        <w:rPr>
          <w:color w:val="000000" w:themeColor="text1"/>
          <w:szCs w:val="18"/>
          <w:lang w:val="nl-NL"/>
        </w:rPr>
        <w:t xml:space="preserve"> het voornaamste </w:t>
      </w:r>
      <w:r w:rsidR="00DE6D72">
        <w:rPr>
          <w:color w:val="000000" w:themeColor="text1"/>
          <w:szCs w:val="18"/>
          <w:lang w:val="nl-NL"/>
        </w:rPr>
        <w:t>criterium des onderscheids</w:t>
      </w:r>
      <w:r w:rsidR="0042487A" w:rsidRPr="00DD6B2E">
        <w:rPr>
          <w:color w:val="000000" w:themeColor="text1"/>
          <w:szCs w:val="18"/>
          <w:lang w:val="nl-NL"/>
        </w:rPr>
        <w:t xml:space="preserve"> tussen beide misdrijven het al dan niet voorhanden zijn van een seksuele penetratie.</w:t>
      </w:r>
      <w:r w:rsidR="0042487A" w:rsidRPr="00DD6B2E">
        <w:rPr>
          <w:rStyle w:val="FootnoteReference"/>
          <w:color w:val="000000" w:themeColor="text1"/>
          <w:szCs w:val="18"/>
          <w:lang w:val="nl-NL"/>
        </w:rPr>
        <w:footnoteReference w:id="231"/>
      </w:r>
    </w:p>
    <w:p w14:paraId="4C23857C" w14:textId="4CBC38A0" w:rsidR="00E771BC" w:rsidRPr="000B4AB2" w:rsidRDefault="00E771BC" w:rsidP="00260F11">
      <w:pPr>
        <w:pStyle w:val="ListParagraph"/>
        <w:spacing w:line="360" w:lineRule="auto"/>
        <w:ind w:left="0"/>
        <w:rPr>
          <w:color w:val="000000" w:themeColor="text1"/>
          <w:szCs w:val="18"/>
          <w:lang w:val="nl-NL"/>
        </w:rPr>
      </w:pPr>
    </w:p>
    <w:p w14:paraId="05325184" w14:textId="7C62F04D" w:rsidR="00EB30A8" w:rsidRDefault="00621D09"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 xml:space="preserve">(1) </w:t>
      </w:r>
      <w:r w:rsidR="00EB30A8" w:rsidRPr="000B4AB2">
        <w:rPr>
          <w:b/>
          <w:szCs w:val="18"/>
          <w:lang w:val="nl-NL"/>
        </w:rPr>
        <w:t>Penetratie.</w:t>
      </w:r>
      <w:r w:rsidR="00EB30A8" w:rsidRPr="000B4AB2">
        <w:rPr>
          <w:b/>
          <w:color w:val="000000" w:themeColor="text1"/>
          <w:szCs w:val="18"/>
          <w:lang w:val="nl-NL"/>
        </w:rPr>
        <w:t xml:space="preserve"> </w:t>
      </w:r>
      <w:r w:rsidR="00E771BC" w:rsidRPr="000B4AB2">
        <w:rPr>
          <w:color w:val="000000" w:themeColor="text1"/>
          <w:szCs w:val="18"/>
          <w:lang w:val="nl-NL"/>
        </w:rPr>
        <w:t xml:space="preserve">Feiten </w:t>
      </w:r>
      <w:r w:rsidR="00DE6D72">
        <w:rPr>
          <w:color w:val="000000" w:themeColor="text1"/>
          <w:szCs w:val="18"/>
          <w:lang w:val="nl-NL"/>
        </w:rPr>
        <w:t>konden</w:t>
      </w:r>
      <w:r w:rsidR="00E771BC" w:rsidRPr="000B4AB2">
        <w:rPr>
          <w:color w:val="000000" w:themeColor="text1"/>
          <w:szCs w:val="18"/>
          <w:lang w:val="nl-NL"/>
        </w:rPr>
        <w:t xml:space="preserve"> maar als verkrachting gekwalificeerd worden wanneer er </w:t>
      </w:r>
      <w:r w:rsidR="00124388" w:rsidRPr="000B4AB2">
        <w:rPr>
          <w:color w:val="000000" w:themeColor="text1"/>
          <w:szCs w:val="18"/>
          <w:lang w:val="nl-NL"/>
        </w:rPr>
        <w:t xml:space="preserve">minstens een begin van </w:t>
      </w:r>
      <w:r w:rsidR="00E771BC" w:rsidRPr="000B4AB2">
        <w:rPr>
          <w:color w:val="000000" w:themeColor="text1"/>
          <w:szCs w:val="18"/>
          <w:lang w:val="nl-NL"/>
        </w:rPr>
        <w:t xml:space="preserve">penetratie was, </w:t>
      </w:r>
      <w:r w:rsidR="00124388" w:rsidRPr="000B4AB2">
        <w:rPr>
          <w:color w:val="000000" w:themeColor="text1"/>
          <w:szCs w:val="18"/>
          <w:lang w:val="nl-NL"/>
        </w:rPr>
        <w:t>zodat</w:t>
      </w:r>
      <w:r w:rsidR="00320783" w:rsidRPr="000B4AB2">
        <w:rPr>
          <w:color w:val="000000" w:themeColor="text1"/>
          <w:szCs w:val="18"/>
          <w:lang w:val="nl-NL"/>
        </w:rPr>
        <w:t xml:space="preserve"> </w:t>
      </w:r>
      <w:r w:rsidR="00124388" w:rsidRPr="000B4AB2">
        <w:rPr>
          <w:color w:val="000000" w:themeColor="text1"/>
          <w:szCs w:val="18"/>
          <w:lang w:val="nl-NL"/>
        </w:rPr>
        <w:t>een</w:t>
      </w:r>
      <w:r w:rsidR="002F1357" w:rsidRPr="000B4AB2">
        <w:rPr>
          <w:color w:val="000000" w:themeColor="text1"/>
          <w:szCs w:val="18"/>
          <w:lang w:val="nl-NL"/>
        </w:rPr>
        <w:t xml:space="preserve"> volledige penetratie </w:t>
      </w:r>
      <w:r w:rsidR="00124388" w:rsidRPr="000B4AB2">
        <w:rPr>
          <w:color w:val="000000" w:themeColor="text1"/>
          <w:szCs w:val="18"/>
          <w:lang w:val="nl-NL"/>
        </w:rPr>
        <w:t xml:space="preserve">niet vereist </w:t>
      </w:r>
      <w:r w:rsidR="00EE0364" w:rsidRPr="000B4AB2">
        <w:rPr>
          <w:color w:val="000000" w:themeColor="text1"/>
          <w:szCs w:val="18"/>
          <w:lang w:val="nl-NL"/>
        </w:rPr>
        <w:t>was</w:t>
      </w:r>
      <w:r w:rsidR="00EB30A8" w:rsidRPr="000B4AB2">
        <w:rPr>
          <w:color w:val="000000" w:themeColor="text1"/>
          <w:szCs w:val="18"/>
          <w:lang w:val="nl-NL"/>
        </w:rPr>
        <w:t>.</w:t>
      </w:r>
      <w:r w:rsidR="00A10D6D" w:rsidRPr="000B4AB2">
        <w:rPr>
          <w:rStyle w:val="FootnoteReference"/>
          <w:color w:val="000000" w:themeColor="text1"/>
          <w:szCs w:val="18"/>
          <w:lang w:val="nl-NL"/>
        </w:rPr>
        <w:footnoteReference w:id="232"/>
      </w:r>
      <w:r w:rsidR="005E495C" w:rsidRPr="000B4AB2">
        <w:rPr>
          <w:color w:val="000000" w:themeColor="text1"/>
          <w:szCs w:val="18"/>
          <w:lang w:val="nl-NL"/>
        </w:rPr>
        <w:t xml:space="preserve"> Indien vleselijk contact plaatsvond, maar de penetratie wegens onvoldoende ontwikkeling van het organisme van het slachtoffer niet volledig </w:t>
      </w:r>
      <w:r w:rsidR="00DE6D72">
        <w:rPr>
          <w:color w:val="000000" w:themeColor="text1"/>
          <w:szCs w:val="18"/>
          <w:lang w:val="nl-NL"/>
        </w:rPr>
        <w:t>slaagde</w:t>
      </w:r>
      <w:r w:rsidR="005E495C" w:rsidRPr="000B4AB2">
        <w:rPr>
          <w:color w:val="000000" w:themeColor="text1"/>
          <w:szCs w:val="18"/>
          <w:lang w:val="nl-NL"/>
        </w:rPr>
        <w:t>, k</w:t>
      </w:r>
      <w:r w:rsidR="00EE0364" w:rsidRPr="000B4AB2">
        <w:rPr>
          <w:color w:val="000000" w:themeColor="text1"/>
          <w:szCs w:val="18"/>
          <w:lang w:val="nl-NL"/>
        </w:rPr>
        <w:t>o</w:t>
      </w:r>
      <w:r w:rsidR="005E495C" w:rsidRPr="000B4AB2">
        <w:rPr>
          <w:color w:val="000000" w:themeColor="text1"/>
          <w:szCs w:val="18"/>
          <w:lang w:val="nl-NL"/>
        </w:rPr>
        <w:t>n derhalve toch sprake zijn van verkrachting.</w:t>
      </w:r>
      <w:r w:rsidR="005E495C" w:rsidRPr="000B4AB2">
        <w:rPr>
          <w:rStyle w:val="FootnoteReference"/>
          <w:color w:val="000000" w:themeColor="text1"/>
          <w:szCs w:val="18"/>
          <w:lang w:val="nl-NL"/>
        </w:rPr>
        <w:footnoteReference w:id="233"/>
      </w:r>
      <w:r w:rsidR="000D7B23" w:rsidRPr="000B4AB2">
        <w:rPr>
          <w:color w:val="000000" w:themeColor="text1"/>
          <w:szCs w:val="18"/>
          <w:lang w:val="nl-NL"/>
        </w:rPr>
        <w:t xml:space="preserve"> </w:t>
      </w:r>
      <w:r w:rsidR="00B6562C" w:rsidRPr="000B4AB2">
        <w:rPr>
          <w:color w:val="000000" w:themeColor="text1"/>
          <w:szCs w:val="18"/>
          <w:lang w:val="nl-NL"/>
        </w:rPr>
        <w:t xml:space="preserve">Hierbij </w:t>
      </w:r>
      <w:r w:rsidR="00EE0364" w:rsidRPr="000B4AB2">
        <w:rPr>
          <w:color w:val="000000" w:themeColor="text1"/>
          <w:szCs w:val="18"/>
          <w:lang w:val="nl-NL"/>
        </w:rPr>
        <w:t>was</w:t>
      </w:r>
      <w:r w:rsidR="00B6562C" w:rsidRPr="000B4AB2">
        <w:rPr>
          <w:color w:val="000000" w:themeColor="text1"/>
          <w:szCs w:val="18"/>
          <w:lang w:val="nl-NL"/>
        </w:rPr>
        <w:t xml:space="preserve"> evenmin een ejaculatie vereist</w:t>
      </w:r>
      <w:r w:rsidR="000A40C6" w:rsidRPr="000B4AB2">
        <w:rPr>
          <w:color w:val="000000" w:themeColor="text1"/>
          <w:szCs w:val="18"/>
          <w:lang w:val="nl-NL"/>
        </w:rPr>
        <w:t xml:space="preserve">, noch </w:t>
      </w:r>
      <w:r w:rsidR="00B6562C" w:rsidRPr="000B4AB2">
        <w:rPr>
          <w:color w:val="000000" w:themeColor="text1"/>
          <w:szCs w:val="18"/>
          <w:lang w:val="nl-NL"/>
        </w:rPr>
        <w:t>een ontmaagding</w:t>
      </w:r>
      <w:r w:rsidR="001E60FB">
        <w:rPr>
          <w:color w:val="000000" w:themeColor="text1"/>
          <w:szCs w:val="18"/>
          <w:lang w:val="nl-NL"/>
        </w:rPr>
        <w:t>.</w:t>
      </w:r>
      <w:r w:rsidR="003A3C84" w:rsidRPr="000B4AB2">
        <w:rPr>
          <w:rStyle w:val="FootnoteReference"/>
          <w:color w:val="000000" w:themeColor="text1"/>
          <w:szCs w:val="18"/>
          <w:lang w:val="nl-NL"/>
        </w:rPr>
        <w:footnoteReference w:id="234"/>
      </w:r>
    </w:p>
    <w:p w14:paraId="7AA9ADE2" w14:textId="77777777" w:rsidR="009E1D50" w:rsidRPr="000B4AB2" w:rsidRDefault="009E1D50" w:rsidP="00260F11">
      <w:pPr>
        <w:pStyle w:val="ListParagraph"/>
        <w:spacing w:line="360" w:lineRule="auto"/>
        <w:ind w:left="0"/>
        <w:rPr>
          <w:color w:val="000000" w:themeColor="text1"/>
          <w:szCs w:val="18"/>
          <w:lang w:val="nl-NL"/>
        </w:rPr>
      </w:pPr>
    </w:p>
    <w:p w14:paraId="44721DAA" w14:textId="069C29E8" w:rsidR="00210373" w:rsidRPr="000B4AB2" w:rsidRDefault="00621D09"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 xml:space="preserve">(2) </w:t>
      </w:r>
      <w:r w:rsidR="00484911" w:rsidRPr="000B4AB2">
        <w:rPr>
          <w:b/>
          <w:szCs w:val="18"/>
          <w:lang w:val="nl-NL"/>
        </w:rPr>
        <w:t>Seksueel karakter van de penetratie.</w:t>
      </w:r>
      <w:r w:rsidR="002043DC" w:rsidRPr="000B4AB2">
        <w:rPr>
          <w:color w:val="000000" w:themeColor="text1"/>
          <w:szCs w:val="18"/>
          <w:lang w:val="nl-NL"/>
        </w:rPr>
        <w:t xml:space="preserve"> Niet elke</w:t>
      </w:r>
      <w:r w:rsidR="004C77D8" w:rsidRPr="000B4AB2">
        <w:rPr>
          <w:color w:val="000000" w:themeColor="text1"/>
          <w:szCs w:val="18"/>
          <w:lang w:val="nl-NL"/>
        </w:rPr>
        <w:t xml:space="preserve"> vorm van</w:t>
      </w:r>
      <w:r w:rsidR="002043DC" w:rsidRPr="000B4AB2">
        <w:rPr>
          <w:color w:val="000000" w:themeColor="text1"/>
          <w:szCs w:val="18"/>
          <w:lang w:val="nl-NL"/>
        </w:rPr>
        <w:t xml:space="preserve"> penetratie </w:t>
      </w:r>
      <w:r w:rsidR="00EE0364" w:rsidRPr="000B4AB2">
        <w:rPr>
          <w:color w:val="000000" w:themeColor="text1"/>
          <w:szCs w:val="18"/>
          <w:lang w:val="nl-NL"/>
        </w:rPr>
        <w:t>kon</w:t>
      </w:r>
      <w:r w:rsidR="002043DC" w:rsidRPr="000B4AB2">
        <w:rPr>
          <w:color w:val="000000" w:themeColor="text1"/>
          <w:szCs w:val="18"/>
          <w:lang w:val="nl-NL"/>
        </w:rPr>
        <w:t xml:space="preserve"> een verkrachting uitmaken, daarvoor dien</w:t>
      </w:r>
      <w:r w:rsidR="00EE0364" w:rsidRPr="000B4AB2">
        <w:rPr>
          <w:color w:val="000000" w:themeColor="text1"/>
          <w:szCs w:val="18"/>
          <w:lang w:val="nl-NL"/>
        </w:rPr>
        <w:t>de</w:t>
      </w:r>
      <w:r w:rsidR="002043DC" w:rsidRPr="000B4AB2">
        <w:rPr>
          <w:color w:val="000000" w:themeColor="text1"/>
          <w:szCs w:val="18"/>
          <w:lang w:val="nl-NL"/>
        </w:rPr>
        <w:t xml:space="preserve"> de penetratie een seksueel karakter te hebben. </w:t>
      </w:r>
      <w:r w:rsidR="0081745D" w:rsidRPr="000B4AB2">
        <w:rPr>
          <w:color w:val="000000" w:themeColor="text1"/>
          <w:szCs w:val="18"/>
          <w:lang w:val="nl-NL"/>
        </w:rPr>
        <w:t xml:space="preserve">Klassiek werd hiervoor enerzijds een objectieve component vereist en anderzijds (betwist) een subjectieve component. </w:t>
      </w:r>
    </w:p>
    <w:p w14:paraId="6AC3A178" w14:textId="6FC2B500" w:rsidR="00183FDC" w:rsidRPr="000B4AB2" w:rsidRDefault="00A04AE1"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lastRenderedPageBreak/>
        <w:t>Objectieve component</w:t>
      </w:r>
      <w:r w:rsidRPr="000B4AB2">
        <w:rPr>
          <w:color w:val="000000" w:themeColor="text1"/>
          <w:szCs w:val="18"/>
          <w:lang w:val="nl-NL"/>
        </w:rPr>
        <w:t xml:space="preserve">. </w:t>
      </w:r>
      <w:r w:rsidR="0081685E" w:rsidRPr="000B4AB2">
        <w:rPr>
          <w:color w:val="000000" w:themeColor="text1"/>
          <w:szCs w:val="18"/>
          <w:lang w:val="nl-NL"/>
        </w:rPr>
        <w:t xml:space="preserve">Onder seksueel </w:t>
      </w:r>
      <w:r w:rsidR="00EE0364" w:rsidRPr="000B4AB2">
        <w:rPr>
          <w:color w:val="000000" w:themeColor="text1"/>
          <w:szCs w:val="18"/>
          <w:lang w:val="nl-NL"/>
        </w:rPr>
        <w:t>werd</w:t>
      </w:r>
      <w:r w:rsidR="0081685E" w:rsidRPr="000B4AB2">
        <w:rPr>
          <w:color w:val="000000" w:themeColor="text1"/>
          <w:szCs w:val="18"/>
          <w:lang w:val="nl-NL"/>
        </w:rPr>
        <w:t xml:space="preserve"> verstaan </w:t>
      </w:r>
      <w:r w:rsidR="0031631D" w:rsidRPr="000B4AB2">
        <w:rPr>
          <w:color w:val="000000" w:themeColor="text1"/>
          <w:szCs w:val="18"/>
          <w:lang w:val="nl-NL"/>
        </w:rPr>
        <w:t>dat</w:t>
      </w:r>
      <w:r w:rsidR="00F37B2E" w:rsidRPr="000B4AB2">
        <w:rPr>
          <w:color w:val="000000" w:themeColor="text1"/>
          <w:szCs w:val="18"/>
          <w:lang w:val="nl-NL"/>
        </w:rPr>
        <w:t>gene</w:t>
      </w:r>
      <w:r w:rsidR="0031631D" w:rsidRPr="000B4AB2">
        <w:rPr>
          <w:color w:val="000000" w:themeColor="text1"/>
          <w:szCs w:val="18"/>
          <w:lang w:val="nl-NL"/>
        </w:rPr>
        <w:t xml:space="preserve"> “</w:t>
      </w:r>
      <w:r w:rsidR="0031631D" w:rsidRPr="000B4AB2">
        <w:rPr>
          <w:i/>
          <w:color w:val="000000" w:themeColor="text1"/>
          <w:szCs w:val="18"/>
          <w:lang w:val="nl-NL"/>
        </w:rPr>
        <w:t>wat men vandaag in het algemeen verstaat onder seksuele activiteit, rekening houdende met de gangbare zeden en gewoonten in onze hedendaagse cultuur</w:t>
      </w:r>
      <w:r w:rsidR="0031631D" w:rsidRPr="000B4AB2">
        <w:rPr>
          <w:color w:val="000000" w:themeColor="text1"/>
          <w:szCs w:val="18"/>
          <w:lang w:val="nl-NL"/>
        </w:rPr>
        <w:t>”.</w:t>
      </w:r>
      <w:r w:rsidR="0031631D" w:rsidRPr="000B4AB2">
        <w:rPr>
          <w:rStyle w:val="FootnoteReference"/>
          <w:color w:val="000000" w:themeColor="text1"/>
          <w:szCs w:val="18"/>
          <w:lang w:val="nl-NL"/>
        </w:rPr>
        <w:footnoteReference w:id="235"/>
      </w:r>
      <w:r w:rsidR="00F21344" w:rsidRPr="000B4AB2">
        <w:rPr>
          <w:color w:val="000000" w:themeColor="text1"/>
          <w:szCs w:val="18"/>
          <w:lang w:val="nl-NL"/>
        </w:rPr>
        <w:t xml:space="preserve"> </w:t>
      </w:r>
      <w:r w:rsidR="00817084" w:rsidRPr="000B4AB2">
        <w:rPr>
          <w:color w:val="000000" w:themeColor="text1"/>
          <w:szCs w:val="18"/>
          <w:lang w:val="nl-NL"/>
        </w:rPr>
        <w:t>De</w:t>
      </w:r>
      <w:r w:rsidR="00F21344" w:rsidRPr="000B4AB2">
        <w:rPr>
          <w:color w:val="000000" w:themeColor="text1"/>
          <w:szCs w:val="18"/>
          <w:lang w:val="nl-NL"/>
        </w:rPr>
        <w:t xml:space="preserve"> rechter </w:t>
      </w:r>
      <w:r w:rsidR="00817084" w:rsidRPr="000B4AB2">
        <w:rPr>
          <w:color w:val="000000" w:themeColor="text1"/>
          <w:szCs w:val="18"/>
          <w:lang w:val="nl-NL"/>
        </w:rPr>
        <w:t>beschikt</w:t>
      </w:r>
      <w:r w:rsidR="00EE0364" w:rsidRPr="000B4AB2">
        <w:rPr>
          <w:color w:val="000000" w:themeColor="text1"/>
          <w:szCs w:val="18"/>
          <w:lang w:val="nl-NL"/>
        </w:rPr>
        <w:t>e</w:t>
      </w:r>
      <w:r w:rsidR="00817084" w:rsidRPr="000B4AB2">
        <w:rPr>
          <w:color w:val="000000" w:themeColor="text1"/>
          <w:szCs w:val="18"/>
          <w:lang w:val="nl-NL"/>
        </w:rPr>
        <w:t xml:space="preserve"> </w:t>
      </w:r>
      <w:r w:rsidR="001822F4" w:rsidRPr="000B4AB2">
        <w:rPr>
          <w:color w:val="000000" w:themeColor="text1"/>
          <w:szCs w:val="18"/>
          <w:lang w:val="nl-NL"/>
        </w:rPr>
        <w:t>bijgevolg</w:t>
      </w:r>
      <w:r w:rsidR="00F21344" w:rsidRPr="000B4AB2">
        <w:rPr>
          <w:color w:val="000000" w:themeColor="text1"/>
          <w:szCs w:val="18"/>
          <w:lang w:val="nl-NL"/>
        </w:rPr>
        <w:t xml:space="preserve"> over een beoordelingsmarge en k</w:t>
      </w:r>
      <w:r w:rsidR="00EE0364" w:rsidRPr="000B4AB2">
        <w:rPr>
          <w:color w:val="000000" w:themeColor="text1"/>
          <w:szCs w:val="18"/>
          <w:lang w:val="nl-NL"/>
        </w:rPr>
        <w:t>o</w:t>
      </w:r>
      <w:r w:rsidR="00F21344" w:rsidRPr="000B4AB2">
        <w:rPr>
          <w:color w:val="000000" w:themeColor="text1"/>
          <w:szCs w:val="18"/>
          <w:lang w:val="nl-NL"/>
        </w:rPr>
        <w:t>n rekening houden met de evolutieve maatschappelijke opvattingen omtrent seksualiteit.</w:t>
      </w:r>
      <w:r w:rsidR="00F21344" w:rsidRPr="000B4AB2">
        <w:rPr>
          <w:rStyle w:val="FootnoteReference"/>
          <w:color w:val="000000" w:themeColor="text1"/>
          <w:szCs w:val="18"/>
          <w:lang w:val="nl-NL"/>
        </w:rPr>
        <w:footnoteReference w:id="236"/>
      </w:r>
      <w:r w:rsidR="00B04AFE" w:rsidRPr="000B4AB2">
        <w:rPr>
          <w:color w:val="000000" w:themeColor="text1"/>
          <w:szCs w:val="18"/>
          <w:lang w:val="nl-NL"/>
        </w:rPr>
        <w:t xml:space="preserve"> </w:t>
      </w:r>
    </w:p>
    <w:p w14:paraId="6E166995" w14:textId="77777777" w:rsidR="00183FDC" w:rsidRPr="000B4AB2" w:rsidRDefault="00183FDC" w:rsidP="00260F11">
      <w:pPr>
        <w:pStyle w:val="ListParagraph"/>
        <w:spacing w:line="360" w:lineRule="auto"/>
        <w:rPr>
          <w:color w:val="000000" w:themeColor="text1"/>
          <w:szCs w:val="18"/>
          <w:lang w:val="nl-NL"/>
        </w:rPr>
      </w:pPr>
    </w:p>
    <w:p w14:paraId="10967877" w14:textId="552056C7" w:rsidR="00ED74FC" w:rsidRPr="000B4AB2" w:rsidRDefault="00F31E1D"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Subjectieve component?</w:t>
      </w:r>
      <w:r w:rsidR="00B72598" w:rsidRPr="00317E82">
        <w:rPr>
          <w:rStyle w:val="FootnoteReference"/>
          <w:color w:val="000000" w:themeColor="text1"/>
          <w:szCs w:val="18"/>
          <w:lang w:val="nl-NL"/>
        </w:rPr>
        <w:footnoteReference w:id="237"/>
      </w:r>
      <w:r w:rsidR="0081685E" w:rsidRPr="000B4AB2">
        <w:rPr>
          <w:color w:val="000000" w:themeColor="text1"/>
          <w:szCs w:val="18"/>
          <w:lang w:val="nl-NL"/>
        </w:rPr>
        <w:t xml:space="preserve"> </w:t>
      </w:r>
      <w:r w:rsidR="001E60FB">
        <w:rPr>
          <w:color w:val="000000" w:themeColor="text1"/>
          <w:szCs w:val="18"/>
          <w:lang w:val="nl-NL"/>
        </w:rPr>
        <w:t>Tijdens</w:t>
      </w:r>
      <w:r w:rsidR="0081685E" w:rsidRPr="000B4AB2">
        <w:rPr>
          <w:color w:val="000000" w:themeColor="text1"/>
          <w:szCs w:val="18"/>
          <w:lang w:val="nl-NL"/>
        </w:rPr>
        <w:t xml:space="preserve"> de parlementaire werkzaamheden </w:t>
      </w:r>
      <w:r w:rsidR="001E60FB">
        <w:rPr>
          <w:color w:val="000000" w:themeColor="text1"/>
          <w:szCs w:val="18"/>
          <w:lang w:val="nl-NL"/>
        </w:rPr>
        <w:t xml:space="preserve">werd </w:t>
      </w:r>
      <w:r w:rsidR="0081685E" w:rsidRPr="000B4AB2">
        <w:rPr>
          <w:color w:val="000000" w:themeColor="text1"/>
          <w:szCs w:val="18"/>
          <w:lang w:val="nl-NL"/>
        </w:rPr>
        <w:t>gesteld dat tevens</w:t>
      </w:r>
      <w:r w:rsidR="00183FDC" w:rsidRPr="000B4AB2">
        <w:rPr>
          <w:color w:val="000000" w:themeColor="text1"/>
          <w:szCs w:val="18"/>
          <w:lang w:val="nl-NL"/>
        </w:rPr>
        <w:t xml:space="preserve"> een</w:t>
      </w:r>
      <w:r w:rsidR="00B04AFE" w:rsidRPr="000B4AB2">
        <w:rPr>
          <w:color w:val="000000" w:themeColor="text1"/>
          <w:szCs w:val="18"/>
          <w:lang w:val="nl-NL"/>
        </w:rPr>
        <w:t xml:space="preserve"> subjectieve component </w:t>
      </w:r>
      <w:r w:rsidR="00183FDC" w:rsidRPr="000B4AB2">
        <w:rPr>
          <w:color w:val="000000" w:themeColor="text1"/>
          <w:szCs w:val="18"/>
          <w:lang w:val="nl-NL"/>
        </w:rPr>
        <w:t xml:space="preserve">vervuld </w:t>
      </w:r>
      <w:r w:rsidR="00EE0364" w:rsidRPr="000B4AB2">
        <w:rPr>
          <w:color w:val="000000" w:themeColor="text1"/>
          <w:szCs w:val="18"/>
          <w:lang w:val="nl-NL"/>
        </w:rPr>
        <w:t>zou moeten</w:t>
      </w:r>
      <w:r w:rsidR="00183FDC" w:rsidRPr="000B4AB2">
        <w:rPr>
          <w:color w:val="000000" w:themeColor="text1"/>
          <w:szCs w:val="18"/>
          <w:lang w:val="nl-NL"/>
        </w:rPr>
        <w:t xml:space="preserve"> zijn opdat </w:t>
      </w:r>
      <w:r w:rsidR="00EE0364" w:rsidRPr="000B4AB2">
        <w:rPr>
          <w:color w:val="000000" w:themeColor="text1"/>
          <w:szCs w:val="18"/>
          <w:lang w:val="nl-NL"/>
        </w:rPr>
        <w:t>sprake kon zijn van een seksuele</w:t>
      </w:r>
      <w:r w:rsidR="00183FDC" w:rsidRPr="000B4AB2">
        <w:rPr>
          <w:color w:val="000000" w:themeColor="text1"/>
          <w:szCs w:val="18"/>
          <w:lang w:val="nl-NL"/>
        </w:rPr>
        <w:t xml:space="preserve"> penetratie</w:t>
      </w:r>
      <w:r w:rsidR="0081685E" w:rsidRPr="000B4AB2">
        <w:rPr>
          <w:color w:val="000000" w:themeColor="text1"/>
          <w:szCs w:val="18"/>
          <w:lang w:val="nl-NL"/>
        </w:rPr>
        <w:t>. Deze subjectieve factor</w:t>
      </w:r>
      <w:r w:rsidR="00183FDC" w:rsidRPr="000B4AB2">
        <w:rPr>
          <w:color w:val="000000" w:themeColor="text1"/>
          <w:szCs w:val="18"/>
          <w:lang w:val="nl-NL"/>
        </w:rPr>
        <w:t xml:space="preserve"> zou </w:t>
      </w:r>
      <w:r w:rsidR="00EE0364" w:rsidRPr="000B4AB2">
        <w:rPr>
          <w:color w:val="000000" w:themeColor="text1"/>
          <w:szCs w:val="18"/>
          <w:lang w:val="nl-NL"/>
        </w:rPr>
        <w:t>geslaagd hebben</w:t>
      </w:r>
      <w:r w:rsidR="00B04AFE" w:rsidRPr="000B4AB2">
        <w:rPr>
          <w:color w:val="000000" w:themeColor="text1"/>
          <w:szCs w:val="18"/>
          <w:lang w:val="nl-NL"/>
        </w:rPr>
        <w:t xml:space="preserve"> op </w:t>
      </w:r>
      <w:r w:rsidR="007F2CBF" w:rsidRPr="000B4AB2">
        <w:rPr>
          <w:color w:val="000000" w:themeColor="text1"/>
          <w:szCs w:val="18"/>
          <w:lang w:val="nl-NL"/>
        </w:rPr>
        <w:t>de</w:t>
      </w:r>
      <w:r w:rsidR="00B04AFE" w:rsidRPr="000B4AB2">
        <w:rPr>
          <w:color w:val="000000" w:themeColor="text1"/>
          <w:szCs w:val="18"/>
          <w:lang w:val="nl-NL"/>
        </w:rPr>
        <w:t xml:space="preserve"> seksuel</w:t>
      </w:r>
      <w:r w:rsidR="003F6AE7">
        <w:rPr>
          <w:color w:val="000000" w:themeColor="text1"/>
          <w:szCs w:val="18"/>
          <w:lang w:val="nl-NL"/>
        </w:rPr>
        <w:t>e</w:t>
      </w:r>
      <w:r w:rsidR="00B04AFE" w:rsidRPr="000B4AB2">
        <w:rPr>
          <w:color w:val="000000" w:themeColor="text1"/>
          <w:szCs w:val="18"/>
          <w:lang w:val="nl-NL"/>
        </w:rPr>
        <w:t xml:space="preserve"> </w:t>
      </w:r>
      <w:r w:rsidR="007F2CBF" w:rsidRPr="000B4AB2">
        <w:rPr>
          <w:color w:val="000000" w:themeColor="text1"/>
          <w:szCs w:val="18"/>
          <w:lang w:val="nl-NL"/>
        </w:rPr>
        <w:t>drijfveer</w:t>
      </w:r>
      <w:r w:rsidR="00B04AFE" w:rsidRPr="000B4AB2">
        <w:rPr>
          <w:color w:val="000000" w:themeColor="text1"/>
          <w:szCs w:val="18"/>
          <w:lang w:val="nl-NL"/>
        </w:rPr>
        <w:t xml:space="preserve"> van de dader.</w:t>
      </w:r>
      <w:r w:rsidR="00B56C56" w:rsidRPr="000B4AB2">
        <w:rPr>
          <w:rStyle w:val="FootnoteReference"/>
          <w:color w:val="000000" w:themeColor="text1"/>
          <w:szCs w:val="18"/>
          <w:lang w:val="nl-NL"/>
        </w:rPr>
        <w:footnoteReference w:id="238"/>
      </w:r>
      <w:r w:rsidR="00183FDC" w:rsidRPr="000B4AB2">
        <w:rPr>
          <w:color w:val="000000" w:themeColor="text1"/>
          <w:szCs w:val="18"/>
          <w:lang w:val="nl-NL"/>
        </w:rPr>
        <w:t xml:space="preserve"> </w:t>
      </w:r>
      <w:r w:rsidRPr="000B4AB2">
        <w:rPr>
          <w:color w:val="000000" w:themeColor="text1"/>
          <w:szCs w:val="18"/>
          <w:lang w:val="nl-NL"/>
        </w:rPr>
        <w:t>Binnen de doctrine</w:t>
      </w:r>
      <w:r w:rsidR="007F2CBF" w:rsidRPr="000B4AB2">
        <w:rPr>
          <w:color w:val="000000" w:themeColor="text1"/>
          <w:szCs w:val="18"/>
          <w:lang w:val="nl-NL"/>
        </w:rPr>
        <w:t xml:space="preserve"> </w:t>
      </w:r>
      <w:r w:rsidR="0074721C" w:rsidRPr="000B4AB2">
        <w:rPr>
          <w:color w:val="000000" w:themeColor="text1"/>
          <w:szCs w:val="18"/>
          <w:lang w:val="nl-NL"/>
        </w:rPr>
        <w:t>bestond</w:t>
      </w:r>
      <w:r w:rsidR="007F2CBF" w:rsidRPr="000B4AB2">
        <w:rPr>
          <w:color w:val="000000" w:themeColor="text1"/>
          <w:szCs w:val="18"/>
          <w:lang w:val="nl-NL"/>
        </w:rPr>
        <w:t xml:space="preserve"> evenwel verdeeldheid over </w:t>
      </w:r>
      <w:r w:rsidR="00457F74" w:rsidRPr="000B4AB2">
        <w:rPr>
          <w:color w:val="000000" w:themeColor="text1"/>
          <w:szCs w:val="18"/>
          <w:lang w:val="nl-NL"/>
        </w:rPr>
        <w:t>voornoemde subjectieve</w:t>
      </w:r>
      <w:r w:rsidR="007F2CBF" w:rsidRPr="000B4AB2">
        <w:rPr>
          <w:color w:val="000000" w:themeColor="text1"/>
          <w:szCs w:val="18"/>
          <w:lang w:val="nl-NL"/>
        </w:rPr>
        <w:t xml:space="preserve"> component. </w:t>
      </w:r>
      <w:r w:rsidR="00672CE7" w:rsidRPr="000B4AB2">
        <w:rPr>
          <w:color w:val="000000" w:themeColor="text1"/>
          <w:szCs w:val="18"/>
          <w:lang w:val="nl-NL"/>
        </w:rPr>
        <w:t xml:space="preserve">In grote lijnen </w:t>
      </w:r>
      <w:r w:rsidR="00EE0364" w:rsidRPr="000B4AB2">
        <w:rPr>
          <w:color w:val="000000" w:themeColor="text1"/>
          <w:szCs w:val="18"/>
          <w:lang w:val="nl-NL"/>
        </w:rPr>
        <w:t>konden</w:t>
      </w:r>
      <w:r w:rsidR="00672CE7" w:rsidRPr="000B4AB2">
        <w:rPr>
          <w:color w:val="000000" w:themeColor="text1"/>
          <w:szCs w:val="18"/>
          <w:lang w:val="nl-NL"/>
        </w:rPr>
        <w:t xml:space="preserve"> drie verschillende </w:t>
      </w:r>
      <w:r w:rsidR="00EE0364" w:rsidRPr="000B4AB2">
        <w:rPr>
          <w:color w:val="000000" w:themeColor="text1"/>
          <w:szCs w:val="18"/>
          <w:lang w:val="nl-NL"/>
        </w:rPr>
        <w:t>visies</w:t>
      </w:r>
      <w:r w:rsidR="00672CE7" w:rsidRPr="000B4AB2">
        <w:rPr>
          <w:color w:val="000000" w:themeColor="text1"/>
          <w:szCs w:val="18"/>
          <w:lang w:val="nl-NL"/>
        </w:rPr>
        <w:t xml:space="preserve"> </w:t>
      </w:r>
      <w:r w:rsidRPr="000B4AB2">
        <w:rPr>
          <w:color w:val="000000" w:themeColor="text1"/>
          <w:szCs w:val="18"/>
          <w:lang w:val="nl-NL"/>
        </w:rPr>
        <w:t>van elkaar worden onderscheiden</w:t>
      </w:r>
      <w:r w:rsidR="00672CE7" w:rsidRPr="000B4AB2">
        <w:rPr>
          <w:color w:val="000000" w:themeColor="text1"/>
          <w:szCs w:val="18"/>
          <w:lang w:val="nl-NL"/>
        </w:rPr>
        <w:t xml:space="preserve">. </w:t>
      </w:r>
    </w:p>
    <w:p w14:paraId="10BA7B30" w14:textId="77777777" w:rsidR="00386F71" w:rsidRPr="000B4AB2" w:rsidRDefault="00386F71" w:rsidP="00260F11">
      <w:pPr>
        <w:spacing w:line="360" w:lineRule="auto"/>
        <w:rPr>
          <w:color w:val="000000" w:themeColor="text1"/>
          <w:szCs w:val="18"/>
          <w:lang w:val="nl-NL"/>
        </w:rPr>
      </w:pPr>
    </w:p>
    <w:p w14:paraId="0B85577C" w14:textId="482B3588" w:rsidR="00F504F7" w:rsidRPr="000B4AB2" w:rsidRDefault="00672CE7" w:rsidP="00260F11">
      <w:pPr>
        <w:spacing w:line="360" w:lineRule="auto"/>
        <w:rPr>
          <w:color w:val="000000" w:themeColor="text1"/>
          <w:szCs w:val="18"/>
          <w:lang w:val="nl-NL"/>
        </w:rPr>
      </w:pPr>
      <w:r w:rsidRPr="000B4AB2">
        <w:rPr>
          <w:color w:val="000000" w:themeColor="text1"/>
          <w:szCs w:val="18"/>
          <w:lang w:val="nl-NL"/>
        </w:rPr>
        <w:t xml:space="preserve">Vooreerst </w:t>
      </w:r>
      <w:r w:rsidR="00EE0364" w:rsidRPr="000B4AB2">
        <w:rPr>
          <w:color w:val="000000" w:themeColor="text1"/>
          <w:szCs w:val="18"/>
          <w:lang w:val="nl-NL"/>
        </w:rPr>
        <w:t>waren</w:t>
      </w:r>
      <w:r w:rsidRPr="000B4AB2">
        <w:rPr>
          <w:color w:val="000000" w:themeColor="text1"/>
          <w:szCs w:val="18"/>
          <w:lang w:val="nl-NL"/>
        </w:rPr>
        <w:t xml:space="preserve"> er auteurs die inderdaad </w:t>
      </w:r>
      <w:r w:rsidR="00EE0364" w:rsidRPr="000B4AB2">
        <w:rPr>
          <w:color w:val="000000" w:themeColor="text1"/>
          <w:szCs w:val="18"/>
          <w:lang w:val="nl-NL"/>
        </w:rPr>
        <w:t>stelden</w:t>
      </w:r>
      <w:r w:rsidRPr="000B4AB2">
        <w:rPr>
          <w:color w:val="000000" w:themeColor="text1"/>
          <w:szCs w:val="18"/>
          <w:lang w:val="nl-NL"/>
        </w:rPr>
        <w:t xml:space="preserve"> dat </w:t>
      </w:r>
      <w:r w:rsidR="0060316D" w:rsidRPr="000B4AB2">
        <w:rPr>
          <w:color w:val="000000" w:themeColor="text1"/>
          <w:szCs w:val="18"/>
          <w:lang w:val="nl-NL"/>
        </w:rPr>
        <w:t xml:space="preserve">een penetratie maar een seksueel karakter </w:t>
      </w:r>
      <w:r w:rsidR="00EE0364" w:rsidRPr="000B4AB2">
        <w:rPr>
          <w:color w:val="000000" w:themeColor="text1"/>
          <w:szCs w:val="18"/>
          <w:lang w:val="nl-NL"/>
        </w:rPr>
        <w:t>had</w:t>
      </w:r>
      <w:r w:rsidR="0060316D" w:rsidRPr="000B4AB2">
        <w:rPr>
          <w:color w:val="000000" w:themeColor="text1"/>
          <w:szCs w:val="18"/>
          <w:lang w:val="nl-NL"/>
        </w:rPr>
        <w:t xml:space="preserve"> indien</w:t>
      </w:r>
      <w:r w:rsidRPr="000B4AB2">
        <w:rPr>
          <w:color w:val="000000" w:themeColor="text1"/>
          <w:szCs w:val="18"/>
          <w:lang w:val="nl-NL"/>
        </w:rPr>
        <w:t xml:space="preserve"> zowel de objectieve als subjectieve component</w:t>
      </w:r>
      <w:r w:rsidR="0060316D" w:rsidRPr="000B4AB2">
        <w:rPr>
          <w:color w:val="000000" w:themeColor="text1"/>
          <w:szCs w:val="18"/>
          <w:lang w:val="nl-NL"/>
        </w:rPr>
        <w:t xml:space="preserve"> voorhanden </w:t>
      </w:r>
      <w:r w:rsidR="00210373" w:rsidRPr="000B4AB2">
        <w:rPr>
          <w:color w:val="000000" w:themeColor="text1"/>
          <w:szCs w:val="18"/>
          <w:lang w:val="nl-NL"/>
        </w:rPr>
        <w:t>waren</w:t>
      </w:r>
      <w:r w:rsidRPr="000B4AB2">
        <w:rPr>
          <w:color w:val="000000" w:themeColor="text1"/>
          <w:szCs w:val="18"/>
          <w:lang w:val="nl-NL"/>
        </w:rPr>
        <w:t>.</w:t>
      </w:r>
      <w:r w:rsidR="0074721C" w:rsidRPr="000B4AB2">
        <w:rPr>
          <w:color w:val="000000" w:themeColor="text1"/>
          <w:szCs w:val="18"/>
          <w:lang w:val="nl-NL"/>
        </w:rPr>
        <w:t xml:space="preserve"> </w:t>
      </w:r>
      <w:r w:rsidR="00EE0364" w:rsidRPr="000B4AB2">
        <w:rPr>
          <w:color w:val="000000" w:themeColor="text1"/>
          <w:szCs w:val="18"/>
          <w:lang w:val="nl-NL"/>
        </w:rPr>
        <w:t>Geen</w:t>
      </w:r>
      <w:r w:rsidR="0074721C" w:rsidRPr="000B4AB2">
        <w:rPr>
          <w:color w:val="000000" w:themeColor="text1"/>
          <w:szCs w:val="18"/>
          <w:lang w:val="nl-NL"/>
        </w:rPr>
        <w:t xml:space="preserve"> van deze auteurs</w:t>
      </w:r>
      <w:r w:rsidR="00EE0364" w:rsidRPr="000B4AB2">
        <w:rPr>
          <w:color w:val="000000" w:themeColor="text1"/>
          <w:szCs w:val="18"/>
          <w:lang w:val="nl-NL"/>
        </w:rPr>
        <w:t xml:space="preserve"> ging evenwel</w:t>
      </w:r>
      <w:r w:rsidR="0074721C" w:rsidRPr="000B4AB2">
        <w:rPr>
          <w:color w:val="000000" w:themeColor="text1"/>
          <w:szCs w:val="18"/>
          <w:lang w:val="nl-NL"/>
        </w:rPr>
        <w:t xml:space="preserve"> zo ver om te stellen dat een </w:t>
      </w:r>
      <w:r w:rsidR="00FD51BE" w:rsidRPr="000B4AB2">
        <w:rPr>
          <w:color w:val="000000" w:themeColor="text1"/>
          <w:szCs w:val="18"/>
          <w:lang w:val="nl-NL"/>
        </w:rPr>
        <w:t>bijzonder opzet vereist zou</w:t>
      </w:r>
      <w:r w:rsidR="00DE6D72">
        <w:rPr>
          <w:color w:val="000000" w:themeColor="text1"/>
          <w:szCs w:val="18"/>
          <w:lang w:val="nl-NL"/>
        </w:rPr>
        <w:t xml:space="preserve"> zijn</w:t>
      </w:r>
      <w:r w:rsidR="00FD51BE" w:rsidRPr="000B4AB2">
        <w:rPr>
          <w:color w:val="000000" w:themeColor="text1"/>
          <w:szCs w:val="18"/>
          <w:lang w:val="nl-NL"/>
        </w:rPr>
        <w:t>.</w:t>
      </w:r>
      <w:r w:rsidR="00210373" w:rsidRPr="000B4AB2">
        <w:rPr>
          <w:rStyle w:val="FootnoteReference"/>
          <w:color w:val="000000" w:themeColor="text1"/>
          <w:szCs w:val="18"/>
          <w:lang w:val="nl-NL"/>
        </w:rPr>
        <w:footnoteReference w:id="239"/>
      </w:r>
      <w:r w:rsidR="00B72598">
        <w:rPr>
          <w:color w:val="000000" w:themeColor="text1"/>
          <w:szCs w:val="18"/>
          <w:lang w:val="nl-NL"/>
        </w:rPr>
        <w:t xml:space="preserve"> </w:t>
      </w:r>
      <w:r w:rsidR="0074721C" w:rsidRPr="000B4AB2">
        <w:rPr>
          <w:color w:val="000000" w:themeColor="text1"/>
          <w:szCs w:val="18"/>
          <w:lang w:val="nl-NL"/>
        </w:rPr>
        <w:t xml:space="preserve">Daarnaast </w:t>
      </w:r>
      <w:r w:rsidR="00EE0364" w:rsidRPr="000B4AB2">
        <w:rPr>
          <w:color w:val="000000" w:themeColor="text1"/>
          <w:szCs w:val="18"/>
          <w:lang w:val="nl-NL"/>
        </w:rPr>
        <w:t>waren</w:t>
      </w:r>
      <w:r w:rsidR="0074721C" w:rsidRPr="000B4AB2">
        <w:rPr>
          <w:color w:val="000000" w:themeColor="text1"/>
          <w:szCs w:val="18"/>
          <w:lang w:val="nl-NL"/>
        </w:rPr>
        <w:t xml:space="preserve"> er auteurs die enkel spr</w:t>
      </w:r>
      <w:r w:rsidR="00EE0364" w:rsidRPr="000B4AB2">
        <w:rPr>
          <w:color w:val="000000" w:themeColor="text1"/>
          <w:szCs w:val="18"/>
          <w:lang w:val="nl-NL"/>
        </w:rPr>
        <w:t>a</w:t>
      </w:r>
      <w:r w:rsidR="0074721C" w:rsidRPr="000B4AB2">
        <w:rPr>
          <w:color w:val="000000" w:themeColor="text1"/>
          <w:szCs w:val="18"/>
          <w:lang w:val="nl-NL"/>
        </w:rPr>
        <w:t>ken van de objectieve component en deze discussie voor het overige ter zijde l</w:t>
      </w:r>
      <w:r w:rsidR="00EE0364" w:rsidRPr="000B4AB2">
        <w:rPr>
          <w:color w:val="000000" w:themeColor="text1"/>
          <w:szCs w:val="18"/>
          <w:lang w:val="nl-NL"/>
        </w:rPr>
        <w:t>ie</w:t>
      </w:r>
      <w:r w:rsidR="0074721C" w:rsidRPr="000B4AB2">
        <w:rPr>
          <w:color w:val="000000" w:themeColor="text1"/>
          <w:szCs w:val="18"/>
          <w:lang w:val="nl-NL"/>
        </w:rPr>
        <w:t>ten</w:t>
      </w:r>
      <w:r w:rsidR="00210373" w:rsidRPr="000B4AB2">
        <w:rPr>
          <w:color w:val="000000" w:themeColor="text1"/>
          <w:szCs w:val="18"/>
          <w:lang w:val="nl-NL"/>
        </w:rPr>
        <w:t>, of enkel het vereiste seksueel karakter van de penetratie vermeldden.</w:t>
      </w:r>
      <w:r w:rsidR="0074721C" w:rsidRPr="000B4AB2">
        <w:rPr>
          <w:rStyle w:val="FootnoteReference"/>
          <w:color w:val="000000" w:themeColor="text1"/>
          <w:szCs w:val="18"/>
          <w:lang w:val="nl-NL"/>
        </w:rPr>
        <w:footnoteReference w:id="240"/>
      </w:r>
      <w:r w:rsidR="00864D65" w:rsidRPr="000B4AB2">
        <w:rPr>
          <w:color w:val="000000" w:themeColor="text1"/>
          <w:szCs w:val="18"/>
          <w:lang w:val="nl-NL"/>
        </w:rPr>
        <w:t xml:space="preserve"> </w:t>
      </w:r>
      <w:r w:rsidR="008A2FEC" w:rsidRPr="000B4AB2">
        <w:rPr>
          <w:color w:val="000000" w:themeColor="text1"/>
          <w:szCs w:val="18"/>
          <w:lang w:val="nl-NL"/>
        </w:rPr>
        <w:t>Tot slot</w:t>
      </w:r>
      <w:r w:rsidRPr="000B4AB2">
        <w:rPr>
          <w:color w:val="000000" w:themeColor="text1"/>
          <w:szCs w:val="18"/>
          <w:lang w:val="nl-NL"/>
        </w:rPr>
        <w:t xml:space="preserve"> </w:t>
      </w:r>
      <w:r w:rsidR="00EE0364" w:rsidRPr="000B4AB2">
        <w:rPr>
          <w:color w:val="000000" w:themeColor="text1"/>
          <w:szCs w:val="18"/>
          <w:lang w:val="nl-NL"/>
        </w:rPr>
        <w:t>waren</w:t>
      </w:r>
      <w:r w:rsidRPr="000B4AB2">
        <w:rPr>
          <w:color w:val="000000" w:themeColor="text1"/>
          <w:szCs w:val="18"/>
          <w:lang w:val="nl-NL"/>
        </w:rPr>
        <w:t xml:space="preserve"> er auteurs die </w:t>
      </w:r>
      <w:r w:rsidR="0074721C" w:rsidRPr="000B4AB2">
        <w:rPr>
          <w:color w:val="000000" w:themeColor="text1"/>
          <w:szCs w:val="18"/>
          <w:lang w:val="nl-NL"/>
        </w:rPr>
        <w:t>de vereiste van een subjectieve component</w:t>
      </w:r>
      <w:r w:rsidR="006052CB" w:rsidRPr="000B4AB2">
        <w:rPr>
          <w:color w:val="000000" w:themeColor="text1"/>
          <w:szCs w:val="18"/>
          <w:lang w:val="nl-NL"/>
        </w:rPr>
        <w:t xml:space="preserve"> expliciet</w:t>
      </w:r>
      <w:r w:rsidRPr="000B4AB2">
        <w:rPr>
          <w:color w:val="000000" w:themeColor="text1"/>
          <w:szCs w:val="18"/>
          <w:lang w:val="nl-NL"/>
        </w:rPr>
        <w:t xml:space="preserve"> verw</w:t>
      </w:r>
      <w:r w:rsidR="00EE0364" w:rsidRPr="000B4AB2">
        <w:rPr>
          <w:color w:val="000000" w:themeColor="text1"/>
          <w:szCs w:val="18"/>
          <w:lang w:val="nl-NL"/>
        </w:rPr>
        <w:t>ie</w:t>
      </w:r>
      <w:r w:rsidRPr="000B4AB2">
        <w:rPr>
          <w:color w:val="000000" w:themeColor="text1"/>
          <w:szCs w:val="18"/>
          <w:lang w:val="nl-NL"/>
        </w:rPr>
        <w:t>rpen</w:t>
      </w:r>
      <w:r w:rsidR="00A83655">
        <w:rPr>
          <w:color w:val="000000" w:themeColor="text1"/>
          <w:szCs w:val="18"/>
          <w:lang w:val="nl-NL"/>
        </w:rPr>
        <w:t xml:space="preserve"> </w:t>
      </w:r>
      <w:r w:rsidR="008A2FEC" w:rsidRPr="000B4AB2">
        <w:rPr>
          <w:color w:val="000000" w:themeColor="text1"/>
          <w:szCs w:val="18"/>
          <w:lang w:val="nl-NL"/>
        </w:rPr>
        <w:t>en</w:t>
      </w:r>
      <w:r w:rsidRPr="000B4AB2">
        <w:rPr>
          <w:color w:val="000000" w:themeColor="text1"/>
          <w:szCs w:val="18"/>
          <w:lang w:val="nl-NL"/>
        </w:rPr>
        <w:t xml:space="preserve"> </w:t>
      </w:r>
      <w:r w:rsidR="00EE0364" w:rsidRPr="000B4AB2">
        <w:rPr>
          <w:color w:val="000000" w:themeColor="text1"/>
          <w:szCs w:val="18"/>
          <w:lang w:val="nl-NL"/>
        </w:rPr>
        <w:t>meenden</w:t>
      </w:r>
      <w:r w:rsidRPr="000B4AB2">
        <w:rPr>
          <w:color w:val="000000" w:themeColor="text1"/>
          <w:szCs w:val="18"/>
          <w:lang w:val="nl-NL"/>
        </w:rPr>
        <w:t xml:space="preserve"> dat enkel de objectieve component vereist </w:t>
      </w:r>
      <w:r w:rsidR="00EE0364" w:rsidRPr="000B4AB2">
        <w:rPr>
          <w:color w:val="000000" w:themeColor="text1"/>
          <w:szCs w:val="18"/>
          <w:lang w:val="nl-NL"/>
        </w:rPr>
        <w:t>was</w:t>
      </w:r>
      <w:r w:rsidR="00A83655">
        <w:rPr>
          <w:color w:val="000000" w:themeColor="text1"/>
          <w:szCs w:val="18"/>
          <w:lang w:val="nl-NL"/>
        </w:rPr>
        <w:t>.</w:t>
      </w:r>
      <w:r w:rsidR="00A83655" w:rsidRPr="000B4AB2">
        <w:rPr>
          <w:rStyle w:val="FootnoteReference"/>
          <w:color w:val="000000" w:themeColor="text1"/>
          <w:szCs w:val="18"/>
          <w:lang w:val="nl-NL"/>
        </w:rPr>
        <w:footnoteReference w:id="241"/>
      </w:r>
    </w:p>
    <w:p w14:paraId="7825F027" w14:textId="77777777" w:rsidR="00375DC2" w:rsidRPr="000B4AB2" w:rsidRDefault="00375DC2" w:rsidP="00260F11">
      <w:pPr>
        <w:spacing w:line="360" w:lineRule="auto"/>
        <w:rPr>
          <w:b/>
          <w:color w:val="000000" w:themeColor="text1"/>
          <w:szCs w:val="18"/>
          <w:lang w:val="nl-NL"/>
        </w:rPr>
      </w:pPr>
    </w:p>
    <w:p w14:paraId="2463FBC1" w14:textId="7A91C8E8" w:rsidR="001E60FB" w:rsidRDefault="00A8481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Geen uitdrukkelijke vaststelling nodig</w:t>
      </w:r>
      <w:r w:rsidR="00A04AE1" w:rsidRPr="000B4AB2">
        <w:rPr>
          <w:color w:val="000000" w:themeColor="text1"/>
          <w:szCs w:val="18"/>
          <w:lang w:val="nl-NL"/>
        </w:rPr>
        <w:t xml:space="preserve">. </w:t>
      </w:r>
      <w:r w:rsidR="00070872" w:rsidRPr="000B4AB2">
        <w:rPr>
          <w:color w:val="000000" w:themeColor="text1"/>
          <w:szCs w:val="18"/>
          <w:lang w:val="nl-NL"/>
        </w:rPr>
        <w:t>Cassatie oordeelde eind 2021</w:t>
      </w:r>
      <w:r w:rsidR="00A04AE1" w:rsidRPr="000B4AB2">
        <w:rPr>
          <w:color w:val="000000" w:themeColor="text1"/>
          <w:szCs w:val="18"/>
          <w:lang w:val="nl-NL"/>
        </w:rPr>
        <w:t xml:space="preserve"> </w:t>
      </w:r>
      <w:r w:rsidR="001C3F57">
        <w:rPr>
          <w:color w:val="000000" w:themeColor="text1"/>
          <w:szCs w:val="18"/>
          <w:lang w:val="nl-NL"/>
        </w:rPr>
        <w:t xml:space="preserve">evenwel </w:t>
      </w:r>
      <w:r w:rsidR="001E60FB">
        <w:rPr>
          <w:color w:val="000000" w:themeColor="text1"/>
          <w:szCs w:val="18"/>
          <w:lang w:val="nl-NL"/>
        </w:rPr>
        <w:t>dat</w:t>
      </w:r>
      <w:r w:rsidR="00A04AE1" w:rsidRPr="000B4AB2">
        <w:rPr>
          <w:color w:val="000000" w:themeColor="text1"/>
          <w:szCs w:val="18"/>
          <w:lang w:val="nl-NL"/>
        </w:rPr>
        <w:t xml:space="preserve">: </w:t>
      </w:r>
      <w:r w:rsidR="00070872" w:rsidRPr="000B4AB2">
        <w:rPr>
          <w:i/>
          <w:color w:val="000000" w:themeColor="text1"/>
          <w:szCs w:val="18"/>
          <w:lang w:val="nl-NL"/>
        </w:rPr>
        <w:t>“de rechter die oordeelt dat het seksuele karakter van de penetratie vaststaat, dient hierbij niet uitdrukkelijk vast te stellen dat de penetratie een inbreuk op de gangbare seksuele gedragsnormen vormt noch dat de dader de penetratie met een seksueel opzet heeft gepleegd.”</w:t>
      </w:r>
      <w:r w:rsidR="007B5BDF" w:rsidRPr="000B4AB2">
        <w:rPr>
          <w:rStyle w:val="FootnoteReference"/>
          <w:color w:val="000000" w:themeColor="text1"/>
          <w:szCs w:val="18"/>
          <w:lang w:val="nl-NL"/>
        </w:rPr>
        <w:footnoteReference w:id="242"/>
      </w:r>
      <w:r w:rsidR="00DF1E49" w:rsidRPr="000B4AB2">
        <w:rPr>
          <w:color w:val="000000" w:themeColor="text1"/>
          <w:szCs w:val="18"/>
          <w:lang w:val="nl-NL"/>
        </w:rPr>
        <w:t xml:space="preserve"> </w:t>
      </w:r>
      <w:r w:rsidR="00EE7223" w:rsidRPr="000B4AB2">
        <w:rPr>
          <w:color w:val="000000" w:themeColor="text1"/>
          <w:szCs w:val="18"/>
          <w:lang w:val="nl-NL"/>
        </w:rPr>
        <w:t xml:space="preserve">De hierboven geschetste discussie </w:t>
      </w:r>
      <w:r w:rsidRPr="000B4AB2">
        <w:rPr>
          <w:color w:val="000000" w:themeColor="text1"/>
          <w:szCs w:val="18"/>
          <w:lang w:val="nl-NL"/>
        </w:rPr>
        <w:t xml:space="preserve">omtrent de subjectieve component </w:t>
      </w:r>
      <w:r w:rsidR="00EE7223" w:rsidRPr="000B4AB2">
        <w:rPr>
          <w:color w:val="000000" w:themeColor="text1"/>
          <w:szCs w:val="18"/>
          <w:lang w:val="nl-NL"/>
        </w:rPr>
        <w:t xml:space="preserve">verloor aldus </w:t>
      </w:r>
      <w:r w:rsidR="000A3E24">
        <w:rPr>
          <w:color w:val="000000" w:themeColor="text1"/>
          <w:szCs w:val="18"/>
          <w:lang w:val="nl-NL"/>
        </w:rPr>
        <w:t xml:space="preserve">enigszins </w:t>
      </w:r>
      <w:r w:rsidR="00EE7223" w:rsidRPr="000B4AB2">
        <w:rPr>
          <w:color w:val="000000" w:themeColor="text1"/>
          <w:szCs w:val="18"/>
          <w:lang w:val="nl-NL"/>
        </w:rPr>
        <w:t>aan belang</w:t>
      </w:r>
      <w:r w:rsidR="00612294" w:rsidRPr="000B4AB2">
        <w:rPr>
          <w:color w:val="000000" w:themeColor="text1"/>
          <w:szCs w:val="18"/>
          <w:lang w:val="nl-NL"/>
        </w:rPr>
        <w:t xml:space="preserve">. </w:t>
      </w:r>
    </w:p>
    <w:p w14:paraId="6BFB11C0" w14:textId="189BC585" w:rsidR="008D50FF" w:rsidRPr="000B4AB2" w:rsidRDefault="00A84817" w:rsidP="00260F11">
      <w:pPr>
        <w:pStyle w:val="ListParagraph"/>
        <w:spacing w:line="360" w:lineRule="auto"/>
        <w:ind w:left="0"/>
        <w:rPr>
          <w:color w:val="000000" w:themeColor="text1"/>
          <w:szCs w:val="18"/>
          <w:lang w:val="nl-NL"/>
        </w:rPr>
      </w:pPr>
      <w:r w:rsidRPr="000B4AB2">
        <w:rPr>
          <w:color w:val="000000" w:themeColor="text1"/>
          <w:szCs w:val="18"/>
          <w:lang w:val="nl-NL"/>
        </w:rPr>
        <w:lastRenderedPageBreak/>
        <w:t>Toch riep voornoemd</w:t>
      </w:r>
      <w:r w:rsidR="00612294" w:rsidRPr="000B4AB2">
        <w:rPr>
          <w:color w:val="000000" w:themeColor="text1"/>
          <w:szCs w:val="18"/>
          <w:lang w:val="nl-NL"/>
        </w:rPr>
        <w:t xml:space="preserve"> arrest</w:t>
      </w:r>
      <w:r w:rsidR="0052347E" w:rsidRPr="000B4AB2">
        <w:rPr>
          <w:color w:val="000000" w:themeColor="text1"/>
          <w:szCs w:val="18"/>
          <w:lang w:val="nl-NL"/>
        </w:rPr>
        <w:t xml:space="preserve"> </w:t>
      </w:r>
      <w:r w:rsidR="00C410C9">
        <w:rPr>
          <w:color w:val="000000" w:themeColor="text1"/>
          <w:szCs w:val="18"/>
          <w:lang w:val="nl-NL"/>
        </w:rPr>
        <w:t>m.i.</w:t>
      </w:r>
      <w:r w:rsidR="00612294" w:rsidRPr="000B4AB2">
        <w:rPr>
          <w:color w:val="000000" w:themeColor="text1"/>
          <w:szCs w:val="18"/>
          <w:lang w:val="nl-NL"/>
        </w:rPr>
        <w:t xml:space="preserve"> nieuwe vragen op</w:t>
      </w:r>
      <w:r w:rsidRPr="000B4AB2">
        <w:rPr>
          <w:color w:val="000000" w:themeColor="text1"/>
          <w:szCs w:val="18"/>
          <w:lang w:val="nl-NL"/>
        </w:rPr>
        <w:t>.</w:t>
      </w:r>
      <w:r w:rsidR="00612294" w:rsidRPr="000B4AB2">
        <w:rPr>
          <w:color w:val="000000" w:themeColor="text1"/>
          <w:szCs w:val="18"/>
          <w:lang w:val="nl-NL"/>
        </w:rPr>
        <w:t xml:space="preserve"> </w:t>
      </w:r>
      <w:r w:rsidRPr="000B4AB2">
        <w:rPr>
          <w:color w:val="000000" w:themeColor="text1"/>
          <w:szCs w:val="18"/>
          <w:lang w:val="nl-NL"/>
        </w:rPr>
        <w:t>H</w:t>
      </w:r>
      <w:r w:rsidR="00612294" w:rsidRPr="000B4AB2">
        <w:rPr>
          <w:color w:val="000000" w:themeColor="text1"/>
          <w:szCs w:val="18"/>
          <w:lang w:val="nl-NL"/>
        </w:rPr>
        <w:t>oe dien</w:t>
      </w:r>
      <w:r w:rsidR="006D3991" w:rsidRPr="000B4AB2">
        <w:rPr>
          <w:color w:val="000000" w:themeColor="text1"/>
          <w:szCs w:val="18"/>
          <w:lang w:val="nl-NL"/>
        </w:rPr>
        <w:t>de</w:t>
      </w:r>
      <w:r w:rsidR="00612294" w:rsidRPr="000B4AB2">
        <w:rPr>
          <w:color w:val="000000" w:themeColor="text1"/>
          <w:szCs w:val="18"/>
          <w:lang w:val="nl-NL"/>
        </w:rPr>
        <w:t xml:space="preserve"> het seksueel karakter</w:t>
      </w:r>
      <w:r w:rsidR="006D3991" w:rsidRPr="000B4AB2">
        <w:rPr>
          <w:color w:val="000000" w:themeColor="text1"/>
          <w:szCs w:val="18"/>
          <w:lang w:val="nl-NL"/>
        </w:rPr>
        <w:t xml:space="preserve"> immers</w:t>
      </w:r>
      <w:r w:rsidR="00612294" w:rsidRPr="000B4AB2">
        <w:rPr>
          <w:color w:val="000000" w:themeColor="text1"/>
          <w:szCs w:val="18"/>
          <w:lang w:val="nl-NL"/>
        </w:rPr>
        <w:t xml:space="preserve"> voortaan</w:t>
      </w:r>
      <w:r w:rsidR="001E60FB">
        <w:rPr>
          <w:color w:val="000000" w:themeColor="text1"/>
          <w:szCs w:val="18"/>
          <w:lang w:val="nl-NL"/>
        </w:rPr>
        <w:t xml:space="preserve"> </w:t>
      </w:r>
      <w:r w:rsidR="00612294" w:rsidRPr="000B4AB2">
        <w:rPr>
          <w:color w:val="000000" w:themeColor="text1"/>
          <w:szCs w:val="18"/>
          <w:lang w:val="nl-NL"/>
        </w:rPr>
        <w:t>te worden beoordeeld? Op deze vraag werd binnen de rechtsleer geen eenduidig antwoord ge</w:t>
      </w:r>
      <w:r w:rsidRPr="000B4AB2">
        <w:rPr>
          <w:color w:val="000000" w:themeColor="text1"/>
          <w:szCs w:val="18"/>
          <w:lang w:val="nl-NL"/>
        </w:rPr>
        <w:t>formuleerd</w:t>
      </w:r>
      <w:r w:rsidR="00DF1E49" w:rsidRPr="000B4AB2">
        <w:rPr>
          <w:color w:val="000000" w:themeColor="text1"/>
          <w:szCs w:val="18"/>
          <w:lang w:val="nl-NL"/>
        </w:rPr>
        <w:t>.</w:t>
      </w:r>
      <w:r w:rsidR="000A3E24">
        <w:rPr>
          <w:color w:val="000000" w:themeColor="text1"/>
          <w:szCs w:val="18"/>
          <w:lang w:val="nl-NL"/>
        </w:rPr>
        <w:t xml:space="preserve"> COP baseert zich bijvoorbeeld op bovenstaand arrest om te stellen dat geen subjectieve component vervuld dient te zijn opdat een penetratie een seksueel karakter kan worden toegeschreven</w:t>
      </w:r>
      <w:r w:rsidR="000A3E24" w:rsidRPr="008F3ACE">
        <w:rPr>
          <w:color w:val="000000" w:themeColor="text1"/>
          <w:szCs w:val="18"/>
          <w:lang w:val="nl-NL"/>
        </w:rPr>
        <w:t>.</w:t>
      </w:r>
      <w:r w:rsidR="000A3E24" w:rsidRPr="000B4AB2">
        <w:rPr>
          <w:rStyle w:val="FootnoteReference"/>
          <w:rFonts w:eastAsiaTheme="majorEastAsia"/>
          <w:color w:val="000000" w:themeColor="text1"/>
          <w:szCs w:val="18"/>
          <w:lang w:val="nl-NL"/>
        </w:rPr>
        <w:footnoteReference w:id="243"/>
      </w:r>
      <w:r w:rsidR="000A3E24" w:rsidRPr="008F3ACE">
        <w:rPr>
          <w:color w:val="000000" w:themeColor="text1"/>
          <w:szCs w:val="18"/>
          <w:lang w:val="nl-NL"/>
        </w:rPr>
        <w:t xml:space="preserve"> Als een dergelijke conclusie </w:t>
      </w:r>
      <w:r w:rsidR="000E22B5">
        <w:rPr>
          <w:color w:val="000000" w:themeColor="text1"/>
          <w:szCs w:val="18"/>
          <w:lang w:val="nl-NL"/>
        </w:rPr>
        <w:t xml:space="preserve">al </w:t>
      </w:r>
      <w:r w:rsidR="000A3E24" w:rsidRPr="008F3ACE">
        <w:rPr>
          <w:color w:val="000000" w:themeColor="text1"/>
          <w:szCs w:val="18"/>
          <w:lang w:val="nl-NL"/>
        </w:rPr>
        <w:t>zou kunnen worden getrokken uit voornoemd arrest, zou hieruit m.i. ook moeten worden afgeleid dat een objectieve component evenmin vereist was voor de beoordeling van het seksueel karakter van de penetratie</w:t>
      </w:r>
      <w:r w:rsidR="000A3E24">
        <w:rPr>
          <w:color w:val="000000" w:themeColor="text1"/>
          <w:szCs w:val="18"/>
          <w:lang w:val="nl-NL"/>
        </w:rPr>
        <w:t>.</w:t>
      </w:r>
    </w:p>
    <w:p w14:paraId="1504E760" w14:textId="5BDBAF77" w:rsidR="00F947DB" w:rsidRPr="000B4AB2" w:rsidRDefault="00F947DB" w:rsidP="00260F11">
      <w:pPr>
        <w:pStyle w:val="ListParagraph"/>
        <w:spacing w:line="360" w:lineRule="auto"/>
        <w:ind w:left="0"/>
        <w:rPr>
          <w:color w:val="000000" w:themeColor="text1"/>
          <w:szCs w:val="18"/>
          <w:lang w:val="nl-NL"/>
        </w:rPr>
      </w:pPr>
    </w:p>
    <w:p w14:paraId="6FE049FE" w14:textId="4279D51A" w:rsidR="00AA402D" w:rsidRPr="000B4AB2" w:rsidRDefault="00621D09"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w:t>
      </w:r>
      <w:r w:rsidR="00553861" w:rsidRPr="000B4AB2">
        <w:rPr>
          <w:b/>
          <w:szCs w:val="18"/>
          <w:lang w:val="nl-NL"/>
        </w:rPr>
        <w:t>3</w:t>
      </w:r>
      <w:r w:rsidRPr="000B4AB2">
        <w:rPr>
          <w:b/>
          <w:szCs w:val="18"/>
          <w:lang w:val="nl-NL"/>
        </w:rPr>
        <w:t xml:space="preserve">) </w:t>
      </w:r>
      <w:r w:rsidR="00E771BC" w:rsidRPr="000B4AB2">
        <w:rPr>
          <w:b/>
          <w:szCs w:val="18"/>
          <w:lang w:val="nl-NL"/>
        </w:rPr>
        <w:t>Van welke aard en met welk middel dan ook.</w:t>
      </w:r>
      <w:r w:rsidR="00E771BC" w:rsidRPr="000B4AB2">
        <w:rPr>
          <w:color w:val="000000" w:themeColor="text1"/>
          <w:szCs w:val="18"/>
          <w:lang w:val="nl-NL"/>
        </w:rPr>
        <w:t xml:space="preserve"> De aard van de penetratie </w:t>
      </w:r>
      <w:r w:rsidR="009F47AB" w:rsidRPr="000B4AB2">
        <w:rPr>
          <w:color w:val="000000" w:themeColor="text1"/>
          <w:szCs w:val="18"/>
          <w:lang w:val="nl-NL"/>
        </w:rPr>
        <w:t>was</w:t>
      </w:r>
      <w:r w:rsidR="00E771BC" w:rsidRPr="000B4AB2">
        <w:rPr>
          <w:color w:val="000000" w:themeColor="text1"/>
          <w:szCs w:val="18"/>
          <w:lang w:val="nl-NL"/>
        </w:rPr>
        <w:t xml:space="preserve"> irrelevant, derhalve </w:t>
      </w:r>
      <w:r w:rsidR="009F47AB" w:rsidRPr="000B4AB2">
        <w:rPr>
          <w:color w:val="000000" w:themeColor="text1"/>
          <w:szCs w:val="18"/>
          <w:lang w:val="nl-NL"/>
        </w:rPr>
        <w:t>konden</w:t>
      </w:r>
      <w:r w:rsidR="00E771BC" w:rsidRPr="000B4AB2">
        <w:rPr>
          <w:color w:val="000000" w:themeColor="text1"/>
          <w:szCs w:val="18"/>
          <w:lang w:val="nl-NL"/>
        </w:rPr>
        <w:t xml:space="preserve"> zowel vaginale, anale als orale penetratie</w:t>
      </w:r>
      <w:r w:rsidR="00445223" w:rsidRPr="000B4AB2">
        <w:rPr>
          <w:color w:val="000000" w:themeColor="text1"/>
          <w:szCs w:val="18"/>
          <w:lang w:val="nl-NL"/>
        </w:rPr>
        <w:t>s</w:t>
      </w:r>
      <w:r w:rsidR="00E771BC" w:rsidRPr="000B4AB2">
        <w:rPr>
          <w:color w:val="000000" w:themeColor="text1"/>
          <w:szCs w:val="18"/>
          <w:lang w:val="nl-NL"/>
        </w:rPr>
        <w:t xml:space="preserve"> een penetratie in de zin van oud artikel 375 </w:t>
      </w:r>
      <w:r w:rsidR="0081584B">
        <w:rPr>
          <w:color w:val="000000" w:themeColor="text1"/>
          <w:szCs w:val="18"/>
          <w:lang w:val="nl-NL"/>
        </w:rPr>
        <w:t xml:space="preserve">van het </w:t>
      </w:r>
      <w:r w:rsidR="00CE0637">
        <w:rPr>
          <w:color w:val="000000" w:themeColor="text1"/>
          <w:szCs w:val="18"/>
          <w:lang w:val="nl-NL"/>
        </w:rPr>
        <w:t>Strafwetboek</w:t>
      </w:r>
      <w:r w:rsidR="00E771BC" w:rsidRPr="000B4AB2">
        <w:rPr>
          <w:color w:val="000000" w:themeColor="text1"/>
          <w:szCs w:val="18"/>
          <w:lang w:val="nl-NL"/>
        </w:rPr>
        <w:t xml:space="preserve"> uitmaken.</w:t>
      </w:r>
      <w:r w:rsidR="00AA402D" w:rsidRPr="000B4AB2">
        <w:rPr>
          <w:rStyle w:val="FootnoteReference"/>
          <w:color w:val="000000" w:themeColor="text1"/>
          <w:szCs w:val="18"/>
          <w:lang w:val="nl-NL"/>
        </w:rPr>
        <w:footnoteReference w:id="244"/>
      </w:r>
      <w:r w:rsidR="004224D9" w:rsidRPr="000B4AB2">
        <w:rPr>
          <w:color w:val="000000" w:themeColor="text1"/>
          <w:szCs w:val="18"/>
          <w:lang w:val="nl-NL"/>
        </w:rPr>
        <w:t xml:space="preserve"> </w:t>
      </w:r>
      <w:r w:rsidR="00AA402D" w:rsidRPr="000B4AB2">
        <w:rPr>
          <w:color w:val="000000" w:themeColor="text1"/>
          <w:szCs w:val="18"/>
          <w:lang w:val="nl-NL"/>
        </w:rPr>
        <w:t>Op de vraag of ook andere lichaamsholten in aanmerking kwamen, werd binnen de rechtsleer geen eenduidig antwoord geformuleerd.</w:t>
      </w:r>
      <w:r w:rsidR="00AA402D" w:rsidRPr="000B4AB2">
        <w:rPr>
          <w:rStyle w:val="FootnoteReference"/>
          <w:color w:val="000000" w:themeColor="text1"/>
          <w:szCs w:val="18"/>
          <w:lang w:val="nl-NL"/>
        </w:rPr>
        <w:footnoteReference w:id="245"/>
      </w:r>
    </w:p>
    <w:p w14:paraId="736F2D7C" w14:textId="77777777" w:rsidR="00AA402D" w:rsidRPr="000B4AB2" w:rsidRDefault="00AA402D" w:rsidP="00260F11">
      <w:pPr>
        <w:pStyle w:val="ListParagraph"/>
        <w:spacing w:line="360" w:lineRule="auto"/>
        <w:ind w:left="0"/>
        <w:rPr>
          <w:color w:val="000000" w:themeColor="text1"/>
          <w:szCs w:val="18"/>
          <w:lang w:val="nl-NL"/>
        </w:rPr>
      </w:pPr>
    </w:p>
    <w:p w14:paraId="39E43A7E" w14:textId="46082214" w:rsidR="00EB30A8" w:rsidRPr="000B4AB2" w:rsidRDefault="005F74F3" w:rsidP="00260F11">
      <w:pPr>
        <w:pStyle w:val="ListParagraph"/>
        <w:spacing w:line="360" w:lineRule="auto"/>
        <w:ind w:left="0"/>
        <w:rPr>
          <w:color w:val="000000" w:themeColor="text1"/>
          <w:szCs w:val="18"/>
          <w:lang w:val="nl-NL"/>
        </w:rPr>
      </w:pPr>
      <w:r w:rsidRPr="000B4AB2">
        <w:rPr>
          <w:color w:val="000000" w:themeColor="text1"/>
          <w:szCs w:val="18"/>
          <w:lang w:val="nl-NL"/>
        </w:rPr>
        <w:t>Ir</w:t>
      </w:r>
      <w:r w:rsidR="00E771BC" w:rsidRPr="000B4AB2">
        <w:rPr>
          <w:color w:val="000000" w:themeColor="text1"/>
          <w:szCs w:val="18"/>
          <w:lang w:val="nl-NL"/>
        </w:rPr>
        <w:t xml:space="preserve">relevant </w:t>
      </w:r>
      <w:r w:rsidR="009F47AB" w:rsidRPr="000B4AB2">
        <w:rPr>
          <w:color w:val="000000" w:themeColor="text1"/>
          <w:szCs w:val="18"/>
          <w:lang w:val="nl-NL"/>
        </w:rPr>
        <w:t>was</w:t>
      </w:r>
      <w:r w:rsidR="00E771BC" w:rsidRPr="000B4AB2">
        <w:rPr>
          <w:color w:val="000000" w:themeColor="text1"/>
          <w:szCs w:val="18"/>
          <w:lang w:val="nl-NL"/>
        </w:rPr>
        <w:t xml:space="preserve"> </w:t>
      </w:r>
      <w:r w:rsidR="00D8267A" w:rsidRPr="000B4AB2">
        <w:rPr>
          <w:color w:val="000000" w:themeColor="text1"/>
          <w:szCs w:val="18"/>
          <w:lang w:val="nl-NL"/>
        </w:rPr>
        <w:t>tevens</w:t>
      </w:r>
      <w:r w:rsidRPr="000B4AB2">
        <w:rPr>
          <w:color w:val="000000" w:themeColor="text1"/>
          <w:szCs w:val="18"/>
          <w:lang w:val="nl-NL"/>
        </w:rPr>
        <w:t xml:space="preserve"> </w:t>
      </w:r>
      <w:r w:rsidR="00E771BC" w:rsidRPr="000B4AB2">
        <w:rPr>
          <w:color w:val="000000" w:themeColor="text1"/>
          <w:szCs w:val="18"/>
          <w:lang w:val="nl-NL"/>
        </w:rPr>
        <w:t>het middel waarmee de penetratie gebeur</w:t>
      </w:r>
      <w:r w:rsidR="009F47AB" w:rsidRPr="000B4AB2">
        <w:rPr>
          <w:color w:val="000000" w:themeColor="text1"/>
          <w:szCs w:val="18"/>
          <w:lang w:val="nl-NL"/>
        </w:rPr>
        <w:t>de</w:t>
      </w:r>
      <w:r w:rsidR="00E771BC" w:rsidRPr="000B4AB2">
        <w:rPr>
          <w:color w:val="000000" w:themeColor="text1"/>
          <w:szCs w:val="18"/>
          <w:lang w:val="nl-NL"/>
        </w:rPr>
        <w:t>. Dit k</w:t>
      </w:r>
      <w:r w:rsidR="009F47AB" w:rsidRPr="000B4AB2">
        <w:rPr>
          <w:color w:val="000000" w:themeColor="text1"/>
          <w:szCs w:val="18"/>
          <w:lang w:val="nl-NL"/>
        </w:rPr>
        <w:t>o</w:t>
      </w:r>
      <w:r w:rsidR="00E771BC" w:rsidRPr="000B4AB2">
        <w:rPr>
          <w:color w:val="000000" w:themeColor="text1"/>
          <w:szCs w:val="18"/>
          <w:lang w:val="nl-NL"/>
        </w:rPr>
        <w:t xml:space="preserve">n het mannelijk geslachtsorgaan zijn, maar </w:t>
      </w:r>
      <w:r w:rsidR="00483EB4" w:rsidRPr="000B4AB2">
        <w:rPr>
          <w:color w:val="000000" w:themeColor="text1"/>
          <w:szCs w:val="18"/>
          <w:lang w:val="nl-NL"/>
        </w:rPr>
        <w:t>ook</w:t>
      </w:r>
      <w:r w:rsidR="00E771BC" w:rsidRPr="000B4AB2">
        <w:rPr>
          <w:color w:val="000000" w:themeColor="text1"/>
          <w:szCs w:val="18"/>
          <w:lang w:val="nl-NL"/>
        </w:rPr>
        <w:t xml:space="preserve"> een ander voorwerp</w:t>
      </w:r>
      <w:r w:rsidR="00AA402D" w:rsidRPr="000B4AB2">
        <w:rPr>
          <w:color w:val="000000" w:themeColor="text1"/>
          <w:szCs w:val="18"/>
          <w:lang w:val="nl-NL"/>
        </w:rPr>
        <w:t>, zoals de borst van een vrouw</w:t>
      </w:r>
      <w:r w:rsidR="00E771BC" w:rsidRPr="000B4AB2">
        <w:rPr>
          <w:color w:val="000000" w:themeColor="text1"/>
          <w:szCs w:val="18"/>
          <w:lang w:val="nl-NL"/>
        </w:rPr>
        <w:t>.</w:t>
      </w:r>
      <w:r w:rsidR="00AA402D" w:rsidRPr="000B4AB2">
        <w:rPr>
          <w:rStyle w:val="FootnoteReference"/>
          <w:color w:val="000000" w:themeColor="text1"/>
          <w:szCs w:val="18"/>
          <w:lang w:val="nl-NL"/>
        </w:rPr>
        <w:footnoteReference w:id="246"/>
      </w:r>
      <w:r w:rsidR="003F03DE" w:rsidRPr="000B4AB2">
        <w:rPr>
          <w:color w:val="000000" w:themeColor="text1"/>
          <w:szCs w:val="18"/>
          <w:lang w:val="nl-NL"/>
        </w:rPr>
        <w:t xml:space="preserve"> Het geslacht van de dader </w:t>
      </w:r>
      <w:r w:rsidR="009B6ED2" w:rsidRPr="000B4AB2">
        <w:rPr>
          <w:color w:val="000000" w:themeColor="text1"/>
          <w:szCs w:val="18"/>
          <w:lang w:val="nl-NL"/>
        </w:rPr>
        <w:t>deed er</w:t>
      </w:r>
      <w:r w:rsidR="00D063BC" w:rsidRPr="000B4AB2">
        <w:rPr>
          <w:color w:val="000000" w:themeColor="text1"/>
          <w:szCs w:val="18"/>
          <w:lang w:val="nl-NL"/>
        </w:rPr>
        <w:t xml:space="preserve"> </w:t>
      </w:r>
      <w:r w:rsidR="00483EB4" w:rsidRPr="000B4AB2">
        <w:rPr>
          <w:color w:val="000000" w:themeColor="text1"/>
          <w:szCs w:val="18"/>
          <w:lang w:val="nl-NL"/>
        </w:rPr>
        <w:t>derhalve</w:t>
      </w:r>
      <w:r w:rsidR="00D063BC" w:rsidRPr="000B4AB2">
        <w:rPr>
          <w:color w:val="000000" w:themeColor="text1"/>
          <w:szCs w:val="18"/>
          <w:lang w:val="nl-NL"/>
        </w:rPr>
        <w:t xml:space="preserve"> </w:t>
      </w:r>
      <w:r w:rsidR="009B6ED2" w:rsidRPr="000B4AB2">
        <w:rPr>
          <w:color w:val="000000" w:themeColor="text1"/>
          <w:szCs w:val="18"/>
          <w:lang w:val="nl-NL"/>
        </w:rPr>
        <w:t>niet toe</w:t>
      </w:r>
      <w:r w:rsidR="003F03DE" w:rsidRPr="000B4AB2">
        <w:rPr>
          <w:color w:val="000000" w:themeColor="text1"/>
          <w:szCs w:val="18"/>
          <w:lang w:val="nl-NL"/>
        </w:rPr>
        <w:t>.</w:t>
      </w:r>
      <w:r w:rsidR="00C01EAE" w:rsidRPr="000B4AB2">
        <w:rPr>
          <w:color w:val="000000" w:themeColor="text1"/>
          <w:szCs w:val="18"/>
          <w:lang w:val="nl-NL"/>
        </w:rPr>
        <w:t xml:space="preserve"> Telkens </w:t>
      </w:r>
      <w:r w:rsidR="009F47AB" w:rsidRPr="000B4AB2">
        <w:rPr>
          <w:color w:val="000000" w:themeColor="text1"/>
          <w:szCs w:val="18"/>
          <w:lang w:val="nl-NL"/>
        </w:rPr>
        <w:t>moest</w:t>
      </w:r>
      <w:r w:rsidR="00C01EAE" w:rsidRPr="000B4AB2">
        <w:rPr>
          <w:color w:val="000000" w:themeColor="text1"/>
          <w:szCs w:val="18"/>
          <w:lang w:val="nl-NL"/>
        </w:rPr>
        <w:t xml:space="preserve"> door de rechter </w:t>
      </w:r>
      <w:r w:rsidR="003F03DE" w:rsidRPr="000B4AB2">
        <w:rPr>
          <w:i/>
          <w:color w:val="000000" w:themeColor="text1"/>
          <w:szCs w:val="18"/>
          <w:lang w:val="nl-NL"/>
        </w:rPr>
        <w:t>in</w:t>
      </w:r>
      <w:r w:rsidR="003F03DE" w:rsidRPr="000B4AB2">
        <w:rPr>
          <w:color w:val="000000" w:themeColor="text1"/>
          <w:szCs w:val="18"/>
          <w:lang w:val="nl-NL"/>
        </w:rPr>
        <w:t xml:space="preserve"> </w:t>
      </w:r>
      <w:r w:rsidR="003F03DE" w:rsidRPr="000B4AB2">
        <w:rPr>
          <w:i/>
          <w:color w:val="000000" w:themeColor="text1"/>
          <w:szCs w:val="18"/>
          <w:lang w:val="nl-NL"/>
        </w:rPr>
        <w:t>concreto</w:t>
      </w:r>
      <w:r w:rsidR="003F03DE" w:rsidRPr="000B4AB2">
        <w:rPr>
          <w:color w:val="000000" w:themeColor="text1"/>
          <w:szCs w:val="18"/>
          <w:lang w:val="nl-NL"/>
        </w:rPr>
        <w:t xml:space="preserve"> </w:t>
      </w:r>
      <w:r w:rsidR="00C01EAE" w:rsidRPr="000B4AB2">
        <w:rPr>
          <w:color w:val="000000" w:themeColor="text1"/>
          <w:szCs w:val="18"/>
          <w:lang w:val="nl-NL"/>
        </w:rPr>
        <w:t xml:space="preserve">worden nagegaan of de gebruikte middelen en de aard van de penetratie </w:t>
      </w:r>
      <w:r w:rsidR="001566FF" w:rsidRPr="000B4AB2">
        <w:rPr>
          <w:color w:val="000000" w:themeColor="text1"/>
          <w:szCs w:val="18"/>
          <w:lang w:val="nl-NL"/>
        </w:rPr>
        <w:t xml:space="preserve">als een seksuele penetratie </w:t>
      </w:r>
      <w:r w:rsidR="009F47AB" w:rsidRPr="000B4AB2">
        <w:rPr>
          <w:color w:val="000000" w:themeColor="text1"/>
          <w:szCs w:val="18"/>
          <w:lang w:val="nl-NL"/>
        </w:rPr>
        <w:t>konden</w:t>
      </w:r>
      <w:r w:rsidR="001566FF" w:rsidRPr="000B4AB2">
        <w:rPr>
          <w:color w:val="000000" w:themeColor="text1"/>
          <w:szCs w:val="18"/>
          <w:lang w:val="nl-NL"/>
        </w:rPr>
        <w:t xml:space="preserve"> worden beschouwd.</w:t>
      </w:r>
      <w:r w:rsidR="00950326" w:rsidRPr="000B4AB2">
        <w:rPr>
          <w:rStyle w:val="FootnoteReference"/>
          <w:color w:val="000000" w:themeColor="text1"/>
          <w:szCs w:val="18"/>
          <w:lang w:val="nl-NL"/>
        </w:rPr>
        <w:footnoteReference w:id="247"/>
      </w:r>
    </w:p>
    <w:p w14:paraId="35731464" w14:textId="411035BA" w:rsidR="00950326" w:rsidRDefault="00950326" w:rsidP="00260F11">
      <w:pPr>
        <w:spacing w:line="360" w:lineRule="auto"/>
        <w:rPr>
          <w:color w:val="000000" w:themeColor="text1"/>
          <w:szCs w:val="18"/>
          <w:lang w:val="nl-NL"/>
        </w:rPr>
      </w:pPr>
      <w:r>
        <w:rPr>
          <w:color w:val="000000" w:themeColor="text1"/>
          <w:szCs w:val="18"/>
          <w:lang w:val="nl-NL"/>
        </w:rPr>
        <w:br w:type="page"/>
      </w:r>
    </w:p>
    <w:p w14:paraId="0F6E4FB7" w14:textId="4CAE32F7" w:rsidR="00553861" w:rsidRPr="000B4AB2" w:rsidRDefault="009D271A" w:rsidP="00260F11">
      <w:pPr>
        <w:pStyle w:val="Heading5"/>
        <w:spacing w:line="360" w:lineRule="auto"/>
        <w:rPr>
          <w:szCs w:val="18"/>
          <w:lang w:val="nl-NL"/>
        </w:rPr>
      </w:pPr>
      <w:bookmarkStart w:id="27" w:name="_Toc135041058"/>
      <w:r w:rsidRPr="000B4AB2">
        <w:rPr>
          <w:szCs w:val="18"/>
          <w:lang w:val="nl-NL"/>
        </w:rPr>
        <w:lastRenderedPageBreak/>
        <w:t>Rol van het slachtoffer</w:t>
      </w:r>
      <w:bookmarkEnd w:id="27"/>
    </w:p>
    <w:p w14:paraId="571413D4" w14:textId="77777777" w:rsidR="00553861" w:rsidRPr="000B4AB2" w:rsidRDefault="00553861" w:rsidP="00260F11">
      <w:pPr>
        <w:pStyle w:val="ListParagraph"/>
        <w:spacing w:line="360" w:lineRule="auto"/>
        <w:ind w:left="0"/>
        <w:rPr>
          <w:color w:val="000000" w:themeColor="text1"/>
          <w:szCs w:val="18"/>
          <w:lang w:val="nl-NL"/>
        </w:rPr>
      </w:pPr>
    </w:p>
    <w:p w14:paraId="3F7C4E4B" w14:textId="5AD7E292" w:rsidR="00553861" w:rsidRPr="000B4AB2" w:rsidRDefault="009D271A"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Op een persoon</w:t>
      </w:r>
      <w:r w:rsidR="005B4050" w:rsidRPr="000B4AB2">
        <w:rPr>
          <w:color w:val="000000" w:themeColor="text1"/>
          <w:szCs w:val="18"/>
          <w:lang w:val="nl-NL"/>
        </w:rPr>
        <w:t xml:space="preserve">. De verkrachting diende te zijn gepleegd op een persoon. </w:t>
      </w:r>
      <w:r w:rsidR="00AF5973">
        <w:rPr>
          <w:color w:val="000000" w:themeColor="text1"/>
          <w:szCs w:val="18"/>
          <w:lang w:val="nl-NL"/>
        </w:rPr>
        <w:t>H</w:t>
      </w:r>
      <w:r w:rsidR="00553861" w:rsidRPr="000B4AB2">
        <w:rPr>
          <w:color w:val="000000" w:themeColor="text1"/>
          <w:szCs w:val="18"/>
          <w:lang w:val="nl-NL"/>
        </w:rPr>
        <w:t>et slachtoffer</w:t>
      </w:r>
      <w:r w:rsidR="00553861" w:rsidRPr="000B4AB2">
        <w:rPr>
          <w:rStyle w:val="FootnoteReference"/>
          <w:color w:val="000000" w:themeColor="text1"/>
          <w:szCs w:val="18"/>
          <w:lang w:val="nl-NL"/>
        </w:rPr>
        <w:footnoteReference w:id="248"/>
      </w:r>
      <w:r w:rsidR="00553861" w:rsidRPr="000B4AB2">
        <w:rPr>
          <w:color w:val="000000" w:themeColor="text1"/>
          <w:szCs w:val="18"/>
          <w:lang w:val="nl-NL"/>
        </w:rPr>
        <w:t xml:space="preserve"> moe</w:t>
      </w:r>
      <w:r w:rsidR="009F47AB" w:rsidRPr="000B4AB2">
        <w:rPr>
          <w:color w:val="000000" w:themeColor="text1"/>
          <w:szCs w:val="18"/>
          <w:lang w:val="nl-NL"/>
        </w:rPr>
        <w:t>s</w:t>
      </w:r>
      <w:r w:rsidR="00553861" w:rsidRPr="000B4AB2">
        <w:rPr>
          <w:color w:val="000000" w:themeColor="text1"/>
          <w:szCs w:val="18"/>
          <w:lang w:val="nl-NL"/>
        </w:rPr>
        <w:t>t nog in leven zijn op het ogenblik van de feiten</w:t>
      </w:r>
      <w:r w:rsidR="00AF5973">
        <w:rPr>
          <w:color w:val="000000" w:themeColor="text1"/>
          <w:szCs w:val="18"/>
          <w:lang w:val="nl-NL"/>
        </w:rPr>
        <w:t>,</w:t>
      </w:r>
      <w:r w:rsidR="00553861" w:rsidRPr="000B4AB2">
        <w:rPr>
          <w:rStyle w:val="FootnoteReference"/>
          <w:color w:val="000000" w:themeColor="text1"/>
          <w:szCs w:val="18"/>
          <w:lang w:val="nl-NL"/>
        </w:rPr>
        <w:footnoteReference w:id="249"/>
      </w:r>
      <w:r w:rsidR="00553861" w:rsidRPr="000B4AB2">
        <w:rPr>
          <w:color w:val="000000" w:themeColor="text1"/>
          <w:szCs w:val="18"/>
          <w:lang w:val="nl-NL"/>
        </w:rPr>
        <w:t xml:space="preserve"> </w:t>
      </w:r>
      <w:r w:rsidR="00AF5973">
        <w:rPr>
          <w:color w:val="000000" w:themeColor="text1"/>
          <w:szCs w:val="18"/>
          <w:lang w:val="nl-NL"/>
        </w:rPr>
        <w:t>maar diens</w:t>
      </w:r>
      <w:r w:rsidR="009F47AB" w:rsidRPr="000B4AB2">
        <w:rPr>
          <w:color w:val="000000" w:themeColor="text1"/>
          <w:szCs w:val="18"/>
          <w:lang w:val="nl-NL"/>
        </w:rPr>
        <w:t xml:space="preserve"> geslacht was irrelevant</w:t>
      </w:r>
      <w:r w:rsidR="00553861" w:rsidRPr="000B4AB2">
        <w:rPr>
          <w:color w:val="000000" w:themeColor="text1"/>
          <w:szCs w:val="18"/>
          <w:lang w:val="nl-NL"/>
        </w:rPr>
        <w:t>.</w:t>
      </w:r>
      <w:r w:rsidR="00553861" w:rsidRPr="000B4AB2">
        <w:rPr>
          <w:rStyle w:val="FootnoteReference"/>
          <w:color w:val="000000" w:themeColor="text1"/>
          <w:szCs w:val="18"/>
          <w:lang w:val="nl-NL"/>
        </w:rPr>
        <w:footnoteReference w:id="250"/>
      </w:r>
      <w:r w:rsidR="00553861" w:rsidRPr="000B4AB2">
        <w:rPr>
          <w:color w:val="000000" w:themeColor="text1"/>
          <w:szCs w:val="18"/>
          <w:lang w:val="nl-NL"/>
        </w:rPr>
        <w:t xml:space="preserve"> </w:t>
      </w:r>
    </w:p>
    <w:p w14:paraId="1ED45A95" w14:textId="77777777" w:rsidR="00553861" w:rsidRPr="000B4AB2" w:rsidRDefault="00553861" w:rsidP="00260F11">
      <w:pPr>
        <w:pStyle w:val="ListParagraph"/>
        <w:spacing w:line="360" w:lineRule="auto"/>
        <w:ind w:left="0"/>
        <w:rPr>
          <w:color w:val="000000" w:themeColor="text1"/>
          <w:szCs w:val="18"/>
          <w:lang w:val="nl-NL"/>
        </w:rPr>
      </w:pPr>
    </w:p>
    <w:p w14:paraId="53A3B69B" w14:textId="5A52AC83" w:rsidR="00553861" w:rsidRPr="00DD6B2E" w:rsidRDefault="00553861" w:rsidP="00260F11">
      <w:pPr>
        <w:pStyle w:val="ListParagraph"/>
        <w:numPr>
          <w:ilvl w:val="0"/>
          <w:numId w:val="1"/>
        </w:numPr>
        <w:spacing w:line="360" w:lineRule="auto"/>
        <w:ind w:left="0" w:hanging="709"/>
        <w:rPr>
          <w:color w:val="000000" w:themeColor="text1"/>
          <w:szCs w:val="18"/>
          <w:lang w:val="nl-NL"/>
        </w:rPr>
      </w:pPr>
      <w:r w:rsidRPr="00DD6B2E">
        <w:rPr>
          <w:b/>
          <w:color w:val="000000" w:themeColor="text1"/>
          <w:szCs w:val="18"/>
          <w:lang w:val="nl-NL"/>
        </w:rPr>
        <w:t>“Op”</w:t>
      </w:r>
      <w:r w:rsidR="00F96E98" w:rsidRPr="00DD6B2E">
        <w:rPr>
          <w:b/>
          <w:color w:val="000000" w:themeColor="text1"/>
          <w:szCs w:val="18"/>
          <w:lang w:val="nl-NL"/>
        </w:rPr>
        <w:t xml:space="preserve">, maar niet </w:t>
      </w:r>
      <w:r w:rsidRPr="00DD6B2E">
        <w:rPr>
          <w:b/>
          <w:color w:val="000000" w:themeColor="text1"/>
          <w:szCs w:val="18"/>
          <w:lang w:val="nl-NL"/>
        </w:rPr>
        <w:t>“met behulp van”</w:t>
      </w:r>
      <w:r w:rsidRPr="00DD6B2E">
        <w:rPr>
          <w:color w:val="000000" w:themeColor="text1"/>
          <w:szCs w:val="18"/>
          <w:lang w:val="nl-NL"/>
        </w:rPr>
        <w:t xml:space="preserve">. </w:t>
      </w:r>
      <w:r w:rsidR="009F47AB" w:rsidRPr="00DD6B2E">
        <w:rPr>
          <w:color w:val="000000" w:themeColor="text1"/>
          <w:szCs w:val="18"/>
          <w:lang w:val="nl-NL"/>
        </w:rPr>
        <w:t>I</w:t>
      </w:r>
      <w:r w:rsidRPr="00DD6B2E">
        <w:rPr>
          <w:color w:val="000000" w:themeColor="text1"/>
          <w:szCs w:val="18"/>
          <w:lang w:val="nl-NL"/>
        </w:rPr>
        <w:t>n oud art</w:t>
      </w:r>
      <w:r w:rsidR="001E52D7" w:rsidRPr="00DD6B2E">
        <w:rPr>
          <w:color w:val="000000" w:themeColor="text1"/>
          <w:szCs w:val="18"/>
          <w:lang w:val="nl-NL"/>
        </w:rPr>
        <w:t>ikel</w:t>
      </w:r>
      <w:r w:rsidRPr="00DD6B2E">
        <w:rPr>
          <w:color w:val="000000" w:themeColor="text1"/>
          <w:szCs w:val="18"/>
          <w:lang w:val="nl-NL"/>
        </w:rPr>
        <w:t xml:space="preserve"> 375 </w:t>
      </w:r>
      <w:r w:rsidR="0081584B">
        <w:rPr>
          <w:color w:val="000000" w:themeColor="text1"/>
          <w:szCs w:val="18"/>
          <w:lang w:val="nl-NL"/>
        </w:rPr>
        <w:t xml:space="preserve">van het </w:t>
      </w:r>
      <w:r w:rsidRPr="00DD6B2E">
        <w:rPr>
          <w:color w:val="000000" w:themeColor="text1"/>
          <w:szCs w:val="18"/>
          <w:lang w:val="nl-NL"/>
        </w:rPr>
        <w:t xml:space="preserve">Strafwetboek </w:t>
      </w:r>
      <w:r w:rsidR="009F47AB" w:rsidRPr="00DD6B2E">
        <w:rPr>
          <w:color w:val="000000" w:themeColor="text1"/>
          <w:szCs w:val="18"/>
          <w:lang w:val="nl-NL"/>
        </w:rPr>
        <w:t>werd</w:t>
      </w:r>
      <w:r w:rsidRPr="00DD6B2E">
        <w:rPr>
          <w:color w:val="000000" w:themeColor="text1"/>
          <w:szCs w:val="18"/>
          <w:lang w:val="nl-NL"/>
        </w:rPr>
        <w:t xml:space="preserve"> gesproken over een seksuele penetratie die </w:t>
      </w:r>
      <w:r w:rsidR="009F47AB" w:rsidRPr="00DD6B2E">
        <w:rPr>
          <w:color w:val="000000" w:themeColor="text1"/>
          <w:szCs w:val="18"/>
          <w:lang w:val="nl-NL"/>
        </w:rPr>
        <w:t>plaatsvond</w:t>
      </w:r>
      <w:r w:rsidRPr="00DD6B2E">
        <w:rPr>
          <w:color w:val="000000" w:themeColor="text1"/>
          <w:szCs w:val="18"/>
          <w:lang w:val="nl-NL"/>
        </w:rPr>
        <w:t xml:space="preserve"> “op” het slachtoffer, maar daaraan werden de woorden “of met behulp van” niet toegevoegd, </w:t>
      </w:r>
      <w:r w:rsidR="00CE0637" w:rsidRPr="00DD6B2E">
        <w:rPr>
          <w:color w:val="000000" w:themeColor="text1"/>
          <w:szCs w:val="18"/>
          <w:lang w:val="nl-NL"/>
        </w:rPr>
        <w:t>i.t.t.</w:t>
      </w:r>
      <w:r w:rsidRPr="00DD6B2E">
        <w:rPr>
          <w:color w:val="000000" w:themeColor="text1"/>
          <w:szCs w:val="18"/>
          <w:lang w:val="nl-NL"/>
        </w:rPr>
        <w:t xml:space="preserve"> de oude artikelen 372 en 373 </w:t>
      </w:r>
      <w:r w:rsidR="0081584B">
        <w:rPr>
          <w:color w:val="000000" w:themeColor="text1"/>
          <w:szCs w:val="18"/>
          <w:lang w:val="nl-NL"/>
        </w:rPr>
        <w:t xml:space="preserve">van het </w:t>
      </w:r>
      <w:r w:rsidR="00CE0637" w:rsidRPr="00DD6B2E">
        <w:rPr>
          <w:color w:val="000000" w:themeColor="text1"/>
          <w:szCs w:val="18"/>
          <w:lang w:val="nl-NL"/>
        </w:rPr>
        <w:t>Strafwetboek</w:t>
      </w:r>
      <w:r w:rsidR="009F47AB" w:rsidRPr="00DD6B2E">
        <w:rPr>
          <w:color w:val="000000" w:themeColor="text1"/>
          <w:szCs w:val="18"/>
          <w:lang w:val="nl-NL"/>
        </w:rPr>
        <w:t>.</w:t>
      </w:r>
    </w:p>
    <w:p w14:paraId="4AA14627" w14:textId="77777777" w:rsidR="00553861" w:rsidRPr="000B4AB2" w:rsidRDefault="00553861" w:rsidP="00260F11">
      <w:pPr>
        <w:spacing w:line="360" w:lineRule="auto"/>
        <w:rPr>
          <w:color w:val="000000" w:themeColor="text1"/>
          <w:szCs w:val="18"/>
          <w:lang w:val="nl-NL"/>
        </w:rPr>
      </w:pPr>
    </w:p>
    <w:p w14:paraId="30610D24" w14:textId="0F987C79" w:rsidR="005B4050" w:rsidRPr="000B4AB2" w:rsidRDefault="00553861" w:rsidP="00260F11">
      <w:pPr>
        <w:pStyle w:val="ListParagraph"/>
        <w:spacing w:line="360" w:lineRule="auto"/>
        <w:ind w:left="0"/>
        <w:rPr>
          <w:color w:val="000000" w:themeColor="text1"/>
          <w:szCs w:val="18"/>
          <w:lang w:val="nl-NL"/>
        </w:rPr>
      </w:pPr>
      <w:r w:rsidRPr="000B4AB2">
        <w:rPr>
          <w:b/>
          <w:color w:val="000000" w:themeColor="text1"/>
          <w:szCs w:val="18"/>
          <w:lang w:val="nl-NL"/>
        </w:rPr>
        <w:t>Slachtofferpenetratie</w:t>
      </w:r>
      <w:r w:rsidRPr="000B4AB2">
        <w:rPr>
          <w:color w:val="000000" w:themeColor="text1"/>
          <w:szCs w:val="18"/>
          <w:lang w:val="nl-NL"/>
        </w:rPr>
        <w:t xml:space="preserve">. </w:t>
      </w:r>
      <w:r w:rsidR="005B4050" w:rsidRPr="000B4AB2">
        <w:rPr>
          <w:color w:val="000000" w:themeColor="text1"/>
          <w:szCs w:val="18"/>
          <w:lang w:val="nl-NL"/>
        </w:rPr>
        <w:t xml:space="preserve">Gelet op de bewoordingen “op een persoon” stelde </w:t>
      </w:r>
      <w:r w:rsidRPr="000B4AB2">
        <w:rPr>
          <w:color w:val="000000" w:themeColor="text1"/>
          <w:szCs w:val="18"/>
          <w:lang w:val="nl-NL"/>
        </w:rPr>
        <w:t xml:space="preserve">de meerderheidsvisie binnen de doctrine </w:t>
      </w:r>
      <w:r w:rsidR="005B4050" w:rsidRPr="000B4AB2">
        <w:rPr>
          <w:color w:val="000000" w:themeColor="text1"/>
          <w:szCs w:val="18"/>
          <w:lang w:val="nl-NL"/>
        </w:rPr>
        <w:t xml:space="preserve">dat </w:t>
      </w:r>
      <w:r w:rsidRPr="000B4AB2">
        <w:rPr>
          <w:color w:val="000000" w:themeColor="text1"/>
          <w:szCs w:val="18"/>
          <w:lang w:val="nl-NL"/>
        </w:rPr>
        <w:t xml:space="preserve">enkel seksuele penetraties op het slachtoffer gekwalificeerd </w:t>
      </w:r>
      <w:r w:rsidR="005B4050" w:rsidRPr="000B4AB2">
        <w:rPr>
          <w:color w:val="000000" w:themeColor="text1"/>
          <w:szCs w:val="18"/>
          <w:lang w:val="nl-NL"/>
        </w:rPr>
        <w:t xml:space="preserve">konden </w:t>
      </w:r>
      <w:r w:rsidRPr="000B4AB2">
        <w:rPr>
          <w:color w:val="000000" w:themeColor="text1"/>
          <w:szCs w:val="18"/>
          <w:lang w:val="nl-NL"/>
        </w:rPr>
        <w:t>worden als verkrachting.</w:t>
      </w:r>
      <w:r w:rsidR="00413FC3" w:rsidRPr="000B4AB2">
        <w:rPr>
          <w:rStyle w:val="FootnoteReference"/>
          <w:color w:val="000000" w:themeColor="text1"/>
          <w:szCs w:val="18"/>
          <w:lang w:val="nl-NL"/>
        </w:rPr>
        <w:footnoteReference w:id="251"/>
      </w:r>
      <w:r w:rsidRPr="000B4AB2">
        <w:rPr>
          <w:color w:val="000000" w:themeColor="text1"/>
          <w:szCs w:val="18"/>
          <w:lang w:val="nl-NL"/>
        </w:rPr>
        <w:t xml:space="preserve"> </w:t>
      </w:r>
      <w:r w:rsidR="009F47AB" w:rsidRPr="000B4AB2">
        <w:rPr>
          <w:color w:val="000000" w:themeColor="text1"/>
          <w:szCs w:val="18"/>
          <w:lang w:val="nl-NL"/>
        </w:rPr>
        <w:t>Het lichaam</w:t>
      </w:r>
      <w:r w:rsidRPr="000B4AB2">
        <w:rPr>
          <w:color w:val="000000" w:themeColor="text1"/>
          <w:szCs w:val="18"/>
          <w:lang w:val="nl-NL"/>
        </w:rPr>
        <w:t xml:space="preserve"> van het slachtoffer</w:t>
      </w:r>
      <w:r w:rsidR="009F47AB" w:rsidRPr="000B4AB2">
        <w:rPr>
          <w:color w:val="000000" w:themeColor="text1"/>
          <w:szCs w:val="18"/>
          <w:lang w:val="nl-NL"/>
        </w:rPr>
        <w:t xml:space="preserve"> moest bijgevolg worden binnengedrongen</w:t>
      </w:r>
      <w:r w:rsidRPr="000B4AB2">
        <w:rPr>
          <w:color w:val="000000" w:themeColor="text1"/>
          <w:szCs w:val="18"/>
          <w:lang w:val="nl-NL"/>
        </w:rPr>
        <w:t xml:space="preserve"> (slachtofferpenetratie). </w:t>
      </w:r>
      <w:r w:rsidR="007653BC">
        <w:rPr>
          <w:color w:val="000000" w:themeColor="text1"/>
          <w:szCs w:val="18"/>
          <w:lang w:val="nl-NL"/>
        </w:rPr>
        <w:t>Dit kon gebeuren door de dader of bijvoorbeeld door het slachtoffer zelf, daartoe verplicht door de dader (zelfpenetratie).</w:t>
      </w:r>
      <w:r w:rsidR="007653BC" w:rsidRPr="000B4AB2">
        <w:rPr>
          <w:rStyle w:val="FootnoteReference"/>
          <w:color w:val="000000" w:themeColor="text1"/>
          <w:szCs w:val="18"/>
          <w:lang w:val="nl-NL"/>
        </w:rPr>
        <w:footnoteReference w:id="252"/>
      </w:r>
    </w:p>
    <w:p w14:paraId="1C356B85" w14:textId="77777777" w:rsidR="00553861" w:rsidRPr="007653BC" w:rsidRDefault="00553861" w:rsidP="00260F11">
      <w:pPr>
        <w:spacing w:line="360" w:lineRule="auto"/>
        <w:rPr>
          <w:b/>
          <w:color w:val="000000" w:themeColor="text1"/>
          <w:szCs w:val="18"/>
          <w:lang w:val="nl-NL"/>
        </w:rPr>
      </w:pPr>
    </w:p>
    <w:p w14:paraId="1CE0BBE6" w14:textId="79D5CFF7" w:rsidR="00066F32" w:rsidRDefault="000E110D" w:rsidP="00260F11">
      <w:pPr>
        <w:pStyle w:val="ListParagraph"/>
        <w:spacing w:line="360" w:lineRule="auto"/>
        <w:ind w:left="0"/>
        <w:rPr>
          <w:color w:val="000000" w:themeColor="text1"/>
          <w:szCs w:val="18"/>
          <w:lang w:val="nl-NL"/>
        </w:rPr>
      </w:pPr>
      <w:r w:rsidRPr="000B4AB2">
        <w:rPr>
          <w:b/>
          <w:color w:val="000000" w:themeColor="text1"/>
          <w:szCs w:val="18"/>
          <w:lang w:val="nl-NL"/>
        </w:rPr>
        <w:t>Daderp</w:t>
      </w:r>
      <w:r w:rsidR="00487BF8" w:rsidRPr="000B4AB2">
        <w:rPr>
          <w:b/>
          <w:color w:val="000000" w:themeColor="text1"/>
          <w:szCs w:val="18"/>
          <w:lang w:val="nl-NL"/>
        </w:rPr>
        <w:t>enetratie</w:t>
      </w:r>
      <w:r w:rsidRPr="000B4AB2">
        <w:rPr>
          <w:b/>
          <w:color w:val="000000" w:themeColor="text1"/>
          <w:szCs w:val="18"/>
          <w:lang w:val="nl-NL"/>
        </w:rPr>
        <w:t xml:space="preserve"> of penetratie van een derde</w:t>
      </w:r>
      <w:r w:rsidR="00553861" w:rsidRPr="000B4AB2">
        <w:rPr>
          <w:b/>
          <w:color w:val="000000" w:themeColor="text1"/>
          <w:szCs w:val="18"/>
          <w:lang w:val="nl-NL"/>
        </w:rPr>
        <w:t>?</w:t>
      </w:r>
      <w:r w:rsidR="00553861" w:rsidRPr="000B4AB2">
        <w:rPr>
          <w:color w:val="000000" w:themeColor="text1"/>
          <w:szCs w:val="18"/>
          <w:lang w:val="nl-NL"/>
        </w:rPr>
        <w:t xml:space="preserve"> Noch </w:t>
      </w:r>
      <w:r w:rsidR="00066F32">
        <w:rPr>
          <w:color w:val="000000" w:themeColor="text1"/>
          <w:szCs w:val="18"/>
          <w:lang w:val="nl-NL"/>
        </w:rPr>
        <w:t>wanneer het</w:t>
      </w:r>
      <w:r w:rsidR="00553861" w:rsidRPr="000B4AB2">
        <w:rPr>
          <w:color w:val="000000" w:themeColor="text1"/>
          <w:szCs w:val="18"/>
          <w:lang w:val="nl-NL"/>
        </w:rPr>
        <w:t xml:space="preserve"> slachtoffer</w:t>
      </w:r>
      <w:r w:rsidR="00066F32">
        <w:rPr>
          <w:color w:val="000000" w:themeColor="text1"/>
          <w:szCs w:val="18"/>
          <w:lang w:val="nl-NL"/>
        </w:rPr>
        <w:t xml:space="preserve"> de</w:t>
      </w:r>
      <w:r w:rsidR="00553861" w:rsidRPr="000B4AB2">
        <w:rPr>
          <w:color w:val="000000" w:themeColor="text1"/>
          <w:szCs w:val="18"/>
          <w:lang w:val="nl-NL"/>
        </w:rPr>
        <w:t xml:space="preserve"> dader </w:t>
      </w:r>
      <w:r w:rsidR="00066F32">
        <w:rPr>
          <w:color w:val="000000" w:themeColor="text1"/>
          <w:szCs w:val="18"/>
          <w:lang w:val="nl-NL"/>
        </w:rPr>
        <w:t>moet</w:t>
      </w:r>
      <w:r w:rsidR="00553861" w:rsidRPr="000B4AB2">
        <w:rPr>
          <w:color w:val="000000" w:themeColor="text1"/>
          <w:szCs w:val="18"/>
          <w:lang w:val="nl-NL"/>
        </w:rPr>
        <w:t xml:space="preserve"> penetreren</w:t>
      </w:r>
      <w:r w:rsidR="00066F32">
        <w:rPr>
          <w:color w:val="000000" w:themeColor="text1"/>
          <w:szCs w:val="18"/>
          <w:lang w:val="nl-NL"/>
        </w:rPr>
        <w:t xml:space="preserve"> (daderpenetratie</w:t>
      </w:r>
      <w:r w:rsidR="00553861" w:rsidRPr="000B4AB2">
        <w:rPr>
          <w:color w:val="000000" w:themeColor="text1"/>
          <w:szCs w:val="18"/>
          <w:lang w:val="nl-NL"/>
        </w:rPr>
        <w:t xml:space="preserve">), noch </w:t>
      </w:r>
      <w:r w:rsidR="007653BC">
        <w:rPr>
          <w:color w:val="000000" w:themeColor="text1"/>
          <w:szCs w:val="18"/>
          <w:lang w:val="nl-NL"/>
        </w:rPr>
        <w:t>i.g.v.</w:t>
      </w:r>
      <w:r w:rsidR="00553861" w:rsidRPr="000B4AB2">
        <w:rPr>
          <w:color w:val="000000" w:themeColor="text1"/>
          <w:szCs w:val="18"/>
          <w:lang w:val="nl-NL"/>
        </w:rPr>
        <w:t xml:space="preserve"> een door de dader verplichte penetratie van een derde, </w:t>
      </w:r>
      <w:r w:rsidR="00066F32">
        <w:rPr>
          <w:color w:val="000000" w:themeColor="text1"/>
          <w:szCs w:val="18"/>
          <w:lang w:val="nl-NL"/>
        </w:rPr>
        <w:t>wordt</w:t>
      </w:r>
      <w:r w:rsidR="00553861" w:rsidRPr="000B4AB2">
        <w:rPr>
          <w:color w:val="000000" w:themeColor="text1"/>
          <w:szCs w:val="18"/>
          <w:lang w:val="nl-NL"/>
        </w:rPr>
        <w:t xml:space="preserve"> het lichaam van het slachtoffer</w:t>
      </w:r>
      <w:r w:rsidR="00066F32">
        <w:rPr>
          <w:color w:val="000000" w:themeColor="text1"/>
          <w:szCs w:val="18"/>
          <w:lang w:val="nl-NL"/>
        </w:rPr>
        <w:t xml:space="preserve"> binnen gedrongen</w:t>
      </w:r>
      <w:r w:rsidRPr="000B4AB2">
        <w:rPr>
          <w:color w:val="000000" w:themeColor="text1"/>
          <w:szCs w:val="18"/>
          <w:lang w:val="nl-NL"/>
        </w:rPr>
        <w:t>.</w:t>
      </w:r>
      <w:r w:rsidR="00EC6C71" w:rsidRPr="000B4AB2">
        <w:rPr>
          <w:color w:val="000000" w:themeColor="text1"/>
          <w:szCs w:val="18"/>
          <w:lang w:val="nl-NL"/>
        </w:rPr>
        <w:t xml:space="preserve"> </w:t>
      </w:r>
      <w:r w:rsidR="001E60FB">
        <w:rPr>
          <w:color w:val="000000" w:themeColor="text1"/>
          <w:szCs w:val="18"/>
          <w:lang w:val="nl-NL"/>
        </w:rPr>
        <w:t>D</w:t>
      </w:r>
      <w:r w:rsidR="007653BC">
        <w:rPr>
          <w:color w:val="000000" w:themeColor="text1"/>
          <w:szCs w:val="18"/>
          <w:lang w:val="nl-NL"/>
        </w:rPr>
        <w:t>ergelijke situaties</w:t>
      </w:r>
      <w:r w:rsidR="001E60FB">
        <w:rPr>
          <w:color w:val="000000" w:themeColor="text1"/>
          <w:szCs w:val="18"/>
          <w:lang w:val="nl-NL"/>
        </w:rPr>
        <w:t xml:space="preserve"> konden </w:t>
      </w:r>
      <w:r w:rsidR="00EC6C71" w:rsidRPr="000B4AB2">
        <w:rPr>
          <w:color w:val="000000" w:themeColor="text1"/>
          <w:szCs w:val="18"/>
          <w:lang w:val="nl-NL"/>
        </w:rPr>
        <w:t>volgens de meerderheidsvisie</w:t>
      </w:r>
      <w:r w:rsidR="00920B2E">
        <w:rPr>
          <w:rStyle w:val="FootnoteReference"/>
          <w:color w:val="000000" w:themeColor="text1"/>
          <w:szCs w:val="18"/>
          <w:lang w:val="nl-NL"/>
        </w:rPr>
        <w:footnoteReference w:id="253"/>
      </w:r>
      <w:r w:rsidR="00486BF1" w:rsidRPr="000B4AB2">
        <w:rPr>
          <w:color w:val="000000" w:themeColor="text1"/>
          <w:szCs w:val="18"/>
          <w:lang w:val="nl-NL"/>
        </w:rPr>
        <w:t xml:space="preserve"> </w:t>
      </w:r>
      <w:r w:rsidR="00066F32">
        <w:rPr>
          <w:color w:val="000000" w:themeColor="text1"/>
          <w:szCs w:val="18"/>
          <w:lang w:val="nl-NL"/>
        </w:rPr>
        <w:t xml:space="preserve">dan ook </w:t>
      </w:r>
      <w:r w:rsidR="001E60FB">
        <w:rPr>
          <w:color w:val="000000" w:themeColor="text1"/>
          <w:szCs w:val="18"/>
          <w:lang w:val="nl-NL"/>
        </w:rPr>
        <w:t>geen verkrachting opleveren</w:t>
      </w:r>
      <w:r w:rsidRPr="000B4AB2">
        <w:rPr>
          <w:color w:val="000000" w:themeColor="text1"/>
          <w:szCs w:val="18"/>
          <w:lang w:val="nl-NL"/>
        </w:rPr>
        <w:t>, gelet op de bewoordingen “op een persoon”</w:t>
      </w:r>
      <w:r w:rsidR="000C6B2F" w:rsidRPr="000B4AB2">
        <w:rPr>
          <w:color w:val="000000" w:themeColor="text1"/>
          <w:szCs w:val="18"/>
          <w:lang w:val="nl-NL"/>
        </w:rPr>
        <w:t>.</w:t>
      </w:r>
      <w:r w:rsidR="000C6B2F" w:rsidRPr="000B4AB2">
        <w:rPr>
          <w:rStyle w:val="FootnoteReference"/>
          <w:color w:val="000000" w:themeColor="text1"/>
          <w:szCs w:val="18"/>
          <w:lang w:val="nl-NL"/>
        </w:rPr>
        <w:footnoteReference w:id="254"/>
      </w:r>
      <w:r w:rsidR="00553861" w:rsidRPr="000B4AB2">
        <w:rPr>
          <w:color w:val="000000" w:themeColor="text1"/>
          <w:szCs w:val="18"/>
          <w:lang w:val="nl-NL"/>
        </w:rPr>
        <w:t xml:space="preserve"> </w:t>
      </w:r>
    </w:p>
    <w:p w14:paraId="486A8C7B" w14:textId="48B2963D" w:rsidR="00553861" w:rsidRPr="000B4AB2" w:rsidRDefault="000E110D" w:rsidP="00260F11">
      <w:pPr>
        <w:pStyle w:val="ListParagraph"/>
        <w:spacing w:line="360" w:lineRule="auto"/>
        <w:ind w:left="0"/>
        <w:rPr>
          <w:color w:val="000000" w:themeColor="text1"/>
          <w:szCs w:val="18"/>
          <w:lang w:val="nl-NL"/>
        </w:rPr>
      </w:pPr>
      <w:r w:rsidRPr="000B4AB2">
        <w:rPr>
          <w:color w:val="000000" w:themeColor="text1"/>
          <w:szCs w:val="18"/>
          <w:lang w:val="nl-NL"/>
        </w:rPr>
        <w:lastRenderedPageBreak/>
        <w:t>In</w:t>
      </w:r>
      <w:r w:rsidR="00553861" w:rsidRPr="000B4AB2">
        <w:rPr>
          <w:color w:val="000000" w:themeColor="text1"/>
          <w:szCs w:val="18"/>
          <w:lang w:val="nl-NL"/>
        </w:rPr>
        <w:t xml:space="preserve"> beperkte rechtspraak</w:t>
      </w:r>
      <w:r w:rsidR="0067324B">
        <w:rPr>
          <w:color w:val="000000" w:themeColor="text1"/>
          <w:szCs w:val="18"/>
          <w:lang w:val="nl-NL"/>
        </w:rPr>
        <w:t xml:space="preserve"> en rechtsleer</w:t>
      </w:r>
      <w:r w:rsidR="00553861" w:rsidRPr="000B4AB2">
        <w:rPr>
          <w:color w:val="000000" w:themeColor="text1"/>
          <w:szCs w:val="18"/>
          <w:lang w:val="nl-NL"/>
        </w:rPr>
        <w:t xml:space="preserve"> </w:t>
      </w:r>
      <w:r w:rsidRPr="000B4AB2">
        <w:rPr>
          <w:color w:val="000000" w:themeColor="text1"/>
          <w:szCs w:val="18"/>
          <w:lang w:val="nl-NL"/>
        </w:rPr>
        <w:t xml:space="preserve">werd evenwel </w:t>
      </w:r>
      <w:r w:rsidR="00553861" w:rsidRPr="000B4AB2">
        <w:rPr>
          <w:color w:val="000000" w:themeColor="text1"/>
          <w:szCs w:val="18"/>
          <w:lang w:val="nl-NL"/>
        </w:rPr>
        <w:t>verdedigd dat ook de penetratie die gebeur</w:t>
      </w:r>
      <w:r w:rsidR="00852371" w:rsidRPr="000B4AB2">
        <w:rPr>
          <w:color w:val="000000" w:themeColor="text1"/>
          <w:szCs w:val="18"/>
          <w:lang w:val="nl-NL"/>
        </w:rPr>
        <w:t>de</w:t>
      </w:r>
      <w:r w:rsidR="00553861" w:rsidRPr="000B4AB2">
        <w:rPr>
          <w:color w:val="000000" w:themeColor="text1"/>
          <w:szCs w:val="18"/>
          <w:lang w:val="nl-NL"/>
        </w:rPr>
        <w:t xml:space="preserve"> door het slachtoffer op de dader of een derde, zou vallen onder de strafbaarstelling.</w:t>
      </w:r>
      <w:r w:rsidR="00553861" w:rsidRPr="000B4AB2">
        <w:rPr>
          <w:rStyle w:val="FootnoteReference"/>
          <w:color w:val="000000" w:themeColor="text1"/>
          <w:szCs w:val="18"/>
          <w:lang w:val="nl-NL"/>
        </w:rPr>
        <w:footnoteReference w:id="255"/>
      </w:r>
    </w:p>
    <w:p w14:paraId="78F882B7" w14:textId="0672745D" w:rsidR="00B47B4A" w:rsidRPr="000B4AB2" w:rsidRDefault="00B47B4A" w:rsidP="00260F11">
      <w:pPr>
        <w:spacing w:line="360" w:lineRule="auto"/>
        <w:rPr>
          <w:color w:val="000000" w:themeColor="text1"/>
          <w:szCs w:val="18"/>
          <w:lang w:val="nl-NL"/>
        </w:rPr>
      </w:pPr>
    </w:p>
    <w:p w14:paraId="2ABEA24E" w14:textId="7581F036" w:rsidR="00484911" w:rsidRPr="000B4AB2" w:rsidRDefault="00C168A9" w:rsidP="00260F11">
      <w:pPr>
        <w:pStyle w:val="Heading5"/>
        <w:spacing w:line="360" w:lineRule="auto"/>
        <w:rPr>
          <w:szCs w:val="18"/>
          <w:lang w:val="nl-NL"/>
        </w:rPr>
      </w:pPr>
      <w:bookmarkStart w:id="28" w:name="_Toc135041059"/>
      <w:r>
        <w:rPr>
          <w:szCs w:val="18"/>
          <w:lang w:val="nl-NL"/>
        </w:rPr>
        <w:t>Afwezigheid</w:t>
      </w:r>
      <w:r w:rsidR="00705EB2" w:rsidRPr="000B4AB2">
        <w:rPr>
          <w:szCs w:val="18"/>
          <w:lang w:val="nl-NL"/>
        </w:rPr>
        <w:t xml:space="preserve"> geldige toestemming slachtoffer</w:t>
      </w:r>
      <w:bookmarkEnd w:id="28"/>
    </w:p>
    <w:p w14:paraId="2E635594" w14:textId="77777777" w:rsidR="00484911" w:rsidRPr="000B4AB2" w:rsidRDefault="00484911" w:rsidP="00260F11">
      <w:pPr>
        <w:spacing w:line="360" w:lineRule="auto"/>
        <w:rPr>
          <w:szCs w:val="18"/>
          <w:lang w:val="nl-NL"/>
        </w:rPr>
      </w:pPr>
    </w:p>
    <w:p w14:paraId="3D5D84AA" w14:textId="703F6516" w:rsidR="00484911" w:rsidRPr="000B4AB2" w:rsidRDefault="001E60FB" w:rsidP="00260F11">
      <w:pPr>
        <w:pStyle w:val="ListParagraph"/>
        <w:numPr>
          <w:ilvl w:val="0"/>
          <w:numId w:val="1"/>
        </w:numPr>
        <w:spacing w:line="360" w:lineRule="auto"/>
        <w:ind w:left="0" w:hanging="709"/>
        <w:rPr>
          <w:color w:val="000000" w:themeColor="text1"/>
          <w:szCs w:val="18"/>
          <w:lang w:val="nl-NL"/>
        </w:rPr>
      </w:pPr>
      <w:r>
        <w:rPr>
          <w:szCs w:val="18"/>
          <w:lang w:val="nl-NL"/>
        </w:rPr>
        <w:t xml:space="preserve">Voor wat betreft </w:t>
      </w:r>
      <w:r w:rsidR="00577864">
        <w:rPr>
          <w:szCs w:val="18"/>
          <w:lang w:val="nl-NL"/>
        </w:rPr>
        <w:t>dit</w:t>
      </w:r>
      <w:r>
        <w:rPr>
          <w:szCs w:val="18"/>
          <w:lang w:val="nl-NL"/>
        </w:rPr>
        <w:t xml:space="preserve"> constitutief bestanddeel dien</w:t>
      </w:r>
      <w:r w:rsidR="00577864">
        <w:rPr>
          <w:szCs w:val="18"/>
          <w:lang w:val="nl-NL"/>
        </w:rPr>
        <w:t>d</w:t>
      </w:r>
      <w:r>
        <w:rPr>
          <w:szCs w:val="18"/>
          <w:lang w:val="nl-NL"/>
        </w:rPr>
        <w:t xml:space="preserve">en </w:t>
      </w:r>
      <w:r w:rsidR="00484911" w:rsidRPr="000B4AB2">
        <w:rPr>
          <w:szCs w:val="18"/>
          <w:lang w:val="nl-NL"/>
        </w:rPr>
        <w:t>de</w:t>
      </w:r>
      <w:r w:rsidR="00484911" w:rsidRPr="000B4AB2">
        <w:rPr>
          <w:color w:val="000000" w:themeColor="text1"/>
          <w:szCs w:val="18"/>
          <w:lang w:val="nl-NL"/>
        </w:rPr>
        <w:t xml:space="preserve"> </w:t>
      </w:r>
      <w:r>
        <w:rPr>
          <w:color w:val="000000" w:themeColor="text1"/>
          <w:szCs w:val="18"/>
          <w:lang w:val="nl-NL"/>
        </w:rPr>
        <w:t xml:space="preserve">zogenaamde </w:t>
      </w:r>
      <w:r w:rsidR="00484911" w:rsidRPr="000B4AB2">
        <w:rPr>
          <w:color w:val="000000" w:themeColor="text1"/>
          <w:szCs w:val="18"/>
          <w:lang w:val="nl-NL"/>
        </w:rPr>
        <w:t>“eigenlijke verkrachting”</w:t>
      </w:r>
      <w:r>
        <w:rPr>
          <w:rStyle w:val="FootnoteReference"/>
          <w:color w:val="000000" w:themeColor="text1"/>
          <w:szCs w:val="18"/>
          <w:lang w:val="nl-NL"/>
        </w:rPr>
        <w:footnoteReference w:id="256"/>
      </w:r>
      <w:r w:rsidR="00EB30A8" w:rsidRPr="000B4AB2">
        <w:rPr>
          <w:color w:val="000000" w:themeColor="text1"/>
          <w:szCs w:val="18"/>
          <w:lang w:val="nl-NL"/>
        </w:rPr>
        <w:t xml:space="preserve"> </w:t>
      </w:r>
      <w:r>
        <w:rPr>
          <w:color w:val="000000" w:themeColor="text1"/>
          <w:szCs w:val="18"/>
          <w:lang w:val="nl-NL"/>
        </w:rPr>
        <w:t>en</w:t>
      </w:r>
      <w:r w:rsidR="00EB30A8" w:rsidRPr="000B4AB2">
        <w:rPr>
          <w:color w:val="000000" w:themeColor="text1"/>
          <w:szCs w:val="18"/>
          <w:lang w:val="nl-NL"/>
        </w:rPr>
        <w:t xml:space="preserve"> </w:t>
      </w:r>
      <w:r w:rsidR="00484911" w:rsidRPr="000B4AB2">
        <w:rPr>
          <w:color w:val="000000" w:themeColor="text1"/>
          <w:szCs w:val="18"/>
          <w:lang w:val="nl-NL"/>
        </w:rPr>
        <w:t>“verkrachting bij gelijkstelling”</w:t>
      </w:r>
      <w:r>
        <w:rPr>
          <w:rStyle w:val="FootnoteReference"/>
          <w:color w:val="000000" w:themeColor="text1"/>
          <w:szCs w:val="18"/>
          <w:lang w:val="nl-NL"/>
        </w:rPr>
        <w:footnoteReference w:id="257"/>
      </w:r>
      <w:r>
        <w:rPr>
          <w:color w:val="000000" w:themeColor="text1"/>
          <w:szCs w:val="18"/>
          <w:lang w:val="nl-NL"/>
        </w:rPr>
        <w:t xml:space="preserve"> van elkaar te worden onderscheiden</w:t>
      </w:r>
      <w:r w:rsidR="00484911" w:rsidRPr="000B4AB2">
        <w:rPr>
          <w:color w:val="000000" w:themeColor="text1"/>
          <w:szCs w:val="18"/>
          <w:lang w:val="nl-NL"/>
        </w:rPr>
        <w:t>.</w:t>
      </w:r>
      <w:r w:rsidR="00484911" w:rsidRPr="000B4AB2">
        <w:rPr>
          <w:rStyle w:val="FootnoteReference"/>
          <w:color w:val="000000" w:themeColor="text1"/>
          <w:szCs w:val="18"/>
          <w:lang w:val="nl-NL"/>
        </w:rPr>
        <w:footnoteReference w:id="258"/>
      </w:r>
      <w:r w:rsidR="00484911" w:rsidRPr="000B4AB2">
        <w:rPr>
          <w:color w:val="000000" w:themeColor="text1"/>
          <w:szCs w:val="18"/>
          <w:lang w:val="nl-NL"/>
        </w:rPr>
        <w:t xml:space="preserve"> </w:t>
      </w:r>
    </w:p>
    <w:p w14:paraId="4A3E87B4" w14:textId="77777777" w:rsidR="004224D9" w:rsidRPr="000B4AB2" w:rsidRDefault="004224D9" w:rsidP="00260F11">
      <w:pPr>
        <w:pStyle w:val="ListParagraph"/>
        <w:spacing w:line="360" w:lineRule="auto"/>
        <w:ind w:left="0"/>
        <w:rPr>
          <w:color w:val="000000" w:themeColor="text1"/>
          <w:szCs w:val="18"/>
          <w:lang w:val="nl-NL"/>
        </w:rPr>
      </w:pPr>
    </w:p>
    <w:p w14:paraId="38790D8A" w14:textId="74017553" w:rsidR="00CB50B8" w:rsidRPr="00CB50B8" w:rsidRDefault="00544FA4"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 xml:space="preserve">(1) </w:t>
      </w:r>
      <w:r w:rsidR="00EB30A8" w:rsidRPr="000B4AB2">
        <w:rPr>
          <w:b/>
          <w:szCs w:val="18"/>
          <w:lang w:val="nl-NL"/>
        </w:rPr>
        <w:t xml:space="preserve">Eigenlijke </w:t>
      </w:r>
      <w:r w:rsidR="00E771BC" w:rsidRPr="000B4AB2">
        <w:rPr>
          <w:b/>
          <w:szCs w:val="18"/>
          <w:lang w:val="nl-NL"/>
        </w:rPr>
        <w:t>verkrachting</w:t>
      </w:r>
      <w:r w:rsidR="00EB30A8" w:rsidRPr="000B4AB2">
        <w:rPr>
          <w:b/>
          <w:szCs w:val="18"/>
          <w:lang w:val="nl-NL"/>
        </w:rPr>
        <w:t>.</w:t>
      </w:r>
      <w:r w:rsidR="00EB30A8" w:rsidRPr="000B4AB2">
        <w:rPr>
          <w:szCs w:val="18"/>
          <w:lang w:val="nl-NL"/>
        </w:rPr>
        <w:t xml:space="preserve"> </w:t>
      </w:r>
      <w:r w:rsidR="007653BC">
        <w:rPr>
          <w:szCs w:val="18"/>
          <w:lang w:val="nl-NL"/>
        </w:rPr>
        <w:t>Artikel</w:t>
      </w:r>
      <w:r w:rsidR="00D8474E" w:rsidRPr="000B4AB2">
        <w:rPr>
          <w:szCs w:val="18"/>
          <w:lang w:val="nl-NL"/>
        </w:rPr>
        <w:t xml:space="preserve"> 375</w:t>
      </w:r>
      <w:r w:rsidR="007653BC">
        <w:rPr>
          <w:szCs w:val="18"/>
          <w:lang w:val="nl-NL"/>
        </w:rPr>
        <w:t>, eerste lid</w:t>
      </w:r>
      <w:r w:rsidR="00D8474E" w:rsidRPr="000B4AB2">
        <w:rPr>
          <w:szCs w:val="18"/>
          <w:lang w:val="nl-NL"/>
        </w:rPr>
        <w:t xml:space="preserve"> </w:t>
      </w:r>
      <w:r w:rsidR="0081584B">
        <w:rPr>
          <w:szCs w:val="18"/>
          <w:lang w:val="nl-NL"/>
        </w:rPr>
        <w:t xml:space="preserve">van het </w:t>
      </w:r>
      <w:r w:rsidR="00CE0637">
        <w:rPr>
          <w:szCs w:val="18"/>
          <w:lang w:val="nl-NL"/>
        </w:rPr>
        <w:t>Strafwetboek</w:t>
      </w:r>
      <w:r w:rsidR="00D8474E" w:rsidRPr="000B4AB2">
        <w:rPr>
          <w:szCs w:val="18"/>
          <w:lang w:val="nl-NL"/>
        </w:rPr>
        <w:t xml:space="preserve"> stel</w:t>
      </w:r>
      <w:r w:rsidR="00D61F73" w:rsidRPr="000B4AB2">
        <w:rPr>
          <w:szCs w:val="18"/>
          <w:lang w:val="nl-NL"/>
        </w:rPr>
        <w:t>de</w:t>
      </w:r>
      <w:r w:rsidR="0092629B" w:rsidRPr="000B4AB2">
        <w:rPr>
          <w:szCs w:val="18"/>
          <w:lang w:val="nl-NL"/>
        </w:rPr>
        <w:t xml:space="preserve"> </w:t>
      </w:r>
      <w:r w:rsidR="00D8474E" w:rsidRPr="000B4AB2">
        <w:rPr>
          <w:szCs w:val="18"/>
          <w:lang w:val="nl-NL"/>
        </w:rPr>
        <w:t xml:space="preserve">iedere seksuele penetratie strafbaar op een persoon die daar niet in toestemt. De afwezigheid van toestemming van het slachtoffer </w:t>
      </w:r>
      <w:r w:rsidR="00D61F73" w:rsidRPr="000B4AB2">
        <w:rPr>
          <w:szCs w:val="18"/>
          <w:lang w:val="nl-NL"/>
        </w:rPr>
        <w:t>was</w:t>
      </w:r>
      <w:r w:rsidR="00D8474E" w:rsidRPr="000B4AB2">
        <w:rPr>
          <w:szCs w:val="18"/>
          <w:lang w:val="nl-NL"/>
        </w:rPr>
        <w:t xml:space="preserve"> aldus een constitutief bestanddeel</w:t>
      </w:r>
      <w:r w:rsidR="00D8474E" w:rsidRPr="000B4AB2">
        <w:rPr>
          <w:rStyle w:val="FootnoteReference"/>
          <w:szCs w:val="18"/>
          <w:lang w:val="nl-NL"/>
        </w:rPr>
        <w:footnoteReference w:id="259"/>
      </w:r>
      <w:r w:rsidR="004E2F28" w:rsidRPr="000B4AB2">
        <w:rPr>
          <w:szCs w:val="18"/>
          <w:lang w:val="nl-NL"/>
        </w:rPr>
        <w:t xml:space="preserve"> </w:t>
      </w:r>
      <w:r w:rsidR="00CB50B8">
        <w:rPr>
          <w:szCs w:val="18"/>
          <w:lang w:val="nl-NL"/>
        </w:rPr>
        <w:t>en</w:t>
      </w:r>
      <w:r w:rsidR="00824D37" w:rsidRPr="000B4AB2">
        <w:rPr>
          <w:szCs w:val="18"/>
          <w:lang w:val="nl-NL"/>
        </w:rPr>
        <w:t xml:space="preserve"> kon blijken uit </w:t>
      </w:r>
      <w:r w:rsidR="00D1590A" w:rsidRPr="000B4AB2">
        <w:rPr>
          <w:szCs w:val="18"/>
          <w:lang w:val="nl-NL"/>
        </w:rPr>
        <w:t xml:space="preserve">de aanwezigheid van </w:t>
      </w:r>
      <w:r w:rsidR="000E110D" w:rsidRPr="000B4AB2">
        <w:rPr>
          <w:szCs w:val="18"/>
          <w:lang w:val="nl-NL"/>
        </w:rPr>
        <w:t>een</w:t>
      </w:r>
      <w:r w:rsidR="00D1590A" w:rsidRPr="000B4AB2">
        <w:rPr>
          <w:szCs w:val="18"/>
          <w:lang w:val="nl-NL"/>
        </w:rPr>
        <w:t xml:space="preserve"> </w:t>
      </w:r>
      <w:r w:rsidR="000E110D" w:rsidRPr="000B4AB2">
        <w:rPr>
          <w:szCs w:val="18"/>
          <w:lang w:val="nl-NL"/>
        </w:rPr>
        <w:t xml:space="preserve">van </w:t>
      </w:r>
      <w:r w:rsidR="004E2F28" w:rsidRPr="000B4AB2">
        <w:rPr>
          <w:szCs w:val="18"/>
          <w:lang w:val="nl-NL"/>
        </w:rPr>
        <w:t xml:space="preserve">de </w:t>
      </w:r>
      <w:r w:rsidR="00DA3157" w:rsidRPr="000B4AB2">
        <w:rPr>
          <w:szCs w:val="18"/>
          <w:lang w:val="nl-NL"/>
        </w:rPr>
        <w:t>toestemmings</w:t>
      </w:r>
      <w:r w:rsidR="004E2F28" w:rsidRPr="000B4AB2">
        <w:rPr>
          <w:szCs w:val="18"/>
          <w:lang w:val="nl-NL"/>
        </w:rPr>
        <w:t>uitsluitende factoren</w:t>
      </w:r>
      <w:r w:rsidR="00CB50B8">
        <w:rPr>
          <w:szCs w:val="18"/>
          <w:lang w:val="nl-NL"/>
        </w:rPr>
        <w:t xml:space="preserve"> uit het tweede lid van voornoemd artikel,</w:t>
      </w:r>
      <w:r w:rsidR="00DA3157" w:rsidRPr="000B4AB2">
        <w:rPr>
          <w:szCs w:val="18"/>
          <w:lang w:val="nl-NL"/>
        </w:rPr>
        <w:t xml:space="preserve"> </w:t>
      </w:r>
      <w:r w:rsidR="00C722A6" w:rsidRPr="000B4AB2">
        <w:rPr>
          <w:szCs w:val="18"/>
          <w:lang w:val="nl-NL"/>
        </w:rPr>
        <w:t>maar</w:t>
      </w:r>
      <w:r w:rsidR="004E2F28" w:rsidRPr="000B4AB2">
        <w:rPr>
          <w:szCs w:val="18"/>
          <w:lang w:val="nl-NL"/>
        </w:rPr>
        <w:t xml:space="preserve"> </w:t>
      </w:r>
      <w:r w:rsidR="00C722A6" w:rsidRPr="000B4AB2">
        <w:rPr>
          <w:szCs w:val="18"/>
          <w:lang w:val="nl-NL"/>
        </w:rPr>
        <w:t xml:space="preserve">daarnaast </w:t>
      </w:r>
      <w:r w:rsidR="004E2F28" w:rsidRPr="000B4AB2">
        <w:rPr>
          <w:szCs w:val="18"/>
          <w:lang w:val="nl-NL"/>
        </w:rPr>
        <w:t>ook uit</w:t>
      </w:r>
      <w:r w:rsidR="009C55E2" w:rsidRPr="000B4AB2">
        <w:rPr>
          <w:szCs w:val="18"/>
          <w:lang w:val="nl-NL"/>
        </w:rPr>
        <w:t xml:space="preserve"> andere </w:t>
      </w:r>
      <w:r w:rsidR="004E2F28" w:rsidRPr="000B4AB2">
        <w:rPr>
          <w:szCs w:val="18"/>
          <w:lang w:val="nl-NL"/>
        </w:rPr>
        <w:t>omstandigheden</w:t>
      </w:r>
      <w:r w:rsidR="009C55E2" w:rsidRPr="000B4AB2">
        <w:rPr>
          <w:szCs w:val="18"/>
          <w:lang w:val="nl-NL"/>
        </w:rPr>
        <w:t>.</w:t>
      </w:r>
      <w:r w:rsidR="009C55E2" w:rsidRPr="000B4AB2">
        <w:rPr>
          <w:rStyle w:val="FootnoteReference"/>
          <w:szCs w:val="18"/>
          <w:lang w:val="nl-NL"/>
        </w:rPr>
        <w:footnoteReference w:id="260"/>
      </w:r>
      <w:r w:rsidR="001F54C3" w:rsidRPr="000B4AB2">
        <w:rPr>
          <w:szCs w:val="18"/>
          <w:lang w:val="nl-NL"/>
        </w:rPr>
        <w:t xml:space="preserve"> </w:t>
      </w:r>
    </w:p>
    <w:p w14:paraId="17093B48" w14:textId="77777777" w:rsidR="00CB50B8" w:rsidRPr="00CB50B8" w:rsidRDefault="00CB50B8" w:rsidP="00260F11">
      <w:pPr>
        <w:pStyle w:val="ListParagraph"/>
        <w:spacing w:line="360" w:lineRule="auto"/>
        <w:rPr>
          <w:szCs w:val="18"/>
          <w:lang w:val="nl-NL"/>
        </w:rPr>
      </w:pPr>
    </w:p>
    <w:p w14:paraId="5F3FE3D1" w14:textId="7F319A3B" w:rsidR="0094474D" w:rsidRPr="009C29A6" w:rsidRDefault="001F54C3" w:rsidP="00260F11">
      <w:pPr>
        <w:pStyle w:val="ListParagraph"/>
        <w:spacing w:line="360" w:lineRule="auto"/>
        <w:ind w:left="0"/>
        <w:rPr>
          <w:szCs w:val="18"/>
          <w:lang w:val="fr-FR"/>
        </w:rPr>
      </w:pPr>
      <w:r w:rsidRPr="000B4AB2">
        <w:rPr>
          <w:szCs w:val="18"/>
          <w:lang w:val="nl-NL"/>
        </w:rPr>
        <w:t xml:space="preserve">Van zodra </w:t>
      </w:r>
      <w:r w:rsidR="007653BC">
        <w:rPr>
          <w:szCs w:val="18"/>
          <w:lang w:val="nl-NL"/>
        </w:rPr>
        <w:t>een</w:t>
      </w:r>
      <w:r w:rsidRPr="000B4AB2">
        <w:rPr>
          <w:szCs w:val="18"/>
          <w:lang w:val="nl-NL"/>
        </w:rPr>
        <w:t xml:space="preserve"> van de toestemmingsuitsluitende gronden voorhanden </w:t>
      </w:r>
      <w:r w:rsidR="00D61F73" w:rsidRPr="000B4AB2">
        <w:rPr>
          <w:szCs w:val="18"/>
          <w:lang w:val="nl-NL"/>
        </w:rPr>
        <w:t>was</w:t>
      </w:r>
      <w:r w:rsidRPr="000B4AB2">
        <w:rPr>
          <w:szCs w:val="18"/>
          <w:lang w:val="nl-NL"/>
        </w:rPr>
        <w:t xml:space="preserve">, </w:t>
      </w:r>
      <w:r w:rsidR="00D61F73" w:rsidRPr="000B4AB2">
        <w:rPr>
          <w:szCs w:val="18"/>
          <w:lang w:val="nl-NL"/>
        </w:rPr>
        <w:t>werd</w:t>
      </w:r>
      <w:r w:rsidRPr="000B4AB2">
        <w:rPr>
          <w:szCs w:val="18"/>
          <w:lang w:val="nl-NL"/>
        </w:rPr>
        <w:t xml:space="preserve"> het slachtoffer geacht diens toestemming niet te hebben verleend.</w:t>
      </w:r>
      <w:r w:rsidRPr="000B4AB2">
        <w:rPr>
          <w:rStyle w:val="FootnoteReference"/>
          <w:szCs w:val="18"/>
          <w:lang w:val="nl-NL"/>
        </w:rPr>
        <w:footnoteReference w:id="261"/>
      </w:r>
      <w:r w:rsidRPr="000B4AB2">
        <w:rPr>
          <w:szCs w:val="18"/>
          <w:lang w:val="nl-NL"/>
        </w:rPr>
        <w:t xml:space="preserve"> </w:t>
      </w:r>
      <w:r w:rsidR="00BB0105" w:rsidRPr="000B4AB2">
        <w:rPr>
          <w:szCs w:val="18"/>
          <w:lang w:val="nl-NL"/>
        </w:rPr>
        <w:t xml:space="preserve">Het voorhanden zijn van </w:t>
      </w:r>
      <w:r w:rsidR="007653BC">
        <w:rPr>
          <w:szCs w:val="18"/>
          <w:lang w:val="nl-NL"/>
        </w:rPr>
        <w:t>een</w:t>
      </w:r>
      <w:r w:rsidR="00BB0105" w:rsidRPr="000B4AB2">
        <w:rPr>
          <w:szCs w:val="18"/>
          <w:lang w:val="nl-NL"/>
        </w:rPr>
        <w:t xml:space="preserve"> van de opgesomde gronden vorm</w:t>
      </w:r>
      <w:r w:rsidR="00D61F73" w:rsidRPr="000B4AB2">
        <w:rPr>
          <w:szCs w:val="18"/>
          <w:lang w:val="nl-NL"/>
        </w:rPr>
        <w:t>de</w:t>
      </w:r>
      <w:r w:rsidR="00BB0105" w:rsidRPr="000B4AB2">
        <w:rPr>
          <w:szCs w:val="18"/>
          <w:lang w:val="nl-NL"/>
        </w:rPr>
        <w:t xml:space="preserve"> bijgevolg een voldoende, maar geen noodzakelijke voorwaarde voor het ontbreken van toestemming.</w:t>
      </w:r>
      <w:r w:rsidR="003F723E" w:rsidRPr="000B4AB2">
        <w:rPr>
          <w:rStyle w:val="FootnoteReference"/>
          <w:szCs w:val="18"/>
          <w:lang w:val="nl-NL"/>
        </w:rPr>
        <w:footnoteReference w:id="262"/>
      </w:r>
      <w:r w:rsidR="00C90957" w:rsidRPr="000B4AB2">
        <w:rPr>
          <w:szCs w:val="18"/>
          <w:lang w:val="nl-NL"/>
        </w:rPr>
        <w:t xml:space="preserve"> </w:t>
      </w:r>
      <w:r w:rsidR="002542D3" w:rsidRPr="009C29A6">
        <w:rPr>
          <w:color w:val="000000" w:themeColor="text1"/>
          <w:szCs w:val="18"/>
          <w:lang w:val="fr-FR"/>
        </w:rPr>
        <w:t xml:space="preserve">BASTYNS </w:t>
      </w:r>
      <w:r w:rsidR="00C95723" w:rsidRPr="009C29A6">
        <w:rPr>
          <w:color w:val="000000" w:themeColor="text1"/>
          <w:szCs w:val="18"/>
          <w:lang w:val="fr-FR"/>
        </w:rPr>
        <w:t>preciseerde</w:t>
      </w:r>
      <w:r w:rsidR="002542D3" w:rsidRPr="009C29A6">
        <w:rPr>
          <w:color w:val="000000" w:themeColor="text1"/>
          <w:szCs w:val="18"/>
          <w:lang w:val="fr-FR"/>
        </w:rPr>
        <w:t xml:space="preserve"> </w:t>
      </w:r>
      <w:r w:rsidR="00CB50B8" w:rsidRPr="009C29A6">
        <w:rPr>
          <w:color w:val="000000" w:themeColor="text1"/>
          <w:szCs w:val="18"/>
          <w:lang w:val="fr-FR"/>
        </w:rPr>
        <w:t>dit als volgt</w:t>
      </w:r>
      <w:r w:rsidR="002542D3" w:rsidRPr="009C29A6">
        <w:rPr>
          <w:color w:val="000000" w:themeColor="text1"/>
          <w:szCs w:val="18"/>
          <w:lang w:val="fr-FR"/>
        </w:rPr>
        <w:t>:</w:t>
      </w:r>
      <w:r w:rsidR="002542D3" w:rsidRPr="009C29A6">
        <w:rPr>
          <w:i/>
          <w:color w:val="000000" w:themeColor="text1"/>
          <w:szCs w:val="18"/>
          <w:lang w:val="fr-FR"/>
        </w:rPr>
        <w:t xml:space="preserve"> </w:t>
      </w:r>
      <w:r w:rsidR="00C90957" w:rsidRPr="009C29A6">
        <w:rPr>
          <w:i/>
          <w:color w:val="000000" w:themeColor="text1"/>
          <w:szCs w:val="18"/>
          <w:lang w:val="fr-FR"/>
        </w:rPr>
        <w:t>“Le législateur a prévu que l’absence de consentement pouvait se manifester de différentes manières, même dans l’hypothèse ou la victime paraît manifester son accord à l’acte.”</w:t>
      </w:r>
      <w:r w:rsidR="00C90957" w:rsidRPr="000B4AB2">
        <w:rPr>
          <w:rStyle w:val="FootnoteReference"/>
          <w:i/>
          <w:color w:val="000000" w:themeColor="text1"/>
          <w:szCs w:val="18"/>
          <w:lang w:val="nl-NL"/>
        </w:rPr>
        <w:footnoteReference w:id="263"/>
      </w:r>
    </w:p>
    <w:p w14:paraId="686F222B" w14:textId="77777777" w:rsidR="00480C0C" w:rsidRPr="009C29A6" w:rsidRDefault="00480C0C" w:rsidP="00260F11">
      <w:pPr>
        <w:spacing w:line="360" w:lineRule="auto"/>
        <w:rPr>
          <w:color w:val="000000" w:themeColor="text1"/>
          <w:szCs w:val="18"/>
          <w:lang w:val="fr-FR"/>
        </w:rPr>
      </w:pPr>
    </w:p>
    <w:p w14:paraId="0D276BCD" w14:textId="48A88950" w:rsidR="00F57338" w:rsidRPr="00651B1D" w:rsidRDefault="00B122AF" w:rsidP="00260F11">
      <w:pPr>
        <w:pStyle w:val="ListParagraph"/>
        <w:numPr>
          <w:ilvl w:val="0"/>
          <w:numId w:val="1"/>
        </w:numPr>
        <w:spacing w:line="360" w:lineRule="auto"/>
        <w:ind w:left="0" w:hanging="709"/>
        <w:rPr>
          <w:szCs w:val="18"/>
          <w:lang w:val="nl-NL"/>
        </w:rPr>
      </w:pPr>
      <w:r w:rsidRPr="000B4AB2">
        <w:rPr>
          <w:b/>
          <w:color w:val="000000" w:themeColor="text1"/>
          <w:szCs w:val="18"/>
          <w:lang w:val="nl-NL"/>
        </w:rPr>
        <w:lastRenderedPageBreak/>
        <w:t>Toestemming: “gegeven is gegeven”?</w:t>
      </w:r>
      <w:r w:rsidRPr="000B4AB2">
        <w:rPr>
          <w:color w:val="000000" w:themeColor="text1"/>
          <w:szCs w:val="18"/>
          <w:lang w:val="nl-NL"/>
        </w:rPr>
        <w:t xml:space="preserve"> T</w:t>
      </w:r>
      <w:r w:rsidR="00587B9A" w:rsidRPr="000B4AB2">
        <w:rPr>
          <w:color w:val="000000" w:themeColor="text1"/>
          <w:szCs w:val="18"/>
          <w:lang w:val="nl-NL"/>
        </w:rPr>
        <w:t xml:space="preserve">oestemming </w:t>
      </w:r>
      <w:r w:rsidR="00587B9A" w:rsidRPr="000B4AB2">
        <w:rPr>
          <w:szCs w:val="18"/>
          <w:lang w:val="nl-NL"/>
        </w:rPr>
        <w:t>voor de ene seksuele penetratie impliceer</w:t>
      </w:r>
      <w:r w:rsidR="00CD1EB0" w:rsidRPr="000B4AB2">
        <w:rPr>
          <w:szCs w:val="18"/>
          <w:lang w:val="nl-NL"/>
        </w:rPr>
        <w:t>de</w:t>
      </w:r>
      <w:r w:rsidR="00587B9A" w:rsidRPr="000B4AB2">
        <w:rPr>
          <w:szCs w:val="18"/>
          <w:lang w:val="nl-NL"/>
        </w:rPr>
        <w:t xml:space="preserve"> niet noodzakelijkerwijs toestemming voor een andere</w:t>
      </w:r>
      <w:r w:rsidR="00973772" w:rsidRPr="000B4AB2">
        <w:rPr>
          <w:szCs w:val="18"/>
          <w:lang w:val="nl-NL"/>
        </w:rPr>
        <w:t xml:space="preserve"> </w:t>
      </w:r>
      <w:r w:rsidR="00587B9A" w:rsidRPr="000B4AB2">
        <w:rPr>
          <w:szCs w:val="18"/>
          <w:lang w:val="nl-NL"/>
        </w:rPr>
        <w:t>seksuele penetratie.</w:t>
      </w:r>
      <w:r w:rsidR="00587B9A" w:rsidRPr="000B4AB2">
        <w:rPr>
          <w:rStyle w:val="FootnoteReference"/>
          <w:szCs w:val="18"/>
          <w:lang w:val="nl-NL"/>
        </w:rPr>
        <w:footnoteReference w:id="264"/>
      </w:r>
      <w:r w:rsidR="006D7DD6" w:rsidRPr="000B4AB2">
        <w:rPr>
          <w:szCs w:val="18"/>
          <w:lang w:val="nl-NL"/>
        </w:rPr>
        <w:t xml:space="preserve"> </w:t>
      </w:r>
      <w:r w:rsidR="00CB50B8">
        <w:rPr>
          <w:color w:val="000000" w:themeColor="text1"/>
          <w:szCs w:val="18"/>
          <w:lang w:val="nl-NL"/>
        </w:rPr>
        <w:t>Deze situatie dient</w:t>
      </w:r>
      <w:r w:rsidR="007653BC">
        <w:rPr>
          <w:color w:val="000000" w:themeColor="text1"/>
          <w:szCs w:val="18"/>
          <w:lang w:val="nl-NL"/>
        </w:rPr>
        <w:t xml:space="preserve"> evenwel </w:t>
      </w:r>
      <w:r w:rsidR="00CB50B8">
        <w:rPr>
          <w:color w:val="000000" w:themeColor="text1"/>
          <w:szCs w:val="18"/>
          <w:lang w:val="nl-NL"/>
        </w:rPr>
        <w:t>te worden onderscheiden van</w:t>
      </w:r>
      <w:r w:rsidR="007653BC">
        <w:rPr>
          <w:color w:val="000000" w:themeColor="text1"/>
          <w:szCs w:val="18"/>
          <w:lang w:val="nl-NL"/>
        </w:rPr>
        <w:t xml:space="preserve"> de situatie waarin </w:t>
      </w:r>
      <w:r w:rsidR="00CB50B8">
        <w:rPr>
          <w:color w:val="000000" w:themeColor="text1"/>
          <w:szCs w:val="18"/>
          <w:lang w:val="nl-NL"/>
        </w:rPr>
        <w:t>iemand</w:t>
      </w:r>
      <w:r w:rsidR="003A5E10" w:rsidRPr="000B4AB2">
        <w:rPr>
          <w:color w:val="000000" w:themeColor="text1"/>
          <w:szCs w:val="18"/>
          <w:lang w:val="nl-NL"/>
        </w:rPr>
        <w:t xml:space="preserve"> tijdens</w:t>
      </w:r>
      <w:r w:rsidR="0039622E" w:rsidRPr="000B4AB2">
        <w:rPr>
          <w:color w:val="000000" w:themeColor="text1"/>
          <w:szCs w:val="18"/>
          <w:lang w:val="nl-NL"/>
        </w:rPr>
        <w:t xml:space="preserve"> de seksuele </w:t>
      </w:r>
      <w:r w:rsidR="007653BC">
        <w:rPr>
          <w:color w:val="000000" w:themeColor="text1"/>
          <w:szCs w:val="18"/>
          <w:lang w:val="nl-NL"/>
        </w:rPr>
        <w:t>betrekkingen (maar na de seksuele penetratie)</w:t>
      </w:r>
      <w:r w:rsidR="0039622E" w:rsidRPr="000B4AB2">
        <w:rPr>
          <w:color w:val="000000" w:themeColor="text1"/>
          <w:szCs w:val="18"/>
          <w:lang w:val="nl-NL"/>
        </w:rPr>
        <w:t xml:space="preserve"> </w:t>
      </w:r>
      <w:r w:rsidR="003A5E10" w:rsidRPr="000B4AB2">
        <w:rPr>
          <w:color w:val="000000" w:themeColor="text1"/>
          <w:szCs w:val="18"/>
          <w:lang w:val="nl-NL"/>
        </w:rPr>
        <w:t>diens toestemming intrekt</w:t>
      </w:r>
      <w:r w:rsidR="0039622E" w:rsidRPr="000B4AB2">
        <w:rPr>
          <w:color w:val="000000" w:themeColor="text1"/>
          <w:szCs w:val="18"/>
          <w:lang w:val="nl-NL"/>
        </w:rPr>
        <w:t xml:space="preserve">. De vraag naar de implicaties </w:t>
      </w:r>
      <w:r w:rsidR="007653BC">
        <w:rPr>
          <w:color w:val="000000" w:themeColor="text1"/>
          <w:szCs w:val="18"/>
          <w:lang w:val="nl-NL"/>
        </w:rPr>
        <w:t>hiervan</w:t>
      </w:r>
      <w:r w:rsidR="00297102" w:rsidRPr="000B4AB2">
        <w:rPr>
          <w:color w:val="000000" w:themeColor="text1"/>
          <w:szCs w:val="18"/>
          <w:lang w:val="nl-NL"/>
        </w:rPr>
        <w:t>,</w:t>
      </w:r>
      <w:r w:rsidR="0039622E" w:rsidRPr="000B4AB2">
        <w:rPr>
          <w:color w:val="000000" w:themeColor="text1"/>
          <w:szCs w:val="18"/>
          <w:lang w:val="nl-NL"/>
        </w:rPr>
        <w:t xml:space="preserve"> werd verdeeld beantwoord in de rechtsleer. </w:t>
      </w:r>
      <w:r w:rsidR="00A10A6D" w:rsidRPr="00651B1D">
        <w:rPr>
          <w:color w:val="000000" w:themeColor="text1"/>
          <w:szCs w:val="18"/>
          <w:lang w:val="nl-NL"/>
        </w:rPr>
        <w:t>Een deel</w:t>
      </w:r>
      <w:r w:rsidR="007853F4" w:rsidRPr="00651B1D">
        <w:rPr>
          <w:color w:val="000000" w:themeColor="text1"/>
          <w:szCs w:val="18"/>
          <w:lang w:val="nl-NL"/>
        </w:rPr>
        <w:t xml:space="preserve"> van de </w:t>
      </w:r>
      <w:r w:rsidR="00A10A6D" w:rsidRPr="00651B1D">
        <w:rPr>
          <w:color w:val="000000" w:themeColor="text1"/>
          <w:szCs w:val="18"/>
          <w:lang w:val="nl-NL"/>
        </w:rPr>
        <w:t>doctrine</w:t>
      </w:r>
      <w:r w:rsidR="007853F4" w:rsidRPr="00651B1D">
        <w:rPr>
          <w:color w:val="000000" w:themeColor="text1"/>
          <w:szCs w:val="18"/>
          <w:lang w:val="nl-NL"/>
        </w:rPr>
        <w:t xml:space="preserve"> meen</w:t>
      </w:r>
      <w:r w:rsidR="00CD1EB0" w:rsidRPr="00651B1D">
        <w:rPr>
          <w:color w:val="000000" w:themeColor="text1"/>
          <w:szCs w:val="18"/>
          <w:lang w:val="nl-NL"/>
        </w:rPr>
        <w:t>de</w:t>
      </w:r>
      <w:r w:rsidR="00E8488C" w:rsidRPr="00651B1D">
        <w:rPr>
          <w:color w:val="000000" w:themeColor="text1"/>
          <w:szCs w:val="18"/>
          <w:lang w:val="nl-NL"/>
        </w:rPr>
        <w:t xml:space="preserve"> </w:t>
      </w:r>
      <w:r w:rsidR="00651B1D">
        <w:rPr>
          <w:color w:val="000000" w:themeColor="text1"/>
          <w:szCs w:val="18"/>
          <w:lang w:val="nl-NL"/>
        </w:rPr>
        <w:t xml:space="preserve">immers </w:t>
      </w:r>
      <w:r w:rsidR="00E8488C" w:rsidRPr="00651B1D">
        <w:rPr>
          <w:color w:val="000000" w:themeColor="text1"/>
          <w:szCs w:val="18"/>
          <w:lang w:val="nl-NL"/>
        </w:rPr>
        <w:t xml:space="preserve">dat </w:t>
      </w:r>
      <w:r w:rsidR="00651B1D">
        <w:rPr>
          <w:color w:val="000000" w:themeColor="text1"/>
          <w:szCs w:val="18"/>
          <w:lang w:val="nl-NL"/>
        </w:rPr>
        <w:t>dit</w:t>
      </w:r>
      <w:r w:rsidR="00E8488C" w:rsidRPr="00651B1D">
        <w:rPr>
          <w:color w:val="000000" w:themeColor="text1"/>
          <w:szCs w:val="18"/>
          <w:lang w:val="nl-NL"/>
        </w:rPr>
        <w:t xml:space="preserve"> geen verkrachting zou kunnen uitmaken.</w:t>
      </w:r>
      <w:r w:rsidR="00DD1595" w:rsidRPr="00651B1D">
        <w:rPr>
          <w:color w:val="000000" w:themeColor="text1"/>
          <w:szCs w:val="18"/>
          <w:lang w:val="nl-NL"/>
        </w:rPr>
        <w:t xml:space="preserve"> Zij argumentee</w:t>
      </w:r>
      <w:r w:rsidR="00CD1EB0" w:rsidRPr="00651B1D">
        <w:rPr>
          <w:color w:val="000000" w:themeColor="text1"/>
          <w:szCs w:val="18"/>
          <w:lang w:val="nl-NL"/>
        </w:rPr>
        <w:t>rde</w:t>
      </w:r>
      <w:r w:rsidR="00DD1595" w:rsidRPr="00651B1D">
        <w:rPr>
          <w:color w:val="000000" w:themeColor="text1"/>
          <w:szCs w:val="18"/>
          <w:lang w:val="nl-NL"/>
        </w:rPr>
        <w:t>n</w:t>
      </w:r>
      <w:r w:rsidR="002759EB">
        <w:rPr>
          <w:color w:val="000000" w:themeColor="text1"/>
          <w:szCs w:val="18"/>
          <w:lang w:val="nl-NL"/>
        </w:rPr>
        <w:t xml:space="preserve"> </w:t>
      </w:r>
      <w:r w:rsidR="002759EB" w:rsidRPr="00651B1D">
        <w:rPr>
          <w:color w:val="000000" w:themeColor="text1"/>
          <w:szCs w:val="18"/>
          <w:lang w:val="nl-NL"/>
        </w:rPr>
        <w:t>in grote lijnen</w:t>
      </w:r>
      <w:r w:rsidR="002759EB">
        <w:rPr>
          <w:color w:val="000000" w:themeColor="text1"/>
          <w:szCs w:val="18"/>
          <w:lang w:val="nl-NL"/>
        </w:rPr>
        <w:t>, m.i. terecht,</w:t>
      </w:r>
      <w:r w:rsidR="00DD1595" w:rsidRPr="00651B1D">
        <w:rPr>
          <w:color w:val="000000" w:themeColor="text1"/>
          <w:szCs w:val="18"/>
          <w:lang w:val="nl-NL"/>
        </w:rPr>
        <w:t xml:space="preserve"> dat oud artikel 375 </w:t>
      </w:r>
      <w:r w:rsidR="0081584B">
        <w:rPr>
          <w:color w:val="000000" w:themeColor="text1"/>
          <w:szCs w:val="18"/>
          <w:lang w:val="nl-NL"/>
        </w:rPr>
        <w:t xml:space="preserve">van het </w:t>
      </w:r>
      <w:r w:rsidR="00DD1595" w:rsidRPr="00651B1D">
        <w:rPr>
          <w:color w:val="000000" w:themeColor="text1"/>
          <w:szCs w:val="18"/>
          <w:lang w:val="nl-NL"/>
        </w:rPr>
        <w:t>Strafwetboek enkel</w:t>
      </w:r>
      <w:r w:rsidR="00F752ED" w:rsidRPr="00651B1D">
        <w:rPr>
          <w:color w:val="000000" w:themeColor="text1"/>
          <w:szCs w:val="18"/>
          <w:lang w:val="nl-NL"/>
        </w:rPr>
        <w:t xml:space="preserve"> de penetratie strafbaar stel</w:t>
      </w:r>
      <w:r w:rsidR="00CD1EB0" w:rsidRPr="00651B1D">
        <w:rPr>
          <w:color w:val="000000" w:themeColor="text1"/>
          <w:szCs w:val="18"/>
          <w:lang w:val="nl-NL"/>
        </w:rPr>
        <w:t>de</w:t>
      </w:r>
      <w:r w:rsidR="00651B1D">
        <w:rPr>
          <w:color w:val="000000" w:themeColor="text1"/>
          <w:szCs w:val="18"/>
          <w:lang w:val="nl-NL"/>
        </w:rPr>
        <w:t xml:space="preserve">, hetgeen </w:t>
      </w:r>
      <w:r w:rsidR="00F752ED" w:rsidRPr="00651B1D">
        <w:rPr>
          <w:color w:val="000000" w:themeColor="text1"/>
          <w:szCs w:val="18"/>
          <w:lang w:val="nl-NL"/>
        </w:rPr>
        <w:t>enkel het binnendringen in het lichaam</w:t>
      </w:r>
      <w:r w:rsidR="00651B1D">
        <w:rPr>
          <w:color w:val="000000" w:themeColor="text1"/>
          <w:szCs w:val="18"/>
          <w:lang w:val="nl-NL"/>
        </w:rPr>
        <w:t xml:space="preserve"> omvat</w:t>
      </w:r>
      <w:r w:rsidR="00F752ED" w:rsidRPr="00651B1D">
        <w:rPr>
          <w:color w:val="000000" w:themeColor="text1"/>
          <w:szCs w:val="18"/>
          <w:lang w:val="nl-NL"/>
        </w:rPr>
        <w:t>, niet het “</w:t>
      </w:r>
      <w:r w:rsidR="00297F4D">
        <w:rPr>
          <w:color w:val="000000" w:themeColor="text1"/>
          <w:szCs w:val="18"/>
          <w:lang w:val="nl-NL"/>
        </w:rPr>
        <w:t>binnenblijven</w:t>
      </w:r>
      <w:r w:rsidR="00F752ED" w:rsidRPr="00651B1D">
        <w:rPr>
          <w:color w:val="000000" w:themeColor="text1"/>
          <w:szCs w:val="18"/>
          <w:lang w:val="nl-NL"/>
        </w:rPr>
        <w:t>”.</w:t>
      </w:r>
      <w:r w:rsidR="00E8488C" w:rsidRPr="000B4AB2">
        <w:rPr>
          <w:rStyle w:val="FootnoteReference"/>
          <w:color w:val="000000" w:themeColor="text1"/>
          <w:szCs w:val="18"/>
          <w:lang w:val="nl-NL"/>
        </w:rPr>
        <w:footnoteReference w:id="265"/>
      </w:r>
      <w:r w:rsidR="00F57338" w:rsidRPr="00651B1D">
        <w:rPr>
          <w:color w:val="000000" w:themeColor="text1"/>
          <w:szCs w:val="18"/>
          <w:lang w:val="nl-NL"/>
        </w:rPr>
        <w:t xml:space="preserve"> </w:t>
      </w:r>
      <w:r w:rsidR="00F752ED" w:rsidRPr="00651B1D">
        <w:rPr>
          <w:color w:val="000000" w:themeColor="text1"/>
          <w:szCs w:val="18"/>
          <w:lang w:val="nl-NL"/>
        </w:rPr>
        <w:t xml:space="preserve">Volgens een </w:t>
      </w:r>
      <w:r w:rsidR="002E485F" w:rsidRPr="00651B1D">
        <w:rPr>
          <w:color w:val="000000" w:themeColor="text1"/>
          <w:szCs w:val="18"/>
          <w:lang w:val="nl-NL"/>
        </w:rPr>
        <w:t>ander</w:t>
      </w:r>
      <w:r w:rsidR="00DF5B70" w:rsidRPr="00651B1D">
        <w:rPr>
          <w:color w:val="000000" w:themeColor="text1"/>
          <w:szCs w:val="18"/>
          <w:lang w:val="nl-NL"/>
        </w:rPr>
        <w:t>e</w:t>
      </w:r>
      <w:r w:rsidR="002E485F" w:rsidRPr="00651B1D">
        <w:rPr>
          <w:color w:val="000000" w:themeColor="text1"/>
          <w:szCs w:val="18"/>
          <w:lang w:val="nl-NL"/>
        </w:rPr>
        <w:t xml:space="preserve"> strekking</w:t>
      </w:r>
      <w:r w:rsidR="00F752ED" w:rsidRPr="00651B1D">
        <w:rPr>
          <w:color w:val="000000" w:themeColor="text1"/>
          <w:szCs w:val="18"/>
          <w:lang w:val="nl-NL"/>
        </w:rPr>
        <w:t xml:space="preserve"> binnen de rechtsleer</w:t>
      </w:r>
      <w:r w:rsidR="00F57338" w:rsidRPr="000B4AB2">
        <w:rPr>
          <w:rStyle w:val="FootnoteReference"/>
          <w:color w:val="000000" w:themeColor="text1"/>
          <w:szCs w:val="18"/>
          <w:lang w:val="nl-NL"/>
        </w:rPr>
        <w:footnoteReference w:id="266"/>
      </w:r>
      <w:r w:rsidR="00F752ED" w:rsidRPr="00651B1D">
        <w:rPr>
          <w:color w:val="000000" w:themeColor="text1"/>
          <w:szCs w:val="18"/>
          <w:lang w:val="nl-NL"/>
        </w:rPr>
        <w:t xml:space="preserve"> </w:t>
      </w:r>
      <w:r w:rsidR="00F57338" w:rsidRPr="00651B1D">
        <w:rPr>
          <w:color w:val="000000" w:themeColor="text1"/>
          <w:szCs w:val="18"/>
          <w:lang w:val="nl-NL"/>
        </w:rPr>
        <w:t>kon</w:t>
      </w:r>
      <w:r w:rsidR="00F752ED" w:rsidRPr="00651B1D">
        <w:rPr>
          <w:color w:val="000000" w:themeColor="text1"/>
          <w:szCs w:val="18"/>
          <w:lang w:val="nl-NL"/>
        </w:rPr>
        <w:t xml:space="preserve"> </w:t>
      </w:r>
      <w:r w:rsidR="00F57338" w:rsidRPr="00651B1D">
        <w:rPr>
          <w:color w:val="000000" w:themeColor="text1"/>
          <w:szCs w:val="18"/>
          <w:lang w:val="nl-NL"/>
        </w:rPr>
        <w:t>een dergelijke</w:t>
      </w:r>
      <w:r w:rsidR="00F752ED" w:rsidRPr="00651B1D">
        <w:rPr>
          <w:color w:val="000000" w:themeColor="text1"/>
          <w:szCs w:val="18"/>
          <w:lang w:val="nl-NL"/>
        </w:rPr>
        <w:t xml:space="preserve"> </w:t>
      </w:r>
      <w:r w:rsidR="00F57338" w:rsidRPr="00651B1D">
        <w:rPr>
          <w:color w:val="000000" w:themeColor="text1"/>
          <w:szCs w:val="18"/>
          <w:lang w:val="nl-NL"/>
        </w:rPr>
        <w:t>situatie</w:t>
      </w:r>
      <w:r w:rsidR="00E913E7" w:rsidRPr="00651B1D">
        <w:rPr>
          <w:color w:val="000000" w:themeColor="text1"/>
          <w:szCs w:val="18"/>
          <w:lang w:val="nl-NL"/>
        </w:rPr>
        <w:t xml:space="preserve"> </w:t>
      </w:r>
      <w:r w:rsidR="007653BC" w:rsidRPr="00651B1D">
        <w:rPr>
          <w:color w:val="000000" w:themeColor="text1"/>
          <w:szCs w:val="18"/>
          <w:lang w:val="nl-NL"/>
        </w:rPr>
        <w:t>wel</w:t>
      </w:r>
      <w:r w:rsidR="00F42CE3" w:rsidRPr="00651B1D">
        <w:rPr>
          <w:color w:val="000000" w:themeColor="text1"/>
          <w:szCs w:val="18"/>
          <w:lang w:val="nl-NL"/>
        </w:rPr>
        <w:t xml:space="preserve"> </w:t>
      </w:r>
      <w:r w:rsidR="00475253" w:rsidRPr="00651B1D">
        <w:rPr>
          <w:color w:val="000000" w:themeColor="text1"/>
          <w:szCs w:val="18"/>
          <w:lang w:val="nl-NL"/>
        </w:rPr>
        <w:t>als verkrachting worden gekwalificeerd</w:t>
      </w:r>
      <w:r w:rsidR="00F42CE3" w:rsidRPr="00651B1D">
        <w:rPr>
          <w:color w:val="000000" w:themeColor="text1"/>
          <w:szCs w:val="18"/>
          <w:lang w:val="nl-NL"/>
        </w:rPr>
        <w:t>.</w:t>
      </w:r>
      <w:r w:rsidR="00F57338">
        <w:rPr>
          <w:rStyle w:val="FootnoteReference"/>
          <w:color w:val="000000" w:themeColor="text1"/>
          <w:szCs w:val="18"/>
          <w:lang w:val="nl-NL"/>
        </w:rPr>
        <w:footnoteReference w:id="267"/>
      </w:r>
    </w:p>
    <w:p w14:paraId="18662315" w14:textId="391EE80A" w:rsidR="0039622E" w:rsidRPr="000B4AB2" w:rsidRDefault="0039622E" w:rsidP="00260F11">
      <w:pPr>
        <w:spacing w:line="360" w:lineRule="auto"/>
        <w:rPr>
          <w:color w:val="000000" w:themeColor="text1"/>
          <w:szCs w:val="18"/>
          <w:lang w:val="nl-NL"/>
        </w:rPr>
      </w:pPr>
    </w:p>
    <w:p w14:paraId="0CC9EF79" w14:textId="754E9B78" w:rsidR="00036A2B" w:rsidRPr="00331DB2" w:rsidRDefault="00544FA4" w:rsidP="00260F11">
      <w:pPr>
        <w:pStyle w:val="ListParagraph"/>
        <w:numPr>
          <w:ilvl w:val="0"/>
          <w:numId w:val="1"/>
        </w:numPr>
        <w:spacing w:line="360" w:lineRule="auto"/>
        <w:ind w:left="0" w:hanging="709"/>
        <w:rPr>
          <w:color w:val="000000" w:themeColor="text1"/>
          <w:szCs w:val="18"/>
          <w:lang w:val="nl-NL"/>
        </w:rPr>
      </w:pPr>
      <w:r w:rsidRPr="000B4AB2">
        <w:rPr>
          <w:b/>
          <w:szCs w:val="18"/>
          <w:lang w:val="nl-NL"/>
        </w:rPr>
        <w:t xml:space="preserve">(2) </w:t>
      </w:r>
      <w:r w:rsidR="00EB30A8" w:rsidRPr="000B4AB2">
        <w:rPr>
          <w:b/>
          <w:szCs w:val="18"/>
          <w:lang w:val="nl-NL"/>
        </w:rPr>
        <w:t>Verkrachting bij gelijkstelling.</w:t>
      </w:r>
      <w:r w:rsidR="00EB30A8" w:rsidRPr="00331DB2">
        <w:rPr>
          <w:color w:val="000000" w:themeColor="text1"/>
          <w:szCs w:val="18"/>
          <w:lang w:val="nl-NL"/>
        </w:rPr>
        <w:t xml:space="preserve"> </w:t>
      </w:r>
      <w:r w:rsidR="002F409C" w:rsidRPr="00331DB2">
        <w:rPr>
          <w:color w:val="000000" w:themeColor="text1"/>
          <w:szCs w:val="18"/>
          <w:lang w:val="nl-NL"/>
        </w:rPr>
        <w:t xml:space="preserve">Een </w:t>
      </w:r>
      <w:r w:rsidR="00F1488E" w:rsidRPr="00331DB2">
        <w:rPr>
          <w:color w:val="000000" w:themeColor="text1"/>
          <w:szCs w:val="18"/>
          <w:lang w:val="nl-NL"/>
        </w:rPr>
        <w:t>minveertienjarige</w:t>
      </w:r>
      <w:r w:rsidR="002F409C" w:rsidRPr="00331DB2">
        <w:rPr>
          <w:color w:val="000000" w:themeColor="text1"/>
          <w:szCs w:val="18"/>
          <w:lang w:val="nl-NL"/>
        </w:rPr>
        <w:t xml:space="preserve">, </w:t>
      </w:r>
      <w:r w:rsidR="00BA4EB3" w:rsidRPr="00331DB2">
        <w:rPr>
          <w:color w:val="000000" w:themeColor="text1"/>
          <w:szCs w:val="18"/>
          <w:lang w:val="nl-NL"/>
        </w:rPr>
        <w:t>kon</w:t>
      </w:r>
      <w:r w:rsidR="002F409C" w:rsidRPr="00331DB2">
        <w:rPr>
          <w:color w:val="000000" w:themeColor="text1"/>
          <w:szCs w:val="18"/>
          <w:lang w:val="nl-NL"/>
        </w:rPr>
        <w:t xml:space="preserve"> </w:t>
      </w:r>
      <w:r w:rsidR="00E40AE8" w:rsidRPr="00331DB2">
        <w:rPr>
          <w:color w:val="000000" w:themeColor="text1"/>
          <w:szCs w:val="18"/>
          <w:lang w:val="nl-NL"/>
        </w:rPr>
        <w:t>juridisch gezien</w:t>
      </w:r>
      <w:r w:rsidR="002F409C" w:rsidRPr="00331DB2">
        <w:rPr>
          <w:color w:val="000000" w:themeColor="text1"/>
          <w:szCs w:val="18"/>
          <w:lang w:val="nl-NL"/>
        </w:rPr>
        <w:t xml:space="preserve"> niet </w:t>
      </w:r>
      <w:r w:rsidR="00D10231" w:rsidRPr="00331DB2">
        <w:rPr>
          <w:color w:val="000000" w:themeColor="text1"/>
          <w:szCs w:val="18"/>
          <w:lang w:val="nl-NL"/>
        </w:rPr>
        <w:t>instemmen met</w:t>
      </w:r>
      <w:r w:rsidR="002F409C" w:rsidRPr="00331DB2">
        <w:rPr>
          <w:color w:val="000000" w:themeColor="text1"/>
          <w:szCs w:val="18"/>
          <w:lang w:val="nl-NL"/>
        </w:rPr>
        <w:t xml:space="preserve"> seksuele penetraties. </w:t>
      </w:r>
      <w:r w:rsidR="00F1488E" w:rsidRPr="00331DB2">
        <w:rPr>
          <w:color w:val="000000" w:themeColor="text1"/>
          <w:szCs w:val="18"/>
          <w:lang w:val="nl-NL"/>
        </w:rPr>
        <w:t>Dit</w:t>
      </w:r>
      <w:r w:rsidR="002F409C" w:rsidRPr="00331DB2">
        <w:rPr>
          <w:color w:val="000000" w:themeColor="text1"/>
          <w:szCs w:val="18"/>
          <w:lang w:val="nl-NL"/>
        </w:rPr>
        <w:t xml:space="preserve"> </w:t>
      </w:r>
      <w:r w:rsidR="00BA4EB3" w:rsidRPr="00331DB2">
        <w:rPr>
          <w:color w:val="000000" w:themeColor="text1"/>
          <w:szCs w:val="18"/>
          <w:lang w:val="nl-NL"/>
        </w:rPr>
        <w:t>werd</w:t>
      </w:r>
      <w:r w:rsidR="002F409C" w:rsidRPr="00331DB2">
        <w:rPr>
          <w:color w:val="000000" w:themeColor="text1"/>
          <w:szCs w:val="18"/>
          <w:lang w:val="nl-NL"/>
        </w:rPr>
        <w:t xml:space="preserve"> immers onweerlegbaar geacht te zijn gebeurd met geweld, </w:t>
      </w:r>
      <w:r w:rsidR="00CB50B8">
        <w:rPr>
          <w:color w:val="000000" w:themeColor="text1"/>
          <w:szCs w:val="18"/>
          <w:lang w:val="nl-NL"/>
        </w:rPr>
        <w:t xml:space="preserve">zodat </w:t>
      </w:r>
      <w:r w:rsidR="00E771BC" w:rsidRPr="00331DB2">
        <w:rPr>
          <w:color w:val="000000" w:themeColor="text1"/>
          <w:szCs w:val="18"/>
          <w:lang w:val="nl-NL"/>
        </w:rPr>
        <w:t>een</w:t>
      </w:r>
      <w:r w:rsidR="002F409C" w:rsidRPr="00331DB2">
        <w:rPr>
          <w:color w:val="000000" w:themeColor="text1"/>
          <w:szCs w:val="18"/>
          <w:lang w:val="nl-NL"/>
        </w:rPr>
        <w:t xml:space="preserve"> toestemmingsuitsluitende gron</w:t>
      </w:r>
      <w:r w:rsidR="00CB50B8">
        <w:rPr>
          <w:color w:val="000000" w:themeColor="text1"/>
          <w:szCs w:val="18"/>
          <w:lang w:val="nl-NL"/>
        </w:rPr>
        <w:t>d</w:t>
      </w:r>
      <w:r w:rsidR="002F409C" w:rsidRPr="00331DB2">
        <w:rPr>
          <w:color w:val="000000" w:themeColor="text1"/>
          <w:szCs w:val="18"/>
          <w:lang w:val="nl-NL"/>
        </w:rPr>
        <w:t xml:space="preserve"> vervuld </w:t>
      </w:r>
      <w:r w:rsidR="007653BC">
        <w:rPr>
          <w:color w:val="000000" w:themeColor="text1"/>
          <w:szCs w:val="18"/>
          <w:lang w:val="nl-NL"/>
        </w:rPr>
        <w:t>was</w:t>
      </w:r>
      <w:r w:rsidR="002F409C" w:rsidRPr="00331DB2">
        <w:rPr>
          <w:color w:val="000000" w:themeColor="text1"/>
          <w:szCs w:val="18"/>
          <w:lang w:val="nl-NL"/>
        </w:rPr>
        <w:t xml:space="preserve"> </w:t>
      </w:r>
      <w:r w:rsidR="00283F4B" w:rsidRPr="00331DB2">
        <w:rPr>
          <w:color w:val="000000" w:themeColor="text1"/>
          <w:szCs w:val="18"/>
          <w:lang w:val="nl-NL"/>
        </w:rPr>
        <w:t>uit</w:t>
      </w:r>
      <w:r w:rsidR="00BA4EB3" w:rsidRPr="00331DB2">
        <w:rPr>
          <w:color w:val="000000" w:themeColor="text1"/>
          <w:szCs w:val="18"/>
          <w:lang w:val="nl-NL"/>
        </w:rPr>
        <w:t xml:space="preserve"> </w:t>
      </w:r>
      <w:r w:rsidR="00283F4B" w:rsidRPr="00331DB2">
        <w:rPr>
          <w:color w:val="000000" w:themeColor="text1"/>
          <w:szCs w:val="18"/>
          <w:lang w:val="nl-NL"/>
        </w:rPr>
        <w:t>oud artikel 375</w:t>
      </w:r>
      <w:r w:rsidR="00BA4EB3" w:rsidRPr="00331DB2">
        <w:rPr>
          <w:color w:val="000000" w:themeColor="text1"/>
          <w:szCs w:val="18"/>
          <w:lang w:val="nl-NL"/>
        </w:rPr>
        <w:t>,</w:t>
      </w:r>
      <w:r w:rsidR="00F1488E" w:rsidRPr="00331DB2">
        <w:rPr>
          <w:color w:val="000000" w:themeColor="text1"/>
          <w:szCs w:val="18"/>
          <w:lang w:val="nl-NL"/>
        </w:rPr>
        <w:t xml:space="preserve"> tweede</w:t>
      </w:r>
      <w:r w:rsidR="00BA4EB3" w:rsidRPr="00331DB2">
        <w:rPr>
          <w:color w:val="000000" w:themeColor="text1"/>
          <w:szCs w:val="18"/>
          <w:lang w:val="nl-NL"/>
        </w:rPr>
        <w:t xml:space="preserve"> lid </w:t>
      </w:r>
      <w:r w:rsidR="0081584B">
        <w:rPr>
          <w:color w:val="000000" w:themeColor="text1"/>
          <w:szCs w:val="18"/>
          <w:lang w:val="nl-NL"/>
        </w:rPr>
        <w:t xml:space="preserve">van het </w:t>
      </w:r>
      <w:r w:rsidR="00283F4B" w:rsidRPr="00331DB2">
        <w:rPr>
          <w:color w:val="000000" w:themeColor="text1"/>
          <w:szCs w:val="18"/>
          <w:lang w:val="nl-NL"/>
        </w:rPr>
        <w:t>Strafwetboek</w:t>
      </w:r>
      <w:r w:rsidR="00CB50B8">
        <w:rPr>
          <w:color w:val="000000" w:themeColor="text1"/>
          <w:szCs w:val="18"/>
          <w:lang w:val="nl-NL"/>
        </w:rPr>
        <w:t xml:space="preserve"> en </w:t>
      </w:r>
      <w:r w:rsidR="002F409C" w:rsidRPr="00331DB2">
        <w:rPr>
          <w:color w:val="000000" w:themeColor="text1"/>
          <w:szCs w:val="18"/>
          <w:lang w:val="nl-NL"/>
        </w:rPr>
        <w:t xml:space="preserve">er </w:t>
      </w:r>
      <w:r w:rsidR="00CB50B8">
        <w:rPr>
          <w:color w:val="000000" w:themeColor="text1"/>
          <w:szCs w:val="18"/>
          <w:lang w:val="nl-NL"/>
        </w:rPr>
        <w:t xml:space="preserve">bijgevolg </w:t>
      </w:r>
      <w:r w:rsidR="002F409C" w:rsidRPr="00331DB2">
        <w:rPr>
          <w:color w:val="000000" w:themeColor="text1"/>
          <w:szCs w:val="18"/>
          <w:lang w:val="nl-NL"/>
        </w:rPr>
        <w:t>geen toestemming k</w:t>
      </w:r>
      <w:r w:rsidR="00BA4EB3" w:rsidRPr="00331DB2">
        <w:rPr>
          <w:color w:val="000000" w:themeColor="text1"/>
          <w:szCs w:val="18"/>
          <w:lang w:val="nl-NL"/>
        </w:rPr>
        <w:t>o</w:t>
      </w:r>
      <w:r w:rsidR="002F409C" w:rsidRPr="00331DB2">
        <w:rPr>
          <w:color w:val="000000" w:themeColor="text1"/>
          <w:szCs w:val="18"/>
          <w:lang w:val="nl-NL"/>
        </w:rPr>
        <w:t>n zijn.</w:t>
      </w:r>
      <w:r w:rsidR="005F472A" w:rsidRPr="00331DB2">
        <w:rPr>
          <w:color w:val="000000" w:themeColor="text1"/>
          <w:szCs w:val="18"/>
          <w:lang w:val="nl-NL"/>
        </w:rPr>
        <w:t xml:space="preserve"> De minveertienjarige leeftijd </w:t>
      </w:r>
      <w:r w:rsidR="00283F4B" w:rsidRPr="00331DB2">
        <w:rPr>
          <w:color w:val="000000" w:themeColor="text1"/>
          <w:szCs w:val="18"/>
          <w:lang w:val="nl-NL"/>
        </w:rPr>
        <w:t>maakt</w:t>
      </w:r>
      <w:r w:rsidR="00BA4EB3" w:rsidRPr="00331DB2">
        <w:rPr>
          <w:color w:val="000000" w:themeColor="text1"/>
          <w:szCs w:val="18"/>
          <w:lang w:val="nl-NL"/>
        </w:rPr>
        <w:t>e</w:t>
      </w:r>
      <w:r w:rsidR="005F472A" w:rsidRPr="00331DB2">
        <w:rPr>
          <w:color w:val="000000" w:themeColor="text1"/>
          <w:szCs w:val="18"/>
          <w:lang w:val="nl-NL"/>
        </w:rPr>
        <w:t xml:space="preserve"> in dit geval </w:t>
      </w:r>
      <w:r w:rsidR="00CB50B8">
        <w:rPr>
          <w:color w:val="000000" w:themeColor="text1"/>
          <w:szCs w:val="18"/>
          <w:lang w:val="nl-NL"/>
        </w:rPr>
        <w:t xml:space="preserve">aldus </w:t>
      </w:r>
      <w:r w:rsidR="005F472A" w:rsidRPr="00331DB2">
        <w:rPr>
          <w:color w:val="000000" w:themeColor="text1"/>
          <w:szCs w:val="18"/>
          <w:lang w:val="nl-NL"/>
        </w:rPr>
        <w:t xml:space="preserve">een constitutief bestanddeel </w:t>
      </w:r>
      <w:r w:rsidR="00283F4B" w:rsidRPr="00331DB2">
        <w:rPr>
          <w:color w:val="000000" w:themeColor="text1"/>
          <w:szCs w:val="18"/>
          <w:lang w:val="nl-NL"/>
        </w:rPr>
        <w:t xml:space="preserve">uit </w:t>
      </w:r>
      <w:r w:rsidR="005F472A" w:rsidRPr="00331DB2">
        <w:rPr>
          <w:color w:val="000000" w:themeColor="text1"/>
          <w:szCs w:val="18"/>
          <w:lang w:val="nl-NL"/>
        </w:rPr>
        <w:t>van het misdrijf.</w:t>
      </w:r>
      <w:r w:rsidR="00974CED" w:rsidRPr="00331DB2">
        <w:rPr>
          <w:color w:val="000000" w:themeColor="text1"/>
          <w:szCs w:val="18"/>
          <w:lang w:val="nl-NL"/>
        </w:rPr>
        <w:t xml:space="preserve"> </w:t>
      </w:r>
      <w:r w:rsidR="007653BC">
        <w:rPr>
          <w:color w:val="000000" w:themeColor="text1"/>
          <w:szCs w:val="18"/>
          <w:lang w:val="nl-NL"/>
        </w:rPr>
        <w:t>O</w:t>
      </w:r>
      <w:r w:rsidR="00E40AE8" w:rsidRPr="00331DB2">
        <w:rPr>
          <w:color w:val="000000" w:themeColor="text1"/>
          <w:szCs w:val="18"/>
          <w:lang w:val="nl-NL"/>
        </w:rPr>
        <w:t>f de</w:t>
      </w:r>
      <w:r w:rsidR="00974CED" w:rsidRPr="00331DB2">
        <w:rPr>
          <w:color w:val="000000" w:themeColor="text1"/>
          <w:szCs w:val="18"/>
          <w:lang w:val="nl-NL"/>
        </w:rPr>
        <w:t xml:space="preserve"> minveertienjarige hiertoe</w:t>
      </w:r>
      <w:r w:rsidR="00F75F50" w:rsidRPr="00331DB2">
        <w:rPr>
          <w:color w:val="000000" w:themeColor="text1"/>
          <w:szCs w:val="18"/>
          <w:lang w:val="nl-NL"/>
        </w:rPr>
        <w:t xml:space="preserve"> feitelijk</w:t>
      </w:r>
      <w:r w:rsidR="00974CED" w:rsidRPr="00331DB2">
        <w:rPr>
          <w:color w:val="000000" w:themeColor="text1"/>
          <w:szCs w:val="18"/>
          <w:lang w:val="nl-NL"/>
        </w:rPr>
        <w:t xml:space="preserve"> zou </w:t>
      </w:r>
      <w:r w:rsidR="00E40AE8" w:rsidRPr="00331DB2">
        <w:rPr>
          <w:color w:val="000000" w:themeColor="text1"/>
          <w:szCs w:val="18"/>
          <w:lang w:val="nl-NL"/>
        </w:rPr>
        <w:t xml:space="preserve">hebben </w:t>
      </w:r>
      <w:r w:rsidR="00F75F50" w:rsidRPr="00331DB2">
        <w:rPr>
          <w:color w:val="000000" w:themeColor="text1"/>
          <w:szCs w:val="18"/>
          <w:lang w:val="nl-NL"/>
        </w:rPr>
        <w:t>in</w:t>
      </w:r>
      <w:r w:rsidR="00E40AE8" w:rsidRPr="00331DB2">
        <w:rPr>
          <w:color w:val="000000" w:themeColor="text1"/>
          <w:szCs w:val="18"/>
          <w:lang w:val="nl-NL"/>
        </w:rPr>
        <w:t>gestemd</w:t>
      </w:r>
      <w:r w:rsidR="007653BC">
        <w:rPr>
          <w:color w:val="000000" w:themeColor="text1"/>
          <w:szCs w:val="18"/>
          <w:lang w:val="nl-NL"/>
        </w:rPr>
        <w:t xml:space="preserve">, was </w:t>
      </w:r>
      <w:r w:rsidR="00CB50B8">
        <w:rPr>
          <w:color w:val="000000" w:themeColor="text1"/>
          <w:szCs w:val="18"/>
          <w:lang w:val="nl-NL"/>
        </w:rPr>
        <w:t>dan ook</w:t>
      </w:r>
      <w:r w:rsidR="007653BC">
        <w:rPr>
          <w:color w:val="000000" w:themeColor="text1"/>
          <w:szCs w:val="18"/>
          <w:lang w:val="nl-NL"/>
        </w:rPr>
        <w:t xml:space="preserve"> irrelevant</w:t>
      </w:r>
      <w:r w:rsidR="00974CED" w:rsidRPr="00331DB2">
        <w:rPr>
          <w:color w:val="000000" w:themeColor="text1"/>
          <w:szCs w:val="18"/>
          <w:lang w:val="nl-NL"/>
        </w:rPr>
        <w:t>.</w:t>
      </w:r>
      <w:r w:rsidR="00974CED" w:rsidRPr="00331DB2">
        <w:rPr>
          <w:rStyle w:val="FootnoteReference"/>
          <w:color w:val="000000" w:themeColor="text1"/>
          <w:szCs w:val="18"/>
          <w:lang w:val="nl-NL"/>
        </w:rPr>
        <w:footnoteReference w:id="268"/>
      </w:r>
    </w:p>
    <w:p w14:paraId="2C39C12E" w14:textId="269DFBBE" w:rsidR="00036A2B" w:rsidRPr="00331DB2" w:rsidRDefault="00036A2B" w:rsidP="00260F11">
      <w:pPr>
        <w:spacing w:line="360" w:lineRule="auto"/>
        <w:rPr>
          <w:color w:val="000000" w:themeColor="text1"/>
          <w:szCs w:val="18"/>
          <w:lang w:val="nl-NL"/>
        </w:rPr>
      </w:pPr>
    </w:p>
    <w:p w14:paraId="125C73F2" w14:textId="2319302B" w:rsidR="009A473F" w:rsidRPr="00331DB2" w:rsidRDefault="0010211B" w:rsidP="00260F11">
      <w:pPr>
        <w:pStyle w:val="ListParagraph"/>
        <w:numPr>
          <w:ilvl w:val="0"/>
          <w:numId w:val="1"/>
        </w:numPr>
        <w:spacing w:line="360" w:lineRule="auto"/>
        <w:ind w:left="0" w:hanging="709"/>
        <w:rPr>
          <w:color w:val="000000" w:themeColor="text1"/>
          <w:szCs w:val="18"/>
          <w:lang w:val="nl-NL"/>
        </w:rPr>
      </w:pPr>
      <w:r w:rsidRPr="00331DB2">
        <w:rPr>
          <w:color w:val="000000" w:themeColor="text1"/>
          <w:szCs w:val="18"/>
          <w:lang w:val="nl-NL"/>
        </w:rPr>
        <w:t xml:space="preserve">Uit </w:t>
      </w:r>
      <w:r w:rsidR="007653BC">
        <w:rPr>
          <w:color w:val="000000" w:themeColor="text1"/>
          <w:szCs w:val="18"/>
          <w:lang w:val="nl-NL"/>
        </w:rPr>
        <w:t>bovenstaande</w:t>
      </w:r>
      <w:r w:rsidRPr="00331DB2">
        <w:rPr>
          <w:color w:val="000000" w:themeColor="text1"/>
          <w:szCs w:val="18"/>
          <w:lang w:val="nl-NL"/>
        </w:rPr>
        <w:t xml:space="preserve"> blijkt </w:t>
      </w:r>
      <w:r w:rsidR="00FB146F" w:rsidRPr="00331DB2">
        <w:rPr>
          <w:color w:val="000000" w:themeColor="text1"/>
          <w:szCs w:val="18"/>
          <w:lang w:val="nl-NL"/>
        </w:rPr>
        <w:t>dat iemand</w:t>
      </w:r>
      <w:r w:rsidR="00F577E4" w:rsidRPr="00331DB2">
        <w:rPr>
          <w:color w:val="000000" w:themeColor="text1"/>
          <w:szCs w:val="18"/>
          <w:lang w:val="nl-NL"/>
        </w:rPr>
        <w:t xml:space="preserve"> </w:t>
      </w:r>
      <w:r w:rsidR="00C275C0" w:rsidRPr="00331DB2">
        <w:rPr>
          <w:color w:val="000000" w:themeColor="text1"/>
          <w:szCs w:val="18"/>
          <w:lang w:val="nl-NL"/>
        </w:rPr>
        <w:t>pas</w:t>
      </w:r>
      <w:r w:rsidR="00FB146F" w:rsidRPr="00331DB2">
        <w:rPr>
          <w:color w:val="000000" w:themeColor="text1"/>
          <w:szCs w:val="18"/>
          <w:lang w:val="nl-NL"/>
        </w:rPr>
        <w:t xml:space="preserve"> kon instemmen</w:t>
      </w:r>
      <w:r w:rsidR="00C275C0" w:rsidRPr="00331DB2">
        <w:rPr>
          <w:color w:val="000000" w:themeColor="text1"/>
          <w:szCs w:val="18"/>
          <w:lang w:val="nl-NL"/>
        </w:rPr>
        <w:t xml:space="preserve"> </w:t>
      </w:r>
      <w:r w:rsidR="00F577E4" w:rsidRPr="00331DB2">
        <w:rPr>
          <w:color w:val="000000" w:themeColor="text1"/>
          <w:szCs w:val="18"/>
          <w:lang w:val="nl-NL"/>
        </w:rPr>
        <w:t>met</w:t>
      </w:r>
      <w:r w:rsidR="00FB146F" w:rsidRPr="00331DB2">
        <w:rPr>
          <w:color w:val="000000" w:themeColor="text1"/>
          <w:szCs w:val="18"/>
          <w:lang w:val="nl-NL"/>
        </w:rPr>
        <w:t xml:space="preserve"> een</w:t>
      </w:r>
      <w:r w:rsidR="00F577E4" w:rsidRPr="00331DB2">
        <w:rPr>
          <w:color w:val="000000" w:themeColor="text1"/>
          <w:szCs w:val="18"/>
          <w:lang w:val="nl-NL"/>
        </w:rPr>
        <w:t xml:space="preserve"> seksuele penetratie vanaf veertien jaar.</w:t>
      </w:r>
      <w:r w:rsidR="00C275C0" w:rsidRPr="00331DB2">
        <w:rPr>
          <w:rStyle w:val="FootnoteReference"/>
          <w:color w:val="000000" w:themeColor="text1"/>
          <w:szCs w:val="18"/>
          <w:lang w:val="nl-NL"/>
        </w:rPr>
        <w:footnoteReference w:id="269"/>
      </w:r>
      <w:r w:rsidR="00C275C0" w:rsidRPr="00331DB2">
        <w:rPr>
          <w:color w:val="000000" w:themeColor="text1"/>
          <w:szCs w:val="18"/>
          <w:lang w:val="nl-NL"/>
        </w:rPr>
        <w:t xml:space="preserve"> De leeftijdsgrens om toe te kunnen stemmen met minder verregaande seksuele gedragingen (die geen seksuele penetratie omvatten), lag evenwel </w:t>
      </w:r>
      <w:r w:rsidR="007653BC">
        <w:rPr>
          <w:color w:val="000000" w:themeColor="text1"/>
          <w:szCs w:val="18"/>
          <w:lang w:val="nl-NL"/>
        </w:rPr>
        <w:t>op</w:t>
      </w:r>
      <w:r w:rsidR="00C275C0" w:rsidRPr="00331DB2">
        <w:rPr>
          <w:color w:val="000000" w:themeColor="text1"/>
          <w:szCs w:val="18"/>
          <w:lang w:val="nl-NL"/>
        </w:rPr>
        <w:t xml:space="preserve"> zestien jaar.</w:t>
      </w:r>
      <w:r w:rsidR="00FB146F" w:rsidRPr="00331DB2">
        <w:rPr>
          <w:rStyle w:val="FootnoteReference"/>
          <w:color w:val="000000" w:themeColor="text1"/>
          <w:szCs w:val="18"/>
          <w:lang w:val="nl-NL"/>
        </w:rPr>
        <w:footnoteReference w:id="270"/>
      </w:r>
      <w:r w:rsidR="00FB146F" w:rsidRPr="00331DB2">
        <w:rPr>
          <w:color w:val="000000" w:themeColor="text1"/>
          <w:szCs w:val="18"/>
          <w:lang w:val="nl-NL"/>
        </w:rPr>
        <w:t xml:space="preserve"> </w:t>
      </w:r>
      <w:r w:rsidR="00CB50B8">
        <w:rPr>
          <w:color w:val="000000" w:themeColor="text1"/>
          <w:szCs w:val="18"/>
          <w:lang w:val="nl-NL"/>
        </w:rPr>
        <w:t>E</w:t>
      </w:r>
      <w:r w:rsidR="000C3DC4" w:rsidRPr="00331DB2">
        <w:rPr>
          <w:color w:val="000000" w:themeColor="text1"/>
          <w:szCs w:val="18"/>
          <w:lang w:val="nl-NL"/>
        </w:rPr>
        <w:t xml:space="preserve">en veertien- of </w:t>
      </w:r>
      <w:r w:rsidR="00FB146F" w:rsidRPr="00331DB2">
        <w:rPr>
          <w:color w:val="000000" w:themeColor="text1"/>
          <w:szCs w:val="18"/>
          <w:lang w:val="nl-NL"/>
        </w:rPr>
        <w:lastRenderedPageBreak/>
        <w:t xml:space="preserve">vijftienjarige kon </w:t>
      </w:r>
      <w:r w:rsidR="00CB50B8">
        <w:rPr>
          <w:color w:val="000000" w:themeColor="text1"/>
          <w:szCs w:val="18"/>
          <w:lang w:val="nl-NL"/>
        </w:rPr>
        <w:t xml:space="preserve">bijgevolg wel </w:t>
      </w:r>
      <w:r w:rsidR="00FB146F" w:rsidRPr="00331DB2">
        <w:rPr>
          <w:color w:val="000000" w:themeColor="text1"/>
          <w:szCs w:val="18"/>
          <w:lang w:val="nl-NL"/>
        </w:rPr>
        <w:t>instemmen met een seksuele penetratie</w:t>
      </w:r>
      <w:r w:rsidR="007653BC">
        <w:rPr>
          <w:color w:val="000000" w:themeColor="text1"/>
          <w:szCs w:val="18"/>
          <w:lang w:val="nl-NL"/>
        </w:rPr>
        <w:t>,</w:t>
      </w:r>
      <w:r w:rsidR="00CB50B8">
        <w:rPr>
          <w:color w:val="000000" w:themeColor="text1"/>
          <w:szCs w:val="18"/>
          <w:lang w:val="nl-NL"/>
        </w:rPr>
        <w:t xml:space="preserve"> maar </w:t>
      </w:r>
      <w:r w:rsidR="00FB146F" w:rsidRPr="00331DB2">
        <w:rPr>
          <w:color w:val="000000" w:themeColor="text1"/>
          <w:szCs w:val="18"/>
          <w:lang w:val="nl-NL"/>
        </w:rPr>
        <w:t>niet met minder verregaande seksuele handelingen</w:t>
      </w:r>
      <w:r w:rsidR="00A347B4" w:rsidRPr="00331DB2">
        <w:rPr>
          <w:color w:val="000000" w:themeColor="text1"/>
          <w:szCs w:val="18"/>
          <w:lang w:val="nl-NL"/>
        </w:rPr>
        <w:t>.</w:t>
      </w:r>
      <w:r w:rsidR="002C6302" w:rsidRPr="00331DB2">
        <w:rPr>
          <w:color w:val="000000" w:themeColor="text1"/>
          <w:szCs w:val="18"/>
          <w:lang w:val="nl-NL"/>
        </w:rPr>
        <w:t xml:space="preserve"> </w:t>
      </w:r>
      <w:r w:rsidR="00A347B4" w:rsidRPr="00331DB2">
        <w:rPr>
          <w:color w:val="000000" w:themeColor="text1"/>
          <w:szCs w:val="18"/>
          <w:lang w:val="nl-NL"/>
        </w:rPr>
        <w:t>V</w:t>
      </w:r>
      <w:r w:rsidR="002C6302" w:rsidRPr="00331DB2">
        <w:rPr>
          <w:color w:val="000000" w:themeColor="text1"/>
          <w:szCs w:val="18"/>
          <w:lang w:val="nl-NL"/>
        </w:rPr>
        <w:t>oor dergelijke gedragingen</w:t>
      </w:r>
      <w:r w:rsidR="00FB146F" w:rsidRPr="00331DB2">
        <w:rPr>
          <w:color w:val="000000" w:themeColor="text1"/>
          <w:szCs w:val="18"/>
          <w:lang w:val="nl-NL"/>
        </w:rPr>
        <w:t xml:space="preserve"> </w:t>
      </w:r>
      <w:r w:rsidR="002C6302" w:rsidRPr="00331DB2">
        <w:rPr>
          <w:color w:val="000000" w:themeColor="text1"/>
          <w:szCs w:val="18"/>
          <w:lang w:val="nl-NL"/>
        </w:rPr>
        <w:t>had</w:t>
      </w:r>
      <w:r w:rsidR="00FB146F" w:rsidRPr="00331DB2">
        <w:rPr>
          <w:color w:val="000000" w:themeColor="text1"/>
          <w:szCs w:val="18"/>
          <w:lang w:val="nl-NL"/>
        </w:rPr>
        <w:t xml:space="preserve"> de wetgever </w:t>
      </w:r>
      <w:r w:rsidR="00A347B4" w:rsidRPr="00331DB2">
        <w:rPr>
          <w:color w:val="000000" w:themeColor="text1"/>
          <w:szCs w:val="18"/>
          <w:lang w:val="nl-NL"/>
        </w:rPr>
        <w:t>(</w:t>
      </w:r>
      <w:r w:rsidR="00FB146F" w:rsidRPr="00331DB2">
        <w:rPr>
          <w:color w:val="000000" w:themeColor="text1"/>
          <w:szCs w:val="18"/>
          <w:lang w:val="nl-NL"/>
        </w:rPr>
        <w:t>bewust</w:t>
      </w:r>
      <w:r w:rsidR="00A347B4" w:rsidRPr="00331DB2">
        <w:rPr>
          <w:color w:val="000000" w:themeColor="text1"/>
          <w:szCs w:val="18"/>
          <w:lang w:val="nl-NL"/>
        </w:rPr>
        <w:t>)</w:t>
      </w:r>
      <w:r w:rsidR="00FB146F" w:rsidRPr="00331DB2">
        <w:rPr>
          <w:color w:val="000000" w:themeColor="text1"/>
          <w:szCs w:val="18"/>
          <w:lang w:val="nl-NL"/>
        </w:rPr>
        <w:t xml:space="preserve"> de leeftijdsgrens op zestien jaar</w:t>
      </w:r>
      <w:r w:rsidR="002C6302" w:rsidRPr="00331DB2">
        <w:rPr>
          <w:color w:val="000000" w:themeColor="text1"/>
          <w:szCs w:val="18"/>
          <w:lang w:val="nl-NL"/>
        </w:rPr>
        <w:t xml:space="preserve"> geplaatst</w:t>
      </w:r>
      <w:r w:rsidR="00FB146F" w:rsidRPr="00331DB2">
        <w:rPr>
          <w:color w:val="000000" w:themeColor="text1"/>
          <w:szCs w:val="18"/>
          <w:lang w:val="nl-NL"/>
        </w:rPr>
        <w:t>.</w:t>
      </w:r>
      <w:r w:rsidR="002C6302" w:rsidRPr="00331DB2">
        <w:rPr>
          <w:color w:val="000000" w:themeColor="text1"/>
          <w:szCs w:val="18"/>
          <w:lang w:val="nl-NL"/>
        </w:rPr>
        <w:t xml:space="preserve"> </w:t>
      </w:r>
      <w:r w:rsidR="008879E8" w:rsidRPr="00331DB2">
        <w:rPr>
          <w:color w:val="000000" w:themeColor="text1"/>
          <w:szCs w:val="18"/>
          <w:lang w:val="nl-NL"/>
        </w:rPr>
        <w:t>Deze</w:t>
      </w:r>
      <w:r w:rsidR="002C6302" w:rsidRPr="00331DB2">
        <w:rPr>
          <w:color w:val="000000" w:themeColor="text1"/>
          <w:szCs w:val="18"/>
          <w:lang w:val="nl-NL"/>
        </w:rPr>
        <w:t xml:space="preserve"> anomalie werd door het Grondwettelijk Hof niet </w:t>
      </w:r>
      <w:r w:rsidR="00881A10" w:rsidRPr="00331DB2">
        <w:rPr>
          <w:color w:val="000000" w:themeColor="text1"/>
          <w:szCs w:val="18"/>
          <w:lang w:val="nl-NL"/>
        </w:rPr>
        <w:t>strijdig</w:t>
      </w:r>
      <w:r w:rsidR="002C6302" w:rsidRPr="00331DB2">
        <w:rPr>
          <w:color w:val="000000" w:themeColor="text1"/>
          <w:szCs w:val="18"/>
          <w:lang w:val="nl-NL"/>
        </w:rPr>
        <w:t xml:space="preserve"> </w:t>
      </w:r>
      <w:r w:rsidR="00881A10" w:rsidRPr="00331DB2">
        <w:rPr>
          <w:color w:val="000000" w:themeColor="text1"/>
          <w:szCs w:val="18"/>
          <w:lang w:val="nl-NL"/>
        </w:rPr>
        <w:t>bevonden</w:t>
      </w:r>
      <w:r w:rsidR="002C6302" w:rsidRPr="00331DB2">
        <w:rPr>
          <w:color w:val="000000" w:themeColor="text1"/>
          <w:szCs w:val="18"/>
          <w:lang w:val="nl-NL"/>
        </w:rPr>
        <w:t xml:space="preserve"> met </w:t>
      </w:r>
      <w:r w:rsidR="008E1122" w:rsidRPr="00331DB2">
        <w:rPr>
          <w:color w:val="000000" w:themeColor="text1"/>
          <w:szCs w:val="18"/>
          <w:lang w:val="nl-NL"/>
        </w:rPr>
        <w:t>artikelen 10 en 11 van de Grondwet</w:t>
      </w:r>
      <w:r w:rsidR="00036A2B" w:rsidRPr="00331DB2">
        <w:rPr>
          <w:color w:val="000000" w:themeColor="text1"/>
          <w:szCs w:val="18"/>
          <w:lang w:val="nl-NL"/>
        </w:rPr>
        <w:t>.</w:t>
      </w:r>
      <w:r w:rsidR="009A5720" w:rsidRPr="00331DB2">
        <w:rPr>
          <w:rStyle w:val="FootnoteReference"/>
          <w:color w:val="000000" w:themeColor="text1"/>
          <w:szCs w:val="18"/>
          <w:lang w:val="nl-NL"/>
        </w:rPr>
        <w:footnoteReference w:id="271"/>
      </w:r>
    </w:p>
    <w:p w14:paraId="3B1AB875" w14:textId="77777777" w:rsidR="00375F09" w:rsidRPr="00331DB2" w:rsidRDefault="00375F09" w:rsidP="00260F11">
      <w:pPr>
        <w:pStyle w:val="ListParagraph"/>
        <w:spacing w:line="360" w:lineRule="auto"/>
        <w:rPr>
          <w:color w:val="000000" w:themeColor="text1"/>
          <w:szCs w:val="18"/>
          <w:lang w:val="nl-NL"/>
        </w:rPr>
      </w:pPr>
    </w:p>
    <w:p w14:paraId="4E98B88B" w14:textId="77777777" w:rsidR="00375F09" w:rsidRPr="00331DB2" w:rsidRDefault="00375F09" w:rsidP="00260F11">
      <w:pPr>
        <w:spacing w:line="360" w:lineRule="auto"/>
        <w:rPr>
          <w:i/>
          <w:color w:val="000000" w:themeColor="text1"/>
          <w:szCs w:val="18"/>
          <w:lang w:val="nl-NL"/>
        </w:rPr>
      </w:pPr>
      <w:r w:rsidRPr="00331DB2">
        <w:rPr>
          <w:color w:val="000000" w:themeColor="text1"/>
          <w:szCs w:val="18"/>
          <w:lang w:val="nl-NL"/>
        </w:rPr>
        <w:t>Het Grondwettelijk Hof overwoog o.m.: “</w:t>
      </w:r>
      <w:r w:rsidRPr="00331DB2">
        <w:rPr>
          <w:i/>
          <w:color w:val="000000" w:themeColor="text1"/>
          <w:szCs w:val="18"/>
          <w:lang w:val="nl-NL"/>
        </w:rPr>
        <w:t>De wetgever vermocht redelijkerwijze te bepalen dat de bijzonder strenge straffen ter bestraffing van verkrachting (…) niet toepasselijk zijn in de gevallen waarin de minderjarige tussen veertien en zestien jaar toestemming heeft gegeven tot de seksuele penetratie.</w:t>
      </w:r>
    </w:p>
    <w:p w14:paraId="1A0B35C6" w14:textId="5B5DCE99" w:rsidR="00375F09" w:rsidRPr="00331DB2" w:rsidRDefault="00375F09" w:rsidP="00260F11">
      <w:pPr>
        <w:spacing w:line="360" w:lineRule="auto"/>
        <w:rPr>
          <w:color w:val="000000" w:themeColor="text1"/>
          <w:szCs w:val="18"/>
          <w:lang w:val="nl-NL"/>
        </w:rPr>
      </w:pPr>
      <w:r w:rsidRPr="00331DB2">
        <w:rPr>
          <w:i/>
          <w:color w:val="000000" w:themeColor="text1"/>
          <w:szCs w:val="18"/>
          <w:lang w:val="nl-NL"/>
        </w:rPr>
        <w:t>De wetgever heeft daarentegen niet gewild dat een dergelijk gedrag niet strafbaar zou zijn. Een daad van seksuele penetratie, gepleegd op een minderjarige persoon van veertien tot zestien jaar, kan immers, naar gelang van de omstandigheden, een aanranding van de eerbaarheid vormen, zelfs indien het slachtoffer op een vrije en vrijwillige wijze daarin heeft toegestemd.</w:t>
      </w:r>
      <w:r w:rsidRPr="00331DB2">
        <w:rPr>
          <w:color w:val="000000" w:themeColor="text1"/>
          <w:szCs w:val="18"/>
          <w:lang w:val="nl-NL"/>
        </w:rPr>
        <w:t>”</w:t>
      </w:r>
      <w:r w:rsidRPr="00331DB2">
        <w:rPr>
          <w:rStyle w:val="FootnoteReference"/>
          <w:color w:val="000000" w:themeColor="text1"/>
          <w:szCs w:val="18"/>
          <w:lang w:val="nl-NL"/>
        </w:rPr>
        <w:footnoteReference w:id="272"/>
      </w:r>
    </w:p>
    <w:p w14:paraId="2D15DEFB" w14:textId="3B1805CC" w:rsidR="00860508" w:rsidRPr="00331DB2" w:rsidRDefault="00860508" w:rsidP="00260F11">
      <w:pPr>
        <w:spacing w:line="360" w:lineRule="auto"/>
        <w:rPr>
          <w:color w:val="000000" w:themeColor="text1"/>
          <w:szCs w:val="18"/>
          <w:lang w:val="nl-NL"/>
        </w:rPr>
      </w:pPr>
    </w:p>
    <w:p w14:paraId="23A328F2" w14:textId="00B2D12C" w:rsidR="00860508" w:rsidRPr="00331DB2" w:rsidRDefault="00860508" w:rsidP="00260F11">
      <w:pPr>
        <w:spacing w:line="360" w:lineRule="auto"/>
        <w:rPr>
          <w:color w:val="000000" w:themeColor="text1"/>
          <w:szCs w:val="18"/>
          <w:lang w:val="nl-NL"/>
        </w:rPr>
      </w:pPr>
      <w:r w:rsidRPr="00331DB2">
        <w:rPr>
          <w:color w:val="000000" w:themeColor="text1"/>
          <w:szCs w:val="18"/>
          <w:lang w:val="nl-NL"/>
        </w:rPr>
        <w:t xml:space="preserve">Aldus maakte een seksuele penetratie met een veertien- of vijftienjarige </w:t>
      </w:r>
      <w:r w:rsidRPr="00331DB2">
        <w:rPr>
          <w:i/>
          <w:color w:val="000000" w:themeColor="text1"/>
          <w:szCs w:val="18"/>
          <w:lang w:val="nl-NL"/>
        </w:rPr>
        <w:t xml:space="preserve">de facto </w:t>
      </w:r>
      <w:r w:rsidRPr="00331DB2">
        <w:rPr>
          <w:color w:val="000000" w:themeColor="text1"/>
          <w:szCs w:val="18"/>
          <w:lang w:val="nl-NL"/>
        </w:rPr>
        <w:t>een aanranding van de eerbaarheid</w:t>
      </w:r>
      <w:r w:rsidR="00083440">
        <w:rPr>
          <w:color w:val="000000" w:themeColor="text1"/>
          <w:szCs w:val="18"/>
          <w:lang w:val="nl-NL"/>
        </w:rPr>
        <w:t xml:space="preserve"> uit, maar geen verkrachting.</w:t>
      </w:r>
    </w:p>
    <w:p w14:paraId="7726C7C5" w14:textId="66839AA0" w:rsidR="009C55E2" w:rsidRPr="000B4AB2" w:rsidRDefault="009C55E2" w:rsidP="00260F11">
      <w:pPr>
        <w:spacing w:line="360" w:lineRule="auto"/>
        <w:rPr>
          <w:color w:val="000000" w:themeColor="text1"/>
          <w:szCs w:val="18"/>
          <w:lang w:val="nl-NL"/>
        </w:rPr>
      </w:pPr>
    </w:p>
    <w:p w14:paraId="1B0322C3" w14:textId="7A9CEB22" w:rsidR="008D0AAD" w:rsidRPr="000B4AB2" w:rsidRDefault="00E25B40" w:rsidP="00260F11">
      <w:pPr>
        <w:pStyle w:val="Heading5"/>
        <w:spacing w:line="360" w:lineRule="auto"/>
        <w:rPr>
          <w:szCs w:val="18"/>
          <w:lang w:val="nl-NL"/>
        </w:rPr>
      </w:pPr>
      <w:bookmarkStart w:id="29" w:name="_Toc135041060"/>
      <w:r w:rsidRPr="000B4AB2">
        <w:rPr>
          <w:szCs w:val="18"/>
          <w:lang w:val="nl-NL"/>
        </w:rPr>
        <w:t>Moreel bestanddeel</w:t>
      </w:r>
      <w:bookmarkEnd w:id="29"/>
    </w:p>
    <w:p w14:paraId="5F61A15F" w14:textId="77777777" w:rsidR="00531A1A" w:rsidRPr="000B4AB2" w:rsidRDefault="00531A1A" w:rsidP="00260F11">
      <w:pPr>
        <w:pStyle w:val="ListParagraph"/>
        <w:spacing w:line="360" w:lineRule="auto"/>
        <w:ind w:left="0"/>
        <w:rPr>
          <w:color w:val="000000" w:themeColor="text1"/>
          <w:szCs w:val="18"/>
          <w:lang w:val="nl-NL"/>
        </w:rPr>
      </w:pPr>
    </w:p>
    <w:p w14:paraId="3F789C1E" w14:textId="35779696" w:rsidR="00531A1A" w:rsidRDefault="00386F71"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Opnieuw dient een</w:t>
      </w:r>
      <w:r w:rsidR="00C947B7" w:rsidRPr="000B4AB2">
        <w:rPr>
          <w:color w:val="000000" w:themeColor="text1"/>
          <w:szCs w:val="18"/>
          <w:lang w:val="nl-NL"/>
        </w:rPr>
        <w:t xml:space="preserve"> </w:t>
      </w:r>
      <w:r w:rsidR="00375911" w:rsidRPr="000B4AB2">
        <w:rPr>
          <w:color w:val="000000" w:themeColor="text1"/>
          <w:szCs w:val="18"/>
          <w:lang w:val="nl-NL"/>
        </w:rPr>
        <w:t xml:space="preserve">onderscheid gemaakt te worden tussen het moreel bestanddeel dat vereist </w:t>
      </w:r>
      <w:r w:rsidR="007D27CF" w:rsidRPr="000B4AB2">
        <w:rPr>
          <w:color w:val="000000" w:themeColor="text1"/>
          <w:szCs w:val="18"/>
          <w:lang w:val="nl-NL"/>
        </w:rPr>
        <w:t>werd</w:t>
      </w:r>
      <w:r w:rsidR="00375911" w:rsidRPr="000B4AB2">
        <w:rPr>
          <w:color w:val="000000" w:themeColor="text1"/>
          <w:szCs w:val="18"/>
          <w:lang w:val="nl-NL"/>
        </w:rPr>
        <w:t xml:space="preserve"> t.a.v. de </w:t>
      </w:r>
      <w:r w:rsidR="007653BC">
        <w:rPr>
          <w:color w:val="000000" w:themeColor="text1"/>
          <w:szCs w:val="18"/>
          <w:lang w:val="nl-NL"/>
        </w:rPr>
        <w:t xml:space="preserve">minderjarige </w:t>
      </w:r>
      <w:r w:rsidR="00164A11" w:rsidRPr="000B4AB2">
        <w:rPr>
          <w:color w:val="000000" w:themeColor="text1"/>
          <w:szCs w:val="18"/>
          <w:lang w:val="nl-NL"/>
        </w:rPr>
        <w:t xml:space="preserve">leeftijd van het slachtoffer </w:t>
      </w:r>
      <w:r w:rsidR="007653BC">
        <w:rPr>
          <w:color w:val="000000" w:themeColor="text1"/>
          <w:szCs w:val="18"/>
          <w:lang w:val="nl-NL"/>
        </w:rPr>
        <w:t>als</w:t>
      </w:r>
      <w:r w:rsidR="00164A11" w:rsidRPr="000B4AB2">
        <w:rPr>
          <w:color w:val="000000" w:themeColor="text1"/>
          <w:szCs w:val="18"/>
          <w:lang w:val="nl-NL"/>
        </w:rPr>
        <w:t xml:space="preserve"> constitutief bestanddeel</w:t>
      </w:r>
      <w:r w:rsidR="007653BC">
        <w:rPr>
          <w:rStyle w:val="FootnoteReference"/>
          <w:color w:val="000000" w:themeColor="text1"/>
          <w:szCs w:val="18"/>
          <w:lang w:val="nl-NL"/>
        </w:rPr>
        <w:footnoteReference w:id="273"/>
      </w:r>
      <w:r w:rsidR="00164A11" w:rsidRPr="000B4AB2">
        <w:rPr>
          <w:color w:val="000000" w:themeColor="text1"/>
          <w:szCs w:val="18"/>
          <w:lang w:val="nl-NL"/>
        </w:rPr>
        <w:t xml:space="preserve"> </w:t>
      </w:r>
      <w:r w:rsidR="00083440">
        <w:rPr>
          <w:color w:val="000000" w:themeColor="text1"/>
          <w:szCs w:val="18"/>
          <w:lang w:val="nl-NL"/>
        </w:rPr>
        <w:t xml:space="preserve">enerzijds </w:t>
      </w:r>
      <w:r w:rsidR="00164A11" w:rsidRPr="000B4AB2">
        <w:rPr>
          <w:color w:val="000000" w:themeColor="text1"/>
          <w:szCs w:val="18"/>
          <w:lang w:val="nl-NL"/>
        </w:rPr>
        <w:t xml:space="preserve">en de overige constitutieve bestanddelen </w:t>
      </w:r>
      <w:r w:rsidR="00083440">
        <w:rPr>
          <w:color w:val="000000" w:themeColor="text1"/>
          <w:szCs w:val="18"/>
          <w:lang w:val="nl-NL"/>
        </w:rPr>
        <w:t>a</w:t>
      </w:r>
      <w:r w:rsidR="00164A11" w:rsidRPr="000B4AB2">
        <w:rPr>
          <w:color w:val="000000" w:themeColor="text1"/>
          <w:szCs w:val="18"/>
          <w:lang w:val="nl-NL"/>
        </w:rPr>
        <w:t>nderzijds (hierna: de materiële gedraging</w:t>
      </w:r>
      <w:r w:rsidR="00844F4D">
        <w:rPr>
          <w:color w:val="000000" w:themeColor="text1"/>
          <w:szCs w:val="18"/>
          <w:lang w:val="nl-NL"/>
        </w:rPr>
        <w:t xml:space="preserve"> </w:t>
      </w:r>
      <w:r w:rsidR="00844F4D">
        <w:rPr>
          <w:i/>
          <w:color w:val="000000" w:themeColor="text1"/>
          <w:szCs w:val="18"/>
          <w:lang w:val="nl-NL"/>
        </w:rPr>
        <w:t>sensu lato</w:t>
      </w:r>
      <w:r w:rsidR="00164A11" w:rsidRPr="000B4AB2">
        <w:rPr>
          <w:color w:val="000000" w:themeColor="text1"/>
          <w:szCs w:val="18"/>
          <w:lang w:val="nl-NL"/>
        </w:rPr>
        <w:t>).</w:t>
      </w:r>
      <w:r w:rsidR="00B12046" w:rsidRPr="000B4AB2">
        <w:rPr>
          <w:rStyle w:val="FootnoteReference"/>
          <w:color w:val="000000" w:themeColor="text1"/>
          <w:szCs w:val="18"/>
          <w:lang w:val="nl-NL"/>
        </w:rPr>
        <w:footnoteReference w:id="274"/>
      </w:r>
    </w:p>
    <w:p w14:paraId="47D8DB66" w14:textId="77777777" w:rsidR="00D355A4" w:rsidRPr="000B4AB2" w:rsidRDefault="00D355A4" w:rsidP="00260F11">
      <w:pPr>
        <w:pStyle w:val="ListParagraph"/>
        <w:spacing w:line="360" w:lineRule="auto"/>
        <w:ind w:left="0"/>
        <w:rPr>
          <w:color w:val="000000" w:themeColor="text1"/>
          <w:szCs w:val="18"/>
          <w:lang w:val="nl-NL"/>
        </w:rPr>
      </w:pPr>
    </w:p>
    <w:p w14:paraId="7C181476" w14:textId="516C2CBF" w:rsidR="00EF11F3" w:rsidRDefault="00EF11F3" w:rsidP="00260F11">
      <w:pPr>
        <w:pStyle w:val="ListParagraph"/>
        <w:numPr>
          <w:ilvl w:val="0"/>
          <w:numId w:val="1"/>
        </w:numPr>
        <w:spacing w:line="360" w:lineRule="auto"/>
        <w:ind w:left="0" w:hanging="709"/>
        <w:rPr>
          <w:color w:val="000000" w:themeColor="text1"/>
          <w:szCs w:val="18"/>
          <w:lang w:val="nl-NL"/>
        </w:rPr>
      </w:pPr>
      <w:r>
        <w:rPr>
          <w:b/>
          <w:szCs w:val="18"/>
          <w:lang w:val="nl-NL"/>
        </w:rPr>
        <w:t xml:space="preserve">(1) </w:t>
      </w:r>
      <w:r w:rsidR="00164A11" w:rsidRPr="000B4AB2">
        <w:rPr>
          <w:b/>
          <w:szCs w:val="18"/>
          <w:lang w:val="nl-NL"/>
        </w:rPr>
        <w:t xml:space="preserve">Moreel bestanddeel </w:t>
      </w:r>
      <w:r w:rsidR="00032070">
        <w:rPr>
          <w:b/>
          <w:szCs w:val="18"/>
          <w:lang w:val="nl-NL"/>
        </w:rPr>
        <w:t>m.b.t.</w:t>
      </w:r>
      <w:r w:rsidR="00164A11" w:rsidRPr="000B4AB2">
        <w:rPr>
          <w:b/>
          <w:szCs w:val="18"/>
          <w:lang w:val="nl-NL"/>
        </w:rPr>
        <w:t xml:space="preserve"> de materiële gedraging</w:t>
      </w:r>
      <w:r w:rsidR="00844F4D">
        <w:rPr>
          <w:b/>
          <w:szCs w:val="18"/>
          <w:lang w:val="nl-NL"/>
        </w:rPr>
        <w:t xml:space="preserve"> </w:t>
      </w:r>
      <w:r w:rsidR="00844F4D">
        <w:rPr>
          <w:b/>
          <w:i/>
          <w:szCs w:val="18"/>
          <w:lang w:val="nl-NL"/>
        </w:rPr>
        <w:t>sensu lato</w:t>
      </w:r>
      <w:r w:rsidR="00164A11" w:rsidRPr="000B4AB2">
        <w:rPr>
          <w:b/>
          <w:szCs w:val="18"/>
          <w:lang w:val="nl-NL"/>
        </w:rPr>
        <w:t>.</w:t>
      </w:r>
      <w:r w:rsidR="00164A11" w:rsidRPr="000B4AB2">
        <w:rPr>
          <w:color w:val="000000" w:themeColor="text1"/>
          <w:szCs w:val="18"/>
          <w:lang w:val="nl-NL"/>
        </w:rPr>
        <w:t xml:space="preserve"> </w:t>
      </w:r>
      <w:r w:rsidR="005F60FC" w:rsidRPr="000B4AB2">
        <w:rPr>
          <w:color w:val="000000" w:themeColor="text1"/>
          <w:szCs w:val="18"/>
          <w:lang w:val="nl-NL"/>
        </w:rPr>
        <w:t>Oud artikel 375</w:t>
      </w:r>
      <w:r w:rsidR="0081584B">
        <w:rPr>
          <w:color w:val="000000" w:themeColor="text1"/>
          <w:szCs w:val="18"/>
          <w:lang w:val="nl-NL"/>
        </w:rPr>
        <w:t xml:space="preserve"> van het </w:t>
      </w:r>
      <w:r w:rsidR="005F60FC" w:rsidRPr="000B4AB2">
        <w:rPr>
          <w:color w:val="000000" w:themeColor="text1"/>
          <w:szCs w:val="18"/>
          <w:lang w:val="nl-NL"/>
        </w:rPr>
        <w:t>Strafwetboek preciseer</w:t>
      </w:r>
      <w:r w:rsidR="00ED18F3" w:rsidRPr="000B4AB2">
        <w:rPr>
          <w:color w:val="000000" w:themeColor="text1"/>
          <w:szCs w:val="18"/>
          <w:lang w:val="nl-NL"/>
        </w:rPr>
        <w:t>de</w:t>
      </w:r>
      <w:r w:rsidR="005F60FC" w:rsidRPr="000B4AB2">
        <w:rPr>
          <w:color w:val="000000" w:themeColor="text1"/>
          <w:szCs w:val="18"/>
          <w:lang w:val="nl-NL"/>
        </w:rPr>
        <w:t xml:space="preserve"> niet wat de vereiste subjectieve delictstypiciteit </w:t>
      </w:r>
      <w:r w:rsidR="00ED18F3" w:rsidRPr="000B4AB2">
        <w:rPr>
          <w:color w:val="000000" w:themeColor="text1"/>
          <w:szCs w:val="18"/>
          <w:lang w:val="nl-NL"/>
        </w:rPr>
        <w:t>was</w:t>
      </w:r>
      <w:r w:rsidR="005F60FC" w:rsidRPr="000B4AB2">
        <w:rPr>
          <w:color w:val="000000" w:themeColor="text1"/>
          <w:szCs w:val="18"/>
          <w:lang w:val="nl-NL"/>
        </w:rPr>
        <w:t xml:space="preserve"> van het misdrijf.</w:t>
      </w:r>
      <w:r w:rsidR="004466F0" w:rsidRPr="000B4AB2">
        <w:rPr>
          <w:color w:val="000000" w:themeColor="text1"/>
          <w:szCs w:val="18"/>
          <w:lang w:val="nl-NL"/>
        </w:rPr>
        <w:t xml:space="preserve"> Bij</w:t>
      </w:r>
      <w:r w:rsidR="000A48F3">
        <w:rPr>
          <w:color w:val="000000" w:themeColor="text1"/>
          <w:szCs w:val="18"/>
          <w:lang w:val="nl-NL"/>
        </w:rPr>
        <w:t xml:space="preserve"> dergelijk</w:t>
      </w:r>
      <w:r w:rsidR="004466F0" w:rsidRPr="000B4AB2">
        <w:rPr>
          <w:color w:val="000000" w:themeColor="text1"/>
          <w:szCs w:val="18"/>
          <w:lang w:val="nl-NL"/>
        </w:rPr>
        <w:t xml:space="preserve"> </w:t>
      </w:r>
      <w:r w:rsidR="00957197">
        <w:rPr>
          <w:color w:val="000000" w:themeColor="text1"/>
          <w:szCs w:val="18"/>
          <w:lang w:val="nl-NL"/>
        </w:rPr>
        <w:t xml:space="preserve">wetgevend stilzwijgen m.b.t. </w:t>
      </w:r>
      <w:r w:rsidR="004466F0" w:rsidRPr="000B4AB2">
        <w:rPr>
          <w:color w:val="000000" w:themeColor="text1"/>
          <w:szCs w:val="18"/>
          <w:lang w:val="nl-NL"/>
        </w:rPr>
        <w:t>het moreel bestanddeel wordt</w:t>
      </w:r>
      <w:r w:rsidR="00610B51" w:rsidRPr="000B4AB2">
        <w:rPr>
          <w:color w:val="000000" w:themeColor="text1"/>
          <w:szCs w:val="18"/>
          <w:lang w:val="nl-NL"/>
        </w:rPr>
        <w:t xml:space="preserve"> </w:t>
      </w:r>
      <w:r w:rsidR="00083440">
        <w:rPr>
          <w:color w:val="000000" w:themeColor="text1"/>
          <w:szCs w:val="18"/>
          <w:lang w:val="nl-NL"/>
        </w:rPr>
        <w:t>thans</w:t>
      </w:r>
      <w:r w:rsidR="00610B51" w:rsidRPr="000B4AB2">
        <w:rPr>
          <w:rStyle w:val="FootnoteReference"/>
          <w:color w:val="000000" w:themeColor="text1"/>
          <w:szCs w:val="18"/>
          <w:lang w:val="nl-NL"/>
        </w:rPr>
        <w:footnoteReference w:id="275"/>
      </w:r>
      <w:r w:rsidR="004466F0" w:rsidRPr="000B4AB2">
        <w:rPr>
          <w:color w:val="000000" w:themeColor="text1"/>
          <w:szCs w:val="18"/>
          <w:lang w:val="nl-NL"/>
        </w:rPr>
        <w:t xml:space="preserve"> algemeen </w:t>
      </w:r>
      <w:r w:rsidR="004466F0" w:rsidRPr="003352BB">
        <w:rPr>
          <w:color w:val="000000" w:themeColor="text1"/>
          <w:szCs w:val="18"/>
          <w:lang w:val="nl-NL"/>
        </w:rPr>
        <w:t xml:space="preserve">aanvaard dat een algemeen opzet </w:t>
      </w:r>
      <w:r w:rsidR="00D04231" w:rsidRPr="003352BB">
        <w:rPr>
          <w:color w:val="000000" w:themeColor="text1"/>
          <w:szCs w:val="18"/>
          <w:lang w:val="nl-NL"/>
        </w:rPr>
        <w:t>voorhanden moet zijn in hoofde van de dader</w:t>
      </w:r>
      <w:r w:rsidR="004466F0" w:rsidRPr="003352BB">
        <w:rPr>
          <w:color w:val="000000" w:themeColor="text1"/>
          <w:szCs w:val="18"/>
          <w:lang w:val="nl-NL"/>
        </w:rPr>
        <w:t>.</w:t>
      </w:r>
      <w:r w:rsidR="004466F0" w:rsidRPr="003352BB">
        <w:rPr>
          <w:rStyle w:val="FootnoteReference"/>
          <w:color w:val="000000" w:themeColor="text1"/>
          <w:szCs w:val="18"/>
          <w:lang w:val="nl-NL"/>
        </w:rPr>
        <w:footnoteReference w:id="276"/>
      </w:r>
      <w:r w:rsidR="005F60FC" w:rsidRPr="003352BB">
        <w:rPr>
          <w:color w:val="000000" w:themeColor="text1"/>
          <w:szCs w:val="18"/>
          <w:lang w:val="nl-NL"/>
        </w:rPr>
        <w:t xml:space="preserve"> De meerderheidsvisie binnen de rechtsleer </w:t>
      </w:r>
      <w:r w:rsidR="003F4715" w:rsidRPr="003352BB">
        <w:rPr>
          <w:color w:val="000000" w:themeColor="text1"/>
          <w:szCs w:val="18"/>
          <w:lang w:val="nl-NL"/>
        </w:rPr>
        <w:t>evenals het Hof van Cassatie</w:t>
      </w:r>
      <w:r w:rsidR="00C947B7" w:rsidRPr="003352BB">
        <w:rPr>
          <w:color w:val="000000" w:themeColor="text1"/>
          <w:szCs w:val="18"/>
          <w:lang w:val="nl-NL"/>
        </w:rPr>
        <w:t xml:space="preserve"> </w:t>
      </w:r>
      <w:r w:rsidR="00083440">
        <w:rPr>
          <w:color w:val="000000" w:themeColor="text1"/>
          <w:szCs w:val="18"/>
          <w:lang w:val="nl-NL"/>
        </w:rPr>
        <w:t>vereist</w:t>
      </w:r>
      <w:r w:rsidR="00D04231" w:rsidRPr="003352BB">
        <w:rPr>
          <w:color w:val="000000" w:themeColor="text1"/>
          <w:szCs w:val="18"/>
          <w:lang w:val="nl-NL"/>
        </w:rPr>
        <w:t>en</w:t>
      </w:r>
      <w:r w:rsidR="005F60FC" w:rsidRPr="003352BB">
        <w:rPr>
          <w:color w:val="000000" w:themeColor="text1"/>
          <w:szCs w:val="18"/>
          <w:lang w:val="nl-NL"/>
        </w:rPr>
        <w:t xml:space="preserve"> </w:t>
      </w:r>
      <w:r w:rsidR="00083440">
        <w:rPr>
          <w:color w:val="000000" w:themeColor="text1"/>
          <w:szCs w:val="18"/>
          <w:lang w:val="nl-NL"/>
        </w:rPr>
        <w:t xml:space="preserve">dan ook een </w:t>
      </w:r>
      <w:r w:rsidR="005F60FC" w:rsidRPr="003352BB">
        <w:rPr>
          <w:color w:val="000000" w:themeColor="text1"/>
          <w:szCs w:val="18"/>
          <w:lang w:val="nl-NL"/>
        </w:rPr>
        <w:t xml:space="preserve">algemeen opzet </w:t>
      </w:r>
      <w:r w:rsidR="00083440">
        <w:rPr>
          <w:color w:val="000000" w:themeColor="text1"/>
          <w:szCs w:val="18"/>
          <w:lang w:val="nl-NL"/>
        </w:rPr>
        <w:t>voor dit misdrijf</w:t>
      </w:r>
      <w:r w:rsidR="005F60FC" w:rsidRPr="003352BB">
        <w:rPr>
          <w:color w:val="000000" w:themeColor="text1"/>
          <w:szCs w:val="18"/>
          <w:lang w:val="nl-NL"/>
        </w:rPr>
        <w:t>.</w:t>
      </w:r>
      <w:r w:rsidR="005F60FC" w:rsidRPr="003352BB">
        <w:rPr>
          <w:szCs w:val="18"/>
          <w:lang w:val="nl-NL"/>
        </w:rPr>
        <w:t xml:space="preserve"> </w:t>
      </w:r>
      <w:r w:rsidR="00D04231" w:rsidRPr="003352BB">
        <w:rPr>
          <w:szCs w:val="18"/>
          <w:lang w:val="nl-NL"/>
        </w:rPr>
        <w:t>De</w:t>
      </w:r>
      <w:r w:rsidR="005F60FC" w:rsidRPr="003352BB">
        <w:rPr>
          <w:szCs w:val="18"/>
          <w:lang w:val="nl-NL"/>
        </w:rPr>
        <w:t xml:space="preserve"> </w:t>
      </w:r>
      <w:r w:rsidR="002308EC" w:rsidRPr="003352BB">
        <w:rPr>
          <w:szCs w:val="18"/>
          <w:lang w:val="nl-NL"/>
        </w:rPr>
        <w:t>dader</w:t>
      </w:r>
      <w:r w:rsidR="00D04231" w:rsidRPr="003352BB">
        <w:rPr>
          <w:szCs w:val="18"/>
          <w:lang w:val="nl-NL"/>
        </w:rPr>
        <w:t xml:space="preserve"> moest </w:t>
      </w:r>
      <w:r w:rsidR="00586B03" w:rsidRPr="003352BB">
        <w:rPr>
          <w:szCs w:val="18"/>
          <w:lang w:val="nl-NL"/>
        </w:rPr>
        <w:t>m.a.w.</w:t>
      </w:r>
      <w:r w:rsidR="002308EC" w:rsidRPr="003352BB">
        <w:rPr>
          <w:szCs w:val="18"/>
          <w:lang w:val="nl-NL"/>
        </w:rPr>
        <w:t xml:space="preserve"> </w:t>
      </w:r>
      <w:r w:rsidR="005F60FC" w:rsidRPr="003352BB">
        <w:rPr>
          <w:szCs w:val="18"/>
          <w:lang w:val="nl-NL"/>
        </w:rPr>
        <w:t>geweten hebben</w:t>
      </w:r>
      <w:r w:rsidR="002308EC" w:rsidRPr="003352BB">
        <w:rPr>
          <w:szCs w:val="18"/>
          <w:lang w:val="nl-NL"/>
        </w:rPr>
        <w:t xml:space="preserve"> dat </w:t>
      </w:r>
      <w:r w:rsidR="005F60FC" w:rsidRPr="003352BB">
        <w:rPr>
          <w:szCs w:val="18"/>
          <w:lang w:val="nl-NL"/>
        </w:rPr>
        <w:t>het slachtoffer</w:t>
      </w:r>
      <w:r w:rsidR="002308EC" w:rsidRPr="003352BB">
        <w:rPr>
          <w:szCs w:val="18"/>
          <w:lang w:val="nl-NL"/>
        </w:rPr>
        <w:t xml:space="preserve"> niet toestem</w:t>
      </w:r>
      <w:r w:rsidR="005F60FC" w:rsidRPr="003352BB">
        <w:rPr>
          <w:szCs w:val="18"/>
          <w:lang w:val="nl-NL"/>
        </w:rPr>
        <w:t>de met de handelingen</w:t>
      </w:r>
      <w:r w:rsidR="00D04231" w:rsidRPr="003352BB">
        <w:rPr>
          <w:szCs w:val="18"/>
          <w:lang w:val="nl-NL"/>
        </w:rPr>
        <w:t xml:space="preserve"> en</w:t>
      </w:r>
      <w:r w:rsidR="005F60FC" w:rsidRPr="003352BB">
        <w:rPr>
          <w:szCs w:val="18"/>
          <w:lang w:val="nl-NL"/>
        </w:rPr>
        <w:t xml:space="preserve"> </w:t>
      </w:r>
      <w:r w:rsidR="00D2771E">
        <w:rPr>
          <w:szCs w:val="18"/>
          <w:lang w:val="nl-NL"/>
        </w:rPr>
        <w:t xml:space="preserve">desondanks </w:t>
      </w:r>
      <w:r w:rsidR="00D04231" w:rsidRPr="003352BB">
        <w:rPr>
          <w:szCs w:val="18"/>
          <w:lang w:val="nl-NL"/>
        </w:rPr>
        <w:t>de gedraging - die voldoet aan</w:t>
      </w:r>
      <w:r w:rsidR="00D04231" w:rsidRPr="000B4AB2">
        <w:rPr>
          <w:szCs w:val="18"/>
          <w:lang w:val="nl-NL"/>
        </w:rPr>
        <w:t xml:space="preserve"> de objectieve delictstypiciteit </w:t>
      </w:r>
      <w:r w:rsidR="00D2771E" w:rsidRPr="003352BB">
        <w:rPr>
          <w:szCs w:val="18"/>
          <w:lang w:val="nl-NL"/>
        </w:rPr>
        <w:t>-</w:t>
      </w:r>
      <w:r w:rsidR="00D2771E">
        <w:rPr>
          <w:szCs w:val="18"/>
          <w:lang w:val="nl-NL"/>
        </w:rPr>
        <w:t xml:space="preserve"> </w:t>
      </w:r>
      <w:r w:rsidR="00D339B0" w:rsidRPr="000B4AB2">
        <w:rPr>
          <w:szCs w:val="18"/>
          <w:lang w:val="nl-NL"/>
        </w:rPr>
        <w:t>willen</w:t>
      </w:r>
      <w:r w:rsidR="005F60FC" w:rsidRPr="000B4AB2">
        <w:rPr>
          <w:szCs w:val="18"/>
          <w:lang w:val="nl-NL"/>
        </w:rPr>
        <w:t xml:space="preserve"> stelle</w:t>
      </w:r>
      <w:r w:rsidR="00D04231" w:rsidRPr="000B4AB2">
        <w:rPr>
          <w:szCs w:val="18"/>
          <w:lang w:val="nl-NL"/>
        </w:rPr>
        <w:t>n</w:t>
      </w:r>
      <w:r w:rsidR="002308EC" w:rsidRPr="000B4AB2">
        <w:rPr>
          <w:szCs w:val="18"/>
          <w:lang w:val="nl-NL"/>
        </w:rPr>
        <w:t>.</w:t>
      </w:r>
      <w:r w:rsidR="000A309A" w:rsidRPr="000B4AB2">
        <w:rPr>
          <w:rStyle w:val="FootnoteReference"/>
          <w:color w:val="000000" w:themeColor="text1"/>
          <w:szCs w:val="18"/>
          <w:lang w:val="nl-NL"/>
        </w:rPr>
        <w:footnoteReference w:id="277"/>
      </w:r>
      <w:r w:rsidR="00596102" w:rsidRPr="000B4AB2">
        <w:rPr>
          <w:color w:val="000000" w:themeColor="text1"/>
          <w:szCs w:val="18"/>
          <w:lang w:val="nl-NL"/>
        </w:rPr>
        <w:t xml:space="preserve"> </w:t>
      </w:r>
    </w:p>
    <w:p w14:paraId="3CAE0C3B" w14:textId="7B2ED732" w:rsidR="00EF11F3" w:rsidRPr="00FF289B" w:rsidRDefault="00EF11F3" w:rsidP="00260F11">
      <w:pPr>
        <w:pStyle w:val="ListParagraph"/>
        <w:numPr>
          <w:ilvl w:val="0"/>
          <w:numId w:val="1"/>
        </w:numPr>
        <w:spacing w:line="360" w:lineRule="auto"/>
        <w:ind w:left="0" w:hanging="709"/>
        <w:rPr>
          <w:color w:val="000000" w:themeColor="text1"/>
          <w:szCs w:val="18"/>
          <w:lang w:val="nl-NL"/>
        </w:rPr>
      </w:pPr>
      <w:r w:rsidRPr="00EF11F3">
        <w:rPr>
          <w:b/>
          <w:color w:val="000000" w:themeColor="text1"/>
          <w:szCs w:val="18"/>
          <w:lang w:val="nl-NL"/>
        </w:rPr>
        <w:lastRenderedPageBreak/>
        <w:t>Seksuele drijfveer dader?</w:t>
      </w:r>
      <w:r>
        <w:rPr>
          <w:color w:val="000000" w:themeColor="text1"/>
          <w:szCs w:val="18"/>
          <w:lang w:val="nl-NL"/>
        </w:rPr>
        <w:t xml:space="preserve"> </w:t>
      </w:r>
      <w:r w:rsidR="000577D9">
        <w:rPr>
          <w:color w:val="000000" w:themeColor="text1"/>
          <w:szCs w:val="18"/>
          <w:lang w:val="nl-NL"/>
        </w:rPr>
        <w:t>Wanneer de opvatting binnen de rechtsleer gevolgd wordt dat voor een seksuele penetratie naast een objectieve component, tevens een subjectieve component voldaan moet zijn, wordt in hoofde van de dader een seksuele drijfveer vereist.</w:t>
      </w:r>
      <w:r w:rsidR="00FF289B">
        <w:rPr>
          <w:color w:val="000000" w:themeColor="text1"/>
          <w:szCs w:val="18"/>
          <w:lang w:val="nl-NL"/>
        </w:rPr>
        <w:t xml:space="preserve"> </w:t>
      </w:r>
      <w:r w:rsidR="000577D9" w:rsidRPr="00FF289B">
        <w:rPr>
          <w:color w:val="000000" w:themeColor="text1"/>
          <w:szCs w:val="18"/>
          <w:lang w:val="nl-NL"/>
        </w:rPr>
        <w:t xml:space="preserve">Voornoemde vereiste wordt evenwel door een aantal auteurs </w:t>
      </w:r>
      <w:r w:rsidR="00110FAA" w:rsidRPr="00FF289B">
        <w:rPr>
          <w:color w:val="000000" w:themeColor="text1"/>
          <w:szCs w:val="18"/>
          <w:lang w:val="nl-NL"/>
        </w:rPr>
        <w:t xml:space="preserve">– m.i. </w:t>
      </w:r>
      <w:r w:rsidR="000577D9" w:rsidRPr="00FF289B">
        <w:rPr>
          <w:color w:val="000000" w:themeColor="text1"/>
          <w:szCs w:val="18"/>
          <w:lang w:val="nl-NL"/>
        </w:rPr>
        <w:t xml:space="preserve">op </w:t>
      </w:r>
      <w:r w:rsidR="00110FAA" w:rsidRPr="00FF289B">
        <w:rPr>
          <w:color w:val="000000" w:themeColor="text1"/>
          <w:szCs w:val="18"/>
          <w:lang w:val="nl-NL"/>
        </w:rPr>
        <w:t>juridisch verdedigbare</w:t>
      </w:r>
      <w:r w:rsidR="000577D9" w:rsidRPr="00FF289B">
        <w:rPr>
          <w:color w:val="000000" w:themeColor="text1"/>
          <w:szCs w:val="18"/>
          <w:lang w:val="nl-NL"/>
        </w:rPr>
        <w:t xml:space="preserve"> wijze</w:t>
      </w:r>
      <w:r w:rsidR="00110FAA" w:rsidRPr="00FF289B">
        <w:rPr>
          <w:color w:val="000000" w:themeColor="text1"/>
          <w:szCs w:val="18"/>
          <w:lang w:val="nl-NL"/>
        </w:rPr>
        <w:t xml:space="preserve"> </w:t>
      </w:r>
      <w:r w:rsidR="000577D9" w:rsidRPr="00FF289B">
        <w:rPr>
          <w:color w:val="000000" w:themeColor="text1"/>
          <w:szCs w:val="18"/>
          <w:lang w:val="nl-NL"/>
        </w:rPr>
        <w:t>–</w:t>
      </w:r>
      <w:r w:rsidR="00110FAA" w:rsidRPr="00FF289B">
        <w:rPr>
          <w:color w:val="000000" w:themeColor="text1"/>
          <w:szCs w:val="18"/>
          <w:lang w:val="nl-NL"/>
        </w:rPr>
        <w:t xml:space="preserve"> </w:t>
      </w:r>
      <w:r w:rsidR="000577D9" w:rsidRPr="00FF289B">
        <w:rPr>
          <w:color w:val="000000" w:themeColor="text1"/>
          <w:szCs w:val="18"/>
          <w:lang w:val="nl-NL"/>
        </w:rPr>
        <w:t xml:space="preserve">bekritiseerd </w:t>
      </w:r>
      <w:r w:rsidR="00110FAA" w:rsidRPr="00FF289B">
        <w:rPr>
          <w:color w:val="000000" w:themeColor="text1"/>
          <w:szCs w:val="18"/>
          <w:lang w:val="nl-NL"/>
        </w:rPr>
        <w:t>o.w.v. het feit dat dit het moreel bestanddeel (zijnde een algemeen opzet) van het misdrijf zou wijzigen naar een bijzonder opzet.</w:t>
      </w:r>
      <w:r w:rsidR="005A04F6" w:rsidRPr="000B4AB2">
        <w:rPr>
          <w:rStyle w:val="FootnoteReference"/>
          <w:color w:val="000000" w:themeColor="text1"/>
          <w:szCs w:val="18"/>
          <w:lang w:val="nl-NL"/>
        </w:rPr>
        <w:footnoteReference w:id="278"/>
      </w:r>
    </w:p>
    <w:p w14:paraId="3150491E" w14:textId="77777777" w:rsidR="00EF11F3" w:rsidRPr="00E17C29" w:rsidRDefault="00EF11F3" w:rsidP="00260F11">
      <w:pPr>
        <w:pStyle w:val="ListParagraph"/>
        <w:spacing w:line="360" w:lineRule="auto"/>
        <w:ind w:left="0"/>
        <w:rPr>
          <w:color w:val="000000" w:themeColor="text1"/>
          <w:szCs w:val="18"/>
          <w:lang w:val="nl-NL"/>
        </w:rPr>
      </w:pPr>
    </w:p>
    <w:p w14:paraId="6A5636E5" w14:textId="08AFC8FE" w:rsidR="000A48F3" w:rsidRDefault="00EF11F3" w:rsidP="00260F11">
      <w:pPr>
        <w:pStyle w:val="ListParagraph"/>
        <w:numPr>
          <w:ilvl w:val="0"/>
          <w:numId w:val="1"/>
        </w:numPr>
        <w:spacing w:line="360" w:lineRule="auto"/>
        <w:ind w:left="0" w:hanging="709"/>
        <w:rPr>
          <w:color w:val="000000" w:themeColor="text1"/>
          <w:szCs w:val="18"/>
          <w:lang w:val="nl-NL"/>
        </w:rPr>
      </w:pPr>
      <w:r>
        <w:rPr>
          <w:b/>
          <w:szCs w:val="18"/>
          <w:lang w:val="nl-NL"/>
        </w:rPr>
        <w:t xml:space="preserve">(2) </w:t>
      </w:r>
      <w:r w:rsidR="00164A11" w:rsidRPr="000B4AB2">
        <w:rPr>
          <w:b/>
          <w:szCs w:val="18"/>
          <w:lang w:val="nl-NL"/>
        </w:rPr>
        <w:t xml:space="preserve">Moreel bestanddeel </w:t>
      </w:r>
      <w:r w:rsidR="00BA6B9E" w:rsidRPr="000B4AB2">
        <w:rPr>
          <w:b/>
          <w:szCs w:val="18"/>
          <w:lang w:val="nl-NL"/>
        </w:rPr>
        <w:t>m.b.t.</w:t>
      </w:r>
      <w:r w:rsidR="00164A11" w:rsidRPr="000B4AB2">
        <w:rPr>
          <w:b/>
          <w:szCs w:val="18"/>
          <w:lang w:val="nl-NL"/>
        </w:rPr>
        <w:t xml:space="preserve"> de minveertienjarige leeftijd van het slachtoffer uit oud artikel 375, zesde lid </w:t>
      </w:r>
      <w:r w:rsidR="0081584B">
        <w:rPr>
          <w:b/>
          <w:szCs w:val="18"/>
          <w:lang w:val="nl-NL"/>
        </w:rPr>
        <w:t xml:space="preserve">van het </w:t>
      </w:r>
      <w:r w:rsidR="00164A11" w:rsidRPr="000B4AB2">
        <w:rPr>
          <w:b/>
          <w:szCs w:val="18"/>
          <w:lang w:val="nl-NL"/>
        </w:rPr>
        <w:t>Strafwetboek.</w:t>
      </w:r>
      <w:r w:rsidR="00164A11" w:rsidRPr="000B4AB2">
        <w:rPr>
          <w:color w:val="000000" w:themeColor="text1"/>
          <w:szCs w:val="18"/>
          <w:lang w:val="nl-NL"/>
        </w:rPr>
        <w:t xml:space="preserve"> </w:t>
      </w:r>
      <w:r w:rsidR="00A70ECE" w:rsidRPr="000B4AB2">
        <w:rPr>
          <w:color w:val="000000" w:themeColor="text1"/>
          <w:szCs w:val="18"/>
          <w:lang w:val="nl-NL"/>
        </w:rPr>
        <w:t xml:space="preserve">Zoals reeds hoger uiteengezet, </w:t>
      </w:r>
      <w:r w:rsidR="00ED18F3" w:rsidRPr="000B4AB2">
        <w:rPr>
          <w:color w:val="000000" w:themeColor="text1"/>
          <w:szCs w:val="18"/>
          <w:lang w:val="nl-NL"/>
        </w:rPr>
        <w:t>betrof</w:t>
      </w:r>
      <w:r w:rsidR="00A70ECE" w:rsidRPr="000B4AB2">
        <w:rPr>
          <w:color w:val="000000" w:themeColor="text1"/>
          <w:szCs w:val="18"/>
          <w:lang w:val="nl-NL"/>
        </w:rPr>
        <w:t xml:space="preserve"> de minveertienjarige leeftijd van het slachtoffer bij een “verkrachting bij gelijkstelling” een constitutief bestanddeel van het misdrijf.</w:t>
      </w:r>
      <w:r w:rsidR="00083440">
        <w:rPr>
          <w:rStyle w:val="FootnoteReference"/>
          <w:color w:val="000000" w:themeColor="text1"/>
          <w:szCs w:val="18"/>
          <w:lang w:val="nl-NL"/>
        </w:rPr>
        <w:footnoteReference w:id="279"/>
      </w:r>
    </w:p>
    <w:p w14:paraId="0884E655" w14:textId="77777777" w:rsidR="000A48F3" w:rsidRPr="000A48F3" w:rsidRDefault="000A48F3" w:rsidP="00260F11">
      <w:pPr>
        <w:pStyle w:val="ListParagraph"/>
        <w:spacing w:line="360" w:lineRule="auto"/>
        <w:rPr>
          <w:b/>
          <w:szCs w:val="18"/>
          <w:lang w:val="nl-NL"/>
        </w:rPr>
      </w:pPr>
    </w:p>
    <w:p w14:paraId="7B1E7752" w14:textId="77777777" w:rsidR="000A48F3" w:rsidRPr="000A48F3" w:rsidRDefault="000A48F3" w:rsidP="00260F11">
      <w:pPr>
        <w:pStyle w:val="ListParagraph"/>
        <w:numPr>
          <w:ilvl w:val="0"/>
          <w:numId w:val="1"/>
        </w:numPr>
        <w:spacing w:line="360" w:lineRule="auto"/>
        <w:ind w:left="0" w:hanging="709"/>
        <w:rPr>
          <w:color w:val="000000" w:themeColor="text1"/>
          <w:szCs w:val="18"/>
          <w:lang w:val="nl-NL"/>
        </w:rPr>
      </w:pPr>
      <w:r w:rsidRPr="000A48F3">
        <w:rPr>
          <w:b/>
          <w:szCs w:val="18"/>
          <w:lang w:val="nl-NL"/>
        </w:rPr>
        <w:t>Onachtzaamheid?</w:t>
      </w:r>
      <w:r w:rsidRPr="000A48F3">
        <w:rPr>
          <w:szCs w:val="18"/>
          <w:lang w:val="nl-NL"/>
        </w:rPr>
        <w:t xml:space="preserve"> </w:t>
      </w:r>
      <w:r w:rsidR="00533350" w:rsidRPr="000A48F3">
        <w:rPr>
          <w:szCs w:val="18"/>
          <w:lang w:val="nl-NL"/>
        </w:rPr>
        <w:t>Indien de dader evenwel aanvoer</w:t>
      </w:r>
      <w:r w:rsidR="00ED18F3" w:rsidRPr="000A48F3">
        <w:rPr>
          <w:szCs w:val="18"/>
          <w:lang w:val="nl-NL"/>
        </w:rPr>
        <w:t>de</w:t>
      </w:r>
      <w:r w:rsidR="00533350" w:rsidRPr="000A48F3">
        <w:rPr>
          <w:szCs w:val="18"/>
          <w:lang w:val="nl-NL"/>
        </w:rPr>
        <w:t xml:space="preserve"> niet op de hoogte </w:t>
      </w:r>
      <w:r w:rsidR="00C856AB" w:rsidRPr="000A48F3">
        <w:rPr>
          <w:szCs w:val="18"/>
          <w:lang w:val="nl-NL"/>
        </w:rPr>
        <w:t>te zijn</w:t>
      </w:r>
      <w:r w:rsidR="00533350" w:rsidRPr="000A48F3">
        <w:rPr>
          <w:szCs w:val="18"/>
          <w:lang w:val="nl-NL"/>
        </w:rPr>
        <w:t xml:space="preserve"> van de leeftijd van het slachtoffer, </w:t>
      </w:r>
      <w:r w:rsidR="00111FD5" w:rsidRPr="000A48F3">
        <w:rPr>
          <w:szCs w:val="18"/>
          <w:lang w:val="nl-NL"/>
        </w:rPr>
        <w:t>mocht</w:t>
      </w:r>
      <w:r w:rsidR="00533350" w:rsidRPr="000A48F3">
        <w:rPr>
          <w:szCs w:val="18"/>
          <w:lang w:val="nl-NL"/>
        </w:rPr>
        <w:t xml:space="preserve"> de dader op dit vlak volgens SPRIET e.a. niet onachtzaam geweest zijn</w:t>
      </w:r>
      <w:r w:rsidR="00CB457D" w:rsidRPr="000A48F3">
        <w:rPr>
          <w:szCs w:val="18"/>
          <w:lang w:val="nl-NL"/>
        </w:rPr>
        <w:t xml:space="preserve">. </w:t>
      </w:r>
      <w:r w:rsidR="00C8631B" w:rsidRPr="000A48F3">
        <w:rPr>
          <w:szCs w:val="18"/>
          <w:lang w:val="nl-NL"/>
        </w:rPr>
        <w:t xml:space="preserve">Een onachtzame dader is een dader die zich niet als een normaal, voorzichtig en redelijk persoon (hierna: NVR-persoon) in dezelfde omstandigheden </w:t>
      </w:r>
      <w:r w:rsidR="00467717" w:rsidRPr="000A48F3">
        <w:rPr>
          <w:szCs w:val="18"/>
          <w:lang w:val="nl-NL"/>
        </w:rPr>
        <w:t>gedroeg</w:t>
      </w:r>
      <w:r w:rsidR="00C8631B" w:rsidRPr="000A48F3">
        <w:rPr>
          <w:szCs w:val="18"/>
          <w:lang w:val="nl-NL"/>
        </w:rPr>
        <w:t>.</w:t>
      </w:r>
      <w:r w:rsidR="00C8631B" w:rsidRPr="000B4AB2">
        <w:rPr>
          <w:rStyle w:val="FootnoteReference"/>
          <w:szCs w:val="18"/>
          <w:lang w:val="nl-NL"/>
        </w:rPr>
        <w:footnoteReference w:id="280"/>
      </w:r>
      <w:r w:rsidR="00C8631B" w:rsidRPr="000A48F3">
        <w:rPr>
          <w:szCs w:val="18"/>
          <w:lang w:val="nl-NL"/>
        </w:rPr>
        <w:t xml:space="preserve"> Indien de dader inderdaad onachtzaam is geweest, zal voldaan zijn aan de vereiste subjectieve delictstypiciteit </w:t>
      </w:r>
      <w:r w:rsidR="00032070" w:rsidRPr="000A48F3">
        <w:rPr>
          <w:szCs w:val="18"/>
          <w:lang w:val="nl-NL"/>
        </w:rPr>
        <w:t>m.b.t.</w:t>
      </w:r>
      <w:r w:rsidR="00C8631B" w:rsidRPr="000A48F3">
        <w:rPr>
          <w:szCs w:val="18"/>
          <w:lang w:val="nl-NL"/>
        </w:rPr>
        <w:t xml:space="preserve"> de leeftijd van het slachtoffer. </w:t>
      </w:r>
    </w:p>
    <w:p w14:paraId="5AD48284" w14:textId="77777777" w:rsidR="000A48F3" w:rsidRPr="000A48F3" w:rsidRDefault="000A48F3" w:rsidP="00260F11">
      <w:pPr>
        <w:pStyle w:val="ListParagraph"/>
        <w:spacing w:line="360" w:lineRule="auto"/>
        <w:rPr>
          <w:szCs w:val="18"/>
          <w:lang w:val="nl-NL"/>
        </w:rPr>
      </w:pPr>
    </w:p>
    <w:p w14:paraId="2AE130DE" w14:textId="29161A83" w:rsidR="000A48F3" w:rsidRDefault="00CB457D" w:rsidP="00260F11">
      <w:pPr>
        <w:pStyle w:val="ListParagraph"/>
        <w:spacing w:line="360" w:lineRule="auto"/>
        <w:ind w:left="0"/>
        <w:rPr>
          <w:color w:val="000000" w:themeColor="text1"/>
          <w:szCs w:val="18"/>
          <w:lang w:val="nl-NL"/>
        </w:rPr>
      </w:pPr>
      <w:r w:rsidRPr="000A48F3">
        <w:rPr>
          <w:szCs w:val="18"/>
          <w:lang w:val="nl-NL"/>
        </w:rPr>
        <w:t xml:space="preserve">In deze visie </w:t>
      </w:r>
      <w:r w:rsidR="00111FD5" w:rsidRPr="000A48F3">
        <w:rPr>
          <w:szCs w:val="18"/>
          <w:lang w:val="nl-NL"/>
        </w:rPr>
        <w:t>was</w:t>
      </w:r>
      <w:r w:rsidRPr="000A48F3">
        <w:rPr>
          <w:szCs w:val="18"/>
          <w:lang w:val="nl-NL"/>
        </w:rPr>
        <w:t xml:space="preserve"> </w:t>
      </w:r>
      <w:r w:rsidR="000A48F3" w:rsidRPr="000A48F3">
        <w:rPr>
          <w:szCs w:val="18"/>
          <w:lang w:val="nl-NL"/>
        </w:rPr>
        <w:t>aldus</w:t>
      </w:r>
      <w:r w:rsidR="002F317C" w:rsidRPr="000A48F3">
        <w:rPr>
          <w:szCs w:val="18"/>
          <w:lang w:val="nl-NL"/>
        </w:rPr>
        <w:t xml:space="preserve"> </w:t>
      </w:r>
      <w:r w:rsidR="00533350" w:rsidRPr="000A48F3">
        <w:rPr>
          <w:szCs w:val="18"/>
          <w:lang w:val="nl-NL"/>
        </w:rPr>
        <w:t>een gemengd opzet vereist</w:t>
      </w:r>
      <w:r w:rsidR="000A48F3" w:rsidRPr="000A48F3">
        <w:rPr>
          <w:szCs w:val="18"/>
          <w:lang w:val="nl-NL"/>
        </w:rPr>
        <w:t xml:space="preserve"> voor het misdrijf van verkrachting</w:t>
      </w:r>
      <w:r w:rsidR="00533350" w:rsidRPr="000A48F3">
        <w:rPr>
          <w:szCs w:val="18"/>
          <w:lang w:val="nl-NL"/>
        </w:rPr>
        <w:t>: e</w:t>
      </w:r>
      <w:r w:rsidRPr="000A48F3">
        <w:rPr>
          <w:szCs w:val="18"/>
          <w:lang w:val="nl-NL"/>
        </w:rPr>
        <w:t xml:space="preserve">nerzijds </w:t>
      </w:r>
      <w:r w:rsidR="000A48F3" w:rsidRPr="000A48F3">
        <w:rPr>
          <w:szCs w:val="18"/>
          <w:lang w:val="nl-NL"/>
        </w:rPr>
        <w:t>een</w:t>
      </w:r>
      <w:r w:rsidR="00533350" w:rsidRPr="000A48F3">
        <w:rPr>
          <w:szCs w:val="18"/>
          <w:lang w:val="nl-NL"/>
        </w:rPr>
        <w:t xml:space="preserve"> algemene opzet m.b.t. de </w:t>
      </w:r>
      <w:r w:rsidR="00EA4DD8" w:rsidRPr="000A48F3">
        <w:rPr>
          <w:szCs w:val="18"/>
          <w:lang w:val="nl-NL"/>
        </w:rPr>
        <w:t xml:space="preserve">materiële </w:t>
      </w:r>
      <w:r w:rsidR="00EA4DD8">
        <w:rPr>
          <w:szCs w:val="18"/>
          <w:lang w:val="nl-NL"/>
        </w:rPr>
        <w:t xml:space="preserve">gedraging </w:t>
      </w:r>
      <w:r w:rsidR="00EA4DD8">
        <w:rPr>
          <w:i/>
          <w:szCs w:val="18"/>
          <w:lang w:val="nl-NL"/>
        </w:rPr>
        <w:t>sensu lato</w:t>
      </w:r>
      <w:r w:rsidR="00EA4DD8" w:rsidRPr="000A48F3">
        <w:rPr>
          <w:szCs w:val="18"/>
          <w:lang w:val="nl-NL"/>
        </w:rPr>
        <w:t xml:space="preserve"> </w:t>
      </w:r>
      <w:r w:rsidR="00533350" w:rsidRPr="000A48F3">
        <w:rPr>
          <w:szCs w:val="18"/>
          <w:lang w:val="nl-NL"/>
        </w:rPr>
        <w:t xml:space="preserve">en </w:t>
      </w:r>
      <w:r w:rsidRPr="000A48F3">
        <w:rPr>
          <w:szCs w:val="18"/>
          <w:lang w:val="nl-NL"/>
        </w:rPr>
        <w:t>anderzijds</w:t>
      </w:r>
      <w:r w:rsidR="00533350" w:rsidRPr="000A48F3">
        <w:rPr>
          <w:szCs w:val="18"/>
          <w:lang w:val="nl-NL"/>
        </w:rPr>
        <w:t xml:space="preserve"> onachtzaamheid m.b.t. de leeftijd.</w:t>
      </w:r>
      <w:r w:rsidR="00533350" w:rsidRPr="000B4AB2">
        <w:rPr>
          <w:rStyle w:val="FootnoteReference"/>
          <w:color w:val="000000" w:themeColor="text1"/>
          <w:szCs w:val="18"/>
          <w:lang w:val="nl-NL"/>
        </w:rPr>
        <w:footnoteReference w:id="281"/>
      </w:r>
      <w:r w:rsidR="00533350" w:rsidRPr="000A48F3">
        <w:rPr>
          <w:szCs w:val="18"/>
          <w:lang w:val="nl-NL"/>
        </w:rPr>
        <w:t xml:space="preserve"> </w:t>
      </w:r>
    </w:p>
    <w:p w14:paraId="1C1C747D" w14:textId="77777777" w:rsidR="000A48F3" w:rsidRPr="00F840DF" w:rsidRDefault="000A48F3" w:rsidP="00260F11">
      <w:pPr>
        <w:spacing w:line="360" w:lineRule="auto"/>
        <w:rPr>
          <w:szCs w:val="18"/>
          <w:lang w:val="nl-NL"/>
        </w:rPr>
      </w:pPr>
    </w:p>
    <w:p w14:paraId="0891F5CF" w14:textId="79BC43B0" w:rsidR="0071226C" w:rsidRPr="00C734D8" w:rsidRDefault="000A48F3" w:rsidP="00260F11">
      <w:pPr>
        <w:pStyle w:val="ListParagraph"/>
        <w:numPr>
          <w:ilvl w:val="0"/>
          <w:numId w:val="1"/>
        </w:numPr>
        <w:spacing w:line="360" w:lineRule="auto"/>
        <w:ind w:left="0" w:hanging="709"/>
        <w:rPr>
          <w:color w:val="000000" w:themeColor="text1"/>
          <w:szCs w:val="18"/>
          <w:lang w:val="nl-NL"/>
        </w:rPr>
      </w:pPr>
      <w:r w:rsidRPr="000A48F3">
        <w:rPr>
          <w:b/>
          <w:szCs w:val="18"/>
          <w:lang w:val="nl-NL"/>
        </w:rPr>
        <w:t>Algemeen opzet</w:t>
      </w:r>
      <w:r>
        <w:rPr>
          <w:szCs w:val="18"/>
          <w:lang w:val="nl-NL"/>
        </w:rPr>
        <w:t xml:space="preserve">? </w:t>
      </w:r>
      <w:r w:rsidR="005C5DFC" w:rsidRPr="000A48F3">
        <w:rPr>
          <w:szCs w:val="18"/>
          <w:lang w:val="nl-NL"/>
        </w:rPr>
        <w:t>De meerderheidsvisie stel</w:t>
      </w:r>
      <w:r w:rsidR="00111FD5" w:rsidRPr="000A48F3">
        <w:rPr>
          <w:szCs w:val="18"/>
          <w:lang w:val="nl-NL"/>
        </w:rPr>
        <w:t>de</w:t>
      </w:r>
      <w:r w:rsidR="005C5DFC" w:rsidRPr="000A48F3">
        <w:rPr>
          <w:szCs w:val="18"/>
          <w:lang w:val="nl-NL"/>
        </w:rPr>
        <w:t xml:space="preserve"> </w:t>
      </w:r>
      <w:r w:rsidR="00934646" w:rsidRPr="000A48F3">
        <w:rPr>
          <w:szCs w:val="18"/>
          <w:lang w:val="nl-NL"/>
        </w:rPr>
        <w:t xml:space="preserve">evenwel </w:t>
      </w:r>
      <w:r w:rsidR="005C5DFC" w:rsidRPr="000A48F3">
        <w:rPr>
          <w:szCs w:val="18"/>
          <w:lang w:val="nl-NL"/>
        </w:rPr>
        <w:t xml:space="preserve">dat voor verkrachting een algemeen opzet vereist </w:t>
      </w:r>
      <w:r w:rsidR="00111FD5" w:rsidRPr="000A48F3">
        <w:rPr>
          <w:szCs w:val="18"/>
          <w:lang w:val="nl-NL"/>
        </w:rPr>
        <w:t>was</w:t>
      </w:r>
      <w:r w:rsidR="005C5DFC" w:rsidRPr="000A48F3">
        <w:rPr>
          <w:szCs w:val="18"/>
          <w:lang w:val="nl-NL"/>
        </w:rPr>
        <w:t xml:space="preserve"> </w:t>
      </w:r>
      <w:r w:rsidR="00DE320D">
        <w:rPr>
          <w:szCs w:val="18"/>
          <w:lang w:val="nl-NL"/>
        </w:rPr>
        <w:t>m.b.t.</w:t>
      </w:r>
      <w:r w:rsidR="005C5DFC" w:rsidRPr="000A48F3">
        <w:rPr>
          <w:szCs w:val="18"/>
          <w:lang w:val="nl-NL"/>
        </w:rPr>
        <w:t xml:space="preserve"> elk constitutief bestanddeel en bijgevolg ook voor wat betreft de leeftijd van het slachtoffer. Vervolgens </w:t>
      </w:r>
      <w:r w:rsidR="00111FD5" w:rsidRPr="000A48F3">
        <w:rPr>
          <w:szCs w:val="18"/>
          <w:lang w:val="nl-NL"/>
        </w:rPr>
        <w:t>haalden</w:t>
      </w:r>
      <w:r w:rsidR="005C5DFC" w:rsidRPr="000A48F3">
        <w:rPr>
          <w:szCs w:val="18"/>
          <w:lang w:val="nl-NL"/>
        </w:rPr>
        <w:t xml:space="preserve"> deze auteurs aan dat indien wordt gesteld dat de dader niet op de hoogte was van de leeftijd van het slachtoffer, dit een onoverkomelijke dwaling in hoofde van de dader moe</w:t>
      </w:r>
      <w:r w:rsidR="00111FD5" w:rsidRPr="000A48F3">
        <w:rPr>
          <w:szCs w:val="18"/>
          <w:lang w:val="nl-NL"/>
        </w:rPr>
        <w:t>s</w:t>
      </w:r>
      <w:r w:rsidR="005C5DFC" w:rsidRPr="000A48F3">
        <w:rPr>
          <w:szCs w:val="18"/>
          <w:lang w:val="nl-NL"/>
        </w:rPr>
        <w:t xml:space="preserve">t uitmaken. </w:t>
      </w:r>
      <w:r w:rsidR="00934646" w:rsidRPr="000A48F3">
        <w:rPr>
          <w:szCs w:val="18"/>
          <w:lang w:val="nl-NL"/>
        </w:rPr>
        <w:t xml:space="preserve">Of een dwaling al dan niet onoverkomelijk </w:t>
      </w:r>
      <w:r w:rsidR="00111FD5" w:rsidRPr="000A48F3">
        <w:rPr>
          <w:szCs w:val="18"/>
          <w:lang w:val="nl-NL"/>
        </w:rPr>
        <w:t>was</w:t>
      </w:r>
      <w:r w:rsidR="00934646" w:rsidRPr="000A48F3">
        <w:rPr>
          <w:szCs w:val="18"/>
          <w:lang w:val="nl-NL"/>
        </w:rPr>
        <w:t xml:space="preserve">, </w:t>
      </w:r>
      <w:r w:rsidR="00111FD5" w:rsidRPr="000A48F3">
        <w:rPr>
          <w:szCs w:val="18"/>
          <w:lang w:val="nl-NL"/>
        </w:rPr>
        <w:t>werd</w:t>
      </w:r>
      <w:r w:rsidR="00934646" w:rsidRPr="000A48F3">
        <w:rPr>
          <w:szCs w:val="18"/>
          <w:lang w:val="nl-NL"/>
        </w:rPr>
        <w:t xml:space="preserve"> eveneens beoordeeld </w:t>
      </w:r>
      <w:r w:rsidR="00C856AB" w:rsidRPr="000A48F3">
        <w:rPr>
          <w:szCs w:val="18"/>
          <w:lang w:val="nl-NL"/>
        </w:rPr>
        <w:t>a.d.h.v.</w:t>
      </w:r>
      <w:r w:rsidR="00934646" w:rsidRPr="000A48F3">
        <w:rPr>
          <w:szCs w:val="18"/>
          <w:lang w:val="nl-NL"/>
        </w:rPr>
        <w:t xml:space="preserve"> de vergelijking met een NVR-persoon.</w:t>
      </w:r>
      <w:r w:rsidR="00934646" w:rsidRPr="000B4AB2">
        <w:rPr>
          <w:rStyle w:val="FootnoteReference"/>
          <w:szCs w:val="18"/>
          <w:lang w:val="nl-NL"/>
        </w:rPr>
        <w:footnoteReference w:id="282"/>
      </w:r>
      <w:r w:rsidR="00934646" w:rsidRPr="000A48F3">
        <w:rPr>
          <w:szCs w:val="18"/>
          <w:lang w:val="nl-NL"/>
        </w:rPr>
        <w:t xml:space="preserve"> Als die NVR-persoon ook zou hebben gedwaald, </w:t>
      </w:r>
      <w:r w:rsidR="00111FD5" w:rsidRPr="000A48F3">
        <w:rPr>
          <w:szCs w:val="18"/>
          <w:lang w:val="nl-NL"/>
        </w:rPr>
        <w:t>zou</w:t>
      </w:r>
      <w:r w:rsidR="00934646" w:rsidRPr="000A48F3">
        <w:rPr>
          <w:szCs w:val="18"/>
          <w:lang w:val="nl-NL"/>
        </w:rPr>
        <w:t xml:space="preserve"> dit tot schulduitsluiting leiden</w:t>
      </w:r>
      <w:r w:rsidR="00533350" w:rsidRPr="000A48F3">
        <w:rPr>
          <w:szCs w:val="18"/>
          <w:lang w:val="nl-NL"/>
        </w:rPr>
        <w:t>.</w:t>
      </w:r>
      <w:r w:rsidR="00533350" w:rsidRPr="000B4AB2">
        <w:rPr>
          <w:rStyle w:val="FootnoteReference"/>
          <w:color w:val="000000" w:themeColor="text1"/>
          <w:szCs w:val="18"/>
          <w:lang w:val="nl-NL"/>
        </w:rPr>
        <w:footnoteReference w:id="283"/>
      </w:r>
      <w:r w:rsidR="007866C1" w:rsidRPr="000A48F3">
        <w:rPr>
          <w:szCs w:val="18"/>
          <w:lang w:val="nl-NL"/>
        </w:rPr>
        <w:t xml:space="preserve"> </w:t>
      </w:r>
    </w:p>
    <w:p w14:paraId="467DAADA" w14:textId="77777777" w:rsidR="00C734D8" w:rsidRPr="00C734D8" w:rsidRDefault="00C734D8" w:rsidP="00260F11">
      <w:pPr>
        <w:pStyle w:val="ListParagraph"/>
        <w:spacing w:line="360" w:lineRule="auto"/>
        <w:ind w:left="0"/>
        <w:rPr>
          <w:color w:val="000000" w:themeColor="text1"/>
          <w:szCs w:val="18"/>
          <w:lang w:val="nl-NL"/>
        </w:rPr>
      </w:pPr>
    </w:p>
    <w:p w14:paraId="70E988B5" w14:textId="70BE0CD2" w:rsidR="000A48F3" w:rsidRDefault="000A48F3" w:rsidP="00260F11">
      <w:pPr>
        <w:pStyle w:val="ListParagraph"/>
        <w:numPr>
          <w:ilvl w:val="0"/>
          <w:numId w:val="1"/>
        </w:numPr>
        <w:spacing w:line="360" w:lineRule="auto"/>
        <w:ind w:left="0" w:hanging="709"/>
        <w:rPr>
          <w:color w:val="000000" w:themeColor="text1"/>
          <w:szCs w:val="18"/>
          <w:lang w:val="nl-NL"/>
        </w:rPr>
      </w:pPr>
      <w:r w:rsidRPr="000A48F3">
        <w:rPr>
          <w:b/>
          <w:szCs w:val="18"/>
          <w:lang w:val="nl-NL"/>
        </w:rPr>
        <w:lastRenderedPageBreak/>
        <w:t>Gevolg discussie</w:t>
      </w:r>
      <w:r w:rsidRPr="000B4AB2">
        <w:rPr>
          <w:szCs w:val="18"/>
          <w:lang w:val="nl-NL"/>
        </w:rPr>
        <w:t xml:space="preserve">. In beide visies werd de houding van de dader </w:t>
      </w:r>
      <w:r>
        <w:rPr>
          <w:szCs w:val="18"/>
          <w:lang w:val="nl-NL"/>
        </w:rPr>
        <w:t>m.b.t.</w:t>
      </w:r>
      <w:r w:rsidRPr="000B4AB2">
        <w:rPr>
          <w:szCs w:val="18"/>
          <w:lang w:val="nl-NL"/>
        </w:rPr>
        <w:t xml:space="preserve"> de leeftijd van het slachtoffer vergeleken met een NVR-persoon.</w:t>
      </w:r>
      <w:r w:rsidRPr="00054C92">
        <w:rPr>
          <w:color w:val="000000" w:themeColor="text1"/>
          <w:szCs w:val="18"/>
          <w:lang w:val="nl-NL"/>
        </w:rPr>
        <w:t xml:space="preserve"> Dit laatste bleek evenwel streng te worden beoordeeld in de rechtspraak</w:t>
      </w:r>
      <w:r w:rsidRPr="00054C92">
        <w:rPr>
          <w:szCs w:val="18"/>
          <w:lang w:val="nl-NL"/>
        </w:rPr>
        <w:t>.</w:t>
      </w:r>
      <w:r w:rsidRPr="000B4AB2">
        <w:rPr>
          <w:rStyle w:val="FootnoteReference"/>
          <w:szCs w:val="18"/>
          <w:lang w:val="nl-NL"/>
        </w:rPr>
        <w:footnoteReference w:id="284"/>
      </w:r>
      <w:r w:rsidRPr="000B4AB2">
        <w:rPr>
          <w:szCs w:val="18"/>
          <w:lang w:val="nl-NL"/>
        </w:rPr>
        <w:t xml:space="preserve"> </w:t>
      </w:r>
      <w:r>
        <w:rPr>
          <w:color w:val="000000" w:themeColor="text1"/>
          <w:szCs w:val="18"/>
          <w:lang w:val="nl-NL"/>
        </w:rPr>
        <w:t>Het voorgaande betreft aldus een “louter” academische discussie</w:t>
      </w:r>
      <w:r w:rsidRPr="00054C92">
        <w:rPr>
          <w:color w:val="000000" w:themeColor="text1"/>
          <w:szCs w:val="18"/>
          <w:lang w:val="nl-NL"/>
        </w:rPr>
        <w:t xml:space="preserve">. </w:t>
      </w:r>
    </w:p>
    <w:p w14:paraId="45FECF65" w14:textId="77777777" w:rsidR="00D420CC" w:rsidRPr="00E17C29" w:rsidRDefault="00D420CC" w:rsidP="00260F11">
      <w:pPr>
        <w:pStyle w:val="ListParagraph"/>
        <w:spacing w:line="360" w:lineRule="auto"/>
        <w:ind w:left="0"/>
        <w:rPr>
          <w:color w:val="000000" w:themeColor="text1"/>
          <w:szCs w:val="18"/>
          <w:lang w:val="nl-NL"/>
        </w:rPr>
      </w:pPr>
    </w:p>
    <w:p w14:paraId="1109DB01" w14:textId="0BB8B1D2" w:rsidR="003C0010" w:rsidRPr="000B4AB2" w:rsidRDefault="003C0010" w:rsidP="00260F11">
      <w:pPr>
        <w:pStyle w:val="Heading5"/>
        <w:spacing w:line="360" w:lineRule="auto"/>
        <w:rPr>
          <w:lang w:val="nl-NL"/>
        </w:rPr>
      </w:pPr>
      <w:bookmarkStart w:id="30" w:name="_Toc135041061"/>
      <w:r w:rsidRPr="000B4AB2">
        <w:rPr>
          <w:lang w:val="nl-NL"/>
        </w:rPr>
        <w:t>Pijnpunten van de strafbaarstelling</w:t>
      </w:r>
      <w:bookmarkEnd w:id="30"/>
    </w:p>
    <w:p w14:paraId="76A30019" w14:textId="77777777" w:rsidR="00A929E3" w:rsidRDefault="00A929E3" w:rsidP="00260F11">
      <w:pPr>
        <w:pStyle w:val="ListParagraph"/>
        <w:spacing w:line="360" w:lineRule="auto"/>
        <w:ind w:left="0"/>
        <w:rPr>
          <w:color w:val="000000" w:themeColor="text1"/>
          <w:szCs w:val="18"/>
          <w:lang w:val="nl-NL"/>
        </w:rPr>
      </w:pPr>
    </w:p>
    <w:p w14:paraId="62232FB3" w14:textId="6341DD4B" w:rsidR="00A929E3" w:rsidRPr="0078547B" w:rsidRDefault="00376C61"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A.d.h.v.</w:t>
      </w:r>
      <w:r w:rsidR="00A929E3" w:rsidRPr="000B4AB2">
        <w:rPr>
          <w:color w:val="000000" w:themeColor="text1"/>
          <w:szCs w:val="18"/>
          <w:lang w:val="nl-NL"/>
        </w:rPr>
        <w:t xml:space="preserve"> </w:t>
      </w:r>
      <w:r w:rsidR="00DE320D">
        <w:rPr>
          <w:color w:val="000000" w:themeColor="text1"/>
          <w:szCs w:val="18"/>
          <w:lang w:val="nl-NL"/>
        </w:rPr>
        <w:t>het voorgaande</w:t>
      </w:r>
      <w:r w:rsidR="00A929E3" w:rsidRPr="000B4AB2">
        <w:rPr>
          <w:color w:val="000000" w:themeColor="text1"/>
          <w:szCs w:val="18"/>
          <w:lang w:val="nl-NL"/>
        </w:rPr>
        <w:t xml:space="preserve"> kunnen een aantal pijnpunten </w:t>
      </w:r>
      <w:r w:rsidR="008540F1">
        <w:rPr>
          <w:color w:val="000000" w:themeColor="text1"/>
          <w:szCs w:val="18"/>
          <w:lang w:val="nl-NL"/>
        </w:rPr>
        <w:t>van</w:t>
      </w:r>
      <w:r w:rsidR="00DE320D">
        <w:rPr>
          <w:color w:val="000000" w:themeColor="text1"/>
          <w:szCs w:val="18"/>
          <w:lang w:val="nl-NL"/>
        </w:rPr>
        <w:t xml:space="preserve"> de oude strafbaarstelling van verkrachting</w:t>
      </w:r>
      <w:r w:rsidR="00A929E3" w:rsidRPr="000B4AB2">
        <w:rPr>
          <w:color w:val="000000" w:themeColor="text1"/>
          <w:szCs w:val="18"/>
          <w:lang w:val="nl-NL"/>
        </w:rPr>
        <w:t xml:space="preserve"> worden geïdentificeerd. Deze zullen in wat volgt nader worden geduid</w:t>
      </w:r>
      <w:r w:rsidR="00A929E3">
        <w:rPr>
          <w:color w:val="000000" w:themeColor="text1"/>
          <w:szCs w:val="18"/>
          <w:lang w:val="nl-NL"/>
        </w:rPr>
        <w:t xml:space="preserve"> en vormen een deelantwoord op </w:t>
      </w:r>
      <w:r w:rsidR="00FE59A7">
        <w:rPr>
          <w:color w:val="000000" w:themeColor="text1"/>
          <w:szCs w:val="18"/>
          <w:lang w:val="nl-NL"/>
        </w:rPr>
        <w:t xml:space="preserve">de </w:t>
      </w:r>
      <w:r w:rsidR="00A929E3">
        <w:rPr>
          <w:color w:val="000000" w:themeColor="text1"/>
          <w:szCs w:val="18"/>
          <w:lang w:val="nl-NL"/>
        </w:rPr>
        <w:t>tweede subonderzoeksvraag</w:t>
      </w:r>
      <w:r w:rsidR="00DD6B2E">
        <w:rPr>
          <w:color w:val="000000" w:themeColor="text1"/>
          <w:szCs w:val="18"/>
          <w:lang w:val="nl-NL"/>
        </w:rPr>
        <w:t>.</w:t>
      </w:r>
      <w:r w:rsidR="00DD6B2E">
        <w:rPr>
          <w:rStyle w:val="FootnoteReference"/>
          <w:color w:val="000000" w:themeColor="text1"/>
          <w:szCs w:val="18"/>
          <w:lang w:val="nl-NL"/>
        </w:rPr>
        <w:footnoteReference w:id="285"/>
      </w:r>
      <w:r w:rsidR="00A929E3">
        <w:rPr>
          <w:color w:val="000000" w:themeColor="text1"/>
          <w:szCs w:val="18"/>
          <w:lang w:val="nl-NL"/>
        </w:rPr>
        <w:t xml:space="preserve"> </w:t>
      </w:r>
      <w:r w:rsidR="0078547B">
        <w:rPr>
          <w:color w:val="000000" w:themeColor="text1"/>
          <w:szCs w:val="18"/>
          <w:lang w:val="nl-NL"/>
        </w:rPr>
        <w:t xml:space="preserve">A.d.h.v. deze pijnpunten kan verderop in deze masterscriptie tot een </w:t>
      </w:r>
      <w:r w:rsidR="00DE320D" w:rsidRPr="0078547B">
        <w:rPr>
          <w:szCs w:val="18"/>
          <w:lang w:val="nl-NL"/>
        </w:rPr>
        <w:t>meer onderbouwde</w:t>
      </w:r>
      <w:r w:rsidR="00A929E3" w:rsidRPr="0078547B">
        <w:rPr>
          <w:szCs w:val="18"/>
          <w:lang w:val="nl-NL"/>
        </w:rPr>
        <w:t xml:space="preserve"> evaluatie van de huidige strafbaarstelling </w:t>
      </w:r>
      <w:r w:rsidR="0078547B">
        <w:rPr>
          <w:szCs w:val="18"/>
          <w:lang w:val="nl-NL"/>
        </w:rPr>
        <w:t>worden ge</w:t>
      </w:r>
      <w:r w:rsidR="00A929E3" w:rsidRPr="0078547B">
        <w:rPr>
          <w:szCs w:val="18"/>
          <w:lang w:val="nl-NL"/>
        </w:rPr>
        <w:t>komen.</w:t>
      </w:r>
    </w:p>
    <w:p w14:paraId="76E3DFF7" w14:textId="77777777" w:rsidR="00705B2D" w:rsidRPr="000B4AB2" w:rsidRDefault="00705B2D" w:rsidP="00260F11">
      <w:pPr>
        <w:pStyle w:val="ListParagraph"/>
        <w:spacing w:line="360" w:lineRule="auto"/>
        <w:ind w:left="0"/>
        <w:rPr>
          <w:color w:val="000000" w:themeColor="text1"/>
          <w:szCs w:val="18"/>
          <w:lang w:val="nl-NL"/>
        </w:rPr>
      </w:pPr>
    </w:p>
    <w:p w14:paraId="5DBD27AE" w14:textId="77777777" w:rsidR="00F57D25" w:rsidRDefault="00DE320D"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Eerste pijnpunt – seksue</w:t>
      </w:r>
      <w:r w:rsidR="003F7AA3">
        <w:rPr>
          <w:b/>
          <w:color w:val="000000" w:themeColor="text1"/>
          <w:szCs w:val="18"/>
          <w:lang w:val="nl-NL"/>
        </w:rPr>
        <w:t>el karakter</w:t>
      </w:r>
      <w:r w:rsidR="00705B2D" w:rsidRPr="008540F1">
        <w:rPr>
          <w:color w:val="000000" w:themeColor="text1"/>
          <w:szCs w:val="18"/>
          <w:lang w:val="nl-NL"/>
        </w:rPr>
        <w:t xml:space="preserve">. </w:t>
      </w:r>
      <w:r w:rsidR="002C42FD">
        <w:rPr>
          <w:color w:val="000000" w:themeColor="text1"/>
          <w:szCs w:val="18"/>
          <w:lang w:val="nl-NL"/>
        </w:rPr>
        <w:t>Binnen</w:t>
      </w:r>
      <w:r w:rsidR="002C42FD" w:rsidRPr="008540F1">
        <w:rPr>
          <w:color w:val="000000" w:themeColor="text1"/>
          <w:szCs w:val="18"/>
          <w:lang w:val="nl-NL"/>
        </w:rPr>
        <w:t xml:space="preserve"> de rechtsleer </w:t>
      </w:r>
      <w:r w:rsidR="002C42FD">
        <w:rPr>
          <w:color w:val="000000" w:themeColor="text1"/>
          <w:szCs w:val="18"/>
          <w:lang w:val="nl-NL"/>
        </w:rPr>
        <w:t xml:space="preserve">heerste discussie </w:t>
      </w:r>
      <w:r w:rsidR="002C42FD" w:rsidRPr="008540F1">
        <w:rPr>
          <w:color w:val="000000" w:themeColor="text1"/>
          <w:szCs w:val="18"/>
          <w:lang w:val="nl-NL"/>
        </w:rPr>
        <w:t>of naast een objectief element tevens een subjectief element vervuld diende te zijn opdat sprake kon zijn van een seksuele penetratie</w:t>
      </w:r>
      <w:r w:rsidR="002C42FD">
        <w:rPr>
          <w:color w:val="000000" w:themeColor="text1"/>
          <w:szCs w:val="18"/>
          <w:lang w:val="nl-NL"/>
        </w:rPr>
        <w:t>.</w:t>
      </w:r>
      <w:r w:rsidR="002C42FD" w:rsidRPr="008540F1">
        <w:rPr>
          <w:color w:val="000000" w:themeColor="text1"/>
          <w:szCs w:val="18"/>
          <w:lang w:val="nl-NL"/>
        </w:rPr>
        <w:t xml:space="preserve"> </w:t>
      </w:r>
      <w:r w:rsidR="002C42FD">
        <w:rPr>
          <w:color w:val="000000" w:themeColor="text1"/>
          <w:szCs w:val="18"/>
          <w:lang w:val="nl-NL"/>
        </w:rPr>
        <w:t xml:space="preserve">Aldus </w:t>
      </w:r>
      <w:r w:rsidR="002C42FD" w:rsidRPr="008540F1">
        <w:rPr>
          <w:color w:val="000000" w:themeColor="text1"/>
          <w:szCs w:val="18"/>
          <w:lang w:val="nl-NL"/>
        </w:rPr>
        <w:t>was de concrete betekenis van het vereiste “seksueel” karakter van de penetratie niet geheel duidelijk.</w:t>
      </w:r>
      <w:r w:rsidR="00311131">
        <w:rPr>
          <w:rStyle w:val="FootnoteReference"/>
          <w:rFonts w:eastAsiaTheme="majorEastAsia"/>
          <w:color w:val="000000" w:themeColor="text1"/>
          <w:szCs w:val="18"/>
          <w:lang w:val="nl-NL"/>
        </w:rPr>
        <w:footnoteReference w:id="286"/>
      </w:r>
    </w:p>
    <w:p w14:paraId="3CA82FBA" w14:textId="77777777" w:rsidR="00F57D25" w:rsidRPr="00F57D25" w:rsidRDefault="00F57D25" w:rsidP="00260F11">
      <w:pPr>
        <w:pStyle w:val="ListParagraph"/>
        <w:spacing w:line="360" w:lineRule="auto"/>
        <w:rPr>
          <w:color w:val="000000" w:themeColor="text1"/>
          <w:szCs w:val="18"/>
          <w:lang w:val="nl-NL"/>
        </w:rPr>
      </w:pPr>
    </w:p>
    <w:p w14:paraId="76F51200" w14:textId="1574D040" w:rsidR="002C42FD" w:rsidRPr="00F57D25" w:rsidRDefault="002C42FD" w:rsidP="00260F11">
      <w:pPr>
        <w:pStyle w:val="ListParagraph"/>
        <w:numPr>
          <w:ilvl w:val="0"/>
          <w:numId w:val="1"/>
        </w:numPr>
        <w:spacing w:line="360" w:lineRule="auto"/>
        <w:ind w:left="0" w:hanging="709"/>
        <w:rPr>
          <w:color w:val="000000" w:themeColor="text1"/>
          <w:szCs w:val="18"/>
          <w:lang w:val="nl-NL"/>
        </w:rPr>
      </w:pPr>
      <w:r w:rsidRPr="00F57D25">
        <w:rPr>
          <w:color w:val="000000" w:themeColor="text1"/>
          <w:szCs w:val="18"/>
          <w:lang w:val="nl-NL"/>
        </w:rPr>
        <w:t>Gelet op het reeds</w:t>
      </w:r>
      <w:r w:rsidR="00BE2545">
        <w:rPr>
          <w:color w:val="000000" w:themeColor="text1"/>
          <w:szCs w:val="18"/>
          <w:lang w:val="nl-NL"/>
        </w:rPr>
        <w:t xml:space="preserve"> eerder</w:t>
      </w:r>
      <w:r w:rsidRPr="00F57D25">
        <w:rPr>
          <w:color w:val="000000" w:themeColor="text1"/>
          <w:szCs w:val="18"/>
          <w:lang w:val="nl-NL"/>
        </w:rPr>
        <w:t xml:space="preserve"> geciteerd arrest van het </w:t>
      </w:r>
      <w:r w:rsidR="004F6F55">
        <w:rPr>
          <w:color w:val="000000" w:themeColor="text1"/>
          <w:szCs w:val="18"/>
          <w:lang w:val="nl-NL"/>
        </w:rPr>
        <w:t>Hof van Cassatie</w:t>
      </w:r>
      <w:r w:rsidR="004F6F55">
        <w:rPr>
          <w:rFonts w:eastAsiaTheme="majorEastAsia"/>
          <w:color w:val="000000" w:themeColor="text1"/>
          <w:szCs w:val="18"/>
          <w:lang w:val="nl-NL"/>
        </w:rPr>
        <w:t xml:space="preserve"> </w:t>
      </w:r>
      <w:r w:rsidR="006F41E1">
        <w:rPr>
          <w:color w:val="000000" w:themeColor="text1"/>
          <w:szCs w:val="18"/>
          <w:lang w:val="nl-NL"/>
        </w:rPr>
        <w:t xml:space="preserve">- </w:t>
      </w:r>
      <w:r w:rsidRPr="00F57D25">
        <w:rPr>
          <w:color w:val="000000" w:themeColor="text1"/>
          <w:szCs w:val="18"/>
          <w:lang w:val="nl-NL"/>
        </w:rPr>
        <w:t xml:space="preserve">op basis waarvan de rechter die vaststelt dat </w:t>
      </w:r>
      <w:r w:rsidR="001C3F57" w:rsidRPr="00F57D25">
        <w:rPr>
          <w:color w:val="000000" w:themeColor="text1"/>
          <w:szCs w:val="18"/>
          <w:lang w:val="nl-NL"/>
        </w:rPr>
        <w:t>een</w:t>
      </w:r>
      <w:r w:rsidRPr="00F57D25">
        <w:rPr>
          <w:color w:val="000000" w:themeColor="text1"/>
          <w:szCs w:val="18"/>
          <w:lang w:val="nl-NL"/>
        </w:rPr>
        <w:t xml:space="preserve"> seksue</w:t>
      </w:r>
      <w:r w:rsidR="001C3F57" w:rsidRPr="00F57D25">
        <w:rPr>
          <w:color w:val="000000" w:themeColor="text1"/>
          <w:szCs w:val="18"/>
          <w:lang w:val="nl-NL"/>
        </w:rPr>
        <w:t xml:space="preserve">le penetratie </w:t>
      </w:r>
      <w:r w:rsidRPr="00F57D25">
        <w:rPr>
          <w:color w:val="000000" w:themeColor="text1"/>
          <w:szCs w:val="18"/>
          <w:lang w:val="nl-NL"/>
        </w:rPr>
        <w:t>voorhanden is</w:t>
      </w:r>
      <w:r w:rsidR="004F6F55">
        <w:rPr>
          <w:color w:val="000000" w:themeColor="text1"/>
          <w:szCs w:val="18"/>
          <w:lang w:val="nl-NL"/>
        </w:rPr>
        <w:t>,</w:t>
      </w:r>
      <w:r w:rsidRPr="00F57D25">
        <w:rPr>
          <w:color w:val="000000" w:themeColor="text1"/>
          <w:szCs w:val="18"/>
          <w:lang w:val="nl-NL"/>
        </w:rPr>
        <w:t xml:space="preserve"> daarbij niet</w:t>
      </w:r>
      <w:r w:rsidR="00E5449F">
        <w:rPr>
          <w:color w:val="000000" w:themeColor="text1"/>
          <w:szCs w:val="18"/>
          <w:lang w:val="nl-NL"/>
        </w:rPr>
        <w:t xml:space="preserve"> </w:t>
      </w:r>
      <w:r w:rsidRPr="00F57D25">
        <w:rPr>
          <w:color w:val="000000" w:themeColor="text1"/>
          <w:szCs w:val="18"/>
          <w:lang w:val="nl-NL"/>
        </w:rPr>
        <w:t>uitdrukkelijk dient vast te stellen dat een objectieve dan wel subjectieve component aanwezig was</w:t>
      </w:r>
      <w:r w:rsidR="006F41E1">
        <w:rPr>
          <w:color w:val="000000" w:themeColor="text1"/>
          <w:szCs w:val="18"/>
          <w:lang w:val="nl-NL"/>
        </w:rPr>
        <w:t xml:space="preserve"> -</w:t>
      </w:r>
      <w:r w:rsidRPr="00F57D25">
        <w:rPr>
          <w:color w:val="000000" w:themeColor="text1"/>
          <w:szCs w:val="18"/>
          <w:lang w:val="nl-NL"/>
        </w:rPr>
        <w:t xml:space="preserve"> verloor deze discussie enigszins aan belang.</w:t>
      </w:r>
      <w:r w:rsidR="004F6F55">
        <w:rPr>
          <w:rStyle w:val="FootnoteReference"/>
          <w:rFonts w:eastAsiaTheme="majorEastAsia"/>
          <w:color w:val="000000" w:themeColor="text1"/>
          <w:szCs w:val="18"/>
          <w:lang w:val="nl-NL"/>
        </w:rPr>
        <w:footnoteReference w:id="287"/>
      </w:r>
      <w:r w:rsidRPr="00F57D25">
        <w:rPr>
          <w:color w:val="000000" w:themeColor="text1"/>
          <w:szCs w:val="18"/>
          <w:lang w:val="nl-NL"/>
        </w:rPr>
        <w:t xml:space="preserve"> Desalniettemin heerste voor juristen en bijgevolg zeker voor rechtsonderhorigen onduidelijkheid m.b.t. de concrete inhoud van de vereiste van het seksueel karakter van een penetratie. Dit had m.i. dan ook een negatieve impact op de rechtszekerheid. </w:t>
      </w:r>
    </w:p>
    <w:p w14:paraId="32C081BD" w14:textId="77777777" w:rsidR="002C42FD" w:rsidRDefault="002C42FD" w:rsidP="00260F11">
      <w:pPr>
        <w:spacing w:line="360" w:lineRule="auto"/>
        <w:rPr>
          <w:color w:val="000000" w:themeColor="text1"/>
          <w:szCs w:val="18"/>
          <w:lang w:val="nl-NL"/>
        </w:rPr>
      </w:pPr>
    </w:p>
    <w:p w14:paraId="6BDEAF55" w14:textId="09E7EB5B" w:rsidR="009E230D" w:rsidRDefault="002C42FD" w:rsidP="00260F11">
      <w:pPr>
        <w:pStyle w:val="ListParagraph"/>
        <w:spacing w:line="360" w:lineRule="auto"/>
        <w:ind w:left="0"/>
        <w:rPr>
          <w:color w:val="000000" w:themeColor="text1"/>
          <w:szCs w:val="18"/>
          <w:lang w:val="nl-NL"/>
        </w:rPr>
      </w:pPr>
      <w:r>
        <w:rPr>
          <w:color w:val="000000" w:themeColor="text1"/>
          <w:szCs w:val="18"/>
          <w:lang w:val="nl-NL"/>
        </w:rPr>
        <w:t>Onder het oude</w:t>
      </w:r>
      <w:r w:rsidRPr="000B4AB2">
        <w:rPr>
          <w:color w:val="000000" w:themeColor="text1"/>
          <w:szCs w:val="18"/>
          <w:lang w:val="nl-NL"/>
        </w:rPr>
        <w:t xml:space="preserve"> recht </w:t>
      </w:r>
      <w:r>
        <w:rPr>
          <w:color w:val="000000" w:themeColor="text1"/>
          <w:szCs w:val="18"/>
          <w:lang w:val="nl-NL"/>
        </w:rPr>
        <w:t xml:space="preserve">was het bijgevolg </w:t>
      </w:r>
      <w:r w:rsidRPr="000B4AB2">
        <w:rPr>
          <w:color w:val="000000" w:themeColor="text1"/>
          <w:szCs w:val="18"/>
          <w:lang w:val="nl-NL"/>
        </w:rPr>
        <w:t xml:space="preserve">niet geheel duidelijk </w:t>
      </w:r>
      <w:r>
        <w:rPr>
          <w:color w:val="000000" w:themeColor="text1"/>
          <w:szCs w:val="18"/>
          <w:lang w:val="nl-NL"/>
        </w:rPr>
        <w:t>hoe</w:t>
      </w:r>
      <w:r w:rsidRPr="000B4AB2">
        <w:rPr>
          <w:color w:val="000000" w:themeColor="text1"/>
          <w:szCs w:val="18"/>
          <w:lang w:val="nl-NL"/>
        </w:rPr>
        <w:t xml:space="preserve"> het seksuele karakter van de penetratie diende te worden beoordeeld.</w:t>
      </w:r>
      <w:r w:rsidR="001570EB" w:rsidRPr="000B4AB2">
        <w:rPr>
          <w:color w:val="000000" w:themeColor="text1"/>
          <w:szCs w:val="18"/>
          <w:lang w:val="nl-NL"/>
        </w:rPr>
        <w:t xml:space="preserve"> </w:t>
      </w:r>
    </w:p>
    <w:p w14:paraId="1F01AC80" w14:textId="77777777" w:rsidR="00ED628E" w:rsidRPr="008540F1" w:rsidRDefault="00ED628E" w:rsidP="00260F11">
      <w:pPr>
        <w:spacing w:line="360" w:lineRule="auto"/>
        <w:rPr>
          <w:color w:val="000000" w:themeColor="text1"/>
          <w:szCs w:val="18"/>
          <w:lang w:val="nl-NL"/>
        </w:rPr>
      </w:pPr>
    </w:p>
    <w:p w14:paraId="556C330D" w14:textId="5EE57E6A" w:rsidR="00EE59D5" w:rsidRPr="006D0D2A" w:rsidRDefault="00DE320D"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Tweede pijnpunt - v</w:t>
      </w:r>
      <w:r w:rsidR="00AA402D" w:rsidRPr="006D0D2A">
        <w:rPr>
          <w:b/>
          <w:color w:val="000000" w:themeColor="text1"/>
          <w:szCs w:val="18"/>
          <w:lang w:val="nl-NL"/>
        </w:rPr>
        <w:t xml:space="preserve">an welke aard </w:t>
      </w:r>
      <w:r w:rsidR="000B4AB2" w:rsidRPr="006D0D2A">
        <w:rPr>
          <w:b/>
          <w:color w:val="000000" w:themeColor="text1"/>
          <w:szCs w:val="18"/>
          <w:lang w:val="nl-NL"/>
        </w:rPr>
        <w:t xml:space="preserve">en met welk middel </w:t>
      </w:r>
      <w:r w:rsidR="00AA402D" w:rsidRPr="006D0D2A">
        <w:rPr>
          <w:b/>
          <w:color w:val="000000" w:themeColor="text1"/>
          <w:szCs w:val="18"/>
          <w:lang w:val="nl-NL"/>
        </w:rPr>
        <w:t>ook</w:t>
      </w:r>
      <w:r w:rsidR="00AA402D" w:rsidRPr="006D0D2A">
        <w:rPr>
          <w:color w:val="000000" w:themeColor="text1"/>
          <w:szCs w:val="18"/>
          <w:lang w:val="nl-NL"/>
        </w:rPr>
        <w:t xml:space="preserve">. </w:t>
      </w:r>
      <w:r w:rsidR="00EE59D5" w:rsidRPr="006D0D2A">
        <w:rPr>
          <w:color w:val="000000" w:themeColor="text1"/>
          <w:szCs w:val="18"/>
          <w:lang w:val="nl-NL"/>
        </w:rPr>
        <w:t>De</w:t>
      </w:r>
      <w:r w:rsidR="00AA402D" w:rsidRPr="006D0D2A">
        <w:rPr>
          <w:color w:val="000000" w:themeColor="text1"/>
          <w:szCs w:val="18"/>
          <w:lang w:val="nl-NL"/>
        </w:rPr>
        <w:t xml:space="preserve"> vraag of</w:t>
      </w:r>
      <w:r w:rsidR="00EE59D5" w:rsidRPr="006D0D2A">
        <w:rPr>
          <w:color w:val="000000" w:themeColor="text1"/>
          <w:szCs w:val="18"/>
          <w:lang w:val="nl-NL"/>
        </w:rPr>
        <w:t xml:space="preserve"> naast</w:t>
      </w:r>
      <w:r w:rsidR="008F3ACE">
        <w:rPr>
          <w:color w:val="000000" w:themeColor="text1"/>
          <w:szCs w:val="18"/>
          <w:lang w:val="nl-NL"/>
        </w:rPr>
        <w:t xml:space="preserve"> vaginale, anale en orale</w:t>
      </w:r>
      <w:r w:rsidR="00EE59D5" w:rsidRPr="006D0D2A">
        <w:rPr>
          <w:color w:val="000000" w:themeColor="text1"/>
          <w:szCs w:val="18"/>
          <w:lang w:val="nl-NL"/>
        </w:rPr>
        <w:t xml:space="preserve"> penetraties,</w:t>
      </w:r>
      <w:r w:rsidR="00AA402D" w:rsidRPr="006D0D2A">
        <w:rPr>
          <w:color w:val="000000" w:themeColor="text1"/>
          <w:szCs w:val="18"/>
          <w:lang w:val="nl-NL"/>
        </w:rPr>
        <w:t xml:space="preserve"> ook </w:t>
      </w:r>
      <w:r w:rsidR="008F3ACE">
        <w:rPr>
          <w:color w:val="000000" w:themeColor="text1"/>
          <w:szCs w:val="18"/>
          <w:lang w:val="nl-NL"/>
        </w:rPr>
        <w:t xml:space="preserve">penetraties van </w:t>
      </w:r>
      <w:r w:rsidR="00AA402D" w:rsidRPr="006D0D2A">
        <w:rPr>
          <w:color w:val="000000" w:themeColor="text1"/>
          <w:szCs w:val="18"/>
          <w:lang w:val="nl-NL"/>
        </w:rPr>
        <w:t xml:space="preserve">andere </w:t>
      </w:r>
      <w:r w:rsidR="00EE59D5" w:rsidRPr="006D0D2A">
        <w:rPr>
          <w:color w:val="000000" w:themeColor="text1"/>
          <w:szCs w:val="18"/>
          <w:lang w:val="nl-NL"/>
        </w:rPr>
        <w:t>lichaamsholten</w:t>
      </w:r>
      <w:r w:rsidR="00AA402D" w:rsidRPr="006D0D2A">
        <w:rPr>
          <w:color w:val="000000" w:themeColor="text1"/>
          <w:szCs w:val="18"/>
          <w:lang w:val="nl-NL"/>
        </w:rPr>
        <w:t xml:space="preserve"> </w:t>
      </w:r>
      <w:r w:rsidR="008F3ACE">
        <w:rPr>
          <w:color w:val="000000" w:themeColor="text1"/>
          <w:szCs w:val="18"/>
          <w:lang w:val="nl-NL"/>
        </w:rPr>
        <w:t>kunnen worden gekwalificeerd als verkrachting</w:t>
      </w:r>
      <w:r w:rsidR="00EE59D5" w:rsidRPr="006D0D2A">
        <w:rPr>
          <w:color w:val="000000" w:themeColor="text1"/>
          <w:szCs w:val="18"/>
          <w:lang w:val="nl-NL"/>
        </w:rPr>
        <w:t>, werd</w:t>
      </w:r>
      <w:r w:rsidR="00AA402D" w:rsidRPr="006D0D2A">
        <w:rPr>
          <w:color w:val="000000" w:themeColor="text1"/>
          <w:szCs w:val="18"/>
          <w:lang w:val="nl-NL"/>
        </w:rPr>
        <w:t xml:space="preserve"> niet eenduidig beantwoord binnen de rechtsleer.</w:t>
      </w:r>
      <w:r w:rsidR="006D0D2A">
        <w:rPr>
          <w:rStyle w:val="FootnoteReference"/>
          <w:color w:val="000000" w:themeColor="text1"/>
          <w:szCs w:val="18"/>
          <w:lang w:val="nl-NL"/>
        </w:rPr>
        <w:footnoteReference w:id="288"/>
      </w:r>
      <w:r w:rsidR="00AA402D" w:rsidRPr="006D0D2A">
        <w:rPr>
          <w:color w:val="000000" w:themeColor="text1"/>
          <w:szCs w:val="18"/>
          <w:lang w:val="nl-NL"/>
        </w:rPr>
        <w:t xml:space="preserve"> </w:t>
      </w:r>
      <w:r w:rsidR="000E5A3D" w:rsidRPr="006D0D2A">
        <w:rPr>
          <w:color w:val="000000" w:themeColor="text1"/>
          <w:szCs w:val="18"/>
          <w:lang w:val="nl-NL"/>
        </w:rPr>
        <w:t xml:space="preserve">Zo verdedigde </w:t>
      </w:r>
      <w:r w:rsidR="00AA402D" w:rsidRPr="006D0D2A">
        <w:rPr>
          <w:color w:val="000000" w:themeColor="text1"/>
          <w:szCs w:val="18"/>
          <w:lang w:val="nl-NL"/>
        </w:rPr>
        <w:t xml:space="preserve">BASTYNS </w:t>
      </w:r>
      <w:r w:rsidR="00611ED0" w:rsidRPr="006D0D2A">
        <w:rPr>
          <w:color w:val="000000" w:themeColor="text1"/>
          <w:szCs w:val="18"/>
          <w:lang w:val="nl-NL"/>
        </w:rPr>
        <w:t>uitdrukkelijk</w:t>
      </w:r>
      <w:r w:rsidR="00EE59D5" w:rsidRPr="006D0D2A">
        <w:rPr>
          <w:color w:val="000000" w:themeColor="text1"/>
          <w:szCs w:val="18"/>
          <w:lang w:val="nl-NL"/>
        </w:rPr>
        <w:t xml:space="preserve"> dat</w:t>
      </w:r>
      <w:r w:rsidR="0001294C">
        <w:rPr>
          <w:color w:val="000000" w:themeColor="text1"/>
          <w:szCs w:val="18"/>
          <w:lang w:val="nl-NL"/>
        </w:rPr>
        <w:t xml:space="preserve"> </w:t>
      </w:r>
      <w:r w:rsidR="004D0D06">
        <w:rPr>
          <w:color w:val="000000" w:themeColor="text1"/>
          <w:szCs w:val="18"/>
          <w:lang w:val="nl-NL"/>
        </w:rPr>
        <w:t>dit</w:t>
      </w:r>
      <w:r w:rsidR="00EE59D5" w:rsidRPr="006D0D2A">
        <w:rPr>
          <w:color w:val="000000" w:themeColor="text1"/>
          <w:szCs w:val="18"/>
          <w:lang w:val="nl-NL"/>
        </w:rPr>
        <w:t xml:space="preserve"> </w:t>
      </w:r>
      <w:r w:rsidR="008F3ACE">
        <w:rPr>
          <w:color w:val="000000" w:themeColor="text1"/>
          <w:szCs w:val="18"/>
          <w:lang w:val="nl-NL"/>
        </w:rPr>
        <w:t>niet het geval was</w:t>
      </w:r>
      <w:r w:rsidR="00AA402D" w:rsidRPr="006D0D2A">
        <w:rPr>
          <w:color w:val="000000" w:themeColor="text1"/>
          <w:szCs w:val="18"/>
          <w:lang w:val="nl-NL"/>
        </w:rPr>
        <w:t>.</w:t>
      </w:r>
      <w:r w:rsidR="00AA402D" w:rsidRPr="006D0D2A">
        <w:rPr>
          <w:rStyle w:val="FootnoteReference"/>
          <w:color w:val="000000" w:themeColor="text1"/>
          <w:szCs w:val="18"/>
          <w:lang w:val="nl-NL"/>
        </w:rPr>
        <w:footnoteReference w:id="289"/>
      </w:r>
      <w:r w:rsidR="00AA402D" w:rsidRPr="006D0D2A">
        <w:rPr>
          <w:color w:val="000000" w:themeColor="text1"/>
          <w:szCs w:val="18"/>
          <w:lang w:val="nl-NL"/>
        </w:rPr>
        <w:t xml:space="preserve"> </w:t>
      </w:r>
      <w:r w:rsidR="00EE59D5" w:rsidRPr="006D0D2A">
        <w:rPr>
          <w:color w:val="000000" w:themeColor="text1"/>
          <w:szCs w:val="18"/>
          <w:lang w:val="nl-NL"/>
        </w:rPr>
        <w:t>Andere</w:t>
      </w:r>
      <w:r w:rsidR="00AA402D" w:rsidRPr="006D0D2A">
        <w:rPr>
          <w:color w:val="000000" w:themeColor="text1"/>
          <w:szCs w:val="18"/>
          <w:lang w:val="nl-NL"/>
        </w:rPr>
        <w:t xml:space="preserve"> auteurs beantwoord</w:t>
      </w:r>
      <w:r w:rsidR="00EE59D5" w:rsidRPr="006D0D2A">
        <w:rPr>
          <w:color w:val="000000" w:themeColor="text1"/>
          <w:szCs w:val="18"/>
          <w:lang w:val="nl-NL"/>
        </w:rPr>
        <w:t>d</w:t>
      </w:r>
      <w:r w:rsidR="00AA402D" w:rsidRPr="006D0D2A">
        <w:rPr>
          <w:color w:val="000000" w:themeColor="text1"/>
          <w:szCs w:val="18"/>
          <w:lang w:val="nl-NL"/>
        </w:rPr>
        <w:t xml:space="preserve">en deze vraag </w:t>
      </w:r>
      <w:r w:rsidR="00EE59D5" w:rsidRPr="006D0D2A">
        <w:rPr>
          <w:color w:val="000000" w:themeColor="text1"/>
          <w:szCs w:val="18"/>
          <w:lang w:val="nl-NL"/>
        </w:rPr>
        <w:t>niet</w:t>
      </w:r>
      <w:r w:rsidR="00AA402D" w:rsidRPr="006D0D2A">
        <w:rPr>
          <w:color w:val="000000" w:themeColor="text1"/>
          <w:szCs w:val="18"/>
          <w:lang w:val="nl-NL"/>
        </w:rPr>
        <w:t xml:space="preserve"> expliciet en g</w:t>
      </w:r>
      <w:r w:rsidR="00EE59D5" w:rsidRPr="006D0D2A">
        <w:rPr>
          <w:color w:val="000000" w:themeColor="text1"/>
          <w:szCs w:val="18"/>
          <w:lang w:val="nl-NL"/>
        </w:rPr>
        <w:t>a</w:t>
      </w:r>
      <w:r w:rsidR="00AA402D" w:rsidRPr="006D0D2A">
        <w:rPr>
          <w:color w:val="000000" w:themeColor="text1"/>
          <w:szCs w:val="18"/>
          <w:lang w:val="nl-NL"/>
        </w:rPr>
        <w:t>ven enkel deze drie voorbeelden.</w:t>
      </w:r>
      <w:r w:rsidR="00AA402D" w:rsidRPr="006D0D2A">
        <w:rPr>
          <w:rStyle w:val="FootnoteReference"/>
          <w:color w:val="000000" w:themeColor="text1"/>
          <w:szCs w:val="18"/>
          <w:lang w:val="nl-NL"/>
        </w:rPr>
        <w:footnoteReference w:id="290"/>
      </w:r>
      <w:r w:rsidR="00AA402D" w:rsidRPr="006D0D2A">
        <w:rPr>
          <w:color w:val="000000" w:themeColor="text1"/>
          <w:szCs w:val="18"/>
          <w:lang w:val="nl-NL"/>
        </w:rPr>
        <w:t xml:space="preserve"> </w:t>
      </w:r>
      <w:r w:rsidR="00704D51" w:rsidRPr="006D0D2A">
        <w:rPr>
          <w:color w:val="000000" w:themeColor="text1"/>
          <w:szCs w:val="18"/>
          <w:lang w:val="nl-NL"/>
        </w:rPr>
        <w:t>STEVENS stel</w:t>
      </w:r>
      <w:r w:rsidR="008F3ACE">
        <w:rPr>
          <w:color w:val="000000" w:themeColor="text1"/>
          <w:szCs w:val="18"/>
          <w:lang w:val="nl-NL"/>
        </w:rPr>
        <w:t>de</w:t>
      </w:r>
      <w:r w:rsidR="00704D51" w:rsidRPr="006D0D2A">
        <w:rPr>
          <w:color w:val="000000" w:themeColor="text1"/>
          <w:szCs w:val="18"/>
          <w:lang w:val="nl-NL"/>
        </w:rPr>
        <w:t xml:space="preserve"> dat eender welke lichaamsholte hiervoor </w:t>
      </w:r>
      <w:r w:rsidR="00704D51" w:rsidRPr="006D0D2A">
        <w:rPr>
          <w:color w:val="000000" w:themeColor="text1"/>
          <w:szCs w:val="18"/>
          <w:lang w:val="nl-NL"/>
        </w:rPr>
        <w:lastRenderedPageBreak/>
        <w:t>in aanmerking kan komen (met dien verstande dat voor de andere plaatsen dan de vagina en anus, de penetratie wel dient te gebeuren middels een penis).</w:t>
      </w:r>
      <w:r w:rsidR="00704D51" w:rsidRPr="006D0D2A">
        <w:rPr>
          <w:rStyle w:val="FootnoteReference"/>
          <w:color w:val="000000" w:themeColor="text1"/>
          <w:szCs w:val="18"/>
          <w:lang w:val="nl-NL"/>
        </w:rPr>
        <w:footnoteReference w:id="291"/>
      </w:r>
    </w:p>
    <w:p w14:paraId="32EF4F38" w14:textId="77777777" w:rsidR="00EE59D5" w:rsidRPr="00F840DF" w:rsidRDefault="00EE59D5" w:rsidP="00260F11">
      <w:pPr>
        <w:spacing w:line="360" w:lineRule="auto"/>
        <w:rPr>
          <w:color w:val="000000" w:themeColor="text1"/>
          <w:szCs w:val="18"/>
          <w:lang w:val="nl-NL"/>
        </w:rPr>
      </w:pPr>
    </w:p>
    <w:p w14:paraId="5C9F8FCB" w14:textId="08B11728" w:rsidR="00ED628E" w:rsidRPr="000B4AB2" w:rsidRDefault="00AA402D" w:rsidP="00260F11">
      <w:pPr>
        <w:pStyle w:val="ListParagraph"/>
        <w:spacing w:line="360" w:lineRule="auto"/>
        <w:ind w:left="0"/>
        <w:rPr>
          <w:color w:val="000000" w:themeColor="text1"/>
          <w:szCs w:val="18"/>
          <w:lang w:val="nl-NL"/>
        </w:rPr>
      </w:pPr>
      <w:r w:rsidRPr="002F69EA">
        <w:rPr>
          <w:color w:val="000000" w:themeColor="text1"/>
          <w:szCs w:val="18"/>
          <w:lang w:val="nl-NL"/>
        </w:rPr>
        <w:t xml:space="preserve">Uit de parlementaire voorbereidingen </w:t>
      </w:r>
      <w:r w:rsidR="00593CD4" w:rsidRPr="002F69EA">
        <w:rPr>
          <w:color w:val="000000" w:themeColor="text1"/>
          <w:szCs w:val="18"/>
          <w:lang w:val="nl-NL"/>
        </w:rPr>
        <w:t>bleek</w:t>
      </w:r>
      <w:r w:rsidRPr="002F69EA">
        <w:rPr>
          <w:color w:val="000000" w:themeColor="text1"/>
          <w:szCs w:val="18"/>
          <w:lang w:val="nl-NL"/>
        </w:rPr>
        <w:t xml:space="preserve"> </w:t>
      </w:r>
      <w:r w:rsidR="00082290">
        <w:rPr>
          <w:color w:val="000000" w:themeColor="text1"/>
          <w:szCs w:val="18"/>
          <w:lang w:val="nl-NL"/>
        </w:rPr>
        <w:t xml:space="preserve">dan weer </w:t>
      </w:r>
      <w:r w:rsidRPr="002F69EA">
        <w:rPr>
          <w:color w:val="000000" w:themeColor="text1"/>
          <w:szCs w:val="18"/>
          <w:lang w:val="nl-NL"/>
        </w:rPr>
        <w:t xml:space="preserve">de bedoeling </w:t>
      </w:r>
      <w:r w:rsidR="00593CD4" w:rsidRPr="002F69EA">
        <w:rPr>
          <w:color w:val="000000" w:themeColor="text1"/>
          <w:szCs w:val="18"/>
          <w:lang w:val="nl-NL"/>
        </w:rPr>
        <w:t>van de wetgever</w:t>
      </w:r>
      <w:r w:rsidRPr="002F69EA">
        <w:rPr>
          <w:color w:val="000000" w:themeColor="text1"/>
          <w:szCs w:val="18"/>
          <w:lang w:val="nl-NL"/>
        </w:rPr>
        <w:t xml:space="preserve"> om bepaalde zaken uit het toepassingsgebied te weren, zoals de opgedrongen tongzoen</w:t>
      </w:r>
      <w:r w:rsidR="005B02AB" w:rsidRPr="002F69EA">
        <w:rPr>
          <w:color w:val="000000" w:themeColor="text1"/>
          <w:szCs w:val="18"/>
          <w:lang w:val="nl-NL"/>
        </w:rPr>
        <w:t xml:space="preserve"> of het potlood dat wordt ingebracht in het oor</w:t>
      </w:r>
      <w:r w:rsidRPr="002F69EA">
        <w:rPr>
          <w:color w:val="000000" w:themeColor="text1"/>
          <w:szCs w:val="18"/>
          <w:lang w:val="nl-NL"/>
        </w:rPr>
        <w:t>. De reden die daarvoor werd aangehaald, was dat een penetratie immers een seksueel karakter moest hebben.</w:t>
      </w:r>
      <w:r w:rsidRPr="002F69EA">
        <w:rPr>
          <w:rStyle w:val="FootnoteReference"/>
          <w:color w:val="000000" w:themeColor="text1"/>
          <w:szCs w:val="18"/>
          <w:lang w:val="nl-NL"/>
        </w:rPr>
        <w:footnoteReference w:id="292"/>
      </w:r>
      <w:r w:rsidRPr="002F69EA">
        <w:rPr>
          <w:color w:val="000000" w:themeColor="text1"/>
          <w:szCs w:val="18"/>
          <w:lang w:val="nl-NL"/>
        </w:rPr>
        <w:t xml:space="preserve"> STEVENS</w:t>
      </w:r>
      <w:r w:rsidR="00593CD4" w:rsidRPr="002F69EA">
        <w:rPr>
          <w:color w:val="000000" w:themeColor="text1"/>
          <w:szCs w:val="18"/>
          <w:lang w:val="nl-NL"/>
        </w:rPr>
        <w:t xml:space="preserve"> bekritiseerde</w:t>
      </w:r>
      <w:r w:rsidRPr="002F69EA">
        <w:rPr>
          <w:color w:val="000000" w:themeColor="text1"/>
          <w:szCs w:val="18"/>
          <w:lang w:val="nl-NL"/>
        </w:rPr>
        <w:t xml:space="preserve"> deze </w:t>
      </w:r>
      <w:r w:rsidR="003F1E8A" w:rsidRPr="002F69EA">
        <w:rPr>
          <w:color w:val="000000" w:themeColor="text1"/>
          <w:szCs w:val="18"/>
          <w:lang w:val="nl-NL"/>
        </w:rPr>
        <w:t>argumentatie</w:t>
      </w:r>
      <w:r w:rsidR="00593CD4" w:rsidRPr="002F69EA">
        <w:rPr>
          <w:color w:val="000000" w:themeColor="text1"/>
          <w:szCs w:val="18"/>
          <w:lang w:val="nl-NL"/>
        </w:rPr>
        <w:t>, m.i. terecht,</w:t>
      </w:r>
      <w:r w:rsidRPr="002F69EA">
        <w:rPr>
          <w:color w:val="000000" w:themeColor="text1"/>
          <w:szCs w:val="18"/>
          <w:lang w:val="nl-NL"/>
        </w:rPr>
        <w:t xml:space="preserve"> omdat op die manier het seksueel karakter </w:t>
      </w:r>
      <w:r w:rsidR="003F1E8A" w:rsidRPr="002F69EA">
        <w:rPr>
          <w:color w:val="000000" w:themeColor="text1"/>
          <w:szCs w:val="18"/>
          <w:lang w:val="nl-NL"/>
        </w:rPr>
        <w:t>zou worden</w:t>
      </w:r>
      <w:r w:rsidRPr="002F69EA">
        <w:rPr>
          <w:color w:val="000000" w:themeColor="text1"/>
          <w:szCs w:val="18"/>
          <w:lang w:val="nl-NL"/>
        </w:rPr>
        <w:t xml:space="preserve"> ontnomen aan </w:t>
      </w:r>
      <w:r w:rsidR="003F1E8A" w:rsidRPr="002F69EA">
        <w:rPr>
          <w:color w:val="000000" w:themeColor="text1"/>
          <w:szCs w:val="18"/>
          <w:lang w:val="nl-NL"/>
        </w:rPr>
        <w:t xml:space="preserve">de handeling </w:t>
      </w:r>
      <w:r w:rsidR="003F1E8A" w:rsidRPr="002F69EA">
        <w:rPr>
          <w:i/>
          <w:color w:val="000000" w:themeColor="text1"/>
          <w:szCs w:val="18"/>
          <w:lang w:val="nl-NL"/>
        </w:rPr>
        <w:t>tout court</w:t>
      </w:r>
      <w:r w:rsidR="003F1E8A" w:rsidRPr="002F69EA">
        <w:rPr>
          <w:color w:val="000000" w:themeColor="text1"/>
          <w:szCs w:val="18"/>
          <w:lang w:val="nl-NL"/>
        </w:rPr>
        <w:t>,</w:t>
      </w:r>
      <w:r w:rsidRPr="002F69EA">
        <w:rPr>
          <w:color w:val="000000" w:themeColor="text1"/>
          <w:szCs w:val="18"/>
          <w:lang w:val="nl-NL"/>
        </w:rPr>
        <w:t xml:space="preserve"> die daardoor evenmin </w:t>
      </w:r>
      <w:r w:rsidR="003F1E8A" w:rsidRPr="002F69EA">
        <w:rPr>
          <w:color w:val="000000" w:themeColor="text1"/>
          <w:szCs w:val="18"/>
          <w:lang w:val="nl-NL"/>
        </w:rPr>
        <w:t xml:space="preserve">zou </w:t>
      </w:r>
      <w:r w:rsidRPr="002F69EA">
        <w:rPr>
          <w:color w:val="000000" w:themeColor="text1"/>
          <w:szCs w:val="18"/>
          <w:lang w:val="nl-NL"/>
        </w:rPr>
        <w:t>kunnen vallen onder de strafbaarstelling van aanranding van de eerbaarheid. STEVENS haal</w:t>
      </w:r>
      <w:r w:rsidR="00593CD4" w:rsidRPr="002F69EA">
        <w:rPr>
          <w:color w:val="000000" w:themeColor="text1"/>
          <w:szCs w:val="18"/>
          <w:lang w:val="nl-NL"/>
        </w:rPr>
        <w:t xml:space="preserve">de </w:t>
      </w:r>
      <w:r w:rsidRPr="002F69EA">
        <w:rPr>
          <w:color w:val="000000" w:themeColor="text1"/>
          <w:szCs w:val="18"/>
          <w:lang w:val="nl-NL"/>
        </w:rPr>
        <w:t>hierbij het voorbeeld aan waarin het Hof van Beroep oordeelde dat een opgedrongen tongkus noch verkrachting, noch aanranding van de eerbaarheid uitmaakte.</w:t>
      </w:r>
      <w:r w:rsidRPr="002F69EA">
        <w:rPr>
          <w:rStyle w:val="FootnoteReference"/>
          <w:color w:val="000000" w:themeColor="text1"/>
          <w:szCs w:val="18"/>
          <w:lang w:val="nl-NL"/>
        </w:rPr>
        <w:footnoteReference w:id="293"/>
      </w:r>
    </w:p>
    <w:p w14:paraId="4C6DBF13" w14:textId="29482388" w:rsidR="00B96BFC" w:rsidRPr="000B4AB2" w:rsidRDefault="00B96BFC" w:rsidP="00260F11">
      <w:pPr>
        <w:pStyle w:val="ListParagraph"/>
        <w:spacing w:line="360" w:lineRule="auto"/>
        <w:ind w:left="0"/>
        <w:rPr>
          <w:color w:val="000000" w:themeColor="text1"/>
          <w:szCs w:val="18"/>
          <w:lang w:val="nl-NL"/>
        </w:rPr>
      </w:pPr>
    </w:p>
    <w:p w14:paraId="4F87D3E6" w14:textId="72222DC0" w:rsidR="00B96BFC" w:rsidRPr="000B4AB2" w:rsidRDefault="0048019B" w:rsidP="00260F11">
      <w:pPr>
        <w:pStyle w:val="ListParagraph"/>
        <w:spacing w:line="360" w:lineRule="auto"/>
        <w:ind w:left="0"/>
        <w:rPr>
          <w:color w:val="000000" w:themeColor="text1"/>
          <w:szCs w:val="18"/>
          <w:lang w:val="nl-NL"/>
        </w:rPr>
      </w:pPr>
      <w:r w:rsidRPr="006841D8">
        <w:rPr>
          <w:color w:val="000000" w:themeColor="text1"/>
          <w:szCs w:val="18"/>
          <w:lang w:val="nl-NL"/>
        </w:rPr>
        <w:t>In de doctrine</w:t>
      </w:r>
      <w:r w:rsidR="00CE361B" w:rsidRPr="006841D8">
        <w:rPr>
          <w:color w:val="000000" w:themeColor="text1"/>
          <w:szCs w:val="18"/>
          <w:lang w:val="nl-NL"/>
        </w:rPr>
        <w:t xml:space="preserve"> </w:t>
      </w:r>
      <w:r w:rsidRPr="006841D8">
        <w:rPr>
          <w:color w:val="000000" w:themeColor="text1"/>
          <w:szCs w:val="18"/>
          <w:lang w:val="nl-NL"/>
        </w:rPr>
        <w:t>werd</w:t>
      </w:r>
      <w:r w:rsidR="00CC0DF5" w:rsidRPr="006841D8">
        <w:rPr>
          <w:color w:val="000000" w:themeColor="text1"/>
          <w:szCs w:val="18"/>
          <w:lang w:val="nl-NL"/>
        </w:rPr>
        <w:t xml:space="preserve"> </w:t>
      </w:r>
      <w:r w:rsidRPr="006841D8">
        <w:rPr>
          <w:color w:val="000000" w:themeColor="text1"/>
          <w:szCs w:val="18"/>
          <w:lang w:val="nl-NL"/>
        </w:rPr>
        <w:t>gepoogd dit</w:t>
      </w:r>
      <w:r w:rsidR="000E4657">
        <w:rPr>
          <w:color w:val="000000" w:themeColor="text1"/>
          <w:szCs w:val="18"/>
          <w:lang w:val="nl-NL"/>
        </w:rPr>
        <w:t xml:space="preserve"> op</w:t>
      </w:r>
      <w:r w:rsidR="00CC0DF5" w:rsidRPr="006841D8">
        <w:rPr>
          <w:color w:val="000000" w:themeColor="text1"/>
          <w:szCs w:val="18"/>
          <w:lang w:val="nl-NL"/>
        </w:rPr>
        <w:t xml:space="preserve"> casusoverstijgende en overigens duidelijke wijze samen</w:t>
      </w:r>
      <w:r w:rsidR="00B630EA" w:rsidRPr="006841D8">
        <w:rPr>
          <w:color w:val="000000" w:themeColor="text1"/>
          <w:szCs w:val="18"/>
          <w:lang w:val="nl-NL"/>
        </w:rPr>
        <w:t xml:space="preserve"> te vatten</w:t>
      </w:r>
      <w:r w:rsidR="00CC0DF5" w:rsidRPr="006841D8">
        <w:rPr>
          <w:color w:val="000000" w:themeColor="text1"/>
          <w:szCs w:val="18"/>
          <w:lang w:val="nl-NL"/>
        </w:rPr>
        <w:t>.</w:t>
      </w:r>
      <w:r w:rsidR="00CE361B" w:rsidRPr="006841D8">
        <w:rPr>
          <w:color w:val="000000" w:themeColor="text1"/>
          <w:szCs w:val="18"/>
          <w:lang w:val="nl-NL"/>
        </w:rPr>
        <w:t xml:space="preserve"> </w:t>
      </w:r>
      <w:r w:rsidRPr="006841D8">
        <w:rPr>
          <w:color w:val="000000" w:themeColor="text1"/>
          <w:szCs w:val="18"/>
          <w:lang w:val="nl-NL"/>
        </w:rPr>
        <w:t>De strafbaarstelling zou</w:t>
      </w:r>
      <w:r w:rsidR="00BB14C4" w:rsidRPr="006841D8">
        <w:rPr>
          <w:color w:val="000000" w:themeColor="text1"/>
          <w:szCs w:val="18"/>
          <w:lang w:val="nl-NL"/>
        </w:rPr>
        <w:t xml:space="preserve"> vooreerst “peniele” penetraties (d.i. penetraties met de penis) </w:t>
      </w:r>
      <w:r w:rsidRPr="006841D8">
        <w:rPr>
          <w:color w:val="000000" w:themeColor="text1"/>
          <w:szCs w:val="18"/>
          <w:lang w:val="nl-NL"/>
        </w:rPr>
        <w:t>viseren,</w:t>
      </w:r>
      <w:r w:rsidR="00BB14C4" w:rsidRPr="006841D8">
        <w:rPr>
          <w:color w:val="000000" w:themeColor="text1"/>
          <w:szCs w:val="18"/>
          <w:lang w:val="nl-NL"/>
        </w:rPr>
        <w:t xml:space="preserve"> ongeacht in welke lichaamsholte</w:t>
      </w:r>
      <w:r w:rsidRPr="006841D8">
        <w:rPr>
          <w:color w:val="000000" w:themeColor="text1"/>
          <w:szCs w:val="18"/>
          <w:lang w:val="nl-NL"/>
        </w:rPr>
        <w:t xml:space="preserve">. Daarnaast worden ook </w:t>
      </w:r>
      <w:r w:rsidR="000E4657">
        <w:rPr>
          <w:color w:val="000000" w:themeColor="text1"/>
          <w:szCs w:val="18"/>
          <w:lang w:val="nl-NL"/>
        </w:rPr>
        <w:t xml:space="preserve">vaginale of anale </w:t>
      </w:r>
      <w:r w:rsidR="00BB14C4" w:rsidRPr="006841D8">
        <w:rPr>
          <w:color w:val="000000" w:themeColor="text1"/>
          <w:szCs w:val="18"/>
          <w:lang w:val="nl-NL"/>
        </w:rPr>
        <w:t xml:space="preserve">penetraties </w:t>
      </w:r>
      <w:r w:rsidRPr="006841D8">
        <w:rPr>
          <w:color w:val="000000" w:themeColor="text1"/>
          <w:szCs w:val="18"/>
          <w:lang w:val="nl-NL"/>
        </w:rPr>
        <w:t>geviseerd, met eender welk middel dit keer</w:t>
      </w:r>
      <w:r w:rsidR="00BB14C4" w:rsidRPr="006841D8">
        <w:rPr>
          <w:color w:val="000000" w:themeColor="text1"/>
          <w:szCs w:val="18"/>
          <w:lang w:val="nl-NL"/>
        </w:rPr>
        <w:t>.</w:t>
      </w:r>
      <w:r w:rsidR="00BB14C4" w:rsidRPr="006841D8">
        <w:rPr>
          <w:rStyle w:val="FootnoteReference"/>
          <w:color w:val="000000" w:themeColor="text1"/>
          <w:szCs w:val="18"/>
          <w:lang w:val="nl-NL"/>
        </w:rPr>
        <w:footnoteReference w:id="294"/>
      </w:r>
      <w:r w:rsidR="00CC0DF5" w:rsidRPr="006841D8">
        <w:rPr>
          <w:color w:val="000000" w:themeColor="text1"/>
          <w:szCs w:val="18"/>
          <w:lang w:val="nl-NL"/>
        </w:rPr>
        <w:t xml:space="preserve"> </w:t>
      </w:r>
      <w:r w:rsidR="008F785C" w:rsidRPr="006841D8">
        <w:rPr>
          <w:color w:val="000000" w:themeColor="text1"/>
          <w:szCs w:val="18"/>
          <w:lang w:val="nl-NL"/>
        </w:rPr>
        <w:t xml:space="preserve">Een </w:t>
      </w:r>
      <w:r w:rsidR="005B02AB" w:rsidRPr="006841D8">
        <w:rPr>
          <w:color w:val="000000" w:themeColor="text1"/>
          <w:szCs w:val="18"/>
          <w:lang w:val="nl-NL"/>
        </w:rPr>
        <w:t xml:space="preserve">penetratie met een ander voorwerp in de mond </w:t>
      </w:r>
      <w:r w:rsidR="008F785C" w:rsidRPr="006841D8">
        <w:rPr>
          <w:color w:val="000000" w:themeColor="text1"/>
          <w:szCs w:val="18"/>
          <w:lang w:val="nl-NL"/>
        </w:rPr>
        <w:t xml:space="preserve">zou </w:t>
      </w:r>
      <w:r w:rsidR="005B02AB" w:rsidRPr="006841D8">
        <w:rPr>
          <w:color w:val="000000" w:themeColor="text1"/>
          <w:szCs w:val="18"/>
          <w:lang w:val="nl-NL"/>
        </w:rPr>
        <w:t>niet snel als verkrachting worden gekwalificeerd</w:t>
      </w:r>
      <w:r w:rsidR="008F785C" w:rsidRPr="006841D8">
        <w:rPr>
          <w:color w:val="000000" w:themeColor="text1"/>
          <w:szCs w:val="18"/>
          <w:lang w:val="nl-NL"/>
        </w:rPr>
        <w:t>. Een voorbeeld in de</w:t>
      </w:r>
      <w:r w:rsidRPr="006841D8">
        <w:rPr>
          <w:color w:val="000000" w:themeColor="text1"/>
          <w:szCs w:val="18"/>
          <w:lang w:val="nl-NL"/>
        </w:rPr>
        <w:t xml:space="preserve"> rechtspraak </w:t>
      </w:r>
      <w:r w:rsidR="008F785C" w:rsidRPr="006841D8">
        <w:rPr>
          <w:color w:val="000000" w:themeColor="text1"/>
          <w:szCs w:val="18"/>
          <w:lang w:val="nl-NL"/>
        </w:rPr>
        <w:t xml:space="preserve">hiervan is </w:t>
      </w:r>
      <w:r w:rsidRPr="006841D8">
        <w:rPr>
          <w:color w:val="000000" w:themeColor="text1"/>
          <w:szCs w:val="18"/>
          <w:lang w:val="nl-NL"/>
        </w:rPr>
        <w:t>de borst van een vrouw die werd ingebracht in de mond van het slachtoffer.</w:t>
      </w:r>
      <w:r w:rsidRPr="006841D8">
        <w:rPr>
          <w:rStyle w:val="FootnoteReference"/>
          <w:color w:val="000000" w:themeColor="text1"/>
          <w:szCs w:val="18"/>
          <w:lang w:val="nl-NL"/>
        </w:rPr>
        <w:footnoteReference w:id="295"/>
      </w:r>
      <w:r>
        <w:rPr>
          <w:color w:val="000000" w:themeColor="text1"/>
          <w:szCs w:val="18"/>
          <w:lang w:val="nl-NL"/>
        </w:rPr>
        <w:t xml:space="preserve"> </w:t>
      </w:r>
      <w:r w:rsidR="00CC0DF5" w:rsidRPr="0089426E">
        <w:rPr>
          <w:color w:val="000000" w:themeColor="text1"/>
          <w:szCs w:val="18"/>
          <w:lang w:val="nl-NL"/>
        </w:rPr>
        <w:t xml:space="preserve">Toch kan </w:t>
      </w:r>
      <w:r w:rsidR="00721408" w:rsidRPr="0089426E">
        <w:rPr>
          <w:color w:val="000000" w:themeColor="text1"/>
          <w:szCs w:val="18"/>
          <w:lang w:val="nl-NL"/>
        </w:rPr>
        <w:t xml:space="preserve">m.i. </w:t>
      </w:r>
      <w:r w:rsidR="00CC0DF5" w:rsidRPr="0089426E">
        <w:rPr>
          <w:color w:val="000000" w:themeColor="text1"/>
          <w:szCs w:val="18"/>
          <w:lang w:val="nl-NL"/>
        </w:rPr>
        <w:t xml:space="preserve">de vraag worden gesteld of een dergelijke </w:t>
      </w:r>
      <w:r>
        <w:rPr>
          <w:color w:val="000000" w:themeColor="text1"/>
          <w:szCs w:val="18"/>
          <w:lang w:val="nl-NL"/>
        </w:rPr>
        <w:t>meer afgelijnde</w:t>
      </w:r>
      <w:r w:rsidR="00CC0DF5" w:rsidRPr="0089426E">
        <w:rPr>
          <w:color w:val="000000" w:themeColor="text1"/>
          <w:szCs w:val="18"/>
          <w:lang w:val="nl-NL"/>
        </w:rPr>
        <w:t xml:space="preserve"> omschrijving niet op het niveau van de wetgever dient te gebeuren</w:t>
      </w:r>
      <w:r w:rsidR="00F8718C" w:rsidRPr="0089426E">
        <w:rPr>
          <w:color w:val="000000" w:themeColor="text1"/>
          <w:szCs w:val="18"/>
          <w:lang w:val="nl-NL"/>
        </w:rPr>
        <w:t>.</w:t>
      </w:r>
    </w:p>
    <w:p w14:paraId="615B09CE" w14:textId="501EE3BE" w:rsidR="00B96BFC" w:rsidRPr="000B4AB2" w:rsidRDefault="00B96BFC" w:rsidP="00260F11">
      <w:pPr>
        <w:pStyle w:val="ListParagraph"/>
        <w:spacing w:line="360" w:lineRule="auto"/>
        <w:ind w:left="0"/>
        <w:rPr>
          <w:color w:val="000000" w:themeColor="text1"/>
          <w:szCs w:val="18"/>
          <w:lang w:val="nl-NL"/>
        </w:rPr>
      </w:pPr>
    </w:p>
    <w:p w14:paraId="2D21E0E7" w14:textId="76067E24" w:rsidR="00A017F9" w:rsidRPr="00191DC8" w:rsidRDefault="00DE320D"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Derde pijnpunt - r</w:t>
      </w:r>
      <w:r w:rsidR="00B047DD">
        <w:rPr>
          <w:b/>
          <w:color w:val="000000" w:themeColor="text1"/>
          <w:szCs w:val="18"/>
          <w:lang w:val="nl-NL"/>
        </w:rPr>
        <w:t>ol van het slachtoffer</w:t>
      </w:r>
      <w:r w:rsidR="00D65E59" w:rsidRPr="000B4AB2">
        <w:rPr>
          <w:color w:val="000000" w:themeColor="text1"/>
          <w:szCs w:val="18"/>
          <w:lang w:val="nl-NL"/>
        </w:rPr>
        <w:t>.</w:t>
      </w:r>
      <w:r w:rsidR="00723790" w:rsidRPr="000B4AB2">
        <w:rPr>
          <w:color w:val="000000" w:themeColor="text1"/>
          <w:szCs w:val="18"/>
          <w:lang w:val="nl-NL"/>
        </w:rPr>
        <w:t xml:space="preserve"> </w:t>
      </w:r>
      <w:r w:rsidR="00D65E59" w:rsidRPr="000B4AB2">
        <w:rPr>
          <w:color w:val="000000" w:themeColor="text1"/>
          <w:szCs w:val="18"/>
          <w:lang w:val="nl-NL"/>
        </w:rPr>
        <w:t xml:space="preserve">Door een </w:t>
      </w:r>
      <w:r w:rsidR="00A717C4">
        <w:rPr>
          <w:color w:val="000000" w:themeColor="text1"/>
          <w:szCs w:val="18"/>
          <w:lang w:val="nl-NL"/>
        </w:rPr>
        <w:t>verschil in</w:t>
      </w:r>
      <w:r w:rsidR="00D65E59" w:rsidRPr="000B4AB2">
        <w:rPr>
          <w:color w:val="000000" w:themeColor="text1"/>
          <w:szCs w:val="18"/>
          <w:lang w:val="nl-NL"/>
        </w:rPr>
        <w:t xml:space="preserve"> formulering </w:t>
      </w:r>
      <w:r w:rsidR="00A717C4">
        <w:rPr>
          <w:color w:val="000000" w:themeColor="text1"/>
          <w:szCs w:val="18"/>
          <w:lang w:val="nl-NL"/>
        </w:rPr>
        <w:t>tussen</w:t>
      </w:r>
      <w:r w:rsidR="00D65E59" w:rsidRPr="000B4AB2">
        <w:rPr>
          <w:color w:val="000000" w:themeColor="text1"/>
          <w:szCs w:val="18"/>
          <w:lang w:val="nl-NL"/>
        </w:rPr>
        <w:t xml:space="preserve"> de strafbaarstelling van verkrachting en aanranding van de eerbaarheid</w:t>
      </w:r>
      <w:r w:rsidR="00A717C4">
        <w:rPr>
          <w:color w:val="000000" w:themeColor="text1"/>
          <w:szCs w:val="18"/>
          <w:lang w:val="nl-NL"/>
        </w:rPr>
        <w:t>,</w:t>
      </w:r>
      <w:r w:rsidR="00A717C4">
        <w:rPr>
          <w:rStyle w:val="FootnoteReference"/>
          <w:color w:val="000000" w:themeColor="text1"/>
          <w:szCs w:val="18"/>
          <w:lang w:val="nl-NL"/>
        </w:rPr>
        <w:footnoteReference w:id="296"/>
      </w:r>
      <w:r w:rsidR="00A717C4">
        <w:rPr>
          <w:color w:val="000000" w:themeColor="text1"/>
          <w:szCs w:val="18"/>
          <w:lang w:val="nl-NL"/>
        </w:rPr>
        <w:t xml:space="preserve"> </w:t>
      </w:r>
      <w:r w:rsidR="00D65E59" w:rsidRPr="000B4AB2">
        <w:rPr>
          <w:color w:val="000000" w:themeColor="text1"/>
          <w:szCs w:val="18"/>
          <w:lang w:val="nl-NL"/>
        </w:rPr>
        <w:t xml:space="preserve">stelde de meerderheidsvisie dat </w:t>
      </w:r>
      <w:r w:rsidR="006841D8">
        <w:rPr>
          <w:color w:val="000000" w:themeColor="text1"/>
          <w:szCs w:val="18"/>
          <w:lang w:val="nl-NL"/>
        </w:rPr>
        <w:t>opdat sprake kon zijn van verkrachting,</w:t>
      </w:r>
      <w:r w:rsidR="00D65E59" w:rsidRPr="000B4AB2">
        <w:rPr>
          <w:color w:val="000000" w:themeColor="text1"/>
          <w:szCs w:val="18"/>
          <w:lang w:val="nl-NL"/>
        </w:rPr>
        <w:t xml:space="preserve"> het </w:t>
      </w:r>
      <w:r w:rsidR="00820098" w:rsidRPr="000B4AB2">
        <w:rPr>
          <w:color w:val="000000" w:themeColor="text1"/>
          <w:szCs w:val="18"/>
          <w:lang w:val="nl-NL"/>
        </w:rPr>
        <w:t xml:space="preserve">gepenetreerde </w:t>
      </w:r>
      <w:r w:rsidR="00D65E59" w:rsidRPr="000B4AB2">
        <w:rPr>
          <w:color w:val="000000" w:themeColor="text1"/>
          <w:szCs w:val="18"/>
          <w:lang w:val="nl-NL"/>
        </w:rPr>
        <w:t>lichaam</w:t>
      </w:r>
      <w:r w:rsidR="00820098" w:rsidRPr="000B4AB2">
        <w:rPr>
          <w:color w:val="000000" w:themeColor="text1"/>
          <w:szCs w:val="18"/>
          <w:lang w:val="nl-NL"/>
        </w:rPr>
        <w:t xml:space="preserve"> dat</w:t>
      </w:r>
      <w:r w:rsidR="00D65E59" w:rsidRPr="000B4AB2">
        <w:rPr>
          <w:color w:val="000000" w:themeColor="text1"/>
          <w:szCs w:val="18"/>
          <w:lang w:val="nl-NL"/>
        </w:rPr>
        <w:t xml:space="preserve"> van het slachtoffer </w:t>
      </w:r>
      <w:r w:rsidR="00820098" w:rsidRPr="000B4AB2">
        <w:rPr>
          <w:color w:val="000000" w:themeColor="text1"/>
          <w:szCs w:val="18"/>
          <w:lang w:val="nl-NL"/>
        </w:rPr>
        <w:t>moest</w:t>
      </w:r>
      <w:r w:rsidR="00D65E59" w:rsidRPr="000B4AB2">
        <w:rPr>
          <w:color w:val="000000" w:themeColor="text1"/>
          <w:szCs w:val="18"/>
          <w:lang w:val="nl-NL"/>
        </w:rPr>
        <w:t xml:space="preserve"> </w:t>
      </w:r>
      <w:r w:rsidR="00820098" w:rsidRPr="000B4AB2">
        <w:rPr>
          <w:color w:val="000000" w:themeColor="text1"/>
          <w:szCs w:val="18"/>
          <w:lang w:val="nl-NL"/>
        </w:rPr>
        <w:t>zijn</w:t>
      </w:r>
      <w:r w:rsidR="00D65E59" w:rsidRPr="000B4AB2">
        <w:rPr>
          <w:color w:val="000000" w:themeColor="text1"/>
          <w:szCs w:val="18"/>
          <w:lang w:val="nl-NL"/>
        </w:rPr>
        <w:t xml:space="preserve">. </w:t>
      </w:r>
      <w:r w:rsidR="00EA006B" w:rsidRPr="000B4AB2">
        <w:rPr>
          <w:color w:val="000000" w:themeColor="text1"/>
          <w:szCs w:val="18"/>
          <w:lang w:val="nl-NL"/>
        </w:rPr>
        <w:t>Vier</w:t>
      </w:r>
      <w:r w:rsidR="00D65E59" w:rsidRPr="000B4AB2">
        <w:rPr>
          <w:color w:val="000000" w:themeColor="text1"/>
          <w:szCs w:val="18"/>
          <w:lang w:val="nl-NL"/>
        </w:rPr>
        <w:t xml:space="preserve"> verschillende vormen van penetraties kunnen van elkaar worden</w:t>
      </w:r>
      <w:r w:rsidR="00D65E59" w:rsidRPr="000B4AB2">
        <w:rPr>
          <w:b/>
          <w:color w:val="000000" w:themeColor="text1"/>
          <w:szCs w:val="18"/>
          <w:lang w:val="nl-NL"/>
        </w:rPr>
        <w:t xml:space="preserve"> </w:t>
      </w:r>
      <w:r w:rsidR="00D65E59" w:rsidRPr="000B4AB2">
        <w:rPr>
          <w:color w:val="000000" w:themeColor="text1"/>
          <w:szCs w:val="18"/>
          <w:lang w:val="nl-NL"/>
        </w:rPr>
        <w:t xml:space="preserve">onderscheiden (van minst naar meest controversieel te kwalificeren als verkrachting): </w:t>
      </w:r>
      <w:r w:rsidR="00D65E59" w:rsidRPr="006D0D2A">
        <w:rPr>
          <w:color w:val="000000" w:themeColor="text1"/>
          <w:szCs w:val="18"/>
          <w:lang w:val="nl-NL"/>
        </w:rPr>
        <w:t>slachtofferpenetratie, zelfpenetratie, daderpenetratie of penetratie van een derde. De twee laatstgenoemde penetraties, konden volgens de meerderheidsvisie niet als verkrachting worden gekwalificeerd</w:t>
      </w:r>
      <w:r w:rsidR="00AE51FE" w:rsidRPr="006D0D2A">
        <w:rPr>
          <w:color w:val="000000" w:themeColor="text1"/>
          <w:szCs w:val="18"/>
          <w:lang w:val="nl-NL"/>
        </w:rPr>
        <w:t xml:space="preserve">, </w:t>
      </w:r>
      <w:r w:rsidR="000E4657">
        <w:rPr>
          <w:color w:val="000000" w:themeColor="text1"/>
          <w:szCs w:val="18"/>
          <w:lang w:val="nl-NL"/>
        </w:rPr>
        <w:t>het was immers niet het</w:t>
      </w:r>
      <w:r w:rsidR="00AE51FE" w:rsidRPr="006D0D2A">
        <w:rPr>
          <w:color w:val="000000" w:themeColor="text1"/>
          <w:szCs w:val="18"/>
          <w:lang w:val="nl-NL"/>
        </w:rPr>
        <w:t xml:space="preserve"> lichaam van het slachtoffer dat gepenetreerd</w:t>
      </w:r>
      <w:r w:rsidR="000E4657">
        <w:rPr>
          <w:color w:val="000000" w:themeColor="text1"/>
          <w:szCs w:val="18"/>
          <w:lang w:val="nl-NL"/>
        </w:rPr>
        <w:t xml:space="preserve"> werd.</w:t>
      </w:r>
      <w:r w:rsidR="00B26090" w:rsidRPr="006D0D2A">
        <w:rPr>
          <w:rStyle w:val="FootnoteReference"/>
          <w:color w:val="000000" w:themeColor="text1"/>
          <w:szCs w:val="18"/>
          <w:lang w:val="nl-NL"/>
        </w:rPr>
        <w:footnoteReference w:id="297"/>
      </w:r>
      <w:r w:rsidR="00191DC8">
        <w:rPr>
          <w:color w:val="000000" w:themeColor="text1"/>
          <w:szCs w:val="18"/>
          <w:lang w:val="nl-NL"/>
        </w:rPr>
        <w:t xml:space="preserve"> </w:t>
      </w:r>
      <w:r w:rsidR="00A017F9" w:rsidRPr="00191DC8">
        <w:rPr>
          <w:color w:val="000000" w:themeColor="text1"/>
          <w:szCs w:val="18"/>
          <w:lang w:val="nl-NL"/>
        </w:rPr>
        <w:t>Aldus bestond onder het oude recht geen eensgezindheid m.b.t. dit constitutief bestanddeel.</w:t>
      </w:r>
    </w:p>
    <w:p w14:paraId="509338D9" w14:textId="4F1BD16B" w:rsidR="00F840DF" w:rsidRDefault="00F840DF" w:rsidP="00260F11">
      <w:pPr>
        <w:spacing w:line="360" w:lineRule="auto"/>
        <w:jc w:val="left"/>
        <w:rPr>
          <w:color w:val="000000" w:themeColor="text1"/>
          <w:szCs w:val="18"/>
          <w:lang w:val="nl-NL"/>
        </w:rPr>
      </w:pPr>
      <w:r>
        <w:rPr>
          <w:color w:val="000000" w:themeColor="text1"/>
          <w:szCs w:val="18"/>
          <w:lang w:val="nl-NL"/>
        </w:rPr>
        <w:br w:type="page"/>
      </w:r>
    </w:p>
    <w:p w14:paraId="068894B2" w14:textId="156C75EF" w:rsidR="0062599B" w:rsidRPr="006D0D2A" w:rsidRDefault="00DE320D"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lastRenderedPageBreak/>
        <w:t>Vierde pijnpunt - i</w:t>
      </w:r>
      <w:r w:rsidR="0062599B" w:rsidRPr="006D0D2A">
        <w:rPr>
          <w:b/>
          <w:color w:val="000000" w:themeColor="text1"/>
          <w:szCs w:val="18"/>
          <w:lang w:val="nl-NL"/>
        </w:rPr>
        <w:t>ntrekking toestemming</w:t>
      </w:r>
      <w:r w:rsidR="0062599B" w:rsidRPr="00C37AF5">
        <w:rPr>
          <w:b/>
          <w:color w:val="000000" w:themeColor="text1"/>
          <w:szCs w:val="18"/>
          <w:lang w:val="nl-NL"/>
        </w:rPr>
        <w:t>?</w:t>
      </w:r>
      <w:r w:rsidR="0062599B" w:rsidRPr="006D0D2A">
        <w:rPr>
          <w:color w:val="000000" w:themeColor="text1"/>
          <w:szCs w:val="18"/>
          <w:lang w:val="nl-NL"/>
        </w:rPr>
        <w:t xml:space="preserve"> </w:t>
      </w:r>
      <w:r w:rsidR="006841D8">
        <w:rPr>
          <w:color w:val="000000" w:themeColor="text1"/>
          <w:szCs w:val="18"/>
          <w:lang w:val="nl-NL"/>
        </w:rPr>
        <w:t>De</w:t>
      </w:r>
      <w:r w:rsidR="00BF52DD" w:rsidRPr="006D0D2A">
        <w:rPr>
          <w:color w:val="000000" w:themeColor="text1"/>
          <w:szCs w:val="18"/>
          <w:lang w:val="nl-NL"/>
        </w:rPr>
        <w:t xml:space="preserve"> mogelijke gevolgen van een intrekking van een initieel geldig gegeven toestemming</w:t>
      </w:r>
      <w:r w:rsidR="006841D8">
        <w:rPr>
          <w:color w:val="000000" w:themeColor="text1"/>
          <w:szCs w:val="18"/>
          <w:lang w:val="nl-NL"/>
        </w:rPr>
        <w:t xml:space="preserve"> stond ter discussie</w:t>
      </w:r>
      <w:r w:rsidR="00BF52DD" w:rsidRPr="006D0D2A">
        <w:rPr>
          <w:color w:val="000000" w:themeColor="text1"/>
          <w:szCs w:val="18"/>
          <w:lang w:val="nl-NL"/>
        </w:rPr>
        <w:t>. S</w:t>
      </w:r>
      <w:r w:rsidR="0062599B" w:rsidRPr="006D0D2A">
        <w:rPr>
          <w:color w:val="000000" w:themeColor="text1"/>
          <w:szCs w:val="18"/>
          <w:lang w:val="nl-NL"/>
        </w:rPr>
        <w:t xml:space="preserve">ommigen </w:t>
      </w:r>
      <w:r w:rsidR="00BF52DD" w:rsidRPr="006D0D2A">
        <w:rPr>
          <w:color w:val="000000" w:themeColor="text1"/>
          <w:szCs w:val="18"/>
          <w:lang w:val="nl-NL"/>
        </w:rPr>
        <w:t>begrepen</w:t>
      </w:r>
      <w:r w:rsidR="0062599B" w:rsidRPr="006D0D2A">
        <w:rPr>
          <w:color w:val="000000" w:themeColor="text1"/>
          <w:szCs w:val="18"/>
          <w:lang w:val="nl-NL"/>
        </w:rPr>
        <w:t xml:space="preserve"> penetratie </w:t>
      </w:r>
      <w:r w:rsidR="00BF52DD" w:rsidRPr="006D0D2A">
        <w:rPr>
          <w:color w:val="000000" w:themeColor="text1"/>
          <w:szCs w:val="18"/>
          <w:lang w:val="nl-NL"/>
        </w:rPr>
        <w:t>immers</w:t>
      </w:r>
      <w:r w:rsidR="0062599B" w:rsidRPr="006D0D2A">
        <w:rPr>
          <w:color w:val="000000" w:themeColor="text1"/>
          <w:szCs w:val="18"/>
          <w:lang w:val="nl-NL"/>
        </w:rPr>
        <w:t xml:space="preserve"> als het binnendringen in het lichaam, niet het </w:t>
      </w:r>
      <w:r w:rsidR="00BF52DD" w:rsidRPr="006D0D2A">
        <w:rPr>
          <w:color w:val="000000" w:themeColor="text1"/>
          <w:szCs w:val="18"/>
          <w:lang w:val="nl-NL"/>
        </w:rPr>
        <w:t>“</w:t>
      </w:r>
      <w:r w:rsidR="0062599B" w:rsidRPr="006D0D2A">
        <w:rPr>
          <w:color w:val="000000" w:themeColor="text1"/>
          <w:szCs w:val="18"/>
          <w:lang w:val="nl-NL"/>
        </w:rPr>
        <w:t>binnenblijven</w:t>
      </w:r>
      <w:r w:rsidR="00BF52DD" w:rsidRPr="006D0D2A">
        <w:rPr>
          <w:color w:val="000000" w:themeColor="text1"/>
          <w:szCs w:val="18"/>
          <w:lang w:val="nl-NL"/>
        </w:rPr>
        <w:t>”</w:t>
      </w:r>
      <w:r w:rsidR="0062599B" w:rsidRPr="006D0D2A">
        <w:rPr>
          <w:color w:val="000000" w:themeColor="text1"/>
          <w:szCs w:val="18"/>
          <w:lang w:val="nl-NL"/>
        </w:rPr>
        <w:t xml:space="preserve"> in het lichaam. Volgens de letter van de wet lijkt dit inderdaad zo te zijn.</w:t>
      </w:r>
      <w:r w:rsidR="006D0D2A" w:rsidRPr="006D0D2A">
        <w:rPr>
          <w:rStyle w:val="FootnoteReference"/>
          <w:color w:val="000000" w:themeColor="text1"/>
          <w:szCs w:val="18"/>
          <w:lang w:val="nl-NL"/>
        </w:rPr>
        <w:footnoteReference w:id="298"/>
      </w:r>
      <w:r w:rsidR="0062599B" w:rsidRPr="006D0D2A">
        <w:rPr>
          <w:color w:val="000000" w:themeColor="text1"/>
          <w:szCs w:val="18"/>
          <w:lang w:val="nl-NL"/>
        </w:rPr>
        <w:t xml:space="preserve"> Dit neemt niet weg dat </w:t>
      </w:r>
      <w:r w:rsidR="00BF52DD" w:rsidRPr="006D0D2A">
        <w:rPr>
          <w:color w:val="000000" w:themeColor="text1"/>
          <w:szCs w:val="18"/>
          <w:lang w:val="nl-NL"/>
        </w:rPr>
        <w:t xml:space="preserve">een tegen de wil voortgezet seksueel “binnenblijven” </w:t>
      </w:r>
      <w:r w:rsidR="0062599B" w:rsidRPr="006D0D2A">
        <w:rPr>
          <w:color w:val="000000" w:themeColor="text1"/>
          <w:szCs w:val="18"/>
          <w:lang w:val="nl-NL"/>
        </w:rPr>
        <w:t xml:space="preserve">voor het slachtoffer wellicht een even traumatische ervaring zal </w:t>
      </w:r>
      <w:r w:rsidR="00BF52DD" w:rsidRPr="006D0D2A">
        <w:rPr>
          <w:color w:val="000000" w:themeColor="text1"/>
          <w:szCs w:val="18"/>
          <w:lang w:val="nl-NL"/>
        </w:rPr>
        <w:t>uitmaken</w:t>
      </w:r>
      <w:r w:rsidR="0062599B" w:rsidRPr="006D0D2A">
        <w:rPr>
          <w:color w:val="000000" w:themeColor="text1"/>
          <w:szCs w:val="18"/>
          <w:lang w:val="nl-NL"/>
        </w:rPr>
        <w:t xml:space="preserve"> als een </w:t>
      </w:r>
      <w:r w:rsidR="00BF52DD" w:rsidRPr="006D0D2A">
        <w:rPr>
          <w:color w:val="000000" w:themeColor="text1"/>
          <w:szCs w:val="18"/>
          <w:lang w:val="nl-NL"/>
        </w:rPr>
        <w:t xml:space="preserve">seksuele </w:t>
      </w:r>
      <w:r w:rsidR="0062599B" w:rsidRPr="006D0D2A">
        <w:rPr>
          <w:color w:val="000000" w:themeColor="text1"/>
          <w:szCs w:val="18"/>
          <w:lang w:val="nl-NL"/>
        </w:rPr>
        <w:t xml:space="preserve">penetratie in de zin van oud artikel 375 </w:t>
      </w:r>
      <w:r w:rsidR="0081584B">
        <w:rPr>
          <w:color w:val="000000" w:themeColor="text1"/>
          <w:szCs w:val="18"/>
          <w:lang w:val="nl-NL"/>
        </w:rPr>
        <w:t xml:space="preserve">van het </w:t>
      </w:r>
      <w:r w:rsidR="00CE0637" w:rsidRPr="006D0D2A">
        <w:rPr>
          <w:color w:val="000000" w:themeColor="text1"/>
          <w:szCs w:val="18"/>
          <w:lang w:val="nl-NL"/>
        </w:rPr>
        <w:t>Strafwetboek</w:t>
      </w:r>
      <w:r w:rsidR="0062599B" w:rsidRPr="006D0D2A">
        <w:rPr>
          <w:color w:val="000000" w:themeColor="text1"/>
          <w:szCs w:val="18"/>
          <w:lang w:val="nl-NL"/>
        </w:rPr>
        <w:t>.</w:t>
      </w:r>
      <w:r w:rsidR="00BD0599" w:rsidRPr="006D0D2A">
        <w:rPr>
          <w:color w:val="000000" w:themeColor="text1"/>
          <w:szCs w:val="18"/>
          <w:lang w:val="nl-NL"/>
        </w:rPr>
        <w:t xml:space="preserve"> Hier rijst bijgevolg evenzeer de vraag waarom de wetgever een dergelijke situatie niet expliciet strafbaar heeft gesteld. </w:t>
      </w:r>
    </w:p>
    <w:p w14:paraId="593D46C1" w14:textId="77777777" w:rsidR="004345E5" w:rsidRPr="006D0D2A" w:rsidRDefault="004345E5" w:rsidP="00260F11">
      <w:pPr>
        <w:pStyle w:val="ListParagraph"/>
        <w:spacing w:line="360" w:lineRule="auto"/>
        <w:ind w:left="0"/>
        <w:rPr>
          <w:color w:val="000000" w:themeColor="text1"/>
          <w:szCs w:val="18"/>
          <w:lang w:val="nl-NL"/>
        </w:rPr>
      </w:pPr>
    </w:p>
    <w:p w14:paraId="0D2DE1F3" w14:textId="7F9114B4" w:rsidR="004345E5" w:rsidRPr="006D0D2A" w:rsidRDefault="00DE320D"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Vijfde pijnpunt - a</w:t>
      </w:r>
      <w:r w:rsidR="004345E5" w:rsidRPr="006D0D2A">
        <w:rPr>
          <w:b/>
          <w:color w:val="000000" w:themeColor="text1"/>
          <w:szCs w:val="18"/>
          <w:lang w:val="nl-NL"/>
        </w:rPr>
        <w:t>nomalie leeftijdsgrens</w:t>
      </w:r>
      <w:r w:rsidR="004345E5" w:rsidRPr="006D0D2A">
        <w:rPr>
          <w:color w:val="000000" w:themeColor="text1"/>
          <w:szCs w:val="18"/>
          <w:lang w:val="nl-NL"/>
        </w:rPr>
        <w:t xml:space="preserve">. </w:t>
      </w:r>
      <w:r w:rsidR="002048BA" w:rsidRPr="006D0D2A">
        <w:rPr>
          <w:color w:val="000000" w:themeColor="text1"/>
          <w:szCs w:val="18"/>
          <w:lang w:val="nl-NL"/>
        </w:rPr>
        <w:t>Veertien- tot vijftienjarigen konden instemmen met seksuele penetraties,</w:t>
      </w:r>
      <w:r w:rsidR="000E4657">
        <w:rPr>
          <w:rStyle w:val="FootnoteReference"/>
          <w:color w:val="000000" w:themeColor="text1"/>
          <w:szCs w:val="18"/>
          <w:lang w:val="nl-NL"/>
        </w:rPr>
        <w:footnoteReference w:id="299"/>
      </w:r>
      <w:r w:rsidR="002048BA" w:rsidRPr="006D0D2A">
        <w:rPr>
          <w:color w:val="000000" w:themeColor="text1"/>
          <w:szCs w:val="18"/>
          <w:lang w:val="nl-NL"/>
        </w:rPr>
        <w:t xml:space="preserve"> maar niet met seksueel minder verregaande handelingen</w:t>
      </w:r>
      <w:r w:rsidR="005F3BB5">
        <w:rPr>
          <w:color w:val="000000" w:themeColor="text1"/>
          <w:szCs w:val="18"/>
          <w:lang w:val="nl-NL"/>
        </w:rPr>
        <w:t>.</w:t>
      </w:r>
      <w:r w:rsidR="000E4657">
        <w:rPr>
          <w:rStyle w:val="FootnoteReference"/>
          <w:color w:val="000000" w:themeColor="text1"/>
          <w:szCs w:val="18"/>
          <w:lang w:val="nl-NL"/>
        </w:rPr>
        <w:footnoteReference w:id="300"/>
      </w:r>
      <w:r w:rsidR="002048BA" w:rsidRPr="006D0D2A">
        <w:rPr>
          <w:color w:val="000000" w:themeColor="text1"/>
          <w:szCs w:val="18"/>
          <w:lang w:val="nl-NL"/>
        </w:rPr>
        <w:t xml:space="preserve"> Hoewel deze anomalie niet strijdig werd bevonden met artikel</w:t>
      </w:r>
      <w:r w:rsidR="005F3BB5">
        <w:rPr>
          <w:color w:val="000000" w:themeColor="text1"/>
          <w:szCs w:val="18"/>
          <w:lang w:val="nl-NL"/>
        </w:rPr>
        <w:t>en</w:t>
      </w:r>
      <w:r w:rsidR="002048BA" w:rsidRPr="006D0D2A">
        <w:rPr>
          <w:color w:val="000000" w:themeColor="text1"/>
          <w:szCs w:val="18"/>
          <w:lang w:val="nl-NL"/>
        </w:rPr>
        <w:t xml:space="preserve"> 10 en 11 van de Grondwet door het Grondwettelijk Hof,</w:t>
      </w:r>
      <w:r w:rsidR="006D0D2A" w:rsidRPr="006D0D2A">
        <w:rPr>
          <w:rStyle w:val="FootnoteReference"/>
          <w:color w:val="000000" w:themeColor="text1"/>
          <w:szCs w:val="18"/>
          <w:lang w:val="nl-NL"/>
        </w:rPr>
        <w:footnoteReference w:id="301"/>
      </w:r>
      <w:r w:rsidR="002048BA" w:rsidRPr="006D0D2A">
        <w:rPr>
          <w:color w:val="000000" w:themeColor="text1"/>
          <w:szCs w:val="18"/>
          <w:lang w:val="nl-NL"/>
        </w:rPr>
        <w:t xml:space="preserve"> </w:t>
      </w:r>
      <w:r w:rsidR="009E06A4" w:rsidRPr="006D0D2A">
        <w:rPr>
          <w:color w:val="000000" w:themeColor="text1"/>
          <w:szCs w:val="18"/>
          <w:lang w:val="nl-NL"/>
        </w:rPr>
        <w:t>be</w:t>
      </w:r>
      <w:r w:rsidR="002048BA" w:rsidRPr="006D0D2A">
        <w:rPr>
          <w:color w:val="000000" w:themeColor="text1"/>
          <w:szCs w:val="18"/>
          <w:lang w:val="nl-NL"/>
        </w:rPr>
        <w:t xml:space="preserve">hoeft het geen betoog dat </w:t>
      </w:r>
      <w:r w:rsidR="005F3BB5">
        <w:rPr>
          <w:color w:val="000000" w:themeColor="text1"/>
          <w:szCs w:val="18"/>
          <w:lang w:val="nl-NL"/>
        </w:rPr>
        <w:t>dit</w:t>
      </w:r>
      <w:r w:rsidR="002048BA" w:rsidRPr="006D0D2A">
        <w:rPr>
          <w:color w:val="000000" w:themeColor="text1"/>
          <w:szCs w:val="18"/>
          <w:lang w:val="nl-NL"/>
        </w:rPr>
        <w:t xml:space="preserve"> weinig logisch aanvoel</w:t>
      </w:r>
      <w:r w:rsidR="005F3BB5">
        <w:rPr>
          <w:color w:val="000000" w:themeColor="text1"/>
          <w:szCs w:val="18"/>
          <w:lang w:val="nl-NL"/>
        </w:rPr>
        <w:t>de</w:t>
      </w:r>
      <w:r w:rsidR="002048BA" w:rsidRPr="006D0D2A">
        <w:rPr>
          <w:color w:val="000000" w:themeColor="text1"/>
          <w:szCs w:val="18"/>
          <w:lang w:val="nl-NL"/>
        </w:rPr>
        <w:t>.</w:t>
      </w:r>
      <w:r w:rsidR="00F82611">
        <w:rPr>
          <w:color w:val="000000" w:themeColor="text1"/>
          <w:szCs w:val="18"/>
          <w:lang w:val="nl-NL"/>
        </w:rPr>
        <w:t xml:space="preserve"> Dit maakte geen pijnpunt van de strafbaarstelling van verkrachting </w:t>
      </w:r>
      <w:r w:rsidR="005F3BB5">
        <w:rPr>
          <w:color w:val="000000" w:themeColor="text1"/>
          <w:szCs w:val="18"/>
          <w:lang w:val="nl-NL"/>
        </w:rPr>
        <w:t xml:space="preserve">op zichzelf </w:t>
      </w:r>
      <w:r w:rsidR="00F82611">
        <w:rPr>
          <w:color w:val="000000" w:themeColor="text1"/>
          <w:szCs w:val="18"/>
          <w:lang w:val="nl-NL"/>
        </w:rPr>
        <w:t>uit, maar wel samengenomen met de strafbaarstelling van aanranding van de eerbaarheid.</w:t>
      </w:r>
    </w:p>
    <w:p w14:paraId="1FA6AEC7" w14:textId="77777777" w:rsidR="00212248" w:rsidRPr="006D0D2A" w:rsidRDefault="00212248" w:rsidP="00260F11">
      <w:pPr>
        <w:pStyle w:val="ListParagraph"/>
        <w:spacing w:line="360" w:lineRule="auto"/>
        <w:rPr>
          <w:color w:val="000000" w:themeColor="text1"/>
          <w:szCs w:val="18"/>
          <w:lang w:val="nl-NL"/>
        </w:rPr>
      </w:pPr>
    </w:p>
    <w:p w14:paraId="11EEF144" w14:textId="6558CDA7" w:rsidR="005C3C3D" w:rsidRDefault="00DE320D"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Zesde pijnpunt - </w:t>
      </w:r>
      <w:r w:rsidR="00212248" w:rsidRPr="006D0D2A">
        <w:rPr>
          <w:b/>
          <w:color w:val="000000" w:themeColor="text1"/>
          <w:szCs w:val="18"/>
          <w:lang w:val="nl-NL"/>
        </w:rPr>
        <w:t>Moreel bestanddeel</w:t>
      </w:r>
      <w:r w:rsidR="00212248" w:rsidRPr="006D0D2A">
        <w:rPr>
          <w:color w:val="000000" w:themeColor="text1"/>
          <w:szCs w:val="18"/>
          <w:lang w:val="nl-NL"/>
        </w:rPr>
        <w:t>.</w:t>
      </w:r>
      <w:r w:rsidR="005C3C3D" w:rsidRPr="005C3C3D">
        <w:rPr>
          <w:color w:val="000000" w:themeColor="text1"/>
          <w:szCs w:val="18"/>
          <w:lang w:val="nl-NL"/>
        </w:rPr>
        <w:t xml:space="preserve"> </w:t>
      </w:r>
      <w:r w:rsidR="005C3C3D">
        <w:rPr>
          <w:color w:val="000000" w:themeColor="text1"/>
          <w:szCs w:val="18"/>
          <w:lang w:val="nl-NL"/>
        </w:rPr>
        <w:t xml:space="preserve">Gelet op het wetgevend stilzwijgen omtrent het moreel bestanddeel, vereiste de </w:t>
      </w:r>
      <w:r w:rsidR="005C3C3D" w:rsidRPr="000B4AB2">
        <w:rPr>
          <w:color w:val="000000" w:themeColor="text1"/>
          <w:szCs w:val="18"/>
          <w:lang w:val="nl-NL"/>
        </w:rPr>
        <w:t>meerderheidsvisie een algemeen opzet</w:t>
      </w:r>
      <w:r w:rsidR="005C3C3D">
        <w:rPr>
          <w:color w:val="000000" w:themeColor="text1"/>
          <w:szCs w:val="18"/>
          <w:lang w:val="nl-NL"/>
        </w:rPr>
        <w:t xml:space="preserve">. Desondanks </w:t>
      </w:r>
      <w:r w:rsidR="005C3C3D" w:rsidRPr="000B4AB2">
        <w:rPr>
          <w:color w:val="000000" w:themeColor="text1"/>
          <w:szCs w:val="18"/>
          <w:lang w:val="nl-NL"/>
        </w:rPr>
        <w:t xml:space="preserve">gaf </w:t>
      </w:r>
      <w:r w:rsidR="005C3C3D">
        <w:rPr>
          <w:color w:val="000000" w:themeColor="text1"/>
          <w:szCs w:val="18"/>
          <w:lang w:val="nl-NL"/>
        </w:rPr>
        <w:t>dit wetgevend stilzwijgen</w:t>
      </w:r>
      <w:r w:rsidR="005C3C3D" w:rsidRPr="000B4AB2">
        <w:rPr>
          <w:color w:val="000000" w:themeColor="text1"/>
          <w:szCs w:val="18"/>
          <w:lang w:val="nl-NL"/>
        </w:rPr>
        <w:t xml:space="preserve"> aanleiding tot vermijdbare discussies</w:t>
      </w:r>
      <w:r w:rsidR="00D420CC">
        <w:rPr>
          <w:color w:val="000000" w:themeColor="text1"/>
          <w:szCs w:val="18"/>
          <w:lang w:val="nl-NL"/>
        </w:rPr>
        <w:t xml:space="preserve"> die hoger reeds werden uiteengezet</w:t>
      </w:r>
      <w:r w:rsidR="005C3C3D" w:rsidRPr="000B4AB2">
        <w:rPr>
          <w:color w:val="000000" w:themeColor="text1"/>
          <w:szCs w:val="18"/>
          <w:lang w:val="nl-NL"/>
        </w:rPr>
        <w:t>.</w:t>
      </w:r>
      <w:r w:rsidR="005C3C3D">
        <w:rPr>
          <w:rStyle w:val="FootnoteReference"/>
          <w:color w:val="000000" w:themeColor="text1"/>
          <w:szCs w:val="18"/>
          <w:lang w:val="nl-NL"/>
        </w:rPr>
        <w:footnoteReference w:id="302"/>
      </w:r>
    </w:p>
    <w:p w14:paraId="1AD6705D" w14:textId="7C6D6268" w:rsidR="005143CE" w:rsidRDefault="005143CE" w:rsidP="00260F11">
      <w:pPr>
        <w:spacing w:line="360" w:lineRule="auto"/>
        <w:rPr>
          <w:color w:val="000000" w:themeColor="text1"/>
          <w:szCs w:val="18"/>
          <w:lang w:val="nl-NL"/>
        </w:rPr>
      </w:pPr>
      <w:r>
        <w:rPr>
          <w:color w:val="000000" w:themeColor="text1"/>
          <w:szCs w:val="18"/>
          <w:lang w:val="nl-NL"/>
        </w:rPr>
        <w:br w:type="page"/>
      </w:r>
    </w:p>
    <w:p w14:paraId="08B7F0F8" w14:textId="7E8F5E9A" w:rsidR="00662C47" w:rsidRPr="000B4AB2" w:rsidRDefault="00712B9D" w:rsidP="00260F11">
      <w:pPr>
        <w:pStyle w:val="Heading4"/>
        <w:spacing w:line="360" w:lineRule="auto"/>
        <w:rPr>
          <w:szCs w:val="18"/>
          <w:lang w:val="nl-NL"/>
        </w:rPr>
      </w:pPr>
      <w:bookmarkStart w:id="31" w:name="_Toc135041062"/>
      <w:r w:rsidRPr="006D0D2A">
        <w:rPr>
          <w:szCs w:val="18"/>
          <w:lang w:val="nl-NL"/>
        </w:rPr>
        <w:lastRenderedPageBreak/>
        <w:t xml:space="preserve">Verkrachting </w:t>
      </w:r>
      <w:r w:rsidR="001106D3" w:rsidRPr="006D0D2A">
        <w:rPr>
          <w:szCs w:val="18"/>
          <w:lang w:val="nl-NL"/>
        </w:rPr>
        <w:t>(</w:t>
      </w:r>
      <w:r w:rsidR="00CA766A" w:rsidRPr="006D0D2A">
        <w:rPr>
          <w:szCs w:val="18"/>
          <w:lang w:val="nl-NL"/>
        </w:rPr>
        <w:t>huidi</w:t>
      </w:r>
      <w:r w:rsidR="00CA766A" w:rsidRPr="000B4AB2">
        <w:rPr>
          <w:szCs w:val="18"/>
          <w:lang w:val="nl-NL"/>
        </w:rPr>
        <w:t>g</w:t>
      </w:r>
      <w:r w:rsidR="00662C47" w:rsidRPr="000B4AB2">
        <w:rPr>
          <w:szCs w:val="18"/>
          <w:lang w:val="nl-NL"/>
        </w:rPr>
        <w:t xml:space="preserve"> recht</w:t>
      </w:r>
      <w:r w:rsidR="001106D3" w:rsidRPr="000B4AB2">
        <w:rPr>
          <w:szCs w:val="18"/>
          <w:lang w:val="nl-NL"/>
        </w:rPr>
        <w:t>)</w:t>
      </w:r>
      <w:bookmarkEnd w:id="31"/>
    </w:p>
    <w:p w14:paraId="13A40315" w14:textId="77777777" w:rsidR="00662C47" w:rsidRPr="000B4AB2" w:rsidRDefault="00662C47" w:rsidP="00260F11">
      <w:pPr>
        <w:spacing w:line="360" w:lineRule="auto"/>
        <w:rPr>
          <w:szCs w:val="18"/>
          <w:lang w:val="nl-NL"/>
        </w:rPr>
      </w:pPr>
    </w:p>
    <w:p w14:paraId="39D6C976" w14:textId="5CB6DE54" w:rsidR="00A55F06" w:rsidRDefault="00A55F06"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In </w:t>
      </w:r>
      <w:r w:rsidR="00715B7A">
        <w:rPr>
          <w:color w:val="000000" w:themeColor="text1"/>
          <w:szCs w:val="18"/>
          <w:lang w:val="nl-NL"/>
        </w:rPr>
        <w:t>wat volgt,</w:t>
      </w:r>
      <w:r>
        <w:rPr>
          <w:color w:val="000000" w:themeColor="text1"/>
          <w:szCs w:val="18"/>
          <w:lang w:val="nl-NL"/>
        </w:rPr>
        <w:t xml:space="preserve"> wordt een deelantwoord geformuleerd op de eerste subonderzoeksvraag</w:t>
      </w:r>
      <w:r w:rsidR="006D0D2A">
        <w:rPr>
          <w:color w:val="000000" w:themeColor="text1"/>
          <w:szCs w:val="18"/>
          <w:lang w:val="nl-NL"/>
        </w:rPr>
        <w:t>.</w:t>
      </w:r>
      <w:r w:rsidR="006D0D2A">
        <w:rPr>
          <w:rStyle w:val="FootnoteReference"/>
          <w:color w:val="000000" w:themeColor="text1"/>
          <w:szCs w:val="18"/>
          <w:lang w:val="nl-NL"/>
        </w:rPr>
        <w:footnoteReference w:id="303"/>
      </w:r>
      <w:r w:rsidR="006D0D2A">
        <w:rPr>
          <w:color w:val="000000" w:themeColor="text1"/>
          <w:szCs w:val="18"/>
          <w:lang w:val="nl-NL"/>
        </w:rPr>
        <w:t xml:space="preserve"> </w:t>
      </w:r>
      <w:r>
        <w:rPr>
          <w:color w:val="000000" w:themeColor="text1"/>
          <w:szCs w:val="18"/>
          <w:lang w:val="nl-NL"/>
        </w:rPr>
        <w:t>Met name zal worden nagegaan wat de constitutieve bestanddelen van de huidige strafbaarstelling van verkrachting zijn.</w:t>
      </w:r>
    </w:p>
    <w:p w14:paraId="081C1ED0" w14:textId="77777777" w:rsidR="00A55F06" w:rsidRPr="00A55F06" w:rsidRDefault="00A55F06" w:rsidP="00260F11">
      <w:pPr>
        <w:pStyle w:val="ListParagraph"/>
        <w:spacing w:line="360" w:lineRule="auto"/>
        <w:ind w:left="0"/>
        <w:rPr>
          <w:color w:val="000000" w:themeColor="text1"/>
          <w:szCs w:val="18"/>
          <w:lang w:val="nl-NL"/>
        </w:rPr>
      </w:pPr>
    </w:p>
    <w:p w14:paraId="48B1255A" w14:textId="67E29F55" w:rsidR="00C67643" w:rsidRPr="000B4AB2" w:rsidRDefault="00DC738F" w:rsidP="00260F11">
      <w:pPr>
        <w:pStyle w:val="ListParagraph"/>
        <w:numPr>
          <w:ilvl w:val="0"/>
          <w:numId w:val="1"/>
        </w:numPr>
        <w:spacing w:line="360" w:lineRule="auto"/>
        <w:ind w:left="0" w:hanging="709"/>
        <w:rPr>
          <w:color w:val="000000" w:themeColor="text1"/>
          <w:szCs w:val="18"/>
          <w:lang w:val="nl-NL"/>
        </w:rPr>
      </w:pPr>
      <w:r w:rsidRPr="000B4AB2">
        <w:rPr>
          <w:szCs w:val="18"/>
          <w:lang w:val="nl-NL"/>
        </w:rPr>
        <w:t>Verkrachting wordt voortaan</w:t>
      </w:r>
      <w:r w:rsidR="000E4657">
        <w:rPr>
          <w:szCs w:val="18"/>
          <w:lang w:val="nl-NL"/>
        </w:rPr>
        <w:t xml:space="preserve"> gedefinieerd</w:t>
      </w:r>
      <w:r w:rsidRPr="000B4AB2">
        <w:rPr>
          <w:szCs w:val="18"/>
          <w:lang w:val="nl-NL"/>
        </w:rPr>
        <w:t xml:space="preserve"> als: “</w:t>
      </w:r>
      <w:r w:rsidRPr="000B4AB2">
        <w:rPr>
          <w:i/>
          <w:szCs w:val="18"/>
          <w:lang w:val="nl-NL"/>
        </w:rPr>
        <w:t>elke gestelde daad die bestaat of mede bestaat uit een seksuele penetratie van welke aard en met welk middel ook, gepleegd op een persoon of met behulp van een pers</w:t>
      </w:r>
      <w:r w:rsidR="008D7015">
        <w:rPr>
          <w:i/>
          <w:szCs w:val="18"/>
          <w:lang w:val="nl-NL"/>
        </w:rPr>
        <w:t>o</w:t>
      </w:r>
      <w:r w:rsidRPr="000B4AB2">
        <w:rPr>
          <w:i/>
          <w:szCs w:val="18"/>
          <w:lang w:val="nl-NL"/>
        </w:rPr>
        <w:t>on die daar niet in toestemt.</w:t>
      </w:r>
      <w:r w:rsidRPr="000B4AB2">
        <w:rPr>
          <w:szCs w:val="18"/>
          <w:lang w:val="nl-NL"/>
        </w:rPr>
        <w:t>”</w:t>
      </w:r>
      <w:r w:rsidRPr="000B4AB2">
        <w:rPr>
          <w:rStyle w:val="FootnoteReference"/>
          <w:szCs w:val="18"/>
          <w:lang w:val="nl-NL"/>
        </w:rPr>
        <w:footnoteReference w:id="304"/>
      </w:r>
      <w:r w:rsidRPr="000B4AB2">
        <w:rPr>
          <w:szCs w:val="18"/>
          <w:lang w:val="nl-NL"/>
        </w:rPr>
        <w:t xml:space="preserve"> </w:t>
      </w:r>
      <w:r w:rsidRPr="000B4AB2">
        <w:rPr>
          <w:color w:val="000000" w:themeColor="text1"/>
          <w:szCs w:val="18"/>
          <w:lang w:val="nl-NL"/>
        </w:rPr>
        <w:t xml:space="preserve">De constitutieve bestanddelen van verkrachting </w:t>
      </w:r>
      <w:r w:rsidR="00C67643" w:rsidRPr="000B4AB2">
        <w:rPr>
          <w:color w:val="000000" w:themeColor="text1"/>
          <w:szCs w:val="18"/>
          <w:lang w:val="nl-NL"/>
        </w:rPr>
        <w:t>kunnen schematisch als volgt worden weergegeven.</w:t>
      </w:r>
    </w:p>
    <w:p w14:paraId="1A0AE612" w14:textId="77777777" w:rsidR="00522CEF" w:rsidRPr="000B4AB2" w:rsidRDefault="00522CEF"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C67643" w:rsidRPr="000B4AB2" w14:paraId="63F8F1CF" w14:textId="77777777" w:rsidTr="005854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7483163C" w14:textId="796EC9F6" w:rsidR="00C67643" w:rsidRPr="000B4AB2" w:rsidRDefault="00C67643" w:rsidP="00260F11">
            <w:pPr>
              <w:pStyle w:val="ListParagraph"/>
              <w:spacing w:line="360" w:lineRule="auto"/>
              <w:ind w:left="0"/>
              <w:rPr>
                <w:color w:val="000000" w:themeColor="text1"/>
                <w:szCs w:val="18"/>
                <w:lang w:val="nl-NL"/>
              </w:rPr>
            </w:pPr>
            <w:r w:rsidRPr="000B4AB2">
              <w:rPr>
                <w:color w:val="000000" w:themeColor="text1"/>
                <w:szCs w:val="18"/>
                <w:lang w:val="nl-NL"/>
              </w:rPr>
              <w:t>Constitutieve bestanddelen verkrachting (art. 417/11 Sw.)</w:t>
            </w:r>
          </w:p>
        </w:tc>
      </w:tr>
      <w:tr w:rsidR="00C67643" w:rsidRPr="000B4AB2" w14:paraId="30A5F5EA" w14:textId="77777777" w:rsidTr="005854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0616F55" w14:textId="77777777" w:rsidR="00C67643" w:rsidRPr="000B4AB2" w:rsidRDefault="00C67643"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14F9079E" w14:textId="77777777" w:rsidR="00C67643" w:rsidRPr="000B4AB2" w:rsidRDefault="00C67643"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C67643" w:rsidRPr="00715B7A" w14:paraId="258B2A7B" w14:textId="77777777" w:rsidTr="00585404">
        <w:tc>
          <w:tcPr>
            <w:cnfStyle w:val="001000000000" w:firstRow="0" w:lastRow="0" w:firstColumn="1" w:lastColumn="0" w:oddVBand="0" w:evenVBand="0" w:oddHBand="0" w:evenHBand="0" w:firstRowFirstColumn="0" w:firstRowLastColumn="0" w:lastRowFirstColumn="0" w:lastRowLastColumn="0"/>
            <w:tcW w:w="4531" w:type="dxa"/>
          </w:tcPr>
          <w:p w14:paraId="69D7F0B7" w14:textId="41E080B8" w:rsidR="00C67643" w:rsidRPr="00715B7A" w:rsidRDefault="00FA4414" w:rsidP="00260F11">
            <w:pPr>
              <w:pStyle w:val="ListParagraph"/>
              <w:numPr>
                <w:ilvl w:val="0"/>
                <w:numId w:val="5"/>
              </w:numPr>
              <w:spacing w:line="360" w:lineRule="auto"/>
              <w:rPr>
                <w:b w:val="0"/>
                <w:color w:val="000000" w:themeColor="text1"/>
                <w:szCs w:val="18"/>
                <w:lang w:val="nl-NL"/>
              </w:rPr>
            </w:pPr>
            <w:r w:rsidRPr="00715B7A">
              <w:rPr>
                <w:b w:val="0"/>
                <w:color w:val="000000" w:themeColor="text1"/>
                <w:szCs w:val="18"/>
                <w:lang w:val="nl-NL"/>
              </w:rPr>
              <w:t>Een handeling (mede) bestaand uit een s</w:t>
            </w:r>
            <w:r w:rsidR="00C67643" w:rsidRPr="00715B7A">
              <w:rPr>
                <w:b w:val="0"/>
                <w:color w:val="000000" w:themeColor="text1"/>
                <w:szCs w:val="18"/>
                <w:lang w:val="nl-NL"/>
              </w:rPr>
              <w:t>eksuele penetratie</w:t>
            </w:r>
          </w:p>
          <w:p w14:paraId="1C3A8D1A" w14:textId="644CC5D1" w:rsidR="00C67643" w:rsidRPr="00715B7A" w:rsidRDefault="00C67643" w:rsidP="00260F11">
            <w:pPr>
              <w:pStyle w:val="ListParagraph"/>
              <w:numPr>
                <w:ilvl w:val="1"/>
                <w:numId w:val="5"/>
              </w:numPr>
              <w:spacing w:line="360" w:lineRule="auto"/>
              <w:rPr>
                <w:b w:val="0"/>
                <w:color w:val="000000" w:themeColor="text1"/>
                <w:szCs w:val="18"/>
                <w:lang w:val="nl-NL"/>
              </w:rPr>
            </w:pPr>
            <w:r w:rsidRPr="00715B7A">
              <w:rPr>
                <w:b w:val="0"/>
                <w:color w:val="000000" w:themeColor="text1"/>
                <w:szCs w:val="18"/>
                <w:lang w:val="nl-NL"/>
              </w:rPr>
              <w:t>Gepleegd op</w:t>
            </w:r>
            <w:r w:rsidR="00F21867" w:rsidRPr="00715B7A">
              <w:rPr>
                <w:b w:val="0"/>
                <w:color w:val="000000" w:themeColor="text1"/>
                <w:szCs w:val="18"/>
                <w:lang w:val="nl-NL"/>
              </w:rPr>
              <w:t xml:space="preserve"> of met behulp van</w:t>
            </w:r>
            <w:r w:rsidRPr="00715B7A">
              <w:rPr>
                <w:b w:val="0"/>
                <w:color w:val="000000" w:themeColor="text1"/>
                <w:szCs w:val="18"/>
                <w:lang w:val="nl-NL"/>
              </w:rPr>
              <w:t xml:space="preserve"> een levend persoon</w:t>
            </w:r>
          </w:p>
          <w:p w14:paraId="0D43D226" w14:textId="77777777" w:rsidR="00C67643" w:rsidRPr="00715B7A" w:rsidRDefault="00C67643" w:rsidP="00260F11">
            <w:pPr>
              <w:pStyle w:val="ListParagraph"/>
              <w:numPr>
                <w:ilvl w:val="1"/>
                <w:numId w:val="5"/>
              </w:numPr>
              <w:spacing w:line="360" w:lineRule="auto"/>
              <w:rPr>
                <w:b w:val="0"/>
                <w:color w:val="000000" w:themeColor="text1"/>
                <w:szCs w:val="18"/>
                <w:lang w:val="nl-NL"/>
              </w:rPr>
            </w:pPr>
            <w:r w:rsidRPr="00715B7A">
              <w:rPr>
                <w:b w:val="0"/>
                <w:color w:val="000000" w:themeColor="text1"/>
                <w:szCs w:val="18"/>
                <w:lang w:val="nl-NL"/>
              </w:rPr>
              <w:t>Van welke aard dan ook</w:t>
            </w:r>
          </w:p>
          <w:p w14:paraId="7DE1BC04" w14:textId="77777777" w:rsidR="00C67643" w:rsidRPr="00715B7A" w:rsidRDefault="00C67643" w:rsidP="00260F11">
            <w:pPr>
              <w:pStyle w:val="ListParagraph"/>
              <w:numPr>
                <w:ilvl w:val="1"/>
                <w:numId w:val="5"/>
              </w:numPr>
              <w:spacing w:line="360" w:lineRule="auto"/>
              <w:rPr>
                <w:b w:val="0"/>
                <w:color w:val="000000" w:themeColor="text1"/>
                <w:szCs w:val="18"/>
                <w:lang w:val="nl-NL"/>
              </w:rPr>
            </w:pPr>
            <w:r w:rsidRPr="00715B7A">
              <w:rPr>
                <w:b w:val="0"/>
                <w:color w:val="000000" w:themeColor="text1"/>
                <w:szCs w:val="18"/>
                <w:lang w:val="nl-NL"/>
              </w:rPr>
              <w:t>Met welk middel dan ook</w:t>
            </w:r>
          </w:p>
          <w:p w14:paraId="57F6D8D7" w14:textId="77777777" w:rsidR="00C67643" w:rsidRPr="00715B7A" w:rsidRDefault="00C67643" w:rsidP="00260F11">
            <w:pPr>
              <w:pStyle w:val="ListParagraph"/>
              <w:numPr>
                <w:ilvl w:val="0"/>
                <w:numId w:val="5"/>
              </w:numPr>
              <w:spacing w:line="360" w:lineRule="auto"/>
              <w:rPr>
                <w:b w:val="0"/>
                <w:color w:val="000000" w:themeColor="text1"/>
                <w:szCs w:val="18"/>
                <w:lang w:val="nl-NL"/>
              </w:rPr>
            </w:pPr>
            <w:r w:rsidRPr="00715B7A">
              <w:rPr>
                <w:b w:val="0"/>
                <w:color w:val="000000" w:themeColor="text1"/>
                <w:szCs w:val="18"/>
                <w:lang w:val="nl-NL"/>
              </w:rPr>
              <w:t>Zonder geldige toestemming van het slachtoffer</w:t>
            </w:r>
          </w:p>
        </w:tc>
        <w:tc>
          <w:tcPr>
            <w:tcW w:w="4531" w:type="dxa"/>
          </w:tcPr>
          <w:p w14:paraId="33E9A5D2" w14:textId="670C3705" w:rsidR="00C67643" w:rsidRPr="00715B7A" w:rsidRDefault="00274CD1" w:rsidP="00260F11">
            <w:pPr>
              <w:pStyle w:val="ListParagraph"/>
              <w:spacing w:line="360" w:lineRule="auto"/>
              <w:ind w:left="0"/>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715B7A">
              <w:rPr>
                <w:color w:val="000000" w:themeColor="text1"/>
                <w:szCs w:val="18"/>
                <w:lang w:val="nl-NL"/>
              </w:rPr>
              <w:t>Stilzwijgen wetgever</w:t>
            </w:r>
          </w:p>
        </w:tc>
      </w:tr>
    </w:tbl>
    <w:p w14:paraId="05423081" w14:textId="77777777" w:rsidR="004668C4" w:rsidRPr="000B4AB2" w:rsidRDefault="004668C4" w:rsidP="00260F11">
      <w:pPr>
        <w:spacing w:after="160" w:line="360" w:lineRule="auto"/>
        <w:rPr>
          <w:color w:val="000000" w:themeColor="text1"/>
          <w:szCs w:val="18"/>
          <w:lang w:val="nl-NL"/>
        </w:rPr>
      </w:pPr>
    </w:p>
    <w:p w14:paraId="0B1415D1" w14:textId="7061989C" w:rsidR="00DC738F" w:rsidRPr="000B4AB2" w:rsidRDefault="004668C4" w:rsidP="00260F11">
      <w:pPr>
        <w:pStyle w:val="Heading5"/>
        <w:spacing w:line="360" w:lineRule="auto"/>
        <w:rPr>
          <w:szCs w:val="18"/>
          <w:lang w:val="nl-NL"/>
        </w:rPr>
      </w:pPr>
      <w:bookmarkStart w:id="32" w:name="_Toc135041063"/>
      <w:r w:rsidRPr="000B4AB2">
        <w:rPr>
          <w:szCs w:val="18"/>
          <w:lang w:val="nl-NL"/>
        </w:rPr>
        <w:t>Materiële gedraging</w:t>
      </w:r>
      <w:r w:rsidR="001E2681" w:rsidRPr="000B4AB2">
        <w:rPr>
          <w:szCs w:val="18"/>
          <w:lang w:val="nl-NL"/>
        </w:rPr>
        <w:t xml:space="preserve"> </w:t>
      </w:r>
      <w:r w:rsidR="001E2681" w:rsidRPr="000B4AB2">
        <w:rPr>
          <w:i/>
          <w:szCs w:val="18"/>
          <w:lang w:val="nl-NL"/>
        </w:rPr>
        <w:t>sensu stricto</w:t>
      </w:r>
      <w:bookmarkEnd w:id="32"/>
    </w:p>
    <w:p w14:paraId="04B16265" w14:textId="77777777" w:rsidR="009C0E9D" w:rsidRPr="000B4AB2" w:rsidRDefault="009C0E9D" w:rsidP="00260F11">
      <w:pPr>
        <w:pStyle w:val="ListParagraph"/>
        <w:spacing w:line="360" w:lineRule="auto"/>
        <w:ind w:left="0"/>
        <w:rPr>
          <w:color w:val="000000" w:themeColor="text1"/>
          <w:szCs w:val="18"/>
          <w:lang w:val="nl-NL"/>
        </w:rPr>
      </w:pPr>
    </w:p>
    <w:p w14:paraId="0946D143" w14:textId="5DEDC78D" w:rsidR="00986159" w:rsidRPr="006D0D2A" w:rsidRDefault="00986159" w:rsidP="00260F11">
      <w:pPr>
        <w:pStyle w:val="ListParagraph"/>
        <w:numPr>
          <w:ilvl w:val="0"/>
          <w:numId w:val="1"/>
        </w:numPr>
        <w:spacing w:line="360" w:lineRule="auto"/>
        <w:ind w:left="0" w:hanging="709"/>
        <w:rPr>
          <w:color w:val="000000" w:themeColor="text1"/>
          <w:szCs w:val="18"/>
          <w:lang w:val="nl-NL"/>
        </w:rPr>
      </w:pPr>
      <w:r w:rsidRPr="006D0D2A">
        <w:rPr>
          <w:b/>
          <w:color w:val="000000" w:themeColor="text1"/>
          <w:szCs w:val="18"/>
          <w:lang w:val="nl-NL"/>
        </w:rPr>
        <w:t>(Mede) bestaand uit een seksuele penetratie.</w:t>
      </w:r>
      <w:r w:rsidRPr="006D0D2A">
        <w:rPr>
          <w:color w:val="000000" w:themeColor="text1"/>
          <w:szCs w:val="18"/>
          <w:lang w:val="nl-NL"/>
        </w:rPr>
        <w:t xml:space="preserve"> Met een gedraging die “bestaat uit een seksuele penetratie” wordt gedoeld op de penetratie op zich. Dit omvat het binnendringen in het lichaam. Deze penetratie hoeft overigens niet volledig te zijn. De oude strafbaarstelling van verkrachting stelde evenzeer de penetratie strafbaar, zodat kan worden teruggegrepen naar wat hieromtrent reeds hoger werd uiteengezet.</w:t>
      </w:r>
      <w:r w:rsidR="00244D66" w:rsidRPr="006D0D2A">
        <w:rPr>
          <w:rStyle w:val="FootnoteReference"/>
          <w:color w:val="000000" w:themeColor="text1"/>
          <w:szCs w:val="18"/>
          <w:lang w:val="nl-NL"/>
        </w:rPr>
        <w:footnoteReference w:id="305"/>
      </w:r>
    </w:p>
    <w:p w14:paraId="7CD6B6CD" w14:textId="77777777" w:rsidR="00986159" w:rsidRPr="000B4AB2" w:rsidRDefault="00986159" w:rsidP="00260F11">
      <w:pPr>
        <w:pStyle w:val="ListParagraph"/>
        <w:spacing w:line="360" w:lineRule="auto"/>
        <w:rPr>
          <w:color w:val="000000" w:themeColor="text1"/>
          <w:szCs w:val="18"/>
          <w:lang w:val="nl-NL"/>
        </w:rPr>
      </w:pPr>
    </w:p>
    <w:p w14:paraId="18972071" w14:textId="77777777" w:rsidR="009324ED" w:rsidRPr="000B4AB2" w:rsidRDefault="00986159" w:rsidP="00260F11">
      <w:pPr>
        <w:pStyle w:val="ListParagraph"/>
        <w:spacing w:line="360" w:lineRule="auto"/>
        <w:ind w:left="0"/>
        <w:rPr>
          <w:color w:val="000000" w:themeColor="text1"/>
          <w:szCs w:val="18"/>
          <w:lang w:val="nl-NL"/>
        </w:rPr>
      </w:pPr>
      <w:r w:rsidRPr="000B4AB2">
        <w:rPr>
          <w:color w:val="000000" w:themeColor="text1"/>
          <w:szCs w:val="18"/>
          <w:lang w:val="nl-NL"/>
        </w:rPr>
        <w:t>Met een gedraging die “mede bestaat uit een seksuele penetratie” wordt niet enkel het binnendringen in het lichaam bedoeld, maar ook de gedragingen die daaraan voorafgaan of die erop volgen.</w:t>
      </w:r>
      <w:r w:rsidR="005F3C7B" w:rsidRPr="000B4AB2">
        <w:rPr>
          <w:rStyle w:val="FootnoteReference"/>
          <w:color w:val="000000" w:themeColor="text1"/>
          <w:szCs w:val="18"/>
          <w:lang w:val="nl-NL"/>
        </w:rPr>
        <w:footnoteReference w:id="306"/>
      </w:r>
      <w:r w:rsidR="00360B1C" w:rsidRPr="000B4AB2">
        <w:rPr>
          <w:color w:val="000000" w:themeColor="text1"/>
          <w:szCs w:val="18"/>
          <w:lang w:val="nl-NL"/>
        </w:rPr>
        <w:t xml:space="preserve"> </w:t>
      </w:r>
    </w:p>
    <w:p w14:paraId="1B673028" w14:textId="77777777" w:rsidR="009324ED" w:rsidRPr="000B4AB2" w:rsidRDefault="009324ED" w:rsidP="00260F11">
      <w:pPr>
        <w:pStyle w:val="ListParagraph"/>
        <w:spacing w:line="360" w:lineRule="auto"/>
        <w:ind w:left="0"/>
        <w:rPr>
          <w:color w:val="000000" w:themeColor="text1"/>
          <w:szCs w:val="18"/>
          <w:lang w:val="nl-NL"/>
        </w:rPr>
      </w:pPr>
    </w:p>
    <w:p w14:paraId="226E9144" w14:textId="2D79D26B" w:rsidR="00203800" w:rsidRPr="000B4AB2" w:rsidRDefault="007520EE"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COP bekritiseert deze ruime formulering en stelt dat </w:t>
      </w:r>
      <w:r w:rsidR="009324ED" w:rsidRPr="000B4AB2">
        <w:rPr>
          <w:color w:val="000000" w:themeColor="text1"/>
          <w:szCs w:val="18"/>
          <w:lang w:val="nl-NL"/>
        </w:rPr>
        <w:t>daardoor</w:t>
      </w:r>
      <w:r w:rsidRPr="000B4AB2">
        <w:rPr>
          <w:color w:val="000000" w:themeColor="text1"/>
          <w:szCs w:val="18"/>
          <w:lang w:val="nl-NL"/>
        </w:rPr>
        <w:t xml:space="preserve"> </w:t>
      </w:r>
      <w:r w:rsidR="009324ED" w:rsidRPr="000B4AB2">
        <w:rPr>
          <w:color w:val="000000" w:themeColor="text1"/>
          <w:szCs w:val="18"/>
          <w:lang w:val="nl-NL"/>
        </w:rPr>
        <w:t>(te) veel</w:t>
      </w:r>
      <w:r w:rsidRPr="000B4AB2">
        <w:rPr>
          <w:color w:val="000000" w:themeColor="text1"/>
          <w:szCs w:val="18"/>
          <w:lang w:val="nl-NL"/>
        </w:rPr>
        <w:t xml:space="preserve"> gedragingen onder het toepassingsgebied van het misdrijf zullen </w:t>
      </w:r>
      <w:r w:rsidR="009324ED" w:rsidRPr="000B4AB2">
        <w:rPr>
          <w:color w:val="000000" w:themeColor="text1"/>
          <w:szCs w:val="18"/>
          <w:lang w:val="nl-NL"/>
        </w:rPr>
        <w:t xml:space="preserve">ressorteren, zoals het strelen van de haren dat aan de seksuele penetratie voorafgaat. Hoewel deze opmerking m.i. inhoudelijk kan worden gevolgd, is de gewichtigheid hiervan beperkt aangezien de strafbaarstelling nog steeds een seksuele penetratie </w:t>
      </w:r>
      <w:r w:rsidR="009324ED" w:rsidRPr="000B4AB2">
        <w:rPr>
          <w:color w:val="000000" w:themeColor="text1"/>
          <w:szCs w:val="18"/>
          <w:lang w:val="nl-NL"/>
        </w:rPr>
        <w:lastRenderedPageBreak/>
        <w:t>vereist</w:t>
      </w:r>
      <w:r w:rsidR="005C3C3D">
        <w:rPr>
          <w:color w:val="000000" w:themeColor="text1"/>
          <w:szCs w:val="18"/>
          <w:lang w:val="nl-NL"/>
        </w:rPr>
        <w:t>,</w:t>
      </w:r>
      <w:r w:rsidR="009324ED" w:rsidRPr="000B4AB2">
        <w:rPr>
          <w:color w:val="000000" w:themeColor="text1"/>
          <w:szCs w:val="18"/>
          <w:lang w:val="nl-NL"/>
        </w:rPr>
        <w:t xml:space="preserve"> naast dergelijke gedragingen die eraan vooraf kunnen gaan of er</w:t>
      </w:r>
      <w:r w:rsidR="005C3C3D">
        <w:rPr>
          <w:color w:val="000000" w:themeColor="text1"/>
          <w:szCs w:val="18"/>
          <w:lang w:val="nl-NL"/>
        </w:rPr>
        <w:t>op</w:t>
      </w:r>
      <w:r w:rsidR="009324ED" w:rsidRPr="000B4AB2">
        <w:rPr>
          <w:color w:val="000000" w:themeColor="text1"/>
          <w:szCs w:val="18"/>
          <w:lang w:val="nl-NL"/>
        </w:rPr>
        <w:t xml:space="preserve"> kunnen volgen. De door de wetgever gekozen formulering heeft aldus geenszins tot gevolg dat dergelijke gedragingen </w:t>
      </w:r>
      <w:r w:rsidR="009324ED" w:rsidRPr="000B4AB2">
        <w:rPr>
          <w:i/>
          <w:color w:val="000000" w:themeColor="text1"/>
          <w:szCs w:val="18"/>
          <w:lang w:val="nl-NL"/>
        </w:rPr>
        <w:t>an sich</w:t>
      </w:r>
      <w:r w:rsidR="00CA7F6E">
        <w:rPr>
          <w:color w:val="000000" w:themeColor="text1"/>
          <w:szCs w:val="18"/>
          <w:lang w:val="nl-NL"/>
        </w:rPr>
        <w:t xml:space="preserve"> (</w:t>
      </w:r>
      <w:r w:rsidR="009324ED" w:rsidRPr="000B4AB2">
        <w:rPr>
          <w:color w:val="000000" w:themeColor="text1"/>
          <w:szCs w:val="18"/>
          <w:lang w:val="nl-NL"/>
        </w:rPr>
        <w:t>zonder dat deze gepaard gaan met een seksuele penetratie</w:t>
      </w:r>
      <w:r w:rsidR="00CA7F6E">
        <w:rPr>
          <w:color w:val="000000" w:themeColor="text1"/>
          <w:szCs w:val="18"/>
          <w:lang w:val="nl-NL"/>
        </w:rPr>
        <w:t>)</w:t>
      </w:r>
      <w:r w:rsidR="009324ED" w:rsidRPr="000B4AB2">
        <w:rPr>
          <w:color w:val="000000" w:themeColor="text1"/>
          <w:szCs w:val="18"/>
          <w:lang w:val="nl-NL"/>
        </w:rPr>
        <w:t xml:space="preserve"> als verkrachting kunnen worden gekwalificeerd. </w:t>
      </w:r>
    </w:p>
    <w:p w14:paraId="31ABFCCA" w14:textId="77777777" w:rsidR="00203800" w:rsidRPr="000B4AB2" w:rsidRDefault="00203800" w:rsidP="00260F11">
      <w:pPr>
        <w:pStyle w:val="ListParagraph"/>
        <w:spacing w:line="360" w:lineRule="auto"/>
        <w:ind w:left="0"/>
        <w:rPr>
          <w:color w:val="000000" w:themeColor="text1"/>
          <w:szCs w:val="18"/>
          <w:lang w:val="nl-NL"/>
        </w:rPr>
      </w:pPr>
    </w:p>
    <w:p w14:paraId="496E26A1" w14:textId="0FF5DC88" w:rsidR="00986159" w:rsidRPr="000B4AB2" w:rsidRDefault="005C1036" w:rsidP="00260F11">
      <w:pPr>
        <w:pStyle w:val="ListParagraph"/>
        <w:spacing w:line="360" w:lineRule="auto"/>
        <w:ind w:left="0"/>
        <w:rPr>
          <w:color w:val="000000" w:themeColor="text1"/>
          <w:szCs w:val="18"/>
          <w:lang w:val="nl-NL"/>
        </w:rPr>
      </w:pPr>
      <w:r w:rsidRPr="000B4AB2">
        <w:rPr>
          <w:color w:val="000000" w:themeColor="text1"/>
          <w:szCs w:val="18"/>
          <w:lang w:val="nl-NL"/>
        </w:rPr>
        <w:t>Een</w:t>
      </w:r>
      <w:r w:rsidR="00C50F21" w:rsidRPr="000B4AB2">
        <w:rPr>
          <w:color w:val="000000" w:themeColor="text1"/>
          <w:szCs w:val="18"/>
          <w:lang w:val="nl-NL"/>
        </w:rPr>
        <w:t xml:space="preserve"> wellicht</w:t>
      </w:r>
      <w:r w:rsidR="00203800" w:rsidRPr="000B4AB2">
        <w:rPr>
          <w:color w:val="000000" w:themeColor="text1"/>
          <w:szCs w:val="18"/>
          <w:lang w:val="nl-NL"/>
        </w:rPr>
        <w:t xml:space="preserve"> </w:t>
      </w:r>
      <w:r w:rsidRPr="000B4AB2">
        <w:rPr>
          <w:color w:val="000000" w:themeColor="text1"/>
          <w:szCs w:val="18"/>
          <w:lang w:val="nl-NL"/>
        </w:rPr>
        <w:t xml:space="preserve">belangrijker </w:t>
      </w:r>
      <w:r w:rsidR="00203800" w:rsidRPr="000B4AB2">
        <w:rPr>
          <w:color w:val="000000" w:themeColor="text1"/>
          <w:szCs w:val="18"/>
          <w:lang w:val="nl-NL"/>
        </w:rPr>
        <w:t>gevolg</w:t>
      </w:r>
      <w:r w:rsidR="004674FC">
        <w:rPr>
          <w:color w:val="000000" w:themeColor="text1"/>
          <w:szCs w:val="18"/>
          <w:lang w:val="nl-NL"/>
        </w:rPr>
        <w:t xml:space="preserve"> </w:t>
      </w:r>
      <w:r w:rsidRPr="000B4AB2">
        <w:rPr>
          <w:color w:val="000000" w:themeColor="text1"/>
          <w:szCs w:val="18"/>
          <w:lang w:val="nl-NL"/>
        </w:rPr>
        <w:t>van deze formulering</w:t>
      </w:r>
      <w:r w:rsidR="004674FC" w:rsidRPr="000B4AB2">
        <w:rPr>
          <w:rStyle w:val="FootnoteReference"/>
          <w:color w:val="000000" w:themeColor="text1"/>
          <w:szCs w:val="18"/>
          <w:lang w:val="nl-NL"/>
        </w:rPr>
        <w:footnoteReference w:id="307"/>
      </w:r>
      <w:r w:rsidRPr="000B4AB2">
        <w:rPr>
          <w:color w:val="000000" w:themeColor="text1"/>
          <w:szCs w:val="18"/>
          <w:lang w:val="nl-NL"/>
        </w:rPr>
        <w:t xml:space="preserve"> is dat voortaan </w:t>
      </w:r>
      <w:r w:rsidR="00360B1C" w:rsidRPr="000B4AB2">
        <w:rPr>
          <w:color w:val="000000" w:themeColor="text1"/>
          <w:szCs w:val="18"/>
          <w:lang w:val="nl-NL"/>
        </w:rPr>
        <w:t xml:space="preserve">de situatie waarin </w:t>
      </w:r>
      <w:r w:rsidR="00457F74" w:rsidRPr="000B4AB2">
        <w:rPr>
          <w:color w:val="000000" w:themeColor="text1"/>
          <w:szCs w:val="18"/>
          <w:lang w:val="nl-NL"/>
        </w:rPr>
        <w:t>een</w:t>
      </w:r>
      <w:r w:rsidR="00360B1C" w:rsidRPr="000B4AB2">
        <w:rPr>
          <w:color w:val="000000" w:themeColor="text1"/>
          <w:szCs w:val="18"/>
          <w:lang w:val="nl-NL"/>
        </w:rPr>
        <w:t xml:space="preserve"> van de partijen aangeeft te willen stoppen met de seksuele betrekkingen (nadat het lichaam werd binnengedrongen) en de andere partij hieraan geen gehoor geeft, als verkrachting </w:t>
      </w:r>
      <w:r w:rsidR="00303863">
        <w:rPr>
          <w:color w:val="000000" w:themeColor="text1"/>
          <w:szCs w:val="18"/>
          <w:lang w:val="nl-NL"/>
        </w:rPr>
        <w:t>kan</w:t>
      </w:r>
      <w:r w:rsidR="00360B1C" w:rsidRPr="000B4AB2">
        <w:rPr>
          <w:color w:val="000000" w:themeColor="text1"/>
          <w:szCs w:val="18"/>
          <w:lang w:val="nl-NL"/>
        </w:rPr>
        <w:t xml:space="preserve"> worden gekwalificeerd.</w:t>
      </w:r>
      <w:r w:rsidR="00360B1C" w:rsidRPr="000B4AB2">
        <w:rPr>
          <w:rStyle w:val="FootnoteReference"/>
          <w:color w:val="000000" w:themeColor="text1"/>
          <w:szCs w:val="18"/>
          <w:lang w:val="nl-NL"/>
        </w:rPr>
        <w:footnoteReference w:id="308"/>
      </w:r>
      <w:r w:rsidR="000259C4" w:rsidRPr="000B4AB2">
        <w:rPr>
          <w:color w:val="000000" w:themeColor="text1"/>
          <w:szCs w:val="18"/>
          <w:lang w:val="nl-NL"/>
        </w:rPr>
        <w:t xml:space="preserve"> </w:t>
      </w:r>
      <w:r w:rsidRPr="000B4AB2">
        <w:rPr>
          <w:color w:val="000000" w:themeColor="text1"/>
          <w:szCs w:val="18"/>
          <w:lang w:val="nl-NL"/>
        </w:rPr>
        <w:t>Bovendien leidt deze toevoeging ertoe</w:t>
      </w:r>
      <w:r w:rsidR="00203800" w:rsidRPr="000B4AB2">
        <w:rPr>
          <w:color w:val="000000" w:themeColor="text1"/>
          <w:szCs w:val="18"/>
          <w:lang w:val="nl-NL"/>
        </w:rPr>
        <w:t xml:space="preserve"> </w:t>
      </w:r>
      <w:r w:rsidR="00360B1C" w:rsidRPr="000B4AB2">
        <w:rPr>
          <w:color w:val="000000" w:themeColor="text1"/>
          <w:szCs w:val="18"/>
          <w:lang w:val="nl-NL"/>
        </w:rPr>
        <w:t>dat “</w:t>
      </w:r>
      <w:r w:rsidR="00360B1C" w:rsidRPr="000B4AB2">
        <w:rPr>
          <w:i/>
          <w:color w:val="000000" w:themeColor="text1"/>
          <w:szCs w:val="18"/>
          <w:lang w:val="nl-NL"/>
        </w:rPr>
        <w:t>stealthing</w:t>
      </w:r>
      <w:r w:rsidR="00360B1C" w:rsidRPr="000B4AB2">
        <w:rPr>
          <w:color w:val="000000" w:themeColor="text1"/>
          <w:szCs w:val="18"/>
          <w:lang w:val="nl-NL"/>
        </w:rPr>
        <w:t>”</w:t>
      </w:r>
      <w:r w:rsidR="00360B1C" w:rsidRPr="000B4AB2">
        <w:rPr>
          <w:rStyle w:val="FootnoteReference"/>
          <w:color w:val="000000" w:themeColor="text1"/>
          <w:szCs w:val="18"/>
          <w:lang w:val="nl-NL"/>
        </w:rPr>
        <w:footnoteReference w:id="309"/>
      </w:r>
      <w:r w:rsidR="00360B1C" w:rsidRPr="000B4AB2">
        <w:rPr>
          <w:color w:val="000000" w:themeColor="text1"/>
          <w:szCs w:val="18"/>
          <w:lang w:val="nl-NL"/>
        </w:rPr>
        <w:t xml:space="preserve"> </w:t>
      </w:r>
      <w:r w:rsidR="000259C4" w:rsidRPr="000B4AB2">
        <w:rPr>
          <w:color w:val="000000" w:themeColor="text1"/>
          <w:szCs w:val="18"/>
          <w:lang w:val="nl-NL"/>
        </w:rPr>
        <w:t>eveneens</w:t>
      </w:r>
      <w:r w:rsidR="00360B1C" w:rsidRPr="000B4AB2">
        <w:rPr>
          <w:color w:val="000000" w:themeColor="text1"/>
          <w:szCs w:val="18"/>
          <w:lang w:val="nl-NL"/>
        </w:rPr>
        <w:t xml:space="preserve"> als verkrachting</w:t>
      </w:r>
      <w:r w:rsidR="000259C4" w:rsidRPr="000B4AB2">
        <w:rPr>
          <w:color w:val="000000" w:themeColor="text1"/>
          <w:szCs w:val="18"/>
          <w:lang w:val="nl-NL"/>
        </w:rPr>
        <w:t xml:space="preserve"> kan worden gekwalificeerd onder het </w:t>
      </w:r>
      <w:r w:rsidR="00CB0068" w:rsidRPr="000B4AB2">
        <w:rPr>
          <w:color w:val="000000" w:themeColor="text1"/>
          <w:szCs w:val="18"/>
          <w:lang w:val="nl-NL"/>
        </w:rPr>
        <w:t>huidige</w:t>
      </w:r>
      <w:r w:rsidR="000259C4" w:rsidRPr="000B4AB2">
        <w:rPr>
          <w:color w:val="000000" w:themeColor="text1"/>
          <w:szCs w:val="18"/>
          <w:lang w:val="nl-NL"/>
        </w:rPr>
        <w:t xml:space="preserve"> recht</w:t>
      </w:r>
      <w:r w:rsidR="00360B1C" w:rsidRPr="000B4AB2">
        <w:rPr>
          <w:color w:val="000000" w:themeColor="text1"/>
          <w:szCs w:val="18"/>
          <w:lang w:val="nl-NL"/>
        </w:rPr>
        <w:t>.</w:t>
      </w:r>
      <w:r w:rsidR="00360B1C" w:rsidRPr="000B4AB2">
        <w:rPr>
          <w:rStyle w:val="FootnoteReference"/>
          <w:color w:val="000000" w:themeColor="text1"/>
          <w:szCs w:val="18"/>
          <w:lang w:val="nl-NL"/>
        </w:rPr>
        <w:footnoteReference w:id="310"/>
      </w:r>
    </w:p>
    <w:p w14:paraId="730EA9D3" w14:textId="77777777" w:rsidR="00986159" w:rsidRPr="000B4AB2" w:rsidRDefault="00986159" w:rsidP="00260F11">
      <w:pPr>
        <w:pStyle w:val="ListParagraph"/>
        <w:spacing w:line="360" w:lineRule="auto"/>
        <w:ind w:left="0"/>
        <w:rPr>
          <w:color w:val="000000" w:themeColor="text1"/>
          <w:szCs w:val="18"/>
          <w:lang w:val="nl-NL"/>
        </w:rPr>
      </w:pPr>
    </w:p>
    <w:p w14:paraId="13EE25BE" w14:textId="01E19E08" w:rsidR="00903DC2" w:rsidRPr="000B4AB2" w:rsidRDefault="00887E44"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w:t>
      </w:r>
      <w:r w:rsidR="005A1B29" w:rsidRPr="000B4AB2">
        <w:rPr>
          <w:b/>
          <w:color w:val="000000" w:themeColor="text1"/>
          <w:szCs w:val="18"/>
          <w:lang w:val="nl-NL"/>
        </w:rPr>
        <w:t>eksueel karakter</w:t>
      </w:r>
      <w:r w:rsidR="005A1B29" w:rsidRPr="000B4AB2">
        <w:rPr>
          <w:color w:val="000000" w:themeColor="text1"/>
          <w:szCs w:val="18"/>
          <w:lang w:val="nl-NL"/>
        </w:rPr>
        <w:t xml:space="preserve">. </w:t>
      </w:r>
      <w:r w:rsidR="009F6D15" w:rsidRPr="000B4AB2">
        <w:rPr>
          <w:color w:val="000000" w:themeColor="text1"/>
          <w:szCs w:val="18"/>
          <w:lang w:val="nl-NL"/>
        </w:rPr>
        <w:t xml:space="preserve">De wetgever </w:t>
      </w:r>
      <w:r w:rsidR="00FE2595" w:rsidRPr="000B4AB2">
        <w:rPr>
          <w:color w:val="000000" w:themeColor="text1"/>
          <w:szCs w:val="18"/>
          <w:lang w:val="nl-NL"/>
        </w:rPr>
        <w:t>heeft</w:t>
      </w:r>
      <w:r w:rsidR="009F6D15" w:rsidRPr="000B4AB2">
        <w:rPr>
          <w:color w:val="000000" w:themeColor="text1"/>
          <w:szCs w:val="18"/>
          <w:lang w:val="nl-NL"/>
        </w:rPr>
        <w:t xml:space="preserve"> niet </w:t>
      </w:r>
      <w:r w:rsidR="00FE2595" w:rsidRPr="000B4AB2">
        <w:rPr>
          <w:color w:val="000000" w:themeColor="text1"/>
          <w:szCs w:val="18"/>
          <w:lang w:val="nl-NL"/>
        </w:rPr>
        <w:t xml:space="preserve">voorzien </w:t>
      </w:r>
      <w:r w:rsidR="009F6D15" w:rsidRPr="000B4AB2">
        <w:rPr>
          <w:color w:val="000000" w:themeColor="text1"/>
          <w:szCs w:val="18"/>
          <w:lang w:val="nl-NL"/>
        </w:rPr>
        <w:t xml:space="preserve">in een definitie van “seksueel”, maar verduidelijkt in de memorie van toelichting dat het </w:t>
      </w:r>
      <w:r w:rsidR="00FE2595" w:rsidRPr="000B4AB2">
        <w:rPr>
          <w:color w:val="000000" w:themeColor="text1"/>
          <w:szCs w:val="18"/>
          <w:lang w:val="nl-NL"/>
        </w:rPr>
        <w:t>moet</w:t>
      </w:r>
      <w:r w:rsidR="009F6D15" w:rsidRPr="000B4AB2">
        <w:rPr>
          <w:color w:val="000000" w:themeColor="text1"/>
          <w:szCs w:val="18"/>
          <w:lang w:val="nl-NL"/>
        </w:rPr>
        <w:t xml:space="preserve"> gaan om “een handeling die een redelijk persoon als seksueel kan bestempelen en dus als een aantasting van zijn seksuele integriteit kan ervaren</w:t>
      </w:r>
      <w:r w:rsidR="00246E15" w:rsidRPr="000B4AB2">
        <w:rPr>
          <w:color w:val="000000" w:themeColor="text1"/>
          <w:szCs w:val="18"/>
          <w:lang w:val="nl-NL"/>
        </w:rPr>
        <w:t>”</w:t>
      </w:r>
      <w:r w:rsidR="004254ED" w:rsidRPr="000B4AB2">
        <w:rPr>
          <w:color w:val="000000" w:themeColor="text1"/>
          <w:szCs w:val="18"/>
          <w:lang w:val="nl-NL"/>
        </w:rPr>
        <w:t>.</w:t>
      </w:r>
      <w:r w:rsidR="004254ED" w:rsidRPr="000B4AB2">
        <w:rPr>
          <w:rStyle w:val="FootnoteReference"/>
          <w:color w:val="000000" w:themeColor="text1"/>
          <w:szCs w:val="18"/>
          <w:lang w:val="nl-NL"/>
        </w:rPr>
        <w:footnoteReference w:id="311"/>
      </w:r>
      <w:r w:rsidR="003121EC" w:rsidRPr="000B4AB2">
        <w:rPr>
          <w:color w:val="000000" w:themeColor="text1"/>
          <w:szCs w:val="18"/>
          <w:lang w:val="nl-NL"/>
        </w:rPr>
        <w:t xml:space="preserve"> </w:t>
      </w:r>
      <w:r w:rsidR="00903DC2" w:rsidRPr="000B4AB2">
        <w:rPr>
          <w:color w:val="000000" w:themeColor="text1"/>
          <w:szCs w:val="18"/>
          <w:lang w:val="nl-NL"/>
        </w:rPr>
        <w:t xml:space="preserve">N.a.v. </w:t>
      </w:r>
      <w:r w:rsidR="00457F74" w:rsidRPr="000B4AB2">
        <w:rPr>
          <w:color w:val="000000" w:themeColor="text1"/>
          <w:szCs w:val="18"/>
          <w:lang w:val="nl-NL"/>
        </w:rPr>
        <w:t>een</w:t>
      </w:r>
      <w:r w:rsidR="00903DC2" w:rsidRPr="000B4AB2">
        <w:rPr>
          <w:color w:val="000000" w:themeColor="text1"/>
          <w:szCs w:val="18"/>
          <w:lang w:val="nl-NL"/>
        </w:rPr>
        <w:t xml:space="preserve"> van de adviezen</w:t>
      </w:r>
      <w:r w:rsidR="005C3C3D" w:rsidRPr="000B4AB2">
        <w:rPr>
          <w:rStyle w:val="FootnoteReference"/>
          <w:color w:val="000000" w:themeColor="text1"/>
          <w:szCs w:val="18"/>
          <w:lang w:val="nl-NL"/>
        </w:rPr>
        <w:footnoteReference w:id="312"/>
      </w:r>
      <w:r w:rsidR="00903DC2" w:rsidRPr="000B4AB2">
        <w:rPr>
          <w:color w:val="000000" w:themeColor="text1"/>
          <w:szCs w:val="18"/>
          <w:lang w:val="nl-NL"/>
        </w:rPr>
        <w:t xml:space="preserve"> van de Raad van State</w:t>
      </w:r>
      <w:r w:rsidR="005C3C3D">
        <w:rPr>
          <w:color w:val="000000" w:themeColor="text1"/>
          <w:szCs w:val="18"/>
          <w:lang w:val="nl-NL"/>
        </w:rPr>
        <w:t>,</w:t>
      </w:r>
      <w:r w:rsidR="00903DC2" w:rsidRPr="000B4AB2">
        <w:rPr>
          <w:rStyle w:val="FootnoteReference"/>
          <w:color w:val="000000" w:themeColor="text1"/>
          <w:szCs w:val="18"/>
          <w:lang w:val="nl-NL"/>
        </w:rPr>
        <w:footnoteReference w:id="313"/>
      </w:r>
      <w:r w:rsidR="00903DC2" w:rsidRPr="000B4AB2">
        <w:rPr>
          <w:color w:val="000000" w:themeColor="text1"/>
          <w:szCs w:val="18"/>
          <w:lang w:val="nl-NL"/>
        </w:rPr>
        <w:t xml:space="preserve"> werd in de memorie van toelichting </w:t>
      </w:r>
      <w:r w:rsidR="00123514">
        <w:rPr>
          <w:color w:val="000000" w:themeColor="text1"/>
          <w:szCs w:val="18"/>
          <w:lang w:val="nl-NL"/>
        </w:rPr>
        <w:t>bovendien verduidelijkt dat het niet</w:t>
      </w:r>
      <w:r w:rsidR="00E4396D" w:rsidRPr="000B4AB2">
        <w:rPr>
          <w:color w:val="000000" w:themeColor="text1"/>
          <w:szCs w:val="18"/>
          <w:lang w:val="nl-NL"/>
        </w:rPr>
        <w:t xml:space="preserve"> de bedoeling </w:t>
      </w:r>
      <w:r w:rsidR="00123514">
        <w:rPr>
          <w:color w:val="000000" w:themeColor="text1"/>
          <w:szCs w:val="18"/>
          <w:lang w:val="nl-NL"/>
        </w:rPr>
        <w:t xml:space="preserve">van de wetgever zou </w:t>
      </w:r>
      <w:r w:rsidR="003121EC" w:rsidRPr="000B4AB2">
        <w:rPr>
          <w:color w:val="000000" w:themeColor="text1"/>
          <w:szCs w:val="18"/>
          <w:lang w:val="nl-NL"/>
        </w:rPr>
        <w:t>zijn om</w:t>
      </w:r>
      <w:r w:rsidR="00C465F1" w:rsidRPr="000B4AB2">
        <w:rPr>
          <w:color w:val="000000" w:themeColor="text1"/>
          <w:szCs w:val="18"/>
          <w:lang w:val="nl-NL"/>
        </w:rPr>
        <w:t xml:space="preserve"> </w:t>
      </w:r>
      <w:r w:rsidR="00AE44F8" w:rsidRPr="000B4AB2">
        <w:rPr>
          <w:color w:val="000000" w:themeColor="text1"/>
          <w:szCs w:val="18"/>
          <w:lang w:val="nl-NL"/>
        </w:rPr>
        <w:t xml:space="preserve">een opgedrongen </w:t>
      </w:r>
      <w:r w:rsidR="00903DC2" w:rsidRPr="000B4AB2">
        <w:rPr>
          <w:color w:val="000000" w:themeColor="text1"/>
          <w:szCs w:val="18"/>
          <w:lang w:val="nl-NL"/>
        </w:rPr>
        <w:t>tongzoen</w:t>
      </w:r>
      <w:r w:rsidR="00E4396D" w:rsidRPr="000B4AB2">
        <w:rPr>
          <w:color w:val="000000" w:themeColor="text1"/>
          <w:szCs w:val="18"/>
          <w:lang w:val="nl-NL"/>
        </w:rPr>
        <w:t xml:space="preserve"> </w:t>
      </w:r>
      <w:r w:rsidR="00C465F1" w:rsidRPr="000B4AB2">
        <w:rPr>
          <w:color w:val="000000" w:themeColor="text1"/>
          <w:szCs w:val="18"/>
          <w:lang w:val="nl-NL"/>
        </w:rPr>
        <w:t xml:space="preserve">als </w:t>
      </w:r>
      <w:r w:rsidR="00E4396D" w:rsidRPr="000B4AB2">
        <w:rPr>
          <w:color w:val="000000" w:themeColor="text1"/>
          <w:szCs w:val="18"/>
          <w:lang w:val="nl-NL"/>
        </w:rPr>
        <w:t>verkrachting</w:t>
      </w:r>
      <w:r w:rsidR="00C465F1" w:rsidRPr="000B4AB2">
        <w:rPr>
          <w:color w:val="000000" w:themeColor="text1"/>
          <w:szCs w:val="18"/>
          <w:lang w:val="nl-NL"/>
        </w:rPr>
        <w:t xml:space="preserve"> </w:t>
      </w:r>
      <w:r w:rsidR="00903DC2" w:rsidRPr="000B4AB2">
        <w:rPr>
          <w:color w:val="000000" w:themeColor="text1"/>
          <w:szCs w:val="18"/>
          <w:lang w:val="nl-NL"/>
        </w:rPr>
        <w:t>te</w:t>
      </w:r>
      <w:r w:rsidR="00C465F1" w:rsidRPr="000B4AB2">
        <w:rPr>
          <w:color w:val="000000" w:themeColor="text1"/>
          <w:szCs w:val="18"/>
          <w:lang w:val="nl-NL"/>
        </w:rPr>
        <w:t xml:space="preserve"> </w:t>
      </w:r>
      <w:r w:rsidR="00903DC2" w:rsidRPr="000B4AB2">
        <w:rPr>
          <w:color w:val="000000" w:themeColor="text1"/>
          <w:szCs w:val="18"/>
          <w:lang w:val="nl-NL"/>
        </w:rPr>
        <w:t>beschouwen</w:t>
      </w:r>
      <w:r w:rsidR="00AE44F8" w:rsidRPr="000B4AB2">
        <w:rPr>
          <w:color w:val="000000" w:themeColor="text1"/>
          <w:szCs w:val="18"/>
          <w:lang w:val="nl-NL"/>
        </w:rPr>
        <w:t>.</w:t>
      </w:r>
      <w:r w:rsidR="00112649" w:rsidRPr="000B4AB2">
        <w:rPr>
          <w:rStyle w:val="FootnoteReference"/>
          <w:color w:val="000000" w:themeColor="text1"/>
          <w:szCs w:val="18"/>
          <w:lang w:val="nl-NL"/>
        </w:rPr>
        <w:footnoteReference w:id="314"/>
      </w:r>
      <w:r w:rsidR="00AE44F8" w:rsidRPr="000B4AB2">
        <w:rPr>
          <w:color w:val="000000" w:themeColor="text1"/>
          <w:szCs w:val="18"/>
          <w:lang w:val="nl-NL"/>
        </w:rPr>
        <w:t xml:space="preserve"> </w:t>
      </w:r>
    </w:p>
    <w:p w14:paraId="27F488A8" w14:textId="77777777" w:rsidR="00903DC2" w:rsidRPr="000B4AB2" w:rsidRDefault="00903DC2" w:rsidP="00260F11">
      <w:pPr>
        <w:pStyle w:val="ListParagraph"/>
        <w:spacing w:line="360" w:lineRule="auto"/>
        <w:ind w:left="0"/>
        <w:rPr>
          <w:color w:val="000000" w:themeColor="text1"/>
          <w:szCs w:val="18"/>
          <w:lang w:val="nl-NL"/>
        </w:rPr>
      </w:pPr>
    </w:p>
    <w:p w14:paraId="73AD0987" w14:textId="0E503366" w:rsidR="00AE44F8" w:rsidRPr="000B4AB2" w:rsidRDefault="00112649" w:rsidP="00260F11">
      <w:pPr>
        <w:pStyle w:val="ListParagraph"/>
        <w:spacing w:line="360" w:lineRule="auto"/>
        <w:ind w:left="0"/>
        <w:rPr>
          <w:color w:val="000000" w:themeColor="text1"/>
          <w:szCs w:val="18"/>
          <w:lang w:val="nl-NL"/>
        </w:rPr>
      </w:pPr>
      <w:r w:rsidRPr="000B4AB2">
        <w:rPr>
          <w:color w:val="000000" w:themeColor="text1"/>
          <w:szCs w:val="18"/>
          <w:lang w:val="nl-NL"/>
        </w:rPr>
        <w:t>H</w:t>
      </w:r>
      <w:r w:rsidR="00AE44F8" w:rsidRPr="000B4AB2">
        <w:rPr>
          <w:color w:val="000000" w:themeColor="text1"/>
          <w:szCs w:val="18"/>
          <w:lang w:val="nl-NL"/>
        </w:rPr>
        <w:t xml:space="preserve">et College van procureurs-generaal stelt </w:t>
      </w:r>
      <w:r w:rsidR="004702B6" w:rsidRPr="000B4AB2">
        <w:rPr>
          <w:color w:val="000000" w:themeColor="text1"/>
          <w:szCs w:val="18"/>
          <w:lang w:val="nl-NL"/>
        </w:rPr>
        <w:t xml:space="preserve">evenwel </w:t>
      </w:r>
      <w:r w:rsidR="00123514">
        <w:rPr>
          <w:color w:val="000000" w:themeColor="text1"/>
          <w:szCs w:val="18"/>
          <w:lang w:val="nl-NL"/>
        </w:rPr>
        <w:t>dat</w:t>
      </w:r>
      <w:r w:rsidR="00AE44F8" w:rsidRPr="000B4AB2">
        <w:rPr>
          <w:color w:val="000000" w:themeColor="text1"/>
          <w:szCs w:val="18"/>
          <w:lang w:val="nl-NL"/>
        </w:rPr>
        <w:t xml:space="preserve"> dit o.m. ingaat tegen het Verdrag van Istanbul</w:t>
      </w:r>
      <w:r w:rsidR="00303863">
        <w:rPr>
          <w:color w:val="000000" w:themeColor="text1"/>
          <w:szCs w:val="18"/>
          <w:lang w:val="nl-NL"/>
        </w:rPr>
        <w:t>,</w:t>
      </w:r>
      <w:r w:rsidR="003D22C8">
        <w:rPr>
          <w:rStyle w:val="FootnoteReference"/>
          <w:color w:val="000000" w:themeColor="text1"/>
          <w:szCs w:val="18"/>
          <w:lang w:val="nl-NL"/>
        </w:rPr>
        <w:footnoteReference w:id="315"/>
      </w:r>
      <w:r w:rsidR="00AE44F8" w:rsidRPr="000B4AB2">
        <w:rPr>
          <w:color w:val="000000" w:themeColor="text1"/>
          <w:szCs w:val="18"/>
          <w:lang w:val="nl-NL"/>
        </w:rPr>
        <w:t xml:space="preserve"> </w:t>
      </w:r>
      <w:r w:rsidRPr="000B4AB2">
        <w:rPr>
          <w:color w:val="000000" w:themeColor="text1"/>
          <w:szCs w:val="18"/>
          <w:lang w:val="nl-NL"/>
        </w:rPr>
        <w:t>op grond waarvan het België</w:t>
      </w:r>
      <w:r w:rsidR="00AE44F8" w:rsidRPr="000B4AB2">
        <w:rPr>
          <w:color w:val="000000" w:themeColor="text1"/>
          <w:szCs w:val="18"/>
          <w:lang w:val="nl-NL"/>
        </w:rPr>
        <w:t xml:space="preserve"> “opgedragen wordt om alle vormen van seksuele penetratie strafbaar te stellen”</w:t>
      </w:r>
      <w:r w:rsidR="00BD137F" w:rsidRPr="000B4AB2">
        <w:rPr>
          <w:color w:val="000000" w:themeColor="text1"/>
          <w:szCs w:val="18"/>
          <w:lang w:val="nl-NL"/>
        </w:rPr>
        <w:t>.</w:t>
      </w:r>
      <w:r w:rsidRPr="000B4AB2">
        <w:rPr>
          <w:rStyle w:val="FootnoteReference"/>
          <w:color w:val="000000" w:themeColor="text1"/>
          <w:szCs w:val="18"/>
          <w:lang w:val="nl-NL"/>
        </w:rPr>
        <w:footnoteReference w:id="316"/>
      </w:r>
      <w:r w:rsidR="008E4FD7" w:rsidRPr="000B4AB2">
        <w:rPr>
          <w:color w:val="000000" w:themeColor="text1"/>
          <w:szCs w:val="18"/>
          <w:lang w:val="nl-NL"/>
        </w:rPr>
        <w:t xml:space="preserve"> Het College van procureurs-generaal raadt dan ook aan om i.g.v. een </w:t>
      </w:r>
      <w:r w:rsidR="008E4FD7" w:rsidRPr="000B4AB2">
        <w:rPr>
          <w:color w:val="000000" w:themeColor="text1"/>
          <w:szCs w:val="18"/>
          <w:lang w:val="nl-NL"/>
        </w:rPr>
        <w:lastRenderedPageBreak/>
        <w:t>opgedrongen tongzoen, steeds de context naderbij te bekijken om na te gaan of dit kwalificeert als een verkrachting.</w:t>
      </w:r>
      <w:r w:rsidR="00903DC2" w:rsidRPr="000B4AB2">
        <w:rPr>
          <w:rStyle w:val="FootnoteReference"/>
          <w:color w:val="000000" w:themeColor="text1"/>
          <w:szCs w:val="18"/>
          <w:lang w:val="nl-NL"/>
        </w:rPr>
        <w:footnoteReference w:id="317"/>
      </w:r>
    </w:p>
    <w:p w14:paraId="7123BBD4" w14:textId="77777777" w:rsidR="005A1B29" w:rsidRPr="000B4AB2" w:rsidRDefault="005A1B29" w:rsidP="00260F11">
      <w:pPr>
        <w:pStyle w:val="ListParagraph"/>
        <w:spacing w:line="360" w:lineRule="auto"/>
        <w:ind w:left="0"/>
        <w:rPr>
          <w:color w:val="000000" w:themeColor="text1"/>
          <w:szCs w:val="18"/>
          <w:lang w:val="nl-NL"/>
        </w:rPr>
      </w:pPr>
    </w:p>
    <w:p w14:paraId="15D69CFB" w14:textId="3C6D0EFD" w:rsidR="00986159" w:rsidRPr="000B4AB2" w:rsidRDefault="005A1B29"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Van welke aard en met welk middel dan ook</w:t>
      </w:r>
      <w:r w:rsidRPr="000B4AB2">
        <w:rPr>
          <w:color w:val="000000" w:themeColor="text1"/>
          <w:szCs w:val="18"/>
          <w:lang w:val="nl-NL"/>
        </w:rPr>
        <w:t xml:space="preserve">. </w:t>
      </w:r>
      <w:r w:rsidR="008F7337" w:rsidRPr="000B4AB2">
        <w:rPr>
          <w:color w:val="000000" w:themeColor="text1"/>
          <w:szCs w:val="18"/>
          <w:lang w:val="nl-NL"/>
        </w:rPr>
        <w:t>Dit was tevens</w:t>
      </w:r>
      <w:r w:rsidR="000D34E1" w:rsidRPr="000B4AB2">
        <w:rPr>
          <w:color w:val="000000" w:themeColor="text1"/>
          <w:szCs w:val="18"/>
          <w:lang w:val="nl-NL"/>
        </w:rPr>
        <w:t xml:space="preserve"> het geval onder het oude recht</w:t>
      </w:r>
      <w:r w:rsidR="00123514">
        <w:rPr>
          <w:color w:val="000000" w:themeColor="text1"/>
          <w:szCs w:val="18"/>
          <w:lang w:val="nl-NL"/>
        </w:rPr>
        <w:t>, zodat kan worden teruggegrepen naar hetgeen hieromtrent reeds hoger werd uiteengezet</w:t>
      </w:r>
      <w:r w:rsidR="006D0D2A">
        <w:rPr>
          <w:color w:val="000000" w:themeColor="text1"/>
          <w:szCs w:val="18"/>
          <w:lang w:val="nl-NL"/>
        </w:rPr>
        <w:t>.</w:t>
      </w:r>
      <w:r w:rsidR="006D0D2A">
        <w:rPr>
          <w:rStyle w:val="FootnoteReference"/>
          <w:color w:val="000000" w:themeColor="text1"/>
          <w:szCs w:val="18"/>
          <w:lang w:val="nl-NL"/>
        </w:rPr>
        <w:footnoteReference w:id="318"/>
      </w:r>
    </w:p>
    <w:p w14:paraId="11502AE6" w14:textId="77777777" w:rsidR="00220822" w:rsidRPr="000B4AB2" w:rsidRDefault="00220822" w:rsidP="00260F11">
      <w:pPr>
        <w:pStyle w:val="ListParagraph"/>
        <w:spacing w:line="360" w:lineRule="auto"/>
        <w:ind w:left="0"/>
        <w:rPr>
          <w:color w:val="000000" w:themeColor="text1"/>
          <w:szCs w:val="18"/>
          <w:lang w:val="nl-NL"/>
        </w:rPr>
      </w:pPr>
    </w:p>
    <w:p w14:paraId="52028D2A" w14:textId="46334D4D" w:rsidR="00C012F4" w:rsidRPr="000B4AB2" w:rsidRDefault="009D271A" w:rsidP="00260F11">
      <w:pPr>
        <w:pStyle w:val="Heading5"/>
        <w:spacing w:line="360" w:lineRule="auto"/>
        <w:rPr>
          <w:szCs w:val="18"/>
          <w:lang w:val="nl-NL"/>
        </w:rPr>
      </w:pPr>
      <w:bookmarkStart w:id="33" w:name="_Toc135041064"/>
      <w:r w:rsidRPr="000B4AB2">
        <w:rPr>
          <w:szCs w:val="18"/>
          <w:lang w:val="nl-NL"/>
        </w:rPr>
        <w:t>Rol van het slachtoffer</w:t>
      </w:r>
      <w:bookmarkEnd w:id="33"/>
    </w:p>
    <w:p w14:paraId="10A0083A" w14:textId="77777777" w:rsidR="00D83D84" w:rsidRPr="000B4AB2" w:rsidRDefault="00D83D84" w:rsidP="00260F11">
      <w:pPr>
        <w:pStyle w:val="ListParagraph"/>
        <w:spacing w:line="360" w:lineRule="auto"/>
        <w:ind w:left="0"/>
        <w:rPr>
          <w:color w:val="000000" w:themeColor="text1"/>
          <w:szCs w:val="18"/>
          <w:lang w:val="nl-NL"/>
        </w:rPr>
      </w:pPr>
    </w:p>
    <w:p w14:paraId="2B538D99" w14:textId="35456790" w:rsidR="00D83D84" w:rsidRPr="00123514" w:rsidRDefault="00C76082" w:rsidP="00260F11">
      <w:pPr>
        <w:pStyle w:val="ListParagraph"/>
        <w:numPr>
          <w:ilvl w:val="0"/>
          <w:numId w:val="1"/>
        </w:numPr>
        <w:spacing w:line="360" w:lineRule="auto"/>
        <w:ind w:left="0" w:hanging="709"/>
        <w:rPr>
          <w:color w:val="000000" w:themeColor="text1"/>
          <w:szCs w:val="18"/>
          <w:lang w:val="nl-NL"/>
        </w:rPr>
      </w:pPr>
      <w:r w:rsidRPr="00123514">
        <w:rPr>
          <w:b/>
          <w:color w:val="000000" w:themeColor="text1"/>
          <w:szCs w:val="18"/>
          <w:lang w:val="nl-NL"/>
        </w:rPr>
        <w:t>Slachtoffer</w:t>
      </w:r>
      <w:r w:rsidRPr="00123514">
        <w:rPr>
          <w:color w:val="000000" w:themeColor="text1"/>
          <w:szCs w:val="18"/>
          <w:lang w:val="nl-NL"/>
        </w:rPr>
        <w:t xml:space="preserve">. </w:t>
      </w:r>
      <w:r w:rsidR="00D83D84" w:rsidRPr="00123514">
        <w:rPr>
          <w:color w:val="000000" w:themeColor="text1"/>
          <w:szCs w:val="18"/>
          <w:lang w:val="nl-NL"/>
        </w:rPr>
        <w:t>Over de persoon van het slachtoffer, kunnen dezelfde opmerkingen worden gemaakt als onder het oude recht</w:t>
      </w:r>
      <w:r w:rsidR="004F748B" w:rsidRPr="00123514">
        <w:rPr>
          <w:color w:val="000000" w:themeColor="text1"/>
          <w:szCs w:val="18"/>
          <w:lang w:val="nl-NL"/>
        </w:rPr>
        <w:t>.</w:t>
      </w:r>
      <w:r w:rsidR="00123514">
        <w:rPr>
          <w:rStyle w:val="FootnoteReference"/>
          <w:color w:val="000000" w:themeColor="text1"/>
          <w:szCs w:val="18"/>
          <w:lang w:val="nl-NL"/>
        </w:rPr>
        <w:footnoteReference w:id="319"/>
      </w:r>
    </w:p>
    <w:p w14:paraId="76D0EB42" w14:textId="77777777" w:rsidR="00123514" w:rsidRPr="00123514" w:rsidRDefault="00123514" w:rsidP="00260F11">
      <w:pPr>
        <w:pStyle w:val="ListParagraph"/>
        <w:spacing w:line="360" w:lineRule="auto"/>
        <w:ind w:left="0"/>
        <w:rPr>
          <w:color w:val="000000" w:themeColor="text1"/>
          <w:szCs w:val="18"/>
          <w:highlight w:val="yellow"/>
          <w:lang w:val="nl-NL"/>
        </w:rPr>
      </w:pPr>
    </w:p>
    <w:p w14:paraId="775FE5E0" w14:textId="4DB7F6D7" w:rsidR="00DC738F" w:rsidRPr="000B4AB2" w:rsidRDefault="002E7BFC"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Slachtofferpenetraties</w:t>
      </w:r>
      <w:r w:rsidRPr="000B4AB2">
        <w:rPr>
          <w:color w:val="000000" w:themeColor="text1"/>
          <w:szCs w:val="18"/>
          <w:lang w:val="nl-NL"/>
        </w:rPr>
        <w:t xml:space="preserve">. Vooreerst heeft artikel 417/11 </w:t>
      </w:r>
      <w:r w:rsidR="0081584B">
        <w:rPr>
          <w:color w:val="000000" w:themeColor="text1"/>
          <w:szCs w:val="18"/>
          <w:lang w:val="nl-NL"/>
        </w:rPr>
        <w:t xml:space="preserve">van het </w:t>
      </w:r>
      <w:r w:rsidR="00CE0637">
        <w:rPr>
          <w:color w:val="000000" w:themeColor="text1"/>
          <w:szCs w:val="18"/>
          <w:lang w:val="nl-NL"/>
        </w:rPr>
        <w:t>Strafwetboek</w:t>
      </w:r>
      <w:r w:rsidRPr="000B4AB2">
        <w:rPr>
          <w:color w:val="000000" w:themeColor="text1"/>
          <w:szCs w:val="18"/>
          <w:lang w:val="nl-NL"/>
        </w:rPr>
        <w:t xml:space="preserve"> het over penetraties op het slachtoffer. Hiermee worden de </w:t>
      </w:r>
      <w:r w:rsidR="001C3B2F" w:rsidRPr="000B4AB2">
        <w:rPr>
          <w:color w:val="000000" w:themeColor="text1"/>
          <w:szCs w:val="18"/>
          <w:lang w:val="nl-NL"/>
        </w:rPr>
        <w:t>penetraties</w:t>
      </w:r>
      <w:r w:rsidRPr="000B4AB2">
        <w:rPr>
          <w:color w:val="000000" w:themeColor="text1"/>
          <w:szCs w:val="18"/>
          <w:lang w:val="nl-NL"/>
        </w:rPr>
        <w:t xml:space="preserve"> bedoeld</w:t>
      </w:r>
      <w:r w:rsidR="001C3B2F" w:rsidRPr="000B4AB2">
        <w:rPr>
          <w:color w:val="000000" w:themeColor="text1"/>
          <w:szCs w:val="18"/>
          <w:lang w:val="nl-NL"/>
        </w:rPr>
        <w:t xml:space="preserve"> van het lichaam van het slachtoffer zelf.</w:t>
      </w:r>
      <w:r w:rsidRPr="000B4AB2">
        <w:rPr>
          <w:color w:val="000000" w:themeColor="text1"/>
          <w:szCs w:val="18"/>
          <w:lang w:val="nl-NL"/>
        </w:rPr>
        <w:t xml:space="preserve"> De penetratie kan gebeuren door de dader, maar bijvoorbeeld ook door het slachtoffer zelf (zelfpenetratie) indien de dader het slachtoffer daartoe verplichte.</w:t>
      </w:r>
      <w:r w:rsidR="00AA7961" w:rsidRPr="000B4AB2">
        <w:rPr>
          <w:rStyle w:val="FootnoteReference"/>
          <w:color w:val="000000" w:themeColor="text1"/>
          <w:szCs w:val="18"/>
          <w:lang w:val="nl-NL"/>
        </w:rPr>
        <w:footnoteReference w:id="320"/>
      </w:r>
    </w:p>
    <w:p w14:paraId="64DA81A8" w14:textId="77777777" w:rsidR="001C3B2F" w:rsidRPr="000B4AB2" w:rsidRDefault="001C3B2F" w:rsidP="00260F11">
      <w:pPr>
        <w:pStyle w:val="ListParagraph"/>
        <w:spacing w:line="360" w:lineRule="auto"/>
        <w:rPr>
          <w:color w:val="000000" w:themeColor="text1"/>
          <w:szCs w:val="18"/>
          <w:lang w:val="nl-NL"/>
        </w:rPr>
      </w:pPr>
    </w:p>
    <w:p w14:paraId="5DE3D676" w14:textId="72AF4A31" w:rsidR="001C3B2F" w:rsidRPr="000B4AB2" w:rsidRDefault="002E7BFC"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Penetratie door het slachtoffer van de dader of een derde</w:t>
      </w:r>
      <w:r w:rsidRPr="000B4AB2">
        <w:rPr>
          <w:color w:val="000000" w:themeColor="text1"/>
          <w:szCs w:val="18"/>
          <w:lang w:val="nl-NL"/>
        </w:rPr>
        <w:t>.</w:t>
      </w:r>
      <w:r w:rsidR="001C3B2F" w:rsidRPr="000B4AB2">
        <w:rPr>
          <w:color w:val="000000" w:themeColor="text1"/>
          <w:szCs w:val="18"/>
          <w:lang w:val="nl-NL"/>
        </w:rPr>
        <w:t xml:space="preserve"> </w:t>
      </w:r>
      <w:r w:rsidRPr="000B4AB2">
        <w:rPr>
          <w:color w:val="000000" w:themeColor="text1"/>
          <w:szCs w:val="18"/>
          <w:lang w:val="nl-NL"/>
        </w:rPr>
        <w:t xml:space="preserve">Daarnaast </w:t>
      </w:r>
      <w:r w:rsidR="001C3B2F" w:rsidRPr="000B4AB2">
        <w:rPr>
          <w:color w:val="000000" w:themeColor="text1"/>
          <w:szCs w:val="18"/>
          <w:lang w:val="nl-NL"/>
        </w:rPr>
        <w:t xml:space="preserve">stelt </w:t>
      </w:r>
      <w:r w:rsidRPr="000B4AB2">
        <w:rPr>
          <w:color w:val="000000" w:themeColor="text1"/>
          <w:szCs w:val="18"/>
          <w:lang w:val="nl-NL"/>
        </w:rPr>
        <w:t xml:space="preserve">voornoemd </w:t>
      </w:r>
      <w:r w:rsidR="001C3B2F" w:rsidRPr="000B4AB2">
        <w:rPr>
          <w:color w:val="000000" w:themeColor="text1"/>
          <w:szCs w:val="18"/>
          <w:lang w:val="nl-NL"/>
        </w:rPr>
        <w:t>artikel ook de penetraties</w:t>
      </w:r>
      <w:r w:rsidR="00123514">
        <w:rPr>
          <w:color w:val="000000" w:themeColor="text1"/>
          <w:szCs w:val="18"/>
          <w:lang w:val="nl-NL"/>
        </w:rPr>
        <w:t xml:space="preserve"> strafbaar</w:t>
      </w:r>
      <w:r w:rsidR="001C3B2F" w:rsidRPr="000B4AB2">
        <w:rPr>
          <w:color w:val="000000" w:themeColor="text1"/>
          <w:szCs w:val="18"/>
          <w:lang w:val="nl-NL"/>
        </w:rPr>
        <w:t xml:space="preserve"> die worden verricht met behulp van het slachtoffer. Hierdoor </w:t>
      </w:r>
      <w:r w:rsidR="00AA7961" w:rsidRPr="000B4AB2">
        <w:rPr>
          <w:color w:val="000000" w:themeColor="text1"/>
          <w:szCs w:val="18"/>
          <w:lang w:val="nl-NL"/>
        </w:rPr>
        <w:t>valt</w:t>
      </w:r>
      <w:r w:rsidR="001C3B2F" w:rsidRPr="000B4AB2">
        <w:rPr>
          <w:color w:val="000000" w:themeColor="text1"/>
          <w:szCs w:val="18"/>
          <w:lang w:val="nl-NL"/>
        </w:rPr>
        <w:t xml:space="preserve"> </w:t>
      </w:r>
      <w:r w:rsidRPr="000B4AB2">
        <w:rPr>
          <w:color w:val="000000" w:themeColor="text1"/>
          <w:szCs w:val="18"/>
          <w:lang w:val="nl-NL"/>
        </w:rPr>
        <w:t>ook</w:t>
      </w:r>
      <w:r w:rsidR="001C3B2F" w:rsidRPr="000B4AB2">
        <w:rPr>
          <w:color w:val="000000" w:themeColor="text1"/>
          <w:szCs w:val="18"/>
          <w:lang w:val="nl-NL"/>
        </w:rPr>
        <w:t xml:space="preserve"> de penetratie </w:t>
      </w:r>
      <w:r w:rsidR="00AA7961" w:rsidRPr="000B4AB2">
        <w:rPr>
          <w:color w:val="000000" w:themeColor="text1"/>
          <w:szCs w:val="18"/>
          <w:lang w:val="nl-NL"/>
        </w:rPr>
        <w:t>die het slachtoffer - door de dader daartoe verplicht - moet verrichten</w:t>
      </w:r>
      <w:r w:rsidR="001C3B2F" w:rsidRPr="000B4AB2">
        <w:rPr>
          <w:color w:val="000000" w:themeColor="text1"/>
          <w:szCs w:val="18"/>
          <w:lang w:val="nl-NL"/>
        </w:rPr>
        <w:t xml:space="preserve"> op de dader (daderpenetratie)</w:t>
      </w:r>
      <w:r w:rsidR="00123514">
        <w:rPr>
          <w:color w:val="000000" w:themeColor="text1"/>
          <w:szCs w:val="18"/>
          <w:lang w:val="nl-NL"/>
        </w:rPr>
        <w:t xml:space="preserve"> </w:t>
      </w:r>
      <w:r w:rsidR="001C3B2F" w:rsidRPr="000B4AB2">
        <w:rPr>
          <w:color w:val="000000" w:themeColor="text1"/>
          <w:szCs w:val="18"/>
          <w:lang w:val="nl-NL"/>
        </w:rPr>
        <w:t>of op een derde onder de strafbaarstelling van verkrachting</w:t>
      </w:r>
      <w:r w:rsidR="008F7275" w:rsidRPr="000B4AB2">
        <w:rPr>
          <w:color w:val="000000" w:themeColor="text1"/>
          <w:szCs w:val="18"/>
          <w:lang w:val="nl-NL"/>
        </w:rPr>
        <w:t>.</w:t>
      </w:r>
      <w:r w:rsidR="008F7275" w:rsidRPr="000B4AB2">
        <w:rPr>
          <w:rStyle w:val="FootnoteReference"/>
          <w:color w:val="000000" w:themeColor="text1"/>
          <w:szCs w:val="18"/>
          <w:lang w:val="nl-NL"/>
        </w:rPr>
        <w:footnoteReference w:id="321"/>
      </w:r>
    </w:p>
    <w:p w14:paraId="3CBF4995" w14:textId="77777777" w:rsidR="000C74E0" w:rsidRPr="000B4AB2" w:rsidRDefault="000C74E0" w:rsidP="00260F11">
      <w:pPr>
        <w:pStyle w:val="ListParagraph"/>
        <w:spacing w:line="360" w:lineRule="auto"/>
        <w:ind w:left="0"/>
        <w:rPr>
          <w:color w:val="000000" w:themeColor="text1"/>
          <w:szCs w:val="18"/>
          <w:lang w:val="nl-NL"/>
        </w:rPr>
      </w:pPr>
    </w:p>
    <w:p w14:paraId="3502C726" w14:textId="5BB810DB" w:rsidR="00DC738F" w:rsidRPr="000B4AB2" w:rsidRDefault="00C168A9" w:rsidP="00260F11">
      <w:pPr>
        <w:pStyle w:val="Heading5"/>
        <w:spacing w:line="360" w:lineRule="auto"/>
        <w:rPr>
          <w:szCs w:val="18"/>
          <w:lang w:val="nl-NL"/>
        </w:rPr>
      </w:pPr>
      <w:bookmarkStart w:id="34" w:name="_Toc135041065"/>
      <w:r>
        <w:rPr>
          <w:szCs w:val="18"/>
          <w:lang w:val="nl-NL"/>
        </w:rPr>
        <w:t>Afwezigheid</w:t>
      </w:r>
      <w:r w:rsidR="00DC738F" w:rsidRPr="000B4AB2">
        <w:rPr>
          <w:szCs w:val="18"/>
          <w:lang w:val="nl-NL"/>
        </w:rPr>
        <w:t xml:space="preserve"> geldige toestemming slachtoffer</w:t>
      </w:r>
      <w:bookmarkEnd w:id="34"/>
    </w:p>
    <w:p w14:paraId="469ED18C" w14:textId="77777777" w:rsidR="008C220A" w:rsidRPr="000B4AB2" w:rsidRDefault="008C220A" w:rsidP="00260F11">
      <w:pPr>
        <w:pStyle w:val="ListParagraph"/>
        <w:spacing w:line="360" w:lineRule="auto"/>
        <w:ind w:left="0"/>
        <w:rPr>
          <w:color w:val="000000" w:themeColor="text1"/>
          <w:szCs w:val="18"/>
          <w:lang w:val="nl-NL"/>
        </w:rPr>
      </w:pPr>
    </w:p>
    <w:p w14:paraId="31D05424" w14:textId="0978C395" w:rsidR="00EB263D" w:rsidRPr="000B4AB2" w:rsidRDefault="00551C5D" w:rsidP="00260F11">
      <w:pPr>
        <w:pStyle w:val="ListParagraph"/>
        <w:numPr>
          <w:ilvl w:val="0"/>
          <w:numId w:val="1"/>
        </w:numPr>
        <w:spacing w:line="360" w:lineRule="auto"/>
        <w:ind w:left="0" w:hanging="709"/>
        <w:rPr>
          <w:b/>
          <w:color w:val="000000" w:themeColor="text1"/>
          <w:szCs w:val="18"/>
          <w:lang w:val="nl-NL"/>
        </w:rPr>
      </w:pPr>
      <w:r w:rsidRPr="000B4AB2">
        <w:rPr>
          <w:b/>
          <w:color w:val="000000" w:themeColor="text1"/>
          <w:szCs w:val="18"/>
          <w:lang w:val="nl-NL"/>
        </w:rPr>
        <w:t>Toestemming m.b.t. het seksueel zelfbeschikkingsrecht</w:t>
      </w:r>
      <w:r w:rsidRPr="000B4AB2">
        <w:rPr>
          <w:color w:val="000000" w:themeColor="text1"/>
          <w:szCs w:val="18"/>
          <w:lang w:val="nl-NL"/>
        </w:rPr>
        <w:t xml:space="preserve">. </w:t>
      </w:r>
      <w:r w:rsidR="00072BEB" w:rsidRPr="000B4AB2">
        <w:rPr>
          <w:color w:val="000000" w:themeColor="text1"/>
          <w:szCs w:val="18"/>
          <w:lang w:val="nl-NL"/>
        </w:rPr>
        <w:t>H</w:t>
      </w:r>
      <w:r w:rsidR="00CE1720" w:rsidRPr="000B4AB2">
        <w:rPr>
          <w:color w:val="000000" w:themeColor="text1"/>
          <w:szCs w:val="18"/>
          <w:lang w:val="nl-NL"/>
        </w:rPr>
        <w:t>et Strafwetboek</w:t>
      </w:r>
      <w:r w:rsidR="00072BEB" w:rsidRPr="000B4AB2">
        <w:rPr>
          <w:color w:val="000000" w:themeColor="text1"/>
          <w:szCs w:val="18"/>
          <w:lang w:val="nl-NL"/>
        </w:rPr>
        <w:t xml:space="preserve"> bevat</w:t>
      </w:r>
      <w:r w:rsidR="00CE1720" w:rsidRPr="000B4AB2">
        <w:rPr>
          <w:color w:val="000000" w:themeColor="text1"/>
          <w:szCs w:val="18"/>
          <w:lang w:val="nl-NL"/>
        </w:rPr>
        <w:t xml:space="preserve"> </w:t>
      </w:r>
      <w:r w:rsidR="00072BEB" w:rsidRPr="000B4AB2">
        <w:rPr>
          <w:color w:val="000000" w:themeColor="text1"/>
          <w:szCs w:val="18"/>
          <w:lang w:val="nl-NL"/>
        </w:rPr>
        <w:t xml:space="preserve">voortaan </w:t>
      </w:r>
      <w:r w:rsidR="00CE1720" w:rsidRPr="000B4AB2">
        <w:rPr>
          <w:color w:val="000000" w:themeColor="text1"/>
          <w:szCs w:val="18"/>
          <w:lang w:val="nl-NL"/>
        </w:rPr>
        <w:t xml:space="preserve">twee artikelen die handelen over de toestemming </w:t>
      </w:r>
      <w:r w:rsidRPr="000B4AB2">
        <w:rPr>
          <w:color w:val="000000" w:themeColor="text1"/>
          <w:szCs w:val="18"/>
          <w:lang w:val="nl-NL"/>
        </w:rPr>
        <w:t>m.b.t.</w:t>
      </w:r>
      <w:r w:rsidR="00CE1720" w:rsidRPr="000B4AB2">
        <w:rPr>
          <w:color w:val="000000" w:themeColor="text1"/>
          <w:szCs w:val="18"/>
          <w:lang w:val="nl-NL"/>
        </w:rPr>
        <w:t xml:space="preserve"> het seksueel zelfbeschikkingsrecht. Artikel 417/5 </w:t>
      </w:r>
      <w:r w:rsidR="0081584B">
        <w:rPr>
          <w:color w:val="000000" w:themeColor="text1"/>
          <w:szCs w:val="18"/>
          <w:lang w:val="nl-NL"/>
        </w:rPr>
        <w:t xml:space="preserve">van het </w:t>
      </w:r>
      <w:r w:rsidR="00CE1720" w:rsidRPr="000B4AB2">
        <w:rPr>
          <w:color w:val="000000" w:themeColor="text1"/>
          <w:szCs w:val="18"/>
          <w:lang w:val="nl-NL"/>
        </w:rPr>
        <w:t xml:space="preserve">Strafwetboek bevat de algemene definitie van een dergelijke toestemming. Daarnaast bepaalt artikel 417/6 </w:t>
      </w:r>
      <w:r w:rsidR="0081584B">
        <w:rPr>
          <w:color w:val="000000" w:themeColor="text1"/>
          <w:szCs w:val="18"/>
          <w:lang w:val="nl-NL"/>
        </w:rPr>
        <w:t xml:space="preserve">van het </w:t>
      </w:r>
      <w:r w:rsidR="00CE1720" w:rsidRPr="000B4AB2">
        <w:rPr>
          <w:color w:val="000000" w:themeColor="text1"/>
          <w:szCs w:val="18"/>
          <w:lang w:val="nl-NL"/>
        </w:rPr>
        <w:t xml:space="preserve">Strafwetboek vanaf welke leeftijd minderjarigen een dergelijke toestemming kunnen geven. </w:t>
      </w:r>
      <w:r w:rsidR="000C42F3" w:rsidRPr="000B4AB2">
        <w:rPr>
          <w:color w:val="000000" w:themeColor="text1"/>
          <w:szCs w:val="18"/>
          <w:lang w:val="nl-NL"/>
        </w:rPr>
        <w:t>Beide artikelen zijn van toepassing op alle niet-consensuele seksuele misdrijve</w:t>
      </w:r>
      <w:r w:rsidR="005570A4" w:rsidRPr="000B4AB2">
        <w:rPr>
          <w:color w:val="000000" w:themeColor="text1"/>
          <w:szCs w:val="18"/>
          <w:lang w:val="nl-NL"/>
        </w:rPr>
        <w:t xml:space="preserve">n, zodat </w:t>
      </w:r>
      <w:r w:rsidR="00CE1720" w:rsidRPr="000B4AB2">
        <w:rPr>
          <w:color w:val="000000" w:themeColor="text1"/>
          <w:szCs w:val="18"/>
          <w:lang w:val="nl-NL"/>
        </w:rPr>
        <w:t>voor het overgrote deel</w:t>
      </w:r>
      <w:r w:rsidR="005570A4" w:rsidRPr="000B4AB2">
        <w:rPr>
          <w:color w:val="000000" w:themeColor="text1"/>
          <w:szCs w:val="18"/>
          <w:lang w:val="nl-NL"/>
        </w:rPr>
        <w:t xml:space="preserve"> kan</w:t>
      </w:r>
      <w:r w:rsidR="00CE1720" w:rsidRPr="000B4AB2">
        <w:rPr>
          <w:color w:val="000000" w:themeColor="text1"/>
          <w:szCs w:val="18"/>
          <w:lang w:val="nl-NL"/>
        </w:rPr>
        <w:t xml:space="preserve"> worden verwezen naar hetgeen reeds werd uiteengezet hieromtrent onder de strafbaarstelling van aantasting van de seksuele integritei</w:t>
      </w:r>
      <w:r w:rsidR="006D0D2A">
        <w:rPr>
          <w:color w:val="000000" w:themeColor="text1"/>
          <w:szCs w:val="18"/>
          <w:lang w:val="nl-NL"/>
        </w:rPr>
        <w:t>t.</w:t>
      </w:r>
      <w:r w:rsidR="006D0D2A">
        <w:rPr>
          <w:rStyle w:val="FootnoteReference"/>
          <w:color w:val="000000" w:themeColor="text1"/>
          <w:szCs w:val="18"/>
          <w:lang w:val="nl-NL"/>
        </w:rPr>
        <w:footnoteReference w:id="322"/>
      </w:r>
      <w:r w:rsidR="006D0D2A">
        <w:rPr>
          <w:color w:val="000000" w:themeColor="text1"/>
          <w:szCs w:val="18"/>
          <w:lang w:val="nl-NL"/>
        </w:rPr>
        <w:t xml:space="preserve"> </w:t>
      </w:r>
      <w:r w:rsidR="00700EE2" w:rsidRPr="000B4AB2">
        <w:rPr>
          <w:color w:val="000000" w:themeColor="text1"/>
          <w:szCs w:val="18"/>
          <w:lang w:val="nl-NL"/>
        </w:rPr>
        <w:t xml:space="preserve">Toch dient in dit opzicht op een bijzonderheid te worden gewezen </w:t>
      </w:r>
      <w:r w:rsidR="00123514">
        <w:rPr>
          <w:color w:val="000000" w:themeColor="text1"/>
          <w:szCs w:val="18"/>
          <w:lang w:val="nl-NL"/>
        </w:rPr>
        <w:t>m.b.t.</w:t>
      </w:r>
      <w:r w:rsidR="00700EE2" w:rsidRPr="000B4AB2">
        <w:rPr>
          <w:color w:val="000000" w:themeColor="text1"/>
          <w:szCs w:val="18"/>
          <w:lang w:val="nl-NL"/>
        </w:rPr>
        <w:t xml:space="preserve"> het misdrijf van verkrachting.</w:t>
      </w:r>
    </w:p>
    <w:p w14:paraId="5FDE4E32" w14:textId="77777777" w:rsidR="00700EE2" w:rsidRPr="000B4AB2" w:rsidRDefault="00700EE2" w:rsidP="00260F11">
      <w:pPr>
        <w:pStyle w:val="ListParagraph"/>
        <w:spacing w:line="360" w:lineRule="auto"/>
        <w:ind w:left="0"/>
        <w:rPr>
          <w:b/>
          <w:color w:val="000000" w:themeColor="text1"/>
          <w:szCs w:val="18"/>
          <w:lang w:val="nl-NL"/>
        </w:rPr>
      </w:pPr>
    </w:p>
    <w:p w14:paraId="16A8CC04" w14:textId="39B8FC65" w:rsidR="00693E4B" w:rsidRPr="000B4AB2" w:rsidRDefault="00693E4B" w:rsidP="00260F11">
      <w:pPr>
        <w:pStyle w:val="ListParagraph"/>
        <w:numPr>
          <w:ilvl w:val="0"/>
          <w:numId w:val="1"/>
        </w:numPr>
        <w:spacing w:line="360" w:lineRule="auto"/>
        <w:ind w:left="0" w:hanging="709"/>
        <w:rPr>
          <w:szCs w:val="18"/>
          <w:lang w:val="nl-NL"/>
        </w:rPr>
      </w:pPr>
      <w:r w:rsidRPr="000B4AB2">
        <w:rPr>
          <w:b/>
          <w:color w:val="000000" w:themeColor="text1"/>
          <w:szCs w:val="18"/>
          <w:lang w:val="nl-NL"/>
        </w:rPr>
        <w:t>Toestemming: gegeven is niet gegeven</w:t>
      </w:r>
      <w:r w:rsidRPr="000B4AB2">
        <w:rPr>
          <w:color w:val="000000" w:themeColor="text1"/>
          <w:szCs w:val="18"/>
          <w:lang w:val="nl-NL"/>
        </w:rPr>
        <w:t xml:space="preserve">. </w:t>
      </w:r>
      <w:r w:rsidR="00451557" w:rsidRPr="000B4AB2">
        <w:rPr>
          <w:szCs w:val="18"/>
          <w:lang w:val="nl-NL"/>
        </w:rPr>
        <w:t xml:space="preserve">Dat </w:t>
      </w:r>
      <w:r w:rsidRPr="000B4AB2">
        <w:rPr>
          <w:szCs w:val="18"/>
          <w:lang w:val="nl-NL"/>
        </w:rPr>
        <w:t>toestemming voor de ene seksuele penetratie niet noodzakelijkerwijs een toestemming inhield voor de andere seksuele penetratie</w:t>
      </w:r>
      <w:r w:rsidR="00451557" w:rsidRPr="000B4AB2">
        <w:rPr>
          <w:szCs w:val="18"/>
          <w:lang w:val="nl-NL"/>
        </w:rPr>
        <w:t>, werd reeds geruime tijd alg</w:t>
      </w:r>
      <w:r w:rsidR="00866C35" w:rsidRPr="000B4AB2">
        <w:rPr>
          <w:szCs w:val="18"/>
          <w:lang w:val="nl-NL"/>
        </w:rPr>
        <w:t>e</w:t>
      </w:r>
      <w:r w:rsidR="00451557" w:rsidRPr="000B4AB2">
        <w:rPr>
          <w:szCs w:val="18"/>
          <w:lang w:val="nl-NL"/>
        </w:rPr>
        <w:t>meen aanvaard</w:t>
      </w:r>
      <w:r w:rsidRPr="000B4AB2">
        <w:rPr>
          <w:szCs w:val="18"/>
          <w:lang w:val="nl-NL"/>
        </w:rPr>
        <w:t>.</w:t>
      </w:r>
      <w:r w:rsidRPr="000B4AB2">
        <w:rPr>
          <w:rStyle w:val="FootnoteReference"/>
          <w:szCs w:val="18"/>
          <w:lang w:val="nl-NL"/>
        </w:rPr>
        <w:footnoteReference w:id="323"/>
      </w:r>
      <w:r w:rsidRPr="000B4AB2">
        <w:rPr>
          <w:szCs w:val="18"/>
          <w:lang w:val="nl-NL"/>
        </w:rPr>
        <w:t xml:space="preserve"> </w:t>
      </w:r>
      <w:r w:rsidR="00451557" w:rsidRPr="000B4AB2">
        <w:rPr>
          <w:szCs w:val="18"/>
          <w:lang w:val="nl-NL"/>
        </w:rPr>
        <w:t xml:space="preserve">Of het seksueel “binnenblijven” in het lichaam nadat het slachtoffer </w:t>
      </w:r>
      <w:r w:rsidR="00451557" w:rsidRPr="000B4AB2">
        <w:rPr>
          <w:szCs w:val="18"/>
          <w:lang w:val="nl-NL"/>
        </w:rPr>
        <w:lastRenderedPageBreak/>
        <w:t>hiertoe diens toestemming had ingetrokken, aanleiding kon geven tot verkrachting stond</w:t>
      </w:r>
      <w:r w:rsidR="00576C4B">
        <w:rPr>
          <w:szCs w:val="18"/>
          <w:lang w:val="nl-NL"/>
        </w:rPr>
        <w:t xml:space="preserve"> evenwel</w:t>
      </w:r>
      <w:r w:rsidR="00451557" w:rsidRPr="000B4AB2">
        <w:rPr>
          <w:szCs w:val="18"/>
          <w:lang w:val="nl-NL"/>
        </w:rPr>
        <w:t xml:space="preserve"> ter discussie onder het oude recht</w:t>
      </w:r>
      <w:r w:rsidR="006D0D2A">
        <w:rPr>
          <w:szCs w:val="18"/>
          <w:lang w:val="nl-NL"/>
        </w:rPr>
        <w:t>.</w:t>
      </w:r>
      <w:r w:rsidR="006D0D2A">
        <w:rPr>
          <w:rStyle w:val="FootnoteReference"/>
          <w:szCs w:val="18"/>
          <w:lang w:val="nl-NL"/>
        </w:rPr>
        <w:footnoteReference w:id="324"/>
      </w:r>
      <w:r w:rsidR="00451557" w:rsidRPr="000B4AB2">
        <w:rPr>
          <w:szCs w:val="18"/>
          <w:lang w:val="nl-NL"/>
        </w:rPr>
        <w:t xml:space="preserve"> </w:t>
      </w:r>
      <w:r w:rsidRPr="000B4AB2">
        <w:rPr>
          <w:szCs w:val="18"/>
          <w:lang w:val="nl-NL"/>
        </w:rPr>
        <w:t>De wetgever heeft</w:t>
      </w:r>
      <w:r w:rsidR="00EA16F6" w:rsidRPr="000B4AB2">
        <w:rPr>
          <w:szCs w:val="18"/>
          <w:lang w:val="nl-NL"/>
        </w:rPr>
        <w:t xml:space="preserve"> </w:t>
      </w:r>
      <w:r w:rsidRPr="000B4AB2">
        <w:rPr>
          <w:szCs w:val="18"/>
          <w:lang w:val="nl-NL"/>
        </w:rPr>
        <w:t>een einde gesteld aan deze discussie</w:t>
      </w:r>
      <w:r w:rsidR="00576C4B">
        <w:rPr>
          <w:szCs w:val="18"/>
          <w:lang w:val="nl-NL"/>
        </w:rPr>
        <w:t>,</w:t>
      </w:r>
      <w:r w:rsidRPr="000B4AB2">
        <w:rPr>
          <w:szCs w:val="18"/>
          <w:lang w:val="nl-NL"/>
        </w:rPr>
        <w:t xml:space="preserve"> door expliciet te bepalen dat de toestemming op ieder moment kan worden ingetrokken.</w:t>
      </w:r>
      <w:r w:rsidR="00EF6FA5" w:rsidRPr="000B4AB2">
        <w:rPr>
          <w:rStyle w:val="FootnoteReference"/>
          <w:szCs w:val="18"/>
          <w:lang w:val="nl-NL"/>
        </w:rPr>
        <w:footnoteReference w:id="325"/>
      </w:r>
      <w:r w:rsidRPr="000B4AB2">
        <w:rPr>
          <w:szCs w:val="18"/>
          <w:lang w:val="nl-NL"/>
        </w:rPr>
        <w:t xml:space="preserve"> Dit impliceert dat wanneer de toestemming wordt ingetrokken tijdens de seksuele daad, dit</w:t>
      </w:r>
      <w:r w:rsidR="00EA16F6" w:rsidRPr="000B4AB2">
        <w:rPr>
          <w:szCs w:val="18"/>
          <w:lang w:val="nl-NL"/>
        </w:rPr>
        <w:t xml:space="preserve"> voortaan </w:t>
      </w:r>
      <w:r w:rsidR="00D51634">
        <w:rPr>
          <w:szCs w:val="18"/>
          <w:lang w:val="nl-NL"/>
        </w:rPr>
        <w:t>wel</w:t>
      </w:r>
      <w:r w:rsidRPr="000B4AB2">
        <w:rPr>
          <w:szCs w:val="18"/>
          <w:lang w:val="nl-NL"/>
        </w:rPr>
        <w:t xml:space="preserve"> zal kunnen worden gekwalificeerd als verkrachting.</w:t>
      </w:r>
      <w:r w:rsidR="00E674F1" w:rsidRPr="000B4AB2">
        <w:rPr>
          <w:rStyle w:val="FootnoteReference"/>
          <w:szCs w:val="18"/>
          <w:lang w:val="nl-NL"/>
        </w:rPr>
        <w:footnoteReference w:id="326"/>
      </w:r>
    </w:p>
    <w:p w14:paraId="29FDA5F6" w14:textId="77777777" w:rsidR="00173D40" w:rsidRPr="000B4AB2" w:rsidRDefault="00173D40" w:rsidP="00260F11">
      <w:pPr>
        <w:spacing w:line="360" w:lineRule="auto"/>
        <w:rPr>
          <w:color w:val="000000" w:themeColor="text1"/>
          <w:szCs w:val="18"/>
          <w:lang w:val="nl-NL"/>
        </w:rPr>
      </w:pPr>
    </w:p>
    <w:p w14:paraId="2D195D0C" w14:textId="1AF0F83D" w:rsidR="00634DD1" w:rsidRPr="000B4AB2" w:rsidRDefault="00634DD1" w:rsidP="00260F11">
      <w:pPr>
        <w:pStyle w:val="Heading5"/>
        <w:spacing w:line="360" w:lineRule="auto"/>
        <w:rPr>
          <w:szCs w:val="18"/>
          <w:lang w:val="nl-NL"/>
        </w:rPr>
      </w:pPr>
      <w:bookmarkStart w:id="35" w:name="_Toc135041066"/>
      <w:r w:rsidRPr="000B4AB2">
        <w:rPr>
          <w:szCs w:val="18"/>
          <w:lang w:val="nl-NL"/>
        </w:rPr>
        <w:t>Moreel bestanddeel</w:t>
      </w:r>
      <w:bookmarkEnd w:id="35"/>
    </w:p>
    <w:p w14:paraId="297005D1" w14:textId="77777777" w:rsidR="00634DD1" w:rsidRPr="000B4AB2" w:rsidRDefault="00634DD1" w:rsidP="00260F11">
      <w:pPr>
        <w:spacing w:line="360" w:lineRule="auto"/>
        <w:rPr>
          <w:szCs w:val="18"/>
          <w:lang w:val="nl-NL"/>
        </w:rPr>
      </w:pPr>
    </w:p>
    <w:p w14:paraId="6B24D7B6" w14:textId="402C11E2" w:rsidR="004051E5" w:rsidRPr="000B4AB2" w:rsidRDefault="000863FE"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Net zoals onder het oude recht, bepaalt de wetgever niet expliciet welk moreel bestanddeel vereist is voor het misdrijf van verkrachting.</w:t>
      </w:r>
      <w:r w:rsidRPr="000B4AB2">
        <w:rPr>
          <w:rStyle w:val="FootnoteReference"/>
          <w:color w:val="000000" w:themeColor="text1"/>
          <w:szCs w:val="18"/>
          <w:lang w:val="nl-NL"/>
        </w:rPr>
        <w:footnoteReference w:id="327"/>
      </w:r>
      <w:r w:rsidRPr="000B4AB2">
        <w:rPr>
          <w:color w:val="000000" w:themeColor="text1"/>
          <w:szCs w:val="18"/>
          <w:lang w:val="nl-NL"/>
        </w:rPr>
        <w:t xml:space="preserve"> </w:t>
      </w:r>
    </w:p>
    <w:p w14:paraId="29AD5340" w14:textId="77777777" w:rsidR="004051E5" w:rsidRPr="000B4AB2" w:rsidRDefault="004051E5" w:rsidP="00260F11">
      <w:pPr>
        <w:pStyle w:val="ListParagraph"/>
        <w:spacing w:line="360" w:lineRule="auto"/>
        <w:ind w:left="0"/>
        <w:rPr>
          <w:color w:val="000000" w:themeColor="text1"/>
          <w:szCs w:val="18"/>
          <w:lang w:val="nl-NL"/>
        </w:rPr>
      </w:pPr>
    </w:p>
    <w:p w14:paraId="2A10AB9D" w14:textId="40974FD6" w:rsidR="000863FE" w:rsidRPr="000B4AB2" w:rsidRDefault="000863FE" w:rsidP="00260F11">
      <w:pPr>
        <w:pStyle w:val="ListParagraph"/>
        <w:spacing w:line="360" w:lineRule="auto"/>
        <w:ind w:left="0"/>
        <w:rPr>
          <w:color w:val="000000" w:themeColor="text1"/>
          <w:szCs w:val="18"/>
          <w:lang w:val="nl-NL"/>
        </w:rPr>
      </w:pPr>
      <w:r w:rsidRPr="000B4AB2">
        <w:rPr>
          <w:color w:val="000000" w:themeColor="text1"/>
          <w:szCs w:val="18"/>
          <w:lang w:val="nl-NL"/>
        </w:rPr>
        <w:t>Aanvankelijk was het evenwel de bedoeling van de wetgever om expliciet te bepalen dat dit misdrijf wetens en willens gepleegd diende te worden, hetgeen een algemeen opzet in hoofde van de dader zou impliceren.</w:t>
      </w:r>
      <w:r w:rsidRPr="000B4AB2">
        <w:rPr>
          <w:rStyle w:val="FootnoteReference"/>
          <w:color w:val="000000" w:themeColor="text1"/>
          <w:szCs w:val="18"/>
          <w:lang w:val="nl-NL"/>
        </w:rPr>
        <w:footnoteReference w:id="328"/>
      </w:r>
      <w:r w:rsidRPr="000B4AB2">
        <w:rPr>
          <w:color w:val="000000" w:themeColor="text1"/>
          <w:szCs w:val="18"/>
          <w:lang w:val="nl-NL"/>
        </w:rPr>
        <w:t xml:space="preserve"> “</w:t>
      </w:r>
      <w:r w:rsidRPr="000B4AB2">
        <w:rPr>
          <w:i/>
          <w:color w:val="000000" w:themeColor="text1"/>
          <w:szCs w:val="18"/>
          <w:lang w:val="nl-NL"/>
        </w:rPr>
        <w:t>Om de parlementaire besprekingen niet onnodig te verzwaren”</w:t>
      </w:r>
      <w:r w:rsidRPr="000B4AB2">
        <w:rPr>
          <w:color w:val="000000" w:themeColor="text1"/>
          <w:szCs w:val="18"/>
          <w:lang w:val="nl-NL"/>
        </w:rPr>
        <w:t xml:space="preserve"> werden de woorden “wetens en willens” uiteindelijk toch weggelaten</w:t>
      </w:r>
      <w:r w:rsidR="00576C4B">
        <w:rPr>
          <w:color w:val="000000" w:themeColor="text1"/>
          <w:szCs w:val="18"/>
          <w:lang w:val="nl-NL"/>
        </w:rPr>
        <w:t>.</w:t>
      </w:r>
      <w:r w:rsidR="00576C4B" w:rsidRPr="000B4AB2">
        <w:rPr>
          <w:rStyle w:val="FootnoteReference"/>
          <w:color w:val="000000" w:themeColor="text1"/>
          <w:szCs w:val="18"/>
          <w:lang w:val="nl-NL"/>
        </w:rPr>
        <w:footnoteReference w:id="329"/>
      </w:r>
    </w:p>
    <w:p w14:paraId="5C94678F" w14:textId="77777777" w:rsidR="000863FE" w:rsidRPr="000B4AB2" w:rsidRDefault="000863FE" w:rsidP="00260F11">
      <w:pPr>
        <w:pStyle w:val="ListParagraph"/>
        <w:spacing w:line="360" w:lineRule="auto"/>
        <w:ind w:left="0"/>
        <w:rPr>
          <w:color w:val="000000" w:themeColor="text1"/>
          <w:szCs w:val="18"/>
          <w:lang w:val="nl-NL"/>
        </w:rPr>
      </w:pPr>
    </w:p>
    <w:p w14:paraId="599992AA" w14:textId="05BD7C5D" w:rsidR="00E05365" w:rsidRPr="00E17C29" w:rsidRDefault="000863FE"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Zoals reeds uiteengezet</w:t>
      </w:r>
      <w:r w:rsidR="006D0D2A">
        <w:rPr>
          <w:color w:val="000000" w:themeColor="text1"/>
          <w:szCs w:val="18"/>
          <w:lang w:val="nl-NL"/>
        </w:rPr>
        <w:t>,</w:t>
      </w:r>
      <w:r w:rsidRPr="000B4AB2">
        <w:rPr>
          <w:color w:val="000000" w:themeColor="text1"/>
          <w:szCs w:val="18"/>
          <w:lang w:val="nl-NL"/>
        </w:rPr>
        <w:t xml:space="preserve"> vereist de meerderheidsvisie een algemeen opzet </w:t>
      </w:r>
      <w:r w:rsidR="004051E5" w:rsidRPr="000B4AB2">
        <w:rPr>
          <w:color w:val="000000" w:themeColor="text1"/>
          <w:szCs w:val="18"/>
          <w:lang w:val="nl-NL"/>
        </w:rPr>
        <w:t>i.g.v. dergelijk</w:t>
      </w:r>
      <w:r w:rsidRPr="000B4AB2">
        <w:rPr>
          <w:color w:val="000000" w:themeColor="text1"/>
          <w:szCs w:val="18"/>
          <w:lang w:val="nl-NL"/>
        </w:rPr>
        <w:t xml:space="preserve"> wetgevend stilzwijgen.</w:t>
      </w:r>
      <w:r w:rsidR="00E26397">
        <w:rPr>
          <w:rStyle w:val="FootnoteReference"/>
          <w:color w:val="000000" w:themeColor="text1"/>
          <w:szCs w:val="18"/>
          <w:lang w:val="nl-NL"/>
        </w:rPr>
        <w:footnoteReference w:id="330"/>
      </w:r>
      <w:r w:rsidRPr="000B4AB2">
        <w:rPr>
          <w:color w:val="000000" w:themeColor="text1"/>
          <w:szCs w:val="18"/>
          <w:lang w:val="nl-NL"/>
        </w:rPr>
        <w:t xml:space="preserve"> Voor het misdrijf </w:t>
      </w:r>
      <w:r w:rsidR="004051E5" w:rsidRPr="000B4AB2">
        <w:rPr>
          <w:color w:val="000000" w:themeColor="text1"/>
          <w:szCs w:val="18"/>
          <w:lang w:val="nl-NL"/>
        </w:rPr>
        <w:t>van verkrachting</w:t>
      </w:r>
      <w:r w:rsidRPr="000B4AB2">
        <w:rPr>
          <w:color w:val="000000" w:themeColor="text1"/>
          <w:szCs w:val="18"/>
          <w:lang w:val="nl-NL"/>
        </w:rPr>
        <w:t xml:space="preserve"> is bijgevolg een algemeen opzet in hoofde van de dader vereist.</w:t>
      </w:r>
      <w:r w:rsidRPr="000B4AB2">
        <w:rPr>
          <w:rStyle w:val="FootnoteReference"/>
          <w:color w:val="000000" w:themeColor="text1"/>
          <w:szCs w:val="18"/>
          <w:lang w:val="nl-NL"/>
        </w:rPr>
        <w:footnoteReference w:id="331"/>
      </w:r>
      <w:r w:rsidRPr="000B4AB2">
        <w:rPr>
          <w:color w:val="000000" w:themeColor="text1"/>
          <w:szCs w:val="18"/>
          <w:lang w:val="nl-NL"/>
        </w:rPr>
        <w:t xml:space="preserve"> </w:t>
      </w:r>
      <w:r w:rsidRPr="00E17C29">
        <w:rPr>
          <w:color w:val="000000" w:themeColor="text1"/>
          <w:szCs w:val="18"/>
          <w:lang w:val="nl-NL"/>
        </w:rPr>
        <w:t xml:space="preserve">Hierbij dienen evenwel dezelfde kanttekeningen te worden gemaakt als onder het oude recht, zodat voor het overige </w:t>
      </w:r>
      <w:r w:rsidR="007A650E" w:rsidRPr="00E17C29">
        <w:rPr>
          <w:color w:val="000000" w:themeColor="text1"/>
          <w:szCs w:val="18"/>
          <w:lang w:val="nl-NL"/>
        </w:rPr>
        <w:t xml:space="preserve">daarnaar </w:t>
      </w:r>
      <w:r w:rsidRPr="00E17C29">
        <w:rPr>
          <w:color w:val="000000" w:themeColor="text1"/>
          <w:szCs w:val="18"/>
          <w:lang w:val="nl-NL"/>
        </w:rPr>
        <w:t>verwezen wordt</w:t>
      </w:r>
      <w:r w:rsidR="007A650E" w:rsidRPr="00E17C29">
        <w:rPr>
          <w:color w:val="000000" w:themeColor="text1"/>
          <w:szCs w:val="18"/>
          <w:lang w:val="nl-NL"/>
        </w:rPr>
        <w:t>.</w:t>
      </w:r>
      <w:r w:rsidR="006D0D2A">
        <w:rPr>
          <w:rStyle w:val="FootnoteReference"/>
          <w:color w:val="000000" w:themeColor="text1"/>
          <w:szCs w:val="18"/>
          <w:lang w:val="nl-NL"/>
        </w:rPr>
        <w:footnoteReference w:id="332"/>
      </w:r>
      <w:r w:rsidRPr="00E17C29">
        <w:rPr>
          <w:color w:val="000000" w:themeColor="text1"/>
          <w:szCs w:val="18"/>
          <w:lang w:val="nl-NL"/>
        </w:rPr>
        <w:t xml:space="preserve"> </w:t>
      </w:r>
    </w:p>
    <w:p w14:paraId="0CC4B951" w14:textId="302C9EEA" w:rsidR="00A17622" w:rsidRPr="000B4AB2" w:rsidRDefault="002F29EA" w:rsidP="00260F11">
      <w:pPr>
        <w:spacing w:line="360" w:lineRule="auto"/>
        <w:rPr>
          <w:color w:val="000000" w:themeColor="text1"/>
          <w:szCs w:val="18"/>
          <w:lang w:val="nl-NL"/>
        </w:rPr>
      </w:pPr>
      <w:r w:rsidRPr="000B4AB2">
        <w:rPr>
          <w:color w:val="000000" w:themeColor="text1"/>
          <w:szCs w:val="18"/>
          <w:lang w:val="nl-NL"/>
        </w:rPr>
        <w:br w:type="page"/>
      </w:r>
    </w:p>
    <w:p w14:paraId="566505D0" w14:textId="74DC22EE" w:rsidR="001106D3" w:rsidRPr="000B4AB2" w:rsidRDefault="00662C47" w:rsidP="00260F11">
      <w:pPr>
        <w:pStyle w:val="Heading4"/>
        <w:spacing w:line="360" w:lineRule="auto"/>
        <w:rPr>
          <w:szCs w:val="18"/>
          <w:lang w:val="nl-NL"/>
        </w:rPr>
      </w:pPr>
      <w:bookmarkStart w:id="36" w:name="_Toc135041067"/>
      <w:r w:rsidRPr="000B4AB2">
        <w:rPr>
          <w:szCs w:val="18"/>
          <w:lang w:val="nl-NL"/>
        </w:rPr>
        <w:lastRenderedPageBreak/>
        <w:t>Vergelijking</w:t>
      </w:r>
      <w:r w:rsidR="001106D3" w:rsidRPr="000B4AB2">
        <w:rPr>
          <w:szCs w:val="18"/>
          <w:lang w:val="nl-NL"/>
        </w:rPr>
        <w:t xml:space="preserve"> strafbaarstellingen en temporele werking</w:t>
      </w:r>
      <w:bookmarkEnd w:id="36"/>
    </w:p>
    <w:p w14:paraId="34F0C5C9" w14:textId="1B248089" w:rsidR="002B13D3" w:rsidRDefault="002B13D3" w:rsidP="00260F11">
      <w:pPr>
        <w:spacing w:line="360" w:lineRule="auto"/>
        <w:rPr>
          <w:color w:val="000000" w:themeColor="text1"/>
          <w:szCs w:val="18"/>
          <w:lang w:val="nl-NL"/>
        </w:rPr>
      </w:pPr>
    </w:p>
    <w:p w14:paraId="1DF340E9" w14:textId="4F696E9A" w:rsidR="00BA727D" w:rsidRPr="00BA727D" w:rsidRDefault="002B13D3"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Structuur</w:t>
      </w:r>
      <w:r w:rsidRPr="000B4AB2">
        <w:rPr>
          <w:color w:val="000000" w:themeColor="text1"/>
          <w:szCs w:val="18"/>
          <w:lang w:val="nl-NL"/>
        </w:rPr>
        <w:t xml:space="preserve">. </w:t>
      </w:r>
      <w:r w:rsidR="00BA727D" w:rsidRPr="00A341CE">
        <w:rPr>
          <w:color w:val="000000" w:themeColor="text1"/>
          <w:szCs w:val="18"/>
          <w:lang w:val="nl-NL"/>
        </w:rPr>
        <w:t xml:space="preserve">In </w:t>
      </w:r>
      <w:r w:rsidR="00BA727D">
        <w:rPr>
          <w:color w:val="000000" w:themeColor="text1"/>
          <w:szCs w:val="18"/>
          <w:lang w:val="nl-NL"/>
        </w:rPr>
        <w:t>wat volgt,</w:t>
      </w:r>
      <w:r w:rsidR="00BA727D" w:rsidRPr="00A341CE">
        <w:rPr>
          <w:color w:val="000000" w:themeColor="text1"/>
          <w:szCs w:val="18"/>
          <w:lang w:val="nl-NL"/>
        </w:rPr>
        <w:t xml:space="preserve"> wordt </w:t>
      </w:r>
      <w:r w:rsidR="00BA727D">
        <w:rPr>
          <w:color w:val="000000" w:themeColor="text1"/>
          <w:szCs w:val="18"/>
          <w:lang w:val="nl-NL"/>
        </w:rPr>
        <w:t xml:space="preserve">een </w:t>
      </w:r>
      <w:r w:rsidR="00BA727D" w:rsidRPr="00A341CE">
        <w:rPr>
          <w:color w:val="000000" w:themeColor="text1"/>
          <w:szCs w:val="18"/>
          <w:lang w:val="nl-NL"/>
        </w:rPr>
        <w:t xml:space="preserve">deelantwoord geformuleerd op de </w:t>
      </w:r>
      <w:r w:rsidR="00BA727D">
        <w:rPr>
          <w:color w:val="000000" w:themeColor="text1"/>
          <w:szCs w:val="18"/>
          <w:lang w:val="nl-NL"/>
        </w:rPr>
        <w:t>derde</w:t>
      </w:r>
      <w:r w:rsidR="00BA727D" w:rsidRPr="00A341CE">
        <w:rPr>
          <w:color w:val="000000" w:themeColor="text1"/>
          <w:szCs w:val="18"/>
          <w:lang w:val="nl-NL"/>
        </w:rPr>
        <w:t xml:space="preserve"> subonderzoeksvraag.</w:t>
      </w:r>
      <w:r w:rsidR="00BA727D">
        <w:rPr>
          <w:rStyle w:val="FootnoteReference"/>
          <w:color w:val="000000" w:themeColor="text1"/>
          <w:szCs w:val="18"/>
          <w:lang w:val="nl-NL"/>
        </w:rPr>
        <w:footnoteReference w:id="333"/>
      </w:r>
      <w:r w:rsidR="00BA727D">
        <w:rPr>
          <w:color w:val="000000" w:themeColor="text1"/>
          <w:szCs w:val="18"/>
          <w:lang w:val="nl-NL"/>
        </w:rPr>
        <w:t xml:space="preserve"> </w:t>
      </w:r>
      <w:r w:rsidRPr="002B13D3">
        <w:rPr>
          <w:color w:val="000000" w:themeColor="text1"/>
          <w:szCs w:val="18"/>
          <w:lang w:val="nl-NL"/>
        </w:rPr>
        <w:t xml:space="preserve">Met name zal worden nagegaan in hoeverre de constitutieve bestanddelen van de oude strafbaarstelling van </w:t>
      </w:r>
      <w:r>
        <w:rPr>
          <w:color w:val="000000" w:themeColor="text1"/>
          <w:szCs w:val="18"/>
          <w:lang w:val="nl-NL"/>
        </w:rPr>
        <w:t>verkrachting</w:t>
      </w:r>
      <w:r w:rsidRPr="002B13D3">
        <w:rPr>
          <w:color w:val="000000" w:themeColor="text1"/>
          <w:szCs w:val="18"/>
          <w:lang w:val="nl-NL"/>
        </w:rPr>
        <w:t xml:space="preserve"> verschillen t.o.v. </w:t>
      </w:r>
      <w:r w:rsidR="003E4D64">
        <w:rPr>
          <w:color w:val="000000" w:themeColor="text1"/>
          <w:szCs w:val="18"/>
          <w:lang w:val="nl-NL"/>
        </w:rPr>
        <w:t xml:space="preserve">deze van </w:t>
      </w:r>
      <w:r w:rsidRPr="002B13D3">
        <w:rPr>
          <w:color w:val="000000" w:themeColor="text1"/>
          <w:szCs w:val="18"/>
          <w:lang w:val="nl-NL"/>
        </w:rPr>
        <w:t>de huidige strafbaarstelling.</w:t>
      </w:r>
    </w:p>
    <w:p w14:paraId="2F863157" w14:textId="77777777" w:rsidR="002B13D3" w:rsidRPr="000B4AB2" w:rsidRDefault="002B13D3" w:rsidP="00260F11">
      <w:pPr>
        <w:pStyle w:val="ListParagraph"/>
        <w:spacing w:line="360" w:lineRule="auto"/>
        <w:ind w:left="0"/>
        <w:rPr>
          <w:b/>
          <w:color w:val="000000" w:themeColor="text1"/>
          <w:szCs w:val="18"/>
          <w:lang w:val="nl-NL"/>
        </w:rPr>
      </w:pPr>
    </w:p>
    <w:p w14:paraId="7206121E" w14:textId="6518B54C" w:rsidR="00662C47" w:rsidRPr="000B4AB2" w:rsidRDefault="00C453DC" w:rsidP="00260F11">
      <w:pPr>
        <w:pStyle w:val="ListParagraph"/>
        <w:spacing w:line="360" w:lineRule="auto"/>
        <w:ind w:left="0"/>
        <w:rPr>
          <w:color w:val="000000" w:themeColor="text1"/>
          <w:szCs w:val="18"/>
          <w:lang w:val="nl-NL"/>
        </w:rPr>
      </w:pPr>
      <w:r>
        <w:rPr>
          <w:color w:val="000000" w:themeColor="text1"/>
          <w:szCs w:val="18"/>
          <w:lang w:val="nl-NL"/>
        </w:rPr>
        <w:t>Daarnaast wordt een deelantwoord geformuleerd op de vierde subonderzoeksvraag.</w:t>
      </w:r>
      <w:r>
        <w:rPr>
          <w:rStyle w:val="FootnoteReference"/>
          <w:color w:val="000000" w:themeColor="text1"/>
          <w:szCs w:val="18"/>
          <w:lang w:val="nl-NL"/>
        </w:rPr>
        <w:footnoteReference w:id="334"/>
      </w:r>
      <w:r>
        <w:rPr>
          <w:color w:val="000000" w:themeColor="text1"/>
          <w:szCs w:val="18"/>
          <w:lang w:val="nl-NL"/>
        </w:rPr>
        <w:t xml:space="preserve"> Met name zal a.d.h.v.</w:t>
      </w:r>
      <w:r w:rsidRPr="000B4AB2">
        <w:rPr>
          <w:color w:val="000000" w:themeColor="text1"/>
          <w:szCs w:val="18"/>
          <w:lang w:val="nl-NL"/>
        </w:rPr>
        <w:t xml:space="preserve"> </w:t>
      </w:r>
      <w:r>
        <w:rPr>
          <w:color w:val="000000" w:themeColor="text1"/>
          <w:szCs w:val="18"/>
          <w:lang w:val="nl-NL"/>
        </w:rPr>
        <w:t>de interne</w:t>
      </w:r>
      <w:r w:rsidRPr="000B4AB2">
        <w:rPr>
          <w:color w:val="000000" w:themeColor="text1"/>
          <w:szCs w:val="18"/>
          <w:lang w:val="nl-NL"/>
        </w:rPr>
        <w:t xml:space="preserve"> </w:t>
      </w:r>
      <w:r>
        <w:rPr>
          <w:color w:val="000000" w:themeColor="text1"/>
          <w:szCs w:val="18"/>
          <w:lang w:val="nl-NL"/>
        </w:rPr>
        <w:t>rechts</w:t>
      </w:r>
      <w:r w:rsidRPr="000B4AB2">
        <w:rPr>
          <w:color w:val="000000" w:themeColor="text1"/>
          <w:szCs w:val="18"/>
          <w:lang w:val="nl-NL"/>
        </w:rPr>
        <w:t>vergelijking de temporele werking</w:t>
      </w:r>
      <w:r w:rsidR="002C0C3B">
        <w:rPr>
          <w:rStyle w:val="FootnoteReference"/>
          <w:szCs w:val="18"/>
          <w:lang w:val="nl-NL"/>
        </w:rPr>
        <w:footnoteReference w:id="335"/>
      </w:r>
      <w:r w:rsidRPr="000B4AB2">
        <w:rPr>
          <w:color w:val="000000" w:themeColor="text1"/>
          <w:szCs w:val="18"/>
          <w:lang w:val="nl-NL"/>
        </w:rPr>
        <w:t xml:space="preserve"> van de </w:t>
      </w:r>
      <w:r>
        <w:rPr>
          <w:color w:val="000000" w:themeColor="text1"/>
          <w:szCs w:val="18"/>
          <w:lang w:val="nl-NL"/>
        </w:rPr>
        <w:t>huidige</w:t>
      </w:r>
      <w:r w:rsidRPr="000B4AB2">
        <w:rPr>
          <w:color w:val="000000" w:themeColor="text1"/>
          <w:szCs w:val="18"/>
          <w:lang w:val="nl-NL"/>
        </w:rPr>
        <w:t xml:space="preserve"> strafbaarstelling</w:t>
      </w:r>
      <w:r>
        <w:rPr>
          <w:color w:val="000000" w:themeColor="text1"/>
          <w:szCs w:val="18"/>
          <w:lang w:val="nl-NL"/>
        </w:rPr>
        <w:t xml:space="preserve"> uiteen worden gezet</w:t>
      </w:r>
      <w:r w:rsidRPr="000B4AB2">
        <w:rPr>
          <w:color w:val="000000" w:themeColor="text1"/>
          <w:szCs w:val="18"/>
          <w:lang w:val="nl-NL"/>
        </w:rPr>
        <w:t>.</w:t>
      </w:r>
      <w:r>
        <w:rPr>
          <w:color w:val="000000" w:themeColor="text1"/>
          <w:szCs w:val="18"/>
          <w:lang w:val="nl-NL"/>
        </w:rPr>
        <w:t xml:space="preserve"> Dit</w:t>
      </w:r>
      <w:r w:rsidRPr="000B4AB2">
        <w:rPr>
          <w:color w:val="000000" w:themeColor="text1"/>
          <w:szCs w:val="18"/>
          <w:lang w:val="nl-NL"/>
        </w:rPr>
        <w:t xml:space="preserve"> zal duidelijkheidshalve opnieuw </w:t>
      </w:r>
      <w:r>
        <w:rPr>
          <w:color w:val="000000" w:themeColor="text1"/>
          <w:szCs w:val="18"/>
          <w:lang w:val="nl-NL"/>
        </w:rPr>
        <w:t>gebeuren</w:t>
      </w:r>
      <w:r w:rsidRPr="000B4AB2">
        <w:rPr>
          <w:color w:val="000000" w:themeColor="text1"/>
          <w:szCs w:val="18"/>
          <w:lang w:val="nl-NL"/>
        </w:rPr>
        <w:t xml:space="preserve"> per constitutief bestanddeel van het misdrijf</w:t>
      </w:r>
      <w:r>
        <w:rPr>
          <w:color w:val="000000" w:themeColor="text1"/>
          <w:szCs w:val="18"/>
          <w:lang w:val="nl-NL"/>
        </w:rPr>
        <w:t xml:space="preserve">. Zo </w:t>
      </w:r>
      <w:r w:rsidRPr="000B4AB2">
        <w:rPr>
          <w:color w:val="000000" w:themeColor="text1"/>
          <w:szCs w:val="18"/>
          <w:lang w:val="nl-NL"/>
        </w:rPr>
        <w:t>wordt duidelijk waar de verschillen tussen de oude en de nieuwe strafbepaling</w:t>
      </w:r>
      <w:r>
        <w:rPr>
          <w:color w:val="000000" w:themeColor="text1"/>
          <w:szCs w:val="18"/>
          <w:lang w:val="nl-NL"/>
        </w:rPr>
        <w:t xml:space="preserve"> </w:t>
      </w:r>
      <w:r w:rsidRPr="000B4AB2">
        <w:rPr>
          <w:color w:val="000000" w:themeColor="text1"/>
          <w:szCs w:val="18"/>
          <w:lang w:val="nl-NL"/>
        </w:rPr>
        <w:t>precies zitten. Hoewel dit een versnipperd beeld kan geven</w:t>
      </w:r>
      <w:r>
        <w:rPr>
          <w:color w:val="000000" w:themeColor="text1"/>
          <w:szCs w:val="18"/>
          <w:lang w:val="nl-NL"/>
        </w:rPr>
        <w:t xml:space="preserve"> van de temporele werking</w:t>
      </w:r>
      <w:r w:rsidRPr="000B4AB2">
        <w:rPr>
          <w:color w:val="000000" w:themeColor="text1"/>
          <w:szCs w:val="18"/>
          <w:lang w:val="nl-NL"/>
        </w:rPr>
        <w:t>, is dit</w:t>
      </w:r>
      <w:r>
        <w:rPr>
          <w:color w:val="000000" w:themeColor="text1"/>
          <w:szCs w:val="18"/>
          <w:lang w:val="nl-NL"/>
        </w:rPr>
        <w:t xml:space="preserve"> gelet op</w:t>
      </w:r>
      <w:r w:rsidRPr="000B4AB2">
        <w:rPr>
          <w:color w:val="000000" w:themeColor="text1"/>
          <w:szCs w:val="18"/>
          <w:lang w:val="nl-NL"/>
        </w:rPr>
        <w:t xml:space="preserve"> voornoemde redenen toch aangewezen.</w:t>
      </w:r>
      <w:r w:rsidRPr="000B4AB2">
        <w:rPr>
          <w:rStyle w:val="FootnoteReference"/>
          <w:color w:val="000000" w:themeColor="text1"/>
          <w:szCs w:val="18"/>
          <w:lang w:val="nl-NL"/>
        </w:rPr>
        <w:footnoteReference w:id="336"/>
      </w:r>
      <w:r>
        <w:rPr>
          <w:color w:val="000000" w:themeColor="text1"/>
          <w:szCs w:val="18"/>
          <w:lang w:val="nl-NL"/>
        </w:rPr>
        <w:t xml:space="preserve"> </w:t>
      </w:r>
    </w:p>
    <w:p w14:paraId="28222471" w14:textId="3EF3E52C" w:rsidR="0013738C" w:rsidRPr="000B4AB2" w:rsidRDefault="0013738C" w:rsidP="00260F11">
      <w:pPr>
        <w:spacing w:line="360" w:lineRule="auto"/>
        <w:rPr>
          <w:color w:val="000000" w:themeColor="text1"/>
          <w:szCs w:val="18"/>
          <w:lang w:val="nl-NL"/>
        </w:rPr>
      </w:pPr>
    </w:p>
    <w:p w14:paraId="736E42FD" w14:textId="46B3BC19" w:rsidR="0013738C" w:rsidRPr="000B4AB2" w:rsidRDefault="0013738C" w:rsidP="00260F11">
      <w:pPr>
        <w:pStyle w:val="Heading5"/>
        <w:spacing w:line="360" w:lineRule="auto"/>
        <w:rPr>
          <w:szCs w:val="18"/>
          <w:lang w:val="nl-NL"/>
        </w:rPr>
      </w:pPr>
      <w:bookmarkStart w:id="37" w:name="_Toc135041068"/>
      <w:r w:rsidRPr="000B4AB2">
        <w:rPr>
          <w:szCs w:val="18"/>
          <w:lang w:val="nl-NL"/>
        </w:rPr>
        <w:t xml:space="preserve">Materiële gedraging </w:t>
      </w:r>
      <w:r w:rsidRPr="000B4AB2">
        <w:rPr>
          <w:i/>
          <w:szCs w:val="18"/>
          <w:lang w:val="nl-NL"/>
        </w:rPr>
        <w:t>sensu stricto</w:t>
      </w:r>
      <w:bookmarkEnd w:id="37"/>
    </w:p>
    <w:p w14:paraId="6DF203DA" w14:textId="77777777" w:rsidR="00662C47" w:rsidRPr="000B4AB2" w:rsidRDefault="00662C47" w:rsidP="00260F11">
      <w:pPr>
        <w:spacing w:line="360" w:lineRule="auto"/>
        <w:rPr>
          <w:color w:val="000000" w:themeColor="text1"/>
          <w:szCs w:val="18"/>
          <w:lang w:val="nl-NL"/>
        </w:rPr>
      </w:pPr>
    </w:p>
    <w:p w14:paraId="0EC63E77" w14:textId="5C2E0A82" w:rsidR="00B80B51"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Pr="000B4AB2">
        <w:rPr>
          <w:color w:val="000000" w:themeColor="text1"/>
          <w:szCs w:val="18"/>
          <w:lang w:val="nl-NL"/>
        </w:rPr>
        <w:t xml:space="preserve">. </w:t>
      </w:r>
      <w:r w:rsidR="00376C61">
        <w:rPr>
          <w:color w:val="000000" w:themeColor="text1"/>
          <w:szCs w:val="18"/>
          <w:lang w:val="nl-NL"/>
        </w:rPr>
        <w:t>O.g.v.</w:t>
      </w:r>
      <w:r w:rsidR="005A6D83" w:rsidRPr="000B4AB2">
        <w:rPr>
          <w:color w:val="000000" w:themeColor="text1"/>
          <w:szCs w:val="18"/>
          <w:lang w:val="nl-NL"/>
        </w:rPr>
        <w:t xml:space="preserve"> </w:t>
      </w:r>
      <w:r w:rsidR="00993965" w:rsidRPr="000B4AB2">
        <w:rPr>
          <w:color w:val="000000" w:themeColor="text1"/>
          <w:szCs w:val="18"/>
          <w:lang w:val="nl-NL"/>
        </w:rPr>
        <w:t>de</w:t>
      </w:r>
      <w:r w:rsidR="005A6D83" w:rsidRPr="000B4AB2">
        <w:rPr>
          <w:color w:val="000000" w:themeColor="text1"/>
          <w:szCs w:val="18"/>
          <w:lang w:val="nl-NL"/>
        </w:rPr>
        <w:t xml:space="preserve"> </w:t>
      </w:r>
      <w:r w:rsidR="00993965" w:rsidRPr="000B4AB2">
        <w:rPr>
          <w:color w:val="000000" w:themeColor="text1"/>
          <w:szCs w:val="18"/>
          <w:lang w:val="nl-NL"/>
        </w:rPr>
        <w:t>uiteenzetting van het misdrijf van verkrachting naar oud en huidig recht, kan tot volgend vergelijkend schema worden gekomen voor wat betreft dit constitutief bestanddeel.</w:t>
      </w:r>
      <w:r w:rsidR="005A6D83" w:rsidRPr="000B4AB2">
        <w:rPr>
          <w:color w:val="000000" w:themeColor="text1"/>
          <w:szCs w:val="18"/>
          <w:lang w:val="nl-NL"/>
        </w:rPr>
        <w:t xml:space="preserve"> </w:t>
      </w:r>
    </w:p>
    <w:p w14:paraId="67ACC731" w14:textId="6A800CF5" w:rsidR="00993965" w:rsidRPr="000B4AB2" w:rsidRDefault="00993965"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3823"/>
        <w:gridCol w:w="3732"/>
        <w:gridCol w:w="1507"/>
      </w:tblGrid>
      <w:tr w:rsidR="00D56452" w:rsidRPr="000B4AB2" w14:paraId="79BA0FD1" w14:textId="77777777" w:rsidTr="005B1E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096819FF" w14:textId="77777777" w:rsidR="00D56452" w:rsidRPr="000B4AB2" w:rsidRDefault="00D56452" w:rsidP="00260F11">
            <w:pPr>
              <w:spacing w:line="360" w:lineRule="auto"/>
              <w:rPr>
                <w:b w:val="0"/>
                <w:bCs w:val="0"/>
                <w:i/>
                <w:color w:val="000000" w:themeColor="text1"/>
                <w:szCs w:val="18"/>
              </w:rPr>
            </w:pPr>
            <w:r w:rsidRPr="000B4AB2">
              <w:rPr>
                <w:color w:val="000000" w:themeColor="text1"/>
                <w:szCs w:val="18"/>
              </w:rPr>
              <w:t xml:space="preserve">Vergelijking materiële gedraging </w:t>
            </w:r>
            <w:r w:rsidRPr="000B4AB2">
              <w:rPr>
                <w:i/>
                <w:color w:val="000000" w:themeColor="text1"/>
                <w:szCs w:val="18"/>
              </w:rPr>
              <w:t>sensu stricto</w:t>
            </w:r>
          </w:p>
        </w:tc>
      </w:tr>
      <w:tr w:rsidR="00D56452" w:rsidRPr="000B4AB2" w14:paraId="3557256C" w14:textId="77777777" w:rsidTr="005B1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1FDD05D" w14:textId="0D09674D" w:rsidR="00D56452" w:rsidRPr="000B4AB2" w:rsidRDefault="00C46CA1" w:rsidP="00260F11">
            <w:pPr>
              <w:spacing w:line="360" w:lineRule="auto"/>
              <w:rPr>
                <w:color w:val="000000" w:themeColor="text1"/>
                <w:szCs w:val="18"/>
              </w:rPr>
            </w:pPr>
            <w:r>
              <w:rPr>
                <w:color w:val="000000" w:themeColor="text1"/>
                <w:szCs w:val="18"/>
              </w:rPr>
              <w:t>O</w:t>
            </w:r>
            <w:r w:rsidRPr="000B4AB2">
              <w:rPr>
                <w:color w:val="000000" w:themeColor="text1"/>
                <w:szCs w:val="18"/>
              </w:rPr>
              <w:t>ud art. 375 Sw</w:t>
            </w:r>
            <w:r>
              <w:rPr>
                <w:color w:val="000000" w:themeColor="text1"/>
                <w:szCs w:val="18"/>
              </w:rPr>
              <w:t>.</w:t>
            </w:r>
          </w:p>
        </w:tc>
        <w:tc>
          <w:tcPr>
            <w:tcW w:w="3732" w:type="dxa"/>
          </w:tcPr>
          <w:p w14:paraId="312F8156" w14:textId="4BD086D5" w:rsidR="00D56452" w:rsidRPr="000B4AB2" w:rsidRDefault="00C46CA1"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rPr>
            </w:pPr>
            <w:r>
              <w:rPr>
                <w:b/>
                <w:bCs/>
                <w:color w:val="000000" w:themeColor="text1"/>
                <w:szCs w:val="18"/>
              </w:rPr>
              <w:t>A</w:t>
            </w:r>
            <w:r w:rsidRPr="000C19C1">
              <w:rPr>
                <w:b/>
                <w:bCs/>
                <w:color w:val="000000" w:themeColor="text1"/>
                <w:szCs w:val="18"/>
              </w:rPr>
              <w:t>rt. 417/11 Sw.</w:t>
            </w:r>
          </w:p>
        </w:tc>
        <w:tc>
          <w:tcPr>
            <w:tcW w:w="1507" w:type="dxa"/>
          </w:tcPr>
          <w:p w14:paraId="06819C55" w14:textId="77777777" w:rsidR="00D56452" w:rsidRPr="000B4AB2" w:rsidRDefault="00D56452"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rPr>
            </w:pPr>
            <w:r w:rsidRPr="000B4AB2">
              <w:rPr>
                <w:b/>
                <w:bCs/>
                <w:color w:val="000000" w:themeColor="text1"/>
                <w:szCs w:val="18"/>
              </w:rPr>
              <w:t>Verschil</w:t>
            </w:r>
          </w:p>
        </w:tc>
      </w:tr>
      <w:tr w:rsidR="00D56452" w:rsidRPr="00C94DEA" w14:paraId="06A9E0CF" w14:textId="77777777" w:rsidTr="005B1EA8">
        <w:trPr>
          <w:trHeight w:val="1134"/>
        </w:trPr>
        <w:tc>
          <w:tcPr>
            <w:cnfStyle w:val="001000000000" w:firstRow="0" w:lastRow="0" w:firstColumn="1" w:lastColumn="0" w:oddVBand="0" w:evenVBand="0" w:oddHBand="0" w:evenHBand="0" w:firstRowFirstColumn="0" w:firstRowLastColumn="0" w:lastRowFirstColumn="0" w:lastRowLastColumn="0"/>
            <w:tcW w:w="3823" w:type="dxa"/>
          </w:tcPr>
          <w:p w14:paraId="6B437114" w14:textId="77777777" w:rsidR="00D56452" w:rsidRPr="00C94DEA" w:rsidRDefault="00D56452" w:rsidP="00260F11">
            <w:pPr>
              <w:spacing w:line="360" w:lineRule="auto"/>
              <w:jc w:val="left"/>
              <w:rPr>
                <w:b w:val="0"/>
                <w:color w:val="000000" w:themeColor="text1"/>
                <w:szCs w:val="18"/>
              </w:rPr>
            </w:pPr>
            <w:r w:rsidRPr="00C94DEA">
              <w:rPr>
                <w:b w:val="0"/>
                <w:color w:val="000000" w:themeColor="text1"/>
                <w:szCs w:val="18"/>
              </w:rPr>
              <w:t>Seksuele penetratie</w:t>
            </w:r>
          </w:p>
          <w:p w14:paraId="15560C19" w14:textId="4ADDC9D8" w:rsidR="00D56452" w:rsidRPr="00C94DEA" w:rsidRDefault="00D56452" w:rsidP="00260F11">
            <w:pPr>
              <w:pStyle w:val="ListParagraph"/>
              <w:numPr>
                <w:ilvl w:val="0"/>
                <w:numId w:val="11"/>
              </w:numPr>
              <w:spacing w:line="360" w:lineRule="auto"/>
              <w:jc w:val="left"/>
              <w:rPr>
                <w:b w:val="0"/>
                <w:color w:val="000000" w:themeColor="text1"/>
                <w:szCs w:val="18"/>
                <w:lang w:val="nl-NL"/>
              </w:rPr>
            </w:pPr>
            <w:r w:rsidRPr="00C94DEA">
              <w:rPr>
                <w:b w:val="0"/>
                <w:color w:val="000000" w:themeColor="text1"/>
                <w:szCs w:val="18"/>
                <w:lang w:val="nl-NL"/>
              </w:rPr>
              <w:t>Binnendringen (meerderheidsvisie)</w:t>
            </w:r>
          </w:p>
          <w:p w14:paraId="211ACA10" w14:textId="77777777" w:rsidR="00D56452" w:rsidRPr="00C94DEA" w:rsidRDefault="00D56452" w:rsidP="00260F11">
            <w:pPr>
              <w:pStyle w:val="ListParagraph"/>
              <w:numPr>
                <w:ilvl w:val="0"/>
                <w:numId w:val="11"/>
              </w:numPr>
              <w:spacing w:line="360" w:lineRule="auto"/>
              <w:jc w:val="left"/>
              <w:rPr>
                <w:b w:val="0"/>
                <w:color w:val="000000" w:themeColor="text1"/>
                <w:szCs w:val="18"/>
                <w:lang w:val="nl-NL"/>
              </w:rPr>
            </w:pPr>
            <w:r w:rsidRPr="00C94DEA">
              <w:rPr>
                <w:b w:val="0"/>
                <w:color w:val="000000" w:themeColor="text1"/>
                <w:szCs w:val="18"/>
                <w:lang w:val="nl-NL"/>
              </w:rPr>
              <w:t>Seksueel karakter</w:t>
            </w:r>
          </w:p>
          <w:p w14:paraId="1BC69D62" w14:textId="48904BC1" w:rsidR="00D56452" w:rsidRPr="00C94DEA" w:rsidRDefault="00D56452" w:rsidP="00260F11">
            <w:pPr>
              <w:pStyle w:val="ListParagraph"/>
              <w:numPr>
                <w:ilvl w:val="1"/>
                <w:numId w:val="11"/>
              </w:numPr>
              <w:tabs>
                <w:tab w:val="left" w:pos="602"/>
              </w:tabs>
              <w:spacing w:line="360" w:lineRule="auto"/>
              <w:ind w:left="894" w:hanging="284"/>
              <w:jc w:val="left"/>
              <w:rPr>
                <w:b w:val="0"/>
                <w:color w:val="000000" w:themeColor="text1"/>
                <w:szCs w:val="18"/>
                <w:lang w:val="nl-NL"/>
              </w:rPr>
            </w:pPr>
            <w:r w:rsidRPr="00C94DEA">
              <w:rPr>
                <w:b w:val="0"/>
                <w:color w:val="000000" w:themeColor="text1"/>
                <w:szCs w:val="18"/>
                <w:lang w:val="nl-NL"/>
              </w:rPr>
              <w:t>Objectieve component</w:t>
            </w:r>
            <w:r w:rsidR="007A650E">
              <w:rPr>
                <w:b w:val="0"/>
                <w:color w:val="000000" w:themeColor="text1"/>
                <w:szCs w:val="18"/>
                <w:lang w:val="nl-NL"/>
              </w:rPr>
              <w:t>(?)</w:t>
            </w:r>
          </w:p>
          <w:p w14:paraId="2D907CB6" w14:textId="77777777" w:rsidR="00D56452" w:rsidRPr="00C94DEA" w:rsidRDefault="00D56452" w:rsidP="00260F11">
            <w:pPr>
              <w:pStyle w:val="ListParagraph"/>
              <w:numPr>
                <w:ilvl w:val="1"/>
                <w:numId w:val="11"/>
              </w:numPr>
              <w:tabs>
                <w:tab w:val="left" w:pos="602"/>
              </w:tabs>
              <w:spacing w:line="360" w:lineRule="auto"/>
              <w:ind w:left="894" w:hanging="284"/>
              <w:jc w:val="left"/>
              <w:rPr>
                <w:b w:val="0"/>
                <w:color w:val="000000" w:themeColor="text1"/>
                <w:szCs w:val="18"/>
                <w:lang w:val="nl-NL"/>
              </w:rPr>
            </w:pPr>
            <w:r w:rsidRPr="00C94DEA">
              <w:rPr>
                <w:b w:val="0"/>
                <w:color w:val="000000" w:themeColor="text1"/>
                <w:szCs w:val="18"/>
                <w:lang w:val="nl-NL"/>
              </w:rPr>
              <w:t>Subjectieve component?</w:t>
            </w:r>
          </w:p>
          <w:p w14:paraId="1AB35AF2" w14:textId="356A18B7" w:rsidR="00D56452" w:rsidRPr="00C94DEA" w:rsidRDefault="00D56452" w:rsidP="00260F11">
            <w:pPr>
              <w:pStyle w:val="ListParagraph"/>
              <w:numPr>
                <w:ilvl w:val="0"/>
                <w:numId w:val="11"/>
              </w:numPr>
              <w:spacing w:line="360" w:lineRule="auto"/>
              <w:jc w:val="left"/>
              <w:rPr>
                <w:b w:val="0"/>
                <w:color w:val="000000" w:themeColor="text1"/>
                <w:szCs w:val="18"/>
                <w:lang w:val="nl-NL"/>
              </w:rPr>
            </w:pPr>
            <w:r w:rsidRPr="00C94DEA">
              <w:rPr>
                <w:b w:val="0"/>
                <w:color w:val="000000" w:themeColor="text1"/>
                <w:szCs w:val="18"/>
                <w:lang w:val="nl-NL"/>
              </w:rPr>
              <w:t>Van welke aard en met welk middel dan ook</w:t>
            </w:r>
          </w:p>
        </w:tc>
        <w:tc>
          <w:tcPr>
            <w:tcW w:w="3732" w:type="dxa"/>
          </w:tcPr>
          <w:p w14:paraId="6DB4B8D3" w14:textId="47E299EF" w:rsidR="00D56452" w:rsidRPr="00C94DEA" w:rsidRDefault="00D56452"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C94DEA">
              <w:rPr>
                <w:color w:val="000000" w:themeColor="text1"/>
                <w:szCs w:val="18"/>
              </w:rPr>
              <w:t>(Mede) bestaand uit seksuele penetratie</w:t>
            </w:r>
          </w:p>
          <w:p w14:paraId="52381A92" w14:textId="56AC0896" w:rsidR="00D56452" w:rsidRPr="00C94DEA" w:rsidRDefault="00D56452"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C94DEA">
              <w:rPr>
                <w:color w:val="000000" w:themeColor="text1"/>
                <w:szCs w:val="18"/>
                <w:lang w:val="nl-NL"/>
              </w:rPr>
              <w:t>Binnendringen en “</w:t>
            </w:r>
            <w:r w:rsidR="00297F4D">
              <w:rPr>
                <w:color w:val="000000" w:themeColor="text1"/>
                <w:szCs w:val="18"/>
                <w:lang w:val="nl-NL"/>
              </w:rPr>
              <w:t>binnenblijven</w:t>
            </w:r>
            <w:r w:rsidRPr="00C94DEA">
              <w:rPr>
                <w:color w:val="000000" w:themeColor="text1"/>
                <w:szCs w:val="18"/>
                <w:lang w:val="nl-NL"/>
              </w:rPr>
              <w:t>”</w:t>
            </w:r>
          </w:p>
          <w:p w14:paraId="6C0195DD" w14:textId="77777777" w:rsidR="00D56452" w:rsidRPr="00C94DEA" w:rsidRDefault="00D56452"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C94DEA">
              <w:rPr>
                <w:color w:val="000000" w:themeColor="text1"/>
                <w:szCs w:val="18"/>
                <w:lang w:val="nl-NL"/>
              </w:rPr>
              <w:t>Seksueel karakter</w:t>
            </w:r>
          </w:p>
          <w:p w14:paraId="13DF3454" w14:textId="77777777" w:rsidR="00D56452" w:rsidRPr="00C94DEA" w:rsidRDefault="00D56452" w:rsidP="00260F11">
            <w:pPr>
              <w:pStyle w:val="ListParagraph"/>
              <w:numPr>
                <w:ilvl w:val="1"/>
                <w:numId w:val="11"/>
              </w:numPr>
              <w:tabs>
                <w:tab w:val="left" w:pos="602"/>
              </w:tabs>
              <w:spacing w:line="360" w:lineRule="auto"/>
              <w:ind w:left="1002" w:hanging="283"/>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C94DEA">
              <w:rPr>
                <w:color w:val="000000" w:themeColor="text1"/>
                <w:szCs w:val="18"/>
                <w:lang w:val="nl-NL"/>
              </w:rPr>
              <w:t>Redelijk persoon</w:t>
            </w:r>
          </w:p>
          <w:p w14:paraId="795249D1" w14:textId="0295C49D" w:rsidR="00D56452" w:rsidRPr="00C94DEA" w:rsidRDefault="00D56452"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C94DEA">
              <w:rPr>
                <w:color w:val="000000" w:themeColor="text1"/>
                <w:szCs w:val="18"/>
                <w:lang w:val="nl-NL"/>
              </w:rPr>
              <w:t>Van welke aard en met welk middel dan ook</w:t>
            </w:r>
            <w:r w:rsidRPr="00C94DEA">
              <w:rPr>
                <w:color w:val="000000" w:themeColor="text1"/>
                <w:szCs w:val="18"/>
              </w:rPr>
              <w:t xml:space="preserve"> </w:t>
            </w:r>
          </w:p>
        </w:tc>
        <w:tc>
          <w:tcPr>
            <w:tcW w:w="1507" w:type="dxa"/>
          </w:tcPr>
          <w:p w14:paraId="64E6D5ED" w14:textId="79E8719B" w:rsidR="00D56452" w:rsidRPr="00C94DEA"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Pr>
                <w:color w:val="000000" w:themeColor="text1"/>
                <w:szCs w:val="18"/>
              </w:rPr>
              <w:t>T</w:t>
            </w:r>
            <w:r w:rsidR="00D56452" w:rsidRPr="00C94DEA">
              <w:rPr>
                <w:color w:val="000000" w:themeColor="text1"/>
                <w:szCs w:val="18"/>
              </w:rPr>
              <w:t>oevoeging gedragingen die mede bestaan uit een seksuele penetratie.</w:t>
            </w:r>
          </w:p>
        </w:tc>
      </w:tr>
    </w:tbl>
    <w:p w14:paraId="0FDB48AF" w14:textId="77777777" w:rsidR="00E15183" w:rsidRPr="000B4AB2" w:rsidRDefault="00E15183" w:rsidP="00260F11">
      <w:pPr>
        <w:pStyle w:val="ListParagraph"/>
        <w:spacing w:line="360" w:lineRule="auto"/>
        <w:ind w:left="0"/>
        <w:rPr>
          <w:color w:val="000000" w:themeColor="text1"/>
          <w:szCs w:val="18"/>
          <w:lang w:val="nl-NL"/>
        </w:rPr>
      </w:pPr>
    </w:p>
    <w:p w14:paraId="562F9094" w14:textId="2CDC8329" w:rsidR="00765A5F"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Toelichting schema</w:t>
      </w:r>
      <w:r w:rsidRPr="000B4AB2">
        <w:rPr>
          <w:color w:val="000000" w:themeColor="text1"/>
          <w:szCs w:val="18"/>
          <w:lang w:val="nl-NL"/>
        </w:rPr>
        <w:t>.</w:t>
      </w:r>
      <w:r w:rsidR="00423548" w:rsidRPr="000B4AB2">
        <w:rPr>
          <w:color w:val="000000" w:themeColor="text1"/>
          <w:szCs w:val="18"/>
          <w:lang w:val="nl-NL"/>
        </w:rPr>
        <w:t xml:space="preserve"> </w:t>
      </w:r>
      <w:r w:rsidR="007A650E">
        <w:rPr>
          <w:color w:val="000000" w:themeColor="text1"/>
          <w:szCs w:val="18"/>
          <w:lang w:val="nl-NL"/>
        </w:rPr>
        <w:t>Voortaan wordt</w:t>
      </w:r>
      <w:r w:rsidR="00765A5F" w:rsidRPr="000B4AB2">
        <w:rPr>
          <w:color w:val="000000" w:themeColor="text1"/>
          <w:szCs w:val="18"/>
          <w:lang w:val="nl-NL"/>
        </w:rPr>
        <w:t xml:space="preserve"> niet alleen de penetratie </w:t>
      </w:r>
      <w:r w:rsidR="00765A5F" w:rsidRPr="000B4AB2">
        <w:rPr>
          <w:i/>
          <w:color w:val="000000" w:themeColor="text1"/>
          <w:szCs w:val="18"/>
          <w:lang w:val="nl-NL"/>
        </w:rPr>
        <w:t>an sich</w:t>
      </w:r>
      <w:r w:rsidR="00765A5F" w:rsidRPr="000B4AB2">
        <w:rPr>
          <w:color w:val="000000" w:themeColor="text1"/>
          <w:szCs w:val="18"/>
          <w:lang w:val="nl-NL"/>
        </w:rPr>
        <w:t xml:space="preserve"> geviseerd </w:t>
      </w:r>
      <w:r w:rsidR="007A650E">
        <w:rPr>
          <w:color w:val="000000" w:themeColor="text1"/>
          <w:szCs w:val="18"/>
          <w:lang w:val="nl-NL"/>
        </w:rPr>
        <w:t>door de strafbaarstelling</w:t>
      </w:r>
      <w:r w:rsidR="00765A5F" w:rsidRPr="000B4AB2">
        <w:rPr>
          <w:color w:val="000000" w:themeColor="text1"/>
          <w:szCs w:val="18"/>
          <w:lang w:val="nl-NL"/>
        </w:rPr>
        <w:t xml:space="preserve">, maar </w:t>
      </w:r>
      <w:r w:rsidR="007A650E">
        <w:rPr>
          <w:color w:val="000000" w:themeColor="text1"/>
          <w:szCs w:val="18"/>
          <w:lang w:val="nl-NL"/>
        </w:rPr>
        <w:t>evenzeer</w:t>
      </w:r>
      <w:r w:rsidR="00765A5F" w:rsidRPr="000B4AB2">
        <w:rPr>
          <w:color w:val="000000" w:themeColor="text1"/>
          <w:szCs w:val="18"/>
          <w:lang w:val="nl-NL"/>
        </w:rPr>
        <w:t xml:space="preserve"> de gedragingen die daar mede uit bestaan. De wetgever stelde hiermee een einde aan de discussie binnen de rechtsleer onder het oude recht, </w:t>
      </w:r>
      <w:r w:rsidR="008819C3" w:rsidRPr="000B4AB2">
        <w:rPr>
          <w:color w:val="000000" w:themeColor="text1"/>
          <w:szCs w:val="18"/>
          <w:lang w:val="nl-NL"/>
        </w:rPr>
        <w:t xml:space="preserve">omtrent de vraag naar </w:t>
      </w:r>
      <w:r w:rsidR="00765A5F" w:rsidRPr="000B4AB2">
        <w:rPr>
          <w:color w:val="000000" w:themeColor="text1"/>
          <w:szCs w:val="18"/>
          <w:lang w:val="nl-NL"/>
        </w:rPr>
        <w:t xml:space="preserve">het gevolg van een intrekking van toestemming tijdens de seksuele betrekkingen, maar na het </w:t>
      </w:r>
      <w:r w:rsidR="008819C3" w:rsidRPr="000B4AB2">
        <w:rPr>
          <w:color w:val="000000" w:themeColor="text1"/>
          <w:szCs w:val="18"/>
          <w:lang w:val="nl-NL"/>
        </w:rPr>
        <w:t xml:space="preserve">seksueel </w:t>
      </w:r>
      <w:r w:rsidR="00765A5F" w:rsidRPr="000B4AB2">
        <w:rPr>
          <w:color w:val="000000" w:themeColor="text1"/>
          <w:szCs w:val="18"/>
          <w:lang w:val="nl-NL"/>
        </w:rPr>
        <w:t>binnendringen</w:t>
      </w:r>
      <w:r w:rsidR="008819C3" w:rsidRPr="000B4AB2">
        <w:rPr>
          <w:color w:val="000000" w:themeColor="text1"/>
          <w:szCs w:val="18"/>
          <w:lang w:val="nl-NL"/>
        </w:rPr>
        <w:t xml:space="preserve"> van het lichaam</w:t>
      </w:r>
      <w:r w:rsidR="006D0D2A">
        <w:rPr>
          <w:color w:val="000000" w:themeColor="text1"/>
          <w:szCs w:val="18"/>
          <w:lang w:val="nl-NL"/>
        </w:rPr>
        <w:t>.</w:t>
      </w:r>
      <w:r w:rsidR="00651B1D">
        <w:rPr>
          <w:color w:val="000000" w:themeColor="text1"/>
          <w:szCs w:val="18"/>
          <w:lang w:val="nl-NL"/>
        </w:rPr>
        <w:t xml:space="preserve"> Voortaan kan dit worden gekwalificeerd als verkrachting.</w:t>
      </w:r>
      <w:r w:rsidR="006D0D2A">
        <w:rPr>
          <w:rStyle w:val="FootnoteReference"/>
          <w:color w:val="000000" w:themeColor="text1"/>
          <w:szCs w:val="18"/>
          <w:lang w:val="nl-NL"/>
        </w:rPr>
        <w:footnoteReference w:id="337"/>
      </w:r>
      <w:r w:rsidR="00765A5F" w:rsidRPr="000B4AB2">
        <w:rPr>
          <w:color w:val="000000" w:themeColor="text1"/>
          <w:szCs w:val="18"/>
          <w:lang w:val="nl-NL"/>
        </w:rPr>
        <w:t xml:space="preserve"> </w:t>
      </w:r>
    </w:p>
    <w:p w14:paraId="432F4475" w14:textId="77777777" w:rsidR="00F05C47" w:rsidRPr="00C642E8" w:rsidRDefault="00F05C47" w:rsidP="00260F11">
      <w:pPr>
        <w:spacing w:line="360" w:lineRule="auto"/>
        <w:rPr>
          <w:color w:val="000000" w:themeColor="text1"/>
          <w:szCs w:val="18"/>
          <w:lang w:val="nl-NL"/>
        </w:rPr>
      </w:pPr>
    </w:p>
    <w:p w14:paraId="2AAF1083" w14:textId="689863F5" w:rsidR="00120378"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lastRenderedPageBreak/>
        <w:t>Temporele werking</w:t>
      </w:r>
      <w:r w:rsidRPr="000B4AB2">
        <w:rPr>
          <w:color w:val="000000" w:themeColor="text1"/>
          <w:szCs w:val="18"/>
          <w:lang w:val="nl-NL"/>
        </w:rPr>
        <w:t xml:space="preserve">. </w:t>
      </w:r>
      <w:r w:rsidR="00497F78" w:rsidRPr="000B4AB2">
        <w:rPr>
          <w:color w:val="000000" w:themeColor="text1"/>
          <w:szCs w:val="18"/>
          <w:lang w:val="nl-NL"/>
        </w:rPr>
        <w:t>Gelet op de verdeeldheid binnen de rechtsleer onder het oude recht</w:t>
      </w:r>
      <w:r w:rsidR="006D0D2A">
        <w:rPr>
          <w:color w:val="000000" w:themeColor="text1"/>
          <w:szCs w:val="18"/>
          <w:lang w:val="nl-NL"/>
        </w:rPr>
        <w:t>,</w:t>
      </w:r>
      <w:r w:rsidR="00497F78" w:rsidRPr="000B4AB2">
        <w:rPr>
          <w:color w:val="000000" w:themeColor="text1"/>
          <w:szCs w:val="18"/>
          <w:lang w:val="nl-NL"/>
        </w:rPr>
        <w:t xml:space="preserve"> is de temporele werking van de huidige strafbaarstelling niet eenvoudig te bepalen</w:t>
      </w:r>
      <w:r w:rsidR="007A650E">
        <w:rPr>
          <w:color w:val="000000" w:themeColor="text1"/>
          <w:szCs w:val="18"/>
          <w:lang w:val="nl-NL"/>
        </w:rPr>
        <w:t>.</w:t>
      </w:r>
    </w:p>
    <w:p w14:paraId="78E2DE7A" w14:textId="77777777" w:rsidR="00120378" w:rsidRPr="000B4AB2" w:rsidRDefault="00120378" w:rsidP="00260F11">
      <w:pPr>
        <w:pStyle w:val="ListParagraph"/>
        <w:spacing w:line="360" w:lineRule="auto"/>
        <w:ind w:left="0"/>
        <w:rPr>
          <w:color w:val="000000" w:themeColor="text1"/>
          <w:szCs w:val="18"/>
          <w:lang w:val="nl-NL"/>
        </w:rPr>
      </w:pPr>
    </w:p>
    <w:p w14:paraId="2EACF22D" w14:textId="636EAD58" w:rsidR="00BA2C5A" w:rsidRPr="000B4AB2" w:rsidRDefault="00651B1D"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Een deel van de rechtsleer</w:t>
      </w:r>
      <w:r w:rsidR="00497F78" w:rsidRPr="000B4AB2">
        <w:rPr>
          <w:color w:val="000000" w:themeColor="text1"/>
          <w:szCs w:val="18"/>
          <w:lang w:val="nl-NL"/>
        </w:rPr>
        <w:t xml:space="preserve"> stelde dat het tegen de wil van het slachtoffer voortzetten van seksuele betrekkingen nadat het lichaam (met toestemming) werd binnengedrongen, niet als verkrachting kan worden gekwalificeerd. </w:t>
      </w:r>
      <w:r w:rsidR="00BA2C5A" w:rsidRPr="000B4AB2">
        <w:rPr>
          <w:color w:val="000000" w:themeColor="text1"/>
          <w:szCs w:val="18"/>
          <w:lang w:val="nl-NL"/>
        </w:rPr>
        <w:t>Wanneer de</w:t>
      </w:r>
      <w:r w:rsidR="00E3645A" w:rsidRPr="000B4AB2">
        <w:rPr>
          <w:color w:val="000000" w:themeColor="text1"/>
          <w:szCs w:val="18"/>
          <w:lang w:val="nl-NL"/>
        </w:rPr>
        <w:t>ze</w:t>
      </w:r>
      <w:r w:rsidR="00BA2C5A" w:rsidRPr="000B4AB2">
        <w:rPr>
          <w:color w:val="000000" w:themeColor="text1"/>
          <w:szCs w:val="18"/>
          <w:lang w:val="nl-NL"/>
        </w:rPr>
        <w:t xml:space="preserve"> visie wordt gevolgd, dient te worden geconcludeerd dat de nieuwe strafbaarstelling strenger is</w:t>
      </w:r>
      <w:r w:rsidR="00CE70FE">
        <w:rPr>
          <w:color w:val="000000" w:themeColor="text1"/>
          <w:szCs w:val="18"/>
          <w:lang w:val="nl-NL"/>
        </w:rPr>
        <w:t>, aangezien dit voortaan wel als verkrachting kan worden gekwalificeerd. Volgens deze visie</w:t>
      </w:r>
      <w:r w:rsidR="00B0463B">
        <w:rPr>
          <w:rStyle w:val="FootnoteReference"/>
          <w:color w:val="000000" w:themeColor="text1"/>
          <w:szCs w:val="18"/>
          <w:lang w:val="nl-NL"/>
        </w:rPr>
        <w:footnoteReference w:id="338"/>
      </w:r>
      <w:r w:rsidR="00CE70FE">
        <w:rPr>
          <w:color w:val="000000" w:themeColor="text1"/>
          <w:szCs w:val="18"/>
          <w:lang w:val="nl-NL"/>
        </w:rPr>
        <w:t xml:space="preserve"> zal dit constitutief bestanddeel dan ook niet </w:t>
      </w:r>
      <w:r w:rsidR="00BA2C5A" w:rsidRPr="000B4AB2">
        <w:rPr>
          <w:color w:val="000000" w:themeColor="text1"/>
          <w:szCs w:val="18"/>
          <w:lang w:val="nl-NL"/>
        </w:rPr>
        <w:t xml:space="preserve">retroactief </w:t>
      </w:r>
      <w:r w:rsidR="00CE70FE">
        <w:rPr>
          <w:color w:val="000000" w:themeColor="text1"/>
          <w:szCs w:val="18"/>
          <w:lang w:val="nl-NL"/>
        </w:rPr>
        <w:t>mogen</w:t>
      </w:r>
      <w:r w:rsidR="00BA2C5A" w:rsidRPr="000B4AB2">
        <w:rPr>
          <w:color w:val="000000" w:themeColor="text1"/>
          <w:szCs w:val="18"/>
          <w:lang w:val="nl-NL"/>
        </w:rPr>
        <w:t xml:space="preserve"> worden toegepast.</w:t>
      </w:r>
      <w:r w:rsidR="00640711">
        <w:rPr>
          <w:rStyle w:val="FootnoteReference"/>
          <w:color w:val="000000" w:themeColor="text1"/>
          <w:szCs w:val="18"/>
          <w:lang w:val="nl-NL"/>
        </w:rPr>
        <w:footnoteReference w:id="339"/>
      </w:r>
      <w:r w:rsidR="00BA2C5A" w:rsidRPr="000B4AB2">
        <w:rPr>
          <w:color w:val="000000" w:themeColor="text1"/>
          <w:szCs w:val="18"/>
          <w:lang w:val="nl-NL"/>
        </w:rPr>
        <w:t xml:space="preserve"> </w:t>
      </w:r>
    </w:p>
    <w:p w14:paraId="3BD37DFE" w14:textId="77777777" w:rsidR="00BA2C5A" w:rsidRPr="000B4AB2" w:rsidRDefault="00BA2C5A" w:rsidP="00260F11">
      <w:pPr>
        <w:pStyle w:val="ListParagraph"/>
        <w:spacing w:line="360" w:lineRule="auto"/>
        <w:rPr>
          <w:color w:val="000000" w:themeColor="text1"/>
          <w:szCs w:val="18"/>
          <w:lang w:val="nl-NL"/>
        </w:rPr>
      </w:pPr>
    </w:p>
    <w:p w14:paraId="5693BDB8" w14:textId="157F65D2" w:rsidR="002F29EA" w:rsidRPr="000B4AB2" w:rsidRDefault="00497F78"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Indien </w:t>
      </w:r>
      <w:r w:rsidR="00BA2C5A" w:rsidRPr="000B4AB2">
        <w:rPr>
          <w:color w:val="000000" w:themeColor="text1"/>
          <w:szCs w:val="18"/>
          <w:lang w:val="nl-NL"/>
        </w:rPr>
        <w:t xml:space="preserve">evenwel </w:t>
      </w:r>
      <w:r w:rsidRPr="000B4AB2">
        <w:rPr>
          <w:color w:val="000000" w:themeColor="text1"/>
          <w:szCs w:val="18"/>
          <w:lang w:val="nl-NL"/>
        </w:rPr>
        <w:t xml:space="preserve">de </w:t>
      </w:r>
      <w:r w:rsidR="00BA2C5A" w:rsidRPr="000B4AB2">
        <w:rPr>
          <w:color w:val="000000" w:themeColor="text1"/>
          <w:szCs w:val="18"/>
          <w:lang w:val="nl-NL"/>
        </w:rPr>
        <w:t xml:space="preserve">andere </w:t>
      </w:r>
      <w:r w:rsidRPr="000B4AB2">
        <w:rPr>
          <w:color w:val="000000" w:themeColor="text1"/>
          <w:szCs w:val="18"/>
          <w:lang w:val="nl-NL"/>
        </w:rPr>
        <w:t xml:space="preserve">visie </w:t>
      </w:r>
      <w:r w:rsidR="004E0B36" w:rsidRPr="000B4AB2">
        <w:rPr>
          <w:color w:val="000000" w:themeColor="text1"/>
          <w:szCs w:val="18"/>
          <w:lang w:val="nl-NL"/>
        </w:rPr>
        <w:t xml:space="preserve">binnen de doctrine </w:t>
      </w:r>
      <w:r w:rsidRPr="000B4AB2">
        <w:rPr>
          <w:color w:val="000000" w:themeColor="text1"/>
          <w:szCs w:val="18"/>
          <w:lang w:val="nl-NL"/>
        </w:rPr>
        <w:t>wordt gevolgd</w:t>
      </w:r>
      <w:r w:rsidR="00F45AFD" w:rsidRPr="000B4AB2">
        <w:rPr>
          <w:color w:val="000000" w:themeColor="text1"/>
          <w:szCs w:val="18"/>
          <w:lang w:val="nl-NL"/>
        </w:rPr>
        <w:t xml:space="preserve">, dient </w:t>
      </w:r>
      <w:r w:rsidR="009F15B6" w:rsidRPr="000B4AB2">
        <w:rPr>
          <w:color w:val="000000" w:themeColor="text1"/>
          <w:szCs w:val="18"/>
          <w:lang w:val="nl-NL"/>
        </w:rPr>
        <w:t>te worden geconcludeerd dat de nieuwe strafbaarstelling op dit punt louter een verfijning betreft en aldus</w:t>
      </w:r>
      <w:r w:rsidR="00CE70FE">
        <w:rPr>
          <w:color w:val="000000" w:themeColor="text1"/>
          <w:szCs w:val="18"/>
          <w:lang w:val="nl-NL"/>
        </w:rPr>
        <w:t xml:space="preserve"> retroactief </w:t>
      </w:r>
      <w:r w:rsidR="007A650E">
        <w:rPr>
          <w:color w:val="000000" w:themeColor="text1"/>
          <w:szCs w:val="18"/>
          <w:lang w:val="nl-NL"/>
        </w:rPr>
        <w:t>kan</w:t>
      </w:r>
      <w:r w:rsidR="009F15B6" w:rsidRPr="000B4AB2">
        <w:rPr>
          <w:color w:val="000000" w:themeColor="text1"/>
          <w:szCs w:val="18"/>
          <w:lang w:val="nl-NL"/>
        </w:rPr>
        <w:t xml:space="preserve"> worden toegepast.</w:t>
      </w:r>
      <w:r w:rsidR="00771B21" w:rsidRPr="000B4AB2">
        <w:rPr>
          <w:rStyle w:val="FootnoteReference"/>
          <w:color w:val="000000" w:themeColor="text1"/>
          <w:szCs w:val="18"/>
          <w:lang w:val="nl-NL"/>
        </w:rPr>
        <w:footnoteReference w:id="340"/>
      </w:r>
      <w:r w:rsidR="00A0178A" w:rsidRPr="000B4AB2">
        <w:rPr>
          <w:color w:val="000000" w:themeColor="text1"/>
          <w:szCs w:val="18"/>
          <w:lang w:val="nl-NL"/>
        </w:rPr>
        <w:t xml:space="preserve"> </w:t>
      </w:r>
    </w:p>
    <w:p w14:paraId="72B8AD63" w14:textId="5281945C" w:rsidR="00F05C47" w:rsidRPr="000B4AB2" w:rsidRDefault="00F05C47" w:rsidP="00260F11">
      <w:pPr>
        <w:spacing w:line="360" w:lineRule="auto"/>
        <w:rPr>
          <w:color w:val="000000" w:themeColor="text1"/>
          <w:szCs w:val="18"/>
          <w:lang w:val="nl-NL"/>
        </w:rPr>
      </w:pPr>
    </w:p>
    <w:p w14:paraId="17FCAD85" w14:textId="25C9F6C7" w:rsidR="005B6CE3" w:rsidRPr="00BB1C7E" w:rsidRDefault="00854BFD" w:rsidP="00260F11">
      <w:pPr>
        <w:pStyle w:val="Heading5"/>
        <w:spacing w:line="360" w:lineRule="auto"/>
        <w:rPr>
          <w:lang w:val="nl-NL"/>
        </w:rPr>
      </w:pPr>
      <w:bookmarkStart w:id="38" w:name="_Toc135041069"/>
      <w:r w:rsidRPr="000B4AB2">
        <w:rPr>
          <w:lang w:val="nl-NL"/>
        </w:rPr>
        <w:t>Rol van het slachtoffer</w:t>
      </w:r>
      <w:bookmarkEnd w:id="38"/>
    </w:p>
    <w:p w14:paraId="72C0FDE9" w14:textId="77777777" w:rsidR="00F05C47" w:rsidRPr="000B4AB2" w:rsidRDefault="00F05C47" w:rsidP="00260F11">
      <w:pPr>
        <w:spacing w:line="360" w:lineRule="auto"/>
        <w:rPr>
          <w:color w:val="000000" w:themeColor="text1"/>
          <w:szCs w:val="18"/>
          <w:lang w:val="nl-NL"/>
        </w:rPr>
      </w:pPr>
    </w:p>
    <w:p w14:paraId="63A82FCD" w14:textId="5A71DAFC" w:rsidR="00E15183"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Pr="000B4AB2">
        <w:rPr>
          <w:color w:val="000000" w:themeColor="text1"/>
          <w:szCs w:val="18"/>
          <w:lang w:val="nl-NL"/>
        </w:rPr>
        <w:t>.</w:t>
      </w:r>
      <w:r w:rsidR="00E15183" w:rsidRPr="000B4AB2">
        <w:rPr>
          <w:color w:val="000000" w:themeColor="text1"/>
          <w:szCs w:val="18"/>
          <w:lang w:val="nl-NL"/>
        </w:rPr>
        <w:t xml:space="preserve"> </w:t>
      </w:r>
      <w:r w:rsidR="00376C61">
        <w:rPr>
          <w:color w:val="000000" w:themeColor="text1"/>
          <w:szCs w:val="18"/>
          <w:lang w:val="nl-NL"/>
        </w:rPr>
        <w:t>O.g.v.</w:t>
      </w:r>
      <w:r w:rsidR="00E15183" w:rsidRPr="000B4AB2">
        <w:rPr>
          <w:color w:val="000000" w:themeColor="text1"/>
          <w:szCs w:val="18"/>
          <w:lang w:val="nl-NL"/>
        </w:rPr>
        <w:t xml:space="preserve"> </w:t>
      </w:r>
      <w:r w:rsidR="006F74AB">
        <w:rPr>
          <w:color w:val="000000" w:themeColor="text1"/>
          <w:szCs w:val="18"/>
          <w:lang w:val="nl-NL"/>
        </w:rPr>
        <w:t>bovenstaande</w:t>
      </w:r>
      <w:r w:rsidR="00E15183" w:rsidRPr="000B4AB2">
        <w:rPr>
          <w:color w:val="000000" w:themeColor="text1"/>
          <w:szCs w:val="18"/>
          <w:lang w:val="nl-NL"/>
        </w:rPr>
        <w:t xml:space="preserve"> uiteenzetting van het misdrijf van verkrachting naar oud en huidig recht, kan tot volgend vergelijkend schema worden gekomen </w:t>
      </w:r>
      <w:r w:rsidR="006F74AB">
        <w:rPr>
          <w:color w:val="000000" w:themeColor="text1"/>
          <w:szCs w:val="18"/>
          <w:lang w:val="nl-NL"/>
        </w:rPr>
        <w:t>m.b.t.</w:t>
      </w:r>
      <w:r w:rsidR="00E15183" w:rsidRPr="000B4AB2">
        <w:rPr>
          <w:color w:val="000000" w:themeColor="text1"/>
          <w:szCs w:val="18"/>
          <w:lang w:val="nl-NL"/>
        </w:rPr>
        <w:t xml:space="preserve"> dit constitutief bestanddeel. </w:t>
      </w:r>
    </w:p>
    <w:p w14:paraId="16A0D79C" w14:textId="500CFD78" w:rsidR="00F05C47" w:rsidRDefault="00F05C47" w:rsidP="00260F11">
      <w:pPr>
        <w:spacing w:line="360" w:lineRule="auto"/>
        <w:rPr>
          <w:color w:val="000000" w:themeColor="text1"/>
          <w:szCs w:val="18"/>
          <w:lang w:val="nl-NL"/>
        </w:rPr>
      </w:pPr>
    </w:p>
    <w:tbl>
      <w:tblPr>
        <w:tblStyle w:val="GridTable4-Accent3"/>
        <w:tblW w:w="0" w:type="auto"/>
        <w:tblLook w:val="04A0" w:firstRow="1" w:lastRow="0" w:firstColumn="1" w:lastColumn="0" w:noHBand="0" w:noVBand="1"/>
      </w:tblPr>
      <w:tblGrid>
        <w:gridCol w:w="3451"/>
        <w:gridCol w:w="3455"/>
        <w:gridCol w:w="2156"/>
      </w:tblGrid>
      <w:tr w:rsidR="00BB1C7E" w:rsidRPr="000B4AB2" w14:paraId="5AFE0BFF" w14:textId="77777777" w:rsidTr="004F6A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3D6EB40C" w14:textId="0664CA9C" w:rsidR="00BB1C7E" w:rsidRPr="000B4AB2" w:rsidRDefault="00BB1C7E" w:rsidP="00260F11">
            <w:pPr>
              <w:spacing w:line="360" w:lineRule="auto"/>
              <w:rPr>
                <w:b w:val="0"/>
                <w:bCs w:val="0"/>
                <w:i/>
                <w:color w:val="000000" w:themeColor="text1"/>
                <w:szCs w:val="18"/>
              </w:rPr>
            </w:pPr>
            <w:r w:rsidRPr="000B4AB2">
              <w:rPr>
                <w:color w:val="000000" w:themeColor="text1"/>
                <w:szCs w:val="18"/>
              </w:rPr>
              <w:t>Vergelijking rol van het slachtoffer</w:t>
            </w:r>
          </w:p>
        </w:tc>
      </w:tr>
      <w:tr w:rsidR="00BB1C7E" w:rsidRPr="000B4AB2" w14:paraId="66C95830" w14:textId="77777777" w:rsidTr="004F6A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F1F1518" w14:textId="06E08C06" w:rsidR="00BB1C7E" w:rsidRPr="000B4AB2" w:rsidRDefault="00C46CA1" w:rsidP="00260F11">
            <w:pPr>
              <w:spacing w:line="360" w:lineRule="auto"/>
              <w:rPr>
                <w:color w:val="000000" w:themeColor="text1"/>
                <w:szCs w:val="18"/>
              </w:rPr>
            </w:pPr>
            <w:r>
              <w:rPr>
                <w:color w:val="000000" w:themeColor="text1"/>
                <w:szCs w:val="18"/>
              </w:rPr>
              <w:t>O</w:t>
            </w:r>
            <w:r w:rsidRPr="000B4AB2">
              <w:rPr>
                <w:color w:val="000000" w:themeColor="text1"/>
                <w:szCs w:val="18"/>
              </w:rPr>
              <w:t>ud art. 375 Sw</w:t>
            </w:r>
            <w:r>
              <w:rPr>
                <w:color w:val="000000" w:themeColor="text1"/>
                <w:szCs w:val="18"/>
              </w:rPr>
              <w:t>.</w:t>
            </w:r>
          </w:p>
        </w:tc>
        <w:tc>
          <w:tcPr>
            <w:tcW w:w="3827" w:type="dxa"/>
          </w:tcPr>
          <w:p w14:paraId="4679234B" w14:textId="05AF10D7" w:rsidR="00BB1C7E" w:rsidRPr="000B4AB2" w:rsidRDefault="00C46CA1"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rPr>
            </w:pPr>
            <w:r>
              <w:rPr>
                <w:b/>
                <w:bCs/>
                <w:color w:val="000000" w:themeColor="text1"/>
                <w:szCs w:val="18"/>
              </w:rPr>
              <w:t>A</w:t>
            </w:r>
            <w:r w:rsidRPr="000C19C1">
              <w:rPr>
                <w:b/>
                <w:bCs/>
                <w:color w:val="000000" w:themeColor="text1"/>
                <w:szCs w:val="18"/>
              </w:rPr>
              <w:t>rt. 417/11 Sw.</w:t>
            </w:r>
          </w:p>
        </w:tc>
        <w:tc>
          <w:tcPr>
            <w:tcW w:w="1412" w:type="dxa"/>
          </w:tcPr>
          <w:p w14:paraId="304BCB77" w14:textId="77777777" w:rsidR="00BB1C7E" w:rsidRPr="000B4AB2" w:rsidRDefault="00BB1C7E"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rPr>
            </w:pPr>
            <w:r w:rsidRPr="000B4AB2">
              <w:rPr>
                <w:b/>
                <w:bCs/>
                <w:color w:val="000000" w:themeColor="text1"/>
                <w:szCs w:val="18"/>
              </w:rPr>
              <w:t>Verschil</w:t>
            </w:r>
          </w:p>
        </w:tc>
      </w:tr>
      <w:tr w:rsidR="00BB1C7E" w:rsidRPr="006F74AB" w14:paraId="56CC1987" w14:textId="77777777" w:rsidTr="004F6AC9">
        <w:trPr>
          <w:trHeight w:val="1134"/>
        </w:trPr>
        <w:tc>
          <w:tcPr>
            <w:cnfStyle w:val="001000000000" w:firstRow="0" w:lastRow="0" w:firstColumn="1" w:lastColumn="0" w:oddVBand="0" w:evenVBand="0" w:oddHBand="0" w:evenHBand="0" w:firstRowFirstColumn="0" w:firstRowLastColumn="0" w:lastRowFirstColumn="0" w:lastRowLastColumn="0"/>
            <w:tcW w:w="3823" w:type="dxa"/>
          </w:tcPr>
          <w:p w14:paraId="55491FF9" w14:textId="77777777" w:rsidR="00BB1C7E" w:rsidRPr="006F74AB" w:rsidRDefault="00BB1C7E" w:rsidP="00260F11">
            <w:pPr>
              <w:spacing w:line="360" w:lineRule="auto"/>
              <w:jc w:val="left"/>
              <w:rPr>
                <w:b w:val="0"/>
                <w:color w:val="000000" w:themeColor="text1"/>
                <w:szCs w:val="18"/>
              </w:rPr>
            </w:pPr>
            <w:r w:rsidRPr="006F74AB">
              <w:rPr>
                <w:color w:val="000000" w:themeColor="text1"/>
                <w:szCs w:val="18"/>
              </w:rPr>
              <w:t>Op een persoon:</w:t>
            </w:r>
            <w:r w:rsidRPr="006F74AB">
              <w:rPr>
                <w:b w:val="0"/>
                <w:color w:val="000000" w:themeColor="text1"/>
                <w:szCs w:val="18"/>
              </w:rPr>
              <w:t xml:space="preserve"> slachtofferpenetratie</w:t>
            </w:r>
          </w:p>
          <w:p w14:paraId="715C7AEE" w14:textId="77777777" w:rsidR="00BB1C7E" w:rsidRPr="006F74AB" w:rsidRDefault="00BB1C7E" w:rsidP="00260F11">
            <w:pPr>
              <w:pStyle w:val="ListParagraph"/>
              <w:numPr>
                <w:ilvl w:val="0"/>
                <w:numId w:val="11"/>
              </w:numPr>
              <w:spacing w:line="360" w:lineRule="auto"/>
              <w:jc w:val="left"/>
              <w:rPr>
                <w:b w:val="0"/>
                <w:color w:val="000000" w:themeColor="text1"/>
                <w:szCs w:val="18"/>
                <w:lang w:val="nl-NL"/>
              </w:rPr>
            </w:pPr>
            <w:r w:rsidRPr="006F74AB">
              <w:rPr>
                <w:b w:val="0"/>
                <w:color w:val="000000" w:themeColor="text1"/>
                <w:szCs w:val="18"/>
                <w:lang w:val="nl-NL"/>
              </w:rPr>
              <w:t>Door dader</w:t>
            </w:r>
          </w:p>
          <w:p w14:paraId="03E4F6BF" w14:textId="77777777" w:rsidR="00BB1C7E" w:rsidRPr="006F74AB" w:rsidRDefault="00BB1C7E" w:rsidP="00260F11">
            <w:pPr>
              <w:pStyle w:val="ListParagraph"/>
              <w:numPr>
                <w:ilvl w:val="0"/>
                <w:numId w:val="11"/>
              </w:numPr>
              <w:spacing w:line="360" w:lineRule="auto"/>
              <w:jc w:val="left"/>
              <w:rPr>
                <w:b w:val="0"/>
                <w:color w:val="000000" w:themeColor="text1"/>
                <w:szCs w:val="18"/>
                <w:lang w:val="nl-NL"/>
              </w:rPr>
            </w:pPr>
            <w:r w:rsidRPr="006F74AB">
              <w:rPr>
                <w:b w:val="0"/>
                <w:color w:val="000000" w:themeColor="text1"/>
                <w:szCs w:val="18"/>
                <w:lang w:val="nl-NL"/>
              </w:rPr>
              <w:t>Door dader verplichte zelfpenetratie</w:t>
            </w:r>
          </w:p>
          <w:p w14:paraId="01DAC1A7" w14:textId="77777777" w:rsidR="00BB1C7E" w:rsidRPr="006F74AB" w:rsidRDefault="00BB1C7E" w:rsidP="00260F11">
            <w:pPr>
              <w:spacing w:line="360" w:lineRule="auto"/>
              <w:jc w:val="left"/>
              <w:rPr>
                <w:b w:val="0"/>
                <w:color w:val="000000" w:themeColor="text1"/>
                <w:szCs w:val="18"/>
              </w:rPr>
            </w:pPr>
          </w:p>
          <w:p w14:paraId="4043C2FD" w14:textId="4014CE10" w:rsidR="00BB1C7E" w:rsidRPr="006F74AB" w:rsidRDefault="00BB1C7E" w:rsidP="00260F11">
            <w:pPr>
              <w:spacing w:line="360" w:lineRule="auto"/>
              <w:jc w:val="left"/>
              <w:rPr>
                <w:color w:val="000000" w:themeColor="text1"/>
                <w:szCs w:val="18"/>
              </w:rPr>
            </w:pPr>
            <w:r w:rsidRPr="006F74AB">
              <w:rPr>
                <w:color w:val="000000" w:themeColor="text1"/>
                <w:szCs w:val="18"/>
              </w:rPr>
              <w:t>Niet “met behulp van een persoon”</w:t>
            </w:r>
            <w:r w:rsidR="004B2C8B">
              <w:rPr>
                <w:color w:val="000000" w:themeColor="text1"/>
                <w:szCs w:val="18"/>
              </w:rPr>
              <w:t>.</w:t>
            </w:r>
          </w:p>
          <w:p w14:paraId="029C3AE9" w14:textId="62CD9960" w:rsidR="00BB1C7E" w:rsidRPr="004B2C8B" w:rsidRDefault="00BB1C7E" w:rsidP="00260F11">
            <w:pPr>
              <w:spacing w:line="360" w:lineRule="auto"/>
              <w:jc w:val="left"/>
              <w:rPr>
                <w:b w:val="0"/>
                <w:color w:val="000000" w:themeColor="text1"/>
                <w:szCs w:val="18"/>
                <w:lang w:val="nl-NL"/>
              </w:rPr>
            </w:pPr>
            <w:r w:rsidRPr="004B2C8B">
              <w:rPr>
                <w:b w:val="0"/>
                <w:color w:val="000000" w:themeColor="text1"/>
                <w:szCs w:val="18"/>
                <w:lang w:val="nl-NL"/>
              </w:rPr>
              <w:t xml:space="preserve">Meerderheidsvisie: </w:t>
            </w:r>
            <w:r w:rsidR="004B2C8B">
              <w:rPr>
                <w:b w:val="0"/>
                <w:color w:val="000000" w:themeColor="text1"/>
                <w:szCs w:val="18"/>
                <w:lang w:val="nl-NL"/>
              </w:rPr>
              <w:t>geen verkrachting als</w:t>
            </w:r>
            <w:r w:rsidRPr="004B2C8B">
              <w:rPr>
                <w:b w:val="0"/>
                <w:color w:val="000000" w:themeColor="text1"/>
                <w:szCs w:val="18"/>
                <w:lang w:val="nl-NL"/>
              </w:rPr>
              <w:t xml:space="preserve"> ander lichaam dan dat van het slachtoffer</w:t>
            </w:r>
            <w:r w:rsidR="00771810" w:rsidRPr="004B2C8B">
              <w:rPr>
                <w:b w:val="0"/>
                <w:color w:val="000000" w:themeColor="text1"/>
                <w:szCs w:val="18"/>
                <w:lang w:val="nl-NL"/>
              </w:rPr>
              <w:t xml:space="preserve"> </w:t>
            </w:r>
            <w:r w:rsidR="004B2C8B">
              <w:rPr>
                <w:b w:val="0"/>
                <w:color w:val="000000" w:themeColor="text1"/>
                <w:szCs w:val="18"/>
                <w:lang w:val="nl-NL"/>
              </w:rPr>
              <w:t>wordt gepenetreerd.</w:t>
            </w:r>
          </w:p>
        </w:tc>
        <w:tc>
          <w:tcPr>
            <w:tcW w:w="3827" w:type="dxa"/>
          </w:tcPr>
          <w:p w14:paraId="3E8C9C57" w14:textId="77777777" w:rsidR="00BB1C7E" w:rsidRPr="006F74AB" w:rsidRDefault="00BB1C7E"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6F74AB">
              <w:rPr>
                <w:b/>
                <w:color w:val="000000" w:themeColor="text1"/>
                <w:szCs w:val="18"/>
              </w:rPr>
              <w:t>Op een persoon:</w:t>
            </w:r>
            <w:r w:rsidRPr="006F74AB">
              <w:rPr>
                <w:color w:val="000000" w:themeColor="text1"/>
                <w:szCs w:val="18"/>
              </w:rPr>
              <w:t xml:space="preserve"> slachtofferpenetratie</w:t>
            </w:r>
          </w:p>
          <w:p w14:paraId="33568914" w14:textId="77777777" w:rsidR="00BB1C7E" w:rsidRPr="006F74AB" w:rsidRDefault="00BB1C7E"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6F74AB">
              <w:rPr>
                <w:color w:val="000000" w:themeColor="text1"/>
                <w:szCs w:val="18"/>
                <w:lang w:val="nl-NL"/>
              </w:rPr>
              <w:t>Door dader</w:t>
            </w:r>
          </w:p>
          <w:p w14:paraId="19D59C16" w14:textId="77777777" w:rsidR="00BB1C7E" w:rsidRPr="006F74AB" w:rsidRDefault="00BB1C7E"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6F74AB">
              <w:rPr>
                <w:color w:val="000000" w:themeColor="text1"/>
                <w:szCs w:val="18"/>
                <w:lang w:val="nl-NL"/>
              </w:rPr>
              <w:t>Door dader verplichte zelfpenetratie</w:t>
            </w:r>
          </w:p>
          <w:p w14:paraId="32D1A6F9" w14:textId="77777777" w:rsidR="00BB1C7E" w:rsidRPr="006F74AB" w:rsidRDefault="00BB1C7E"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2FFF7407" w14:textId="3A58F5A6" w:rsidR="00BB1C7E" w:rsidRPr="006F74AB" w:rsidRDefault="00BB1C7E" w:rsidP="00260F11">
            <w:pPr>
              <w:spacing w:line="360" w:lineRule="auto"/>
              <w:jc w:val="left"/>
              <w:cnfStyle w:val="000000000000" w:firstRow="0" w:lastRow="0" w:firstColumn="0" w:lastColumn="0" w:oddVBand="0" w:evenVBand="0" w:oddHBand="0" w:evenHBand="0" w:firstRowFirstColumn="0" w:firstRowLastColumn="0" w:lastRowFirstColumn="0" w:lastRowLastColumn="0"/>
              <w:rPr>
                <w:b/>
                <w:color w:val="000000" w:themeColor="text1"/>
                <w:szCs w:val="18"/>
              </w:rPr>
            </w:pPr>
            <w:r w:rsidRPr="006F74AB">
              <w:rPr>
                <w:b/>
                <w:color w:val="000000" w:themeColor="text1"/>
                <w:szCs w:val="18"/>
              </w:rPr>
              <w:t>Met behulp van een persoon:</w:t>
            </w:r>
          </w:p>
          <w:p w14:paraId="7612F4A6" w14:textId="7B0D5738" w:rsidR="00BB1C7E" w:rsidRPr="006F74AB" w:rsidRDefault="00771810"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6F74AB">
              <w:rPr>
                <w:color w:val="000000" w:themeColor="text1"/>
                <w:szCs w:val="18"/>
                <w:lang w:val="nl-NL"/>
              </w:rPr>
              <w:t>Ander</w:t>
            </w:r>
            <w:r w:rsidR="00BB1C7E" w:rsidRPr="006F74AB">
              <w:rPr>
                <w:color w:val="000000" w:themeColor="text1"/>
                <w:szCs w:val="18"/>
                <w:lang w:val="nl-NL"/>
              </w:rPr>
              <w:t xml:space="preserve"> lichaam dan dat van het slachtoffer</w:t>
            </w:r>
            <w:r w:rsidRPr="006F74AB">
              <w:rPr>
                <w:color w:val="000000" w:themeColor="text1"/>
                <w:szCs w:val="18"/>
                <w:lang w:val="nl-NL"/>
              </w:rPr>
              <w:t xml:space="preserve"> </w:t>
            </w:r>
            <w:r w:rsidR="00BB1C7E" w:rsidRPr="006F74AB">
              <w:rPr>
                <w:color w:val="000000" w:themeColor="text1"/>
                <w:szCs w:val="18"/>
                <w:lang w:val="nl-NL"/>
              </w:rPr>
              <w:t>moet door slachtoffer worden gepenetreerd van de dader.</w:t>
            </w:r>
          </w:p>
        </w:tc>
        <w:tc>
          <w:tcPr>
            <w:tcW w:w="1412" w:type="dxa"/>
          </w:tcPr>
          <w:p w14:paraId="504088C7" w14:textId="77777777" w:rsidR="00BB1C7E" w:rsidRPr="006F74AB" w:rsidRDefault="00BB1C7E"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6F74AB">
              <w:rPr>
                <w:bCs/>
                <w:szCs w:val="18"/>
              </w:rPr>
              <w:t>Niet alleen slachtofferpenetratie, maar ook penetratie door het slachtoffer voortaan uitdrukkelijk strafbaar gesteld</w:t>
            </w:r>
          </w:p>
        </w:tc>
      </w:tr>
    </w:tbl>
    <w:p w14:paraId="1D64C1E2" w14:textId="77777777" w:rsidR="00BB1C7E" w:rsidRPr="000B4AB2" w:rsidRDefault="00BB1C7E" w:rsidP="00260F11">
      <w:pPr>
        <w:spacing w:line="360" w:lineRule="auto"/>
        <w:rPr>
          <w:color w:val="000000" w:themeColor="text1"/>
          <w:szCs w:val="18"/>
          <w:lang w:val="nl-NL"/>
        </w:rPr>
      </w:pPr>
    </w:p>
    <w:p w14:paraId="27B60C40" w14:textId="320C6C57" w:rsidR="004B59C0"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Toelichting schema</w:t>
      </w:r>
      <w:r w:rsidRPr="000B4AB2">
        <w:rPr>
          <w:color w:val="000000" w:themeColor="text1"/>
          <w:szCs w:val="18"/>
          <w:lang w:val="nl-NL"/>
        </w:rPr>
        <w:t>.</w:t>
      </w:r>
      <w:r w:rsidR="005B6CE3" w:rsidRPr="000B4AB2">
        <w:rPr>
          <w:color w:val="000000" w:themeColor="text1"/>
          <w:szCs w:val="18"/>
          <w:lang w:val="nl-NL"/>
        </w:rPr>
        <w:t xml:space="preserve"> Oud artikel 375 </w:t>
      </w:r>
      <w:r w:rsidR="0081584B">
        <w:rPr>
          <w:color w:val="000000" w:themeColor="text1"/>
          <w:szCs w:val="18"/>
          <w:lang w:val="nl-NL"/>
        </w:rPr>
        <w:t xml:space="preserve">van het </w:t>
      </w:r>
      <w:r w:rsidR="005B6CE3" w:rsidRPr="000B4AB2">
        <w:rPr>
          <w:color w:val="000000" w:themeColor="text1"/>
          <w:szCs w:val="18"/>
          <w:lang w:val="nl-NL"/>
        </w:rPr>
        <w:t xml:space="preserve">Strafwetboek stelde enkel de penetratie gepleegd </w:t>
      </w:r>
      <w:r w:rsidR="004B2C8B">
        <w:rPr>
          <w:color w:val="000000" w:themeColor="text1"/>
          <w:szCs w:val="18"/>
          <w:lang w:val="nl-NL"/>
        </w:rPr>
        <w:t>“</w:t>
      </w:r>
      <w:r w:rsidR="005B6CE3" w:rsidRPr="000B4AB2">
        <w:rPr>
          <w:color w:val="000000" w:themeColor="text1"/>
          <w:szCs w:val="18"/>
          <w:lang w:val="nl-NL"/>
        </w:rPr>
        <w:t>op</w:t>
      </w:r>
      <w:r w:rsidR="004B2C8B">
        <w:rPr>
          <w:color w:val="000000" w:themeColor="text1"/>
          <w:szCs w:val="18"/>
          <w:lang w:val="nl-NL"/>
        </w:rPr>
        <w:t>”</w:t>
      </w:r>
      <w:r w:rsidR="005B6CE3" w:rsidRPr="000B4AB2">
        <w:rPr>
          <w:color w:val="000000" w:themeColor="text1"/>
          <w:szCs w:val="18"/>
          <w:lang w:val="nl-NL"/>
        </w:rPr>
        <w:t xml:space="preserve"> een persoon strafbaar. Hierdoor stelde de meerderheidsvisie binnen de doctrine dan ook dat </w:t>
      </w:r>
      <w:r w:rsidR="00C81EE7" w:rsidRPr="000B4AB2">
        <w:rPr>
          <w:color w:val="000000" w:themeColor="text1"/>
          <w:szCs w:val="18"/>
          <w:lang w:val="nl-NL"/>
        </w:rPr>
        <w:t xml:space="preserve">enkel </w:t>
      </w:r>
      <w:r w:rsidR="005B6CE3" w:rsidRPr="000B4AB2">
        <w:rPr>
          <w:color w:val="000000" w:themeColor="text1"/>
          <w:szCs w:val="18"/>
          <w:lang w:val="nl-NL"/>
        </w:rPr>
        <w:t>penetraties van het lichaam van het slachtoffer zelf</w:t>
      </w:r>
      <w:r w:rsidR="00C81EE7" w:rsidRPr="000B4AB2">
        <w:rPr>
          <w:color w:val="000000" w:themeColor="text1"/>
          <w:szCs w:val="18"/>
          <w:lang w:val="nl-NL"/>
        </w:rPr>
        <w:t xml:space="preserve"> strafbaar waren als verkrachting (slachtofferpenetraties)</w:t>
      </w:r>
      <w:r w:rsidR="006D0D2A">
        <w:rPr>
          <w:color w:val="000000" w:themeColor="text1"/>
          <w:szCs w:val="18"/>
          <w:lang w:val="nl-NL"/>
        </w:rPr>
        <w:t>.</w:t>
      </w:r>
      <w:r w:rsidR="006D0D2A">
        <w:rPr>
          <w:rStyle w:val="FootnoteReference"/>
          <w:color w:val="000000" w:themeColor="text1"/>
          <w:szCs w:val="18"/>
          <w:lang w:val="nl-NL"/>
        </w:rPr>
        <w:footnoteReference w:id="341"/>
      </w:r>
    </w:p>
    <w:p w14:paraId="7970E27A" w14:textId="77777777" w:rsidR="004B2C8B" w:rsidRDefault="004B2C8B" w:rsidP="00260F11">
      <w:pPr>
        <w:pStyle w:val="ListParagraph"/>
        <w:spacing w:line="360" w:lineRule="auto"/>
        <w:ind w:left="0"/>
        <w:rPr>
          <w:color w:val="000000" w:themeColor="text1"/>
          <w:szCs w:val="18"/>
          <w:lang w:val="nl-NL"/>
        </w:rPr>
      </w:pPr>
    </w:p>
    <w:p w14:paraId="725EF851" w14:textId="3370C37E" w:rsidR="004B59C0" w:rsidRPr="005559EE" w:rsidRDefault="005B6CE3" w:rsidP="00260F11">
      <w:pPr>
        <w:pStyle w:val="ListParagraph"/>
        <w:spacing w:line="360" w:lineRule="auto"/>
        <w:ind w:left="0"/>
        <w:rPr>
          <w:color w:val="000000" w:themeColor="text1"/>
          <w:szCs w:val="18"/>
          <w:lang w:val="nl-NL"/>
        </w:rPr>
      </w:pPr>
      <w:r w:rsidRPr="005559EE">
        <w:rPr>
          <w:color w:val="000000" w:themeColor="text1"/>
          <w:szCs w:val="18"/>
          <w:lang w:val="nl-NL"/>
        </w:rPr>
        <w:lastRenderedPageBreak/>
        <w:t xml:space="preserve">Voortaan stelt artikel 417/11 </w:t>
      </w:r>
      <w:r w:rsidR="0081584B">
        <w:rPr>
          <w:color w:val="000000" w:themeColor="text1"/>
          <w:szCs w:val="18"/>
          <w:lang w:val="nl-NL"/>
        </w:rPr>
        <w:t xml:space="preserve">van het </w:t>
      </w:r>
      <w:r w:rsidRPr="005559EE">
        <w:rPr>
          <w:color w:val="000000" w:themeColor="text1"/>
          <w:szCs w:val="18"/>
          <w:lang w:val="nl-NL"/>
        </w:rPr>
        <w:t xml:space="preserve">Strafwetboek </w:t>
      </w:r>
      <w:r w:rsidR="004B2C8B">
        <w:rPr>
          <w:color w:val="000000" w:themeColor="text1"/>
          <w:szCs w:val="18"/>
          <w:lang w:val="nl-NL"/>
        </w:rPr>
        <w:t>daarnaast</w:t>
      </w:r>
      <w:r w:rsidRPr="005559EE">
        <w:rPr>
          <w:color w:val="000000" w:themeColor="text1"/>
          <w:szCs w:val="18"/>
          <w:lang w:val="nl-NL"/>
        </w:rPr>
        <w:t xml:space="preserve"> ook de penetraties </w:t>
      </w:r>
      <w:r w:rsidR="004B2C8B">
        <w:rPr>
          <w:color w:val="000000" w:themeColor="text1"/>
          <w:szCs w:val="18"/>
          <w:lang w:val="nl-NL"/>
        </w:rPr>
        <w:t xml:space="preserve">strafbaar </w:t>
      </w:r>
      <w:r w:rsidRPr="005559EE">
        <w:rPr>
          <w:color w:val="000000" w:themeColor="text1"/>
          <w:szCs w:val="18"/>
          <w:lang w:val="nl-NL"/>
        </w:rPr>
        <w:t>die worden verricht met behulp van het slachtoffer.</w:t>
      </w:r>
      <w:r w:rsidR="004B59C0" w:rsidRPr="005559EE">
        <w:rPr>
          <w:color w:val="000000" w:themeColor="text1"/>
          <w:szCs w:val="18"/>
          <w:lang w:val="nl-NL"/>
        </w:rPr>
        <w:t xml:space="preserve"> Hierdoor vallen zowel de slachtofferpenetraties verricht door de dader of door het slachtoffer zelf (zelfpenetratie) als de penetratie verricht door het slachtoffer op de dader (daderpenetratie), of op een derde, onder de strafbaarstelling van verkrachting.</w:t>
      </w:r>
      <w:r w:rsidR="004B59C0" w:rsidRPr="005559EE">
        <w:rPr>
          <w:rStyle w:val="FootnoteReference"/>
          <w:color w:val="000000" w:themeColor="text1"/>
          <w:szCs w:val="18"/>
          <w:lang w:val="nl-NL"/>
        </w:rPr>
        <w:footnoteReference w:id="342"/>
      </w:r>
    </w:p>
    <w:p w14:paraId="406931AA" w14:textId="77777777" w:rsidR="004B59C0" w:rsidRPr="000B4AB2" w:rsidRDefault="004B59C0" w:rsidP="00260F11">
      <w:pPr>
        <w:pStyle w:val="ListParagraph"/>
        <w:spacing w:line="360" w:lineRule="auto"/>
        <w:rPr>
          <w:color w:val="000000" w:themeColor="text1"/>
          <w:szCs w:val="18"/>
          <w:lang w:val="nl-NL"/>
        </w:rPr>
      </w:pPr>
    </w:p>
    <w:p w14:paraId="51239063" w14:textId="7CF9FB0F" w:rsidR="000E1575"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Temporele werking</w:t>
      </w:r>
      <w:r w:rsidRPr="000B4AB2">
        <w:rPr>
          <w:color w:val="000000" w:themeColor="text1"/>
          <w:szCs w:val="18"/>
          <w:lang w:val="nl-NL"/>
        </w:rPr>
        <w:t>.</w:t>
      </w:r>
      <w:r w:rsidR="004B59C0" w:rsidRPr="000B4AB2">
        <w:rPr>
          <w:color w:val="000000" w:themeColor="text1"/>
          <w:szCs w:val="18"/>
          <w:lang w:val="nl-NL"/>
        </w:rPr>
        <w:t xml:space="preserve"> </w:t>
      </w:r>
      <w:r w:rsidR="00C21601" w:rsidRPr="000B4AB2">
        <w:rPr>
          <w:color w:val="000000" w:themeColor="text1"/>
          <w:szCs w:val="18"/>
          <w:lang w:val="nl-NL"/>
        </w:rPr>
        <w:t>Gelet op de verdeeldheid binnen de rechtsleer omtrent het oude recht dienen twee hypotheses te worden gemaakt. Vooreerst kan de meerderheidsvisie</w:t>
      </w:r>
      <w:r w:rsidR="00D7595D">
        <w:rPr>
          <w:rStyle w:val="FootnoteReference"/>
          <w:color w:val="000000" w:themeColor="text1"/>
          <w:szCs w:val="18"/>
          <w:lang w:val="nl-NL"/>
        </w:rPr>
        <w:footnoteReference w:id="343"/>
      </w:r>
      <w:r w:rsidR="00C21601" w:rsidRPr="000B4AB2">
        <w:rPr>
          <w:color w:val="000000" w:themeColor="text1"/>
          <w:szCs w:val="18"/>
          <w:lang w:val="nl-NL"/>
        </w:rPr>
        <w:t xml:space="preserve"> omtrent het oude recht worden gevolgd, waardoor de toevoeging van penetraties door het slachtoffer verricht op een derde (bv. dader) aan het toepassingsgebied van de strafbaarstelling, als een verruiming van dit constitutief bestanddeel moet worden aanzien en bijgevolg een strengere strafbaarstelling uitmaakt die niet retroactief mag worden toegepast.</w:t>
      </w:r>
      <w:r w:rsidR="005F7615">
        <w:rPr>
          <w:rStyle w:val="FootnoteReference"/>
          <w:color w:val="000000" w:themeColor="text1"/>
          <w:szCs w:val="18"/>
          <w:lang w:val="nl-NL"/>
        </w:rPr>
        <w:footnoteReference w:id="344"/>
      </w:r>
    </w:p>
    <w:p w14:paraId="5C66F5B0" w14:textId="77777777" w:rsidR="000E1575" w:rsidRPr="000B4AB2" w:rsidRDefault="000E1575" w:rsidP="00260F11">
      <w:pPr>
        <w:pStyle w:val="ListParagraph"/>
        <w:spacing w:line="360" w:lineRule="auto"/>
        <w:rPr>
          <w:color w:val="000000" w:themeColor="text1"/>
          <w:szCs w:val="18"/>
          <w:lang w:val="nl-NL"/>
        </w:rPr>
      </w:pPr>
    </w:p>
    <w:p w14:paraId="7EEF809B" w14:textId="586727E4" w:rsidR="00EB11C2" w:rsidRPr="000B4AB2" w:rsidRDefault="000E1575" w:rsidP="00260F11">
      <w:pPr>
        <w:pStyle w:val="ListParagraph"/>
        <w:spacing w:line="360" w:lineRule="auto"/>
        <w:ind w:left="0"/>
        <w:rPr>
          <w:color w:val="000000" w:themeColor="text1"/>
          <w:szCs w:val="18"/>
          <w:lang w:val="nl-NL"/>
        </w:rPr>
      </w:pPr>
      <w:r w:rsidRPr="000B4AB2">
        <w:rPr>
          <w:color w:val="000000" w:themeColor="text1"/>
          <w:szCs w:val="18"/>
          <w:lang w:val="nl-NL"/>
        </w:rPr>
        <w:t>COP stelt</w:t>
      </w:r>
      <w:r w:rsidR="004B2C8B">
        <w:rPr>
          <w:color w:val="000000" w:themeColor="text1"/>
          <w:szCs w:val="18"/>
          <w:lang w:val="nl-NL"/>
        </w:rPr>
        <w:t xml:space="preserve"> b</w:t>
      </w:r>
      <w:r w:rsidR="004B606F">
        <w:rPr>
          <w:color w:val="000000" w:themeColor="text1"/>
          <w:szCs w:val="18"/>
          <w:lang w:val="nl-NL"/>
        </w:rPr>
        <w:t xml:space="preserve">ijvoorbeeld </w:t>
      </w:r>
      <w:r w:rsidRPr="000B4AB2">
        <w:rPr>
          <w:color w:val="000000" w:themeColor="text1"/>
          <w:szCs w:val="18"/>
          <w:lang w:val="nl-NL"/>
        </w:rPr>
        <w:t xml:space="preserve">eveneens dat dit constitutief bestanddeel een verstrenging uitmaakt. Zij baseert zich hiervoor op twee elementen. Enerzijds haalt zij de memorie van toelichting aan, waarin inderdaad gesteld wordt dat de wetgever door deze toevoeging een lacune verhelpt. Toch kan hieruit m.i. niet worden afgeleid dat de wetgever dit zelf als een verstrenging beschouwt. Hoger in de memorie van toelichting wordt immers gewezen op de verdeeldheid binnen de rechtsleer en erkent de wetgever dat de meerderheidsvisie inderdaad stelt dat een penetratie van een ander lichaam niet ressorteert onder de strafbaarstelling van oud artikel 375 </w:t>
      </w:r>
      <w:r w:rsidR="0081584B">
        <w:rPr>
          <w:color w:val="000000" w:themeColor="text1"/>
          <w:szCs w:val="18"/>
          <w:lang w:val="nl-NL"/>
        </w:rPr>
        <w:t xml:space="preserve">van het </w:t>
      </w:r>
      <w:r w:rsidRPr="000B4AB2">
        <w:rPr>
          <w:color w:val="000000" w:themeColor="text1"/>
          <w:szCs w:val="18"/>
          <w:lang w:val="nl-NL"/>
        </w:rPr>
        <w:t xml:space="preserve">Strafwetboek. Of de wetgever zich daarom ook aansluit bij </w:t>
      </w:r>
      <w:r w:rsidR="00457F74" w:rsidRPr="000B4AB2">
        <w:rPr>
          <w:color w:val="000000" w:themeColor="text1"/>
          <w:szCs w:val="18"/>
          <w:lang w:val="nl-NL"/>
        </w:rPr>
        <w:t>een</w:t>
      </w:r>
      <w:r w:rsidRPr="000B4AB2">
        <w:rPr>
          <w:color w:val="000000" w:themeColor="text1"/>
          <w:szCs w:val="18"/>
          <w:lang w:val="nl-NL"/>
        </w:rPr>
        <w:t xml:space="preserve"> van deze visies is m.i. toch een andere vraag. Anderzijds steunt COP zich hiervoor op de verdeeldheid binnen de rechtsleer, om te concluderen dat de hervorming aldus een verstrenging uitmaakt. Zoals reeds </w:t>
      </w:r>
      <w:r w:rsidR="00F37D8E">
        <w:rPr>
          <w:color w:val="000000" w:themeColor="text1"/>
          <w:szCs w:val="18"/>
          <w:lang w:val="nl-NL"/>
        </w:rPr>
        <w:t xml:space="preserve">eerder </w:t>
      </w:r>
      <w:r w:rsidRPr="000B4AB2">
        <w:rPr>
          <w:color w:val="000000" w:themeColor="text1"/>
          <w:szCs w:val="18"/>
          <w:lang w:val="nl-NL"/>
        </w:rPr>
        <w:t xml:space="preserve">uiteengezet, </w:t>
      </w:r>
      <w:r w:rsidR="002F127C" w:rsidRPr="000B4AB2">
        <w:rPr>
          <w:color w:val="000000" w:themeColor="text1"/>
          <w:szCs w:val="18"/>
          <w:lang w:val="nl-NL"/>
        </w:rPr>
        <w:t>lijkt</w:t>
      </w:r>
      <w:r w:rsidRPr="000B4AB2">
        <w:rPr>
          <w:color w:val="000000" w:themeColor="text1"/>
          <w:szCs w:val="18"/>
          <w:lang w:val="nl-NL"/>
        </w:rPr>
        <w:t xml:space="preserve"> een dergelijke verdeeldheid evenwel geen reden </w:t>
      </w:r>
      <w:r w:rsidR="002F127C" w:rsidRPr="000B4AB2">
        <w:rPr>
          <w:color w:val="000000" w:themeColor="text1"/>
          <w:szCs w:val="18"/>
          <w:lang w:val="nl-NL"/>
        </w:rPr>
        <w:t xml:space="preserve">te zijn </w:t>
      </w:r>
      <w:r w:rsidRPr="000B4AB2">
        <w:rPr>
          <w:color w:val="000000" w:themeColor="text1"/>
          <w:szCs w:val="18"/>
          <w:lang w:val="nl-NL"/>
        </w:rPr>
        <w:t xml:space="preserve">op basis waarvan kan worden afgeleid of iets al dan niet een verstrenging </w:t>
      </w:r>
      <w:r w:rsidRPr="006D0D2A">
        <w:rPr>
          <w:color w:val="000000" w:themeColor="text1"/>
          <w:szCs w:val="18"/>
          <w:lang w:val="nl-NL"/>
        </w:rPr>
        <w:t>uitmaakt.</w:t>
      </w:r>
      <w:r w:rsidRPr="006D0D2A">
        <w:rPr>
          <w:rStyle w:val="FootnoteReference"/>
          <w:color w:val="000000" w:themeColor="text1"/>
          <w:szCs w:val="18"/>
          <w:lang w:val="nl-NL"/>
        </w:rPr>
        <w:footnoteReference w:id="345"/>
      </w:r>
    </w:p>
    <w:p w14:paraId="2E7E9C88" w14:textId="77777777" w:rsidR="00C21601" w:rsidRPr="000B4AB2" w:rsidRDefault="00C21601" w:rsidP="00260F11">
      <w:pPr>
        <w:pStyle w:val="ListParagraph"/>
        <w:spacing w:line="360" w:lineRule="auto"/>
        <w:rPr>
          <w:color w:val="000000" w:themeColor="text1"/>
          <w:szCs w:val="18"/>
          <w:lang w:val="nl-NL"/>
        </w:rPr>
      </w:pPr>
    </w:p>
    <w:p w14:paraId="6B5FCF2F" w14:textId="3811E2B9" w:rsidR="008E14FE" w:rsidRPr="000B4AB2" w:rsidRDefault="00C21601"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Een tweede hypothese is </w:t>
      </w:r>
      <w:r w:rsidR="00AB200E" w:rsidRPr="000B4AB2">
        <w:rPr>
          <w:color w:val="000000" w:themeColor="text1"/>
          <w:szCs w:val="18"/>
          <w:lang w:val="nl-NL"/>
        </w:rPr>
        <w:t>deze waarin de minderheidsvisie m.b.t. het oude recht wordt gevolgd, volgens dewelke de uitdrukkelijke toevoeging van de woorden “met behulp van” een loutere vertaling uitmaakt van het oude recht zoals dit werd geïnterpreteerd door de jurisprudentie. Aldus zou in dit opzicht dit constitutief bestanddeel wel retroactie</w:t>
      </w:r>
      <w:r w:rsidR="00CB0B05" w:rsidRPr="000B4AB2">
        <w:rPr>
          <w:color w:val="000000" w:themeColor="text1"/>
          <w:szCs w:val="18"/>
          <w:lang w:val="nl-NL"/>
        </w:rPr>
        <w:t>f</w:t>
      </w:r>
      <w:r w:rsidR="004B2C8B">
        <w:rPr>
          <w:color w:val="000000" w:themeColor="text1"/>
          <w:szCs w:val="18"/>
          <w:lang w:val="nl-NL"/>
        </w:rPr>
        <w:t xml:space="preserve"> kunnen</w:t>
      </w:r>
      <w:r w:rsidR="00AB200E" w:rsidRPr="000B4AB2">
        <w:rPr>
          <w:color w:val="000000" w:themeColor="text1"/>
          <w:szCs w:val="18"/>
          <w:lang w:val="nl-NL"/>
        </w:rPr>
        <w:t xml:space="preserve"> </w:t>
      </w:r>
      <w:r w:rsidR="00CB0B05" w:rsidRPr="000B4AB2">
        <w:rPr>
          <w:color w:val="000000" w:themeColor="text1"/>
          <w:szCs w:val="18"/>
          <w:lang w:val="nl-NL"/>
        </w:rPr>
        <w:t>werken</w:t>
      </w:r>
      <w:r w:rsidR="00AB200E" w:rsidRPr="000B4AB2">
        <w:rPr>
          <w:color w:val="000000" w:themeColor="text1"/>
          <w:szCs w:val="18"/>
          <w:lang w:val="nl-NL"/>
        </w:rPr>
        <w:t>.</w:t>
      </w:r>
      <w:r w:rsidR="00DA413E" w:rsidRPr="000B4AB2">
        <w:rPr>
          <w:rStyle w:val="FootnoteReference"/>
          <w:color w:val="000000" w:themeColor="text1"/>
          <w:szCs w:val="18"/>
          <w:lang w:val="nl-NL"/>
        </w:rPr>
        <w:footnoteReference w:id="346"/>
      </w:r>
    </w:p>
    <w:p w14:paraId="2E9E1D42" w14:textId="05ED4DEA" w:rsidR="00F05C47" w:rsidRPr="000B4AB2" w:rsidRDefault="00F05C47" w:rsidP="00260F11">
      <w:pPr>
        <w:pStyle w:val="ListParagraph"/>
        <w:spacing w:line="360" w:lineRule="auto"/>
        <w:ind w:left="0"/>
        <w:rPr>
          <w:color w:val="000000" w:themeColor="text1"/>
          <w:szCs w:val="18"/>
          <w:lang w:val="nl-NL"/>
        </w:rPr>
      </w:pPr>
    </w:p>
    <w:p w14:paraId="58FD8CB7" w14:textId="1D77C6DA" w:rsidR="00F05C47" w:rsidRPr="000B4AB2" w:rsidRDefault="002F29EA" w:rsidP="00260F11">
      <w:pPr>
        <w:spacing w:line="360" w:lineRule="auto"/>
        <w:rPr>
          <w:color w:val="000000" w:themeColor="text1"/>
          <w:szCs w:val="18"/>
          <w:lang w:val="nl-NL"/>
        </w:rPr>
      </w:pPr>
      <w:r w:rsidRPr="000B4AB2">
        <w:rPr>
          <w:color w:val="000000" w:themeColor="text1"/>
          <w:szCs w:val="18"/>
          <w:lang w:val="nl-NL"/>
        </w:rPr>
        <w:br w:type="page"/>
      </w:r>
    </w:p>
    <w:p w14:paraId="2552600E" w14:textId="7844437B" w:rsidR="00F05C47" w:rsidRPr="000B4AB2" w:rsidRDefault="00C168A9" w:rsidP="00260F11">
      <w:pPr>
        <w:pStyle w:val="Heading5"/>
        <w:spacing w:line="360" w:lineRule="auto"/>
        <w:rPr>
          <w:lang w:val="nl-NL"/>
        </w:rPr>
      </w:pPr>
      <w:bookmarkStart w:id="39" w:name="_Toc135041070"/>
      <w:r>
        <w:rPr>
          <w:lang w:val="nl-NL"/>
        </w:rPr>
        <w:lastRenderedPageBreak/>
        <w:t>Afwezigheid</w:t>
      </w:r>
      <w:r w:rsidR="00F05C47" w:rsidRPr="000B4AB2">
        <w:rPr>
          <w:lang w:val="nl-NL"/>
        </w:rPr>
        <w:t xml:space="preserve"> geldige toestemming slachtoffer</w:t>
      </w:r>
      <w:bookmarkEnd w:id="39"/>
    </w:p>
    <w:p w14:paraId="403AF40D" w14:textId="30B15B22" w:rsidR="00F05C47" w:rsidRPr="000B4AB2" w:rsidRDefault="00F05C47" w:rsidP="00260F11">
      <w:pPr>
        <w:spacing w:line="360" w:lineRule="auto"/>
        <w:rPr>
          <w:color w:val="000000" w:themeColor="text1"/>
          <w:szCs w:val="18"/>
          <w:lang w:val="nl-NL"/>
        </w:rPr>
      </w:pPr>
    </w:p>
    <w:p w14:paraId="2A05F135" w14:textId="3DFBA691" w:rsidR="00F05C47"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Pr="000B4AB2">
        <w:rPr>
          <w:color w:val="000000" w:themeColor="text1"/>
          <w:szCs w:val="18"/>
          <w:lang w:val="nl-NL"/>
        </w:rPr>
        <w:t>.</w:t>
      </w:r>
      <w:r w:rsidR="00E15183" w:rsidRPr="000B4AB2">
        <w:rPr>
          <w:color w:val="000000" w:themeColor="text1"/>
          <w:szCs w:val="18"/>
          <w:lang w:val="nl-NL"/>
        </w:rPr>
        <w:t xml:space="preserve"> </w:t>
      </w:r>
      <w:r w:rsidR="00376C61">
        <w:rPr>
          <w:color w:val="000000" w:themeColor="text1"/>
          <w:szCs w:val="18"/>
          <w:lang w:val="nl-NL"/>
        </w:rPr>
        <w:t>O.g.v.</w:t>
      </w:r>
      <w:r w:rsidR="00E15183" w:rsidRPr="000B4AB2">
        <w:rPr>
          <w:color w:val="000000" w:themeColor="text1"/>
          <w:szCs w:val="18"/>
          <w:lang w:val="nl-NL"/>
        </w:rPr>
        <w:t xml:space="preserve"> de uiteenzetting van het misdrijf van verkrachting naar oud en </w:t>
      </w:r>
      <w:r w:rsidR="008F6952" w:rsidRPr="000B4AB2">
        <w:rPr>
          <w:color w:val="000000" w:themeColor="text1"/>
          <w:szCs w:val="18"/>
          <w:lang w:val="nl-NL"/>
        </w:rPr>
        <w:t>huidig</w:t>
      </w:r>
      <w:r w:rsidR="00E15183" w:rsidRPr="000B4AB2">
        <w:rPr>
          <w:color w:val="000000" w:themeColor="text1"/>
          <w:szCs w:val="18"/>
          <w:lang w:val="nl-NL"/>
        </w:rPr>
        <w:t xml:space="preserve"> recht, kan tot volgend vergelijkend schema worden gekomen voor wat betreft dit constitutief bestanddeel.</w:t>
      </w:r>
    </w:p>
    <w:p w14:paraId="26B5CB9E" w14:textId="38C4319A" w:rsidR="00E15183" w:rsidRPr="000B4AB2" w:rsidRDefault="00E15183" w:rsidP="00260F11">
      <w:pPr>
        <w:spacing w:line="360" w:lineRule="auto"/>
        <w:rPr>
          <w:color w:val="000000" w:themeColor="text1"/>
          <w:szCs w:val="18"/>
          <w:lang w:val="nl-NL"/>
        </w:rPr>
      </w:pPr>
    </w:p>
    <w:tbl>
      <w:tblPr>
        <w:tblStyle w:val="GridTable4-Accent3"/>
        <w:tblW w:w="0" w:type="auto"/>
        <w:tblLook w:val="04A0" w:firstRow="1" w:lastRow="0" w:firstColumn="1" w:lastColumn="0" w:noHBand="0" w:noVBand="1"/>
      </w:tblPr>
      <w:tblGrid>
        <w:gridCol w:w="3434"/>
        <w:gridCol w:w="3224"/>
        <w:gridCol w:w="2404"/>
      </w:tblGrid>
      <w:tr w:rsidR="001047E8" w:rsidRPr="000C19C1" w14:paraId="305706AF" w14:textId="77777777" w:rsidTr="005B1E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52696510" w14:textId="5935F780" w:rsidR="001047E8" w:rsidRPr="000C19C1" w:rsidRDefault="001047E8" w:rsidP="00260F11">
            <w:pPr>
              <w:spacing w:line="360" w:lineRule="auto"/>
              <w:rPr>
                <w:b w:val="0"/>
                <w:bCs w:val="0"/>
                <w:i/>
                <w:color w:val="000000" w:themeColor="text1"/>
                <w:szCs w:val="18"/>
              </w:rPr>
            </w:pPr>
            <w:r w:rsidRPr="000C19C1">
              <w:rPr>
                <w:color w:val="000000" w:themeColor="text1"/>
                <w:szCs w:val="18"/>
              </w:rPr>
              <w:t xml:space="preserve">Vergelijking </w:t>
            </w:r>
            <w:r w:rsidR="006736CC">
              <w:rPr>
                <w:color w:val="000000" w:themeColor="text1"/>
                <w:szCs w:val="18"/>
              </w:rPr>
              <w:t>a</w:t>
            </w:r>
            <w:r w:rsidR="00C168A9">
              <w:rPr>
                <w:color w:val="000000" w:themeColor="text1"/>
                <w:szCs w:val="18"/>
              </w:rPr>
              <w:t>fwezigheid</w:t>
            </w:r>
            <w:r w:rsidRPr="000C19C1">
              <w:rPr>
                <w:color w:val="000000" w:themeColor="text1"/>
                <w:szCs w:val="18"/>
              </w:rPr>
              <w:t xml:space="preserve"> geldige toestemming</w:t>
            </w:r>
            <w:r w:rsidR="00C46CA1">
              <w:rPr>
                <w:color w:val="000000" w:themeColor="text1"/>
                <w:szCs w:val="18"/>
              </w:rPr>
              <w:t xml:space="preserve"> slachtoffer</w:t>
            </w:r>
          </w:p>
        </w:tc>
      </w:tr>
      <w:tr w:rsidR="000C19C1" w:rsidRPr="000C19C1" w14:paraId="3F394EAC" w14:textId="77777777" w:rsidTr="00953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4" w:type="dxa"/>
          </w:tcPr>
          <w:p w14:paraId="15A82252" w14:textId="06880E24" w:rsidR="001047E8" w:rsidRPr="000C19C1" w:rsidRDefault="006736CC" w:rsidP="00260F11">
            <w:pPr>
              <w:spacing w:line="360" w:lineRule="auto"/>
              <w:rPr>
                <w:color w:val="000000" w:themeColor="text1"/>
                <w:szCs w:val="18"/>
              </w:rPr>
            </w:pPr>
            <w:r>
              <w:rPr>
                <w:color w:val="000000" w:themeColor="text1"/>
                <w:szCs w:val="18"/>
              </w:rPr>
              <w:t>O</w:t>
            </w:r>
            <w:r w:rsidR="001047E8" w:rsidRPr="000C19C1">
              <w:rPr>
                <w:color w:val="000000" w:themeColor="text1"/>
                <w:szCs w:val="18"/>
              </w:rPr>
              <w:t>ud art. 375 Sw.</w:t>
            </w:r>
          </w:p>
        </w:tc>
        <w:tc>
          <w:tcPr>
            <w:tcW w:w="3224" w:type="dxa"/>
          </w:tcPr>
          <w:p w14:paraId="6E3966D9" w14:textId="08DE090F" w:rsidR="001047E8" w:rsidRPr="000C19C1" w:rsidRDefault="006736CC"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rPr>
            </w:pPr>
            <w:r>
              <w:rPr>
                <w:b/>
                <w:bCs/>
                <w:color w:val="000000" w:themeColor="text1"/>
                <w:szCs w:val="18"/>
              </w:rPr>
              <w:t>A</w:t>
            </w:r>
            <w:r w:rsidR="001047E8" w:rsidRPr="000C19C1">
              <w:rPr>
                <w:b/>
                <w:bCs/>
                <w:color w:val="000000" w:themeColor="text1"/>
                <w:szCs w:val="18"/>
              </w:rPr>
              <w:t>rt. 417/11 Sw.</w:t>
            </w:r>
          </w:p>
        </w:tc>
        <w:tc>
          <w:tcPr>
            <w:tcW w:w="2404" w:type="dxa"/>
          </w:tcPr>
          <w:p w14:paraId="2B2B827A" w14:textId="77777777" w:rsidR="001047E8" w:rsidRPr="000C19C1" w:rsidRDefault="001047E8" w:rsidP="00260F11">
            <w:pPr>
              <w:spacing w:line="360" w:lineRule="auto"/>
              <w:cnfStyle w:val="000000100000" w:firstRow="0" w:lastRow="0" w:firstColumn="0" w:lastColumn="0" w:oddVBand="0" w:evenVBand="0" w:oddHBand="1" w:evenHBand="0" w:firstRowFirstColumn="0" w:firstRowLastColumn="0" w:lastRowFirstColumn="0" w:lastRowLastColumn="0"/>
              <w:rPr>
                <w:b/>
                <w:bCs/>
                <w:color w:val="000000" w:themeColor="text1"/>
                <w:szCs w:val="18"/>
              </w:rPr>
            </w:pPr>
            <w:r w:rsidRPr="000C19C1">
              <w:rPr>
                <w:b/>
                <w:bCs/>
                <w:color w:val="000000" w:themeColor="text1"/>
                <w:szCs w:val="18"/>
              </w:rPr>
              <w:t>Verschil</w:t>
            </w:r>
          </w:p>
        </w:tc>
      </w:tr>
      <w:tr w:rsidR="000C19C1" w:rsidRPr="00953C26" w14:paraId="2C6A786C" w14:textId="77777777" w:rsidTr="00953C26">
        <w:trPr>
          <w:trHeight w:val="1134"/>
        </w:trPr>
        <w:tc>
          <w:tcPr>
            <w:cnfStyle w:val="001000000000" w:firstRow="0" w:lastRow="0" w:firstColumn="1" w:lastColumn="0" w:oddVBand="0" w:evenVBand="0" w:oddHBand="0" w:evenHBand="0" w:firstRowFirstColumn="0" w:firstRowLastColumn="0" w:lastRowFirstColumn="0" w:lastRowLastColumn="0"/>
            <w:tcW w:w="3434" w:type="dxa"/>
          </w:tcPr>
          <w:p w14:paraId="53F74370" w14:textId="0896E4E2" w:rsidR="003C0C91" w:rsidRPr="00953C26" w:rsidRDefault="000C19C1" w:rsidP="00260F11">
            <w:pPr>
              <w:spacing w:line="360" w:lineRule="auto"/>
              <w:jc w:val="left"/>
              <w:rPr>
                <w:b w:val="0"/>
                <w:color w:val="000000" w:themeColor="text1"/>
                <w:szCs w:val="18"/>
              </w:rPr>
            </w:pPr>
            <w:r w:rsidRPr="00953C26">
              <w:rPr>
                <w:b w:val="0"/>
                <w:color w:val="000000" w:themeColor="text1"/>
                <w:szCs w:val="18"/>
              </w:rPr>
              <w:t>-</w:t>
            </w:r>
            <w:r w:rsidR="003C0C91" w:rsidRPr="00953C26">
              <w:rPr>
                <w:b w:val="0"/>
                <w:color w:val="000000" w:themeColor="text1"/>
                <w:szCs w:val="18"/>
              </w:rPr>
              <w:t xml:space="preserve"> </w:t>
            </w:r>
            <w:r w:rsidRPr="00953C26">
              <w:rPr>
                <w:b w:val="0"/>
                <w:color w:val="000000" w:themeColor="text1"/>
                <w:szCs w:val="18"/>
              </w:rPr>
              <w:t>Geen wetttelijke definitie</w:t>
            </w:r>
            <w:r w:rsidR="00953C26">
              <w:rPr>
                <w:b w:val="0"/>
                <w:color w:val="000000" w:themeColor="text1"/>
                <w:szCs w:val="18"/>
              </w:rPr>
              <w:t xml:space="preserve"> toestemming</w:t>
            </w:r>
          </w:p>
          <w:p w14:paraId="1AC59CC1" w14:textId="77777777" w:rsidR="001047E8" w:rsidRPr="00953C26" w:rsidRDefault="001047E8" w:rsidP="00260F11">
            <w:pPr>
              <w:spacing w:line="360" w:lineRule="auto"/>
              <w:jc w:val="left"/>
              <w:rPr>
                <w:b w:val="0"/>
                <w:color w:val="000000" w:themeColor="text1"/>
                <w:szCs w:val="18"/>
              </w:rPr>
            </w:pPr>
          </w:p>
          <w:p w14:paraId="2A1B57E1" w14:textId="06B60265" w:rsidR="001047E8" w:rsidRPr="00953C26" w:rsidRDefault="000C19C1" w:rsidP="00260F11">
            <w:pPr>
              <w:spacing w:line="360" w:lineRule="auto"/>
              <w:jc w:val="left"/>
              <w:rPr>
                <w:b w:val="0"/>
                <w:color w:val="000000" w:themeColor="text1"/>
                <w:szCs w:val="18"/>
              </w:rPr>
            </w:pPr>
            <w:r w:rsidRPr="00953C26">
              <w:rPr>
                <w:b w:val="0"/>
                <w:color w:val="000000" w:themeColor="text1"/>
                <w:szCs w:val="18"/>
              </w:rPr>
              <w:t>-</w:t>
            </w:r>
            <w:r w:rsidR="001047E8" w:rsidRPr="00953C26">
              <w:rPr>
                <w:b w:val="0"/>
                <w:color w:val="000000" w:themeColor="text1"/>
                <w:szCs w:val="18"/>
              </w:rPr>
              <w:t xml:space="preserve"> Toestemming voor </w:t>
            </w:r>
            <w:r w:rsidR="001047E8" w:rsidRPr="00953C26">
              <w:rPr>
                <w:b w:val="0"/>
                <w:color w:val="000000" w:themeColor="text1"/>
              </w:rPr>
              <w:t>de</w:t>
            </w:r>
            <w:r w:rsidR="001047E8" w:rsidRPr="00953C26">
              <w:rPr>
                <w:b w:val="0"/>
                <w:color w:val="000000" w:themeColor="text1"/>
                <w:szCs w:val="18"/>
              </w:rPr>
              <w:t xml:space="preserve"> ene seksuele penetratie is geen toestemming voor d</w:t>
            </w:r>
            <w:r w:rsidR="001047E8" w:rsidRPr="00953C26">
              <w:rPr>
                <w:b w:val="0"/>
                <w:color w:val="000000" w:themeColor="text1"/>
              </w:rPr>
              <w:t xml:space="preserve">e </w:t>
            </w:r>
            <w:r w:rsidR="001047E8" w:rsidRPr="00953C26">
              <w:rPr>
                <w:b w:val="0"/>
                <w:color w:val="000000" w:themeColor="text1"/>
                <w:szCs w:val="18"/>
              </w:rPr>
              <w:t>andere seksuele penetratie</w:t>
            </w:r>
          </w:p>
          <w:p w14:paraId="12530A79" w14:textId="77777777" w:rsidR="001047E8" w:rsidRPr="00953C26" w:rsidRDefault="001047E8" w:rsidP="00260F11">
            <w:pPr>
              <w:spacing w:line="360" w:lineRule="auto"/>
              <w:jc w:val="left"/>
              <w:rPr>
                <w:b w:val="0"/>
                <w:color w:val="000000" w:themeColor="text1"/>
                <w:szCs w:val="18"/>
              </w:rPr>
            </w:pPr>
          </w:p>
          <w:p w14:paraId="18124625" w14:textId="3401069E" w:rsidR="003C0C91" w:rsidRDefault="00953C26" w:rsidP="00260F11">
            <w:pPr>
              <w:spacing w:line="360" w:lineRule="auto"/>
              <w:jc w:val="left"/>
              <w:rPr>
                <w:bCs w:val="0"/>
                <w:color w:val="000000" w:themeColor="text1"/>
                <w:szCs w:val="18"/>
              </w:rPr>
            </w:pPr>
            <w:r>
              <w:rPr>
                <w:b w:val="0"/>
                <w:bCs w:val="0"/>
                <w:color w:val="000000" w:themeColor="text1"/>
                <w:szCs w:val="18"/>
              </w:rPr>
              <w:t xml:space="preserve">- Kan </w:t>
            </w:r>
            <w:r w:rsidR="00C44A11">
              <w:rPr>
                <w:b w:val="0"/>
                <w:bCs w:val="0"/>
                <w:color w:val="000000" w:themeColor="text1"/>
                <w:szCs w:val="18"/>
              </w:rPr>
              <w:t>t</w:t>
            </w:r>
            <w:r w:rsidRPr="00953C26">
              <w:rPr>
                <w:b w:val="0"/>
                <w:bCs w:val="0"/>
                <w:color w:val="000000" w:themeColor="text1"/>
                <w:szCs w:val="18"/>
              </w:rPr>
              <w:t xml:space="preserve">oestemming op ieder </w:t>
            </w:r>
            <w:r>
              <w:rPr>
                <w:b w:val="0"/>
                <w:bCs w:val="0"/>
                <w:color w:val="000000" w:themeColor="text1"/>
                <w:szCs w:val="18"/>
              </w:rPr>
              <w:t>elk</w:t>
            </w:r>
            <w:r w:rsidRPr="00953C26">
              <w:rPr>
                <w:b w:val="0"/>
                <w:bCs w:val="0"/>
                <w:color w:val="000000" w:themeColor="text1"/>
                <w:szCs w:val="18"/>
              </w:rPr>
              <w:t xml:space="preserve"> worden ingetrokken</w:t>
            </w:r>
            <w:r>
              <w:rPr>
                <w:b w:val="0"/>
                <w:color w:val="000000" w:themeColor="text1"/>
                <w:szCs w:val="18"/>
              </w:rPr>
              <w:t>? Discussie</w:t>
            </w:r>
          </w:p>
          <w:p w14:paraId="536D2F2C" w14:textId="77777777" w:rsidR="00953C26" w:rsidRPr="00953C26" w:rsidRDefault="00953C26" w:rsidP="00260F11">
            <w:pPr>
              <w:spacing w:line="360" w:lineRule="auto"/>
              <w:jc w:val="left"/>
              <w:rPr>
                <w:b w:val="0"/>
                <w:color w:val="000000" w:themeColor="text1"/>
                <w:szCs w:val="18"/>
              </w:rPr>
            </w:pPr>
          </w:p>
          <w:p w14:paraId="21739E5D" w14:textId="6BA15DD4" w:rsidR="001047E8" w:rsidRPr="00953C26" w:rsidRDefault="000C19C1" w:rsidP="00260F11">
            <w:pPr>
              <w:spacing w:line="360" w:lineRule="auto"/>
              <w:jc w:val="left"/>
              <w:rPr>
                <w:b w:val="0"/>
                <w:color w:val="000000" w:themeColor="text1"/>
                <w:szCs w:val="18"/>
              </w:rPr>
            </w:pPr>
            <w:r w:rsidRPr="00953C26">
              <w:rPr>
                <w:b w:val="0"/>
                <w:color w:val="000000" w:themeColor="text1"/>
                <w:szCs w:val="18"/>
              </w:rPr>
              <w:t>-</w:t>
            </w:r>
            <w:r w:rsidR="001047E8" w:rsidRPr="00953C26">
              <w:rPr>
                <w:b w:val="0"/>
                <w:color w:val="000000" w:themeColor="text1"/>
                <w:szCs w:val="18"/>
              </w:rPr>
              <w:t xml:space="preserve"> </w:t>
            </w:r>
            <w:r w:rsidR="00953C26">
              <w:rPr>
                <w:b w:val="0"/>
                <w:color w:val="000000" w:themeColor="text1"/>
                <w:szCs w:val="18"/>
              </w:rPr>
              <w:t xml:space="preserve">Er kan geen sprake zijn van geldige toestemming </w:t>
            </w:r>
            <w:r w:rsidR="005C2799">
              <w:rPr>
                <w:b w:val="0"/>
                <w:color w:val="000000" w:themeColor="text1"/>
                <w:szCs w:val="18"/>
              </w:rPr>
              <w:t>als</w:t>
            </w:r>
            <w:r w:rsidR="00953C26">
              <w:rPr>
                <w:b w:val="0"/>
                <w:color w:val="000000" w:themeColor="text1"/>
                <w:szCs w:val="18"/>
              </w:rPr>
              <w:t>:</w:t>
            </w:r>
          </w:p>
          <w:p w14:paraId="60559FEF" w14:textId="48F5C6AD" w:rsidR="003C0C91" w:rsidRPr="00953C26" w:rsidRDefault="001047E8" w:rsidP="00260F11">
            <w:pPr>
              <w:pStyle w:val="ListParagraph"/>
              <w:numPr>
                <w:ilvl w:val="0"/>
                <w:numId w:val="11"/>
              </w:numPr>
              <w:spacing w:line="360" w:lineRule="auto"/>
              <w:jc w:val="left"/>
              <w:rPr>
                <w:b w:val="0"/>
                <w:color w:val="000000" w:themeColor="text1"/>
                <w:szCs w:val="18"/>
                <w:lang w:val="nl-NL"/>
              </w:rPr>
            </w:pPr>
            <w:r w:rsidRPr="00953C26">
              <w:rPr>
                <w:b w:val="0"/>
                <w:color w:val="000000" w:themeColor="text1"/>
                <w:szCs w:val="18"/>
                <w:lang w:val="nl-NL"/>
              </w:rPr>
              <w:t>Slachtoffer is minveertienjarig</w:t>
            </w:r>
            <w:r w:rsidR="00953C26">
              <w:rPr>
                <w:rStyle w:val="FootnoteReference"/>
                <w:b w:val="0"/>
                <w:color w:val="000000" w:themeColor="text1"/>
                <w:szCs w:val="18"/>
                <w:lang w:val="nl-NL"/>
              </w:rPr>
              <w:footnoteReference w:id="347"/>
            </w:r>
            <w:r w:rsidRPr="00953C26">
              <w:rPr>
                <w:b w:val="0"/>
                <w:color w:val="000000" w:themeColor="text1"/>
                <w:szCs w:val="18"/>
                <w:lang w:val="nl-NL"/>
              </w:rPr>
              <w:t xml:space="preserve"> </w:t>
            </w:r>
          </w:p>
          <w:p w14:paraId="33773C08" w14:textId="77777777" w:rsidR="001047E8" w:rsidRPr="00953C26" w:rsidRDefault="001D0B2D" w:rsidP="00260F11">
            <w:pPr>
              <w:pStyle w:val="ListParagraph"/>
              <w:numPr>
                <w:ilvl w:val="0"/>
                <w:numId w:val="11"/>
              </w:numPr>
              <w:spacing w:line="360" w:lineRule="auto"/>
              <w:jc w:val="left"/>
              <w:rPr>
                <w:b w:val="0"/>
                <w:color w:val="000000" w:themeColor="text1"/>
                <w:szCs w:val="18"/>
                <w:lang w:val="nl-NL"/>
              </w:rPr>
            </w:pPr>
            <w:r w:rsidRPr="00953C26">
              <w:rPr>
                <w:b w:val="0"/>
                <w:color w:val="000000" w:themeColor="text1"/>
                <w:szCs w:val="18"/>
                <w:lang w:val="nl-NL"/>
              </w:rPr>
              <w:t>Slachtoffer kan zich beroepen op een</w:t>
            </w:r>
            <w:r w:rsidR="001047E8" w:rsidRPr="00953C26">
              <w:rPr>
                <w:b w:val="0"/>
                <w:color w:val="000000" w:themeColor="text1"/>
                <w:szCs w:val="18"/>
                <w:lang w:val="nl-NL"/>
              </w:rPr>
              <w:t xml:space="preserve"> van de wilsuitsluitende gronden</w:t>
            </w:r>
            <w:r w:rsidR="00953C26">
              <w:rPr>
                <w:rStyle w:val="FootnoteReference"/>
                <w:b w:val="0"/>
                <w:color w:val="000000" w:themeColor="text1"/>
                <w:szCs w:val="18"/>
                <w:lang w:val="nl-NL"/>
              </w:rPr>
              <w:footnoteReference w:id="348"/>
            </w:r>
          </w:p>
          <w:p w14:paraId="51AC98B3" w14:textId="6709E962" w:rsidR="00953C26" w:rsidRPr="00953C26" w:rsidRDefault="00953C26" w:rsidP="00260F11">
            <w:pPr>
              <w:pStyle w:val="ListParagraph"/>
              <w:numPr>
                <w:ilvl w:val="0"/>
                <w:numId w:val="11"/>
              </w:numPr>
              <w:spacing w:line="360" w:lineRule="auto"/>
              <w:jc w:val="left"/>
              <w:rPr>
                <w:b w:val="0"/>
                <w:color w:val="000000" w:themeColor="text1"/>
                <w:szCs w:val="18"/>
                <w:lang w:val="nl-NL"/>
              </w:rPr>
            </w:pPr>
            <w:r>
              <w:rPr>
                <w:b w:val="0"/>
                <w:color w:val="000000" w:themeColor="text1"/>
                <w:szCs w:val="18"/>
                <w:lang w:val="nl-NL"/>
              </w:rPr>
              <w:t>…</w:t>
            </w:r>
          </w:p>
        </w:tc>
        <w:tc>
          <w:tcPr>
            <w:tcW w:w="3224" w:type="dxa"/>
          </w:tcPr>
          <w:p w14:paraId="01B5B8FC" w14:textId="0656DA55" w:rsidR="003C0C91" w:rsidRPr="00953C26" w:rsidRDefault="000C19C1"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953C26">
              <w:rPr>
                <w:color w:val="000000" w:themeColor="text1"/>
                <w:szCs w:val="18"/>
              </w:rPr>
              <w:t>-</w:t>
            </w:r>
            <w:r w:rsidR="003C0C91" w:rsidRPr="00953C26">
              <w:rPr>
                <w:color w:val="000000" w:themeColor="text1"/>
                <w:szCs w:val="18"/>
              </w:rPr>
              <w:t xml:space="preserve"> Wettelijke definitie</w:t>
            </w:r>
            <w:r w:rsidR="00953C26">
              <w:rPr>
                <w:color w:val="000000" w:themeColor="text1"/>
                <w:szCs w:val="18"/>
              </w:rPr>
              <w:t xml:space="preserve"> toestemming</w:t>
            </w:r>
          </w:p>
          <w:p w14:paraId="731B155C" w14:textId="77777777" w:rsidR="00953C26" w:rsidRPr="00953C26"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0186FA33" w14:textId="650B21C1" w:rsidR="008A29D6" w:rsidRPr="00953C26" w:rsidRDefault="000C19C1"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953C26">
              <w:rPr>
                <w:color w:val="000000" w:themeColor="text1"/>
                <w:szCs w:val="18"/>
              </w:rPr>
              <w:t>-</w:t>
            </w:r>
            <w:r w:rsidR="00E50417" w:rsidRPr="00953C26">
              <w:rPr>
                <w:color w:val="000000" w:themeColor="text1"/>
                <w:szCs w:val="18"/>
              </w:rPr>
              <w:t xml:space="preserve"> Toestemming voor </w:t>
            </w:r>
            <w:r w:rsidR="00E50417" w:rsidRPr="00953C26">
              <w:rPr>
                <w:color w:val="000000" w:themeColor="text1"/>
              </w:rPr>
              <w:t>de</w:t>
            </w:r>
            <w:r w:rsidR="00E50417" w:rsidRPr="00953C26">
              <w:rPr>
                <w:color w:val="000000" w:themeColor="text1"/>
                <w:szCs w:val="18"/>
              </w:rPr>
              <w:t xml:space="preserve"> ene seksuele penetratie is geen toestemming voor d</w:t>
            </w:r>
            <w:r w:rsidR="00E50417" w:rsidRPr="00953C26">
              <w:rPr>
                <w:color w:val="000000" w:themeColor="text1"/>
              </w:rPr>
              <w:t xml:space="preserve">e </w:t>
            </w:r>
            <w:r w:rsidR="00E50417" w:rsidRPr="00953C26">
              <w:rPr>
                <w:color w:val="000000" w:themeColor="text1"/>
                <w:szCs w:val="18"/>
              </w:rPr>
              <w:t>andere seksuele penetratie</w:t>
            </w:r>
          </w:p>
          <w:p w14:paraId="584C202C" w14:textId="77777777" w:rsidR="008A29D6" w:rsidRPr="00953C26" w:rsidRDefault="008A29D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648CD8C8" w14:textId="2364A0FF" w:rsidR="001047E8" w:rsidRPr="00953C26" w:rsidRDefault="000C19C1" w:rsidP="00260F11">
            <w:p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rPr>
            </w:pPr>
            <w:r w:rsidRPr="00953C26">
              <w:rPr>
                <w:bCs/>
                <w:color w:val="000000" w:themeColor="text1"/>
                <w:szCs w:val="18"/>
              </w:rPr>
              <w:t>-</w:t>
            </w:r>
            <w:r w:rsidR="001047E8" w:rsidRPr="00953C26">
              <w:rPr>
                <w:bCs/>
                <w:color w:val="000000" w:themeColor="text1"/>
                <w:szCs w:val="18"/>
              </w:rPr>
              <w:t xml:space="preserve"> Toestemming kan op </w:t>
            </w:r>
            <w:r w:rsidR="00953C26">
              <w:rPr>
                <w:bCs/>
                <w:color w:val="000000" w:themeColor="text1"/>
                <w:szCs w:val="18"/>
              </w:rPr>
              <w:t>elk</w:t>
            </w:r>
            <w:r w:rsidR="001047E8" w:rsidRPr="00953C26">
              <w:rPr>
                <w:bCs/>
                <w:color w:val="000000" w:themeColor="text1"/>
                <w:szCs w:val="18"/>
              </w:rPr>
              <w:t xml:space="preserve"> ogenblik worden ingetrokken</w:t>
            </w:r>
          </w:p>
          <w:p w14:paraId="38893C9B" w14:textId="77777777" w:rsidR="000C19C1" w:rsidRPr="00953C26" w:rsidRDefault="000C19C1" w:rsidP="00260F11">
            <w:p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rPr>
            </w:pPr>
          </w:p>
          <w:p w14:paraId="7042DE1E" w14:textId="1807EDD6" w:rsidR="001047E8" w:rsidRPr="00953C26" w:rsidRDefault="000C19C1" w:rsidP="00260F11">
            <w:pPr>
              <w:spacing w:line="360" w:lineRule="auto"/>
              <w:jc w:val="left"/>
              <w:cnfStyle w:val="000000000000" w:firstRow="0" w:lastRow="0" w:firstColumn="0" w:lastColumn="0" w:oddVBand="0" w:evenVBand="0" w:oddHBand="0" w:evenHBand="0" w:firstRowFirstColumn="0" w:firstRowLastColumn="0" w:lastRowFirstColumn="0" w:lastRowLastColumn="0"/>
              <w:rPr>
                <w:bCs/>
                <w:color w:val="000000" w:themeColor="text1"/>
                <w:szCs w:val="18"/>
              </w:rPr>
            </w:pPr>
            <w:r w:rsidRPr="00953C26">
              <w:rPr>
                <w:color w:val="000000" w:themeColor="text1"/>
                <w:szCs w:val="18"/>
              </w:rPr>
              <w:t>-</w:t>
            </w:r>
            <w:r w:rsidR="001047E8" w:rsidRPr="00953C26">
              <w:rPr>
                <w:color w:val="000000" w:themeColor="text1"/>
                <w:szCs w:val="18"/>
              </w:rPr>
              <w:t xml:space="preserve"> </w:t>
            </w:r>
            <w:r w:rsidR="00953C26" w:rsidRPr="00953C26">
              <w:rPr>
                <w:color w:val="000000" w:themeColor="text1"/>
                <w:szCs w:val="18"/>
              </w:rPr>
              <w:t>Er kan geen sprake zijn van geldige toestemming als</w:t>
            </w:r>
            <w:r w:rsidR="005C2799">
              <w:rPr>
                <w:color w:val="000000" w:themeColor="text1"/>
                <w:szCs w:val="18"/>
              </w:rPr>
              <w:t>:</w:t>
            </w:r>
          </w:p>
          <w:p w14:paraId="31B52D06" w14:textId="6B2B569E" w:rsidR="003C0C91" w:rsidRPr="00953C26" w:rsidRDefault="001047E8"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953C26">
              <w:rPr>
                <w:bCs/>
                <w:color w:val="000000" w:themeColor="text1"/>
                <w:szCs w:val="18"/>
                <w:lang w:val="nl-NL"/>
              </w:rPr>
              <w:t>Slachtoffer is seksueel minderjarig</w:t>
            </w:r>
            <w:r w:rsidR="00953C26">
              <w:rPr>
                <w:rStyle w:val="FootnoteReference"/>
                <w:bCs/>
                <w:color w:val="000000" w:themeColor="text1"/>
                <w:szCs w:val="18"/>
                <w:lang w:val="nl-NL"/>
              </w:rPr>
              <w:footnoteReference w:id="349"/>
            </w:r>
          </w:p>
          <w:p w14:paraId="2C3958F4" w14:textId="7579CE43" w:rsidR="001047E8" w:rsidRPr="00953C26" w:rsidRDefault="001047E8"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953C26">
              <w:rPr>
                <w:bCs/>
                <w:color w:val="000000" w:themeColor="text1"/>
                <w:szCs w:val="18"/>
                <w:lang w:val="nl-NL"/>
              </w:rPr>
              <w:t xml:space="preserve">Slachtoffer kan zich beroepen op een van de </w:t>
            </w:r>
            <w:r w:rsidR="00953C26" w:rsidRPr="00953C26">
              <w:rPr>
                <w:color w:val="000000" w:themeColor="text1"/>
                <w:szCs w:val="18"/>
                <w:lang w:val="nl-NL"/>
              </w:rPr>
              <w:t>wilsuitsluitende</w:t>
            </w:r>
            <w:r w:rsidR="00953C26" w:rsidRPr="00953C26">
              <w:rPr>
                <w:b/>
                <w:color w:val="000000" w:themeColor="text1"/>
                <w:szCs w:val="18"/>
                <w:lang w:val="nl-NL"/>
              </w:rPr>
              <w:t xml:space="preserve"> </w:t>
            </w:r>
            <w:r w:rsidRPr="00953C26">
              <w:rPr>
                <w:bCs/>
                <w:color w:val="000000" w:themeColor="text1"/>
                <w:szCs w:val="18"/>
                <w:lang w:val="nl-NL"/>
              </w:rPr>
              <w:t>gronden</w:t>
            </w:r>
            <w:r w:rsidR="00953C26">
              <w:rPr>
                <w:rStyle w:val="FootnoteReference"/>
                <w:bCs/>
                <w:color w:val="000000" w:themeColor="text1"/>
                <w:szCs w:val="18"/>
                <w:lang w:val="nl-NL"/>
              </w:rPr>
              <w:footnoteReference w:id="350"/>
            </w:r>
          </w:p>
          <w:p w14:paraId="63FD1034" w14:textId="08305116" w:rsidR="001D0B2D" w:rsidRPr="00953C26" w:rsidRDefault="00FE372D"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953C26">
              <w:rPr>
                <w:color w:val="000000" w:themeColor="text1"/>
                <w:szCs w:val="18"/>
                <w:lang w:val="nl-NL"/>
              </w:rPr>
              <w:t>Slachtoffer sliep of was bewusteloos</w:t>
            </w:r>
            <w:r w:rsidR="00953C26">
              <w:rPr>
                <w:rStyle w:val="FootnoteReference"/>
                <w:color w:val="000000" w:themeColor="text1"/>
                <w:szCs w:val="18"/>
                <w:lang w:val="nl-NL"/>
              </w:rPr>
              <w:footnoteReference w:id="351"/>
            </w:r>
          </w:p>
          <w:p w14:paraId="1DEA610E" w14:textId="46708DBC" w:rsidR="001047E8" w:rsidRDefault="001047E8"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953C26">
              <w:rPr>
                <w:color w:val="000000" w:themeColor="text1"/>
                <w:szCs w:val="18"/>
                <w:lang w:val="nl-NL"/>
              </w:rPr>
              <w:t>Vrije wil van slachtoffer werd aangetast (1) doordat dader gebruik maakte van (2) de kwetsbare toestand van het slachtoffer (3</w:t>
            </w:r>
            <w:r w:rsidR="00953C26">
              <w:rPr>
                <w:color w:val="000000" w:themeColor="text1"/>
                <w:szCs w:val="18"/>
                <w:lang w:val="nl-NL"/>
              </w:rPr>
              <w:t>)</w:t>
            </w:r>
            <w:r w:rsidR="00953C26">
              <w:rPr>
                <w:rStyle w:val="FootnoteReference"/>
                <w:color w:val="000000" w:themeColor="text1"/>
                <w:szCs w:val="18"/>
                <w:lang w:val="nl-NL"/>
              </w:rPr>
              <w:footnoteReference w:id="352"/>
            </w:r>
          </w:p>
          <w:p w14:paraId="0440AEBD" w14:textId="22C30FA2" w:rsidR="00953C26" w:rsidRPr="00953C26" w:rsidRDefault="00953C26"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Pr>
                <w:color w:val="000000" w:themeColor="text1"/>
                <w:szCs w:val="18"/>
                <w:lang w:val="nl-NL"/>
              </w:rPr>
              <w:t>…</w:t>
            </w:r>
          </w:p>
        </w:tc>
        <w:tc>
          <w:tcPr>
            <w:tcW w:w="2404" w:type="dxa"/>
          </w:tcPr>
          <w:p w14:paraId="2BA579AD" w14:textId="4B18221A" w:rsidR="001047E8" w:rsidRPr="00953C26"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Pr>
                <w:color w:val="000000" w:themeColor="text1"/>
                <w:szCs w:val="18"/>
              </w:rPr>
              <w:t>- Definitie toestemming</w:t>
            </w:r>
            <w:r w:rsidR="001047E8" w:rsidRPr="00953C26">
              <w:rPr>
                <w:color w:val="000000" w:themeColor="text1"/>
                <w:szCs w:val="18"/>
              </w:rPr>
              <w:t xml:space="preserve"> </w:t>
            </w:r>
          </w:p>
          <w:p w14:paraId="06399BEC" w14:textId="09E78C04" w:rsidR="001047E8" w:rsidRDefault="00457F74"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953C26">
              <w:rPr>
                <w:color w:val="000000" w:themeColor="text1"/>
                <w:szCs w:val="18"/>
                <w:lang w:val="nl-NL"/>
              </w:rPr>
              <w:t>Kan</w:t>
            </w:r>
            <w:r w:rsidR="001047E8" w:rsidRPr="00953C26">
              <w:rPr>
                <w:color w:val="000000" w:themeColor="text1"/>
                <w:szCs w:val="18"/>
                <w:lang w:val="nl-NL"/>
              </w:rPr>
              <w:t xml:space="preserve"> op elk ogenblik worden ingetrokken</w:t>
            </w:r>
          </w:p>
          <w:p w14:paraId="3414BDB7" w14:textId="49D7EA91" w:rsidR="00D714F9" w:rsidRPr="00953C26" w:rsidRDefault="00D714F9" w:rsidP="00260F11">
            <w:pPr>
              <w:pStyle w:val="ListParagraph"/>
              <w:numPr>
                <w:ilvl w:val="0"/>
                <w:numId w:val="11"/>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953C26">
              <w:rPr>
                <w:color w:val="000000" w:themeColor="text1"/>
                <w:szCs w:val="18"/>
                <w:lang w:val="nl-NL"/>
              </w:rPr>
              <w:t xml:space="preserve">Meer voorbeelden </w:t>
            </w:r>
            <w:r w:rsidR="00457F74" w:rsidRPr="00953C26">
              <w:rPr>
                <w:color w:val="000000" w:themeColor="text1"/>
                <w:szCs w:val="18"/>
                <w:lang w:val="nl-NL"/>
              </w:rPr>
              <w:t>toestemmings</w:t>
            </w:r>
            <w:r w:rsidR="00771810" w:rsidRPr="00953C26">
              <w:rPr>
                <w:color w:val="000000" w:themeColor="text1"/>
                <w:szCs w:val="18"/>
                <w:lang w:val="nl-NL"/>
              </w:rPr>
              <w:t>-</w:t>
            </w:r>
            <w:r w:rsidR="00457F74" w:rsidRPr="00953C26">
              <w:rPr>
                <w:color w:val="000000" w:themeColor="text1"/>
                <w:szCs w:val="18"/>
                <w:lang w:val="nl-NL"/>
              </w:rPr>
              <w:t>uitsluitende</w:t>
            </w:r>
            <w:r w:rsidR="000C19C1" w:rsidRPr="00953C26">
              <w:rPr>
                <w:color w:val="000000" w:themeColor="text1"/>
                <w:szCs w:val="18"/>
                <w:lang w:val="nl-NL"/>
              </w:rPr>
              <w:t xml:space="preserve"> gronden</w:t>
            </w:r>
          </w:p>
          <w:p w14:paraId="75BA1D4F" w14:textId="77777777" w:rsidR="001047E8" w:rsidRPr="00953C26" w:rsidRDefault="001047E8"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6B1F5771" w14:textId="6591DDFB" w:rsidR="003575DA" w:rsidRPr="00953C26" w:rsidRDefault="00953C26"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Pr>
                <w:color w:val="000000" w:themeColor="text1"/>
                <w:szCs w:val="18"/>
              </w:rPr>
              <w:t xml:space="preserve">- andere </w:t>
            </w:r>
            <w:r w:rsidR="003575DA" w:rsidRPr="00953C26">
              <w:rPr>
                <w:color w:val="000000" w:themeColor="text1"/>
                <w:szCs w:val="18"/>
              </w:rPr>
              <w:t>leeftijd</w:t>
            </w:r>
            <w:r>
              <w:rPr>
                <w:color w:val="000000" w:themeColor="text1"/>
                <w:szCs w:val="18"/>
              </w:rPr>
              <w:t>sgrens</w:t>
            </w:r>
            <w:r w:rsidR="003575DA" w:rsidRPr="00953C26">
              <w:rPr>
                <w:color w:val="000000" w:themeColor="text1"/>
                <w:szCs w:val="18"/>
              </w:rPr>
              <w:t xml:space="preserve"> seksuele meerderjarigheid </w:t>
            </w:r>
          </w:p>
        </w:tc>
      </w:tr>
    </w:tbl>
    <w:p w14:paraId="4103546C" w14:textId="77777777" w:rsidR="00F05C47" w:rsidRPr="009A4DB1" w:rsidRDefault="00F05C47" w:rsidP="00260F11">
      <w:pPr>
        <w:spacing w:line="360" w:lineRule="auto"/>
        <w:rPr>
          <w:color w:val="000000" w:themeColor="text1"/>
          <w:szCs w:val="18"/>
          <w:lang w:val="nl-NL"/>
        </w:rPr>
      </w:pPr>
    </w:p>
    <w:p w14:paraId="37CA88BA" w14:textId="45921E5F" w:rsidR="00F05C47"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Toelichting schema</w:t>
      </w:r>
      <w:r w:rsidRPr="000B4AB2">
        <w:rPr>
          <w:color w:val="000000" w:themeColor="text1"/>
          <w:szCs w:val="18"/>
          <w:lang w:val="nl-NL"/>
        </w:rPr>
        <w:t>.</w:t>
      </w:r>
      <w:r w:rsidR="00967C4E" w:rsidRPr="000B4AB2">
        <w:rPr>
          <w:color w:val="000000" w:themeColor="text1"/>
          <w:szCs w:val="18"/>
          <w:lang w:val="nl-NL"/>
        </w:rPr>
        <w:t xml:space="preserve"> De grootste verschilpunten, zoals </w:t>
      </w:r>
      <w:r w:rsidR="00A609B3" w:rsidRPr="000B4AB2">
        <w:rPr>
          <w:color w:val="000000" w:themeColor="text1"/>
          <w:szCs w:val="18"/>
          <w:lang w:val="nl-NL"/>
        </w:rPr>
        <w:t>deze blijken</w:t>
      </w:r>
      <w:r w:rsidR="00967C4E" w:rsidRPr="000B4AB2">
        <w:rPr>
          <w:color w:val="000000" w:themeColor="text1"/>
          <w:szCs w:val="18"/>
          <w:lang w:val="nl-NL"/>
        </w:rPr>
        <w:t xml:space="preserve"> </w:t>
      </w:r>
      <w:r w:rsidR="00A609B3" w:rsidRPr="000B4AB2">
        <w:rPr>
          <w:color w:val="000000" w:themeColor="text1"/>
          <w:szCs w:val="18"/>
          <w:lang w:val="nl-NL"/>
        </w:rPr>
        <w:t>uit bovenstaand</w:t>
      </w:r>
      <w:r w:rsidR="00967C4E" w:rsidRPr="000B4AB2">
        <w:rPr>
          <w:color w:val="000000" w:themeColor="text1"/>
          <w:szCs w:val="18"/>
          <w:lang w:val="nl-NL"/>
        </w:rPr>
        <w:t xml:space="preserve"> schema, zullen hieronder apart worden toegelicht.</w:t>
      </w:r>
    </w:p>
    <w:p w14:paraId="60E80CD4" w14:textId="65041E1A" w:rsidR="00F3226C" w:rsidRDefault="005A52D2"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lastRenderedPageBreak/>
        <w:t xml:space="preserve">(1) </w:t>
      </w:r>
      <w:r w:rsidR="002F29EA" w:rsidRPr="000B4AB2">
        <w:rPr>
          <w:b/>
          <w:color w:val="000000" w:themeColor="text1"/>
          <w:szCs w:val="18"/>
          <w:lang w:val="nl-NL"/>
        </w:rPr>
        <w:t>Definitie toestemming</w:t>
      </w:r>
      <w:r w:rsidR="002F29EA" w:rsidRPr="000B4AB2">
        <w:rPr>
          <w:color w:val="000000" w:themeColor="text1"/>
          <w:szCs w:val="18"/>
          <w:lang w:val="nl-NL"/>
        </w:rPr>
        <w:t>.</w:t>
      </w:r>
      <w:r w:rsidR="00967C4E" w:rsidRPr="000B4AB2">
        <w:rPr>
          <w:color w:val="000000" w:themeColor="text1"/>
          <w:szCs w:val="18"/>
          <w:lang w:val="nl-NL"/>
        </w:rPr>
        <w:t xml:space="preserve"> Voortaan voorziet de wetgever in een definitie van toestemming m.b.t. het seksuele zelfbeschikkingsrecht.</w:t>
      </w:r>
      <w:r w:rsidR="009232EA">
        <w:rPr>
          <w:color w:val="000000" w:themeColor="text1"/>
          <w:szCs w:val="18"/>
          <w:lang w:val="nl-NL"/>
        </w:rPr>
        <w:t xml:space="preserve"> </w:t>
      </w:r>
      <w:r w:rsidR="00F3226C">
        <w:rPr>
          <w:color w:val="000000" w:themeColor="text1"/>
          <w:szCs w:val="18"/>
          <w:lang w:val="nl-NL"/>
        </w:rPr>
        <w:t xml:space="preserve">Onder het huidige recht geeft de wetgever meer voorbeelden van toestemmingsuitsluitende gronden. Deze opsomming is exemplatief en vond reeds toepassing in de rechtspraak onder het oude recht. </w:t>
      </w:r>
      <w:r w:rsidR="00026CE4">
        <w:rPr>
          <w:color w:val="000000" w:themeColor="text1"/>
          <w:szCs w:val="18"/>
          <w:lang w:val="nl-NL"/>
        </w:rPr>
        <w:t>Daarnaast vormt</w:t>
      </w:r>
      <w:r w:rsidR="00F3226C">
        <w:rPr>
          <w:color w:val="000000" w:themeColor="text1"/>
          <w:szCs w:val="18"/>
          <w:lang w:val="nl-NL"/>
        </w:rPr>
        <w:t xml:space="preserve"> het merendeel van de eigenlijke definitie van toestemming in artikel 417/5, eerste lid </w:t>
      </w:r>
      <w:r w:rsidR="0081584B">
        <w:rPr>
          <w:color w:val="000000" w:themeColor="text1"/>
          <w:szCs w:val="18"/>
          <w:lang w:val="nl-NL"/>
        </w:rPr>
        <w:t xml:space="preserve">van het </w:t>
      </w:r>
      <w:r w:rsidR="00F3226C">
        <w:rPr>
          <w:color w:val="000000" w:themeColor="text1"/>
          <w:szCs w:val="18"/>
          <w:lang w:val="nl-NL"/>
        </w:rPr>
        <w:t xml:space="preserve">Strafwetboek, </w:t>
      </w:r>
      <w:r w:rsidR="00026CE4">
        <w:rPr>
          <w:color w:val="000000" w:themeColor="text1"/>
          <w:szCs w:val="18"/>
          <w:lang w:val="nl-NL"/>
        </w:rPr>
        <w:t>eveneens</w:t>
      </w:r>
      <w:r w:rsidR="00F3226C">
        <w:rPr>
          <w:color w:val="000000" w:themeColor="text1"/>
          <w:szCs w:val="18"/>
          <w:lang w:val="nl-NL"/>
        </w:rPr>
        <w:t xml:space="preserve"> een loutere bevestiging van hetgeen reeds aanvaard werd onder het oude recht. Daar waar ROZIE tot de conclusie komt dat heel artikel 417/5 </w:t>
      </w:r>
      <w:r w:rsidR="0081584B">
        <w:rPr>
          <w:color w:val="000000" w:themeColor="text1"/>
          <w:szCs w:val="18"/>
          <w:lang w:val="nl-NL"/>
        </w:rPr>
        <w:t xml:space="preserve">van het </w:t>
      </w:r>
      <w:r w:rsidR="00F3226C">
        <w:rPr>
          <w:color w:val="000000" w:themeColor="text1"/>
          <w:szCs w:val="18"/>
          <w:lang w:val="nl-NL"/>
        </w:rPr>
        <w:t>Strafwetboek dient te worden beschouwd als een verfijning en aldus meteen kan worden toegepast, is dit m.i. te kort door de bocht.</w:t>
      </w:r>
      <w:r w:rsidR="00A12D0E">
        <w:rPr>
          <w:rStyle w:val="FootnoteReference"/>
          <w:color w:val="000000" w:themeColor="text1"/>
          <w:szCs w:val="18"/>
          <w:lang w:val="nl-NL"/>
        </w:rPr>
        <w:footnoteReference w:id="353"/>
      </w:r>
    </w:p>
    <w:p w14:paraId="41410C3D" w14:textId="77777777" w:rsidR="00F3226C" w:rsidRPr="00F3226C" w:rsidRDefault="00F3226C" w:rsidP="00260F11">
      <w:pPr>
        <w:pStyle w:val="ListParagraph"/>
        <w:spacing w:line="360" w:lineRule="auto"/>
        <w:rPr>
          <w:color w:val="000000" w:themeColor="text1"/>
          <w:szCs w:val="18"/>
          <w:lang w:val="nl-NL"/>
        </w:rPr>
      </w:pPr>
    </w:p>
    <w:p w14:paraId="0C129C96" w14:textId="2DBF3FB7" w:rsidR="002A6C8A" w:rsidRPr="002A6C8A" w:rsidRDefault="002A6C8A" w:rsidP="00260F11">
      <w:pPr>
        <w:pStyle w:val="ListParagraph"/>
        <w:spacing w:line="360" w:lineRule="auto"/>
        <w:ind w:left="0"/>
        <w:rPr>
          <w:color w:val="000000" w:themeColor="text1"/>
          <w:szCs w:val="18"/>
          <w:lang w:val="nl-NL"/>
        </w:rPr>
      </w:pPr>
      <w:r w:rsidRPr="002A6C8A">
        <w:rPr>
          <w:color w:val="000000" w:themeColor="text1"/>
          <w:szCs w:val="18"/>
          <w:lang w:val="nl-NL"/>
        </w:rPr>
        <w:t>Voortaan wordt bijvoorbeeld uitdrukkelijk bepaald dat toestemming niet mag worden afgeleid uit het loutere gebrek aan verweer.</w:t>
      </w:r>
      <w:r w:rsidRPr="002A6C8A">
        <w:rPr>
          <w:rStyle w:val="FootnoteReference"/>
          <w:color w:val="000000" w:themeColor="text1"/>
          <w:szCs w:val="18"/>
          <w:lang w:val="nl-NL"/>
        </w:rPr>
        <w:footnoteReference w:id="354"/>
      </w:r>
      <w:r w:rsidRPr="002A6C8A">
        <w:rPr>
          <w:color w:val="000000" w:themeColor="text1"/>
          <w:szCs w:val="18"/>
          <w:lang w:val="nl-NL"/>
        </w:rPr>
        <w:t xml:space="preserve"> Toch kon onder oude rechtspraak de afwezigheid van enig verzet door het slachtoffer tot een vrijspraak leiden. Dergelijke rechtspraak stelde dat de dader zich kon vergist hebben m.b.t. de toestemming in hoofde van het slachtoffer, aangezien laatstgenoemde stilzwijgend leek toe te stemmen.</w:t>
      </w:r>
      <w:r w:rsidRPr="002A6C8A">
        <w:rPr>
          <w:rStyle w:val="FootnoteReference"/>
          <w:color w:val="000000" w:themeColor="text1"/>
          <w:szCs w:val="18"/>
          <w:lang w:val="nl-NL"/>
        </w:rPr>
        <w:footnoteReference w:id="355"/>
      </w:r>
      <w:r w:rsidRPr="002A6C8A">
        <w:rPr>
          <w:color w:val="000000" w:themeColor="text1"/>
          <w:szCs w:val="18"/>
          <w:lang w:val="nl-NL"/>
        </w:rPr>
        <w:t xml:space="preserve"> Toch vereiste artikel 375 </w:t>
      </w:r>
      <w:r w:rsidR="0081584B">
        <w:rPr>
          <w:color w:val="000000" w:themeColor="text1"/>
          <w:szCs w:val="18"/>
          <w:lang w:val="nl-NL"/>
        </w:rPr>
        <w:t xml:space="preserve">van het </w:t>
      </w:r>
      <w:r w:rsidRPr="002A6C8A">
        <w:rPr>
          <w:color w:val="000000" w:themeColor="text1"/>
          <w:szCs w:val="18"/>
          <w:lang w:val="nl-NL"/>
        </w:rPr>
        <w:t>Strafwetboek geenszins dat het slachtoffer zich verzette en kon m.a.w. ook een slachtoffer dat zich niet verweerde, het slachtoffer uitmaken van een verkrachting, gelet op het feit dat de ontstentenis van toestemming een constitutief bestanddeel uitmaakte van het misdrijf.</w:t>
      </w:r>
      <w:r>
        <w:rPr>
          <w:rStyle w:val="FootnoteReference"/>
          <w:color w:val="000000" w:themeColor="text1"/>
          <w:szCs w:val="18"/>
          <w:lang w:val="nl-NL"/>
        </w:rPr>
        <w:footnoteReference w:id="356"/>
      </w:r>
      <w:r w:rsidRPr="002A6C8A">
        <w:rPr>
          <w:color w:val="000000" w:themeColor="text1"/>
          <w:szCs w:val="18"/>
          <w:lang w:val="nl-NL"/>
        </w:rPr>
        <w:t xml:space="preserve"> Waar nu expliciet gesteld wordt door de wetgever dat toestemming niet kan afgeleid</w:t>
      </w:r>
      <w:r w:rsidR="00AE5260">
        <w:rPr>
          <w:color w:val="000000" w:themeColor="text1"/>
          <w:szCs w:val="18"/>
          <w:lang w:val="nl-NL"/>
        </w:rPr>
        <w:t xml:space="preserve"> worden</w:t>
      </w:r>
      <w:r w:rsidRPr="002A6C8A">
        <w:rPr>
          <w:color w:val="000000" w:themeColor="text1"/>
          <w:szCs w:val="18"/>
          <w:lang w:val="nl-NL"/>
        </w:rPr>
        <w:t xml:space="preserve"> uit het loutere gebrek aan verweer, dient dit m.i. als een precisering te worden opgevat eerder dan een verstrenging. </w:t>
      </w:r>
    </w:p>
    <w:p w14:paraId="3CC6E1CB" w14:textId="77777777" w:rsidR="0086385A" w:rsidRPr="000B4AB2" w:rsidRDefault="0086385A" w:rsidP="00260F11">
      <w:pPr>
        <w:pStyle w:val="ListParagraph"/>
        <w:spacing w:line="360" w:lineRule="auto"/>
        <w:ind w:left="0"/>
        <w:rPr>
          <w:color w:val="000000" w:themeColor="text1"/>
          <w:szCs w:val="18"/>
          <w:lang w:val="nl-NL"/>
        </w:rPr>
      </w:pPr>
    </w:p>
    <w:p w14:paraId="4BDB94B0" w14:textId="49904191" w:rsidR="002F29EA" w:rsidRDefault="005A52D2"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Voortaan wordt tevens uitdrukkelijk bepaald dat toestemming op elk ogenblik kan worden ingetrokken. Hiermee wordt een einde gesteld aan de discussie die hieromtrent heerste o</w:t>
      </w:r>
      <w:r w:rsidR="004C3CD5" w:rsidRPr="000B4AB2">
        <w:rPr>
          <w:color w:val="000000" w:themeColor="text1"/>
          <w:szCs w:val="18"/>
          <w:lang w:val="nl-NL"/>
        </w:rPr>
        <w:t>nder het oude recht</w:t>
      </w:r>
      <w:r w:rsidR="002B02C4" w:rsidRPr="000B4AB2">
        <w:rPr>
          <w:color w:val="000000" w:themeColor="text1"/>
          <w:szCs w:val="18"/>
          <w:lang w:val="nl-NL"/>
        </w:rPr>
        <w:t>.</w:t>
      </w:r>
      <w:r w:rsidR="006D0D2A">
        <w:rPr>
          <w:rStyle w:val="FootnoteReference"/>
          <w:color w:val="000000" w:themeColor="text1"/>
          <w:szCs w:val="18"/>
          <w:lang w:val="nl-NL"/>
        </w:rPr>
        <w:footnoteReference w:id="357"/>
      </w:r>
    </w:p>
    <w:p w14:paraId="3E3044B2" w14:textId="473764E3" w:rsidR="005D7615" w:rsidRDefault="005D7615" w:rsidP="00260F11">
      <w:pPr>
        <w:spacing w:line="360" w:lineRule="auto"/>
        <w:rPr>
          <w:color w:val="000000" w:themeColor="text1"/>
          <w:szCs w:val="18"/>
          <w:lang w:val="nl-NL"/>
        </w:rPr>
      </w:pPr>
    </w:p>
    <w:p w14:paraId="0E3F065C" w14:textId="3B846A36" w:rsidR="001D4071" w:rsidRPr="00A12D0E" w:rsidRDefault="005D7615" w:rsidP="00260F11">
      <w:pPr>
        <w:pStyle w:val="ListParagraph"/>
        <w:numPr>
          <w:ilvl w:val="0"/>
          <w:numId w:val="1"/>
        </w:numPr>
        <w:spacing w:line="360" w:lineRule="auto"/>
        <w:ind w:left="0" w:hanging="709"/>
        <w:rPr>
          <w:color w:val="000000" w:themeColor="text1"/>
          <w:szCs w:val="18"/>
          <w:lang w:val="nl-NL"/>
        </w:rPr>
      </w:pPr>
      <w:r w:rsidRPr="00A12D0E">
        <w:rPr>
          <w:b/>
          <w:color w:val="000000" w:themeColor="text1"/>
          <w:szCs w:val="18"/>
          <w:lang w:val="nl-NL"/>
        </w:rPr>
        <w:t>Temporele werking</w:t>
      </w:r>
      <w:r w:rsidRPr="00A12D0E">
        <w:rPr>
          <w:color w:val="000000" w:themeColor="text1"/>
          <w:szCs w:val="18"/>
          <w:lang w:val="nl-NL"/>
        </w:rPr>
        <w:t xml:space="preserve">. </w:t>
      </w:r>
      <w:r w:rsidR="00F3226C" w:rsidRPr="00A12D0E">
        <w:rPr>
          <w:color w:val="000000" w:themeColor="text1"/>
          <w:szCs w:val="18"/>
          <w:lang w:val="nl-NL"/>
        </w:rPr>
        <w:t xml:space="preserve">De definitie van toestemming uit artikel 417/5 </w:t>
      </w:r>
      <w:r w:rsidR="0081584B">
        <w:rPr>
          <w:color w:val="000000" w:themeColor="text1"/>
          <w:szCs w:val="18"/>
          <w:lang w:val="nl-NL"/>
        </w:rPr>
        <w:t xml:space="preserve">van het </w:t>
      </w:r>
      <w:r w:rsidR="00F3226C" w:rsidRPr="00A12D0E">
        <w:rPr>
          <w:color w:val="000000" w:themeColor="text1"/>
          <w:szCs w:val="18"/>
          <w:lang w:val="nl-NL"/>
        </w:rPr>
        <w:t>Strafwetboek, kan voor het overgrote deel retroactief worden toegepast. Toch kan dit m.i. niet zo eenduidig worden gesteld m.b.t. de mogelijkheid tot intrekking van toestemming. Hieromtrent bestond immers discussie onder de oude strafbaarstelling van verkrachting. Aldus dienen hier m.i. twee hypothesen te worden gemaakt</w:t>
      </w:r>
      <w:r w:rsidR="00A12D0E" w:rsidRPr="00A12D0E">
        <w:rPr>
          <w:color w:val="000000" w:themeColor="text1"/>
          <w:szCs w:val="18"/>
          <w:lang w:val="nl-NL"/>
        </w:rPr>
        <w:t>, die reeds hoger werden toegelicht.</w:t>
      </w:r>
      <w:r w:rsidR="00A12D0E" w:rsidRPr="00A12D0E">
        <w:rPr>
          <w:rStyle w:val="FootnoteReference"/>
          <w:color w:val="000000" w:themeColor="text1"/>
          <w:szCs w:val="18"/>
          <w:lang w:val="nl-NL"/>
        </w:rPr>
        <w:footnoteReference w:id="358"/>
      </w:r>
      <w:r w:rsidR="00A12D0E" w:rsidRPr="00A12D0E">
        <w:rPr>
          <w:color w:val="000000" w:themeColor="text1"/>
          <w:szCs w:val="18"/>
          <w:lang w:val="nl-NL"/>
        </w:rPr>
        <w:t xml:space="preserve"> </w:t>
      </w:r>
    </w:p>
    <w:p w14:paraId="138F3276" w14:textId="77777777" w:rsidR="00A12D0E" w:rsidRPr="00A12D0E" w:rsidRDefault="00A12D0E" w:rsidP="00260F11">
      <w:pPr>
        <w:pStyle w:val="ListParagraph"/>
        <w:spacing w:line="360" w:lineRule="auto"/>
        <w:ind w:left="0"/>
        <w:rPr>
          <w:color w:val="FF0000"/>
          <w:szCs w:val="18"/>
          <w:lang w:val="nl-NL"/>
        </w:rPr>
      </w:pPr>
    </w:p>
    <w:p w14:paraId="7C97EEA0" w14:textId="31388B88" w:rsidR="00FB5027" w:rsidRPr="00FB5027" w:rsidRDefault="002F29EA"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(2) </w:t>
      </w:r>
      <w:r w:rsidR="006B20D5" w:rsidRPr="000B4AB2">
        <w:rPr>
          <w:b/>
          <w:color w:val="000000" w:themeColor="text1"/>
          <w:szCs w:val="18"/>
          <w:lang w:val="nl-NL"/>
        </w:rPr>
        <w:t>Leeftijdsgrens seksuele meerderjarigheid</w:t>
      </w:r>
      <w:r w:rsidR="006B20D5" w:rsidRPr="000B4AB2">
        <w:rPr>
          <w:color w:val="000000" w:themeColor="text1"/>
          <w:szCs w:val="18"/>
          <w:lang w:val="nl-NL"/>
        </w:rPr>
        <w:t xml:space="preserve">. </w:t>
      </w:r>
      <w:r w:rsidR="00376C61">
        <w:rPr>
          <w:color w:val="000000" w:themeColor="text1"/>
          <w:szCs w:val="18"/>
          <w:lang w:val="nl-NL"/>
        </w:rPr>
        <w:t>O.g.v.</w:t>
      </w:r>
      <w:r w:rsidR="00F955C8" w:rsidRPr="000B4AB2">
        <w:rPr>
          <w:color w:val="000000" w:themeColor="text1"/>
          <w:szCs w:val="18"/>
          <w:lang w:val="nl-NL"/>
        </w:rPr>
        <w:t xml:space="preserve"> </w:t>
      </w:r>
      <w:r w:rsidR="00AE1D27" w:rsidRPr="000B4AB2">
        <w:rPr>
          <w:color w:val="000000" w:themeColor="text1"/>
          <w:szCs w:val="18"/>
          <w:lang w:val="nl-NL"/>
        </w:rPr>
        <w:t>hetgeen hieromtrent reeds hoger uiteen werd gezet</w:t>
      </w:r>
      <w:r w:rsidR="009477FF">
        <w:rPr>
          <w:color w:val="000000" w:themeColor="text1"/>
          <w:szCs w:val="18"/>
          <w:lang w:val="nl-NL"/>
        </w:rPr>
        <w:t>,</w:t>
      </w:r>
      <w:r w:rsidR="006D0D2A">
        <w:rPr>
          <w:rStyle w:val="FootnoteReference"/>
          <w:color w:val="000000" w:themeColor="text1"/>
          <w:szCs w:val="18"/>
          <w:lang w:val="nl-NL"/>
        </w:rPr>
        <w:footnoteReference w:id="359"/>
      </w:r>
      <w:r w:rsidR="006D0D2A">
        <w:rPr>
          <w:color w:val="000000" w:themeColor="text1"/>
          <w:szCs w:val="18"/>
          <w:lang w:val="nl-NL"/>
        </w:rPr>
        <w:t xml:space="preserve"> </w:t>
      </w:r>
      <w:r w:rsidR="006049AB" w:rsidRPr="000B4AB2">
        <w:rPr>
          <w:color w:val="000000" w:themeColor="text1"/>
          <w:szCs w:val="18"/>
          <w:lang w:val="nl-NL"/>
        </w:rPr>
        <w:t>kan het verschil in leeftijdsgrens tussen de oude strafbaarstelling van verkrachting en de huidige, als volgt worden weergegeven.</w:t>
      </w:r>
    </w:p>
    <w:tbl>
      <w:tblPr>
        <w:tblStyle w:val="GridTable5Dark-Accent3"/>
        <w:tblpPr w:leftFromText="141" w:rightFromText="141" w:vertAnchor="text" w:horzAnchor="margin" w:tblpY="-14"/>
        <w:tblW w:w="0" w:type="auto"/>
        <w:tblLook w:val="04A0" w:firstRow="1" w:lastRow="0" w:firstColumn="1" w:lastColumn="0" w:noHBand="0" w:noVBand="1"/>
      </w:tblPr>
      <w:tblGrid>
        <w:gridCol w:w="1868"/>
        <w:gridCol w:w="3452"/>
        <w:gridCol w:w="3742"/>
      </w:tblGrid>
      <w:tr w:rsidR="006B20D5" w:rsidRPr="000B4AB2" w14:paraId="1BA56C7E" w14:textId="77777777" w:rsidTr="007B2B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4603D23E" w14:textId="2E2807EA" w:rsidR="006B20D5" w:rsidRPr="000B4AB2" w:rsidRDefault="006B20D5" w:rsidP="00260F11">
            <w:pPr>
              <w:spacing w:line="360" w:lineRule="auto"/>
              <w:rPr>
                <w:b w:val="0"/>
                <w:bCs w:val="0"/>
                <w:color w:val="000000" w:themeColor="text1"/>
                <w:szCs w:val="18"/>
                <w:lang w:val="nl-NL"/>
              </w:rPr>
            </w:pPr>
            <w:r w:rsidRPr="000B4AB2">
              <w:rPr>
                <w:color w:val="000000" w:themeColor="text1"/>
                <w:szCs w:val="18"/>
                <w:lang w:val="nl-NL"/>
              </w:rPr>
              <w:lastRenderedPageBreak/>
              <w:t>Toestemming minderjarige mogelijk vanaf…</w:t>
            </w:r>
          </w:p>
        </w:tc>
      </w:tr>
      <w:tr w:rsidR="006B20D5" w:rsidRPr="009C29A6" w14:paraId="4E35CB66" w14:textId="77777777" w:rsidTr="007B2B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43FDAB1" w14:textId="77777777" w:rsidR="006B20D5" w:rsidRPr="000B4AB2" w:rsidRDefault="006B20D5" w:rsidP="00260F11">
            <w:pPr>
              <w:spacing w:line="360" w:lineRule="auto"/>
              <w:rPr>
                <w:color w:val="000000" w:themeColor="text1"/>
                <w:szCs w:val="18"/>
                <w:lang w:val="nl-NL"/>
              </w:rPr>
            </w:pPr>
          </w:p>
        </w:tc>
        <w:tc>
          <w:tcPr>
            <w:tcW w:w="3544" w:type="dxa"/>
          </w:tcPr>
          <w:p w14:paraId="10B585A1" w14:textId="24182994" w:rsidR="006B20D5" w:rsidRPr="000B4AB2" w:rsidRDefault="006B20D5" w:rsidP="00260F11">
            <w:pPr>
              <w:spacing w:line="360" w:lineRule="auto"/>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Verkrachting oud art. 375 Sw.</w:t>
            </w:r>
          </w:p>
        </w:tc>
        <w:tc>
          <w:tcPr>
            <w:tcW w:w="3822" w:type="dxa"/>
          </w:tcPr>
          <w:p w14:paraId="1ED4365A" w14:textId="4DFFE88F" w:rsidR="006B20D5" w:rsidRPr="009C29A6" w:rsidRDefault="006B20D5" w:rsidP="00260F11">
            <w:pPr>
              <w:spacing w:line="360" w:lineRule="auto"/>
              <w:cnfStyle w:val="000000100000" w:firstRow="0" w:lastRow="0" w:firstColumn="0" w:lastColumn="0" w:oddVBand="0" w:evenVBand="0" w:oddHBand="1" w:evenHBand="0" w:firstRowFirstColumn="0" w:firstRowLastColumn="0" w:lastRowFirstColumn="0" w:lastRowLastColumn="0"/>
              <w:rPr>
                <w:b/>
                <w:color w:val="000000" w:themeColor="text1"/>
                <w:szCs w:val="18"/>
                <w:lang w:val="en-GB"/>
              </w:rPr>
            </w:pPr>
            <w:r w:rsidRPr="009C29A6">
              <w:rPr>
                <w:b/>
                <w:color w:val="000000" w:themeColor="text1"/>
                <w:szCs w:val="18"/>
                <w:lang w:val="en-GB"/>
              </w:rPr>
              <w:t>Verkrachting art. 417/11 Sw.</w:t>
            </w:r>
            <w:r w:rsidR="00626489" w:rsidRPr="009C29A6">
              <w:rPr>
                <w:b/>
                <w:color w:val="000000" w:themeColor="text1"/>
                <w:szCs w:val="18"/>
                <w:lang w:val="en-GB"/>
              </w:rPr>
              <w:t xml:space="preserve"> (</w:t>
            </w:r>
            <w:r w:rsidR="00626489" w:rsidRPr="009C29A6">
              <w:rPr>
                <w:b/>
                <w:i/>
                <w:color w:val="000000" w:themeColor="text1"/>
                <w:szCs w:val="18"/>
                <w:lang w:val="en-GB"/>
              </w:rPr>
              <w:t xml:space="preserve">juncto </w:t>
            </w:r>
            <w:r w:rsidR="00626489" w:rsidRPr="009C29A6">
              <w:rPr>
                <w:b/>
                <w:color w:val="000000" w:themeColor="text1"/>
                <w:szCs w:val="18"/>
                <w:lang w:val="en-GB"/>
              </w:rPr>
              <w:t>art. 417/6 Sw.)</w:t>
            </w:r>
          </w:p>
        </w:tc>
      </w:tr>
      <w:tr w:rsidR="006B20D5" w:rsidRPr="000B4AB2" w14:paraId="216C446B" w14:textId="77777777" w:rsidTr="007B2BB5">
        <w:tc>
          <w:tcPr>
            <w:cnfStyle w:val="001000000000" w:firstRow="0" w:lastRow="0" w:firstColumn="1" w:lastColumn="0" w:oddVBand="0" w:evenVBand="0" w:oddHBand="0" w:evenHBand="0" w:firstRowFirstColumn="0" w:firstRowLastColumn="0" w:lastRowFirstColumn="0" w:lastRowLastColumn="0"/>
            <w:tcW w:w="1696" w:type="dxa"/>
          </w:tcPr>
          <w:p w14:paraId="35F09B78" w14:textId="41A8574B" w:rsidR="006B20D5" w:rsidRPr="000B4AB2" w:rsidRDefault="006B20D5" w:rsidP="00260F11">
            <w:pPr>
              <w:spacing w:line="360" w:lineRule="auto"/>
              <w:rPr>
                <w:b w:val="0"/>
                <w:bCs w:val="0"/>
                <w:color w:val="000000" w:themeColor="text1"/>
                <w:szCs w:val="18"/>
                <w:lang w:val="nl-NL"/>
              </w:rPr>
            </w:pPr>
            <w:r w:rsidRPr="000B4AB2">
              <w:rPr>
                <w:color w:val="000000" w:themeColor="text1"/>
                <w:szCs w:val="18"/>
                <w:lang w:val="nl-NL"/>
              </w:rPr>
              <w:t xml:space="preserve">Principe </w:t>
            </w:r>
          </w:p>
        </w:tc>
        <w:tc>
          <w:tcPr>
            <w:tcW w:w="3544" w:type="dxa"/>
          </w:tcPr>
          <w:p w14:paraId="6A890AF5" w14:textId="77777777" w:rsidR="006B20D5" w:rsidRPr="000B4AB2" w:rsidRDefault="006B20D5"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Veertien jaar</w:t>
            </w:r>
          </w:p>
        </w:tc>
        <w:tc>
          <w:tcPr>
            <w:tcW w:w="3822" w:type="dxa"/>
          </w:tcPr>
          <w:p w14:paraId="17C58775" w14:textId="77777777" w:rsidR="000121B6" w:rsidRDefault="006B20D5"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Zestien jaar</w:t>
            </w:r>
          </w:p>
          <w:p w14:paraId="26763F6F" w14:textId="3A6A36CF" w:rsidR="000121B6" w:rsidRPr="000B4AB2" w:rsidRDefault="000121B6"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tc>
      </w:tr>
      <w:tr w:rsidR="00ED34CE" w:rsidRPr="000B4AB2" w14:paraId="41A23BF3" w14:textId="77777777" w:rsidTr="008C52B2">
        <w:trPr>
          <w:cnfStyle w:val="000000100000" w:firstRow="0" w:lastRow="0" w:firstColumn="0" w:lastColumn="0" w:oddVBand="0" w:evenVBand="0" w:oddHBand="1" w:evenHBand="0" w:firstRowFirstColumn="0" w:firstRowLastColumn="0" w:lastRowFirstColumn="0" w:lastRowLastColumn="0"/>
          <w:trHeight w:val="1064"/>
        </w:trPr>
        <w:tc>
          <w:tcPr>
            <w:cnfStyle w:val="001000000000" w:firstRow="0" w:lastRow="0" w:firstColumn="1" w:lastColumn="0" w:oddVBand="0" w:evenVBand="0" w:oddHBand="0" w:evenHBand="0" w:firstRowFirstColumn="0" w:firstRowLastColumn="0" w:lastRowFirstColumn="0" w:lastRowLastColumn="0"/>
            <w:tcW w:w="1696" w:type="dxa"/>
          </w:tcPr>
          <w:p w14:paraId="20519BE3" w14:textId="7BE92664" w:rsidR="00ED34CE" w:rsidRPr="008C52B2" w:rsidRDefault="00ED34CE" w:rsidP="00260F11">
            <w:pPr>
              <w:spacing w:line="360" w:lineRule="auto"/>
              <w:rPr>
                <w:b w:val="0"/>
                <w:bCs w:val="0"/>
                <w:color w:val="000000" w:themeColor="text1"/>
                <w:szCs w:val="18"/>
                <w:lang w:val="nl-NL"/>
              </w:rPr>
            </w:pPr>
            <w:r w:rsidRPr="000B4AB2">
              <w:rPr>
                <w:color w:val="000000" w:themeColor="text1"/>
                <w:szCs w:val="18"/>
                <w:lang w:val="nl-NL"/>
              </w:rPr>
              <w:t>Uitzondering:</w:t>
            </w:r>
            <w:r w:rsidR="00E5449F">
              <w:rPr>
                <w:color w:val="000000" w:themeColor="text1"/>
                <w:szCs w:val="18"/>
                <w:lang w:val="nl-NL"/>
              </w:rPr>
              <w:t xml:space="preserve"> </w:t>
            </w:r>
            <w:r w:rsidRPr="000B4AB2">
              <w:rPr>
                <w:color w:val="000000" w:themeColor="text1"/>
                <w:szCs w:val="18"/>
                <w:lang w:val="nl-NL"/>
              </w:rPr>
              <w:t>lagere leeftijdsgrens</w:t>
            </w:r>
          </w:p>
        </w:tc>
        <w:tc>
          <w:tcPr>
            <w:tcW w:w="3544" w:type="dxa"/>
          </w:tcPr>
          <w:p w14:paraId="75D60F08" w14:textId="77777777" w:rsidR="00ED34CE" w:rsidRPr="000B4AB2" w:rsidRDefault="00ED34CE"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lang w:val="nl-NL"/>
              </w:rPr>
            </w:pPr>
            <w:r w:rsidRPr="000B4AB2">
              <w:rPr>
                <w:color w:val="000000" w:themeColor="text1"/>
                <w:szCs w:val="18"/>
                <w:lang w:val="nl-NL"/>
              </w:rPr>
              <w:t>/</w:t>
            </w:r>
          </w:p>
        </w:tc>
        <w:tc>
          <w:tcPr>
            <w:tcW w:w="3822" w:type="dxa"/>
          </w:tcPr>
          <w:p w14:paraId="04C8729D" w14:textId="77777777" w:rsidR="00ED34CE" w:rsidRPr="00C25EE3" w:rsidRDefault="00ED34CE"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lang w:val="nl-NL"/>
              </w:rPr>
            </w:pPr>
            <w:r w:rsidRPr="00C25EE3">
              <w:rPr>
                <w:color w:val="000000" w:themeColor="text1"/>
                <w:szCs w:val="18"/>
                <w:lang w:val="nl-NL"/>
              </w:rPr>
              <w:t>Veertien jaar indien leeftijdsverschil met “dader” klein genoeg is. Dus a</w:t>
            </w:r>
            <w:r w:rsidRPr="00C25EE3">
              <w:rPr>
                <w:color w:val="000000" w:themeColor="text1"/>
                <w:szCs w:val="18"/>
              </w:rPr>
              <w:t>fhankelijk van de leeftijd van de “dader” (art. 417/6, §2 Sw.):</w:t>
            </w:r>
          </w:p>
          <w:p w14:paraId="18E1A869" w14:textId="77777777" w:rsidR="00ED34CE" w:rsidRPr="00C25EE3" w:rsidRDefault="00ED34CE" w:rsidP="00260F11">
            <w:pPr>
              <w:pStyle w:val="ListParagraph"/>
              <w:numPr>
                <w:ilvl w:val="0"/>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 “dader” &lt;18 jaar? </w:t>
            </w:r>
            <w:r w:rsidRPr="00C25EE3">
              <w:rPr>
                <w:color w:val="000000" w:themeColor="text1"/>
                <w:szCs w:val="18"/>
              </w:rPr>
              <w:sym w:font="Wingdings" w:char="F0E0"/>
            </w:r>
            <w:r w:rsidRPr="00C25EE3">
              <w:rPr>
                <w:color w:val="000000" w:themeColor="text1"/>
                <w:szCs w:val="18"/>
              </w:rPr>
              <w:t xml:space="preserve"> niet automatisch niet-consensueel.</w:t>
            </w:r>
          </w:p>
          <w:p w14:paraId="2406808A" w14:textId="5D13CE75" w:rsidR="00ED34CE" w:rsidRPr="00C25EE3" w:rsidRDefault="00ED34CE" w:rsidP="00260F11">
            <w:pPr>
              <w:pStyle w:val="ListParagraph"/>
              <w:numPr>
                <w:ilvl w:val="0"/>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 dader &gt;18 jaar? </w:t>
            </w:r>
            <w:r w:rsidRPr="00C25EE3">
              <w:rPr>
                <w:color w:val="000000" w:themeColor="text1"/>
                <w:szCs w:val="18"/>
              </w:rPr>
              <w:sym w:font="Wingdings" w:char="F0E0"/>
            </w:r>
            <w:r w:rsidRPr="00C25EE3">
              <w:rPr>
                <w:color w:val="000000" w:themeColor="text1"/>
                <w:szCs w:val="18"/>
              </w:rPr>
              <w:t xml:space="preserve"> afhankelijk van concreet leeftijdsverschil, berekend van geboortedag op geboortedag, tussen slachtoffer en dader: </w:t>
            </w:r>
          </w:p>
          <w:p w14:paraId="287DF10C" w14:textId="77777777" w:rsidR="00ED34CE" w:rsidRPr="00C25EE3" w:rsidRDefault="00ED34CE" w:rsidP="00260F11">
            <w:pPr>
              <w:pStyle w:val="ListParagraph"/>
              <w:numPr>
                <w:ilvl w:val="1"/>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Leeftijdsverschil </w:t>
            </w:r>
            <w:r w:rsidRPr="00C25EE3">
              <w:rPr>
                <w:color w:val="000000" w:themeColor="text1"/>
                <w:szCs w:val="18"/>
                <w:lang w:val="nl-NL"/>
              </w:rPr>
              <w:t xml:space="preserve">≤ </w:t>
            </w:r>
            <w:r w:rsidRPr="00C25EE3">
              <w:rPr>
                <w:color w:val="000000" w:themeColor="text1"/>
                <w:szCs w:val="18"/>
              </w:rPr>
              <w:t xml:space="preserve">3 jaar? </w:t>
            </w:r>
            <w:r w:rsidRPr="00C25EE3">
              <w:rPr>
                <w:color w:val="000000" w:themeColor="text1"/>
                <w:szCs w:val="18"/>
              </w:rPr>
              <w:sym w:font="Wingdings" w:char="F0E0"/>
            </w:r>
            <w:r w:rsidRPr="00C25EE3">
              <w:rPr>
                <w:color w:val="000000" w:themeColor="text1"/>
                <w:szCs w:val="18"/>
              </w:rPr>
              <w:t xml:space="preserve"> niet automatisch</w:t>
            </w:r>
            <w:r w:rsidRPr="00C25EE3">
              <w:rPr>
                <w:i/>
                <w:color w:val="000000" w:themeColor="text1"/>
                <w:szCs w:val="18"/>
              </w:rPr>
              <w:t xml:space="preserve"> </w:t>
            </w:r>
            <w:r w:rsidRPr="00C25EE3">
              <w:rPr>
                <w:color w:val="000000" w:themeColor="text1"/>
                <w:szCs w:val="18"/>
              </w:rPr>
              <w:t>niet-consensueel.</w:t>
            </w:r>
          </w:p>
          <w:p w14:paraId="447AB444" w14:textId="77777777" w:rsidR="00ED34CE" w:rsidRDefault="00ED34CE" w:rsidP="00260F11">
            <w:pPr>
              <w:pStyle w:val="ListParagraph"/>
              <w:numPr>
                <w:ilvl w:val="1"/>
                <w:numId w:val="13"/>
              </w:num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25EE3">
              <w:rPr>
                <w:color w:val="000000" w:themeColor="text1"/>
                <w:szCs w:val="18"/>
              </w:rPr>
              <w:t xml:space="preserve">Leeftijdsverschil &gt;3 jaar? </w:t>
            </w:r>
            <w:r w:rsidRPr="00C25EE3">
              <w:rPr>
                <w:color w:val="000000" w:themeColor="text1"/>
              </w:rPr>
              <w:sym w:font="Wingdings" w:char="F0E0"/>
            </w:r>
            <w:r w:rsidRPr="00C25EE3">
              <w:rPr>
                <w:color w:val="000000" w:themeColor="text1"/>
                <w:szCs w:val="18"/>
              </w:rPr>
              <w:t xml:space="preserve"> automatisch</w:t>
            </w:r>
            <w:r w:rsidRPr="00C25EE3">
              <w:rPr>
                <w:i/>
                <w:color w:val="000000" w:themeColor="text1"/>
                <w:szCs w:val="18"/>
              </w:rPr>
              <w:t xml:space="preserve"> </w:t>
            </w:r>
            <w:r w:rsidRPr="00C25EE3">
              <w:rPr>
                <w:color w:val="000000" w:themeColor="text1"/>
                <w:szCs w:val="18"/>
              </w:rPr>
              <w:t>niet-consensueel.</w:t>
            </w:r>
          </w:p>
          <w:p w14:paraId="46839970" w14:textId="63015084" w:rsidR="000121B6" w:rsidRPr="000121B6" w:rsidRDefault="000121B6"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p>
        </w:tc>
      </w:tr>
      <w:tr w:rsidR="00ED34CE" w:rsidRPr="000B4AB2" w14:paraId="44E47950" w14:textId="77777777" w:rsidTr="007B2BB5">
        <w:tc>
          <w:tcPr>
            <w:cnfStyle w:val="001000000000" w:firstRow="0" w:lastRow="0" w:firstColumn="1" w:lastColumn="0" w:oddVBand="0" w:evenVBand="0" w:oddHBand="0" w:evenHBand="0" w:firstRowFirstColumn="0" w:firstRowLastColumn="0" w:lastRowFirstColumn="0" w:lastRowLastColumn="0"/>
            <w:tcW w:w="1696" w:type="dxa"/>
          </w:tcPr>
          <w:p w14:paraId="1C24386C" w14:textId="28C0673D" w:rsidR="00ED34CE" w:rsidRPr="000B4AB2" w:rsidRDefault="00ED34CE" w:rsidP="00260F11">
            <w:pPr>
              <w:spacing w:line="360" w:lineRule="auto"/>
              <w:jc w:val="left"/>
              <w:rPr>
                <w:b w:val="0"/>
                <w:bCs w:val="0"/>
                <w:color w:val="000000" w:themeColor="text1"/>
                <w:szCs w:val="18"/>
                <w:lang w:val="nl-NL"/>
              </w:rPr>
            </w:pPr>
            <w:r w:rsidRPr="000B4AB2">
              <w:rPr>
                <w:color w:val="000000" w:themeColor="text1"/>
                <w:szCs w:val="18"/>
                <w:lang w:val="nl-NL"/>
              </w:rPr>
              <w:t>Uitzondering: hogere leeftijdsgrens</w:t>
            </w:r>
            <w:r w:rsidR="004446BF">
              <w:rPr>
                <w:rStyle w:val="FootnoteReference"/>
                <w:i/>
                <w:color w:val="000000" w:themeColor="text1"/>
                <w:szCs w:val="18"/>
                <w:lang w:val="nl-NL"/>
              </w:rPr>
              <w:footnoteReference w:id="360"/>
            </w:r>
          </w:p>
          <w:p w14:paraId="34954533" w14:textId="77777777" w:rsidR="00ED34CE" w:rsidRPr="000B4AB2" w:rsidRDefault="00ED34CE" w:rsidP="00260F11">
            <w:pPr>
              <w:spacing w:line="360" w:lineRule="auto"/>
              <w:jc w:val="left"/>
              <w:rPr>
                <w:color w:val="000000" w:themeColor="text1"/>
                <w:szCs w:val="18"/>
                <w:lang w:val="nl-NL"/>
              </w:rPr>
            </w:pPr>
          </w:p>
        </w:tc>
        <w:tc>
          <w:tcPr>
            <w:tcW w:w="3544" w:type="dxa"/>
          </w:tcPr>
          <w:p w14:paraId="3ECD8C49" w14:textId="66446257" w:rsidR="00ED34CE" w:rsidRPr="000B4AB2" w:rsidRDefault="00ED34CE" w:rsidP="00260F11">
            <w:pPr>
              <w:spacing w:line="360" w:lineRule="auto"/>
              <w:jc w:val="left"/>
              <w:cnfStyle w:val="000000000000" w:firstRow="0" w:lastRow="0" w:firstColumn="0" w:lastColumn="0" w:oddVBand="0" w:evenVBand="0" w:oddHBand="0" w:evenHBand="0" w:firstRowFirstColumn="0" w:firstRowLastColumn="0" w:lastRowFirstColumn="0" w:lastRowLastColumn="0"/>
              <w:rPr>
                <w:b/>
                <w:color w:val="000000" w:themeColor="text1"/>
                <w:szCs w:val="18"/>
                <w:lang w:val="nl-NL"/>
              </w:rPr>
            </w:pPr>
            <w:r w:rsidRPr="000B4AB2">
              <w:rPr>
                <w:b/>
                <w:color w:val="000000" w:themeColor="text1"/>
                <w:szCs w:val="18"/>
                <w:lang w:val="nl-NL"/>
              </w:rPr>
              <w:t>Niet in art. 375 Sw. zelf</w:t>
            </w:r>
          </w:p>
          <w:p w14:paraId="35BA5C9D" w14:textId="77777777" w:rsidR="00ED34CE" w:rsidRPr="000B4AB2" w:rsidRDefault="00ED34CE"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42ED0A7B" w14:textId="36FCF9C9" w:rsidR="00ED34CE" w:rsidRPr="000B4AB2" w:rsidRDefault="00ED34CE"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sym w:font="Wingdings" w:char="F0DF"/>
            </w:r>
            <w:r w:rsidRPr="000B4AB2">
              <w:rPr>
                <w:color w:val="000000" w:themeColor="text1"/>
                <w:szCs w:val="18"/>
                <w:lang w:val="nl-NL"/>
              </w:rPr>
              <w:sym w:font="Wingdings" w:char="F0E0"/>
            </w:r>
            <w:r w:rsidRPr="000B4AB2">
              <w:rPr>
                <w:color w:val="000000" w:themeColor="text1"/>
                <w:szCs w:val="18"/>
                <w:lang w:val="nl-NL"/>
              </w:rPr>
              <w:t xml:space="preserve"> maar gedraging valt evenzeer onder toepassingsgebied aanranding van de eerbaarheid uit oud art. 372 Sw.</w:t>
            </w:r>
            <w:r>
              <w:rPr>
                <w:color w:val="000000" w:themeColor="text1"/>
                <w:szCs w:val="18"/>
                <w:lang w:val="nl-NL"/>
              </w:rPr>
              <w:t xml:space="preserve">, </w:t>
            </w:r>
            <w:r w:rsidRPr="000B4AB2">
              <w:rPr>
                <w:color w:val="000000" w:themeColor="text1"/>
                <w:szCs w:val="18"/>
                <w:lang w:val="nl-NL"/>
              </w:rPr>
              <w:t>dus teruggrijpen naar de leeftijdsgrenzen aldaar</w:t>
            </w:r>
            <w:r w:rsidR="001734E4">
              <w:rPr>
                <w:color w:val="000000" w:themeColor="text1"/>
                <w:szCs w:val="18"/>
                <w:lang w:val="nl-NL"/>
              </w:rPr>
              <w:t>:</w:t>
            </w:r>
            <w:r w:rsidRPr="000B4AB2">
              <w:rPr>
                <w:rStyle w:val="FootnoteReference"/>
                <w:color w:val="000000" w:themeColor="text1"/>
                <w:szCs w:val="18"/>
                <w:lang w:val="nl-NL"/>
              </w:rPr>
              <w:footnoteReference w:id="361"/>
            </w:r>
          </w:p>
          <w:p w14:paraId="461A988F" w14:textId="77777777" w:rsidR="00ED34CE" w:rsidRPr="000B4AB2" w:rsidRDefault="00ED34CE" w:rsidP="00260F11">
            <w:pPr>
              <w:pStyle w:val="ListParagraph"/>
              <w:numPr>
                <w:ilvl w:val="0"/>
                <w:numId w:val="12"/>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Zestien jaar</w:t>
            </w:r>
          </w:p>
          <w:p w14:paraId="2CB36D8B" w14:textId="4029FC79" w:rsidR="00ED34CE" w:rsidRPr="000B4AB2" w:rsidRDefault="00ED34CE" w:rsidP="00260F11">
            <w:pPr>
              <w:pStyle w:val="ListParagraph"/>
              <w:numPr>
                <w:ilvl w:val="0"/>
                <w:numId w:val="12"/>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 xml:space="preserve">Achttien jaar i.g.v. specifieke daderhoedanigheid </w:t>
            </w:r>
            <w:r w:rsidRPr="007C4CAE">
              <w:rPr>
                <w:i/>
                <w:color w:val="000000" w:themeColor="text1"/>
                <w:szCs w:val="18"/>
                <w:lang w:val="nl-NL"/>
              </w:rPr>
              <w:t>(bv. dader is de ouder van de minderjarige)</w:t>
            </w:r>
          </w:p>
        </w:tc>
        <w:tc>
          <w:tcPr>
            <w:tcW w:w="3822" w:type="dxa"/>
          </w:tcPr>
          <w:p w14:paraId="198728CB" w14:textId="77777777" w:rsidR="00B661BC" w:rsidRDefault="00B661BC"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8C52B2">
              <w:rPr>
                <w:color w:val="000000" w:themeColor="text1"/>
                <w:szCs w:val="18"/>
                <w:lang w:val="nl-NL"/>
              </w:rPr>
              <w:t xml:space="preserve">Vanaf achttien jaar indien </w:t>
            </w:r>
          </w:p>
          <w:p w14:paraId="2D37367E" w14:textId="77777777" w:rsidR="00B661BC" w:rsidRPr="00B661BC" w:rsidRDefault="00B661BC" w:rsidP="00260F11">
            <w:pPr>
              <w:pStyle w:val="ListParagraph"/>
              <w:numPr>
                <w:ilvl w:val="0"/>
                <w:numId w:val="13"/>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D52224">
              <w:rPr>
                <w:color w:val="000000" w:themeColor="text1"/>
                <w:szCs w:val="18"/>
                <w:lang w:val="nl-NL"/>
              </w:rPr>
              <w:t>handelingen plaatsvinden met welbepaalde dader</w:t>
            </w:r>
            <w:r>
              <w:rPr>
                <w:color w:val="000000" w:themeColor="text1"/>
                <w:szCs w:val="18"/>
                <w:lang w:val="nl-NL"/>
              </w:rPr>
              <w:t xml:space="preserve"> </w:t>
            </w:r>
            <w:r w:rsidRPr="00D52224">
              <w:rPr>
                <w:i/>
                <w:color w:val="000000" w:themeColor="text1"/>
                <w:szCs w:val="18"/>
                <w:lang w:val="nl-NL"/>
              </w:rPr>
              <w:t>(bv. dader is de ouder van de minderjarige)</w:t>
            </w:r>
          </w:p>
          <w:p w14:paraId="6600B9CA" w14:textId="50DC2691" w:rsidR="00ED34CE" w:rsidRPr="00B661BC" w:rsidRDefault="00B661BC" w:rsidP="00260F11">
            <w:pPr>
              <w:pStyle w:val="ListParagraph"/>
              <w:numPr>
                <w:ilvl w:val="0"/>
                <w:numId w:val="13"/>
              </w:num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B661BC">
              <w:rPr>
                <w:color w:val="000000" w:themeColor="text1"/>
                <w:szCs w:val="18"/>
              </w:rPr>
              <w:t xml:space="preserve">welbepaalde type van daad </w:t>
            </w:r>
            <w:r w:rsidRPr="00B661BC">
              <w:rPr>
                <w:i/>
                <w:color w:val="000000" w:themeColor="text1"/>
                <w:szCs w:val="18"/>
                <w:lang w:val="nl-NL"/>
              </w:rPr>
              <w:t>(bv. daad van ontucht)</w:t>
            </w:r>
          </w:p>
        </w:tc>
      </w:tr>
    </w:tbl>
    <w:p w14:paraId="4DB99120" w14:textId="502564DD" w:rsidR="000121B6" w:rsidRDefault="000121B6" w:rsidP="00260F11">
      <w:pPr>
        <w:spacing w:line="360" w:lineRule="auto"/>
        <w:rPr>
          <w:color w:val="000000" w:themeColor="text1"/>
          <w:szCs w:val="18"/>
          <w:lang w:val="nl-NL"/>
        </w:rPr>
      </w:pPr>
    </w:p>
    <w:p w14:paraId="719EDAFA" w14:textId="77777777" w:rsidR="00F840DF" w:rsidRDefault="00F05C47" w:rsidP="00260F11">
      <w:pPr>
        <w:pStyle w:val="ListParagraph"/>
        <w:numPr>
          <w:ilvl w:val="0"/>
          <w:numId w:val="1"/>
        </w:numPr>
        <w:spacing w:line="360" w:lineRule="auto"/>
        <w:ind w:left="0" w:hanging="709"/>
        <w:rPr>
          <w:color w:val="000000" w:themeColor="text1"/>
          <w:szCs w:val="18"/>
          <w:lang w:val="nl-NL"/>
        </w:rPr>
      </w:pPr>
      <w:r w:rsidRPr="00B10463">
        <w:rPr>
          <w:b/>
          <w:color w:val="000000" w:themeColor="text1"/>
          <w:szCs w:val="18"/>
          <w:lang w:val="nl-NL"/>
        </w:rPr>
        <w:lastRenderedPageBreak/>
        <w:t>Temporele werking</w:t>
      </w:r>
      <w:r w:rsidRPr="00B10463">
        <w:rPr>
          <w:color w:val="000000" w:themeColor="text1"/>
          <w:szCs w:val="18"/>
          <w:lang w:val="nl-NL"/>
        </w:rPr>
        <w:t>.</w:t>
      </w:r>
      <w:r w:rsidR="00783E74" w:rsidRPr="00B10463">
        <w:rPr>
          <w:color w:val="000000" w:themeColor="text1"/>
          <w:szCs w:val="18"/>
          <w:lang w:val="nl-NL"/>
        </w:rPr>
        <w:t xml:space="preserve"> </w:t>
      </w:r>
      <w:r w:rsidR="00251ED1" w:rsidRPr="005D7615">
        <w:rPr>
          <w:color w:val="000000" w:themeColor="text1"/>
          <w:szCs w:val="18"/>
          <w:lang w:val="nl-NL"/>
        </w:rPr>
        <w:t>O.w.v.</w:t>
      </w:r>
      <w:r w:rsidR="00785E9E" w:rsidRPr="005D7615">
        <w:rPr>
          <w:color w:val="000000" w:themeColor="text1"/>
          <w:szCs w:val="18"/>
          <w:lang w:val="nl-NL"/>
        </w:rPr>
        <w:t xml:space="preserve"> de verschillende leeftijdsgrenzen die gehanteerd worden in de oude en huidige strafbaarstelling, kan </w:t>
      </w:r>
      <w:r w:rsidR="00413FD8">
        <w:rPr>
          <w:color w:val="000000" w:themeColor="text1"/>
          <w:szCs w:val="18"/>
          <w:lang w:val="nl-NL"/>
        </w:rPr>
        <w:t>g</w:t>
      </w:r>
      <w:r w:rsidR="00B83501" w:rsidRPr="005D7615">
        <w:rPr>
          <w:color w:val="000000" w:themeColor="text1"/>
          <w:szCs w:val="18"/>
          <w:lang w:val="nl-NL"/>
        </w:rPr>
        <w:t xml:space="preserve">een eenduidig antwoord worden </w:t>
      </w:r>
      <w:r w:rsidR="00413FD8">
        <w:rPr>
          <w:color w:val="000000" w:themeColor="text1"/>
          <w:szCs w:val="18"/>
          <w:lang w:val="nl-NL"/>
        </w:rPr>
        <w:t>geformuleerd</w:t>
      </w:r>
      <w:r w:rsidR="00B83501" w:rsidRPr="005D7615">
        <w:rPr>
          <w:color w:val="000000" w:themeColor="text1"/>
          <w:szCs w:val="18"/>
          <w:lang w:val="nl-NL"/>
        </w:rPr>
        <w:t xml:space="preserve"> m.b.t. de temporele werking van deze bepaling.</w:t>
      </w:r>
      <w:r w:rsidR="00704AA9" w:rsidRPr="005D7615">
        <w:rPr>
          <w:color w:val="000000" w:themeColor="text1"/>
          <w:szCs w:val="18"/>
          <w:lang w:val="nl-NL"/>
        </w:rPr>
        <w:t xml:space="preserve"> Zoals ROZIE terecht aangeeft, zal voor wat betreft de </w:t>
      </w:r>
      <w:r w:rsidR="002F4FF8" w:rsidRPr="005D7615">
        <w:rPr>
          <w:color w:val="000000" w:themeColor="text1"/>
          <w:szCs w:val="18"/>
          <w:lang w:val="nl-NL"/>
        </w:rPr>
        <w:t xml:space="preserve">temporele werking van de </w:t>
      </w:r>
      <w:r w:rsidR="00704AA9" w:rsidRPr="005D7615">
        <w:rPr>
          <w:color w:val="000000" w:themeColor="text1"/>
          <w:szCs w:val="18"/>
          <w:lang w:val="nl-NL"/>
        </w:rPr>
        <w:t>minderjarige leeftijd als constitutief bestanddeel van het misdrijf in de praktijk casus per casus moeten worden nagegaan of sprake is van een verstrenging, verfijning dan wel versoepeling</w:t>
      </w:r>
      <w:r w:rsidR="00783E74" w:rsidRPr="005D7615">
        <w:rPr>
          <w:color w:val="000000" w:themeColor="text1"/>
          <w:szCs w:val="18"/>
          <w:lang w:val="nl-NL"/>
        </w:rPr>
        <w:t>.</w:t>
      </w:r>
      <w:r w:rsidR="00783E74" w:rsidRPr="000B4AB2">
        <w:rPr>
          <w:rStyle w:val="FootnoteReference"/>
          <w:color w:val="000000" w:themeColor="text1"/>
          <w:szCs w:val="18"/>
          <w:lang w:val="nl-NL"/>
        </w:rPr>
        <w:footnoteReference w:id="362"/>
      </w:r>
    </w:p>
    <w:p w14:paraId="4ADDE662" w14:textId="71CEA9AC" w:rsidR="004A552A" w:rsidRPr="00471560" w:rsidRDefault="004A552A" w:rsidP="00260F11">
      <w:pPr>
        <w:pStyle w:val="ListParagraph"/>
        <w:spacing w:line="360" w:lineRule="auto"/>
        <w:ind w:left="0"/>
        <w:rPr>
          <w:color w:val="000000" w:themeColor="text1"/>
          <w:szCs w:val="18"/>
          <w:lang w:val="nl-NL"/>
        </w:rPr>
      </w:pPr>
    </w:p>
    <w:p w14:paraId="05A177CE" w14:textId="24C54DC1" w:rsidR="00F05C47" w:rsidRPr="000B4AB2" w:rsidRDefault="00F05C47" w:rsidP="00260F11">
      <w:pPr>
        <w:pStyle w:val="Heading5"/>
        <w:spacing w:line="360" w:lineRule="auto"/>
        <w:rPr>
          <w:lang w:val="nl-NL"/>
        </w:rPr>
      </w:pPr>
      <w:bookmarkStart w:id="40" w:name="_Toc135041071"/>
      <w:r w:rsidRPr="000B4AB2">
        <w:rPr>
          <w:lang w:val="nl-NL"/>
        </w:rPr>
        <w:t>Moreel bestanddeel</w:t>
      </w:r>
      <w:bookmarkEnd w:id="40"/>
    </w:p>
    <w:p w14:paraId="1EE634AE" w14:textId="007FC4EA" w:rsidR="00F05C47" w:rsidRPr="000B4AB2" w:rsidRDefault="00F05C47" w:rsidP="00260F11">
      <w:pPr>
        <w:spacing w:line="360" w:lineRule="auto"/>
        <w:rPr>
          <w:color w:val="000000" w:themeColor="text1"/>
          <w:szCs w:val="18"/>
          <w:lang w:val="nl-NL"/>
        </w:rPr>
      </w:pPr>
    </w:p>
    <w:p w14:paraId="25D9B7C0" w14:textId="75641E7C" w:rsidR="00F05C47" w:rsidRPr="000B4AB2" w:rsidRDefault="00F05C4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Schema</w:t>
      </w:r>
      <w:r w:rsidR="00E15183" w:rsidRPr="000B4AB2">
        <w:rPr>
          <w:color w:val="000000" w:themeColor="text1"/>
          <w:szCs w:val="18"/>
          <w:lang w:val="nl-NL"/>
        </w:rPr>
        <w:t xml:space="preserve">. </w:t>
      </w:r>
      <w:r w:rsidR="00F900AB" w:rsidRPr="000B4AB2">
        <w:rPr>
          <w:color w:val="000000" w:themeColor="text1"/>
          <w:szCs w:val="18"/>
          <w:lang w:val="nl-NL"/>
        </w:rPr>
        <w:t>Het moreel bestanddeel bleef ongewijzigd zodat het volgende schema voor zowel het oude als het nieuwe misdrijf geldt.</w:t>
      </w:r>
    </w:p>
    <w:p w14:paraId="1CF2606D" w14:textId="77777777" w:rsidR="00F900AB" w:rsidRPr="000B4AB2" w:rsidRDefault="00F900AB"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6C13B9" w:rsidRPr="000B4AB2" w14:paraId="38761231" w14:textId="77777777" w:rsidTr="00507C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45B128C6" w14:textId="77777777" w:rsidR="006C13B9" w:rsidRPr="000B4AB2" w:rsidRDefault="006C13B9" w:rsidP="00260F11">
            <w:pPr>
              <w:spacing w:line="360" w:lineRule="auto"/>
              <w:rPr>
                <w:b w:val="0"/>
                <w:bCs w:val="0"/>
                <w:color w:val="000000" w:themeColor="text1"/>
                <w:szCs w:val="18"/>
                <w:lang w:val="nl-NL"/>
              </w:rPr>
            </w:pPr>
            <w:r w:rsidRPr="000B4AB2">
              <w:rPr>
                <w:color w:val="000000" w:themeColor="text1"/>
                <w:szCs w:val="18"/>
                <w:lang w:val="nl-NL"/>
              </w:rPr>
              <w:t>Moreel bestanddeel…</w:t>
            </w:r>
          </w:p>
        </w:tc>
      </w:tr>
      <w:tr w:rsidR="006C13B9" w:rsidRPr="000B4AB2" w14:paraId="5271724D" w14:textId="77777777" w:rsidTr="00507C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4A4A89C" w14:textId="7600C3EA" w:rsidR="006C13B9" w:rsidRPr="00592C35" w:rsidRDefault="006C13B9" w:rsidP="00260F11">
            <w:pPr>
              <w:spacing w:line="360" w:lineRule="auto"/>
              <w:rPr>
                <w:bCs w:val="0"/>
                <w:i/>
                <w:color w:val="000000" w:themeColor="text1"/>
                <w:szCs w:val="18"/>
                <w:lang w:val="nl-NL"/>
              </w:rPr>
            </w:pPr>
            <w:r w:rsidRPr="000B4AB2">
              <w:rPr>
                <w:color w:val="000000" w:themeColor="text1"/>
                <w:szCs w:val="18"/>
                <w:lang w:val="nl-NL"/>
              </w:rPr>
              <w:t>… m.b.t. de materiële gedraging</w:t>
            </w:r>
            <w:r w:rsidR="00592C35">
              <w:rPr>
                <w:color w:val="000000" w:themeColor="text1"/>
                <w:szCs w:val="18"/>
                <w:lang w:val="nl-NL"/>
              </w:rPr>
              <w:t xml:space="preserve"> </w:t>
            </w:r>
            <w:r w:rsidR="00592C35">
              <w:rPr>
                <w:i/>
                <w:color w:val="000000" w:themeColor="text1"/>
                <w:szCs w:val="18"/>
                <w:lang w:val="nl-NL"/>
              </w:rPr>
              <w:t>sensu lato</w:t>
            </w:r>
          </w:p>
          <w:p w14:paraId="5BE53519" w14:textId="77777777" w:rsidR="006C13B9" w:rsidRPr="000B4AB2" w:rsidRDefault="006C13B9" w:rsidP="00260F11">
            <w:pPr>
              <w:spacing w:line="360" w:lineRule="auto"/>
              <w:rPr>
                <w:b w:val="0"/>
                <w:bCs w:val="0"/>
                <w:color w:val="000000" w:themeColor="text1"/>
                <w:szCs w:val="18"/>
                <w:lang w:val="nl-NL"/>
              </w:rPr>
            </w:pPr>
          </w:p>
        </w:tc>
        <w:tc>
          <w:tcPr>
            <w:tcW w:w="4531" w:type="dxa"/>
          </w:tcPr>
          <w:p w14:paraId="0332E46A" w14:textId="5C3B47AF" w:rsidR="006C13B9" w:rsidRPr="000B4AB2" w:rsidRDefault="006C13B9"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lang w:val="nl-NL"/>
              </w:rPr>
            </w:pPr>
            <w:r w:rsidRPr="000B4AB2">
              <w:rPr>
                <w:b/>
                <w:color w:val="000000" w:themeColor="text1"/>
                <w:szCs w:val="18"/>
                <w:lang w:val="nl-NL"/>
              </w:rPr>
              <w:t>… m.b.t. de minderjarige leeftijd van het slachtoffer als constitutief bestanddeel</w:t>
            </w:r>
          </w:p>
        </w:tc>
      </w:tr>
      <w:tr w:rsidR="006C13B9" w:rsidRPr="00425B83" w14:paraId="515169AE" w14:textId="77777777" w:rsidTr="00507CAE">
        <w:tc>
          <w:tcPr>
            <w:cnfStyle w:val="001000000000" w:firstRow="0" w:lastRow="0" w:firstColumn="1" w:lastColumn="0" w:oddVBand="0" w:evenVBand="0" w:oddHBand="0" w:evenHBand="0" w:firstRowFirstColumn="0" w:firstRowLastColumn="0" w:lastRowFirstColumn="0" w:lastRowLastColumn="0"/>
            <w:tcW w:w="4531" w:type="dxa"/>
          </w:tcPr>
          <w:p w14:paraId="653ACBDD" w14:textId="77777777" w:rsidR="006C13B9" w:rsidRPr="00425B83" w:rsidRDefault="006C13B9" w:rsidP="00260F11">
            <w:pPr>
              <w:spacing w:line="360" w:lineRule="auto"/>
              <w:rPr>
                <w:color w:val="000000" w:themeColor="text1"/>
                <w:szCs w:val="18"/>
                <w:lang w:val="nl-NL"/>
              </w:rPr>
            </w:pPr>
            <w:r w:rsidRPr="00425B83">
              <w:rPr>
                <w:bCs w:val="0"/>
                <w:color w:val="000000" w:themeColor="text1"/>
                <w:szCs w:val="18"/>
                <w:lang w:val="nl-NL"/>
              </w:rPr>
              <w:t>Algemeen opzet:</w:t>
            </w:r>
          </w:p>
          <w:p w14:paraId="296E6C54" w14:textId="7800DAEC" w:rsidR="006C13B9" w:rsidRPr="00425B83" w:rsidRDefault="006C13B9" w:rsidP="00260F11">
            <w:pPr>
              <w:pStyle w:val="ListParagraph"/>
              <w:numPr>
                <w:ilvl w:val="0"/>
                <w:numId w:val="11"/>
              </w:numPr>
              <w:spacing w:line="360" w:lineRule="auto"/>
              <w:ind w:left="319" w:hanging="284"/>
              <w:rPr>
                <w:b w:val="0"/>
                <w:color w:val="000000" w:themeColor="text1"/>
                <w:szCs w:val="18"/>
                <w:lang w:val="nl-NL"/>
              </w:rPr>
            </w:pPr>
            <w:r w:rsidRPr="00425B83">
              <w:rPr>
                <w:b w:val="0"/>
                <w:color w:val="000000" w:themeColor="text1"/>
                <w:szCs w:val="18"/>
                <w:lang w:val="nl-NL"/>
              </w:rPr>
              <w:t>Wetens</w:t>
            </w:r>
            <w:r w:rsidR="008A5879" w:rsidRPr="00425B83">
              <w:rPr>
                <w:b w:val="0"/>
                <w:color w:val="000000" w:themeColor="text1"/>
                <w:szCs w:val="18"/>
                <w:lang w:val="nl-NL"/>
              </w:rPr>
              <w:t xml:space="preserve"> en </w:t>
            </w:r>
            <w:r w:rsidR="00457F74" w:rsidRPr="00425B83">
              <w:rPr>
                <w:b w:val="0"/>
                <w:color w:val="000000" w:themeColor="text1"/>
                <w:szCs w:val="18"/>
                <w:lang w:val="nl-NL"/>
              </w:rPr>
              <w:t>willens</w:t>
            </w:r>
          </w:p>
        </w:tc>
        <w:tc>
          <w:tcPr>
            <w:tcW w:w="4531" w:type="dxa"/>
          </w:tcPr>
          <w:p w14:paraId="0C3E97D4" w14:textId="77777777" w:rsidR="006C13B9" w:rsidRPr="00425B83" w:rsidRDefault="006C13B9"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425B83">
              <w:rPr>
                <w:color w:val="000000" w:themeColor="text1"/>
                <w:szCs w:val="18"/>
                <w:lang w:val="nl-NL"/>
              </w:rPr>
              <w:t>(Academische) discussie:</w:t>
            </w:r>
          </w:p>
          <w:p w14:paraId="5853542A" w14:textId="77777777" w:rsidR="006C13B9" w:rsidRPr="00425B83" w:rsidRDefault="006C13B9" w:rsidP="00260F11">
            <w:pPr>
              <w:pStyle w:val="ListParagraph"/>
              <w:numPr>
                <w:ilvl w:val="0"/>
                <w:numId w:val="11"/>
              </w:numPr>
              <w:spacing w:line="360" w:lineRule="auto"/>
              <w:ind w:left="319" w:hanging="284"/>
              <w:cnfStyle w:val="000000000000" w:firstRow="0" w:lastRow="0" w:firstColumn="0" w:lastColumn="0" w:oddVBand="0" w:evenVBand="0" w:oddHBand="0" w:evenHBand="0" w:firstRowFirstColumn="0" w:firstRowLastColumn="0" w:lastRowFirstColumn="0" w:lastRowLastColumn="0"/>
              <w:rPr>
                <w:b/>
                <w:bCs/>
                <w:color w:val="000000" w:themeColor="text1"/>
                <w:szCs w:val="18"/>
                <w:lang w:val="nl-NL"/>
              </w:rPr>
            </w:pPr>
            <w:r w:rsidRPr="00425B83">
              <w:rPr>
                <w:b/>
                <w:bCs/>
                <w:color w:val="000000" w:themeColor="text1"/>
                <w:szCs w:val="18"/>
                <w:lang w:val="nl-NL"/>
              </w:rPr>
              <w:t>Meerderheidsvisie: Algemeen opzet</w:t>
            </w:r>
          </w:p>
          <w:p w14:paraId="0FD0B949" w14:textId="77777777" w:rsidR="006C13B9" w:rsidRPr="00425B83" w:rsidRDefault="006C13B9"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Wetens en willens</w:t>
            </w:r>
          </w:p>
          <w:p w14:paraId="5560D9D2" w14:textId="39D2AA35" w:rsidR="006C13B9" w:rsidRPr="00425B83" w:rsidRDefault="006C13B9"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Indien subjectieve delictstypiciteit vaststaat, kijken of in hoofde van dader sprake was van onoverkomelijke, feitelijke dwaling.</w:t>
            </w:r>
          </w:p>
          <w:p w14:paraId="7F911EE2" w14:textId="77777777" w:rsidR="006C13B9" w:rsidRPr="00425B83" w:rsidRDefault="006C13B9" w:rsidP="00260F11">
            <w:pPr>
              <w:pStyle w:val="ListParagraph"/>
              <w:numPr>
                <w:ilvl w:val="2"/>
                <w:numId w:val="11"/>
              </w:numPr>
              <w:spacing w:line="360" w:lineRule="auto"/>
              <w:ind w:left="879" w:hanging="284"/>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Beoordelingscriterium: NVR-persoon</w:t>
            </w:r>
          </w:p>
          <w:p w14:paraId="7D5ABCE2" w14:textId="77777777" w:rsidR="006C13B9" w:rsidRPr="00425B83" w:rsidRDefault="006C13B9" w:rsidP="00260F11">
            <w:pPr>
              <w:pStyle w:val="ListParagraph"/>
              <w:numPr>
                <w:ilvl w:val="2"/>
                <w:numId w:val="11"/>
              </w:numPr>
              <w:spacing w:line="360" w:lineRule="auto"/>
              <w:ind w:left="879" w:hanging="284"/>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Streng beoordeeld</w:t>
            </w:r>
          </w:p>
          <w:p w14:paraId="1D0D22D0" w14:textId="77777777" w:rsidR="006C13B9" w:rsidRPr="00425B83" w:rsidRDefault="006C13B9" w:rsidP="00260F11">
            <w:p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p>
          <w:p w14:paraId="1BFD5105" w14:textId="77777777" w:rsidR="006C13B9" w:rsidRPr="00425B83" w:rsidRDefault="006C13B9" w:rsidP="00260F11">
            <w:pPr>
              <w:pStyle w:val="ListParagraph"/>
              <w:numPr>
                <w:ilvl w:val="0"/>
                <w:numId w:val="11"/>
              </w:numPr>
              <w:spacing w:line="360" w:lineRule="auto"/>
              <w:ind w:left="319" w:hanging="284"/>
              <w:cnfStyle w:val="000000000000" w:firstRow="0" w:lastRow="0" w:firstColumn="0" w:lastColumn="0" w:oddVBand="0" w:evenVBand="0" w:oddHBand="0" w:evenHBand="0" w:firstRowFirstColumn="0" w:firstRowLastColumn="0" w:lastRowFirstColumn="0" w:lastRowLastColumn="0"/>
              <w:rPr>
                <w:b/>
                <w:bCs/>
                <w:color w:val="000000" w:themeColor="text1"/>
                <w:szCs w:val="18"/>
                <w:lang w:val="nl-NL"/>
              </w:rPr>
            </w:pPr>
            <w:r w:rsidRPr="00425B83">
              <w:rPr>
                <w:b/>
                <w:bCs/>
                <w:color w:val="000000" w:themeColor="text1"/>
                <w:szCs w:val="18"/>
                <w:lang w:val="nl-NL"/>
              </w:rPr>
              <w:t>SPRIET: Onachtzaamheid</w:t>
            </w:r>
          </w:p>
          <w:p w14:paraId="6019DCEB" w14:textId="77777777" w:rsidR="006C13B9" w:rsidRPr="00425B83" w:rsidRDefault="006C13B9"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Beoordelingscriterium: NVR-persoon</w:t>
            </w:r>
          </w:p>
          <w:p w14:paraId="5B3D14BC" w14:textId="77777777" w:rsidR="006C13B9" w:rsidRPr="00425B83" w:rsidRDefault="006C13B9" w:rsidP="00260F11">
            <w:pPr>
              <w:pStyle w:val="ListParagraph"/>
              <w:numPr>
                <w:ilvl w:val="1"/>
                <w:numId w:val="11"/>
              </w:numPr>
              <w:spacing w:line="360" w:lineRule="auto"/>
              <w:ind w:left="595" w:hanging="283"/>
              <w:cnfStyle w:val="000000000000" w:firstRow="0" w:lastRow="0" w:firstColumn="0" w:lastColumn="0" w:oddVBand="0" w:evenVBand="0" w:oddHBand="0" w:evenHBand="0" w:firstRowFirstColumn="0" w:firstRowLastColumn="0" w:lastRowFirstColumn="0" w:lastRowLastColumn="0"/>
              <w:rPr>
                <w:bCs/>
                <w:color w:val="000000" w:themeColor="text1"/>
                <w:szCs w:val="18"/>
                <w:lang w:val="nl-NL"/>
              </w:rPr>
            </w:pPr>
            <w:r w:rsidRPr="00425B83">
              <w:rPr>
                <w:bCs/>
                <w:color w:val="000000" w:themeColor="text1"/>
                <w:szCs w:val="18"/>
                <w:lang w:val="nl-NL"/>
              </w:rPr>
              <w:t>Streng beoordeeld</w:t>
            </w:r>
          </w:p>
        </w:tc>
      </w:tr>
    </w:tbl>
    <w:p w14:paraId="2C6AFC78" w14:textId="77777777" w:rsidR="00F05C47" w:rsidRPr="000B4AB2" w:rsidRDefault="00F05C47" w:rsidP="00260F11">
      <w:pPr>
        <w:spacing w:line="360" w:lineRule="auto"/>
        <w:rPr>
          <w:color w:val="000000" w:themeColor="text1"/>
          <w:szCs w:val="18"/>
          <w:lang w:val="nl-NL"/>
        </w:rPr>
      </w:pPr>
    </w:p>
    <w:p w14:paraId="6F5E497B" w14:textId="1F36F2B3" w:rsidR="00B27A3E" w:rsidRPr="00B27A3E" w:rsidRDefault="00F05C47" w:rsidP="00260F11">
      <w:pPr>
        <w:pStyle w:val="ListParagraph"/>
        <w:numPr>
          <w:ilvl w:val="0"/>
          <w:numId w:val="1"/>
        </w:numPr>
        <w:spacing w:line="360" w:lineRule="auto"/>
        <w:ind w:left="0" w:hanging="709"/>
        <w:rPr>
          <w:szCs w:val="18"/>
          <w:lang w:val="nl-NL"/>
        </w:rPr>
      </w:pPr>
      <w:r w:rsidRPr="000B4AB2">
        <w:rPr>
          <w:b/>
          <w:color w:val="000000" w:themeColor="text1"/>
          <w:szCs w:val="18"/>
          <w:lang w:val="nl-NL"/>
        </w:rPr>
        <w:t>Temporele werking</w:t>
      </w:r>
      <w:r w:rsidRPr="000B4AB2">
        <w:rPr>
          <w:color w:val="000000" w:themeColor="text1"/>
          <w:szCs w:val="18"/>
          <w:lang w:val="nl-NL"/>
        </w:rPr>
        <w:t>.</w:t>
      </w:r>
      <w:r w:rsidR="00F900AB" w:rsidRPr="000B4AB2">
        <w:rPr>
          <w:color w:val="000000" w:themeColor="text1"/>
          <w:szCs w:val="18"/>
          <w:lang w:val="nl-NL"/>
        </w:rPr>
        <w:t xml:space="preserve"> Gelet op het gebrek aan inhoudelijk verschil tussen beide strafbaarstellingen voor wat betreft het moreel bestanddeel, kan de nieuwe strafbaarstelling voor wat betreft dit constitutief bestanddeel</w:t>
      </w:r>
      <w:r w:rsidR="00ED5294">
        <w:rPr>
          <w:color w:val="000000" w:themeColor="text1"/>
          <w:szCs w:val="18"/>
          <w:lang w:val="nl-NL"/>
        </w:rPr>
        <w:t xml:space="preserve"> retroactief</w:t>
      </w:r>
      <w:r w:rsidR="00F900AB" w:rsidRPr="000B4AB2">
        <w:rPr>
          <w:color w:val="000000" w:themeColor="text1"/>
          <w:szCs w:val="18"/>
          <w:lang w:val="nl-NL"/>
        </w:rPr>
        <w:t xml:space="preserve"> worden toegepast.</w:t>
      </w:r>
    </w:p>
    <w:p w14:paraId="1A098C01" w14:textId="69FFC318" w:rsidR="00B27A3E" w:rsidRDefault="00B27A3E" w:rsidP="00260F11">
      <w:pPr>
        <w:spacing w:line="360" w:lineRule="auto"/>
        <w:jc w:val="left"/>
        <w:rPr>
          <w:b/>
          <w:color w:val="000000" w:themeColor="text1"/>
          <w:szCs w:val="18"/>
          <w:lang w:val="nl-NL"/>
        </w:rPr>
      </w:pPr>
      <w:r>
        <w:rPr>
          <w:b/>
          <w:color w:val="000000" w:themeColor="text1"/>
          <w:szCs w:val="18"/>
          <w:lang w:val="nl-NL"/>
        </w:rPr>
        <w:br w:type="page"/>
      </w:r>
    </w:p>
    <w:p w14:paraId="4BCECA25" w14:textId="0F35D4F2" w:rsidR="001315C4" w:rsidRDefault="00CB733D" w:rsidP="00260F11">
      <w:pPr>
        <w:pStyle w:val="Heading3"/>
        <w:spacing w:line="360" w:lineRule="auto"/>
        <w:rPr>
          <w:lang w:val="nl-NL"/>
        </w:rPr>
      </w:pPr>
      <w:bookmarkStart w:id="41" w:name="_Toc135041072"/>
      <w:r>
        <w:rPr>
          <w:lang w:val="nl-NL"/>
        </w:rPr>
        <w:lastRenderedPageBreak/>
        <w:t>Tussenconclusie</w:t>
      </w:r>
      <w:bookmarkEnd w:id="41"/>
    </w:p>
    <w:p w14:paraId="56EC6E3A" w14:textId="276A7051" w:rsidR="00A36D0C" w:rsidRPr="000B4AB2" w:rsidRDefault="00457F74" w:rsidP="00260F11">
      <w:pPr>
        <w:pStyle w:val="Heading4"/>
        <w:spacing w:line="360" w:lineRule="auto"/>
        <w:rPr>
          <w:lang w:val="nl-NL"/>
        </w:rPr>
      </w:pPr>
      <w:bookmarkStart w:id="42" w:name="_Toc135041073"/>
      <w:r>
        <w:rPr>
          <w:lang w:val="nl-NL"/>
        </w:rPr>
        <w:t>Criterium</w:t>
      </w:r>
      <w:r w:rsidR="00CB733D">
        <w:rPr>
          <w:lang w:val="nl-NL"/>
        </w:rPr>
        <w:t xml:space="preserve"> des onderscheids</w:t>
      </w:r>
      <w:bookmarkEnd w:id="42"/>
    </w:p>
    <w:p w14:paraId="447AEC2A" w14:textId="77777777" w:rsidR="00A36D0C" w:rsidRPr="000B4AB2" w:rsidRDefault="00A36D0C" w:rsidP="00260F11">
      <w:pPr>
        <w:spacing w:line="360" w:lineRule="auto"/>
        <w:rPr>
          <w:color w:val="000000" w:themeColor="text1"/>
          <w:szCs w:val="18"/>
          <w:lang w:val="nl-NL"/>
        </w:rPr>
      </w:pPr>
    </w:p>
    <w:p w14:paraId="7301A6D3" w14:textId="765FB11F" w:rsidR="00ED6DE9" w:rsidRPr="00CB733D" w:rsidRDefault="00F96FF3"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De bedoeling van deze tussenconclusie bestaat er geenszins in om een allesomvattende samenvatting te geven </w:t>
      </w:r>
      <w:r w:rsidR="00ED6DE9" w:rsidRPr="000B4AB2">
        <w:rPr>
          <w:color w:val="000000" w:themeColor="text1"/>
          <w:szCs w:val="18"/>
          <w:lang w:val="nl-NL"/>
        </w:rPr>
        <w:t xml:space="preserve">van hetgeen tot hiertoe reeds werd geconstateerd. Wel </w:t>
      </w:r>
      <w:r w:rsidR="00F91181">
        <w:rPr>
          <w:color w:val="000000" w:themeColor="text1"/>
          <w:szCs w:val="18"/>
          <w:lang w:val="nl-NL"/>
        </w:rPr>
        <w:t>zal</w:t>
      </w:r>
      <w:r w:rsidR="00ED6DE9" w:rsidRPr="000B4AB2">
        <w:rPr>
          <w:color w:val="000000" w:themeColor="text1"/>
          <w:szCs w:val="18"/>
          <w:lang w:val="nl-NL"/>
        </w:rPr>
        <w:t xml:space="preserve"> hier</w:t>
      </w:r>
      <w:r w:rsidR="00CB733D">
        <w:rPr>
          <w:color w:val="000000" w:themeColor="text1"/>
          <w:szCs w:val="18"/>
          <w:lang w:val="nl-NL"/>
        </w:rPr>
        <w:t xml:space="preserve"> </w:t>
      </w:r>
      <w:r w:rsidR="00A36D0C" w:rsidRPr="00CB733D">
        <w:rPr>
          <w:color w:val="000000" w:themeColor="text1"/>
          <w:szCs w:val="18"/>
          <w:lang w:val="nl-NL"/>
        </w:rPr>
        <w:t xml:space="preserve">de </w:t>
      </w:r>
      <w:r w:rsidR="00B12453" w:rsidRPr="00CB733D">
        <w:rPr>
          <w:color w:val="000000" w:themeColor="text1"/>
          <w:szCs w:val="18"/>
          <w:lang w:val="nl-NL"/>
        </w:rPr>
        <w:t xml:space="preserve">verhouding tussen </w:t>
      </w:r>
      <w:r w:rsidR="001C1BEC" w:rsidRPr="00CB733D">
        <w:rPr>
          <w:color w:val="000000" w:themeColor="text1"/>
          <w:szCs w:val="18"/>
          <w:lang w:val="nl-NL"/>
        </w:rPr>
        <w:t>de</w:t>
      </w:r>
      <w:r w:rsidR="00B12453" w:rsidRPr="00CB733D">
        <w:rPr>
          <w:color w:val="000000" w:themeColor="text1"/>
          <w:szCs w:val="18"/>
          <w:lang w:val="nl-NL"/>
        </w:rPr>
        <w:t xml:space="preserve"> misdrijven</w:t>
      </w:r>
      <w:r w:rsidR="001C1BEC" w:rsidRPr="00CB733D">
        <w:rPr>
          <w:color w:val="000000" w:themeColor="text1"/>
          <w:szCs w:val="18"/>
          <w:lang w:val="nl-NL"/>
        </w:rPr>
        <w:t xml:space="preserve"> verkrachting en aantasting van de seksuele integriteit</w:t>
      </w:r>
      <w:r w:rsidR="00B12453" w:rsidRPr="00CB733D">
        <w:rPr>
          <w:color w:val="000000" w:themeColor="text1"/>
          <w:szCs w:val="18"/>
          <w:lang w:val="nl-NL"/>
        </w:rPr>
        <w:t xml:space="preserve"> </w:t>
      </w:r>
      <w:r w:rsidR="00507CAE" w:rsidRPr="00CB733D">
        <w:rPr>
          <w:color w:val="000000" w:themeColor="text1"/>
          <w:szCs w:val="18"/>
          <w:lang w:val="nl-NL"/>
        </w:rPr>
        <w:t>t.a.v.</w:t>
      </w:r>
      <w:r w:rsidR="00B12453" w:rsidRPr="00CB733D">
        <w:rPr>
          <w:color w:val="000000" w:themeColor="text1"/>
          <w:szCs w:val="18"/>
          <w:lang w:val="nl-NL"/>
        </w:rPr>
        <w:t xml:space="preserve"> elkaar duidelijk </w:t>
      </w:r>
      <w:r w:rsidR="00F91181">
        <w:rPr>
          <w:color w:val="000000" w:themeColor="text1"/>
          <w:szCs w:val="18"/>
          <w:lang w:val="nl-NL"/>
        </w:rPr>
        <w:t>worden aangegeven</w:t>
      </w:r>
      <w:r w:rsidR="00B12453" w:rsidRPr="00CB733D">
        <w:rPr>
          <w:color w:val="000000" w:themeColor="text1"/>
          <w:szCs w:val="18"/>
          <w:lang w:val="nl-NL"/>
        </w:rPr>
        <w:t xml:space="preserve">. </w:t>
      </w:r>
      <w:r w:rsidR="00606E24" w:rsidRPr="00CB733D">
        <w:rPr>
          <w:color w:val="000000" w:themeColor="text1"/>
          <w:szCs w:val="18"/>
          <w:lang w:val="nl-NL"/>
        </w:rPr>
        <w:t>Dit is van belang om vervolgens tot een degelijke externe rechtsvergelijking te kunnen komen.</w:t>
      </w:r>
      <w:r w:rsidR="00CB733D">
        <w:rPr>
          <w:color w:val="000000" w:themeColor="text1"/>
          <w:szCs w:val="18"/>
          <w:lang w:val="nl-NL"/>
        </w:rPr>
        <w:t xml:space="preserve"> </w:t>
      </w:r>
    </w:p>
    <w:p w14:paraId="2C4CF8DE" w14:textId="77777777" w:rsidR="00DA556B" w:rsidRPr="000B4AB2" w:rsidRDefault="00DA556B" w:rsidP="00260F11">
      <w:pPr>
        <w:pStyle w:val="ListParagraph"/>
        <w:spacing w:line="360" w:lineRule="auto"/>
        <w:ind w:left="0"/>
        <w:rPr>
          <w:color w:val="000000" w:themeColor="text1"/>
          <w:szCs w:val="18"/>
          <w:lang w:val="nl-NL"/>
        </w:rPr>
      </w:pPr>
    </w:p>
    <w:p w14:paraId="1E73AC43" w14:textId="5B6624E9" w:rsidR="00D45CDA" w:rsidRPr="000B60C4" w:rsidRDefault="00B12453"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t xml:space="preserve">Bij de bespreking van het </w:t>
      </w:r>
      <w:r w:rsidRPr="00E17C29">
        <w:rPr>
          <w:color w:val="000000" w:themeColor="text1"/>
          <w:szCs w:val="18"/>
          <w:lang w:val="nl-NL"/>
        </w:rPr>
        <w:t>oude recht</w:t>
      </w:r>
      <w:r w:rsidR="00C71F01" w:rsidRPr="00E17C29">
        <w:rPr>
          <w:color w:val="000000" w:themeColor="text1"/>
          <w:szCs w:val="18"/>
          <w:lang w:val="nl-NL"/>
        </w:rPr>
        <w:t xml:space="preserve"> werd</w:t>
      </w:r>
      <w:r w:rsidR="00C71F01" w:rsidRPr="000B4AB2">
        <w:rPr>
          <w:color w:val="000000" w:themeColor="text1"/>
          <w:szCs w:val="18"/>
          <w:lang w:val="nl-NL"/>
        </w:rPr>
        <w:t xml:space="preserve"> aangegeven dat </w:t>
      </w:r>
      <w:r w:rsidR="00755CC3" w:rsidRPr="000B4AB2">
        <w:rPr>
          <w:color w:val="000000" w:themeColor="text1"/>
          <w:szCs w:val="18"/>
          <w:lang w:val="nl-NL"/>
        </w:rPr>
        <w:t>de</w:t>
      </w:r>
      <w:r w:rsidR="00C71F01" w:rsidRPr="000B4AB2">
        <w:rPr>
          <w:color w:val="000000" w:themeColor="text1"/>
          <w:szCs w:val="18"/>
          <w:lang w:val="nl-NL"/>
        </w:rPr>
        <w:t xml:space="preserve"> misdrij</w:t>
      </w:r>
      <w:r w:rsidR="00755CC3" w:rsidRPr="000B4AB2">
        <w:rPr>
          <w:color w:val="000000" w:themeColor="text1"/>
          <w:szCs w:val="18"/>
          <w:lang w:val="nl-NL"/>
        </w:rPr>
        <w:t>ven</w:t>
      </w:r>
      <w:r w:rsidR="00C71F01" w:rsidRPr="000B4AB2">
        <w:rPr>
          <w:color w:val="000000" w:themeColor="text1"/>
          <w:szCs w:val="18"/>
          <w:lang w:val="nl-NL"/>
        </w:rPr>
        <w:t xml:space="preserve"> van aanranding van de eerbaarheid en verkrachting deels met elkaar overlap</w:t>
      </w:r>
      <w:r w:rsidR="00193F89" w:rsidRPr="000B4AB2">
        <w:rPr>
          <w:color w:val="000000" w:themeColor="text1"/>
          <w:szCs w:val="18"/>
          <w:lang w:val="nl-NL"/>
        </w:rPr>
        <w:t>t</w:t>
      </w:r>
      <w:r w:rsidR="00C71F01" w:rsidRPr="000B4AB2">
        <w:rPr>
          <w:color w:val="000000" w:themeColor="text1"/>
          <w:szCs w:val="18"/>
          <w:lang w:val="nl-NL"/>
        </w:rPr>
        <w:t>en. Toch kon</w:t>
      </w:r>
      <w:r w:rsidR="00D45CDA" w:rsidRPr="000B4AB2">
        <w:rPr>
          <w:color w:val="000000" w:themeColor="text1"/>
          <w:szCs w:val="18"/>
          <w:lang w:val="nl-NL"/>
        </w:rPr>
        <w:t xml:space="preserve"> </w:t>
      </w:r>
      <w:r w:rsidR="00C71F01" w:rsidRPr="000B4AB2">
        <w:rPr>
          <w:color w:val="000000" w:themeColor="text1"/>
          <w:szCs w:val="18"/>
          <w:lang w:val="nl-NL"/>
        </w:rPr>
        <w:t>niet gesteld worden dat iedere aanranding van de eerbaarheid ook een verkrachting uitmaakt</w:t>
      </w:r>
      <w:r w:rsidR="00EC5A17" w:rsidRPr="000B4AB2">
        <w:rPr>
          <w:color w:val="000000" w:themeColor="text1"/>
          <w:szCs w:val="18"/>
          <w:lang w:val="nl-NL"/>
        </w:rPr>
        <w:t>e</w:t>
      </w:r>
      <w:r w:rsidR="00D45CDA" w:rsidRPr="000B4AB2">
        <w:rPr>
          <w:color w:val="000000" w:themeColor="text1"/>
          <w:szCs w:val="18"/>
          <w:lang w:val="nl-NL"/>
        </w:rPr>
        <w:t>.</w:t>
      </w:r>
      <w:r w:rsidR="00CB733D" w:rsidRPr="000B4AB2">
        <w:rPr>
          <w:color w:val="000000" w:themeColor="text1"/>
          <w:szCs w:val="18"/>
          <w:lang w:val="nl-NL"/>
        </w:rPr>
        <w:t xml:space="preserve"> </w:t>
      </w:r>
      <w:r w:rsidR="00D45CDA" w:rsidRPr="000B4AB2">
        <w:rPr>
          <w:color w:val="000000" w:themeColor="text1"/>
          <w:szCs w:val="18"/>
          <w:lang w:val="nl-NL"/>
        </w:rPr>
        <w:t xml:space="preserve">Voor het misdrijf van verkrachting </w:t>
      </w:r>
      <w:r w:rsidR="00EC5A17" w:rsidRPr="000B4AB2">
        <w:rPr>
          <w:color w:val="000000" w:themeColor="text1"/>
          <w:szCs w:val="18"/>
          <w:lang w:val="nl-NL"/>
        </w:rPr>
        <w:t>was</w:t>
      </w:r>
      <w:r w:rsidR="00D45CDA" w:rsidRPr="000B4AB2">
        <w:rPr>
          <w:color w:val="000000" w:themeColor="text1"/>
          <w:szCs w:val="18"/>
          <w:lang w:val="nl-NL"/>
        </w:rPr>
        <w:t xml:space="preserve"> immers een seksuele penetratie vereist.</w:t>
      </w:r>
      <w:r w:rsidR="000B60C4">
        <w:rPr>
          <w:rStyle w:val="FootnoteReference"/>
          <w:color w:val="000000" w:themeColor="text1"/>
          <w:szCs w:val="18"/>
          <w:lang w:val="nl-NL"/>
        </w:rPr>
        <w:footnoteReference w:id="363"/>
      </w:r>
      <w:r w:rsidR="000B60C4">
        <w:rPr>
          <w:color w:val="000000" w:themeColor="text1"/>
          <w:szCs w:val="18"/>
          <w:lang w:val="nl-NL"/>
        </w:rPr>
        <w:t xml:space="preserve"> </w:t>
      </w:r>
      <w:r w:rsidR="00D45CDA" w:rsidRPr="000B60C4">
        <w:rPr>
          <w:color w:val="000000" w:themeColor="text1"/>
          <w:szCs w:val="18"/>
          <w:lang w:val="nl-NL"/>
        </w:rPr>
        <w:t>Evenmin k</w:t>
      </w:r>
      <w:r w:rsidR="00EC5A17" w:rsidRPr="000B60C4">
        <w:rPr>
          <w:color w:val="000000" w:themeColor="text1"/>
          <w:szCs w:val="18"/>
          <w:lang w:val="nl-NL"/>
        </w:rPr>
        <w:t>o</w:t>
      </w:r>
      <w:r w:rsidR="00D45CDA" w:rsidRPr="000B60C4">
        <w:rPr>
          <w:color w:val="000000" w:themeColor="text1"/>
          <w:szCs w:val="18"/>
          <w:lang w:val="nl-NL"/>
        </w:rPr>
        <w:t>n</w:t>
      </w:r>
      <w:r w:rsidR="00BD77C7" w:rsidRPr="000B60C4">
        <w:rPr>
          <w:color w:val="000000" w:themeColor="text1"/>
          <w:szCs w:val="18"/>
          <w:lang w:val="nl-NL"/>
        </w:rPr>
        <w:t xml:space="preserve"> – volgens de meerderheidsvisie -</w:t>
      </w:r>
      <w:r w:rsidR="00D45CDA" w:rsidRPr="000B60C4">
        <w:rPr>
          <w:color w:val="000000" w:themeColor="text1"/>
          <w:szCs w:val="18"/>
          <w:lang w:val="nl-NL"/>
        </w:rPr>
        <w:t xml:space="preserve"> gesteld worden dat elke verkrachting een aanranding van de eerbaarheid </w:t>
      </w:r>
      <w:r w:rsidR="00EC5A17" w:rsidRPr="000B60C4">
        <w:rPr>
          <w:color w:val="000000" w:themeColor="text1"/>
          <w:szCs w:val="18"/>
          <w:lang w:val="nl-NL"/>
        </w:rPr>
        <w:t>was</w:t>
      </w:r>
      <w:r w:rsidR="000B60C4" w:rsidRPr="000B60C4">
        <w:rPr>
          <w:color w:val="000000" w:themeColor="text1"/>
          <w:szCs w:val="18"/>
          <w:lang w:val="nl-NL"/>
        </w:rPr>
        <w:t>. Dit</w:t>
      </w:r>
      <w:r w:rsidR="00D45CDA" w:rsidRPr="000B60C4">
        <w:rPr>
          <w:color w:val="000000" w:themeColor="text1"/>
          <w:szCs w:val="18"/>
          <w:lang w:val="nl-NL"/>
        </w:rPr>
        <w:t xml:space="preserve"> </w:t>
      </w:r>
      <w:r w:rsidR="00EC5A17" w:rsidRPr="000B60C4">
        <w:rPr>
          <w:color w:val="000000" w:themeColor="text1"/>
          <w:szCs w:val="18"/>
          <w:lang w:val="nl-NL"/>
        </w:rPr>
        <w:t>aangezien er situaties denkbaar waren waarin het gebrek aan toestemming niet zou blijken uit de wilsuitsluitende factoren, zodat er enkel van een verkrachting sprake k</w:t>
      </w:r>
      <w:r w:rsidR="008B01B1" w:rsidRPr="000B60C4">
        <w:rPr>
          <w:color w:val="000000" w:themeColor="text1"/>
          <w:szCs w:val="18"/>
          <w:lang w:val="nl-NL"/>
        </w:rPr>
        <w:t>o</w:t>
      </w:r>
      <w:r w:rsidR="00EC5A17" w:rsidRPr="000B60C4">
        <w:rPr>
          <w:color w:val="000000" w:themeColor="text1"/>
          <w:szCs w:val="18"/>
          <w:lang w:val="nl-NL"/>
        </w:rPr>
        <w:t>n zijn.</w:t>
      </w:r>
      <w:r w:rsidR="00BE57EA" w:rsidRPr="000B4AB2">
        <w:rPr>
          <w:rStyle w:val="FootnoteReference"/>
          <w:color w:val="000000" w:themeColor="text1"/>
          <w:szCs w:val="18"/>
          <w:lang w:val="nl-NL"/>
        </w:rPr>
        <w:footnoteReference w:id="364"/>
      </w:r>
      <w:r w:rsidR="005F32FB" w:rsidRPr="000B60C4">
        <w:rPr>
          <w:color w:val="000000" w:themeColor="text1"/>
          <w:szCs w:val="18"/>
          <w:lang w:val="nl-NL"/>
        </w:rPr>
        <w:t xml:space="preserve"> </w:t>
      </w:r>
      <w:r w:rsidR="00864D1B" w:rsidRPr="000B60C4">
        <w:rPr>
          <w:color w:val="000000" w:themeColor="text1"/>
          <w:szCs w:val="18"/>
          <w:lang w:val="nl-NL"/>
        </w:rPr>
        <w:t>Een andere reden hiervoor kon worden gevonden in het feit dat de oude strafbaarstelling van verkrachting enkel de woorden “op een persoon” bevatte, daar waar de strafbaarstelling van aanranding van de eerbaarheid de woorden “op of met behulp van een persoon” bevatte.</w:t>
      </w:r>
      <w:r w:rsidR="00864D1B" w:rsidRPr="000B4AB2">
        <w:rPr>
          <w:rStyle w:val="FootnoteReference"/>
          <w:color w:val="000000" w:themeColor="text1"/>
          <w:szCs w:val="18"/>
          <w:lang w:val="nl-NL"/>
        </w:rPr>
        <w:footnoteReference w:id="365"/>
      </w:r>
      <w:r w:rsidR="00864D1B" w:rsidRPr="000B60C4">
        <w:rPr>
          <w:color w:val="000000" w:themeColor="text1"/>
          <w:szCs w:val="18"/>
          <w:lang w:val="nl-NL"/>
        </w:rPr>
        <w:t xml:space="preserve"> </w:t>
      </w:r>
      <w:r w:rsidR="005F32FB" w:rsidRPr="000B60C4">
        <w:rPr>
          <w:color w:val="000000" w:themeColor="text1"/>
          <w:szCs w:val="18"/>
          <w:lang w:val="nl-NL"/>
        </w:rPr>
        <w:t>Naar het voorbeeld van DIERICKX</w:t>
      </w:r>
      <w:r w:rsidR="001D1997">
        <w:rPr>
          <w:color w:val="000000" w:themeColor="text1"/>
          <w:szCs w:val="18"/>
          <w:lang w:val="nl-NL"/>
        </w:rPr>
        <w:t>,</w:t>
      </w:r>
      <w:r w:rsidR="009304B3" w:rsidRPr="000B4AB2">
        <w:rPr>
          <w:rStyle w:val="FootnoteReference"/>
          <w:color w:val="000000" w:themeColor="text1"/>
          <w:szCs w:val="18"/>
          <w:lang w:val="nl-NL"/>
        </w:rPr>
        <w:footnoteReference w:id="366"/>
      </w:r>
      <w:r w:rsidR="005F32FB" w:rsidRPr="000B60C4">
        <w:rPr>
          <w:color w:val="000000" w:themeColor="text1"/>
          <w:szCs w:val="18"/>
          <w:lang w:val="nl-NL"/>
        </w:rPr>
        <w:t xml:space="preserve"> kan </w:t>
      </w:r>
      <w:r w:rsidR="009304B3" w:rsidRPr="000B60C4">
        <w:rPr>
          <w:color w:val="000000" w:themeColor="text1"/>
          <w:szCs w:val="18"/>
          <w:lang w:val="nl-NL"/>
        </w:rPr>
        <w:t>de verhouding tussen beide oude misdrijven</w:t>
      </w:r>
      <w:r w:rsidR="000B60C4">
        <w:rPr>
          <w:color w:val="000000" w:themeColor="text1"/>
          <w:szCs w:val="18"/>
          <w:lang w:val="nl-NL"/>
        </w:rPr>
        <w:t xml:space="preserve"> dan ook</w:t>
      </w:r>
      <w:r w:rsidR="009304B3" w:rsidRPr="000B60C4">
        <w:rPr>
          <w:color w:val="000000" w:themeColor="text1"/>
          <w:szCs w:val="18"/>
          <w:lang w:val="nl-NL"/>
        </w:rPr>
        <w:t xml:space="preserve"> als volgt worden voorgesteld</w:t>
      </w:r>
      <w:r w:rsidR="000B60C4">
        <w:rPr>
          <w:color w:val="000000" w:themeColor="text1"/>
          <w:szCs w:val="18"/>
          <w:lang w:val="nl-NL"/>
        </w:rPr>
        <w:t>.</w:t>
      </w:r>
    </w:p>
    <w:p w14:paraId="3A713793" w14:textId="77777777" w:rsidR="00252E69" w:rsidRPr="000B4AB2" w:rsidRDefault="00252E69" w:rsidP="00260F11">
      <w:pPr>
        <w:spacing w:line="360" w:lineRule="auto"/>
        <w:rPr>
          <w:color w:val="000000" w:themeColor="text1"/>
          <w:szCs w:val="18"/>
          <w:lang w:val="nl-NL"/>
        </w:rPr>
      </w:pPr>
    </w:p>
    <w:p w14:paraId="47C39D1A" w14:textId="6E2909FE" w:rsidR="00A34790" w:rsidRPr="000B4AB2" w:rsidRDefault="008362DB" w:rsidP="00260F11">
      <w:pPr>
        <w:spacing w:line="360" w:lineRule="auto"/>
        <w:jc w:val="center"/>
        <w:rPr>
          <w:color w:val="000000" w:themeColor="text1"/>
          <w:szCs w:val="18"/>
          <w:lang w:val="nl-NL"/>
        </w:rPr>
      </w:pPr>
      <w:r>
        <w:rPr>
          <w:noProof/>
          <w:color w:val="000000" w:themeColor="text1"/>
          <w:szCs w:val="18"/>
          <w:lang w:val="nl-NL"/>
        </w:rPr>
        <w:drawing>
          <wp:inline distT="0" distB="0" distL="0" distR="0" wp14:anchorId="37715A1F" wp14:editId="62144A69">
            <wp:extent cx="2528455" cy="152258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nn-diagram oud recht.png"/>
                    <pic:cNvPicPr/>
                  </pic:nvPicPr>
                  <pic:blipFill>
                    <a:blip r:embed="rId19">
                      <a:extLst>
                        <a:ext uri="{28A0092B-C50C-407E-A947-70E740481C1C}">
                          <a14:useLocalDpi xmlns:a14="http://schemas.microsoft.com/office/drawing/2010/main" val="0"/>
                        </a:ext>
                      </a:extLst>
                    </a:blip>
                    <a:stretch>
                      <a:fillRect/>
                    </a:stretch>
                  </pic:blipFill>
                  <pic:spPr>
                    <a:xfrm>
                      <a:off x="0" y="0"/>
                      <a:ext cx="2547637" cy="1534136"/>
                    </a:xfrm>
                    <a:prstGeom prst="rect">
                      <a:avLst/>
                    </a:prstGeom>
                  </pic:spPr>
                </pic:pic>
              </a:graphicData>
            </a:graphic>
          </wp:inline>
        </w:drawing>
      </w:r>
    </w:p>
    <w:p w14:paraId="0096352B" w14:textId="77777777" w:rsidR="00B12453" w:rsidRPr="000B4AB2" w:rsidRDefault="00B12453" w:rsidP="00260F11">
      <w:pPr>
        <w:spacing w:line="360" w:lineRule="auto"/>
        <w:rPr>
          <w:color w:val="000000" w:themeColor="text1"/>
          <w:szCs w:val="18"/>
          <w:highlight w:val="yellow"/>
          <w:lang w:val="nl-NL"/>
        </w:rPr>
      </w:pPr>
    </w:p>
    <w:p w14:paraId="3549E3BD" w14:textId="3D97F568" w:rsidR="001C1D9D" w:rsidRPr="00FF222D" w:rsidRDefault="007E327A" w:rsidP="00260F11">
      <w:pPr>
        <w:pStyle w:val="ListParagraph"/>
        <w:numPr>
          <w:ilvl w:val="0"/>
          <w:numId w:val="1"/>
        </w:numPr>
        <w:spacing w:line="360" w:lineRule="auto"/>
        <w:ind w:left="0" w:hanging="709"/>
        <w:rPr>
          <w:color w:val="000000" w:themeColor="text1"/>
          <w:szCs w:val="18"/>
          <w:lang w:val="nl-NL"/>
        </w:rPr>
      </w:pPr>
      <w:r w:rsidRPr="00FF222D">
        <w:rPr>
          <w:color w:val="000000" w:themeColor="text1"/>
          <w:szCs w:val="18"/>
          <w:lang w:val="nl-NL"/>
        </w:rPr>
        <w:t>Sinds</w:t>
      </w:r>
      <w:r w:rsidR="00100B1B" w:rsidRPr="00FF222D">
        <w:rPr>
          <w:color w:val="000000" w:themeColor="text1"/>
          <w:szCs w:val="18"/>
          <w:lang w:val="nl-NL"/>
        </w:rPr>
        <w:t xml:space="preserve"> de hervorming van het seksueel strafrecht </w:t>
      </w:r>
      <w:r w:rsidRPr="00FF222D">
        <w:rPr>
          <w:color w:val="000000" w:themeColor="text1"/>
          <w:szCs w:val="18"/>
          <w:lang w:val="nl-NL"/>
        </w:rPr>
        <w:t xml:space="preserve">is </w:t>
      </w:r>
      <w:r w:rsidR="00100B1B" w:rsidRPr="00FF222D">
        <w:rPr>
          <w:color w:val="000000" w:themeColor="text1"/>
          <w:szCs w:val="18"/>
          <w:lang w:val="nl-NL"/>
        </w:rPr>
        <w:t>het verschil tussen beide misdrijven</w:t>
      </w:r>
      <w:r w:rsidR="00A475CF" w:rsidRPr="00FF222D">
        <w:rPr>
          <w:color w:val="000000" w:themeColor="text1"/>
          <w:szCs w:val="18"/>
          <w:lang w:val="nl-NL"/>
        </w:rPr>
        <w:t xml:space="preserve"> </w:t>
      </w:r>
      <w:r w:rsidR="000B60C4">
        <w:rPr>
          <w:color w:val="000000" w:themeColor="text1"/>
          <w:szCs w:val="18"/>
          <w:lang w:val="nl-NL"/>
        </w:rPr>
        <w:t>evenwel kleiner geworden</w:t>
      </w:r>
      <w:r w:rsidR="00100B1B" w:rsidRPr="00FF222D">
        <w:rPr>
          <w:color w:val="000000" w:themeColor="text1"/>
          <w:szCs w:val="18"/>
          <w:lang w:val="nl-NL"/>
        </w:rPr>
        <w:t>.</w:t>
      </w:r>
      <w:r w:rsidRPr="00FF222D">
        <w:rPr>
          <w:rStyle w:val="FootnoteReference"/>
          <w:color w:val="000000" w:themeColor="text1"/>
          <w:szCs w:val="18"/>
          <w:lang w:val="nl-NL"/>
        </w:rPr>
        <w:footnoteReference w:id="367"/>
      </w:r>
      <w:r w:rsidR="00100B1B" w:rsidRPr="00FF222D">
        <w:rPr>
          <w:color w:val="000000" w:themeColor="text1"/>
          <w:szCs w:val="18"/>
          <w:lang w:val="nl-NL"/>
        </w:rPr>
        <w:t xml:space="preserve"> </w:t>
      </w:r>
      <w:r w:rsidR="00BC5052" w:rsidRPr="00FF222D">
        <w:rPr>
          <w:color w:val="000000" w:themeColor="text1"/>
          <w:szCs w:val="18"/>
          <w:lang w:val="nl-NL"/>
        </w:rPr>
        <w:t xml:space="preserve">Onder het huidige recht </w:t>
      </w:r>
      <w:r w:rsidR="001D1997">
        <w:rPr>
          <w:color w:val="000000" w:themeColor="text1"/>
          <w:szCs w:val="18"/>
          <w:lang w:val="nl-NL"/>
        </w:rPr>
        <w:t>maakt</w:t>
      </w:r>
      <w:r w:rsidR="00BC5052" w:rsidRPr="00FF222D">
        <w:rPr>
          <w:color w:val="000000" w:themeColor="text1"/>
          <w:szCs w:val="18"/>
          <w:lang w:val="nl-NL"/>
        </w:rPr>
        <w:t xml:space="preserve"> nog steeds niet elke aantasting van de seksuele integriteit </w:t>
      </w:r>
      <w:r w:rsidR="002E142E" w:rsidRPr="00FF222D">
        <w:rPr>
          <w:color w:val="000000" w:themeColor="text1"/>
          <w:szCs w:val="18"/>
          <w:lang w:val="nl-NL"/>
        </w:rPr>
        <w:t>tevens</w:t>
      </w:r>
      <w:r w:rsidR="00BC5052" w:rsidRPr="00FF222D">
        <w:rPr>
          <w:color w:val="000000" w:themeColor="text1"/>
          <w:szCs w:val="18"/>
          <w:lang w:val="nl-NL"/>
        </w:rPr>
        <w:t xml:space="preserve"> een verkrachting </w:t>
      </w:r>
      <w:r w:rsidR="001D1997">
        <w:rPr>
          <w:color w:val="000000" w:themeColor="text1"/>
          <w:szCs w:val="18"/>
          <w:lang w:val="nl-NL"/>
        </w:rPr>
        <w:t>uit</w:t>
      </w:r>
      <w:r w:rsidR="000B60C4">
        <w:rPr>
          <w:color w:val="000000" w:themeColor="text1"/>
          <w:szCs w:val="18"/>
          <w:lang w:val="nl-NL"/>
        </w:rPr>
        <w:t>.</w:t>
      </w:r>
      <w:r w:rsidR="001C1D9D" w:rsidRPr="00FF222D">
        <w:rPr>
          <w:color w:val="000000" w:themeColor="text1"/>
          <w:szCs w:val="18"/>
          <w:lang w:val="nl-NL"/>
        </w:rPr>
        <w:t xml:space="preserve"> </w:t>
      </w:r>
      <w:r w:rsidR="000B60C4">
        <w:rPr>
          <w:color w:val="000000" w:themeColor="text1"/>
          <w:szCs w:val="18"/>
          <w:lang w:val="nl-NL"/>
        </w:rPr>
        <w:t>D</w:t>
      </w:r>
      <w:r w:rsidR="001C1D9D" w:rsidRPr="00FF222D">
        <w:rPr>
          <w:color w:val="000000" w:themeColor="text1"/>
          <w:szCs w:val="18"/>
          <w:lang w:val="nl-NL"/>
        </w:rPr>
        <w:t xml:space="preserve">aarvoor is </w:t>
      </w:r>
      <w:r w:rsidR="000B60C4">
        <w:rPr>
          <w:color w:val="000000" w:themeColor="text1"/>
          <w:szCs w:val="18"/>
          <w:lang w:val="nl-NL"/>
        </w:rPr>
        <w:t xml:space="preserve">immers </w:t>
      </w:r>
      <w:r w:rsidR="00BC5052" w:rsidRPr="00FF222D">
        <w:rPr>
          <w:color w:val="000000" w:themeColor="text1"/>
          <w:szCs w:val="18"/>
          <w:lang w:val="nl-NL"/>
        </w:rPr>
        <w:t>nog steeds een seksuele penetratie vereist.</w:t>
      </w:r>
      <w:r w:rsidR="000B60C4">
        <w:rPr>
          <w:rStyle w:val="FootnoteReference"/>
          <w:color w:val="000000" w:themeColor="text1"/>
          <w:szCs w:val="18"/>
          <w:lang w:val="nl-NL"/>
        </w:rPr>
        <w:footnoteReference w:id="368"/>
      </w:r>
      <w:r w:rsidR="00BC5052" w:rsidRPr="00FF222D">
        <w:rPr>
          <w:color w:val="000000" w:themeColor="text1"/>
          <w:szCs w:val="18"/>
          <w:lang w:val="nl-NL"/>
        </w:rPr>
        <w:t xml:space="preserve"> Dit laatste blijft </w:t>
      </w:r>
      <w:r w:rsidR="002E142E" w:rsidRPr="00FF222D">
        <w:rPr>
          <w:color w:val="000000" w:themeColor="text1"/>
          <w:szCs w:val="18"/>
          <w:lang w:val="nl-NL"/>
        </w:rPr>
        <w:t xml:space="preserve">dus </w:t>
      </w:r>
      <w:r w:rsidR="00BC5052" w:rsidRPr="00FF222D">
        <w:rPr>
          <w:color w:val="000000" w:themeColor="text1"/>
          <w:szCs w:val="18"/>
          <w:lang w:val="nl-NL"/>
        </w:rPr>
        <w:t>het criterium des onderscheids tussen beide misdrijven.</w:t>
      </w:r>
      <w:r w:rsidR="00267C35">
        <w:rPr>
          <w:rStyle w:val="FootnoteReference"/>
          <w:color w:val="000000" w:themeColor="text1"/>
          <w:szCs w:val="18"/>
          <w:lang w:val="nl-NL"/>
        </w:rPr>
        <w:footnoteReference w:id="369"/>
      </w:r>
      <w:r w:rsidR="00A475CF" w:rsidRPr="00FF222D">
        <w:rPr>
          <w:color w:val="000000" w:themeColor="text1"/>
          <w:szCs w:val="18"/>
          <w:lang w:val="nl-NL"/>
        </w:rPr>
        <w:t xml:space="preserve"> </w:t>
      </w:r>
      <w:r w:rsidR="00BC5052" w:rsidRPr="00FF222D">
        <w:rPr>
          <w:color w:val="000000" w:themeColor="text1"/>
          <w:szCs w:val="18"/>
          <w:lang w:val="nl-NL"/>
        </w:rPr>
        <w:t>D</w:t>
      </w:r>
      <w:r w:rsidR="00A475CF" w:rsidRPr="00FF222D">
        <w:rPr>
          <w:color w:val="000000" w:themeColor="text1"/>
          <w:szCs w:val="18"/>
          <w:lang w:val="nl-NL"/>
        </w:rPr>
        <w:t xml:space="preserve">e vraag of iedere </w:t>
      </w:r>
      <w:r w:rsidR="00D2157A" w:rsidRPr="00FF222D">
        <w:rPr>
          <w:color w:val="000000" w:themeColor="text1"/>
          <w:szCs w:val="18"/>
          <w:lang w:val="nl-NL"/>
        </w:rPr>
        <w:t>verkrachting</w:t>
      </w:r>
      <w:r w:rsidR="00A475CF" w:rsidRPr="00FF222D">
        <w:rPr>
          <w:color w:val="000000" w:themeColor="text1"/>
          <w:szCs w:val="18"/>
          <w:lang w:val="nl-NL"/>
        </w:rPr>
        <w:t xml:space="preserve"> ook een </w:t>
      </w:r>
      <w:r w:rsidR="00D2157A" w:rsidRPr="00FF222D">
        <w:rPr>
          <w:color w:val="000000" w:themeColor="text1"/>
          <w:szCs w:val="18"/>
          <w:lang w:val="nl-NL"/>
        </w:rPr>
        <w:t xml:space="preserve">aantasting van de seksuele integriteit </w:t>
      </w:r>
      <w:r w:rsidR="00A475CF" w:rsidRPr="00FF222D">
        <w:rPr>
          <w:color w:val="000000" w:themeColor="text1"/>
          <w:szCs w:val="18"/>
          <w:lang w:val="nl-NL"/>
        </w:rPr>
        <w:t>uitmaakt</w:t>
      </w:r>
      <w:r w:rsidR="00BC5052" w:rsidRPr="00FF222D">
        <w:rPr>
          <w:color w:val="000000" w:themeColor="text1"/>
          <w:szCs w:val="18"/>
          <w:lang w:val="nl-NL"/>
        </w:rPr>
        <w:t xml:space="preserve">, zal </w:t>
      </w:r>
      <w:r w:rsidR="002E142E" w:rsidRPr="00FF222D">
        <w:rPr>
          <w:color w:val="000000" w:themeColor="text1"/>
          <w:szCs w:val="18"/>
          <w:lang w:val="nl-NL"/>
        </w:rPr>
        <w:t>m.i.</w:t>
      </w:r>
      <w:r w:rsidR="00A475CF" w:rsidRPr="00FF222D">
        <w:rPr>
          <w:color w:val="000000" w:themeColor="text1"/>
          <w:szCs w:val="18"/>
          <w:lang w:val="nl-NL"/>
        </w:rPr>
        <w:t xml:space="preserve"> </w:t>
      </w:r>
      <w:r w:rsidR="00BC5052" w:rsidRPr="00FF222D">
        <w:rPr>
          <w:color w:val="000000" w:themeColor="text1"/>
          <w:szCs w:val="18"/>
          <w:lang w:val="nl-NL"/>
        </w:rPr>
        <w:t xml:space="preserve">onder het </w:t>
      </w:r>
      <w:r w:rsidR="00BC5052" w:rsidRPr="00FF222D">
        <w:rPr>
          <w:color w:val="000000" w:themeColor="text1"/>
          <w:szCs w:val="18"/>
          <w:lang w:val="nl-NL"/>
        </w:rPr>
        <w:lastRenderedPageBreak/>
        <w:t>huidige recht wel</w:t>
      </w:r>
      <w:r w:rsidR="001F63BD" w:rsidRPr="00FF222D">
        <w:rPr>
          <w:color w:val="000000" w:themeColor="text1"/>
          <w:szCs w:val="18"/>
          <w:lang w:val="nl-NL"/>
        </w:rPr>
        <w:t xml:space="preserve"> </w:t>
      </w:r>
      <w:r w:rsidR="00D2157A" w:rsidRPr="00FF222D">
        <w:rPr>
          <w:color w:val="000000" w:themeColor="text1"/>
          <w:szCs w:val="18"/>
          <w:lang w:val="nl-NL"/>
        </w:rPr>
        <w:t>positief kunnen worden beantwoord</w:t>
      </w:r>
      <w:r w:rsidR="00A475CF" w:rsidRPr="00FF222D">
        <w:rPr>
          <w:color w:val="000000" w:themeColor="text1"/>
          <w:szCs w:val="18"/>
          <w:lang w:val="nl-NL"/>
        </w:rPr>
        <w:t xml:space="preserve">. </w:t>
      </w:r>
      <w:r w:rsidR="00D2157A" w:rsidRPr="00FF222D">
        <w:rPr>
          <w:color w:val="000000" w:themeColor="text1"/>
          <w:szCs w:val="18"/>
          <w:lang w:val="nl-NL"/>
        </w:rPr>
        <w:t xml:space="preserve">Dit </w:t>
      </w:r>
      <w:r w:rsidR="00565218" w:rsidRPr="00FF222D">
        <w:rPr>
          <w:color w:val="000000" w:themeColor="text1"/>
          <w:szCs w:val="18"/>
          <w:lang w:val="nl-NL"/>
        </w:rPr>
        <w:t xml:space="preserve">komt </w:t>
      </w:r>
      <w:r w:rsidR="001C1D9D" w:rsidRPr="00FF222D">
        <w:rPr>
          <w:color w:val="000000" w:themeColor="text1"/>
          <w:szCs w:val="18"/>
          <w:lang w:val="nl-NL"/>
        </w:rPr>
        <w:t xml:space="preserve">enerzijds </w:t>
      </w:r>
      <w:r w:rsidR="00671F7D">
        <w:rPr>
          <w:color w:val="000000" w:themeColor="text1"/>
          <w:szCs w:val="18"/>
          <w:lang w:val="nl-NL"/>
        </w:rPr>
        <w:t>door</w:t>
      </w:r>
      <w:r w:rsidR="004A08A2" w:rsidRPr="00FF222D">
        <w:rPr>
          <w:color w:val="000000" w:themeColor="text1"/>
          <w:szCs w:val="18"/>
          <w:lang w:val="nl-NL"/>
        </w:rPr>
        <w:t xml:space="preserve"> de </w:t>
      </w:r>
      <w:r w:rsidR="00671F7D">
        <w:rPr>
          <w:color w:val="000000" w:themeColor="text1"/>
          <w:szCs w:val="18"/>
          <w:lang w:val="nl-NL"/>
        </w:rPr>
        <w:t xml:space="preserve">uniforme </w:t>
      </w:r>
      <w:r w:rsidR="00565218" w:rsidRPr="00FF222D">
        <w:rPr>
          <w:color w:val="000000" w:themeColor="text1"/>
          <w:szCs w:val="18"/>
          <w:lang w:val="nl-NL"/>
        </w:rPr>
        <w:t>toestemmingspremisse</w:t>
      </w:r>
      <w:r w:rsidR="001F63BD" w:rsidRPr="00FF222D">
        <w:rPr>
          <w:color w:val="000000" w:themeColor="text1"/>
          <w:szCs w:val="18"/>
          <w:lang w:val="nl-NL"/>
        </w:rPr>
        <w:t xml:space="preserve"> </w:t>
      </w:r>
      <w:r w:rsidR="00565218" w:rsidRPr="00FF222D">
        <w:rPr>
          <w:color w:val="000000" w:themeColor="text1"/>
          <w:szCs w:val="18"/>
          <w:lang w:val="nl-NL"/>
        </w:rPr>
        <w:t>en</w:t>
      </w:r>
      <w:r w:rsidR="004A08A2" w:rsidRPr="00FF222D">
        <w:rPr>
          <w:color w:val="000000" w:themeColor="text1"/>
          <w:szCs w:val="18"/>
          <w:lang w:val="nl-NL"/>
        </w:rPr>
        <w:t xml:space="preserve"> -</w:t>
      </w:r>
      <w:r w:rsidR="00565218" w:rsidRPr="00FF222D">
        <w:rPr>
          <w:color w:val="000000" w:themeColor="text1"/>
          <w:szCs w:val="18"/>
          <w:lang w:val="nl-NL"/>
        </w:rPr>
        <w:t xml:space="preserve"> </w:t>
      </w:r>
      <w:r w:rsidR="004A08A2" w:rsidRPr="00FF222D">
        <w:rPr>
          <w:color w:val="000000" w:themeColor="text1"/>
          <w:szCs w:val="18"/>
          <w:lang w:val="nl-NL"/>
        </w:rPr>
        <w:t>daarmee samenhangend -</w:t>
      </w:r>
      <w:r w:rsidR="0086452D">
        <w:rPr>
          <w:color w:val="000000" w:themeColor="text1"/>
          <w:szCs w:val="18"/>
          <w:lang w:val="nl-NL"/>
        </w:rPr>
        <w:t xml:space="preserve"> bovenal</w:t>
      </w:r>
      <w:r w:rsidR="004A08A2" w:rsidRPr="00FF222D">
        <w:rPr>
          <w:color w:val="000000" w:themeColor="text1"/>
          <w:szCs w:val="18"/>
          <w:lang w:val="nl-NL"/>
        </w:rPr>
        <w:t xml:space="preserve"> ook</w:t>
      </w:r>
      <w:r w:rsidR="001F63BD" w:rsidRPr="00FF222D">
        <w:rPr>
          <w:color w:val="000000" w:themeColor="text1"/>
          <w:szCs w:val="18"/>
          <w:lang w:val="nl-NL"/>
        </w:rPr>
        <w:t xml:space="preserve"> doordat het</w:t>
      </w:r>
      <w:r w:rsidR="00565218" w:rsidRPr="00FF222D">
        <w:rPr>
          <w:color w:val="000000" w:themeColor="text1"/>
          <w:szCs w:val="18"/>
          <w:lang w:val="nl-NL"/>
        </w:rPr>
        <w:t xml:space="preserve"> gebrek aan geldige toestemming </w:t>
      </w:r>
      <w:r w:rsidR="00856E14">
        <w:rPr>
          <w:color w:val="000000" w:themeColor="text1"/>
          <w:szCs w:val="18"/>
          <w:lang w:val="nl-NL"/>
        </w:rPr>
        <w:t>voortaan (zonder discussie) een</w:t>
      </w:r>
      <w:r w:rsidR="00565218" w:rsidRPr="00FF222D">
        <w:rPr>
          <w:color w:val="000000" w:themeColor="text1"/>
          <w:szCs w:val="18"/>
          <w:lang w:val="nl-NL"/>
        </w:rPr>
        <w:t xml:space="preserve"> constitutief bestanddeel </w:t>
      </w:r>
      <w:r w:rsidR="00856E14">
        <w:rPr>
          <w:color w:val="000000" w:themeColor="text1"/>
          <w:szCs w:val="18"/>
          <w:lang w:val="nl-NL"/>
        </w:rPr>
        <w:t>vormt van</w:t>
      </w:r>
      <w:r w:rsidR="00565218" w:rsidRPr="00FF222D">
        <w:rPr>
          <w:color w:val="000000" w:themeColor="text1"/>
          <w:szCs w:val="18"/>
          <w:lang w:val="nl-NL"/>
        </w:rPr>
        <w:t xml:space="preserve"> het misdrijf aantasting van de seksuele integriteit</w:t>
      </w:r>
      <w:r w:rsidR="00AB5F52" w:rsidRPr="00FF222D">
        <w:rPr>
          <w:color w:val="000000" w:themeColor="text1"/>
          <w:szCs w:val="18"/>
          <w:lang w:val="nl-NL"/>
        </w:rPr>
        <w:t>.</w:t>
      </w:r>
      <w:r w:rsidR="0086452D">
        <w:rPr>
          <w:rStyle w:val="FootnoteReference"/>
          <w:color w:val="000000" w:themeColor="text1"/>
          <w:szCs w:val="18"/>
          <w:lang w:val="nl-NL"/>
        </w:rPr>
        <w:footnoteReference w:id="370"/>
      </w:r>
      <w:r w:rsidR="0032304E" w:rsidRPr="00FF222D">
        <w:rPr>
          <w:color w:val="000000" w:themeColor="text1"/>
          <w:szCs w:val="18"/>
          <w:lang w:val="nl-NL"/>
        </w:rPr>
        <w:t xml:space="preserve"> </w:t>
      </w:r>
      <w:r w:rsidR="001C1D9D" w:rsidRPr="00FF222D">
        <w:rPr>
          <w:color w:val="000000" w:themeColor="text1"/>
          <w:szCs w:val="18"/>
          <w:lang w:val="nl-NL"/>
        </w:rPr>
        <w:t xml:space="preserve">Anderzijds is dit te verklaren o.g.v. de </w:t>
      </w:r>
      <w:r w:rsidR="0086452D">
        <w:rPr>
          <w:color w:val="000000" w:themeColor="text1"/>
          <w:szCs w:val="18"/>
          <w:lang w:val="nl-NL"/>
        </w:rPr>
        <w:t>“</w:t>
      </w:r>
      <w:r w:rsidR="001C1D9D" w:rsidRPr="00FF222D">
        <w:rPr>
          <w:color w:val="000000" w:themeColor="text1"/>
          <w:szCs w:val="18"/>
          <w:lang w:val="nl-NL"/>
        </w:rPr>
        <w:t xml:space="preserve">rol van het slachtoffer” bij verkrachting, </w:t>
      </w:r>
      <w:r w:rsidR="007750AD" w:rsidRPr="00FF222D">
        <w:rPr>
          <w:color w:val="000000" w:themeColor="text1"/>
          <w:szCs w:val="18"/>
          <w:lang w:val="nl-NL"/>
        </w:rPr>
        <w:t>aangezien</w:t>
      </w:r>
      <w:r w:rsidR="001C1D9D" w:rsidRPr="00FF222D">
        <w:rPr>
          <w:color w:val="000000" w:themeColor="text1"/>
          <w:szCs w:val="18"/>
          <w:lang w:val="nl-NL"/>
        </w:rPr>
        <w:t xml:space="preserve"> </w:t>
      </w:r>
      <w:r w:rsidR="006B5062" w:rsidRPr="00FF222D">
        <w:rPr>
          <w:color w:val="000000" w:themeColor="text1"/>
          <w:szCs w:val="18"/>
          <w:lang w:val="nl-NL"/>
        </w:rPr>
        <w:t>voortaan</w:t>
      </w:r>
      <w:r w:rsidR="001C1D9D" w:rsidRPr="00FF222D">
        <w:rPr>
          <w:color w:val="000000" w:themeColor="text1"/>
          <w:szCs w:val="18"/>
          <w:lang w:val="nl-NL"/>
        </w:rPr>
        <w:t xml:space="preserve"> </w:t>
      </w:r>
      <w:r w:rsidR="00856E14">
        <w:rPr>
          <w:color w:val="000000" w:themeColor="text1"/>
          <w:szCs w:val="18"/>
          <w:lang w:val="nl-NL"/>
        </w:rPr>
        <w:t xml:space="preserve">(opnieuw </w:t>
      </w:r>
      <w:r w:rsidR="001C1D9D" w:rsidRPr="00FF222D">
        <w:rPr>
          <w:color w:val="000000" w:themeColor="text1"/>
          <w:szCs w:val="18"/>
          <w:lang w:val="nl-NL"/>
        </w:rPr>
        <w:t>zonder discussie</w:t>
      </w:r>
      <w:r w:rsidR="00856E14">
        <w:rPr>
          <w:color w:val="000000" w:themeColor="text1"/>
          <w:szCs w:val="18"/>
          <w:lang w:val="nl-NL"/>
        </w:rPr>
        <w:t>) eveneens</w:t>
      </w:r>
      <w:r w:rsidR="001C1D9D" w:rsidRPr="00FF222D">
        <w:rPr>
          <w:color w:val="000000" w:themeColor="text1"/>
          <w:szCs w:val="18"/>
          <w:lang w:val="nl-NL"/>
        </w:rPr>
        <w:t xml:space="preserve"> een door de dader verplichte penetratie verricht door het slachtoffer strafbaar </w:t>
      </w:r>
      <w:r w:rsidR="00856E14">
        <w:rPr>
          <w:color w:val="000000" w:themeColor="text1"/>
          <w:szCs w:val="18"/>
          <w:lang w:val="nl-NL"/>
        </w:rPr>
        <w:t>is</w:t>
      </w:r>
      <w:r w:rsidR="001C1D9D" w:rsidRPr="00FF222D">
        <w:rPr>
          <w:color w:val="000000" w:themeColor="text1"/>
          <w:szCs w:val="18"/>
          <w:lang w:val="nl-NL"/>
        </w:rPr>
        <w:t xml:space="preserve"> als verkrachting</w:t>
      </w:r>
      <w:r w:rsidR="0086452D">
        <w:rPr>
          <w:color w:val="000000" w:themeColor="text1"/>
          <w:szCs w:val="18"/>
          <w:lang w:val="nl-NL"/>
        </w:rPr>
        <w:t>.</w:t>
      </w:r>
      <w:r w:rsidR="0086452D">
        <w:rPr>
          <w:rStyle w:val="FootnoteReference"/>
          <w:color w:val="000000" w:themeColor="text1"/>
          <w:szCs w:val="18"/>
          <w:lang w:val="nl-NL"/>
        </w:rPr>
        <w:footnoteReference w:id="371"/>
      </w:r>
    </w:p>
    <w:p w14:paraId="53C4935D" w14:textId="77777777" w:rsidR="001C1D9D" w:rsidRDefault="001C1D9D" w:rsidP="00260F11">
      <w:pPr>
        <w:pStyle w:val="ListParagraph"/>
        <w:spacing w:line="360" w:lineRule="auto"/>
        <w:ind w:left="0"/>
        <w:rPr>
          <w:color w:val="000000" w:themeColor="text1"/>
          <w:szCs w:val="18"/>
          <w:lang w:val="nl-NL"/>
        </w:rPr>
      </w:pPr>
    </w:p>
    <w:p w14:paraId="250C92B4" w14:textId="0AE82E72" w:rsidR="0032304E" w:rsidRPr="000B4AB2" w:rsidRDefault="0032304E"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De verhouding tussen de twee misdrijven kan </w:t>
      </w:r>
      <w:r w:rsidR="00C410C9">
        <w:rPr>
          <w:color w:val="000000" w:themeColor="text1"/>
          <w:szCs w:val="18"/>
          <w:lang w:val="nl-NL"/>
        </w:rPr>
        <w:t>m.i.</w:t>
      </w:r>
      <w:r w:rsidR="008B532E" w:rsidRPr="000B4AB2">
        <w:rPr>
          <w:color w:val="000000" w:themeColor="text1"/>
          <w:szCs w:val="18"/>
          <w:lang w:val="nl-NL"/>
        </w:rPr>
        <w:t xml:space="preserve"> </w:t>
      </w:r>
      <w:r w:rsidRPr="000B4AB2">
        <w:rPr>
          <w:color w:val="000000" w:themeColor="text1"/>
          <w:szCs w:val="18"/>
          <w:lang w:val="nl-NL"/>
        </w:rPr>
        <w:t>voortaan dan ook als volgt worden weergegeven</w:t>
      </w:r>
      <w:r w:rsidR="0086452D">
        <w:rPr>
          <w:color w:val="000000" w:themeColor="text1"/>
          <w:szCs w:val="18"/>
          <w:lang w:val="nl-NL"/>
        </w:rPr>
        <w:t>.</w:t>
      </w:r>
    </w:p>
    <w:p w14:paraId="4B1832C5" w14:textId="77777777" w:rsidR="001B0BD3" w:rsidRPr="000B4AB2" w:rsidRDefault="001B0BD3" w:rsidP="00260F11">
      <w:pPr>
        <w:spacing w:line="360" w:lineRule="auto"/>
        <w:rPr>
          <w:color w:val="000000" w:themeColor="text1"/>
          <w:szCs w:val="18"/>
          <w:highlight w:val="yellow"/>
          <w:lang w:val="nl-NL"/>
        </w:rPr>
      </w:pPr>
    </w:p>
    <w:p w14:paraId="24A78EA6" w14:textId="591A995F" w:rsidR="001B0BD3" w:rsidRPr="000B4AB2" w:rsidRDefault="008362DB" w:rsidP="00260F11">
      <w:pPr>
        <w:spacing w:line="360" w:lineRule="auto"/>
        <w:jc w:val="center"/>
        <w:rPr>
          <w:color w:val="000000" w:themeColor="text1"/>
          <w:szCs w:val="18"/>
          <w:highlight w:val="yellow"/>
          <w:lang w:val="nl-NL"/>
        </w:rPr>
      </w:pPr>
      <w:r>
        <w:rPr>
          <w:noProof/>
          <w:color w:val="000000" w:themeColor="text1"/>
          <w:szCs w:val="18"/>
          <w:lang w:val="nl-NL"/>
        </w:rPr>
        <w:drawing>
          <wp:inline distT="0" distB="0" distL="0" distR="0" wp14:anchorId="6C7AC07A" wp14:editId="678594C1">
            <wp:extent cx="1808019" cy="1789251"/>
            <wp:effectExtent l="0" t="0" r="0" b="190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nn-diagram nieuw recht.png"/>
                    <pic:cNvPicPr/>
                  </pic:nvPicPr>
                  <pic:blipFill>
                    <a:blip r:embed="rId20">
                      <a:extLst>
                        <a:ext uri="{28A0092B-C50C-407E-A947-70E740481C1C}">
                          <a14:useLocalDpi xmlns:a14="http://schemas.microsoft.com/office/drawing/2010/main" val="0"/>
                        </a:ext>
                      </a:extLst>
                    </a:blip>
                    <a:stretch>
                      <a:fillRect/>
                    </a:stretch>
                  </pic:blipFill>
                  <pic:spPr>
                    <a:xfrm>
                      <a:off x="0" y="0"/>
                      <a:ext cx="1820975" cy="1802072"/>
                    </a:xfrm>
                    <a:prstGeom prst="rect">
                      <a:avLst/>
                    </a:prstGeom>
                  </pic:spPr>
                </pic:pic>
              </a:graphicData>
            </a:graphic>
          </wp:inline>
        </w:drawing>
      </w:r>
    </w:p>
    <w:p w14:paraId="246E98FD" w14:textId="41EFE7E5" w:rsidR="00A17622" w:rsidRDefault="00E33C8D" w:rsidP="00260F11">
      <w:pPr>
        <w:spacing w:line="360" w:lineRule="auto"/>
        <w:rPr>
          <w:color w:val="000000" w:themeColor="text1"/>
          <w:szCs w:val="18"/>
          <w:lang w:val="nl-NL"/>
        </w:rPr>
      </w:pPr>
      <w:r>
        <w:rPr>
          <w:color w:val="000000" w:themeColor="text1"/>
          <w:szCs w:val="18"/>
          <w:lang w:val="nl-NL"/>
        </w:rPr>
        <w:br w:type="page"/>
      </w:r>
    </w:p>
    <w:p w14:paraId="122907FF" w14:textId="5923CDAD" w:rsidR="001315C4" w:rsidRDefault="001315C4" w:rsidP="00260F11">
      <w:pPr>
        <w:pStyle w:val="Heading4"/>
        <w:spacing w:line="360" w:lineRule="auto"/>
        <w:rPr>
          <w:lang w:val="nl-NL"/>
        </w:rPr>
      </w:pPr>
      <w:bookmarkStart w:id="43" w:name="_Toc135041074"/>
      <w:r>
        <w:rPr>
          <w:lang w:val="nl-NL"/>
        </w:rPr>
        <w:lastRenderedPageBreak/>
        <w:t>Temporele werking</w:t>
      </w:r>
      <w:r w:rsidR="003F5C1E" w:rsidRPr="006511BB">
        <w:rPr>
          <w:rStyle w:val="FootnoteReference"/>
          <w:b w:val="0"/>
          <w:lang w:val="nl-NL"/>
        </w:rPr>
        <w:footnoteReference w:id="372"/>
      </w:r>
      <w:bookmarkEnd w:id="43"/>
    </w:p>
    <w:p w14:paraId="7D95B25C" w14:textId="72E86190" w:rsidR="001315C4" w:rsidRDefault="001315C4" w:rsidP="00260F11">
      <w:pPr>
        <w:spacing w:line="360" w:lineRule="auto"/>
        <w:rPr>
          <w:lang w:val="nl-NL"/>
        </w:rPr>
      </w:pPr>
    </w:p>
    <w:p w14:paraId="72145EB0" w14:textId="1A169670" w:rsidR="001315C4" w:rsidRDefault="001315C4" w:rsidP="00260F11">
      <w:pPr>
        <w:pStyle w:val="ListParagraph"/>
        <w:numPr>
          <w:ilvl w:val="0"/>
          <w:numId w:val="1"/>
        </w:numPr>
        <w:spacing w:line="360" w:lineRule="auto"/>
        <w:ind w:left="0" w:hanging="709"/>
        <w:rPr>
          <w:szCs w:val="18"/>
          <w:lang w:val="nl-NL"/>
        </w:rPr>
      </w:pPr>
      <w:r>
        <w:rPr>
          <w:szCs w:val="18"/>
          <w:lang w:val="nl-NL"/>
        </w:rPr>
        <w:t>De</w:t>
      </w:r>
      <w:r w:rsidRPr="000B4AB2">
        <w:rPr>
          <w:szCs w:val="18"/>
          <w:lang w:val="nl-NL"/>
        </w:rPr>
        <w:t xml:space="preserve"> temporele werking</w:t>
      </w:r>
      <w:r>
        <w:rPr>
          <w:szCs w:val="18"/>
          <w:lang w:val="nl-NL"/>
        </w:rPr>
        <w:t xml:space="preserve"> werd reeds hoger toegelicht</w:t>
      </w:r>
      <w:r w:rsidR="002E45D6">
        <w:rPr>
          <w:szCs w:val="18"/>
          <w:lang w:val="nl-NL"/>
        </w:rPr>
        <w:t xml:space="preserve">. Dit gebeurde </w:t>
      </w:r>
      <w:r w:rsidRPr="000B4AB2">
        <w:rPr>
          <w:szCs w:val="18"/>
          <w:lang w:val="nl-NL"/>
        </w:rPr>
        <w:t xml:space="preserve">per constitutief bestanddeel van </w:t>
      </w:r>
      <w:r>
        <w:rPr>
          <w:szCs w:val="18"/>
          <w:lang w:val="nl-NL"/>
        </w:rPr>
        <w:t>de twee huidige strafbaarstellingen</w:t>
      </w:r>
      <w:r w:rsidRPr="00930445">
        <w:rPr>
          <w:color w:val="000000" w:themeColor="text1"/>
          <w:szCs w:val="18"/>
          <w:lang w:val="nl-NL"/>
        </w:rPr>
        <w:t>.</w:t>
      </w:r>
      <w:r w:rsidR="00E17C29">
        <w:rPr>
          <w:rStyle w:val="FootnoteReference"/>
          <w:color w:val="000000" w:themeColor="text1"/>
          <w:szCs w:val="18"/>
          <w:lang w:val="nl-NL"/>
        </w:rPr>
        <w:footnoteReference w:id="373"/>
      </w:r>
      <w:r w:rsidRPr="00930445">
        <w:rPr>
          <w:color w:val="000000" w:themeColor="text1"/>
          <w:szCs w:val="18"/>
          <w:lang w:val="nl-NL"/>
        </w:rPr>
        <w:t xml:space="preserve"> </w:t>
      </w:r>
      <w:r w:rsidR="00EB5B63">
        <w:rPr>
          <w:color w:val="000000" w:themeColor="text1"/>
          <w:szCs w:val="18"/>
          <w:lang w:val="nl-NL"/>
        </w:rPr>
        <w:t>Hoewel dit</w:t>
      </w:r>
      <w:r w:rsidRPr="00930445">
        <w:rPr>
          <w:color w:val="000000" w:themeColor="text1"/>
          <w:szCs w:val="18"/>
          <w:lang w:val="nl-NL"/>
        </w:rPr>
        <w:t xml:space="preserve"> </w:t>
      </w:r>
      <w:r w:rsidRPr="000B4AB2">
        <w:rPr>
          <w:szCs w:val="18"/>
          <w:lang w:val="nl-NL"/>
        </w:rPr>
        <w:t xml:space="preserve">enigszins een </w:t>
      </w:r>
      <w:r w:rsidR="002A4FB5">
        <w:rPr>
          <w:szCs w:val="18"/>
          <w:lang w:val="nl-NL"/>
        </w:rPr>
        <w:t>fragmentarisch</w:t>
      </w:r>
      <w:r w:rsidRPr="000B4AB2">
        <w:rPr>
          <w:szCs w:val="18"/>
          <w:lang w:val="nl-NL"/>
        </w:rPr>
        <w:t xml:space="preserve"> beeld </w:t>
      </w:r>
      <w:r w:rsidR="00EB5B63">
        <w:rPr>
          <w:szCs w:val="18"/>
          <w:lang w:val="nl-NL"/>
        </w:rPr>
        <w:t xml:space="preserve">kan </w:t>
      </w:r>
      <w:r w:rsidRPr="000B4AB2">
        <w:rPr>
          <w:szCs w:val="18"/>
          <w:lang w:val="nl-NL"/>
        </w:rPr>
        <w:t xml:space="preserve">hebben geschetst van het toepassingsgebied </w:t>
      </w:r>
      <w:r w:rsidRPr="000B4AB2">
        <w:rPr>
          <w:i/>
          <w:szCs w:val="18"/>
          <w:lang w:val="nl-NL"/>
        </w:rPr>
        <w:t>ratione temporis</w:t>
      </w:r>
      <w:r w:rsidRPr="000B4AB2">
        <w:rPr>
          <w:szCs w:val="18"/>
          <w:lang w:val="nl-NL"/>
        </w:rPr>
        <w:t xml:space="preserve"> van deze strafbaarstellinge</w:t>
      </w:r>
      <w:r w:rsidR="00EB5B63">
        <w:rPr>
          <w:szCs w:val="18"/>
          <w:lang w:val="nl-NL"/>
        </w:rPr>
        <w:t>n,</w:t>
      </w:r>
      <w:r w:rsidRPr="000B4AB2">
        <w:rPr>
          <w:szCs w:val="18"/>
          <w:lang w:val="nl-NL"/>
        </w:rPr>
        <w:t xml:space="preserve"> dient eraan te worden herinnerd dat het mogelijk is dat voor bepaalde aspecten – hier constitutieve bestanddelen – wordt geconcludeerd dat het een strengere strafbaarstelling betreft, terwijl voor andere aspecten dient te worden vastgesteld dat het gaat om een loutere verfijning.</w:t>
      </w:r>
      <w:r w:rsidR="00E17C29">
        <w:rPr>
          <w:rStyle w:val="FootnoteReference"/>
          <w:szCs w:val="18"/>
          <w:lang w:val="nl-NL"/>
        </w:rPr>
        <w:footnoteReference w:id="374"/>
      </w:r>
      <w:r w:rsidRPr="000B4AB2">
        <w:rPr>
          <w:szCs w:val="18"/>
          <w:lang w:val="nl-NL"/>
        </w:rPr>
        <w:t xml:space="preserve"> </w:t>
      </w:r>
    </w:p>
    <w:p w14:paraId="6F960EFE" w14:textId="3F0F37E0" w:rsidR="00EB5B63" w:rsidRDefault="00EB5B63" w:rsidP="00260F11">
      <w:pPr>
        <w:spacing w:line="360" w:lineRule="auto"/>
        <w:rPr>
          <w:szCs w:val="18"/>
          <w:lang w:val="nl-NL"/>
        </w:rPr>
      </w:pPr>
    </w:p>
    <w:p w14:paraId="5980302F" w14:textId="46401589" w:rsidR="00EB5B63" w:rsidRDefault="00EB5B63" w:rsidP="00260F11">
      <w:pPr>
        <w:pStyle w:val="ListParagraph"/>
        <w:spacing w:line="360" w:lineRule="auto"/>
        <w:ind w:left="0"/>
        <w:rPr>
          <w:szCs w:val="18"/>
          <w:lang w:val="nl-NL"/>
        </w:rPr>
      </w:pPr>
      <w:r w:rsidRPr="000B4AB2">
        <w:rPr>
          <w:szCs w:val="18"/>
          <w:lang w:val="nl-NL"/>
        </w:rPr>
        <w:t xml:space="preserve">Bovendien kan </w:t>
      </w:r>
      <w:r>
        <w:rPr>
          <w:szCs w:val="18"/>
          <w:lang w:val="nl-NL"/>
        </w:rPr>
        <w:t>o.w.v.</w:t>
      </w:r>
      <w:r w:rsidRPr="000B4AB2">
        <w:rPr>
          <w:szCs w:val="18"/>
          <w:lang w:val="nl-NL"/>
        </w:rPr>
        <w:t xml:space="preserve"> de verdeeldheid </w:t>
      </w:r>
      <w:r>
        <w:rPr>
          <w:szCs w:val="18"/>
          <w:lang w:val="nl-NL"/>
        </w:rPr>
        <w:t>binnen</w:t>
      </w:r>
      <w:r w:rsidRPr="000B4AB2">
        <w:rPr>
          <w:szCs w:val="18"/>
          <w:lang w:val="nl-NL"/>
        </w:rPr>
        <w:t xml:space="preserve"> de rechtspraak en doctrine niet voor elk constitutief bestanddeel een eenduidig antwoord worden geformuleerd </w:t>
      </w:r>
      <w:r>
        <w:rPr>
          <w:szCs w:val="18"/>
          <w:lang w:val="nl-NL"/>
        </w:rPr>
        <w:t>m.b.t.</w:t>
      </w:r>
      <w:r w:rsidRPr="000B4AB2">
        <w:rPr>
          <w:szCs w:val="18"/>
          <w:lang w:val="nl-NL"/>
        </w:rPr>
        <w:t xml:space="preserve"> het strengere dan wel verfijnend karakter van een welbepaald aspect van de nieuwe strafbaarstellingen en bijgevolg de verboden respectievelijk </w:t>
      </w:r>
      <w:r>
        <w:rPr>
          <w:szCs w:val="18"/>
          <w:lang w:val="nl-NL"/>
        </w:rPr>
        <w:t>toegestane</w:t>
      </w:r>
      <w:r w:rsidRPr="000B4AB2">
        <w:rPr>
          <w:szCs w:val="18"/>
          <w:lang w:val="nl-NL"/>
        </w:rPr>
        <w:t xml:space="preserve"> retroactieve toepassing ervan. Veel hangt bovendien af van de uiteindelijke beoordeling van</w:t>
      </w:r>
      <w:r>
        <w:rPr>
          <w:szCs w:val="18"/>
          <w:lang w:val="nl-NL"/>
        </w:rPr>
        <w:t xml:space="preserve"> voornamelijk</w:t>
      </w:r>
      <w:r w:rsidRPr="000B4AB2">
        <w:rPr>
          <w:szCs w:val="18"/>
          <w:lang w:val="nl-NL"/>
        </w:rPr>
        <w:t xml:space="preserve"> het Hof van Cassatie hieromtrent.</w:t>
      </w:r>
      <w:r w:rsidRPr="000B4AB2">
        <w:rPr>
          <w:rStyle w:val="FootnoteReference"/>
          <w:szCs w:val="18"/>
          <w:lang w:val="nl-NL"/>
        </w:rPr>
        <w:footnoteReference w:id="375"/>
      </w:r>
    </w:p>
    <w:p w14:paraId="45DF538F" w14:textId="77777777" w:rsidR="00EB5B63" w:rsidRDefault="00EB5B63" w:rsidP="00260F11">
      <w:pPr>
        <w:spacing w:line="360" w:lineRule="auto"/>
        <w:rPr>
          <w:szCs w:val="18"/>
          <w:lang w:val="nl-NL"/>
        </w:rPr>
      </w:pPr>
    </w:p>
    <w:p w14:paraId="2CF378BA" w14:textId="77777777" w:rsidR="006C526B" w:rsidRPr="006C526B" w:rsidRDefault="00EB5B63" w:rsidP="00260F11">
      <w:pPr>
        <w:pStyle w:val="ListParagraph"/>
        <w:numPr>
          <w:ilvl w:val="0"/>
          <w:numId w:val="1"/>
        </w:numPr>
        <w:spacing w:line="360" w:lineRule="auto"/>
        <w:ind w:left="0" w:hanging="709"/>
        <w:rPr>
          <w:szCs w:val="18"/>
          <w:lang w:val="nl-NL"/>
        </w:rPr>
      </w:pPr>
      <w:r w:rsidRPr="000B4AB2">
        <w:rPr>
          <w:color w:val="000000" w:themeColor="text1"/>
          <w:szCs w:val="18"/>
          <w:lang w:val="nl-NL"/>
        </w:rPr>
        <w:t>Tot slot zal in de praktijk in verschillende stappen moeten worden gewerkt. Zo zal eerst moeten worden nagegaan of de feiten strafbaar waren op het ogenblik dat ze gepleegd werden alsook op het ogenblik van de rechterlijke beslissing.</w:t>
      </w:r>
      <w:r w:rsidRPr="000B4AB2">
        <w:rPr>
          <w:rStyle w:val="FootnoteReference"/>
          <w:color w:val="000000" w:themeColor="text1"/>
          <w:szCs w:val="18"/>
          <w:lang w:val="nl-NL"/>
        </w:rPr>
        <w:footnoteReference w:id="376"/>
      </w:r>
      <w:r w:rsidRPr="000B4AB2">
        <w:rPr>
          <w:color w:val="000000" w:themeColor="text1"/>
          <w:szCs w:val="18"/>
          <w:lang w:val="nl-NL"/>
        </w:rPr>
        <w:t xml:space="preserve"> In een tweede stap zal moeten worden bekeken welke straf</w:t>
      </w:r>
      <w:r w:rsidRPr="000B4AB2">
        <w:rPr>
          <w:rStyle w:val="FootnoteReference"/>
          <w:color w:val="000000" w:themeColor="text1"/>
          <w:szCs w:val="18"/>
          <w:lang w:val="nl-NL"/>
        </w:rPr>
        <w:footnoteReference w:id="377"/>
      </w:r>
      <w:r w:rsidRPr="000B4AB2">
        <w:rPr>
          <w:color w:val="000000" w:themeColor="text1"/>
          <w:szCs w:val="18"/>
          <w:lang w:val="nl-NL"/>
        </w:rPr>
        <w:t xml:space="preserve"> </w:t>
      </w:r>
      <w:r>
        <w:rPr>
          <w:color w:val="000000" w:themeColor="text1"/>
          <w:szCs w:val="18"/>
          <w:lang w:val="nl-NL"/>
        </w:rPr>
        <w:t>toegepast moet worden</w:t>
      </w:r>
      <w:r w:rsidRPr="000B4AB2">
        <w:rPr>
          <w:color w:val="000000" w:themeColor="text1"/>
          <w:szCs w:val="18"/>
          <w:lang w:val="nl-NL"/>
        </w:rPr>
        <w:t xml:space="preserve">, wat o.g.v. de </w:t>
      </w:r>
      <w:r>
        <w:rPr>
          <w:color w:val="000000" w:themeColor="text1"/>
          <w:szCs w:val="18"/>
          <w:lang w:val="nl-NL"/>
        </w:rPr>
        <w:t>reeds hoger</w:t>
      </w:r>
      <w:r w:rsidRPr="000B4AB2">
        <w:rPr>
          <w:color w:val="000000" w:themeColor="text1"/>
          <w:szCs w:val="18"/>
          <w:lang w:val="nl-NL"/>
        </w:rPr>
        <w:t xml:space="preserve"> uiteengezette regels</w:t>
      </w:r>
      <w:r>
        <w:rPr>
          <w:rStyle w:val="FootnoteReference"/>
          <w:color w:val="000000" w:themeColor="text1"/>
          <w:szCs w:val="18"/>
          <w:lang w:val="nl-NL"/>
        </w:rPr>
        <w:footnoteReference w:id="378"/>
      </w:r>
      <w:r w:rsidRPr="000B4AB2">
        <w:rPr>
          <w:color w:val="000000" w:themeColor="text1"/>
          <w:szCs w:val="18"/>
          <w:lang w:val="nl-NL"/>
        </w:rPr>
        <w:t xml:space="preserve"> zal neerkomen op de lichtste straf.</w:t>
      </w:r>
      <w:r w:rsidRPr="000B4AB2">
        <w:rPr>
          <w:rStyle w:val="FootnoteReference"/>
          <w:color w:val="000000" w:themeColor="text1"/>
          <w:szCs w:val="18"/>
          <w:lang w:val="nl-NL"/>
        </w:rPr>
        <w:footnoteReference w:id="379"/>
      </w:r>
      <w:r w:rsidRPr="000B4AB2">
        <w:rPr>
          <w:color w:val="000000" w:themeColor="text1"/>
          <w:szCs w:val="18"/>
          <w:lang w:val="nl-NL"/>
        </w:rPr>
        <w:t xml:space="preserve"> </w:t>
      </w:r>
      <w:bookmarkStart w:id="44" w:name="_Toc123642396"/>
    </w:p>
    <w:p w14:paraId="625ACAF2" w14:textId="77777777" w:rsidR="00557BAB" w:rsidRDefault="00557BAB" w:rsidP="00260F11">
      <w:pPr>
        <w:spacing w:line="360" w:lineRule="auto"/>
        <w:rPr>
          <w:color w:val="000000" w:themeColor="text1"/>
          <w:szCs w:val="18"/>
          <w:lang w:val="nl-NL"/>
        </w:rPr>
      </w:pPr>
    </w:p>
    <w:p w14:paraId="0987390D" w14:textId="136B3AEF" w:rsidR="00FC5496" w:rsidRPr="000B4AB2" w:rsidRDefault="00851AE9" w:rsidP="00260F11">
      <w:pPr>
        <w:pStyle w:val="Heading2"/>
        <w:spacing w:line="360" w:lineRule="auto"/>
        <w:rPr>
          <w:lang w:val="nl-NL"/>
        </w:rPr>
      </w:pPr>
      <w:bookmarkStart w:id="45" w:name="_Toc135041075"/>
      <w:r w:rsidRPr="000B4AB2">
        <w:rPr>
          <w:lang w:val="nl-NL"/>
        </w:rPr>
        <w:lastRenderedPageBreak/>
        <w:t>Brits r</w:t>
      </w:r>
      <w:r w:rsidR="00FC5496" w:rsidRPr="000B4AB2">
        <w:rPr>
          <w:lang w:val="nl-NL"/>
        </w:rPr>
        <w:t>e</w:t>
      </w:r>
      <w:r w:rsidRPr="000B4AB2">
        <w:rPr>
          <w:lang w:val="nl-NL"/>
        </w:rPr>
        <w:t>cht</w:t>
      </w:r>
      <w:bookmarkEnd w:id="44"/>
      <w:bookmarkEnd w:id="45"/>
    </w:p>
    <w:p w14:paraId="706B370D" w14:textId="77777777" w:rsidR="00AF60F5" w:rsidRPr="000B4AB2" w:rsidRDefault="00AF60F5" w:rsidP="00260F11">
      <w:pPr>
        <w:spacing w:line="360" w:lineRule="auto"/>
        <w:rPr>
          <w:color w:val="000000" w:themeColor="text1"/>
          <w:szCs w:val="18"/>
          <w:lang w:val="nl-NL"/>
        </w:rPr>
      </w:pPr>
    </w:p>
    <w:p w14:paraId="61566E62" w14:textId="3714D908" w:rsidR="00405986" w:rsidRPr="005B6EEC" w:rsidRDefault="00223353"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Plaats binnen het onderzoek. </w:t>
      </w:r>
      <w:r w:rsidR="00B00F69" w:rsidRPr="005B6EEC">
        <w:rPr>
          <w:color w:val="000000" w:themeColor="text1"/>
          <w:szCs w:val="18"/>
          <w:lang w:val="nl-NL"/>
        </w:rPr>
        <w:t xml:space="preserve">In dit deel van de masterscriptie wordt </w:t>
      </w:r>
      <w:r w:rsidR="0058154E" w:rsidRPr="005B6EEC">
        <w:rPr>
          <w:color w:val="000000" w:themeColor="text1"/>
          <w:szCs w:val="18"/>
          <w:lang w:val="nl-NL"/>
        </w:rPr>
        <w:t>een antwoord geformuleerd op de</w:t>
      </w:r>
      <w:r w:rsidR="00B00F69" w:rsidRPr="005B6EEC">
        <w:rPr>
          <w:color w:val="000000" w:themeColor="text1"/>
          <w:szCs w:val="18"/>
          <w:lang w:val="nl-NL"/>
        </w:rPr>
        <w:t xml:space="preserve"> laatste subonderzoeksvraag.</w:t>
      </w:r>
      <w:r w:rsidR="006D0D2A">
        <w:rPr>
          <w:rStyle w:val="FootnoteReference"/>
          <w:color w:val="000000" w:themeColor="text1"/>
          <w:szCs w:val="18"/>
          <w:lang w:val="nl-NL"/>
        </w:rPr>
        <w:footnoteReference w:id="380"/>
      </w:r>
      <w:r w:rsidR="00B00F69" w:rsidRPr="005B6EEC">
        <w:rPr>
          <w:color w:val="000000" w:themeColor="text1"/>
          <w:szCs w:val="18"/>
          <w:lang w:val="nl-NL"/>
        </w:rPr>
        <w:t xml:space="preserve"> </w:t>
      </w:r>
      <w:r w:rsidR="00F74732">
        <w:rPr>
          <w:color w:val="000000" w:themeColor="text1"/>
          <w:szCs w:val="18"/>
          <w:lang w:val="nl-NL"/>
        </w:rPr>
        <w:t>Hier zullen d</w:t>
      </w:r>
      <w:r w:rsidR="00B00F69" w:rsidRPr="005B6EEC">
        <w:rPr>
          <w:color w:val="000000" w:themeColor="text1"/>
          <w:szCs w:val="18"/>
          <w:lang w:val="nl-NL"/>
        </w:rPr>
        <w:t xml:space="preserve">e misdrijven naar Brits recht </w:t>
      </w:r>
      <w:r w:rsidR="00F74732">
        <w:rPr>
          <w:color w:val="000000" w:themeColor="text1"/>
          <w:szCs w:val="18"/>
          <w:lang w:val="nl-NL"/>
        </w:rPr>
        <w:t xml:space="preserve">worden </w:t>
      </w:r>
      <w:r w:rsidR="00B00F69" w:rsidRPr="005B6EEC">
        <w:rPr>
          <w:color w:val="000000" w:themeColor="text1"/>
          <w:szCs w:val="18"/>
          <w:lang w:val="nl-NL"/>
        </w:rPr>
        <w:t>uiteengezet die corresponderen met de Belgische strafbaarstellingen van aantasting van de seksuele integriteit respectievelijk verkrachting.</w:t>
      </w:r>
      <w:r w:rsidR="00A006AB">
        <w:rPr>
          <w:rStyle w:val="FootnoteReference"/>
          <w:color w:val="000000" w:themeColor="text1"/>
          <w:szCs w:val="18"/>
          <w:lang w:val="nl-NL"/>
        </w:rPr>
        <w:footnoteReference w:id="381"/>
      </w:r>
      <w:r w:rsidR="00B00F69" w:rsidRPr="005B6EEC">
        <w:rPr>
          <w:color w:val="000000" w:themeColor="text1"/>
          <w:szCs w:val="18"/>
          <w:lang w:val="nl-NL"/>
        </w:rPr>
        <w:t xml:space="preserve"> </w:t>
      </w:r>
      <w:r w:rsidR="00405986" w:rsidRPr="005B6EEC">
        <w:rPr>
          <w:color w:val="000000" w:themeColor="text1"/>
          <w:szCs w:val="18"/>
          <w:lang w:val="nl-NL"/>
        </w:rPr>
        <w:t xml:space="preserve">Na deze uiteenzetting zullen het Brits en Belgisch rechtsstelsel met elkaar worden vergeleken. </w:t>
      </w:r>
      <w:r w:rsidR="0058154E" w:rsidRPr="005B6EEC">
        <w:rPr>
          <w:color w:val="000000" w:themeColor="text1"/>
          <w:szCs w:val="18"/>
          <w:lang w:val="nl-NL"/>
        </w:rPr>
        <w:t xml:space="preserve">Gesteund op </w:t>
      </w:r>
      <w:r w:rsidR="001B4545">
        <w:rPr>
          <w:color w:val="000000" w:themeColor="text1"/>
          <w:szCs w:val="18"/>
          <w:lang w:val="nl-NL"/>
        </w:rPr>
        <w:t>de</w:t>
      </w:r>
      <w:r w:rsidR="0058154E" w:rsidRPr="005B6EEC">
        <w:rPr>
          <w:color w:val="000000" w:themeColor="text1"/>
          <w:szCs w:val="18"/>
          <w:lang w:val="nl-NL"/>
        </w:rPr>
        <w:t xml:space="preserve"> resultaten </w:t>
      </w:r>
      <w:r w:rsidR="001B4545">
        <w:rPr>
          <w:color w:val="000000" w:themeColor="text1"/>
          <w:szCs w:val="18"/>
          <w:lang w:val="nl-NL"/>
        </w:rPr>
        <w:t xml:space="preserve">van dit rechtsvergelijkend onderzoek </w:t>
      </w:r>
      <w:r w:rsidR="0058154E" w:rsidRPr="005B6EEC">
        <w:rPr>
          <w:color w:val="000000" w:themeColor="text1"/>
          <w:szCs w:val="18"/>
          <w:lang w:val="nl-NL"/>
        </w:rPr>
        <w:t xml:space="preserve">kan </w:t>
      </w:r>
      <w:r w:rsidR="00F74732">
        <w:rPr>
          <w:color w:val="000000" w:themeColor="text1"/>
          <w:szCs w:val="18"/>
          <w:lang w:val="nl-NL"/>
        </w:rPr>
        <w:t>uiteindelijk</w:t>
      </w:r>
      <w:r w:rsidR="0058154E" w:rsidRPr="005B6EEC">
        <w:rPr>
          <w:color w:val="000000" w:themeColor="text1"/>
          <w:szCs w:val="18"/>
          <w:lang w:val="nl-NL"/>
        </w:rPr>
        <w:t xml:space="preserve"> tot een meer onderbouwde evaluatie van de hervorming van de Belgische strafbaarstellingen worden gekomen.</w:t>
      </w:r>
    </w:p>
    <w:p w14:paraId="74282934" w14:textId="77777777" w:rsidR="00B00F69" w:rsidRDefault="00B00F69" w:rsidP="00260F11">
      <w:pPr>
        <w:pStyle w:val="ListParagraph"/>
        <w:spacing w:line="360" w:lineRule="auto"/>
        <w:ind w:left="0"/>
        <w:rPr>
          <w:color w:val="000000" w:themeColor="text1"/>
          <w:szCs w:val="18"/>
          <w:lang w:val="nl-NL"/>
        </w:rPr>
      </w:pPr>
    </w:p>
    <w:p w14:paraId="153721AC" w14:textId="4C39C7E0" w:rsidR="00B35170" w:rsidRDefault="00710F34" w:rsidP="00260F11">
      <w:pPr>
        <w:pStyle w:val="ListParagraph"/>
        <w:numPr>
          <w:ilvl w:val="0"/>
          <w:numId w:val="1"/>
        </w:numPr>
        <w:spacing w:line="360" w:lineRule="auto"/>
        <w:ind w:left="0" w:hanging="709"/>
        <w:rPr>
          <w:color w:val="000000" w:themeColor="text1"/>
          <w:szCs w:val="18"/>
          <w:lang w:val="nl-NL"/>
        </w:rPr>
      </w:pPr>
      <w:r w:rsidRPr="00710F34">
        <w:rPr>
          <w:b/>
          <w:color w:val="000000" w:themeColor="text1"/>
          <w:szCs w:val="18"/>
          <w:lang w:val="nl-NL"/>
        </w:rPr>
        <w:t>Rechtsbronnen</w:t>
      </w:r>
      <w:r w:rsidR="00223353">
        <w:rPr>
          <w:b/>
          <w:color w:val="000000" w:themeColor="text1"/>
          <w:szCs w:val="18"/>
          <w:lang w:val="nl-NL"/>
        </w:rPr>
        <w:t xml:space="preserve">. </w:t>
      </w:r>
      <w:r w:rsidR="0002393D">
        <w:rPr>
          <w:color w:val="000000" w:themeColor="text1"/>
          <w:szCs w:val="18"/>
          <w:lang w:val="nl-NL"/>
        </w:rPr>
        <w:t xml:space="preserve">Het </w:t>
      </w:r>
      <w:r w:rsidR="00655A81">
        <w:rPr>
          <w:color w:val="000000" w:themeColor="text1"/>
          <w:szCs w:val="18"/>
          <w:lang w:val="nl-NL"/>
        </w:rPr>
        <w:t xml:space="preserve">Britse </w:t>
      </w:r>
      <w:r w:rsidR="0002393D">
        <w:rPr>
          <w:color w:val="000000" w:themeColor="text1"/>
          <w:szCs w:val="18"/>
          <w:lang w:val="nl-NL"/>
        </w:rPr>
        <w:t>rechtsstelsel is</w:t>
      </w:r>
      <w:r w:rsidR="001C1D9D">
        <w:rPr>
          <w:color w:val="000000" w:themeColor="text1"/>
          <w:szCs w:val="18"/>
          <w:lang w:val="nl-NL"/>
        </w:rPr>
        <w:t xml:space="preserve"> </w:t>
      </w:r>
      <w:r w:rsidR="00227F34" w:rsidRPr="000B4AB2">
        <w:rPr>
          <w:color w:val="000000" w:themeColor="text1"/>
          <w:szCs w:val="18"/>
          <w:lang w:val="nl-NL"/>
        </w:rPr>
        <w:t xml:space="preserve">een </w:t>
      </w:r>
      <w:r w:rsidR="00227F34" w:rsidRPr="000B4AB2">
        <w:rPr>
          <w:i/>
          <w:color w:val="000000" w:themeColor="text1"/>
          <w:szCs w:val="18"/>
          <w:lang w:val="nl-NL"/>
        </w:rPr>
        <w:t>common law</w:t>
      </w:r>
      <w:r w:rsidR="00227F34" w:rsidRPr="000B4AB2">
        <w:rPr>
          <w:color w:val="000000" w:themeColor="text1"/>
          <w:szCs w:val="18"/>
          <w:lang w:val="nl-NL"/>
        </w:rPr>
        <w:t xml:space="preserve"> stelsel</w:t>
      </w:r>
      <w:r w:rsidR="003D3ECD" w:rsidRPr="000B4AB2">
        <w:rPr>
          <w:color w:val="000000" w:themeColor="text1"/>
          <w:szCs w:val="18"/>
          <w:lang w:val="nl-NL"/>
        </w:rPr>
        <w:t xml:space="preserve">. </w:t>
      </w:r>
      <w:r w:rsidR="00B35170">
        <w:rPr>
          <w:color w:val="000000" w:themeColor="text1"/>
          <w:szCs w:val="18"/>
          <w:lang w:val="nl-NL"/>
        </w:rPr>
        <w:t>Dit impliceert dat gedragingen er</w:t>
      </w:r>
      <w:r w:rsidR="0040220E" w:rsidRPr="000B4AB2">
        <w:rPr>
          <w:color w:val="000000" w:themeColor="text1"/>
          <w:szCs w:val="18"/>
          <w:lang w:val="nl-NL"/>
        </w:rPr>
        <w:t xml:space="preserve"> </w:t>
      </w:r>
      <w:r w:rsidR="00B35170">
        <w:rPr>
          <w:color w:val="000000" w:themeColor="text1"/>
          <w:szCs w:val="18"/>
          <w:lang w:val="nl-NL"/>
        </w:rPr>
        <w:t xml:space="preserve">zowel </w:t>
      </w:r>
      <w:r w:rsidR="0040220E" w:rsidRPr="000B4AB2">
        <w:rPr>
          <w:color w:val="000000" w:themeColor="text1"/>
          <w:szCs w:val="18"/>
          <w:lang w:val="nl-NL"/>
        </w:rPr>
        <w:t>strafbaar</w:t>
      </w:r>
      <w:r w:rsidR="00B35170">
        <w:rPr>
          <w:color w:val="000000" w:themeColor="text1"/>
          <w:szCs w:val="18"/>
          <w:lang w:val="nl-NL"/>
        </w:rPr>
        <w:t xml:space="preserve"> kunnen</w:t>
      </w:r>
      <w:r w:rsidR="0040220E" w:rsidRPr="000B4AB2">
        <w:rPr>
          <w:color w:val="000000" w:themeColor="text1"/>
          <w:szCs w:val="18"/>
          <w:lang w:val="nl-NL"/>
        </w:rPr>
        <w:t xml:space="preserve"> zijn </w:t>
      </w:r>
      <w:r w:rsidR="001C1D9D">
        <w:rPr>
          <w:color w:val="000000" w:themeColor="text1"/>
          <w:szCs w:val="18"/>
          <w:lang w:val="nl-NL"/>
        </w:rPr>
        <w:t>o.g.v.</w:t>
      </w:r>
      <w:r w:rsidR="0040220E" w:rsidRPr="000B4AB2">
        <w:rPr>
          <w:color w:val="000000" w:themeColor="text1"/>
          <w:szCs w:val="18"/>
          <w:lang w:val="nl-NL"/>
        </w:rPr>
        <w:t xml:space="preserve"> een wettelijke bepaling</w:t>
      </w:r>
      <w:r w:rsidR="0002393D">
        <w:rPr>
          <w:rStyle w:val="FootnoteReference"/>
          <w:color w:val="000000" w:themeColor="text1"/>
          <w:szCs w:val="18"/>
          <w:lang w:val="nl-NL"/>
        </w:rPr>
        <w:footnoteReference w:id="382"/>
      </w:r>
      <w:r w:rsidR="0002393D">
        <w:rPr>
          <w:color w:val="000000" w:themeColor="text1"/>
          <w:szCs w:val="18"/>
          <w:lang w:val="nl-NL"/>
        </w:rPr>
        <w:t xml:space="preserve"> </w:t>
      </w:r>
      <w:r w:rsidR="00B35170">
        <w:rPr>
          <w:color w:val="000000" w:themeColor="text1"/>
          <w:szCs w:val="18"/>
          <w:lang w:val="nl-NL"/>
        </w:rPr>
        <w:t>als</w:t>
      </w:r>
      <w:r w:rsidR="0040220E" w:rsidRPr="000B4AB2">
        <w:rPr>
          <w:color w:val="000000" w:themeColor="text1"/>
          <w:szCs w:val="18"/>
          <w:lang w:val="nl-NL"/>
        </w:rPr>
        <w:t xml:space="preserve"> </w:t>
      </w:r>
      <w:r w:rsidR="001C1D9D">
        <w:rPr>
          <w:color w:val="000000" w:themeColor="text1"/>
          <w:szCs w:val="18"/>
          <w:lang w:val="nl-NL"/>
        </w:rPr>
        <w:t>o.g.v.</w:t>
      </w:r>
      <w:r w:rsidR="0040220E" w:rsidRPr="000B4AB2">
        <w:rPr>
          <w:color w:val="000000" w:themeColor="text1"/>
          <w:szCs w:val="18"/>
          <w:lang w:val="nl-NL"/>
        </w:rPr>
        <w:t xml:space="preserve"> </w:t>
      </w:r>
      <w:r w:rsidR="0040220E" w:rsidRPr="000B4AB2">
        <w:rPr>
          <w:i/>
          <w:color w:val="000000" w:themeColor="text1"/>
          <w:szCs w:val="18"/>
          <w:lang w:val="nl-NL"/>
        </w:rPr>
        <w:t>common law</w:t>
      </w:r>
      <w:r w:rsidR="0002393D">
        <w:rPr>
          <w:rStyle w:val="FootnoteReference"/>
          <w:i/>
          <w:color w:val="000000" w:themeColor="text1"/>
          <w:szCs w:val="18"/>
          <w:lang w:val="nl-NL"/>
        </w:rPr>
        <w:footnoteReference w:id="383"/>
      </w:r>
      <w:r w:rsidR="0040220E" w:rsidRPr="000B4AB2">
        <w:rPr>
          <w:color w:val="000000" w:themeColor="text1"/>
          <w:szCs w:val="18"/>
          <w:lang w:val="nl-NL"/>
        </w:rPr>
        <w:t>.</w:t>
      </w:r>
      <w:r w:rsidR="00B35170">
        <w:rPr>
          <w:color w:val="000000" w:themeColor="text1"/>
          <w:szCs w:val="18"/>
          <w:lang w:val="nl-NL"/>
        </w:rPr>
        <w:t xml:space="preserve"> Daarnaast betekent dit meer in het algemeen dat de rechtspraak een primaire rechtsbron uitmaak</w:t>
      </w:r>
      <w:r w:rsidR="0019545A">
        <w:rPr>
          <w:color w:val="000000" w:themeColor="text1"/>
          <w:szCs w:val="18"/>
          <w:lang w:val="nl-NL"/>
        </w:rPr>
        <w:t>t.</w:t>
      </w:r>
      <w:r w:rsidR="00F87B19" w:rsidRPr="000B4AB2">
        <w:rPr>
          <w:rStyle w:val="FootnoteReference"/>
          <w:color w:val="000000" w:themeColor="text1"/>
          <w:szCs w:val="18"/>
          <w:lang w:val="nl-NL"/>
        </w:rPr>
        <w:footnoteReference w:id="384"/>
      </w:r>
      <w:r w:rsidR="00B35170">
        <w:rPr>
          <w:color w:val="000000" w:themeColor="text1"/>
          <w:szCs w:val="18"/>
          <w:lang w:val="nl-NL"/>
        </w:rPr>
        <w:t xml:space="preserve"> </w:t>
      </w:r>
    </w:p>
    <w:p w14:paraId="7F137E3A" w14:textId="77777777" w:rsidR="00B35170" w:rsidRPr="00B35170" w:rsidRDefault="00B35170" w:rsidP="00260F11">
      <w:pPr>
        <w:pStyle w:val="ListParagraph"/>
        <w:spacing w:line="360" w:lineRule="auto"/>
        <w:rPr>
          <w:color w:val="000000" w:themeColor="text1"/>
          <w:szCs w:val="18"/>
          <w:lang w:val="nl-NL"/>
        </w:rPr>
      </w:pPr>
    </w:p>
    <w:p w14:paraId="5FFBC6F3" w14:textId="73037909" w:rsidR="00B63F7C" w:rsidRDefault="0019545A" w:rsidP="00260F11">
      <w:pPr>
        <w:pStyle w:val="ListParagraph"/>
        <w:spacing w:line="360" w:lineRule="auto"/>
        <w:ind w:left="0"/>
        <w:rPr>
          <w:color w:val="000000" w:themeColor="text1"/>
          <w:szCs w:val="18"/>
          <w:lang w:val="nl-NL"/>
        </w:rPr>
      </w:pPr>
      <w:r>
        <w:rPr>
          <w:color w:val="000000" w:themeColor="text1"/>
          <w:szCs w:val="18"/>
          <w:lang w:val="nl-NL"/>
        </w:rPr>
        <w:t xml:space="preserve">In het Brits recht zijn de zedenmisdrijven thans strafbaar gesteld </w:t>
      </w:r>
      <w:r w:rsidR="00223353">
        <w:rPr>
          <w:color w:val="000000" w:themeColor="text1"/>
          <w:szCs w:val="18"/>
          <w:lang w:val="nl-NL"/>
        </w:rPr>
        <w:t>in</w:t>
      </w:r>
      <w:r>
        <w:rPr>
          <w:color w:val="000000" w:themeColor="text1"/>
          <w:szCs w:val="18"/>
          <w:lang w:val="nl-NL"/>
        </w:rPr>
        <w:t xml:space="preserve"> de zogenaamde </w:t>
      </w:r>
      <w:r w:rsidR="0040220E" w:rsidRPr="0019545A">
        <w:rPr>
          <w:i/>
          <w:color w:val="000000" w:themeColor="text1"/>
          <w:szCs w:val="18"/>
          <w:lang w:val="nl-NL"/>
        </w:rPr>
        <w:t>Sexual Offences Act</w:t>
      </w:r>
      <w:r w:rsidR="0040220E" w:rsidRPr="0019545A">
        <w:rPr>
          <w:color w:val="000000" w:themeColor="text1"/>
          <w:szCs w:val="18"/>
          <w:lang w:val="nl-NL"/>
        </w:rPr>
        <w:t xml:space="preserve"> van 2003 (hierna: SOA). De vier eerste </w:t>
      </w:r>
      <w:r w:rsidR="0040220E" w:rsidRPr="0019545A">
        <w:rPr>
          <w:i/>
          <w:color w:val="000000" w:themeColor="text1"/>
          <w:szCs w:val="18"/>
          <w:lang w:val="nl-NL"/>
        </w:rPr>
        <w:t>sections</w:t>
      </w:r>
      <w:r w:rsidR="0040220E" w:rsidRPr="000B4AB2">
        <w:rPr>
          <w:rStyle w:val="FootnoteReference"/>
          <w:color w:val="000000" w:themeColor="text1"/>
          <w:szCs w:val="18"/>
          <w:lang w:val="nl-NL"/>
        </w:rPr>
        <w:footnoteReference w:id="385"/>
      </w:r>
      <w:r w:rsidR="0040220E" w:rsidRPr="0019545A">
        <w:rPr>
          <w:color w:val="000000" w:themeColor="text1"/>
          <w:szCs w:val="18"/>
          <w:lang w:val="nl-NL"/>
        </w:rPr>
        <w:t xml:space="preserve"> </w:t>
      </w:r>
      <w:r w:rsidR="001C1D9D" w:rsidRPr="0019545A">
        <w:rPr>
          <w:color w:val="000000" w:themeColor="text1"/>
          <w:szCs w:val="18"/>
          <w:lang w:val="nl-NL"/>
        </w:rPr>
        <w:t>hiervan</w:t>
      </w:r>
      <w:r w:rsidR="0040220E" w:rsidRPr="0019545A">
        <w:rPr>
          <w:color w:val="000000" w:themeColor="text1"/>
          <w:szCs w:val="18"/>
          <w:lang w:val="nl-NL"/>
        </w:rPr>
        <w:t xml:space="preserve"> bevatten de strafbaarstellingen die in het kader van deze </w:t>
      </w:r>
      <w:r w:rsidR="001C1D9D" w:rsidRPr="0019545A">
        <w:rPr>
          <w:color w:val="000000" w:themeColor="text1"/>
          <w:szCs w:val="18"/>
          <w:lang w:val="nl-NL"/>
        </w:rPr>
        <w:t>masterscriptie</w:t>
      </w:r>
      <w:r w:rsidR="0040220E" w:rsidRPr="0019545A">
        <w:rPr>
          <w:color w:val="000000" w:themeColor="text1"/>
          <w:szCs w:val="18"/>
          <w:lang w:val="nl-NL"/>
        </w:rPr>
        <w:t xml:space="preserve"> van belang zijn. Het gaat </w:t>
      </w:r>
      <w:r w:rsidR="00223353">
        <w:rPr>
          <w:color w:val="000000" w:themeColor="text1"/>
          <w:szCs w:val="18"/>
          <w:lang w:val="nl-NL"/>
        </w:rPr>
        <w:t xml:space="preserve">met name </w:t>
      </w:r>
      <w:r w:rsidR="0040220E" w:rsidRPr="0019545A">
        <w:rPr>
          <w:color w:val="000000" w:themeColor="text1"/>
          <w:szCs w:val="18"/>
          <w:lang w:val="nl-NL"/>
        </w:rPr>
        <w:t xml:space="preserve">om de misdrijven </w:t>
      </w:r>
      <w:r w:rsidR="0040220E" w:rsidRPr="0019545A">
        <w:rPr>
          <w:i/>
          <w:color w:val="000000" w:themeColor="text1"/>
          <w:szCs w:val="18"/>
          <w:lang w:val="nl-NL"/>
        </w:rPr>
        <w:t>rape</w:t>
      </w:r>
      <w:r w:rsidR="0040220E" w:rsidRPr="0019545A">
        <w:rPr>
          <w:color w:val="000000" w:themeColor="text1"/>
          <w:szCs w:val="18"/>
          <w:lang w:val="nl-NL"/>
        </w:rPr>
        <w:t xml:space="preserve">, </w:t>
      </w:r>
      <w:r w:rsidR="0040220E" w:rsidRPr="0019545A">
        <w:rPr>
          <w:i/>
          <w:color w:val="000000" w:themeColor="text1"/>
          <w:szCs w:val="18"/>
          <w:lang w:val="nl-NL"/>
        </w:rPr>
        <w:t>assault by penetration, sexual assault</w:t>
      </w:r>
      <w:r w:rsidR="0040220E" w:rsidRPr="0019545A">
        <w:rPr>
          <w:color w:val="000000" w:themeColor="text1"/>
          <w:szCs w:val="18"/>
          <w:lang w:val="nl-NL"/>
        </w:rPr>
        <w:t xml:space="preserve"> en </w:t>
      </w:r>
      <w:r w:rsidR="0040220E" w:rsidRPr="0019545A">
        <w:rPr>
          <w:i/>
          <w:color w:val="000000" w:themeColor="text1"/>
          <w:szCs w:val="18"/>
          <w:lang w:val="nl-NL"/>
        </w:rPr>
        <w:t>causing a person to engage in sexual activity</w:t>
      </w:r>
      <w:r w:rsidR="005F1A3E">
        <w:rPr>
          <w:i/>
          <w:color w:val="000000" w:themeColor="text1"/>
          <w:szCs w:val="18"/>
          <w:lang w:val="nl-NL"/>
        </w:rPr>
        <w:t xml:space="preserve"> </w:t>
      </w:r>
      <w:r w:rsidR="005F1A3E">
        <w:rPr>
          <w:color w:val="000000" w:themeColor="text1"/>
          <w:szCs w:val="18"/>
          <w:lang w:val="nl-NL"/>
        </w:rPr>
        <w:t>(hierna: CESA)</w:t>
      </w:r>
      <w:r w:rsidR="0040220E" w:rsidRPr="0019545A">
        <w:rPr>
          <w:color w:val="000000" w:themeColor="text1"/>
          <w:szCs w:val="18"/>
          <w:lang w:val="nl-NL"/>
        </w:rPr>
        <w:t>.</w:t>
      </w:r>
    </w:p>
    <w:p w14:paraId="590C48BE" w14:textId="77777777" w:rsidR="00B63F7C" w:rsidRPr="00B63F7C" w:rsidRDefault="00B63F7C" w:rsidP="00260F11">
      <w:pPr>
        <w:pStyle w:val="ListParagraph"/>
        <w:spacing w:line="360" w:lineRule="auto"/>
        <w:rPr>
          <w:color w:val="000000" w:themeColor="text1"/>
          <w:szCs w:val="18"/>
          <w:lang w:val="nl-NL"/>
        </w:rPr>
      </w:pPr>
    </w:p>
    <w:p w14:paraId="3A62C0F2" w14:textId="43F10509" w:rsidR="005D5FA7" w:rsidRDefault="00223353"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Structuur. </w:t>
      </w:r>
      <w:r w:rsidR="00C4678A" w:rsidRPr="00B63F7C">
        <w:rPr>
          <w:color w:val="000000" w:themeColor="text1"/>
          <w:szCs w:val="18"/>
          <w:lang w:val="nl-NL"/>
        </w:rPr>
        <w:t>In wat volgt</w:t>
      </w:r>
      <w:r w:rsidR="00DC7A03" w:rsidRPr="00B63F7C">
        <w:rPr>
          <w:color w:val="000000" w:themeColor="text1"/>
          <w:szCs w:val="18"/>
          <w:lang w:val="nl-NL"/>
        </w:rPr>
        <w:t xml:space="preserve"> </w:t>
      </w:r>
      <w:r w:rsidR="00C4678A" w:rsidRPr="00B63F7C">
        <w:rPr>
          <w:color w:val="000000" w:themeColor="text1"/>
          <w:szCs w:val="18"/>
          <w:lang w:val="nl-NL"/>
        </w:rPr>
        <w:t>zullen eerst</w:t>
      </w:r>
      <w:r w:rsidR="00DD68C5" w:rsidRPr="000B4AB2">
        <w:rPr>
          <w:rStyle w:val="FootnoteReference"/>
          <w:color w:val="000000" w:themeColor="text1"/>
          <w:szCs w:val="18"/>
          <w:lang w:val="nl-NL"/>
        </w:rPr>
        <w:footnoteReference w:id="386"/>
      </w:r>
      <w:r w:rsidR="00C4678A" w:rsidRPr="00B63F7C">
        <w:rPr>
          <w:color w:val="000000" w:themeColor="text1"/>
          <w:szCs w:val="18"/>
          <w:lang w:val="nl-NL"/>
        </w:rPr>
        <w:t xml:space="preserve"> de misdrijven worden </w:t>
      </w:r>
      <w:r w:rsidR="00456C5B" w:rsidRPr="00B63F7C">
        <w:rPr>
          <w:color w:val="000000" w:themeColor="text1"/>
          <w:szCs w:val="18"/>
          <w:lang w:val="nl-NL"/>
        </w:rPr>
        <w:t>uiteengezet</w:t>
      </w:r>
      <w:r w:rsidR="00C4678A" w:rsidRPr="00B63F7C">
        <w:rPr>
          <w:color w:val="000000" w:themeColor="text1"/>
          <w:szCs w:val="18"/>
          <w:lang w:val="nl-NL"/>
        </w:rPr>
        <w:t xml:space="preserve"> die </w:t>
      </w:r>
      <w:r w:rsidR="00A754E1" w:rsidRPr="00B63F7C">
        <w:rPr>
          <w:color w:val="000000" w:themeColor="text1"/>
          <w:szCs w:val="18"/>
          <w:lang w:val="nl-NL"/>
        </w:rPr>
        <w:t>(</w:t>
      </w:r>
      <w:r w:rsidR="00C4678A" w:rsidRPr="00B63F7C">
        <w:rPr>
          <w:color w:val="000000" w:themeColor="text1"/>
          <w:szCs w:val="18"/>
          <w:lang w:val="nl-NL"/>
        </w:rPr>
        <w:t>het meest</w:t>
      </w:r>
      <w:r w:rsidR="00A754E1" w:rsidRPr="00B63F7C">
        <w:rPr>
          <w:color w:val="000000" w:themeColor="text1"/>
          <w:szCs w:val="18"/>
          <w:lang w:val="nl-NL"/>
        </w:rPr>
        <w:t>)</w:t>
      </w:r>
      <w:r w:rsidR="00C4678A" w:rsidRPr="00B63F7C">
        <w:rPr>
          <w:color w:val="000000" w:themeColor="text1"/>
          <w:szCs w:val="18"/>
          <w:lang w:val="nl-NL"/>
        </w:rPr>
        <w:t xml:space="preserve"> </w:t>
      </w:r>
      <w:r w:rsidR="001347CE" w:rsidRPr="00B63F7C">
        <w:rPr>
          <w:color w:val="000000" w:themeColor="text1"/>
          <w:szCs w:val="18"/>
          <w:lang w:val="nl-NL"/>
        </w:rPr>
        <w:t>overeenstemmen</w:t>
      </w:r>
      <w:r w:rsidR="00C4678A" w:rsidRPr="00B63F7C">
        <w:rPr>
          <w:color w:val="000000" w:themeColor="text1"/>
          <w:szCs w:val="18"/>
          <w:lang w:val="nl-NL"/>
        </w:rPr>
        <w:t xml:space="preserve"> met het misdrijf aantasting van de seksuele integriteit</w:t>
      </w:r>
      <w:r w:rsidR="006F74E1" w:rsidRPr="00B63F7C">
        <w:rPr>
          <w:color w:val="000000" w:themeColor="text1"/>
          <w:szCs w:val="18"/>
          <w:lang w:val="nl-NL"/>
        </w:rPr>
        <w:t xml:space="preserve"> naar Belgisch recht</w:t>
      </w:r>
      <w:r w:rsidR="00C4678A" w:rsidRPr="00B63F7C">
        <w:rPr>
          <w:color w:val="000000" w:themeColor="text1"/>
          <w:szCs w:val="18"/>
          <w:lang w:val="nl-NL"/>
        </w:rPr>
        <w:t xml:space="preserve">. </w:t>
      </w:r>
      <w:r w:rsidR="00405986">
        <w:rPr>
          <w:color w:val="000000" w:themeColor="text1"/>
          <w:szCs w:val="18"/>
          <w:lang w:val="nl-NL"/>
        </w:rPr>
        <w:t>Vervolgens zal hetzelfde gebeuren voor</w:t>
      </w:r>
      <w:r w:rsidR="00A465C6" w:rsidRPr="00B63F7C">
        <w:rPr>
          <w:color w:val="000000" w:themeColor="text1"/>
          <w:szCs w:val="18"/>
          <w:lang w:val="nl-NL"/>
        </w:rPr>
        <w:t xml:space="preserve"> de misdrijven naar Brits recht die corresponderen met het misdrijf verkrachting naar Belgisch recht.</w:t>
      </w:r>
      <w:r>
        <w:rPr>
          <w:color w:val="000000" w:themeColor="text1"/>
          <w:szCs w:val="18"/>
          <w:lang w:val="nl-NL"/>
        </w:rPr>
        <w:t xml:space="preserve"> </w:t>
      </w:r>
    </w:p>
    <w:p w14:paraId="4205EFE9" w14:textId="77777777" w:rsidR="005D5FA7" w:rsidRDefault="005D5FA7" w:rsidP="00260F11">
      <w:pPr>
        <w:pStyle w:val="ListParagraph"/>
        <w:spacing w:line="360" w:lineRule="auto"/>
        <w:ind w:left="0"/>
        <w:rPr>
          <w:color w:val="000000" w:themeColor="text1"/>
          <w:szCs w:val="18"/>
          <w:lang w:val="nl-NL"/>
        </w:rPr>
      </w:pPr>
    </w:p>
    <w:p w14:paraId="61239865" w14:textId="22539499" w:rsidR="00354F63" w:rsidRDefault="00223353" w:rsidP="00260F11">
      <w:pPr>
        <w:pStyle w:val="ListParagraph"/>
        <w:spacing w:line="360" w:lineRule="auto"/>
        <w:ind w:left="0"/>
        <w:rPr>
          <w:color w:val="000000" w:themeColor="text1"/>
          <w:szCs w:val="18"/>
          <w:lang w:val="nl-NL"/>
        </w:rPr>
      </w:pPr>
      <w:r w:rsidRPr="007B1CC4">
        <w:rPr>
          <w:color w:val="000000" w:themeColor="text1"/>
          <w:szCs w:val="18"/>
          <w:lang w:val="nl-NL"/>
        </w:rPr>
        <w:t xml:space="preserve">A.d.h.v. het hoger geïdentificeerde </w:t>
      </w:r>
      <w:r w:rsidR="00F511E1">
        <w:rPr>
          <w:color w:val="000000" w:themeColor="text1"/>
          <w:szCs w:val="18"/>
          <w:lang w:val="nl-NL"/>
        </w:rPr>
        <w:t>onderscheidend criterium</w:t>
      </w:r>
      <w:r w:rsidRPr="007B1CC4">
        <w:rPr>
          <w:color w:val="000000" w:themeColor="text1"/>
          <w:szCs w:val="18"/>
          <w:lang w:val="nl-NL"/>
        </w:rPr>
        <w:t xml:space="preserve"> tussen de twee Belgische strafbaarstellingen,</w:t>
      </w:r>
      <w:r w:rsidR="006D0D2A">
        <w:rPr>
          <w:rStyle w:val="FootnoteReference"/>
          <w:color w:val="000000" w:themeColor="text1"/>
          <w:szCs w:val="18"/>
          <w:lang w:val="nl-NL"/>
        </w:rPr>
        <w:footnoteReference w:id="387"/>
      </w:r>
      <w:r w:rsidRPr="007B1CC4">
        <w:rPr>
          <w:color w:val="000000" w:themeColor="text1"/>
          <w:szCs w:val="18"/>
          <w:lang w:val="nl-NL"/>
        </w:rPr>
        <w:t xml:space="preserve"> kan worden uitgemaakt welk van de Britse misdrijven eerder corresponderen met aantasting van de seksuele integriteit </w:t>
      </w:r>
      <w:r w:rsidR="00F74732">
        <w:rPr>
          <w:color w:val="000000" w:themeColor="text1"/>
          <w:szCs w:val="18"/>
          <w:lang w:val="nl-NL"/>
        </w:rPr>
        <w:t>en welke met</w:t>
      </w:r>
      <w:r w:rsidRPr="007B1CC4">
        <w:rPr>
          <w:color w:val="000000" w:themeColor="text1"/>
          <w:szCs w:val="18"/>
          <w:lang w:val="nl-NL"/>
        </w:rPr>
        <w:t xml:space="preserve"> verkrachting.</w:t>
      </w:r>
    </w:p>
    <w:p w14:paraId="7B787739" w14:textId="77777777" w:rsidR="006C04A0" w:rsidRPr="007B1CC4" w:rsidRDefault="006C04A0" w:rsidP="00260F11">
      <w:pPr>
        <w:pStyle w:val="ListParagraph"/>
        <w:spacing w:line="360" w:lineRule="auto"/>
        <w:ind w:left="0"/>
        <w:rPr>
          <w:color w:val="000000" w:themeColor="text1"/>
          <w:szCs w:val="18"/>
          <w:lang w:val="nl-NL"/>
        </w:rPr>
      </w:pPr>
    </w:p>
    <w:p w14:paraId="38E54C72" w14:textId="553BC73F" w:rsidR="00FC5496" w:rsidRPr="000B4AB2" w:rsidRDefault="008C220A" w:rsidP="00260F11">
      <w:pPr>
        <w:pStyle w:val="Heading3"/>
        <w:spacing w:line="360" w:lineRule="auto"/>
        <w:rPr>
          <w:szCs w:val="18"/>
          <w:lang w:val="nl-NL"/>
        </w:rPr>
      </w:pPr>
      <w:bookmarkStart w:id="46" w:name="_Toc135041076"/>
      <w:r w:rsidRPr="000B4AB2">
        <w:rPr>
          <w:szCs w:val="18"/>
          <w:lang w:val="nl-NL"/>
        </w:rPr>
        <w:lastRenderedPageBreak/>
        <w:t>Aantasting van de seksuele integriteit naar Brits recht</w:t>
      </w:r>
      <w:bookmarkEnd w:id="46"/>
    </w:p>
    <w:p w14:paraId="4FB28901" w14:textId="6066A9B2" w:rsidR="00A17622" w:rsidRPr="000B4AB2" w:rsidRDefault="003148BF" w:rsidP="00260F11">
      <w:pPr>
        <w:pStyle w:val="Heading4"/>
        <w:spacing w:line="360" w:lineRule="auto"/>
        <w:rPr>
          <w:szCs w:val="18"/>
          <w:lang w:val="nl-NL"/>
        </w:rPr>
      </w:pPr>
      <w:bookmarkStart w:id="47" w:name="_Toc135041077"/>
      <w:r w:rsidRPr="000B4AB2">
        <w:rPr>
          <w:i/>
          <w:szCs w:val="18"/>
          <w:lang w:val="nl-NL"/>
        </w:rPr>
        <w:t>Sexual assault</w:t>
      </w:r>
      <w:bookmarkEnd w:id="47"/>
    </w:p>
    <w:p w14:paraId="5D88FAA3" w14:textId="77777777" w:rsidR="003148BF" w:rsidRPr="000B4AB2" w:rsidRDefault="003148BF" w:rsidP="00260F11">
      <w:pPr>
        <w:spacing w:line="360" w:lineRule="auto"/>
        <w:rPr>
          <w:szCs w:val="18"/>
          <w:lang w:val="nl-NL"/>
        </w:rPr>
      </w:pPr>
    </w:p>
    <w:p w14:paraId="351115D3" w14:textId="47A7F971" w:rsidR="00394EA7" w:rsidRPr="00A53DEE" w:rsidRDefault="00757112" w:rsidP="00260F11">
      <w:pPr>
        <w:pStyle w:val="ListParagraph"/>
        <w:numPr>
          <w:ilvl w:val="0"/>
          <w:numId w:val="1"/>
        </w:numPr>
        <w:spacing w:line="360" w:lineRule="auto"/>
        <w:ind w:left="0" w:hanging="709"/>
        <w:rPr>
          <w:color w:val="000000" w:themeColor="text1"/>
          <w:szCs w:val="18"/>
          <w:lang w:val="nl-NL"/>
        </w:rPr>
      </w:pPr>
      <w:r w:rsidRPr="00862615">
        <w:rPr>
          <w:i/>
          <w:color w:val="000000" w:themeColor="text1"/>
          <w:szCs w:val="18"/>
          <w:lang w:val="nl-NL"/>
        </w:rPr>
        <w:t>Section</w:t>
      </w:r>
      <w:r w:rsidRPr="000B4AB2">
        <w:rPr>
          <w:color w:val="000000" w:themeColor="text1"/>
          <w:szCs w:val="18"/>
          <w:lang w:val="nl-NL"/>
        </w:rPr>
        <w:t xml:space="preserve"> 3 van de SOA stelt </w:t>
      </w:r>
      <w:r w:rsidRPr="000B4AB2">
        <w:rPr>
          <w:i/>
          <w:color w:val="000000" w:themeColor="text1"/>
          <w:szCs w:val="18"/>
          <w:lang w:val="nl-NL"/>
        </w:rPr>
        <w:t>s</w:t>
      </w:r>
      <w:r w:rsidR="00F27AE0" w:rsidRPr="000B4AB2">
        <w:rPr>
          <w:i/>
          <w:color w:val="000000" w:themeColor="text1"/>
          <w:szCs w:val="18"/>
          <w:lang w:val="nl-NL"/>
        </w:rPr>
        <w:t>exual assault</w:t>
      </w:r>
      <w:r w:rsidRPr="000B4AB2">
        <w:rPr>
          <w:color w:val="000000" w:themeColor="text1"/>
          <w:szCs w:val="18"/>
          <w:lang w:val="nl-NL"/>
        </w:rPr>
        <w:t xml:space="preserve"> strafbaa</w:t>
      </w:r>
      <w:r w:rsidR="000E0E45" w:rsidRPr="000B4AB2">
        <w:rPr>
          <w:color w:val="000000" w:themeColor="text1"/>
          <w:szCs w:val="18"/>
          <w:lang w:val="nl-NL"/>
        </w:rPr>
        <w:t>r</w:t>
      </w:r>
      <w:r w:rsidR="00A53DEE">
        <w:rPr>
          <w:color w:val="000000" w:themeColor="text1"/>
          <w:szCs w:val="18"/>
          <w:lang w:val="nl-NL"/>
        </w:rPr>
        <w:t>.</w:t>
      </w:r>
      <w:r w:rsidR="00A53DEE" w:rsidRPr="00126F47">
        <w:rPr>
          <w:rStyle w:val="FootnoteReference"/>
          <w:color w:val="000000" w:themeColor="text1"/>
          <w:szCs w:val="18"/>
          <w:lang w:val="nl-NL"/>
        </w:rPr>
        <w:footnoteReference w:id="388"/>
      </w:r>
      <w:r w:rsidR="00A53DEE">
        <w:rPr>
          <w:color w:val="000000" w:themeColor="text1"/>
          <w:szCs w:val="18"/>
          <w:lang w:val="nl-NL"/>
        </w:rPr>
        <w:t xml:space="preserve"> Vooraleer dieper in te gaan op de</w:t>
      </w:r>
      <w:r w:rsidR="00A53DEE" w:rsidRPr="00A53DEE">
        <w:rPr>
          <w:color w:val="000000" w:themeColor="text1"/>
          <w:szCs w:val="18"/>
          <w:lang w:val="nl-NL"/>
        </w:rPr>
        <w:t xml:space="preserve"> constitutieve bestanddelen van dit misdrijf</w:t>
      </w:r>
      <w:r w:rsidR="00A53DEE">
        <w:rPr>
          <w:color w:val="000000" w:themeColor="text1"/>
          <w:szCs w:val="18"/>
          <w:lang w:val="nl-NL"/>
        </w:rPr>
        <w:t>,</w:t>
      </w:r>
      <w:r w:rsidR="00A53DEE" w:rsidRPr="00A53DEE">
        <w:rPr>
          <w:color w:val="000000" w:themeColor="text1"/>
          <w:szCs w:val="18"/>
          <w:lang w:val="nl-NL"/>
        </w:rPr>
        <w:t xml:space="preserve"> kunnen </w:t>
      </w:r>
      <w:r w:rsidR="00A53DEE">
        <w:rPr>
          <w:color w:val="000000" w:themeColor="text1"/>
          <w:szCs w:val="18"/>
          <w:lang w:val="nl-NL"/>
        </w:rPr>
        <w:t xml:space="preserve">deze </w:t>
      </w:r>
      <w:r w:rsidR="00A53DEE" w:rsidRPr="00A53DEE">
        <w:rPr>
          <w:color w:val="000000" w:themeColor="text1"/>
          <w:szCs w:val="18"/>
          <w:lang w:val="nl-NL"/>
        </w:rPr>
        <w:t>o.g.v. voornoemd artikel</w:t>
      </w:r>
      <w:r w:rsidR="00BD5108" w:rsidRPr="00A53DEE">
        <w:rPr>
          <w:color w:val="000000" w:themeColor="text1"/>
          <w:szCs w:val="18"/>
          <w:lang w:val="nl-NL"/>
        </w:rPr>
        <w:t xml:space="preserve"> schematisch </w:t>
      </w:r>
      <w:r w:rsidR="00A53DEE">
        <w:rPr>
          <w:color w:val="000000" w:themeColor="text1"/>
          <w:szCs w:val="18"/>
          <w:lang w:val="nl-NL"/>
        </w:rPr>
        <w:t xml:space="preserve">reeds </w:t>
      </w:r>
      <w:r w:rsidR="00394EA7" w:rsidRPr="00A53DEE">
        <w:rPr>
          <w:color w:val="000000" w:themeColor="text1"/>
          <w:szCs w:val="18"/>
          <w:lang w:val="nl-NL"/>
        </w:rPr>
        <w:t>als volgt worden weergegeven</w:t>
      </w:r>
      <w:r w:rsidR="003D6902" w:rsidRPr="00A53DEE">
        <w:rPr>
          <w:color w:val="000000" w:themeColor="text1"/>
          <w:szCs w:val="18"/>
          <w:lang w:val="nl-NL"/>
        </w:rPr>
        <w:t>.</w:t>
      </w:r>
    </w:p>
    <w:p w14:paraId="1B60F8E0" w14:textId="77777777" w:rsidR="00394EA7" w:rsidRPr="000B4AB2" w:rsidRDefault="00394EA7"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BB6CBD" w:rsidRPr="000B4AB2" w14:paraId="398D058B" w14:textId="77777777" w:rsidTr="009F57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48CB47C4" w14:textId="05740D81" w:rsidR="00BB6CBD" w:rsidRPr="000B4AB2" w:rsidRDefault="00BB6CBD"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Constitutieve bestanddelen </w:t>
            </w:r>
            <w:r w:rsidRPr="000B4AB2">
              <w:rPr>
                <w:i/>
                <w:color w:val="000000" w:themeColor="text1"/>
                <w:szCs w:val="18"/>
                <w:lang w:val="nl-NL"/>
              </w:rPr>
              <w:t>sexual assault</w:t>
            </w:r>
            <w:r w:rsidRPr="000B4AB2">
              <w:rPr>
                <w:color w:val="000000" w:themeColor="text1"/>
                <w:szCs w:val="18"/>
                <w:lang w:val="nl-NL"/>
              </w:rPr>
              <w:t xml:space="preserve"> </w:t>
            </w:r>
          </w:p>
        </w:tc>
      </w:tr>
      <w:tr w:rsidR="00BB6CBD" w:rsidRPr="000B4AB2" w14:paraId="3C1E2BF2" w14:textId="77777777" w:rsidTr="009F5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721A6914" w14:textId="77777777" w:rsidR="00BB6CBD" w:rsidRPr="000B4AB2" w:rsidRDefault="00BB6CBD"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7A3E1E52" w14:textId="77777777" w:rsidR="00BB6CBD" w:rsidRPr="000B4AB2" w:rsidRDefault="00BB6CBD"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BB6CBD" w:rsidRPr="000B4AB2" w14:paraId="6BFFC58C" w14:textId="77777777" w:rsidTr="009F5738">
        <w:tc>
          <w:tcPr>
            <w:cnfStyle w:val="001000000000" w:firstRow="0" w:lastRow="0" w:firstColumn="1" w:lastColumn="0" w:oddVBand="0" w:evenVBand="0" w:oddHBand="0" w:evenHBand="0" w:firstRowFirstColumn="0" w:firstRowLastColumn="0" w:lastRowFirstColumn="0" w:lastRowLastColumn="0"/>
            <w:tcW w:w="4531" w:type="dxa"/>
          </w:tcPr>
          <w:p w14:paraId="67CA75C9" w14:textId="5EE4ED09" w:rsidR="00BB6CBD" w:rsidRPr="000B4AB2" w:rsidRDefault="00BB6CBD"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Dader raakt slachtoffer aan</w:t>
            </w:r>
          </w:p>
          <w:p w14:paraId="0F666164" w14:textId="68A3B133" w:rsidR="00BB6CBD" w:rsidRPr="000B4AB2" w:rsidRDefault="00BB6CBD"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De aanraking is seksueel</w:t>
            </w:r>
          </w:p>
          <w:p w14:paraId="0E3FA594" w14:textId="77777777" w:rsidR="00BB6CBD" w:rsidRPr="000B4AB2" w:rsidRDefault="00BB6CBD"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Zonder geldige toestemming van het slachtoffer</w:t>
            </w:r>
          </w:p>
        </w:tc>
        <w:tc>
          <w:tcPr>
            <w:tcW w:w="4531" w:type="dxa"/>
          </w:tcPr>
          <w:p w14:paraId="26A3CC5D" w14:textId="77777777" w:rsidR="00BB6CBD"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doet dit opzettelijk</w:t>
            </w:r>
          </w:p>
          <w:p w14:paraId="3ABFD29E" w14:textId="42CAA794" w:rsidR="000A52CB"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gelooft niet redelijkerwijze dat het slachtoffer toestemt</w:t>
            </w:r>
          </w:p>
        </w:tc>
      </w:tr>
    </w:tbl>
    <w:p w14:paraId="2A4E2AC6" w14:textId="77777777" w:rsidR="00BB6CBD" w:rsidRPr="000B4AB2" w:rsidRDefault="00BB6CBD" w:rsidP="00260F11">
      <w:pPr>
        <w:pStyle w:val="ListParagraph"/>
        <w:spacing w:line="360" w:lineRule="auto"/>
        <w:ind w:left="0"/>
        <w:rPr>
          <w:color w:val="000000" w:themeColor="text1"/>
          <w:szCs w:val="18"/>
          <w:lang w:val="nl-NL"/>
        </w:rPr>
      </w:pPr>
    </w:p>
    <w:p w14:paraId="6B9D20B3" w14:textId="77777777" w:rsidR="00C97B53" w:rsidRPr="000B4AB2" w:rsidRDefault="00C97B53" w:rsidP="00260F11">
      <w:pPr>
        <w:pStyle w:val="Heading5"/>
        <w:spacing w:line="360" w:lineRule="auto"/>
        <w:rPr>
          <w:szCs w:val="18"/>
          <w:lang w:val="nl-NL"/>
        </w:rPr>
      </w:pPr>
      <w:bookmarkStart w:id="48" w:name="_Toc135041078"/>
      <w:r w:rsidRPr="000B4AB2">
        <w:rPr>
          <w:szCs w:val="18"/>
          <w:lang w:val="nl-NL"/>
        </w:rPr>
        <w:t>Materiële bestanddelen</w:t>
      </w:r>
      <w:bookmarkEnd w:id="48"/>
    </w:p>
    <w:p w14:paraId="150FF5F4" w14:textId="32832131" w:rsidR="00C97B53" w:rsidRPr="000B4AB2" w:rsidRDefault="00C97B53" w:rsidP="00260F11">
      <w:pPr>
        <w:spacing w:line="360" w:lineRule="auto"/>
      </w:pPr>
      <w:r w:rsidRPr="000B4AB2">
        <w:t xml:space="preserve"> </w:t>
      </w:r>
    </w:p>
    <w:p w14:paraId="51EE42EB" w14:textId="01D51653" w:rsidR="003F1D6C" w:rsidRDefault="00A14893"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Aanraking</w:t>
      </w:r>
      <w:r w:rsidR="00217478" w:rsidRPr="000B4AB2">
        <w:rPr>
          <w:color w:val="000000" w:themeColor="text1"/>
          <w:szCs w:val="18"/>
          <w:lang w:val="nl-NL"/>
        </w:rPr>
        <w:t>.</w:t>
      </w:r>
      <w:r w:rsidR="006E1E64" w:rsidRPr="000B4AB2">
        <w:rPr>
          <w:color w:val="000000" w:themeColor="text1"/>
          <w:szCs w:val="18"/>
          <w:lang w:val="nl-NL"/>
        </w:rPr>
        <w:t xml:space="preserve"> Uit </w:t>
      </w:r>
      <w:r w:rsidR="002D6012" w:rsidRPr="000B4AB2">
        <w:rPr>
          <w:color w:val="000000" w:themeColor="text1"/>
          <w:szCs w:val="18"/>
          <w:lang w:val="nl-NL"/>
        </w:rPr>
        <w:t>de strafbaarstelling</w:t>
      </w:r>
      <w:r w:rsidR="006E1E64" w:rsidRPr="000B4AB2">
        <w:rPr>
          <w:color w:val="000000" w:themeColor="text1"/>
          <w:szCs w:val="18"/>
          <w:lang w:val="nl-NL"/>
        </w:rPr>
        <w:t xml:space="preserve"> blijkt vooreerst </w:t>
      </w:r>
      <w:r w:rsidR="003B3A46">
        <w:rPr>
          <w:color w:val="000000" w:themeColor="text1"/>
          <w:szCs w:val="18"/>
          <w:lang w:val="nl-NL"/>
        </w:rPr>
        <w:t xml:space="preserve">dat </w:t>
      </w:r>
      <w:r w:rsidR="000500D5">
        <w:rPr>
          <w:color w:val="000000" w:themeColor="text1"/>
          <w:szCs w:val="18"/>
          <w:lang w:val="nl-NL"/>
        </w:rPr>
        <w:t>l</w:t>
      </w:r>
      <w:r w:rsidR="002D6012" w:rsidRPr="000B4AB2">
        <w:rPr>
          <w:color w:val="000000" w:themeColor="text1"/>
          <w:szCs w:val="18"/>
          <w:lang w:val="nl-NL"/>
        </w:rPr>
        <w:t>ichamelijk contact tussen dader en slachtoffer een noodzakelijke voorwaarde</w:t>
      </w:r>
      <w:r w:rsidR="000500D5">
        <w:rPr>
          <w:color w:val="000000" w:themeColor="text1"/>
          <w:szCs w:val="18"/>
          <w:lang w:val="nl-NL"/>
        </w:rPr>
        <w:t xml:space="preserve"> vormt</w:t>
      </w:r>
      <w:r w:rsidR="00343A29" w:rsidRPr="000B4AB2">
        <w:rPr>
          <w:color w:val="000000" w:themeColor="text1"/>
          <w:szCs w:val="18"/>
          <w:lang w:val="nl-NL"/>
        </w:rPr>
        <w:t xml:space="preserve"> voor dit misdrijf</w:t>
      </w:r>
      <w:r w:rsidR="006E1E64" w:rsidRPr="000B4AB2">
        <w:rPr>
          <w:color w:val="000000" w:themeColor="text1"/>
          <w:szCs w:val="18"/>
          <w:lang w:val="nl-NL"/>
        </w:rPr>
        <w:t>.</w:t>
      </w:r>
      <w:r w:rsidR="000500D5">
        <w:rPr>
          <w:color w:val="000000" w:themeColor="text1"/>
          <w:szCs w:val="18"/>
          <w:lang w:val="nl-NL"/>
        </w:rPr>
        <w:t xml:space="preserve"> De dader moet het slachtoffer immers aanraken.</w:t>
      </w:r>
      <w:r w:rsidR="0072395D" w:rsidRPr="000B4AB2">
        <w:rPr>
          <w:rStyle w:val="FootnoteReference"/>
          <w:color w:val="000000" w:themeColor="text1"/>
          <w:szCs w:val="18"/>
          <w:lang w:val="nl-NL"/>
        </w:rPr>
        <w:footnoteReference w:id="389"/>
      </w:r>
      <w:r w:rsidR="00E770EE">
        <w:rPr>
          <w:color w:val="000000" w:themeColor="text1"/>
          <w:szCs w:val="18"/>
          <w:lang w:val="nl-NL"/>
        </w:rPr>
        <w:t xml:space="preserve"> </w:t>
      </w:r>
      <w:r w:rsidR="003F1D6C">
        <w:rPr>
          <w:color w:val="000000" w:themeColor="text1"/>
          <w:szCs w:val="18"/>
          <w:lang w:val="nl-NL"/>
        </w:rPr>
        <w:t xml:space="preserve">In de omgekeerde situatie, waarin het slachtoffer de dader (seksueel) moet aanraken, zal dit geen </w:t>
      </w:r>
      <w:r w:rsidR="003F1D6C">
        <w:rPr>
          <w:i/>
          <w:color w:val="000000" w:themeColor="text1"/>
          <w:szCs w:val="18"/>
          <w:lang w:val="nl-NL"/>
        </w:rPr>
        <w:t xml:space="preserve">sexual assault </w:t>
      </w:r>
      <w:r w:rsidR="003F1D6C">
        <w:rPr>
          <w:color w:val="000000" w:themeColor="text1"/>
          <w:szCs w:val="18"/>
          <w:lang w:val="nl-NL"/>
        </w:rPr>
        <w:t xml:space="preserve">uitmaken, maar </w:t>
      </w:r>
      <w:r w:rsidR="003F1D6C">
        <w:rPr>
          <w:i/>
          <w:color w:val="000000" w:themeColor="text1"/>
          <w:szCs w:val="18"/>
          <w:lang w:val="nl-NL"/>
        </w:rPr>
        <w:t>CESA</w:t>
      </w:r>
      <w:r w:rsidR="003F1D6C">
        <w:rPr>
          <w:color w:val="000000" w:themeColor="text1"/>
          <w:szCs w:val="18"/>
          <w:lang w:val="nl-NL"/>
        </w:rPr>
        <w:t>.</w:t>
      </w:r>
      <w:r w:rsidR="003F1D6C">
        <w:rPr>
          <w:rStyle w:val="FootnoteReference"/>
          <w:color w:val="000000" w:themeColor="text1"/>
          <w:szCs w:val="18"/>
          <w:lang w:val="nl-NL"/>
        </w:rPr>
        <w:footnoteReference w:id="390"/>
      </w:r>
    </w:p>
    <w:p w14:paraId="1B5A5093" w14:textId="77777777" w:rsidR="003F1D6C" w:rsidRPr="003F1D6C" w:rsidRDefault="003F1D6C" w:rsidP="00260F11">
      <w:pPr>
        <w:spacing w:line="360" w:lineRule="auto"/>
        <w:rPr>
          <w:szCs w:val="18"/>
          <w:lang w:val="nl-NL"/>
        </w:rPr>
      </w:pPr>
    </w:p>
    <w:p w14:paraId="5B2F2D12" w14:textId="36B48567" w:rsidR="00217478" w:rsidRPr="003F1D6C" w:rsidRDefault="00B22EC6" w:rsidP="00260F11">
      <w:pPr>
        <w:pStyle w:val="ListParagraph"/>
        <w:spacing w:line="360" w:lineRule="auto"/>
        <w:ind w:left="0"/>
        <w:rPr>
          <w:color w:val="000000" w:themeColor="text1"/>
          <w:szCs w:val="18"/>
          <w:lang w:val="nl-NL"/>
        </w:rPr>
      </w:pPr>
      <w:r w:rsidRPr="00862615">
        <w:rPr>
          <w:i/>
          <w:szCs w:val="18"/>
          <w:lang w:val="nl-NL"/>
        </w:rPr>
        <w:t>Section</w:t>
      </w:r>
      <w:r w:rsidRPr="003F1D6C">
        <w:rPr>
          <w:szCs w:val="18"/>
          <w:lang w:val="nl-NL"/>
        </w:rPr>
        <w:t xml:space="preserve"> 79</w:t>
      </w:r>
      <w:r w:rsidR="00997731" w:rsidRPr="000B4AB2">
        <w:rPr>
          <w:rStyle w:val="FootnoteReference"/>
          <w:szCs w:val="18"/>
          <w:lang w:val="nl-NL"/>
        </w:rPr>
        <w:footnoteReference w:id="391"/>
      </w:r>
      <w:r w:rsidRPr="003F1D6C">
        <w:rPr>
          <w:szCs w:val="18"/>
          <w:lang w:val="nl-NL"/>
        </w:rPr>
        <w:t xml:space="preserve"> verduidelijkt</w:t>
      </w:r>
      <w:r w:rsidR="002D6012" w:rsidRPr="003F1D6C">
        <w:rPr>
          <w:szCs w:val="18"/>
          <w:lang w:val="nl-NL"/>
        </w:rPr>
        <w:t xml:space="preserve"> </w:t>
      </w:r>
      <w:r w:rsidR="00997731" w:rsidRPr="003F1D6C">
        <w:rPr>
          <w:szCs w:val="18"/>
          <w:lang w:val="nl-NL"/>
        </w:rPr>
        <w:t>dat een</w:t>
      </w:r>
      <w:r w:rsidR="00212E30" w:rsidRPr="003F1D6C">
        <w:rPr>
          <w:szCs w:val="18"/>
          <w:lang w:val="nl-NL"/>
        </w:rPr>
        <w:t xml:space="preserve"> aanraking kan gebeuren </w:t>
      </w:r>
      <w:r w:rsidRPr="003F1D6C">
        <w:rPr>
          <w:szCs w:val="18"/>
          <w:lang w:val="nl-NL"/>
        </w:rPr>
        <w:t>d.m.v.</w:t>
      </w:r>
      <w:r w:rsidR="00212E30" w:rsidRPr="003F1D6C">
        <w:rPr>
          <w:szCs w:val="18"/>
          <w:lang w:val="nl-NL"/>
        </w:rPr>
        <w:t xml:space="preserve"> eender welk </w:t>
      </w:r>
      <w:r w:rsidR="002D6012" w:rsidRPr="003F1D6C">
        <w:rPr>
          <w:szCs w:val="18"/>
          <w:lang w:val="nl-NL"/>
        </w:rPr>
        <w:t>lichaamsdeel</w:t>
      </w:r>
      <w:r w:rsidR="00212E30" w:rsidRPr="003F1D6C">
        <w:rPr>
          <w:szCs w:val="18"/>
          <w:lang w:val="nl-NL"/>
        </w:rPr>
        <w:t>, maar ook door eender welke ander voorwerp. Het kan ook gebeuren “door” alles, zodat een aanraking van een lichaam omhuld met kleren wordt beschouwd als een aanraking in de zin van de SOA.</w:t>
      </w:r>
      <w:r w:rsidR="002D6012" w:rsidRPr="000B4AB2">
        <w:rPr>
          <w:rStyle w:val="FootnoteReference"/>
          <w:rFonts w:eastAsiaTheme="majorEastAsia"/>
          <w:szCs w:val="18"/>
          <w:lang w:val="nl-NL"/>
        </w:rPr>
        <w:footnoteReference w:id="392"/>
      </w:r>
      <w:r w:rsidR="00212E30" w:rsidRPr="003F1D6C">
        <w:rPr>
          <w:szCs w:val="18"/>
          <w:lang w:val="nl-NL"/>
        </w:rPr>
        <w:t xml:space="preserve"> </w:t>
      </w:r>
      <w:r w:rsidR="0068732E" w:rsidRPr="003F1D6C">
        <w:rPr>
          <w:szCs w:val="18"/>
          <w:lang w:val="nl-NL"/>
        </w:rPr>
        <w:t>De definitie van</w:t>
      </w:r>
      <w:r w:rsidR="00212E30" w:rsidRPr="003F1D6C">
        <w:rPr>
          <w:szCs w:val="18"/>
          <w:lang w:val="nl-NL"/>
        </w:rPr>
        <w:t xml:space="preserve"> aanraking</w:t>
      </w:r>
      <w:r w:rsidR="0068732E" w:rsidRPr="003F1D6C">
        <w:rPr>
          <w:szCs w:val="18"/>
          <w:lang w:val="nl-NL"/>
        </w:rPr>
        <w:t xml:space="preserve"> is exemplatief</w:t>
      </w:r>
      <w:r w:rsidR="00212E30" w:rsidRPr="003F1D6C">
        <w:rPr>
          <w:szCs w:val="18"/>
          <w:lang w:val="nl-NL"/>
        </w:rPr>
        <w:t>.</w:t>
      </w:r>
      <w:r w:rsidR="002D6012" w:rsidRPr="000B4AB2">
        <w:rPr>
          <w:rStyle w:val="FootnoteReference"/>
          <w:rFonts w:eastAsiaTheme="majorEastAsia"/>
          <w:szCs w:val="18"/>
          <w:lang w:val="nl-NL"/>
        </w:rPr>
        <w:footnoteReference w:id="393"/>
      </w:r>
    </w:p>
    <w:p w14:paraId="5898B83B" w14:textId="77777777" w:rsidR="00460896" w:rsidRPr="000B4AB2" w:rsidRDefault="00460896" w:rsidP="00260F11">
      <w:pPr>
        <w:spacing w:line="360" w:lineRule="auto"/>
        <w:rPr>
          <w:szCs w:val="18"/>
          <w:lang w:val="nl-NL"/>
        </w:rPr>
      </w:pPr>
    </w:p>
    <w:p w14:paraId="63A3FB30" w14:textId="40B51551" w:rsidR="003E57B3" w:rsidRPr="00FC55EF" w:rsidRDefault="00A14893"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Seksueel</w:t>
      </w:r>
      <w:r w:rsidR="00217478" w:rsidRPr="000B4AB2">
        <w:rPr>
          <w:color w:val="000000" w:themeColor="text1"/>
          <w:szCs w:val="18"/>
          <w:lang w:val="nl-NL"/>
        </w:rPr>
        <w:t>.</w:t>
      </w:r>
      <w:r w:rsidR="006E1E64" w:rsidRPr="000B4AB2">
        <w:rPr>
          <w:color w:val="000000" w:themeColor="text1"/>
          <w:szCs w:val="18"/>
          <w:lang w:val="nl-NL"/>
        </w:rPr>
        <w:t xml:space="preserve"> </w:t>
      </w:r>
      <w:r w:rsidR="00212E30" w:rsidRPr="000B4AB2">
        <w:rPr>
          <w:color w:val="000000" w:themeColor="text1"/>
          <w:szCs w:val="18"/>
          <w:lang w:val="nl-NL"/>
        </w:rPr>
        <w:t xml:space="preserve">De </w:t>
      </w:r>
      <w:r w:rsidR="006E1E64" w:rsidRPr="000B4AB2">
        <w:rPr>
          <w:color w:val="000000" w:themeColor="text1"/>
          <w:szCs w:val="18"/>
          <w:lang w:val="nl-NL"/>
        </w:rPr>
        <w:t xml:space="preserve">lichamelijke aanraking dient bovendien een seksueel </w:t>
      </w:r>
      <w:r w:rsidR="00163386" w:rsidRPr="000B4AB2">
        <w:rPr>
          <w:color w:val="000000" w:themeColor="text1"/>
          <w:szCs w:val="18"/>
          <w:lang w:val="nl-NL"/>
        </w:rPr>
        <w:t>karakter</w:t>
      </w:r>
      <w:r w:rsidR="006E1E64" w:rsidRPr="000B4AB2">
        <w:rPr>
          <w:color w:val="000000" w:themeColor="text1"/>
          <w:szCs w:val="18"/>
          <w:lang w:val="nl-NL"/>
        </w:rPr>
        <w:t xml:space="preserve"> te hebben</w:t>
      </w:r>
      <w:r w:rsidR="00212E30" w:rsidRPr="000B4AB2">
        <w:rPr>
          <w:color w:val="000000" w:themeColor="text1"/>
          <w:szCs w:val="18"/>
          <w:lang w:val="nl-NL"/>
        </w:rPr>
        <w:t xml:space="preserve">. </w:t>
      </w:r>
      <w:r w:rsidR="00134FB2" w:rsidRPr="000B4AB2">
        <w:rPr>
          <w:color w:val="000000" w:themeColor="text1"/>
          <w:szCs w:val="18"/>
          <w:lang w:val="nl-NL"/>
        </w:rPr>
        <w:t xml:space="preserve">Het begrip seksueel wordt gedefinieerd in </w:t>
      </w:r>
      <w:r w:rsidR="00FC55EF" w:rsidRPr="00862615">
        <w:rPr>
          <w:i/>
          <w:color w:val="000000" w:themeColor="text1"/>
          <w:szCs w:val="18"/>
          <w:lang w:val="nl-NL"/>
        </w:rPr>
        <w:t>section</w:t>
      </w:r>
      <w:r w:rsidR="00FC55EF">
        <w:rPr>
          <w:color w:val="000000" w:themeColor="text1"/>
          <w:szCs w:val="18"/>
          <w:lang w:val="nl-NL"/>
        </w:rPr>
        <w:t xml:space="preserve"> 78 van de SOA</w:t>
      </w:r>
      <w:r w:rsidR="00134FB2" w:rsidRPr="00FC55EF">
        <w:rPr>
          <w:color w:val="000000" w:themeColor="text1"/>
          <w:szCs w:val="18"/>
          <w:lang w:val="nl-NL"/>
        </w:rPr>
        <w:t>.</w:t>
      </w:r>
      <w:r w:rsidR="003E57B3" w:rsidRPr="00FC55EF">
        <w:rPr>
          <w:color w:val="000000" w:themeColor="text1"/>
          <w:szCs w:val="18"/>
          <w:lang w:val="nl-NL"/>
        </w:rPr>
        <w:t xml:space="preserve"> </w:t>
      </w:r>
      <w:r w:rsidR="00FC55EF">
        <w:rPr>
          <w:color w:val="000000" w:themeColor="text1"/>
          <w:szCs w:val="18"/>
          <w:lang w:val="nl-NL"/>
        </w:rPr>
        <w:t xml:space="preserve">Hierin wordt bepaald dat een seksueel karakter moet worden beoordeeld in het licht </w:t>
      </w:r>
      <w:r w:rsidR="003E57B3" w:rsidRPr="00FC55EF">
        <w:rPr>
          <w:color w:val="000000" w:themeColor="text1"/>
          <w:szCs w:val="18"/>
          <w:lang w:val="nl-NL"/>
        </w:rPr>
        <w:t>van de opvattingen daaromtrent van een redelijke persoon.</w:t>
      </w:r>
      <w:r w:rsidR="00586BD5" w:rsidRPr="00FC55EF">
        <w:rPr>
          <w:color w:val="000000" w:themeColor="text1"/>
          <w:szCs w:val="18"/>
          <w:lang w:val="nl-NL"/>
        </w:rPr>
        <w:t xml:space="preserve"> Meer bepaald kunnen twee soorten handelingen als seksueel worden opgevat. </w:t>
      </w:r>
      <w:r w:rsidR="003E57B3" w:rsidRPr="00FC55EF">
        <w:rPr>
          <w:color w:val="000000" w:themeColor="text1"/>
          <w:szCs w:val="18"/>
          <w:lang w:val="nl-NL"/>
        </w:rPr>
        <w:t xml:space="preserve">Enerzijds zijn er handelingen die omwille van hun aard </w:t>
      </w:r>
      <w:r w:rsidR="00924600" w:rsidRPr="00FC55EF">
        <w:rPr>
          <w:color w:val="000000" w:themeColor="text1"/>
          <w:szCs w:val="18"/>
          <w:lang w:val="nl-NL"/>
        </w:rPr>
        <w:t>noodzakelijkerwijs</w:t>
      </w:r>
      <w:r w:rsidR="00586BD5" w:rsidRPr="00FC55EF">
        <w:rPr>
          <w:color w:val="000000" w:themeColor="text1"/>
          <w:szCs w:val="18"/>
          <w:lang w:val="nl-NL"/>
        </w:rPr>
        <w:t xml:space="preserve"> seksueel</w:t>
      </w:r>
      <w:r w:rsidR="001E31AB" w:rsidRPr="00FC55EF">
        <w:rPr>
          <w:color w:val="000000" w:themeColor="text1"/>
          <w:szCs w:val="18"/>
          <w:lang w:val="nl-NL"/>
        </w:rPr>
        <w:t xml:space="preserve"> zijn</w:t>
      </w:r>
      <w:r w:rsidR="003E57B3" w:rsidRPr="00FC55EF">
        <w:rPr>
          <w:color w:val="000000" w:themeColor="text1"/>
          <w:szCs w:val="18"/>
          <w:lang w:val="nl-NL"/>
        </w:rPr>
        <w:t xml:space="preserve">. Anderzijds </w:t>
      </w:r>
      <w:r w:rsidR="00586BD5" w:rsidRPr="00FC55EF">
        <w:rPr>
          <w:color w:val="000000" w:themeColor="text1"/>
          <w:szCs w:val="18"/>
          <w:lang w:val="nl-NL"/>
        </w:rPr>
        <w:t>bestaan er</w:t>
      </w:r>
      <w:r w:rsidR="003E57B3" w:rsidRPr="00FC55EF">
        <w:rPr>
          <w:color w:val="000000" w:themeColor="text1"/>
          <w:szCs w:val="18"/>
          <w:lang w:val="nl-NL"/>
        </w:rPr>
        <w:t xml:space="preserve"> handelingen die </w:t>
      </w:r>
      <w:r w:rsidR="00586BD5" w:rsidRPr="00FC55EF">
        <w:rPr>
          <w:color w:val="000000" w:themeColor="text1"/>
          <w:szCs w:val="18"/>
          <w:lang w:val="nl-NL"/>
        </w:rPr>
        <w:t>vanwege</w:t>
      </w:r>
      <w:r w:rsidR="003E57B3" w:rsidRPr="00FC55EF">
        <w:rPr>
          <w:color w:val="000000" w:themeColor="text1"/>
          <w:szCs w:val="18"/>
          <w:lang w:val="nl-NL"/>
        </w:rPr>
        <w:t xml:space="preserve"> hun aard seksueel zouden kunnen zijn en dit </w:t>
      </w:r>
      <w:r w:rsidR="000500D5">
        <w:rPr>
          <w:i/>
          <w:color w:val="000000" w:themeColor="text1"/>
          <w:szCs w:val="18"/>
          <w:lang w:val="nl-NL"/>
        </w:rPr>
        <w:t>in casu</w:t>
      </w:r>
      <w:r w:rsidR="003E57B3" w:rsidRPr="00FC55EF">
        <w:rPr>
          <w:color w:val="000000" w:themeColor="text1"/>
          <w:szCs w:val="18"/>
          <w:lang w:val="nl-NL"/>
        </w:rPr>
        <w:t xml:space="preserve"> ook </w:t>
      </w:r>
      <w:r w:rsidR="00586BD5" w:rsidRPr="00FC55EF">
        <w:rPr>
          <w:color w:val="000000" w:themeColor="text1"/>
          <w:szCs w:val="18"/>
          <w:lang w:val="nl-NL"/>
        </w:rPr>
        <w:t xml:space="preserve">effectief </w:t>
      </w:r>
      <w:r w:rsidR="003E57B3" w:rsidRPr="00FC55EF">
        <w:rPr>
          <w:color w:val="000000" w:themeColor="text1"/>
          <w:szCs w:val="18"/>
          <w:lang w:val="nl-NL"/>
        </w:rPr>
        <w:t>zijn</w:t>
      </w:r>
      <w:r w:rsidR="000500D5">
        <w:rPr>
          <w:color w:val="000000" w:themeColor="text1"/>
          <w:szCs w:val="18"/>
          <w:lang w:val="nl-NL"/>
        </w:rPr>
        <w:t>,</w:t>
      </w:r>
      <w:r w:rsidR="003E57B3" w:rsidRPr="00FC55EF">
        <w:rPr>
          <w:color w:val="000000" w:themeColor="text1"/>
          <w:szCs w:val="18"/>
          <w:lang w:val="nl-NL"/>
        </w:rPr>
        <w:t xml:space="preserve"> </w:t>
      </w:r>
      <w:r w:rsidR="00460896">
        <w:rPr>
          <w:color w:val="000000" w:themeColor="text1"/>
          <w:szCs w:val="18"/>
          <w:lang w:val="nl-NL"/>
        </w:rPr>
        <w:lastRenderedPageBreak/>
        <w:t>gelet op</w:t>
      </w:r>
      <w:r w:rsidR="003E57B3" w:rsidRPr="00FC55EF">
        <w:rPr>
          <w:color w:val="000000" w:themeColor="text1"/>
          <w:szCs w:val="18"/>
          <w:lang w:val="nl-NL"/>
        </w:rPr>
        <w:t xml:space="preserve"> de concrete omstandigheden </w:t>
      </w:r>
      <w:r w:rsidR="00586BD5" w:rsidRPr="00FC55EF">
        <w:rPr>
          <w:color w:val="000000" w:themeColor="text1"/>
          <w:szCs w:val="18"/>
          <w:lang w:val="nl-NL"/>
        </w:rPr>
        <w:t>en/</w:t>
      </w:r>
      <w:r w:rsidR="003E57B3" w:rsidRPr="00FC55EF">
        <w:rPr>
          <w:color w:val="000000" w:themeColor="text1"/>
          <w:szCs w:val="18"/>
          <w:lang w:val="nl-NL"/>
        </w:rPr>
        <w:t xml:space="preserve">of </w:t>
      </w:r>
      <w:r w:rsidR="00586BD5" w:rsidRPr="00FC55EF">
        <w:rPr>
          <w:color w:val="000000" w:themeColor="text1"/>
          <w:szCs w:val="18"/>
          <w:lang w:val="nl-NL"/>
        </w:rPr>
        <w:t>het doel van de handeling</w:t>
      </w:r>
      <w:r w:rsidR="001E31AB" w:rsidRPr="00FC55EF">
        <w:rPr>
          <w:color w:val="000000" w:themeColor="text1"/>
          <w:szCs w:val="18"/>
          <w:lang w:val="nl-NL"/>
        </w:rPr>
        <w:t xml:space="preserve">. </w:t>
      </w:r>
      <w:r w:rsidR="00537666" w:rsidRPr="00FC55EF">
        <w:rPr>
          <w:color w:val="000000" w:themeColor="text1"/>
          <w:szCs w:val="18"/>
          <w:lang w:val="nl-NL"/>
        </w:rPr>
        <w:t>Laatstgenoemde categorie betreft dus handelingen die meerduidig kunnen worden opgevat: redelijke personen kunnen van mening verschillen over de al dan niet seksuele aard ervan.</w:t>
      </w:r>
      <w:r w:rsidR="00537666" w:rsidRPr="000B4AB2">
        <w:rPr>
          <w:rStyle w:val="FootnoteReference"/>
          <w:color w:val="000000" w:themeColor="text1"/>
          <w:szCs w:val="18"/>
          <w:lang w:val="nl-NL"/>
        </w:rPr>
        <w:footnoteReference w:id="394"/>
      </w:r>
      <w:r w:rsidR="00852A66" w:rsidRPr="00FC55EF">
        <w:rPr>
          <w:color w:val="000000" w:themeColor="text1"/>
          <w:szCs w:val="18"/>
          <w:lang w:val="nl-NL"/>
        </w:rPr>
        <w:t xml:space="preserve"> </w:t>
      </w:r>
    </w:p>
    <w:p w14:paraId="79C3E5D4" w14:textId="6B54F1A5" w:rsidR="00EE2D2D" w:rsidRPr="000B4AB2" w:rsidRDefault="00EE2D2D" w:rsidP="00260F11">
      <w:pPr>
        <w:spacing w:line="360" w:lineRule="auto"/>
        <w:rPr>
          <w:color w:val="000000" w:themeColor="text1"/>
          <w:szCs w:val="18"/>
          <w:lang w:val="nl-NL"/>
        </w:rPr>
      </w:pPr>
    </w:p>
    <w:p w14:paraId="68818479" w14:textId="60897E3F" w:rsidR="00217478" w:rsidRPr="006F5B10" w:rsidRDefault="00EE2D2D" w:rsidP="00260F11">
      <w:pPr>
        <w:spacing w:line="360" w:lineRule="auto"/>
        <w:rPr>
          <w:color w:val="000000" w:themeColor="text1"/>
          <w:szCs w:val="18"/>
          <w:lang w:val="nl-NL"/>
        </w:rPr>
      </w:pPr>
      <w:r w:rsidRPr="00DA1217">
        <w:rPr>
          <w:color w:val="000000" w:themeColor="text1"/>
          <w:szCs w:val="18"/>
          <w:lang w:val="nl-NL"/>
        </w:rPr>
        <w:t xml:space="preserve">Om te beoordelen of een bepaalde handeling al dan niet seksueel is, </w:t>
      </w:r>
      <w:r w:rsidR="00C617E1" w:rsidRPr="00DA1217">
        <w:rPr>
          <w:color w:val="000000" w:themeColor="text1"/>
          <w:szCs w:val="18"/>
          <w:lang w:val="nl-NL"/>
        </w:rPr>
        <w:t>moeten</w:t>
      </w:r>
      <w:r w:rsidR="00E36C6A" w:rsidRPr="00DA1217">
        <w:rPr>
          <w:color w:val="000000" w:themeColor="text1"/>
          <w:szCs w:val="18"/>
          <w:lang w:val="nl-NL"/>
        </w:rPr>
        <w:t xml:space="preserve"> </w:t>
      </w:r>
      <w:r w:rsidR="00C617E1" w:rsidRPr="00DA1217">
        <w:rPr>
          <w:color w:val="000000" w:themeColor="text1"/>
          <w:szCs w:val="18"/>
          <w:lang w:val="nl-NL"/>
        </w:rPr>
        <w:t>volgens</w:t>
      </w:r>
      <w:r w:rsidR="009F7553" w:rsidRPr="00DA1217">
        <w:rPr>
          <w:color w:val="000000" w:themeColor="text1"/>
          <w:szCs w:val="18"/>
          <w:lang w:val="nl-NL"/>
        </w:rPr>
        <w:t xml:space="preserve"> de </w:t>
      </w:r>
      <w:r w:rsidR="009F7553" w:rsidRPr="00DA1217">
        <w:rPr>
          <w:i/>
          <w:color w:val="000000" w:themeColor="text1"/>
          <w:szCs w:val="18"/>
          <w:lang w:val="nl-NL"/>
        </w:rPr>
        <w:t>Court of Appeal</w:t>
      </w:r>
      <w:r w:rsidR="009F7553" w:rsidRPr="00DA1217">
        <w:rPr>
          <w:color w:val="000000" w:themeColor="text1"/>
          <w:szCs w:val="18"/>
          <w:lang w:val="nl-NL"/>
        </w:rPr>
        <w:t xml:space="preserve"> in </w:t>
      </w:r>
      <w:r w:rsidR="009F7553" w:rsidRPr="00DA1217">
        <w:rPr>
          <w:i/>
          <w:color w:val="000000" w:themeColor="text1"/>
          <w:szCs w:val="18"/>
          <w:lang w:val="nl-NL"/>
        </w:rPr>
        <w:t>H</w:t>
      </w:r>
      <w:r w:rsidR="00460896" w:rsidRPr="00DA1217">
        <w:rPr>
          <w:rStyle w:val="FootnoteReference"/>
          <w:color w:val="000000" w:themeColor="text1"/>
          <w:szCs w:val="18"/>
          <w:lang w:val="nl-NL"/>
        </w:rPr>
        <w:footnoteReference w:id="395"/>
      </w:r>
      <w:r w:rsidR="009F7553" w:rsidRPr="00DA1217">
        <w:rPr>
          <w:color w:val="000000" w:themeColor="text1"/>
          <w:szCs w:val="18"/>
          <w:lang w:val="nl-NL"/>
        </w:rPr>
        <w:t>,</w:t>
      </w:r>
      <w:r w:rsidR="00395F09" w:rsidRPr="00DA1217">
        <w:rPr>
          <w:color w:val="000000" w:themeColor="text1"/>
          <w:szCs w:val="18"/>
          <w:lang w:val="nl-NL"/>
        </w:rPr>
        <w:t xml:space="preserve"> dan ook de volgende</w:t>
      </w:r>
      <w:r w:rsidRPr="00DA1217">
        <w:rPr>
          <w:color w:val="000000" w:themeColor="text1"/>
          <w:szCs w:val="18"/>
          <w:lang w:val="nl-NL"/>
        </w:rPr>
        <w:t xml:space="preserve"> vragen achtereenvolgens worden gesteld</w:t>
      </w:r>
      <w:r w:rsidR="00460896" w:rsidRPr="00DA1217">
        <w:rPr>
          <w:color w:val="000000" w:themeColor="text1"/>
          <w:szCs w:val="18"/>
          <w:lang w:val="nl-NL"/>
        </w:rPr>
        <w:t xml:space="preserve">: </w:t>
      </w:r>
      <w:r w:rsidRPr="00DA1217">
        <w:rPr>
          <w:color w:val="000000" w:themeColor="text1"/>
          <w:szCs w:val="18"/>
          <w:lang w:val="nl-NL"/>
        </w:rPr>
        <w:t>“</w:t>
      </w:r>
      <w:r w:rsidRPr="00DA1217">
        <w:rPr>
          <w:i/>
          <w:color w:val="000000" w:themeColor="text1"/>
          <w:szCs w:val="18"/>
          <w:lang w:val="nl-NL"/>
        </w:rPr>
        <w:t>Kan</w:t>
      </w:r>
      <w:r w:rsidRPr="00DA1217">
        <w:rPr>
          <w:color w:val="000000" w:themeColor="text1"/>
          <w:szCs w:val="18"/>
          <w:lang w:val="nl-NL"/>
        </w:rPr>
        <w:t xml:space="preserve"> deze handeling seksueel zijn?”</w:t>
      </w:r>
      <w:r w:rsidR="00460896" w:rsidRPr="00DA1217">
        <w:rPr>
          <w:color w:val="000000" w:themeColor="text1"/>
          <w:szCs w:val="18"/>
          <w:lang w:val="nl-NL"/>
        </w:rPr>
        <w:t xml:space="preserve">, vervolgens: </w:t>
      </w:r>
      <w:r w:rsidRPr="00DA1217">
        <w:rPr>
          <w:color w:val="000000" w:themeColor="text1"/>
          <w:szCs w:val="18"/>
          <w:lang w:val="nl-NL"/>
        </w:rPr>
        <w:t>“</w:t>
      </w:r>
      <w:r w:rsidRPr="00DA1217">
        <w:rPr>
          <w:i/>
          <w:color w:val="000000" w:themeColor="text1"/>
          <w:szCs w:val="18"/>
          <w:lang w:val="nl-NL"/>
        </w:rPr>
        <w:t>Is</w:t>
      </w:r>
      <w:r w:rsidRPr="00DA1217">
        <w:rPr>
          <w:color w:val="000000" w:themeColor="text1"/>
          <w:szCs w:val="18"/>
          <w:lang w:val="nl-NL"/>
        </w:rPr>
        <w:t xml:space="preserve"> deze handeling </w:t>
      </w:r>
      <w:r w:rsidRPr="00DA1217">
        <w:rPr>
          <w:i/>
          <w:color w:val="000000" w:themeColor="text1"/>
          <w:szCs w:val="18"/>
          <w:lang w:val="nl-NL"/>
        </w:rPr>
        <w:t xml:space="preserve">in </w:t>
      </w:r>
      <w:r w:rsidR="00DB27C1" w:rsidRPr="00DA1217">
        <w:rPr>
          <w:i/>
          <w:color w:val="000000" w:themeColor="text1"/>
          <w:szCs w:val="18"/>
          <w:lang w:val="nl-NL"/>
        </w:rPr>
        <w:t>casu</w:t>
      </w:r>
      <w:r w:rsidRPr="00DA1217">
        <w:rPr>
          <w:color w:val="000000" w:themeColor="text1"/>
          <w:szCs w:val="18"/>
          <w:lang w:val="nl-NL"/>
        </w:rPr>
        <w:t xml:space="preserve"> seksueel?”.</w:t>
      </w:r>
      <w:r w:rsidR="0078236D" w:rsidRPr="00DA1217">
        <w:rPr>
          <w:rStyle w:val="FootnoteReference"/>
          <w:color w:val="000000" w:themeColor="text1"/>
          <w:szCs w:val="18"/>
          <w:lang w:val="nl-NL"/>
        </w:rPr>
        <w:footnoteReference w:id="396"/>
      </w:r>
      <w:r w:rsidR="005D2A23" w:rsidRPr="00DA1217">
        <w:rPr>
          <w:color w:val="000000" w:themeColor="text1"/>
          <w:szCs w:val="18"/>
          <w:lang w:val="nl-NL"/>
        </w:rPr>
        <w:t xml:space="preserve"> Het antwoord op deze laatste vraag </w:t>
      </w:r>
      <w:r w:rsidR="003A4078" w:rsidRPr="00DA1217">
        <w:rPr>
          <w:color w:val="000000" w:themeColor="text1"/>
          <w:szCs w:val="18"/>
          <w:lang w:val="nl-NL"/>
        </w:rPr>
        <w:t>blijkt</w:t>
      </w:r>
      <w:r w:rsidR="00B66D3B" w:rsidRPr="00DA1217">
        <w:rPr>
          <w:color w:val="000000" w:themeColor="text1"/>
          <w:szCs w:val="18"/>
          <w:lang w:val="nl-NL"/>
        </w:rPr>
        <w:t xml:space="preserve"> echter </w:t>
      </w:r>
      <w:r w:rsidR="0015441B" w:rsidRPr="00DA1217">
        <w:rPr>
          <w:color w:val="000000" w:themeColor="text1"/>
          <w:szCs w:val="18"/>
          <w:lang w:val="nl-NL"/>
        </w:rPr>
        <w:t>niet steeds makkelijk</w:t>
      </w:r>
      <w:r w:rsidR="00B66D3B" w:rsidRPr="00DA1217">
        <w:rPr>
          <w:color w:val="000000" w:themeColor="text1"/>
          <w:szCs w:val="18"/>
          <w:lang w:val="nl-NL"/>
        </w:rPr>
        <w:t xml:space="preserve"> te voorspellen</w:t>
      </w:r>
      <w:r w:rsidR="00F06E14" w:rsidRPr="00DA1217">
        <w:rPr>
          <w:rStyle w:val="FootnoteReference"/>
          <w:color w:val="000000" w:themeColor="text1"/>
          <w:szCs w:val="18"/>
          <w:lang w:val="nl-NL"/>
        </w:rPr>
        <w:footnoteReference w:id="397"/>
      </w:r>
      <w:r w:rsidR="00B66D3B" w:rsidRPr="00DA1217">
        <w:rPr>
          <w:color w:val="000000" w:themeColor="text1"/>
          <w:szCs w:val="18"/>
          <w:lang w:val="nl-NL"/>
        </w:rPr>
        <w:t xml:space="preserve"> en hangt af van een beoordeling </w:t>
      </w:r>
      <w:r w:rsidR="00B66D3B" w:rsidRPr="00DA1217">
        <w:rPr>
          <w:i/>
          <w:color w:val="000000" w:themeColor="text1"/>
          <w:szCs w:val="18"/>
          <w:lang w:val="nl-NL"/>
        </w:rPr>
        <w:t>in concreto</w:t>
      </w:r>
      <w:r w:rsidR="003A4078" w:rsidRPr="00DA1217">
        <w:rPr>
          <w:color w:val="000000" w:themeColor="text1"/>
          <w:szCs w:val="18"/>
          <w:lang w:val="nl-NL"/>
        </w:rPr>
        <w:t>.</w:t>
      </w:r>
      <w:r w:rsidR="003A4078" w:rsidRPr="00DA1217">
        <w:rPr>
          <w:rStyle w:val="FootnoteReference"/>
          <w:color w:val="000000" w:themeColor="text1"/>
          <w:szCs w:val="18"/>
          <w:lang w:val="nl-NL"/>
        </w:rPr>
        <w:footnoteReference w:id="398"/>
      </w:r>
    </w:p>
    <w:p w14:paraId="2D319B67" w14:textId="632379E9" w:rsidR="00021FED" w:rsidRDefault="00021FED" w:rsidP="00260F11">
      <w:pPr>
        <w:spacing w:line="360" w:lineRule="auto"/>
        <w:rPr>
          <w:color w:val="000000" w:themeColor="text1"/>
          <w:szCs w:val="18"/>
          <w:lang w:val="nl-NL"/>
        </w:rPr>
      </w:pPr>
    </w:p>
    <w:p w14:paraId="6308C206" w14:textId="5454F5F5" w:rsidR="00021FED" w:rsidRPr="00021FED" w:rsidRDefault="00021FED" w:rsidP="00260F11">
      <w:pPr>
        <w:spacing w:line="360" w:lineRule="auto"/>
        <w:rPr>
          <w:color w:val="000000" w:themeColor="text1"/>
          <w:szCs w:val="18"/>
          <w:lang w:val="nl-NL"/>
        </w:rPr>
      </w:pPr>
      <w:r>
        <w:rPr>
          <w:color w:val="000000" w:themeColor="text1"/>
          <w:szCs w:val="18"/>
          <w:lang w:val="nl-NL"/>
        </w:rPr>
        <w:t xml:space="preserve">Tot slot is er geen bepaalde graad </w:t>
      </w:r>
      <w:r w:rsidRPr="006241E0">
        <w:rPr>
          <w:color w:val="000000" w:themeColor="text1"/>
          <w:szCs w:val="18"/>
          <w:lang w:val="nl-NL"/>
        </w:rPr>
        <w:t>van ernst vereist</w:t>
      </w:r>
      <w:r>
        <w:rPr>
          <w:color w:val="000000" w:themeColor="text1"/>
          <w:szCs w:val="18"/>
          <w:lang w:val="nl-NL"/>
        </w:rPr>
        <w:t xml:space="preserve"> vooraleer een seksuele gedraging onder het toepassingsgebied van </w:t>
      </w:r>
      <w:r>
        <w:rPr>
          <w:i/>
          <w:color w:val="000000" w:themeColor="text1"/>
          <w:szCs w:val="18"/>
          <w:lang w:val="nl-NL"/>
        </w:rPr>
        <w:t xml:space="preserve">sexual assault </w:t>
      </w:r>
      <w:r>
        <w:rPr>
          <w:color w:val="000000" w:themeColor="text1"/>
          <w:szCs w:val="18"/>
          <w:lang w:val="nl-NL"/>
        </w:rPr>
        <w:t>kan vallen.</w:t>
      </w:r>
      <w:r>
        <w:rPr>
          <w:rStyle w:val="FootnoteReference"/>
          <w:color w:val="000000" w:themeColor="text1"/>
          <w:szCs w:val="18"/>
          <w:lang w:val="nl-NL"/>
        </w:rPr>
        <w:footnoteReference w:id="399"/>
      </w:r>
    </w:p>
    <w:p w14:paraId="3D4673BE" w14:textId="0920B31D" w:rsidR="003F1D6C" w:rsidRDefault="003F1D6C" w:rsidP="00260F11">
      <w:pPr>
        <w:spacing w:line="360" w:lineRule="auto"/>
        <w:rPr>
          <w:color w:val="000000" w:themeColor="text1"/>
          <w:szCs w:val="18"/>
          <w:lang w:val="nl-NL"/>
        </w:rPr>
      </w:pPr>
    </w:p>
    <w:p w14:paraId="4684194E" w14:textId="5074C2CD" w:rsidR="003F1D6C" w:rsidRPr="003F1D6C" w:rsidRDefault="003F1D6C" w:rsidP="00260F11">
      <w:pPr>
        <w:pStyle w:val="ListParagraph"/>
        <w:numPr>
          <w:ilvl w:val="0"/>
          <w:numId w:val="1"/>
        </w:numPr>
        <w:spacing w:line="360" w:lineRule="auto"/>
        <w:ind w:left="0" w:hanging="709"/>
        <w:rPr>
          <w:color w:val="000000" w:themeColor="text1"/>
          <w:szCs w:val="18"/>
          <w:lang w:val="nl-NL"/>
        </w:rPr>
      </w:pPr>
      <w:r w:rsidRPr="009476F6">
        <w:rPr>
          <w:color w:val="000000" w:themeColor="text1"/>
          <w:szCs w:val="18"/>
          <w:lang w:val="nl-NL"/>
        </w:rPr>
        <w:t xml:space="preserve">Voorbeelden uit de jurisprudentie </w:t>
      </w:r>
      <w:r>
        <w:rPr>
          <w:color w:val="000000" w:themeColor="text1"/>
          <w:szCs w:val="18"/>
          <w:lang w:val="nl-NL"/>
        </w:rPr>
        <w:t xml:space="preserve">van </w:t>
      </w:r>
      <w:r>
        <w:rPr>
          <w:i/>
          <w:color w:val="000000" w:themeColor="text1"/>
          <w:szCs w:val="18"/>
          <w:lang w:val="nl-NL"/>
        </w:rPr>
        <w:t xml:space="preserve">sexual assault </w:t>
      </w:r>
      <w:r w:rsidRPr="009476F6">
        <w:rPr>
          <w:color w:val="000000" w:themeColor="text1"/>
          <w:szCs w:val="18"/>
          <w:lang w:val="nl-NL"/>
        </w:rPr>
        <w:t>zijn de dader die de borsten van een vrouw vastneemt</w:t>
      </w:r>
      <w:r>
        <w:rPr>
          <w:rStyle w:val="FootnoteReference"/>
          <w:color w:val="000000" w:themeColor="text1"/>
          <w:szCs w:val="18"/>
          <w:lang w:val="nl-NL"/>
        </w:rPr>
        <w:footnoteReference w:id="400"/>
      </w:r>
      <w:r w:rsidRPr="009476F6">
        <w:rPr>
          <w:color w:val="000000" w:themeColor="text1"/>
          <w:szCs w:val="18"/>
          <w:lang w:val="nl-NL"/>
        </w:rPr>
        <w:t>, of de dader die met diens geslachtsdeel het lichaam van het slachtoffer aanraakt.</w:t>
      </w:r>
      <w:r>
        <w:rPr>
          <w:rStyle w:val="FootnoteReference"/>
          <w:color w:val="000000" w:themeColor="text1"/>
          <w:szCs w:val="18"/>
          <w:lang w:val="nl-NL"/>
        </w:rPr>
        <w:footnoteReference w:id="401"/>
      </w:r>
    </w:p>
    <w:p w14:paraId="64C7C1E6" w14:textId="77777777" w:rsidR="008B31BE" w:rsidRPr="000B4AB2" w:rsidRDefault="008B31BE" w:rsidP="00260F11">
      <w:pPr>
        <w:spacing w:line="360" w:lineRule="auto"/>
        <w:rPr>
          <w:color w:val="000000" w:themeColor="text1"/>
          <w:szCs w:val="18"/>
          <w:lang w:val="nl-NL"/>
        </w:rPr>
      </w:pPr>
    </w:p>
    <w:p w14:paraId="2D25F240" w14:textId="7BE6BA86" w:rsidR="006D65BA" w:rsidRPr="000B4AB2" w:rsidRDefault="005F3E59"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Zonder geldige toestemming</w:t>
      </w:r>
      <w:r w:rsidRPr="000B4AB2">
        <w:rPr>
          <w:color w:val="000000" w:themeColor="text1"/>
          <w:szCs w:val="18"/>
          <w:lang w:val="nl-NL"/>
        </w:rPr>
        <w:t>.</w:t>
      </w:r>
      <w:r w:rsidR="005566E4" w:rsidRPr="000B4AB2">
        <w:rPr>
          <w:rStyle w:val="FootnoteReference"/>
          <w:color w:val="000000" w:themeColor="text1"/>
          <w:szCs w:val="18"/>
          <w:lang w:val="nl-NL"/>
        </w:rPr>
        <w:footnoteReference w:id="402"/>
      </w:r>
      <w:r w:rsidR="00CC496E" w:rsidRPr="000B4AB2">
        <w:rPr>
          <w:color w:val="000000" w:themeColor="text1"/>
          <w:szCs w:val="18"/>
          <w:lang w:val="nl-NL"/>
        </w:rPr>
        <w:t xml:space="preserve"> </w:t>
      </w:r>
      <w:r w:rsidR="0061526E" w:rsidRPr="000B4AB2">
        <w:rPr>
          <w:color w:val="000000" w:themeColor="text1"/>
          <w:szCs w:val="18"/>
          <w:lang w:val="nl-NL"/>
        </w:rPr>
        <w:t xml:space="preserve">Opdat er sprake kan zijn van </w:t>
      </w:r>
      <w:r w:rsidR="0061526E" w:rsidRPr="000B4AB2">
        <w:rPr>
          <w:i/>
          <w:color w:val="000000" w:themeColor="text1"/>
          <w:szCs w:val="18"/>
          <w:lang w:val="nl-NL"/>
        </w:rPr>
        <w:t>sexual assault</w:t>
      </w:r>
      <w:r w:rsidR="0061526E" w:rsidRPr="000B4AB2">
        <w:rPr>
          <w:color w:val="000000" w:themeColor="text1"/>
          <w:szCs w:val="18"/>
          <w:lang w:val="nl-NL"/>
        </w:rPr>
        <w:t xml:space="preserve"> is </w:t>
      </w:r>
      <w:r w:rsidR="00F70427" w:rsidRPr="000B4AB2">
        <w:rPr>
          <w:color w:val="000000" w:themeColor="text1"/>
          <w:szCs w:val="18"/>
          <w:lang w:val="nl-NL"/>
        </w:rPr>
        <w:t>daarenboven</w:t>
      </w:r>
      <w:r w:rsidR="0061526E" w:rsidRPr="000B4AB2">
        <w:rPr>
          <w:color w:val="000000" w:themeColor="text1"/>
          <w:szCs w:val="18"/>
          <w:lang w:val="nl-NL"/>
        </w:rPr>
        <w:t xml:space="preserve"> vereist dat de seksuele aanraking verricht wordt </w:t>
      </w:r>
      <w:r w:rsidR="008E4F5A" w:rsidRPr="000B4AB2">
        <w:rPr>
          <w:color w:val="000000" w:themeColor="text1"/>
          <w:szCs w:val="18"/>
          <w:lang w:val="nl-NL"/>
        </w:rPr>
        <w:t xml:space="preserve">zonder dat het slachtoffer daartoe diens </w:t>
      </w:r>
      <w:r w:rsidR="008E4F5A" w:rsidRPr="000B4AB2">
        <w:rPr>
          <w:color w:val="000000" w:themeColor="text1"/>
          <w:szCs w:val="18"/>
          <w:lang w:val="nl-NL"/>
        </w:rPr>
        <w:lastRenderedPageBreak/>
        <w:t>toestemming gaf</w:t>
      </w:r>
      <w:r w:rsidR="004A78E4" w:rsidRPr="000B4AB2">
        <w:rPr>
          <w:color w:val="000000" w:themeColor="text1"/>
          <w:szCs w:val="18"/>
          <w:lang w:val="nl-NL"/>
        </w:rPr>
        <w:t>.</w:t>
      </w:r>
      <w:r w:rsidR="00CB4877" w:rsidRPr="000B4AB2">
        <w:rPr>
          <w:rStyle w:val="FootnoteReference"/>
          <w:color w:val="000000" w:themeColor="text1"/>
          <w:szCs w:val="18"/>
          <w:lang w:val="nl-NL"/>
        </w:rPr>
        <w:footnoteReference w:id="403"/>
      </w:r>
      <w:r w:rsidR="008E4F5A" w:rsidRPr="000B4AB2">
        <w:rPr>
          <w:color w:val="000000" w:themeColor="text1"/>
          <w:szCs w:val="18"/>
          <w:lang w:val="nl-NL"/>
        </w:rPr>
        <w:t xml:space="preserve"> </w:t>
      </w:r>
      <w:r w:rsidR="00FA7886">
        <w:rPr>
          <w:color w:val="000000" w:themeColor="text1"/>
          <w:szCs w:val="18"/>
          <w:lang w:val="nl-NL"/>
        </w:rPr>
        <w:t>De aan- of afwezigheid van toestemming</w:t>
      </w:r>
      <w:r w:rsidR="008E4F5A" w:rsidRPr="000B4AB2">
        <w:rPr>
          <w:color w:val="000000" w:themeColor="text1"/>
          <w:szCs w:val="18"/>
          <w:lang w:val="nl-NL"/>
        </w:rPr>
        <w:t xml:space="preserve"> dient </w:t>
      </w:r>
      <w:r w:rsidR="008E4F5A" w:rsidRPr="000B4AB2">
        <w:rPr>
          <w:i/>
          <w:color w:val="000000" w:themeColor="text1"/>
          <w:szCs w:val="18"/>
          <w:lang w:val="nl-NL"/>
        </w:rPr>
        <w:t>in concreto</w:t>
      </w:r>
      <w:r w:rsidR="008E4F5A" w:rsidRPr="000B4AB2">
        <w:rPr>
          <w:color w:val="000000" w:themeColor="text1"/>
          <w:szCs w:val="18"/>
          <w:lang w:val="nl-NL"/>
        </w:rPr>
        <w:t xml:space="preserve"> te worden beoordeeld. De SOA biedt hiertoe wel enkele handvaten. </w:t>
      </w:r>
      <w:r w:rsidR="00D13B65" w:rsidRPr="000B4AB2">
        <w:rPr>
          <w:color w:val="000000" w:themeColor="text1"/>
          <w:szCs w:val="18"/>
          <w:lang w:val="nl-NL"/>
        </w:rPr>
        <w:t xml:space="preserve">Zo bevat de SOA niet alleen een definitie van </w:t>
      </w:r>
      <w:r w:rsidR="00D13B65" w:rsidRPr="000B4AB2">
        <w:rPr>
          <w:i/>
          <w:color w:val="000000" w:themeColor="text1"/>
          <w:szCs w:val="18"/>
          <w:lang w:val="nl-NL"/>
        </w:rPr>
        <w:t>consent</w:t>
      </w:r>
      <w:r w:rsidR="008C6D27" w:rsidRPr="000B4AB2">
        <w:rPr>
          <w:rStyle w:val="FootnoteReference"/>
          <w:i/>
          <w:color w:val="000000" w:themeColor="text1"/>
          <w:szCs w:val="18"/>
          <w:lang w:val="nl-NL"/>
        </w:rPr>
        <w:footnoteReference w:id="404"/>
      </w:r>
      <w:r w:rsidR="00D13B65" w:rsidRPr="000B4AB2">
        <w:rPr>
          <w:color w:val="000000" w:themeColor="text1"/>
          <w:szCs w:val="18"/>
          <w:lang w:val="nl-NL"/>
        </w:rPr>
        <w:t>, maar ook enkele</w:t>
      </w:r>
      <w:r w:rsidR="008E4F5A" w:rsidRPr="000B4AB2">
        <w:rPr>
          <w:color w:val="000000" w:themeColor="text1"/>
          <w:szCs w:val="18"/>
          <w:lang w:val="nl-NL"/>
        </w:rPr>
        <w:t xml:space="preserve"> weerlegbare</w:t>
      </w:r>
      <w:r w:rsidR="0006277D" w:rsidRPr="000B4AB2">
        <w:rPr>
          <w:rStyle w:val="FootnoteReference"/>
          <w:color w:val="000000" w:themeColor="text1"/>
          <w:szCs w:val="18"/>
          <w:lang w:val="nl-NL"/>
        </w:rPr>
        <w:footnoteReference w:id="405"/>
      </w:r>
      <w:r w:rsidR="008E4F5A" w:rsidRPr="000B4AB2">
        <w:rPr>
          <w:color w:val="000000" w:themeColor="text1"/>
          <w:szCs w:val="18"/>
          <w:lang w:val="nl-NL"/>
        </w:rPr>
        <w:t xml:space="preserve"> en onweerlegbare</w:t>
      </w:r>
      <w:r w:rsidR="00B773DD" w:rsidRPr="000B4AB2">
        <w:rPr>
          <w:rStyle w:val="FootnoteReference"/>
          <w:color w:val="000000" w:themeColor="text1"/>
          <w:szCs w:val="18"/>
          <w:lang w:val="nl-NL"/>
        </w:rPr>
        <w:footnoteReference w:id="406"/>
      </w:r>
      <w:r w:rsidR="008E4F5A" w:rsidRPr="000B4AB2">
        <w:rPr>
          <w:color w:val="000000" w:themeColor="text1"/>
          <w:szCs w:val="18"/>
          <w:lang w:val="nl-NL"/>
        </w:rPr>
        <w:t xml:space="preserve"> vermoedens </w:t>
      </w:r>
      <w:r w:rsidR="00C617E1">
        <w:rPr>
          <w:color w:val="000000" w:themeColor="text1"/>
          <w:szCs w:val="18"/>
          <w:lang w:val="nl-NL"/>
        </w:rPr>
        <w:t>m.b.t.</w:t>
      </w:r>
      <w:r w:rsidR="008E4F5A" w:rsidRPr="000B4AB2">
        <w:rPr>
          <w:color w:val="000000" w:themeColor="text1"/>
          <w:szCs w:val="18"/>
          <w:lang w:val="nl-NL"/>
        </w:rPr>
        <w:t xml:space="preserve"> de afwezigheid van toestemming.</w:t>
      </w:r>
    </w:p>
    <w:p w14:paraId="4A41A0BC" w14:textId="77777777" w:rsidR="006D65BA" w:rsidRPr="000B4AB2" w:rsidRDefault="006D65BA" w:rsidP="00260F11">
      <w:pPr>
        <w:pStyle w:val="ListParagraph"/>
        <w:spacing w:line="360" w:lineRule="auto"/>
        <w:ind w:left="0"/>
        <w:rPr>
          <w:color w:val="000000" w:themeColor="text1"/>
          <w:szCs w:val="18"/>
          <w:lang w:val="nl-NL"/>
        </w:rPr>
      </w:pPr>
    </w:p>
    <w:p w14:paraId="23801B9E" w14:textId="42C8BEFC" w:rsidR="00211FA1" w:rsidRPr="000B4AB2" w:rsidRDefault="00481614"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In de praktijk </w:t>
      </w:r>
      <w:r w:rsidR="00A83B84" w:rsidRPr="000B4AB2">
        <w:rPr>
          <w:color w:val="000000" w:themeColor="text1"/>
          <w:szCs w:val="18"/>
          <w:lang w:val="nl-NL"/>
        </w:rPr>
        <w:t xml:space="preserve">zal </w:t>
      </w:r>
      <w:r w:rsidRPr="000B4AB2">
        <w:rPr>
          <w:color w:val="000000" w:themeColor="text1"/>
          <w:szCs w:val="18"/>
          <w:lang w:val="nl-NL"/>
        </w:rPr>
        <w:t xml:space="preserve">eerst </w:t>
      </w:r>
      <w:r w:rsidR="00A83B84" w:rsidRPr="000B4AB2">
        <w:rPr>
          <w:color w:val="000000" w:themeColor="text1"/>
          <w:szCs w:val="18"/>
          <w:lang w:val="nl-NL"/>
        </w:rPr>
        <w:t>worden nagegaan</w:t>
      </w:r>
      <w:r w:rsidRPr="000B4AB2">
        <w:rPr>
          <w:color w:val="000000" w:themeColor="text1"/>
          <w:szCs w:val="18"/>
          <w:lang w:val="nl-NL"/>
        </w:rPr>
        <w:t xml:space="preserve"> of </w:t>
      </w:r>
      <w:r w:rsidR="001E31AB">
        <w:rPr>
          <w:color w:val="000000" w:themeColor="text1"/>
          <w:szCs w:val="18"/>
          <w:lang w:val="nl-NL"/>
        </w:rPr>
        <w:t>een</w:t>
      </w:r>
      <w:r w:rsidRPr="000B4AB2">
        <w:rPr>
          <w:color w:val="000000" w:themeColor="text1"/>
          <w:szCs w:val="18"/>
          <w:lang w:val="nl-NL"/>
        </w:rPr>
        <w:t xml:space="preserve"> onweerlegba</w:t>
      </w:r>
      <w:r w:rsidR="00F92871">
        <w:rPr>
          <w:color w:val="000000" w:themeColor="text1"/>
          <w:szCs w:val="18"/>
          <w:lang w:val="nl-NL"/>
        </w:rPr>
        <w:t>ar</w:t>
      </w:r>
      <w:r w:rsidRPr="000B4AB2">
        <w:rPr>
          <w:color w:val="000000" w:themeColor="text1"/>
          <w:szCs w:val="18"/>
          <w:lang w:val="nl-NL"/>
        </w:rPr>
        <w:t xml:space="preserve"> vermoeden </w:t>
      </w:r>
      <w:r w:rsidR="00F92871">
        <w:rPr>
          <w:color w:val="000000" w:themeColor="text1"/>
          <w:szCs w:val="18"/>
          <w:lang w:val="nl-NL"/>
        </w:rPr>
        <w:t>speelt.</w:t>
      </w:r>
      <w:r w:rsidRPr="000B4AB2">
        <w:rPr>
          <w:color w:val="000000" w:themeColor="text1"/>
          <w:szCs w:val="18"/>
          <w:lang w:val="nl-NL"/>
        </w:rPr>
        <w:t xml:space="preserve"> Indien dit niet het geval is, zal gekeken worden of </w:t>
      </w:r>
      <w:r w:rsidR="001E31AB">
        <w:rPr>
          <w:color w:val="000000" w:themeColor="text1"/>
          <w:szCs w:val="18"/>
          <w:lang w:val="nl-NL"/>
        </w:rPr>
        <w:t>een</w:t>
      </w:r>
      <w:r w:rsidRPr="000B4AB2">
        <w:rPr>
          <w:color w:val="000000" w:themeColor="text1"/>
          <w:szCs w:val="18"/>
          <w:lang w:val="nl-NL"/>
        </w:rPr>
        <w:t xml:space="preserve"> weerlegba</w:t>
      </w:r>
      <w:r w:rsidR="004E6E50">
        <w:rPr>
          <w:color w:val="000000" w:themeColor="text1"/>
          <w:szCs w:val="18"/>
          <w:lang w:val="nl-NL"/>
        </w:rPr>
        <w:t>ar</w:t>
      </w:r>
      <w:r w:rsidRPr="000B4AB2">
        <w:rPr>
          <w:color w:val="000000" w:themeColor="text1"/>
          <w:szCs w:val="18"/>
          <w:lang w:val="nl-NL"/>
        </w:rPr>
        <w:t xml:space="preserve"> vermoeden van afwezigheid van toestemming voorhanden is. </w:t>
      </w:r>
      <w:r w:rsidR="004E6E50">
        <w:rPr>
          <w:color w:val="000000" w:themeColor="text1"/>
          <w:szCs w:val="18"/>
          <w:lang w:val="nl-NL"/>
        </w:rPr>
        <w:t>Wanneer de verdediging laatstgenoemd vermoeden niet kan weerleggen</w:t>
      </w:r>
      <w:r w:rsidR="0056205B" w:rsidRPr="000B4AB2">
        <w:rPr>
          <w:color w:val="000000" w:themeColor="text1"/>
          <w:szCs w:val="18"/>
          <w:lang w:val="nl-NL"/>
        </w:rPr>
        <w:t xml:space="preserve">, is er </w:t>
      </w:r>
      <w:r w:rsidR="00C929DF" w:rsidRPr="000B4AB2">
        <w:rPr>
          <w:color w:val="000000" w:themeColor="text1"/>
          <w:szCs w:val="18"/>
          <w:lang w:val="nl-NL"/>
        </w:rPr>
        <w:t>evenmin</w:t>
      </w:r>
      <w:r w:rsidR="0056205B" w:rsidRPr="000B4AB2">
        <w:rPr>
          <w:color w:val="000000" w:themeColor="text1"/>
          <w:szCs w:val="18"/>
          <w:lang w:val="nl-NL"/>
        </w:rPr>
        <w:t xml:space="preserve"> sprake van toestemming in hoofde van het slachtoffer. </w:t>
      </w:r>
      <w:r w:rsidR="004E6E50">
        <w:rPr>
          <w:color w:val="000000" w:themeColor="text1"/>
          <w:szCs w:val="18"/>
          <w:lang w:val="nl-NL"/>
        </w:rPr>
        <w:t>Lukt dit wel</w:t>
      </w:r>
      <w:r w:rsidR="00D77FF1">
        <w:rPr>
          <w:color w:val="000000" w:themeColor="text1"/>
          <w:szCs w:val="18"/>
          <w:lang w:val="nl-NL"/>
        </w:rPr>
        <w:t>,</w:t>
      </w:r>
      <w:r w:rsidR="0056205B" w:rsidRPr="000B4AB2">
        <w:rPr>
          <w:color w:val="000000" w:themeColor="text1"/>
          <w:szCs w:val="18"/>
          <w:lang w:val="nl-NL"/>
        </w:rPr>
        <w:t xml:space="preserve"> dient te worden teruggegrepen naar de definitie van toestemming.</w:t>
      </w:r>
      <w:r w:rsidR="004D06E2" w:rsidRPr="000B4AB2">
        <w:rPr>
          <w:rStyle w:val="FootnoteReference"/>
          <w:color w:val="000000" w:themeColor="text1"/>
          <w:szCs w:val="18"/>
          <w:lang w:val="nl-NL"/>
        </w:rPr>
        <w:footnoteReference w:id="407"/>
      </w:r>
    </w:p>
    <w:p w14:paraId="04B04888" w14:textId="77777777" w:rsidR="00211FA1" w:rsidRPr="000B4AB2" w:rsidRDefault="00211FA1" w:rsidP="00260F11">
      <w:pPr>
        <w:pStyle w:val="ListParagraph"/>
        <w:spacing w:line="360" w:lineRule="auto"/>
        <w:rPr>
          <w:color w:val="000000" w:themeColor="text1"/>
          <w:szCs w:val="18"/>
          <w:lang w:val="nl-NL"/>
        </w:rPr>
      </w:pPr>
    </w:p>
    <w:p w14:paraId="6AD767FB" w14:textId="59592111" w:rsidR="002553D3" w:rsidRPr="000B4AB2" w:rsidRDefault="00ED6555"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In wat volgt, zal </w:t>
      </w:r>
      <w:r w:rsidR="005948A7">
        <w:rPr>
          <w:color w:val="000000" w:themeColor="text1"/>
          <w:szCs w:val="18"/>
          <w:lang w:val="nl-NL"/>
        </w:rPr>
        <w:t>daarom</w:t>
      </w:r>
      <w:r w:rsidRPr="000B4AB2">
        <w:rPr>
          <w:color w:val="000000" w:themeColor="text1"/>
          <w:szCs w:val="18"/>
          <w:lang w:val="nl-NL"/>
        </w:rPr>
        <w:t xml:space="preserve"> eerst op de onweerlegbare vermoedens van afwezigheid van toestemming worden ingegaan, vervolgens op de weerlegbare vermoedens en tot slot op de definitie van toestemming.</w:t>
      </w:r>
      <w:r w:rsidR="006241E0">
        <w:rPr>
          <w:color w:val="000000" w:themeColor="text1"/>
          <w:szCs w:val="18"/>
          <w:lang w:val="nl-NL"/>
        </w:rPr>
        <w:t xml:space="preserve"> Tot slot wordt kort ingegaan op de leeftijd vanaf wanneer minderjarigen geacht worden geldig te kunnen toestemmen.</w:t>
      </w:r>
    </w:p>
    <w:p w14:paraId="3CE2054B" w14:textId="77777777" w:rsidR="00253476" w:rsidRPr="000B4AB2" w:rsidRDefault="00253476" w:rsidP="00260F11">
      <w:pPr>
        <w:pStyle w:val="ListParagraph"/>
        <w:spacing w:line="360" w:lineRule="auto"/>
        <w:ind w:left="0"/>
        <w:rPr>
          <w:color w:val="000000" w:themeColor="text1"/>
          <w:szCs w:val="18"/>
          <w:lang w:val="nl-NL"/>
        </w:rPr>
      </w:pPr>
    </w:p>
    <w:p w14:paraId="572B4421" w14:textId="30241587" w:rsidR="008F3C9E" w:rsidRPr="00674069" w:rsidRDefault="00253476" w:rsidP="00260F11">
      <w:pPr>
        <w:pStyle w:val="ListParagraph"/>
        <w:numPr>
          <w:ilvl w:val="0"/>
          <w:numId w:val="1"/>
        </w:numPr>
        <w:spacing w:line="360" w:lineRule="auto"/>
        <w:ind w:left="0" w:hanging="709"/>
        <w:rPr>
          <w:i/>
          <w:color w:val="000000" w:themeColor="text1"/>
          <w:szCs w:val="18"/>
          <w:lang w:val="nl-NL"/>
        </w:rPr>
      </w:pPr>
      <w:r w:rsidRPr="000B4AB2">
        <w:rPr>
          <w:b/>
          <w:color w:val="000000" w:themeColor="text1"/>
          <w:szCs w:val="18"/>
          <w:lang w:val="nl-NL"/>
        </w:rPr>
        <w:t>(1) Onweerlegbare vermoedens van afwezigheid van toestemming</w:t>
      </w:r>
      <w:r w:rsidRPr="000B4AB2">
        <w:rPr>
          <w:color w:val="000000" w:themeColor="text1"/>
          <w:szCs w:val="18"/>
          <w:lang w:val="nl-NL"/>
        </w:rPr>
        <w:t>.</w:t>
      </w:r>
      <w:r w:rsidR="008F3C9E" w:rsidRPr="008F3C9E">
        <w:rPr>
          <w:color w:val="000000" w:themeColor="text1"/>
          <w:szCs w:val="18"/>
          <w:lang w:val="nl-NL"/>
        </w:rPr>
        <w:t xml:space="preserve"> </w:t>
      </w:r>
      <w:r w:rsidR="00B123B3">
        <w:rPr>
          <w:color w:val="000000" w:themeColor="text1"/>
          <w:szCs w:val="18"/>
          <w:lang w:val="nl-NL"/>
        </w:rPr>
        <w:t>O.w.v.</w:t>
      </w:r>
      <w:r w:rsidR="008F3C9E" w:rsidRPr="008F3C9E">
        <w:rPr>
          <w:color w:val="000000" w:themeColor="text1"/>
          <w:szCs w:val="18"/>
          <w:lang w:val="nl-NL"/>
        </w:rPr>
        <w:t xml:space="preserve"> </w:t>
      </w:r>
      <w:r w:rsidR="008F3C9E">
        <w:rPr>
          <w:color w:val="000000" w:themeColor="text1"/>
          <w:szCs w:val="18"/>
          <w:lang w:val="nl-NL"/>
        </w:rPr>
        <w:t>het onweerlegbaar karakter</w:t>
      </w:r>
      <w:r w:rsidR="008F3C9E" w:rsidRPr="008F3C9E">
        <w:rPr>
          <w:color w:val="000000" w:themeColor="text1"/>
          <w:szCs w:val="18"/>
          <w:lang w:val="nl-NL"/>
        </w:rPr>
        <w:t xml:space="preserve"> </w:t>
      </w:r>
      <w:r w:rsidR="008F3C9E">
        <w:rPr>
          <w:color w:val="000000" w:themeColor="text1"/>
          <w:szCs w:val="18"/>
          <w:lang w:val="nl-NL"/>
        </w:rPr>
        <w:t>ervan</w:t>
      </w:r>
      <w:r w:rsidR="00135EEB">
        <w:rPr>
          <w:color w:val="000000" w:themeColor="text1"/>
          <w:szCs w:val="18"/>
          <w:lang w:val="nl-NL"/>
        </w:rPr>
        <w:t xml:space="preserve"> dienen deze </w:t>
      </w:r>
      <w:r w:rsidR="008F3C9E">
        <w:rPr>
          <w:color w:val="000000" w:themeColor="text1"/>
          <w:szCs w:val="18"/>
          <w:lang w:val="nl-NL"/>
        </w:rPr>
        <w:t>vermoedens</w:t>
      </w:r>
      <w:r w:rsidR="008F3C9E" w:rsidRPr="008F3C9E">
        <w:rPr>
          <w:color w:val="000000" w:themeColor="text1"/>
          <w:szCs w:val="18"/>
          <w:lang w:val="nl-NL"/>
        </w:rPr>
        <w:t xml:space="preserve"> strikt </w:t>
      </w:r>
      <w:r w:rsidR="00135EEB">
        <w:rPr>
          <w:color w:val="000000" w:themeColor="text1"/>
          <w:szCs w:val="18"/>
          <w:lang w:val="nl-NL"/>
        </w:rPr>
        <w:t>te</w:t>
      </w:r>
      <w:r w:rsidR="008F3C9E" w:rsidRPr="008F3C9E">
        <w:rPr>
          <w:color w:val="000000" w:themeColor="text1"/>
          <w:szCs w:val="18"/>
          <w:lang w:val="nl-NL"/>
        </w:rPr>
        <w:t xml:space="preserve"> worden geïnterpreteerd.</w:t>
      </w:r>
      <w:r w:rsidR="008F3C9E" w:rsidRPr="000B4AB2">
        <w:rPr>
          <w:rStyle w:val="FootnoteReference"/>
          <w:color w:val="000000" w:themeColor="text1"/>
          <w:szCs w:val="18"/>
          <w:lang w:val="nl-NL"/>
        </w:rPr>
        <w:footnoteReference w:id="408"/>
      </w:r>
      <w:r w:rsidR="008F3C9E" w:rsidRPr="008F3C9E">
        <w:rPr>
          <w:color w:val="000000" w:themeColor="text1"/>
          <w:szCs w:val="18"/>
          <w:lang w:val="nl-NL"/>
        </w:rPr>
        <w:t xml:space="preserve"> Daarenboven moet de dader deze situaties opzettelijk tot stand hebben gebracht.</w:t>
      </w:r>
      <w:r w:rsidR="008F3C9E" w:rsidRPr="000B4AB2">
        <w:rPr>
          <w:rStyle w:val="FootnoteReference"/>
          <w:color w:val="000000" w:themeColor="text1"/>
          <w:szCs w:val="18"/>
          <w:lang w:val="nl-NL"/>
        </w:rPr>
        <w:footnoteReference w:id="409"/>
      </w:r>
      <w:r w:rsidR="00674069">
        <w:rPr>
          <w:color w:val="000000" w:themeColor="text1"/>
          <w:szCs w:val="18"/>
          <w:lang w:val="nl-NL"/>
        </w:rPr>
        <w:t xml:space="preserve"> Het toepassingsgebied van deze vermoedens is bijgevolg beperkt.</w:t>
      </w:r>
    </w:p>
    <w:p w14:paraId="3646F9A2" w14:textId="77777777" w:rsidR="002B70DA" w:rsidRPr="000B4AB2" w:rsidRDefault="002B70DA" w:rsidP="00260F11">
      <w:pPr>
        <w:pStyle w:val="ListParagraph"/>
        <w:spacing w:line="360" w:lineRule="auto"/>
        <w:ind w:left="0"/>
        <w:rPr>
          <w:color w:val="000000" w:themeColor="text1"/>
          <w:szCs w:val="18"/>
          <w:lang w:val="nl-NL"/>
        </w:rPr>
      </w:pPr>
    </w:p>
    <w:p w14:paraId="5206145F" w14:textId="7D9A08EF" w:rsidR="00056035" w:rsidRDefault="004C0F6D"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 xml:space="preserve">Slachtoffer werd </w:t>
      </w:r>
      <w:r w:rsidR="000739E9">
        <w:rPr>
          <w:b/>
          <w:color w:val="000000" w:themeColor="text1"/>
          <w:szCs w:val="18"/>
          <w:lang w:val="nl-NL"/>
        </w:rPr>
        <w:t>m.b.t.</w:t>
      </w:r>
      <w:r w:rsidRPr="000B4AB2">
        <w:rPr>
          <w:b/>
          <w:color w:val="000000" w:themeColor="text1"/>
          <w:szCs w:val="18"/>
          <w:lang w:val="nl-NL"/>
        </w:rPr>
        <w:t xml:space="preserve"> de aard</w:t>
      </w:r>
      <w:r w:rsidR="00E01B45" w:rsidRPr="000B4AB2">
        <w:rPr>
          <w:b/>
          <w:color w:val="000000" w:themeColor="text1"/>
          <w:szCs w:val="18"/>
          <w:lang w:val="nl-NL"/>
        </w:rPr>
        <w:t xml:space="preserve"> of het doel</w:t>
      </w:r>
      <w:r w:rsidRPr="000B4AB2">
        <w:rPr>
          <w:b/>
          <w:color w:val="000000" w:themeColor="text1"/>
          <w:szCs w:val="18"/>
          <w:lang w:val="nl-NL"/>
        </w:rPr>
        <w:t xml:space="preserve"> van de relevante gedraging</w:t>
      </w:r>
      <w:r w:rsidR="00EE746B" w:rsidRPr="00866EE6">
        <w:rPr>
          <w:rStyle w:val="FootnoteReference"/>
          <w:color w:val="000000" w:themeColor="text1"/>
          <w:szCs w:val="18"/>
          <w:lang w:val="nl-NL"/>
        </w:rPr>
        <w:footnoteReference w:id="410"/>
      </w:r>
      <w:r w:rsidR="00866EE6">
        <w:rPr>
          <w:b/>
          <w:color w:val="000000" w:themeColor="text1"/>
          <w:szCs w:val="18"/>
          <w:lang w:val="nl-NL"/>
        </w:rPr>
        <w:t xml:space="preserve"> misleid</w:t>
      </w:r>
      <w:r w:rsidR="002E19AE" w:rsidRPr="000B4AB2">
        <w:rPr>
          <w:color w:val="000000" w:themeColor="text1"/>
          <w:szCs w:val="18"/>
          <w:lang w:val="nl-NL"/>
        </w:rPr>
        <w:t>.</w:t>
      </w:r>
      <w:r w:rsidR="008F3C9E">
        <w:rPr>
          <w:rStyle w:val="FootnoteReference"/>
          <w:color w:val="000000" w:themeColor="text1"/>
          <w:szCs w:val="18"/>
          <w:lang w:val="nl-NL"/>
        </w:rPr>
        <w:footnoteReference w:id="411"/>
      </w:r>
      <w:r w:rsidR="007B57BA">
        <w:rPr>
          <w:color w:val="000000" w:themeColor="text1"/>
          <w:szCs w:val="18"/>
          <w:lang w:val="nl-NL"/>
        </w:rPr>
        <w:t xml:space="preserve"> </w:t>
      </w:r>
      <w:r w:rsidR="00754EFE">
        <w:rPr>
          <w:color w:val="000000" w:themeColor="text1"/>
          <w:szCs w:val="18"/>
          <w:lang w:val="nl-NL"/>
        </w:rPr>
        <w:t>In de doctrine wordt gesteld dat misleidingen m.b.t. de aard van de gedraging betrekking hebben op de fysieke kenmerken van de gedraging. Misleidingen m.b.t. het doel</w:t>
      </w:r>
      <w:r w:rsidR="0020078E">
        <w:rPr>
          <w:rStyle w:val="FootnoteReference"/>
          <w:color w:val="000000" w:themeColor="text1"/>
          <w:szCs w:val="18"/>
          <w:lang w:val="nl-NL"/>
        </w:rPr>
        <w:footnoteReference w:id="412"/>
      </w:r>
      <w:r w:rsidR="00754EFE">
        <w:rPr>
          <w:color w:val="000000" w:themeColor="text1"/>
          <w:szCs w:val="18"/>
          <w:lang w:val="nl-NL"/>
        </w:rPr>
        <w:t xml:space="preserve"> hebben betrekking op het verhullen van de seksuele motivatie van de dader.</w:t>
      </w:r>
      <w:r w:rsidR="00754EFE">
        <w:rPr>
          <w:rStyle w:val="FootnoteReference"/>
          <w:color w:val="000000" w:themeColor="text1"/>
          <w:szCs w:val="18"/>
          <w:lang w:val="nl-NL"/>
        </w:rPr>
        <w:footnoteReference w:id="413"/>
      </w:r>
    </w:p>
    <w:p w14:paraId="474263C1" w14:textId="6BAABD64" w:rsidR="00D44493" w:rsidRPr="00056035" w:rsidRDefault="00D44493" w:rsidP="00260F11">
      <w:pPr>
        <w:pStyle w:val="ListParagraph"/>
        <w:numPr>
          <w:ilvl w:val="0"/>
          <w:numId w:val="1"/>
        </w:numPr>
        <w:spacing w:line="360" w:lineRule="auto"/>
        <w:ind w:left="0" w:hanging="709"/>
        <w:rPr>
          <w:color w:val="000000" w:themeColor="text1"/>
          <w:szCs w:val="18"/>
          <w:lang w:val="nl-NL"/>
        </w:rPr>
      </w:pPr>
      <w:r w:rsidRPr="00056035">
        <w:rPr>
          <w:color w:val="000000" w:themeColor="text1"/>
          <w:szCs w:val="18"/>
          <w:lang w:val="nl-NL"/>
        </w:rPr>
        <w:lastRenderedPageBreak/>
        <w:t xml:space="preserve">Uit zowel rechtspraak als rechtsleer blijkt dat het moeilijk is om de grens te trekken tussen misleidingen die ressorteren onder dit onweerlegbaar vermoeden enerzijds en </w:t>
      </w:r>
      <w:r w:rsidR="00B123B3">
        <w:rPr>
          <w:color w:val="000000" w:themeColor="text1"/>
          <w:szCs w:val="18"/>
          <w:lang w:val="nl-NL"/>
        </w:rPr>
        <w:t>deze die</w:t>
      </w:r>
      <w:r w:rsidRPr="00056035">
        <w:rPr>
          <w:color w:val="000000" w:themeColor="text1"/>
          <w:szCs w:val="18"/>
          <w:lang w:val="nl-NL"/>
        </w:rPr>
        <w:t xml:space="preserve"> moeten worden beoordeeld in het licht van de definitie van toestemming anderzijds.</w:t>
      </w:r>
      <w:r w:rsidR="0011230D">
        <w:rPr>
          <w:rStyle w:val="FootnoteReference"/>
          <w:color w:val="000000" w:themeColor="text1"/>
          <w:szCs w:val="18"/>
          <w:lang w:val="nl-NL"/>
        </w:rPr>
        <w:footnoteReference w:id="414"/>
      </w:r>
      <w:r w:rsidRPr="00056035">
        <w:rPr>
          <w:color w:val="000000" w:themeColor="text1"/>
          <w:szCs w:val="18"/>
          <w:lang w:val="nl-NL"/>
        </w:rPr>
        <w:t xml:space="preserve"> In de rechtsleer gaan dan ook heel wat stemmen op die hopen op een verduidelijking hieromtrent door de wetgever dan wel door </w:t>
      </w:r>
      <w:r w:rsidR="00B123B3">
        <w:rPr>
          <w:color w:val="000000" w:themeColor="text1"/>
          <w:szCs w:val="18"/>
          <w:lang w:val="nl-NL"/>
        </w:rPr>
        <w:t>de</w:t>
      </w:r>
      <w:r w:rsidRPr="00056035">
        <w:rPr>
          <w:color w:val="000000" w:themeColor="text1"/>
          <w:szCs w:val="18"/>
          <w:lang w:val="nl-NL"/>
        </w:rPr>
        <w:t xml:space="preserve"> </w:t>
      </w:r>
      <w:r w:rsidRPr="00056035">
        <w:rPr>
          <w:i/>
          <w:color w:val="000000" w:themeColor="text1"/>
          <w:szCs w:val="18"/>
          <w:lang w:val="nl-NL"/>
        </w:rPr>
        <w:t>Supreme Court</w:t>
      </w:r>
      <w:r w:rsidRPr="00056035">
        <w:rPr>
          <w:color w:val="000000" w:themeColor="text1"/>
          <w:szCs w:val="18"/>
          <w:lang w:val="nl-NL"/>
        </w:rPr>
        <w:t>.</w:t>
      </w:r>
      <w:r w:rsidRPr="00A14E6C">
        <w:rPr>
          <w:rStyle w:val="FootnoteReference"/>
          <w:color w:val="000000" w:themeColor="text1"/>
          <w:szCs w:val="18"/>
          <w:lang w:val="nl-NL"/>
        </w:rPr>
        <w:footnoteReference w:id="415"/>
      </w:r>
    </w:p>
    <w:p w14:paraId="6BA7427E" w14:textId="77777777" w:rsidR="00D25388" w:rsidRPr="00D44493" w:rsidRDefault="00D25388" w:rsidP="00260F11">
      <w:pPr>
        <w:spacing w:line="360" w:lineRule="auto"/>
        <w:rPr>
          <w:color w:val="000000" w:themeColor="text1"/>
          <w:szCs w:val="18"/>
          <w:lang w:val="nl-NL"/>
        </w:rPr>
      </w:pPr>
    </w:p>
    <w:p w14:paraId="69909B6B" w14:textId="250DED8B" w:rsidR="00D25388" w:rsidRPr="004768E0" w:rsidRDefault="004C0F6D" w:rsidP="00260F11">
      <w:pPr>
        <w:pStyle w:val="ListParagraph"/>
        <w:numPr>
          <w:ilvl w:val="0"/>
          <w:numId w:val="1"/>
        </w:numPr>
        <w:spacing w:line="360" w:lineRule="auto"/>
        <w:ind w:left="0" w:hanging="709"/>
        <w:rPr>
          <w:color w:val="000000" w:themeColor="text1"/>
          <w:szCs w:val="18"/>
          <w:lang w:val="nl-NL"/>
        </w:rPr>
      </w:pPr>
      <w:r w:rsidRPr="008F3C9E">
        <w:rPr>
          <w:b/>
          <w:color w:val="000000" w:themeColor="text1"/>
          <w:szCs w:val="18"/>
          <w:lang w:val="nl-NL"/>
        </w:rPr>
        <w:t>Dader deed zich voor als iemand persoonlijk gekend door het slachtoffer</w:t>
      </w:r>
      <w:r w:rsidR="00272FC9" w:rsidRPr="008F3C9E">
        <w:rPr>
          <w:color w:val="000000" w:themeColor="text1"/>
          <w:szCs w:val="18"/>
          <w:lang w:val="nl-NL"/>
        </w:rPr>
        <w:t>.</w:t>
      </w:r>
      <w:r w:rsidR="008F3C9E">
        <w:rPr>
          <w:rStyle w:val="FootnoteReference"/>
          <w:color w:val="000000" w:themeColor="text1"/>
          <w:szCs w:val="18"/>
          <w:lang w:val="nl-NL"/>
        </w:rPr>
        <w:footnoteReference w:id="416"/>
      </w:r>
      <w:r w:rsidR="00272FC9" w:rsidRPr="008F3C9E">
        <w:rPr>
          <w:color w:val="000000" w:themeColor="text1"/>
          <w:szCs w:val="18"/>
          <w:lang w:val="nl-NL"/>
        </w:rPr>
        <w:t xml:space="preserve"> </w:t>
      </w:r>
      <w:r w:rsidR="002C7364" w:rsidRPr="008F3C9E">
        <w:rPr>
          <w:color w:val="000000" w:themeColor="text1"/>
          <w:szCs w:val="18"/>
          <w:lang w:val="nl-NL"/>
        </w:rPr>
        <w:t>Er moet een causaal verband bestaan tussen de imitatie door de dader enerzijds en het instemmen van het slachtoffer anderzijds</w:t>
      </w:r>
      <w:r w:rsidR="00A345AC" w:rsidRPr="00DA0113">
        <w:rPr>
          <w:color w:val="000000" w:themeColor="text1"/>
          <w:szCs w:val="18"/>
          <w:lang w:val="nl-NL"/>
        </w:rPr>
        <w:t>.</w:t>
      </w:r>
      <w:r w:rsidR="002C7364" w:rsidRPr="000B4AB2">
        <w:rPr>
          <w:rStyle w:val="FootnoteReference"/>
          <w:color w:val="000000" w:themeColor="text1"/>
          <w:szCs w:val="18"/>
          <w:lang w:val="nl-NL"/>
        </w:rPr>
        <w:footnoteReference w:id="417"/>
      </w:r>
      <w:r w:rsidR="00834BBA">
        <w:rPr>
          <w:color w:val="000000" w:themeColor="text1"/>
          <w:szCs w:val="18"/>
          <w:lang w:val="nl-NL"/>
        </w:rPr>
        <w:t xml:space="preserve"> </w:t>
      </w:r>
      <w:r w:rsidR="004768E0">
        <w:rPr>
          <w:color w:val="000000" w:themeColor="text1"/>
          <w:szCs w:val="18"/>
          <w:lang w:val="nl-NL"/>
        </w:rPr>
        <w:t>Voorbeelden hiervan zijn</w:t>
      </w:r>
      <w:r w:rsidR="00834BBA">
        <w:rPr>
          <w:color w:val="000000" w:themeColor="text1"/>
          <w:szCs w:val="18"/>
          <w:lang w:val="nl-NL"/>
        </w:rPr>
        <w:t xml:space="preserve"> de</w:t>
      </w:r>
      <w:r w:rsidR="00F91829" w:rsidRPr="00834BBA">
        <w:rPr>
          <w:color w:val="000000" w:themeColor="text1"/>
          <w:szCs w:val="18"/>
          <w:lang w:val="nl-NL"/>
        </w:rPr>
        <w:t xml:space="preserve"> imitatie van de</w:t>
      </w:r>
      <w:r w:rsidR="006B7220" w:rsidRPr="00834BBA">
        <w:rPr>
          <w:color w:val="000000" w:themeColor="text1"/>
          <w:szCs w:val="18"/>
          <w:lang w:val="nl-NL"/>
        </w:rPr>
        <w:t xml:space="preserve"> echtgenoot of</w:t>
      </w:r>
      <w:r w:rsidR="00F91829" w:rsidRPr="00834BBA">
        <w:rPr>
          <w:color w:val="000000" w:themeColor="text1"/>
          <w:szCs w:val="18"/>
          <w:lang w:val="nl-NL"/>
        </w:rPr>
        <w:t xml:space="preserve"> partner van het slachtoffer</w:t>
      </w:r>
      <w:r w:rsidR="004768E0">
        <w:rPr>
          <w:color w:val="000000" w:themeColor="text1"/>
          <w:szCs w:val="18"/>
          <w:lang w:val="nl-NL"/>
        </w:rPr>
        <w:t>.</w:t>
      </w:r>
      <w:r w:rsidR="00834BBA" w:rsidRPr="000B4AB2">
        <w:rPr>
          <w:rStyle w:val="FootnoteReference"/>
          <w:color w:val="000000" w:themeColor="text1"/>
          <w:szCs w:val="18"/>
          <w:lang w:val="nl-NL"/>
        </w:rPr>
        <w:footnoteReference w:id="418"/>
      </w:r>
      <w:r w:rsidR="004768E0">
        <w:rPr>
          <w:color w:val="000000" w:themeColor="text1"/>
          <w:szCs w:val="18"/>
          <w:lang w:val="nl-NL"/>
        </w:rPr>
        <w:t xml:space="preserve"> Dit onweerlegbaar vermoeden stoot op kritiek binnen de doctrine vanwege de vaagheid ervan waarover ook de </w:t>
      </w:r>
      <w:r w:rsidR="004768E0" w:rsidRPr="003000B6">
        <w:rPr>
          <w:i/>
          <w:color w:val="000000" w:themeColor="text1"/>
          <w:szCs w:val="18"/>
          <w:lang w:val="nl-NL"/>
        </w:rPr>
        <w:t>case law</w:t>
      </w:r>
      <w:r w:rsidR="004768E0">
        <w:rPr>
          <w:color w:val="000000" w:themeColor="text1"/>
          <w:szCs w:val="18"/>
          <w:lang w:val="nl-NL"/>
        </w:rPr>
        <w:t xml:space="preserve"> geen verduidelijking biedt.</w:t>
      </w:r>
      <w:r w:rsidR="006B7220" w:rsidRPr="000B4AB2">
        <w:rPr>
          <w:rStyle w:val="FootnoteReference"/>
          <w:color w:val="000000" w:themeColor="text1"/>
          <w:szCs w:val="18"/>
          <w:lang w:val="nl-NL"/>
        </w:rPr>
        <w:footnoteReference w:id="419"/>
      </w:r>
      <w:r w:rsidR="006B7220" w:rsidRPr="004768E0">
        <w:rPr>
          <w:color w:val="000000" w:themeColor="text1"/>
          <w:szCs w:val="18"/>
          <w:lang w:val="nl-NL"/>
        </w:rPr>
        <w:t xml:space="preserve"> </w:t>
      </w:r>
    </w:p>
    <w:p w14:paraId="18DEC1F9" w14:textId="77777777" w:rsidR="00253476" w:rsidRPr="000B4AB2" w:rsidRDefault="00253476" w:rsidP="00260F11">
      <w:pPr>
        <w:pStyle w:val="ListParagraph"/>
        <w:spacing w:line="360" w:lineRule="auto"/>
        <w:rPr>
          <w:color w:val="000000" w:themeColor="text1"/>
          <w:szCs w:val="18"/>
          <w:lang w:val="nl-NL"/>
        </w:rPr>
      </w:pPr>
    </w:p>
    <w:p w14:paraId="11C6D17B" w14:textId="290D1AAE" w:rsidR="00EA51B5" w:rsidRPr="009E2C64" w:rsidRDefault="00253476"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(2) Weerlegbare vermoedens van</w:t>
      </w:r>
      <w:r w:rsidR="00BE3B99">
        <w:rPr>
          <w:b/>
          <w:color w:val="000000" w:themeColor="text1"/>
          <w:szCs w:val="18"/>
          <w:lang w:val="nl-NL"/>
        </w:rPr>
        <w:t xml:space="preserve"> afwezigheid van</w:t>
      </w:r>
      <w:r w:rsidRPr="000B4AB2">
        <w:rPr>
          <w:b/>
          <w:color w:val="000000" w:themeColor="text1"/>
          <w:szCs w:val="18"/>
          <w:lang w:val="nl-NL"/>
        </w:rPr>
        <w:t xml:space="preserve"> toestemming</w:t>
      </w:r>
      <w:r w:rsidRPr="000B4AB2">
        <w:rPr>
          <w:color w:val="000000" w:themeColor="text1"/>
          <w:szCs w:val="18"/>
          <w:lang w:val="nl-NL"/>
        </w:rPr>
        <w:t>.</w:t>
      </w:r>
      <w:r w:rsidR="00033B1E">
        <w:rPr>
          <w:color w:val="000000" w:themeColor="text1"/>
          <w:szCs w:val="18"/>
          <w:lang w:val="nl-NL"/>
        </w:rPr>
        <w:t xml:space="preserve"> </w:t>
      </w:r>
      <w:r w:rsidR="00033B1E" w:rsidRPr="00862615">
        <w:rPr>
          <w:i/>
          <w:color w:val="000000" w:themeColor="text1"/>
          <w:szCs w:val="18"/>
          <w:lang w:val="nl-NL"/>
        </w:rPr>
        <w:t>Section</w:t>
      </w:r>
      <w:r w:rsidR="00033B1E">
        <w:rPr>
          <w:color w:val="000000" w:themeColor="text1"/>
          <w:szCs w:val="18"/>
          <w:lang w:val="nl-NL"/>
        </w:rPr>
        <w:t xml:space="preserve"> 75 van de SOA bevat </w:t>
      </w:r>
      <w:r w:rsidR="00AF4B43">
        <w:rPr>
          <w:color w:val="000000" w:themeColor="text1"/>
          <w:szCs w:val="18"/>
          <w:lang w:val="nl-NL"/>
        </w:rPr>
        <w:t xml:space="preserve">zes </w:t>
      </w:r>
      <w:r w:rsidR="00BE3B99">
        <w:rPr>
          <w:color w:val="000000" w:themeColor="text1"/>
          <w:szCs w:val="18"/>
          <w:lang w:val="nl-NL"/>
        </w:rPr>
        <w:t>weerlegbare vermoedens van afwezigheid van toestemming</w:t>
      </w:r>
      <w:r w:rsidR="00AF4B43">
        <w:rPr>
          <w:color w:val="000000" w:themeColor="text1"/>
          <w:szCs w:val="18"/>
          <w:lang w:val="nl-NL"/>
        </w:rPr>
        <w:t>.</w:t>
      </w:r>
      <w:r w:rsidR="0055460A" w:rsidRPr="000B4AB2">
        <w:rPr>
          <w:color w:val="000000" w:themeColor="text1"/>
          <w:szCs w:val="18"/>
          <w:lang w:val="nl-NL"/>
        </w:rPr>
        <w:t xml:space="preserve"> </w:t>
      </w:r>
      <w:r w:rsidR="00AF4B43">
        <w:rPr>
          <w:color w:val="000000" w:themeColor="text1"/>
          <w:szCs w:val="18"/>
          <w:lang w:val="nl-NL"/>
        </w:rPr>
        <w:t>Het gaat om (dreigend) geweld</w:t>
      </w:r>
      <w:r w:rsidR="00AF4B43">
        <w:rPr>
          <w:szCs w:val="18"/>
          <w:lang w:val="nl-NL"/>
        </w:rPr>
        <w:t>,</w:t>
      </w:r>
      <w:r w:rsidR="002347D5" w:rsidRPr="000B4AB2">
        <w:rPr>
          <w:rStyle w:val="FootnoteReference"/>
          <w:szCs w:val="18"/>
          <w:lang w:val="nl-NL"/>
        </w:rPr>
        <w:footnoteReference w:id="420"/>
      </w:r>
      <w:r w:rsidR="00AF4B43">
        <w:rPr>
          <w:szCs w:val="18"/>
          <w:lang w:val="nl-NL"/>
        </w:rPr>
        <w:t xml:space="preserve"> situaties waarin het slachtoffer </w:t>
      </w:r>
      <w:r w:rsidR="00722F81" w:rsidRPr="00AF4B43">
        <w:rPr>
          <w:szCs w:val="18"/>
          <w:lang w:val="nl-NL"/>
        </w:rPr>
        <w:t>onrechtmatig van diens vrijheid beroofd</w:t>
      </w:r>
      <w:r w:rsidR="00FD7B89" w:rsidRPr="00AF4B43">
        <w:rPr>
          <w:szCs w:val="18"/>
          <w:lang w:val="nl-NL"/>
        </w:rPr>
        <w:t xml:space="preserve"> </w:t>
      </w:r>
      <w:r w:rsidR="00AF4B43">
        <w:rPr>
          <w:szCs w:val="18"/>
          <w:lang w:val="nl-NL"/>
        </w:rPr>
        <w:t>werd</w:t>
      </w:r>
      <w:r w:rsidR="00053171">
        <w:rPr>
          <w:szCs w:val="18"/>
          <w:lang w:val="nl-NL"/>
        </w:rPr>
        <w:t xml:space="preserve"> terwijl dit niet het geval was voor de dader</w:t>
      </w:r>
      <w:r w:rsidR="00AF4B43">
        <w:rPr>
          <w:szCs w:val="18"/>
          <w:lang w:val="nl-NL"/>
        </w:rPr>
        <w:t xml:space="preserve"> (bv. ontvoering),</w:t>
      </w:r>
      <w:r w:rsidR="002347D5" w:rsidRPr="000B4AB2">
        <w:rPr>
          <w:rStyle w:val="FootnoteReference"/>
          <w:szCs w:val="18"/>
          <w:lang w:val="nl-NL"/>
        </w:rPr>
        <w:footnoteReference w:id="421"/>
      </w:r>
      <w:r w:rsidR="00AF4B43">
        <w:rPr>
          <w:szCs w:val="18"/>
          <w:lang w:val="nl-NL"/>
        </w:rPr>
        <w:t xml:space="preserve"> </w:t>
      </w:r>
      <w:r w:rsidR="009E2C64">
        <w:rPr>
          <w:szCs w:val="18"/>
          <w:lang w:val="nl-NL"/>
        </w:rPr>
        <w:t xml:space="preserve">een </w:t>
      </w:r>
      <w:r w:rsidR="00AF4B43">
        <w:rPr>
          <w:szCs w:val="18"/>
          <w:lang w:val="nl-NL"/>
        </w:rPr>
        <w:t>bewusteloos (of slapend) slachtoffer,</w:t>
      </w:r>
      <w:r w:rsidR="002347D5" w:rsidRPr="000B4AB2">
        <w:rPr>
          <w:rStyle w:val="FootnoteReference"/>
          <w:szCs w:val="18"/>
          <w:lang w:val="nl-NL"/>
        </w:rPr>
        <w:footnoteReference w:id="422"/>
      </w:r>
      <w:r w:rsidR="00AF4B43">
        <w:rPr>
          <w:szCs w:val="18"/>
          <w:lang w:val="nl-NL"/>
        </w:rPr>
        <w:t xml:space="preserve"> </w:t>
      </w:r>
      <w:r w:rsidR="009E2C64">
        <w:rPr>
          <w:szCs w:val="18"/>
          <w:lang w:val="nl-NL"/>
        </w:rPr>
        <w:t xml:space="preserve">een </w:t>
      </w:r>
      <w:r w:rsidR="00AF4B43">
        <w:rPr>
          <w:szCs w:val="18"/>
          <w:lang w:val="nl-NL"/>
        </w:rPr>
        <w:t xml:space="preserve">slachtoffer </w:t>
      </w:r>
      <w:r w:rsidR="00AF4B43">
        <w:rPr>
          <w:color w:val="000000" w:themeColor="text1"/>
          <w:szCs w:val="18"/>
          <w:lang w:val="nl-NL"/>
        </w:rPr>
        <w:t xml:space="preserve">dat </w:t>
      </w:r>
      <w:r w:rsidR="00C92DFD" w:rsidRPr="00AF4B43">
        <w:rPr>
          <w:szCs w:val="18"/>
          <w:lang w:val="nl-NL"/>
        </w:rPr>
        <w:t>door</w:t>
      </w:r>
      <w:r w:rsidR="00282199" w:rsidRPr="00AF4B43">
        <w:rPr>
          <w:szCs w:val="18"/>
          <w:lang w:val="nl-NL"/>
        </w:rPr>
        <w:t xml:space="preserve"> een fysieke</w:t>
      </w:r>
      <w:r w:rsidR="00722F81" w:rsidRPr="00AF4B43">
        <w:rPr>
          <w:szCs w:val="18"/>
          <w:lang w:val="nl-NL"/>
        </w:rPr>
        <w:t xml:space="preserve"> beperking </w:t>
      </w:r>
      <w:r w:rsidR="00C92DFD" w:rsidRPr="00AF4B43">
        <w:rPr>
          <w:szCs w:val="18"/>
          <w:lang w:val="nl-NL"/>
        </w:rPr>
        <w:t xml:space="preserve">niet in staat was </w:t>
      </w:r>
      <w:r w:rsidR="00722F81" w:rsidRPr="00AF4B43">
        <w:rPr>
          <w:szCs w:val="18"/>
          <w:lang w:val="nl-NL"/>
        </w:rPr>
        <w:t xml:space="preserve">diens toestemming </w:t>
      </w:r>
      <w:r w:rsidR="00C92DFD" w:rsidRPr="00AF4B43">
        <w:rPr>
          <w:szCs w:val="18"/>
          <w:lang w:val="nl-NL"/>
        </w:rPr>
        <w:t>te</w:t>
      </w:r>
      <w:r w:rsidR="00722F81" w:rsidRPr="00AF4B43">
        <w:rPr>
          <w:szCs w:val="18"/>
          <w:lang w:val="nl-NL"/>
        </w:rPr>
        <w:t xml:space="preserve"> </w:t>
      </w:r>
      <w:r w:rsidR="00722F81" w:rsidRPr="00AF4B43">
        <w:rPr>
          <w:szCs w:val="18"/>
          <w:lang w:val="nl-NL"/>
        </w:rPr>
        <w:lastRenderedPageBreak/>
        <w:t>communiceren</w:t>
      </w:r>
      <w:r w:rsidR="002347D5" w:rsidRPr="000B4AB2">
        <w:rPr>
          <w:rStyle w:val="FootnoteReference"/>
          <w:szCs w:val="18"/>
          <w:lang w:val="nl-NL"/>
        </w:rPr>
        <w:footnoteReference w:id="423"/>
      </w:r>
      <w:r w:rsidR="00AF4B43">
        <w:rPr>
          <w:szCs w:val="18"/>
          <w:lang w:val="nl-NL"/>
        </w:rPr>
        <w:t xml:space="preserve"> (bv. door een </w:t>
      </w:r>
      <w:r w:rsidR="00AF4B43" w:rsidRPr="00AF4B43">
        <w:rPr>
          <w:szCs w:val="18"/>
          <w:lang w:val="nl-NL"/>
        </w:rPr>
        <w:t>mentale beperking</w:t>
      </w:r>
      <w:r w:rsidR="00AF4B43">
        <w:rPr>
          <w:szCs w:val="18"/>
          <w:lang w:val="nl-NL"/>
        </w:rPr>
        <w:t>),</w:t>
      </w:r>
      <w:r w:rsidR="00282199" w:rsidRPr="000B4AB2">
        <w:rPr>
          <w:rStyle w:val="FootnoteReference"/>
          <w:szCs w:val="18"/>
          <w:lang w:val="nl-NL"/>
        </w:rPr>
        <w:footnoteReference w:id="424"/>
      </w:r>
      <w:r w:rsidR="009E2C64">
        <w:rPr>
          <w:szCs w:val="18"/>
          <w:lang w:val="nl-NL"/>
        </w:rPr>
        <w:t xml:space="preserve"> en tot slot een </w:t>
      </w:r>
      <w:r w:rsidR="009E2C64" w:rsidRPr="009E2C64">
        <w:rPr>
          <w:color w:val="000000" w:themeColor="text1"/>
          <w:szCs w:val="18"/>
          <w:lang w:val="nl-NL"/>
        </w:rPr>
        <w:t>s</w:t>
      </w:r>
      <w:r w:rsidR="00722F81" w:rsidRPr="009E2C64">
        <w:rPr>
          <w:szCs w:val="18"/>
          <w:lang w:val="nl-NL"/>
        </w:rPr>
        <w:t xml:space="preserve">lachtoffer </w:t>
      </w:r>
      <w:r w:rsidR="009E2C64" w:rsidRPr="009E2C64">
        <w:rPr>
          <w:szCs w:val="18"/>
          <w:lang w:val="nl-NL"/>
        </w:rPr>
        <w:t>dat</w:t>
      </w:r>
      <w:r w:rsidR="00722F81" w:rsidRPr="009E2C64">
        <w:rPr>
          <w:szCs w:val="18"/>
          <w:lang w:val="nl-NL"/>
        </w:rPr>
        <w:t xml:space="preserve"> ongewild onder invloed </w:t>
      </w:r>
      <w:r w:rsidR="009E2C64" w:rsidRPr="009E2C64">
        <w:rPr>
          <w:szCs w:val="18"/>
          <w:lang w:val="nl-NL"/>
        </w:rPr>
        <w:t xml:space="preserve">was </w:t>
      </w:r>
      <w:r w:rsidR="00722F81" w:rsidRPr="009E2C64">
        <w:rPr>
          <w:szCs w:val="18"/>
          <w:lang w:val="nl-NL"/>
        </w:rPr>
        <w:t>van een substantie met welbepaalde effecten</w:t>
      </w:r>
      <w:r w:rsidR="009E2C64">
        <w:rPr>
          <w:rStyle w:val="FootnoteReference"/>
          <w:szCs w:val="18"/>
          <w:lang w:val="nl-NL"/>
        </w:rPr>
        <w:footnoteReference w:id="425"/>
      </w:r>
      <w:r w:rsidR="009E2C64">
        <w:rPr>
          <w:szCs w:val="18"/>
          <w:lang w:val="nl-NL"/>
        </w:rPr>
        <w:t xml:space="preserve"> (bv. drugs of alcohol)</w:t>
      </w:r>
      <w:r w:rsidR="002E585E" w:rsidRPr="009E2C64">
        <w:rPr>
          <w:szCs w:val="18"/>
          <w:lang w:val="nl-NL"/>
        </w:rPr>
        <w:t>.</w:t>
      </w:r>
      <w:r w:rsidR="002347D5" w:rsidRPr="000B4AB2">
        <w:rPr>
          <w:rStyle w:val="FootnoteReference"/>
          <w:szCs w:val="18"/>
          <w:lang w:val="nl-NL"/>
        </w:rPr>
        <w:footnoteReference w:id="426"/>
      </w:r>
    </w:p>
    <w:p w14:paraId="43BF2C56" w14:textId="77777777" w:rsidR="00EA51B5" w:rsidRPr="000B4AB2" w:rsidRDefault="00EA51B5" w:rsidP="00260F11">
      <w:pPr>
        <w:pStyle w:val="ListParagraph"/>
        <w:spacing w:line="360" w:lineRule="auto"/>
        <w:ind w:left="0"/>
        <w:rPr>
          <w:color w:val="000000" w:themeColor="text1"/>
          <w:szCs w:val="18"/>
          <w:lang w:val="nl-NL"/>
        </w:rPr>
      </w:pPr>
    </w:p>
    <w:p w14:paraId="15487A8E" w14:textId="45D55B41" w:rsidR="001359E8" w:rsidRDefault="00253476" w:rsidP="00260F11">
      <w:pPr>
        <w:pStyle w:val="ListParagraph"/>
        <w:numPr>
          <w:ilvl w:val="0"/>
          <w:numId w:val="1"/>
        </w:numPr>
        <w:spacing w:line="360" w:lineRule="auto"/>
        <w:ind w:left="0" w:hanging="709"/>
        <w:rPr>
          <w:color w:val="000000" w:themeColor="text1"/>
          <w:szCs w:val="18"/>
          <w:lang w:val="nl-NL"/>
        </w:rPr>
      </w:pPr>
      <w:r w:rsidRPr="00EF48C6">
        <w:rPr>
          <w:b/>
          <w:color w:val="000000" w:themeColor="text1"/>
          <w:szCs w:val="18"/>
          <w:lang w:val="nl-NL"/>
        </w:rPr>
        <w:t xml:space="preserve">(3) </w:t>
      </w:r>
      <w:r w:rsidR="00552A59">
        <w:rPr>
          <w:b/>
          <w:color w:val="000000" w:themeColor="text1"/>
          <w:szCs w:val="18"/>
          <w:lang w:val="nl-NL"/>
        </w:rPr>
        <w:t>Definitie</w:t>
      </w:r>
      <w:r w:rsidRPr="00EF48C6">
        <w:rPr>
          <w:color w:val="000000" w:themeColor="text1"/>
          <w:szCs w:val="18"/>
          <w:lang w:val="nl-NL"/>
        </w:rPr>
        <w:t xml:space="preserve">. </w:t>
      </w:r>
      <w:r w:rsidR="00F80856" w:rsidRPr="00EF48C6">
        <w:rPr>
          <w:color w:val="000000" w:themeColor="text1"/>
          <w:szCs w:val="18"/>
          <w:lang w:val="nl-NL"/>
        </w:rPr>
        <w:t>Indien geen van de vermoedens van afwezigheid van toestemming van toepassing is, wordt teruggevallen op de definitie van toestemming</w:t>
      </w:r>
      <w:r w:rsidR="0055460A" w:rsidRPr="00EF48C6">
        <w:rPr>
          <w:color w:val="000000" w:themeColor="text1"/>
          <w:szCs w:val="18"/>
          <w:lang w:val="nl-NL"/>
        </w:rPr>
        <w:t>: “</w:t>
      </w:r>
      <w:r w:rsidR="00056C69" w:rsidRPr="00EF48C6">
        <w:rPr>
          <w:i/>
          <w:szCs w:val="18"/>
          <w:lang w:val="nl-NL"/>
        </w:rPr>
        <w:t>(…)</w:t>
      </w:r>
      <w:r w:rsidR="00072B9F" w:rsidRPr="00EF48C6">
        <w:rPr>
          <w:i/>
          <w:szCs w:val="18"/>
          <w:lang w:val="nl-NL"/>
        </w:rPr>
        <w:t xml:space="preserve"> a person consents if he agrees by choice, and has the freedom and capacity to make that choice</w:t>
      </w:r>
      <w:r w:rsidR="00072B9F" w:rsidRPr="00EF48C6">
        <w:rPr>
          <w:szCs w:val="18"/>
          <w:lang w:val="nl-NL"/>
        </w:rPr>
        <w:t>.”</w:t>
      </w:r>
      <w:r w:rsidR="00552A59">
        <w:rPr>
          <w:rStyle w:val="FootnoteReference"/>
          <w:szCs w:val="18"/>
          <w:lang w:val="nl-NL"/>
        </w:rPr>
        <w:footnoteReference w:id="427"/>
      </w:r>
      <w:r w:rsidR="00B400F0" w:rsidRPr="00EF48C6">
        <w:rPr>
          <w:szCs w:val="18"/>
          <w:lang w:val="nl-NL"/>
        </w:rPr>
        <w:t xml:space="preserve"> </w:t>
      </w:r>
      <w:r w:rsidR="00242D18">
        <w:rPr>
          <w:color w:val="000000" w:themeColor="text1"/>
          <w:szCs w:val="18"/>
          <w:lang w:val="nl-NL"/>
        </w:rPr>
        <w:t>Van</w:t>
      </w:r>
      <w:r w:rsidR="00F80856" w:rsidRPr="00EF48C6">
        <w:rPr>
          <w:color w:val="000000" w:themeColor="text1"/>
          <w:szCs w:val="18"/>
          <w:lang w:val="nl-NL"/>
        </w:rPr>
        <w:t xml:space="preserve"> een geldige toestemming </w:t>
      </w:r>
      <w:r w:rsidR="00242D18">
        <w:rPr>
          <w:color w:val="000000" w:themeColor="text1"/>
          <w:szCs w:val="18"/>
          <w:lang w:val="nl-NL"/>
        </w:rPr>
        <w:t>is dus maar sprake wanneer</w:t>
      </w:r>
      <w:r w:rsidR="00F80856" w:rsidRPr="00EF48C6">
        <w:rPr>
          <w:color w:val="000000" w:themeColor="text1"/>
          <w:szCs w:val="18"/>
          <w:lang w:val="nl-NL"/>
        </w:rPr>
        <w:t xml:space="preserve"> </w:t>
      </w:r>
      <w:r w:rsidR="00242D18">
        <w:rPr>
          <w:color w:val="000000" w:themeColor="text1"/>
          <w:szCs w:val="18"/>
          <w:lang w:val="nl-NL"/>
        </w:rPr>
        <w:t>een persoon ervoor kiest</w:t>
      </w:r>
      <w:r w:rsidR="00F80856" w:rsidRPr="00EF48C6">
        <w:rPr>
          <w:color w:val="000000" w:themeColor="text1"/>
          <w:szCs w:val="18"/>
          <w:lang w:val="nl-NL"/>
        </w:rPr>
        <w:t xml:space="preserve"> </w:t>
      </w:r>
      <w:r w:rsidR="00242D18">
        <w:rPr>
          <w:color w:val="000000" w:themeColor="text1"/>
          <w:szCs w:val="18"/>
          <w:lang w:val="nl-NL"/>
        </w:rPr>
        <w:t>akkoord te gaan</w:t>
      </w:r>
      <w:r w:rsidR="00F80856" w:rsidRPr="00EF48C6">
        <w:rPr>
          <w:color w:val="000000" w:themeColor="text1"/>
          <w:szCs w:val="18"/>
          <w:lang w:val="nl-NL"/>
        </w:rPr>
        <w:t xml:space="preserve"> uit vrije wil </w:t>
      </w:r>
      <w:r w:rsidR="00242D18">
        <w:rPr>
          <w:color w:val="000000" w:themeColor="text1"/>
          <w:szCs w:val="18"/>
          <w:lang w:val="nl-NL"/>
        </w:rPr>
        <w:t>en</w:t>
      </w:r>
      <w:r w:rsidR="00F80856" w:rsidRPr="00EF48C6">
        <w:rPr>
          <w:color w:val="000000" w:themeColor="text1"/>
          <w:szCs w:val="18"/>
          <w:lang w:val="nl-NL"/>
        </w:rPr>
        <w:t xml:space="preserve"> daartoe bekwaam is. Dit dient </w:t>
      </w:r>
      <w:r w:rsidR="006E5B70" w:rsidRPr="00EF48C6">
        <w:rPr>
          <w:i/>
          <w:color w:val="000000" w:themeColor="text1"/>
          <w:szCs w:val="18"/>
          <w:lang w:val="nl-NL"/>
        </w:rPr>
        <w:t>in concreto</w:t>
      </w:r>
      <w:r w:rsidR="006E5B70" w:rsidRPr="00EF48C6">
        <w:rPr>
          <w:color w:val="000000" w:themeColor="text1"/>
          <w:szCs w:val="18"/>
          <w:lang w:val="nl-NL"/>
        </w:rPr>
        <w:t xml:space="preserve"> </w:t>
      </w:r>
      <w:r w:rsidR="00F80856" w:rsidRPr="00EF48C6">
        <w:rPr>
          <w:color w:val="000000" w:themeColor="text1"/>
          <w:szCs w:val="18"/>
          <w:lang w:val="nl-NL"/>
        </w:rPr>
        <w:t xml:space="preserve">te worden beoordeeld. </w:t>
      </w:r>
      <w:r w:rsidR="00EF48C6" w:rsidRPr="00EF48C6">
        <w:rPr>
          <w:color w:val="000000" w:themeColor="text1"/>
          <w:szCs w:val="18"/>
          <w:lang w:val="nl-NL"/>
        </w:rPr>
        <w:t xml:space="preserve">Voorbeelden </w:t>
      </w:r>
      <w:r w:rsidR="00AA3B48">
        <w:rPr>
          <w:color w:val="000000" w:themeColor="text1"/>
          <w:szCs w:val="18"/>
          <w:lang w:val="nl-NL"/>
        </w:rPr>
        <w:t xml:space="preserve">uit de rechtspraak waarin vaak discussie is </w:t>
      </w:r>
      <w:r w:rsidR="006E5B70">
        <w:rPr>
          <w:color w:val="000000" w:themeColor="text1"/>
          <w:szCs w:val="18"/>
          <w:lang w:val="nl-NL"/>
        </w:rPr>
        <w:t>hier</w:t>
      </w:r>
      <w:r w:rsidR="00AA3B48">
        <w:rPr>
          <w:color w:val="000000" w:themeColor="text1"/>
          <w:szCs w:val="18"/>
          <w:lang w:val="nl-NL"/>
        </w:rPr>
        <w:t xml:space="preserve">omtrent </w:t>
      </w:r>
      <w:r w:rsidR="00EF48C6" w:rsidRPr="00EF48C6">
        <w:rPr>
          <w:color w:val="000000" w:themeColor="text1"/>
          <w:szCs w:val="18"/>
          <w:lang w:val="nl-NL"/>
        </w:rPr>
        <w:t>zijn misleiding</w:t>
      </w:r>
      <w:r w:rsidR="00EF48C6" w:rsidRPr="00EF48C6">
        <w:rPr>
          <w:rStyle w:val="FootnoteReference"/>
          <w:color w:val="000000" w:themeColor="text1"/>
          <w:szCs w:val="18"/>
          <w:lang w:val="nl-NL"/>
        </w:rPr>
        <w:footnoteReference w:id="428"/>
      </w:r>
      <w:r w:rsidR="00EF48C6" w:rsidRPr="00EF48C6">
        <w:rPr>
          <w:color w:val="000000" w:themeColor="text1"/>
          <w:szCs w:val="18"/>
          <w:lang w:val="nl-NL"/>
        </w:rPr>
        <w:t xml:space="preserve"> van het slachtoffer door de dader, of indien het slachtoffer zich in een verregaande staat van dronkenschap</w:t>
      </w:r>
      <w:r w:rsidR="00AA3B48">
        <w:rPr>
          <w:rStyle w:val="FootnoteReference"/>
          <w:color w:val="000000" w:themeColor="text1"/>
          <w:szCs w:val="18"/>
          <w:lang w:val="nl-NL"/>
        </w:rPr>
        <w:footnoteReference w:id="429"/>
      </w:r>
      <w:r w:rsidR="00EF48C6" w:rsidRPr="00EF48C6">
        <w:rPr>
          <w:color w:val="000000" w:themeColor="text1"/>
          <w:szCs w:val="18"/>
          <w:lang w:val="nl-NL"/>
        </w:rPr>
        <w:t xml:space="preserve"> bevond. </w:t>
      </w:r>
      <w:r w:rsidR="001359E8">
        <w:rPr>
          <w:color w:val="000000" w:themeColor="text1"/>
          <w:szCs w:val="18"/>
          <w:lang w:val="nl-NL"/>
        </w:rPr>
        <w:t>De</w:t>
      </w:r>
      <w:r w:rsidR="00EF48C6" w:rsidRPr="00EF48C6">
        <w:rPr>
          <w:color w:val="000000" w:themeColor="text1"/>
          <w:szCs w:val="18"/>
          <w:lang w:val="nl-NL"/>
        </w:rPr>
        <w:t xml:space="preserve"> afwezigheid van verweer</w:t>
      </w:r>
      <w:r w:rsidR="001359E8">
        <w:rPr>
          <w:color w:val="000000" w:themeColor="text1"/>
          <w:szCs w:val="18"/>
          <w:lang w:val="nl-NL"/>
        </w:rPr>
        <w:t xml:space="preserve"> impliceert</w:t>
      </w:r>
      <w:r w:rsidR="00EF48C6" w:rsidRPr="00EF48C6">
        <w:rPr>
          <w:color w:val="000000" w:themeColor="text1"/>
          <w:szCs w:val="18"/>
          <w:lang w:val="nl-NL"/>
        </w:rPr>
        <w:t xml:space="preserve"> geen toestemming.</w:t>
      </w:r>
      <w:r w:rsidR="00AA3B48">
        <w:rPr>
          <w:rStyle w:val="FootnoteReference"/>
          <w:color w:val="000000" w:themeColor="text1"/>
          <w:szCs w:val="18"/>
          <w:lang w:val="nl-NL"/>
        </w:rPr>
        <w:footnoteReference w:id="430"/>
      </w:r>
    </w:p>
    <w:p w14:paraId="189266D7" w14:textId="77777777" w:rsidR="001359E8" w:rsidRPr="001359E8" w:rsidRDefault="001359E8" w:rsidP="00260F11">
      <w:pPr>
        <w:pStyle w:val="ListParagraph"/>
        <w:spacing w:line="360" w:lineRule="auto"/>
        <w:rPr>
          <w:color w:val="000000" w:themeColor="text1"/>
          <w:szCs w:val="18"/>
          <w:highlight w:val="yellow"/>
          <w:lang w:val="nl-NL"/>
        </w:rPr>
      </w:pPr>
    </w:p>
    <w:p w14:paraId="469DDF9D" w14:textId="55C2960D" w:rsidR="00290DB4" w:rsidRDefault="006241E0"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(4) </w:t>
      </w:r>
      <w:r w:rsidR="00266126">
        <w:rPr>
          <w:b/>
          <w:color w:val="000000" w:themeColor="text1"/>
          <w:szCs w:val="18"/>
          <w:lang w:val="nl-NL"/>
        </w:rPr>
        <w:t>Seksuele meerderjarigheid</w:t>
      </w:r>
      <w:r w:rsidR="004B25D8">
        <w:rPr>
          <w:color w:val="000000" w:themeColor="text1"/>
          <w:szCs w:val="18"/>
          <w:lang w:val="nl-NL"/>
        </w:rPr>
        <w:t xml:space="preserve">. </w:t>
      </w:r>
      <w:r w:rsidR="007F08F5">
        <w:rPr>
          <w:color w:val="000000" w:themeColor="text1"/>
          <w:szCs w:val="18"/>
          <w:lang w:val="nl-NL"/>
        </w:rPr>
        <w:t>Tot slot</w:t>
      </w:r>
      <w:r w:rsidR="00610C64" w:rsidRPr="00C6408D">
        <w:rPr>
          <w:color w:val="000000" w:themeColor="text1"/>
          <w:szCs w:val="18"/>
          <w:lang w:val="nl-NL"/>
        </w:rPr>
        <w:t xml:space="preserve"> dient </w:t>
      </w:r>
      <w:r w:rsidR="00FF660A" w:rsidRPr="00C6408D">
        <w:rPr>
          <w:color w:val="000000" w:themeColor="text1"/>
          <w:szCs w:val="18"/>
          <w:lang w:val="nl-NL"/>
        </w:rPr>
        <w:t>te worden gewezen op de toestemming die uitgaat van een minderjarige.</w:t>
      </w:r>
      <w:r w:rsidR="00610C64" w:rsidRPr="00C6408D">
        <w:rPr>
          <w:color w:val="000000" w:themeColor="text1"/>
          <w:szCs w:val="18"/>
          <w:lang w:val="nl-NL"/>
        </w:rPr>
        <w:t xml:space="preserve"> In het Brits recht wordt een onderscheid gemaakt naargelang de leeftijd van de minderjarige. Zo wordt d</w:t>
      </w:r>
      <w:r w:rsidR="00FF660A" w:rsidRPr="00C6408D">
        <w:rPr>
          <w:color w:val="000000" w:themeColor="text1"/>
          <w:szCs w:val="18"/>
          <w:lang w:val="nl-NL"/>
        </w:rPr>
        <w:t xml:space="preserve">e mindertienjarige onweerlegbaar </w:t>
      </w:r>
      <w:r w:rsidR="007F08F5">
        <w:rPr>
          <w:color w:val="000000" w:themeColor="text1"/>
          <w:szCs w:val="18"/>
          <w:lang w:val="nl-NL"/>
        </w:rPr>
        <w:t>vermoed</w:t>
      </w:r>
      <w:r w:rsidR="00FF660A" w:rsidRPr="00C6408D">
        <w:rPr>
          <w:color w:val="000000" w:themeColor="text1"/>
          <w:szCs w:val="18"/>
          <w:lang w:val="nl-NL"/>
        </w:rPr>
        <w:t xml:space="preserve"> niet te kunne</w:t>
      </w:r>
      <w:r w:rsidR="003C5952" w:rsidRPr="00C6408D">
        <w:rPr>
          <w:color w:val="000000" w:themeColor="text1"/>
          <w:szCs w:val="18"/>
          <w:lang w:val="nl-NL"/>
        </w:rPr>
        <w:t>n toestemmen</w:t>
      </w:r>
      <w:r w:rsidR="00610C64" w:rsidRPr="00C6408D">
        <w:rPr>
          <w:color w:val="000000" w:themeColor="text1"/>
          <w:szCs w:val="18"/>
          <w:lang w:val="nl-NL"/>
        </w:rPr>
        <w:t xml:space="preserve"> met seksuele handelingen</w:t>
      </w:r>
      <w:r w:rsidR="003C5952" w:rsidRPr="00C6408D">
        <w:rPr>
          <w:color w:val="000000" w:themeColor="text1"/>
          <w:szCs w:val="18"/>
          <w:lang w:val="nl-NL"/>
        </w:rPr>
        <w:t>.</w:t>
      </w:r>
      <w:r w:rsidR="008A51D4" w:rsidRPr="00C6408D">
        <w:rPr>
          <w:rStyle w:val="FootnoteReference"/>
          <w:color w:val="000000" w:themeColor="text1"/>
          <w:szCs w:val="18"/>
          <w:lang w:val="nl-NL"/>
        </w:rPr>
        <w:footnoteReference w:id="431"/>
      </w:r>
      <w:r w:rsidR="00FF660A" w:rsidRPr="00C6408D">
        <w:rPr>
          <w:color w:val="000000" w:themeColor="text1"/>
          <w:szCs w:val="18"/>
          <w:lang w:val="nl-NL"/>
        </w:rPr>
        <w:t xml:space="preserve"> </w:t>
      </w:r>
      <w:r w:rsidR="003C5952" w:rsidRPr="00C6408D">
        <w:rPr>
          <w:color w:val="000000" w:themeColor="text1"/>
          <w:szCs w:val="18"/>
          <w:lang w:val="nl-NL"/>
        </w:rPr>
        <w:t xml:space="preserve">Ook voor een minzestienjarige (ouder dan dertien) vermoedt de wetgever dat deze niet heeft toegestemd met de desbetreffende gedraging. De </w:t>
      </w:r>
      <w:r w:rsidR="00610C64" w:rsidRPr="00C6408D">
        <w:rPr>
          <w:color w:val="000000" w:themeColor="text1"/>
          <w:szCs w:val="18"/>
          <w:lang w:val="nl-NL"/>
        </w:rPr>
        <w:t>handeling</w:t>
      </w:r>
      <w:r w:rsidR="003C5952" w:rsidRPr="00C6408D">
        <w:rPr>
          <w:color w:val="000000" w:themeColor="text1"/>
          <w:szCs w:val="18"/>
          <w:lang w:val="nl-NL"/>
        </w:rPr>
        <w:t xml:space="preserve"> zal evenwel </w:t>
      </w:r>
      <w:r w:rsidR="003C5952" w:rsidRPr="00C6408D">
        <w:rPr>
          <w:color w:val="000000" w:themeColor="text1"/>
          <w:szCs w:val="18"/>
          <w:lang w:val="nl-NL"/>
        </w:rPr>
        <w:lastRenderedPageBreak/>
        <w:t xml:space="preserve">niet </w:t>
      </w:r>
      <w:r w:rsidR="003C5952" w:rsidRPr="0097503B">
        <w:rPr>
          <w:color w:val="000000" w:themeColor="text1"/>
          <w:szCs w:val="18"/>
          <w:lang w:val="nl-NL"/>
        </w:rPr>
        <w:t>strafbaar zijn wanneer de “dader” redelijkerwijze kon geloven</w:t>
      </w:r>
      <w:r w:rsidR="009C4C3F" w:rsidRPr="0097503B">
        <w:rPr>
          <w:rStyle w:val="FootnoteReference"/>
          <w:color w:val="000000" w:themeColor="text1"/>
          <w:szCs w:val="18"/>
          <w:lang w:val="nl-NL"/>
        </w:rPr>
        <w:footnoteReference w:id="432"/>
      </w:r>
      <w:r w:rsidR="003C5952" w:rsidRPr="0097503B">
        <w:rPr>
          <w:color w:val="000000" w:themeColor="text1"/>
          <w:szCs w:val="18"/>
          <w:lang w:val="nl-NL"/>
        </w:rPr>
        <w:t xml:space="preserve"> dat het slachtoffer zestien jaar was of ouder</w:t>
      </w:r>
      <w:r w:rsidR="00610C64" w:rsidRPr="0097503B">
        <w:rPr>
          <w:color w:val="000000" w:themeColor="text1"/>
          <w:szCs w:val="18"/>
          <w:lang w:val="nl-NL"/>
        </w:rPr>
        <w:t>.</w:t>
      </w:r>
      <w:r w:rsidR="009C4C3F" w:rsidRPr="0097503B">
        <w:rPr>
          <w:rStyle w:val="FootnoteReference"/>
          <w:color w:val="000000" w:themeColor="text1"/>
          <w:szCs w:val="18"/>
          <w:lang w:val="nl-NL"/>
        </w:rPr>
        <w:footnoteReference w:id="433"/>
      </w:r>
      <w:r w:rsidR="00C6408D" w:rsidRPr="0097503B">
        <w:rPr>
          <w:color w:val="000000" w:themeColor="text1"/>
          <w:szCs w:val="18"/>
          <w:lang w:val="nl-NL"/>
        </w:rPr>
        <w:t xml:space="preserve"> Tot slot worden </w:t>
      </w:r>
      <w:r w:rsidR="007F08F5" w:rsidRPr="0097503B">
        <w:rPr>
          <w:color w:val="000000" w:themeColor="text1"/>
          <w:szCs w:val="18"/>
          <w:lang w:val="nl-NL"/>
        </w:rPr>
        <w:t xml:space="preserve">alle </w:t>
      </w:r>
      <w:r w:rsidR="00C6408D" w:rsidRPr="0097503B">
        <w:rPr>
          <w:color w:val="000000" w:themeColor="text1"/>
          <w:szCs w:val="18"/>
          <w:lang w:val="nl-NL"/>
        </w:rPr>
        <w:t>minderjarigen geacht</w:t>
      </w:r>
      <w:r w:rsidR="006056B4">
        <w:rPr>
          <w:rStyle w:val="FootnoteReference"/>
          <w:color w:val="000000" w:themeColor="text1"/>
          <w:szCs w:val="18"/>
          <w:lang w:val="nl-NL"/>
        </w:rPr>
        <w:footnoteReference w:id="434"/>
      </w:r>
      <w:r w:rsidR="00C6408D" w:rsidRPr="0097503B">
        <w:rPr>
          <w:color w:val="000000" w:themeColor="text1"/>
          <w:szCs w:val="18"/>
          <w:lang w:val="nl-NL"/>
        </w:rPr>
        <w:t xml:space="preserve"> niet te kunnen toestemmen met dergelijke handelingen </w:t>
      </w:r>
      <w:r w:rsidR="007F08F5" w:rsidRPr="0097503B">
        <w:rPr>
          <w:color w:val="000000" w:themeColor="text1"/>
          <w:szCs w:val="18"/>
          <w:lang w:val="nl-NL"/>
        </w:rPr>
        <w:t>i.g.v. een</w:t>
      </w:r>
      <w:r w:rsidR="00C6408D" w:rsidRPr="0097503B">
        <w:rPr>
          <w:color w:val="000000" w:themeColor="text1"/>
          <w:szCs w:val="18"/>
          <w:lang w:val="nl-NL"/>
        </w:rPr>
        <w:t xml:space="preserve"> welbepaalde dader, </w:t>
      </w:r>
      <w:r w:rsidR="007F08F5" w:rsidRPr="0097503B">
        <w:rPr>
          <w:color w:val="000000" w:themeColor="text1"/>
          <w:szCs w:val="18"/>
          <w:lang w:val="nl-NL"/>
        </w:rPr>
        <w:t>zoals</w:t>
      </w:r>
      <w:r w:rsidR="00C6408D" w:rsidRPr="0097503B">
        <w:rPr>
          <w:color w:val="000000" w:themeColor="text1"/>
          <w:szCs w:val="18"/>
          <w:lang w:val="nl-NL"/>
        </w:rPr>
        <w:t xml:space="preserve"> de ouder </w:t>
      </w:r>
      <w:r w:rsidR="0097503B">
        <w:rPr>
          <w:color w:val="000000" w:themeColor="text1"/>
          <w:szCs w:val="18"/>
          <w:lang w:val="nl-NL"/>
        </w:rPr>
        <w:t>van het slachtoffer</w:t>
      </w:r>
      <w:r w:rsidR="00C6408D" w:rsidRPr="0097503B">
        <w:rPr>
          <w:color w:val="000000" w:themeColor="text1"/>
          <w:szCs w:val="18"/>
          <w:lang w:val="nl-NL"/>
        </w:rPr>
        <w:t>.</w:t>
      </w:r>
      <w:r w:rsidR="007F08F5" w:rsidRPr="0097503B">
        <w:rPr>
          <w:rStyle w:val="FootnoteReference"/>
          <w:color w:val="000000" w:themeColor="text1"/>
          <w:szCs w:val="18"/>
          <w:lang w:val="nl-NL"/>
        </w:rPr>
        <w:footnoteReference w:id="435"/>
      </w:r>
      <w:r w:rsidR="00290DB4">
        <w:rPr>
          <w:color w:val="000000" w:themeColor="text1"/>
          <w:szCs w:val="18"/>
          <w:lang w:val="nl-NL"/>
        </w:rPr>
        <w:t xml:space="preserve"> </w:t>
      </w:r>
    </w:p>
    <w:p w14:paraId="31985304" w14:textId="77777777" w:rsidR="00290DB4" w:rsidRPr="00290DB4" w:rsidRDefault="00290DB4" w:rsidP="00260F11">
      <w:pPr>
        <w:pStyle w:val="ListParagraph"/>
        <w:spacing w:line="360" w:lineRule="auto"/>
        <w:rPr>
          <w:color w:val="000000" w:themeColor="text1"/>
          <w:szCs w:val="18"/>
          <w:lang w:val="nl-NL"/>
        </w:rPr>
      </w:pPr>
    </w:p>
    <w:p w14:paraId="1BFB947B" w14:textId="39CB4835" w:rsidR="00F03F09" w:rsidRPr="0097503B" w:rsidRDefault="00290DB4" w:rsidP="00260F11">
      <w:pPr>
        <w:pStyle w:val="ListParagraph"/>
        <w:spacing w:line="360" w:lineRule="auto"/>
        <w:ind w:left="0"/>
        <w:rPr>
          <w:color w:val="000000" w:themeColor="text1"/>
          <w:szCs w:val="18"/>
          <w:lang w:val="nl-NL"/>
        </w:rPr>
      </w:pPr>
      <w:r>
        <w:rPr>
          <w:color w:val="000000" w:themeColor="text1"/>
          <w:szCs w:val="18"/>
          <w:lang w:val="nl-NL"/>
        </w:rPr>
        <w:t>De principiële leeftijdsgrens van seksuele meerderjarigheid in het VK ligt bijgevolg op zestien jaar.</w:t>
      </w:r>
      <w:r>
        <w:rPr>
          <w:rStyle w:val="FootnoteReference"/>
          <w:color w:val="000000" w:themeColor="text1"/>
          <w:szCs w:val="18"/>
          <w:lang w:val="nl-NL"/>
        </w:rPr>
        <w:footnoteReference w:id="436"/>
      </w:r>
    </w:p>
    <w:p w14:paraId="0AC64EB2" w14:textId="77777777" w:rsidR="006C3BB9" w:rsidRPr="00B30129" w:rsidRDefault="006C3BB9" w:rsidP="00260F11">
      <w:pPr>
        <w:pStyle w:val="ListParagraph"/>
        <w:spacing w:line="360" w:lineRule="auto"/>
        <w:ind w:left="0"/>
        <w:rPr>
          <w:color w:val="000000" w:themeColor="text1"/>
          <w:szCs w:val="18"/>
          <w:lang w:val="nl-NL"/>
        </w:rPr>
      </w:pPr>
    </w:p>
    <w:p w14:paraId="773AB2FB" w14:textId="764F1A71" w:rsidR="00C97B53" w:rsidRPr="000B4AB2" w:rsidRDefault="00C97B53" w:rsidP="00260F11">
      <w:pPr>
        <w:pStyle w:val="Heading5"/>
        <w:spacing w:line="360" w:lineRule="auto"/>
        <w:rPr>
          <w:szCs w:val="18"/>
          <w:lang w:val="nl-NL"/>
        </w:rPr>
      </w:pPr>
      <w:bookmarkStart w:id="49" w:name="_Toc135041079"/>
      <w:r w:rsidRPr="000B4AB2">
        <w:rPr>
          <w:szCs w:val="18"/>
          <w:lang w:val="nl-NL"/>
        </w:rPr>
        <w:t>Moreel bestanddeel</w:t>
      </w:r>
      <w:bookmarkEnd w:id="49"/>
    </w:p>
    <w:p w14:paraId="1EA54792" w14:textId="4233098C" w:rsidR="00C97B53" w:rsidRPr="000B4AB2" w:rsidRDefault="00C97B53" w:rsidP="00260F11">
      <w:pPr>
        <w:pStyle w:val="ListParagraph"/>
        <w:spacing w:line="360" w:lineRule="auto"/>
        <w:ind w:left="0"/>
        <w:rPr>
          <w:color w:val="000000" w:themeColor="text1"/>
          <w:szCs w:val="18"/>
          <w:lang w:val="nl-NL"/>
        </w:rPr>
      </w:pPr>
    </w:p>
    <w:p w14:paraId="1D4964A6" w14:textId="2F6F5A93" w:rsidR="004A1356" w:rsidRDefault="004A1356"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Voor elk van de vier misdrijven </w:t>
      </w:r>
      <w:r w:rsidR="00C345FC">
        <w:rPr>
          <w:color w:val="000000" w:themeColor="text1"/>
          <w:szCs w:val="18"/>
          <w:lang w:val="nl-NL"/>
        </w:rPr>
        <w:t xml:space="preserve">naar Brits recht </w:t>
      </w:r>
      <w:r>
        <w:rPr>
          <w:color w:val="000000" w:themeColor="text1"/>
          <w:szCs w:val="18"/>
          <w:lang w:val="nl-NL"/>
        </w:rPr>
        <w:t xml:space="preserve">die in deze masterscriptie worden uiteengezet, is hetzelfde moreel bestanddeel vereist. Hetgeen </w:t>
      </w:r>
      <w:r w:rsidR="00C345FC">
        <w:rPr>
          <w:color w:val="000000" w:themeColor="text1"/>
          <w:szCs w:val="18"/>
          <w:lang w:val="nl-NL"/>
        </w:rPr>
        <w:t>hierna volgt</w:t>
      </w:r>
      <w:r>
        <w:rPr>
          <w:color w:val="000000" w:themeColor="text1"/>
          <w:szCs w:val="18"/>
          <w:lang w:val="nl-NL"/>
        </w:rPr>
        <w:t>, geldt bijgevolg evenzeer voor de andere misdrijven.</w:t>
      </w:r>
    </w:p>
    <w:p w14:paraId="1630C689" w14:textId="6A50152E" w:rsidR="0065557D" w:rsidRPr="0065557D" w:rsidRDefault="004A1356" w:rsidP="00260F11">
      <w:pPr>
        <w:pStyle w:val="ListParagraph"/>
        <w:spacing w:line="360" w:lineRule="auto"/>
        <w:ind w:left="0"/>
        <w:rPr>
          <w:color w:val="000000" w:themeColor="text1"/>
          <w:szCs w:val="18"/>
          <w:lang w:val="nl-NL"/>
        </w:rPr>
      </w:pPr>
      <w:r>
        <w:rPr>
          <w:color w:val="000000" w:themeColor="text1"/>
          <w:szCs w:val="18"/>
          <w:lang w:val="nl-NL"/>
        </w:rPr>
        <w:t xml:space="preserve">  </w:t>
      </w:r>
    </w:p>
    <w:p w14:paraId="035EE4A2" w14:textId="6BD8B95A" w:rsidR="001A004E" w:rsidRPr="000B4AB2" w:rsidRDefault="00CC0404"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Opzettelijk</w:t>
      </w:r>
      <w:r w:rsidR="00CC496E" w:rsidRPr="000B4AB2">
        <w:rPr>
          <w:color w:val="000000" w:themeColor="text1"/>
          <w:szCs w:val="18"/>
          <w:lang w:val="nl-NL"/>
        </w:rPr>
        <w:t xml:space="preserve">. </w:t>
      </w:r>
      <w:r w:rsidR="00E1052A">
        <w:rPr>
          <w:color w:val="000000" w:themeColor="text1"/>
          <w:szCs w:val="18"/>
          <w:lang w:val="nl-NL"/>
        </w:rPr>
        <w:t>De</w:t>
      </w:r>
      <w:r w:rsidR="00CC496E" w:rsidRPr="000B4AB2">
        <w:rPr>
          <w:color w:val="000000" w:themeColor="text1"/>
          <w:szCs w:val="18"/>
          <w:lang w:val="nl-NL"/>
        </w:rPr>
        <w:t xml:space="preserve"> dader </w:t>
      </w:r>
      <w:r w:rsidR="00E1052A">
        <w:rPr>
          <w:color w:val="000000" w:themeColor="text1"/>
          <w:szCs w:val="18"/>
          <w:lang w:val="nl-NL"/>
        </w:rPr>
        <w:t xml:space="preserve">moet </w:t>
      </w:r>
      <w:r w:rsidR="00CC496E" w:rsidRPr="000B4AB2">
        <w:rPr>
          <w:color w:val="000000" w:themeColor="text1"/>
          <w:szCs w:val="18"/>
          <w:lang w:val="nl-NL"/>
        </w:rPr>
        <w:t>de</w:t>
      </w:r>
      <w:r w:rsidR="00A94B6D">
        <w:rPr>
          <w:color w:val="000000" w:themeColor="text1"/>
          <w:szCs w:val="18"/>
          <w:lang w:val="nl-NL"/>
        </w:rPr>
        <w:t xml:space="preserve"> </w:t>
      </w:r>
      <w:r w:rsidR="0003345E" w:rsidRPr="000B4AB2">
        <w:rPr>
          <w:color w:val="000000" w:themeColor="text1"/>
          <w:szCs w:val="18"/>
          <w:lang w:val="nl-NL"/>
        </w:rPr>
        <w:t>gedraging</w:t>
      </w:r>
      <w:r w:rsidR="00A93D45" w:rsidRPr="000B4AB2">
        <w:rPr>
          <w:color w:val="000000" w:themeColor="text1"/>
          <w:szCs w:val="18"/>
          <w:lang w:val="nl-NL"/>
        </w:rPr>
        <w:t xml:space="preserve"> </w:t>
      </w:r>
      <w:r w:rsidR="00AC5D76" w:rsidRPr="000B4AB2">
        <w:rPr>
          <w:color w:val="000000" w:themeColor="text1"/>
          <w:szCs w:val="18"/>
          <w:lang w:val="nl-NL"/>
        </w:rPr>
        <w:t>opzettelijk</w:t>
      </w:r>
      <w:r w:rsidR="00A93D45" w:rsidRPr="000B4AB2">
        <w:rPr>
          <w:color w:val="000000" w:themeColor="text1"/>
          <w:szCs w:val="18"/>
          <w:lang w:val="nl-NL"/>
        </w:rPr>
        <w:t xml:space="preserve"> </w:t>
      </w:r>
      <w:r w:rsidR="0003345E" w:rsidRPr="000B4AB2">
        <w:rPr>
          <w:color w:val="000000" w:themeColor="text1"/>
          <w:szCs w:val="18"/>
          <w:lang w:val="nl-NL"/>
        </w:rPr>
        <w:t>hebben gesteld</w:t>
      </w:r>
      <w:r w:rsidR="00CC496E" w:rsidRPr="000B4AB2">
        <w:rPr>
          <w:color w:val="000000" w:themeColor="text1"/>
          <w:szCs w:val="18"/>
          <w:lang w:val="nl-NL"/>
        </w:rPr>
        <w:t>.</w:t>
      </w:r>
      <w:r w:rsidR="00A93D45" w:rsidRPr="000B4AB2">
        <w:rPr>
          <w:rStyle w:val="FootnoteReference"/>
          <w:color w:val="000000" w:themeColor="text1"/>
          <w:szCs w:val="18"/>
          <w:lang w:val="nl-NL"/>
        </w:rPr>
        <w:footnoteReference w:id="437"/>
      </w:r>
      <w:r w:rsidR="00CC496E" w:rsidRPr="000B4AB2">
        <w:rPr>
          <w:color w:val="000000" w:themeColor="text1"/>
          <w:szCs w:val="18"/>
          <w:lang w:val="nl-NL"/>
        </w:rPr>
        <w:t xml:space="preserve"> </w:t>
      </w:r>
      <w:r w:rsidR="00A94B6D">
        <w:rPr>
          <w:color w:val="000000" w:themeColor="text1"/>
          <w:szCs w:val="18"/>
          <w:lang w:val="nl-NL"/>
        </w:rPr>
        <w:t>De</w:t>
      </w:r>
      <w:r w:rsidR="00CC496E" w:rsidRPr="000B4AB2">
        <w:rPr>
          <w:color w:val="000000" w:themeColor="text1"/>
          <w:szCs w:val="18"/>
          <w:lang w:val="nl-NL"/>
        </w:rPr>
        <w:t xml:space="preserve"> dader moest </w:t>
      </w:r>
      <w:r w:rsidR="00A94B6D">
        <w:rPr>
          <w:color w:val="000000" w:themeColor="text1"/>
          <w:szCs w:val="18"/>
          <w:lang w:val="nl-NL"/>
        </w:rPr>
        <w:t>m.a.w.</w:t>
      </w:r>
      <w:r w:rsidR="00CC496E" w:rsidRPr="000B4AB2">
        <w:rPr>
          <w:color w:val="000000" w:themeColor="text1"/>
          <w:szCs w:val="18"/>
          <w:lang w:val="nl-NL"/>
        </w:rPr>
        <w:t xml:space="preserve"> </w:t>
      </w:r>
      <w:r w:rsidR="00A94B6D">
        <w:rPr>
          <w:color w:val="000000" w:themeColor="text1"/>
          <w:szCs w:val="18"/>
          <w:lang w:val="nl-NL"/>
        </w:rPr>
        <w:t>de</w:t>
      </w:r>
      <w:r w:rsidR="00CC496E" w:rsidRPr="000B4AB2">
        <w:rPr>
          <w:color w:val="000000" w:themeColor="text1"/>
          <w:szCs w:val="18"/>
          <w:lang w:val="nl-NL"/>
        </w:rPr>
        <w:t xml:space="preserve"> bedoeling </w:t>
      </w:r>
      <w:r w:rsidR="00A94B6D">
        <w:rPr>
          <w:color w:val="000000" w:themeColor="text1"/>
          <w:szCs w:val="18"/>
          <w:lang w:val="nl-NL"/>
        </w:rPr>
        <w:t>hebben gehad</w:t>
      </w:r>
      <w:r w:rsidR="00CC496E" w:rsidRPr="000B4AB2">
        <w:rPr>
          <w:color w:val="000000" w:themeColor="text1"/>
          <w:szCs w:val="18"/>
          <w:lang w:val="nl-NL"/>
        </w:rPr>
        <w:t xml:space="preserve"> om het slachtoffer aan te raken. Het is niet vereist dat het opzet van de dader er ook in bestond dat die aanraking seksueel</w:t>
      </w:r>
      <w:r w:rsidR="00FB1CA2" w:rsidRPr="000B4AB2">
        <w:rPr>
          <w:rStyle w:val="FootnoteReference"/>
          <w:color w:val="000000" w:themeColor="text1"/>
          <w:szCs w:val="18"/>
          <w:lang w:val="nl-NL"/>
        </w:rPr>
        <w:footnoteReference w:id="438"/>
      </w:r>
      <w:r w:rsidR="00CC496E" w:rsidRPr="000B4AB2">
        <w:rPr>
          <w:color w:val="000000" w:themeColor="text1"/>
          <w:szCs w:val="18"/>
          <w:lang w:val="nl-NL"/>
        </w:rPr>
        <w:t xml:space="preserve"> zou zijn</w:t>
      </w:r>
      <w:r w:rsidR="00FB1CA2" w:rsidRPr="000B4AB2">
        <w:rPr>
          <w:color w:val="000000" w:themeColor="text1"/>
          <w:szCs w:val="18"/>
          <w:lang w:val="nl-NL"/>
        </w:rPr>
        <w:t>.</w:t>
      </w:r>
      <w:r w:rsidR="001A004E" w:rsidRPr="000B4AB2">
        <w:rPr>
          <w:rStyle w:val="FootnoteReference"/>
          <w:color w:val="000000" w:themeColor="text1"/>
          <w:szCs w:val="18"/>
          <w:lang w:val="nl-NL"/>
        </w:rPr>
        <w:footnoteReference w:id="439"/>
      </w:r>
      <w:r w:rsidR="00620E04">
        <w:rPr>
          <w:color w:val="000000" w:themeColor="text1"/>
          <w:szCs w:val="18"/>
          <w:lang w:val="nl-NL"/>
        </w:rPr>
        <w:t xml:space="preserve"> </w:t>
      </w:r>
      <w:r w:rsidR="00E30C1E">
        <w:rPr>
          <w:color w:val="000000" w:themeColor="text1"/>
          <w:szCs w:val="18"/>
          <w:lang w:val="nl-NL"/>
        </w:rPr>
        <w:t>In die zin stemt dit moreel bestanddeel overeen met het naar Belgisch recht gekende algemeen opzet.</w:t>
      </w:r>
    </w:p>
    <w:p w14:paraId="2BFDEBFE" w14:textId="77777777" w:rsidR="00CC496E" w:rsidRPr="000B4AB2" w:rsidRDefault="00CC496E" w:rsidP="00260F11">
      <w:pPr>
        <w:spacing w:line="360" w:lineRule="auto"/>
        <w:rPr>
          <w:color w:val="000000" w:themeColor="text1"/>
          <w:szCs w:val="18"/>
          <w:lang w:val="nl-NL"/>
        </w:rPr>
      </w:pPr>
    </w:p>
    <w:p w14:paraId="5289C85D" w14:textId="115E612B" w:rsidR="0058646D" w:rsidRDefault="00EA07FE"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Dader kon niet redelijkerwijze geloven dat slachtoffer instemde</w:t>
      </w:r>
      <w:r w:rsidR="00FA3D72" w:rsidRPr="00CC0404">
        <w:rPr>
          <w:b/>
          <w:color w:val="000000" w:themeColor="text1"/>
          <w:szCs w:val="18"/>
          <w:lang w:val="nl-NL"/>
        </w:rPr>
        <w:t>.</w:t>
      </w:r>
      <w:r w:rsidR="008E47E1" w:rsidRPr="000B4AB2">
        <w:rPr>
          <w:rStyle w:val="FootnoteReference"/>
          <w:color w:val="000000" w:themeColor="text1"/>
          <w:szCs w:val="18"/>
          <w:lang w:val="nl-NL"/>
        </w:rPr>
        <w:footnoteReference w:id="440"/>
      </w:r>
      <w:r w:rsidR="008E47E1" w:rsidRPr="000B4AB2">
        <w:rPr>
          <w:color w:val="000000" w:themeColor="text1"/>
          <w:szCs w:val="18"/>
          <w:lang w:val="nl-NL"/>
        </w:rPr>
        <w:t xml:space="preserve"> </w:t>
      </w:r>
      <w:r w:rsidR="00434F11">
        <w:rPr>
          <w:szCs w:val="18"/>
        </w:rPr>
        <w:t xml:space="preserve">De “dader” zal niet veroordeeld worden indien </w:t>
      </w:r>
      <w:r w:rsidR="00066CA7">
        <w:rPr>
          <w:szCs w:val="18"/>
        </w:rPr>
        <w:t>deze</w:t>
      </w:r>
      <w:r w:rsidR="00E12FCE" w:rsidRPr="00A94B6D">
        <w:rPr>
          <w:szCs w:val="18"/>
        </w:rPr>
        <w:t xml:space="preserve"> </w:t>
      </w:r>
      <w:r w:rsidR="000E59DE">
        <w:rPr>
          <w:szCs w:val="18"/>
        </w:rPr>
        <w:t>meende</w:t>
      </w:r>
      <w:r w:rsidR="00A93D45" w:rsidRPr="00A94B6D">
        <w:rPr>
          <w:szCs w:val="18"/>
        </w:rPr>
        <w:t xml:space="preserve"> dat het slachtoffer instemde</w:t>
      </w:r>
      <w:r w:rsidR="00973B9C" w:rsidRPr="00A94B6D">
        <w:rPr>
          <w:szCs w:val="18"/>
        </w:rPr>
        <w:t>. Deze opvatting dient</w:t>
      </w:r>
      <w:r w:rsidR="000C3183">
        <w:rPr>
          <w:szCs w:val="18"/>
        </w:rPr>
        <w:t xml:space="preserve"> bovendien</w:t>
      </w:r>
      <w:r w:rsidR="00973B9C" w:rsidRPr="00A94B6D">
        <w:rPr>
          <w:szCs w:val="18"/>
        </w:rPr>
        <w:t xml:space="preserve"> </w:t>
      </w:r>
      <w:r w:rsidR="00A93D45" w:rsidRPr="00A94B6D">
        <w:rPr>
          <w:szCs w:val="18"/>
        </w:rPr>
        <w:t xml:space="preserve">redelijk </w:t>
      </w:r>
      <w:r w:rsidR="00973B9C" w:rsidRPr="00A94B6D">
        <w:rPr>
          <w:szCs w:val="18"/>
        </w:rPr>
        <w:t>te zijn</w:t>
      </w:r>
      <w:r w:rsidR="000E59DE" w:rsidRPr="000B4AB2">
        <w:rPr>
          <w:color w:val="000000" w:themeColor="text1"/>
          <w:szCs w:val="18"/>
          <w:lang w:val="nl-NL"/>
        </w:rPr>
        <w:t>.</w:t>
      </w:r>
      <w:r w:rsidR="00DB536F">
        <w:rPr>
          <w:rStyle w:val="FootnoteReference"/>
          <w:color w:val="000000" w:themeColor="text1"/>
          <w:szCs w:val="18"/>
          <w:lang w:val="nl-NL"/>
        </w:rPr>
        <w:footnoteReference w:id="441"/>
      </w:r>
      <w:r w:rsidR="000E59DE">
        <w:rPr>
          <w:color w:val="000000" w:themeColor="text1"/>
          <w:szCs w:val="18"/>
          <w:lang w:val="nl-NL"/>
        </w:rPr>
        <w:t xml:space="preserve"> Of dit het geval was, moet </w:t>
      </w:r>
      <w:r w:rsidR="000C3183">
        <w:rPr>
          <w:color w:val="000000" w:themeColor="text1"/>
          <w:szCs w:val="18"/>
          <w:lang w:val="nl-NL"/>
        </w:rPr>
        <w:t xml:space="preserve">worden beoordeeld </w:t>
      </w:r>
      <w:r w:rsidR="000E59DE">
        <w:rPr>
          <w:color w:val="000000" w:themeColor="text1"/>
          <w:szCs w:val="18"/>
          <w:lang w:val="nl-NL"/>
        </w:rPr>
        <w:t xml:space="preserve">rekening </w:t>
      </w:r>
      <w:r w:rsidR="00C345FC">
        <w:rPr>
          <w:color w:val="000000" w:themeColor="text1"/>
          <w:szCs w:val="18"/>
          <w:lang w:val="nl-NL"/>
        </w:rPr>
        <w:t>houdend</w:t>
      </w:r>
      <w:r w:rsidR="000E59DE">
        <w:rPr>
          <w:color w:val="000000" w:themeColor="text1"/>
          <w:szCs w:val="18"/>
          <w:lang w:val="nl-NL"/>
        </w:rPr>
        <w:t xml:space="preserve"> met </w:t>
      </w:r>
      <w:r w:rsidR="000E59DE">
        <w:rPr>
          <w:color w:val="000000" w:themeColor="text1"/>
          <w:szCs w:val="18"/>
          <w:lang w:val="nl-NL"/>
        </w:rPr>
        <w:lastRenderedPageBreak/>
        <w:t>alle</w:t>
      </w:r>
      <w:r w:rsidR="000E59DE" w:rsidRPr="000B4AB2">
        <w:rPr>
          <w:color w:val="000000" w:themeColor="text1"/>
          <w:szCs w:val="18"/>
          <w:lang w:val="nl-NL"/>
        </w:rPr>
        <w:t xml:space="preserve"> omstandigheden.</w:t>
      </w:r>
      <w:r w:rsidR="000E59DE" w:rsidRPr="000B4AB2">
        <w:rPr>
          <w:rStyle w:val="FootnoteReference"/>
          <w:color w:val="000000" w:themeColor="text1"/>
          <w:szCs w:val="18"/>
          <w:lang w:val="nl-NL"/>
        </w:rPr>
        <w:footnoteReference w:id="442"/>
      </w:r>
      <w:r w:rsidR="000E59DE" w:rsidRPr="000B4AB2">
        <w:rPr>
          <w:color w:val="000000" w:themeColor="text1"/>
          <w:szCs w:val="18"/>
          <w:lang w:val="nl-NL"/>
        </w:rPr>
        <w:t xml:space="preserve"> Daarbij worden ook de stappen</w:t>
      </w:r>
      <w:r w:rsidR="000E59DE">
        <w:rPr>
          <w:color w:val="000000" w:themeColor="text1"/>
          <w:szCs w:val="18"/>
          <w:lang w:val="nl-NL"/>
        </w:rPr>
        <w:t xml:space="preserve"> in aanmerking genomen</w:t>
      </w:r>
      <w:r w:rsidR="000E59DE" w:rsidRPr="000B4AB2">
        <w:rPr>
          <w:color w:val="000000" w:themeColor="text1"/>
          <w:szCs w:val="18"/>
          <w:lang w:val="nl-NL"/>
        </w:rPr>
        <w:t xml:space="preserve"> die de dader nam om te verifiëren of het slachtoffer toestemde.</w:t>
      </w:r>
      <w:r w:rsidR="000E59DE" w:rsidRPr="000B4AB2">
        <w:rPr>
          <w:rStyle w:val="FootnoteReference"/>
          <w:color w:val="000000" w:themeColor="text1"/>
          <w:szCs w:val="18"/>
          <w:lang w:val="nl-NL"/>
        </w:rPr>
        <w:footnoteReference w:id="443"/>
      </w:r>
      <w:r w:rsidR="001B1F1C">
        <w:rPr>
          <w:color w:val="000000" w:themeColor="text1"/>
          <w:szCs w:val="18"/>
          <w:lang w:val="nl-NL"/>
        </w:rPr>
        <w:t xml:space="preserve"> Aldus stemt dit moreel bestanddeel </w:t>
      </w:r>
      <w:r w:rsidR="00066CA7">
        <w:rPr>
          <w:color w:val="000000" w:themeColor="text1"/>
          <w:szCs w:val="18"/>
          <w:lang w:val="nl-NL"/>
        </w:rPr>
        <w:t xml:space="preserve">eerder </w:t>
      </w:r>
      <w:r w:rsidR="001B1F1C">
        <w:rPr>
          <w:color w:val="000000" w:themeColor="text1"/>
          <w:szCs w:val="18"/>
          <w:lang w:val="nl-NL"/>
        </w:rPr>
        <w:t xml:space="preserve">overeen met </w:t>
      </w:r>
      <w:r w:rsidR="00066CA7">
        <w:rPr>
          <w:color w:val="000000" w:themeColor="text1"/>
          <w:szCs w:val="18"/>
          <w:lang w:val="nl-NL"/>
        </w:rPr>
        <w:t>het</w:t>
      </w:r>
      <w:r w:rsidR="001B1F1C">
        <w:rPr>
          <w:color w:val="000000" w:themeColor="text1"/>
          <w:szCs w:val="18"/>
          <w:lang w:val="nl-NL"/>
        </w:rPr>
        <w:t xml:space="preserve"> naar Belgisch recht gekende </w:t>
      </w:r>
      <w:r w:rsidR="00066CA7">
        <w:rPr>
          <w:color w:val="000000" w:themeColor="text1"/>
          <w:szCs w:val="18"/>
          <w:lang w:val="nl-NL"/>
        </w:rPr>
        <w:t xml:space="preserve">moreel bestanddeel </w:t>
      </w:r>
      <w:r w:rsidR="001B1F1C">
        <w:rPr>
          <w:color w:val="000000" w:themeColor="text1"/>
          <w:szCs w:val="18"/>
          <w:lang w:val="nl-NL"/>
        </w:rPr>
        <w:t>onachtzaamheid.</w:t>
      </w:r>
      <w:r w:rsidR="00454C9B" w:rsidRPr="006F3341">
        <w:rPr>
          <w:rStyle w:val="FootnoteReference"/>
          <w:color w:val="000000" w:themeColor="text1"/>
          <w:szCs w:val="18"/>
          <w:lang w:val="nl-NL"/>
        </w:rPr>
        <w:footnoteReference w:id="444"/>
      </w:r>
    </w:p>
    <w:p w14:paraId="6CC25CB3" w14:textId="77777777" w:rsidR="0058646D" w:rsidRPr="0058646D" w:rsidRDefault="0058646D" w:rsidP="00260F11">
      <w:pPr>
        <w:pStyle w:val="ListParagraph"/>
        <w:spacing w:line="360" w:lineRule="auto"/>
        <w:ind w:left="0"/>
        <w:rPr>
          <w:color w:val="000000" w:themeColor="text1"/>
          <w:szCs w:val="18"/>
          <w:lang w:val="nl-NL"/>
        </w:rPr>
      </w:pPr>
    </w:p>
    <w:p w14:paraId="5203A0EC" w14:textId="68D7A3A4" w:rsidR="00EC4418" w:rsidRPr="000B4AB2" w:rsidRDefault="00900863"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D</w:t>
      </w:r>
      <w:r w:rsidR="00305EFE" w:rsidRPr="000B4AB2">
        <w:rPr>
          <w:color w:val="000000" w:themeColor="text1"/>
          <w:szCs w:val="18"/>
          <w:lang w:val="nl-NL"/>
        </w:rPr>
        <w:t xml:space="preserve">e </w:t>
      </w:r>
      <w:r w:rsidR="00C9318D" w:rsidRPr="000B4AB2">
        <w:rPr>
          <w:color w:val="000000" w:themeColor="text1"/>
          <w:szCs w:val="18"/>
          <w:lang w:val="nl-NL"/>
        </w:rPr>
        <w:t xml:space="preserve">vermoedens </w:t>
      </w:r>
      <w:r w:rsidR="00305EFE" w:rsidRPr="000B4AB2">
        <w:rPr>
          <w:color w:val="000000" w:themeColor="text1"/>
          <w:szCs w:val="18"/>
          <w:lang w:val="nl-NL"/>
        </w:rPr>
        <w:t>uit</w:t>
      </w:r>
      <w:r w:rsidR="00C9318D" w:rsidRPr="000B4AB2">
        <w:rPr>
          <w:color w:val="000000" w:themeColor="text1"/>
          <w:szCs w:val="18"/>
          <w:lang w:val="nl-NL"/>
        </w:rPr>
        <w:t xml:space="preserve"> </w:t>
      </w:r>
      <w:r w:rsidR="00C9318D" w:rsidRPr="00862615">
        <w:rPr>
          <w:i/>
          <w:color w:val="000000" w:themeColor="text1"/>
          <w:szCs w:val="18"/>
          <w:lang w:val="nl-NL"/>
        </w:rPr>
        <w:t>sectio</w:t>
      </w:r>
      <w:r w:rsidR="00862615">
        <w:rPr>
          <w:i/>
          <w:color w:val="000000" w:themeColor="text1"/>
          <w:szCs w:val="18"/>
          <w:lang w:val="nl-NL"/>
        </w:rPr>
        <w:t>ns</w:t>
      </w:r>
      <w:r w:rsidR="00C9318D" w:rsidRPr="000B4AB2">
        <w:rPr>
          <w:color w:val="000000" w:themeColor="text1"/>
          <w:szCs w:val="18"/>
          <w:lang w:val="nl-NL"/>
        </w:rPr>
        <w:t xml:space="preserve"> 75 en 76</w:t>
      </w:r>
      <w:r w:rsidR="00305EFE" w:rsidRPr="000B4AB2">
        <w:rPr>
          <w:color w:val="000000" w:themeColor="text1"/>
          <w:szCs w:val="18"/>
          <w:lang w:val="nl-NL"/>
        </w:rPr>
        <w:t xml:space="preserve"> </w:t>
      </w:r>
      <w:r>
        <w:rPr>
          <w:color w:val="000000" w:themeColor="text1"/>
          <w:szCs w:val="18"/>
          <w:lang w:val="nl-NL"/>
        </w:rPr>
        <w:t xml:space="preserve">hebben </w:t>
      </w:r>
      <w:r w:rsidR="00305EFE" w:rsidRPr="000B4AB2">
        <w:rPr>
          <w:color w:val="000000" w:themeColor="text1"/>
          <w:szCs w:val="18"/>
          <w:lang w:val="nl-NL"/>
        </w:rPr>
        <w:t xml:space="preserve">niet alleen betrekking op de afwezigheid van toestemming in hoofde van het slachtoffer, maar </w:t>
      </w:r>
      <w:r>
        <w:rPr>
          <w:color w:val="000000" w:themeColor="text1"/>
          <w:szCs w:val="18"/>
          <w:lang w:val="nl-NL"/>
        </w:rPr>
        <w:t>tevens</w:t>
      </w:r>
      <w:r w:rsidR="00305EFE" w:rsidRPr="000B4AB2">
        <w:rPr>
          <w:color w:val="000000" w:themeColor="text1"/>
          <w:szCs w:val="18"/>
          <w:lang w:val="nl-NL"/>
        </w:rPr>
        <w:t xml:space="preserve"> op de afwezigheid van enig redelijk geloof van de dader </w:t>
      </w:r>
      <w:r>
        <w:rPr>
          <w:color w:val="000000" w:themeColor="text1"/>
          <w:szCs w:val="18"/>
          <w:lang w:val="nl-NL"/>
        </w:rPr>
        <w:t>m.b.t.</w:t>
      </w:r>
      <w:r w:rsidR="00305EFE" w:rsidRPr="000B4AB2">
        <w:rPr>
          <w:color w:val="000000" w:themeColor="text1"/>
          <w:szCs w:val="18"/>
          <w:lang w:val="nl-NL"/>
        </w:rPr>
        <w:t xml:space="preserve"> de toestemming van het slachtoffer. Wanneer </w:t>
      </w:r>
      <w:r>
        <w:rPr>
          <w:color w:val="000000" w:themeColor="text1"/>
          <w:szCs w:val="18"/>
          <w:lang w:val="nl-NL"/>
        </w:rPr>
        <w:t xml:space="preserve">bijgevolg </w:t>
      </w:r>
      <w:r w:rsidR="00305EFE" w:rsidRPr="000B4AB2">
        <w:rPr>
          <w:color w:val="000000" w:themeColor="text1"/>
          <w:szCs w:val="18"/>
          <w:lang w:val="nl-NL"/>
        </w:rPr>
        <w:t xml:space="preserve">de situaties geviseerd door de </w:t>
      </w:r>
      <w:r w:rsidR="00305EFE" w:rsidRPr="00862615">
        <w:rPr>
          <w:i/>
          <w:color w:val="000000" w:themeColor="text1"/>
          <w:szCs w:val="18"/>
          <w:lang w:val="nl-NL"/>
        </w:rPr>
        <w:t>sections</w:t>
      </w:r>
      <w:r w:rsidR="00305EFE" w:rsidRPr="000B4AB2">
        <w:rPr>
          <w:color w:val="000000" w:themeColor="text1"/>
          <w:szCs w:val="18"/>
          <w:lang w:val="nl-NL"/>
        </w:rPr>
        <w:t xml:space="preserve"> 75 of 76 zich voordoen, zal </w:t>
      </w:r>
      <w:r w:rsidR="002551B7">
        <w:rPr>
          <w:color w:val="000000" w:themeColor="text1"/>
          <w:szCs w:val="18"/>
          <w:lang w:val="nl-NL"/>
        </w:rPr>
        <w:t xml:space="preserve">- </w:t>
      </w:r>
      <w:r w:rsidR="000070DC" w:rsidRPr="000B4AB2">
        <w:rPr>
          <w:color w:val="000000" w:themeColor="text1"/>
          <w:szCs w:val="18"/>
          <w:lang w:val="nl-NL"/>
        </w:rPr>
        <w:t xml:space="preserve">op </w:t>
      </w:r>
      <w:r w:rsidR="0031439C">
        <w:rPr>
          <w:color w:val="000000" w:themeColor="text1"/>
          <w:szCs w:val="18"/>
          <w:lang w:val="nl-NL"/>
        </w:rPr>
        <w:t xml:space="preserve">al dan niet </w:t>
      </w:r>
      <w:r w:rsidR="00305EFE" w:rsidRPr="000B4AB2">
        <w:rPr>
          <w:color w:val="000000" w:themeColor="text1"/>
          <w:szCs w:val="18"/>
          <w:lang w:val="nl-NL"/>
        </w:rPr>
        <w:t>weerlegba</w:t>
      </w:r>
      <w:r w:rsidR="000070DC" w:rsidRPr="000B4AB2">
        <w:rPr>
          <w:color w:val="000000" w:themeColor="text1"/>
          <w:szCs w:val="18"/>
          <w:lang w:val="nl-NL"/>
        </w:rPr>
        <w:t>re</w:t>
      </w:r>
      <w:r w:rsidR="00305EFE" w:rsidRPr="000B4AB2">
        <w:rPr>
          <w:color w:val="000000" w:themeColor="text1"/>
          <w:szCs w:val="18"/>
          <w:lang w:val="nl-NL"/>
        </w:rPr>
        <w:t xml:space="preserve"> </w:t>
      </w:r>
      <w:r w:rsidR="000070DC" w:rsidRPr="000B4AB2">
        <w:rPr>
          <w:color w:val="000000" w:themeColor="text1"/>
          <w:szCs w:val="18"/>
          <w:lang w:val="nl-NL"/>
        </w:rPr>
        <w:t>wijze</w:t>
      </w:r>
      <w:r w:rsidR="0031439C">
        <w:rPr>
          <w:color w:val="000000" w:themeColor="text1"/>
          <w:szCs w:val="18"/>
          <w:lang w:val="nl-NL"/>
        </w:rPr>
        <w:t xml:space="preserve"> </w:t>
      </w:r>
      <w:r w:rsidR="002551B7">
        <w:rPr>
          <w:color w:val="000000" w:themeColor="text1"/>
          <w:szCs w:val="18"/>
          <w:lang w:val="nl-NL"/>
        </w:rPr>
        <w:t xml:space="preserve">- </w:t>
      </w:r>
      <w:r w:rsidR="00305EFE" w:rsidRPr="000B4AB2">
        <w:rPr>
          <w:color w:val="000000" w:themeColor="text1"/>
          <w:szCs w:val="18"/>
          <w:lang w:val="nl-NL"/>
        </w:rPr>
        <w:t>worden vermoed dat de dader niet redelijkerwijze kon geloven dat het slachtoffer instemde.</w:t>
      </w:r>
      <w:r w:rsidR="001E5655" w:rsidRPr="000B4AB2">
        <w:rPr>
          <w:rStyle w:val="FootnoteReference"/>
          <w:color w:val="000000" w:themeColor="text1"/>
          <w:szCs w:val="18"/>
          <w:lang w:val="nl-NL"/>
        </w:rPr>
        <w:footnoteReference w:id="445"/>
      </w:r>
    </w:p>
    <w:p w14:paraId="30C11D86" w14:textId="70FFC450" w:rsidR="00295FDD" w:rsidRDefault="00295FDD" w:rsidP="00260F11">
      <w:pPr>
        <w:spacing w:line="360" w:lineRule="auto"/>
        <w:jc w:val="left"/>
        <w:rPr>
          <w:color w:val="000000" w:themeColor="text1"/>
          <w:szCs w:val="18"/>
          <w:lang w:val="nl-NL"/>
        </w:rPr>
      </w:pPr>
    </w:p>
    <w:p w14:paraId="734D9133" w14:textId="5826E581" w:rsidR="005853B7" w:rsidRPr="009C29A6" w:rsidRDefault="00CE53E1" w:rsidP="00260F11">
      <w:pPr>
        <w:pStyle w:val="Heading4"/>
        <w:spacing w:line="360" w:lineRule="auto"/>
        <w:rPr>
          <w:szCs w:val="18"/>
          <w:lang w:val="en-GB"/>
        </w:rPr>
      </w:pPr>
      <w:bookmarkStart w:id="50" w:name="_Toc135041080"/>
      <w:r w:rsidRPr="009C29A6">
        <w:rPr>
          <w:i/>
          <w:szCs w:val="18"/>
          <w:lang w:val="en-GB"/>
        </w:rPr>
        <w:t>Causing a person to engage in sexual activity without consent</w:t>
      </w:r>
      <w:r w:rsidR="00925AE5" w:rsidRPr="009C29A6">
        <w:rPr>
          <w:i/>
          <w:szCs w:val="18"/>
          <w:lang w:val="en-GB"/>
        </w:rPr>
        <w:t xml:space="preserve"> (CESA)</w:t>
      </w:r>
      <w:bookmarkEnd w:id="50"/>
    </w:p>
    <w:p w14:paraId="060F8741" w14:textId="77777777" w:rsidR="00EC4418" w:rsidRPr="009C29A6" w:rsidRDefault="00EC4418" w:rsidP="00260F11">
      <w:pPr>
        <w:pStyle w:val="ListParagraph"/>
        <w:spacing w:line="360" w:lineRule="auto"/>
        <w:ind w:left="0"/>
        <w:rPr>
          <w:color w:val="000000" w:themeColor="text1"/>
          <w:szCs w:val="18"/>
          <w:lang w:val="en-GB"/>
        </w:rPr>
      </w:pPr>
    </w:p>
    <w:p w14:paraId="2127B563" w14:textId="459C90CC" w:rsidR="00BD5108" w:rsidRDefault="003F1D6C" w:rsidP="00260F11">
      <w:pPr>
        <w:pStyle w:val="ListParagraph"/>
        <w:numPr>
          <w:ilvl w:val="0"/>
          <w:numId w:val="1"/>
        </w:numPr>
        <w:spacing w:line="360" w:lineRule="auto"/>
        <w:ind w:left="0" w:hanging="709"/>
        <w:rPr>
          <w:color w:val="000000" w:themeColor="text1"/>
          <w:szCs w:val="18"/>
          <w:lang w:val="nl-NL"/>
        </w:rPr>
      </w:pPr>
      <w:r w:rsidRPr="009C29A6">
        <w:rPr>
          <w:b/>
          <w:color w:val="000000" w:themeColor="text1"/>
          <w:szCs w:val="18"/>
          <w:lang w:val="en-GB"/>
        </w:rPr>
        <w:t>Twee misdrijven</w:t>
      </w:r>
      <w:r w:rsidRPr="009C29A6">
        <w:rPr>
          <w:color w:val="000000" w:themeColor="text1"/>
          <w:szCs w:val="18"/>
          <w:lang w:val="en-GB"/>
        </w:rPr>
        <w:t xml:space="preserve">. </w:t>
      </w:r>
      <w:r w:rsidR="00513FAD" w:rsidRPr="009C29A6">
        <w:rPr>
          <w:i/>
          <w:color w:val="000000" w:themeColor="text1"/>
          <w:szCs w:val="18"/>
          <w:lang w:val="en-GB"/>
        </w:rPr>
        <w:t>Section</w:t>
      </w:r>
      <w:r w:rsidR="00513FAD" w:rsidRPr="009C29A6">
        <w:rPr>
          <w:color w:val="000000" w:themeColor="text1"/>
          <w:szCs w:val="18"/>
          <w:lang w:val="en-GB"/>
        </w:rPr>
        <w:t xml:space="preserve"> 4 van de SOA stelt</w:t>
      </w:r>
      <w:r w:rsidR="00DF76BD" w:rsidRPr="009C29A6">
        <w:rPr>
          <w:color w:val="000000" w:themeColor="text1"/>
          <w:szCs w:val="18"/>
          <w:lang w:val="en-GB"/>
        </w:rPr>
        <w:t xml:space="preserve"> </w:t>
      </w:r>
      <w:r w:rsidR="00073D00" w:rsidRPr="009C29A6">
        <w:rPr>
          <w:color w:val="000000" w:themeColor="text1"/>
          <w:szCs w:val="18"/>
          <w:lang w:val="en-GB"/>
        </w:rPr>
        <w:t xml:space="preserve">het misdrijf </w:t>
      </w:r>
      <w:r w:rsidR="0026659A" w:rsidRPr="009C29A6">
        <w:rPr>
          <w:i/>
          <w:color w:val="000000" w:themeColor="text1"/>
          <w:szCs w:val="18"/>
          <w:lang w:val="en-GB"/>
        </w:rPr>
        <w:t>causing</w:t>
      </w:r>
      <w:r w:rsidR="00DF76BD" w:rsidRPr="009C29A6">
        <w:rPr>
          <w:i/>
          <w:color w:val="000000" w:themeColor="text1"/>
          <w:szCs w:val="18"/>
          <w:lang w:val="en-GB"/>
        </w:rPr>
        <w:t xml:space="preserve"> a person to engage in sexual activity without consent </w:t>
      </w:r>
      <w:r w:rsidR="00DF76BD" w:rsidRPr="009C29A6">
        <w:rPr>
          <w:color w:val="000000" w:themeColor="text1"/>
          <w:szCs w:val="18"/>
          <w:lang w:val="en-GB"/>
        </w:rPr>
        <w:t>(C</w:t>
      </w:r>
      <w:r w:rsidR="009223B9" w:rsidRPr="009C29A6">
        <w:rPr>
          <w:color w:val="000000" w:themeColor="text1"/>
          <w:szCs w:val="18"/>
          <w:lang w:val="en-GB"/>
        </w:rPr>
        <w:t xml:space="preserve">ESA) </w:t>
      </w:r>
      <w:r w:rsidR="00513FAD" w:rsidRPr="009C29A6">
        <w:rPr>
          <w:color w:val="000000" w:themeColor="text1"/>
          <w:szCs w:val="18"/>
          <w:lang w:val="en-GB"/>
        </w:rPr>
        <w:t>strafbaar</w:t>
      </w:r>
      <w:r w:rsidR="00EA457E" w:rsidRPr="009C29A6">
        <w:rPr>
          <w:color w:val="000000" w:themeColor="text1"/>
          <w:szCs w:val="18"/>
          <w:lang w:val="en-GB"/>
        </w:rPr>
        <w:t>.</w:t>
      </w:r>
      <w:r w:rsidR="00073D00" w:rsidRPr="009C29A6">
        <w:rPr>
          <w:color w:val="000000" w:themeColor="text1"/>
          <w:szCs w:val="18"/>
          <w:lang w:val="en-GB"/>
        </w:rPr>
        <w:t xml:space="preserve"> </w:t>
      </w:r>
      <w:r w:rsidR="00731D22" w:rsidRPr="00073D00">
        <w:rPr>
          <w:color w:val="000000" w:themeColor="text1"/>
          <w:szCs w:val="18"/>
          <w:lang w:val="nl-NL"/>
        </w:rPr>
        <w:t xml:space="preserve">Dit misdrijf </w:t>
      </w:r>
      <w:r w:rsidR="00C435B0" w:rsidRPr="00073D00">
        <w:rPr>
          <w:color w:val="000000" w:themeColor="text1"/>
          <w:szCs w:val="18"/>
          <w:lang w:val="nl-NL"/>
        </w:rPr>
        <w:t xml:space="preserve">viseert </w:t>
      </w:r>
      <w:r w:rsidR="00731D22" w:rsidRPr="00073D00">
        <w:rPr>
          <w:color w:val="000000" w:themeColor="text1"/>
          <w:szCs w:val="18"/>
          <w:lang w:val="nl-NL"/>
        </w:rPr>
        <w:t xml:space="preserve">gedragingen </w:t>
      </w:r>
      <w:r w:rsidR="00E33133" w:rsidRPr="00073D00">
        <w:rPr>
          <w:color w:val="000000" w:themeColor="text1"/>
          <w:szCs w:val="18"/>
          <w:lang w:val="nl-NL"/>
        </w:rPr>
        <w:t xml:space="preserve">die al dan niet </w:t>
      </w:r>
      <w:r w:rsidR="00A742FD" w:rsidRPr="00073D00">
        <w:rPr>
          <w:color w:val="000000" w:themeColor="text1"/>
          <w:szCs w:val="18"/>
          <w:lang w:val="nl-NL"/>
        </w:rPr>
        <w:t>bestaa</w:t>
      </w:r>
      <w:r w:rsidR="00731D22" w:rsidRPr="00073D00">
        <w:rPr>
          <w:color w:val="000000" w:themeColor="text1"/>
          <w:szCs w:val="18"/>
          <w:lang w:val="nl-NL"/>
        </w:rPr>
        <w:t>n</w:t>
      </w:r>
      <w:r w:rsidR="00E33133" w:rsidRPr="00073D00">
        <w:rPr>
          <w:color w:val="000000" w:themeColor="text1"/>
          <w:szCs w:val="18"/>
          <w:lang w:val="nl-NL"/>
        </w:rPr>
        <w:t xml:space="preserve"> uit een penetratie.</w:t>
      </w:r>
      <w:r w:rsidR="0026659A" w:rsidRPr="000B4AB2">
        <w:rPr>
          <w:rStyle w:val="FootnoteReference"/>
          <w:color w:val="000000" w:themeColor="text1"/>
          <w:szCs w:val="18"/>
          <w:lang w:val="nl-NL"/>
        </w:rPr>
        <w:footnoteReference w:id="446"/>
      </w:r>
      <w:r w:rsidR="00DF76BD" w:rsidRPr="00073D00">
        <w:rPr>
          <w:color w:val="000000" w:themeColor="text1"/>
          <w:szCs w:val="18"/>
          <w:lang w:val="nl-NL"/>
        </w:rPr>
        <w:t xml:space="preserve"> </w:t>
      </w:r>
      <w:r w:rsidR="00D700D1">
        <w:rPr>
          <w:color w:val="000000" w:themeColor="text1"/>
          <w:szCs w:val="18"/>
          <w:lang w:val="nl-NL"/>
        </w:rPr>
        <w:t xml:space="preserve">Gelet op het feit dat er wordt gedifferentieerd in toepasselijke strafmaat, creëert </w:t>
      </w:r>
      <w:r w:rsidR="00EA457E" w:rsidRPr="00073D00">
        <w:rPr>
          <w:color w:val="000000" w:themeColor="text1"/>
          <w:szCs w:val="18"/>
          <w:lang w:val="nl-NL"/>
        </w:rPr>
        <w:t>deze</w:t>
      </w:r>
      <w:r w:rsidR="00DF76BD" w:rsidRPr="00073D00">
        <w:rPr>
          <w:color w:val="000000" w:themeColor="text1"/>
          <w:szCs w:val="18"/>
          <w:lang w:val="nl-NL"/>
        </w:rPr>
        <w:t xml:space="preserve"> strafbaarstelling </w:t>
      </w:r>
      <w:r w:rsidR="00D700D1">
        <w:rPr>
          <w:color w:val="000000" w:themeColor="text1"/>
          <w:szCs w:val="18"/>
          <w:lang w:val="nl-NL"/>
        </w:rPr>
        <w:t xml:space="preserve">o.g.v. </w:t>
      </w:r>
      <w:r w:rsidR="00D700D1">
        <w:rPr>
          <w:i/>
          <w:color w:val="000000" w:themeColor="text1"/>
          <w:szCs w:val="18"/>
          <w:lang w:val="nl-NL"/>
        </w:rPr>
        <w:t>Courtie</w:t>
      </w:r>
      <w:r w:rsidR="00D700D1">
        <w:rPr>
          <w:rStyle w:val="FootnoteReference"/>
          <w:i/>
          <w:color w:val="000000" w:themeColor="text1"/>
          <w:szCs w:val="18"/>
          <w:lang w:val="nl-NL"/>
        </w:rPr>
        <w:footnoteReference w:id="447"/>
      </w:r>
      <w:r w:rsidR="00D700D1">
        <w:rPr>
          <w:i/>
          <w:color w:val="000000" w:themeColor="text1"/>
          <w:szCs w:val="18"/>
          <w:lang w:val="nl-NL"/>
        </w:rPr>
        <w:t xml:space="preserve"> </w:t>
      </w:r>
      <w:r w:rsidR="00DF76BD" w:rsidRPr="00073D00">
        <w:rPr>
          <w:color w:val="000000" w:themeColor="text1"/>
          <w:szCs w:val="18"/>
          <w:lang w:val="nl-NL"/>
        </w:rPr>
        <w:t>twee verschillende misdrijven</w:t>
      </w:r>
      <w:r w:rsidR="004B01D6" w:rsidRPr="00073D00">
        <w:rPr>
          <w:color w:val="000000" w:themeColor="text1"/>
          <w:szCs w:val="18"/>
          <w:lang w:val="nl-NL"/>
        </w:rPr>
        <w:t xml:space="preserve">: CESA met </w:t>
      </w:r>
      <w:r w:rsidR="00916952" w:rsidRPr="00073D00">
        <w:rPr>
          <w:color w:val="000000" w:themeColor="text1"/>
          <w:szCs w:val="18"/>
          <w:lang w:val="nl-NL"/>
        </w:rPr>
        <w:t>en</w:t>
      </w:r>
      <w:r w:rsidR="004B01D6" w:rsidRPr="00073D00">
        <w:rPr>
          <w:color w:val="000000" w:themeColor="text1"/>
          <w:szCs w:val="18"/>
          <w:lang w:val="nl-NL"/>
        </w:rPr>
        <w:t xml:space="preserve"> zonder penetratie</w:t>
      </w:r>
      <w:r w:rsidR="00DF76BD" w:rsidRPr="00073D00">
        <w:rPr>
          <w:color w:val="000000" w:themeColor="text1"/>
          <w:szCs w:val="18"/>
          <w:lang w:val="nl-NL"/>
        </w:rPr>
        <w:t>.</w:t>
      </w:r>
      <w:r w:rsidR="00627C81" w:rsidRPr="000B4AB2">
        <w:rPr>
          <w:rStyle w:val="FootnoteReference"/>
          <w:color w:val="000000" w:themeColor="text1"/>
          <w:szCs w:val="18"/>
          <w:lang w:val="nl-NL"/>
        </w:rPr>
        <w:footnoteReference w:id="448"/>
      </w:r>
      <w:r w:rsidR="00DF76BD" w:rsidRPr="00073D00">
        <w:rPr>
          <w:color w:val="000000" w:themeColor="text1"/>
          <w:szCs w:val="18"/>
          <w:lang w:val="nl-NL"/>
        </w:rPr>
        <w:t xml:space="preserve"> </w:t>
      </w:r>
      <w:r w:rsidR="004B01D6" w:rsidRPr="00073D00">
        <w:rPr>
          <w:color w:val="000000" w:themeColor="text1"/>
          <w:szCs w:val="18"/>
          <w:lang w:val="nl-NL"/>
        </w:rPr>
        <w:t>Hier</w:t>
      </w:r>
      <w:r w:rsidR="00992D72" w:rsidRPr="00073D00">
        <w:rPr>
          <w:color w:val="000000" w:themeColor="text1"/>
          <w:szCs w:val="18"/>
          <w:lang w:val="nl-NL"/>
        </w:rPr>
        <w:t xml:space="preserve"> wordt </w:t>
      </w:r>
      <w:r w:rsidR="004B01D6" w:rsidRPr="00073D00">
        <w:rPr>
          <w:color w:val="000000" w:themeColor="text1"/>
          <w:szCs w:val="18"/>
          <w:lang w:val="nl-NL"/>
        </w:rPr>
        <w:t xml:space="preserve">enkel </w:t>
      </w:r>
      <w:r w:rsidR="00992D72" w:rsidRPr="00073D00">
        <w:rPr>
          <w:color w:val="000000" w:themeColor="text1"/>
          <w:szCs w:val="18"/>
          <w:lang w:val="nl-NL"/>
        </w:rPr>
        <w:t xml:space="preserve">verder ingegaan op </w:t>
      </w:r>
      <w:r w:rsidR="00C345FC">
        <w:rPr>
          <w:color w:val="000000" w:themeColor="text1"/>
          <w:szCs w:val="18"/>
          <w:lang w:val="nl-NL"/>
        </w:rPr>
        <w:t>laatstgenoemd misdrijf</w:t>
      </w:r>
      <w:r w:rsidR="004B01D6" w:rsidRPr="00073D00">
        <w:rPr>
          <w:color w:val="000000" w:themeColor="text1"/>
          <w:szCs w:val="18"/>
          <w:lang w:val="nl-NL"/>
        </w:rPr>
        <w:t>.</w:t>
      </w:r>
      <w:r w:rsidR="004B01D6">
        <w:rPr>
          <w:rStyle w:val="FootnoteReference"/>
          <w:color w:val="000000" w:themeColor="text1"/>
          <w:szCs w:val="18"/>
          <w:lang w:val="nl-NL"/>
        </w:rPr>
        <w:footnoteReference w:id="449"/>
      </w:r>
    </w:p>
    <w:p w14:paraId="5A43E67D" w14:textId="77777777" w:rsidR="00625ADD" w:rsidRPr="00073D00" w:rsidRDefault="00625ADD" w:rsidP="00260F11">
      <w:pPr>
        <w:pStyle w:val="ListParagraph"/>
        <w:spacing w:line="360" w:lineRule="auto"/>
        <w:ind w:left="0"/>
        <w:rPr>
          <w:color w:val="000000" w:themeColor="text1"/>
          <w:szCs w:val="18"/>
          <w:lang w:val="nl-NL"/>
        </w:rPr>
      </w:pPr>
    </w:p>
    <w:p w14:paraId="7F192917" w14:textId="64ABDBFE" w:rsidR="00BD5108" w:rsidRPr="000B4AB2" w:rsidRDefault="00865C2A" w:rsidP="00260F11">
      <w:pPr>
        <w:pStyle w:val="ListParagraph"/>
        <w:numPr>
          <w:ilvl w:val="0"/>
          <w:numId w:val="1"/>
        </w:numPr>
        <w:spacing w:line="360" w:lineRule="auto"/>
        <w:ind w:left="0" w:hanging="709"/>
        <w:rPr>
          <w:color w:val="000000" w:themeColor="text1"/>
          <w:szCs w:val="18"/>
          <w:lang w:val="nl-NL"/>
        </w:rPr>
      </w:pPr>
      <w:r w:rsidRPr="000B4AB2">
        <w:rPr>
          <w:color w:val="000000" w:themeColor="text1"/>
          <w:szCs w:val="18"/>
          <w:lang w:val="nl-NL"/>
        </w:rPr>
        <w:lastRenderedPageBreak/>
        <w:t>De constitutieve bestanddelen</w:t>
      </w:r>
      <w:r w:rsidR="00BD5108" w:rsidRPr="000B4AB2">
        <w:rPr>
          <w:color w:val="000000" w:themeColor="text1"/>
          <w:szCs w:val="18"/>
          <w:lang w:val="nl-NL"/>
        </w:rPr>
        <w:t xml:space="preserve"> van </w:t>
      </w:r>
      <w:r w:rsidR="00C345FC">
        <w:rPr>
          <w:color w:val="000000" w:themeColor="text1"/>
          <w:szCs w:val="18"/>
          <w:lang w:val="nl-NL"/>
        </w:rPr>
        <w:t>CESA</w:t>
      </w:r>
      <w:r w:rsidR="00BD5108" w:rsidRPr="000B4AB2">
        <w:rPr>
          <w:color w:val="000000" w:themeColor="text1"/>
          <w:szCs w:val="18"/>
          <w:lang w:val="nl-NL"/>
        </w:rPr>
        <w:t xml:space="preserve"> zonder penetratie</w:t>
      </w:r>
      <w:r w:rsidRPr="000B4AB2">
        <w:rPr>
          <w:color w:val="000000" w:themeColor="text1"/>
          <w:szCs w:val="18"/>
          <w:lang w:val="nl-NL"/>
        </w:rPr>
        <w:t xml:space="preserve"> </w:t>
      </w:r>
      <w:r w:rsidR="00BD5108" w:rsidRPr="000B4AB2">
        <w:rPr>
          <w:color w:val="000000" w:themeColor="text1"/>
          <w:szCs w:val="18"/>
          <w:lang w:val="nl-NL"/>
        </w:rPr>
        <w:t>kunnen schematisch reeds als volgt worden weergegeven</w:t>
      </w:r>
      <w:r w:rsidRPr="000B4AB2">
        <w:rPr>
          <w:color w:val="000000" w:themeColor="text1"/>
          <w:szCs w:val="18"/>
          <w:lang w:val="nl-NL"/>
        </w:rPr>
        <w:t>.</w:t>
      </w:r>
    </w:p>
    <w:p w14:paraId="05471185" w14:textId="79EEE46A" w:rsidR="00513FAD" w:rsidRPr="000B4AB2" w:rsidRDefault="00513FAD"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0A52CB" w:rsidRPr="000B4AB2" w14:paraId="1D926E3A" w14:textId="77777777" w:rsidTr="009F57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7FF2B839" w14:textId="027EFC72" w:rsidR="000A52CB" w:rsidRPr="000B4AB2" w:rsidRDefault="000A52CB"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Constitutieve bestanddelen </w:t>
            </w:r>
            <w:r w:rsidR="00783F7D" w:rsidRPr="000B4AB2">
              <w:rPr>
                <w:color w:val="000000" w:themeColor="text1"/>
                <w:szCs w:val="18"/>
                <w:lang w:val="nl-NL"/>
              </w:rPr>
              <w:t>CESA (zonder penetratie)</w:t>
            </w:r>
          </w:p>
        </w:tc>
      </w:tr>
      <w:tr w:rsidR="000A52CB" w:rsidRPr="000B4AB2" w14:paraId="07EA548E" w14:textId="77777777" w:rsidTr="009F5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59B62F1" w14:textId="77777777" w:rsidR="000A52CB" w:rsidRPr="000B4AB2" w:rsidRDefault="000A52CB"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052F700D" w14:textId="77777777" w:rsidR="000A52CB" w:rsidRPr="000B4AB2" w:rsidRDefault="000A52CB"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0A52CB" w:rsidRPr="000B4AB2" w14:paraId="30755FD4" w14:textId="77777777" w:rsidTr="009F5738">
        <w:tc>
          <w:tcPr>
            <w:cnfStyle w:val="001000000000" w:firstRow="0" w:lastRow="0" w:firstColumn="1" w:lastColumn="0" w:oddVBand="0" w:evenVBand="0" w:oddHBand="0" w:evenHBand="0" w:firstRowFirstColumn="0" w:firstRowLastColumn="0" w:lastRowFirstColumn="0" w:lastRowLastColumn="0"/>
            <w:tcW w:w="4531" w:type="dxa"/>
          </w:tcPr>
          <w:p w14:paraId="43BA770B" w14:textId="73BEBF98" w:rsidR="000A52CB" w:rsidRPr="000B4AB2" w:rsidRDefault="00BD5108" w:rsidP="00260F11">
            <w:pPr>
              <w:pStyle w:val="ListParagraph"/>
              <w:numPr>
                <w:ilvl w:val="0"/>
                <w:numId w:val="5"/>
              </w:numPr>
              <w:spacing w:line="360" w:lineRule="auto"/>
              <w:rPr>
                <w:bCs w:val="0"/>
                <w:color w:val="000000" w:themeColor="text1"/>
                <w:szCs w:val="18"/>
                <w:lang w:val="nl-NL"/>
              </w:rPr>
            </w:pPr>
            <w:r w:rsidRPr="000B4AB2">
              <w:rPr>
                <w:b w:val="0"/>
                <w:color w:val="000000" w:themeColor="text1"/>
                <w:szCs w:val="18"/>
                <w:lang w:val="nl-NL"/>
              </w:rPr>
              <w:t xml:space="preserve">Dader </w:t>
            </w:r>
            <w:r w:rsidR="00C344E3">
              <w:rPr>
                <w:b w:val="0"/>
                <w:color w:val="000000" w:themeColor="text1"/>
                <w:szCs w:val="18"/>
                <w:lang w:val="nl-NL"/>
              </w:rPr>
              <w:t>doet</w:t>
            </w:r>
            <w:r w:rsidRPr="000B4AB2">
              <w:rPr>
                <w:b w:val="0"/>
                <w:color w:val="000000" w:themeColor="text1"/>
                <w:szCs w:val="18"/>
                <w:lang w:val="nl-NL"/>
              </w:rPr>
              <w:t xml:space="preserve"> slachtoffer </w:t>
            </w:r>
            <w:r w:rsidR="00C344E3">
              <w:rPr>
                <w:b w:val="0"/>
                <w:color w:val="000000" w:themeColor="text1"/>
                <w:szCs w:val="18"/>
                <w:lang w:val="nl-NL"/>
              </w:rPr>
              <w:t>deelnemen</w:t>
            </w:r>
            <w:r w:rsidRPr="000B4AB2">
              <w:rPr>
                <w:b w:val="0"/>
                <w:color w:val="000000" w:themeColor="text1"/>
                <w:szCs w:val="18"/>
                <w:lang w:val="nl-NL"/>
              </w:rPr>
              <w:t xml:space="preserve"> aan een gedraging</w:t>
            </w:r>
          </w:p>
          <w:p w14:paraId="67DE97AB" w14:textId="77777777" w:rsidR="000A52CB" w:rsidRPr="000B4AB2" w:rsidRDefault="00BD5108"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De gedraging is seksueel</w:t>
            </w:r>
          </w:p>
          <w:p w14:paraId="3892DE23" w14:textId="54CD7958" w:rsidR="00BD5108" w:rsidRPr="000B4AB2" w:rsidRDefault="00F34582"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Zonder geldige toestemming van het slachtoffer</w:t>
            </w:r>
          </w:p>
        </w:tc>
        <w:tc>
          <w:tcPr>
            <w:tcW w:w="4531" w:type="dxa"/>
          </w:tcPr>
          <w:p w14:paraId="7560B137" w14:textId="77777777" w:rsidR="000A52CB"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doet dit opzettelijk</w:t>
            </w:r>
          </w:p>
          <w:p w14:paraId="197B7648" w14:textId="77777777" w:rsidR="000A52CB"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gelooft niet redelijkerwijze dat het slachtoffer toestemt</w:t>
            </w:r>
          </w:p>
        </w:tc>
      </w:tr>
    </w:tbl>
    <w:p w14:paraId="75D4A5F0" w14:textId="77777777" w:rsidR="000A52CB" w:rsidRPr="000B4AB2" w:rsidRDefault="000A52CB" w:rsidP="00260F11">
      <w:pPr>
        <w:pStyle w:val="ListParagraph"/>
        <w:spacing w:line="360" w:lineRule="auto"/>
        <w:ind w:left="0"/>
        <w:rPr>
          <w:color w:val="000000" w:themeColor="text1"/>
          <w:szCs w:val="18"/>
          <w:lang w:val="nl-NL"/>
        </w:rPr>
      </w:pPr>
    </w:p>
    <w:p w14:paraId="511655C9" w14:textId="28ED0A0D" w:rsidR="00D541DB" w:rsidRPr="000B4AB2" w:rsidRDefault="00680A5B" w:rsidP="00260F11">
      <w:pPr>
        <w:pStyle w:val="Heading5"/>
        <w:spacing w:line="360" w:lineRule="auto"/>
        <w:rPr>
          <w:szCs w:val="18"/>
          <w:lang w:val="nl-NL"/>
        </w:rPr>
      </w:pPr>
      <w:bookmarkStart w:id="51" w:name="_Toc135041081"/>
      <w:r w:rsidRPr="000B4AB2">
        <w:rPr>
          <w:szCs w:val="18"/>
          <w:lang w:val="nl-NL"/>
        </w:rPr>
        <w:t>Materiële bestanddelen</w:t>
      </w:r>
      <w:bookmarkEnd w:id="51"/>
    </w:p>
    <w:p w14:paraId="51FFC82D" w14:textId="77777777" w:rsidR="00C435B0" w:rsidRPr="00C435B0" w:rsidRDefault="00C435B0" w:rsidP="00260F11">
      <w:pPr>
        <w:pStyle w:val="ListParagraph"/>
        <w:spacing w:line="360" w:lineRule="auto"/>
        <w:ind w:left="0"/>
        <w:rPr>
          <w:color w:val="000000" w:themeColor="text1"/>
          <w:szCs w:val="18"/>
          <w:lang w:val="nl-NL"/>
        </w:rPr>
      </w:pPr>
    </w:p>
    <w:p w14:paraId="6EC3860A" w14:textId="2E0DC955" w:rsidR="003B56D6" w:rsidRPr="008B67FE" w:rsidRDefault="00A46774"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Slachtoffer neemt deel aan seksuele gedraging door toedoen van dader</w:t>
      </w:r>
      <w:r w:rsidR="00F34582" w:rsidRPr="000B4AB2">
        <w:rPr>
          <w:color w:val="000000" w:themeColor="text1"/>
          <w:szCs w:val="18"/>
          <w:lang w:val="nl-NL"/>
        </w:rPr>
        <w:t xml:space="preserve">. </w:t>
      </w:r>
      <w:r w:rsidR="005F1429" w:rsidRPr="008B67FE">
        <w:rPr>
          <w:color w:val="000000" w:themeColor="text1"/>
          <w:szCs w:val="18"/>
          <w:lang w:val="nl-NL"/>
        </w:rPr>
        <w:t xml:space="preserve">Vooreerst dient het een seksuele gedraging te betreffen. </w:t>
      </w:r>
      <w:r w:rsidR="00F34582" w:rsidRPr="008B67FE">
        <w:rPr>
          <w:color w:val="000000" w:themeColor="text1"/>
          <w:szCs w:val="18"/>
          <w:lang w:val="nl-NL"/>
        </w:rPr>
        <w:t xml:space="preserve">Zoals reeds </w:t>
      </w:r>
      <w:r w:rsidR="00F12F8C" w:rsidRPr="008B67FE">
        <w:rPr>
          <w:color w:val="000000" w:themeColor="text1"/>
          <w:szCs w:val="18"/>
          <w:lang w:val="nl-NL"/>
        </w:rPr>
        <w:t>vermeld,</w:t>
      </w:r>
      <w:r w:rsidR="00F34582" w:rsidRPr="008B67FE">
        <w:rPr>
          <w:color w:val="000000" w:themeColor="text1"/>
          <w:szCs w:val="18"/>
          <w:lang w:val="nl-NL"/>
        </w:rPr>
        <w:t xml:space="preserve"> geeft de SOA zelf aan wat dient te worden verstaan onder “seksueel”</w:t>
      </w:r>
      <w:r w:rsidR="007838C1" w:rsidRPr="008B67FE">
        <w:rPr>
          <w:color w:val="000000" w:themeColor="text1"/>
          <w:szCs w:val="18"/>
          <w:lang w:val="nl-NL"/>
        </w:rPr>
        <w:t>.</w:t>
      </w:r>
      <w:r w:rsidR="006D0D2A">
        <w:rPr>
          <w:rStyle w:val="FootnoteReference"/>
          <w:color w:val="000000" w:themeColor="text1"/>
          <w:szCs w:val="18"/>
          <w:lang w:val="nl-NL"/>
        </w:rPr>
        <w:footnoteReference w:id="450"/>
      </w:r>
      <w:r w:rsidR="007838C1" w:rsidRPr="008B67FE">
        <w:rPr>
          <w:color w:val="000000" w:themeColor="text1"/>
          <w:szCs w:val="18"/>
          <w:lang w:val="nl-NL"/>
        </w:rPr>
        <w:t xml:space="preserve"> </w:t>
      </w:r>
      <w:r w:rsidR="00F87A2F" w:rsidRPr="008B67FE">
        <w:rPr>
          <w:color w:val="000000" w:themeColor="text1"/>
          <w:szCs w:val="18"/>
          <w:lang w:val="nl-NL"/>
        </w:rPr>
        <w:t xml:space="preserve">Het feit dat het slachtoffer deelneemt aan een </w:t>
      </w:r>
      <w:r w:rsidRPr="008B67FE">
        <w:rPr>
          <w:color w:val="000000" w:themeColor="text1"/>
          <w:szCs w:val="18"/>
          <w:lang w:val="nl-NL"/>
        </w:rPr>
        <w:t xml:space="preserve">dergelijke </w:t>
      </w:r>
      <w:r w:rsidR="00F87A2F" w:rsidRPr="008B67FE">
        <w:rPr>
          <w:color w:val="000000" w:themeColor="text1"/>
          <w:szCs w:val="18"/>
          <w:lang w:val="nl-NL"/>
        </w:rPr>
        <w:t xml:space="preserve">seksuele gedraging dient </w:t>
      </w:r>
      <w:r w:rsidR="005F1429" w:rsidRPr="008B67FE">
        <w:rPr>
          <w:color w:val="000000" w:themeColor="text1"/>
          <w:szCs w:val="18"/>
          <w:lang w:val="nl-NL"/>
        </w:rPr>
        <w:t xml:space="preserve">bovendien </w:t>
      </w:r>
      <w:r w:rsidR="00F87A2F" w:rsidRPr="008B67FE">
        <w:rPr>
          <w:color w:val="000000" w:themeColor="text1"/>
          <w:szCs w:val="18"/>
          <w:lang w:val="nl-NL"/>
        </w:rPr>
        <w:t>te zijn veroorzaakt door de dader</w:t>
      </w:r>
      <w:r w:rsidR="003A53FB" w:rsidRPr="008B67FE">
        <w:rPr>
          <w:color w:val="000000" w:themeColor="text1"/>
          <w:szCs w:val="18"/>
          <w:lang w:val="nl-NL"/>
        </w:rPr>
        <w:t>.</w:t>
      </w:r>
      <w:r w:rsidR="00C435B0" w:rsidRPr="008B67FE">
        <w:rPr>
          <w:color w:val="000000" w:themeColor="text1"/>
          <w:szCs w:val="18"/>
          <w:lang w:val="nl-NL"/>
        </w:rPr>
        <w:t xml:space="preserve"> </w:t>
      </w:r>
      <w:r w:rsidR="00A43B6D" w:rsidRPr="008B67FE">
        <w:rPr>
          <w:color w:val="000000" w:themeColor="text1"/>
          <w:szCs w:val="18"/>
          <w:lang w:val="nl-NL"/>
        </w:rPr>
        <w:t>Daarvoor is</w:t>
      </w:r>
      <w:r w:rsidRPr="008B67FE">
        <w:rPr>
          <w:color w:val="000000" w:themeColor="text1"/>
          <w:szCs w:val="18"/>
          <w:lang w:val="nl-NL"/>
        </w:rPr>
        <w:t xml:space="preserve"> </w:t>
      </w:r>
      <w:r w:rsidR="003A53FB" w:rsidRPr="008B67FE">
        <w:rPr>
          <w:color w:val="000000" w:themeColor="text1"/>
          <w:szCs w:val="18"/>
          <w:lang w:val="nl-NL"/>
        </w:rPr>
        <w:t>niet vereist dat de dader aanwezig is bij de</w:t>
      </w:r>
      <w:r w:rsidR="00A43B6D" w:rsidRPr="008B67FE">
        <w:rPr>
          <w:color w:val="000000" w:themeColor="text1"/>
          <w:szCs w:val="18"/>
          <w:lang w:val="nl-NL"/>
        </w:rPr>
        <w:t xml:space="preserve"> desbetreffende</w:t>
      </w:r>
      <w:r w:rsidR="003A53FB" w:rsidRPr="008B67FE">
        <w:rPr>
          <w:color w:val="000000" w:themeColor="text1"/>
          <w:szCs w:val="18"/>
          <w:lang w:val="nl-NL"/>
        </w:rPr>
        <w:t xml:space="preserve"> gedraging.</w:t>
      </w:r>
      <w:r w:rsidR="003A53FB">
        <w:rPr>
          <w:rStyle w:val="FootnoteReference"/>
          <w:color w:val="000000" w:themeColor="text1"/>
          <w:szCs w:val="18"/>
          <w:lang w:val="nl-NL"/>
        </w:rPr>
        <w:footnoteReference w:id="451"/>
      </w:r>
    </w:p>
    <w:p w14:paraId="0D4BE730" w14:textId="4EFA6B48" w:rsidR="00A61EDA" w:rsidRDefault="00A61EDA" w:rsidP="00260F11">
      <w:pPr>
        <w:spacing w:line="360" w:lineRule="auto"/>
        <w:rPr>
          <w:color w:val="000000" w:themeColor="text1"/>
          <w:szCs w:val="18"/>
          <w:lang w:val="nl-NL"/>
        </w:rPr>
      </w:pPr>
    </w:p>
    <w:p w14:paraId="28FE7434" w14:textId="202CC7F5" w:rsidR="007838C1" w:rsidRPr="005915E0" w:rsidRDefault="00A61EDA"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Dit misdrijf viseert vnl. handelingen die niet rechtsreeks door de dader op het slachtoffer worden gesteld.</w:t>
      </w:r>
      <w:r>
        <w:rPr>
          <w:rStyle w:val="FootnoteReference"/>
          <w:color w:val="000000" w:themeColor="text1"/>
          <w:szCs w:val="18"/>
          <w:lang w:val="nl-NL"/>
        </w:rPr>
        <w:footnoteReference w:id="452"/>
      </w:r>
      <w:r w:rsidR="003F1D6C">
        <w:rPr>
          <w:color w:val="000000" w:themeColor="text1"/>
          <w:szCs w:val="18"/>
          <w:lang w:val="nl-NL"/>
        </w:rPr>
        <w:t xml:space="preserve"> </w:t>
      </w:r>
      <w:r>
        <w:rPr>
          <w:color w:val="000000" w:themeColor="text1"/>
          <w:szCs w:val="18"/>
          <w:lang w:val="nl-NL"/>
        </w:rPr>
        <w:t>Voorbeelden uit de rechtspraak zijn</w:t>
      </w:r>
      <w:r w:rsidR="003B56D6" w:rsidRPr="003B56D6">
        <w:rPr>
          <w:color w:val="000000" w:themeColor="text1"/>
          <w:szCs w:val="18"/>
          <w:lang w:val="nl-NL"/>
        </w:rPr>
        <w:t xml:space="preserve"> het verplicht zichzelf</w:t>
      </w:r>
      <w:r w:rsidR="00AB2778">
        <w:rPr>
          <w:color w:val="000000" w:themeColor="text1"/>
          <w:szCs w:val="18"/>
          <w:lang w:val="nl-NL"/>
        </w:rPr>
        <w:t>,</w:t>
      </w:r>
      <w:r w:rsidR="003B56D6">
        <w:rPr>
          <w:rStyle w:val="FootnoteReference"/>
          <w:color w:val="000000" w:themeColor="text1"/>
          <w:szCs w:val="18"/>
          <w:lang w:val="nl-NL"/>
        </w:rPr>
        <w:footnoteReference w:id="453"/>
      </w:r>
      <w:r w:rsidR="005915E0">
        <w:rPr>
          <w:color w:val="000000" w:themeColor="text1"/>
          <w:szCs w:val="18"/>
          <w:lang w:val="nl-NL"/>
        </w:rPr>
        <w:t xml:space="preserve"> </w:t>
      </w:r>
      <w:r w:rsidR="003B56D6" w:rsidRPr="003B56D6">
        <w:rPr>
          <w:color w:val="000000" w:themeColor="text1"/>
          <w:szCs w:val="18"/>
          <w:lang w:val="nl-NL"/>
        </w:rPr>
        <w:t>een derde</w:t>
      </w:r>
      <w:r w:rsidR="003B56D6">
        <w:rPr>
          <w:rStyle w:val="FootnoteReference"/>
          <w:color w:val="000000" w:themeColor="text1"/>
          <w:szCs w:val="18"/>
          <w:lang w:val="nl-NL"/>
        </w:rPr>
        <w:footnoteReference w:id="454"/>
      </w:r>
      <w:r w:rsidR="005915E0">
        <w:rPr>
          <w:color w:val="000000" w:themeColor="text1"/>
          <w:szCs w:val="18"/>
          <w:lang w:val="nl-NL"/>
        </w:rPr>
        <w:t xml:space="preserve"> of de dader</w:t>
      </w:r>
      <w:r w:rsidR="005915E0">
        <w:rPr>
          <w:rStyle w:val="FootnoteReference"/>
          <w:color w:val="000000" w:themeColor="text1"/>
          <w:szCs w:val="18"/>
          <w:lang w:val="nl-NL"/>
        </w:rPr>
        <w:footnoteReference w:id="455"/>
      </w:r>
      <w:r w:rsidR="003B56D6" w:rsidRPr="005915E0">
        <w:rPr>
          <w:color w:val="000000" w:themeColor="text1"/>
          <w:szCs w:val="18"/>
          <w:lang w:val="nl-NL"/>
        </w:rPr>
        <w:t xml:space="preserve"> masturberen.</w:t>
      </w:r>
      <w:r w:rsidR="003B56D6">
        <w:rPr>
          <w:rStyle w:val="FootnoteReference"/>
          <w:color w:val="000000" w:themeColor="text1"/>
          <w:szCs w:val="18"/>
          <w:lang w:val="nl-NL"/>
        </w:rPr>
        <w:footnoteReference w:id="456"/>
      </w:r>
    </w:p>
    <w:p w14:paraId="2CDA7834" w14:textId="77777777" w:rsidR="003B56D6" w:rsidRPr="003B56D6" w:rsidRDefault="003B56D6" w:rsidP="00260F11">
      <w:pPr>
        <w:pStyle w:val="ListParagraph"/>
        <w:spacing w:line="360" w:lineRule="auto"/>
        <w:ind w:left="0"/>
        <w:rPr>
          <w:color w:val="000000" w:themeColor="text1"/>
          <w:szCs w:val="18"/>
          <w:lang w:val="nl-NL"/>
        </w:rPr>
      </w:pPr>
    </w:p>
    <w:p w14:paraId="01F77348" w14:textId="661773E9" w:rsidR="002417C8" w:rsidRPr="000B4AB2" w:rsidRDefault="002417C8"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Zonder geldige toestemming</w:t>
      </w:r>
      <w:r w:rsidRPr="000B4AB2">
        <w:rPr>
          <w:color w:val="000000" w:themeColor="text1"/>
          <w:szCs w:val="18"/>
          <w:lang w:val="nl-NL"/>
        </w:rPr>
        <w:t xml:space="preserve">. </w:t>
      </w:r>
      <w:r w:rsidR="00A55FD1" w:rsidRPr="000B4AB2">
        <w:rPr>
          <w:color w:val="000000" w:themeColor="text1"/>
          <w:szCs w:val="18"/>
          <w:lang w:val="nl-NL"/>
        </w:rPr>
        <w:t>Deze</w:t>
      </w:r>
      <w:r w:rsidRPr="000B4AB2">
        <w:rPr>
          <w:color w:val="000000" w:themeColor="text1"/>
          <w:szCs w:val="18"/>
          <w:lang w:val="nl-NL"/>
        </w:rPr>
        <w:t xml:space="preserve"> voorwaarde </w:t>
      </w:r>
      <w:r w:rsidR="00A55FD1" w:rsidRPr="000B4AB2">
        <w:rPr>
          <w:color w:val="000000" w:themeColor="text1"/>
          <w:szCs w:val="18"/>
          <w:lang w:val="nl-NL"/>
        </w:rPr>
        <w:t>werd</w:t>
      </w:r>
      <w:r w:rsidRPr="000B4AB2">
        <w:rPr>
          <w:color w:val="000000" w:themeColor="text1"/>
          <w:szCs w:val="18"/>
          <w:lang w:val="nl-NL"/>
        </w:rPr>
        <w:t xml:space="preserve"> reeds </w:t>
      </w:r>
      <w:r w:rsidR="00A55FD1" w:rsidRPr="000B4AB2">
        <w:rPr>
          <w:color w:val="000000" w:themeColor="text1"/>
          <w:szCs w:val="18"/>
          <w:lang w:val="nl-NL"/>
        </w:rPr>
        <w:t>toegelicht</w:t>
      </w:r>
      <w:r w:rsidRPr="000B4AB2">
        <w:rPr>
          <w:color w:val="000000" w:themeColor="text1"/>
          <w:szCs w:val="18"/>
          <w:lang w:val="nl-NL"/>
        </w:rPr>
        <w:t>.</w:t>
      </w:r>
      <w:r w:rsidR="006D0D2A">
        <w:rPr>
          <w:rStyle w:val="FootnoteReference"/>
          <w:color w:val="000000" w:themeColor="text1"/>
          <w:szCs w:val="18"/>
          <w:lang w:val="nl-NL"/>
        </w:rPr>
        <w:footnoteReference w:id="457"/>
      </w:r>
    </w:p>
    <w:p w14:paraId="10E471C3" w14:textId="5C5EFA6D" w:rsidR="00680A5B" w:rsidRPr="000B4AB2" w:rsidRDefault="00680A5B" w:rsidP="00260F11">
      <w:pPr>
        <w:pStyle w:val="ListParagraph"/>
        <w:spacing w:line="360" w:lineRule="auto"/>
        <w:ind w:left="0"/>
        <w:rPr>
          <w:color w:val="000000" w:themeColor="text1"/>
          <w:szCs w:val="18"/>
          <w:lang w:val="nl-NL"/>
        </w:rPr>
      </w:pPr>
    </w:p>
    <w:p w14:paraId="42BA027C" w14:textId="5D47C53B" w:rsidR="00680A5B" w:rsidRPr="000B4AB2" w:rsidRDefault="00680A5B" w:rsidP="00260F11">
      <w:pPr>
        <w:pStyle w:val="Heading5"/>
        <w:spacing w:line="360" w:lineRule="auto"/>
        <w:rPr>
          <w:szCs w:val="18"/>
          <w:lang w:val="nl-NL"/>
        </w:rPr>
      </w:pPr>
      <w:bookmarkStart w:id="52" w:name="_Toc135041082"/>
      <w:r w:rsidRPr="000B4AB2">
        <w:rPr>
          <w:szCs w:val="18"/>
          <w:lang w:val="nl-NL"/>
        </w:rPr>
        <w:t>Moreel bestanddeel</w:t>
      </w:r>
      <w:bookmarkEnd w:id="52"/>
    </w:p>
    <w:p w14:paraId="058649A5" w14:textId="77777777" w:rsidR="00680A5B" w:rsidRPr="000B4AB2" w:rsidRDefault="00680A5B" w:rsidP="00260F11">
      <w:pPr>
        <w:spacing w:line="360" w:lineRule="auto"/>
        <w:rPr>
          <w:szCs w:val="18"/>
          <w:lang w:val="nl-NL"/>
        </w:rPr>
      </w:pPr>
    </w:p>
    <w:p w14:paraId="4AAC0D8C" w14:textId="14858CF7" w:rsidR="00B77CFC" w:rsidRPr="000B4AB2" w:rsidRDefault="00DC1E67"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Opzettelijk</w:t>
      </w:r>
      <w:r w:rsidRPr="000B4AB2">
        <w:rPr>
          <w:rStyle w:val="FootnoteReference"/>
          <w:b/>
          <w:color w:val="000000" w:themeColor="text1"/>
          <w:szCs w:val="18"/>
          <w:lang w:val="nl-NL"/>
        </w:rPr>
        <w:footnoteReference w:id="458"/>
      </w:r>
      <w:r w:rsidRPr="000B4AB2">
        <w:rPr>
          <w:b/>
          <w:color w:val="000000" w:themeColor="text1"/>
          <w:szCs w:val="18"/>
          <w:lang w:val="nl-NL"/>
        </w:rPr>
        <w:t xml:space="preserve"> en </w:t>
      </w:r>
      <w:r w:rsidR="00FE6071">
        <w:rPr>
          <w:b/>
          <w:color w:val="000000" w:themeColor="text1"/>
          <w:szCs w:val="18"/>
          <w:lang w:val="nl-NL"/>
        </w:rPr>
        <w:t>d</w:t>
      </w:r>
      <w:r w:rsidR="00FE6071" w:rsidRPr="000B4AB2">
        <w:rPr>
          <w:b/>
          <w:color w:val="000000" w:themeColor="text1"/>
          <w:szCs w:val="18"/>
          <w:lang w:val="nl-NL"/>
        </w:rPr>
        <w:t>ader kon niet redelijkerwijze geloven dat slachtoffer instemde</w:t>
      </w:r>
      <w:r w:rsidRPr="000B4AB2">
        <w:rPr>
          <w:rStyle w:val="FootnoteReference"/>
          <w:b/>
          <w:color w:val="000000" w:themeColor="text1"/>
          <w:szCs w:val="18"/>
          <w:lang w:val="nl-NL"/>
        </w:rPr>
        <w:footnoteReference w:id="459"/>
      </w:r>
      <w:r w:rsidR="00347979">
        <w:rPr>
          <w:color w:val="000000" w:themeColor="text1"/>
          <w:szCs w:val="18"/>
          <w:lang w:val="nl-NL"/>
        </w:rPr>
        <w:t xml:space="preserve">. Dit werd </w:t>
      </w:r>
      <w:r w:rsidR="00BA0968">
        <w:rPr>
          <w:color w:val="000000" w:themeColor="text1"/>
          <w:szCs w:val="18"/>
          <w:lang w:val="nl-NL"/>
        </w:rPr>
        <w:t xml:space="preserve">eveneens </w:t>
      </w:r>
      <w:r w:rsidR="00347979">
        <w:rPr>
          <w:color w:val="000000" w:themeColor="text1"/>
          <w:szCs w:val="18"/>
          <w:lang w:val="nl-NL"/>
        </w:rPr>
        <w:t>reeds eerder uiteengezet</w:t>
      </w:r>
      <w:r w:rsidR="006D0D2A">
        <w:rPr>
          <w:color w:val="000000" w:themeColor="text1"/>
          <w:szCs w:val="18"/>
          <w:lang w:val="nl-NL"/>
        </w:rPr>
        <w:t>.</w:t>
      </w:r>
      <w:r w:rsidR="006D0D2A">
        <w:rPr>
          <w:rStyle w:val="FootnoteReference"/>
          <w:color w:val="000000" w:themeColor="text1"/>
          <w:szCs w:val="18"/>
          <w:lang w:val="nl-NL"/>
        </w:rPr>
        <w:footnoteReference w:id="460"/>
      </w:r>
    </w:p>
    <w:p w14:paraId="5962DF00" w14:textId="77777777" w:rsidR="00B77CFC" w:rsidRPr="000B4AB2" w:rsidRDefault="00B77CFC" w:rsidP="00260F11">
      <w:pPr>
        <w:pStyle w:val="ListParagraph"/>
        <w:spacing w:line="360" w:lineRule="auto"/>
        <w:ind w:left="0"/>
        <w:rPr>
          <w:color w:val="000000" w:themeColor="text1"/>
          <w:szCs w:val="18"/>
          <w:lang w:val="nl-NL"/>
        </w:rPr>
      </w:pPr>
    </w:p>
    <w:p w14:paraId="40D10587" w14:textId="4A22E622" w:rsidR="00FC5496" w:rsidRPr="000B4AB2" w:rsidRDefault="008C220A" w:rsidP="00260F11">
      <w:pPr>
        <w:pStyle w:val="Heading3"/>
        <w:spacing w:line="360" w:lineRule="auto"/>
        <w:rPr>
          <w:szCs w:val="18"/>
          <w:lang w:val="nl-NL"/>
        </w:rPr>
      </w:pPr>
      <w:bookmarkStart w:id="53" w:name="_Toc123642398"/>
      <w:bookmarkStart w:id="54" w:name="_Toc135041083"/>
      <w:r w:rsidRPr="000B4AB2">
        <w:rPr>
          <w:szCs w:val="18"/>
          <w:lang w:val="nl-NL"/>
        </w:rPr>
        <w:lastRenderedPageBreak/>
        <w:t>Verkrachting</w:t>
      </w:r>
      <w:r w:rsidR="00FC5496" w:rsidRPr="000B4AB2">
        <w:rPr>
          <w:szCs w:val="18"/>
          <w:lang w:val="nl-NL"/>
        </w:rPr>
        <w:t xml:space="preserve"> </w:t>
      </w:r>
      <w:bookmarkEnd w:id="53"/>
      <w:r w:rsidR="00346B83" w:rsidRPr="000B4AB2">
        <w:rPr>
          <w:szCs w:val="18"/>
          <w:lang w:val="nl-NL"/>
        </w:rPr>
        <w:t>naar Brits recht</w:t>
      </w:r>
      <w:bookmarkEnd w:id="54"/>
    </w:p>
    <w:p w14:paraId="4BD6E4DB" w14:textId="129E8C7F" w:rsidR="00D541DB" w:rsidRPr="000B4AB2" w:rsidRDefault="005853B7" w:rsidP="00260F11">
      <w:pPr>
        <w:pStyle w:val="Heading4"/>
        <w:spacing w:line="360" w:lineRule="auto"/>
        <w:rPr>
          <w:szCs w:val="18"/>
          <w:lang w:val="nl-NL"/>
        </w:rPr>
      </w:pPr>
      <w:bookmarkStart w:id="55" w:name="_Toc135041084"/>
      <w:r w:rsidRPr="000B4AB2">
        <w:rPr>
          <w:i/>
          <w:szCs w:val="18"/>
          <w:lang w:val="nl-NL"/>
        </w:rPr>
        <w:t>Rape</w:t>
      </w:r>
      <w:bookmarkEnd w:id="55"/>
    </w:p>
    <w:p w14:paraId="0DA84C13" w14:textId="77777777" w:rsidR="00842802" w:rsidRPr="000B4AB2" w:rsidRDefault="00842802" w:rsidP="00260F11">
      <w:pPr>
        <w:pStyle w:val="ListParagraph"/>
        <w:spacing w:line="360" w:lineRule="auto"/>
        <w:ind w:left="0"/>
        <w:rPr>
          <w:color w:val="000000" w:themeColor="text1"/>
          <w:szCs w:val="18"/>
          <w:lang w:val="nl-NL"/>
        </w:rPr>
      </w:pPr>
    </w:p>
    <w:p w14:paraId="0FE5E072" w14:textId="7DE9489B" w:rsidR="00D541DB" w:rsidRPr="00EA457E" w:rsidRDefault="006947A0" w:rsidP="00260F11">
      <w:pPr>
        <w:pStyle w:val="ListParagraph"/>
        <w:numPr>
          <w:ilvl w:val="0"/>
          <w:numId w:val="1"/>
        </w:numPr>
        <w:spacing w:line="360" w:lineRule="auto"/>
        <w:ind w:left="0" w:hanging="709"/>
        <w:rPr>
          <w:i/>
          <w:color w:val="000000" w:themeColor="text1"/>
          <w:szCs w:val="18"/>
          <w:lang w:val="nl-NL"/>
        </w:rPr>
      </w:pPr>
      <w:r w:rsidRPr="00862615">
        <w:rPr>
          <w:i/>
          <w:color w:val="000000" w:themeColor="text1"/>
          <w:szCs w:val="18"/>
          <w:lang w:val="nl-NL"/>
        </w:rPr>
        <w:t>Section</w:t>
      </w:r>
      <w:r w:rsidRPr="000B4AB2">
        <w:rPr>
          <w:color w:val="000000" w:themeColor="text1"/>
          <w:szCs w:val="18"/>
          <w:lang w:val="nl-NL"/>
        </w:rPr>
        <w:t xml:space="preserve"> 1 van de SOA stelt </w:t>
      </w:r>
      <w:r w:rsidRPr="000B4AB2">
        <w:rPr>
          <w:i/>
          <w:color w:val="000000" w:themeColor="text1"/>
          <w:szCs w:val="18"/>
          <w:lang w:val="nl-NL"/>
        </w:rPr>
        <w:t>r</w:t>
      </w:r>
      <w:r w:rsidR="00511C38" w:rsidRPr="000B4AB2">
        <w:rPr>
          <w:i/>
          <w:color w:val="000000" w:themeColor="text1"/>
          <w:szCs w:val="18"/>
          <w:lang w:val="nl-NL"/>
        </w:rPr>
        <w:t>ape</w:t>
      </w:r>
      <w:r w:rsidRPr="000B4AB2">
        <w:rPr>
          <w:color w:val="000000" w:themeColor="text1"/>
          <w:szCs w:val="18"/>
          <w:lang w:val="nl-NL"/>
        </w:rPr>
        <w:t xml:space="preserve"> strafbaar</w:t>
      </w:r>
      <w:r w:rsidR="00F31107">
        <w:rPr>
          <w:color w:val="000000" w:themeColor="text1"/>
          <w:szCs w:val="18"/>
          <w:lang w:val="nl-NL"/>
        </w:rPr>
        <w:t>.</w:t>
      </w:r>
      <w:r w:rsidR="00EA457E" w:rsidRPr="004F030D">
        <w:rPr>
          <w:color w:val="000000" w:themeColor="text1"/>
          <w:szCs w:val="18"/>
          <w:lang w:val="nl-NL"/>
        </w:rPr>
        <w:t xml:space="preserve"> </w:t>
      </w:r>
      <w:r w:rsidR="00F31107">
        <w:rPr>
          <w:color w:val="000000" w:themeColor="text1"/>
          <w:szCs w:val="18"/>
          <w:lang w:val="nl-NL"/>
        </w:rPr>
        <w:t>D</w:t>
      </w:r>
      <w:r w:rsidR="00EA457E">
        <w:rPr>
          <w:color w:val="000000" w:themeColor="text1"/>
          <w:szCs w:val="18"/>
          <w:lang w:val="nl-NL"/>
        </w:rPr>
        <w:t>e constitutieve bestanddelen</w:t>
      </w:r>
      <w:r w:rsidR="00D37864">
        <w:rPr>
          <w:color w:val="000000" w:themeColor="text1"/>
          <w:szCs w:val="18"/>
          <w:lang w:val="nl-NL"/>
        </w:rPr>
        <w:t xml:space="preserve"> </w:t>
      </w:r>
      <w:r w:rsidR="00F31107">
        <w:rPr>
          <w:color w:val="000000" w:themeColor="text1"/>
          <w:szCs w:val="18"/>
          <w:lang w:val="nl-NL"/>
        </w:rPr>
        <w:t xml:space="preserve">hiervan kunnen </w:t>
      </w:r>
      <w:r w:rsidR="00D37864">
        <w:rPr>
          <w:color w:val="000000" w:themeColor="text1"/>
          <w:szCs w:val="18"/>
          <w:lang w:val="nl-NL"/>
        </w:rPr>
        <w:t>schematisch reeds</w:t>
      </w:r>
      <w:r w:rsidR="00EA457E">
        <w:rPr>
          <w:color w:val="000000" w:themeColor="text1"/>
          <w:szCs w:val="18"/>
          <w:lang w:val="nl-NL"/>
        </w:rPr>
        <w:t xml:space="preserve"> als volgt worden weergegeven</w:t>
      </w:r>
      <w:r w:rsidR="0014426B" w:rsidRPr="00EA457E">
        <w:rPr>
          <w:i/>
          <w:color w:val="000000" w:themeColor="text1"/>
          <w:szCs w:val="18"/>
          <w:lang w:val="nl-NL"/>
        </w:rPr>
        <w:t>.</w:t>
      </w:r>
    </w:p>
    <w:p w14:paraId="77CCD027" w14:textId="44A88856" w:rsidR="00E060D6" w:rsidRPr="000B4AB2" w:rsidRDefault="00E060D6" w:rsidP="00260F11">
      <w:pPr>
        <w:spacing w:line="360" w:lineRule="auto"/>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0A52CB" w:rsidRPr="000B4AB2" w14:paraId="13C2BA93" w14:textId="77777777" w:rsidTr="009F57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71F3098F" w14:textId="7326F68E" w:rsidR="000A52CB" w:rsidRPr="000B4AB2" w:rsidRDefault="000A52CB"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Constitutieve bestanddelen </w:t>
            </w:r>
            <w:r w:rsidRPr="000B4AB2">
              <w:rPr>
                <w:i/>
                <w:color w:val="000000" w:themeColor="text1"/>
                <w:szCs w:val="18"/>
                <w:lang w:val="nl-NL"/>
              </w:rPr>
              <w:t xml:space="preserve">rape </w:t>
            </w:r>
          </w:p>
        </w:tc>
      </w:tr>
      <w:tr w:rsidR="000A52CB" w:rsidRPr="000B4AB2" w14:paraId="75260B37" w14:textId="77777777" w:rsidTr="009F5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07C4430" w14:textId="77777777" w:rsidR="000A52CB" w:rsidRPr="000B4AB2" w:rsidRDefault="000A52CB"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2A50B46A" w14:textId="77777777" w:rsidR="000A52CB" w:rsidRPr="000B4AB2" w:rsidRDefault="000A52CB"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0A52CB" w:rsidRPr="000B4AB2" w14:paraId="26418FC9" w14:textId="77777777" w:rsidTr="009F5738">
        <w:tc>
          <w:tcPr>
            <w:cnfStyle w:val="001000000000" w:firstRow="0" w:lastRow="0" w:firstColumn="1" w:lastColumn="0" w:oddVBand="0" w:evenVBand="0" w:oddHBand="0" w:evenHBand="0" w:firstRowFirstColumn="0" w:firstRowLastColumn="0" w:lastRowFirstColumn="0" w:lastRowLastColumn="0"/>
            <w:tcW w:w="4531" w:type="dxa"/>
          </w:tcPr>
          <w:p w14:paraId="051D7E4B" w14:textId="7048C430" w:rsidR="00EA457E" w:rsidRPr="00EA457E" w:rsidRDefault="00EA457E" w:rsidP="00260F11">
            <w:pPr>
              <w:pStyle w:val="ListParagraph"/>
              <w:numPr>
                <w:ilvl w:val="0"/>
                <w:numId w:val="5"/>
              </w:numPr>
              <w:spacing w:line="360" w:lineRule="auto"/>
              <w:rPr>
                <w:b w:val="0"/>
                <w:bCs w:val="0"/>
                <w:color w:val="000000" w:themeColor="text1"/>
                <w:szCs w:val="18"/>
                <w:lang w:val="nl-NL"/>
              </w:rPr>
            </w:pPr>
            <w:r w:rsidRPr="00EA457E">
              <w:rPr>
                <w:b w:val="0"/>
                <w:bCs w:val="0"/>
                <w:color w:val="000000" w:themeColor="text1"/>
                <w:szCs w:val="18"/>
                <w:lang w:val="nl-NL"/>
              </w:rPr>
              <w:t>Penetratie</w:t>
            </w:r>
          </w:p>
          <w:p w14:paraId="336DC9FE" w14:textId="40F79FBD" w:rsidR="00EA457E" w:rsidRPr="00EA457E" w:rsidRDefault="00EA457E" w:rsidP="00260F11">
            <w:pPr>
              <w:pStyle w:val="ListParagraph"/>
              <w:numPr>
                <w:ilvl w:val="0"/>
                <w:numId w:val="5"/>
              </w:numPr>
              <w:spacing w:line="360" w:lineRule="auto"/>
              <w:rPr>
                <w:b w:val="0"/>
                <w:bCs w:val="0"/>
                <w:color w:val="000000" w:themeColor="text1"/>
                <w:szCs w:val="18"/>
                <w:lang w:val="nl-NL"/>
              </w:rPr>
            </w:pPr>
            <w:r w:rsidRPr="00EA457E">
              <w:rPr>
                <w:b w:val="0"/>
                <w:bCs w:val="0"/>
                <w:color w:val="000000" w:themeColor="text1"/>
                <w:szCs w:val="18"/>
                <w:lang w:val="nl-NL"/>
              </w:rPr>
              <w:t>Van de vagina, anus of mond van het slachtoffer</w:t>
            </w:r>
          </w:p>
          <w:p w14:paraId="76B7EE72" w14:textId="6B7E5EBD" w:rsidR="00EA457E" w:rsidRPr="00EA457E" w:rsidRDefault="00EA457E" w:rsidP="00260F11">
            <w:pPr>
              <w:pStyle w:val="ListParagraph"/>
              <w:numPr>
                <w:ilvl w:val="0"/>
                <w:numId w:val="5"/>
              </w:numPr>
              <w:spacing w:line="360" w:lineRule="auto"/>
              <w:rPr>
                <w:b w:val="0"/>
                <w:bCs w:val="0"/>
                <w:color w:val="000000" w:themeColor="text1"/>
                <w:szCs w:val="18"/>
                <w:lang w:val="nl-NL"/>
              </w:rPr>
            </w:pPr>
            <w:r>
              <w:rPr>
                <w:b w:val="0"/>
                <w:bCs w:val="0"/>
                <w:color w:val="000000" w:themeColor="text1"/>
                <w:szCs w:val="18"/>
                <w:lang w:val="nl-NL"/>
              </w:rPr>
              <w:t>D.m.v.</w:t>
            </w:r>
            <w:r w:rsidRPr="00EA457E">
              <w:rPr>
                <w:b w:val="0"/>
                <w:bCs w:val="0"/>
                <w:color w:val="000000" w:themeColor="text1"/>
                <w:szCs w:val="18"/>
                <w:lang w:val="nl-NL"/>
              </w:rPr>
              <w:t xml:space="preserve"> penis</w:t>
            </w:r>
          </w:p>
          <w:p w14:paraId="5C7C0296" w14:textId="400C241A" w:rsidR="006947A0" w:rsidRPr="000B4AB2" w:rsidRDefault="006947A0"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Zonder geldige toestemming van het slachtoffer</w:t>
            </w:r>
          </w:p>
        </w:tc>
        <w:tc>
          <w:tcPr>
            <w:tcW w:w="4531" w:type="dxa"/>
          </w:tcPr>
          <w:p w14:paraId="1C7C0C29" w14:textId="77777777" w:rsidR="000A52CB"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doet dit opzettelijk</w:t>
            </w:r>
          </w:p>
          <w:p w14:paraId="5DEB484D" w14:textId="77777777" w:rsidR="000A52CB"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gelooft niet redelijkerwijze dat het slachtoffer toestemt</w:t>
            </w:r>
          </w:p>
        </w:tc>
      </w:tr>
    </w:tbl>
    <w:p w14:paraId="6553386D" w14:textId="77777777" w:rsidR="000A52CB" w:rsidRPr="000B4AB2" w:rsidRDefault="000A52CB" w:rsidP="00260F11">
      <w:pPr>
        <w:spacing w:line="360" w:lineRule="auto"/>
        <w:rPr>
          <w:color w:val="000000" w:themeColor="text1"/>
          <w:szCs w:val="18"/>
          <w:lang w:val="nl-NL"/>
        </w:rPr>
      </w:pPr>
    </w:p>
    <w:p w14:paraId="6BAECA37" w14:textId="69EA4AD2" w:rsidR="00C027A3" w:rsidRPr="000B4AB2" w:rsidRDefault="00C027A3" w:rsidP="00260F11">
      <w:pPr>
        <w:pStyle w:val="Heading5"/>
        <w:spacing w:line="360" w:lineRule="auto"/>
        <w:rPr>
          <w:szCs w:val="18"/>
          <w:lang w:val="nl-NL"/>
        </w:rPr>
      </w:pPr>
      <w:bookmarkStart w:id="56" w:name="_Toc135041085"/>
      <w:r w:rsidRPr="000B4AB2">
        <w:rPr>
          <w:szCs w:val="18"/>
          <w:lang w:val="nl-NL"/>
        </w:rPr>
        <w:t>Materiële bestanddelen</w:t>
      </w:r>
      <w:bookmarkEnd w:id="56"/>
    </w:p>
    <w:p w14:paraId="1A69676A" w14:textId="77777777" w:rsidR="001004B3" w:rsidRPr="00E3574A" w:rsidRDefault="001004B3" w:rsidP="00260F11">
      <w:pPr>
        <w:pStyle w:val="ListParagraph"/>
        <w:spacing w:line="360" w:lineRule="auto"/>
        <w:ind w:left="0"/>
        <w:rPr>
          <w:color w:val="000000" w:themeColor="text1"/>
          <w:szCs w:val="18"/>
          <w:lang w:val="nl-NL"/>
        </w:rPr>
      </w:pPr>
    </w:p>
    <w:p w14:paraId="3DE2935C" w14:textId="0DCD08BC" w:rsidR="00963480" w:rsidRPr="008B5EC8" w:rsidRDefault="006947A0" w:rsidP="00260F11">
      <w:pPr>
        <w:pStyle w:val="ListParagraph"/>
        <w:numPr>
          <w:ilvl w:val="0"/>
          <w:numId w:val="1"/>
        </w:numPr>
        <w:spacing w:line="360" w:lineRule="auto"/>
        <w:ind w:left="0" w:hanging="709"/>
        <w:rPr>
          <w:i/>
          <w:color w:val="000000" w:themeColor="text1"/>
          <w:szCs w:val="18"/>
          <w:lang w:val="nl-NL"/>
        </w:rPr>
      </w:pPr>
      <w:r w:rsidRPr="001004B3">
        <w:rPr>
          <w:b/>
          <w:color w:val="000000" w:themeColor="text1"/>
          <w:szCs w:val="18"/>
          <w:lang w:val="nl-NL"/>
        </w:rPr>
        <w:t>Dader penetreert vagina, anus of mond van het slachtoffer met zijn penis</w:t>
      </w:r>
      <w:r w:rsidRPr="001004B3">
        <w:rPr>
          <w:color w:val="000000" w:themeColor="text1"/>
          <w:szCs w:val="18"/>
          <w:lang w:val="nl-NL"/>
        </w:rPr>
        <w:t xml:space="preserve">. </w:t>
      </w:r>
      <w:r w:rsidR="00CE1136" w:rsidRPr="001004B3">
        <w:rPr>
          <w:color w:val="000000" w:themeColor="text1"/>
          <w:szCs w:val="18"/>
          <w:lang w:val="nl-NL"/>
        </w:rPr>
        <w:t>Dit constitutief bestanddeel valt uiteen in drie onderdelen</w:t>
      </w:r>
      <w:r w:rsidR="006A7B32" w:rsidRPr="001004B3">
        <w:rPr>
          <w:color w:val="000000" w:themeColor="text1"/>
          <w:szCs w:val="18"/>
          <w:lang w:val="nl-NL"/>
        </w:rPr>
        <w:t>.</w:t>
      </w:r>
      <w:r w:rsidR="00CE1136" w:rsidRPr="001004B3">
        <w:rPr>
          <w:color w:val="000000" w:themeColor="text1"/>
          <w:szCs w:val="18"/>
          <w:lang w:val="nl-NL"/>
        </w:rPr>
        <w:t xml:space="preserve"> </w:t>
      </w:r>
      <w:r w:rsidR="005278DB" w:rsidRPr="001004B3">
        <w:rPr>
          <w:color w:val="000000" w:themeColor="text1"/>
          <w:szCs w:val="18"/>
          <w:lang w:val="nl-NL"/>
        </w:rPr>
        <w:t>Vooreerst</w:t>
      </w:r>
      <w:r w:rsidR="00CE1136" w:rsidRPr="001004B3">
        <w:rPr>
          <w:color w:val="000000" w:themeColor="text1"/>
          <w:szCs w:val="18"/>
          <w:lang w:val="nl-NL"/>
        </w:rPr>
        <w:t xml:space="preserve"> moet </w:t>
      </w:r>
      <w:r w:rsidR="005278DB" w:rsidRPr="001004B3">
        <w:rPr>
          <w:color w:val="000000" w:themeColor="text1"/>
          <w:szCs w:val="18"/>
          <w:lang w:val="nl-NL"/>
        </w:rPr>
        <w:t>er</w:t>
      </w:r>
      <w:r w:rsidR="00CE1136" w:rsidRPr="001004B3">
        <w:rPr>
          <w:color w:val="000000" w:themeColor="text1"/>
          <w:szCs w:val="18"/>
          <w:lang w:val="nl-NL"/>
        </w:rPr>
        <w:t xml:space="preserve"> een penetratie zijn</w:t>
      </w:r>
      <w:r w:rsidR="005278DB" w:rsidRPr="001004B3">
        <w:rPr>
          <w:color w:val="000000" w:themeColor="text1"/>
          <w:szCs w:val="18"/>
          <w:lang w:val="nl-NL"/>
        </w:rPr>
        <w:t>.</w:t>
      </w:r>
      <w:r w:rsidR="006D0D2A">
        <w:rPr>
          <w:rStyle w:val="FootnoteReference"/>
          <w:color w:val="000000" w:themeColor="text1"/>
          <w:szCs w:val="18"/>
          <w:lang w:val="nl-NL"/>
        </w:rPr>
        <w:footnoteReference w:id="461"/>
      </w:r>
      <w:r w:rsidR="005278DB" w:rsidRPr="001004B3">
        <w:rPr>
          <w:color w:val="000000" w:themeColor="text1"/>
          <w:szCs w:val="18"/>
          <w:lang w:val="nl-NL"/>
        </w:rPr>
        <w:t xml:space="preserve"> Deze dient plaats te vinden in </w:t>
      </w:r>
      <w:r w:rsidR="00CE1136" w:rsidRPr="001004B3">
        <w:rPr>
          <w:color w:val="000000" w:themeColor="text1"/>
          <w:szCs w:val="18"/>
          <w:lang w:val="nl-NL"/>
        </w:rPr>
        <w:t>de vagina</w:t>
      </w:r>
      <w:r w:rsidR="005278DB">
        <w:rPr>
          <w:rStyle w:val="FootnoteReference"/>
          <w:color w:val="000000" w:themeColor="text1"/>
          <w:szCs w:val="18"/>
          <w:lang w:val="nl-NL"/>
        </w:rPr>
        <w:footnoteReference w:id="462"/>
      </w:r>
      <w:r w:rsidR="00CE1136" w:rsidRPr="001004B3">
        <w:rPr>
          <w:color w:val="000000" w:themeColor="text1"/>
          <w:szCs w:val="18"/>
          <w:lang w:val="nl-NL"/>
        </w:rPr>
        <w:t>, anus of mond van het slachtoffer</w:t>
      </w:r>
      <w:r w:rsidR="005278DB" w:rsidRPr="001004B3">
        <w:rPr>
          <w:color w:val="000000" w:themeColor="text1"/>
          <w:szCs w:val="18"/>
          <w:lang w:val="nl-NL"/>
        </w:rPr>
        <w:t>. Het geslacht van het slachtoffer is derhalve irrelevant.</w:t>
      </w:r>
      <w:r w:rsidR="005278DB" w:rsidRPr="000B4AB2">
        <w:rPr>
          <w:rStyle w:val="FootnoteReference"/>
          <w:color w:val="000000" w:themeColor="text1"/>
          <w:szCs w:val="18"/>
          <w:lang w:val="nl-NL"/>
        </w:rPr>
        <w:footnoteReference w:id="463"/>
      </w:r>
      <w:r w:rsidR="005278DB" w:rsidRPr="001004B3">
        <w:rPr>
          <w:color w:val="000000" w:themeColor="text1"/>
          <w:szCs w:val="18"/>
          <w:lang w:val="nl-NL"/>
        </w:rPr>
        <w:t xml:space="preserve"> Tot slot dient de penetratie te gebeuren </w:t>
      </w:r>
      <w:r w:rsidR="006A7B32" w:rsidRPr="001004B3">
        <w:rPr>
          <w:color w:val="000000" w:themeColor="text1"/>
          <w:szCs w:val="18"/>
          <w:lang w:val="nl-NL"/>
        </w:rPr>
        <w:t>d.m.v.</w:t>
      </w:r>
      <w:r w:rsidR="00CE1136" w:rsidRPr="001004B3">
        <w:rPr>
          <w:color w:val="000000" w:themeColor="text1"/>
          <w:szCs w:val="18"/>
          <w:lang w:val="nl-NL"/>
        </w:rPr>
        <w:t xml:space="preserve"> de penis van de dader</w:t>
      </w:r>
      <w:r w:rsidR="00CD7BFC" w:rsidRPr="001004B3">
        <w:rPr>
          <w:color w:val="000000" w:themeColor="text1"/>
          <w:szCs w:val="18"/>
          <w:lang w:val="nl-NL"/>
        </w:rPr>
        <w:t>. Dit impliceert dat dit misdrijf enkel kan worden gepleegd door een man.</w:t>
      </w:r>
      <w:r w:rsidR="00A20A97" w:rsidRPr="000B4AB2">
        <w:rPr>
          <w:rStyle w:val="FootnoteReference"/>
          <w:color w:val="000000" w:themeColor="text1"/>
          <w:szCs w:val="18"/>
          <w:lang w:val="nl-NL"/>
        </w:rPr>
        <w:footnoteReference w:id="464"/>
      </w:r>
      <w:r w:rsidR="00E35A62" w:rsidRPr="001004B3">
        <w:rPr>
          <w:color w:val="000000" w:themeColor="text1"/>
          <w:szCs w:val="18"/>
          <w:lang w:val="nl-NL"/>
        </w:rPr>
        <w:t xml:space="preserve"> Dit was een bewuste keuze van de Britse wetgever</w:t>
      </w:r>
      <w:r w:rsidR="00222958" w:rsidRPr="001004B3">
        <w:rPr>
          <w:color w:val="000000" w:themeColor="text1"/>
          <w:szCs w:val="18"/>
          <w:lang w:val="nl-NL"/>
        </w:rPr>
        <w:t xml:space="preserve"> in 2003</w:t>
      </w:r>
      <w:r w:rsidR="005B11EE" w:rsidRPr="001004B3">
        <w:rPr>
          <w:color w:val="000000" w:themeColor="text1"/>
          <w:szCs w:val="18"/>
          <w:lang w:val="nl-NL"/>
        </w:rPr>
        <w:t>.</w:t>
      </w:r>
      <w:r w:rsidR="00E35A62" w:rsidRPr="001004B3">
        <w:rPr>
          <w:color w:val="000000" w:themeColor="text1"/>
          <w:szCs w:val="18"/>
          <w:lang w:val="nl-NL"/>
        </w:rPr>
        <w:t xml:space="preserve"> </w:t>
      </w:r>
      <w:r w:rsidR="003C0605" w:rsidRPr="001004B3">
        <w:rPr>
          <w:color w:val="000000" w:themeColor="text1"/>
          <w:szCs w:val="18"/>
          <w:lang w:val="nl-NL"/>
        </w:rPr>
        <w:t>Anders</w:t>
      </w:r>
      <w:r w:rsidR="00F677AA" w:rsidRPr="001004B3">
        <w:rPr>
          <w:color w:val="000000" w:themeColor="text1"/>
          <w:szCs w:val="18"/>
          <w:lang w:val="nl-NL"/>
        </w:rPr>
        <w:t xml:space="preserve"> zou o.a.</w:t>
      </w:r>
      <w:r w:rsidR="003C0605" w:rsidRPr="001004B3">
        <w:rPr>
          <w:color w:val="000000" w:themeColor="text1"/>
          <w:szCs w:val="18"/>
          <w:lang w:val="nl-NL"/>
        </w:rPr>
        <w:t xml:space="preserve"> </w:t>
      </w:r>
      <w:r w:rsidR="007F2DD0" w:rsidRPr="001004B3">
        <w:rPr>
          <w:color w:val="000000" w:themeColor="text1"/>
          <w:szCs w:val="18"/>
          <w:lang w:val="nl-NL"/>
        </w:rPr>
        <w:t xml:space="preserve">het misdrijf </w:t>
      </w:r>
      <w:r w:rsidR="007F2DD0" w:rsidRPr="001004B3">
        <w:rPr>
          <w:i/>
          <w:color w:val="000000" w:themeColor="text1"/>
          <w:szCs w:val="18"/>
          <w:lang w:val="nl-NL"/>
        </w:rPr>
        <w:t xml:space="preserve">rape </w:t>
      </w:r>
      <w:r w:rsidR="007F2DD0" w:rsidRPr="001004B3">
        <w:rPr>
          <w:color w:val="000000" w:themeColor="text1"/>
          <w:szCs w:val="18"/>
          <w:lang w:val="nl-NL"/>
        </w:rPr>
        <w:t xml:space="preserve">gedragingen </w:t>
      </w:r>
      <w:r w:rsidR="008936BE" w:rsidRPr="001004B3">
        <w:rPr>
          <w:color w:val="000000" w:themeColor="text1"/>
          <w:szCs w:val="18"/>
          <w:lang w:val="nl-NL"/>
        </w:rPr>
        <w:t>viseren die te ver liggen van hetgeen daaronder wordt verstaan volgens de publieke opinie.</w:t>
      </w:r>
      <w:r w:rsidR="008936BE" w:rsidRPr="000B4AB2">
        <w:rPr>
          <w:rStyle w:val="FootnoteReference"/>
          <w:color w:val="000000" w:themeColor="text1"/>
          <w:szCs w:val="18"/>
          <w:lang w:val="nl-NL"/>
        </w:rPr>
        <w:footnoteReference w:id="465"/>
      </w:r>
    </w:p>
    <w:p w14:paraId="5B360FED" w14:textId="77777777" w:rsidR="008B5EC8" w:rsidRPr="001004B3" w:rsidRDefault="008B5EC8" w:rsidP="00260F11">
      <w:pPr>
        <w:pStyle w:val="ListParagraph"/>
        <w:spacing w:line="360" w:lineRule="auto"/>
        <w:ind w:left="0"/>
        <w:rPr>
          <w:i/>
          <w:color w:val="000000" w:themeColor="text1"/>
          <w:szCs w:val="18"/>
          <w:lang w:val="nl-NL"/>
        </w:rPr>
      </w:pPr>
    </w:p>
    <w:p w14:paraId="039EA438" w14:textId="77777777" w:rsidR="008B5EC8" w:rsidRDefault="008B5EC8"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Penetratie</w:t>
      </w:r>
      <w:r>
        <w:rPr>
          <w:color w:val="000000" w:themeColor="text1"/>
          <w:szCs w:val="18"/>
          <w:lang w:val="nl-NL"/>
        </w:rPr>
        <w:t xml:space="preserve">. Het begrip penetratie wordt in de SOA nader omschreven als </w:t>
      </w:r>
      <w:r w:rsidRPr="00E3574A">
        <w:rPr>
          <w:color w:val="000000" w:themeColor="text1"/>
          <w:szCs w:val="18"/>
          <w:lang w:val="nl-NL"/>
        </w:rPr>
        <w:t>een “</w:t>
      </w:r>
      <w:r w:rsidRPr="00E3574A">
        <w:rPr>
          <w:i/>
          <w:color w:val="000000" w:themeColor="text1"/>
          <w:szCs w:val="18"/>
          <w:lang w:val="nl-NL"/>
        </w:rPr>
        <w:t>continuing act from entry to withdrawal</w:t>
      </w:r>
      <w:r w:rsidRPr="00E3574A">
        <w:rPr>
          <w:color w:val="000000" w:themeColor="text1"/>
          <w:szCs w:val="18"/>
          <w:lang w:val="nl-NL"/>
        </w:rPr>
        <w:t>”.</w:t>
      </w:r>
      <w:r>
        <w:rPr>
          <w:rStyle w:val="FootnoteReference"/>
          <w:color w:val="000000" w:themeColor="text1"/>
          <w:szCs w:val="18"/>
          <w:lang w:val="nl-NL"/>
        </w:rPr>
        <w:footnoteReference w:id="466"/>
      </w:r>
      <w:r w:rsidRPr="00E3574A">
        <w:rPr>
          <w:color w:val="000000" w:themeColor="text1"/>
          <w:szCs w:val="18"/>
          <w:lang w:val="nl-NL"/>
        </w:rPr>
        <w:t xml:space="preserve"> </w:t>
      </w:r>
      <w:r>
        <w:rPr>
          <w:color w:val="000000" w:themeColor="text1"/>
          <w:szCs w:val="18"/>
          <w:lang w:val="nl-NL"/>
        </w:rPr>
        <w:t>Penetratie omvat bijgevolg niet</w:t>
      </w:r>
      <w:r w:rsidRPr="00E3574A">
        <w:rPr>
          <w:color w:val="000000" w:themeColor="text1"/>
          <w:szCs w:val="18"/>
          <w:lang w:val="nl-NL"/>
        </w:rPr>
        <w:t xml:space="preserve"> alleen het binnendringen in het lichaam, maar ook het binnenblijven in het lichaam. Hierdoor zal de intrekking van de toestemming tijdens de </w:t>
      </w:r>
      <w:r>
        <w:rPr>
          <w:color w:val="000000" w:themeColor="text1"/>
          <w:szCs w:val="18"/>
          <w:lang w:val="nl-NL"/>
        </w:rPr>
        <w:t xml:space="preserve">voornoemde penetratie </w:t>
      </w:r>
      <w:r w:rsidRPr="00E3574A">
        <w:rPr>
          <w:color w:val="000000" w:themeColor="text1"/>
          <w:szCs w:val="18"/>
          <w:lang w:val="nl-NL"/>
        </w:rPr>
        <w:t>ertoe kunnen leiden dat sprake is van dit misdrijf, indien de andere persoon niet op zou houden van zodra de toestemming werd ingetrokken.</w:t>
      </w:r>
      <w:r w:rsidRPr="000B4AB2">
        <w:rPr>
          <w:rStyle w:val="FootnoteReference"/>
          <w:color w:val="000000" w:themeColor="text1"/>
          <w:szCs w:val="18"/>
          <w:lang w:val="nl-NL"/>
        </w:rPr>
        <w:footnoteReference w:id="467"/>
      </w:r>
    </w:p>
    <w:p w14:paraId="66864196" w14:textId="77777777" w:rsidR="008B5EC8" w:rsidRDefault="008B5EC8" w:rsidP="00260F11">
      <w:pPr>
        <w:pStyle w:val="ListParagraph"/>
        <w:spacing w:line="360" w:lineRule="auto"/>
        <w:ind w:left="0"/>
        <w:rPr>
          <w:color w:val="000000" w:themeColor="text1"/>
          <w:szCs w:val="18"/>
          <w:lang w:val="nl-NL"/>
        </w:rPr>
      </w:pPr>
      <w:r>
        <w:rPr>
          <w:color w:val="000000" w:themeColor="text1"/>
          <w:szCs w:val="18"/>
          <w:lang w:val="nl-NL"/>
        </w:rPr>
        <w:lastRenderedPageBreak/>
        <w:t>Hierbij dient erop te worden gewezen dat toestemming voor de ene penetratie, geen toestemming impliceert voor de andere penetratie. Iemand die instemt met een vaginale penetratie stemt niet noodzakelijkerwijs in met anale penetratie.</w:t>
      </w:r>
      <w:r>
        <w:rPr>
          <w:rStyle w:val="FootnoteReference"/>
          <w:color w:val="000000" w:themeColor="text1"/>
          <w:szCs w:val="18"/>
          <w:lang w:val="nl-NL"/>
        </w:rPr>
        <w:footnoteReference w:id="468"/>
      </w:r>
    </w:p>
    <w:p w14:paraId="19219ECF" w14:textId="77777777" w:rsidR="006125B5" w:rsidRPr="000B4AB2" w:rsidRDefault="006125B5" w:rsidP="00260F11">
      <w:pPr>
        <w:spacing w:line="360" w:lineRule="auto"/>
        <w:rPr>
          <w:color w:val="000000" w:themeColor="text1"/>
          <w:szCs w:val="18"/>
          <w:lang w:val="nl-NL"/>
        </w:rPr>
      </w:pPr>
    </w:p>
    <w:p w14:paraId="12AC95B1" w14:textId="403EC09D" w:rsidR="002417C8" w:rsidRPr="000B4AB2" w:rsidRDefault="002417C8"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Zonder geldige toestemming</w:t>
      </w:r>
      <w:r w:rsidRPr="000B4AB2">
        <w:rPr>
          <w:color w:val="000000" w:themeColor="text1"/>
          <w:szCs w:val="18"/>
          <w:lang w:val="nl-NL"/>
        </w:rPr>
        <w:t xml:space="preserve">. </w:t>
      </w:r>
      <w:r w:rsidR="008E21B9">
        <w:rPr>
          <w:color w:val="000000" w:themeColor="text1"/>
          <w:szCs w:val="18"/>
          <w:lang w:val="nl-NL"/>
        </w:rPr>
        <w:t>Voor de invulling van deze voorwaarde kan worden teruggegrepen naar hetgeen hieromtrent reeds hoger werd uiteengezet</w:t>
      </w:r>
      <w:r w:rsidR="00347979" w:rsidRPr="000B4AB2">
        <w:rPr>
          <w:color w:val="000000" w:themeColor="text1"/>
          <w:szCs w:val="18"/>
          <w:lang w:val="nl-NL"/>
        </w:rPr>
        <w:t>.</w:t>
      </w:r>
      <w:r w:rsidR="00032E03">
        <w:rPr>
          <w:rStyle w:val="FootnoteReference"/>
          <w:color w:val="000000" w:themeColor="text1"/>
          <w:szCs w:val="18"/>
          <w:lang w:val="nl-NL"/>
        </w:rPr>
        <w:footnoteReference w:id="469"/>
      </w:r>
    </w:p>
    <w:p w14:paraId="6BE2889E" w14:textId="77777777" w:rsidR="006125B5" w:rsidRPr="000B4AB2" w:rsidRDefault="006125B5" w:rsidP="00260F11">
      <w:pPr>
        <w:pStyle w:val="ListParagraph"/>
        <w:spacing w:line="360" w:lineRule="auto"/>
        <w:ind w:left="0"/>
        <w:rPr>
          <w:color w:val="000000" w:themeColor="text1"/>
          <w:szCs w:val="18"/>
          <w:lang w:val="nl-NL"/>
        </w:rPr>
      </w:pPr>
    </w:p>
    <w:p w14:paraId="6AE1D24F" w14:textId="7FC7AAB7" w:rsidR="00963480" w:rsidRPr="000B4AB2" w:rsidRDefault="00C027A3" w:rsidP="00260F11">
      <w:pPr>
        <w:pStyle w:val="Heading5"/>
        <w:spacing w:line="360" w:lineRule="auto"/>
        <w:rPr>
          <w:szCs w:val="18"/>
          <w:lang w:val="nl-NL"/>
        </w:rPr>
      </w:pPr>
      <w:bookmarkStart w:id="57" w:name="_Toc135041086"/>
      <w:r w:rsidRPr="000B4AB2">
        <w:rPr>
          <w:szCs w:val="18"/>
          <w:lang w:val="nl-NL"/>
        </w:rPr>
        <w:t>Moreel bestanddeel</w:t>
      </w:r>
      <w:bookmarkEnd w:id="57"/>
      <w:r w:rsidR="00963480" w:rsidRPr="000B4AB2">
        <w:rPr>
          <w:szCs w:val="18"/>
          <w:lang w:val="nl-NL"/>
        </w:rPr>
        <w:t xml:space="preserve"> </w:t>
      </w:r>
    </w:p>
    <w:p w14:paraId="12831C5F" w14:textId="0B21E187" w:rsidR="00963480" w:rsidRPr="000B4AB2" w:rsidRDefault="00D21482" w:rsidP="00260F11">
      <w:pPr>
        <w:pStyle w:val="ListParagraph"/>
        <w:spacing w:line="360" w:lineRule="auto"/>
        <w:ind w:left="0"/>
        <w:rPr>
          <w:color w:val="000000" w:themeColor="text1"/>
          <w:szCs w:val="18"/>
          <w:lang w:val="nl-NL"/>
        </w:rPr>
      </w:pPr>
      <w:r w:rsidRPr="000B4AB2">
        <w:rPr>
          <w:color w:val="000000" w:themeColor="text1"/>
          <w:szCs w:val="18"/>
          <w:lang w:val="nl-NL"/>
        </w:rPr>
        <w:t xml:space="preserve"> </w:t>
      </w:r>
    </w:p>
    <w:p w14:paraId="500D7BC3" w14:textId="2ABA93F4" w:rsidR="00842802" w:rsidRDefault="006249DB"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Opzettelijk</w:t>
      </w:r>
      <w:r w:rsidRPr="000B4AB2">
        <w:rPr>
          <w:rStyle w:val="FootnoteReference"/>
          <w:b/>
          <w:color w:val="000000" w:themeColor="text1"/>
          <w:szCs w:val="18"/>
          <w:lang w:val="nl-NL"/>
        </w:rPr>
        <w:footnoteReference w:id="470"/>
      </w:r>
      <w:r w:rsidRPr="000B4AB2">
        <w:rPr>
          <w:b/>
          <w:color w:val="000000" w:themeColor="text1"/>
          <w:szCs w:val="18"/>
          <w:lang w:val="nl-NL"/>
        </w:rPr>
        <w:t xml:space="preserve"> en </w:t>
      </w:r>
      <w:r w:rsidR="00FE6071">
        <w:rPr>
          <w:b/>
          <w:color w:val="000000" w:themeColor="text1"/>
          <w:szCs w:val="18"/>
          <w:lang w:val="nl-NL"/>
        </w:rPr>
        <w:t>d</w:t>
      </w:r>
      <w:r w:rsidR="00FE6071" w:rsidRPr="000B4AB2">
        <w:rPr>
          <w:b/>
          <w:color w:val="000000" w:themeColor="text1"/>
          <w:szCs w:val="18"/>
          <w:lang w:val="nl-NL"/>
        </w:rPr>
        <w:t>ader kon niet redelijkerwijze geloven dat slachtoffer instemde</w:t>
      </w:r>
      <w:r w:rsidR="00FE6071" w:rsidRPr="000B4AB2">
        <w:rPr>
          <w:rStyle w:val="FootnoteReference"/>
          <w:b/>
          <w:color w:val="000000" w:themeColor="text1"/>
          <w:szCs w:val="18"/>
          <w:lang w:val="nl-NL"/>
        </w:rPr>
        <w:t xml:space="preserve"> </w:t>
      </w:r>
      <w:r w:rsidRPr="000B4AB2">
        <w:rPr>
          <w:rStyle w:val="FootnoteReference"/>
          <w:b/>
          <w:color w:val="000000" w:themeColor="text1"/>
          <w:szCs w:val="18"/>
          <w:lang w:val="nl-NL"/>
        </w:rPr>
        <w:footnoteReference w:id="471"/>
      </w:r>
      <w:r w:rsidRPr="000B4AB2">
        <w:rPr>
          <w:color w:val="000000" w:themeColor="text1"/>
          <w:szCs w:val="18"/>
          <w:lang w:val="nl-NL"/>
        </w:rPr>
        <w:t xml:space="preserve">. </w:t>
      </w:r>
      <w:r w:rsidR="00347979">
        <w:rPr>
          <w:color w:val="000000" w:themeColor="text1"/>
          <w:szCs w:val="18"/>
          <w:lang w:val="nl-NL"/>
        </w:rPr>
        <w:t xml:space="preserve">Dit werd </w:t>
      </w:r>
      <w:r w:rsidR="008E21B9">
        <w:rPr>
          <w:color w:val="000000" w:themeColor="text1"/>
          <w:szCs w:val="18"/>
          <w:lang w:val="nl-NL"/>
        </w:rPr>
        <w:t xml:space="preserve">eveneens </w:t>
      </w:r>
      <w:r w:rsidR="00347979">
        <w:rPr>
          <w:color w:val="000000" w:themeColor="text1"/>
          <w:szCs w:val="18"/>
          <w:lang w:val="nl-NL"/>
        </w:rPr>
        <w:t>reeds eerder uiteengezet</w:t>
      </w:r>
      <w:r w:rsidR="006D0D2A">
        <w:rPr>
          <w:color w:val="000000" w:themeColor="text1"/>
          <w:szCs w:val="18"/>
          <w:lang w:val="nl-NL"/>
        </w:rPr>
        <w:t>.</w:t>
      </w:r>
      <w:r w:rsidR="006D0D2A">
        <w:rPr>
          <w:rStyle w:val="FootnoteReference"/>
          <w:color w:val="000000" w:themeColor="text1"/>
          <w:szCs w:val="18"/>
          <w:lang w:val="nl-NL"/>
        </w:rPr>
        <w:footnoteReference w:id="472"/>
      </w:r>
    </w:p>
    <w:p w14:paraId="34E4C3DB" w14:textId="1F1B27C0" w:rsidR="00295FDD" w:rsidRDefault="00295FDD" w:rsidP="00260F11">
      <w:pPr>
        <w:spacing w:line="360" w:lineRule="auto"/>
        <w:jc w:val="left"/>
        <w:rPr>
          <w:color w:val="000000" w:themeColor="text1"/>
          <w:szCs w:val="18"/>
          <w:lang w:val="nl-NL"/>
        </w:rPr>
      </w:pPr>
    </w:p>
    <w:p w14:paraId="07CE51C6" w14:textId="0E2E2D8E" w:rsidR="00EC39BB" w:rsidRPr="000B4AB2" w:rsidRDefault="00E060D6" w:rsidP="00260F11">
      <w:pPr>
        <w:pStyle w:val="Heading4"/>
        <w:spacing w:line="360" w:lineRule="auto"/>
        <w:rPr>
          <w:szCs w:val="18"/>
          <w:lang w:val="nl-NL"/>
        </w:rPr>
      </w:pPr>
      <w:bookmarkStart w:id="58" w:name="_Toc135041087"/>
      <w:r w:rsidRPr="000B4AB2">
        <w:rPr>
          <w:i/>
          <w:szCs w:val="18"/>
          <w:lang w:val="nl-NL"/>
        </w:rPr>
        <w:t>Assault by penetration</w:t>
      </w:r>
      <w:bookmarkEnd w:id="58"/>
    </w:p>
    <w:p w14:paraId="4C95A04B" w14:textId="77777777" w:rsidR="005853B7" w:rsidRPr="000B4AB2" w:rsidRDefault="005853B7" w:rsidP="00260F11">
      <w:pPr>
        <w:spacing w:line="360" w:lineRule="auto"/>
        <w:rPr>
          <w:szCs w:val="18"/>
          <w:lang w:val="nl-NL"/>
        </w:rPr>
      </w:pPr>
    </w:p>
    <w:p w14:paraId="27511B7B" w14:textId="6071A15C" w:rsidR="00D37864" w:rsidRDefault="00B27EAA" w:rsidP="00260F11">
      <w:pPr>
        <w:pStyle w:val="ListParagraph"/>
        <w:numPr>
          <w:ilvl w:val="0"/>
          <w:numId w:val="1"/>
        </w:numPr>
        <w:spacing w:line="360" w:lineRule="auto"/>
        <w:ind w:left="0" w:hanging="709"/>
        <w:rPr>
          <w:color w:val="000000" w:themeColor="text1"/>
          <w:szCs w:val="18"/>
          <w:lang w:val="nl-NL"/>
        </w:rPr>
      </w:pPr>
      <w:r w:rsidRPr="00862615">
        <w:rPr>
          <w:i/>
          <w:color w:val="000000" w:themeColor="text1"/>
          <w:szCs w:val="18"/>
          <w:lang w:val="nl-NL"/>
        </w:rPr>
        <w:t>Section</w:t>
      </w:r>
      <w:r w:rsidRPr="000B4AB2">
        <w:rPr>
          <w:color w:val="000000" w:themeColor="text1"/>
          <w:szCs w:val="18"/>
          <w:lang w:val="nl-NL"/>
        </w:rPr>
        <w:t xml:space="preserve"> 2 van de SOA </w:t>
      </w:r>
      <w:r w:rsidR="00D37864">
        <w:rPr>
          <w:color w:val="000000" w:themeColor="text1"/>
          <w:szCs w:val="18"/>
          <w:lang w:val="nl-NL"/>
        </w:rPr>
        <w:t>stelt</w:t>
      </w:r>
      <w:r w:rsidRPr="000B4AB2">
        <w:rPr>
          <w:color w:val="000000" w:themeColor="text1"/>
          <w:szCs w:val="18"/>
          <w:lang w:val="nl-NL"/>
        </w:rPr>
        <w:t xml:space="preserve"> </w:t>
      </w:r>
      <w:r w:rsidRPr="000B4AB2">
        <w:rPr>
          <w:i/>
          <w:color w:val="000000" w:themeColor="text1"/>
          <w:szCs w:val="18"/>
          <w:lang w:val="nl-NL"/>
        </w:rPr>
        <w:t>assault by penetration</w:t>
      </w:r>
      <w:r w:rsidR="00D37864">
        <w:rPr>
          <w:color w:val="000000" w:themeColor="text1"/>
          <w:szCs w:val="18"/>
          <w:lang w:val="nl-NL"/>
        </w:rPr>
        <w:t xml:space="preserve"> strafbaar</w:t>
      </w:r>
      <w:r w:rsidR="00D37864" w:rsidRPr="00D37864">
        <w:rPr>
          <w:color w:val="000000" w:themeColor="text1"/>
          <w:szCs w:val="18"/>
          <w:lang w:val="nl-NL"/>
        </w:rPr>
        <w:t>.</w:t>
      </w:r>
      <w:r w:rsidR="00D37864">
        <w:rPr>
          <w:color w:val="000000" w:themeColor="text1"/>
          <w:szCs w:val="18"/>
          <w:lang w:val="nl-NL"/>
        </w:rPr>
        <w:t xml:space="preserve"> </w:t>
      </w:r>
      <w:r w:rsidRPr="00D37864">
        <w:rPr>
          <w:color w:val="000000" w:themeColor="text1"/>
          <w:szCs w:val="18"/>
          <w:lang w:val="nl-NL"/>
        </w:rPr>
        <w:t xml:space="preserve">De constitutieve bestanddelen van dit misdrijf kunnen schematisch </w:t>
      </w:r>
      <w:r w:rsidR="00D37864">
        <w:rPr>
          <w:color w:val="000000" w:themeColor="text1"/>
          <w:szCs w:val="18"/>
          <w:lang w:val="nl-NL"/>
        </w:rPr>
        <w:t xml:space="preserve">reeds </w:t>
      </w:r>
      <w:r w:rsidRPr="00D37864">
        <w:rPr>
          <w:color w:val="000000" w:themeColor="text1"/>
          <w:szCs w:val="18"/>
          <w:lang w:val="nl-NL"/>
        </w:rPr>
        <w:t>als volgt worden weergegeven.</w:t>
      </w:r>
    </w:p>
    <w:p w14:paraId="024820A4" w14:textId="77777777" w:rsidR="001344C4" w:rsidRPr="001344C4" w:rsidRDefault="001344C4" w:rsidP="00260F11">
      <w:pPr>
        <w:pStyle w:val="ListParagraph"/>
        <w:spacing w:line="360" w:lineRule="auto"/>
        <w:ind w:left="0"/>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0A52CB" w:rsidRPr="009C29A6" w14:paraId="7C64BA23" w14:textId="77777777" w:rsidTr="009F57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75EC1168" w14:textId="230CF661" w:rsidR="000A52CB" w:rsidRPr="009C29A6" w:rsidRDefault="000A52CB" w:rsidP="00260F11">
            <w:pPr>
              <w:pStyle w:val="ListParagraph"/>
              <w:spacing w:line="360" w:lineRule="auto"/>
              <w:ind w:left="0"/>
              <w:rPr>
                <w:color w:val="000000" w:themeColor="text1"/>
                <w:szCs w:val="18"/>
                <w:lang w:val="en-GB"/>
              </w:rPr>
            </w:pPr>
            <w:r w:rsidRPr="009C29A6">
              <w:rPr>
                <w:color w:val="000000" w:themeColor="text1"/>
                <w:szCs w:val="18"/>
                <w:lang w:val="en-GB"/>
              </w:rPr>
              <w:t xml:space="preserve">Constitutieve bestanddelen </w:t>
            </w:r>
            <w:r w:rsidRPr="009C29A6">
              <w:rPr>
                <w:i/>
                <w:color w:val="000000" w:themeColor="text1"/>
                <w:szCs w:val="18"/>
                <w:lang w:val="en-GB"/>
              </w:rPr>
              <w:t xml:space="preserve">assault by penetration </w:t>
            </w:r>
          </w:p>
        </w:tc>
      </w:tr>
      <w:tr w:rsidR="000A52CB" w:rsidRPr="000B4AB2" w14:paraId="6B4A3C5B" w14:textId="77777777" w:rsidTr="009F57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F45DE8E" w14:textId="77777777" w:rsidR="000A52CB" w:rsidRPr="000B4AB2" w:rsidRDefault="000A52CB"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7677C194" w14:textId="77777777" w:rsidR="000A52CB" w:rsidRPr="000B4AB2" w:rsidRDefault="000A52CB"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0A52CB" w:rsidRPr="000B4AB2" w14:paraId="0A28D60C" w14:textId="77777777" w:rsidTr="009F5738">
        <w:tc>
          <w:tcPr>
            <w:cnfStyle w:val="001000000000" w:firstRow="0" w:lastRow="0" w:firstColumn="1" w:lastColumn="0" w:oddVBand="0" w:evenVBand="0" w:oddHBand="0" w:evenHBand="0" w:firstRowFirstColumn="0" w:firstRowLastColumn="0" w:lastRowFirstColumn="0" w:lastRowLastColumn="0"/>
            <w:tcW w:w="4531" w:type="dxa"/>
          </w:tcPr>
          <w:p w14:paraId="19FA56FD" w14:textId="43569217" w:rsidR="000A52CB" w:rsidRPr="000B4AB2" w:rsidRDefault="000A52CB" w:rsidP="00260F11">
            <w:pPr>
              <w:pStyle w:val="ListParagraph"/>
              <w:numPr>
                <w:ilvl w:val="0"/>
                <w:numId w:val="5"/>
              </w:numPr>
              <w:spacing w:line="360" w:lineRule="auto"/>
              <w:rPr>
                <w:bCs w:val="0"/>
                <w:color w:val="000000" w:themeColor="text1"/>
                <w:szCs w:val="18"/>
                <w:lang w:val="nl-NL"/>
              </w:rPr>
            </w:pPr>
            <w:r w:rsidRPr="000B4AB2">
              <w:rPr>
                <w:b w:val="0"/>
                <w:color w:val="000000" w:themeColor="text1"/>
                <w:szCs w:val="18"/>
                <w:lang w:val="nl-NL"/>
              </w:rPr>
              <w:t xml:space="preserve">Dader </w:t>
            </w:r>
            <w:r w:rsidR="00B27EAA" w:rsidRPr="000B4AB2">
              <w:rPr>
                <w:b w:val="0"/>
                <w:color w:val="000000" w:themeColor="text1"/>
                <w:szCs w:val="18"/>
                <w:lang w:val="nl-NL"/>
              </w:rPr>
              <w:t>penetreert de vagina of anus van het slachtoffer met diens lichaamsdeel of eender welk ander voorwerp</w:t>
            </w:r>
          </w:p>
          <w:p w14:paraId="2AC5F0DC" w14:textId="1DCFD66A" w:rsidR="000A52CB" w:rsidRPr="000B4AB2" w:rsidRDefault="00277161"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P</w:t>
            </w:r>
            <w:r w:rsidR="008815E9" w:rsidRPr="000B4AB2">
              <w:rPr>
                <w:b w:val="0"/>
                <w:color w:val="000000" w:themeColor="text1"/>
                <w:szCs w:val="18"/>
                <w:lang w:val="nl-NL"/>
              </w:rPr>
              <w:t>enetratie</w:t>
            </w:r>
            <w:r w:rsidRPr="000B4AB2">
              <w:rPr>
                <w:b w:val="0"/>
                <w:color w:val="000000" w:themeColor="text1"/>
                <w:szCs w:val="18"/>
                <w:lang w:val="nl-NL"/>
              </w:rPr>
              <w:t xml:space="preserve"> </w:t>
            </w:r>
            <w:r w:rsidR="00CA371F">
              <w:rPr>
                <w:b w:val="0"/>
                <w:color w:val="000000" w:themeColor="text1"/>
                <w:szCs w:val="18"/>
                <w:lang w:val="nl-NL"/>
              </w:rPr>
              <w:t>met</w:t>
            </w:r>
            <w:r w:rsidR="00DC27F4" w:rsidRPr="000B4AB2">
              <w:rPr>
                <w:b w:val="0"/>
                <w:color w:val="000000" w:themeColor="text1"/>
                <w:szCs w:val="18"/>
                <w:lang w:val="nl-NL"/>
              </w:rPr>
              <w:t xml:space="preserve"> seksueel karakter</w:t>
            </w:r>
          </w:p>
          <w:p w14:paraId="33E7D8FD" w14:textId="4961558F" w:rsidR="00DC27F4" w:rsidRPr="000B4AB2" w:rsidRDefault="00255CB1"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Zonder geldige toestemming slachtoffer</w:t>
            </w:r>
          </w:p>
        </w:tc>
        <w:tc>
          <w:tcPr>
            <w:tcW w:w="4531" w:type="dxa"/>
          </w:tcPr>
          <w:p w14:paraId="607C3AC6" w14:textId="77777777" w:rsidR="000A52CB"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doet dit opzettelijk</w:t>
            </w:r>
          </w:p>
          <w:p w14:paraId="18E7A81B" w14:textId="77777777" w:rsidR="000A52CB" w:rsidRPr="000B4AB2" w:rsidRDefault="000A52CB"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gelooft niet redelijkerwijze dat het slachtoffer toestemt</w:t>
            </w:r>
          </w:p>
        </w:tc>
      </w:tr>
    </w:tbl>
    <w:p w14:paraId="2FBDD514" w14:textId="20A421AE" w:rsidR="00D95650" w:rsidRDefault="00D95650" w:rsidP="00260F11">
      <w:pPr>
        <w:spacing w:line="360" w:lineRule="auto"/>
        <w:jc w:val="left"/>
        <w:rPr>
          <w:color w:val="000000" w:themeColor="text1"/>
          <w:szCs w:val="18"/>
          <w:lang w:val="nl-NL"/>
        </w:rPr>
      </w:pPr>
    </w:p>
    <w:p w14:paraId="3E6D1841" w14:textId="7C30A4F8" w:rsidR="00680A5B" w:rsidRPr="000B4AB2" w:rsidRDefault="00680A5B" w:rsidP="00260F11">
      <w:pPr>
        <w:pStyle w:val="Heading5"/>
        <w:spacing w:line="360" w:lineRule="auto"/>
        <w:rPr>
          <w:szCs w:val="18"/>
          <w:lang w:val="nl-NL"/>
        </w:rPr>
      </w:pPr>
      <w:bookmarkStart w:id="59" w:name="_Toc135041088"/>
      <w:r w:rsidRPr="000B4AB2">
        <w:rPr>
          <w:szCs w:val="18"/>
          <w:lang w:val="nl-NL"/>
        </w:rPr>
        <w:t>Materiële bestanddelen</w:t>
      </w:r>
      <w:bookmarkEnd w:id="59"/>
    </w:p>
    <w:p w14:paraId="7D3137D8" w14:textId="618A696D" w:rsidR="000F3CB4" w:rsidRPr="000F3CB4" w:rsidRDefault="000F3CB4" w:rsidP="00260F11">
      <w:pPr>
        <w:pStyle w:val="ListParagraph"/>
        <w:spacing w:line="360" w:lineRule="auto"/>
        <w:ind w:left="0"/>
        <w:rPr>
          <w:color w:val="000000" w:themeColor="text1"/>
          <w:szCs w:val="18"/>
          <w:lang w:val="nl-NL"/>
        </w:rPr>
      </w:pPr>
    </w:p>
    <w:p w14:paraId="37B22BF6" w14:textId="1899052D" w:rsidR="00680A5B" w:rsidRPr="000F3CB4" w:rsidRDefault="005B77BE"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Seksuele penetratie</w:t>
      </w:r>
      <w:r w:rsidR="000F3CB4">
        <w:rPr>
          <w:color w:val="000000" w:themeColor="text1"/>
          <w:szCs w:val="18"/>
          <w:lang w:val="nl-NL"/>
        </w:rPr>
        <w:t xml:space="preserve"> </w:t>
      </w:r>
      <w:r w:rsidR="000F3CB4">
        <w:rPr>
          <w:b/>
          <w:color w:val="000000" w:themeColor="text1"/>
          <w:szCs w:val="18"/>
          <w:lang w:val="nl-NL"/>
        </w:rPr>
        <w:t>van vagina of anus.</w:t>
      </w:r>
      <w:r>
        <w:rPr>
          <w:color w:val="000000" w:themeColor="text1"/>
          <w:szCs w:val="18"/>
          <w:lang w:val="nl-NL"/>
        </w:rPr>
        <w:t xml:space="preserve"> </w:t>
      </w:r>
      <w:r w:rsidR="000F3CB4">
        <w:rPr>
          <w:color w:val="000000" w:themeColor="text1"/>
          <w:szCs w:val="18"/>
          <w:lang w:val="nl-NL"/>
        </w:rPr>
        <w:t xml:space="preserve">Ook voor het misdrijf </w:t>
      </w:r>
      <w:r w:rsidR="000F3CB4">
        <w:rPr>
          <w:i/>
          <w:color w:val="000000" w:themeColor="text1"/>
          <w:szCs w:val="18"/>
          <w:lang w:val="nl-NL"/>
        </w:rPr>
        <w:t xml:space="preserve">assault by penetration </w:t>
      </w:r>
      <w:r w:rsidR="000F3CB4">
        <w:rPr>
          <w:color w:val="000000" w:themeColor="text1"/>
          <w:szCs w:val="18"/>
          <w:lang w:val="nl-NL"/>
        </w:rPr>
        <w:t>is een seksuele</w:t>
      </w:r>
      <w:r w:rsidR="002F552C">
        <w:rPr>
          <w:rStyle w:val="FootnoteReference"/>
          <w:color w:val="000000" w:themeColor="text1"/>
          <w:szCs w:val="18"/>
          <w:lang w:val="nl-NL"/>
        </w:rPr>
        <w:footnoteReference w:id="473"/>
      </w:r>
      <w:r w:rsidR="000F3CB4">
        <w:rPr>
          <w:color w:val="000000" w:themeColor="text1"/>
          <w:szCs w:val="18"/>
          <w:lang w:val="nl-NL"/>
        </w:rPr>
        <w:t xml:space="preserve"> penetratie</w:t>
      </w:r>
      <w:r w:rsidR="002F552C">
        <w:rPr>
          <w:rStyle w:val="FootnoteReference"/>
          <w:color w:val="000000" w:themeColor="text1"/>
          <w:szCs w:val="18"/>
          <w:lang w:val="nl-NL"/>
        </w:rPr>
        <w:footnoteReference w:id="474"/>
      </w:r>
      <w:r w:rsidR="000F3CB4">
        <w:rPr>
          <w:color w:val="000000" w:themeColor="text1"/>
          <w:szCs w:val="18"/>
          <w:lang w:val="nl-NL"/>
        </w:rPr>
        <w:t xml:space="preserve"> vereist.</w:t>
      </w:r>
      <w:r w:rsidR="000F3CB4" w:rsidRPr="000B4AB2">
        <w:rPr>
          <w:rStyle w:val="FootnoteReference"/>
          <w:color w:val="000000" w:themeColor="text1"/>
          <w:szCs w:val="18"/>
          <w:lang w:val="nl-NL"/>
        </w:rPr>
        <w:footnoteReference w:id="475"/>
      </w:r>
      <w:r w:rsidR="000F3CB4">
        <w:rPr>
          <w:b/>
          <w:color w:val="000000" w:themeColor="text1"/>
          <w:szCs w:val="18"/>
          <w:lang w:val="nl-NL"/>
        </w:rPr>
        <w:t xml:space="preserve"> </w:t>
      </w:r>
      <w:r w:rsidR="000D589F" w:rsidRPr="000F3CB4">
        <w:rPr>
          <w:color w:val="000000" w:themeColor="text1"/>
          <w:szCs w:val="18"/>
          <w:lang w:val="nl-NL"/>
        </w:rPr>
        <w:t>De</w:t>
      </w:r>
      <w:r w:rsidR="000F3CB4">
        <w:rPr>
          <w:color w:val="000000" w:themeColor="text1"/>
          <w:szCs w:val="18"/>
          <w:lang w:val="nl-NL"/>
        </w:rPr>
        <w:t xml:space="preserve">ze </w:t>
      </w:r>
      <w:r w:rsidR="000D589F" w:rsidRPr="000F3CB4">
        <w:rPr>
          <w:color w:val="000000" w:themeColor="text1"/>
          <w:szCs w:val="18"/>
          <w:lang w:val="nl-NL"/>
        </w:rPr>
        <w:t>penetratie dient</w:t>
      </w:r>
      <w:r w:rsidR="00B13548" w:rsidRPr="000F3CB4">
        <w:rPr>
          <w:color w:val="000000" w:themeColor="text1"/>
          <w:szCs w:val="18"/>
          <w:lang w:val="nl-NL"/>
        </w:rPr>
        <w:t xml:space="preserve"> te gebeuren in </w:t>
      </w:r>
      <w:r w:rsidR="004F6E65">
        <w:rPr>
          <w:color w:val="000000" w:themeColor="text1"/>
          <w:szCs w:val="18"/>
          <w:lang w:val="nl-NL"/>
        </w:rPr>
        <w:t>de</w:t>
      </w:r>
      <w:r w:rsidR="00B13548" w:rsidRPr="000F3CB4">
        <w:rPr>
          <w:color w:val="000000" w:themeColor="text1"/>
          <w:szCs w:val="18"/>
          <w:lang w:val="nl-NL"/>
        </w:rPr>
        <w:t xml:space="preserve"> vagina</w:t>
      </w:r>
      <w:r w:rsidR="00C77F81">
        <w:rPr>
          <w:rStyle w:val="FootnoteReference"/>
          <w:color w:val="000000" w:themeColor="text1"/>
          <w:szCs w:val="18"/>
          <w:lang w:val="nl-NL"/>
        </w:rPr>
        <w:footnoteReference w:id="476"/>
      </w:r>
      <w:r w:rsidR="00B13548" w:rsidRPr="000F3CB4">
        <w:rPr>
          <w:color w:val="000000" w:themeColor="text1"/>
          <w:szCs w:val="18"/>
          <w:lang w:val="nl-NL"/>
        </w:rPr>
        <w:t xml:space="preserve"> of anus</w:t>
      </w:r>
      <w:r w:rsidR="004F6E65">
        <w:rPr>
          <w:color w:val="000000" w:themeColor="text1"/>
          <w:szCs w:val="18"/>
          <w:lang w:val="nl-NL"/>
        </w:rPr>
        <w:t xml:space="preserve"> van </w:t>
      </w:r>
      <w:r w:rsidR="004F6E65">
        <w:rPr>
          <w:color w:val="000000" w:themeColor="text1"/>
          <w:szCs w:val="18"/>
          <w:lang w:val="nl-NL"/>
        </w:rPr>
        <w:lastRenderedPageBreak/>
        <w:t>het slachtoffer</w:t>
      </w:r>
      <w:r w:rsidR="00B13548" w:rsidRPr="000F3CB4">
        <w:rPr>
          <w:color w:val="000000" w:themeColor="text1"/>
          <w:szCs w:val="18"/>
          <w:lang w:val="nl-NL"/>
        </w:rPr>
        <w:t xml:space="preserve">. </w:t>
      </w:r>
      <w:r w:rsidR="007548DB" w:rsidRPr="000F3CB4">
        <w:rPr>
          <w:color w:val="000000" w:themeColor="text1"/>
          <w:szCs w:val="18"/>
          <w:lang w:val="nl-NL"/>
        </w:rPr>
        <w:t xml:space="preserve">Irrelevant </w:t>
      </w:r>
      <w:r w:rsidR="000F3CB4">
        <w:rPr>
          <w:color w:val="000000" w:themeColor="text1"/>
          <w:szCs w:val="18"/>
          <w:lang w:val="nl-NL"/>
        </w:rPr>
        <w:t xml:space="preserve">daarbij </w:t>
      </w:r>
      <w:r w:rsidR="007548DB" w:rsidRPr="000F3CB4">
        <w:rPr>
          <w:color w:val="000000" w:themeColor="text1"/>
          <w:szCs w:val="18"/>
          <w:lang w:val="nl-NL"/>
        </w:rPr>
        <w:t>is</w:t>
      </w:r>
      <w:r w:rsidR="00E23F92" w:rsidRPr="000F3CB4">
        <w:rPr>
          <w:color w:val="000000" w:themeColor="text1"/>
          <w:szCs w:val="18"/>
          <w:lang w:val="nl-NL"/>
        </w:rPr>
        <w:t xml:space="preserve"> </w:t>
      </w:r>
      <w:r w:rsidR="000F3CB4">
        <w:rPr>
          <w:color w:val="000000" w:themeColor="text1"/>
          <w:szCs w:val="18"/>
          <w:lang w:val="nl-NL"/>
        </w:rPr>
        <w:t>het middel waarmee</w:t>
      </w:r>
      <w:r w:rsidR="00E23F92" w:rsidRPr="000F3CB4">
        <w:rPr>
          <w:color w:val="000000" w:themeColor="text1"/>
          <w:szCs w:val="18"/>
          <w:lang w:val="nl-NL"/>
        </w:rPr>
        <w:t xml:space="preserve"> deze penetratie </w:t>
      </w:r>
      <w:r w:rsidR="000F3CB4">
        <w:rPr>
          <w:color w:val="000000" w:themeColor="text1"/>
          <w:szCs w:val="18"/>
          <w:lang w:val="nl-NL"/>
        </w:rPr>
        <w:t>verricht wordt.</w:t>
      </w:r>
      <w:r w:rsidR="004935BF">
        <w:rPr>
          <w:rStyle w:val="FootnoteReference"/>
          <w:color w:val="000000" w:themeColor="text1"/>
          <w:szCs w:val="18"/>
          <w:lang w:val="nl-NL"/>
        </w:rPr>
        <w:footnoteReference w:id="477"/>
      </w:r>
      <w:r w:rsidR="007548DB" w:rsidRPr="000F3CB4">
        <w:rPr>
          <w:color w:val="000000" w:themeColor="text1"/>
          <w:szCs w:val="18"/>
          <w:lang w:val="nl-NL"/>
        </w:rPr>
        <w:t xml:space="preserve"> </w:t>
      </w:r>
      <w:r w:rsidR="000F3CB4">
        <w:rPr>
          <w:color w:val="000000" w:themeColor="text1"/>
          <w:szCs w:val="18"/>
          <w:lang w:val="nl-NL"/>
        </w:rPr>
        <w:t>Z</w:t>
      </w:r>
      <w:r w:rsidR="00E23F92" w:rsidRPr="000F3CB4">
        <w:rPr>
          <w:color w:val="000000" w:themeColor="text1"/>
          <w:szCs w:val="18"/>
          <w:lang w:val="nl-NL"/>
        </w:rPr>
        <w:t>owel een lichaamsdeel</w:t>
      </w:r>
      <w:r w:rsidR="00295FDD">
        <w:rPr>
          <w:color w:val="000000" w:themeColor="text1"/>
          <w:szCs w:val="18"/>
          <w:lang w:val="nl-NL"/>
        </w:rPr>
        <w:t>,</w:t>
      </w:r>
      <w:r w:rsidR="00222CF9">
        <w:rPr>
          <w:rStyle w:val="FootnoteReference"/>
          <w:color w:val="000000" w:themeColor="text1"/>
          <w:szCs w:val="18"/>
          <w:lang w:val="nl-NL"/>
        </w:rPr>
        <w:footnoteReference w:id="478"/>
      </w:r>
      <w:r w:rsidR="00E23F92" w:rsidRPr="000F3CB4">
        <w:rPr>
          <w:color w:val="000000" w:themeColor="text1"/>
          <w:szCs w:val="18"/>
          <w:lang w:val="nl-NL"/>
        </w:rPr>
        <w:t xml:space="preserve"> als enig ander voorwerp</w:t>
      </w:r>
      <w:r w:rsidR="007548DB" w:rsidRPr="000F3CB4">
        <w:rPr>
          <w:color w:val="000000" w:themeColor="text1"/>
          <w:szCs w:val="18"/>
          <w:lang w:val="nl-NL"/>
        </w:rPr>
        <w:t xml:space="preserve"> kom</w:t>
      </w:r>
      <w:r w:rsidR="000F3CB4">
        <w:rPr>
          <w:color w:val="000000" w:themeColor="text1"/>
          <w:szCs w:val="18"/>
          <w:lang w:val="nl-NL"/>
        </w:rPr>
        <w:t>en</w:t>
      </w:r>
      <w:r w:rsidR="007548DB" w:rsidRPr="000F3CB4">
        <w:rPr>
          <w:color w:val="000000" w:themeColor="text1"/>
          <w:szCs w:val="18"/>
          <w:lang w:val="nl-NL"/>
        </w:rPr>
        <w:t xml:space="preserve"> hiervoor in aanmerking</w:t>
      </w:r>
      <w:r w:rsidR="00E23F92" w:rsidRPr="000F3CB4">
        <w:rPr>
          <w:color w:val="000000" w:themeColor="text1"/>
          <w:szCs w:val="18"/>
          <w:lang w:val="nl-NL"/>
        </w:rPr>
        <w:t>.</w:t>
      </w:r>
      <w:r w:rsidR="00E23F92" w:rsidRPr="000B4AB2">
        <w:rPr>
          <w:rStyle w:val="FootnoteReference"/>
          <w:color w:val="000000" w:themeColor="text1"/>
          <w:szCs w:val="18"/>
          <w:lang w:val="nl-NL"/>
        </w:rPr>
        <w:footnoteReference w:id="479"/>
      </w:r>
    </w:p>
    <w:p w14:paraId="6E897855" w14:textId="53ACD9A4" w:rsidR="00680A5B" w:rsidRPr="000B4AB2" w:rsidRDefault="00680A5B" w:rsidP="00260F11">
      <w:pPr>
        <w:pStyle w:val="ListParagraph"/>
        <w:spacing w:line="360" w:lineRule="auto"/>
        <w:ind w:left="0"/>
        <w:rPr>
          <w:color w:val="000000" w:themeColor="text1"/>
          <w:szCs w:val="18"/>
          <w:lang w:val="nl-NL"/>
        </w:rPr>
      </w:pPr>
    </w:p>
    <w:p w14:paraId="4E80F7E4" w14:textId="4DDA06AC" w:rsidR="00680A5B" w:rsidRDefault="00B13548" w:rsidP="00260F11">
      <w:pPr>
        <w:pStyle w:val="ListParagraph"/>
        <w:numPr>
          <w:ilvl w:val="0"/>
          <w:numId w:val="1"/>
        </w:numPr>
        <w:spacing w:line="360" w:lineRule="auto"/>
        <w:ind w:left="0" w:hanging="709"/>
        <w:rPr>
          <w:color w:val="000000" w:themeColor="text1"/>
          <w:szCs w:val="18"/>
          <w:lang w:val="nl-NL"/>
        </w:rPr>
      </w:pPr>
      <w:r w:rsidRPr="005B77BE">
        <w:rPr>
          <w:b/>
          <w:color w:val="000000" w:themeColor="text1"/>
          <w:szCs w:val="18"/>
          <w:lang w:val="nl-NL"/>
        </w:rPr>
        <w:t>Zonder geldige toestemming</w:t>
      </w:r>
      <w:r w:rsidRPr="005B77BE">
        <w:rPr>
          <w:color w:val="000000" w:themeColor="text1"/>
          <w:szCs w:val="18"/>
          <w:lang w:val="nl-NL"/>
        </w:rPr>
        <w:t xml:space="preserve">. </w:t>
      </w:r>
      <w:r w:rsidR="005B77BE">
        <w:rPr>
          <w:color w:val="000000" w:themeColor="text1"/>
          <w:szCs w:val="18"/>
          <w:lang w:val="nl-NL"/>
        </w:rPr>
        <w:t xml:space="preserve">Deze voorwaarde werd </w:t>
      </w:r>
      <w:r w:rsidR="00A57D75">
        <w:rPr>
          <w:color w:val="000000" w:themeColor="text1"/>
          <w:szCs w:val="18"/>
          <w:lang w:val="nl-NL"/>
        </w:rPr>
        <w:t xml:space="preserve">tevens </w:t>
      </w:r>
      <w:r w:rsidR="005B77BE">
        <w:rPr>
          <w:color w:val="000000" w:themeColor="text1"/>
          <w:szCs w:val="18"/>
          <w:lang w:val="nl-NL"/>
        </w:rPr>
        <w:t>reeds eerder uiteengezet</w:t>
      </w:r>
      <w:r w:rsidR="005B77BE" w:rsidRPr="000B4AB2">
        <w:rPr>
          <w:color w:val="000000" w:themeColor="text1"/>
          <w:szCs w:val="18"/>
          <w:lang w:val="nl-NL"/>
        </w:rPr>
        <w:t>.</w:t>
      </w:r>
      <w:r w:rsidR="00032E03">
        <w:rPr>
          <w:rStyle w:val="FootnoteReference"/>
          <w:color w:val="000000" w:themeColor="text1"/>
          <w:szCs w:val="18"/>
          <w:lang w:val="nl-NL"/>
        </w:rPr>
        <w:footnoteReference w:id="480"/>
      </w:r>
    </w:p>
    <w:p w14:paraId="07E6C450" w14:textId="77777777" w:rsidR="005B77BE" w:rsidRPr="005B77BE" w:rsidRDefault="005B77BE" w:rsidP="00260F11">
      <w:pPr>
        <w:pStyle w:val="ListParagraph"/>
        <w:spacing w:line="360" w:lineRule="auto"/>
        <w:ind w:left="0"/>
        <w:rPr>
          <w:color w:val="000000" w:themeColor="text1"/>
          <w:szCs w:val="18"/>
          <w:lang w:val="nl-NL"/>
        </w:rPr>
      </w:pPr>
    </w:p>
    <w:p w14:paraId="73CEAA0A" w14:textId="05B8846A" w:rsidR="00163386" w:rsidRPr="000B4AB2" w:rsidRDefault="00680A5B" w:rsidP="00260F11">
      <w:pPr>
        <w:pStyle w:val="Heading5"/>
        <w:spacing w:line="360" w:lineRule="auto"/>
        <w:rPr>
          <w:szCs w:val="18"/>
          <w:lang w:val="nl-NL"/>
        </w:rPr>
      </w:pPr>
      <w:bookmarkStart w:id="60" w:name="_Toc135041089"/>
      <w:r w:rsidRPr="000B4AB2">
        <w:rPr>
          <w:szCs w:val="18"/>
          <w:lang w:val="nl-NL"/>
        </w:rPr>
        <w:t>Moreel bestanddeel</w:t>
      </w:r>
      <w:bookmarkEnd w:id="60"/>
    </w:p>
    <w:p w14:paraId="42119094" w14:textId="77777777" w:rsidR="00163386" w:rsidRPr="000B4AB2" w:rsidRDefault="00163386" w:rsidP="00260F11">
      <w:pPr>
        <w:spacing w:line="360" w:lineRule="auto"/>
        <w:rPr>
          <w:szCs w:val="18"/>
          <w:lang w:val="nl-NL"/>
        </w:rPr>
      </w:pPr>
    </w:p>
    <w:p w14:paraId="064A2FF3" w14:textId="3F73F4CD" w:rsidR="00D541DB" w:rsidRDefault="00571EAB"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Opzettelijk</w:t>
      </w:r>
      <w:r w:rsidRPr="000B4AB2">
        <w:rPr>
          <w:rStyle w:val="FootnoteReference"/>
          <w:b/>
          <w:color w:val="000000" w:themeColor="text1"/>
          <w:szCs w:val="18"/>
          <w:lang w:val="nl-NL"/>
        </w:rPr>
        <w:footnoteReference w:id="481"/>
      </w:r>
      <w:r w:rsidRPr="000B4AB2">
        <w:rPr>
          <w:b/>
          <w:color w:val="000000" w:themeColor="text1"/>
          <w:szCs w:val="18"/>
          <w:lang w:val="nl-NL"/>
        </w:rPr>
        <w:t xml:space="preserve"> en </w:t>
      </w:r>
      <w:r w:rsidR="00FE6071">
        <w:rPr>
          <w:b/>
          <w:color w:val="000000" w:themeColor="text1"/>
          <w:szCs w:val="18"/>
          <w:lang w:val="nl-NL"/>
        </w:rPr>
        <w:t>d</w:t>
      </w:r>
      <w:r w:rsidR="00FE6071" w:rsidRPr="000B4AB2">
        <w:rPr>
          <w:b/>
          <w:color w:val="000000" w:themeColor="text1"/>
          <w:szCs w:val="18"/>
          <w:lang w:val="nl-NL"/>
        </w:rPr>
        <w:t>ader kon niet redelijkerwijze geloven dat slachtoffer instemde</w:t>
      </w:r>
      <w:r w:rsidRPr="000B4AB2">
        <w:rPr>
          <w:rStyle w:val="FootnoteReference"/>
          <w:b/>
          <w:color w:val="000000" w:themeColor="text1"/>
          <w:szCs w:val="18"/>
          <w:lang w:val="nl-NL"/>
        </w:rPr>
        <w:footnoteReference w:id="482"/>
      </w:r>
      <w:r w:rsidRPr="000B4AB2">
        <w:rPr>
          <w:color w:val="000000" w:themeColor="text1"/>
          <w:szCs w:val="18"/>
          <w:lang w:val="nl-NL"/>
        </w:rPr>
        <w:t xml:space="preserve"> </w:t>
      </w:r>
      <w:r w:rsidR="005B77BE">
        <w:rPr>
          <w:color w:val="000000" w:themeColor="text1"/>
          <w:szCs w:val="18"/>
          <w:lang w:val="nl-NL"/>
        </w:rPr>
        <w:t>Hiervoor kan eveneens worden verwezen naar hetgeen hieromtrent reeds eerder werd uiteengezet</w:t>
      </w:r>
      <w:r w:rsidR="006D0D2A">
        <w:rPr>
          <w:color w:val="000000" w:themeColor="text1"/>
          <w:szCs w:val="18"/>
          <w:lang w:val="nl-NL"/>
        </w:rPr>
        <w:t>.</w:t>
      </w:r>
      <w:r w:rsidR="006D0D2A">
        <w:rPr>
          <w:rStyle w:val="FootnoteReference"/>
          <w:color w:val="000000" w:themeColor="text1"/>
          <w:szCs w:val="18"/>
          <w:lang w:val="nl-NL"/>
        </w:rPr>
        <w:footnoteReference w:id="483"/>
      </w:r>
    </w:p>
    <w:p w14:paraId="0C3EF16B" w14:textId="6FD0BFCC" w:rsidR="00295FDD" w:rsidRDefault="00295FDD" w:rsidP="00260F11">
      <w:pPr>
        <w:spacing w:line="360" w:lineRule="auto"/>
        <w:jc w:val="left"/>
        <w:rPr>
          <w:color w:val="000000" w:themeColor="text1"/>
          <w:szCs w:val="18"/>
          <w:lang w:val="nl-NL"/>
        </w:rPr>
      </w:pPr>
    </w:p>
    <w:p w14:paraId="5A1CA116" w14:textId="267D5C9F" w:rsidR="008B5EC8" w:rsidRPr="009C29A6" w:rsidRDefault="00D65A59" w:rsidP="00260F11">
      <w:pPr>
        <w:pStyle w:val="Heading4"/>
        <w:spacing w:line="360" w:lineRule="auto"/>
        <w:rPr>
          <w:i/>
          <w:szCs w:val="18"/>
          <w:lang w:val="en-GB"/>
        </w:rPr>
      </w:pPr>
      <w:bookmarkStart w:id="61" w:name="_Toc135041090"/>
      <w:r w:rsidRPr="009C29A6">
        <w:rPr>
          <w:i/>
          <w:szCs w:val="18"/>
          <w:lang w:val="en-GB"/>
        </w:rPr>
        <w:t xml:space="preserve">Causing a person to engage in sexual activity without consent </w:t>
      </w:r>
      <w:r w:rsidR="008B5EC8" w:rsidRPr="009C29A6">
        <w:rPr>
          <w:i/>
          <w:szCs w:val="18"/>
          <w:lang w:val="en-GB"/>
        </w:rPr>
        <w:t>(CESA)</w:t>
      </w:r>
      <w:bookmarkEnd w:id="61"/>
    </w:p>
    <w:p w14:paraId="175C9ECA" w14:textId="77777777" w:rsidR="008B5EC8" w:rsidRPr="009C29A6" w:rsidRDefault="008B5EC8" w:rsidP="00260F11">
      <w:pPr>
        <w:spacing w:line="360" w:lineRule="auto"/>
        <w:rPr>
          <w:color w:val="000000" w:themeColor="text1"/>
          <w:szCs w:val="18"/>
          <w:lang w:val="en-GB"/>
        </w:rPr>
      </w:pPr>
    </w:p>
    <w:p w14:paraId="57445E09" w14:textId="3DB485B8" w:rsidR="008B5EC8" w:rsidRDefault="008B5EC8" w:rsidP="00260F11">
      <w:pPr>
        <w:pStyle w:val="ListParagraph"/>
        <w:numPr>
          <w:ilvl w:val="0"/>
          <w:numId w:val="1"/>
        </w:numPr>
        <w:spacing w:line="360" w:lineRule="auto"/>
        <w:ind w:left="0" w:hanging="709"/>
        <w:rPr>
          <w:color w:val="000000" w:themeColor="text1"/>
          <w:szCs w:val="18"/>
          <w:lang w:val="nl-NL"/>
        </w:rPr>
      </w:pPr>
      <w:r w:rsidRPr="00B14024">
        <w:rPr>
          <w:b/>
          <w:color w:val="000000" w:themeColor="text1"/>
          <w:szCs w:val="18"/>
          <w:lang w:val="nl-NL"/>
        </w:rPr>
        <w:t>CESA</w:t>
      </w:r>
      <w:r>
        <w:rPr>
          <w:color w:val="000000" w:themeColor="text1"/>
          <w:szCs w:val="18"/>
          <w:lang w:val="nl-NL"/>
        </w:rPr>
        <w:t xml:space="preserve">. </w:t>
      </w:r>
      <w:r w:rsidRPr="000B4AB2">
        <w:rPr>
          <w:color w:val="000000" w:themeColor="text1"/>
          <w:szCs w:val="18"/>
          <w:lang w:val="nl-NL"/>
        </w:rPr>
        <w:t xml:space="preserve">Zoals reeds aangegeven, </w:t>
      </w:r>
      <w:r>
        <w:rPr>
          <w:color w:val="000000" w:themeColor="text1"/>
          <w:szCs w:val="18"/>
          <w:lang w:val="nl-NL"/>
        </w:rPr>
        <w:t xml:space="preserve">creëert </w:t>
      </w:r>
      <w:r w:rsidRPr="00862615">
        <w:rPr>
          <w:i/>
          <w:color w:val="000000" w:themeColor="text1"/>
          <w:szCs w:val="18"/>
          <w:lang w:val="nl-NL"/>
        </w:rPr>
        <w:t>section</w:t>
      </w:r>
      <w:r>
        <w:rPr>
          <w:color w:val="000000" w:themeColor="text1"/>
          <w:szCs w:val="18"/>
          <w:lang w:val="nl-NL"/>
        </w:rPr>
        <w:t xml:space="preserve"> 4 van de SOA twee misdrijven: enerzijds CESA zonder penetratie en anderzijds </w:t>
      </w:r>
      <w:r w:rsidRPr="00540454">
        <w:rPr>
          <w:color w:val="000000" w:themeColor="text1"/>
          <w:szCs w:val="18"/>
          <w:lang w:val="nl-NL"/>
        </w:rPr>
        <w:t>CESA met penetratie.</w:t>
      </w:r>
      <w:r w:rsidR="00032E03">
        <w:rPr>
          <w:rStyle w:val="FootnoteReference"/>
          <w:color w:val="000000" w:themeColor="text1"/>
          <w:szCs w:val="18"/>
          <w:lang w:val="nl-NL"/>
        </w:rPr>
        <w:footnoteReference w:id="484"/>
      </w:r>
      <w:r w:rsidRPr="00540454">
        <w:rPr>
          <w:color w:val="000000" w:themeColor="text1"/>
          <w:szCs w:val="18"/>
          <w:lang w:val="nl-NL"/>
        </w:rPr>
        <w:t xml:space="preserve"> </w:t>
      </w:r>
      <w:r>
        <w:rPr>
          <w:color w:val="000000" w:themeColor="text1"/>
          <w:szCs w:val="18"/>
          <w:lang w:val="nl-NL"/>
        </w:rPr>
        <w:t>Het merendeel van de</w:t>
      </w:r>
      <w:r w:rsidRPr="00540454">
        <w:rPr>
          <w:color w:val="000000" w:themeColor="text1"/>
          <w:szCs w:val="18"/>
          <w:lang w:val="nl-NL"/>
        </w:rPr>
        <w:t xml:space="preserve"> constitutieve bestanddelen van </w:t>
      </w:r>
      <w:r>
        <w:rPr>
          <w:color w:val="000000" w:themeColor="text1"/>
          <w:szCs w:val="18"/>
          <w:lang w:val="nl-NL"/>
        </w:rPr>
        <w:t>beide misdrijven</w:t>
      </w:r>
      <w:r w:rsidRPr="00540454">
        <w:rPr>
          <w:color w:val="000000" w:themeColor="text1"/>
          <w:szCs w:val="18"/>
          <w:lang w:val="nl-NL"/>
        </w:rPr>
        <w:t xml:space="preserve"> zijn </w:t>
      </w:r>
      <w:r>
        <w:rPr>
          <w:color w:val="000000" w:themeColor="text1"/>
          <w:szCs w:val="18"/>
          <w:lang w:val="nl-NL"/>
        </w:rPr>
        <w:t xml:space="preserve">evenwel </w:t>
      </w:r>
      <w:r w:rsidRPr="00540454">
        <w:rPr>
          <w:color w:val="000000" w:themeColor="text1"/>
          <w:szCs w:val="18"/>
          <w:lang w:val="nl-NL"/>
        </w:rPr>
        <w:t>identiek</w:t>
      </w:r>
      <w:r>
        <w:rPr>
          <w:color w:val="000000" w:themeColor="text1"/>
          <w:szCs w:val="18"/>
          <w:lang w:val="nl-NL"/>
        </w:rPr>
        <w:t xml:space="preserve"> aan elkaar.</w:t>
      </w:r>
      <w:r>
        <w:rPr>
          <w:rStyle w:val="FootnoteReference"/>
          <w:color w:val="000000" w:themeColor="text1"/>
          <w:szCs w:val="18"/>
          <w:lang w:val="nl-NL"/>
        </w:rPr>
        <w:footnoteReference w:id="485"/>
      </w:r>
      <w:r w:rsidRPr="00540454">
        <w:rPr>
          <w:color w:val="000000" w:themeColor="text1"/>
          <w:szCs w:val="18"/>
          <w:lang w:val="nl-NL"/>
        </w:rPr>
        <w:t xml:space="preserve"> </w:t>
      </w:r>
      <w:r>
        <w:rPr>
          <w:color w:val="000000" w:themeColor="text1"/>
          <w:szCs w:val="18"/>
          <w:lang w:val="nl-NL"/>
        </w:rPr>
        <w:t>Het enige verschil bestaat erin dat de seksuele gedraging waaraan het slachtoffer moet deelnemen door toedoen van de dader, dient te bestaan uit een welbepaalde vorm van penetratie voor wat betreft CESA met penetratie. Aldus kunnen de constitutieve bestanddelen van dit misdrijf schematisch als volgt worden weergegeven.</w:t>
      </w:r>
    </w:p>
    <w:p w14:paraId="74D85103" w14:textId="77777777" w:rsidR="008B5EC8" w:rsidRDefault="008B5EC8" w:rsidP="00260F11">
      <w:pPr>
        <w:spacing w:line="360" w:lineRule="auto"/>
        <w:rPr>
          <w:color w:val="000000" w:themeColor="text1"/>
          <w:szCs w:val="18"/>
          <w:lang w:val="nl-NL"/>
        </w:rPr>
      </w:pPr>
    </w:p>
    <w:tbl>
      <w:tblPr>
        <w:tblStyle w:val="GridTable4-Accent3"/>
        <w:tblW w:w="0" w:type="auto"/>
        <w:tblLook w:val="04A0" w:firstRow="1" w:lastRow="0" w:firstColumn="1" w:lastColumn="0" w:noHBand="0" w:noVBand="1"/>
      </w:tblPr>
      <w:tblGrid>
        <w:gridCol w:w="4531"/>
        <w:gridCol w:w="4531"/>
      </w:tblGrid>
      <w:tr w:rsidR="008B5EC8" w:rsidRPr="000B4AB2" w14:paraId="4FAB83D1" w14:textId="77777777" w:rsidTr="00C32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29A8E6D0" w14:textId="77777777" w:rsidR="008B5EC8" w:rsidRPr="000B4AB2" w:rsidRDefault="008B5EC8" w:rsidP="00260F11">
            <w:pPr>
              <w:pStyle w:val="ListParagraph"/>
              <w:spacing w:line="360" w:lineRule="auto"/>
              <w:ind w:left="0"/>
              <w:rPr>
                <w:color w:val="000000" w:themeColor="text1"/>
                <w:szCs w:val="18"/>
                <w:lang w:val="nl-NL"/>
              </w:rPr>
            </w:pPr>
            <w:r w:rsidRPr="000B4AB2">
              <w:rPr>
                <w:color w:val="000000" w:themeColor="text1"/>
                <w:szCs w:val="18"/>
                <w:lang w:val="nl-NL"/>
              </w:rPr>
              <w:t>Constitutieve bestanddelen CESA (</w:t>
            </w:r>
            <w:r>
              <w:rPr>
                <w:color w:val="000000" w:themeColor="text1"/>
                <w:szCs w:val="18"/>
                <w:lang w:val="nl-NL"/>
              </w:rPr>
              <w:t>met</w:t>
            </w:r>
            <w:r w:rsidRPr="000B4AB2">
              <w:rPr>
                <w:color w:val="000000" w:themeColor="text1"/>
                <w:szCs w:val="18"/>
                <w:lang w:val="nl-NL"/>
              </w:rPr>
              <w:t xml:space="preserve"> penetratie)</w:t>
            </w:r>
          </w:p>
        </w:tc>
      </w:tr>
      <w:tr w:rsidR="008B5EC8" w:rsidRPr="000B4AB2" w14:paraId="13936A71" w14:textId="77777777" w:rsidTr="00C32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01ECC2FE" w14:textId="77777777" w:rsidR="008B5EC8" w:rsidRPr="000B4AB2" w:rsidRDefault="008B5EC8" w:rsidP="00260F11">
            <w:pPr>
              <w:pStyle w:val="ListParagraph"/>
              <w:spacing w:line="360" w:lineRule="auto"/>
              <w:ind w:left="0"/>
              <w:rPr>
                <w:color w:val="000000" w:themeColor="text1"/>
                <w:szCs w:val="18"/>
                <w:lang w:val="nl-NL"/>
              </w:rPr>
            </w:pPr>
            <w:r w:rsidRPr="000B4AB2">
              <w:rPr>
                <w:color w:val="000000" w:themeColor="text1"/>
                <w:szCs w:val="18"/>
                <w:lang w:val="nl-NL"/>
              </w:rPr>
              <w:t>Materiële bestanddelen</w:t>
            </w:r>
          </w:p>
        </w:tc>
        <w:tc>
          <w:tcPr>
            <w:tcW w:w="4531" w:type="dxa"/>
          </w:tcPr>
          <w:p w14:paraId="73014A7C" w14:textId="77777777" w:rsidR="008B5EC8" w:rsidRPr="000B4AB2" w:rsidRDefault="008B5EC8" w:rsidP="00260F11">
            <w:pPr>
              <w:pStyle w:val="ListParagraph"/>
              <w:spacing w:line="360" w:lineRule="auto"/>
              <w:ind w:left="0"/>
              <w:cnfStyle w:val="000000100000" w:firstRow="0" w:lastRow="0" w:firstColumn="0" w:lastColumn="0" w:oddVBand="0" w:evenVBand="0" w:oddHBand="1" w:evenHBand="0" w:firstRowFirstColumn="0" w:firstRowLastColumn="0" w:lastRowFirstColumn="0" w:lastRowLastColumn="0"/>
              <w:rPr>
                <w:b/>
                <w:color w:val="000000" w:themeColor="text1"/>
                <w:szCs w:val="18"/>
                <w:lang w:val="nl-NL"/>
              </w:rPr>
            </w:pPr>
            <w:r w:rsidRPr="000B4AB2">
              <w:rPr>
                <w:b/>
                <w:color w:val="000000" w:themeColor="text1"/>
                <w:szCs w:val="18"/>
                <w:lang w:val="nl-NL"/>
              </w:rPr>
              <w:t>Moreel bestanddeel</w:t>
            </w:r>
          </w:p>
        </w:tc>
      </w:tr>
      <w:tr w:rsidR="008B5EC8" w:rsidRPr="000B4AB2" w14:paraId="3328C7E8" w14:textId="77777777" w:rsidTr="00C32699">
        <w:tc>
          <w:tcPr>
            <w:cnfStyle w:val="001000000000" w:firstRow="0" w:lastRow="0" w:firstColumn="1" w:lastColumn="0" w:oddVBand="0" w:evenVBand="0" w:oddHBand="0" w:evenHBand="0" w:firstRowFirstColumn="0" w:firstRowLastColumn="0" w:lastRowFirstColumn="0" w:lastRowLastColumn="0"/>
            <w:tcW w:w="4531" w:type="dxa"/>
          </w:tcPr>
          <w:p w14:paraId="1967311E" w14:textId="77777777" w:rsidR="008B5EC8" w:rsidRPr="000B4AB2" w:rsidRDefault="008B5EC8" w:rsidP="00260F11">
            <w:pPr>
              <w:pStyle w:val="ListParagraph"/>
              <w:numPr>
                <w:ilvl w:val="0"/>
                <w:numId w:val="5"/>
              </w:numPr>
              <w:spacing w:line="360" w:lineRule="auto"/>
              <w:rPr>
                <w:bCs w:val="0"/>
                <w:color w:val="000000" w:themeColor="text1"/>
                <w:szCs w:val="18"/>
                <w:lang w:val="nl-NL"/>
              </w:rPr>
            </w:pPr>
            <w:r w:rsidRPr="000B4AB2">
              <w:rPr>
                <w:b w:val="0"/>
                <w:color w:val="000000" w:themeColor="text1"/>
                <w:szCs w:val="18"/>
                <w:lang w:val="nl-NL"/>
              </w:rPr>
              <w:t xml:space="preserve">Dader </w:t>
            </w:r>
            <w:r>
              <w:rPr>
                <w:b w:val="0"/>
                <w:color w:val="000000" w:themeColor="text1"/>
                <w:szCs w:val="18"/>
                <w:lang w:val="nl-NL"/>
              </w:rPr>
              <w:t>doet</w:t>
            </w:r>
            <w:r w:rsidRPr="000B4AB2">
              <w:rPr>
                <w:b w:val="0"/>
                <w:color w:val="000000" w:themeColor="text1"/>
                <w:szCs w:val="18"/>
                <w:lang w:val="nl-NL"/>
              </w:rPr>
              <w:t xml:space="preserve"> slachtoffer </w:t>
            </w:r>
            <w:r>
              <w:rPr>
                <w:b w:val="0"/>
                <w:color w:val="000000" w:themeColor="text1"/>
                <w:szCs w:val="18"/>
                <w:lang w:val="nl-NL"/>
              </w:rPr>
              <w:t>deelnemen</w:t>
            </w:r>
            <w:r w:rsidRPr="000B4AB2">
              <w:rPr>
                <w:b w:val="0"/>
                <w:color w:val="000000" w:themeColor="text1"/>
                <w:szCs w:val="18"/>
                <w:lang w:val="nl-NL"/>
              </w:rPr>
              <w:t xml:space="preserve"> aan een </w:t>
            </w:r>
            <w:r>
              <w:rPr>
                <w:b w:val="0"/>
                <w:color w:val="000000" w:themeColor="text1"/>
                <w:szCs w:val="18"/>
                <w:lang w:val="nl-NL"/>
              </w:rPr>
              <w:t>welbepaalde seksuele penetratie</w:t>
            </w:r>
          </w:p>
          <w:p w14:paraId="26D40AFD" w14:textId="77777777" w:rsidR="008B5EC8" w:rsidRPr="000B4AB2" w:rsidRDefault="008B5EC8" w:rsidP="00260F11">
            <w:pPr>
              <w:pStyle w:val="ListParagraph"/>
              <w:numPr>
                <w:ilvl w:val="0"/>
                <w:numId w:val="5"/>
              </w:numPr>
              <w:spacing w:line="360" w:lineRule="auto"/>
              <w:rPr>
                <w:b w:val="0"/>
                <w:color w:val="000000" w:themeColor="text1"/>
                <w:szCs w:val="18"/>
                <w:lang w:val="nl-NL"/>
              </w:rPr>
            </w:pPr>
            <w:r w:rsidRPr="000B4AB2">
              <w:rPr>
                <w:b w:val="0"/>
                <w:color w:val="000000" w:themeColor="text1"/>
                <w:szCs w:val="18"/>
                <w:lang w:val="nl-NL"/>
              </w:rPr>
              <w:t>Zonder geldige toestemming van het slachtoffer</w:t>
            </w:r>
          </w:p>
        </w:tc>
        <w:tc>
          <w:tcPr>
            <w:tcW w:w="4531" w:type="dxa"/>
          </w:tcPr>
          <w:p w14:paraId="2FB66381" w14:textId="77777777" w:rsidR="008B5EC8" w:rsidRPr="000B4AB2" w:rsidRDefault="008B5EC8"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doet dit opzettelijk</w:t>
            </w:r>
          </w:p>
          <w:p w14:paraId="03140C4E" w14:textId="77777777" w:rsidR="008B5EC8" w:rsidRPr="000B4AB2" w:rsidRDefault="008B5EC8" w:rsidP="00260F11">
            <w:pPr>
              <w:pStyle w:val="ListParagraph"/>
              <w:numPr>
                <w:ilvl w:val="0"/>
                <w:numId w:val="5"/>
              </w:numPr>
              <w:spacing w:line="360" w:lineRule="auto"/>
              <w:cnfStyle w:val="000000000000" w:firstRow="0" w:lastRow="0" w:firstColumn="0" w:lastColumn="0" w:oddVBand="0" w:evenVBand="0" w:oddHBand="0" w:evenHBand="0" w:firstRowFirstColumn="0" w:firstRowLastColumn="0" w:lastRowFirstColumn="0" w:lastRowLastColumn="0"/>
              <w:rPr>
                <w:color w:val="000000" w:themeColor="text1"/>
                <w:szCs w:val="18"/>
                <w:lang w:val="nl-NL"/>
              </w:rPr>
            </w:pPr>
            <w:r w:rsidRPr="000B4AB2">
              <w:rPr>
                <w:color w:val="000000" w:themeColor="text1"/>
                <w:szCs w:val="18"/>
                <w:lang w:val="nl-NL"/>
              </w:rPr>
              <w:t>Dader gelooft niet redelijkerwijze dat het slachtoffer toestemt</w:t>
            </w:r>
          </w:p>
        </w:tc>
      </w:tr>
    </w:tbl>
    <w:p w14:paraId="3E89D245" w14:textId="77777777" w:rsidR="008B5EC8" w:rsidRPr="000B4AB2" w:rsidRDefault="008B5EC8" w:rsidP="00260F11">
      <w:pPr>
        <w:spacing w:line="360" w:lineRule="auto"/>
        <w:rPr>
          <w:color w:val="000000" w:themeColor="text1"/>
          <w:szCs w:val="18"/>
          <w:lang w:val="nl-NL"/>
        </w:rPr>
      </w:pPr>
    </w:p>
    <w:p w14:paraId="48547A61" w14:textId="77777777" w:rsidR="008B5EC8" w:rsidRPr="00B72566" w:rsidRDefault="008B5EC8" w:rsidP="00260F11">
      <w:pPr>
        <w:pStyle w:val="ListParagraph"/>
        <w:numPr>
          <w:ilvl w:val="0"/>
          <w:numId w:val="1"/>
        </w:numPr>
        <w:spacing w:line="360" w:lineRule="auto"/>
        <w:ind w:left="0" w:hanging="709"/>
        <w:rPr>
          <w:color w:val="000000" w:themeColor="text1"/>
          <w:szCs w:val="18"/>
          <w:lang w:val="nl-NL"/>
        </w:rPr>
      </w:pPr>
      <w:r w:rsidRPr="000B4AB2">
        <w:rPr>
          <w:b/>
          <w:color w:val="000000" w:themeColor="text1"/>
          <w:szCs w:val="18"/>
          <w:lang w:val="nl-NL"/>
        </w:rPr>
        <w:t>Welbepaalde vorm van penetratie</w:t>
      </w:r>
      <w:r w:rsidRPr="000B4AB2">
        <w:rPr>
          <w:color w:val="000000" w:themeColor="text1"/>
          <w:szCs w:val="18"/>
          <w:lang w:val="nl-NL"/>
        </w:rPr>
        <w:t>. Niet iedere</w:t>
      </w:r>
      <w:r>
        <w:rPr>
          <w:color w:val="000000" w:themeColor="text1"/>
          <w:szCs w:val="18"/>
          <w:lang w:val="nl-NL"/>
        </w:rPr>
        <w:t xml:space="preserve"> vorm van</w:t>
      </w:r>
      <w:r w:rsidRPr="000B4AB2">
        <w:rPr>
          <w:color w:val="000000" w:themeColor="text1"/>
          <w:szCs w:val="18"/>
          <w:lang w:val="nl-NL"/>
        </w:rPr>
        <w:t xml:space="preserve"> penetratie</w:t>
      </w:r>
      <w:r>
        <w:rPr>
          <w:rStyle w:val="FootnoteReference"/>
          <w:color w:val="000000" w:themeColor="text1"/>
          <w:szCs w:val="18"/>
          <w:lang w:val="nl-NL"/>
        </w:rPr>
        <w:footnoteReference w:id="486"/>
      </w:r>
      <w:r w:rsidRPr="000B4AB2">
        <w:rPr>
          <w:color w:val="000000" w:themeColor="text1"/>
          <w:szCs w:val="18"/>
          <w:lang w:val="nl-NL"/>
        </w:rPr>
        <w:t xml:space="preserve"> kan aanleiding geven tot de kwalificatie van dit misdrijf</w:t>
      </w:r>
      <w:r w:rsidRPr="00B72566">
        <w:rPr>
          <w:color w:val="000000" w:themeColor="text1"/>
          <w:szCs w:val="18"/>
          <w:lang w:val="nl-NL"/>
        </w:rPr>
        <w:t>.</w:t>
      </w:r>
      <w:r w:rsidRPr="000B4AB2">
        <w:rPr>
          <w:rStyle w:val="FootnoteReference"/>
          <w:color w:val="000000" w:themeColor="text1"/>
          <w:szCs w:val="18"/>
          <w:lang w:val="nl-NL"/>
        </w:rPr>
        <w:footnoteReference w:id="487"/>
      </w:r>
      <w:r>
        <w:rPr>
          <w:color w:val="000000" w:themeColor="text1"/>
          <w:szCs w:val="18"/>
          <w:lang w:val="nl-NL"/>
        </w:rPr>
        <w:t xml:space="preserve"> Ten eerste</w:t>
      </w:r>
      <w:r w:rsidRPr="00B72566">
        <w:rPr>
          <w:color w:val="000000" w:themeColor="text1"/>
          <w:szCs w:val="18"/>
          <w:lang w:val="nl-NL"/>
        </w:rPr>
        <w:t xml:space="preserve"> worden penetraties geviseerd van het lichaam van het </w:t>
      </w:r>
      <w:r w:rsidRPr="00B72566">
        <w:rPr>
          <w:color w:val="000000" w:themeColor="text1"/>
          <w:szCs w:val="18"/>
          <w:lang w:val="nl-NL"/>
        </w:rPr>
        <w:lastRenderedPageBreak/>
        <w:t>slachtoffer. Hiervoor komt elke penetratie van de anus of vagina van het slachtoffer in aanmerking. Het is daarbij irrelevant of deze penetratie al dan niet geschiedt d.m.v. een penis.</w:t>
      </w:r>
      <w:r w:rsidRPr="000B4AB2">
        <w:rPr>
          <w:rStyle w:val="FootnoteReference"/>
          <w:color w:val="000000" w:themeColor="text1"/>
          <w:szCs w:val="18"/>
          <w:lang w:val="nl-NL"/>
        </w:rPr>
        <w:footnoteReference w:id="488"/>
      </w:r>
      <w:r w:rsidRPr="00B72566">
        <w:rPr>
          <w:color w:val="000000" w:themeColor="text1"/>
          <w:szCs w:val="18"/>
          <w:lang w:val="nl-NL"/>
        </w:rPr>
        <w:t xml:space="preserve"> Penetraties van de mond van het slachtoffer dienen daarentegen te gebeuren d.m.v. een penis.</w:t>
      </w:r>
      <w:r w:rsidRPr="000B4AB2">
        <w:rPr>
          <w:rStyle w:val="FootnoteReference"/>
          <w:color w:val="000000" w:themeColor="text1"/>
          <w:szCs w:val="18"/>
          <w:lang w:val="nl-NL"/>
        </w:rPr>
        <w:footnoteReference w:id="489"/>
      </w:r>
    </w:p>
    <w:p w14:paraId="6BE7C8DB" w14:textId="77777777" w:rsidR="008B5EC8" w:rsidRPr="000B4AB2" w:rsidRDefault="008B5EC8" w:rsidP="00260F11">
      <w:pPr>
        <w:spacing w:line="360" w:lineRule="auto"/>
        <w:rPr>
          <w:color w:val="000000" w:themeColor="text1"/>
          <w:szCs w:val="18"/>
          <w:lang w:val="nl-NL"/>
        </w:rPr>
      </w:pPr>
    </w:p>
    <w:p w14:paraId="2F886ACE" w14:textId="292642B8" w:rsidR="008B5EC8" w:rsidRDefault="008B5EC8" w:rsidP="00260F11">
      <w:pPr>
        <w:spacing w:line="360" w:lineRule="auto"/>
        <w:rPr>
          <w:color w:val="000000" w:themeColor="text1"/>
          <w:szCs w:val="18"/>
          <w:lang w:val="nl-NL"/>
        </w:rPr>
      </w:pPr>
      <w:r w:rsidRPr="000B4AB2">
        <w:rPr>
          <w:color w:val="000000" w:themeColor="text1"/>
          <w:szCs w:val="18"/>
          <w:lang w:val="nl-NL"/>
        </w:rPr>
        <w:t xml:space="preserve">Daarnaast viseert deze strafbaarstelling </w:t>
      </w:r>
      <w:r>
        <w:rPr>
          <w:color w:val="000000" w:themeColor="text1"/>
          <w:szCs w:val="18"/>
          <w:lang w:val="nl-NL"/>
        </w:rPr>
        <w:t>tevens</w:t>
      </w:r>
      <w:r w:rsidRPr="000B4AB2">
        <w:rPr>
          <w:color w:val="000000" w:themeColor="text1"/>
          <w:szCs w:val="18"/>
          <w:lang w:val="nl-NL"/>
        </w:rPr>
        <w:t xml:space="preserve"> penetraties die door het slachtoffer op een ander moeten worden verricht. Wanneer de penetratie gebeur</w:t>
      </w:r>
      <w:r>
        <w:rPr>
          <w:color w:val="000000" w:themeColor="text1"/>
          <w:szCs w:val="18"/>
          <w:lang w:val="nl-NL"/>
        </w:rPr>
        <w:t>t</w:t>
      </w:r>
      <w:r w:rsidRPr="000B4AB2">
        <w:rPr>
          <w:color w:val="000000" w:themeColor="text1"/>
          <w:szCs w:val="18"/>
          <w:lang w:val="nl-NL"/>
        </w:rPr>
        <w:t xml:space="preserve"> in de anus of vagina van die persoon, komen alle voorwerpen dan wel lichaamsdelen hiervoor in aanmerking.</w:t>
      </w:r>
      <w:r w:rsidRPr="000B4AB2">
        <w:rPr>
          <w:rStyle w:val="FootnoteReference"/>
          <w:color w:val="000000" w:themeColor="text1"/>
          <w:szCs w:val="18"/>
          <w:lang w:val="nl-NL"/>
        </w:rPr>
        <w:footnoteReference w:id="490"/>
      </w:r>
      <w:r w:rsidRPr="000B4AB2">
        <w:rPr>
          <w:color w:val="000000" w:themeColor="text1"/>
          <w:szCs w:val="18"/>
          <w:lang w:val="nl-NL"/>
        </w:rPr>
        <w:t xml:space="preserve"> Indien de penetratie daarentegen in de mond van </w:t>
      </w:r>
      <w:r>
        <w:rPr>
          <w:color w:val="000000" w:themeColor="text1"/>
          <w:szCs w:val="18"/>
          <w:lang w:val="nl-NL"/>
        </w:rPr>
        <w:t>de</w:t>
      </w:r>
      <w:r w:rsidRPr="000B4AB2">
        <w:rPr>
          <w:color w:val="000000" w:themeColor="text1"/>
          <w:szCs w:val="18"/>
          <w:lang w:val="nl-NL"/>
        </w:rPr>
        <w:t xml:space="preserve"> persoon gebeur</w:t>
      </w:r>
      <w:r>
        <w:rPr>
          <w:color w:val="000000" w:themeColor="text1"/>
          <w:szCs w:val="18"/>
          <w:lang w:val="nl-NL"/>
        </w:rPr>
        <w:t>t</w:t>
      </w:r>
      <w:r w:rsidRPr="000B4AB2">
        <w:rPr>
          <w:color w:val="000000" w:themeColor="text1"/>
          <w:szCs w:val="18"/>
          <w:lang w:val="nl-NL"/>
        </w:rPr>
        <w:t xml:space="preserve">, dient de penetratie evenwel </w:t>
      </w:r>
      <w:r>
        <w:rPr>
          <w:color w:val="000000" w:themeColor="text1"/>
          <w:szCs w:val="18"/>
          <w:lang w:val="nl-NL"/>
        </w:rPr>
        <w:t>d.m.v.</w:t>
      </w:r>
      <w:r w:rsidRPr="000B4AB2">
        <w:rPr>
          <w:color w:val="000000" w:themeColor="text1"/>
          <w:szCs w:val="18"/>
          <w:lang w:val="nl-NL"/>
        </w:rPr>
        <w:t xml:space="preserve"> een penis te geschieden.</w:t>
      </w:r>
      <w:r w:rsidRPr="000B4AB2">
        <w:rPr>
          <w:rStyle w:val="FootnoteReference"/>
          <w:color w:val="000000" w:themeColor="text1"/>
          <w:szCs w:val="18"/>
          <w:lang w:val="nl-NL"/>
        </w:rPr>
        <w:footnoteReference w:id="491"/>
      </w:r>
    </w:p>
    <w:p w14:paraId="3BDA5407" w14:textId="31CD01CC" w:rsidR="00223A0B" w:rsidRDefault="00223A0B" w:rsidP="00260F11">
      <w:pPr>
        <w:spacing w:line="360" w:lineRule="auto"/>
        <w:jc w:val="left"/>
        <w:rPr>
          <w:color w:val="000000" w:themeColor="text1"/>
          <w:szCs w:val="18"/>
          <w:lang w:val="nl-NL"/>
        </w:rPr>
      </w:pPr>
      <w:r>
        <w:rPr>
          <w:color w:val="000000" w:themeColor="text1"/>
          <w:szCs w:val="18"/>
          <w:lang w:val="nl-NL"/>
        </w:rPr>
        <w:br w:type="page"/>
      </w:r>
    </w:p>
    <w:p w14:paraId="32086965" w14:textId="6B829232" w:rsidR="0091757A" w:rsidRPr="000B4AB2" w:rsidRDefault="00E44AAE" w:rsidP="00260F11">
      <w:pPr>
        <w:pStyle w:val="Heading3"/>
        <w:spacing w:line="360" w:lineRule="auto"/>
        <w:rPr>
          <w:lang w:val="nl-NL"/>
        </w:rPr>
      </w:pPr>
      <w:bookmarkStart w:id="62" w:name="_Toc135041091"/>
      <w:r>
        <w:rPr>
          <w:lang w:val="nl-NL"/>
        </w:rPr>
        <w:lastRenderedPageBreak/>
        <w:t>Vergelijking</w:t>
      </w:r>
      <w:r w:rsidR="00A8597A" w:rsidRPr="000B4AB2">
        <w:rPr>
          <w:lang w:val="nl-NL"/>
        </w:rPr>
        <w:t xml:space="preserve"> met</w:t>
      </w:r>
      <w:r w:rsidR="0008209C">
        <w:rPr>
          <w:lang w:val="nl-NL"/>
        </w:rPr>
        <w:t xml:space="preserve"> huidig</w:t>
      </w:r>
      <w:r w:rsidR="00A8597A" w:rsidRPr="000B4AB2">
        <w:rPr>
          <w:lang w:val="nl-NL"/>
        </w:rPr>
        <w:t xml:space="preserve"> Belgisch rechtsstelsel</w:t>
      </w:r>
      <w:bookmarkEnd w:id="62"/>
    </w:p>
    <w:p w14:paraId="468BD12D" w14:textId="7CE47D2A" w:rsidR="00ED1712" w:rsidRDefault="00ED1712" w:rsidP="00260F11">
      <w:pPr>
        <w:spacing w:line="360" w:lineRule="auto"/>
        <w:rPr>
          <w:lang w:val="nl-NL"/>
        </w:rPr>
      </w:pPr>
    </w:p>
    <w:p w14:paraId="3CEB303D" w14:textId="60FBB349" w:rsidR="00ED1712" w:rsidRPr="001B4545" w:rsidRDefault="00ED1712"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Plaats binnen </w:t>
      </w:r>
      <w:r w:rsidR="002C0791">
        <w:rPr>
          <w:b/>
          <w:color w:val="000000" w:themeColor="text1"/>
          <w:szCs w:val="18"/>
          <w:lang w:val="nl-NL"/>
        </w:rPr>
        <w:t xml:space="preserve">het </w:t>
      </w:r>
      <w:r>
        <w:rPr>
          <w:b/>
          <w:color w:val="000000" w:themeColor="text1"/>
          <w:szCs w:val="18"/>
          <w:lang w:val="nl-NL"/>
        </w:rPr>
        <w:t xml:space="preserve">onderzoek. </w:t>
      </w:r>
      <w:r w:rsidR="002C0791">
        <w:rPr>
          <w:color w:val="000000" w:themeColor="text1"/>
          <w:szCs w:val="18"/>
          <w:lang w:val="nl-NL"/>
        </w:rPr>
        <w:t>In</w:t>
      </w:r>
      <w:r w:rsidRPr="005B6EEC">
        <w:rPr>
          <w:color w:val="000000" w:themeColor="text1"/>
          <w:szCs w:val="18"/>
          <w:lang w:val="nl-NL"/>
        </w:rPr>
        <w:t xml:space="preserve"> dit deel </w:t>
      </w:r>
      <w:r w:rsidR="002C0791">
        <w:rPr>
          <w:color w:val="000000" w:themeColor="text1"/>
          <w:szCs w:val="18"/>
          <w:lang w:val="nl-NL"/>
        </w:rPr>
        <w:t>wordt de</w:t>
      </w:r>
      <w:r w:rsidRPr="005B6EEC">
        <w:rPr>
          <w:color w:val="000000" w:themeColor="text1"/>
          <w:szCs w:val="18"/>
          <w:lang w:val="nl-NL"/>
        </w:rPr>
        <w:t xml:space="preserve"> laatste subonderzoeksvraag</w:t>
      </w:r>
      <w:r w:rsidR="002C0791">
        <w:rPr>
          <w:color w:val="000000" w:themeColor="text1"/>
          <w:szCs w:val="18"/>
          <w:lang w:val="nl-NL"/>
        </w:rPr>
        <w:t xml:space="preserve"> beantwoord</w:t>
      </w:r>
      <w:r w:rsidRPr="005B6EEC">
        <w:rPr>
          <w:color w:val="000000" w:themeColor="text1"/>
          <w:szCs w:val="18"/>
          <w:lang w:val="nl-NL"/>
        </w:rPr>
        <w:t>.</w:t>
      </w:r>
      <w:r w:rsidR="006D0D2A">
        <w:rPr>
          <w:rStyle w:val="FootnoteReference"/>
          <w:color w:val="000000" w:themeColor="text1"/>
          <w:szCs w:val="18"/>
          <w:lang w:val="nl-NL"/>
        </w:rPr>
        <w:footnoteReference w:id="492"/>
      </w:r>
      <w:r w:rsidRPr="005B6EEC">
        <w:rPr>
          <w:color w:val="000000" w:themeColor="text1"/>
          <w:szCs w:val="18"/>
          <w:lang w:val="nl-NL"/>
        </w:rPr>
        <w:t xml:space="preserve"> </w:t>
      </w:r>
      <w:r w:rsidRPr="001B4545">
        <w:rPr>
          <w:color w:val="000000" w:themeColor="text1"/>
          <w:szCs w:val="18"/>
          <w:lang w:val="nl-NL"/>
        </w:rPr>
        <w:t xml:space="preserve">Na </w:t>
      </w:r>
      <w:r w:rsidR="001B4545">
        <w:rPr>
          <w:color w:val="000000" w:themeColor="text1"/>
          <w:szCs w:val="18"/>
          <w:lang w:val="nl-NL"/>
        </w:rPr>
        <w:t>bovenstaande</w:t>
      </w:r>
      <w:r w:rsidRPr="001B4545">
        <w:rPr>
          <w:color w:val="000000" w:themeColor="text1"/>
          <w:szCs w:val="18"/>
          <w:lang w:val="nl-NL"/>
        </w:rPr>
        <w:t xml:space="preserve"> uiteenzetting van </w:t>
      </w:r>
      <w:r w:rsidR="001B4545">
        <w:rPr>
          <w:color w:val="000000" w:themeColor="text1"/>
          <w:szCs w:val="18"/>
          <w:lang w:val="nl-NL"/>
        </w:rPr>
        <w:t>de</w:t>
      </w:r>
      <w:r w:rsidRPr="001B4545">
        <w:rPr>
          <w:color w:val="000000" w:themeColor="text1"/>
          <w:szCs w:val="18"/>
          <w:lang w:val="nl-NL"/>
        </w:rPr>
        <w:t xml:space="preserve"> </w:t>
      </w:r>
      <w:r w:rsidR="002C0791">
        <w:rPr>
          <w:color w:val="000000" w:themeColor="text1"/>
          <w:szCs w:val="18"/>
          <w:lang w:val="nl-NL"/>
        </w:rPr>
        <w:t xml:space="preserve">Britse </w:t>
      </w:r>
      <w:r w:rsidRPr="001B4545">
        <w:rPr>
          <w:color w:val="000000" w:themeColor="text1"/>
          <w:szCs w:val="18"/>
          <w:lang w:val="nl-NL"/>
        </w:rPr>
        <w:t xml:space="preserve">misdrijven </w:t>
      </w:r>
      <w:r w:rsidR="001B4545">
        <w:rPr>
          <w:color w:val="000000" w:themeColor="text1"/>
          <w:szCs w:val="18"/>
          <w:lang w:val="nl-NL"/>
        </w:rPr>
        <w:t>die corresponderen met aantasting van de seksuele integriteit respectievelijk verkrachting, kunnen</w:t>
      </w:r>
      <w:r w:rsidR="00B63ADB">
        <w:rPr>
          <w:color w:val="000000" w:themeColor="text1"/>
          <w:szCs w:val="18"/>
          <w:lang w:val="nl-NL"/>
        </w:rPr>
        <w:t xml:space="preserve"> nu immers</w:t>
      </w:r>
      <w:r w:rsidR="001B4545">
        <w:rPr>
          <w:color w:val="000000" w:themeColor="text1"/>
          <w:szCs w:val="18"/>
          <w:lang w:val="nl-NL"/>
        </w:rPr>
        <w:t xml:space="preserve"> beide rechtsstelsels met elkaar </w:t>
      </w:r>
      <w:r w:rsidRPr="001B4545">
        <w:rPr>
          <w:color w:val="000000" w:themeColor="text1"/>
          <w:szCs w:val="18"/>
          <w:lang w:val="nl-NL"/>
        </w:rPr>
        <w:t>vergeleken</w:t>
      </w:r>
      <w:r w:rsidR="001B4545">
        <w:rPr>
          <w:color w:val="000000" w:themeColor="text1"/>
          <w:szCs w:val="18"/>
          <w:lang w:val="nl-NL"/>
        </w:rPr>
        <w:t xml:space="preserve"> worden</w:t>
      </w:r>
      <w:r w:rsidRPr="001B4545">
        <w:rPr>
          <w:color w:val="000000" w:themeColor="text1"/>
          <w:szCs w:val="18"/>
          <w:lang w:val="nl-NL"/>
        </w:rPr>
        <w:t xml:space="preserve">. </w:t>
      </w:r>
      <w:r w:rsidR="00DC6206">
        <w:rPr>
          <w:color w:val="000000" w:themeColor="text1"/>
          <w:szCs w:val="18"/>
          <w:lang w:val="nl-NL"/>
        </w:rPr>
        <w:t xml:space="preserve">Dit zal gebeuren a.d.h.v. een zogenaamde </w:t>
      </w:r>
      <w:r w:rsidR="00DC6206">
        <w:rPr>
          <w:i/>
          <w:color w:val="000000" w:themeColor="text1"/>
          <w:szCs w:val="18"/>
          <w:lang w:val="nl-NL"/>
        </w:rPr>
        <w:t>parallel column.</w:t>
      </w:r>
      <w:r w:rsidR="00365D74" w:rsidRPr="000B4AB2">
        <w:rPr>
          <w:rStyle w:val="FootnoteReference"/>
          <w:rFonts w:eastAsiaTheme="majorEastAsia"/>
          <w:szCs w:val="18"/>
        </w:rPr>
        <w:footnoteReference w:id="493"/>
      </w:r>
      <w:r w:rsidR="00E5449F">
        <w:rPr>
          <w:szCs w:val="18"/>
        </w:rPr>
        <w:t xml:space="preserve"> </w:t>
      </w:r>
      <w:r w:rsidRPr="001B4545">
        <w:rPr>
          <w:color w:val="000000" w:themeColor="text1"/>
          <w:szCs w:val="18"/>
          <w:lang w:val="nl-NL"/>
        </w:rPr>
        <w:t xml:space="preserve">Zo kunnen de </w:t>
      </w:r>
      <w:r w:rsidR="001B4545">
        <w:rPr>
          <w:color w:val="000000" w:themeColor="text1"/>
          <w:szCs w:val="18"/>
          <w:lang w:val="nl-NL"/>
        </w:rPr>
        <w:t xml:space="preserve">voornaamste </w:t>
      </w:r>
      <w:r w:rsidRPr="001B4545">
        <w:rPr>
          <w:color w:val="000000" w:themeColor="text1"/>
          <w:szCs w:val="18"/>
          <w:lang w:val="nl-NL"/>
        </w:rPr>
        <w:t>gelijkenissen en verschilpunten tussen beide rechtsstelsels worden geïdentificeerd. Gesteund op deze resultaten kan uiteindelijk tot een meer onderbouwde evaluatie van de hervorming van de Belgische strafbaarstellingen worden gekomen en kunnen opmerkingen worden geformuleerd die pertinent blijven zelfs na een blik over de landsgrenzen heen.</w:t>
      </w:r>
    </w:p>
    <w:p w14:paraId="6F87C04A" w14:textId="1C1C2004" w:rsidR="00D95650" w:rsidRDefault="00D95650" w:rsidP="00260F11">
      <w:pPr>
        <w:spacing w:line="360" w:lineRule="auto"/>
        <w:jc w:val="left"/>
        <w:rPr>
          <w:lang w:val="nl-NL"/>
        </w:rPr>
      </w:pPr>
    </w:p>
    <w:p w14:paraId="2154C622" w14:textId="46F1D52C" w:rsidR="00E44AAE" w:rsidRDefault="00E44AAE" w:rsidP="00260F11">
      <w:pPr>
        <w:pStyle w:val="Heading4"/>
        <w:spacing w:line="360" w:lineRule="auto"/>
        <w:rPr>
          <w:lang w:val="nl-NL"/>
        </w:rPr>
      </w:pPr>
      <w:bookmarkStart w:id="63" w:name="_Toc135041092"/>
      <w:r>
        <w:rPr>
          <w:lang w:val="nl-NL"/>
        </w:rPr>
        <w:t>Aantasting van de seksuele integriteit</w:t>
      </w:r>
      <w:bookmarkEnd w:id="63"/>
    </w:p>
    <w:p w14:paraId="58F42053" w14:textId="77777777" w:rsidR="00E44AAE" w:rsidRPr="00E44AAE" w:rsidRDefault="00E44AAE" w:rsidP="00260F11">
      <w:pPr>
        <w:spacing w:line="360" w:lineRule="auto"/>
        <w:rPr>
          <w:lang w:val="nl-NL"/>
        </w:rPr>
      </w:pPr>
    </w:p>
    <w:p w14:paraId="1E78A316" w14:textId="57E79B53" w:rsidR="00FB2CF0" w:rsidRDefault="00FB2CF0"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Voor het misdrijf van aantasting van de seksuele integriteit – en de daarmee corresponderende misdrijven onder het Brits recht - kunnen de verschillen en gelijkenissen tussen beide rechtsstelsels als volgt worden weergegeven.</w:t>
      </w:r>
    </w:p>
    <w:p w14:paraId="50A88E00" w14:textId="77777777" w:rsidR="00FB2CF0" w:rsidRDefault="00FB2CF0" w:rsidP="00260F11">
      <w:pPr>
        <w:pStyle w:val="ListParagraph"/>
        <w:spacing w:line="360" w:lineRule="auto"/>
        <w:ind w:left="0"/>
        <w:rPr>
          <w:color w:val="000000" w:themeColor="text1"/>
          <w:szCs w:val="18"/>
          <w:lang w:val="nl-NL"/>
        </w:rPr>
      </w:pPr>
    </w:p>
    <w:tbl>
      <w:tblPr>
        <w:tblStyle w:val="GridTable5Dark-Accent3"/>
        <w:tblW w:w="0" w:type="auto"/>
        <w:tblLook w:val="04A0" w:firstRow="1" w:lastRow="0" w:firstColumn="1" w:lastColumn="0" w:noHBand="0" w:noVBand="1"/>
      </w:tblPr>
      <w:tblGrid>
        <w:gridCol w:w="704"/>
        <w:gridCol w:w="2977"/>
        <w:gridCol w:w="2754"/>
        <w:gridCol w:w="2627"/>
      </w:tblGrid>
      <w:tr w:rsidR="00940CD7" w:rsidRPr="006841DA" w14:paraId="09DCABC9" w14:textId="77777777" w:rsidTr="00915E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Merge w:val="restart"/>
          </w:tcPr>
          <w:p w14:paraId="6649EDB9" w14:textId="77777777" w:rsidR="00940CD7" w:rsidRPr="006841DA" w:rsidRDefault="00940CD7" w:rsidP="00260F11">
            <w:pPr>
              <w:spacing w:line="360" w:lineRule="auto"/>
              <w:rPr>
                <w:b w:val="0"/>
                <w:szCs w:val="18"/>
              </w:rPr>
            </w:pPr>
          </w:p>
        </w:tc>
        <w:tc>
          <w:tcPr>
            <w:tcW w:w="2977" w:type="dxa"/>
            <w:vMerge w:val="restart"/>
          </w:tcPr>
          <w:p w14:paraId="3D31CB11" w14:textId="77777777" w:rsidR="00940CD7" w:rsidRPr="005F09AD" w:rsidRDefault="00940CD7" w:rsidP="00260F11">
            <w:pPr>
              <w:spacing w:line="360" w:lineRule="auto"/>
              <w:cnfStyle w:val="100000000000" w:firstRow="1" w:lastRow="0" w:firstColumn="0" w:lastColumn="0" w:oddVBand="0" w:evenVBand="0" w:oddHBand="0" w:evenHBand="0" w:firstRowFirstColumn="0" w:firstRowLastColumn="0" w:lastRowFirstColumn="0" w:lastRowLastColumn="0"/>
              <w:rPr>
                <w:b w:val="0"/>
                <w:color w:val="000000" w:themeColor="text1"/>
                <w:szCs w:val="18"/>
              </w:rPr>
            </w:pPr>
          </w:p>
          <w:p w14:paraId="3A48247E" w14:textId="77777777" w:rsidR="00940CD7" w:rsidRPr="005F09AD" w:rsidRDefault="00940CD7" w:rsidP="00260F11">
            <w:pPr>
              <w:spacing w:line="360" w:lineRule="auto"/>
              <w:cnfStyle w:val="100000000000" w:firstRow="1" w:lastRow="0" w:firstColumn="0" w:lastColumn="0" w:oddVBand="0" w:evenVBand="0" w:oddHBand="0" w:evenHBand="0" w:firstRowFirstColumn="0" w:firstRowLastColumn="0" w:lastRowFirstColumn="0" w:lastRowLastColumn="0"/>
              <w:rPr>
                <w:b w:val="0"/>
                <w:color w:val="000000" w:themeColor="text1"/>
                <w:szCs w:val="18"/>
              </w:rPr>
            </w:pPr>
            <w:r w:rsidRPr="005F09AD">
              <w:rPr>
                <w:color w:val="000000" w:themeColor="text1"/>
                <w:szCs w:val="18"/>
              </w:rPr>
              <w:t>België</w:t>
            </w:r>
          </w:p>
        </w:tc>
        <w:tc>
          <w:tcPr>
            <w:tcW w:w="5381" w:type="dxa"/>
            <w:gridSpan w:val="2"/>
          </w:tcPr>
          <w:p w14:paraId="7CACBD07" w14:textId="77777777" w:rsidR="00940CD7" w:rsidRPr="009D406B" w:rsidRDefault="00940CD7" w:rsidP="00260F11">
            <w:pPr>
              <w:spacing w:line="360" w:lineRule="auto"/>
              <w:cnfStyle w:val="100000000000" w:firstRow="1" w:lastRow="0" w:firstColumn="0" w:lastColumn="0" w:oddVBand="0" w:evenVBand="0" w:oddHBand="0" w:evenHBand="0" w:firstRowFirstColumn="0" w:firstRowLastColumn="0" w:lastRowFirstColumn="0" w:lastRowLastColumn="0"/>
              <w:rPr>
                <w:color w:val="000000" w:themeColor="text1"/>
                <w:szCs w:val="18"/>
              </w:rPr>
            </w:pPr>
            <w:r w:rsidRPr="009D406B">
              <w:rPr>
                <w:color w:val="000000" w:themeColor="text1"/>
                <w:szCs w:val="18"/>
              </w:rPr>
              <w:t>VK</w:t>
            </w:r>
          </w:p>
        </w:tc>
      </w:tr>
      <w:tr w:rsidR="00940CD7" w:rsidRPr="006841DA" w14:paraId="67A83ACA" w14:textId="77777777" w:rsidTr="00915E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vMerge/>
          </w:tcPr>
          <w:p w14:paraId="71B6E368" w14:textId="77777777" w:rsidR="00940CD7" w:rsidRPr="006841DA" w:rsidRDefault="00940CD7" w:rsidP="00260F11">
            <w:pPr>
              <w:spacing w:line="360" w:lineRule="auto"/>
              <w:rPr>
                <w:b w:val="0"/>
                <w:szCs w:val="18"/>
              </w:rPr>
            </w:pPr>
          </w:p>
        </w:tc>
        <w:tc>
          <w:tcPr>
            <w:tcW w:w="2977" w:type="dxa"/>
            <w:vMerge/>
          </w:tcPr>
          <w:p w14:paraId="103EFF20" w14:textId="77777777" w:rsidR="00940CD7" w:rsidRPr="006841DA" w:rsidRDefault="00940CD7"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tc>
        <w:tc>
          <w:tcPr>
            <w:tcW w:w="2754" w:type="dxa"/>
            <w:shd w:val="clear" w:color="auto" w:fill="A5A5A5" w:themeFill="accent3"/>
          </w:tcPr>
          <w:p w14:paraId="5BCE294B" w14:textId="77777777" w:rsidR="00940CD7" w:rsidRPr="006841DA" w:rsidRDefault="00940CD7" w:rsidP="00260F11">
            <w:pPr>
              <w:spacing w:line="360" w:lineRule="auto"/>
              <w:cnfStyle w:val="000000100000" w:firstRow="0" w:lastRow="0" w:firstColumn="0" w:lastColumn="0" w:oddVBand="0" w:evenVBand="0" w:oddHBand="1" w:evenHBand="0" w:firstRowFirstColumn="0" w:firstRowLastColumn="0" w:lastRowFirstColumn="0" w:lastRowLastColumn="0"/>
              <w:rPr>
                <w:b/>
                <w:i/>
                <w:szCs w:val="18"/>
              </w:rPr>
            </w:pPr>
            <w:r w:rsidRPr="006841DA">
              <w:rPr>
                <w:b/>
                <w:i/>
                <w:szCs w:val="18"/>
              </w:rPr>
              <w:t>Sexual Assault</w:t>
            </w:r>
          </w:p>
        </w:tc>
        <w:tc>
          <w:tcPr>
            <w:tcW w:w="2627" w:type="dxa"/>
            <w:shd w:val="clear" w:color="auto" w:fill="A5A5A5" w:themeFill="accent3"/>
          </w:tcPr>
          <w:p w14:paraId="0F1304B5" w14:textId="77777777" w:rsidR="00940CD7" w:rsidRPr="006841DA" w:rsidRDefault="00940CD7" w:rsidP="00260F11">
            <w:pPr>
              <w:spacing w:line="360" w:lineRule="auto"/>
              <w:cnfStyle w:val="000000100000" w:firstRow="0" w:lastRow="0" w:firstColumn="0" w:lastColumn="0" w:oddVBand="0" w:evenVBand="0" w:oddHBand="1" w:evenHBand="0" w:firstRowFirstColumn="0" w:firstRowLastColumn="0" w:lastRowFirstColumn="0" w:lastRowLastColumn="0"/>
              <w:rPr>
                <w:b/>
                <w:i/>
                <w:szCs w:val="18"/>
              </w:rPr>
            </w:pPr>
            <w:r w:rsidRPr="006841DA">
              <w:rPr>
                <w:b/>
                <w:i/>
                <w:szCs w:val="18"/>
              </w:rPr>
              <w:t>CESA (zonder penetratie)</w:t>
            </w:r>
          </w:p>
        </w:tc>
      </w:tr>
      <w:tr w:rsidR="00940CD7" w:rsidRPr="006841DA" w14:paraId="36D1EDDB" w14:textId="77777777" w:rsidTr="00915E8F">
        <w:trPr>
          <w:trHeight w:val="3636"/>
        </w:trPr>
        <w:tc>
          <w:tcPr>
            <w:cnfStyle w:val="001000000000" w:firstRow="0" w:lastRow="0" w:firstColumn="1" w:lastColumn="0" w:oddVBand="0" w:evenVBand="0" w:oddHBand="0" w:evenHBand="0" w:firstRowFirstColumn="0" w:firstRowLastColumn="0" w:lastRowFirstColumn="0" w:lastRowLastColumn="0"/>
            <w:tcW w:w="704" w:type="dxa"/>
            <w:textDirection w:val="btLr"/>
          </w:tcPr>
          <w:p w14:paraId="3BE44993" w14:textId="77777777" w:rsidR="00940CD7" w:rsidRPr="006841DA" w:rsidRDefault="00940CD7" w:rsidP="00260F11">
            <w:pPr>
              <w:spacing w:line="360" w:lineRule="auto"/>
              <w:ind w:left="113" w:right="113"/>
              <w:rPr>
                <w:b w:val="0"/>
                <w:i/>
                <w:szCs w:val="18"/>
              </w:rPr>
            </w:pPr>
            <w:r w:rsidRPr="005F09AD">
              <w:rPr>
                <w:color w:val="000000" w:themeColor="text1"/>
                <w:szCs w:val="18"/>
              </w:rPr>
              <w:t xml:space="preserve">Materiële gedraging </w:t>
            </w:r>
            <w:r w:rsidRPr="005F09AD">
              <w:rPr>
                <w:i/>
                <w:color w:val="000000" w:themeColor="text1"/>
                <w:szCs w:val="18"/>
              </w:rPr>
              <w:t>sensu stricto</w:t>
            </w:r>
          </w:p>
        </w:tc>
        <w:tc>
          <w:tcPr>
            <w:tcW w:w="2977" w:type="dxa"/>
          </w:tcPr>
          <w:p w14:paraId="3FE75F59" w14:textId="77777777" w:rsidR="00940CD7"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seksuele handeling</w:t>
            </w:r>
          </w:p>
          <w:p w14:paraId="2A41B618" w14:textId="77777777" w:rsidR="00940CD7" w:rsidRPr="006841DA" w:rsidRDefault="00940CD7" w:rsidP="00260F11">
            <w:pPr>
              <w:pStyle w:val="ListParagraph"/>
              <w:spacing w:line="360" w:lineRule="auto"/>
              <w:ind w:left="491"/>
              <w:jc w:val="left"/>
              <w:cnfStyle w:val="000000000000" w:firstRow="0" w:lastRow="0" w:firstColumn="0" w:lastColumn="0" w:oddVBand="0" w:evenVBand="0" w:oddHBand="0" w:evenHBand="0" w:firstRowFirstColumn="0" w:firstRowLastColumn="0" w:lastRowFirstColumn="0" w:lastRowLastColumn="0"/>
              <w:rPr>
                <w:szCs w:val="18"/>
              </w:rPr>
            </w:pPr>
          </w:p>
          <w:p w14:paraId="35F38B9D" w14:textId="77777777" w:rsidR="00940CD7" w:rsidRPr="006841DA"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inbreuk op seksuele integriteit</w:t>
            </w:r>
          </w:p>
          <w:p w14:paraId="5B3FD828" w14:textId="77777777" w:rsidR="00940CD7" w:rsidRPr="006841DA"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i/>
                <w:szCs w:val="18"/>
              </w:rPr>
            </w:pPr>
            <w:r>
              <w:rPr>
                <w:i/>
                <w:szCs w:val="18"/>
              </w:rPr>
              <w:t xml:space="preserve">volgens </w:t>
            </w:r>
            <w:r w:rsidRPr="006841DA">
              <w:rPr>
                <w:i/>
                <w:szCs w:val="18"/>
              </w:rPr>
              <w:t>redelijk persoon</w:t>
            </w:r>
          </w:p>
          <w:p w14:paraId="3B54535E" w14:textId="77777777" w:rsidR="00940CD7"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i/>
                <w:szCs w:val="18"/>
              </w:rPr>
            </w:pPr>
            <w:r w:rsidRPr="006841DA">
              <w:rPr>
                <w:i/>
                <w:szCs w:val="18"/>
              </w:rPr>
              <w:t>ernstig</w:t>
            </w:r>
          </w:p>
          <w:p w14:paraId="2D0F1903" w14:textId="77777777" w:rsidR="00940CD7" w:rsidRPr="006841DA" w:rsidRDefault="00940CD7" w:rsidP="00260F11">
            <w:pPr>
              <w:pStyle w:val="ListParagraph"/>
              <w:spacing w:line="360" w:lineRule="auto"/>
              <w:ind w:left="775"/>
              <w:jc w:val="left"/>
              <w:cnfStyle w:val="000000000000" w:firstRow="0" w:lastRow="0" w:firstColumn="0" w:lastColumn="0" w:oddVBand="0" w:evenVBand="0" w:oddHBand="0" w:evenHBand="0" w:firstRowFirstColumn="0" w:firstRowLastColumn="0" w:lastRowFirstColumn="0" w:lastRowLastColumn="0"/>
              <w:rPr>
                <w:i/>
                <w:szCs w:val="18"/>
              </w:rPr>
            </w:pPr>
          </w:p>
          <w:p w14:paraId="373F5617" w14:textId="77777777" w:rsidR="00940CD7" w:rsidRPr="006841DA"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i/>
                <w:szCs w:val="18"/>
              </w:rPr>
            </w:pPr>
            <w:r w:rsidRPr="006841DA">
              <w:rPr>
                <w:i/>
                <w:szCs w:val="18"/>
              </w:rPr>
              <w:t>interactie tussen dader en slachtoffer</w:t>
            </w:r>
          </w:p>
          <w:p w14:paraId="13D68D92" w14:textId="77777777" w:rsidR="00940CD7" w:rsidRPr="009E591E"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sidRPr="006841DA">
              <w:rPr>
                <w:i/>
                <w:szCs w:val="18"/>
              </w:rPr>
              <w:t>niet vereist: lichamelijk contact</w:t>
            </w:r>
          </w:p>
          <w:p w14:paraId="2901CC05" w14:textId="77777777" w:rsidR="00940CD7" w:rsidRPr="006841DA" w:rsidRDefault="00940CD7" w:rsidP="00260F11">
            <w:pPr>
              <w:pStyle w:val="ListParagraph"/>
              <w:spacing w:line="360" w:lineRule="auto"/>
              <w:ind w:left="775"/>
              <w:jc w:val="left"/>
              <w:cnfStyle w:val="000000000000" w:firstRow="0" w:lastRow="0" w:firstColumn="0" w:lastColumn="0" w:oddVBand="0" w:evenVBand="0" w:oddHBand="0" w:evenHBand="0" w:firstRowFirstColumn="0" w:firstRowLastColumn="0" w:lastRowFirstColumn="0" w:lastRowLastColumn="0"/>
              <w:rPr>
                <w:szCs w:val="18"/>
              </w:rPr>
            </w:pPr>
          </w:p>
        </w:tc>
        <w:tc>
          <w:tcPr>
            <w:tcW w:w="2754" w:type="dxa"/>
          </w:tcPr>
          <w:p w14:paraId="44FC9536" w14:textId="77777777" w:rsidR="00940CD7" w:rsidRPr="006841DA"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seksuele aanraking</w:t>
            </w:r>
          </w:p>
          <w:p w14:paraId="28F517B4" w14:textId="77777777" w:rsidR="00940CD7"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i/>
                <w:szCs w:val="18"/>
              </w:rPr>
            </w:pPr>
            <w:r>
              <w:rPr>
                <w:szCs w:val="18"/>
              </w:rPr>
              <w:t>volgens redelijk persoon</w:t>
            </w:r>
          </w:p>
          <w:p w14:paraId="5D9B1B1F" w14:textId="77777777" w:rsidR="00940CD7" w:rsidRPr="00712D2F"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i/>
                <w:szCs w:val="18"/>
              </w:rPr>
            </w:pPr>
            <w:r>
              <w:rPr>
                <w:i/>
                <w:szCs w:val="18"/>
              </w:rPr>
              <w:t>geen vereiste van ernst</w:t>
            </w:r>
          </w:p>
          <w:p w14:paraId="226C6016" w14:textId="77777777" w:rsidR="00940CD7" w:rsidRPr="006841DA" w:rsidRDefault="00940CD7"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tc>
        <w:tc>
          <w:tcPr>
            <w:tcW w:w="2627" w:type="dxa"/>
          </w:tcPr>
          <w:p w14:paraId="32AEEE15" w14:textId="77777777" w:rsidR="00940CD7"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seksuele gedraging</w:t>
            </w:r>
          </w:p>
          <w:p w14:paraId="7BF0570B" w14:textId="77777777" w:rsidR="00940CD7"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i/>
                <w:szCs w:val="18"/>
              </w:rPr>
            </w:pPr>
            <w:r>
              <w:rPr>
                <w:szCs w:val="18"/>
              </w:rPr>
              <w:t>volgens redelijk persoon</w:t>
            </w:r>
          </w:p>
          <w:p w14:paraId="4E4842C5" w14:textId="77777777" w:rsidR="00940CD7" w:rsidRPr="009E591E"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i/>
                <w:szCs w:val="18"/>
              </w:rPr>
            </w:pPr>
            <w:r>
              <w:rPr>
                <w:i/>
                <w:szCs w:val="18"/>
              </w:rPr>
              <w:t>geen vereiste van ernst</w:t>
            </w:r>
          </w:p>
          <w:p w14:paraId="4536707C" w14:textId="77777777" w:rsidR="00940CD7" w:rsidRPr="006841DA"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 xml:space="preserve">waaraan slachtoffer moet deelnemen van de dader </w:t>
            </w:r>
          </w:p>
          <w:p w14:paraId="5486149F" w14:textId="77777777" w:rsidR="00940CD7" w:rsidRPr="006841DA" w:rsidRDefault="00940CD7"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tc>
      </w:tr>
      <w:tr w:rsidR="00940CD7" w:rsidRPr="006841DA" w14:paraId="0884DC29" w14:textId="77777777" w:rsidTr="00915E8F">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704" w:type="dxa"/>
            <w:textDirection w:val="btLr"/>
          </w:tcPr>
          <w:p w14:paraId="2E9EB916" w14:textId="15061FFF" w:rsidR="00940CD7" w:rsidRPr="006841DA" w:rsidRDefault="00940CD7" w:rsidP="00260F11">
            <w:pPr>
              <w:spacing w:line="360" w:lineRule="auto"/>
              <w:ind w:left="113" w:right="113"/>
              <w:rPr>
                <w:b w:val="0"/>
                <w:szCs w:val="18"/>
              </w:rPr>
            </w:pPr>
            <w:r w:rsidRPr="005F09AD">
              <w:rPr>
                <w:color w:val="000000" w:themeColor="text1"/>
                <w:szCs w:val="18"/>
              </w:rPr>
              <w:t>Rol slachtoff</w:t>
            </w:r>
            <w:r w:rsidR="002C0791">
              <w:rPr>
                <w:color w:val="000000" w:themeColor="text1"/>
                <w:szCs w:val="18"/>
              </w:rPr>
              <w:t>e</w:t>
            </w:r>
            <w:r w:rsidRPr="005F09AD">
              <w:rPr>
                <w:color w:val="000000" w:themeColor="text1"/>
                <w:szCs w:val="18"/>
              </w:rPr>
              <w:t>r</w:t>
            </w:r>
          </w:p>
        </w:tc>
        <w:tc>
          <w:tcPr>
            <w:tcW w:w="2977" w:type="dxa"/>
          </w:tcPr>
          <w:p w14:paraId="1A2F4242" w14:textId="77777777" w:rsidR="00940CD7" w:rsidRPr="006841DA" w:rsidRDefault="00940CD7" w:rsidP="00260F11">
            <w:pPr>
              <w:pStyle w:val="ListParagraph"/>
              <w:numPr>
                <w:ilvl w:val="0"/>
                <w:numId w:val="15"/>
              </w:numPr>
              <w:spacing w:line="360" w:lineRule="auto"/>
              <w:ind w:left="491" w:hanging="283"/>
              <w:cnfStyle w:val="000000100000" w:firstRow="0" w:lastRow="0" w:firstColumn="0" w:lastColumn="0" w:oddVBand="0" w:evenVBand="0" w:oddHBand="1" w:evenHBand="0" w:firstRowFirstColumn="0" w:firstRowLastColumn="0" w:lastRowFirstColumn="0" w:lastRowLastColumn="0"/>
              <w:rPr>
                <w:szCs w:val="18"/>
              </w:rPr>
            </w:pPr>
            <w:r w:rsidRPr="006841DA">
              <w:rPr>
                <w:b/>
                <w:szCs w:val="18"/>
              </w:rPr>
              <w:t>op slachtoffer</w:t>
            </w:r>
          </w:p>
          <w:p w14:paraId="220D9979"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szCs w:val="18"/>
              </w:rPr>
            </w:pPr>
            <w:r w:rsidRPr="006841DA">
              <w:rPr>
                <w:szCs w:val="18"/>
              </w:rPr>
              <w:t>door dader</w:t>
            </w:r>
          </w:p>
          <w:p w14:paraId="7EC572F9"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szCs w:val="18"/>
              </w:rPr>
            </w:pPr>
            <w:r w:rsidRPr="006841DA">
              <w:rPr>
                <w:szCs w:val="18"/>
              </w:rPr>
              <w:t>door derde</w:t>
            </w:r>
            <w:r>
              <w:rPr>
                <w:rStyle w:val="FootnoteReference"/>
                <w:szCs w:val="18"/>
              </w:rPr>
              <w:footnoteReference w:id="494"/>
            </w:r>
            <w:r w:rsidRPr="006841DA">
              <w:rPr>
                <w:szCs w:val="18"/>
              </w:rPr>
              <w:t xml:space="preserve"> </w:t>
            </w:r>
          </w:p>
          <w:p w14:paraId="77D8A740" w14:textId="77777777" w:rsidR="00940CD7"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szCs w:val="18"/>
              </w:rPr>
            </w:pPr>
            <w:r w:rsidRPr="00B61008">
              <w:rPr>
                <w:szCs w:val="18"/>
              </w:rPr>
              <w:t>door zichzelf</w:t>
            </w:r>
            <w:r>
              <w:rPr>
                <w:rStyle w:val="FootnoteReference"/>
                <w:color w:val="000000" w:themeColor="text1"/>
                <w:szCs w:val="18"/>
              </w:rPr>
              <w:footnoteReference w:id="495"/>
            </w:r>
          </w:p>
          <w:p w14:paraId="4D953890" w14:textId="77777777" w:rsidR="00940CD7" w:rsidRPr="00B61008" w:rsidRDefault="00940CD7" w:rsidP="00260F11">
            <w:pPr>
              <w:pStyle w:val="ListParagraph"/>
              <w:spacing w:line="360" w:lineRule="auto"/>
              <w:ind w:left="775"/>
              <w:cnfStyle w:val="000000100000" w:firstRow="0" w:lastRow="0" w:firstColumn="0" w:lastColumn="0" w:oddVBand="0" w:evenVBand="0" w:oddHBand="1" w:evenHBand="0" w:firstRowFirstColumn="0" w:firstRowLastColumn="0" w:lastRowFirstColumn="0" w:lastRowLastColumn="0"/>
              <w:rPr>
                <w:szCs w:val="18"/>
              </w:rPr>
            </w:pPr>
          </w:p>
          <w:p w14:paraId="70A7BEF5" w14:textId="77777777" w:rsidR="00940CD7" w:rsidRPr="006841DA" w:rsidRDefault="00940CD7" w:rsidP="00260F11">
            <w:pPr>
              <w:pStyle w:val="ListParagraph"/>
              <w:numPr>
                <w:ilvl w:val="0"/>
                <w:numId w:val="15"/>
              </w:numPr>
              <w:spacing w:line="360" w:lineRule="auto"/>
              <w:ind w:left="491" w:hanging="283"/>
              <w:cnfStyle w:val="000000100000" w:firstRow="0" w:lastRow="0" w:firstColumn="0" w:lastColumn="0" w:oddVBand="0" w:evenVBand="0" w:oddHBand="1" w:evenHBand="0" w:firstRowFirstColumn="0" w:firstRowLastColumn="0" w:lastRowFirstColumn="0" w:lastRowLastColumn="0"/>
              <w:rPr>
                <w:b/>
                <w:szCs w:val="18"/>
              </w:rPr>
            </w:pPr>
            <w:r w:rsidRPr="006841DA">
              <w:rPr>
                <w:b/>
                <w:szCs w:val="18"/>
              </w:rPr>
              <w:lastRenderedPageBreak/>
              <w:t>door slachtoffer</w:t>
            </w:r>
          </w:p>
          <w:p w14:paraId="6E55A441"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szCs w:val="18"/>
              </w:rPr>
            </w:pPr>
            <w:r w:rsidRPr="006841DA">
              <w:rPr>
                <w:szCs w:val="18"/>
              </w:rPr>
              <w:t>op dader</w:t>
            </w:r>
            <w:r>
              <w:rPr>
                <w:rStyle w:val="FootnoteReference"/>
                <w:color w:val="000000" w:themeColor="text1"/>
                <w:szCs w:val="18"/>
              </w:rPr>
              <w:footnoteReference w:id="496"/>
            </w:r>
          </w:p>
          <w:p w14:paraId="668B3724"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szCs w:val="18"/>
              </w:rPr>
            </w:pPr>
            <w:r w:rsidRPr="006841DA">
              <w:rPr>
                <w:szCs w:val="18"/>
              </w:rPr>
              <w:t>op derde</w:t>
            </w:r>
            <w:r>
              <w:rPr>
                <w:rStyle w:val="FootnoteReference"/>
                <w:color w:val="000000" w:themeColor="text1"/>
                <w:szCs w:val="18"/>
              </w:rPr>
              <w:footnoteReference w:id="497"/>
            </w:r>
          </w:p>
          <w:p w14:paraId="05CF3EB7" w14:textId="77777777" w:rsidR="00940CD7" w:rsidRPr="006841DA" w:rsidRDefault="00940CD7"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tc>
        <w:tc>
          <w:tcPr>
            <w:tcW w:w="2754" w:type="dxa"/>
          </w:tcPr>
          <w:p w14:paraId="7AA5B5C3" w14:textId="77777777" w:rsidR="00940CD7" w:rsidRPr="006841DA" w:rsidRDefault="00940CD7" w:rsidP="00260F11">
            <w:pPr>
              <w:pStyle w:val="ListParagraph"/>
              <w:numPr>
                <w:ilvl w:val="0"/>
                <w:numId w:val="15"/>
              </w:numPr>
              <w:spacing w:line="360" w:lineRule="auto"/>
              <w:ind w:left="491" w:hanging="283"/>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b/>
                <w:color w:val="000000" w:themeColor="text1"/>
                <w:szCs w:val="18"/>
              </w:rPr>
              <w:lastRenderedPageBreak/>
              <w:t>op slachtoffer</w:t>
            </w:r>
          </w:p>
          <w:p w14:paraId="423AFE63"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color w:val="000000" w:themeColor="text1"/>
                <w:szCs w:val="18"/>
              </w:rPr>
              <w:t>door dader</w:t>
            </w:r>
          </w:p>
        </w:tc>
        <w:tc>
          <w:tcPr>
            <w:tcW w:w="2627" w:type="dxa"/>
          </w:tcPr>
          <w:p w14:paraId="6C3E023D" w14:textId="77777777" w:rsidR="00940CD7" w:rsidRPr="006841DA" w:rsidRDefault="00940CD7" w:rsidP="00260F11">
            <w:pPr>
              <w:pStyle w:val="ListParagraph"/>
              <w:numPr>
                <w:ilvl w:val="0"/>
                <w:numId w:val="15"/>
              </w:numPr>
              <w:spacing w:line="360" w:lineRule="auto"/>
              <w:ind w:left="491" w:hanging="283"/>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b/>
                <w:color w:val="000000" w:themeColor="text1"/>
                <w:szCs w:val="18"/>
              </w:rPr>
              <w:t>op slachtoffer</w:t>
            </w:r>
          </w:p>
          <w:p w14:paraId="21E8DC0B"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color w:val="000000" w:themeColor="text1"/>
                <w:szCs w:val="18"/>
              </w:rPr>
              <w:t>door derde</w:t>
            </w:r>
            <w:r>
              <w:rPr>
                <w:rStyle w:val="FootnoteReference"/>
                <w:color w:val="000000" w:themeColor="text1"/>
                <w:szCs w:val="18"/>
              </w:rPr>
              <w:footnoteReference w:id="498"/>
            </w:r>
          </w:p>
          <w:p w14:paraId="7D4E4B76"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color w:val="000000" w:themeColor="text1"/>
                <w:szCs w:val="18"/>
              </w:rPr>
              <w:t>door zichzelf</w:t>
            </w:r>
            <w:r>
              <w:rPr>
                <w:rStyle w:val="FootnoteReference"/>
                <w:color w:val="000000" w:themeColor="text1"/>
                <w:szCs w:val="18"/>
              </w:rPr>
              <w:footnoteReference w:id="499"/>
            </w:r>
          </w:p>
          <w:p w14:paraId="3FB1FA48" w14:textId="021215AA" w:rsidR="00940CD7" w:rsidRDefault="00940CD7" w:rsidP="00260F11">
            <w:pPr>
              <w:pStyle w:val="ListParagraph"/>
              <w:spacing w:line="360" w:lineRule="auto"/>
              <w:ind w:left="775"/>
              <w:cnfStyle w:val="000000100000" w:firstRow="0" w:lastRow="0" w:firstColumn="0" w:lastColumn="0" w:oddVBand="0" w:evenVBand="0" w:oddHBand="1" w:evenHBand="0" w:firstRowFirstColumn="0" w:firstRowLastColumn="0" w:lastRowFirstColumn="0" w:lastRowLastColumn="0"/>
              <w:rPr>
                <w:color w:val="000000" w:themeColor="text1"/>
                <w:szCs w:val="18"/>
              </w:rPr>
            </w:pPr>
          </w:p>
          <w:p w14:paraId="0AD5D2BC" w14:textId="77777777" w:rsidR="00940CD7" w:rsidRPr="006841DA" w:rsidRDefault="00940CD7" w:rsidP="00260F11">
            <w:pPr>
              <w:pStyle w:val="ListParagraph"/>
              <w:spacing w:line="360" w:lineRule="auto"/>
              <w:ind w:left="775"/>
              <w:cnfStyle w:val="000000100000" w:firstRow="0" w:lastRow="0" w:firstColumn="0" w:lastColumn="0" w:oddVBand="0" w:evenVBand="0" w:oddHBand="1" w:evenHBand="0" w:firstRowFirstColumn="0" w:firstRowLastColumn="0" w:lastRowFirstColumn="0" w:lastRowLastColumn="0"/>
              <w:rPr>
                <w:color w:val="000000" w:themeColor="text1"/>
                <w:szCs w:val="18"/>
              </w:rPr>
            </w:pPr>
          </w:p>
          <w:p w14:paraId="29DB8548" w14:textId="77777777" w:rsidR="00940CD7" w:rsidRPr="006841DA" w:rsidRDefault="00940CD7" w:rsidP="00260F11">
            <w:pPr>
              <w:pStyle w:val="ListParagraph"/>
              <w:numPr>
                <w:ilvl w:val="0"/>
                <w:numId w:val="15"/>
              </w:numPr>
              <w:spacing w:line="360" w:lineRule="auto"/>
              <w:ind w:left="491" w:hanging="283"/>
              <w:cnfStyle w:val="000000100000" w:firstRow="0" w:lastRow="0" w:firstColumn="0" w:lastColumn="0" w:oddVBand="0" w:evenVBand="0" w:oddHBand="1" w:evenHBand="0" w:firstRowFirstColumn="0" w:firstRowLastColumn="0" w:lastRowFirstColumn="0" w:lastRowLastColumn="0"/>
              <w:rPr>
                <w:b/>
                <w:color w:val="000000" w:themeColor="text1"/>
                <w:szCs w:val="18"/>
              </w:rPr>
            </w:pPr>
            <w:r w:rsidRPr="006841DA">
              <w:rPr>
                <w:b/>
                <w:color w:val="000000" w:themeColor="text1"/>
                <w:szCs w:val="18"/>
              </w:rPr>
              <w:lastRenderedPageBreak/>
              <w:t>door slachtoffer</w:t>
            </w:r>
          </w:p>
          <w:p w14:paraId="6594EEED"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color w:val="000000" w:themeColor="text1"/>
                <w:szCs w:val="18"/>
              </w:rPr>
              <w:t>op dader</w:t>
            </w:r>
            <w:r>
              <w:rPr>
                <w:rStyle w:val="FootnoteReference"/>
                <w:color w:val="000000" w:themeColor="text1"/>
                <w:szCs w:val="18"/>
              </w:rPr>
              <w:footnoteReference w:id="500"/>
            </w:r>
          </w:p>
          <w:p w14:paraId="1D9ED6C9" w14:textId="77777777" w:rsidR="00940CD7" w:rsidRPr="006841DA" w:rsidRDefault="00940CD7" w:rsidP="00260F11">
            <w:pPr>
              <w:pStyle w:val="ListParagraph"/>
              <w:numPr>
                <w:ilvl w:val="1"/>
                <w:numId w:val="15"/>
              </w:numPr>
              <w:spacing w:line="360" w:lineRule="auto"/>
              <w:ind w:left="775" w:hanging="284"/>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color w:val="000000" w:themeColor="text1"/>
                <w:szCs w:val="18"/>
              </w:rPr>
              <w:t>op derde</w:t>
            </w:r>
            <w:r>
              <w:rPr>
                <w:rStyle w:val="FootnoteReference"/>
                <w:color w:val="000000" w:themeColor="text1"/>
                <w:szCs w:val="18"/>
              </w:rPr>
              <w:footnoteReference w:id="501"/>
            </w:r>
          </w:p>
          <w:p w14:paraId="71A2AAF1" w14:textId="77777777" w:rsidR="00940CD7" w:rsidRPr="006841DA" w:rsidRDefault="00940CD7"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tc>
      </w:tr>
      <w:tr w:rsidR="00940CD7" w:rsidRPr="006841DA" w14:paraId="36D3B181" w14:textId="77777777" w:rsidTr="00915E8F">
        <w:trPr>
          <w:trHeight w:val="1134"/>
        </w:trPr>
        <w:tc>
          <w:tcPr>
            <w:cnfStyle w:val="001000000000" w:firstRow="0" w:lastRow="0" w:firstColumn="1" w:lastColumn="0" w:oddVBand="0" w:evenVBand="0" w:oddHBand="0" w:evenHBand="0" w:firstRowFirstColumn="0" w:firstRowLastColumn="0" w:lastRowFirstColumn="0" w:lastRowLastColumn="0"/>
            <w:tcW w:w="704" w:type="dxa"/>
            <w:textDirection w:val="btLr"/>
          </w:tcPr>
          <w:p w14:paraId="6BFEC711" w14:textId="77777777" w:rsidR="00940CD7" w:rsidRPr="006841DA" w:rsidRDefault="00940CD7" w:rsidP="00260F11">
            <w:pPr>
              <w:spacing w:line="360" w:lineRule="auto"/>
              <w:ind w:left="113" w:right="113"/>
              <w:rPr>
                <w:b w:val="0"/>
                <w:szCs w:val="18"/>
              </w:rPr>
            </w:pPr>
            <w:r w:rsidRPr="005F09AD">
              <w:rPr>
                <w:color w:val="000000" w:themeColor="text1"/>
                <w:szCs w:val="18"/>
              </w:rPr>
              <w:lastRenderedPageBreak/>
              <w:t>Zonder geldige toestemming</w:t>
            </w:r>
          </w:p>
        </w:tc>
        <w:tc>
          <w:tcPr>
            <w:tcW w:w="2977" w:type="dxa"/>
          </w:tcPr>
          <w:p w14:paraId="2827BD88" w14:textId="77777777" w:rsidR="00940CD7" w:rsidRPr="006841DA"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szCs w:val="18"/>
              </w:rPr>
            </w:pPr>
            <w:r w:rsidRPr="006841DA">
              <w:rPr>
                <w:b/>
                <w:szCs w:val="18"/>
              </w:rPr>
              <w:t xml:space="preserve">Welbepaalde minderjarige leeftijd slachtoffer </w:t>
            </w:r>
          </w:p>
          <w:p w14:paraId="179EC2AE" w14:textId="77777777" w:rsidR="00940CD7" w:rsidRPr="006841DA"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Minzestienjarigen kunnen in beginsel niet toestemmen</w:t>
            </w:r>
          </w:p>
          <w:p w14:paraId="409F507F" w14:textId="77777777" w:rsidR="00940CD7" w:rsidRPr="006841DA"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 xml:space="preserve">Maar: uitzonderingen in art. </w:t>
            </w:r>
            <w:r w:rsidRPr="006841DA">
              <w:rPr>
                <w:color w:val="000000" w:themeColor="text1"/>
                <w:szCs w:val="18"/>
              </w:rPr>
              <w:t>417/6 Sw</w:t>
            </w:r>
          </w:p>
          <w:p w14:paraId="3ADFF652" w14:textId="77777777" w:rsidR="00940CD7" w:rsidRPr="006841DA" w:rsidRDefault="00940CD7"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3CF98DFE" w14:textId="77777777" w:rsidR="00940CD7"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b/>
                <w:szCs w:val="18"/>
              </w:rPr>
            </w:pPr>
            <w:r w:rsidRPr="006841DA">
              <w:rPr>
                <w:b/>
                <w:szCs w:val="18"/>
              </w:rPr>
              <w:t xml:space="preserve">Slachtoffer heeft niet toegestemd </w:t>
            </w:r>
          </w:p>
          <w:p w14:paraId="4CC919D2" w14:textId="77777777" w:rsidR="00940CD7"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Pr>
                <w:szCs w:val="18"/>
              </w:rPr>
              <w:t>Exemplatieve lijst waaruit afwezigheid toestemming kan blijken</w:t>
            </w:r>
          </w:p>
          <w:p w14:paraId="59F0713E" w14:textId="77777777" w:rsidR="00940CD7"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Pr>
                <w:szCs w:val="18"/>
              </w:rPr>
              <w:t>Definitie toestemming</w:t>
            </w:r>
          </w:p>
          <w:p w14:paraId="78353D33" w14:textId="77777777" w:rsidR="00940CD7" w:rsidRPr="0028737B" w:rsidRDefault="00940CD7" w:rsidP="00260F11">
            <w:pPr>
              <w:pStyle w:val="ListParagraph"/>
              <w:spacing w:line="360" w:lineRule="auto"/>
              <w:ind w:left="775"/>
              <w:jc w:val="left"/>
              <w:cnfStyle w:val="000000000000" w:firstRow="0" w:lastRow="0" w:firstColumn="0" w:lastColumn="0" w:oddVBand="0" w:evenVBand="0" w:oddHBand="0" w:evenHBand="0" w:firstRowFirstColumn="0" w:firstRowLastColumn="0" w:lastRowFirstColumn="0" w:lastRowLastColumn="0"/>
              <w:rPr>
                <w:szCs w:val="18"/>
              </w:rPr>
            </w:pPr>
          </w:p>
        </w:tc>
        <w:tc>
          <w:tcPr>
            <w:tcW w:w="5381" w:type="dxa"/>
            <w:gridSpan w:val="2"/>
          </w:tcPr>
          <w:p w14:paraId="2D79BA06" w14:textId="77777777" w:rsidR="00940CD7" w:rsidRPr="006841DA"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szCs w:val="18"/>
              </w:rPr>
            </w:pPr>
            <w:r w:rsidRPr="006841DA">
              <w:rPr>
                <w:b/>
                <w:szCs w:val="18"/>
              </w:rPr>
              <w:t>Welbepaalde minderjarige leeftijd slachtoffer</w:t>
            </w:r>
          </w:p>
          <w:p w14:paraId="31E2529F" w14:textId="77777777" w:rsidR="00940CD7" w:rsidRPr="00017BB9"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017BB9">
              <w:rPr>
                <w:color w:val="000000" w:themeColor="text1"/>
                <w:szCs w:val="18"/>
              </w:rPr>
              <w:t xml:space="preserve">Mindertienjarigen: </w:t>
            </w:r>
            <w:r>
              <w:rPr>
                <w:color w:val="000000" w:themeColor="text1"/>
                <w:szCs w:val="18"/>
              </w:rPr>
              <w:t>kunnen niet toestemmen</w:t>
            </w:r>
          </w:p>
          <w:p w14:paraId="52885A74" w14:textId="77777777" w:rsidR="00940CD7" w:rsidRPr="00017BB9"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017BB9">
              <w:rPr>
                <w:color w:val="000000" w:themeColor="text1"/>
                <w:szCs w:val="18"/>
              </w:rPr>
              <w:t xml:space="preserve">Minzestienjarigen: </w:t>
            </w:r>
            <w:r>
              <w:rPr>
                <w:color w:val="000000" w:themeColor="text1"/>
                <w:szCs w:val="18"/>
              </w:rPr>
              <w:t>kunnen in beginsel niet toestemmen</w:t>
            </w:r>
          </w:p>
          <w:p w14:paraId="5402F2ED" w14:textId="77777777" w:rsidR="00940CD7" w:rsidRPr="00017BB9"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017BB9">
              <w:rPr>
                <w:color w:val="000000" w:themeColor="text1"/>
                <w:szCs w:val="18"/>
              </w:rPr>
              <w:t xml:space="preserve">Minachttienjarigen: </w:t>
            </w:r>
            <w:r>
              <w:rPr>
                <w:color w:val="000000" w:themeColor="text1"/>
                <w:szCs w:val="18"/>
              </w:rPr>
              <w:t>kunnen niet toestemmen</w:t>
            </w:r>
            <w:r w:rsidRPr="00017BB9">
              <w:rPr>
                <w:color w:val="000000" w:themeColor="text1"/>
                <w:szCs w:val="18"/>
              </w:rPr>
              <w:t xml:space="preserve"> i.g.v. bepaalde daderhoedanigheid</w:t>
            </w:r>
          </w:p>
          <w:p w14:paraId="102E3F53" w14:textId="77777777" w:rsidR="00940CD7" w:rsidRPr="00017BB9" w:rsidRDefault="00940CD7"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p>
          <w:p w14:paraId="594002BB" w14:textId="77777777" w:rsidR="00940CD7" w:rsidRPr="006841DA" w:rsidRDefault="00940CD7"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p w14:paraId="07B5A6E4" w14:textId="77777777" w:rsidR="00940CD7" w:rsidRPr="006841DA" w:rsidRDefault="00940CD7"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p w14:paraId="5ED01BF8" w14:textId="77777777" w:rsidR="00940CD7" w:rsidRPr="006841DA" w:rsidRDefault="00940CD7" w:rsidP="00260F11">
            <w:pPr>
              <w:pStyle w:val="ListParagraph"/>
              <w:numPr>
                <w:ilvl w:val="0"/>
                <w:numId w:val="15"/>
              </w:numPr>
              <w:spacing w:line="360" w:lineRule="auto"/>
              <w:ind w:left="491" w:hanging="283"/>
              <w:jc w:val="left"/>
              <w:cnfStyle w:val="000000000000" w:firstRow="0" w:lastRow="0" w:firstColumn="0" w:lastColumn="0" w:oddVBand="0" w:evenVBand="0" w:oddHBand="0" w:evenHBand="0" w:firstRowFirstColumn="0" w:firstRowLastColumn="0" w:lastRowFirstColumn="0" w:lastRowLastColumn="0"/>
              <w:rPr>
                <w:b/>
                <w:szCs w:val="18"/>
              </w:rPr>
            </w:pPr>
            <w:r w:rsidRPr="006841DA">
              <w:rPr>
                <w:b/>
                <w:szCs w:val="18"/>
              </w:rPr>
              <w:t>Slachtoffer heeft niet toegestemd</w:t>
            </w:r>
          </w:p>
          <w:p w14:paraId="70CDDA33" w14:textId="77777777" w:rsidR="00940CD7" w:rsidRPr="006841DA"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Onweerlegbare vermoedens</w:t>
            </w:r>
          </w:p>
          <w:p w14:paraId="2438BFF4" w14:textId="77777777" w:rsidR="00940CD7" w:rsidRPr="006841DA"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Weerlegbare vermoedens</w:t>
            </w:r>
          </w:p>
          <w:p w14:paraId="3028BCFF" w14:textId="77777777" w:rsidR="00940CD7" w:rsidRPr="006841DA" w:rsidRDefault="00940CD7" w:rsidP="00260F11">
            <w:pPr>
              <w:pStyle w:val="ListParagraph"/>
              <w:numPr>
                <w:ilvl w:val="1"/>
                <w:numId w:val="15"/>
              </w:numPr>
              <w:spacing w:line="360" w:lineRule="auto"/>
              <w:ind w:left="775" w:hanging="284"/>
              <w:jc w:val="left"/>
              <w:cnfStyle w:val="000000000000" w:firstRow="0" w:lastRow="0" w:firstColumn="0" w:lastColumn="0" w:oddVBand="0" w:evenVBand="0" w:oddHBand="0" w:evenHBand="0" w:firstRowFirstColumn="0" w:firstRowLastColumn="0" w:lastRowFirstColumn="0" w:lastRowLastColumn="0"/>
              <w:rPr>
                <w:szCs w:val="18"/>
              </w:rPr>
            </w:pPr>
            <w:r w:rsidRPr="006841DA">
              <w:rPr>
                <w:szCs w:val="18"/>
              </w:rPr>
              <w:t>Definitie van toestemming</w:t>
            </w:r>
          </w:p>
          <w:p w14:paraId="25E755CF" w14:textId="77777777" w:rsidR="00940CD7" w:rsidRPr="006841DA" w:rsidRDefault="00940CD7"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tc>
      </w:tr>
      <w:tr w:rsidR="00940CD7" w:rsidRPr="006841DA" w14:paraId="6898AC14" w14:textId="77777777" w:rsidTr="00915E8F">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704" w:type="dxa"/>
            <w:textDirection w:val="btLr"/>
          </w:tcPr>
          <w:p w14:paraId="724D6A64" w14:textId="77777777" w:rsidR="00940CD7" w:rsidRPr="006841DA" w:rsidRDefault="00940CD7" w:rsidP="00260F11">
            <w:pPr>
              <w:spacing w:line="360" w:lineRule="auto"/>
              <w:ind w:left="113" w:right="113"/>
              <w:rPr>
                <w:b w:val="0"/>
                <w:szCs w:val="18"/>
              </w:rPr>
            </w:pPr>
            <w:r w:rsidRPr="005F09AD">
              <w:rPr>
                <w:color w:val="000000" w:themeColor="text1"/>
                <w:szCs w:val="18"/>
              </w:rPr>
              <w:t>Moreel bestanddeel</w:t>
            </w:r>
          </w:p>
        </w:tc>
        <w:tc>
          <w:tcPr>
            <w:tcW w:w="2977" w:type="dxa"/>
          </w:tcPr>
          <w:p w14:paraId="1EF777F0"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r w:rsidRPr="006841DA">
              <w:rPr>
                <w:b/>
                <w:szCs w:val="18"/>
              </w:rPr>
              <w:t xml:space="preserve">M.b.t. de materiële gedraging </w:t>
            </w:r>
            <w:r w:rsidRPr="006841DA">
              <w:rPr>
                <w:b/>
                <w:i/>
                <w:szCs w:val="18"/>
              </w:rPr>
              <w:t>sensu lato</w:t>
            </w:r>
            <w:r w:rsidRPr="006841DA">
              <w:rPr>
                <w:szCs w:val="18"/>
              </w:rPr>
              <w:t>: algemeen opzet</w:t>
            </w:r>
          </w:p>
          <w:p w14:paraId="16C10489"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05D7C727"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41FFCC4E"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0D4D9B77"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5EB918D7"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7DFAD5A1"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r w:rsidRPr="006841DA">
              <w:rPr>
                <w:b/>
                <w:szCs w:val="18"/>
              </w:rPr>
              <w:t>M.b.t. de minderjarige leeftijd</w:t>
            </w:r>
            <w:r w:rsidRPr="006841DA">
              <w:rPr>
                <w:szCs w:val="18"/>
              </w:rPr>
              <w:t>: onachtzaamheid</w:t>
            </w:r>
          </w:p>
        </w:tc>
        <w:tc>
          <w:tcPr>
            <w:tcW w:w="5381" w:type="dxa"/>
            <w:gridSpan w:val="2"/>
          </w:tcPr>
          <w:p w14:paraId="1AE2866A"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r w:rsidRPr="006841DA">
              <w:rPr>
                <w:b/>
                <w:szCs w:val="18"/>
              </w:rPr>
              <w:t xml:space="preserve">M.b.t. de materiële gedraging </w:t>
            </w:r>
            <w:r w:rsidRPr="006841DA">
              <w:rPr>
                <w:b/>
                <w:i/>
                <w:szCs w:val="18"/>
              </w:rPr>
              <w:t>sensu lato</w:t>
            </w:r>
            <w:r w:rsidRPr="006841DA">
              <w:rPr>
                <w:i/>
                <w:szCs w:val="18"/>
              </w:rPr>
              <w:t xml:space="preserve">: </w:t>
            </w:r>
          </w:p>
          <w:p w14:paraId="7F4B4CF9" w14:textId="77777777" w:rsidR="00940CD7" w:rsidRPr="006841DA" w:rsidRDefault="00940CD7" w:rsidP="00260F11">
            <w:pPr>
              <w:pStyle w:val="ListParagraph"/>
              <w:numPr>
                <w:ilvl w:val="0"/>
                <w:numId w:val="15"/>
              </w:numPr>
              <w:spacing w:line="360" w:lineRule="auto"/>
              <w:ind w:left="491" w:hanging="283"/>
              <w:jc w:val="left"/>
              <w:cnfStyle w:val="000000100000" w:firstRow="0" w:lastRow="0" w:firstColumn="0" w:lastColumn="0" w:oddVBand="0" w:evenVBand="0" w:oddHBand="1" w:evenHBand="0" w:firstRowFirstColumn="0" w:firstRowLastColumn="0" w:lastRowFirstColumn="0" w:lastRowLastColumn="0"/>
              <w:rPr>
                <w:szCs w:val="18"/>
              </w:rPr>
            </w:pPr>
            <w:r w:rsidRPr="006841DA">
              <w:rPr>
                <w:szCs w:val="18"/>
              </w:rPr>
              <w:t>Algemeen opzet</w:t>
            </w:r>
          </w:p>
          <w:p w14:paraId="06D4DCB4" w14:textId="77777777" w:rsidR="00940CD7" w:rsidRPr="006841DA" w:rsidRDefault="00940CD7" w:rsidP="00260F11">
            <w:pPr>
              <w:pStyle w:val="ListParagraph"/>
              <w:numPr>
                <w:ilvl w:val="0"/>
                <w:numId w:val="15"/>
              </w:numPr>
              <w:spacing w:line="360" w:lineRule="auto"/>
              <w:ind w:left="491" w:hanging="283"/>
              <w:jc w:val="left"/>
              <w:cnfStyle w:val="000000100000" w:firstRow="0" w:lastRow="0" w:firstColumn="0" w:lastColumn="0" w:oddVBand="0" w:evenVBand="0" w:oddHBand="1" w:evenHBand="0" w:firstRowFirstColumn="0" w:firstRowLastColumn="0" w:lastRowFirstColumn="0" w:lastRowLastColumn="0"/>
              <w:rPr>
                <w:szCs w:val="18"/>
              </w:rPr>
            </w:pPr>
            <w:r w:rsidRPr="006841DA">
              <w:rPr>
                <w:b/>
                <w:szCs w:val="18"/>
              </w:rPr>
              <w:t>Maar m.b.t. afwezigheid van toestemming in hoofde van slachtoffer</w:t>
            </w:r>
            <w:r w:rsidRPr="006841DA">
              <w:rPr>
                <w:szCs w:val="18"/>
              </w:rPr>
              <w:t>: niet strafbaar indien dader redelijkerwijs kon geloven dat slachtoffer instemde.</w:t>
            </w:r>
          </w:p>
          <w:p w14:paraId="2F239CC4" w14:textId="77777777" w:rsidR="00940CD7" w:rsidRPr="006841DA" w:rsidRDefault="00940CD7" w:rsidP="00260F11">
            <w:pPr>
              <w:pStyle w:val="ListParagraph"/>
              <w:numPr>
                <w:ilvl w:val="1"/>
                <w:numId w:val="15"/>
              </w:numPr>
              <w:spacing w:line="360" w:lineRule="auto"/>
              <w:ind w:left="775" w:hanging="284"/>
              <w:jc w:val="left"/>
              <w:cnfStyle w:val="000000100000" w:firstRow="0" w:lastRow="0" w:firstColumn="0" w:lastColumn="0" w:oddVBand="0" w:evenVBand="0" w:oddHBand="1" w:evenHBand="0" w:firstRowFirstColumn="0" w:firstRowLastColumn="0" w:lastRowFirstColumn="0" w:lastRowLastColumn="0"/>
              <w:rPr>
                <w:i/>
                <w:szCs w:val="18"/>
              </w:rPr>
            </w:pPr>
            <w:r w:rsidRPr="006841DA">
              <w:rPr>
                <w:i/>
                <w:szCs w:val="18"/>
              </w:rPr>
              <w:t>onachtzaamheid</w:t>
            </w:r>
          </w:p>
          <w:p w14:paraId="6A92FB7E" w14:textId="77777777" w:rsidR="00940CD7" w:rsidRPr="006841DA"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23C6F27B" w14:textId="77777777" w:rsidR="00940CD7" w:rsidRPr="00C62E45" w:rsidRDefault="00940CD7" w:rsidP="00260F11">
            <w:pPr>
              <w:spacing w:line="360" w:lineRule="auto"/>
              <w:jc w:val="left"/>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6841DA">
              <w:rPr>
                <w:b/>
                <w:szCs w:val="18"/>
              </w:rPr>
              <w:t>M.b</w:t>
            </w:r>
            <w:r w:rsidRPr="00C62E45">
              <w:rPr>
                <w:b/>
                <w:color w:val="000000" w:themeColor="text1"/>
                <w:szCs w:val="18"/>
              </w:rPr>
              <w:t>.t. de leeftijd van het minderjarig slachtoffer</w:t>
            </w:r>
            <w:r w:rsidRPr="00C62E45">
              <w:rPr>
                <w:color w:val="000000" w:themeColor="text1"/>
                <w:szCs w:val="18"/>
              </w:rPr>
              <w:t>:</w:t>
            </w:r>
          </w:p>
          <w:p w14:paraId="22512D21" w14:textId="77777777" w:rsidR="00940CD7" w:rsidRPr="00C62E45" w:rsidRDefault="00940CD7" w:rsidP="00260F11">
            <w:pPr>
              <w:pStyle w:val="ListParagraph"/>
              <w:numPr>
                <w:ilvl w:val="0"/>
                <w:numId w:val="15"/>
              </w:numPr>
              <w:spacing w:line="360" w:lineRule="auto"/>
              <w:ind w:left="491" w:hanging="283"/>
              <w:jc w:val="left"/>
              <w:cnfStyle w:val="000000100000" w:firstRow="0" w:lastRow="0" w:firstColumn="0" w:lastColumn="0" w:oddVBand="0" w:evenVBand="0" w:oddHBand="1" w:evenHBand="0" w:firstRowFirstColumn="0" w:firstRowLastColumn="0" w:lastRowFirstColumn="0" w:lastRowLastColumn="0"/>
              <w:rPr>
                <w:b/>
                <w:color w:val="000000" w:themeColor="text1"/>
                <w:szCs w:val="18"/>
              </w:rPr>
            </w:pPr>
            <w:r w:rsidRPr="00C62E45">
              <w:rPr>
                <w:color w:val="000000" w:themeColor="text1"/>
                <w:szCs w:val="18"/>
              </w:rPr>
              <w:t>Mindertienjarig slachtoffer: s</w:t>
            </w:r>
            <w:r w:rsidRPr="00C62E45">
              <w:rPr>
                <w:i/>
                <w:color w:val="000000" w:themeColor="text1"/>
                <w:szCs w:val="18"/>
              </w:rPr>
              <w:t>trict liability</w:t>
            </w:r>
          </w:p>
          <w:p w14:paraId="1F3D19AA" w14:textId="77777777" w:rsidR="00940CD7" w:rsidRPr="00C62E45" w:rsidRDefault="00940CD7" w:rsidP="00260F11">
            <w:pPr>
              <w:pStyle w:val="ListParagraph"/>
              <w:numPr>
                <w:ilvl w:val="0"/>
                <w:numId w:val="15"/>
              </w:numPr>
              <w:spacing w:line="360" w:lineRule="auto"/>
              <w:ind w:left="491" w:hanging="283"/>
              <w:jc w:val="left"/>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C62E45">
              <w:rPr>
                <w:color w:val="000000" w:themeColor="text1"/>
                <w:szCs w:val="18"/>
              </w:rPr>
              <w:t>Minzestienjarig slachtoffer (&gt;13 jaar): Onachtzaamheid</w:t>
            </w:r>
          </w:p>
          <w:p w14:paraId="060E5DF6" w14:textId="77777777" w:rsidR="00940CD7" w:rsidRPr="00B26AD9" w:rsidRDefault="00940CD7" w:rsidP="00260F11">
            <w:pPr>
              <w:pStyle w:val="ListParagraph"/>
              <w:numPr>
                <w:ilvl w:val="0"/>
                <w:numId w:val="15"/>
              </w:numPr>
              <w:spacing w:line="360" w:lineRule="auto"/>
              <w:ind w:left="491" w:hanging="283"/>
              <w:jc w:val="left"/>
              <w:cnfStyle w:val="000000100000" w:firstRow="0" w:lastRow="0" w:firstColumn="0" w:lastColumn="0" w:oddVBand="0" w:evenVBand="0" w:oddHBand="1" w:evenHBand="0" w:firstRowFirstColumn="0" w:firstRowLastColumn="0" w:lastRowFirstColumn="0" w:lastRowLastColumn="0"/>
              <w:rPr>
                <w:color w:val="000000" w:themeColor="text1"/>
                <w:szCs w:val="18"/>
              </w:rPr>
            </w:pPr>
            <w:r w:rsidRPr="00B26AD9">
              <w:rPr>
                <w:color w:val="000000" w:themeColor="text1"/>
                <w:szCs w:val="18"/>
              </w:rPr>
              <w:t>Minderjarig slachtoffer (i.g.v. bepaalde daderhoedanigheid):</w:t>
            </w:r>
          </w:p>
          <w:p w14:paraId="7037599E" w14:textId="77777777" w:rsidR="00940CD7" w:rsidRPr="00B26AD9" w:rsidRDefault="00940CD7" w:rsidP="00260F11">
            <w:pPr>
              <w:pStyle w:val="ListParagraph"/>
              <w:numPr>
                <w:ilvl w:val="1"/>
                <w:numId w:val="15"/>
              </w:numPr>
              <w:spacing w:line="360" w:lineRule="auto"/>
              <w:ind w:left="775" w:hanging="284"/>
              <w:jc w:val="left"/>
              <w:cnfStyle w:val="000000100000" w:firstRow="0" w:lastRow="0" w:firstColumn="0" w:lastColumn="0" w:oddVBand="0" w:evenVBand="0" w:oddHBand="1" w:evenHBand="0" w:firstRowFirstColumn="0" w:firstRowLastColumn="0" w:lastRowFirstColumn="0" w:lastRowLastColumn="0"/>
              <w:rPr>
                <w:szCs w:val="18"/>
              </w:rPr>
            </w:pPr>
            <w:r w:rsidRPr="00B26AD9">
              <w:rPr>
                <w:szCs w:val="18"/>
              </w:rPr>
              <w:t>Onachtzaamheid</w:t>
            </w:r>
          </w:p>
          <w:p w14:paraId="43F351DF" w14:textId="4BC2F0B9" w:rsidR="00940CD7" w:rsidRPr="00915E8F" w:rsidRDefault="00940CD7" w:rsidP="00260F11">
            <w:pPr>
              <w:pStyle w:val="ListParagraph"/>
              <w:numPr>
                <w:ilvl w:val="1"/>
                <w:numId w:val="15"/>
              </w:numPr>
              <w:spacing w:line="360" w:lineRule="auto"/>
              <w:ind w:left="775" w:hanging="284"/>
              <w:jc w:val="left"/>
              <w:cnfStyle w:val="000000100000" w:firstRow="0" w:lastRow="0" w:firstColumn="0" w:lastColumn="0" w:oddVBand="0" w:evenVBand="0" w:oddHBand="1" w:evenHBand="0" w:firstRowFirstColumn="0" w:firstRowLastColumn="0" w:lastRowFirstColumn="0" w:lastRowLastColumn="0"/>
              <w:rPr>
                <w:i/>
                <w:szCs w:val="18"/>
              </w:rPr>
            </w:pPr>
            <w:r>
              <w:rPr>
                <w:szCs w:val="18"/>
              </w:rPr>
              <w:t xml:space="preserve">Tenzij slachtoffer is mindertienjarige: </w:t>
            </w:r>
            <w:r>
              <w:rPr>
                <w:i/>
                <w:szCs w:val="18"/>
              </w:rPr>
              <w:t>strict liability</w:t>
            </w:r>
          </w:p>
        </w:tc>
      </w:tr>
    </w:tbl>
    <w:p w14:paraId="2261622E" w14:textId="58C54844" w:rsidR="00C928ED" w:rsidRPr="00C928ED" w:rsidRDefault="00E44AAE" w:rsidP="00260F11">
      <w:pPr>
        <w:pStyle w:val="Heading4"/>
        <w:spacing w:line="360" w:lineRule="auto"/>
        <w:rPr>
          <w:lang w:val="nl-NL"/>
        </w:rPr>
      </w:pPr>
      <w:bookmarkStart w:id="64" w:name="_Toc135041093"/>
      <w:r>
        <w:rPr>
          <w:lang w:val="nl-NL"/>
        </w:rPr>
        <w:lastRenderedPageBreak/>
        <w:t>Verkrachting</w:t>
      </w:r>
      <w:bookmarkEnd w:id="64"/>
    </w:p>
    <w:p w14:paraId="5B7A4E58" w14:textId="23239BC4" w:rsidR="006B2ECD" w:rsidRPr="000B4AB2" w:rsidRDefault="006B2ECD" w:rsidP="00260F11">
      <w:pPr>
        <w:spacing w:line="360" w:lineRule="auto"/>
        <w:rPr>
          <w:color w:val="FF0000"/>
          <w:szCs w:val="18"/>
          <w:lang w:val="nl-NL"/>
        </w:rPr>
      </w:pPr>
    </w:p>
    <w:p w14:paraId="2487CFA9" w14:textId="78900D32" w:rsidR="00940CD7" w:rsidRDefault="008E3394"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M.b.t.</w:t>
      </w:r>
      <w:r w:rsidR="00940CD7">
        <w:rPr>
          <w:color w:val="000000" w:themeColor="text1"/>
          <w:szCs w:val="18"/>
          <w:lang w:val="nl-NL"/>
        </w:rPr>
        <w:t xml:space="preserve"> verkrachting – en de daarmee corresponderende misdrijven onder het Brits recht - kunnen de verschillen en gelijkenissen tussen beide rechtsstelsels als volgt worden weergegeven.</w:t>
      </w:r>
    </w:p>
    <w:p w14:paraId="311EAA03" w14:textId="014CC24E" w:rsidR="00A96CD4" w:rsidRDefault="00A96CD4" w:rsidP="00260F11">
      <w:pPr>
        <w:pStyle w:val="ListParagraph"/>
        <w:spacing w:line="360" w:lineRule="auto"/>
        <w:ind w:left="0"/>
        <w:rPr>
          <w:color w:val="FF0000"/>
          <w:szCs w:val="18"/>
          <w:lang w:val="nl-NL"/>
        </w:rPr>
      </w:pPr>
    </w:p>
    <w:tbl>
      <w:tblPr>
        <w:tblStyle w:val="GridTable5Dark-Accent3"/>
        <w:tblW w:w="0" w:type="auto"/>
        <w:tblLook w:val="04A0" w:firstRow="1" w:lastRow="0" w:firstColumn="1" w:lastColumn="0" w:noHBand="0" w:noVBand="1"/>
      </w:tblPr>
      <w:tblGrid>
        <w:gridCol w:w="559"/>
        <w:gridCol w:w="2698"/>
        <w:gridCol w:w="1924"/>
        <w:gridCol w:w="2024"/>
        <w:gridCol w:w="1857"/>
      </w:tblGrid>
      <w:tr w:rsidR="00A96CD4" w:rsidRPr="006841DA" w14:paraId="3F9BBC89" w14:textId="77777777" w:rsidTr="00A921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vMerge w:val="restart"/>
          </w:tcPr>
          <w:p w14:paraId="1142CF49" w14:textId="77777777" w:rsidR="00A96CD4" w:rsidRPr="006841DA" w:rsidRDefault="00A96CD4" w:rsidP="00260F11">
            <w:pPr>
              <w:spacing w:line="360" w:lineRule="auto"/>
              <w:rPr>
                <w:b w:val="0"/>
                <w:szCs w:val="18"/>
              </w:rPr>
            </w:pPr>
          </w:p>
        </w:tc>
        <w:tc>
          <w:tcPr>
            <w:tcW w:w="2731" w:type="dxa"/>
            <w:vMerge w:val="restart"/>
          </w:tcPr>
          <w:p w14:paraId="4B16F0D8" w14:textId="77777777" w:rsidR="00A96CD4" w:rsidRDefault="00A96CD4" w:rsidP="00260F11">
            <w:pPr>
              <w:spacing w:line="360"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szCs w:val="18"/>
              </w:rPr>
            </w:pPr>
          </w:p>
          <w:p w14:paraId="4A2279B1" w14:textId="77777777" w:rsidR="00A96CD4" w:rsidRPr="006841DA" w:rsidRDefault="00A96CD4" w:rsidP="00260F11">
            <w:pPr>
              <w:spacing w:line="360" w:lineRule="auto"/>
              <w:cnfStyle w:val="100000000000" w:firstRow="1" w:lastRow="0" w:firstColumn="0" w:lastColumn="0" w:oddVBand="0" w:evenVBand="0" w:oddHBand="0" w:evenHBand="0" w:firstRowFirstColumn="0" w:firstRowLastColumn="0" w:lastRowFirstColumn="0" w:lastRowLastColumn="0"/>
              <w:rPr>
                <w:b w:val="0"/>
                <w:szCs w:val="18"/>
              </w:rPr>
            </w:pPr>
            <w:r w:rsidRPr="006B0136">
              <w:rPr>
                <w:color w:val="000000" w:themeColor="text1"/>
                <w:szCs w:val="18"/>
              </w:rPr>
              <w:t>België</w:t>
            </w:r>
          </w:p>
        </w:tc>
        <w:tc>
          <w:tcPr>
            <w:tcW w:w="5910" w:type="dxa"/>
            <w:gridSpan w:val="3"/>
          </w:tcPr>
          <w:p w14:paraId="27A3525F" w14:textId="77777777" w:rsidR="00A96CD4" w:rsidRPr="006841DA" w:rsidRDefault="00A96CD4" w:rsidP="00260F11">
            <w:pPr>
              <w:spacing w:line="360" w:lineRule="auto"/>
              <w:cnfStyle w:val="100000000000" w:firstRow="1" w:lastRow="0" w:firstColumn="0" w:lastColumn="0" w:oddVBand="0" w:evenVBand="0" w:oddHBand="0" w:evenHBand="0" w:firstRowFirstColumn="0" w:firstRowLastColumn="0" w:lastRowFirstColumn="0" w:lastRowLastColumn="0"/>
              <w:rPr>
                <w:b w:val="0"/>
                <w:szCs w:val="18"/>
              </w:rPr>
            </w:pPr>
            <w:r w:rsidRPr="006B0136">
              <w:rPr>
                <w:color w:val="000000" w:themeColor="text1"/>
                <w:szCs w:val="18"/>
              </w:rPr>
              <w:t>VK</w:t>
            </w:r>
          </w:p>
        </w:tc>
      </w:tr>
      <w:tr w:rsidR="00A92138" w:rsidRPr="006841DA" w14:paraId="7E584733" w14:textId="77777777" w:rsidTr="00A9213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21" w:type="dxa"/>
            <w:vMerge/>
          </w:tcPr>
          <w:p w14:paraId="549CAC2F" w14:textId="77777777" w:rsidR="00A96CD4" w:rsidRPr="006841DA" w:rsidRDefault="00A96CD4" w:rsidP="00260F11">
            <w:pPr>
              <w:spacing w:line="360" w:lineRule="auto"/>
              <w:rPr>
                <w:b w:val="0"/>
                <w:szCs w:val="18"/>
              </w:rPr>
            </w:pPr>
          </w:p>
        </w:tc>
        <w:tc>
          <w:tcPr>
            <w:tcW w:w="2731" w:type="dxa"/>
            <w:vMerge/>
          </w:tcPr>
          <w:p w14:paraId="19866DCE" w14:textId="77777777" w:rsidR="00A96CD4" w:rsidRPr="006841DA"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tc>
        <w:tc>
          <w:tcPr>
            <w:tcW w:w="1946" w:type="dxa"/>
            <w:shd w:val="clear" w:color="auto" w:fill="A5A5A5" w:themeFill="accent3"/>
          </w:tcPr>
          <w:p w14:paraId="552F2C6F" w14:textId="77777777" w:rsidR="00A96CD4" w:rsidRPr="006841DA"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b/>
                <w:i/>
                <w:szCs w:val="18"/>
              </w:rPr>
            </w:pPr>
            <w:r w:rsidRPr="006841DA">
              <w:rPr>
                <w:b/>
                <w:i/>
                <w:szCs w:val="18"/>
              </w:rPr>
              <w:t>Rape</w:t>
            </w:r>
          </w:p>
        </w:tc>
        <w:tc>
          <w:tcPr>
            <w:tcW w:w="2107" w:type="dxa"/>
            <w:shd w:val="clear" w:color="auto" w:fill="A5A5A5" w:themeFill="accent3"/>
          </w:tcPr>
          <w:p w14:paraId="0DC88BCC" w14:textId="77777777" w:rsidR="00A96CD4" w:rsidRPr="006841DA"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b/>
                <w:i/>
                <w:szCs w:val="18"/>
              </w:rPr>
            </w:pPr>
            <w:r w:rsidRPr="006841DA">
              <w:rPr>
                <w:b/>
                <w:i/>
                <w:szCs w:val="18"/>
              </w:rPr>
              <w:t>Assault by penetration</w:t>
            </w:r>
          </w:p>
        </w:tc>
        <w:tc>
          <w:tcPr>
            <w:tcW w:w="1857" w:type="dxa"/>
            <w:shd w:val="clear" w:color="auto" w:fill="A5A5A5" w:themeFill="accent3"/>
          </w:tcPr>
          <w:p w14:paraId="61A7D30B" w14:textId="77777777" w:rsidR="00A96CD4" w:rsidRPr="006841DA"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b/>
                <w:i/>
                <w:szCs w:val="18"/>
              </w:rPr>
            </w:pPr>
            <w:r w:rsidRPr="006841DA">
              <w:rPr>
                <w:b/>
                <w:i/>
                <w:szCs w:val="18"/>
              </w:rPr>
              <w:t>CESA (met penetratie)</w:t>
            </w:r>
          </w:p>
        </w:tc>
      </w:tr>
      <w:tr w:rsidR="00A96CD4" w:rsidRPr="006841DA" w14:paraId="0574920E" w14:textId="77777777" w:rsidTr="009028C5">
        <w:trPr>
          <w:trHeight w:val="833"/>
        </w:trPr>
        <w:tc>
          <w:tcPr>
            <w:cnfStyle w:val="001000000000" w:firstRow="0" w:lastRow="0" w:firstColumn="1" w:lastColumn="0" w:oddVBand="0" w:evenVBand="0" w:oddHBand="0" w:evenHBand="0" w:firstRowFirstColumn="0" w:firstRowLastColumn="0" w:lastRowFirstColumn="0" w:lastRowLastColumn="0"/>
            <w:tcW w:w="421" w:type="dxa"/>
            <w:vMerge w:val="restart"/>
            <w:textDirection w:val="btLr"/>
          </w:tcPr>
          <w:p w14:paraId="1BB0798C" w14:textId="77777777" w:rsidR="00A96CD4" w:rsidRPr="006B0136" w:rsidRDefault="00A96CD4" w:rsidP="00260F11">
            <w:pPr>
              <w:spacing w:line="360" w:lineRule="auto"/>
              <w:ind w:left="113" w:right="113"/>
              <w:rPr>
                <w:b w:val="0"/>
                <w:color w:val="000000" w:themeColor="text1"/>
                <w:szCs w:val="18"/>
              </w:rPr>
            </w:pPr>
            <w:r w:rsidRPr="006B0136">
              <w:rPr>
                <w:color w:val="000000" w:themeColor="text1"/>
                <w:szCs w:val="18"/>
              </w:rPr>
              <w:t xml:space="preserve">Materiële gedraging </w:t>
            </w:r>
            <w:r w:rsidRPr="006B0136">
              <w:rPr>
                <w:i/>
                <w:color w:val="000000" w:themeColor="text1"/>
                <w:szCs w:val="18"/>
              </w:rPr>
              <w:t>sensu stricto</w:t>
            </w:r>
          </w:p>
        </w:tc>
        <w:tc>
          <w:tcPr>
            <w:tcW w:w="2731" w:type="dxa"/>
            <w:vMerge w:val="restart"/>
          </w:tcPr>
          <w:p w14:paraId="5C33B9D0" w14:textId="77777777" w:rsidR="00A96CD4"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F16707">
              <w:rPr>
                <w:szCs w:val="18"/>
              </w:rPr>
              <w:t xml:space="preserve">(mede) bestaand uit </w:t>
            </w:r>
            <w:r w:rsidRPr="006050AB">
              <w:rPr>
                <w:b/>
                <w:szCs w:val="18"/>
              </w:rPr>
              <w:t>penetratie</w:t>
            </w:r>
          </w:p>
          <w:p w14:paraId="476C451E" w14:textId="77777777" w:rsidR="00A96CD4" w:rsidRPr="00F11200" w:rsidRDefault="00A96CD4" w:rsidP="00260F11">
            <w:pPr>
              <w:pStyle w:val="ListParagraph"/>
              <w:numPr>
                <w:ilvl w:val="1"/>
                <w:numId w:val="15"/>
              </w:numPr>
              <w:tabs>
                <w:tab w:val="left" w:pos="332"/>
              </w:tabs>
              <w:spacing w:line="360" w:lineRule="auto"/>
              <w:ind w:left="775" w:hanging="584"/>
              <w:jc w:val="left"/>
              <w:cnfStyle w:val="000000000000" w:firstRow="0" w:lastRow="0" w:firstColumn="0" w:lastColumn="0" w:oddVBand="0" w:evenVBand="0" w:oddHBand="0" w:evenHBand="0" w:firstRowFirstColumn="0" w:firstRowLastColumn="0" w:lastRowFirstColumn="0" w:lastRowLastColumn="0"/>
              <w:rPr>
                <w:szCs w:val="18"/>
              </w:rPr>
            </w:pPr>
            <w:r>
              <w:rPr>
                <w:szCs w:val="18"/>
              </w:rPr>
              <w:t xml:space="preserve"> </w:t>
            </w:r>
            <w:r w:rsidRPr="00F11200">
              <w:rPr>
                <w:szCs w:val="18"/>
              </w:rPr>
              <w:t>Binnendringen</w:t>
            </w:r>
          </w:p>
          <w:p w14:paraId="1FA46099" w14:textId="77777777" w:rsidR="00A96CD4" w:rsidRPr="00B75EE3" w:rsidRDefault="00A96CD4" w:rsidP="00260F11">
            <w:pPr>
              <w:pStyle w:val="ListParagraph"/>
              <w:numPr>
                <w:ilvl w:val="1"/>
                <w:numId w:val="15"/>
              </w:numPr>
              <w:tabs>
                <w:tab w:val="left" w:pos="332"/>
              </w:tabs>
              <w:spacing w:line="360" w:lineRule="auto"/>
              <w:ind w:left="775" w:hanging="584"/>
              <w:jc w:val="left"/>
              <w:cnfStyle w:val="000000000000" w:firstRow="0" w:lastRow="0" w:firstColumn="0" w:lastColumn="0" w:oddVBand="0" w:evenVBand="0" w:oddHBand="0" w:evenHBand="0" w:firstRowFirstColumn="0" w:firstRowLastColumn="0" w:lastRowFirstColumn="0" w:lastRowLastColumn="0"/>
              <w:rPr>
                <w:szCs w:val="18"/>
              </w:rPr>
            </w:pPr>
            <w:r w:rsidRPr="00F11200">
              <w:rPr>
                <w:szCs w:val="18"/>
              </w:rPr>
              <w:t>“Binnenblijven”</w:t>
            </w:r>
          </w:p>
          <w:p w14:paraId="001A991D" w14:textId="77777777" w:rsidR="00A96CD4" w:rsidRPr="00F16707" w:rsidRDefault="00A96CD4" w:rsidP="00260F11">
            <w:pPr>
              <w:pStyle w:val="ListParagraph"/>
              <w:tabs>
                <w:tab w:val="left" w:pos="332"/>
              </w:tabs>
              <w:spacing w:line="360" w:lineRule="auto"/>
              <w:ind w:left="775"/>
              <w:jc w:val="left"/>
              <w:cnfStyle w:val="000000000000" w:firstRow="0" w:lastRow="0" w:firstColumn="0" w:lastColumn="0" w:oddVBand="0" w:evenVBand="0" w:oddHBand="0" w:evenHBand="0" w:firstRowFirstColumn="0" w:firstRowLastColumn="0" w:lastRowFirstColumn="0" w:lastRowLastColumn="0"/>
              <w:rPr>
                <w:szCs w:val="18"/>
              </w:rPr>
            </w:pPr>
          </w:p>
          <w:p w14:paraId="1770A49C" w14:textId="77777777" w:rsidR="00A96CD4"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Pr>
                <w:szCs w:val="18"/>
              </w:rPr>
              <w:t xml:space="preserve">Penetratie met </w:t>
            </w:r>
            <w:r w:rsidRPr="006050AB">
              <w:rPr>
                <w:b/>
                <w:szCs w:val="18"/>
              </w:rPr>
              <w:t>seksueel</w:t>
            </w:r>
            <w:r>
              <w:rPr>
                <w:szCs w:val="18"/>
              </w:rPr>
              <w:t xml:space="preserve"> karakter</w:t>
            </w:r>
          </w:p>
          <w:p w14:paraId="5767BB8E" w14:textId="77777777" w:rsidR="00A96CD4" w:rsidRPr="009F16AA" w:rsidRDefault="00A96CD4" w:rsidP="00260F11">
            <w:pPr>
              <w:pStyle w:val="ListParagraph"/>
              <w:numPr>
                <w:ilvl w:val="1"/>
                <w:numId w:val="15"/>
              </w:numPr>
              <w:tabs>
                <w:tab w:val="left" w:pos="291"/>
              </w:tabs>
              <w:spacing w:line="360" w:lineRule="auto"/>
              <w:ind w:left="433" w:hanging="242"/>
              <w:jc w:val="left"/>
              <w:cnfStyle w:val="000000000000" w:firstRow="0" w:lastRow="0" w:firstColumn="0" w:lastColumn="0" w:oddVBand="0" w:evenVBand="0" w:oddHBand="0" w:evenHBand="0" w:firstRowFirstColumn="0" w:firstRowLastColumn="0" w:lastRowFirstColumn="0" w:lastRowLastColumn="0"/>
              <w:rPr>
                <w:i/>
                <w:szCs w:val="18"/>
              </w:rPr>
            </w:pPr>
            <w:r w:rsidRPr="009F16AA">
              <w:rPr>
                <w:i/>
                <w:szCs w:val="18"/>
              </w:rPr>
              <w:t>Volgens redelijk persoon</w:t>
            </w:r>
          </w:p>
          <w:p w14:paraId="41931859" w14:textId="77777777" w:rsidR="00A96CD4" w:rsidRDefault="00A96CD4" w:rsidP="00260F11">
            <w:pPr>
              <w:pStyle w:val="ListParagraph"/>
              <w:spacing w:line="360" w:lineRule="auto"/>
              <w:ind w:left="191"/>
              <w:jc w:val="left"/>
              <w:cnfStyle w:val="000000000000" w:firstRow="0" w:lastRow="0" w:firstColumn="0" w:lastColumn="0" w:oddVBand="0" w:evenVBand="0" w:oddHBand="0" w:evenHBand="0" w:firstRowFirstColumn="0" w:firstRowLastColumn="0" w:lastRowFirstColumn="0" w:lastRowLastColumn="0"/>
              <w:rPr>
                <w:szCs w:val="18"/>
              </w:rPr>
            </w:pPr>
          </w:p>
          <w:p w14:paraId="4319F19D" w14:textId="77777777" w:rsidR="00A96CD4"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1D69E4">
              <w:rPr>
                <w:szCs w:val="18"/>
              </w:rPr>
              <w:t>Van welke aard ook</w:t>
            </w:r>
            <w:r>
              <w:rPr>
                <w:szCs w:val="18"/>
              </w:rPr>
              <w:t xml:space="preserve"> (vagina/anus/mond/…?)</w:t>
            </w:r>
          </w:p>
          <w:p w14:paraId="5556E15C" w14:textId="77777777" w:rsidR="00A96CD4" w:rsidRDefault="00A96CD4" w:rsidP="00260F11">
            <w:pPr>
              <w:pStyle w:val="ListParagraph"/>
              <w:spacing w:line="360" w:lineRule="auto"/>
              <w:ind w:left="191"/>
              <w:jc w:val="left"/>
              <w:cnfStyle w:val="000000000000" w:firstRow="0" w:lastRow="0" w:firstColumn="0" w:lastColumn="0" w:oddVBand="0" w:evenVBand="0" w:oddHBand="0" w:evenHBand="0" w:firstRowFirstColumn="0" w:firstRowLastColumn="0" w:lastRowFirstColumn="0" w:lastRowLastColumn="0"/>
              <w:rPr>
                <w:szCs w:val="18"/>
              </w:rPr>
            </w:pPr>
          </w:p>
          <w:p w14:paraId="011071A6" w14:textId="77777777" w:rsidR="00A96CD4" w:rsidRPr="00B254AF"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1D69E4">
              <w:rPr>
                <w:szCs w:val="18"/>
              </w:rPr>
              <w:t>Met welk middel ook</w:t>
            </w:r>
            <w:r>
              <w:rPr>
                <w:szCs w:val="18"/>
              </w:rPr>
              <w:t xml:space="preserve"> (penis/ander voorwerp)</w:t>
            </w:r>
          </w:p>
          <w:p w14:paraId="6EE49E01" w14:textId="77777777" w:rsidR="00A96CD4"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tc>
        <w:tc>
          <w:tcPr>
            <w:tcW w:w="5910" w:type="dxa"/>
            <w:gridSpan w:val="3"/>
          </w:tcPr>
          <w:p w14:paraId="538E8F1D" w14:textId="6EBCA972" w:rsidR="00A96CD4" w:rsidRPr="006050AB" w:rsidRDefault="00577D46" w:rsidP="00260F11">
            <w:pPr>
              <w:pStyle w:val="ListParagraph"/>
              <w:numPr>
                <w:ilvl w:val="2"/>
                <w:numId w:val="15"/>
              </w:numPr>
              <w:spacing w:line="360" w:lineRule="auto"/>
              <w:cnfStyle w:val="000000000000" w:firstRow="0" w:lastRow="0" w:firstColumn="0" w:lastColumn="0" w:oddVBand="0" w:evenVBand="0" w:oddHBand="0" w:evenHBand="0" w:firstRowFirstColumn="0" w:firstRowLastColumn="0" w:lastRowFirstColumn="0" w:lastRowLastColumn="0"/>
              <w:rPr>
                <w:b/>
                <w:szCs w:val="18"/>
              </w:rPr>
            </w:pPr>
            <w:r w:rsidRPr="006050AB">
              <w:rPr>
                <w:b/>
                <w:szCs w:val="18"/>
              </w:rPr>
              <w:t>P</w:t>
            </w:r>
            <w:r w:rsidR="00A96CD4" w:rsidRPr="006050AB">
              <w:rPr>
                <w:b/>
                <w:szCs w:val="18"/>
              </w:rPr>
              <w:t>enetratie</w:t>
            </w:r>
            <w:r>
              <w:rPr>
                <w:b/>
                <w:szCs w:val="18"/>
              </w:rPr>
              <w:t>:</w:t>
            </w:r>
          </w:p>
          <w:p w14:paraId="1F152F91" w14:textId="77777777" w:rsidR="00A96CD4" w:rsidRPr="00F11200" w:rsidRDefault="00A96CD4" w:rsidP="00260F11">
            <w:pPr>
              <w:pStyle w:val="ListParagraph"/>
              <w:numPr>
                <w:ilvl w:val="3"/>
                <w:numId w:val="15"/>
              </w:numPr>
              <w:tabs>
                <w:tab w:val="left" w:pos="332"/>
              </w:tabs>
              <w:spacing w:line="360" w:lineRule="auto"/>
              <w:cnfStyle w:val="000000000000" w:firstRow="0" w:lastRow="0" w:firstColumn="0" w:lastColumn="0" w:oddVBand="0" w:evenVBand="0" w:oddHBand="0" w:evenHBand="0" w:firstRowFirstColumn="0" w:firstRowLastColumn="0" w:lastRowFirstColumn="0" w:lastRowLastColumn="0"/>
              <w:rPr>
                <w:szCs w:val="18"/>
              </w:rPr>
            </w:pPr>
            <w:r w:rsidRPr="00F11200">
              <w:rPr>
                <w:szCs w:val="18"/>
              </w:rPr>
              <w:t>Binnendringen</w:t>
            </w:r>
          </w:p>
          <w:p w14:paraId="320F0661" w14:textId="593119A3" w:rsidR="00A96CD4" w:rsidRPr="009028C5" w:rsidRDefault="00A96CD4" w:rsidP="00260F11">
            <w:pPr>
              <w:pStyle w:val="ListParagraph"/>
              <w:numPr>
                <w:ilvl w:val="3"/>
                <w:numId w:val="15"/>
              </w:numPr>
              <w:tabs>
                <w:tab w:val="left" w:pos="332"/>
              </w:tabs>
              <w:spacing w:line="360" w:lineRule="auto"/>
              <w:cnfStyle w:val="000000000000" w:firstRow="0" w:lastRow="0" w:firstColumn="0" w:lastColumn="0" w:oddVBand="0" w:evenVBand="0" w:oddHBand="0" w:evenHBand="0" w:firstRowFirstColumn="0" w:firstRowLastColumn="0" w:lastRowFirstColumn="0" w:lastRowLastColumn="0"/>
              <w:rPr>
                <w:szCs w:val="18"/>
              </w:rPr>
            </w:pPr>
            <w:r w:rsidRPr="00F11200">
              <w:rPr>
                <w:szCs w:val="18"/>
              </w:rPr>
              <w:t>“Binnenblijven”</w:t>
            </w:r>
          </w:p>
        </w:tc>
      </w:tr>
      <w:tr w:rsidR="00A96CD4" w:rsidRPr="006841DA" w14:paraId="5E2628CF" w14:textId="77777777" w:rsidTr="00A92138">
        <w:trPr>
          <w:cnfStyle w:val="000000100000" w:firstRow="0" w:lastRow="0" w:firstColumn="0" w:lastColumn="0" w:oddVBand="0" w:evenVBand="0" w:oddHBand="1" w:evenHBand="0" w:firstRowFirstColumn="0" w:firstRowLastColumn="0" w:lastRowFirstColumn="0" w:lastRowLastColumn="0"/>
          <w:trHeight w:val="3790"/>
        </w:trPr>
        <w:tc>
          <w:tcPr>
            <w:cnfStyle w:val="001000000000" w:firstRow="0" w:lastRow="0" w:firstColumn="1" w:lastColumn="0" w:oddVBand="0" w:evenVBand="0" w:oddHBand="0" w:evenHBand="0" w:firstRowFirstColumn="0" w:firstRowLastColumn="0" w:lastRowFirstColumn="0" w:lastRowLastColumn="0"/>
            <w:tcW w:w="421" w:type="dxa"/>
            <w:vMerge/>
            <w:textDirection w:val="btLr"/>
          </w:tcPr>
          <w:p w14:paraId="6413DC41" w14:textId="77777777" w:rsidR="00A96CD4" w:rsidRPr="006B0136" w:rsidRDefault="00A96CD4" w:rsidP="00260F11">
            <w:pPr>
              <w:spacing w:line="360" w:lineRule="auto"/>
              <w:ind w:left="113" w:right="113"/>
              <w:rPr>
                <w:b w:val="0"/>
                <w:color w:val="000000" w:themeColor="text1"/>
                <w:szCs w:val="18"/>
              </w:rPr>
            </w:pPr>
          </w:p>
        </w:tc>
        <w:tc>
          <w:tcPr>
            <w:tcW w:w="2731" w:type="dxa"/>
            <w:vMerge/>
          </w:tcPr>
          <w:p w14:paraId="68F59A27" w14:textId="77777777" w:rsidR="00A96CD4" w:rsidRPr="006841DA"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tc>
        <w:tc>
          <w:tcPr>
            <w:tcW w:w="1946" w:type="dxa"/>
            <w:shd w:val="clear" w:color="auto" w:fill="EDEDED" w:themeFill="accent3" w:themeFillTint="33"/>
          </w:tcPr>
          <w:p w14:paraId="3127C3A1" w14:textId="77777777" w:rsidR="00A96CD4" w:rsidRDefault="00A96CD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5D88BBD2" w14:textId="77777777" w:rsidR="00A96CD4" w:rsidRPr="006050AB" w:rsidRDefault="00A96CD4" w:rsidP="00260F11">
            <w:pPr>
              <w:pStyle w:val="ListParagraph"/>
              <w:numPr>
                <w:ilvl w:val="0"/>
                <w:numId w:val="15"/>
              </w:numPr>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Pr>
                <w:szCs w:val="18"/>
              </w:rPr>
              <w:t>P</w:t>
            </w:r>
            <w:r w:rsidRPr="00C10D3F">
              <w:rPr>
                <w:szCs w:val="18"/>
              </w:rPr>
              <w:t>enetratie slachtoffer</w:t>
            </w:r>
            <w:r>
              <w:rPr>
                <w:szCs w:val="18"/>
              </w:rPr>
              <w:t xml:space="preserve"> van:</w:t>
            </w:r>
          </w:p>
          <w:p w14:paraId="619A5A4D" w14:textId="77777777" w:rsidR="00A96CD4"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C10D3F">
              <w:rPr>
                <w:szCs w:val="18"/>
              </w:rPr>
              <w:t>Vagina/anus</w:t>
            </w:r>
            <w:r>
              <w:rPr>
                <w:szCs w:val="18"/>
              </w:rPr>
              <w:t>/ mond</w:t>
            </w:r>
            <w:r w:rsidRPr="00C10D3F">
              <w:rPr>
                <w:szCs w:val="18"/>
              </w:rPr>
              <w:t xml:space="preserve"> </w:t>
            </w:r>
          </w:p>
          <w:p w14:paraId="79873534" w14:textId="77777777" w:rsidR="00A96CD4" w:rsidRDefault="00A96CD4" w:rsidP="00260F11">
            <w:pPr>
              <w:pStyle w:val="ListParagraph"/>
              <w:tabs>
                <w:tab w:val="left" w:pos="291"/>
              </w:tabs>
              <w:spacing w:line="360" w:lineRule="auto"/>
              <w:ind w:left="433"/>
              <w:jc w:val="left"/>
              <w:cnfStyle w:val="000000100000" w:firstRow="0" w:lastRow="0" w:firstColumn="0" w:lastColumn="0" w:oddVBand="0" w:evenVBand="0" w:oddHBand="1" w:evenHBand="0" w:firstRowFirstColumn="0" w:firstRowLastColumn="0" w:lastRowFirstColumn="0" w:lastRowLastColumn="0"/>
              <w:rPr>
                <w:szCs w:val="18"/>
              </w:rPr>
            </w:pPr>
          </w:p>
          <w:p w14:paraId="5311080C" w14:textId="25E5F856" w:rsidR="00A96CD4" w:rsidRPr="006050AB" w:rsidRDefault="00A96CD4" w:rsidP="00260F11">
            <w:pPr>
              <w:pStyle w:val="ListParagraph"/>
              <w:numPr>
                <w:ilvl w:val="0"/>
                <w:numId w:val="15"/>
              </w:numPr>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Pr>
                <w:szCs w:val="18"/>
              </w:rPr>
              <w:t>D.m.v. penis</w:t>
            </w:r>
            <w:r w:rsidR="000B4B76">
              <w:rPr>
                <w:szCs w:val="18"/>
              </w:rPr>
              <w:t xml:space="preserve"> (mannelijke dader)</w:t>
            </w:r>
          </w:p>
          <w:p w14:paraId="4F6E8D73" w14:textId="77777777" w:rsidR="00A96CD4" w:rsidRPr="00B75EE3" w:rsidRDefault="00A96CD4" w:rsidP="00260F11">
            <w:pPr>
              <w:tabs>
                <w:tab w:val="left" w:pos="291"/>
              </w:tabs>
              <w:spacing w:line="360" w:lineRule="auto"/>
              <w:cnfStyle w:val="000000100000" w:firstRow="0" w:lastRow="0" w:firstColumn="0" w:lastColumn="0" w:oddVBand="0" w:evenVBand="0" w:oddHBand="1" w:evenHBand="0" w:firstRowFirstColumn="0" w:firstRowLastColumn="0" w:lastRowFirstColumn="0" w:lastRowLastColumn="0"/>
              <w:rPr>
                <w:szCs w:val="18"/>
              </w:rPr>
            </w:pPr>
          </w:p>
        </w:tc>
        <w:tc>
          <w:tcPr>
            <w:tcW w:w="2107" w:type="dxa"/>
            <w:shd w:val="clear" w:color="auto" w:fill="EDEDED" w:themeFill="accent3" w:themeFillTint="33"/>
          </w:tcPr>
          <w:p w14:paraId="5F354D7E" w14:textId="77777777" w:rsidR="00A96CD4" w:rsidRPr="00B75EE3" w:rsidRDefault="00A96CD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1AEAB703" w14:textId="77777777" w:rsidR="00A96CD4" w:rsidRPr="006050AB" w:rsidRDefault="00A96CD4" w:rsidP="00260F11">
            <w:pPr>
              <w:pStyle w:val="ListParagraph"/>
              <w:numPr>
                <w:ilvl w:val="0"/>
                <w:numId w:val="15"/>
              </w:numPr>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Pr>
                <w:szCs w:val="18"/>
              </w:rPr>
              <w:t>P</w:t>
            </w:r>
            <w:r w:rsidRPr="00C10D3F">
              <w:rPr>
                <w:szCs w:val="18"/>
              </w:rPr>
              <w:t>enetratie slachtoffer</w:t>
            </w:r>
            <w:r>
              <w:rPr>
                <w:szCs w:val="18"/>
              </w:rPr>
              <w:t xml:space="preserve"> van:</w:t>
            </w:r>
          </w:p>
          <w:p w14:paraId="397BB892" w14:textId="77777777" w:rsidR="00A96CD4"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C10D3F">
              <w:rPr>
                <w:szCs w:val="18"/>
              </w:rPr>
              <w:t>Vagina/anus</w:t>
            </w:r>
            <w:r>
              <w:rPr>
                <w:szCs w:val="18"/>
              </w:rPr>
              <w:t xml:space="preserve"> </w:t>
            </w:r>
          </w:p>
          <w:p w14:paraId="3AD515C3" w14:textId="77777777" w:rsidR="009028C5" w:rsidRDefault="009028C5" w:rsidP="00260F11">
            <w:pPr>
              <w:tabs>
                <w:tab w:val="left" w:pos="291"/>
              </w:tabs>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76D7D9AE" w14:textId="77777777" w:rsidR="00A96CD4" w:rsidRPr="006050AB" w:rsidRDefault="00A96CD4" w:rsidP="00260F11">
            <w:pPr>
              <w:pStyle w:val="ListParagraph"/>
              <w:numPr>
                <w:ilvl w:val="0"/>
                <w:numId w:val="15"/>
              </w:numPr>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Pr>
                <w:szCs w:val="18"/>
              </w:rPr>
              <w:t>D.m.v. voorwerp/ lichaamsdeel</w:t>
            </w:r>
          </w:p>
          <w:p w14:paraId="51C6D35C" w14:textId="77777777" w:rsidR="00A96CD4" w:rsidRPr="00D7386F" w:rsidRDefault="00A96CD4" w:rsidP="00260F11">
            <w:pPr>
              <w:tabs>
                <w:tab w:val="left" w:pos="291"/>
              </w:tabs>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53A740AB" w14:textId="77777777" w:rsidR="00A96CD4" w:rsidRDefault="00A96CD4" w:rsidP="00260F11">
            <w:pPr>
              <w:pStyle w:val="ListParagraph"/>
              <w:numPr>
                <w:ilvl w:val="0"/>
                <w:numId w:val="15"/>
              </w:numPr>
              <w:tabs>
                <w:tab w:val="left" w:pos="291"/>
              </w:tabs>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Pr>
                <w:szCs w:val="18"/>
              </w:rPr>
              <w:t xml:space="preserve">Penetratie met </w:t>
            </w:r>
            <w:r w:rsidRPr="009F16AA">
              <w:rPr>
                <w:b/>
                <w:szCs w:val="18"/>
              </w:rPr>
              <w:t>seksueel</w:t>
            </w:r>
            <w:r>
              <w:rPr>
                <w:szCs w:val="18"/>
              </w:rPr>
              <w:t xml:space="preserve"> karakter</w:t>
            </w:r>
          </w:p>
          <w:p w14:paraId="19C9607A" w14:textId="6AD7B3F8" w:rsidR="009028C5" w:rsidRPr="009028C5"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9F16AA">
              <w:rPr>
                <w:szCs w:val="18"/>
              </w:rPr>
              <w:t>Volgens redelijk persoon</w:t>
            </w:r>
          </w:p>
        </w:tc>
        <w:tc>
          <w:tcPr>
            <w:tcW w:w="1857" w:type="dxa"/>
            <w:shd w:val="clear" w:color="auto" w:fill="EDEDED" w:themeFill="accent3" w:themeFillTint="33"/>
          </w:tcPr>
          <w:p w14:paraId="5D86ECF4" w14:textId="77777777" w:rsidR="00A96CD4" w:rsidRDefault="00A96CD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1C3D352B" w14:textId="77777777" w:rsidR="00A96CD4" w:rsidRPr="006050AB" w:rsidRDefault="00A96CD4" w:rsidP="00260F11">
            <w:pPr>
              <w:pStyle w:val="ListParagraph"/>
              <w:numPr>
                <w:ilvl w:val="0"/>
                <w:numId w:val="15"/>
              </w:numPr>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Pr>
                <w:szCs w:val="18"/>
              </w:rPr>
              <w:t>P</w:t>
            </w:r>
            <w:r w:rsidRPr="00C10D3F">
              <w:rPr>
                <w:szCs w:val="18"/>
              </w:rPr>
              <w:t>enetratie van</w:t>
            </w:r>
            <w:r>
              <w:rPr>
                <w:szCs w:val="18"/>
              </w:rPr>
              <w:t>/door</w:t>
            </w:r>
            <w:r w:rsidRPr="00C10D3F">
              <w:rPr>
                <w:szCs w:val="18"/>
              </w:rPr>
              <w:t xml:space="preserve"> het slachtoffer</w:t>
            </w:r>
            <w:r>
              <w:rPr>
                <w:szCs w:val="18"/>
              </w:rPr>
              <w:t xml:space="preserve"> van:</w:t>
            </w:r>
          </w:p>
          <w:p w14:paraId="732D7501" w14:textId="77777777" w:rsidR="00A96CD4"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C10D3F">
              <w:rPr>
                <w:szCs w:val="18"/>
              </w:rPr>
              <w:t>Vagina/anus: ongeacht waarmee</w:t>
            </w:r>
          </w:p>
          <w:p w14:paraId="31EEA505" w14:textId="77777777" w:rsidR="00A96CD4"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C10D3F">
              <w:rPr>
                <w:szCs w:val="18"/>
              </w:rPr>
              <w:t>Mond: met penis</w:t>
            </w:r>
          </w:p>
          <w:p w14:paraId="2B3D7BD2" w14:textId="77777777" w:rsidR="00A96CD4" w:rsidRPr="00C10D3F" w:rsidRDefault="00A96CD4" w:rsidP="00260F11">
            <w:pPr>
              <w:tabs>
                <w:tab w:val="left" w:pos="291"/>
              </w:tabs>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29668C6E" w14:textId="41A3C5B7" w:rsidR="00A96CD4" w:rsidRPr="008E3394" w:rsidRDefault="00A96CD4" w:rsidP="00260F11">
            <w:pPr>
              <w:pStyle w:val="ListParagraph"/>
              <w:numPr>
                <w:ilvl w:val="0"/>
                <w:numId w:val="15"/>
              </w:numPr>
              <w:tabs>
                <w:tab w:val="left" w:pos="291"/>
              </w:tabs>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sidRPr="00F16707">
              <w:rPr>
                <w:szCs w:val="18"/>
              </w:rPr>
              <w:t xml:space="preserve">slachtoffer moet </w:t>
            </w:r>
            <w:r>
              <w:rPr>
                <w:szCs w:val="18"/>
              </w:rPr>
              <w:t xml:space="preserve">hieraan </w:t>
            </w:r>
            <w:r w:rsidRPr="00F16707">
              <w:rPr>
                <w:szCs w:val="18"/>
              </w:rPr>
              <w:t>deelnemen van de dader</w:t>
            </w:r>
          </w:p>
        </w:tc>
      </w:tr>
      <w:tr w:rsidR="00A96CD4" w:rsidRPr="006841DA" w14:paraId="3DFC3B15" w14:textId="77777777" w:rsidTr="009028C5">
        <w:trPr>
          <w:trHeight w:val="84"/>
        </w:trPr>
        <w:tc>
          <w:tcPr>
            <w:cnfStyle w:val="001000000000" w:firstRow="0" w:lastRow="0" w:firstColumn="1" w:lastColumn="0" w:oddVBand="0" w:evenVBand="0" w:oddHBand="0" w:evenHBand="0" w:firstRowFirstColumn="0" w:firstRowLastColumn="0" w:lastRowFirstColumn="0" w:lastRowLastColumn="0"/>
            <w:tcW w:w="421" w:type="dxa"/>
            <w:textDirection w:val="btLr"/>
          </w:tcPr>
          <w:p w14:paraId="78F866A9" w14:textId="77777777" w:rsidR="00A96CD4" w:rsidRPr="006B0136" w:rsidRDefault="00A96CD4" w:rsidP="00260F11">
            <w:pPr>
              <w:spacing w:line="360" w:lineRule="auto"/>
              <w:ind w:left="113" w:right="113"/>
              <w:rPr>
                <w:b w:val="0"/>
                <w:color w:val="000000" w:themeColor="text1"/>
                <w:szCs w:val="18"/>
              </w:rPr>
            </w:pPr>
            <w:r w:rsidRPr="006B0136">
              <w:rPr>
                <w:color w:val="000000" w:themeColor="text1"/>
                <w:szCs w:val="18"/>
              </w:rPr>
              <w:t>Rol slachtoffer</w:t>
            </w:r>
          </w:p>
        </w:tc>
        <w:tc>
          <w:tcPr>
            <w:tcW w:w="2731" w:type="dxa"/>
            <w:shd w:val="clear" w:color="auto" w:fill="DBDBDB" w:themeFill="accent3" w:themeFillTint="66"/>
          </w:tcPr>
          <w:p w14:paraId="6C875CF3" w14:textId="77777777" w:rsidR="00A96CD4" w:rsidRPr="003D601B" w:rsidRDefault="00A96CD4" w:rsidP="00260F11">
            <w:pPr>
              <w:pStyle w:val="ListParagraph"/>
              <w:numPr>
                <w:ilvl w:val="0"/>
                <w:numId w:val="15"/>
              </w:numPr>
              <w:spacing w:line="360" w:lineRule="auto"/>
              <w:ind w:left="191" w:hanging="235"/>
              <w:cnfStyle w:val="000000000000" w:firstRow="0" w:lastRow="0" w:firstColumn="0" w:lastColumn="0" w:oddVBand="0" w:evenVBand="0" w:oddHBand="0" w:evenHBand="0" w:firstRowFirstColumn="0" w:firstRowLastColumn="0" w:lastRowFirstColumn="0" w:lastRowLastColumn="0"/>
              <w:rPr>
                <w:szCs w:val="18"/>
              </w:rPr>
            </w:pPr>
            <w:r w:rsidRPr="003D601B">
              <w:rPr>
                <w:b/>
                <w:szCs w:val="18"/>
              </w:rPr>
              <w:t>op slachtoffer</w:t>
            </w:r>
          </w:p>
          <w:p w14:paraId="2005C459" w14:textId="77777777" w:rsidR="00A96CD4" w:rsidRPr="003D601B"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i/>
                <w:szCs w:val="18"/>
              </w:rPr>
            </w:pPr>
            <w:r w:rsidRPr="003D601B">
              <w:rPr>
                <w:szCs w:val="18"/>
              </w:rPr>
              <w:t>door dade</w:t>
            </w:r>
            <w:r>
              <w:rPr>
                <w:szCs w:val="18"/>
              </w:rPr>
              <w:t>r</w:t>
            </w:r>
          </w:p>
          <w:p w14:paraId="184A5DBB" w14:textId="77777777" w:rsidR="00A96CD4" w:rsidRPr="003D601B"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i/>
                <w:szCs w:val="18"/>
              </w:rPr>
            </w:pPr>
            <w:r w:rsidRPr="003D601B">
              <w:rPr>
                <w:szCs w:val="18"/>
              </w:rPr>
              <w:t>door derde</w:t>
            </w:r>
            <w:r>
              <w:rPr>
                <w:rStyle w:val="FootnoteReference"/>
                <w:szCs w:val="18"/>
              </w:rPr>
              <w:footnoteReference w:id="502"/>
            </w:r>
            <w:r w:rsidRPr="003D601B">
              <w:rPr>
                <w:szCs w:val="18"/>
              </w:rPr>
              <w:t xml:space="preserve"> </w:t>
            </w:r>
          </w:p>
          <w:p w14:paraId="77FA88C6" w14:textId="77777777" w:rsidR="00A96CD4" w:rsidRPr="00812CBC"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i/>
                <w:szCs w:val="18"/>
              </w:rPr>
            </w:pPr>
            <w:r w:rsidRPr="003D601B">
              <w:rPr>
                <w:szCs w:val="18"/>
              </w:rPr>
              <w:t>door zichzelf</w:t>
            </w:r>
            <w:r>
              <w:rPr>
                <w:rStyle w:val="FootnoteReference"/>
                <w:color w:val="000000" w:themeColor="text1"/>
                <w:szCs w:val="18"/>
              </w:rPr>
              <w:footnoteReference w:id="503"/>
            </w:r>
          </w:p>
          <w:p w14:paraId="615E1CD2" w14:textId="77777777" w:rsidR="00A96CD4" w:rsidRPr="00812CBC" w:rsidRDefault="00A96CD4" w:rsidP="00260F11">
            <w:pPr>
              <w:tabs>
                <w:tab w:val="left" w:pos="291"/>
              </w:tabs>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72849F18" w14:textId="77777777" w:rsidR="00A96CD4" w:rsidRPr="003D601B" w:rsidRDefault="00A96CD4" w:rsidP="00260F11">
            <w:pPr>
              <w:pStyle w:val="ListParagraph"/>
              <w:numPr>
                <w:ilvl w:val="0"/>
                <w:numId w:val="15"/>
              </w:numPr>
              <w:spacing w:line="360" w:lineRule="auto"/>
              <w:ind w:left="191" w:hanging="235"/>
              <w:cnfStyle w:val="000000000000" w:firstRow="0" w:lastRow="0" w:firstColumn="0" w:lastColumn="0" w:oddVBand="0" w:evenVBand="0" w:oddHBand="0" w:evenHBand="0" w:firstRowFirstColumn="0" w:firstRowLastColumn="0" w:lastRowFirstColumn="0" w:lastRowLastColumn="0"/>
              <w:rPr>
                <w:szCs w:val="18"/>
              </w:rPr>
            </w:pPr>
            <w:r w:rsidRPr="003D601B">
              <w:rPr>
                <w:b/>
                <w:szCs w:val="18"/>
              </w:rPr>
              <w:t>door slachtoffer</w:t>
            </w:r>
          </w:p>
          <w:p w14:paraId="64D850C1" w14:textId="77777777" w:rsidR="00A96CD4" w:rsidRPr="003D601B"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i/>
                <w:szCs w:val="18"/>
              </w:rPr>
            </w:pPr>
            <w:r w:rsidRPr="003D601B">
              <w:rPr>
                <w:szCs w:val="18"/>
              </w:rPr>
              <w:t>op dader</w:t>
            </w:r>
            <w:r>
              <w:rPr>
                <w:rStyle w:val="FootnoteReference"/>
                <w:color w:val="000000" w:themeColor="text1"/>
                <w:szCs w:val="18"/>
              </w:rPr>
              <w:footnoteReference w:id="504"/>
            </w:r>
          </w:p>
          <w:p w14:paraId="599EF1D3" w14:textId="77777777" w:rsidR="00A96CD4" w:rsidRPr="003D601B"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i/>
                <w:szCs w:val="18"/>
              </w:rPr>
            </w:pPr>
            <w:r w:rsidRPr="003D601B">
              <w:rPr>
                <w:szCs w:val="18"/>
              </w:rPr>
              <w:t>op derde</w:t>
            </w:r>
            <w:r>
              <w:rPr>
                <w:rStyle w:val="FootnoteReference"/>
                <w:color w:val="000000" w:themeColor="text1"/>
                <w:szCs w:val="18"/>
              </w:rPr>
              <w:footnoteReference w:id="505"/>
            </w:r>
          </w:p>
          <w:p w14:paraId="41B01334" w14:textId="77777777" w:rsidR="00A96CD4" w:rsidRPr="006841DA"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tc>
        <w:tc>
          <w:tcPr>
            <w:tcW w:w="1946" w:type="dxa"/>
            <w:shd w:val="clear" w:color="auto" w:fill="DBDBDB" w:themeFill="accent3" w:themeFillTint="66"/>
          </w:tcPr>
          <w:p w14:paraId="1ADD8CC8" w14:textId="77777777" w:rsidR="00A96CD4" w:rsidRPr="003D601B" w:rsidRDefault="00A96CD4" w:rsidP="00260F11">
            <w:pPr>
              <w:pStyle w:val="ListParagraph"/>
              <w:numPr>
                <w:ilvl w:val="0"/>
                <w:numId w:val="15"/>
              </w:numPr>
              <w:spacing w:line="360" w:lineRule="auto"/>
              <w:ind w:left="191" w:hanging="235"/>
              <w:cnfStyle w:val="000000000000" w:firstRow="0" w:lastRow="0" w:firstColumn="0" w:lastColumn="0" w:oddVBand="0" w:evenVBand="0" w:oddHBand="0" w:evenHBand="0" w:firstRowFirstColumn="0" w:firstRowLastColumn="0" w:lastRowFirstColumn="0" w:lastRowLastColumn="0"/>
              <w:rPr>
                <w:szCs w:val="18"/>
              </w:rPr>
            </w:pPr>
            <w:r w:rsidRPr="003D601B">
              <w:rPr>
                <w:b/>
                <w:szCs w:val="18"/>
              </w:rPr>
              <w:t>op slachtoffer</w:t>
            </w:r>
          </w:p>
          <w:p w14:paraId="406E94CC" w14:textId="77777777" w:rsidR="00A96CD4" w:rsidRPr="003D601B"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i/>
                <w:szCs w:val="18"/>
              </w:rPr>
            </w:pPr>
            <w:r w:rsidRPr="003D601B">
              <w:rPr>
                <w:szCs w:val="18"/>
              </w:rPr>
              <w:t>door</w:t>
            </w:r>
            <w:r>
              <w:rPr>
                <w:szCs w:val="18"/>
              </w:rPr>
              <w:t xml:space="preserve"> </w:t>
            </w:r>
            <w:r w:rsidRPr="003D601B">
              <w:rPr>
                <w:szCs w:val="18"/>
              </w:rPr>
              <w:t>dade</w:t>
            </w:r>
            <w:r>
              <w:rPr>
                <w:szCs w:val="18"/>
              </w:rPr>
              <w:t>r</w:t>
            </w:r>
          </w:p>
          <w:p w14:paraId="6D4F1C2A" w14:textId="77777777" w:rsidR="00A96CD4"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0EF87118" w14:textId="77777777" w:rsidR="00A96CD4" w:rsidRPr="006841DA"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tc>
        <w:tc>
          <w:tcPr>
            <w:tcW w:w="2107" w:type="dxa"/>
            <w:shd w:val="clear" w:color="auto" w:fill="DBDBDB" w:themeFill="accent3" w:themeFillTint="66"/>
          </w:tcPr>
          <w:p w14:paraId="6C1766AE" w14:textId="77777777" w:rsidR="00A96CD4" w:rsidRPr="003D601B" w:rsidRDefault="00A96CD4" w:rsidP="00260F11">
            <w:pPr>
              <w:pStyle w:val="ListParagraph"/>
              <w:numPr>
                <w:ilvl w:val="0"/>
                <w:numId w:val="15"/>
              </w:numPr>
              <w:spacing w:line="360" w:lineRule="auto"/>
              <w:ind w:left="191" w:hanging="235"/>
              <w:cnfStyle w:val="000000000000" w:firstRow="0" w:lastRow="0" w:firstColumn="0" w:lastColumn="0" w:oddVBand="0" w:evenVBand="0" w:oddHBand="0" w:evenHBand="0" w:firstRowFirstColumn="0" w:firstRowLastColumn="0" w:lastRowFirstColumn="0" w:lastRowLastColumn="0"/>
              <w:rPr>
                <w:szCs w:val="18"/>
              </w:rPr>
            </w:pPr>
            <w:r w:rsidRPr="003D601B">
              <w:rPr>
                <w:b/>
                <w:szCs w:val="18"/>
              </w:rPr>
              <w:t>op slachtoffer</w:t>
            </w:r>
          </w:p>
          <w:p w14:paraId="58CB0D8E" w14:textId="77777777" w:rsidR="00A96CD4" w:rsidRPr="003D601B"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i/>
                <w:szCs w:val="18"/>
              </w:rPr>
            </w:pPr>
            <w:r w:rsidRPr="003D601B">
              <w:rPr>
                <w:szCs w:val="18"/>
              </w:rPr>
              <w:t>door</w:t>
            </w:r>
            <w:r>
              <w:rPr>
                <w:szCs w:val="18"/>
              </w:rPr>
              <w:t xml:space="preserve"> </w:t>
            </w:r>
            <w:r w:rsidRPr="003D601B">
              <w:rPr>
                <w:szCs w:val="18"/>
              </w:rPr>
              <w:t>dade</w:t>
            </w:r>
            <w:r>
              <w:rPr>
                <w:szCs w:val="18"/>
              </w:rPr>
              <w:t>r</w:t>
            </w:r>
          </w:p>
          <w:p w14:paraId="00D3F39B" w14:textId="77777777" w:rsidR="00A96CD4"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5E352DD1" w14:textId="77777777" w:rsidR="00A96CD4"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392B80B8" w14:textId="77777777" w:rsidR="00A96CD4" w:rsidRPr="006841DA"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tc>
        <w:tc>
          <w:tcPr>
            <w:tcW w:w="1857" w:type="dxa"/>
            <w:shd w:val="clear" w:color="auto" w:fill="DBDBDB" w:themeFill="accent3" w:themeFillTint="66"/>
          </w:tcPr>
          <w:p w14:paraId="54F5F752" w14:textId="77777777" w:rsidR="00A96CD4" w:rsidRPr="003D601B" w:rsidRDefault="00A96CD4" w:rsidP="00260F11">
            <w:pPr>
              <w:pStyle w:val="ListParagraph"/>
              <w:numPr>
                <w:ilvl w:val="0"/>
                <w:numId w:val="15"/>
              </w:numPr>
              <w:spacing w:line="360" w:lineRule="auto"/>
              <w:ind w:left="191" w:hanging="235"/>
              <w:cnfStyle w:val="000000000000" w:firstRow="0" w:lastRow="0" w:firstColumn="0" w:lastColumn="0" w:oddVBand="0" w:evenVBand="0" w:oddHBand="0" w:evenHBand="0" w:firstRowFirstColumn="0" w:firstRowLastColumn="0" w:lastRowFirstColumn="0" w:lastRowLastColumn="0"/>
              <w:rPr>
                <w:szCs w:val="18"/>
              </w:rPr>
            </w:pPr>
            <w:r w:rsidRPr="003D601B">
              <w:rPr>
                <w:b/>
                <w:szCs w:val="18"/>
              </w:rPr>
              <w:t>op slachtoffer</w:t>
            </w:r>
          </w:p>
          <w:p w14:paraId="7B1DF4E1" w14:textId="77777777" w:rsidR="00A96CD4" w:rsidRPr="009706DE"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szCs w:val="18"/>
              </w:rPr>
            </w:pPr>
            <w:r w:rsidRPr="009706DE">
              <w:rPr>
                <w:color w:val="000000" w:themeColor="text1"/>
                <w:szCs w:val="18"/>
              </w:rPr>
              <w:t>door derde</w:t>
            </w:r>
            <w:r>
              <w:rPr>
                <w:rStyle w:val="FootnoteReference"/>
                <w:color w:val="000000" w:themeColor="text1"/>
                <w:szCs w:val="18"/>
              </w:rPr>
              <w:footnoteReference w:id="506"/>
            </w:r>
          </w:p>
          <w:p w14:paraId="474851C0" w14:textId="77777777" w:rsidR="00A96CD4" w:rsidRPr="009706DE"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szCs w:val="18"/>
              </w:rPr>
            </w:pPr>
            <w:r w:rsidRPr="009706DE">
              <w:rPr>
                <w:color w:val="000000" w:themeColor="text1"/>
                <w:szCs w:val="18"/>
              </w:rPr>
              <w:t>door zichzelf</w:t>
            </w:r>
            <w:r>
              <w:rPr>
                <w:rStyle w:val="FootnoteReference"/>
                <w:color w:val="000000" w:themeColor="text1"/>
                <w:szCs w:val="18"/>
              </w:rPr>
              <w:footnoteReference w:id="507"/>
            </w:r>
          </w:p>
          <w:p w14:paraId="3C750FE3" w14:textId="77777777" w:rsidR="00A96CD4" w:rsidRPr="009706DE" w:rsidRDefault="00A96CD4" w:rsidP="00260F11">
            <w:pPr>
              <w:tabs>
                <w:tab w:val="left" w:pos="291"/>
              </w:tabs>
              <w:spacing w:line="360" w:lineRule="auto"/>
              <w:ind w:left="191"/>
              <w:cnfStyle w:val="000000000000" w:firstRow="0" w:lastRow="0" w:firstColumn="0" w:lastColumn="0" w:oddVBand="0" w:evenVBand="0" w:oddHBand="0" w:evenHBand="0" w:firstRowFirstColumn="0" w:firstRowLastColumn="0" w:lastRowFirstColumn="0" w:lastRowLastColumn="0"/>
              <w:rPr>
                <w:szCs w:val="18"/>
              </w:rPr>
            </w:pPr>
          </w:p>
          <w:p w14:paraId="71EF48D6" w14:textId="77777777" w:rsidR="00A96CD4" w:rsidRPr="003D601B" w:rsidRDefault="00A96CD4" w:rsidP="00260F11">
            <w:pPr>
              <w:pStyle w:val="ListParagraph"/>
              <w:numPr>
                <w:ilvl w:val="0"/>
                <w:numId w:val="15"/>
              </w:numPr>
              <w:spacing w:line="360" w:lineRule="auto"/>
              <w:ind w:left="191" w:hanging="235"/>
              <w:cnfStyle w:val="000000000000" w:firstRow="0" w:lastRow="0" w:firstColumn="0" w:lastColumn="0" w:oddVBand="0" w:evenVBand="0" w:oddHBand="0" w:evenHBand="0" w:firstRowFirstColumn="0" w:firstRowLastColumn="0" w:lastRowFirstColumn="0" w:lastRowLastColumn="0"/>
              <w:rPr>
                <w:szCs w:val="18"/>
              </w:rPr>
            </w:pPr>
            <w:r w:rsidRPr="003D601B">
              <w:rPr>
                <w:b/>
                <w:szCs w:val="18"/>
              </w:rPr>
              <w:t>door slachtoffer</w:t>
            </w:r>
          </w:p>
          <w:p w14:paraId="03CA1DA0" w14:textId="77777777" w:rsidR="00A96CD4" w:rsidRPr="009706DE"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szCs w:val="18"/>
              </w:rPr>
            </w:pPr>
            <w:r w:rsidRPr="009706DE">
              <w:rPr>
                <w:color w:val="000000" w:themeColor="text1"/>
                <w:szCs w:val="18"/>
              </w:rPr>
              <w:t>op dader</w:t>
            </w:r>
            <w:r>
              <w:rPr>
                <w:rStyle w:val="FootnoteReference"/>
                <w:color w:val="000000" w:themeColor="text1"/>
                <w:szCs w:val="18"/>
              </w:rPr>
              <w:footnoteReference w:id="508"/>
            </w:r>
          </w:p>
          <w:p w14:paraId="7BDF3B8B" w14:textId="77777777" w:rsidR="00A96CD4" w:rsidRPr="009706DE" w:rsidRDefault="00A96CD4" w:rsidP="00260F11">
            <w:pPr>
              <w:pStyle w:val="ListParagraph"/>
              <w:numPr>
                <w:ilvl w:val="1"/>
                <w:numId w:val="15"/>
              </w:numPr>
              <w:tabs>
                <w:tab w:val="left" w:pos="291"/>
              </w:tabs>
              <w:spacing w:line="360" w:lineRule="auto"/>
              <w:ind w:left="433" w:hanging="242"/>
              <w:cnfStyle w:val="000000000000" w:firstRow="0" w:lastRow="0" w:firstColumn="0" w:lastColumn="0" w:oddVBand="0" w:evenVBand="0" w:oddHBand="0" w:evenHBand="0" w:firstRowFirstColumn="0" w:firstRowLastColumn="0" w:lastRowFirstColumn="0" w:lastRowLastColumn="0"/>
              <w:rPr>
                <w:szCs w:val="18"/>
              </w:rPr>
            </w:pPr>
            <w:r w:rsidRPr="009706DE">
              <w:rPr>
                <w:color w:val="000000" w:themeColor="text1"/>
                <w:szCs w:val="18"/>
              </w:rPr>
              <w:t>op derde</w:t>
            </w:r>
            <w:r>
              <w:rPr>
                <w:rStyle w:val="FootnoteReference"/>
                <w:color w:val="000000" w:themeColor="text1"/>
                <w:szCs w:val="18"/>
              </w:rPr>
              <w:footnoteReference w:id="509"/>
            </w:r>
          </w:p>
        </w:tc>
      </w:tr>
      <w:tr w:rsidR="00A96CD4" w:rsidRPr="006841DA" w14:paraId="1F537E8D" w14:textId="77777777" w:rsidTr="0028579E">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421" w:type="dxa"/>
            <w:textDirection w:val="btLr"/>
          </w:tcPr>
          <w:p w14:paraId="10736A93" w14:textId="77777777" w:rsidR="00A96CD4" w:rsidRPr="006841DA" w:rsidRDefault="00A96CD4" w:rsidP="00260F11">
            <w:pPr>
              <w:spacing w:line="360" w:lineRule="auto"/>
              <w:ind w:left="113" w:right="113"/>
              <w:rPr>
                <w:b w:val="0"/>
                <w:szCs w:val="18"/>
              </w:rPr>
            </w:pPr>
            <w:r w:rsidRPr="006B0136">
              <w:rPr>
                <w:color w:val="000000" w:themeColor="text1"/>
                <w:szCs w:val="18"/>
              </w:rPr>
              <w:lastRenderedPageBreak/>
              <w:t>Zonder geldige toestemming</w:t>
            </w:r>
          </w:p>
        </w:tc>
        <w:tc>
          <w:tcPr>
            <w:tcW w:w="2731" w:type="dxa"/>
            <w:shd w:val="clear" w:color="auto" w:fill="EDEDED" w:themeFill="accent3" w:themeFillTint="33"/>
          </w:tcPr>
          <w:p w14:paraId="36CC49FE" w14:textId="77777777" w:rsidR="00A96CD4" w:rsidRPr="00AB2458" w:rsidRDefault="00A96CD4" w:rsidP="00260F11">
            <w:pPr>
              <w:pStyle w:val="ListParagraph"/>
              <w:numPr>
                <w:ilvl w:val="0"/>
                <w:numId w:val="15"/>
              </w:numPr>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sidRPr="00AB2458">
              <w:rPr>
                <w:b/>
                <w:szCs w:val="18"/>
              </w:rPr>
              <w:t xml:space="preserve">Welbepaalde minderjarige leeftijd slachtoffer </w:t>
            </w:r>
          </w:p>
          <w:p w14:paraId="563F5EC7" w14:textId="77777777" w:rsidR="00A96CD4"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AB2458">
              <w:rPr>
                <w:szCs w:val="18"/>
              </w:rPr>
              <w:t>Minzestienjarigen kunnen in beginsel niet toestemmen</w:t>
            </w:r>
          </w:p>
          <w:p w14:paraId="5823D966" w14:textId="77777777" w:rsidR="00A96CD4" w:rsidRPr="00AB2458"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AB2458">
              <w:rPr>
                <w:szCs w:val="18"/>
              </w:rPr>
              <w:t xml:space="preserve">Maar: uitzonderingen in art. </w:t>
            </w:r>
            <w:r w:rsidRPr="00AB2458">
              <w:rPr>
                <w:color w:val="000000" w:themeColor="text1"/>
                <w:szCs w:val="18"/>
              </w:rPr>
              <w:t>417/6 Sw</w:t>
            </w:r>
          </w:p>
          <w:p w14:paraId="7258077A" w14:textId="77777777" w:rsidR="00A96CD4" w:rsidRPr="00AB2458" w:rsidRDefault="00A96CD4" w:rsidP="00260F11">
            <w:pPr>
              <w:tabs>
                <w:tab w:val="left" w:pos="291"/>
              </w:tabs>
              <w:spacing w:line="360" w:lineRule="auto"/>
              <w:ind w:left="191"/>
              <w:jc w:val="left"/>
              <w:cnfStyle w:val="000000100000" w:firstRow="0" w:lastRow="0" w:firstColumn="0" w:lastColumn="0" w:oddVBand="0" w:evenVBand="0" w:oddHBand="1" w:evenHBand="0" w:firstRowFirstColumn="0" w:firstRowLastColumn="0" w:lastRowFirstColumn="0" w:lastRowLastColumn="0"/>
              <w:rPr>
                <w:szCs w:val="18"/>
              </w:rPr>
            </w:pPr>
          </w:p>
          <w:p w14:paraId="3623C2F7" w14:textId="77777777" w:rsidR="00A96CD4" w:rsidRPr="00AB2458" w:rsidRDefault="00A96CD4" w:rsidP="00260F11">
            <w:pPr>
              <w:pStyle w:val="ListParagraph"/>
              <w:numPr>
                <w:ilvl w:val="0"/>
                <w:numId w:val="15"/>
              </w:numPr>
              <w:spacing w:line="360" w:lineRule="auto"/>
              <w:ind w:left="191" w:hanging="235"/>
              <w:jc w:val="left"/>
              <w:cnfStyle w:val="000000100000" w:firstRow="0" w:lastRow="0" w:firstColumn="0" w:lastColumn="0" w:oddVBand="0" w:evenVBand="0" w:oddHBand="1" w:evenHBand="0" w:firstRowFirstColumn="0" w:firstRowLastColumn="0" w:lastRowFirstColumn="0" w:lastRowLastColumn="0"/>
              <w:rPr>
                <w:szCs w:val="18"/>
              </w:rPr>
            </w:pPr>
            <w:r w:rsidRPr="00AB2458">
              <w:rPr>
                <w:b/>
                <w:szCs w:val="18"/>
              </w:rPr>
              <w:t>Slachtoffer heeft niet toegestemd</w:t>
            </w:r>
          </w:p>
          <w:p w14:paraId="14FB4A16" w14:textId="77777777" w:rsidR="00A96CD4"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AB2458">
              <w:rPr>
                <w:szCs w:val="18"/>
              </w:rPr>
              <w:t>Exemplatieve lijst waaruit afwezigheid toestemming kan blijken</w:t>
            </w:r>
          </w:p>
          <w:p w14:paraId="0755E4FE" w14:textId="77777777" w:rsidR="00A96CD4" w:rsidRPr="00AB2458" w:rsidRDefault="00A96CD4" w:rsidP="00260F11">
            <w:pPr>
              <w:pStyle w:val="ListParagraph"/>
              <w:numPr>
                <w:ilvl w:val="1"/>
                <w:numId w:val="15"/>
              </w:numPr>
              <w:tabs>
                <w:tab w:val="left" w:pos="291"/>
              </w:tabs>
              <w:spacing w:line="360" w:lineRule="auto"/>
              <w:ind w:left="433" w:hanging="242"/>
              <w:jc w:val="left"/>
              <w:cnfStyle w:val="000000100000" w:firstRow="0" w:lastRow="0" w:firstColumn="0" w:lastColumn="0" w:oddVBand="0" w:evenVBand="0" w:oddHBand="1" w:evenHBand="0" w:firstRowFirstColumn="0" w:firstRowLastColumn="0" w:lastRowFirstColumn="0" w:lastRowLastColumn="0"/>
              <w:rPr>
                <w:szCs w:val="18"/>
              </w:rPr>
            </w:pPr>
            <w:r w:rsidRPr="00AB2458">
              <w:rPr>
                <w:szCs w:val="18"/>
              </w:rPr>
              <w:t>Definitie toestemming</w:t>
            </w:r>
          </w:p>
          <w:p w14:paraId="053EA431" w14:textId="77777777" w:rsidR="00A96CD4" w:rsidRPr="006841DA" w:rsidRDefault="00A96CD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tc>
        <w:tc>
          <w:tcPr>
            <w:tcW w:w="5910" w:type="dxa"/>
            <w:gridSpan w:val="3"/>
            <w:shd w:val="clear" w:color="auto" w:fill="EDEDED" w:themeFill="accent3" w:themeFillTint="33"/>
          </w:tcPr>
          <w:p w14:paraId="4F2D9CF4" w14:textId="77777777" w:rsidR="00A96CD4" w:rsidRPr="00AB2458" w:rsidRDefault="00A96CD4" w:rsidP="00260F11">
            <w:pPr>
              <w:pStyle w:val="ListParagraph"/>
              <w:numPr>
                <w:ilvl w:val="0"/>
                <w:numId w:val="15"/>
              </w:numPr>
              <w:spacing w:line="360" w:lineRule="auto"/>
              <w:ind w:left="191" w:hanging="235"/>
              <w:cnfStyle w:val="000000100000" w:firstRow="0" w:lastRow="0" w:firstColumn="0" w:lastColumn="0" w:oddVBand="0" w:evenVBand="0" w:oddHBand="1" w:evenHBand="0" w:firstRowFirstColumn="0" w:firstRowLastColumn="0" w:lastRowFirstColumn="0" w:lastRowLastColumn="0"/>
              <w:rPr>
                <w:szCs w:val="18"/>
              </w:rPr>
            </w:pPr>
            <w:r w:rsidRPr="00AB2458">
              <w:rPr>
                <w:b/>
                <w:szCs w:val="18"/>
              </w:rPr>
              <w:t xml:space="preserve">Welbepaalde minderjarige leeftijd slachtoffer </w:t>
            </w:r>
          </w:p>
          <w:p w14:paraId="23EB1C7A" w14:textId="77777777" w:rsidR="00A96CD4" w:rsidRPr="00AB2458" w:rsidRDefault="00A96CD4" w:rsidP="00260F11">
            <w:pPr>
              <w:pStyle w:val="ListParagraph"/>
              <w:numPr>
                <w:ilvl w:val="1"/>
                <w:numId w:val="15"/>
              </w:numPr>
              <w:tabs>
                <w:tab w:val="left" w:pos="291"/>
              </w:tabs>
              <w:spacing w:line="360" w:lineRule="auto"/>
              <w:ind w:left="433" w:hanging="242"/>
              <w:cnfStyle w:val="000000100000" w:firstRow="0" w:lastRow="0" w:firstColumn="0" w:lastColumn="0" w:oddVBand="0" w:evenVBand="0" w:oddHBand="1" w:evenHBand="0" w:firstRowFirstColumn="0" w:firstRowLastColumn="0" w:lastRowFirstColumn="0" w:lastRowLastColumn="0"/>
              <w:rPr>
                <w:szCs w:val="18"/>
              </w:rPr>
            </w:pPr>
            <w:r w:rsidRPr="00AB2458">
              <w:rPr>
                <w:color w:val="000000" w:themeColor="text1"/>
                <w:szCs w:val="18"/>
              </w:rPr>
              <w:t>Mindertienjarigen: kunnen niet toestemmen</w:t>
            </w:r>
          </w:p>
          <w:p w14:paraId="0DB03403" w14:textId="77777777" w:rsidR="00A96CD4" w:rsidRPr="00AB2458" w:rsidRDefault="00A96CD4" w:rsidP="00260F11">
            <w:pPr>
              <w:pStyle w:val="ListParagraph"/>
              <w:numPr>
                <w:ilvl w:val="1"/>
                <w:numId w:val="15"/>
              </w:numPr>
              <w:tabs>
                <w:tab w:val="left" w:pos="291"/>
              </w:tabs>
              <w:spacing w:line="360" w:lineRule="auto"/>
              <w:ind w:left="433" w:hanging="242"/>
              <w:cnfStyle w:val="000000100000" w:firstRow="0" w:lastRow="0" w:firstColumn="0" w:lastColumn="0" w:oddVBand="0" w:evenVBand="0" w:oddHBand="1" w:evenHBand="0" w:firstRowFirstColumn="0" w:firstRowLastColumn="0" w:lastRowFirstColumn="0" w:lastRowLastColumn="0"/>
              <w:rPr>
                <w:szCs w:val="18"/>
              </w:rPr>
            </w:pPr>
            <w:r w:rsidRPr="00AB2458">
              <w:rPr>
                <w:color w:val="000000" w:themeColor="text1"/>
                <w:szCs w:val="18"/>
              </w:rPr>
              <w:t>Minzestienjarigen: kunnen in beginsel niet toestemmen</w:t>
            </w:r>
          </w:p>
          <w:p w14:paraId="3BC819B4" w14:textId="77777777" w:rsidR="00A96CD4" w:rsidRPr="00AB2458" w:rsidRDefault="00A96CD4" w:rsidP="00260F11">
            <w:pPr>
              <w:pStyle w:val="ListParagraph"/>
              <w:numPr>
                <w:ilvl w:val="1"/>
                <w:numId w:val="15"/>
              </w:numPr>
              <w:tabs>
                <w:tab w:val="left" w:pos="291"/>
              </w:tabs>
              <w:spacing w:line="360" w:lineRule="auto"/>
              <w:ind w:left="433" w:hanging="242"/>
              <w:cnfStyle w:val="000000100000" w:firstRow="0" w:lastRow="0" w:firstColumn="0" w:lastColumn="0" w:oddVBand="0" w:evenVBand="0" w:oddHBand="1" w:evenHBand="0" w:firstRowFirstColumn="0" w:firstRowLastColumn="0" w:lastRowFirstColumn="0" w:lastRowLastColumn="0"/>
              <w:rPr>
                <w:szCs w:val="18"/>
              </w:rPr>
            </w:pPr>
            <w:r w:rsidRPr="00AB2458">
              <w:rPr>
                <w:color w:val="000000" w:themeColor="text1"/>
                <w:szCs w:val="18"/>
              </w:rPr>
              <w:t>Minachttienjarigen: kunnen niet toestemmen i.g.v. bepaalde daderhoedanigheid</w:t>
            </w:r>
          </w:p>
          <w:p w14:paraId="068ED43A" w14:textId="77777777" w:rsidR="00A96CD4" w:rsidRPr="00017BB9"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color w:val="000000" w:themeColor="text1"/>
                <w:szCs w:val="18"/>
              </w:rPr>
            </w:pPr>
          </w:p>
          <w:p w14:paraId="307073A3" w14:textId="77777777" w:rsidR="00A96CD4"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65110164" w14:textId="77777777" w:rsidR="00A96CD4"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586F369D" w14:textId="77777777" w:rsidR="00A96CD4"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3D8F0458" w14:textId="77777777" w:rsidR="00A96CD4" w:rsidRPr="00AB2458" w:rsidRDefault="00A96CD4" w:rsidP="00260F11">
            <w:pPr>
              <w:pStyle w:val="ListParagraph"/>
              <w:numPr>
                <w:ilvl w:val="0"/>
                <w:numId w:val="15"/>
              </w:numPr>
              <w:spacing w:line="360" w:lineRule="auto"/>
              <w:ind w:left="191" w:hanging="235"/>
              <w:cnfStyle w:val="000000100000" w:firstRow="0" w:lastRow="0" w:firstColumn="0" w:lastColumn="0" w:oddVBand="0" w:evenVBand="0" w:oddHBand="1" w:evenHBand="0" w:firstRowFirstColumn="0" w:firstRowLastColumn="0" w:lastRowFirstColumn="0" w:lastRowLastColumn="0"/>
              <w:rPr>
                <w:szCs w:val="18"/>
              </w:rPr>
            </w:pPr>
            <w:r w:rsidRPr="00AB2458">
              <w:rPr>
                <w:b/>
                <w:szCs w:val="18"/>
              </w:rPr>
              <w:t>Slachtoffer heeft niet toegestemd</w:t>
            </w:r>
          </w:p>
          <w:p w14:paraId="32A67F9B" w14:textId="77777777" w:rsidR="00A96CD4" w:rsidRDefault="00A96CD4" w:rsidP="00260F11">
            <w:pPr>
              <w:pStyle w:val="ListParagraph"/>
              <w:numPr>
                <w:ilvl w:val="1"/>
                <w:numId w:val="15"/>
              </w:numPr>
              <w:tabs>
                <w:tab w:val="left" w:pos="291"/>
              </w:tabs>
              <w:spacing w:line="360" w:lineRule="auto"/>
              <w:ind w:left="433" w:hanging="242"/>
              <w:cnfStyle w:val="000000100000" w:firstRow="0" w:lastRow="0" w:firstColumn="0" w:lastColumn="0" w:oddVBand="0" w:evenVBand="0" w:oddHBand="1" w:evenHBand="0" w:firstRowFirstColumn="0" w:firstRowLastColumn="0" w:lastRowFirstColumn="0" w:lastRowLastColumn="0"/>
              <w:rPr>
                <w:szCs w:val="18"/>
              </w:rPr>
            </w:pPr>
            <w:r w:rsidRPr="00AB2458">
              <w:rPr>
                <w:szCs w:val="18"/>
              </w:rPr>
              <w:t>Onweerlegbare vermoedens</w:t>
            </w:r>
          </w:p>
          <w:p w14:paraId="387A3CC5" w14:textId="77777777" w:rsidR="00A96CD4" w:rsidRDefault="00A96CD4" w:rsidP="00260F11">
            <w:pPr>
              <w:pStyle w:val="ListParagraph"/>
              <w:numPr>
                <w:ilvl w:val="1"/>
                <w:numId w:val="15"/>
              </w:numPr>
              <w:tabs>
                <w:tab w:val="left" w:pos="291"/>
              </w:tabs>
              <w:spacing w:line="360" w:lineRule="auto"/>
              <w:ind w:left="433" w:hanging="242"/>
              <w:cnfStyle w:val="000000100000" w:firstRow="0" w:lastRow="0" w:firstColumn="0" w:lastColumn="0" w:oddVBand="0" w:evenVBand="0" w:oddHBand="1" w:evenHBand="0" w:firstRowFirstColumn="0" w:firstRowLastColumn="0" w:lastRowFirstColumn="0" w:lastRowLastColumn="0"/>
              <w:rPr>
                <w:szCs w:val="18"/>
              </w:rPr>
            </w:pPr>
            <w:r w:rsidRPr="00AB2458">
              <w:rPr>
                <w:szCs w:val="18"/>
              </w:rPr>
              <w:t>Weerlegbare vermoedens</w:t>
            </w:r>
          </w:p>
          <w:p w14:paraId="447A14C7" w14:textId="77777777" w:rsidR="00A96CD4" w:rsidRPr="00AB2458" w:rsidRDefault="00A96CD4" w:rsidP="00260F11">
            <w:pPr>
              <w:pStyle w:val="ListParagraph"/>
              <w:numPr>
                <w:ilvl w:val="1"/>
                <w:numId w:val="15"/>
              </w:numPr>
              <w:tabs>
                <w:tab w:val="left" w:pos="291"/>
              </w:tabs>
              <w:spacing w:line="360" w:lineRule="auto"/>
              <w:ind w:left="433" w:hanging="242"/>
              <w:cnfStyle w:val="000000100000" w:firstRow="0" w:lastRow="0" w:firstColumn="0" w:lastColumn="0" w:oddVBand="0" w:evenVBand="0" w:oddHBand="1" w:evenHBand="0" w:firstRowFirstColumn="0" w:firstRowLastColumn="0" w:lastRowFirstColumn="0" w:lastRowLastColumn="0"/>
              <w:rPr>
                <w:szCs w:val="18"/>
              </w:rPr>
            </w:pPr>
            <w:r w:rsidRPr="00AB2458">
              <w:rPr>
                <w:szCs w:val="18"/>
              </w:rPr>
              <w:t>Definitie van toestemming</w:t>
            </w:r>
          </w:p>
          <w:p w14:paraId="1A7BED83" w14:textId="77777777" w:rsidR="00A96CD4" w:rsidRPr="006841DA" w:rsidRDefault="00A96CD4"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tc>
      </w:tr>
      <w:tr w:rsidR="00A96CD4" w:rsidRPr="006841DA" w14:paraId="5A1EEE83" w14:textId="77777777" w:rsidTr="00A92138">
        <w:trPr>
          <w:trHeight w:val="2488"/>
        </w:trPr>
        <w:tc>
          <w:tcPr>
            <w:cnfStyle w:val="001000000000" w:firstRow="0" w:lastRow="0" w:firstColumn="1" w:lastColumn="0" w:oddVBand="0" w:evenVBand="0" w:oddHBand="0" w:evenHBand="0" w:firstRowFirstColumn="0" w:firstRowLastColumn="0" w:lastRowFirstColumn="0" w:lastRowLastColumn="0"/>
            <w:tcW w:w="421" w:type="dxa"/>
            <w:textDirection w:val="btLr"/>
          </w:tcPr>
          <w:p w14:paraId="612AB765" w14:textId="77777777" w:rsidR="00A96CD4" w:rsidRPr="006841DA" w:rsidRDefault="00A96CD4" w:rsidP="00260F11">
            <w:pPr>
              <w:spacing w:line="360" w:lineRule="auto"/>
              <w:ind w:left="113" w:right="113"/>
              <w:rPr>
                <w:b w:val="0"/>
                <w:szCs w:val="18"/>
              </w:rPr>
            </w:pPr>
            <w:r w:rsidRPr="006B0136">
              <w:rPr>
                <w:color w:val="000000" w:themeColor="text1"/>
                <w:szCs w:val="18"/>
              </w:rPr>
              <w:t>Moreel bestanddeel</w:t>
            </w:r>
          </w:p>
        </w:tc>
        <w:tc>
          <w:tcPr>
            <w:tcW w:w="2731" w:type="dxa"/>
            <w:shd w:val="clear" w:color="auto" w:fill="DBDBDB" w:themeFill="accent3" w:themeFillTint="66"/>
          </w:tcPr>
          <w:p w14:paraId="3ECA852B" w14:textId="77777777" w:rsidR="00A96CD4" w:rsidRPr="006841DA"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sidRPr="006841DA">
              <w:rPr>
                <w:b/>
                <w:szCs w:val="18"/>
              </w:rPr>
              <w:t xml:space="preserve">M.b.t. de materiële gedraging </w:t>
            </w:r>
            <w:r w:rsidRPr="006841DA">
              <w:rPr>
                <w:b/>
                <w:i/>
                <w:szCs w:val="18"/>
              </w:rPr>
              <w:t>sensu lato</w:t>
            </w:r>
            <w:r w:rsidRPr="006841DA">
              <w:rPr>
                <w:szCs w:val="18"/>
              </w:rPr>
              <w:t>: algemeen opzet</w:t>
            </w:r>
          </w:p>
          <w:p w14:paraId="7A63968A" w14:textId="77777777" w:rsidR="00A96CD4"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599316C1" w14:textId="77777777" w:rsidR="00A96CD4"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4C71E095" w14:textId="494018B7" w:rsidR="00A96CD4"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3B00FA46" w14:textId="77777777" w:rsidR="007E2D42" w:rsidRPr="006841DA" w:rsidRDefault="007E2D42"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p>
          <w:p w14:paraId="47C18EB8" w14:textId="77777777" w:rsidR="00A96CD4" w:rsidRPr="006841DA" w:rsidRDefault="00A96CD4"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sidRPr="006841DA">
              <w:rPr>
                <w:b/>
                <w:szCs w:val="18"/>
              </w:rPr>
              <w:t>M.b.t. de minderjarige leeftijd</w:t>
            </w:r>
            <w:r w:rsidRPr="006841DA">
              <w:rPr>
                <w:szCs w:val="18"/>
              </w:rPr>
              <w:t>: onachtzaamheid</w:t>
            </w:r>
          </w:p>
        </w:tc>
        <w:tc>
          <w:tcPr>
            <w:tcW w:w="5910" w:type="dxa"/>
            <w:gridSpan w:val="3"/>
            <w:shd w:val="clear" w:color="auto" w:fill="DBDBDB" w:themeFill="accent3" w:themeFillTint="66"/>
          </w:tcPr>
          <w:p w14:paraId="678CF378" w14:textId="77777777" w:rsidR="00A96CD4" w:rsidRDefault="00A96CD4" w:rsidP="00260F11">
            <w:pPr>
              <w:spacing w:line="360" w:lineRule="auto"/>
              <w:jc w:val="left"/>
              <w:cnfStyle w:val="000000000000" w:firstRow="0" w:lastRow="0" w:firstColumn="0" w:lastColumn="0" w:oddVBand="0" w:evenVBand="0" w:oddHBand="0" w:evenHBand="0" w:firstRowFirstColumn="0" w:firstRowLastColumn="0" w:lastRowFirstColumn="0" w:lastRowLastColumn="0"/>
              <w:rPr>
                <w:i/>
                <w:szCs w:val="18"/>
              </w:rPr>
            </w:pPr>
            <w:r w:rsidRPr="006841DA">
              <w:rPr>
                <w:b/>
                <w:szCs w:val="18"/>
              </w:rPr>
              <w:t xml:space="preserve">M.b.t. de materiële gedraging </w:t>
            </w:r>
            <w:r w:rsidRPr="006841DA">
              <w:rPr>
                <w:b/>
                <w:i/>
                <w:szCs w:val="18"/>
              </w:rPr>
              <w:t>sensu lato</w:t>
            </w:r>
            <w:r w:rsidRPr="006841DA">
              <w:rPr>
                <w:i/>
                <w:szCs w:val="18"/>
              </w:rPr>
              <w:t xml:space="preserve">: </w:t>
            </w:r>
          </w:p>
          <w:p w14:paraId="25653F80" w14:textId="77777777" w:rsidR="00A96CD4"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AB2458">
              <w:rPr>
                <w:szCs w:val="18"/>
              </w:rPr>
              <w:t>Algemeen opzet</w:t>
            </w:r>
          </w:p>
          <w:p w14:paraId="3841E379" w14:textId="77777777" w:rsidR="00A96CD4"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AB2458">
              <w:rPr>
                <w:b/>
                <w:szCs w:val="18"/>
              </w:rPr>
              <w:t>Maar m.b.t. afwezigheid van toestemming in hoofde van slachtoffer</w:t>
            </w:r>
            <w:r w:rsidRPr="00AB2458">
              <w:rPr>
                <w:szCs w:val="18"/>
              </w:rPr>
              <w:t>: niet strafbaar indien dader redelijkerwijs kon geloven dat slachtoffer instemde.</w:t>
            </w:r>
          </w:p>
          <w:p w14:paraId="1A3D1BFC" w14:textId="1AE75672" w:rsidR="00A96CD4" w:rsidRDefault="007E2D42" w:rsidP="00260F11">
            <w:pPr>
              <w:pStyle w:val="ListParagraph"/>
              <w:numPr>
                <w:ilvl w:val="1"/>
                <w:numId w:val="15"/>
              </w:numPr>
              <w:tabs>
                <w:tab w:val="left" w:pos="291"/>
              </w:tabs>
              <w:spacing w:line="360" w:lineRule="auto"/>
              <w:ind w:left="433" w:hanging="242"/>
              <w:jc w:val="left"/>
              <w:cnfStyle w:val="000000000000" w:firstRow="0" w:lastRow="0" w:firstColumn="0" w:lastColumn="0" w:oddVBand="0" w:evenVBand="0" w:oddHBand="0" w:evenHBand="0" w:firstRowFirstColumn="0" w:firstRowLastColumn="0" w:lastRowFirstColumn="0" w:lastRowLastColumn="0"/>
              <w:rPr>
                <w:szCs w:val="18"/>
              </w:rPr>
            </w:pPr>
            <w:r w:rsidRPr="00AB2458">
              <w:rPr>
                <w:szCs w:val="18"/>
              </w:rPr>
              <w:t>O</w:t>
            </w:r>
            <w:r w:rsidR="00A96CD4" w:rsidRPr="00AB2458">
              <w:rPr>
                <w:szCs w:val="18"/>
              </w:rPr>
              <w:t>nachtzaamheid</w:t>
            </w:r>
          </w:p>
          <w:p w14:paraId="76416601" w14:textId="77777777" w:rsidR="007E2D42" w:rsidRPr="007E2D42" w:rsidRDefault="007E2D42" w:rsidP="00260F11">
            <w:pPr>
              <w:tabs>
                <w:tab w:val="left" w:pos="291"/>
              </w:tabs>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p w14:paraId="3567475F" w14:textId="77777777" w:rsidR="00A96CD4" w:rsidRDefault="00A96CD4" w:rsidP="00260F11">
            <w:pPr>
              <w:spacing w:line="360" w:lineRule="auto"/>
              <w:jc w:val="left"/>
              <w:cnfStyle w:val="000000000000" w:firstRow="0" w:lastRow="0" w:firstColumn="0" w:lastColumn="0" w:oddVBand="0" w:evenVBand="0" w:oddHBand="0" w:evenHBand="0" w:firstRowFirstColumn="0" w:firstRowLastColumn="0" w:lastRowFirstColumn="0" w:lastRowLastColumn="0"/>
              <w:rPr>
                <w:color w:val="000000" w:themeColor="text1"/>
                <w:szCs w:val="18"/>
              </w:rPr>
            </w:pPr>
            <w:r w:rsidRPr="006841DA">
              <w:rPr>
                <w:b/>
                <w:szCs w:val="18"/>
              </w:rPr>
              <w:t>M.b</w:t>
            </w:r>
            <w:r w:rsidRPr="00C62E45">
              <w:rPr>
                <w:b/>
                <w:color w:val="000000" w:themeColor="text1"/>
                <w:szCs w:val="18"/>
              </w:rPr>
              <w:t>.t. de leeftijd van het minderjarig slachtoffer</w:t>
            </w:r>
            <w:r w:rsidRPr="00C62E45">
              <w:rPr>
                <w:color w:val="000000" w:themeColor="text1"/>
                <w:szCs w:val="18"/>
              </w:rPr>
              <w:t>:</w:t>
            </w:r>
          </w:p>
          <w:p w14:paraId="5629E386" w14:textId="77777777" w:rsidR="00A96CD4" w:rsidRPr="00AB2458"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AB2458">
              <w:rPr>
                <w:color w:val="000000" w:themeColor="text1"/>
                <w:szCs w:val="18"/>
              </w:rPr>
              <w:t>Mindertienjarig slachtoffer: s</w:t>
            </w:r>
            <w:r w:rsidRPr="00AB2458">
              <w:rPr>
                <w:i/>
                <w:color w:val="000000" w:themeColor="text1"/>
                <w:szCs w:val="18"/>
              </w:rPr>
              <w:t>trict liability</w:t>
            </w:r>
          </w:p>
          <w:p w14:paraId="200A679E" w14:textId="77777777" w:rsidR="00A96CD4" w:rsidRPr="00AB2458"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AB2458">
              <w:rPr>
                <w:color w:val="000000" w:themeColor="text1"/>
                <w:szCs w:val="18"/>
              </w:rPr>
              <w:t>Minzestienjarig slachtoffer (&gt;13 jaar): Onachtzaamheid</w:t>
            </w:r>
          </w:p>
          <w:p w14:paraId="4A35ED5E" w14:textId="77777777" w:rsidR="00A96CD4" w:rsidRPr="00AB2458" w:rsidRDefault="00A96CD4" w:rsidP="00260F11">
            <w:pPr>
              <w:pStyle w:val="ListParagraph"/>
              <w:numPr>
                <w:ilvl w:val="0"/>
                <w:numId w:val="15"/>
              </w:numPr>
              <w:spacing w:line="360" w:lineRule="auto"/>
              <w:ind w:left="191" w:hanging="235"/>
              <w:jc w:val="left"/>
              <w:cnfStyle w:val="000000000000" w:firstRow="0" w:lastRow="0" w:firstColumn="0" w:lastColumn="0" w:oddVBand="0" w:evenVBand="0" w:oddHBand="0" w:evenHBand="0" w:firstRowFirstColumn="0" w:firstRowLastColumn="0" w:lastRowFirstColumn="0" w:lastRowLastColumn="0"/>
              <w:rPr>
                <w:szCs w:val="18"/>
              </w:rPr>
            </w:pPr>
            <w:r w:rsidRPr="00AB2458">
              <w:rPr>
                <w:color w:val="000000" w:themeColor="text1"/>
                <w:szCs w:val="18"/>
              </w:rPr>
              <w:t>Minderjarig slachtoffer (i.g.v. bepaalde daderhoedanigheid):</w:t>
            </w:r>
          </w:p>
          <w:p w14:paraId="11E0083E" w14:textId="77777777" w:rsidR="00A96CD4" w:rsidRDefault="00A96CD4" w:rsidP="00260F11">
            <w:pPr>
              <w:pStyle w:val="ListParagraph"/>
              <w:numPr>
                <w:ilvl w:val="1"/>
                <w:numId w:val="15"/>
              </w:numPr>
              <w:tabs>
                <w:tab w:val="left" w:pos="291"/>
              </w:tabs>
              <w:spacing w:line="360" w:lineRule="auto"/>
              <w:ind w:left="433" w:hanging="242"/>
              <w:jc w:val="left"/>
              <w:cnfStyle w:val="000000000000" w:firstRow="0" w:lastRow="0" w:firstColumn="0" w:lastColumn="0" w:oddVBand="0" w:evenVBand="0" w:oddHBand="0" w:evenHBand="0" w:firstRowFirstColumn="0" w:firstRowLastColumn="0" w:lastRowFirstColumn="0" w:lastRowLastColumn="0"/>
              <w:rPr>
                <w:szCs w:val="18"/>
              </w:rPr>
            </w:pPr>
            <w:r w:rsidRPr="00AB2458">
              <w:rPr>
                <w:szCs w:val="18"/>
              </w:rPr>
              <w:t>Onachtzaamheid</w:t>
            </w:r>
          </w:p>
          <w:p w14:paraId="5AA8E4E0" w14:textId="77777777" w:rsidR="00A96CD4" w:rsidRPr="00AB2458" w:rsidRDefault="00A96CD4" w:rsidP="00260F11">
            <w:pPr>
              <w:pStyle w:val="ListParagraph"/>
              <w:numPr>
                <w:ilvl w:val="1"/>
                <w:numId w:val="15"/>
              </w:numPr>
              <w:tabs>
                <w:tab w:val="left" w:pos="291"/>
              </w:tabs>
              <w:spacing w:line="360" w:lineRule="auto"/>
              <w:ind w:left="433" w:hanging="242"/>
              <w:jc w:val="left"/>
              <w:cnfStyle w:val="000000000000" w:firstRow="0" w:lastRow="0" w:firstColumn="0" w:lastColumn="0" w:oddVBand="0" w:evenVBand="0" w:oddHBand="0" w:evenHBand="0" w:firstRowFirstColumn="0" w:firstRowLastColumn="0" w:lastRowFirstColumn="0" w:lastRowLastColumn="0"/>
              <w:rPr>
                <w:szCs w:val="18"/>
              </w:rPr>
            </w:pPr>
            <w:r w:rsidRPr="00AB2458">
              <w:rPr>
                <w:szCs w:val="18"/>
              </w:rPr>
              <w:t xml:space="preserve">Tenzij slachtoffer is mindertienjarige: </w:t>
            </w:r>
            <w:r w:rsidRPr="00AB2458">
              <w:rPr>
                <w:i/>
                <w:szCs w:val="18"/>
              </w:rPr>
              <w:t>strict liability</w:t>
            </w:r>
          </w:p>
          <w:p w14:paraId="1C61419D" w14:textId="77777777" w:rsidR="00A96CD4" w:rsidRPr="006841DA" w:rsidRDefault="00A96CD4"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tc>
      </w:tr>
    </w:tbl>
    <w:p w14:paraId="2F305C08" w14:textId="77777777" w:rsidR="00295FDD" w:rsidRDefault="00295FDD" w:rsidP="00260F11">
      <w:pPr>
        <w:pStyle w:val="ListParagraph"/>
        <w:spacing w:line="360" w:lineRule="auto"/>
        <w:ind w:left="0"/>
        <w:rPr>
          <w:color w:val="000000" w:themeColor="text1"/>
          <w:szCs w:val="18"/>
          <w:lang w:val="nl-NL"/>
        </w:rPr>
      </w:pPr>
    </w:p>
    <w:p w14:paraId="6D476D94" w14:textId="77777777" w:rsidR="00295FDD" w:rsidRDefault="00295FDD" w:rsidP="00260F11">
      <w:pPr>
        <w:spacing w:line="360" w:lineRule="auto"/>
        <w:rPr>
          <w:color w:val="000000" w:themeColor="text1"/>
          <w:szCs w:val="18"/>
          <w:lang w:val="nl-NL"/>
        </w:rPr>
      </w:pPr>
    </w:p>
    <w:p w14:paraId="6843BC53" w14:textId="77777777" w:rsidR="00295FDD" w:rsidRDefault="00295FDD" w:rsidP="00260F11">
      <w:pPr>
        <w:spacing w:line="360" w:lineRule="auto"/>
        <w:jc w:val="left"/>
        <w:rPr>
          <w:color w:val="000000" w:themeColor="text1"/>
          <w:szCs w:val="18"/>
          <w:lang w:val="nl-NL"/>
        </w:rPr>
        <w:sectPr w:rsidR="00295FDD" w:rsidSect="0026404D">
          <w:footerReference w:type="default" r:id="rId21"/>
          <w:pgSz w:w="11906" w:h="16838"/>
          <w:pgMar w:top="1417" w:right="1417" w:bottom="1417" w:left="1417" w:header="709" w:footer="709" w:gutter="0"/>
          <w:cols w:space="708"/>
          <w:docGrid w:linePitch="360"/>
        </w:sectPr>
      </w:pPr>
    </w:p>
    <w:p w14:paraId="099CBC35" w14:textId="77777777" w:rsidR="00295FDD" w:rsidRDefault="00295FDD" w:rsidP="00260F11">
      <w:pPr>
        <w:spacing w:line="360" w:lineRule="auto"/>
        <w:jc w:val="left"/>
        <w:rPr>
          <w:color w:val="000000" w:themeColor="text1"/>
          <w:szCs w:val="18"/>
          <w:lang w:val="nl-NL"/>
        </w:rPr>
        <w:sectPr w:rsidR="00295FDD" w:rsidSect="0026404D">
          <w:footerReference w:type="default" r:id="rId22"/>
          <w:pgSz w:w="11906" w:h="16838"/>
          <w:pgMar w:top="1417" w:right="1417" w:bottom="1417" w:left="1417" w:header="709" w:footer="709" w:gutter="0"/>
          <w:cols w:space="708"/>
          <w:docGrid w:linePitch="360"/>
        </w:sectPr>
      </w:pPr>
    </w:p>
    <w:p w14:paraId="0E15B8B5" w14:textId="72E7FEDD" w:rsidR="00FC5496" w:rsidRPr="004A4D0D" w:rsidRDefault="00FC5496" w:rsidP="00260F11">
      <w:pPr>
        <w:pStyle w:val="Heading2"/>
        <w:spacing w:line="360" w:lineRule="auto"/>
        <w:rPr>
          <w:szCs w:val="18"/>
          <w:lang w:val="nl-NL"/>
        </w:rPr>
      </w:pPr>
      <w:bookmarkStart w:id="65" w:name="_Toc123642402"/>
      <w:bookmarkStart w:id="66" w:name="_Toc135041094"/>
      <w:r w:rsidRPr="004A4D0D">
        <w:rPr>
          <w:szCs w:val="18"/>
          <w:lang w:val="nl-NL"/>
        </w:rPr>
        <w:lastRenderedPageBreak/>
        <w:t xml:space="preserve">Evaluatie </w:t>
      </w:r>
      <w:r w:rsidR="0015230F" w:rsidRPr="004A4D0D">
        <w:rPr>
          <w:szCs w:val="18"/>
          <w:lang w:val="nl-NL"/>
        </w:rPr>
        <w:t xml:space="preserve">van de </w:t>
      </w:r>
      <w:r w:rsidR="00CC2DCB">
        <w:rPr>
          <w:szCs w:val="18"/>
          <w:lang w:val="nl-NL"/>
        </w:rPr>
        <w:t>hervormde</w:t>
      </w:r>
      <w:r w:rsidRPr="004A4D0D">
        <w:rPr>
          <w:szCs w:val="18"/>
          <w:lang w:val="nl-NL"/>
        </w:rPr>
        <w:t xml:space="preserve"> </w:t>
      </w:r>
      <w:bookmarkEnd w:id="65"/>
      <w:r w:rsidR="0039538F" w:rsidRPr="004A4D0D">
        <w:rPr>
          <w:szCs w:val="18"/>
          <w:lang w:val="nl-NL"/>
        </w:rPr>
        <w:t>strafbaarstellingen</w:t>
      </w:r>
      <w:r w:rsidR="009D06C6">
        <w:rPr>
          <w:szCs w:val="18"/>
          <w:lang w:val="nl-NL"/>
        </w:rPr>
        <w:t xml:space="preserve"> en aanbevelingen</w:t>
      </w:r>
      <w:bookmarkEnd w:id="66"/>
    </w:p>
    <w:p w14:paraId="20398EC6" w14:textId="3EBF5A5B" w:rsidR="004A4D0D" w:rsidRPr="004A4D0D" w:rsidRDefault="004A4D0D" w:rsidP="00260F11">
      <w:pPr>
        <w:spacing w:line="360" w:lineRule="auto"/>
        <w:rPr>
          <w:lang w:val="nl-NL"/>
        </w:rPr>
      </w:pPr>
    </w:p>
    <w:p w14:paraId="27FDF2CD" w14:textId="518FF1FC" w:rsidR="00B25D19" w:rsidRPr="007510BC" w:rsidRDefault="00476F78" w:rsidP="00260F11">
      <w:pPr>
        <w:pStyle w:val="ListParagraph"/>
        <w:numPr>
          <w:ilvl w:val="0"/>
          <w:numId w:val="1"/>
        </w:numPr>
        <w:spacing w:line="360" w:lineRule="auto"/>
        <w:ind w:left="0" w:hanging="709"/>
        <w:rPr>
          <w:color w:val="000000" w:themeColor="text1"/>
          <w:szCs w:val="18"/>
          <w:lang w:val="nl-NL"/>
        </w:rPr>
      </w:pPr>
      <w:r w:rsidRPr="00476F78">
        <w:rPr>
          <w:b/>
          <w:color w:val="000000" w:themeColor="text1"/>
          <w:szCs w:val="18"/>
          <w:lang w:val="nl-NL"/>
        </w:rPr>
        <w:t>Plaats binnen het onderzoek</w:t>
      </w:r>
      <w:r>
        <w:rPr>
          <w:color w:val="000000" w:themeColor="text1"/>
          <w:szCs w:val="18"/>
          <w:lang w:val="nl-NL"/>
        </w:rPr>
        <w:t xml:space="preserve">. </w:t>
      </w:r>
      <w:r w:rsidR="00B25D19">
        <w:rPr>
          <w:color w:val="000000" w:themeColor="text1"/>
          <w:szCs w:val="18"/>
          <w:lang w:val="nl-NL"/>
        </w:rPr>
        <w:t xml:space="preserve">In dit laatste deel </w:t>
      </w:r>
      <w:r w:rsidR="00125967">
        <w:rPr>
          <w:color w:val="000000" w:themeColor="text1"/>
          <w:szCs w:val="18"/>
          <w:lang w:val="nl-NL"/>
        </w:rPr>
        <w:t>wordt</w:t>
      </w:r>
      <w:r w:rsidR="000C7764">
        <w:rPr>
          <w:color w:val="000000" w:themeColor="text1"/>
          <w:szCs w:val="18"/>
          <w:lang w:val="nl-NL"/>
        </w:rPr>
        <w:t xml:space="preserve"> </w:t>
      </w:r>
      <w:r w:rsidR="00723535">
        <w:rPr>
          <w:color w:val="000000" w:themeColor="text1"/>
          <w:szCs w:val="18"/>
          <w:lang w:val="nl-NL"/>
        </w:rPr>
        <w:t xml:space="preserve">een antwoord </w:t>
      </w:r>
      <w:r w:rsidR="00AE6C8E">
        <w:rPr>
          <w:color w:val="000000" w:themeColor="text1"/>
          <w:szCs w:val="18"/>
          <w:lang w:val="nl-NL"/>
        </w:rPr>
        <w:t>gezocht</w:t>
      </w:r>
      <w:r w:rsidR="00723535">
        <w:rPr>
          <w:color w:val="000000" w:themeColor="text1"/>
          <w:szCs w:val="18"/>
          <w:lang w:val="nl-NL"/>
        </w:rPr>
        <w:t xml:space="preserve"> op de</w:t>
      </w:r>
      <w:r w:rsidR="000C7764">
        <w:rPr>
          <w:color w:val="000000" w:themeColor="text1"/>
          <w:szCs w:val="18"/>
          <w:lang w:val="nl-NL"/>
        </w:rPr>
        <w:t xml:space="preserve"> centrale onderzoeksvraag van deze masterscriptie</w:t>
      </w:r>
      <w:r w:rsidR="00F64F91" w:rsidRPr="00F953B5">
        <w:rPr>
          <w:szCs w:val="18"/>
          <w:lang w:val="nl-NL"/>
        </w:rPr>
        <w:t xml:space="preserve">: “In welke mate is de hervorming van de strafbaarstellingen van aantasting van de seksuele integriteit </w:t>
      </w:r>
      <w:r w:rsidR="000C7764">
        <w:rPr>
          <w:szCs w:val="18"/>
          <w:lang w:val="nl-NL"/>
        </w:rPr>
        <w:t xml:space="preserve">en verkrachting </w:t>
      </w:r>
      <w:r w:rsidR="00F64F91" w:rsidRPr="00F953B5">
        <w:rPr>
          <w:szCs w:val="18"/>
          <w:lang w:val="nl-NL"/>
        </w:rPr>
        <w:t xml:space="preserve">op dit ogenblik reeds aan te merken als een positieve evolutie, mede gelet op de </w:t>
      </w:r>
      <w:r w:rsidR="00904610">
        <w:rPr>
          <w:szCs w:val="18"/>
          <w:lang w:val="nl-NL"/>
        </w:rPr>
        <w:t xml:space="preserve">pijnpunten van de </w:t>
      </w:r>
      <w:r w:rsidR="00F64F91" w:rsidRPr="00F953B5">
        <w:rPr>
          <w:szCs w:val="18"/>
          <w:lang w:val="nl-NL"/>
        </w:rPr>
        <w:t>oude corresponderende strafbaarstellingen evenals het Brits recht?”</w:t>
      </w:r>
      <w:r w:rsidR="009D06C6">
        <w:rPr>
          <w:rStyle w:val="FootnoteReference"/>
          <w:szCs w:val="18"/>
          <w:lang w:val="nl-NL"/>
        </w:rPr>
        <w:footnoteReference w:id="510"/>
      </w:r>
    </w:p>
    <w:p w14:paraId="3116AE52" w14:textId="77777777" w:rsidR="003A53AF" w:rsidRDefault="003A53AF" w:rsidP="00260F11">
      <w:pPr>
        <w:spacing w:line="360" w:lineRule="auto"/>
        <w:rPr>
          <w:color w:val="000000" w:themeColor="text1"/>
          <w:szCs w:val="18"/>
          <w:lang w:val="nl-NL"/>
        </w:rPr>
      </w:pPr>
    </w:p>
    <w:p w14:paraId="05904447" w14:textId="5D237488" w:rsidR="007B43F4" w:rsidRDefault="0088325F" w:rsidP="00260F11">
      <w:pPr>
        <w:spacing w:line="360" w:lineRule="auto"/>
        <w:rPr>
          <w:color w:val="000000" w:themeColor="text1"/>
          <w:szCs w:val="18"/>
          <w:lang w:val="nl-NL"/>
        </w:rPr>
      </w:pPr>
      <w:r>
        <w:rPr>
          <w:color w:val="000000" w:themeColor="text1"/>
          <w:szCs w:val="18"/>
          <w:lang w:val="nl-NL"/>
        </w:rPr>
        <w:t>In dit deel zal d</w:t>
      </w:r>
      <w:r w:rsidR="00BD52B0">
        <w:rPr>
          <w:color w:val="000000" w:themeColor="text1"/>
          <w:szCs w:val="18"/>
          <w:lang w:val="nl-NL"/>
        </w:rPr>
        <w:t>an ook een evaluatie plaatsvinden van d</w:t>
      </w:r>
      <w:r>
        <w:rPr>
          <w:color w:val="000000" w:themeColor="text1"/>
          <w:szCs w:val="18"/>
          <w:lang w:val="nl-NL"/>
        </w:rPr>
        <w:t>e</w:t>
      </w:r>
      <w:r w:rsidR="00930445">
        <w:rPr>
          <w:color w:val="000000" w:themeColor="text1"/>
          <w:szCs w:val="18"/>
          <w:lang w:val="nl-NL"/>
        </w:rPr>
        <w:t xml:space="preserve"> hervorming van voornoemde strafbaarstelling</w:t>
      </w:r>
      <w:r w:rsidR="00723535">
        <w:rPr>
          <w:color w:val="000000" w:themeColor="text1"/>
          <w:szCs w:val="18"/>
          <w:lang w:val="nl-NL"/>
        </w:rPr>
        <w:t>en</w:t>
      </w:r>
      <w:r w:rsidR="00BD52B0">
        <w:rPr>
          <w:color w:val="000000" w:themeColor="text1"/>
          <w:szCs w:val="18"/>
          <w:lang w:val="nl-NL"/>
        </w:rPr>
        <w:t>. Dit zal gebeuren</w:t>
      </w:r>
      <w:r w:rsidR="00904610">
        <w:rPr>
          <w:color w:val="000000" w:themeColor="text1"/>
          <w:szCs w:val="18"/>
          <w:lang w:val="nl-NL"/>
        </w:rPr>
        <w:t xml:space="preserve"> </w:t>
      </w:r>
      <w:r>
        <w:rPr>
          <w:color w:val="000000" w:themeColor="text1"/>
          <w:szCs w:val="18"/>
          <w:lang w:val="nl-NL"/>
        </w:rPr>
        <w:t>in het licht van de reeds hoger geïdentificeerde pijnpunten van de oude corresponderende strafbaarstellingen.</w:t>
      </w:r>
      <w:r w:rsidR="00DD6B2E">
        <w:rPr>
          <w:rStyle w:val="FootnoteReference"/>
          <w:color w:val="000000" w:themeColor="text1"/>
          <w:szCs w:val="18"/>
          <w:lang w:val="nl-NL"/>
        </w:rPr>
        <w:footnoteReference w:id="511"/>
      </w:r>
      <w:r>
        <w:rPr>
          <w:color w:val="000000" w:themeColor="text1"/>
          <w:szCs w:val="18"/>
          <w:lang w:val="nl-NL"/>
        </w:rPr>
        <w:t xml:space="preserve"> Zo kan immers worden beoordeeld of hieraan werd verholpen in de huidige strafbaarstellingen. Daarnaast vindt de evaluatie ook plaats </w:t>
      </w:r>
      <w:r w:rsidR="000E23AB">
        <w:rPr>
          <w:color w:val="000000" w:themeColor="text1"/>
          <w:szCs w:val="18"/>
          <w:lang w:val="nl-NL"/>
        </w:rPr>
        <w:t>gelet op</w:t>
      </w:r>
      <w:r w:rsidR="008C2247">
        <w:rPr>
          <w:color w:val="000000" w:themeColor="text1"/>
          <w:szCs w:val="18"/>
          <w:lang w:val="nl-NL"/>
        </w:rPr>
        <w:t xml:space="preserve"> de </w:t>
      </w:r>
      <w:r w:rsidR="008C2247" w:rsidRPr="006B27CC">
        <w:rPr>
          <w:color w:val="000000" w:themeColor="text1"/>
          <w:szCs w:val="18"/>
          <w:lang w:val="nl-NL"/>
        </w:rPr>
        <w:t>voornaamste gelijkenissen en verschillen met</w:t>
      </w:r>
      <w:r w:rsidR="008C2247">
        <w:rPr>
          <w:color w:val="000000" w:themeColor="text1"/>
          <w:szCs w:val="18"/>
          <w:lang w:val="nl-NL"/>
        </w:rPr>
        <w:t xml:space="preserve"> het Brits recht.</w:t>
      </w:r>
      <w:r w:rsidR="00DD6B2E">
        <w:rPr>
          <w:rStyle w:val="FootnoteReference"/>
          <w:color w:val="000000" w:themeColor="text1"/>
          <w:szCs w:val="18"/>
          <w:lang w:val="nl-NL"/>
        </w:rPr>
        <w:footnoteReference w:id="512"/>
      </w:r>
      <w:r w:rsidR="00A43C9E">
        <w:rPr>
          <w:color w:val="000000" w:themeColor="text1"/>
          <w:szCs w:val="18"/>
          <w:lang w:val="nl-NL"/>
        </w:rPr>
        <w:t xml:space="preserve"> </w:t>
      </w:r>
      <w:r w:rsidR="00CC2DCB">
        <w:rPr>
          <w:color w:val="000000" w:themeColor="text1"/>
          <w:szCs w:val="18"/>
          <w:lang w:val="nl-NL"/>
        </w:rPr>
        <w:t>Zo</w:t>
      </w:r>
      <w:r w:rsidR="00A43C9E">
        <w:rPr>
          <w:color w:val="000000" w:themeColor="text1"/>
          <w:szCs w:val="18"/>
          <w:lang w:val="nl-NL"/>
        </w:rPr>
        <w:t xml:space="preserve"> kan word</w:t>
      </w:r>
      <w:r w:rsidR="000E23AB">
        <w:rPr>
          <w:color w:val="000000" w:themeColor="text1"/>
          <w:szCs w:val="18"/>
          <w:lang w:val="nl-NL"/>
        </w:rPr>
        <w:t xml:space="preserve">en beoordeeld of een bepaalde verandering aan de Belgische strafbaarstellingen verantwoord lijkt in rechtsvergelijkend </w:t>
      </w:r>
      <w:r w:rsidR="00CC2DCB">
        <w:rPr>
          <w:color w:val="000000" w:themeColor="text1"/>
          <w:szCs w:val="18"/>
          <w:lang w:val="nl-NL"/>
        </w:rPr>
        <w:t>perspectief</w:t>
      </w:r>
      <w:r w:rsidR="000E23AB">
        <w:rPr>
          <w:color w:val="000000" w:themeColor="text1"/>
          <w:szCs w:val="18"/>
          <w:lang w:val="nl-NL"/>
        </w:rPr>
        <w:t>.</w:t>
      </w:r>
      <w:r w:rsidR="00D24F92">
        <w:rPr>
          <w:color w:val="000000" w:themeColor="text1"/>
          <w:szCs w:val="18"/>
          <w:lang w:val="nl-NL"/>
        </w:rPr>
        <w:t xml:space="preserve"> </w:t>
      </w:r>
    </w:p>
    <w:p w14:paraId="0642C440" w14:textId="77777777" w:rsidR="007B43F4" w:rsidRDefault="007B43F4" w:rsidP="00260F11">
      <w:pPr>
        <w:spacing w:line="360" w:lineRule="auto"/>
        <w:rPr>
          <w:color w:val="000000" w:themeColor="text1"/>
          <w:szCs w:val="18"/>
          <w:lang w:val="nl-NL"/>
        </w:rPr>
      </w:pPr>
    </w:p>
    <w:p w14:paraId="67E59203" w14:textId="04FD800C" w:rsidR="0088325F" w:rsidRDefault="007B43F4" w:rsidP="00260F11">
      <w:pPr>
        <w:spacing w:line="360" w:lineRule="auto"/>
        <w:rPr>
          <w:color w:val="000000" w:themeColor="text1"/>
          <w:szCs w:val="18"/>
          <w:lang w:val="nl-NL"/>
        </w:rPr>
      </w:pPr>
      <w:r>
        <w:rPr>
          <w:color w:val="000000" w:themeColor="text1"/>
          <w:szCs w:val="18"/>
          <w:lang w:val="nl-NL"/>
        </w:rPr>
        <w:t xml:space="preserve">Waar nodig wordt tevens een aanbeveling geformuleerd t.a.v. de strafwetgever. </w:t>
      </w:r>
      <w:r w:rsidR="00BD52B0">
        <w:rPr>
          <w:color w:val="000000" w:themeColor="text1"/>
          <w:szCs w:val="18"/>
          <w:lang w:val="nl-NL"/>
        </w:rPr>
        <w:t>O.g.v.</w:t>
      </w:r>
      <w:r>
        <w:rPr>
          <w:color w:val="000000" w:themeColor="text1"/>
          <w:szCs w:val="18"/>
          <w:lang w:val="nl-NL"/>
        </w:rPr>
        <w:t xml:space="preserve"> deze aanbevelingen wordt vervolgens in het vierde en laatste deel van deze masterscriptie een eigen wetsvoorstel opgesteld.</w:t>
      </w:r>
    </w:p>
    <w:p w14:paraId="75B88CD2" w14:textId="43FF43B5" w:rsidR="006B27CC" w:rsidRDefault="006B27CC" w:rsidP="00260F11">
      <w:pPr>
        <w:spacing w:line="360" w:lineRule="auto"/>
        <w:rPr>
          <w:color w:val="FF0000"/>
          <w:szCs w:val="18"/>
          <w:lang w:val="nl-NL"/>
        </w:rPr>
      </w:pPr>
    </w:p>
    <w:p w14:paraId="4B8E9997" w14:textId="05AE1502" w:rsidR="00361B25" w:rsidRPr="00361B25" w:rsidRDefault="007510BC" w:rsidP="00260F11">
      <w:pPr>
        <w:pStyle w:val="ListParagraph"/>
        <w:numPr>
          <w:ilvl w:val="0"/>
          <w:numId w:val="1"/>
        </w:numPr>
        <w:spacing w:line="360" w:lineRule="auto"/>
        <w:ind w:left="0" w:hanging="709"/>
        <w:rPr>
          <w:color w:val="000000" w:themeColor="text1"/>
          <w:szCs w:val="18"/>
          <w:lang w:val="nl-NL"/>
        </w:rPr>
      </w:pPr>
      <w:r w:rsidRPr="007510BC">
        <w:rPr>
          <w:b/>
          <w:i/>
          <w:color w:val="000000" w:themeColor="text1"/>
          <w:szCs w:val="18"/>
          <w:lang w:val="nl-NL"/>
        </w:rPr>
        <w:t>Lex certa</w:t>
      </w:r>
      <w:r w:rsidRPr="007510BC">
        <w:rPr>
          <w:b/>
          <w:color w:val="000000" w:themeColor="text1"/>
          <w:szCs w:val="18"/>
          <w:lang w:val="nl-NL"/>
        </w:rPr>
        <w:t>-beginsel</w:t>
      </w:r>
      <w:r>
        <w:rPr>
          <w:color w:val="000000" w:themeColor="text1"/>
          <w:szCs w:val="18"/>
          <w:lang w:val="nl-NL"/>
        </w:rPr>
        <w:t xml:space="preserve">. </w:t>
      </w:r>
      <w:r w:rsidR="000C4387">
        <w:rPr>
          <w:color w:val="000000" w:themeColor="text1"/>
          <w:szCs w:val="18"/>
          <w:lang w:val="nl-NL"/>
        </w:rPr>
        <w:t>In</w:t>
      </w:r>
      <w:r w:rsidR="00CC2DCB" w:rsidRPr="007510BC">
        <w:rPr>
          <w:color w:val="000000" w:themeColor="text1"/>
          <w:szCs w:val="18"/>
          <w:lang w:val="nl-NL"/>
        </w:rPr>
        <w:t xml:space="preserve"> deze evaluatie</w:t>
      </w:r>
      <w:r w:rsidR="00A25CD8" w:rsidRPr="007510BC">
        <w:rPr>
          <w:color w:val="000000" w:themeColor="text1"/>
          <w:szCs w:val="18"/>
          <w:lang w:val="nl-NL"/>
        </w:rPr>
        <w:t xml:space="preserve"> zal </w:t>
      </w:r>
      <w:r w:rsidR="00397A35" w:rsidRPr="007510BC">
        <w:rPr>
          <w:color w:val="000000" w:themeColor="text1"/>
          <w:szCs w:val="18"/>
          <w:lang w:val="nl-NL"/>
        </w:rPr>
        <w:t xml:space="preserve">regelmatig </w:t>
      </w:r>
      <w:r w:rsidR="006752E8" w:rsidRPr="007510BC">
        <w:rPr>
          <w:color w:val="000000" w:themeColor="text1"/>
          <w:szCs w:val="18"/>
          <w:lang w:val="nl-NL"/>
        </w:rPr>
        <w:t>worden teruggekoppeld naar</w:t>
      </w:r>
      <w:r w:rsidR="006B27CC" w:rsidRPr="007510BC">
        <w:rPr>
          <w:color w:val="000000" w:themeColor="text1"/>
          <w:szCs w:val="18"/>
          <w:lang w:val="nl-NL"/>
        </w:rPr>
        <w:t xml:space="preserve"> het </w:t>
      </w:r>
      <w:r w:rsidR="0088325F" w:rsidRPr="007510BC">
        <w:rPr>
          <w:i/>
          <w:color w:val="000000" w:themeColor="text1"/>
          <w:szCs w:val="18"/>
          <w:lang w:val="nl-NL"/>
        </w:rPr>
        <w:t>lex certa-</w:t>
      </w:r>
      <w:r w:rsidR="0088325F" w:rsidRPr="007510BC">
        <w:rPr>
          <w:color w:val="000000" w:themeColor="text1"/>
          <w:szCs w:val="18"/>
          <w:lang w:val="nl-NL"/>
        </w:rPr>
        <w:t>beginsel</w:t>
      </w:r>
      <w:r w:rsidR="00F72BEC">
        <w:rPr>
          <w:color w:val="000000" w:themeColor="text1"/>
          <w:szCs w:val="18"/>
          <w:lang w:val="nl-NL"/>
        </w:rPr>
        <w:t xml:space="preserve">. Dit beginsel stelt </w:t>
      </w:r>
      <w:r w:rsidR="0047065C" w:rsidRPr="007510BC">
        <w:rPr>
          <w:color w:val="000000" w:themeColor="text1"/>
          <w:szCs w:val="18"/>
          <w:lang w:val="nl-NL"/>
        </w:rPr>
        <w:t xml:space="preserve">immers </w:t>
      </w:r>
      <w:r w:rsidR="00117D76">
        <w:rPr>
          <w:color w:val="000000" w:themeColor="text1"/>
          <w:szCs w:val="18"/>
          <w:lang w:val="nl-NL"/>
        </w:rPr>
        <w:t>i</w:t>
      </w:r>
      <w:r w:rsidR="00574C03" w:rsidRPr="007510BC">
        <w:rPr>
          <w:color w:val="000000" w:themeColor="text1"/>
          <w:szCs w:val="18"/>
          <w:lang w:val="nl-NL"/>
        </w:rPr>
        <w:t xml:space="preserve">nhoudelijke </w:t>
      </w:r>
      <w:r w:rsidR="0088325F" w:rsidRPr="007510BC">
        <w:rPr>
          <w:color w:val="000000" w:themeColor="text1"/>
          <w:szCs w:val="18"/>
          <w:lang w:val="nl-NL"/>
        </w:rPr>
        <w:t>vereisten t.a.v.</w:t>
      </w:r>
      <w:r w:rsidR="0047065C" w:rsidRPr="007510BC">
        <w:rPr>
          <w:color w:val="000000" w:themeColor="text1"/>
          <w:szCs w:val="18"/>
          <w:lang w:val="nl-NL"/>
        </w:rPr>
        <w:t xml:space="preserve"> strafbaarstellingen</w:t>
      </w:r>
      <w:r w:rsidR="007C2829" w:rsidRPr="007510BC">
        <w:rPr>
          <w:color w:val="000000" w:themeColor="text1"/>
          <w:szCs w:val="18"/>
          <w:lang w:val="nl-NL"/>
        </w:rPr>
        <w:t>.</w:t>
      </w:r>
      <w:r w:rsidRPr="007510BC">
        <w:rPr>
          <w:color w:val="000000" w:themeColor="text1"/>
          <w:szCs w:val="18"/>
          <w:lang w:val="nl-NL"/>
        </w:rPr>
        <w:t xml:space="preserve"> </w:t>
      </w:r>
      <w:r w:rsidR="00F72BEC">
        <w:rPr>
          <w:color w:val="000000" w:themeColor="text1"/>
        </w:rPr>
        <w:t>Het</w:t>
      </w:r>
      <w:r w:rsidRPr="007510BC">
        <w:rPr>
          <w:color w:val="000000" w:themeColor="text1"/>
        </w:rPr>
        <w:t xml:space="preserve"> vereist dat een strafbaarstelling in voldoende precieze, duidelijke en rechtszekerheid</w:t>
      </w:r>
      <w:r w:rsidR="00533DE7">
        <w:rPr>
          <w:color w:val="000000" w:themeColor="text1"/>
        </w:rPr>
        <w:t xml:space="preserve"> </w:t>
      </w:r>
      <w:r w:rsidRPr="007510BC">
        <w:rPr>
          <w:color w:val="000000" w:themeColor="text1"/>
        </w:rPr>
        <w:t xml:space="preserve">biedende bewoordingen geformuleerd wordt zodat een rechtsonderhorige, op het ogenblik dat deze een gedraging aanneemt, kan bepalen of </w:t>
      </w:r>
      <w:r w:rsidR="00117D76">
        <w:rPr>
          <w:color w:val="000000" w:themeColor="text1"/>
        </w:rPr>
        <w:t>de</w:t>
      </w:r>
      <w:r w:rsidRPr="007510BC">
        <w:rPr>
          <w:color w:val="000000" w:themeColor="text1"/>
        </w:rPr>
        <w:t xml:space="preserve"> beoogde gedrag</w:t>
      </w:r>
      <w:r w:rsidR="00117D76">
        <w:rPr>
          <w:color w:val="000000" w:themeColor="text1"/>
        </w:rPr>
        <w:t>ing</w:t>
      </w:r>
      <w:r w:rsidRPr="007510BC">
        <w:rPr>
          <w:color w:val="000000" w:themeColor="text1"/>
        </w:rPr>
        <w:t xml:space="preserve"> al dan niet strafbaar is. Daarbij wordt rekening gehouden met de bijzondere hoedanigheid of functie van de rechtsonderhorige. </w:t>
      </w:r>
      <w:r w:rsidRPr="007510BC">
        <w:rPr>
          <w:color w:val="000000" w:themeColor="text1"/>
          <w:szCs w:val="18"/>
          <w:lang w:val="nl-NL"/>
        </w:rPr>
        <w:t xml:space="preserve">Het </w:t>
      </w:r>
      <w:r w:rsidRPr="007510BC">
        <w:rPr>
          <w:i/>
          <w:color w:val="000000" w:themeColor="text1"/>
          <w:szCs w:val="18"/>
          <w:lang w:val="nl-NL"/>
        </w:rPr>
        <w:t>lex certa-</w:t>
      </w:r>
      <w:r w:rsidRPr="007510BC">
        <w:rPr>
          <w:color w:val="000000" w:themeColor="text1"/>
          <w:szCs w:val="18"/>
          <w:lang w:val="nl-NL"/>
        </w:rPr>
        <w:t>beginsel</w:t>
      </w:r>
      <w:r w:rsidRPr="007510BC">
        <w:rPr>
          <w:color w:val="000000" w:themeColor="text1"/>
        </w:rPr>
        <w:t xml:space="preserve"> is een aspect van het legaliteitsbeginsel en sluit nauw aan bij de vereisten die het rechtszekerheidsbeginsel stelt t.a.v. de strafwetgever.</w:t>
      </w:r>
      <w:r w:rsidR="008872EF" w:rsidRPr="00574C03">
        <w:rPr>
          <w:rStyle w:val="FootnoteReference"/>
          <w:color w:val="000000" w:themeColor="text1"/>
          <w:szCs w:val="18"/>
          <w:lang w:val="nl-NL"/>
        </w:rPr>
        <w:footnoteReference w:id="513"/>
      </w:r>
    </w:p>
    <w:p w14:paraId="3FDF8F0C" w14:textId="77777777" w:rsidR="00361B25" w:rsidRPr="00361B25" w:rsidRDefault="00361B25" w:rsidP="00260F11">
      <w:pPr>
        <w:pStyle w:val="ListParagraph"/>
        <w:spacing w:line="360" w:lineRule="auto"/>
        <w:ind w:left="0"/>
        <w:rPr>
          <w:color w:val="000000" w:themeColor="text1"/>
          <w:szCs w:val="18"/>
          <w:lang w:val="nl-NL"/>
        </w:rPr>
      </w:pPr>
    </w:p>
    <w:p w14:paraId="32D5547E" w14:textId="434B1A1C" w:rsidR="006B27CC" w:rsidRPr="00361B25" w:rsidRDefault="007510BC" w:rsidP="00260F11">
      <w:pPr>
        <w:pStyle w:val="ListParagraph"/>
        <w:spacing w:line="360" w:lineRule="auto"/>
        <w:ind w:left="0"/>
        <w:rPr>
          <w:color w:val="000000" w:themeColor="text1"/>
          <w:szCs w:val="18"/>
          <w:lang w:val="nl-NL"/>
        </w:rPr>
      </w:pPr>
      <w:r w:rsidRPr="00361B25">
        <w:rPr>
          <w:color w:val="000000" w:themeColor="text1"/>
        </w:rPr>
        <w:t xml:space="preserve">In de doctrine wordt </w:t>
      </w:r>
      <w:r w:rsidR="008872EF">
        <w:rPr>
          <w:color w:val="000000" w:themeColor="text1"/>
        </w:rPr>
        <w:t>evenwel</w:t>
      </w:r>
      <w:r w:rsidRPr="00361B25">
        <w:rPr>
          <w:color w:val="000000" w:themeColor="text1"/>
        </w:rPr>
        <w:t xml:space="preserve"> vastgesteld dat de laatste jaren soepel wordt </w:t>
      </w:r>
      <w:r w:rsidR="00361B25" w:rsidRPr="00361B25">
        <w:rPr>
          <w:color w:val="000000" w:themeColor="text1"/>
        </w:rPr>
        <w:t>omgesprongen</w:t>
      </w:r>
      <w:r w:rsidRPr="00361B25">
        <w:rPr>
          <w:color w:val="000000" w:themeColor="text1"/>
        </w:rPr>
        <w:t xml:space="preserve"> met dit beginsel door zowel het Hof van Cassatie, het Grondwettelijk Hof als het EHRM. </w:t>
      </w:r>
      <w:r w:rsidR="00361B25" w:rsidRPr="007510BC">
        <w:rPr>
          <w:color w:val="000000" w:themeColor="text1"/>
        </w:rPr>
        <w:t xml:space="preserve">Aan de vereisten van het </w:t>
      </w:r>
      <w:r w:rsidR="00361B25" w:rsidRPr="007510BC">
        <w:rPr>
          <w:i/>
          <w:color w:val="000000" w:themeColor="text1"/>
        </w:rPr>
        <w:t>lex certa-</w:t>
      </w:r>
      <w:r w:rsidR="00361B25" w:rsidRPr="007510BC">
        <w:rPr>
          <w:color w:val="000000" w:themeColor="text1"/>
        </w:rPr>
        <w:t>beginsel kan voldaan zijn zelfs wanneer een nadere omschrijving van de strafbaarstelling over wordt gelaten aan de strafrechter</w:t>
      </w:r>
      <w:r w:rsidR="00361B25">
        <w:rPr>
          <w:color w:val="000000" w:themeColor="text1"/>
        </w:rPr>
        <w:t>. Daarbij wordt rekening ge</w:t>
      </w:r>
      <w:r w:rsidRPr="00361B25">
        <w:rPr>
          <w:color w:val="000000" w:themeColor="text1"/>
        </w:rPr>
        <w:t xml:space="preserve">houden met het algemeen karakter van wetten, de verschillende situaties waarop deze van toepassing zijn evenals </w:t>
      </w:r>
      <w:r w:rsidRPr="00361B25">
        <w:rPr>
          <w:color w:val="000000" w:themeColor="text1"/>
        </w:rPr>
        <w:lastRenderedPageBreak/>
        <w:t>de evolutie van de door deze wetten geviseerde strafbare gedragingen.</w:t>
      </w:r>
      <w:r>
        <w:rPr>
          <w:rStyle w:val="FootnoteReference"/>
          <w:color w:val="000000" w:themeColor="text1"/>
        </w:rPr>
        <w:footnoteReference w:id="514"/>
      </w:r>
      <w:r w:rsidR="00361B25">
        <w:rPr>
          <w:color w:val="000000" w:themeColor="text1"/>
        </w:rPr>
        <w:t xml:space="preserve"> Aan het </w:t>
      </w:r>
      <w:r w:rsidR="00361B25">
        <w:rPr>
          <w:i/>
          <w:color w:val="000000" w:themeColor="text1"/>
        </w:rPr>
        <w:t>lex certa</w:t>
      </w:r>
      <w:r w:rsidR="00361B25">
        <w:rPr>
          <w:color w:val="000000" w:themeColor="text1"/>
        </w:rPr>
        <w:t xml:space="preserve">-beginsel is niet voldaan indien de draagwijdte van de strafbaarstelling niet redelijk voorzienbaar is, ondanks dat rekening gehouden werd met </w:t>
      </w:r>
      <w:r w:rsidR="008872EF">
        <w:rPr>
          <w:color w:val="000000" w:themeColor="text1"/>
        </w:rPr>
        <w:t xml:space="preserve">o.m. </w:t>
      </w:r>
      <w:r w:rsidR="00361B25">
        <w:rPr>
          <w:color w:val="000000" w:themeColor="text1"/>
        </w:rPr>
        <w:t>de bedoeling van de wetgever en de jurisprudentiële interpretatie ervan.</w:t>
      </w:r>
      <w:r w:rsidR="006C16B2">
        <w:rPr>
          <w:color w:val="000000" w:themeColor="text1"/>
        </w:rPr>
        <w:t xml:space="preserve"> Bovendien zou de beoordelingsvrijheid van de rechter ruimer mogen zijn naargelang het fundamenteel karakter van het te beschermen rechtsgoed.</w:t>
      </w:r>
      <w:r w:rsidR="008872EF">
        <w:rPr>
          <w:rStyle w:val="FootnoteReference"/>
          <w:color w:val="000000" w:themeColor="text1"/>
        </w:rPr>
        <w:footnoteReference w:id="515"/>
      </w:r>
    </w:p>
    <w:p w14:paraId="12A6946C" w14:textId="2DDAD3C9" w:rsidR="004A4D0D" w:rsidRDefault="004A4D0D" w:rsidP="00260F11">
      <w:pPr>
        <w:spacing w:line="360" w:lineRule="auto"/>
        <w:rPr>
          <w:lang w:val="nl-NL"/>
        </w:rPr>
      </w:pPr>
    </w:p>
    <w:p w14:paraId="0EBAFB1C" w14:textId="19B1C809" w:rsidR="0055731F" w:rsidRPr="00BA6B68" w:rsidRDefault="00E14E63"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Structuur</w:t>
      </w:r>
      <w:r>
        <w:rPr>
          <w:color w:val="000000" w:themeColor="text1"/>
          <w:szCs w:val="18"/>
          <w:lang w:val="nl-NL"/>
        </w:rPr>
        <w:t>. De hierboven toegelichte evaluatie zal</w:t>
      </w:r>
      <w:r w:rsidR="00723535">
        <w:rPr>
          <w:color w:val="000000" w:themeColor="text1"/>
          <w:szCs w:val="18"/>
          <w:lang w:val="nl-NL"/>
        </w:rPr>
        <w:t xml:space="preserve"> uiteenvallen in </w:t>
      </w:r>
      <w:r w:rsidR="00BD52B0">
        <w:rPr>
          <w:color w:val="000000" w:themeColor="text1"/>
          <w:szCs w:val="18"/>
          <w:lang w:val="nl-NL"/>
        </w:rPr>
        <w:t>drie</w:t>
      </w:r>
      <w:r w:rsidR="00723535">
        <w:rPr>
          <w:color w:val="000000" w:themeColor="text1"/>
          <w:szCs w:val="18"/>
          <w:lang w:val="nl-NL"/>
        </w:rPr>
        <w:t xml:space="preserve"> delen. In het eerste deel vindt een algemenere evaluatie plaats van de </w:t>
      </w:r>
      <w:r w:rsidR="00723535" w:rsidRPr="00CC2DCB">
        <w:rPr>
          <w:color w:val="000000" w:themeColor="text1"/>
          <w:szCs w:val="18"/>
          <w:lang w:val="nl-NL"/>
        </w:rPr>
        <w:t xml:space="preserve">hervorming van beide strafbaarstellingen. Mede gelet op </w:t>
      </w:r>
      <w:r w:rsidR="00D24F92" w:rsidRPr="00CC2DCB">
        <w:rPr>
          <w:color w:val="000000" w:themeColor="text1"/>
          <w:szCs w:val="18"/>
          <w:lang w:val="nl-NL"/>
        </w:rPr>
        <w:t>het</w:t>
      </w:r>
      <w:r w:rsidR="00723535" w:rsidRPr="00CC2DCB">
        <w:rPr>
          <w:color w:val="000000" w:themeColor="text1"/>
          <w:szCs w:val="18"/>
          <w:lang w:val="nl-NL"/>
        </w:rPr>
        <w:t xml:space="preserve"> </w:t>
      </w:r>
      <w:r w:rsidR="00D24F92" w:rsidRPr="00CC2DCB">
        <w:rPr>
          <w:color w:val="000000" w:themeColor="text1"/>
          <w:szCs w:val="18"/>
          <w:lang w:val="nl-NL"/>
        </w:rPr>
        <w:t>uniformiseren van</w:t>
      </w:r>
      <w:r w:rsidR="00723535" w:rsidRPr="00CC2DCB">
        <w:rPr>
          <w:color w:val="000000" w:themeColor="text1"/>
          <w:szCs w:val="18"/>
          <w:lang w:val="nl-NL"/>
        </w:rPr>
        <w:t xml:space="preserve"> de niet-consensuele seksuele misdrijven, zijn immers </w:t>
      </w:r>
      <w:r w:rsidR="008872EF">
        <w:rPr>
          <w:color w:val="000000" w:themeColor="text1"/>
          <w:szCs w:val="18"/>
          <w:lang w:val="nl-NL"/>
        </w:rPr>
        <w:t xml:space="preserve">heel wat veranderingen gelijklopend voor </w:t>
      </w:r>
      <w:r w:rsidR="00723535" w:rsidRPr="00CC2DCB">
        <w:rPr>
          <w:color w:val="000000" w:themeColor="text1"/>
          <w:szCs w:val="18"/>
          <w:lang w:val="nl-NL"/>
        </w:rPr>
        <w:t>beide strafbaarstellingen.</w:t>
      </w:r>
      <w:r w:rsidR="002E6EE7" w:rsidRPr="00CC2DCB">
        <w:rPr>
          <w:color w:val="000000" w:themeColor="text1"/>
          <w:szCs w:val="18"/>
          <w:lang w:val="nl-NL"/>
        </w:rPr>
        <w:t xml:space="preserve"> Daarna</w:t>
      </w:r>
      <w:r w:rsidR="002E6EE7">
        <w:rPr>
          <w:color w:val="000000" w:themeColor="text1"/>
          <w:szCs w:val="18"/>
          <w:lang w:val="nl-NL"/>
        </w:rPr>
        <w:t xml:space="preserve"> wordt eerst de huidige strafbaarstelling </w:t>
      </w:r>
      <w:r w:rsidR="00723535" w:rsidRPr="002E6EE7">
        <w:rPr>
          <w:color w:val="000000" w:themeColor="text1"/>
          <w:szCs w:val="18"/>
          <w:lang w:val="nl-NL"/>
        </w:rPr>
        <w:t xml:space="preserve">van aantasting van de seksuele integriteit </w:t>
      </w:r>
      <w:r w:rsidR="002E6EE7">
        <w:rPr>
          <w:color w:val="000000" w:themeColor="text1"/>
          <w:szCs w:val="18"/>
          <w:lang w:val="nl-NL"/>
        </w:rPr>
        <w:t>geëvalueerd</w:t>
      </w:r>
      <w:r w:rsidR="008872EF">
        <w:rPr>
          <w:color w:val="000000" w:themeColor="text1"/>
          <w:szCs w:val="18"/>
          <w:lang w:val="nl-NL"/>
        </w:rPr>
        <w:t xml:space="preserve"> om </w:t>
      </w:r>
      <w:r w:rsidR="002E6EE7">
        <w:rPr>
          <w:color w:val="000000" w:themeColor="text1"/>
          <w:szCs w:val="18"/>
          <w:lang w:val="nl-NL"/>
        </w:rPr>
        <w:t xml:space="preserve">vervolgens deze van verkrachting te </w:t>
      </w:r>
      <w:r w:rsidR="002E6EE7" w:rsidRPr="00BA6B68">
        <w:rPr>
          <w:color w:val="000000" w:themeColor="text1"/>
          <w:szCs w:val="18"/>
          <w:lang w:val="nl-NL"/>
        </w:rPr>
        <w:t>evalueren.</w:t>
      </w:r>
    </w:p>
    <w:p w14:paraId="3EFB8AE1" w14:textId="77777777" w:rsidR="00E14E63" w:rsidRPr="004A4D0D" w:rsidRDefault="00E14E63" w:rsidP="00260F11">
      <w:pPr>
        <w:spacing w:line="360" w:lineRule="auto"/>
        <w:rPr>
          <w:lang w:val="nl-NL"/>
        </w:rPr>
      </w:pPr>
    </w:p>
    <w:p w14:paraId="21585861" w14:textId="1FDF65E2" w:rsidR="00343391" w:rsidRDefault="00CE5AD3" w:rsidP="00260F11">
      <w:pPr>
        <w:pStyle w:val="Heading3"/>
        <w:spacing w:line="360" w:lineRule="auto"/>
        <w:rPr>
          <w:lang w:val="nl-NL"/>
        </w:rPr>
      </w:pPr>
      <w:bookmarkStart w:id="67" w:name="_Toc135041095"/>
      <w:r>
        <w:rPr>
          <w:lang w:val="nl-NL"/>
        </w:rPr>
        <w:t>Gemeenschappelijk aan</w:t>
      </w:r>
      <w:r w:rsidR="006403D0">
        <w:rPr>
          <w:lang w:val="nl-NL"/>
        </w:rPr>
        <w:t xml:space="preserve"> beide strafbaarstellingen</w:t>
      </w:r>
      <w:bookmarkEnd w:id="67"/>
    </w:p>
    <w:p w14:paraId="7D06C21D" w14:textId="4A7E62B0" w:rsidR="00007EEB" w:rsidRDefault="00B70A67" w:rsidP="00260F11">
      <w:pPr>
        <w:pStyle w:val="Heading4"/>
        <w:spacing w:line="360" w:lineRule="auto"/>
        <w:rPr>
          <w:lang w:val="nl-NL"/>
        </w:rPr>
      </w:pPr>
      <w:bookmarkStart w:id="68" w:name="_Toc135041096"/>
      <w:r w:rsidRPr="00AC6514">
        <w:rPr>
          <w:lang w:val="nl-NL"/>
        </w:rPr>
        <w:t xml:space="preserve">Nieuwe plaats binnen </w:t>
      </w:r>
      <w:r w:rsidR="001F24ED">
        <w:rPr>
          <w:lang w:val="nl-NL"/>
        </w:rPr>
        <w:t xml:space="preserve">het </w:t>
      </w:r>
      <w:r w:rsidR="00373F98">
        <w:rPr>
          <w:lang w:val="nl-NL"/>
        </w:rPr>
        <w:t>S</w:t>
      </w:r>
      <w:r w:rsidRPr="00AC6514">
        <w:rPr>
          <w:lang w:val="nl-NL"/>
        </w:rPr>
        <w:t>trafwetboek</w:t>
      </w:r>
      <w:bookmarkEnd w:id="68"/>
    </w:p>
    <w:p w14:paraId="0751D30A" w14:textId="77777777" w:rsidR="00007EEB" w:rsidRPr="0006638F" w:rsidRDefault="00007EEB" w:rsidP="00260F11">
      <w:pPr>
        <w:spacing w:line="360" w:lineRule="auto"/>
        <w:rPr>
          <w:color w:val="000000" w:themeColor="text1"/>
          <w:szCs w:val="18"/>
          <w:lang w:val="nl-NL"/>
        </w:rPr>
      </w:pPr>
    </w:p>
    <w:p w14:paraId="1BE70481" w14:textId="113011FD" w:rsidR="008872EF" w:rsidRDefault="005816A6" w:rsidP="00260F11">
      <w:pPr>
        <w:pStyle w:val="ListParagraph"/>
        <w:numPr>
          <w:ilvl w:val="0"/>
          <w:numId w:val="1"/>
        </w:numPr>
        <w:spacing w:line="360" w:lineRule="auto"/>
        <w:ind w:left="0" w:hanging="709"/>
        <w:rPr>
          <w:color w:val="000000" w:themeColor="text1"/>
          <w:szCs w:val="18"/>
          <w:lang w:val="nl-NL"/>
        </w:rPr>
      </w:pPr>
      <w:r w:rsidRPr="00007EEB">
        <w:rPr>
          <w:color w:val="000000" w:themeColor="text1"/>
          <w:szCs w:val="18"/>
          <w:lang w:val="nl-NL"/>
        </w:rPr>
        <w:t xml:space="preserve">Beide strafbaarstellingen zijn ingevolge de hervorming van het seksueel strafrecht </w:t>
      </w:r>
      <w:r w:rsidR="00DE6C0E" w:rsidRPr="00007EEB">
        <w:rPr>
          <w:color w:val="000000" w:themeColor="text1"/>
          <w:szCs w:val="18"/>
          <w:lang w:val="nl-NL"/>
        </w:rPr>
        <w:t>ondergebracht onder een nieuwe titel</w:t>
      </w:r>
      <w:r w:rsidRPr="00007EEB">
        <w:rPr>
          <w:color w:val="000000" w:themeColor="text1"/>
          <w:szCs w:val="18"/>
          <w:lang w:val="nl-NL"/>
        </w:rPr>
        <w:t xml:space="preserve"> </w:t>
      </w:r>
      <w:r w:rsidR="00AC6514" w:rsidRPr="00007EEB">
        <w:rPr>
          <w:color w:val="000000" w:themeColor="text1"/>
          <w:szCs w:val="18"/>
          <w:lang w:val="nl-NL"/>
        </w:rPr>
        <w:t>van</w:t>
      </w:r>
      <w:r w:rsidRPr="00007EEB">
        <w:rPr>
          <w:color w:val="000000" w:themeColor="text1"/>
          <w:szCs w:val="18"/>
          <w:lang w:val="nl-NL"/>
        </w:rPr>
        <w:t xml:space="preserve"> </w:t>
      </w:r>
      <w:r w:rsidR="00DE6C0E" w:rsidRPr="00007EEB">
        <w:rPr>
          <w:color w:val="000000" w:themeColor="text1"/>
          <w:szCs w:val="18"/>
          <w:lang w:val="nl-NL"/>
        </w:rPr>
        <w:t xml:space="preserve">boek II van </w:t>
      </w:r>
      <w:r w:rsidRPr="00007EEB">
        <w:rPr>
          <w:color w:val="000000" w:themeColor="text1"/>
          <w:szCs w:val="18"/>
          <w:lang w:val="nl-NL"/>
        </w:rPr>
        <w:t>het Strafwetboek</w:t>
      </w:r>
      <w:r w:rsidR="00DD6B2E">
        <w:rPr>
          <w:color w:val="000000" w:themeColor="text1"/>
          <w:szCs w:val="18"/>
          <w:lang w:val="nl-NL"/>
        </w:rPr>
        <w:t>.</w:t>
      </w:r>
      <w:r w:rsidR="00DD6B2E">
        <w:rPr>
          <w:rStyle w:val="FootnoteReference"/>
          <w:color w:val="000000" w:themeColor="text1"/>
          <w:szCs w:val="18"/>
          <w:lang w:val="nl-NL"/>
        </w:rPr>
        <w:footnoteReference w:id="516"/>
      </w:r>
      <w:r w:rsidR="00DD6B2E">
        <w:rPr>
          <w:color w:val="000000" w:themeColor="text1"/>
          <w:szCs w:val="18"/>
          <w:lang w:val="nl-NL"/>
        </w:rPr>
        <w:t xml:space="preserve"> </w:t>
      </w:r>
      <w:r w:rsidR="00DE6C0E" w:rsidRPr="00007EEB">
        <w:rPr>
          <w:color w:val="000000" w:themeColor="text1"/>
          <w:szCs w:val="18"/>
          <w:lang w:val="nl-NL"/>
        </w:rPr>
        <w:t xml:space="preserve">Daar waar aanranding van de eerbaarheid en verkrachting zich bevonden onder </w:t>
      </w:r>
      <w:r w:rsidRPr="00007EEB">
        <w:rPr>
          <w:color w:val="000000" w:themeColor="text1"/>
          <w:szCs w:val="18"/>
          <w:lang w:val="nl-NL"/>
        </w:rPr>
        <w:t>Titel VII: “Misdaden en wanbedrijven tegen de orde van de familie”, Hoofdstuk V: “Misdaden en wanbedrijven tegen de orde der familie en tegen de openbare zedelijkheid”</w:t>
      </w:r>
      <w:r w:rsidR="00DE6C0E" w:rsidRPr="00007EEB">
        <w:rPr>
          <w:color w:val="000000" w:themeColor="text1"/>
          <w:szCs w:val="18"/>
          <w:lang w:val="nl-NL"/>
        </w:rPr>
        <w:t>, bevinden aantasting van de seksuele integriteit en verkrachting zich voortaan onder Titel VIII: “</w:t>
      </w:r>
      <w:r w:rsidR="00DE6C0E" w:rsidRPr="00007EEB">
        <w:rPr>
          <w:i/>
          <w:color w:val="000000" w:themeColor="text1"/>
          <w:szCs w:val="18"/>
          <w:lang w:val="nl-NL"/>
        </w:rPr>
        <w:t>Misdaden en wanbedrijven tegen personen</w:t>
      </w:r>
      <w:r w:rsidR="00DE6C0E" w:rsidRPr="00007EEB">
        <w:rPr>
          <w:color w:val="000000" w:themeColor="text1"/>
          <w:szCs w:val="18"/>
          <w:lang w:val="nl-NL"/>
        </w:rPr>
        <w:t>”, Hoofdstuk I/1: “</w:t>
      </w:r>
      <w:r w:rsidR="00DE6C0E" w:rsidRPr="00007EEB">
        <w:rPr>
          <w:i/>
          <w:color w:val="000000" w:themeColor="text1"/>
          <w:szCs w:val="18"/>
          <w:lang w:val="nl-NL"/>
        </w:rPr>
        <w:t>Misdrijven tegen de seksuele integriteit, het seksuele zelfbeschikkingsrecht en de goede zeden</w:t>
      </w:r>
      <w:r w:rsidR="00C860CD" w:rsidRPr="00007EEB">
        <w:rPr>
          <w:color w:val="000000" w:themeColor="text1"/>
          <w:szCs w:val="18"/>
          <w:lang w:val="nl-NL"/>
        </w:rPr>
        <w:t xml:space="preserve">”. </w:t>
      </w:r>
    </w:p>
    <w:p w14:paraId="2C0BC735" w14:textId="77777777" w:rsidR="008872EF" w:rsidRDefault="008872EF" w:rsidP="00260F11">
      <w:pPr>
        <w:pStyle w:val="ListParagraph"/>
        <w:spacing w:line="360" w:lineRule="auto"/>
        <w:ind w:left="0"/>
        <w:rPr>
          <w:color w:val="000000" w:themeColor="text1"/>
          <w:szCs w:val="18"/>
          <w:lang w:val="nl-NL"/>
        </w:rPr>
      </w:pPr>
    </w:p>
    <w:p w14:paraId="0D57CDE9" w14:textId="453D2122" w:rsidR="00B70A67" w:rsidRPr="00007EEB" w:rsidRDefault="00C860CD" w:rsidP="00260F11">
      <w:pPr>
        <w:pStyle w:val="ListParagraph"/>
        <w:spacing w:line="360" w:lineRule="auto"/>
        <w:ind w:left="0"/>
        <w:rPr>
          <w:color w:val="000000" w:themeColor="text1"/>
          <w:szCs w:val="18"/>
          <w:lang w:val="nl-NL"/>
        </w:rPr>
      </w:pPr>
      <w:r w:rsidRPr="00007EEB">
        <w:rPr>
          <w:color w:val="000000" w:themeColor="text1"/>
          <w:szCs w:val="18"/>
          <w:lang w:val="nl-NL"/>
        </w:rPr>
        <w:t xml:space="preserve">Ondanks dat de </w:t>
      </w:r>
      <w:r w:rsidR="00C015F5" w:rsidRPr="00007EEB">
        <w:rPr>
          <w:color w:val="000000" w:themeColor="text1"/>
          <w:szCs w:val="18"/>
          <w:lang w:val="nl-NL"/>
        </w:rPr>
        <w:t>opschriften en structuur</w:t>
      </w:r>
      <w:r w:rsidRPr="00007EEB">
        <w:rPr>
          <w:color w:val="000000" w:themeColor="text1"/>
          <w:szCs w:val="18"/>
          <w:lang w:val="nl-NL"/>
        </w:rPr>
        <w:t xml:space="preserve"> van de wettekst geen </w:t>
      </w:r>
      <w:r w:rsidR="00C015F5" w:rsidRPr="00007EEB">
        <w:rPr>
          <w:color w:val="000000" w:themeColor="text1"/>
          <w:szCs w:val="18"/>
          <w:lang w:val="nl-NL"/>
        </w:rPr>
        <w:t xml:space="preserve">deel uitmaken van de </w:t>
      </w:r>
      <w:r w:rsidRPr="00007EEB">
        <w:rPr>
          <w:color w:val="000000" w:themeColor="text1"/>
          <w:szCs w:val="18"/>
          <w:lang w:val="nl-NL"/>
        </w:rPr>
        <w:t xml:space="preserve">wet </w:t>
      </w:r>
      <w:r w:rsidR="00C015F5" w:rsidRPr="00007EEB">
        <w:rPr>
          <w:color w:val="000000" w:themeColor="text1"/>
          <w:szCs w:val="18"/>
          <w:lang w:val="nl-NL"/>
        </w:rPr>
        <w:t xml:space="preserve">zelf </w:t>
      </w:r>
      <w:r w:rsidRPr="00007EEB">
        <w:rPr>
          <w:color w:val="000000" w:themeColor="text1"/>
          <w:szCs w:val="18"/>
          <w:lang w:val="nl-NL"/>
        </w:rPr>
        <w:t>(</w:t>
      </w:r>
      <w:r w:rsidRPr="00007EEB">
        <w:rPr>
          <w:i/>
          <w:color w:val="000000" w:themeColor="text1"/>
          <w:szCs w:val="18"/>
          <w:lang w:val="nl-NL"/>
        </w:rPr>
        <w:t>rubrica non est lex)</w:t>
      </w:r>
      <w:r w:rsidR="00DD7C9B">
        <w:rPr>
          <w:i/>
          <w:color w:val="000000" w:themeColor="text1"/>
          <w:szCs w:val="18"/>
          <w:lang w:val="nl-NL"/>
        </w:rPr>
        <w:t>,</w:t>
      </w:r>
      <w:r w:rsidR="00C015F5">
        <w:rPr>
          <w:rStyle w:val="FootnoteReference"/>
          <w:i/>
          <w:color w:val="000000" w:themeColor="text1"/>
          <w:szCs w:val="18"/>
          <w:lang w:val="nl-NL"/>
        </w:rPr>
        <w:footnoteReference w:id="517"/>
      </w:r>
      <w:r w:rsidRPr="00007EEB">
        <w:rPr>
          <w:color w:val="000000" w:themeColor="text1"/>
          <w:szCs w:val="18"/>
          <w:lang w:val="nl-NL"/>
        </w:rPr>
        <w:t xml:space="preserve"> wordt </w:t>
      </w:r>
      <w:r w:rsidR="00DD7C9B">
        <w:rPr>
          <w:color w:val="000000" w:themeColor="text1"/>
          <w:szCs w:val="18"/>
          <w:lang w:val="nl-NL"/>
        </w:rPr>
        <w:t>met deze plaatsverandering</w:t>
      </w:r>
      <w:r w:rsidRPr="00007EEB">
        <w:rPr>
          <w:color w:val="000000" w:themeColor="text1"/>
          <w:szCs w:val="18"/>
          <w:lang w:val="nl-NL"/>
        </w:rPr>
        <w:t xml:space="preserve"> verduidelijkt – in lijn </w:t>
      </w:r>
      <w:r w:rsidR="00457F74" w:rsidRPr="00007EEB">
        <w:rPr>
          <w:color w:val="000000" w:themeColor="text1"/>
          <w:szCs w:val="18"/>
          <w:lang w:val="nl-NL"/>
        </w:rPr>
        <w:t>met de</w:t>
      </w:r>
      <w:r w:rsidRPr="00007EEB">
        <w:rPr>
          <w:color w:val="000000" w:themeColor="text1"/>
          <w:szCs w:val="18"/>
          <w:lang w:val="nl-NL"/>
        </w:rPr>
        <w:t xml:space="preserve"> bedoeling van de wetgever - wat het te beschermen rechtsgoed is. </w:t>
      </w:r>
      <w:r w:rsidR="00DC7D45">
        <w:rPr>
          <w:color w:val="000000" w:themeColor="text1"/>
          <w:szCs w:val="18"/>
          <w:lang w:val="nl-NL"/>
        </w:rPr>
        <w:t>Dit laatste</w:t>
      </w:r>
      <w:r w:rsidRPr="00007EEB">
        <w:rPr>
          <w:color w:val="000000" w:themeColor="text1"/>
          <w:szCs w:val="18"/>
          <w:lang w:val="nl-NL"/>
        </w:rPr>
        <w:t xml:space="preserve"> is immers niet meer de bescherming van de orde van de familie, maar de seksuele autonomie van het individu. Dit vormt </w:t>
      </w:r>
      <w:r w:rsidR="008872EF">
        <w:rPr>
          <w:color w:val="000000" w:themeColor="text1"/>
          <w:szCs w:val="18"/>
          <w:lang w:val="nl-NL"/>
        </w:rPr>
        <w:t>eveneens</w:t>
      </w:r>
      <w:r w:rsidRPr="00007EEB">
        <w:rPr>
          <w:color w:val="000000" w:themeColor="text1"/>
          <w:szCs w:val="18"/>
          <w:lang w:val="nl-NL"/>
        </w:rPr>
        <w:t xml:space="preserve"> volgens de Hoge Raad van de Justitie een goede zaak</w:t>
      </w:r>
      <w:r w:rsidR="00DD7C9B">
        <w:rPr>
          <w:rStyle w:val="FootnoteReference"/>
          <w:color w:val="000000" w:themeColor="text1"/>
          <w:szCs w:val="18"/>
          <w:lang w:val="nl-NL"/>
        </w:rPr>
        <w:footnoteReference w:id="518"/>
      </w:r>
      <w:r w:rsidR="00DD7C9B" w:rsidRPr="00007EEB">
        <w:rPr>
          <w:color w:val="000000" w:themeColor="text1"/>
          <w:szCs w:val="18"/>
          <w:lang w:val="nl-NL"/>
        </w:rPr>
        <w:t xml:space="preserve"> </w:t>
      </w:r>
      <w:r w:rsidR="00BD52B0">
        <w:rPr>
          <w:color w:val="000000" w:themeColor="text1"/>
          <w:szCs w:val="18"/>
          <w:lang w:val="nl-NL"/>
        </w:rPr>
        <w:t xml:space="preserve">en </w:t>
      </w:r>
      <w:r w:rsidR="00DD7C9B" w:rsidRPr="00007EEB">
        <w:rPr>
          <w:color w:val="000000" w:themeColor="text1"/>
          <w:szCs w:val="18"/>
          <w:lang w:val="nl-NL"/>
        </w:rPr>
        <w:t xml:space="preserve">dient m.i. </w:t>
      </w:r>
      <w:r w:rsidR="00DD7C9B">
        <w:rPr>
          <w:color w:val="000000" w:themeColor="text1"/>
          <w:szCs w:val="18"/>
          <w:lang w:val="nl-NL"/>
        </w:rPr>
        <w:t xml:space="preserve">dan ook </w:t>
      </w:r>
      <w:r w:rsidR="00DD7C9B" w:rsidRPr="00007EEB">
        <w:rPr>
          <w:color w:val="000000" w:themeColor="text1"/>
          <w:szCs w:val="18"/>
          <w:lang w:val="nl-NL"/>
        </w:rPr>
        <w:t xml:space="preserve">als </w:t>
      </w:r>
      <w:r w:rsidR="00DD7C9B">
        <w:rPr>
          <w:color w:val="000000" w:themeColor="text1"/>
          <w:szCs w:val="18"/>
          <w:lang w:val="nl-NL"/>
        </w:rPr>
        <w:t>een positieve verandering</w:t>
      </w:r>
      <w:r w:rsidR="00DD7C9B" w:rsidRPr="00007EEB">
        <w:rPr>
          <w:color w:val="000000" w:themeColor="text1"/>
          <w:szCs w:val="18"/>
          <w:lang w:val="nl-NL"/>
        </w:rPr>
        <w:t xml:space="preserve"> te worden beschouwd</w:t>
      </w:r>
      <w:r w:rsidR="00DD7C9B">
        <w:rPr>
          <w:color w:val="000000" w:themeColor="text1"/>
          <w:szCs w:val="18"/>
          <w:lang w:val="nl-NL"/>
        </w:rPr>
        <w:t>.</w:t>
      </w:r>
      <w:r w:rsidRPr="00007EEB">
        <w:rPr>
          <w:color w:val="000000" w:themeColor="text1"/>
          <w:szCs w:val="18"/>
          <w:lang w:val="nl-NL"/>
        </w:rPr>
        <w:t xml:space="preserve"> </w:t>
      </w:r>
    </w:p>
    <w:p w14:paraId="4A29884F" w14:textId="77777777" w:rsidR="00B70A67" w:rsidRDefault="00B70A67" w:rsidP="00260F11">
      <w:pPr>
        <w:pStyle w:val="ListParagraph"/>
        <w:spacing w:line="360" w:lineRule="auto"/>
        <w:ind w:left="0"/>
        <w:rPr>
          <w:color w:val="FF0000"/>
          <w:szCs w:val="18"/>
          <w:lang w:val="nl-NL"/>
        </w:rPr>
      </w:pPr>
    </w:p>
    <w:p w14:paraId="2A83E9AA" w14:textId="653568AD" w:rsidR="00007EEB" w:rsidRPr="00C86A69" w:rsidRDefault="00007EEB" w:rsidP="00260F11">
      <w:pPr>
        <w:pStyle w:val="Heading4"/>
        <w:spacing w:line="360" w:lineRule="auto"/>
      </w:pPr>
      <w:bookmarkStart w:id="69" w:name="_Toc135041097"/>
      <w:r w:rsidRPr="00C86A69">
        <w:lastRenderedPageBreak/>
        <w:t>Toestemming</w:t>
      </w:r>
      <w:r w:rsidR="00C86A69">
        <w:t>spremisse</w:t>
      </w:r>
      <w:bookmarkEnd w:id="69"/>
    </w:p>
    <w:p w14:paraId="11BB8929" w14:textId="6850C055" w:rsidR="00007EEB" w:rsidRPr="00007EEB" w:rsidRDefault="005B0CE2" w:rsidP="00260F11">
      <w:pPr>
        <w:pStyle w:val="Heading5"/>
        <w:spacing w:line="360" w:lineRule="auto"/>
        <w:rPr>
          <w:szCs w:val="18"/>
          <w:lang w:val="nl-NL"/>
        </w:rPr>
      </w:pPr>
      <w:bookmarkStart w:id="70" w:name="_Toc135041098"/>
      <w:r>
        <w:rPr>
          <w:lang w:val="nl-NL"/>
        </w:rPr>
        <w:t>Overkoepelende definitie</w:t>
      </w:r>
      <w:bookmarkEnd w:id="70"/>
    </w:p>
    <w:p w14:paraId="7E982AAA" w14:textId="77777777" w:rsidR="00784A9B" w:rsidRPr="00A80129" w:rsidRDefault="00784A9B" w:rsidP="00260F11">
      <w:pPr>
        <w:pStyle w:val="ListParagraph"/>
        <w:spacing w:line="360" w:lineRule="auto"/>
        <w:ind w:left="0"/>
        <w:rPr>
          <w:color w:val="000000" w:themeColor="text1"/>
          <w:szCs w:val="18"/>
          <w:lang w:val="nl-NL"/>
        </w:rPr>
      </w:pPr>
    </w:p>
    <w:p w14:paraId="1E0AC469" w14:textId="34BC8AE3" w:rsidR="00186490" w:rsidRPr="00186490" w:rsidRDefault="001A6266"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Zowel voor het misdrijf aantasting van de seksuele integriteit als voor verkrachting, maakt de afwezigheid van een geldige toestemming in hoofde van het slachtoffer voortaan ontegensprekelijk een constitutief bestanddeel van het misdrijf uit.</w:t>
      </w:r>
      <w:r>
        <w:rPr>
          <w:rStyle w:val="FootnoteReference"/>
          <w:color w:val="000000" w:themeColor="text1"/>
          <w:szCs w:val="18"/>
          <w:lang w:val="nl-NL"/>
        </w:rPr>
        <w:footnoteReference w:id="519"/>
      </w:r>
      <w:r>
        <w:rPr>
          <w:color w:val="000000" w:themeColor="text1"/>
          <w:szCs w:val="18"/>
          <w:lang w:val="nl-NL"/>
        </w:rPr>
        <w:t xml:space="preserve"> De wetgever heeft daarenboven </w:t>
      </w:r>
      <w:r w:rsidR="002C23E7">
        <w:rPr>
          <w:color w:val="000000" w:themeColor="text1"/>
          <w:szCs w:val="18"/>
          <w:lang w:val="nl-NL"/>
        </w:rPr>
        <w:t>uitdrukkelijk</w:t>
      </w:r>
      <w:r>
        <w:rPr>
          <w:color w:val="000000" w:themeColor="text1"/>
          <w:szCs w:val="18"/>
          <w:lang w:val="nl-NL"/>
        </w:rPr>
        <w:t xml:space="preserve"> bepaald wat dient te worden verstaan onder een geldige toestemming, door in </w:t>
      </w:r>
      <w:r>
        <w:rPr>
          <w:lang w:val="nl-NL"/>
        </w:rPr>
        <w:t xml:space="preserve">artikel 417/5 </w:t>
      </w:r>
      <w:r w:rsidR="0081584B">
        <w:rPr>
          <w:lang w:val="nl-NL"/>
        </w:rPr>
        <w:t xml:space="preserve">van het </w:t>
      </w:r>
      <w:r>
        <w:rPr>
          <w:lang w:val="nl-NL"/>
        </w:rPr>
        <w:t>Strafwetboek</w:t>
      </w:r>
      <w:r w:rsidRPr="001A6266">
        <w:rPr>
          <w:lang w:val="nl-NL"/>
        </w:rPr>
        <w:t xml:space="preserve"> </w:t>
      </w:r>
      <w:r>
        <w:rPr>
          <w:lang w:val="nl-NL"/>
        </w:rPr>
        <w:t>een overkoepelende</w:t>
      </w:r>
      <w:r>
        <w:rPr>
          <w:rStyle w:val="FootnoteReference"/>
          <w:lang w:val="nl-NL"/>
        </w:rPr>
        <w:footnoteReference w:id="520"/>
      </w:r>
      <w:r>
        <w:rPr>
          <w:lang w:val="nl-NL"/>
        </w:rPr>
        <w:t xml:space="preserve"> definitie van toestemming m.b.t. het seksueel zelfbeschikkingsrecht te voorzien</w:t>
      </w:r>
      <w:r w:rsidR="0013634F" w:rsidRPr="001A6266">
        <w:rPr>
          <w:color w:val="000000" w:themeColor="text1"/>
          <w:szCs w:val="18"/>
          <w:lang w:val="nl-NL"/>
        </w:rPr>
        <w:t>.</w:t>
      </w:r>
    </w:p>
    <w:p w14:paraId="7088CBF5" w14:textId="77777777" w:rsidR="00186490" w:rsidRDefault="00186490" w:rsidP="00260F11">
      <w:pPr>
        <w:pStyle w:val="ListParagraph"/>
        <w:spacing w:line="360" w:lineRule="auto"/>
        <w:ind w:left="0"/>
        <w:rPr>
          <w:color w:val="000000" w:themeColor="text1"/>
          <w:szCs w:val="18"/>
          <w:lang w:val="nl-NL"/>
        </w:rPr>
      </w:pPr>
    </w:p>
    <w:p w14:paraId="4F9F16F3" w14:textId="2FD8CC2E" w:rsidR="00942807" w:rsidRDefault="00DD7C9B" w:rsidP="00260F11">
      <w:pPr>
        <w:pStyle w:val="ListParagraph"/>
        <w:spacing w:line="360" w:lineRule="auto"/>
        <w:ind w:left="0"/>
        <w:rPr>
          <w:color w:val="000000" w:themeColor="text1"/>
          <w:szCs w:val="18"/>
          <w:lang w:val="nl-NL"/>
        </w:rPr>
      </w:pPr>
      <w:r w:rsidRPr="001A6266">
        <w:rPr>
          <w:color w:val="000000" w:themeColor="text1"/>
          <w:szCs w:val="18"/>
          <w:lang w:val="nl-NL"/>
        </w:rPr>
        <w:t xml:space="preserve">De </w:t>
      </w:r>
      <w:r w:rsidRPr="001A6266">
        <w:rPr>
          <w:lang w:val="nl-NL"/>
        </w:rPr>
        <w:t>wetgever beoogde hiermee meer uniformiteit te creëren tussen de verschillende niet-consensuele seksuele misdrijven</w:t>
      </w:r>
      <w:r>
        <w:rPr>
          <w:lang w:val="nl-NL"/>
        </w:rPr>
        <w:t>,</w:t>
      </w:r>
      <w:r>
        <w:rPr>
          <w:rStyle w:val="FootnoteReference"/>
          <w:lang w:val="nl-NL"/>
        </w:rPr>
        <w:footnoteReference w:id="521"/>
      </w:r>
      <w:r>
        <w:rPr>
          <w:lang w:val="nl-NL"/>
        </w:rPr>
        <w:t xml:space="preserve"> en is daar op dit punt dan ook in geslaagd. </w:t>
      </w:r>
      <w:r w:rsidR="00942807">
        <w:rPr>
          <w:lang w:val="nl-NL"/>
        </w:rPr>
        <w:t xml:space="preserve">Dit </w:t>
      </w:r>
      <w:r>
        <w:rPr>
          <w:lang w:val="nl-NL"/>
        </w:rPr>
        <w:t xml:space="preserve">bevordert m.i. de rechtszekerheid, daar voor elk van beide misdrijven voortaan duidelijk is dat </w:t>
      </w:r>
      <w:r w:rsidR="00BD52B0">
        <w:rPr>
          <w:lang w:val="nl-NL"/>
        </w:rPr>
        <w:t>het constitutief bestanddeel m.b.t. de afwezigheid van toestemming</w:t>
      </w:r>
      <w:r>
        <w:rPr>
          <w:lang w:val="nl-NL"/>
        </w:rPr>
        <w:t xml:space="preserve"> eenzelfde invulling </w:t>
      </w:r>
      <w:r w:rsidR="00BD52B0">
        <w:rPr>
          <w:lang w:val="nl-NL"/>
        </w:rPr>
        <w:t>krijgt</w:t>
      </w:r>
      <w:r w:rsidR="00C928ED" w:rsidRPr="006D0D2A">
        <w:rPr>
          <w:color w:val="000000" w:themeColor="text1"/>
          <w:szCs w:val="18"/>
          <w:lang w:val="nl-NL"/>
        </w:rPr>
        <w:t>.</w:t>
      </w:r>
      <w:r w:rsidR="00F267F0">
        <w:rPr>
          <w:color w:val="000000" w:themeColor="text1"/>
          <w:szCs w:val="18"/>
          <w:lang w:val="nl-NL"/>
        </w:rPr>
        <w:t xml:space="preserve"> </w:t>
      </w:r>
    </w:p>
    <w:p w14:paraId="2B1DD0BC" w14:textId="77777777" w:rsidR="00942807" w:rsidRDefault="00942807" w:rsidP="00260F11">
      <w:pPr>
        <w:pStyle w:val="ListParagraph"/>
        <w:spacing w:line="360" w:lineRule="auto"/>
        <w:ind w:left="0"/>
        <w:rPr>
          <w:color w:val="000000" w:themeColor="text1"/>
          <w:szCs w:val="18"/>
          <w:lang w:val="nl-NL"/>
        </w:rPr>
      </w:pPr>
    </w:p>
    <w:p w14:paraId="0458B961" w14:textId="6D473B3A" w:rsidR="00BD52B0" w:rsidRDefault="00F267F0" w:rsidP="00260F11">
      <w:pPr>
        <w:pStyle w:val="ListParagraph"/>
        <w:spacing w:line="360" w:lineRule="auto"/>
        <w:ind w:left="0"/>
        <w:rPr>
          <w:color w:val="000000" w:themeColor="text1"/>
          <w:szCs w:val="18"/>
          <w:lang w:val="nl-NL"/>
        </w:rPr>
      </w:pPr>
      <w:r>
        <w:rPr>
          <w:color w:val="000000" w:themeColor="text1"/>
          <w:szCs w:val="18"/>
          <w:lang w:val="nl-NL"/>
        </w:rPr>
        <w:t xml:space="preserve">Dit lijkt bovendien verantwoord </w:t>
      </w:r>
      <w:r w:rsidR="00942807">
        <w:rPr>
          <w:color w:val="000000" w:themeColor="text1"/>
          <w:szCs w:val="18"/>
          <w:lang w:val="nl-NL"/>
        </w:rPr>
        <w:t>vanuit</w:t>
      </w:r>
      <w:r>
        <w:rPr>
          <w:color w:val="000000" w:themeColor="text1"/>
          <w:szCs w:val="18"/>
          <w:lang w:val="nl-NL"/>
        </w:rPr>
        <w:t xml:space="preserve"> rechtsvergelijkend perspectief. </w:t>
      </w:r>
      <w:r w:rsidRPr="00DD6B2E">
        <w:rPr>
          <w:color w:val="000000" w:themeColor="text1"/>
          <w:lang w:val="nl-NL"/>
        </w:rPr>
        <w:t xml:space="preserve">Ook naar Brits recht vormt </w:t>
      </w:r>
      <w:r w:rsidRPr="00DD6B2E">
        <w:rPr>
          <w:color w:val="000000" w:themeColor="text1"/>
          <w:szCs w:val="18"/>
          <w:lang w:val="nl-NL"/>
        </w:rPr>
        <w:t xml:space="preserve">het gebrek aan toestemming in hoofde van het slachtoffer </w:t>
      </w:r>
      <w:r>
        <w:rPr>
          <w:color w:val="000000" w:themeColor="text1"/>
          <w:szCs w:val="18"/>
          <w:lang w:val="nl-NL"/>
        </w:rPr>
        <w:t xml:space="preserve">immers </w:t>
      </w:r>
      <w:r w:rsidRPr="00DD6B2E">
        <w:rPr>
          <w:color w:val="000000" w:themeColor="text1"/>
          <w:szCs w:val="18"/>
          <w:lang w:val="nl-NL"/>
        </w:rPr>
        <w:t>een constitutief bestanddeel bij elk van de besproken zedenmisdrijven</w:t>
      </w:r>
      <w:r w:rsidRPr="00DD6B2E">
        <w:rPr>
          <w:rStyle w:val="FootnoteReference"/>
          <w:color w:val="000000" w:themeColor="text1"/>
          <w:szCs w:val="18"/>
          <w:lang w:val="nl-NL"/>
        </w:rPr>
        <w:footnoteReference w:id="522"/>
      </w:r>
      <w:r w:rsidRPr="00DD6B2E">
        <w:rPr>
          <w:color w:val="000000" w:themeColor="text1"/>
          <w:szCs w:val="18"/>
          <w:lang w:val="nl-NL"/>
        </w:rPr>
        <w:t xml:space="preserve"> en voorziet de wetgever in </w:t>
      </w:r>
      <w:r w:rsidR="00942807">
        <w:rPr>
          <w:color w:val="000000" w:themeColor="text1"/>
          <w:szCs w:val="18"/>
          <w:lang w:val="nl-NL"/>
        </w:rPr>
        <w:t>een</w:t>
      </w:r>
      <w:r w:rsidRPr="00DD6B2E">
        <w:rPr>
          <w:color w:val="000000" w:themeColor="text1"/>
          <w:szCs w:val="18"/>
          <w:lang w:val="nl-NL"/>
        </w:rPr>
        <w:t xml:space="preserve"> overkoepelende definitie hiervan.</w:t>
      </w:r>
      <w:r w:rsidRPr="00DD6B2E">
        <w:rPr>
          <w:rStyle w:val="FootnoteReference"/>
          <w:color w:val="000000" w:themeColor="text1"/>
          <w:szCs w:val="18"/>
          <w:lang w:val="nl-NL"/>
        </w:rPr>
        <w:footnoteReference w:id="523"/>
      </w:r>
      <w:r w:rsidRPr="001A6266">
        <w:rPr>
          <w:color w:val="000000" w:themeColor="text1"/>
          <w:szCs w:val="18"/>
          <w:lang w:val="nl-NL"/>
        </w:rPr>
        <w:t xml:space="preserve"> </w:t>
      </w:r>
    </w:p>
    <w:p w14:paraId="4939BC25" w14:textId="77777777" w:rsidR="00BD52B0" w:rsidRDefault="00BD52B0" w:rsidP="00260F11">
      <w:pPr>
        <w:pStyle w:val="ListParagraph"/>
        <w:spacing w:line="360" w:lineRule="auto"/>
        <w:ind w:left="0"/>
        <w:rPr>
          <w:color w:val="000000" w:themeColor="text1"/>
          <w:szCs w:val="18"/>
          <w:lang w:val="nl-NL"/>
        </w:rPr>
      </w:pPr>
    </w:p>
    <w:p w14:paraId="2EF5CB1D" w14:textId="552CDD22" w:rsidR="00BD52B0" w:rsidRPr="006D0D2A" w:rsidRDefault="00BD52B0" w:rsidP="00260F11">
      <w:pPr>
        <w:pStyle w:val="ListParagraph"/>
        <w:spacing w:line="360" w:lineRule="auto"/>
        <w:ind w:left="0"/>
        <w:rPr>
          <w:color w:val="000000" w:themeColor="text1"/>
          <w:szCs w:val="18"/>
          <w:lang w:val="nl-NL"/>
        </w:rPr>
      </w:pPr>
      <w:r w:rsidRPr="001A6266">
        <w:rPr>
          <w:color w:val="000000" w:themeColor="text1"/>
          <w:szCs w:val="18"/>
          <w:lang w:val="nl-NL"/>
        </w:rPr>
        <w:t xml:space="preserve">Het feit dat voortaan ook </w:t>
      </w:r>
      <w:r w:rsidRPr="006D0D2A">
        <w:rPr>
          <w:color w:val="000000" w:themeColor="text1"/>
          <w:szCs w:val="18"/>
          <w:lang w:val="nl-NL"/>
        </w:rPr>
        <w:t>in het Belgisch rechtsstelsel een overkoepelende definitie van toestemming voorhanden is, dient m.i. dan ook als positief te worden beschouwd</w:t>
      </w:r>
      <w:r w:rsidR="00DC7D45">
        <w:rPr>
          <w:color w:val="000000" w:themeColor="text1"/>
          <w:szCs w:val="18"/>
          <w:lang w:val="nl-NL"/>
        </w:rPr>
        <w:t>.</w:t>
      </w:r>
    </w:p>
    <w:p w14:paraId="27AD88DF" w14:textId="69C47834" w:rsidR="00E254C3" w:rsidRPr="006D0D2A" w:rsidRDefault="00E254C3" w:rsidP="00260F11">
      <w:pPr>
        <w:spacing w:line="360" w:lineRule="auto"/>
        <w:rPr>
          <w:color w:val="000000" w:themeColor="text1"/>
          <w:szCs w:val="18"/>
          <w:lang w:val="nl-NL"/>
        </w:rPr>
      </w:pPr>
    </w:p>
    <w:p w14:paraId="629A8189" w14:textId="60A60E0F" w:rsidR="00007EEB" w:rsidRPr="006D0D2A" w:rsidRDefault="00A80129" w:rsidP="00260F11">
      <w:pPr>
        <w:pStyle w:val="Heading5"/>
        <w:spacing w:line="360" w:lineRule="auto"/>
        <w:rPr>
          <w:lang w:val="nl-NL"/>
        </w:rPr>
      </w:pPr>
      <w:bookmarkStart w:id="71" w:name="_Toc135041099"/>
      <w:r w:rsidRPr="006D0D2A">
        <w:rPr>
          <w:lang w:val="nl-NL"/>
        </w:rPr>
        <w:t>Inhoud definitie</w:t>
      </w:r>
      <w:bookmarkEnd w:id="71"/>
    </w:p>
    <w:p w14:paraId="5C685BAE" w14:textId="77777777" w:rsidR="00007EEB" w:rsidRPr="006D0D2A" w:rsidRDefault="00007EEB" w:rsidP="00260F11">
      <w:pPr>
        <w:pStyle w:val="ListParagraph"/>
        <w:spacing w:line="360" w:lineRule="auto"/>
        <w:rPr>
          <w:color w:val="000000" w:themeColor="text1"/>
          <w:szCs w:val="18"/>
          <w:lang w:val="nl-NL"/>
        </w:rPr>
      </w:pPr>
    </w:p>
    <w:p w14:paraId="1E6D78AA" w14:textId="1494D634" w:rsidR="0033657A" w:rsidRPr="00872889" w:rsidRDefault="00CA2A04" w:rsidP="00260F11">
      <w:pPr>
        <w:pStyle w:val="ListParagraph"/>
        <w:numPr>
          <w:ilvl w:val="0"/>
          <w:numId w:val="1"/>
        </w:numPr>
        <w:spacing w:line="360" w:lineRule="auto"/>
        <w:ind w:left="0" w:hanging="709"/>
        <w:rPr>
          <w:color w:val="000000" w:themeColor="text1"/>
          <w:szCs w:val="18"/>
          <w:lang w:val="nl-NL"/>
        </w:rPr>
      </w:pPr>
      <w:r w:rsidRPr="006D0D2A">
        <w:rPr>
          <w:b/>
          <w:color w:val="000000" w:themeColor="text1"/>
          <w:szCs w:val="18"/>
          <w:lang w:val="nl-NL"/>
        </w:rPr>
        <w:t>Positieve punten</w:t>
      </w:r>
      <w:r w:rsidRPr="006D0D2A">
        <w:rPr>
          <w:color w:val="000000" w:themeColor="text1"/>
          <w:szCs w:val="18"/>
          <w:lang w:val="nl-NL"/>
        </w:rPr>
        <w:t xml:space="preserve">. </w:t>
      </w:r>
      <w:r w:rsidR="00A82B46" w:rsidRPr="006D0D2A">
        <w:rPr>
          <w:color w:val="000000" w:themeColor="text1"/>
          <w:szCs w:val="18"/>
          <w:lang w:val="nl-NL"/>
        </w:rPr>
        <w:t>Inhoudelijk kent de definitie m.i. zowel positieve als negatieve punten.</w:t>
      </w:r>
      <w:r w:rsidR="00454431" w:rsidRPr="006D0D2A">
        <w:rPr>
          <w:color w:val="000000" w:themeColor="text1"/>
          <w:szCs w:val="18"/>
          <w:lang w:val="nl-NL"/>
        </w:rPr>
        <w:t xml:space="preserve"> </w:t>
      </w:r>
      <w:r w:rsidR="00532213" w:rsidRPr="006D0D2A">
        <w:rPr>
          <w:color w:val="000000" w:themeColor="text1"/>
          <w:szCs w:val="18"/>
          <w:lang w:val="nl-NL"/>
        </w:rPr>
        <w:t>Zo bepaalt de</w:t>
      </w:r>
      <w:r w:rsidR="0033657A" w:rsidRPr="006D0D2A">
        <w:rPr>
          <w:color w:val="000000" w:themeColor="text1"/>
          <w:szCs w:val="18"/>
          <w:lang w:val="nl-NL"/>
        </w:rPr>
        <w:t xml:space="preserve"> wetgever voortaan expliciet dat toestemming niet kan worden afgeleid uit een gebrek aan verweer</w:t>
      </w:r>
      <w:r w:rsidR="00B43D91" w:rsidRPr="006D0D2A">
        <w:rPr>
          <w:color w:val="000000" w:themeColor="text1"/>
          <w:szCs w:val="18"/>
          <w:lang w:val="nl-NL"/>
        </w:rPr>
        <w:t>.</w:t>
      </w:r>
      <w:r w:rsidR="006D0D2A" w:rsidRPr="006D0D2A">
        <w:rPr>
          <w:rStyle w:val="FootnoteReference"/>
          <w:color w:val="000000" w:themeColor="text1"/>
          <w:szCs w:val="18"/>
          <w:lang w:val="nl-NL"/>
        </w:rPr>
        <w:footnoteReference w:id="524"/>
      </w:r>
      <w:r w:rsidR="00B43D91" w:rsidRPr="006D0D2A">
        <w:rPr>
          <w:color w:val="000000" w:themeColor="text1"/>
          <w:szCs w:val="18"/>
          <w:lang w:val="nl-NL"/>
        </w:rPr>
        <w:t xml:space="preserve"> </w:t>
      </w:r>
      <w:r w:rsidR="00532213" w:rsidRPr="006D0D2A">
        <w:rPr>
          <w:color w:val="000000" w:themeColor="text1"/>
          <w:szCs w:val="18"/>
          <w:lang w:val="nl-NL"/>
        </w:rPr>
        <w:t xml:space="preserve">Hoewel dit </w:t>
      </w:r>
      <w:r w:rsidR="006D07A3">
        <w:rPr>
          <w:color w:val="000000" w:themeColor="text1"/>
          <w:szCs w:val="18"/>
          <w:lang w:val="nl-NL"/>
        </w:rPr>
        <w:t xml:space="preserve">wellicht </w:t>
      </w:r>
      <w:r w:rsidR="00532213" w:rsidRPr="006D0D2A">
        <w:rPr>
          <w:color w:val="000000" w:themeColor="text1"/>
          <w:szCs w:val="18"/>
          <w:lang w:val="nl-NL"/>
        </w:rPr>
        <w:t>meer verandering teweegbrengt</w:t>
      </w:r>
      <w:r w:rsidR="001B19AB">
        <w:rPr>
          <w:color w:val="000000" w:themeColor="text1"/>
          <w:szCs w:val="18"/>
          <w:lang w:val="nl-NL"/>
        </w:rPr>
        <w:t xml:space="preserve"> voor het misdrijf van</w:t>
      </w:r>
      <w:r w:rsidR="00532213" w:rsidRPr="006D0D2A">
        <w:rPr>
          <w:color w:val="000000" w:themeColor="text1"/>
          <w:szCs w:val="18"/>
          <w:lang w:val="nl-NL"/>
        </w:rPr>
        <w:t xml:space="preserve"> aantasting van de seksuele integriteit,</w:t>
      </w:r>
      <w:r w:rsidR="00532213" w:rsidRPr="006D0D2A">
        <w:rPr>
          <w:rStyle w:val="FootnoteReference"/>
          <w:color w:val="000000" w:themeColor="text1"/>
          <w:szCs w:val="18"/>
          <w:lang w:val="nl-NL"/>
        </w:rPr>
        <w:footnoteReference w:id="525"/>
      </w:r>
      <w:r w:rsidR="00532213" w:rsidRPr="006D0D2A">
        <w:rPr>
          <w:color w:val="000000" w:themeColor="text1"/>
          <w:szCs w:val="18"/>
          <w:lang w:val="nl-NL"/>
        </w:rPr>
        <w:t xml:space="preserve"> is dit </w:t>
      </w:r>
      <w:r w:rsidR="00AB42CF" w:rsidRPr="006D0D2A">
        <w:rPr>
          <w:color w:val="000000" w:themeColor="text1"/>
          <w:szCs w:val="18"/>
          <w:lang w:val="nl-NL"/>
        </w:rPr>
        <w:t xml:space="preserve">m.i. </w:t>
      </w:r>
      <w:r w:rsidR="00532213" w:rsidRPr="006D0D2A">
        <w:rPr>
          <w:color w:val="000000" w:themeColor="text1"/>
          <w:szCs w:val="18"/>
          <w:lang w:val="nl-NL"/>
        </w:rPr>
        <w:t>zeker ook als een positief punt aan te merken voor het misdrijf verkrachting.</w:t>
      </w:r>
      <w:r w:rsidR="005A0323">
        <w:rPr>
          <w:rStyle w:val="FootnoteReference"/>
          <w:color w:val="000000" w:themeColor="text1"/>
          <w:szCs w:val="18"/>
          <w:lang w:val="nl-NL"/>
        </w:rPr>
        <w:footnoteReference w:id="526"/>
      </w:r>
      <w:r w:rsidR="00532213" w:rsidRPr="006D0D2A">
        <w:rPr>
          <w:color w:val="000000" w:themeColor="text1"/>
          <w:szCs w:val="18"/>
          <w:lang w:val="nl-NL"/>
        </w:rPr>
        <w:t xml:space="preserve"> Het Belgisch recht </w:t>
      </w:r>
      <w:r w:rsidR="00532213" w:rsidRPr="00872889">
        <w:rPr>
          <w:color w:val="000000" w:themeColor="text1"/>
          <w:szCs w:val="18"/>
          <w:lang w:val="nl-NL"/>
        </w:rPr>
        <w:t>wordt hierdoor immers</w:t>
      </w:r>
      <w:r w:rsidR="009F06AD" w:rsidRPr="00872889">
        <w:rPr>
          <w:color w:val="000000" w:themeColor="text1"/>
          <w:szCs w:val="18"/>
          <w:lang w:val="nl-NL"/>
        </w:rPr>
        <w:t xml:space="preserve"> uitdrukkelijk</w:t>
      </w:r>
      <w:r w:rsidR="00532213" w:rsidRPr="00872889">
        <w:rPr>
          <w:color w:val="000000" w:themeColor="text1"/>
          <w:szCs w:val="18"/>
          <w:lang w:val="nl-NL"/>
        </w:rPr>
        <w:t xml:space="preserve"> in overeenstemming gebracht met de rechtspraak van het </w:t>
      </w:r>
      <w:r w:rsidR="00532213" w:rsidRPr="002A6C8A">
        <w:rPr>
          <w:color w:val="000000" w:themeColor="text1"/>
          <w:szCs w:val="18"/>
          <w:lang w:val="nl-NL"/>
        </w:rPr>
        <w:t>EHRM.</w:t>
      </w:r>
      <w:r w:rsidR="002A6C8A" w:rsidRPr="002A6C8A">
        <w:rPr>
          <w:rStyle w:val="FootnoteReference"/>
          <w:color w:val="000000" w:themeColor="text1"/>
          <w:szCs w:val="18"/>
          <w:lang w:val="nl-NL"/>
        </w:rPr>
        <w:footnoteReference w:id="527"/>
      </w:r>
    </w:p>
    <w:p w14:paraId="232847D8" w14:textId="7177AEB0" w:rsidR="006D07A3" w:rsidRDefault="006D07A3" w:rsidP="00260F11">
      <w:pPr>
        <w:pStyle w:val="ListParagraph"/>
        <w:spacing w:line="360" w:lineRule="auto"/>
        <w:ind w:left="0"/>
        <w:rPr>
          <w:color w:val="000000" w:themeColor="text1"/>
          <w:szCs w:val="18"/>
          <w:lang w:val="nl-NL"/>
        </w:rPr>
      </w:pPr>
      <w:r>
        <w:rPr>
          <w:color w:val="000000" w:themeColor="text1"/>
          <w:szCs w:val="18"/>
          <w:lang w:val="nl-NL"/>
        </w:rPr>
        <w:lastRenderedPageBreak/>
        <w:t>Daarnaast</w:t>
      </w:r>
      <w:r w:rsidR="0041634E" w:rsidRPr="006D0D2A">
        <w:rPr>
          <w:color w:val="000000" w:themeColor="text1"/>
          <w:szCs w:val="18"/>
          <w:lang w:val="nl-NL"/>
        </w:rPr>
        <w:t xml:space="preserve"> </w:t>
      </w:r>
      <w:r w:rsidR="00454431" w:rsidRPr="006D0D2A">
        <w:rPr>
          <w:color w:val="000000" w:themeColor="text1"/>
          <w:szCs w:val="18"/>
          <w:lang w:val="nl-NL"/>
        </w:rPr>
        <w:t>wordt</w:t>
      </w:r>
      <w:r w:rsidR="0041634E" w:rsidRPr="006D0D2A">
        <w:rPr>
          <w:color w:val="000000" w:themeColor="text1"/>
          <w:szCs w:val="18"/>
          <w:lang w:val="nl-NL"/>
        </w:rPr>
        <w:t xml:space="preserve"> ook expliciet</w:t>
      </w:r>
      <w:r w:rsidR="00454431" w:rsidRPr="006D0D2A">
        <w:rPr>
          <w:color w:val="000000" w:themeColor="text1"/>
          <w:szCs w:val="18"/>
          <w:lang w:val="nl-NL"/>
        </w:rPr>
        <w:t xml:space="preserve"> bepaald</w:t>
      </w:r>
      <w:r w:rsidR="0041634E" w:rsidRPr="006D0D2A">
        <w:rPr>
          <w:color w:val="000000" w:themeColor="text1"/>
          <w:szCs w:val="18"/>
          <w:lang w:val="nl-NL"/>
        </w:rPr>
        <w:t xml:space="preserve"> dat toestemming op elk moment kan worden ingetrokken, zowel voor als tijdens de seksuele handeling.</w:t>
      </w:r>
      <w:r w:rsidR="00267645" w:rsidRPr="006D0D2A">
        <w:rPr>
          <w:color w:val="000000" w:themeColor="text1"/>
          <w:szCs w:val="18"/>
          <w:lang w:val="nl-NL"/>
        </w:rPr>
        <w:t xml:space="preserve"> </w:t>
      </w:r>
      <w:r w:rsidR="004406B1" w:rsidRPr="006D0D2A">
        <w:rPr>
          <w:color w:val="000000" w:themeColor="text1"/>
          <w:szCs w:val="18"/>
          <w:lang w:val="nl-NL"/>
        </w:rPr>
        <w:t xml:space="preserve">Gelet op de discussie hieromtrent </w:t>
      </w:r>
      <w:r w:rsidR="00F66562">
        <w:rPr>
          <w:color w:val="000000" w:themeColor="text1"/>
          <w:szCs w:val="18"/>
          <w:lang w:val="nl-NL"/>
        </w:rPr>
        <w:t>m.b.t.</w:t>
      </w:r>
      <w:r w:rsidR="004406B1" w:rsidRPr="006D0D2A">
        <w:rPr>
          <w:color w:val="000000" w:themeColor="text1"/>
          <w:szCs w:val="18"/>
          <w:lang w:val="nl-NL"/>
        </w:rPr>
        <w:t xml:space="preserve"> de oude strafbaarstelling van verkrachting</w:t>
      </w:r>
      <w:r w:rsidR="007964BB" w:rsidRPr="006D0D2A">
        <w:rPr>
          <w:color w:val="000000" w:themeColor="text1"/>
          <w:szCs w:val="18"/>
          <w:lang w:val="nl-NL"/>
        </w:rPr>
        <w:t>,</w:t>
      </w:r>
      <w:r w:rsidR="004406B1" w:rsidRPr="006D0D2A">
        <w:rPr>
          <w:rStyle w:val="FootnoteReference"/>
          <w:color w:val="000000" w:themeColor="text1"/>
          <w:szCs w:val="18"/>
          <w:lang w:val="nl-NL"/>
        </w:rPr>
        <w:footnoteReference w:id="528"/>
      </w:r>
      <w:r w:rsidR="004406B1" w:rsidRPr="006D0D2A">
        <w:rPr>
          <w:color w:val="000000" w:themeColor="text1"/>
          <w:szCs w:val="18"/>
          <w:lang w:val="nl-NL"/>
        </w:rPr>
        <w:t xml:space="preserve"> </w:t>
      </w:r>
      <w:r w:rsidR="00454431" w:rsidRPr="006D0D2A">
        <w:rPr>
          <w:color w:val="000000" w:themeColor="text1"/>
          <w:szCs w:val="18"/>
          <w:lang w:val="nl-NL"/>
        </w:rPr>
        <w:t xml:space="preserve">wordt </w:t>
      </w:r>
      <w:r w:rsidR="00AB42CF" w:rsidRPr="006D0D2A">
        <w:rPr>
          <w:color w:val="000000" w:themeColor="text1"/>
          <w:szCs w:val="18"/>
          <w:lang w:val="nl-NL"/>
        </w:rPr>
        <w:t xml:space="preserve">door deze verandering </w:t>
      </w:r>
      <w:r w:rsidR="00454431" w:rsidRPr="006D0D2A">
        <w:rPr>
          <w:color w:val="000000" w:themeColor="text1"/>
          <w:szCs w:val="18"/>
          <w:lang w:val="nl-NL"/>
        </w:rPr>
        <w:t>een einde gesteld</w:t>
      </w:r>
      <w:r w:rsidR="007964BB" w:rsidRPr="006D0D2A">
        <w:rPr>
          <w:color w:val="000000" w:themeColor="text1"/>
          <w:szCs w:val="18"/>
          <w:lang w:val="nl-NL"/>
        </w:rPr>
        <w:t xml:space="preserve"> </w:t>
      </w:r>
      <w:r w:rsidR="00454431" w:rsidRPr="006D0D2A">
        <w:rPr>
          <w:color w:val="000000" w:themeColor="text1"/>
          <w:szCs w:val="18"/>
          <w:lang w:val="nl-NL"/>
        </w:rPr>
        <w:t xml:space="preserve">aan </w:t>
      </w:r>
      <w:r w:rsidR="00F66562">
        <w:rPr>
          <w:color w:val="000000" w:themeColor="text1"/>
          <w:szCs w:val="18"/>
          <w:lang w:val="nl-NL"/>
        </w:rPr>
        <w:t>deze</w:t>
      </w:r>
      <w:r w:rsidR="00454431" w:rsidRPr="006D0D2A">
        <w:rPr>
          <w:color w:val="000000" w:themeColor="text1"/>
          <w:szCs w:val="18"/>
          <w:lang w:val="nl-NL"/>
        </w:rPr>
        <w:t xml:space="preserve"> discussie </w:t>
      </w:r>
      <w:r w:rsidR="00DC7D45">
        <w:rPr>
          <w:color w:val="000000" w:themeColor="text1"/>
          <w:szCs w:val="18"/>
          <w:lang w:val="nl-NL"/>
        </w:rPr>
        <w:t>en</w:t>
      </w:r>
      <w:r w:rsidR="00F66562">
        <w:rPr>
          <w:color w:val="000000" w:themeColor="text1"/>
          <w:szCs w:val="18"/>
          <w:lang w:val="nl-NL"/>
        </w:rPr>
        <w:t xml:space="preserve"> aan</w:t>
      </w:r>
      <w:r w:rsidR="007964BB" w:rsidRPr="006D0D2A">
        <w:rPr>
          <w:color w:val="000000" w:themeColor="text1"/>
          <w:szCs w:val="18"/>
          <w:lang w:val="nl-NL"/>
        </w:rPr>
        <w:t xml:space="preserve"> de</w:t>
      </w:r>
      <w:r w:rsidR="004406B1" w:rsidRPr="006D0D2A">
        <w:rPr>
          <w:color w:val="000000" w:themeColor="text1"/>
          <w:szCs w:val="18"/>
          <w:lang w:val="nl-NL"/>
        </w:rPr>
        <w:t xml:space="preserve"> </w:t>
      </w:r>
      <w:r w:rsidR="004406B1" w:rsidRPr="00413AA1">
        <w:rPr>
          <w:color w:val="000000" w:themeColor="text1"/>
          <w:szCs w:val="18"/>
          <w:lang w:val="nl-NL"/>
        </w:rPr>
        <w:t xml:space="preserve">daarmee gepaard gaande rechtsonzekerheid. </w:t>
      </w:r>
      <w:r w:rsidRPr="00413AA1">
        <w:rPr>
          <w:color w:val="000000" w:themeColor="text1"/>
          <w:szCs w:val="18"/>
          <w:lang w:val="nl-NL"/>
        </w:rPr>
        <w:t>Bovendien lijkt dit ook in overeenstemming te zijn met internationaalrechtelijke vereisten, op grond waarvan elke niet-consensuele seksuele handeling strafbaar moet worden gesteld.</w:t>
      </w:r>
      <w:r w:rsidR="00413AA1" w:rsidRPr="00413AA1">
        <w:rPr>
          <w:rStyle w:val="FootnoteReference"/>
          <w:color w:val="000000" w:themeColor="text1"/>
          <w:szCs w:val="18"/>
          <w:lang w:val="nl-NL"/>
        </w:rPr>
        <w:footnoteReference w:id="529"/>
      </w:r>
      <w:r w:rsidRPr="00413AA1">
        <w:rPr>
          <w:color w:val="000000" w:themeColor="text1"/>
          <w:szCs w:val="18"/>
          <w:lang w:val="nl-NL"/>
        </w:rPr>
        <w:t xml:space="preserve"> Ook een handeling die consensueel aanving, kan door de intrekking van de toestemming uitmonden in</w:t>
      </w:r>
      <w:r>
        <w:rPr>
          <w:color w:val="000000" w:themeColor="text1"/>
          <w:szCs w:val="18"/>
          <w:lang w:val="nl-NL"/>
        </w:rPr>
        <w:t xml:space="preserve"> een niet-consensuele seksuele handeling.</w:t>
      </w:r>
    </w:p>
    <w:p w14:paraId="7E9EF95D" w14:textId="77777777" w:rsidR="006D07A3" w:rsidRDefault="006D07A3" w:rsidP="00260F11">
      <w:pPr>
        <w:pStyle w:val="ListParagraph"/>
        <w:spacing w:line="360" w:lineRule="auto"/>
        <w:ind w:left="0"/>
        <w:rPr>
          <w:color w:val="000000" w:themeColor="text1"/>
          <w:szCs w:val="18"/>
          <w:lang w:val="nl-NL"/>
        </w:rPr>
      </w:pPr>
    </w:p>
    <w:p w14:paraId="3AB86110" w14:textId="04C7DEC1" w:rsidR="00E0589E" w:rsidRPr="006D0D2A" w:rsidRDefault="006D07A3" w:rsidP="00260F11">
      <w:pPr>
        <w:pStyle w:val="ListParagraph"/>
        <w:spacing w:line="360" w:lineRule="auto"/>
        <w:ind w:left="0"/>
        <w:rPr>
          <w:color w:val="000000" w:themeColor="text1"/>
          <w:szCs w:val="18"/>
          <w:lang w:val="nl-NL"/>
        </w:rPr>
      </w:pPr>
      <w:r>
        <w:rPr>
          <w:color w:val="000000" w:themeColor="text1"/>
          <w:szCs w:val="18"/>
          <w:lang w:val="nl-NL"/>
        </w:rPr>
        <w:t>Gelet op het bovenstaande</w:t>
      </w:r>
      <w:r w:rsidR="004406B1" w:rsidRPr="006D0D2A">
        <w:rPr>
          <w:color w:val="000000" w:themeColor="text1"/>
          <w:szCs w:val="18"/>
          <w:lang w:val="nl-NL"/>
        </w:rPr>
        <w:t xml:space="preserve"> is dit m.i. eveneens te beschouwen als een </w:t>
      </w:r>
      <w:r w:rsidR="000519D2" w:rsidRPr="006D0D2A">
        <w:rPr>
          <w:color w:val="000000" w:themeColor="text1"/>
          <w:szCs w:val="18"/>
          <w:lang w:val="nl-NL"/>
        </w:rPr>
        <w:t>welgekomen verandering</w:t>
      </w:r>
      <w:r w:rsidR="004406B1" w:rsidRPr="006D0D2A">
        <w:rPr>
          <w:color w:val="000000" w:themeColor="text1"/>
          <w:szCs w:val="18"/>
          <w:lang w:val="nl-NL"/>
        </w:rPr>
        <w:t>.</w:t>
      </w:r>
    </w:p>
    <w:p w14:paraId="0C3000B3" w14:textId="77777777" w:rsidR="00371998" w:rsidRPr="006D0D2A" w:rsidRDefault="00371998" w:rsidP="00260F11">
      <w:pPr>
        <w:pStyle w:val="ListParagraph"/>
        <w:spacing w:line="360" w:lineRule="auto"/>
        <w:ind w:left="0"/>
        <w:rPr>
          <w:color w:val="000000" w:themeColor="text1"/>
          <w:szCs w:val="18"/>
          <w:lang w:val="nl-NL"/>
        </w:rPr>
      </w:pPr>
    </w:p>
    <w:p w14:paraId="420978F0" w14:textId="5A9A82C9" w:rsidR="002D7988" w:rsidRPr="006D0D2A" w:rsidRDefault="00CA2A04" w:rsidP="00260F11">
      <w:pPr>
        <w:pStyle w:val="ListParagraph"/>
        <w:numPr>
          <w:ilvl w:val="0"/>
          <w:numId w:val="1"/>
        </w:numPr>
        <w:spacing w:line="360" w:lineRule="auto"/>
        <w:ind w:left="0" w:hanging="709"/>
        <w:rPr>
          <w:color w:val="000000" w:themeColor="text1"/>
          <w:szCs w:val="18"/>
          <w:lang w:val="nl-NL"/>
        </w:rPr>
      </w:pPr>
      <w:r w:rsidRPr="006D0D2A">
        <w:rPr>
          <w:b/>
          <w:color w:val="000000" w:themeColor="text1"/>
          <w:szCs w:val="18"/>
          <w:lang w:val="nl-NL"/>
        </w:rPr>
        <w:t>Negatieve punten</w:t>
      </w:r>
      <w:r w:rsidRPr="006D0D2A">
        <w:rPr>
          <w:color w:val="000000" w:themeColor="text1"/>
          <w:szCs w:val="18"/>
          <w:lang w:val="nl-NL"/>
        </w:rPr>
        <w:t xml:space="preserve">. </w:t>
      </w:r>
      <w:r w:rsidR="00F24A9D" w:rsidRPr="006D0D2A">
        <w:rPr>
          <w:color w:val="000000" w:themeColor="text1"/>
          <w:szCs w:val="18"/>
          <w:lang w:val="nl-NL"/>
        </w:rPr>
        <w:t>Daarnaast kunnen</w:t>
      </w:r>
      <w:r w:rsidR="00371998" w:rsidRPr="006D0D2A">
        <w:rPr>
          <w:color w:val="000000" w:themeColor="text1"/>
          <w:szCs w:val="18"/>
          <w:lang w:val="nl-NL"/>
        </w:rPr>
        <w:t xml:space="preserve"> ook kritische bedenkingen worden gemaakt</w:t>
      </w:r>
      <w:r w:rsidR="006D07A3">
        <w:rPr>
          <w:color w:val="000000" w:themeColor="text1"/>
          <w:szCs w:val="18"/>
          <w:lang w:val="nl-NL"/>
        </w:rPr>
        <w:t xml:space="preserve"> m.b.t. de definitie in artikel 417/5</w:t>
      </w:r>
      <w:r w:rsidR="0081584B">
        <w:rPr>
          <w:color w:val="000000" w:themeColor="text1"/>
          <w:szCs w:val="18"/>
          <w:lang w:val="nl-NL"/>
        </w:rPr>
        <w:t xml:space="preserve"> van het</w:t>
      </w:r>
      <w:r w:rsidR="006D07A3">
        <w:rPr>
          <w:color w:val="000000" w:themeColor="text1"/>
          <w:szCs w:val="18"/>
          <w:lang w:val="nl-NL"/>
        </w:rPr>
        <w:t xml:space="preserve"> Strafwetboek</w:t>
      </w:r>
      <w:r w:rsidR="00371998" w:rsidRPr="006D0D2A">
        <w:rPr>
          <w:color w:val="000000" w:themeColor="text1"/>
          <w:szCs w:val="18"/>
          <w:lang w:val="nl-NL"/>
        </w:rPr>
        <w:t xml:space="preserve">. </w:t>
      </w:r>
      <w:r w:rsidR="00E47DA1" w:rsidRPr="006D0D2A">
        <w:rPr>
          <w:color w:val="000000" w:themeColor="text1"/>
          <w:szCs w:val="18"/>
          <w:lang w:val="nl-NL"/>
        </w:rPr>
        <w:t>Vooreerst is de</w:t>
      </w:r>
      <w:r w:rsidR="006D07A3">
        <w:rPr>
          <w:color w:val="000000" w:themeColor="text1"/>
          <w:szCs w:val="18"/>
          <w:lang w:val="nl-NL"/>
        </w:rPr>
        <w:t>ze</w:t>
      </w:r>
      <w:r w:rsidR="00E47DA1" w:rsidRPr="006D0D2A">
        <w:rPr>
          <w:color w:val="000000" w:themeColor="text1"/>
          <w:szCs w:val="18"/>
          <w:lang w:val="nl-NL"/>
        </w:rPr>
        <w:t xml:space="preserve"> definitie </w:t>
      </w:r>
      <w:r w:rsidR="00FD7959" w:rsidRPr="006D0D2A">
        <w:rPr>
          <w:color w:val="000000" w:themeColor="text1"/>
          <w:szCs w:val="18"/>
          <w:lang w:val="nl-NL"/>
        </w:rPr>
        <w:t xml:space="preserve">dermate </w:t>
      </w:r>
      <w:r w:rsidR="00E47DA1" w:rsidRPr="006D0D2A">
        <w:rPr>
          <w:color w:val="000000" w:themeColor="text1"/>
          <w:szCs w:val="18"/>
          <w:lang w:val="nl-NL"/>
        </w:rPr>
        <w:t xml:space="preserve">lang geworden </w:t>
      </w:r>
      <w:r w:rsidR="00350A69" w:rsidRPr="006D0D2A">
        <w:rPr>
          <w:color w:val="000000" w:themeColor="text1"/>
          <w:szCs w:val="18"/>
          <w:lang w:val="nl-NL"/>
        </w:rPr>
        <w:t>waardoor</w:t>
      </w:r>
      <w:r w:rsidR="00E47DA1" w:rsidRPr="006D0D2A">
        <w:rPr>
          <w:color w:val="000000" w:themeColor="text1"/>
          <w:szCs w:val="18"/>
          <w:lang w:val="nl-NL"/>
        </w:rPr>
        <w:t xml:space="preserve"> </w:t>
      </w:r>
      <w:r w:rsidR="000715F6" w:rsidRPr="006D0D2A">
        <w:rPr>
          <w:color w:val="000000" w:themeColor="text1"/>
          <w:szCs w:val="18"/>
          <w:lang w:val="nl-NL"/>
        </w:rPr>
        <w:t>het m.i.</w:t>
      </w:r>
      <w:r w:rsidR="00350A69" w:rsidRPr="006D0D2A">
        <w:rPr>
          <w:color w:val="000000" w:themeColor="text1"/>
          <w:szCs w:val="18"/>
          <w:lang w:val="nl-NL"/>
        </w:rPr>
        <w:t xml:space="preserve"> aan duidelijkheid moet inboeten</w:t>
      </w:r>
      <w:r w:rsidR="000715F6" w:rsidRPr="006D0D2A">
        <w:rPr>
          <w:color w:val="000000" w:themeColor="text1"/>
          <w:szCs w:val="18"/>
          <w:lang w:val="nl-NL"/>
        </w:rPr>
        <w:t>.</w:t>
      </w:r>
      <w:r w:rsidR="007E07D0">
        <w:rPr>
          <w:rStyle w:val="FootnoteReference"/>
          <w:color w:val="000000" w:themeColor="text1"/>
          <w:szCs w:val="18"/>
          <w:lang w:val="nl-NL"/>
        </w:rPr>
        <w:footnoteReference w:id="530"/>
      </w:r>
      <w:r w:rsidR="000715F6" w:rsidRPr="006D0D2A">
        <w:rPr>
          <w:color w:val="000000" w:themeColor="text1"/>
          <w:szCs w:val="18"/>
          <w:lang w:val="nl-NL"/>
        </w:rPr>
        <w:t xml:space="preserve"> In d</w:t>
      </w:r>
      <w:r w:rsidR="00FD7959" w:rsidRPr="006D0D2A">
        <w:rPr>
          <w:color w:val="000000" w:themeColor="text1"/>
          <w:szCs w:val="18"/>
          <w:lang w:val="nl-NL"/>
        </w:rPr>
        <w:t>i</w:t>
      </w:r>
      <w:r w:rsidR="000715F6" w:rsidRPr="006D0D2A">
        <w:rPr>
          <w:color w:val="000000" w:themeColor="text1"/>
          <w:szCs w:val="18"/>
          <w:lang w:val="nl-NL"/>
        </w:rPr>
        <w:t>t opzicht lijkt de definitie die de</w:t>
      </w:r>
      <w:r w:rsidR="00C3338B" w:rsidRPr="006D0D2A">
        <w:rPr>
          <w:color w:val="000000" w:themeColor="text1"/>
          <w:szCs w:val="18"/>
          <w:lang w:val="nl-NL"/>
        </w:rPr>
        <w:t xml:space="preserve"> experten van de</w:t>
      </w:r>
      <w:r w:rsidR="000715F6" w:rsidRPr="006D0D2A">
        <w:rPr>
          <w:color w:val="000000" w:themeColor="text1"/>
          <w:szCs w:val="18"/>
          <w:lang w:val="nl-NL"/>
        </w:rPr>
        <w:t xml:space="preserve"> Commissie </w:t>
      </w:r>
      <w:r w:rsidR="008A6447" w:rsidRPr="006D0D2A">
        <w:rPr>
          <w:color w:val="000000" w:themeColor="text1"/>
          <w:szCs w:val="18"/>
          <w:lang w:val="nl-NL"/>
        </w:rPr>
        <w:t>tot</w:t>
      </w:r>
      <w:r w:rsidR="000715F6" w:rsidRPr="006D0D2A">
        <w:rPr>
          <w:color w:val="000000" w:themeColor="text1"/>
          <w:szCs w:val="18"/>
          <w:lang w:val="nl-NL"/>
        </w:rPr>
        <w:t xml:space="preserve"> hervorming van het strafrecht aanvankelijk had</w:t>
      </w:r>
      <w:r w:rsidR="006D07A3">
        <w:rPr>
          <w:color w:val="000000" w:themeColor="text1"/>
          <w:szCs w:val="18"/>
          <w:lang w:val="nl-NL"/>
        </w:rPr>
        <w:t>den</w:t>
      </w:r>
      <w:r w:rsidR="000715F6" w:rsidRPr="006D0D2A">
        <w:rPr>
          <w:color w:val="000000" w:themeColor="text1"/>
          <w:szCs w:val="18"/>
          <w:lang w:val="nl-NL"/>
        </w:rPr>
        <w:t xml:space="preserve"> voorgesteld duidelijker te zijn geformuleerd.</w:t>
      </w:r>
      <w:r w:rsidR="00FB5469" w:rsidRPr="006D0D2A">
        <w:rPr>
          <w:rStyle w:val="FootnoteReference"/>
          <w:color w:val="000000" w:themeColor="text1"/>
          <w:szCs w:val="18"/>
          <w:lang w:val="nl-NL"/>
        </w:rPr>
        <w:footnoteReference w:id="531"/>
      </w:r>
      <w:r w:rsidR="000715F6" w:rsidRPr="006D0D2A">
        <w:rPr>
          <w:color w:val="000000" w:themeColor="text1"/>
          <w:szCs w:val="18"/>
          <w:lang w:val="nl-NL"/>
        </w:rPr>
        <w:t xml:space="preserve"> Die definitie stemt in grote lijnen overeen met artikel 417/5</w:t>
      </w:r>
      <w:r w:rsidR="002326E1" w:rsidRPr="006D0D2A">
        <w:rPr>
          <w:color w:val="000000" w:themeColor="text1"/>
          <w:szCs w:val="18"/>
          <w:lang w:val="nl-NL"/>
        </w:rPr>
        <w:t>, eerste lid</w:t>
      </w:r>
      <w:r w:rsidR="0081584B">
        <w:rPr>
          <w:color w:val="000000" w:themeColor="text1"/>
          <w:szCs w:val="18"/>
          <w:lang w:val="nl-NL"/>
        </w:rPr>
        <w:t xml:space="preserve"> van het</w:t>
      </w:r>
      <w:r w:rsidR="002326E1" w:rsidRPr="006D0D2A">
        <w:rPr>
          <w:color w:val="000000" w:themeColor="text1"/>
          <w:szCs w:val="18"/>
          <w:lang w:val="nl-NL"/>
        </w:rPr>
        <w:t xml:space="preserve"> </w:t>
      </w:r>
      <w:r w:rsidR="000715F6" w:rsidRPr="006D0D2A">
        <w:rPr>
          <w:color w:val="000000" w:themeColor="text1"/>
          <w:szCs w:val="18"/>
          <w:lang w:val="nl-NL"/>
        </w:rPr>
        <w:t xml:space="preserve">Strafwetboek. </w:t>
      </w:r>
    </w:p>
    <w:p w14:paraId="1A136080" w14:textId="77777777" w:rsidR="002D7988" w:rsidRPr="006D0D2A" w:rsidRDefault="002D7988" w:rsidP="00260F11">
      <w:pPr>
        <w:pStyle w:val="ListParagraph"/>
        <w:spacing w:line="360" w:lineRule="auto"/>
        <w:ind w:left="0"/>
        <w:rPr>
          <w:color w:val="000000" w:themeColor="text1"/>
          <w:szCs w:val="18"/>
          <w:lang w:val="nl-NL"/>
        </w:rPr>
      </w:pPr>
    </w:p>
    <w:p w14:paraId="29585C4A" w14:textId="172F271E" w:rsidR="006D07A3" w:rsidRDefault="000715F6" w:rsidP="00260F11">
      <w:pPr>
        <w:pStyle w:val="ListParagraph"/>
        <w:spacing w:line="360" w:lineRule="auto"/>
        <w:ind w:left="0"/>
        <w:rPr>
          <w:color w:val="000000" w:themeColor="text1"/>
          <w:szCs w:val="18"/>
          <w:lang w:val="nl-NL"/>
        </w:rPr>
      </w:pPr>
      <w:r w:rsidRPr="006D0D2A">
        <w:rPr>
          <w:color w:val="000000" w:themeColor="text1"/>
          <w:szCs w:val="18"/>
          <w:lang w:val="nl-NL"/>
        </w:rPr>
        <w:t xml:space="preserve">De wetgever </w:t>
      </w:r>
      <w:r w:rsidR="007E07D0">
        <w:rPr>
          <w:color w:val="000000" w:themeColor="text1"/>
          <w:szCs w:val="18"/>
          <w:lang w:val="nl-NL"/>
        </w:rPr>
        <w:t xml:space="preserve">voegde </w:t>
      </w:r>
      <w:r w:rsidR="007E07D0" w:rsidRPr="006D0D2A">
        <w:rPr>
          <w:color w:val="000000" w:themeColor="text1"/>
          <w:szCs w:val="18"/>
          <w:lang w:val="nl-NL"/>
        </w:rPr>
        <w:t>aan dit artikel</w:t>
      </w:r>
      <w:r w:rsidRPr="006D0D2A">
        <w:rPr>
          <w:color w:val="000000" w:themeColor="text1"/>
          <w:szCs w:val="18"/>
          <w:lang w:val="nl-NL"/>
        </w:rPr>
        <w:t xml:space="preserve"> </w:t>
      </w:r>
      <w:r w:rsidR="00C3338B" w:rsidRPr="006D0D2A">
        <w:rPr>
          <w:color w:val="000000" w:themeColor="text1"/>
          <w:szCs w:val="18"/>
          <w:lang w:val="nl-NL"/>
        </w:rPr>
        <w:t>desondanks</w:t>
      </w:r>
      <w:r w:rsidR="007E07D0">
        <w:rPr>
          <w:color w:val="000000" w:themeColor="text1"/>
          <w:szCs w:val="18"/>
          <w:lang w:val="nl-NL"/>
        </w:rPr>
        <w:t xml:space="preserve"> </w:t>
      </w:r>
      <w:r w:rsidR="00C3338B" w:rsidRPr="006D0D2A">
        <w:rPr>
          <w:color w:val="000000" w:themeColor="text1"/>
          <w:szCs w:val="18"/>
          <w:lang w:val="nl-NL"/>
        </w:rPr>
        <w:t xml:space="preserve">meerdere </w:t>
      </w:r>
      <w:r w:rsidR="007E07D0">
        <w:rPr>
          <w:color w:val="000000" w:themeColor="text1"/>
          <w:szCs w:val="18"/>
          <w:lang w:val="nl-NL"/>
        </w:rPr>
        <w:t>hypothesen toe</w:t>
      </w:r>
      <w:r w:rsidR="00C3338B" w:rsidRPr="006D0D2A">
        <w:rPr>
          <w:color w:val="000000" w:themeColor="text1"/>
          <w:szCs w:val="18"/>
          <w:lang w:val="nl-NL"/>
        </w:rPr>
        <w:t xml:space="preserve"> </w:t>
      </w:r>
      <w:r w:rsidR="00E411AF" w:rsidRPr="006D0D2A">
        <w:rPr>
          <w:color w:val="000000" w:themeColor="text1"/>
          <w:szCs w:val="18"/>
          <w:lang w:val="nl-NL"/>
        </w:rPr>
        <w:t>waarin geen sprake kan zijn van toestemming</w:t>
      </w:r>
      <w:r w:rsidR="00C3338B" w:rsidRPr="006D0D2A">
        <w:rPr>
          <w:color w:val="000000" w:themeColor="text1"/>
          <w:szCs w:val="18"/>
          <w:lang w:val="nl-NL"/>
        </w:rPr>
        <w:t xml:space="preserve">. </w:t>
      </w:r>
      <w:r w:rsidR="002D7988" w:rsidRPr="006D0D2A">
        <w:rPr>
          <w:color w:val="000000" w:themeColor="text1"/>
          <w:szCs w:val="18"/>
          <w:lang w:val="nl-NL"/>
        </w:rPr>
        <w:t>De</w:t>
      </w:r>
      <w:r w:rsidR="00E411AF" w:rsidRPr="006D0D2A">
        <w:rPr>
          <w:color w:val="000000" w:themeColor="text1"/>
          <w:szCs w:val="18"/>
          <w:lang w:val="nl-NL"/>
        </w:rPr>
        <w:t xml:space="preserve"> </w:t>
      </w:r>
      <w:r w:rsidR="002D7988" w:rsidRPr="006D0D2A">
        <w:rPr>
          <w:color w:val="000000" w:themeColor="text1"/>
          <w:szCs w:val="18"/>
          <w:lang w:val="nl-NL"/>
        </w:rPr>
        <w:t xml:space="preserve">toegevoegde </w:t>
      </w:r>
      <w:r w:rsidR="006D07A3">
        <w:rPr>
          <w:color w:val="000000" w:themeColor="text1"/>
          <w:szCs w:val="18"/>
          <w:lang w:val="nl-NL"/>
        </w:rPr>
        <w:t xml:space="preserve">juridische waarde van een dergelijke </w:t>
      </w:r>
      <w:r w:rsidR="002D7988" w:rsidRPr="006D0D2A">
        <w:rPr>
          <w:color w:val="000000" w:themeColor="text1"/>
          <w:szCs w:val="18"/>
          <w:lang w:val="nl-NL"/>
        </w:rPr>
        <w:t>opsomming van wilsuitsluitende factoren</w:t>
      </w:r>
      <w:r w:rsidR="006D07A3">
        <w:rPr>
          <w:color w:val="000000" w:themeColor="text1"/>
          <w:szCs w:val="18"/>
          <w:lang w:val="nl-NL"/>
        </w:rPr>
        <w:t xml:space="preserve"> kan betwijfeld worden.</w:t>
      </w:r>
      <w:r w:rsidR="005D3458" w:rsidRPr="006D0D2A">
        <w:rPr>
          <w:rStyle w:val="FootnoteReference"/>
          <w:color w:val="000000" w:themeColor="text1"/>
          <w:szCs w:val="18"/>
          <w:lang w:val="nl-NL"/>
        </w:rPr>
        <w:footnoteReference w:id="532"/>
      </w:r>
      <w:r w:rsidR="00E411AF" w:rsidRPr="006D0D2A">
        <w:rPr>
          <w:color w:val="000000" w:themeColor="text1"/>
          <w:szCs w:val="18"/>
          <w:lang w:val="nl-NL"/>
        </w:rPr>
        <w:t xml:space="preserve"> </w:t>
      </w:r>
      <w:r w:rsidR="006D07A3">
        <w:rPr>
          <w:color w:val="000000" w:themeColor="text1"/>
          <w:szCs w:val="18"/>
          <w:lang w:val="nl-NL"/>
        </w:rPr>
        <w:t>D</w:t>
      </w:r>
      <w:r w:rsidR="00E411AF" w:rsidRPr="006D0D2A">
        <w:rPr>
          <w:color w:val="000000" w:themeColor="text1"/>
          <w:szCs w:val="18"/>
          <w:lang w:val="nl-NL"/>
        </w:rPr>
        <w:t xml:space="preserve">eze werden </w:t>
      </w:r>
      <w:r w:rsidR="007E07D0">
        <w:rPr>
          <w:color w:val="000000" w:themeColor="text1"/>
          <w:szCs w:val="18"/>
          <w:lang w:val="nl-NL"/>
        </w:rPr>
        <w:t xml:space="preserve">immers </w:t>
      </w:r>
      <w:r w:rsidR="00985211">
        <w:rPr>
          <w:color w:val="000000" w:themeColor="text1"/>
          <w:szCs w:val="18"/>
          <w:lang w:val="nl-NL"/>
        </w:rPr>
        <w:t>over</w:t>
      </w:r>
      <w:r w:rsidR="00AF562B" w:rsidRPr="006D0D2A">
        <w:rPr>
          <w:color w:val="000000" w:themeColor="text1"/>
          <w:szCs w:val="18"/>
          <w:lang w:val="nl-NL"/>
        </w:rPr>
        <w:t xml:space="preserve"> het algemeen</w:t>
      </w:r>
      <w:r w:rsidR="00AF562B" w:rsidRPr="006D0D2A">
        <w:rPr>
          <w:rStyle w:val="FootnoteReference"/>
          <w:color w:val="000000" w:themeColor="text1"/>
          <w:szCs w:val="18"/>
          <w:lang w:val="nl-NL"/>
        </w:rPr>
        <w:footnoteReference w:id="533"/>
      </w:r>
      <w:r w:rsidR="00AF562B" w:rsidRPr="006D0D2A">
        <w:rPr>
          <w:color w:val="000000" w:themeColor="text1"/>
          <w:szCs w:val="18"/>
          <w:lang w:val="nl-NL"/>
        </w:rPr>
        <w:t xml:space="preserve"> </w:t>
      </w:r>
      <w:r w:rsidR="00E411AF" w:rsidRPr="006D0D2A">
        <w:rPr>
          <w:color w:val="000000" w:themeColor="text1"/>
          <w:szCs w:val="18"/>
          <w:lang w:val="nl-NL"/>
        </w:rPr>
        <w:t xml:space="preserve">reeds aanvaard in de jurisprudentie als </w:t>
      </w:r>
      <w:r w:rsidR="00985211">
        <w:rPr>
          <w:color w:val="000000" w:themeColor="text1"/>
          <w:szCs w:val="18"/>
          <w:lang w:val="nl-NL"/>
        </w:rPr>
        <w:t xml:space="preserve">zijnde </w:t>
      </w:r>
      <w:r w:rsidR="00E411AF" w:rsidRPr="006D0D2A">
        <w:rPr>
          <w:color w:val="000000" w:themeColor="text1"/>
          <w:szCs w:val="18"/>
          <w:lang w:val="nl-NL"/>
        </w:rPr>
        <w:t>wilsuitsluitend</w:t>
      </w:r>
      <w:r w:rsidR="005D3458" w:rsidRPr="006D0D2A">
        <w:rPr>
          <w:color w:val="000000" w:themeColor="text1"/>
          <w:szCs w:val="18"/>
          <w:lang w:val="nl-NL"/>
        </w:rPr>
        <w:t>.</w:t>
      </w:r>
      <w:r w:rsidR="005D3458" w:rsidRPr="006D0D2A">
        <w:rPr>
          <w:rStyle w:val="FootnoteReference"/>
          <w:color w:val="000000" w:themeColor="text1"/>
          <w:szCs w:val="18"/>
          <w:lang w:val="nl-NL"/>
        </w:rPr>
        <w:footnoteReference w:id="534"/>
      </w:r>
      <w:r w:rsidR="00E411AF" w:rsidRPr="006D0D2A">
        <w:rPr>
          <w:color w:val="000000" w:themeColor="text1"/>
          <w:szCs w:val="18"/>
          <w:lang w:val="nl-NL"/>
        </w:rPr>
        <w:t xml:space="preserve"> </w:t>
      </w:r>
      <w:r w:rsidR="005D3458" w:rsidRPr="006D0D2A">
        <w:rPr>
          <w:color w:val="000000" w:themeColor="text1"/>
          <w:szCs w:val="18"/>
          <w:lang w:val="nl-NL"/>
        </w:rPr>
        <w:t>H</w:t>
      </w:r>
      <w:r w:rsidR="00E411AF" w:rsidRPr="006D0D2A">
        <w:rPr>
          <w:color w:val="000000" w:themeColor="text1"/>
          <w:szCs w:val="18"/>
          <w:lang w:val="nl-NL"/>
        </w:rPr>
        <w:t xml:space="preserve">et legaliteitsbeginsel </w:t>
      </w:r>
      <w:r w:rsidR="005D3458" w:rsidRPr="006D0D2A">
        <w:rPr>
          <w:color w:val="000000" w:themeColor="text1"/>
          <w:szCs w:val="18"/>
          <w:lang w:val="nl-NL"/>
        </w:rPr>
        <w:t xml:space="preserve">vereist bijgevolg </w:t>
      </w:r>
      <w:r w:rsidR="00E411AF" w:rsidRPr="006D0D2A">
        <w:rPr>
          <w:color w:val="000000" w:themeColor="text1"/>
          <w:szCs w:val="18"/>
          <w:lang w:val="nl-NL"/>
        </w:rPr>
        <w:t>n</w:t>
      </w:r>
      <w:r w:rsidR="00E411AF">
        <w:rPr>
          <w:color w:val="000000" w:themeColor="text1"/>
          <w:szCs w:val="18"/>
          <w:lang w:val="nl-NL"/>
        </w:rPr>
        <w:t>iet dat dit expliciet in de wet wordt neergeschreven.</w:t>
      </w:r>
      <w:r w:rsidR="00AB42CF">
        <w:rPr>
          <w:rStyle w:val="FootnoteReference"/>
          <w:color w:val="000000" w:themeColor="text1"/>
          <w:szCs w:val="18"/>
          <w:lang w:val="nl-NL"/>
        </w:rPr>
        <w:footnoteReference w:id="535"/>
      </w:r>
    </w:p>
    <w:p w14:paraId="0B0F39AF" w14:textId="77777777" w:rsidR="006D07A3" w:rsidRPr="006D07A3" w:rsidRDefault="006D07A3" w:rsidP="00260F11">
      <w:pPr>
        <w:pStyle w:val="ListParagraph"/>
        <w:spacing w:line="360" w:lineRule="auto"/>
        <w:ind w:left="0"/>
        <w:rPr>
          <w:color w:val="000000" w:themeColor="text1"/>
          <w:szCs w:val="18"/>
          <w:lang w:val="nl-NL"/>
        </w:rPr>
      </w:pPr>
    </w:p>
    <w:p w14:paraId="72FCB6D6" w14:textId="38B6E12C" w:rsidR="003E5C40" w:rsidRDefault="00F97FA2" w:rsidP="00260F11">
      <w:pPr>
        <w:pStyle w:val="ListParagraph"/>
        <w:spacing w:line="360" w:lineRule="auto"/>
        <w:ind w:left="0"/>
        <w:rPr>
          <w:color w:val="000000" w:themeColor="text1"/>
          <w:szCs w:val="18"/>
          <w:lang w:val="nl-NL"/>
        </w:rPr>
      </w:pPr>
      <w:r>
        <w:rPr>
          <w:color w:val="000000" w:themeColor="text1"/>
          <w:szCs w:val="18"/>
          <w:lang w:val="nl-NL"/>
        </w:rPr>
        <w:t xml:space="preserve">Daarenboven heeft </w:t>
      </w:r>
      <w:r w:rsidR="001B7EAD">
        <w:rPr>
          <w:color w:val="000000" w:themeColor="text1"/>
          <w:szCs w:val="18"/>
          <w:lang w:val="nl-NL"/>
        </w:rPr>
        <w:t>de opsomming</w:t>
      </w:r>
      <w:r>
        <w:rPr>
          <w:color w:val="000000" w:themeColor="text1"/>
          <w:szCs w:val="18"/>
          <w:lang w:val="nl-NL"/>
        </w:rPr>
        <w:t xml:space="preserve"> van verschillende toestemmingsuitsluitende gronden</w:t>
      </w:r>
      <w:r w:rsidR="001B7EAD">
        <w:rPr>
          <w:color w:val="000000" w:themeColor="text1"/>
          <w:szCs w:val="18"/>
          <w:lang w:val="nl-NL"/>
        </w:rPr>
        <w:t xml:space="preserve">, zonder daarbij expliciet te </w:t>
      </w:r>
      <w:r w:rsidR="001B7EAD" w:rsidRPr="006D0D2A">
        <w:rPr>
          <w:color w:val="000000" w:themeColor="text1"/>
          <w:szCs w:val="18"/>
          <w:lang w:val="nl-NL"/>
        </w:rPr>
        <w:t>stellen dat het een louter exemplatieve opsomming betreft,</w:t>
      </w:r>
      <w:r w:rsidRPr="006D0D2A">
        <w:rPr>
          <w:color w:val="000000" w:themeColor="text1"/>
          <w:szCs w:val="18"/>
          <w:lang w:val="nl-NL"/>
        </w:rPr>
        <w:t xml:space="preserve"> </w:t>
      </w:r>
      <w:r w:rsidR="001B7EAD" w:rsidRPr="006D0D2A">
        <w:rPr>
          <w:color w:val="000000" w:themeColor="text1"/>
          <w:szCs w:val="18"/>
          <w:lang w:val="nl-NL"/>
        </w:rPr>
        <w:t xml:space="preserve">als nadeel dat hierover </w:t>
      </w:r>
      <w:r w:rsidR="001B7EAD" w:rsidRPr="006D0D2A">
        <w:rPr>
          <w:color w:val="000000" w:themeColor="text1"/>
          <w:szCs w:val="18"/>
          <w:lang w:val="nl-NL"/>
        </w:rPr>
        <w:lastRenderedPageBreak/>
        <w:t>twijfel zou kunnen ontstaan</w:t>
      </w:r>
      <w:r w:rsidR="0043329B" w:rsidRPr="006D0D2A">
        <w:rPr>
          <w:color w:val="000000" w:themeColor="text1"/>
          <w:szCs w:val="18"/>
          <w:lang w:val="nl-NL"/>
        </w:rPr>
        <w:t xml:space="preserve"> en de opsomming onvolledig lijkt</w:t>
      </w:r>
      <w:r w:rsidR="001B7EAD" w:rsidRPr="006D0D2A">
        <w:rPr>
          <w:color w:val="000000" w:themeColor="text1"/>
          <w:szCs w:val="18"/>
          <w:lang w:val="nl-NL"/>
        </w:rPr>
        <w:t>.</w:t>
      </w:r>
      <w:r w:rsidR="007E07D0">
        <w:rPr>
          <w:rStyle w:val="FootnoteReference"/>
          <w:color w:val="000000" w:themeColor="text1"/>
          <w:szCs w:val="18"/>
          <w:lang w:val="nl-NL"/>
        </w:rPr>
        <w:footnoteReference w:id="536"/>
      </w:r>
      <w:r w:rsidR="00985211">
        <w:rPr>
          <w:color w:val="000000" w:themeColor="text1"/>
          <w:szCs w:val="18"/>
          <w:lang w:val="nl-NL"/>
        </w:rPr>
        <w:t xml:space="preserve"> Ook de Commissie tot hervorming van het strafrecht was dit gevaar indachtig.</w:t>
      </w:r>
      <w:r w:rsidR="001B7EAD" w:rsidRPr="006D0D2A">
        <w:rPr>
          <w:rStyle w:val="FootnoteReference"/>
          <w:color w:val="000000" w:themeColor="text1"/>
          <w:szCs w:val="18"/>
          <w:lang w:val="nl-NL"/>
        </w:rPr>
        <w:footnoteReference w:id="537"/>
      </w:r>
      <w:r w:rsidR="00E40626" w:rsidRPr="006D0D2A">
        <w:rPr>
          <w:color w:val="000000" w:themeColor="text1"/>
          <w:szCs w:val="18"/>
          <w:lang w:val="nl-NL"/>
        </w:rPr>
        <w:t xml:space="preserve"> </w:t>
      </w:r>
    </w:p>
    <w:p w14:paraId="4EA2F6E3" w14:textId="77777777" w:rsidR="003E5C40" w:rsidRDefault="003E5C40" w:rsidP="00260F11">
      <w:pPr>
        <w:pStyle w:val="ListParagraph"/>
        <w:spacing w:line="360" w:lineRule="auto"/>
        <w:ind w:left="0"/>
        <w:rPr>
          <w:color w:val="000000" w:themeColor="text1"/>
          <w:szCs w:val="18"/>
          <w:lang w:val="nl-NL"/>
        </w:rPr>
      </w:pPr>
    </w:p>
    <w:p w14:paraId="39A936FD" w14:textId="63FF27B3" w:rsidR="00C3338B" w:rsidRPr="006D0D2A" w:rsidRDefault="00E40626" w:rsidP="00260F11">
      <w:pPr>
        <w:pStyle w:val="ListParagraph"/>
        <w:spacing w:line="360" w:lineRule="auto"/>
        <w:ind w:left="0"/>
        <w:rPr>
          <w:color w:val="FF0000"/>
          <w:szCs w:val="18"/>
          <w:lang w:val="nl-NL"/>
        </w:rPr>
      </w:pPr>
      <w:r w:rsidRPr="006D0D2A">
        <w:rPr>
          <w:color w:val="000000" w:themeColor="text1"/>
          <w:szCs w:val="18"/>
          <w:lang w:val="nl-NL"/>
        </w:rPr>
        <w:t xml:space="preserve">De wetgever heeft </w:t>
      </w:r>
      <w:r w:rsidR="00357B38" w:rsidRPr="006D0D2A">
        <w:rPr>
          <w:color w:val="000000" w:themeColor="text1"/>
          <w:szCs w:val="18"/>
          <w:lang w:val="nl-NL"/>
        </w:rPr>
        <w:t>gepoogd</w:t>
      </w:r>
      <w:r w:rsidRPr="006D0D2A">
        <w:rPr>
          <w:color w:val="000000" w:themeColor="text1"/>
          <w:szCs w:val="18"/>
          <w:lang w:val="nl-NL"/>
        </w:rPr>
        <w:t xml:space="preserve"> te anticiperen </w:t>
      </w:r>
      <w:r w:rsidR="00357B38" w:rsidRPr="006D0D2A">
        <w:rPr>
          <w:color w:val="000000" w:themeColor="text1"/>
          <w:szCs w:val="18"/>
          <w:lang w:val="nl-NL"/>
        </w:rPr>
        <w:t xml:space="preserve">op voornoemd probleem </w:t>
      </w:r>
      <w:r w:rsidRPr="006D0D2A">
        <w:rPr>
          <w:color w:val="000000" w:themeColor="text1"/>
          <w:szCs w:val="18"/>
          <w:lang w:val="nl-NL"/>
        </w:rPr>
        <w:t>door in de memorie van toelichting op te nemen dat het om een niet-limitatieve lijst gaat.</w:t>
      </w:r>
      <w:r w:rsidRPr="006D0D2A">
        <w:rPr>
          <w:rStyle w:val="FootnoteReference"/>
          <w:color w:val="000000" w:themeColor="text1"/>
          <w:szCs w:val="18"/>
          <w:lang w:val="nl-NL"/>
        </w:rPr>
        <w:footnoteReference w:id="538"/>
      </w:r>
      <w:r w:rsidRPr="006D0D2A">
        <w:rPr>
          <w:color w:val="000000" w:themeColor="text1"/>
          <w:szCs w:val="18"/>
          <w:lang w:val="nl-NL"/>
        </w:rPr>
        <w:t xml:space="preserve"> Toch kan m.i. de vraag worden gesteld of de wetgever niet beter deze niet-limitatieve lijst in zijn geheel had opgenomen in de memorie van toelichting in plaats van in het wetsartikel zelf.</w:t>
      </w:r>
    </w:p>
    <w:p w14:paraId="77BC29A8" w14:textId="60D29E42" w:rsidR="000715F6" w:rsidRPr="006D0D2A" w:rsidRDefault="000715F6" w:rsidP="00260F11">
      <w:pPr>
        <w:pStyle w:val="ListParagraph"/>
        <w:spacing w:line="360" w:lineRule="auto"/>
        <w:ind w:left="0"/>
        <w:rPr>
          <w:color w:val="FF0000"/>
          <w:szCs w:val="18"/>
          <w:lang w:val="nl-NL"/>
        </w:rPr>
      </w:pPr>
    </w:p>
    <w:p w14:paraId="7BDA7456" w14:textId="785409B2" w:rsidR="0033445D" w:rsidRPr="00167100" w:rsidRDefault="0042331F" w:rsidP="00260F11">
      <w:pPr>
        <w:pStyle w:val="ListParagraph"/>
        <w:numPr>
          <w:ilvl w:val="0"/>
          <w:numId w:val="1"/>
        </w:numPr>
        <w:spacing w:line="360" w:lineRule="auto"/>
        <w:ind w:left="0" w:hanging="709"/>
        <w:rPr>
          <w:color w:val="000000" w:themeColor="text1"/>
          <w:szCs w:val="18"/>
          <w:lang w:val="nl-NL"/>
        </w:rPr>
      </w:pPr>
      <w:r w:rsidRPr="00167100">
        <w:rPr>
          <w:color w:val="000000" w:themeColor="text1"/>
          <w:szCs w:val="18"/>
          <w:lang w:val="nl-NL"/>
        </w:rPr>
        <w:t>Wanneer dit vergeleken wordt met h</w:t>
      </w:r>
      <w:r w:rsidR="0033445D" w:rsidRPr="00167100">
        <w:rPr>
          <w:color w:val="000000" w:themeColor="text1"/>
          <w:szCs w:val="18"/>
          <w:lang w:val="nl-NL"/>
        </w:rPr>
        <w:t>et Brits recht</w:t>
      </w:r>
      <w:r w:rsidRPr="00167100">
        <w:rPr>
          <w:color w:val="000000" w:themeColor="text1"/>
          <w:szCs w:val="18"/>
          <w:lang w:val="nl-NL"/>
        </w:rPr>
        <w:t>, dient te worden geconcludeerd dat ook naar Brits recht</w:t>
      </w:r>
      <w:r w:rsidR="0033445D" w:rsidRPr="00167100">
        <w:rPr>
          <w:color w:val="000000" w:themeColor="text1"/>
          <w:szCs w:val="18"/>
          <w:lang w:val="nl-NL"/>
        </w:rPr>
        <w:t xml:space="preserve"> enkele gronden </w:t>
      </w:r>
      <w:r w:rsidRPr="00167100">
        <w:rPr>
          <w:color w:val="000000" w:themeColor="text1"/>
          <w:szCs w:val="18"/>
          <w:lang w:val="nl-NL"/>
        </w:rPr>
        <w:t xml:space="preserve">worden opgesomd </w:t>
      </w:r>
      <w:r w:rsidR="0033445D" w:rsidRPr="00167100">
        <w:rPr>
          <w:color w:val="000000" w:themeColor="text1"/>
          <w:szCs w:val="18"/>
          <w:lang w:val="nl-NL"/>
        </w:rPr>
        <w:t xml:space="preserve">die </w:t>
      </w:r>
      <w:r w:rsidRPr="00167100">
        <w:rPr>
          <w:color w:val="000000" w:themeColor="text1"/>
          <w:szCs w:val="18"/>
          <w:lang w:val="nl-NL"/>
        </w:rPr>
        <w:t xml:space="preserve">de afwezigheid van toestemming van het slachtoffer </w:t>
      </w:r>
      <w:r w:rsidR="0033445D" w:rsidRPr="00167100">
        <w:rPr>
          <w:color w:val="000000" w:themeColor="text1"/>
          <w:szCs w:val="18"/>
          <w:lang w:val="nl-NL"/>
        </w:rPr>
        <w:t xml:space="preserve">op </w:t>
      </w:r>
      <w:r w:rsidRPr="00167100">
        <w:rPr>
          <w:color w:val="000000" w:themeColor="text1"/>
          <w:szCs w:val="18"/>
          <w:lang w:val="nl-NL"/>
        </w:rPr>
        <w:t>(on-)</w:t>
      </w:r>
      <w:r w:rsidR="0033445D" w:rsidRPr="00167100">
        <w:rPr>
          <w:color w:val="000000" w:themeColor="text1"/>
          <w:szCs w:val="18"/>
          <w:lang w:val="nl-NL"/>
        </w:rPr>
        <w:t xml:space="preserve">weerlegbare wijze vermoeden. De onweerlegbare vermoedens brengen </w:t>
      </w:r>
      <w:r w:rsidR="00167100" w:rsidRPr="00167100">
        <w:rPr>
          <w:color w:val="000000" w:themeColor="text1"/>
          <w:szCs w:val="18"/>
          <w:lang w:val="nl-NL"/>
        </w:rPr>
        <w:t xml:space="preserve">echter </w:t>
      </w:r>
      <w:r w:rsidR="0033445D" w:rsidRPr="00167100">
        <w:rPr>
          <w:color w:val="000000" w:themeColor="text1"/>
          <w:szCs w:val="18"/>
          <w:lang w:val="nl-NL"/>
        </w:rPr>
        <w:t>weinig soelaas</w:t>
      </w:r>
      <w:r w:rsidR="00DC7D45">
        <w:rPr>
          <w:color w:val="000000" w:themeColor="text1"/>
          <w:szCs w:val="18"/>
          <w:lang w:val="nl-NL"/>
        </w:rPr>
        <w:t>.</w:t>
      </w:r>
      <w:r w:rsidR="00167100" w:rsidRPr="00167100">
        <w:rPr>
          <w:color w:val="000000" w:themeColor="text1"/>
          <w:szCs w:val="18"/>
          <w:lang w:val="nl-NL"/>
        </w:rPr>
        <w:t xml:space="preserve"> </w:t>
      </w:r>
      <w:r w:rsidR="00DC7D45">
        <w:rPr>
          <w:color w:val="000000" w:themeColor="text1"/>
          <w:szCs w:val="18"/>
          <w:lang w:val="nl-NL"/>
        </w:rPr>
        <w:t>D</w:t>
      </w:r>
      <w:r w:rsidRPr="00167100">
        <w:rPr>
          <w:color w:val="000000" w:themeColor="text1"/>
          <w:szCs w:val="18"/>
          <w:lang w:val="nl-NL"/>
        </w:rPr>
        <w:t xml:space="preserve">e weerlegbare vermoedens brengen </w:t>
      </w:r>
      <w:r w:rsidR="00DC7D45">
        <w:rPr>
          <w:color w:val="000000" w:themeColor="text1"/>
          <w:szCs w:val="18"/>
          <w:lang w:val="nl-NL"/>
        </w:rPr>
        <w:t xml:space="preserve">dan weer </w:t>
      </w:r>
      <w:r w:rsidRPr="00167100">
        <w:rPr>
          <w:color w:val="000000" w:themeColor="text1"/>
          <w:szCs w:val="18"/>
          <w:lang w:val="nl-NL"/>
        </w:rPr>
        <w:t xml:space="preserve">meer duidelijkheid. </w:t>
      </w:r>
      <w:r w:rsidR="00167100" w:rsidRPr="00167100">
        <w:rPr>
          <w:color w:val="000000" w:themeColor="text1"/>
          <w:szCs w:val="18"/>
          <w:lang w:val="nl-NL"/>
        </w:rPr>
        <w:t>Laatstgenoemde gronden</w:t>
      </w:r>
      <w:r w:rsidRPr="00167100">
        <w:rPr>
          <w:color w:val="000000" w:themeColor="text1"/>
          <w:szCs w:val="18"/>
          <w:lang w:val="nl-NL"/>
        </w:rPr>
        <w:t xml:space="preserve"> betreffen eveneens</w:t>
      </w:r>
      <w:r w:rsidR="00167100" w:rsidRPr="00167100">
        <w:rPr>
          <w:color w:val="000000" w:themeColor="text1"/>
          <w:szCs w:val="18"/>
          <w:lang w:val="nl-NL"/>
        </w:rPr>
        <w:t xml:space="preserve"> bijvoorbeeld</w:t>
      </w:r>
      <w:r w:rsidRPr="00167100">
        <w:rPr>
          <w:color w:val="000000" w:themeColor="text1"/>
          <w:szCs w:val="18"/>
          <w:lang w:val="nl-NL"/>
        </w:rPr>
        <w:t xml:space="preserve"> geweld</w:t>
      </w:r>
      <w:r w:rsidR="00167100" w:rsidRPr="00167100">
        <w:rPr>
          <w:color w:val="000000" w:themeColor="text1"/>
          <w:szCs w:val="18"/>
          <w:lang w:val="nl-NL"/>
        </w:rPr>
        <w:t xml:space="preserve"> of</w:t>
      </w:r>
      <w:r w:rsidRPr="00167100">
        <w:rPr>
          <w:color w:val="000000" w:themeColor="text1"/>
          <w:szCs w:val="18"/>
          <w:lang w:val="nl-NL"/>
        </w:rPr>
        <w:t xml:space="preserve"> een slapend of bewusteloos slachtoffer en zijn inhoudelijk dan ook in zekere mate gelijklopend met het Belgisch recht.</w:t>
      </w:r>
      <w:r w:rsidR="004B6E9C" w:rsidRPr="00167100">
        <w:rPr>
          <w:rStyle w:val="FootnoteReference"/>
          <w:color w:val="000000" w:themeColor="text1"/>
          <w:szCs w:val="18"/>
          <w:lang w:val="nl-NL"/>
        </w:rPr>
        <w:footnoteReference w:id="539"/>
      </w:r>
      <w:r w:rsidR="004B6E9C" w:rsidRPr="00167100">
        <w:rPr>
          <w:color w:val="000000" w:themeColor="text1"/>
          <w:szCs w:val="18"/>
          <w:lang w:val="nl-NL"/>
        </w:rPr>
        <w:t xml:space="preserve"> </w:t>
      </w:r>
      <w:r w:rsidRPr="00167100">
        <w:rPr>
          <w:color w:val="000000" w:themeColor="text1"/>
          <w:szCs w:val="18"/>
          <w:lang w:val="nl-NL"/>
        </w:rPr>
        <w:t>De formulering van deze gronden onder het Brits recht gebeurt echter in een apart artikel en vermeldt duidelijk dat het om weerlegbare vermoedens gaat</w:t>
      </w:r>
      <w:r w:rsidR="00DC7D45">
        <w:rPr>
          <w:color w:val="000000" w:themeColor="text1"/>
          <w:szCs w:val="18"/>
          <w:lang w:val="nl-NL"/>
        </w:rPr>
        <w:t>. In combinatie met het artikel dat de algemene definitie van toestemming bevat,</w:t>
      </w:r>
      <w:r w:rsidR="00DC7D45">
        <w:rPr>
          <w:rStyle w:val="FootnoteReference"/>
          <w:color w:val="000000" w:themeColor="text1"/>
          <w:szCs w:val="18"/>
          <w:lang w:val="nl-NL"/>
        </w:rPr>
        <w:footnoteReference w:id="540"/>
      </w:r>
      <w:r w:rsidR="00DC7D45">
        <w:rPr>
          <w:color w:val="000000" w:themeColor="text1"/>
          <w:szCs w:val="18"/>
          <w:lang w:val="nl-NL"/>
        </w:rPr>
        <w:t xml:space="preserve"> is op die manier</w:t>
      </w:r>
      <w:r w:rsidR="00167100" w:rsidRPr="00167100">
        <w:rPr>
          <w:color w:val="000000" w:themeColor="text1"/>
          <w:szCs w:val="18"/>
          <w:lang w:val="nl-NL"/>
        </w:rPr>
        <w:t xml:space="preserve"> </w:t>
      </w:r>
      <w:r w:rsidRPr="00167100">
        <w:rPr>
          <w:color w:val="000000" w:themeColor="text1"/>
          <w:szCs w:val="18"/>
          <w:lang w:val="nl-NL"/>
        </w:rPr>
        <w:t xml:space="preserve">duidelijk </w:t>
      </w:r>
      <w:r w:rsidR="000354BE">
        <w:rPr>
          <w:color w:val="000000" w:themeColor="text1"/>
          <w:szCs w:val="18"/>
          <w:lang w:val="nl-NL"/>
        </w:rPr>
        <w:t xml:space="preserve">dat </w:t>
      </w:r>
      <w:r w:rsidR="00167100" w:rsidRPr="00167100">
        <w:rPr>
          <w:color w:val="000000" w:themeColor="text1"/>
          <w:szCs w:val="18"/>
          <w:lang w:val="nl-NL"/>
        </w:rPr>
        <w:t>het een niet-limitatieve opsomming betreft</w:t>
      </w:r>
      <w:r w:rsidRPr="00167100">
        <w:rPr>
          <w:color w:val="000000" w:themeColor="text1"/>
          <w:szCs w:val="18"/>
          <w:lang w:val="nl-NL"/>
        </w:rPr>
        <w:t xml:space="preserve">. </w:t>
      </w:r>
      <w:r w:rsidR="00F918C8" w:rsidRPr="00167100">
        <w:rPr>
          <w:color w:val="000000" w:themeColor="text1"/>
          <w:szCs w:val="18"/>
          <w:lang w:val="nl-NL"/>
        </w:rPr>
        <w:t xml:space="preserve">Hoewel m.i. ook naar Brits recht </w:t>
      </w:r>
      <w:r w:rsidRPr="00167100">
        <w:rPr>
          <w:color w:val="000000" w:themeColor="text1"/>
          <w:szCs w:val="18"/>
          <w:lang w:val="nl-NL"/>
        </w:rPr>
        <w:t xml:space="preserve">de juridische noodzaak van een dergelijk artikel betwijfeld </w:t>
      </w:r>
      <w:r w:rsidR="00F918C8" w:rsidRPr="00167100">
        <w:rPr>
          <w:color w:val="000000" w:themeColor="text1"/>
          <w:szCs w:val="18"/>
          <w:lang w:val="nl-NL"/>
        </w:rPr>
        <w:t xml:space="preserve">kan </w:t>
      </w:r>
      <w:r w:rsidRPr="00167100">
        <w:rPr>
          <w:color w:val="000000" w:themeColor="text1"/>
          <w:szCs w:val="18"/>
          <w:lang w:val="nl-NL"/>
        </w:rPr>
        <w:t>worde</w:t>
      </w:r>
      <w:r w:rsidR="00F918C8" w:rsidRPr="00167100">
        <w:rPr>
          <w:color w:val="000000" w:themeColor="text1"/>
          <w:szCs w:val="18"/>
          <w:lang w:val="nl-NL"/>
        </w:rPr>
        <w:t>n, vormt dit naar Brits recht – gelet op de duidelijke formulering ervan – geen inhoudelijk probleem waaraan dient te worden verholpen</w:t>
      </w:r>
      <w:r w:rsidR="00167100">
        <w:rPr>
          <w:color w:val="000000" w:themeColor="text1"/>
          <w:szCs w:val="18"/>
          <w:lang w:val="nl-NL"/>
        </w:rPr>
        <w:t>.</w:t>
      </w:r>
      <w:r w:rsidR="00167100">
        <w:rPr>
          <w:rStyle w:val="FootnoteReference"/>
          <w:color w:val="000000" w:themeColor="text1"/>
          <w:szCs w:val="18"/>
          <w:lang w:val="nl-NL"/>
        </w:rPr>
        <w:footnoteReference w:id="541"/>
      </w:r>
    </w:p>
    <w:p w14:paraId="21B74797" w14:textId="77777777" w:rsidR="0033445D" w:rsidRDefault="0033445D" w:rsidP="00260F11">
      <w:pPr>
        <w:pStyle w:val="ListParagraph"/>
        <w:spacing w:line="360" w:lineRule="auto"/>
        <w:ind w:left="0"/>
        <w:rPr>
          <w:color w:val="000000" w:themeColor="text1"/>
          <w:szCs w:val="18"/>
          <w:lang w:val="nl-NL"/>
        </w:rPr>
      </w:pPr>
    </w:p>
    <w:p w14:paraId="438CC04F" w14:textId="251A9778" w:rsidR="00E47DA1" w:rsidRDefault="0006364A" w:rsidP="00260F11">
      <w:pPr>
        <w:pStyle w:val="ListParagraph"/>
        <w:numPr>
          <w:ilvl w:val="0"/>
          <w:numId w:val="1"/>
        </w:numPr>
        <w:spacing w:line="360" w:lineRule="auto"/>
        <w:ind w:left="0" w:hanging="709"/>
        <w:rPr>
          <w:color w:val="000000" w:themeColor="text1"/>
          <w:szCs w:val="18"/>
          <w:lang w:val="nl-NL"/>
        </w:rPr>
      </w:pPr>
      <w:r w:rsidRPr="006D0D2A">
        <w:rPr>
          <w:color w:val="000000" w:themeColor="text1"/>
          <w:szCs w:val="18"/>
          <w:lang w:val="nl-NL"/>
        </w:rPr>
        <w:t xml:space="preserve">Hoewel wilsuitsluitende factoren steeds ruim moeten worden </w:t>
      </w:r>
      <w:r w:rsidR="00765789" w:rsidRPr="006D0D2A">
        <w:rPr>
          <w:color w:val="000000" w:themeColor="text1"/>
          <w:szCs w:val="18"/>
          <w:lang w:val="nl-NL"/>
        </w:rPr>
        <w:t>opgevat</w:t>
      </w:r>
      <w:r w:rsidRPr="006D0D2A">
        <w:rPr>
          <w:color w:val="000000" w:themeColor="text1"/>
          <w:szCs w:val="18"/>
          <w:lang w:val="nl-NL"/>
        </w:rPr>
        <w:t>,</w:t>
      </w:r>
      <w:r w:rsidR="00F55BCA" w:rsidRPr="006D0D2A">
        <w:rPr>
          <w:rStyle w:val="FootnoteReference"/>
          <w:color w:val="000000" w:themeColor="text1"/>
          <w:szCs w:val="18"/>
          <w:lang w:val="nl-NL"/>
        </w:rPr>
        <w:footnoteReference w:id="542"/>
      </w:r>
      <w:r w:rsidRPr="006D0D2A">
        <w:rPr>
          <w:color w:val="000000" w:themeColor="text1"/>
          <w:szCs w:val="18"/>
          <w:lang w:val="nl-NL"/>
        </w:rPr>
        <w:t xml:space="preserve"> </w:t>
      </w:r>
      <w:r w:rsidR="008560A3" w:rsidRPr="006D0D2A">
        <w:rPr>
          <w:color w:val="000000" w:themeColor="text1"/>
          <w:szCs w:val="18"/>
          <w:lang w:val="nl-NL"/>
        </w:rPr>
        <w:t>bestaat tevens een risico</w:t>
      </w:r>
      <w:r w:rsidRPr="006D0D2A">
        <w:rPr>
          <w:color w:val="000000" w:themeColor="text1"/>
          <w:szCs w:val="18"/>
          <w:lang w:val="nl-NL"/>
        </w:rPr>
        <w:t xml:space="preserve"> </w:t>
      </w:r>
      <w:r w:rsidR="008560A3" w:rsidRPr="006D0D2A">
        <w:rPr>
          <w:color w:val="000000" w:themeColor="text1"/>
          <w:szCs w:val="18"/>
          <w:lang w:val="nl-NL"/>
        </w:rPr>
        <w:t xml:space="preserve">op </w:t>
      </w:r>
      <w:r w:rsidRPr="006D0D2A">
        <w:rPr>
          <w:color w:val="000000" w:themeColor="text1"/>
          <w:szCs w:val="18"/>
          <w:lang w:val="nl-NL"/>
        </w:rPr>
        <w:t>een te ruime formulering. Zo bepaal</w:t>
      </w:r>
      <w:r w:rsidR="00357B38" w:rsidRPr="006D0D2A">
        <w:rPr>
          <w:color w:val="000000" w:themeColor="text1"/>
          <w:szCs w:val="18"/>
          <w:lang w:val="nl-NL"/>
        </w:rPr>
        <w:t>t</w:t>
      </w:r>
      <w:r w:rsidRPr="006D0D2A">
        <w:rPr>
          <w:color w:val="000000" w:themeColor="text1"/>
          <w:szCs w:val="18"/>
          <w:lang w:val="nl-NL"/>
        </w:rPr>
        <w:t xml:space="preserve"> de wetgever dat er in ieder geval geen toestemming is “</w:t>
      </w:r>
      <w:r w:rsidRPr="006D0D2A">
        <w:rPr>
          <w:i/>
          <w:color w:val="000000" w:themeColor="text1"/>
          <w:szCs w:val="18"/>
          <w:lang w:val="nl-NL"/>
        </w:rPr>
        <w:t>indien de seksuele handeling het gevolg is van (…) enig andere strafbare gedraging</w:t>
      </w:r>
      <w:r w:rsidRPr="006D0D2A">
        <w:rPr>
          <w:color w:val="000000" w:themeColor="text1"/>
          <w:szCs w:val="18"/>
          <w:lang w:val="nl-NL"/>
        </w:rPr>
        <w:t xml:space="preserve">”. </w:t>
      </w:r>
      <w:r w:rsidR="00F55BCA" w:rsidRPr="006D0D2A">
        <w:rPr>
          <w:color w:val="000000" w:themeColor="text1"/>
          <w:szCs w:val="18"/>
          <w:lang w:val="nl-NL"/>
        </w:rPr>
        <w:t xml:space="preserve">Het behoeft weinig betoog dat laatste zinsnede te ruim geformuleerd is. VERBRUGGEN illustreert dit treffend als volgt: </w:t>
      </w:r>
      <w:r w:rsidR="00F55BCA" w:rsidRPr="006D0D2A">
        <w:rPr>
          <w:i/>
          <w:color w:val="000000" w:themeColor="text1"/>
          <w:szCs w:val="18"/>
          <w:lang w:val="nl-NL"/>
        </w:rPr>
        <w:t>“wie dankzij overdreven snelheid op weg naar de date in het bed van zijn voor het overige toestemmende partner is beland, verdient ongetwijfeld een sanctie voor die verkeersinbreuken. Dit tot verkrachting uitroepen is echter onzinnig.”</w:t>
      </w:r>
      <w:r w:rsidR="00F55BCA" w:rsidRPr="006D0D2A">
        <w:rPr>
          <w:rStyle w:val="FootnoteReference"/>
          <w:rFonts w:eastAsiaTheme="majorEastAsia"/>
          <w:color w:val="000000" w:themeColor="text1"/>
          <w:szCs w:val="18"/>
          <w:lang w:val="nl-NL"/>
        </w:rPr>
        <w:footnoteReference w:id="543"/>
      </w:r>
    </w:p>
    <w:p w14:paraId="45BEA40C" w14:textId="77777777" w:rsidR="0042331F" w:rsidRPr="006D0D2A" w:rsidRDefault="0042331F" w:rsidP="00260F11">
      <w:pPr>
        <w:pStyle w:val="ListParagraph"/>
        <w:spacing w:line="360" w:lineRule="auto"/>
        <w:ind w:left="0"/>
        <w:rPr>
          <w:color w:val="000000" w:themeColor="text1"/>
          <w:szCs w:val="18"/>
          <w:lang w:val="nl-NL"/>
        </w:rPr>
      </w:pPr>
    </w:p>
    <w:p w14:paraId="32C821AA" w14:textId="170CAB4F" w:rsidR="000E1294" w:rsidRDefault="00320051" w:rsidP="00260F11">
      <w:pPr>
        <w:pStyle w:val="ListParagraph"/>
        <w:numPr>
          <w:ilvl w:val="0"/>
          <w:numId w:val="1"/>
        </w:numPr>
        <w:spacing w:line="360" w:lineRule="auto"/>
        <w:ind w:left="0" w:hanging="709"/>
        <w:rPr>
          <w:color w:val="000000" w:themeColor="text1"/>
          <w:szCs w:val="18"/>
          <w:lang w:val="nl-NL"/>
        </w:rPr>
      </w:pPr>
      <w:r w:rsidRPr="006D0D2A">
        <w:rPr>
          <w:color w:val="000000" w:themeColor="text1"/>
          <w:szCs w:val="18"/>
          <w:lang w:val="nl-NL"/>
        </w:rPr>
        <w:t xml:space="preserve">Uit voorgaande blijkt dat het eerste lid van artikel 417/5 </w:t>
      </w:r>
      <w:r w:rsidR="00E8546B">
        <w:rPr>
          <w:color w:val="000000" w:themeColor="text1"/>
          <w:szCs w:val="18"/>
          <w:lang w:val="nl-NL"/>
        </w:rPr>
        <w:t xml:space="preserve">van het </w:t>
      </w:r>
      <w:r w:rsidRPr="006D0D2A">
        <w:rPr>
          <w:color w:val="000000" w:themeColor="text1"/>
          <w:szCs w:val="18"/>
          <w:lang w:val="nl-NL"/>
        </w:rPr>
        <w:t xml:space="preserve">Strafwetboek </w:t>
      </w:r>
      <w:r w:rsidR="0060559F" w:rsidRPr="006D0D2A">
        <w:rPr>
          <w:color w:val="000000" w:themeColor="text1"/>
          <w:szCs w:val="18"/>
          <w:lang w:val="nl-NL"/>
        </w:rPr>
        <w:t xml:space="preserve">in principe </w:t>
      </w:r>
      <w:r w:rsidRPr="006D0D2A">
        <w:rPr>
          <w:color w:val="000000" w:themeColor="text1"/>
          <w:szCs w:val="18"/>
          <w:lang w:val="nl-NL"/>
        </w:rPr>
        <w:t>had kunnen volstaan als definitie van toestemming. Toch stoot ook deze</w:t>
      </w:r>
      <w:r w:rsidR="00373F98" w:rsidRPr="006D0D2A">
        <w:rPr>
          <w:color w:val="000000" w:themeColor="text1"/>
          <w:szCs w:val="18"/>
          <w:lang w:val="nl-NL"/>
        </w:rPr>
        <w:t xml:space="preserve"> formulering binnen de rechtsleer </w:t>
      </w:r>
      <w:r w:rsidR="00FE525A" w:rsidRPr="006D0D2A">
        <w:rPr>
          <w:color w:val="000000" w:themeColor="text1"/>
          <w:szCs w:val="18"/>
          <w:lang w:val="nl-NL"/>
        </w:rPr>
        <w:t xml:space="preserve">reeds </w:t>
      </w:r>
      <w:r w:rsidR="00373F98" w:rsidRPr="006D0D2A">
        <w:rPr>
          <w:color w:val="000000" w:themeColor="text1"/>
          <w:szCs w:val="18"/>
          <w:lang w:val="nl-NL"/>
        </w:rPr>
        <w:t>op kritiek.</w:t>
      </w:r>
      <w:r w:rsidR="0065148B" w:rsidRPr="006D0D2A">
        <w:rPr>
          <w:color w:val="000000" w:themeColor="text1"/>
          <w:szCs w:val="18"/>
          <w:lang w:val="nl-NL"/>
        </w:rPr>
        <w:t xml:space="preserve"> </w:t>
      </w:r>
      <w:r w:rsidRPr="006D0D2A">
        <w:rPr>
          <w:color w:val="000000" w:themeColor="text1"/>
          <w:szCs w:val="18"/>
          <w:lang w:val="nl-NL"/>
        </w:rPr>
        <w:t>Zo zou het volgens sommigen geen werkelijke definitie betreffen, maar een loutere</w:t>
      </w:r>
      <w:r w:rsidR="0065148B" w:rsidRPr="006D0D2A">
        <w:rPr>
          <w:color w:val="000000" w:themeColor="text1"/>
          <w:szCs w:val="18"/>
          <w:lang w:val="nl-NL"/>
        </w:rPr>
        <w:t xml:space="preserve"> </w:t>
      </w:r>
      <w:r w:rsidR="0065148B" w:rsidRPr="006D0D2A">
        <w:rPr>
          <w:color w:val="000000" w:themeColor="text1"/>
          <w:szCs w:val="18"/>
          <w:lang w:val="nl-NL"/>
        </w:rPr>
        <w:lastRenderedPageBreak/>
        <w:t>tautologie</w:t>
      </w:r>
      <w:r w:rsidR="008560A3" w:rsidRPr="006D0D2A">
        <w:rPr>
          <w:color w:val="000000" w:themeColor="text1"/>
          <w:szCs w:val="18"/>
          <w:lang w:val="nl-NL"/>
        </w:rPr>
        <w:t xml:space="preserve"> of een</w:t>
      </w:r>
      <w:r w:rsidR="008560A3">
        <w:rPr>
          <w:color w:val="000000" w:themeColor="text1"/>
          <w:szCs w:val="18"/>
          <w:lang w:val="nl-NL"/>
        </w:rPr>
        <w:t xml:space="preserve"> loutere opsomming van voorwaarden.</w:t>
      </w:r>
      <w:r w:rsidR="008560A3" w:rsidRPr="008560A3">
        <w:rPr>
          <w:rStyle w:val="FootnoteReference"/>
          <w:rFonts w:eastAsiaTheme="majorEastAsia"/>
          <w:color w:val="000000" w:themeColor="text1"/>
          <w:szCs w:val="18"/>
          <w:lang w:val="nl-NL"/>
        </w:rPr>
        <w:footnoteReference w:id="544"/>
      </w:r>
      <w:r w:rsidR="002B5912">
        <w:rPr>
          <w:color w:val="000000" w:themeColor="text1"/>
          <w:szCs w:val="18"/>
          <w:lang w:val="nl-NL"/>
        </w:rPr>
        <w:t xml:space="preserve"> </w:t>
      </w:r>
      <w:r w:rsidR="00DC267C">
        <w:rPr>
          <w:color w:val="000000" w:themeColor="text1"/>
          <w:szCs w:val="18"/>
          <w:lang w:val="nl-NL"/>
        </w:rPr>
        <w:t>E</w:t>
      </w:r>
      <w:r w:rsidR="002B5912">
        <w:rPr>
          <w:color w:val="000000" w:themeColor="text1"/>
          <w:szCs w:val="18"/>
          <w:lang w:val="nl-NL"/>
        </w:rPr>
        <w:t xml:space="preserve">en </w:t>
      </w:r>
      <w:r w:rsidR="00012DE2">
        <w:rPr>
          <w:color w:val="000000" w:themeColor="text1"/>
          <w:szCs w:val="18"/>
          <w:lang w:val="nl-NL"/>
        </w:rPr>
        <w:t>dergelijke</w:t>
      </w:r>
      <w:r w:rsidR="002B5912">
        <w:rPr>
          <w:color w:val="000000" w:themeColor="text1"/>
          <w:szCs w:val="18"/>
          <w:lang w:val="nl-NL"/>
        </w:rPr>
        <w:t xml:space="preserve"> algemeen geformuleerde definitie van toestemming</w:t>
      </w:r>
      <w:r w:rsidR="00DC267C">
        <w:rPr>
          <w:color w:val="000000" w:themeColor="text1"/>
          <w:szCs w:val="18"/>
          <w:lang w:val="nl-NL"/>
        </w:rPr>
        <w:t xml:space="preserve"> is echter</w:t>
      </w:r>
      <w:r w:rsidR="002B5912">
        <w:rPr>
          <w:color w:val="000000" w:themeColor="text1"/>
          <w:szCs w:val="18"/>
          <w:lang w:val="nl-NL"/>
        </w:rPr>
        <w:t xml:space="preserve"> </w:t>
      </w:r>
      <w:r w:rsidR="00AF7C12">
        <w:rPr>
          <w:color w:val="000000" w:themeColor="text1"/>
          <w:szCs w:val="18"/>
          <w:lang w:val="nl-NL"/>
        </w:rPr>
        <w:t xml:space="preserve">ook </w:t>
      </w:r>
      <w:r w:rsidR="002B5912">
        <w:rPr>
          <w:color w:val="000000" w:themeColor="text1"/>
          <w:szCs w:val="18"/>
          <w:lang w:val="nl-NL"/>
        </w:rPr>
        <w:t>te vinden</w:t>
      </w:r>
      <w:r w:rsidR="00AF7C12">
        <w:rPr>
          <w:color w:val="000000" w:themeColor="text1"/>
          <w:szCs w:val="18"/>
          <w:lang w:val="nl-NL"/>
        </w:rPr>
        <w:t xml:space="preserve"> in het VK</w:t>
      </w:r>
      <w:r w:rsidR="006D0D2A">
        <w:rPr>
          <w:rStyle w:val="FootnoteReference"/>
          <w:color w:val="000000" w:themeColor="text1"/>
          <w:szCs w:val="18"/>
          <w:lang w:val="nl-NL"/>
        </w:rPr>
        <w:footnoteReference w:id="545"/>
      </w:r>
      <w:r w:rsidR="006D0D2A">
        <w:rPr>
          <w:color w:val="000000" w:themeColor="text1"/>
          <w:szCs w:val="18"/>
          <w:lang w:val="nl-NL"/>
        </w:rPr>
        <w:t xml:space="preserve"> </w:t>
      </w:r>
      <w:r w:rsidR="00AF7C12">
        <w:rPr>
          <w:color w:val="000000" w:themeColor="text1"/>
          <w:szCs w:val="18"/>
          <w:lang w:val="nl-NL"/>
        </w:rPr>
        <w:t>evenals</w:t>
      </w:r>
      <w:r w:rsidR="00DB5F46">
        <w:rPr>
          <w:color w:val="000000" w:themeColor="text1"/>
          <w:szCs w:val="18"/>
          <w:lang w:val="nl-NL"/>
        </w:rPr>
        <w:t xml:space="preserve"> het Verdrag van Istanbul en </w:t>
      </w:r>
      <w:r w:rsidR="00145B8F">
        <w:rPr>
          <w:color w:val="000000" w:themeColor="text1"/>
          <w:szCs w:val="18"/>
          <w:lang w:val="nl-NL"/>
        </w:rPr>
        <w:t xml:space="preserve">een </w:t>
      </w:r>
      <w:r w:rsidR="00DB5F46">
        <w:rPr>
          <w:color w:val="000000" w:themeColor="text1"/>
          <w:szCs w:val="18"/>
          <w:lang w:val="nl-NL"/>
        </w:rPr>
        <w:t>arrest van het Joegoslavië-Tribunaa</w:t>
      </w:r>
      <w:r w:rsidR="00A06657">
        <w:rPr>
          <w:color w:val="000000" w:themeColor="text1"/>
          <w:szCs w:val="18"/>
          <w:lang w:val="nl-NL"/>
        </w:rPr>
        <w:t>l</w:t>
      </w:r>
      <w:r w:rsidR="00DB5F46">
        <w:rPr>
          <w:color w:val="000000" w:themeColor="text1"/>
          <w:szCs w:val="18"/>
          <w:lang w:val="nl-NL"/>
        </w:rPr>
        <w:t>.</w:t>
      </w:r>
      <w:r w:rsidR="00DB5F46">
        <w:rPr>
          <w:rStyle w:val="FootnoteReference"/>
          <w:color w:val="000000" w:themeColor="text1"/>
          <w:szCs w:val="18"/>
          <w:lang w:val="nl-NL"/>
        </w:rPr>
        <w:footnoteReference w:id="546"/>
      </w:r>
      <w:r w:rsidR="00AF7C12">
        <w:rPr>
          <w:color w:val="000000" w:themeColor="text1"/>
          <w:szCs w:val="18"/>
          <w:lang w:val="nl-NL"/>
        </w:rPr>
        <w:t xml:space="preserve"> Een zekere mate van algemeenheid </w:t>
      </w:r>
      <w:r w:rsidR="003E5C40">
        <w:rPr>
          <w:color w:val="000000" w:themeColor="text1"/>
          <w:szCs w:val="18"/>
          <w:lang w:val="nl-NL"/>
        </w:rPr>
        <w:t xml:space="preserve">lijkt </w:t>
      </w:r>
      <w:r w:rsidR="00B123B3">
        <w:rPr>
          <w:color w:val="000000" w:themeColor="text1"/>
          <w:szCs w:val="18"/>
          <w:lang w:val="nl-NL"/>
        </w:rPr>
        <w:t>dan ook</w:t>
      </w:r>
      <w:r w:rsidR="003E5C40">
        <w:rPr>
          <w:color w:val="000000" w:themeColor="text1"/>
          <w:szCs w:val="18"/>
          <w:lang w:val="nl-NL"/>
        </w:rPr>
        <w:t xml:space="preserve"> verantwoord vanuit rechtsvergelijkend perspectief </w:t>
      </w:r>
      <w:r w:rsidR="00CC2E04">
        <w:rPr>
          <w:color w:val="000000" w:themeColor="text1"/>
          <w:szCs w:val="18"/>
          <w:lang w:val="nl-NL"/>
        </w:rPr>
        <w:t xml:space="preserve">en is </w:t>
      </w:r>
      <w:r w:rsidR="00B866C1">
        <w:rPr>
          <w:color w:val="000000" w:themeColor="text1"/>
          <w:szCs w:val="18"/>
          <w:lang w:val="nl-NL"/>
        </w:rPr>
        <w:t>m.i.</w:t>
      </w:r>
      <w:r w:rsidR="003E5C40">
        <w:rPr>
          <w:color w:val="000000" w:themeColor="text1"/>
          <w:szCs w:val="18"/>
          <w:lang w:val="nl-NL"/>
        </w:rPr>
        <w:t xml:space="preserve"> </w:t>
      </w:r>
      <w:r w:rsidR="00CC2E04">
        <w:rPr>
          <w:color w:val="000000" w:themeColor="text1"/>
          <w:szCs w:val="18"/>
          <w:lang w:val="nl-NL"/>
        </w:rPr>
        <w:t xml:space="preserve">dan ook </w:t>
      </w:r>
      <w:r w:rsidR="00F62FDE">
        <w:rPr>
          <w:color w:val="000000" w:themeColor="text1"/>
          <w:szCs w:val="18"/>
          <w:lang w:val="nl-NL"/>
        </w:rPr>
        <w:t>niet</w:t>
      </w:r>
      <w:r w:rsidR="00DC267C">
        <w:rPr>
          <w:color w:val="000000" w:themeColor="text1"/>
          <w:szCs w:val="18"/>
          <w:lang w:val="nl-NL"/>
        </w:rPr>
        <w:t xml:space="preserve"> problematisch</w:t>
      </w:r>
      <w:r w:rsidR="00AF7C12">
        <w:rPr>
          <w:color w:val="000000" w:themeColor="text1"/>
          <w:szCs w:val="18"/>
          <w:lang w:val="nl-NL"/>
        </w:rPr>
        <w:t xml:space="preserve">. </w:t>
      </w:r>
    </w:p>
    <w:p w14:paraId="684C2CD1" w14:textId="77777777" w:rsidR="00EC3631" w:rsidRPr="00EC3631" w:rsidRDefault="00EC3631" w:rsidP="00260F11">
      <w:pPr>
        <w:pStyle w:val="ListParagraph"/>
        <w:spacing w:line="360" w:lineRule="auto"/>
        <w:rPr>
          <w:color w:val="000000" w:themeColor="text1"/>
          <w:szCs w:val="18"/>
          <w:lang w:val="nl-NL"/>
        </w:rPr>
      </w:pPr>
    </w:p>
    <w:p w14:paraId="33F565B9" w14:textId="2955993C" w:rsidR="00EC3631" w:rsidRPr="006D0D2A" w:rsidRDefault="00076656" w:rsidP="00260F11">
      <w:pPr>
        <w:pStyle w:val="ListParagraph"/>
        <w:numPr>
          <w:ilvl w:val="0"/>
          <w:numId w:val="1"/>
        </w:numPr>
        <w:spacing w:line="360" w:lineRule="auto"/>
        <w:ind w:left="0" w:hanging="709"/>
        <w:rPr>
          <w:color w:val="000000" w:themeColor="text1"/>
          <w:szCs w:val="18"/>
          <w:lang w:val="nl-NL"/>
        </w:rPr>
      </w:pPr>
      <w:r w:rsidRPr="006D0D2A">
        <w:rPr>
          <w:b/>
          <w:i/>
          <w:color w:val="000000" w:themeColor="text1"/>
          <w:szCs w:val="18"/>
          <w:lang w:val="nl-NL"/>
        </w:rPr>
        <w:t xml:space="preserve">Aanbeveling. </w:t>
      </w:r>
      <w:r w:rsidRPr="006D0D2A">
        <w:rPr>
          <w:color w:val="000000" w:themeColor="text1"/>
          <w:szCs w:val="18"/>
          <w:lang w:val="nl-NL"/>
        </w:rPr>
        <w:t>Ge</w:t>
      </w:r>
      <w:r w:rsidR="00EC3631" w:rsidRPr="006D0D2A">
        <w:rPr>
          <w:color w:val="000000" w:themeColor="text1"/>
          <w:szCs w:val="18"/>
          <w:lang w:val="nl-NL"/>
        </w:rPr>
        <w:t>let op het voorgaande</w:t>
      </w:r>
      <w:r w:rsidRPr="006D0D2A">
        <w:rPr>
          <w:color w:val="000000" w:themeColor="text1"/>
          <w:szCs w:val="18"/>
          <w:lang w:val="nl-NL"/>
        </w:rPr>
        <w:t>,</w:t>
      </w:r>
      <w:r w:rsidR="00EC3631" w:rsidRPr="006D0D2A">
        <w:rPr>
          <w:color w:val="000000" w:themeColor="text1"/>
          <w:szCs w:val="18"/>
          <w:lang w:val="nl-NL"/>
        </w:rPr>
        <w:t xml:space="preserve"> </w:t>
      </w:r>
      <w:r w:rsidR="007E14B0" w:rsidRPr="006D0D2A">
        <w:rPr>
          <w:color w:val="000000" w:themeColor="text1"/>
          <w:szCs w:val="18"/>
          <w:lang w:val="nl-NL"/>
        </w:rPr>
        <w:t>kan m.i. worden volstaan met</w:t>
      </w:r>
      <w:r w:rsidR="00EC3631" w:rsidRPr="006D0D2A">
        <w:rPr>
          <w:color w:val="000000" w:themeColor="text1"/>
          <w:szCs w:val="18"/>
          <w:lang w:val="nl-NL"/>
        </w:rPr>
        <w:t xml:space="preserve"> artikel</w:t>
      </w:r>
      <w:r w:rsidR="007E14B0" w:rsidRPr="006D0D2A">
        <w:rPr>
          <w:color w:val="000000" w:themeColor="text1"/>
          <w:szCs w:val="18"/>
          <w:lang w:val="nl-NL"/>
        </w:rPr>
        <w:t>, eerste lid</w:t>
      </w:r>
      <w:r w:rsidR="00EC3631" w:rsidRPr="006D0D2A">
        <w:rPr>
          <w:color w:val="000000" w:themeColor="text1"/>
          <w:szCs w:val="18"/>
          <w:lang w:val="nl-NL"/>
        </w:rPr>
        <w:t xml:space="preserve"> 417/5 </w:t>
      </w:r>
      <w:r w:rsidR="00E8546B">
        <w:rPr>
          <w:color w:val="000000" w:themeColor="text1"/>
          <w:szCs w:val="18"/>
          <w:lang w:val="nl-NL"/>
        </w:rPr>
        <w:t xml:space="preserve">van het </w:t>
      </w:r>
      <w:r w:rsidR="00EC3631" w:rsidRPr="006D0D2A">
        <w:rPr>
          <w:color w:val="000000" w:themeColor="text1"/>
          <w:szCs w:val="18"/>
          <w:lang w:val="nl-NL"/>
        </w:rPr>
        <w:t xml:space="preserve">Strafwetboek </w:t>
      </w:r>
      <w:r w:rsidR="007E14B0" w:rsidRPr="006D0D2A">
        <w:rPr>
          <w:color w:val="000000" w:themeColor="text1"/>
          <w:szCs w:val="18"/>
          <w:lang w:val="nl-NL"/>
        </w:rPr>
        <w:t>als definitie van toestemming m.b.t. het seksueel zelfbeschikkingsrecht.</w:t>
      </w:r>
      <w:r w:rsidR="00EC3631" w:rsidRPr="006D0D2A">
        <w:rPr>
          <w:color w:val="000000" w:themeColor="text1"/>
          <w:szCs w:val="18"/>
          <w:lang w:val="nl-NL"/>
        </w:rPr>
        <w:t xml:space="preserve"> </w:t>
      </w:r>
      <w:r w:rsidRPr="006D0D2A">
        <w:rPr>
          <w:color w:val="000000" w:themeColor="text1"/>
          <w:szCs w:val="18"/>
          <w:lang w:val="nl-NL"/>
        </w:rPr>
        <w:t>De overige leden - m.u.v. de woorden “</w:t>
      </w:r>
      <w:r w:rsidRPr="006D0D2A">
        <w:rPr>
          <w:i/>
          <w:color w:val="000000" w:themeColor="text1"/>
          <w:szCs w:val="18"/>
          <w:lang w:val="nl-NL"/>
        </w:rPr>
        <w:t>enig andere strafbare gedraging</w:t>
      </w:r>
      <w:r w:rsidRPr="006D0D2A">
        <w:rPr>
          <w:color w:val="000000" w:themeColor="text1"/>
          <w:szCs w:val="18"/>
          <w:lang w:val="nl-NL"/>
        </w:rPr>
        <w:t>” - kunnen beter worden opgenomen in de memorie van toelichting.</w:t>
      </w:r>
    </w:p>
    <w:p w14:paraId="5FBA229D" w14:textId="77777777" w:rsidR="005D5A89" w:rsidRDefault="005D5A89" w:rsidP="00260F11">
      <w:pPr>
        <w:pStyle w:val="ListParagraph"/>
        <w:spacing w:line="360" w:lineRule="auto"/>
        <w:ind w:left="0"/>
        <w:rPr>
          <w:color w:val="000000" w:themeColor="text1"/>
          <w:szCs w:val="18"/>
          <w:lang w:val="nl-NL"/>
        </w:rPr>
      </w:pPr>
    </w:p>
    <w:p w14:paraId="4E595908" w14:textId="0ABE3EAE" w:rsidR="001F1816" w:rsidRPr="005D5A89" w:rsidRDefault="000E1294" w:rsidP="00260F11">
      <w:pPr>
        <w:pStyle w:val="Heading4"/>
        <w:spacing w:line="360" w:lineRule="auto"/>
        <w:rPr>
          <w:szCs w:val="18"/>
          <w:lang w:val="nl-NL"/>
        </w:rPr>
      </w:pPr>
      <w:bookmarkStart w:id="72" w:name="_Toc135041100"/>
      <w:r w:rsidRPr="00C86A69">
        <w:rPr>
          <w:szCs w:val="18"/>
          <w:lang w:val="nl-NL"/>
        </w:rPr>
        <w:t>Seksuele meerderjarigheid</w:t>
      </w:r>
      <w:bookmarkEnd w:id="72"/>
    </w:p>
    <w:p w14:paraId="7F7650AC" w14:textId="1DCE136C" w:rsidR="001F1816" w:rsidRDefault="001F1816" w:rsidP="00260F11">
      <w:pPr>
        <w:pStyle w:val="Heading5"/>
        <w:spacing w:line="360" w:lineRule="auto"/>
        <w:rPr>
          <w:lang w:val="nl-NL"/>
        </w:rPr>
      </w:pPr>
      <w:bookmarkStart w:id="73" w:name="_Toc135041101"/>
      <w:r>
        <w:rPr>
          <w:lang w:val="nl-NL"/>
        </w:rPr>
        <w:t>Uniforme leeftijdsgrens</w:t>
      </w:r>
      <w:bookmarkEnd w:id="73"/>
    </w:p>
    <w:p w14:paraId="05CBEA62" w14:textId="77777777" w:rsidR="001F1816" w:rsidRPr="001F1816" w:rsidRDefault="001F1816" w:rsidP="00260F11">
      <w:pPr>
        <w:spacing w:line="360" w:lineRule="auto"/>
        <w:rPr>
          <w:lang w:val="nl-NL"/>
        </w:rPr>
      </w:pPr>
    </w:p>
    <w:p w14:paraId="614AE923" w14:textId="4F08C26C" w:rsidR="000028D4" w:rsidRDefault="00042181" w:rsidP="00260F11">
      <w:pPr>
        <w:pStyle w:val="ListParagraph"/>
        <w:numPr>
          <w:ilvl w:val="0"/>
          <w:numId w:val="1"/>
        </w:numPr>
        <w:spacing w:line="360" w:lineRule="auto"/>
        <w:ind w:left="0" w:hanging="709"/>
        <w:rPr>
          <w:color w:val="000000" w:themeColor="text1"/>
          <w:szCs w:val="18"/>
          <w:lang w:val="nl-NL"/>
        </w:rPr>
      </w:pPr>
      <w:r w:rsidRPr="00121F39">
        <w:rPr>
          <w:color w:val="000000" w:themeColor="text1"/>
          <w:szCs w:val="18"/>
          <w:lang w:val="nl-NL"/>
        </w:rPr>
        <w:t xml:space="preserve">Onder het oude recht </w:t>
      </w:r>
      <w:r w:rsidR="008653D9">
        <w:rPr>
          <w:color w:val="000000" w:themeColor="text1"/>
          <w:szCs w:val="18"/>
          <w:lang w:val="nl-NL"/>
        </w:rPr>
        <w:t>moest de</w:t>
      </w:r>
      <w:r w:rsidRPr="00121F39">
        <w:rPr>
          <w:color w:val="000000" w:themeColor="text1"/>
          <w:szCs w:val="18"/>
          <w:lang w:val="nl-NL"/>
        </w:rPr>
        <w:t xml:space="preserve"> leeftijd </w:t>
      </w:r>
      <w:r w:rsidR="008653D9">
        <w:rPr>
          <w:color w:val="000000" w:themeColor="text1"/>
          <w:szCs w:val="18"/>
          <w:lang w:val="nl-NL"/>
        </w:rPr>
        <w:t xml:space="preserve">vanaf wanneer </w:t>
      </w:r>
      <w:r w:rsidRPr="00121F39">
        <w:rPr>
          <w:color w:val="000000" w:themeColor="text1"/>
          <w:szCs w:val="18"/>
          <w:lang w:val="nl-NL"/>
        </w:rPr>
        <w:t>een minderjarige kon instemmen met seksuele handelingen</w:t>
      </w:r>
      <w:r w:rsidR="008653D9">
        <w:rPr>
          <w:color w:val="000000" w:themeColor="text1"/>
          <w:szCs w:val="18"/>
          <w:lang w:val="nl-NL"/>
        </w:rPr>
        <w:t xml:space="preserve"> </w:t>
      </w:r>
      <w:r w:rsidRPr="00121F39">
        <w:rPr>
          <w:color w:val="000000" w:themeColor="text1"/>
          <w:szCs w:val="18"/>
          <w:lang w:val="nl-NL"/>
        </w:rPr>
        <w:t>worden afgeleid uit de strafbaarstellingen van aanranding van de eerbaarheid en verkrachting zelf.</w:t>
      </w:r>
      <w:r w:rsidR="00464EAA" w:rsidRPr="00121F39">
        <w:rPr>
          <w:color w:val="000000" w:themeColor="text1"/>
          <w:szCs w:val="18"/>
          <w:lang w:val="nl-NL"/>
        </w:rPr>
        <w:t xml:space="preserve"> Een minderjarige kon instemmen met een seksuele penetratie vanaf de leeftijd van veertien jaar</w:t>
      </w:r>
      <w:r w:rsidR="008653D9">
        <w:rPr>
          <w:color w:val="000000" w:themeColor="text1"/>
          <w:szCs w:val="18"/>
          <w:lang w:val="nl-NL"/>
        </w:rPr>
        <w:t>,</w:t>
      </w:r>
      <w:r w:rsidR="00464EAA" w:rsidRPr="00121F39">
        <w:rPr>
          <w:rStyle w:val="FootnoteReference"/>
          <w:color w:val="000000" w:themeColor="text1"/>
          <w:szCs w:val="18"/>
          <w:lang w:val="nl-NL"/>
        </w:rPr>
        <w:footnoteReference w:id="547"/>
      </w:r>
      <w:r w:rsidR="00464EAA" w:rsidRPr="00121F39">
        <w:rPr>
          <w:color w:val="000000" w:themeColor="text1"/>
          <w:szCs w:val="18"/>
          <w:lang w:val="nl-NL"/>
        </w:rPr>
        <w:t xml:space="preserve"> </w:t>
      </w:r>
      <w:r w:rsidR="008653D9">
        <w:rPr>
          <w:color w:val="000000" w:themeColor="text1"/>
          <w:szCs w:val="18"/>
          <w:lang w:val="nl-NL"/>
        </w:rPr>
        <w:t xml:space="preserve">terwijl </w:t>
      </w:r>
      <w:r w:rsidR="00B763A5">
        <w:rPr>
          <w:color w:val="000000" w:themeColor="text1"/>
          <w:szCs w:val="18"/>
          <w:lang w:val="nl-NL"/>
        </w:rPr>
        <w:t>diezelfde minderjarige</w:t>
      </w:r>
      <w:r w:rsidR="008653D9">
        <w:rPr>
          <w:color w:val="000000" w:themeColor="text1"/>
          <w:szCs w:val="18"/>
          <w:lang w:val="nl-NL"/>
        </w:rPr>
        <w:t xml:space="preserve"> pas vanaf zestien jaar kon instemmen</w:t>
      </w:r>
      <w:r w:rsidR="00464EAA" w:rsidRPr="00121F39">
        <w:rPr>
          <w:color w:val="000000" w:themeColor="text1"/>
          <w:szCs w:val="18"/>
          <w:lang w:val="nl-NL"/>
        </w:rPr>
        <w:t xml:space="preserve"> met minder verregaande seksuele gedragingen (die geen seksuele penetratie omvatten)</w:t>
      </w:r>
      <w:r w:rsidR="008653D9">
        <w:rPr>
          <w:color w:val="000000" w:themeColor="text1"/>
          <w:szCs w:val="18"/>
          <w:lang w:val="nl-NL"/>
        </w:rPr>
        <w:t>.</w:t>
      </w:r>
      <w:r w:rsidR="00464EAA" w:rsidRPr="00121F39">
        <w:rPr>
          <w:rStyle w:val="FootnoteReference"/>
          <w:color w:val="000000" w:themeColor="text1"/>
          <w:szCs w:val="18"/>
          <w:lang w:val="nl-NL"/>
        </w:rPr>
        <w:footnoteReference w:id="548"/>
      </w:r>
      <w:r w:rsidR="00464EAA" w:rsidRPr="00121F39">
        <w:rPr>
          <w:color w:val="000000" w:themeColor="text1"/>
          <w:szCs w:val="18"/>
          <w:lang w:val="nl-NL"/>
        </w:rPr>
        <w:t xml:space="preserve"> </w:t>
      </w:r>
    </w:p>
    <w:p w14:paraId="33E9B680" w14:textId="77777777" w:rsidR="00076656" w:rsidRDefault="00076656" w:rsidP="00260F11">
      <w:pPr>
        <w:pStyle w:val="ListParagraph"/>
        <w:spacing w:line="360" w:lineRule="auto"/>
        <w:ind w:left="0"/>
        <w:rPr>
          <w:color w:val="000000" w:themeColor="text1"/>
          <w:szCs w:val="18"/>
          <w:lang w:val="nl-NL"/>
        </w:rPr>
      </w:pPr>
    </w:p>
    <w:p w14:paraId="0CDE29B1" w14:textId="4715FF1F" w:rsidR="00C6478F" w:rsidRDefault="0049657A" w:rsidP="00260F11">
      <w:pPr>
        <w:pStyle w:val="ListParagraph"/>
        <w:spacing w:line="360" w:lineRule="auto"/>
        <w:ind w:left="0"/>
        <w:rPr>
          <w:color w:val="000000" w:themeColor="text1"/>
          <w:szCs w:val="18"/>
          <w:lang w:val="nl-NL"/>
        </w:rPr>
      </w:pPr>
      <w:r>
        <w:rPr>
          <w:color w:val="000000" w:themeColor="text1"/>
          <w:szCs w:val="18"/>
          <w:lang w:val="nl-NL"/>
        </w:rPr>
        <w:t>Deze</w:t>
      </w:r>
      <w:r w:rsidR="00464EAA" w:rsidRPr="000028D4">
        <w:rPr>
          <w:color w:val="000000" w:themeColor="text1"/>
          <w:szCs w:val="18"/>
          <w:lang w:val="nl-NL"/>
        </w:rPr>
        <w:t xml:space="preserve"> </w:t>
      </w:r>
      <w:r w:rsidR="000C2CA8" w:rsidRPr="000028D4">
        <w:rPr>
          <w:color w:val="000000" w:themeColor="text1"/>
          <w:szCs w:val="18"/>
          <w:lang w:val="nl-NL"/>
        </w:rPr>
        <w:t>verschillende leeftijdsgrenzen</w:t>
      </w:r>
      <w:r w:rsidR="00464EAA" w:rsidRPr="000028D4">
        <w:rPr>
          <w:color w:val="000000" w:themeColor="text1"/>
          <w:szCs w:val="18"/>
          <w:lang w:val="nl-NL"/>
        </w:rPr>
        <w:t xml:space="preserve"> </w:t>
      </w:r>
      <w:r>
        <w:rPr>
          <w:color w:val="000000" w:themeColor="text1"/>
          <w:szCs w:val="18"/>
          <w:lang w:val="nl-NL"/>
        </w:rPr>
        <w:t xml:space="preserve">schonden </w:t>
      </w:r>
      <w:r w:rsidR="000C2CA8" w:rsidRPr="000028D4">
        <w:rPr>
          <w:color w:val="000000" w:themeColor="text1"/>
          <w:szCs w:val="18"/>
          <w:lang w:val="nl-NL"/>
        </w:rPr>
        <w:t>de</w:t>
      </w:r>
      <w:r w:rsidR="00464EAA" w:rsidRPr="000028D4">
        <w:rPr>
          <w:color w:val="000000" w:themeColor="text1"/>
          <w:szCs w:val="18"/>
          <w:lang w:val="nl-NL"/>
        </w:rPr>
        <w:t xml:space="preserve"> artikelen 10 en 11 van de Grondwet</w:t>
      </w:r>
      <w:r w:rsidR="000C2CA8" w:rsidRPr="000028D4">
        <w:rPr>
          <w:color w:val="000000" w:themeColor="text1"/>
          <w:szCs w:val="18"/>
          <w:lang w:val="nl-NL"/>
        </w:rPr>
        <w:t xml:space="preserve"> niet </w:t>
      </w:r>
      <w:r>
        <w:rPr>
          <w:color w:val="000000" w:themeColor="text1"/>
          <w:szCs w:val="18"/>
          <w:lang w:val="nl-NL"/>
        </w:rPr>
        <w:t xml:space="preserve">volgens </w:t>
      </w:r>
      <w:r w:rsidRPr="000028D4">
        <w:rPr>
          <w:color w:val="000000" w:themeColor="text1"/>
          <w:szCs w:val="18"/>
          <w:lang w:val="nl-NL"/>
        </w:rPr>
        <w:t>het Grondwettelijk Hof</w:t>
      </w:r>
      <w:r>
        <w:rPr>
          <w:color w:val="000000" w:themeColor="text1"/>
          <w:szCs w:val="18"/>
          <w:lang w:val="nl-NL"/>
        </w:rPr>
        <w:t>.</w:t>
      </w:r>
      <w:r w:rsidR="00464EAA" w:rsidRPr="00121F39">
        <w:rPr>
          <w:rStyle w:val="FootnoteReference"/>
          <w:color w:val="000000" w:themeColor="text1"/>
          <w:szCs w:val="18"/>
          <w:lang w:val="nl-NL"/>
        </w:rPr>
        <w:footnoteReference w:id="549"/>
      </w:r>
      <w:r w:rsidR="000C2CA8" w:rsidRPr="000028D4">
        <w:rPr>
          <w:color w:val="000000" w:themeColor="text1"/>
          <w:szCs w:val="18"/>
          <w:lang w:val="nl-NL"/>
        </w:rPr>
        <w:t xml:space="preserve"> </w:t>
      </w:r>
      <w:r>
        <w:rPr>
          <w:color w:val="000000" w:themeColor="text1"/>
          <w:szCs w:val="18"/>
          <w:lang w:val="nl-NL"/>
        </w:rPr>
        <w:t>Dit neemt</w:t>
      </w:r>
      <w:r w:rsidR="005142BB" w:rsidRPr="000028D4">
        <w:rPr>
          <w:color w:val="000000" w:themeColor="text1"/>
          <w:szCs w:val="18"/>
          <w:lang w:val="nl-NL"/>
        </w:rPr>
        <w:t xml:space="preserve"> niet weg dat de logica hierachter voor de rechtsonderhorigen ver te zoeken wa</w:t>
      </w:r>
      <w:r>
        <w:rPr>
          <w:color w:val="000000" w:themeColor="text1"/>
          <w:szCs w:val="18"/>
          <w:lang w:val="nl-NL"/>
        </w:rPr>
        <w:t xml:space="preserve">s, zodat </w:t>
      </w:r>
      <w:r w:rsidR="00EB0906" w:rsidRPr="000028D4">
        <w:rPr>
          <w:color w:val="000000" w:themeColor="text1"/>
          <w:szCs w:val="18"/>
          <w:lang w:val="nl-NL"/>
        </w:rPr>
        <w:t>dit aanleiding gaf tot rechtsonzekerheid</w:t>
      </w:r>
      <w:r w:rsidR="005142BB" w:rsidRPr="000028D4">
        <w:rPr>
          <w:color w:val="000000" w:themeColor="text1"/>
          <w:szCs w:val="18"/>
          <w:lang w:val="nl-NL"/>
        </w:rPr>
        <w:t>.</w:t>
      </w:r>
      <w:r w:rsidR="00323CFD">
        <w:rPr>
          <w:rStyle w:val="FootnoteReference"/>
          <w:color w:val="000000" w:themeColor="text1"/>
          <w:szCs w:val="18"/>
          <w:lang w:val="nl-NL"/>
        </w:rPr>
        <w:footnoteReference w:id="550"/>
      </w:r>
    </w:p>
    <w:p w14:paraId="00880A7C" w14:textId="77777777" w:rsidR="00C6478F" w:rsidRDefault="00C6478F" w:rsidP="00260F11">
      <w:pPr>
        <w:pStyle w:val="ListParagraph"/>
        <w:spacing w:line="360" w:lineRule="auto"/>
        <w:ind w:left="0"/>
        <w:rPr>
          <w:color w:val="000000" w:themeColor="text1"/>
          <w:szCs w:val="18"/>
          <w:lang w:val="nl-NL"/>
        </w:rPr>
      </w:pPr>
    </w:p>
    <w:p w14:paraId="1E8BE556" w14:textId="52AF1C69" w:rsidR="00007EEB" w:rsidRDefault="005142BB" w:rsidP="00260F11">
      <w:pPr>
        <w:pStyle w:val="ListParagraph"/>
        <w:numPr>
          <w:ilvl w:val="0"/>
          <w:numId w:val="1"/>
        </w:numPr>
        <w:spacing w:line="360" w:lineRule="auto"/>
        <w:ind w:left="0" w:hanging="709"/>
        <w:rPr>
          <w:color w:val="000000" w:themeColor="text1"/>
          <w:szCs w:val="18"/>
          <w:lang w:val="nl-NL"/>
        </w:rPr>
      </w:pPr>
      <w:r w:rsidRPr="006D0D2A">
        <w:rPr>
          <w:color w:val="000000" w:themeColor="text1"/>
          <w:szCs w:val="18"/>
          <w:lang w:val="nl-NL"/>
        </w:rPr>
        <w:t xml:space="preserve">De wetgever heeft met de hervorming van het seksueel strafrecht </w:t>
      </w:r>
      <w:r w:rsidR="00D6592C" w:rsidRPr="006D0D2A">
        <w:rPr>
          <w:color w:val="000000" w:themeColor="text1"/>
          <w:szCs w:val="18"/>
          <w:lang w:val="nl-NL"/>
        </w:rPr>
        <w:t xml:space="preserve">deze anomalie verholpen </w:t>
      </w:r>
      <w:r w:rsidRPr="006D0D2A">
        <w:rPr>
          <w:color w:val="000000" w:themeColor="text1"/>
          <w:szCs w:val="18"/>
          <w:lang w:val="nl-NL"/>
        </w:rPr>
        <w:t>door een uniforme</w:t>
      </w:r>
      <w:r w:rsidR="008653D9" w:rsidRPr="006D0D2A">
        <w:rPr>
          <w:rStyle w:val="FootnoteReference"/>
          <w:color w:val="000000" w:themeColor="text1"/>
          <w:szCs w:val="18"/>
          <w:lang w:val="nl-NL"/>
        </w:rPr>
        <w:footnoteReference w:id="551"/>
      </w:r>
      <w:r w:rsidR="00007EEB" w:rsidRPr="006D0D2A">
        <w:rPr>
          <w:color w:val="000000" w:themeColor="text1"/>
          <w:szCs w:val="18"/>
          <w:lang w:val="nl-NL"/>
        </w:rPr>
        <w:t xml:space="preserve"> leeftijdsgrens m.b.t. de seksuele meerderjarigheid </w:t>
      </w:r>
      <w:r w:rsidRPr="006D0D2A">
        <w:rPr>
          <w:color w:val="000000" w:themeColor="text1"/>
          <w:szCs w:val="18"/>
          <w:lang w:val="nl-NL"/>
        </w:rPr>
        <w:t>vast te stellen</w:t>
      </w:r>
      <w:r w:rsidR="00007EEB" w:rsidRPr="006D0D2A">
        <w:rPr>
          <w:color w:val="000000" w:themeColor="text1"/>
          <w:szCs w:val="18"/>
          <w:lang w:val="nl-NL"/>
        </w:rPr>
        <w:t>.</w:t>
      </w:r>
      <w:r w:rsidRPr="006D0D2A">
        <w:rPr>
          <w:rStyle w:val="FootnoteReference"/>
          <w:color w:val="000000" w:themeColor="text1"/>
          <w:szCs w:val="18"/>
          <w:lang w:val="nl-NL"/>
        </w:rPr>
        <w:footnoteReference w:id="552"/>
      </w:r>
      <w:r w:rsidR="00C6478F" w:rsidRPr="006D0D2A">
        <w:rPr>
          <w:color w:val="000000" w:themeColor="text1"/>
          <w:szCs w:val="18"/>
          <w:lang w:val="nl-NL"/>
        </w:rPr>
        <w:t xml:space="preserve"> Het voorheen </w:t>
      </w:r>
      <w:r w:rsidR="00C6478F" w:rsidRPr="006D0D2A">
        <w:rPr>
          <w:color w:val="000000" w:themeColor="text1"/>
          <w:szCs w:val="18"/>
          <w:lang w:val="nl-NL"/>
        </w:rPr>
        <w:lastRenderedPageBreak/>
        <w:t>geïdentificeerde</w:t>
      </w:r>
      <w:r w:rsidR="00007EEB" w:rsidRPr="006D0D2A">
        <w:rPr>
          <w:color w:val="000000" w:themeColor="text1"/>
          <w:szCs w:val="18"/>
          <w:lang w:val="nl-NL"/>
        </w:rPr>
        <w:t xml:space="preserve"> pijnpunt van de oude strafbaarstellingen</w:t>
      </w:r>
      <w:r w:rsidR="006D0D2A" w:rsidRPr="006D0D2A">
        <w:rPr>
          <w:rStyle w:val="FootnoteReference"/>
          <w:color w:val="000000" w:themeColor="text1"/>
          <w:szCs w:val="18"/>
          <w:lang w:val="nl-NL"/>
        </w:rPr>
        <w:footnoteReference w:id="553"/>
      </w:r>
      <w:r w:rsidR="00007EEB" w:rsidRPr="006D0D2A">
        <w:rPr>
          <w:color w:val="000000" w:themeColor="text1"/>
          <w:szCs w:val="18"/>
          <w:lang w:val="nl-NL"/>
        </w:rPr>
        <w:t xml:space="preserve"> werd bijgevolg verholpen</w:t>
      </w:r>
      <w:r w:rsidR="00C6478F" w:rsidRPr="006D0D2A">
        <w:rPr>
          <w:color w:val="000000" w:themeColor="text1"/>
          <w:szCs w:val="18"/>
          <w:lang w:val="nl-NL"/>
        </w:rPr>
        <w:t>.</w:t>
      </w:r>
      <w:r w:rsidR="000028D4" w:rsidRPr="006D0D2A">
        <w:rPr>
          <w:color w:val="000000" w:themeColor="text1"/>
          <w:szCs w:val="18"/>
          <w:lang w:val="nl-NL"/>
        </w:rPr>
        <w:t xml:space="preserve"> </w:t>
      </w:r>
      <w:r w:rsidR="008653D9" w:rsidRPr="006D0D2A">
        <w:rPr>
          <w:color w:val="000000" w:themeColor="text1"/>
          <w:szCs w:val="18"/>
          <w:lang w:val="nl-NL"/>
        </w:rPr>
        <w:t>Deze verandering</w:t>
      </w:r>
      <w:r w:rsidR="007F317E" w:rsidRPr="006D0D2A">
        <w:rPr>
          <w:color w:val="000000" w:themeColor="text1"/>
          <w:szCs w:val="18"/>
          <w:lang w:val="nl-NL"/>
        </w:rPr>
        <w:t xml:space="preserve"> </w:t>
      </w:r>
      <w:r w:rsidR="002F382A">
        <w:rPr>
          <w:color w:val="000000" w:themeColor="text1"/>
          <w:szCs w:val="18"/>
          <w:lang w:val="nl-NL"/>
        </w:rPr>
        <w:t>is</w:t>
      </w:r>
      <w:r w:rsidR="00C6478F" w:rsidRPr="006D0D2A">
        <w:rPr>
          <w:color w:val="000000" w:themeColor="text1"/>
          <w:szCs w:val="18"/>
          <w:lang w:val="nl-NL"/>
        </w:rPr>
        <w:t xml:space="preserve"> dan ook </w:t>
      </w:r>
      <w:r w:rsidR="000028D4" w:rsidRPr="006D0D2A">
        <w:rPr>
          <w:color w:val="000000" w:themeColor="text1"/>
          <w:szCs w:val="18"/>
          <w:lang w:val="nl-NL"/>
        </w:rPr>
        <w:t xml:space="preserve">zeker </w:t>
      </w:r>
      <w:r w:rsidR="002F382A">
        <w:rPr>
          <w:color w:val="000000" w:themeColor="text1"/>
          <w:szCs w:val="18"/>
          <w:lang w:val="nl-NL"/>
        </w:rPr>
        <w:t>als</w:t>
      </w:r>
      <w:r w:rsidR="000028D4" w:rsidRPr="006D0D2A">
        <w:rPr>
          <w:color w:val="000000" w:themeColor="text1"/>
          <w:szCs w:val="18"/>
          <w:lang w:val="nl-NL"/>
        </w:rPr>
        <w:t xml:space="preserve"> </w:t>
      </w:r>
      <w:r w:rsidR="002F382A">
        <w:rPr>
          <w:color w:val="000000" w:themeColor="text1"/>
          <w:szCs w:val="18"/>
          <w:lang w:val="nl-NL"/>
        </w:rPr>
        <w:t>een positieve verandering</w:t>
      </w:r>
      <w:r w:rsidR="000028D4" w:rsidRPr="006D0D2A">
        <w:rPr>
          <w:color w:val="000000" w:themeColor="text1"/>
          <w:szCs w:val="18"/>
          <w:lang w:val="nl-NL"/>
        </w:rPr>
        <w:t xml:space="preserve"> </w:t>
      </w:r>
      <w:r w:rsidR="002F382A">
        <w:rPr>
          <w:color w:val="000000" w:themeColor="text1"/>
          <w:szCs w:val="18"/>
          <w:lang w:val="nl-NL"/>
        </w:rPr>
        <w:t>aan te merken</w:t>
      </w:r>
      <w:r w:rsidR="000028D4" w:rsidRPr="006D0D2A">
        <w:rPr>
          <w:color w:val="000000" w:themeColor="text1"/>
          <w:szCs w:val="18"/>
          <w:lang w:val="nl-NL"/>
        </w:rPr>
        <w:t>.</w:t>
      </w:r>
    </w:p>
    <w:p w14:paraId="22E1C7B8" w14:textId="77777777" w:rsidR="00E5449F" w:rsidRPr="006D0D2A" w:rsidRDefault="00E5449F" w:rsidP="00260F11">
      <w:pPr>
        <w:pStyle w:val="ListParagraph"/>
        <w:spacing w:line="360" w:lineRule="auto"/>
        <w:ind w:left="0"/>
        <w:rPr>
          <w:color w:val="000000" w:themeColor="text1"/>
          <w:szCs w:val="18"/>
          <w:lang w:val="nl-NL"/>
        </w:rPr>
      </w:pPr>
    </w:p>
    <w:p w14:paraId="5620315C" w14:textId="02A15DCB" w:rsidR="00007EEB" w:rsidRDefault="001F1816" w:rsidP="00260F11">
      <w:pPr>
        <w:pStyle w:val="Heading5"/>
        <w:spacing w:line="360" w:lineRule="auto"/>
        <w:rPr>
          <w:lang w:val="nl-NL"/>
        </w:rPr>
      </w:pPr>
      <w:bookmarkStart w:id="74" w:name="_Toc135041102"/>
      <w:r>
        <w:rPr>
          <w:lang w:val="nl-NL"/>
        </w:rPr>
        <w:t>Flexibel systeem</w:t>
      </w:r>
      <w:bookmarkEnd w:id="74"/>
    </w:p>
    <w:p w14:paraId="7C5EF4D3" w14:textId="77777777" w:rsidR="000028D4" w:rsidRPr="000028D4" w:rsidRDefault="000028D4" w:rsidP="00260F11">
      <w:pPr>
        <w:spacing w:line="360" w:lineRule="auto"/>
        <w:rPr>
          <w:color w:val="000000" w:themeColor="text1"/>
          <w:szCs w:val="18"/>
          <w:lang w:val="nl-NL"/>
        </w:rPr>
      </w:pPr>
    </w:p>
    <w:p w14:paraId="09AEBC62" w14:textId="60C4372F" w:rsidR="004D050C" w:rsidRPr="00253D00" w:rsidRDefault="00310EA3"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De huidige</w:t>
      </w:r>
      <w:r w:rsidR="00A26C5C" w:rsidRPr="007F3DC4">
        <w:rPr>
          <w:color w:val="000000" w:themeColor="text1"/>
          <w:szCs w:val="18"/>
          <w:lang w:val="nl-NL"/>
        </w:rPr>
        <w:t xml:space="preserve"> leeftijdsgrens</w:t>
      </w:r>
      <w:r>
        <w:rPr>
          <w:color w:val="000000" w:themeColor="text1"/>
          <w:szCs w:val="18"/>
          <w:lang w:val="nl-NL"/>
        </w:rPr>
        <w:t xml:space="preserve"> is</w:t>
      </w:r>
      <w:r w:rsidR="00A26C5C" w:rsidRPr="007F3DC4">
        <w:rPr>
          <w:color w:val="000000" w:themeColor="text1"/>
          <w:szCs w:val="18"/>
          <w:lang w:val="nl-NL"/>
        </w:rPr>
        <w:t>,</w:t>
      </w:r>
      <w:r w:rsidR="00007EEB" w:rsidRPr="007F3DC4">
        <w:rPr>
          <w:color w:val="000000" w:themeColor="text1"/>
          <w:szCs w:val="18"/>
          <w:lang w:val="nl-NL"/>
        </w:rPr>
        <w:t xml:space="preserve"> na uitvoerige discussies</w:t>
      </w:r>
      <w:r w:rsidR="00962674">
        <w:rPr>
          <w:color w:val="000000" w:themeColor="text1"/>
          <w:szCs w:val="18"/>
          <w:lang w:val="nl-NL"/>
        </w:rPr>
        <w:t>,</w:t>
      </w:r>
      <w:r w:rsidR="00007EEB" w:rsidRPr="007F3DC4">
        <w:rPr>
          <w:rStyle w:val="FootnoteReference"/>
          <w:color w:val="000000" w:themeColor="text1"/>
          <w:szCs w:val="18"/>
          <w:lang w:val="nl-NL"/>
        </w:rPr>
        <w:footnoteReference w:id="554"/>
      </w:r>
      <w:r w:rsidR="00007EEB" w:rsidRPr="007F3DC4">
        <w:rPr>
          <w:color w:val="000000" w:themeColor="text1"/>
          <w:szCs w:val="18"/>
          <w:lang w:val="nl-NL"/>
        </w:rPr>
        <w:t xml:space="preserve"> </w:t>
      </w:r>
      <w:r w:rsidR="00A26C5C" w:rsidRPr="007F3DC4">
        <w:rPr>
          <w:color w:val="000000" w:themeColor="text1"/>
          <w:szCs w:val="18"/>
          <w:lang w:val="nl-NL"/>
        </w:rPr>
        <w:t xml:space="preserve">principieel </w:t>
      </w:r>
      <w:r>
        <w:rPr>
          <w:color w:val="000000" w:themeColor="text1"/>
          <w:szCs w:val="18"/>
          <w:lang w:val="nl-NL"/>
        </w:rPr>
        <w:t xml:space="preserve">vastgesteld </w:t>
      </w:r>
      <w:r w:rsidR="00007EEB" w:rsidRPr="007F3DC4">
        <w:rPr>
          <w:color w:val="000000" w:themeColor="text1"/>
          <w:szCs w:val="18"/>
          <w:lang w:val="nl-NL"/>
        </w:rPr>
        <w:t>op zestien jaar.</w:t>
      </w:r>
      <w:r w:rsidR="00007EEB" w:rsidRPr="007F3DC4">
        <w:rPr>
          <w:rStyle w:val="FootnoteReference"/>
          <w:color w:val="000000" w:themeColor="text1"/>
          <w:szCs w:val="18"/>
          <w:lang w:val="nl-NL"/>
        </w:rPr>
        <w:footnoteReference w:id="555"/>
      </w:r>
      <w:r w:rsidR="00007EEB" w:rsidRPr="007F3DC4">
        <w:rPr>
          <w:color w:val="000000" w:themeColor="text1"/>
          <w:szCs w:val="18"/>
          <w:lang w:val="nl-NL"/>
        </w:rPr>
        <w:t xml:space="preserve"> </w:t>
      </w:r>
      <w:r w:rsidR="00D65976">
        <w:rPr>
          <w:color w:val="000000" w:themeColor="text1"/>
          <w:szCs w:val="18"/>
          <w:lang w:val="nl-NL"/>
        </w:rPr>
        <w:t>Hierop bestaan evenwel</w:t>
      </w:r>
      <w:r w:rsidR="00007EEB" w:rsidRPr="007F3DC4">
        <w:rPr>
          <w:color w:val="000000" w:themeColor="text1"/>
          <w:szCs w:val="18"/>
          <w:lang w:val="nl-NL"/>
        </w:rPr>
        <w:t xml:space="preserve"> uitzonderingen, zowel naar boven (hogere leeftijdsgrens)</w:t>
      </w:r>
      <w:r w:rsidR="00665964" w:rsidRPr="00665964">
        <w:rPr>
          <w:rStyle w:val="FootnoteReference"/>
          <w:szCs w:val="18"/>
          <w:lang w:val="nl-NL"/>
        </w:rPr>
        <w:footnoteReference w:id="556"/>
      </w:r>
      <w:r w:rsidR="00007EEB" w:rsidRPr="007F3DC4">
        <w:rPr>
          <w:color w:val="000000" w:themeColor="text1"/>
          <w:szCs w:val="18"/>
          <w:lang w:val="nl-NL"/>
        </w:rPr>
        <w:t xml:space="preserve"> als naar beneden (lagere leeftijdsgrens)</w:t>
      </w:r>
      <w:r w:rsidR="002D1822">
        <w:rPr>
          <w:color w:val="000000" w:themeColor="text1"/>
          <w:szCs w:val="18"/>
          <w:lang w:val="nl-NL"/>
        </w:rPr>
        <w:t>. H</w:t>
      </w:r>
      <w:r w:rsidR="00A26C5C" w:rsidRPr="007F3DC4">
        <w:rPr>
          <w:color w:val="000000" w:themeColor="text1"/>
          <w:szCs w:val="18"/>
          <w:lang w:val="nl-NL"/>
        </w:rPr>
        <w:t xml:space="preserve">et </w:t>
      </w:r>
      <w:r w:rsidR="007F317E">
        <w:rPr>
          <w:color w:val="000000" w:themeColor="text1"/>
          <w:szCs w:val="18"/>
          <w:lang w:val="nl-NL"/>
        </w:rPr>
        <w:t>betreft</w:t>
      </w:r>
      <w:r w:rsidR="00D65976">
        <w:rPr>
          <w:color w:val="000000" w:themeColor="text1"/>
          <w:szCs w:val="18"/>
          <w:lang w:val="nl-NL"/>
        </w:rPr>
        <w:t xml:space="preserve"> dan ook</w:t>
      </w:r>
      <w:r w:rsidR="002D1822">
        <w:rPr>
          <w:color w:val="000000" w:themeColor="text1"/>
          <w:szCs w:val="18"/>
          <w:lang w:val="nl-NL"/>
        </w:rPr>
        <w:t xml:space="preserve"> </w:t>
      </w:r>
      <w:r w:rsidR="00A26C5C" w:rsidRPr="007F3DC4">
        <w:rPr>
          <w:color w:val="000000" w:themeColor="text1"/>
          <w:szCs w:val="18"/>
          <w:lang w:val="nl-NL"/>
        </w:rPr>
        <w:t>een flexibel systeem.</w:t>
      </w:r>
      <w:r w:rsidR="002D1822">
        <w:rPr>
          <w:color w:val="000000" w:themeColor="text1"/>
          <w:szCs w:val="18"/>
          <w:lang w:val="nl-NL"/>
        </w:rPr>
        <w:t xml:space="preserve"> </w:t>
      </w:r>
      <w:r w:rsidR="00975265" w:rsidRPr="002D1822">
        <w:rPr>
          <w:color w:val="000000" w:themeColor="text1"/>
          <w:szCs w:val="18"/>
          <w:lang w:val="nl-NL"/>
        </w:rPr>
        <w:t>Dit</w:t>
      </w:r>
      <w:r w:rsidR="00A26C5C" w:rsidRPr="002D1822">
        <w:rPr>
          <w:color w:val="000000" w:themeColor="text1"/>
          <w:szCs w:val="18"/>
          <w:lang w:val="nl-NL"/>
        </w:rPr>
        <w:t xml:space="preserve"> systeem werd </w:t>
      </w:r>
      <w:r w:rsidR="00A27D07">
        <w:rPr>
          <w:color w:val="000000" w:themeColor="text1"/>
          <w:szCs w:val="18"/>
          <w:lang w:val="nl-NL"/>
        </w:rPr>
        <w:t>eerder</w:t>
      </w:r>
      <w:r w:rsidR="00A26C5C" w:rsidRPr="002D1822">
        <w:rPr>
          <w:color w:val="000000" w:themeColor="text1"/>
          <w:szCs w:val="18"/>
          <w:lang w:val="nl-NL"/>
        </w:rPr>
        <w:t xml:space="preserve"> reeds uiteengezet</w:t>
      </w:r>
      <w:r w:rsidR="00D76C7C" w:rsidRPr="000F21B7">
        <w:rPr>
          <w:color w:val="000000" w:themeColor="text1"/>
          <w:szCs w:val="18"/>
          <w:lang w:val="nl-NL"/>
        </w:rPr>
        <w:t>.</w:t>
      </w:r>
      <w:r w:rsidR="006D0D2A">
        <w:rPr>
          <w:rStyle w:val="FootnoteReference"/>
          <w:color w:val="000000" w:themeColor="text1"/>
          <w:szCs w:val="18"/>
          <w:lang w:val="nl-NL"/>
        </w:rPr>
        <w:footnoteReference w:id="557"/>
      </w:r>
      <w:r w:rsidR="00D76C7C" w:rsidRPr="000F21B7">
        <w:rPr>
          <w:color w:val="000000" w:themeColor="text1"/>
          <w:szCs w:val="18"/>
          <w:lang w:val="nl-NL"/>
        </w:rPr>
        <w:t xml:space="preserve"> </w:t>
      </w:r>
    </w:p>
    <w:p w14:paraId="5C4A5E3F" w14:textId="77777777" w:rsidR="009A7DFF" w:rsidRPr="006B3DFB" w:rsidRDefault="009A7DFF" w:rsidP="00260F11">
      <w:pPr>
        <w:spacing w:line="360" w:lineRule="auto"/>
        <w:rPr>
          <w:color w:val="FF0000"/>
          <w:szCs w:val="18"/>
          <w:lang w:val="nl-NL"/>
        </w:rPr>
      </w:pPr>
    </w:p>
    <w:p w14:paraId="316F6898" w14:textId="443E79E7" w:rsidR="007F317E" w:rsidRPr="004D74F9" w:rsidRDefault="009A7DFF" w:rsidP="00260F11">
      <w:pPr>
        <w:pStyle w:val="ListParagraph"/>
        <w:numPr>
          <w:ilvl w:val="0"/>
          <w:numId w:val="1"/>
        </w:numPr>
        <w:spacing w:line="360" w:lineRule="auto"/>
        <w:ind w:left="0" w:hanging="709"/>
        <w:rPr>
          <w:color w:val="000000" w:themeColor="text1"/>
          <w:szCs w:val="18"/>
          <w:lang w:val="nl-NL"/>
        </w:rPr>
      </w:pPr>
      <w:r w:rsidRPr="005A6616">
        <w:rPr>
          <w:b/>
          <w:color w:val="000000" w:themeColor="text1"/>
          <w:szCs w:val="18"/>
          <w:lang w:val="nl-NL"/>
        </w:rPr>
        <w:t>Leeftijdsvork</w:t>
      </w:r>
      <w:r w:rsidRPr="005A6616">
        <w:rPr>
          <w:color w:val="000000" w:themeColor="text1"/>
          <w:szCs w:val="18"/>
          <w:lang w:val="nl-NL"/>
        </w:rPr>
        <w:t>.</w:t>
      </w:r>
      <w:r w:rsidR="005A6616" w:rsidRPr="005A6616">
        <w:rPr>
          <w:color w:val="000000" w:themeColor="text1"/>
          <w:szCs w:val="18"/>
          <w:lang w:val="nl-NL"/>
        </w:rPr>
        <w:t xml:space="preserve"> I</w:t>
      </w:r>
      <w:r w:rsidR="005A6616" w:rsidRPr="005A6616">
        <w:rPr>
          <w:color w:val="000000" w:themeColor="text1"/>
          <w:lang w:val="nl-NL"/>
        </w:rPr>
        <w:t xml:space="preserve">n artikel 417, </w:t>
      </w:r>
      <w:r w:rsidR="00A75952">
        <w:rPr>
          <w:color w:val="000000" w:themeColor="text1"/>
          <w:lang w:val="nl-NL"/>
        </w:rPr>
        <w:t xml:space="preserve">paragraaf </w:t>
      </w:r>
      <w:r w:rsidR="005A6616" w:rsidRPr="005A6616">
        <w:rPr>
          <w:color w:val="000000" w:themeColor="text1"/>
          <w:lang w:val="nl-NL"/>
        </w:rPr>
        <w:t xml:space="preserve">2 </w:t>
      </w:r>
      <w:r w:rsidR="00E8546B">
        <w:rPr>
          <w:color w:val="000000" w:themeColor="text1"/>
          <w:lang w:val="nl-NL"/>
        </w:rPr>
        <w:t xml:space="preserve">van het </w:t>
      </w:r>
      <w:r w:rsidR="005A6616" w:rsidRPr="005A6616">
        <w:rPr>
          <w:color w:val="000000" w:themeColor="text1"/>
          <w:lang w:val="nl-NL"/>
        </w:rPr>
        <w:t xml:space="preserve">Strafwetboek wordt een leeftijdsvork van drie jaar gehanteerd om te bepalen of een handeling al dan niet </w:t>
      </w:r>
      <w:r w:rsidR="005A6616" w:rsidRPr="005A6616">
        <w:rPr>
          <w:i/>
          <w:color w:val="000000" w:themeColor="text1"/>
          <w:lang w:val="nl-NL"/>
        </w:rPr>
        <w:t xml:space="preserve">de facto </w:t>
      </w:r>
      <w:r w:rsidR="005A6616" w:rsidRPr="005A6616">
        <w:rPr>
          <w:color w:val="000000" w:themeColor="text1"/>
          <w:lang w:val="nl-NL"/>
        </w:rPr>
        <w:t>als niet-consensueel zal worden beschouwd</w:t>
      </w:r>
      <w:r w:rsidR="00FE78F8">
        <w:rPr>
          <w:color w:val="000000" w:themeColor="text1"/>
          <w:lang w:val="nl-NL"/>
        </w:rPr>
        <w:t>.</w:t>
      </w:r>
      <w:r w:rsidR="00AD1E4C">
        <w:rPr>
          <w:color w:val="000000" w:themeColor="text1"/>
          <w:szCs w:val="18"/>
          <w:lang w:val="nl-NL"/>
        </w:rPr>
        <w:t xml:space="preserve"> </w:t>
      </w:r>
      <w:r w:rsidR="00FE78F8">
        <w:rPr>
          <w:color w:val="000000" w:themeColor="text1"/>
          <w:szCs w:val="18"/>
          <w:lang w:val="nl-NL"/>
        </w:rPr>
        <w:t xml:space="preserve">Over de concreet te hanteren leeftijdsvork </w:t>
      </w:r>
      <w:r w:rsidR="00AD1E4C">
        <w:rPr>
          <w:color w:val="000000" w:themeColor="text1"/>
          <w:szCs w:val="18"/>
          <w:lang w:val="nl-NL"/>
        </w:rPr>
        <w:t>werden</w:t>
      </w:r>
      <w:r w:rsidR="00FE78F8">
        <w:rPr>
          <w:color w:val="000000" w:themeColor="text1"/>
          <w:szCs w:val="18"/>
          <w:lang w:val="nl-NL"/>
        </w:rPr>
        <w:t xml:space="preserve"> uitvoerige</w:t>
      </w:r>
      <w:r w:rsidR="00AD1E4C">
        <w:rPr>
          <w:color w:val="000000" w:themeColor="text1"/>
          <w:szCs w:val="18"/>
          <w:lang w:val="nl-NL"/>
        </w:rPr>
        <w:t xml:space="preserve"> discussies gevoerd in het parlement</w:t>
      </w:r>
      <w:r w:rsidR="005A6616">
        <w:rPr>
          <w:color w:val="000000" w:themeColor="text1"/>
          <w:szCs w:val="18"/>
          <w:lang w:val="nl-NL"/>
        </w:rPr>
        <w:t>.</w:t>
      </w:r>
      <w:r w:rsidR="00FE78F8">
        <w:rPr>
          <w:color w:val="000000" w:themeColor="text1"/>
          <w:szCs w:val="18"/>
          <w:lang w:val="nl-NL"/>
        </w:rPr>
        <w:t xml:space="preserve"> </w:t>
      </w:r>
      <w:r w:rsidR="00FE78F8" w:rsidRPr="00FE78F8">
        <w:rPr>
          <w:color w:val="000000" w:themeColor="text1"/>
          <w:szCs w:val="18"/>
          <w:lang w:val="nl-NL"/>
        </w:rPr>
        <w:t xml:space="preserve">De aanvankelijke visie van de Commissie tot hervorming van het strafrecht </w:t>
      </w:r>
      <w:r w:rsidR="004D74F9">
        <w:rPr>
          <w:color w:val="000000" w:themeColor="text1"/>
          <w:szCs w:val="18"/>
          <w:lang w:val="nl-NL"/>
        </w:rPr>
        <w:t xml:space="preserve">om een leeftijdsvork van vijf jaar in te voeren, </w:t>
      </w:r>
      <w:r w:rsidR="00FE78F8" w:rsidRPr="00FE78F8">
        <w:rPr>
          <w:color w:val="000000" w:themeColor="text1"/>
          <w:szCs w:val="18"/>
          <w:lang w:val="nl-NL"/>
        </w:rPr>
        <w:t xml:space="preserve">werd op dit vlak </w:t>
      </w:r>
      <w:r w:rsidR="00E5381B">
        <w:rPr>
          <w:color w:val="000000" w:themeColor="text1"/>
          <w:szCs w:val="18"/>
          <w:lang w:val="nl-NL"/>
        </w:rPr>
        <w:t xml:space="preserve">dus </w:t>
      </w:r>
      <w:r w:rsidR="00FE78F8" w:rsidRPr="00FE78F8">
        <w:rPr>
          <w:color w:val="000000" w:themeColor="text1"/>
          <w:szCs w:val="18"/>
          <w:lang w:val="nl-NL"/>
        </w:rPr>
        <w:t xml:space="preserve">niet volledig gevolgd door de wetgever. </w:t>
      </w:r>
      <w:r w:rsidR="008B4BDA">
        <w:rPr>
          <w:color w:val="000000" w:themeColor="text1"/>
          <w:szCs w:val="18"/>
          <w:lang w:val="nl-NL"/>
        </w:rPr>
        <w:t>De leeftijdsvork van drie jaar is het resultaat van</w:t>
      </w:r>
      <w:r w:rsidR="004D74F9" w:rsidRPr="004D74F9">
        <w:rPr>
          <w:color w:val="000000" w:themeColor="text1"/>
          <w:szCs w:val="18"/>
          <w:lang w:val="nl-NL"/>
        </w:rPr>
        <w:t xml:space="preserve"> een politiek compromis</w:t>
      </w:r>
      <w:r w:rsidR="00E5381B">
        <w:rPr>
          <w:color w:val="000000" w:themeColor="text1"/>
          <w:szCs w:val="18"/>
          <w:lang w:val="nl-NL"/>
        </w:rPr>
        <w:t>,</w:t>
      </w:r>
      <w:r w:rsidR="004D74F9">
        <w:rPr>
          <w:rStyle w:val="FootnoteReference"/>
          <w:color w:val="000000" w:themeColor="text1"/>
          <w:szCs w:val="18"/>
          <w:lang w:val="nl-NL"/>
        </w:rPr>
        <w:footnoteReference w:id="558"/>
      </w:r>
      <w:r w:rsidR="00E5381B">
        <w:rPr>
          <w:color w:val="000000" w:themeColor="text1"/>
          <w:szCs w:val="18"/>
          <w:lang w:val="nl-NL"/>
        </w:rPr>
        <w:t xml:space="preserve"> er waren immers bijvoorbeeld</w:t>
      </w:r>
      <w:r w:rsidR="00E5381B" w:rsidRPr="00FE78F8">
        <w:rPr>
          <w:color w:val="000000" w:themeColor="text1"/>
          <w:szCs w:val="18"/>
          <w:lang w:val="nl-NL"/>
        </w:rPr>
        <w:t xml:space="preserve"> ook voorstanders van een leeftijdsvork van twee jaar</w:t>
      </w:r>
      <w:r w:rsidR="00E5381B">
        <w:rPr>
          <w:color w:val="000000" w:themeColor="text1"/>
          <w:szCs w:val="18"/>
          <w:lang w:val="nl-NL"/>
        </w:rPr>
        <w:t>.</w:t>
      </w:r>
      <w:r w:rsidR="00E5381B">
        <w:rPr>
          <w:rStyle w:val="FootnoteReference"/>
          <w:color w:val="000000" w:themeColor="text1"/>
          <w:szCs w:val="18"/>
          <w:lang w:val="nl-NL"/>
        </w:rPr>
        <w:footnoteReference w:id="559"/>
      </w:r>
      <w:r w:rsidR="00E5381B">
        <w:rPr>
          <w:color w:val="000000" w:themeColor="text1"/>
          <w:szCs w:val="18"/>
          <w:lang w:val="nl-NL"/>
        </w:rPr>
        <w:t xml:space="preserve"> </w:t>
      </w:r>
      <w:r w:rsidR="00FE78F8" w:rsidRPr="004D74F9">
        <w:rPr>
          <w:color w:val="000000" w:themeColor="text1"/>
          <w:szCs w:val="18"/>
          <w:lang w:val="nl-NL"/>
        </w:rPr>
        <w:t xml:space="preserve"> </w:t>
      </w:r>
    </w:p>
    <w:p w14:paraId="519E7C9B" w14:textId="77777777" w:rsidR="00FE78F8" w:rsidRPr="00FE78F8" w:rsidRDefault="00FE78F8" w:rsidP="00260F11">
      <w:pPr>
        <w:pStyle w:val="ListParagraph"/>
        <w:spacing w:line="360" w:lineRule="auto"/>
        <w:ind w:left="0"/>
        <w:rPr>
          <w:color w:val="000000" w:themeColor="text1"/>
          <w:szCs w:val="18"/>
          <w:lang w:val="nl-NL"/>
        </w:rPr>
      </w:pPr>
    </w:p>
    <w:p w14:paraId="10C77C59" w14:textId="5745BF58" w:rsidR="000B388A" w:rsidRDefault="007F317E" w:rsidP="00260F11">
      <w:pPr>
        <w:pStyle w:val="ListParagraph"/>
        <w:numPr>
          <w:ilvl w:val="0"/>
          <w:numId w:val="1"/>
        </w:numPr>
        <w:spacing w:line="360" w:lineRule="auto"/>
        <w:ind w:left="0" w:hanging="709"/>
        <w:rPr>
          <w:color w:val="000000" w:themeColor="text1"/>
          <w:szCs w:val="18"/>
          <w:lang w:val="nl-NL"/>
        </w:rPr>
      </w:pPr>
      <w:r w:rsidRPr="00A979F6">
        <w:rPr>
          <w:b/>
          <w:color w:val="000000" w:themeColor="text1"/>
          <w:szCs w:val="18"/>
          <w:lang w:val="nl-NL"/>
        </w:rPr>
        <w:t>Ideale leeftijdsgrens voor seksuele meerderjarigheid?</w:t>
      </w:r>
      <w:r w:rsidRPr="00A979F6">
        <w:rPr>
          <w:color w:val="000000" w:themeColor="text1"/>
          <w:szCs w:val="18"/>
          <w:lang w:val="nl-NL"/>
        </w:rPr>
        <w:t xml:space="preserve"> Volgens de wetgever (en ROZIE) is de idee dat een ideale leeftijdsgrens voor seksuele meerderjarigheid zou bestaan een utopie.</w:t>
      </w:r>
      <w:r w:rsidR="008D7015">
        <w:rPr>
          <w:color w:val="000000" w:themeColor="text1"/>
          <w:szCs w:val="18"/>
          <w:lang w:val="nl-NL"/>
        </w:rPr>
        <w:t xml:space="preserve"> Kinderen ontwikkelen zich immers niet allemaal in een</w:t>
      </w:r>
      <w:r w:rsidR="00CD2224">
        <w:rPr>
          <w:color w:val="000000" w:themeColor="text1"/>
          <w:szCs w:val="18"/>
          <w:lang w:val="nl-NL"/>
        </w:rPr>
        <w:t>zelfde</w:t>
      </w:r>
      <w:r w:rsidR="008D7015">
        <w:rPr>
          <w:color w:val="000000" w:themeColor="text1"/>
          <w:szCs w:val="18"/>
          <w:lang w:val="nl-NL"/>
        </w:rPr>
        <w:t xml:space="preserve"> lijn.</w:t>
      </w:r>
      <w:r w:rsidRPr="00A979F6">
        <w:rPr>
          <w:rStyle w:val="FootnoteReference"/>
          <w:color w:val="000000" w:themeColor="text1"/>
          <w:szCs w:val="18"/>
          <w:lang w:val="nl-NL"/>
        </w:rPr>
        <w:footnoteReference w:id="560"/>
      </w:r>
      <w:r w:rsidRPr="00A979F6">
        <w:rPr>
          <w:color w:val="000000" w:themeColor="text1"/>
          <w:szCs w:val="18"/>
          <w:lang w:val="nl-NL"/>
        </w:rPr>
        <w:t xml:space="preserve"> </w:t>
      </w:r>
      <w:r w:rsidR="008D7015">
        <w:rPr>
          <w:color w:val="000000" w:themeColor="text1"/>
          <w:szCs w:val="18"/>
          <w:lang w:val="nl-NL"/>
        </w:rPr>
        <w:t>Bovendien schuiven noch</w:t>
      </w:r>
      <w:r>
        <w:rPr>
          <w:color w:val="000000" w:themeColor="text1"/>
          <w:szCs w:val="18"/>
          <w:lang w:val="nl-NL"/>
        </w:rPr>
        <w:t xml:space="preserve"> de Raad van Europa, noch de Europese Unie een concrete leeftijdsgrens naar voren</w:t>
      </w:r>
      <w:r w:rsidRPr="00A979F6">
        <w:rPr>
          <w:color w:val="000000" w:themeColor="text1"/>
          <w:szCs w:val="18"/>
          <w:lang w:val="nl-NL"/>
        </w:rPr>
        <w:t>.</w:t>
      </w:r>
      <w:r w:rsidRPr="00A979F6">
        <w:rPr>
          <w:rStyle w:val="FootnoteReference"/>
          <w:color w:val="000000" w:themeColor="text1"/>
          <w:szCs w:val="18"/>
          <w:lang w:val="nl-NL"/>
        </w:rPr>
        <w:footnoteReference w:id="561"/>
      </w:r>
      <w:r>
        <w:rPr>
          <w:color w:val="000000" w:themeColor="text1"/>
          <w:szCs w:val="18"/>
          <w:lang w:val="nl-NL"/>
        </w:rPr>
        <w:t xml:space="preserve"> </w:t>
      </w:r>
    </w:p>
    <w:p w14:paraId="7157B5B9" w14:textId="77777777" w:rsidR="000B388A" w:rsidRDefault="000B388A" w:rsidP="00260F11">
      <w:pPr>
        <w:pStyle w:val="ListParagraph"/>
        <w:spacing w:line="360" w:lineRule="auto"/>
        <w:ind w:left="0"/>
        <w:rPr>
          <w:color w:val="000000" w:themeColor="text1"/>
          <w:szCs w:val="18"/>
          <w:lang w:val="nl-NL"/>
        </w:rPr>
      </w:pPr>
    </w:p>
    <w:p w14:paraId="17624E2A" w14:textId="188F43F3" w:rsidR="008D7015" w:rsidRDefault="008D7015" w:rsidP="00260F11">
      <w:pPr>
        <w:spacing w:line="360" w:lineRule="auto"/>
        <w:rPr>
          <w:color w:val="000000" w:themeColor="text1"/>
          <w:szCs w:val="18"/>
          <w:lang w:val="nl-NL"/>
        </w:rPr>
      </w:pPr>
      <w:r>
        <w:rPr>
          <w:color w:val="000000" w:themeColor="text1"/>
          <w:szCs w:val="18"/>
          <w:lang w:val="nl-NL"/>
        </w:rPr>
        <w:t xml:space="preserve">N.a.v. </w:t>
      </w:r>
      <w:r w:rsidR="00CD2224">
        <w:rPr>
          <w:color w:val="000000" w:themeColor="text1"/>
          <w:szCs w:val="18"/>
          <w:lang w:val="nl-NL"/>
        </w:rPr>
        <w:t xml:space="preserve">de </w:t>
      </w:r>
      <w:r w:rsidR="00D4233F">
        <w:rPr>
          <w:color w:val="000000" w:themeColor="text1"/>
          <w:szCs w:val="18"/>
          <w:lang w:val="nl-NL"/>
        </w:rPr>
        <w:t>kritiek</w:t>
      </w:r>
      <w:r>
        <w:rPr>
          <w:color w:val="000000" w:themeColor="text1"/>
          <w:szCs w:val="18"/>
          <w:lang w:val="nl-NL"/>
        </w:rPr>
        <w:t xml:space="preserve"> van de Raad van State heeft de wetgever</w:t>
      </w:r>
      <w:r w:rsidR="001D3BC2">
        <w:rPr>
          <w:color w:val="000000" w:themeColor="text1"/>
          <w:szCs w:val="18"/>
          <w:lang w:val="nl-NL"/>
        </w:rPr>
        <w:t xml:space="preserve"> dit</w:t>
      </w:r>
      <w:r>
        <w:rPr>
          <w:color w:val="000000" w:themeColor="text1"/>
          <w:szCs w:val="18"/>
          <w:lang w:val="nl-NL"/>
        </w:rPr>
        <w:t xml:space="preserve"> benadrukt in de memorie van toelichting.</w:t>
      </w:r>
      <w:r w:rsidRPr="007F317E">
        <w:rPr>
          <w:rStyle w:val="FootnoteReference"/>
          <w:color w:val="000000" w:themeColor="text1"/>
          <w:szCs w:val="18"/>
          <w:lang w:val="nl-NL"/>
        </w:rPr>
        <w:footnoteReference w:id="562"/>
      </w:r>
      <w:r>
        <w:rPr>
          <w:color w:val="000000" w:themeColor="text1"/>
          <w:szCs w:val="18"/>
          <w:lang w:val="nl-NL"/>
        </w:rPr>
        <w:t xml:space="preserve"> </w:t>
      </w:r>
      <w:r w:rsidR="007F317E" w:rsidRPr="007F317E">
        <w:rPr>
          <w:color w:val="000000" w:themeColor="text1"/>
          <w:szCs w:val="18"/>
          <w:lang w:val="nl-NL"/>
        </w:rPr>
        <w:t xml:space="preserve">Bij het vastleggen van de leeftijdsgrens voor seksuele meerderjarigheid </w:t>
      </w:r>
      <w:r>
        <w:rPr>
          <w:color w:val="000000" w:themeColor="text1"/>
          <w:szCs w:val="18"/>
          <w:lang w:val="nl-NL"/>
        </w:rPr>
        <w:t>heeft de wetgever</w:t>
      </w:r>
      <w:r w:rsidR="007F317E" w:rsidRPr="007F317E">
        <w:rPr>
          <w:color w:val="000000" w:themeColor="text1"/>
          <w:szCs w:val="18"/>
          <w:lang w:val="nl-NL"/>
        </w:rPr>
        <w:t xml:space="preserve"> ernaar gestreefd een</w:t>
      </w:r>
      <w:r w:rsidR="007F317E">
        <w:rPr>
          <w:color w:val="000000" w:themeColor="text1"/>
          <w:szCs w:val="18"/>
          <w:lang w:val="nl-NL"/>
        </w:rPr>
        <w:t xml:space="preserve"> evenwicht te vinden tussen </w:t>
      </w:r>
      <w:r w:rsidR="000B388A">
        <w:rPr>
          <w:color w:val="000000" w:themeColor="text1"/>
          <w:szCs w:val="18"/>
          <w:lang w:val="nl-NL"/>
        </w:rPr>
        <w:t xml:space="preserve">enerzijds </w:t>
      </w:r>
      <w:r w:rsidR="007F317E">
        <w:rPr>
          <w:color w:val="000000" w:themeColor="text1"/>
          <w:szCs w:val="18"/>
          <w:lang w:val="nl-NL"/>
        </w:rPr>
        <w:t xml:space="preserve">de bescherming van de minderjarigen en </w:t>
      </w:r>
      <w:r w:rsidR="000B388A">
        <w:rPr>
          <w:color w:val="000000" w:themeColor="text1"/>
          <w:szCs w:val="18"/>
          <w:lang w:val="nl-NL"/>
        </w:rPr>
        <w:t xml:space="preserve">anderzijds </w:t>
      </w:r>
      <w:r w:rsidR="007F317E">
        <w:rPr>
          <w:color w:val="000000" w:themeColor="text1"/>
          <w:szCs w:val="18"/>
          <w:lang w:val="nl-NL"/>
        </w:rPr>
        <w:t xml:space="preserve">hun autonomie en recht op seksuele </w:t>
      </w:r>
      <w:r w:rsidR="007F317E" w:rsidRPr="00832AB3">
        <w:rPr>
          <w:color w:val="000000" w:themeColor="text1"/>
          <w:szCs w:val="18"/>
          <w:lang w:val="nl-NL"/>
        </w:rPr>
        <w:t>vrijheid.</w:t>
      </w:r>
    </w:p>
    <w:p w14:paraId="4BFBCE70" w14:textId="77777777" w:rsidR="000B388A" w:rsidRPr="000B388A" w:rsidRDefault="000B388A" w:rsidP="00260F11">
      <w:pPr>
        <w:pStyle w:val="ListParagraph"/>
        <w:spacing w:line="360" w:lineRule="auto"/>
        <w:rPr>
          <w:color w:val="000000" w:themeColor="text1"/>
          <w:szCs w:val="18"/>
          <w:lang w:val="nl-NL"/>
        </w:rPr>
      </w:pPr>
    </w:p>
    <w:p w14:paraId="7C913C58" w14:textId="4B31DDAC" w:rsidR="000B388A" w:rsidRDefault="008D7015" w:rsidP="00260F11">
      <w:pPr>
        <w:pStyle w:val="ListParagraph"/>
        <w:spacing w:line="360" w:lineRule="auto"/>
        <w:ind w:left="0"/>
        <w:rPr>
          <w:color w:val="000000" w:themeColor="text1"/>
          <w:szCs w:val="18"/>
          <w:lang w:val="nl-NL"/>
        </w:rPr>
      </w:pPr>
      <w:r>
        <w:rPr>
          <w:color w:val="000000" w:themeColor="text1"/>
          <w:szCs w:val="18"/>
          <w:lang w:val="nl-NL"/>
        </w:rPr>
        <w:t>H</w:t>
      </w:r>
      <w:r w:rsidRPr="000B388A">
        <w:rPr>
          <w:color w:val="000000" w:themeColor="text1"/>
          <w:szCs w:val="18"/>
          <w:lang w:val="nl-NL"/>
        </w:rPr>
        <w:t xml:space="preserve">et recht op eerbiediging van de seksuele integriteit </w:t>
      </w:r>
      <w:r>
        <w:rPr>
          <w:color w:val="000000" w:themeColor="text1"/>
          <w:szCs w:val="18"/>
          <w:lang w:val="nl-NL"/>
        </w:rPr>
        <w:t>van een kind, zoals gewaarborgd in artikel 22bis van de Grondwet, wordt in zekere zin</w:t>
      </w:r>
      <w:r w:rsidRPr="000B388A">
        <w:rPr>
          <w:color w:val="000000" w:themeColor="text1"/>
          <w:szCs w:val="18"/>
          <w:lang w:val="nl-NL"/>
        </w:rPr>
        <w:t xml:space="preserve"> ingeperkt door de instelling van een leeftijdsgrens m.b.t. de </w:t>
      </w:r>
      <w:r w:rsidRPr="000B388A">
        <w:rPr>
          <w:color w:val="000000" w:themeColor="text1"/>
          <w:szCs w:val="18"/>
          <w:lang w:val="nl-NL"/>
        </w:rPr>
        <w:lastRenderedPageBreak/>
        <w:t>seksuele meerderjarigheid</w:t>
      </w:r>
      <w:r w:rsidR="000B388A" w:rsidRPr="000B388A">
        <w:rPr>
          <w:color w:val="000000" w:themeColor="text1"/>
          <w:szCs w:val="18"/>
          <w:lang w:val="nl-NL"/>
        </w:rPr>
        <w:t xml:space="preserve">. Een inperking hierop </w:t>
      </w:r>
      <w:r>
        <w:rPr>
          <w:color w:val="000000" w:themeColor="text1"/>
          <w:szCs w:val="18"/>
          <w:lang w:val="nl-NL"/>
        </w:rPr>
        <w:t>is mogelijk</w:t>
      </w:r>
      <w:r w:rsidR="000B388A">
        <w:rPr>
          <w:color w:val="000000" w:themeColor="text1"/>
          <w:szCs w:val="18"/>
          <w:lang w:val="nl-NL"/>
        </w:rPr>
        <w:t xml:space="preserve"> </w:t>
      </w:r>
      <w:r w:rsidR="000B388A" w:rsidRPr="000B388A">
        <w:rPr>
          <w:color w:val="000000" w:themeColor="text1"/>
          <w:szCs w:val="18"/>
          <w:lang w:val="nl-NL"/>
        </w:rPr>
        <w:t>aangezien het een relatief grondrecht betreft</w:t>
      </w:r>
      <w:r w:rsidR="001D3BC2">
        <w:rPr>
          <w:color w:val="000000" w:themeColor="text1"/>
          <w:szCs w:val="18"/>
          <w:lang w:val="nl-NL"/>
        </w:rPr>
        <w:t>,</w:t>
      </w:r>
      <w:r w:rsidR="000B388A" w:rsidRPr="004A05D3">
        <w:rPr>
          <w:rStyle w:val="FootnoteReference"/>
          <w:color w:val="000000" w:themeColor="text1"/>
          <w:szCs w:val="18"/>
          <w:lang w:val="nl-NL"/>
        </w:rPr>
        <w:footnoteReference w:id="563"/>
      </w:r>
      <w:r w:rsidR="000B388A">
        <w:rPr>
          <w:color w:val="000000" w:themeColor="text1"/>
          <w:szCs w:val="18"/>
          <w:lang w:val="nl-NL"/>
        </w:rPr>
        <w:t xml:space="preserve"> </w:t>
      </w:r>
      <w:r w:rsidR="001D3BC2">
        <w:rPr>
          <w:color w:val="000000" w:themeColor="text1"/>
          <w:szCs w:val="18"/>
          <w:lang w:val="nl-NL"/>
        </w:rPr>
        <w:t>maar daarbij</w:t>
      </w:r>
      <w:r w:rsidR="000B388A" w:rsidRPr="000B388A">
        <w:rPr>
          <w:color w:val="000000" w:themeColor="text1"/>
          <w:szCs w:val="18"/>
          <w:lang w:val="nl-NL"/>
        </w:rPr>
        <w:t xml:space="preserve"> dient het evenredigheidsbeginsel te </w:t>
      </w:r>
      <w:r w:rsidR="001D3BC2">
        <w:rPr>
          <w:color w:val="000000" w:themeColor="text1"/>
          <w:szCs w:val="18"/>
          <w:lang w:val="nl-NL"/>
        </w:rPr>
        <w:t>worden gerespecteerd</w:t>
      </w:r>
      <w:r w:rsidR="000B388A" w:rsidRPr="000B388A">
        <w:rPr>
          <w:color w:val="000000" w:themeColor="text1"/>
          <w:szCs w:val="18"/>
          <w:lang w:val="nl-NL"/>
        </w:rPr>
        <w:t xml:space="preserve">. </w:t>
      </w:r>
      <w:r>
        <w:rPr>
          <w:color w:val="000000" w:themeColor="text1"/>
          <w:szCs w:val="18"/>
          <w:lang w:val="nl-NL"/>
        </w:rPr>
        <w:t>Dit</w:t>
      </w:r>
      <w:r w:rsidR="000B388A" w:rsidRPr="000B388A">
        <w:rPr>
          <w:color w:val="000000" w:themeColor="text1"/>
          <w:szCs w:val="18"/>
          <w:lang w:val="nl-NL"/>
        </w:rPr>
        <w:t xml:space="preserve"> beginsel vereist in eerste instantie dat</w:t>
      </w:r>
      <w:r w:rsidR="001D3BC2">
        <w:rPr>
          <w:color w:val="000000" w:themeColor="text1"/>
          <w:szCs w:val="18"/>
          <w:lang w:val="nl-NL"/>
        </w:rPr>
        <w:t xml:space="preserve"> dergelijke</w:t>
      </w:r>
      <w:r w:rsidR="000B388A" w:rsidRPr="000B388A">
        <w:rPr>
          <w:color w:val="000000" w:themeColor="text1"/>
          <w:szCs w:val="18"/>
          <w:lang w:val="nl-NL"/>
        </w:rPr>
        <w:t xml:space="preserve"> inperkingen een wettig doel nastreven. </w:t>
      </w:r>
      <w:r w:rsidR="000B388A" w:rsidRPr="000B388A">
        <w:rPr>
          <w:i/>
          <w:color w:val="000000" w:themeColor="text1"/>
          <w:szCs w:val="18"/>
          <w:lang w:val="nl-NL"/>
        </w:rPr>
        <w:t>In casu</w:t>
      </w:r>
      <w:r w:rsidR="000B388A" w:rsidRPr="000B388A">
        <w:rPr>
          <w:color w:val="000000" w:themeColor="text1"/>
          <w:szCs w:val="18"/>
          <w:lang w:val="nl-NL"/>
        </w:rPr>
        <w:t xml:space="preserve"> wordt de bescherming van de minderjarige beoogd, zodat hieraan voldaan is. Vervolgens dient de genomen maatregel effectief bij te kunnen dragen tot het bereiken van het beoogde doel, hieraan is </w:t>
      </w:r>
      <w:r w:rsidR="000B388A" w:rsidRPr="000B388A">
        <w:rPr>
          <w:i/>
          <w:color w:val="000000" w:themeColor="text1"/>
          <w:szCs w:val="18"/>
          <w:lang w:val="nl-NL"/>
        </w:rPr>
        <w:t>in casu</w:t>
      </w:r>
      <w:r w:rsidR="000B388A" w:rsidRPr="000B388A">
        <w:rPr>
          <w:color w:val="000000" w:themeColor="text1"/>
          <w:szCs w:val="18"/>
          <w:lang w:val="nl-NL"/>
        </w:rPr>
        <w:t xml:space="preserve"> m.i. </w:t>
      </w:r>
      <w:r w:rsidR="000B388A">
        <w:rPr>
          <w:color w:val="000000" w:themeColor="text1"/>
          <w:szCs w:val="18"/>
          <w:lang w:val="nl-NL"/>
        </w:rPr>
        <w:t xml:space="preserve">eveneens </w:t>
      </w:r>
      <w:r w:rsidR="000B388A" w:rsidRPr="000B388A">
        <w:rPr>
          <w:color w:val="000000" w:themeColor="text1"/>
          <w:szCs w:val="18"/>
          <w:lang w:val="nl-NL"/>
        </w:rPr>
        <w:t>voldaan. Ten slotte dienen de genomen maatregelen noodzakelijk te zijn en evenredig in de strikte zin. In strafzaken wordt de wetgever</w:t>
      </w:r>
      <w:r w:rsidR="000B388A">
        <w:rPr>
          <w:color w:val="000000" w:themeColor="text1"/>
          <w:szCs w:val="18"/>
          <w:lang w:val="nl-NL"/>
        </w:rPr>
        <w:t xml:space="preserve"> bovendien</w:t>
      </w:r>
      <w:r w:rsidR="000B388A" w:rsidRPr="000B388A">
        <w:rPr>
          <w:color w:val="000000" w:themeColor="text1"/>
          <w:szCs w:val="18"/>
          <w:lang w:val="nl-NL"/>
        </w:rPr>
        <w:t xml:space="preserve"> een ruime beoordelingsvrijheid</w:t>
      </w:r>
      <w:r w:rsidR="000B388A">
        <w:rPr>
          <w:rStyle w:val="FootnoteReference"/>
          <w:color w:val="000000" w:themeColor="text1"/>
          <w:szCs w:val="18"/>
          <w:lang w:val="nl-NL"/>
        </w:rPr>
        <w:footnoteReference w:id="564"/>
      </w:r>
      <w:r w:rsidR="000B388A" w:rsidRPr="000B388A">
        <w:rPr>
          <w:color w:val="000000" w:themeColor="text1"/>
          <w:szCs w:val="18"/>
          <w:lang w:val="nl-NL"/>
        </w:rPr>
        <w:t xml:space="preserve"> toegekend, zodat m.i. in casu ook aan de laatste vereisten van het evenredigheidsbeginsel voldaan zal zijn.</w:t>
      </w:r>
      <w:r w:rsidR="000B388A">
        <w:rPr>
          <w:rStyle w:val="FootnoteReference"/>
          <w:color w:val="000000" w:themeColor="text1"/>
          <w:szCs w:val="18"/>
          <w:lang w:val="nl-NL"/>
        </w:rPr>
        <w:footnoteReference w:id="565"/>
      </w:r>
    </w:p>
    <w:p w14:paraId="6AC4FF04" w14:textId="6F379E31" w:rsidR="000B388A" w:rsidRDefault="000B388A" w:rsidP="00260F11">
      <w:pPr>
        <w:spacing w:line="360" w:lineRule="auto"/>
        <w:rPr>
          <w:color w:val="000000" w:themeColor="text1"/>
          <w:szCs w:val="18"/>
          <w:lang w:val="nl-NL"/>
        </w:rPr>
      </w:pPr>
    </w:p>
    <w:p w14:paraId="490E5D4E" w14:textId="462D3560" w:rsidR="00B74CCD" w:rsidRDefault="0061055E" w:rsidP="00260F11">
      <w:pPr>
        <w:pStyle w:val="ListParagraph"/>
        <w:numPr>
          <w:ilvl w:val="0"/>
          <w:numId w:val="1"/>
        </w:numPr>
        <w:spacing w:line="360" w:lineRule="auto"/>
        <w:ind w:left="0" w:hanging="709"/>
        <w:rPr>
          <w:color w:val="000000" w:themeColor="text1"/>
          <w:szCs w:val="18"/>
          <w:lang w:val="nl-NL"/>
        </w:rPr>
      </w:pPr>
      <w:r>
        <w:rPr>
          <w:b/>
          <w:i/>
          <w:color w:val="000000" w:themeColor="text1"/>
          <w:szCs w:val="18"/>
          <w:lang w:val="nl-NL"/>
        </w:rPr>
        <w:t>Ratio legis.</w:t>
      </w:r>
      <w:r w:rsidR="00B74CCD">
        <w:rPr>
          <w:b/>
          <w:i/>
          <w:color w:val="000000" w:themeColor="text1"/>
          <w:szCs w:val="18"/>
          <w:lang w:val="nl-NL"/>
        </w:rPr>
        <w:t xml:space="preserve"> </w:t>
      </w:r>
      <w:r w:rsidR="001D3BC2">
        <w:rPr>
          <w:color w:val="000000" w:themeColor="text1"/>
          <w:szCs w:val="18"/>
          <w:lang w:val="nl-NL"/>
        </w:rPr>
        <w:t>Ten slotte</w:t>
      </w:r>
      <w:r w:rsidR="00B74CCD">
        <w:rPr>
          <w:color w:val="000000" w:themeColor="text1"/>
          <w:szCs w:val="18"/>
          <w:lang w:val="nl-NL"/>
        </w:rPr>
        <w:t xml:space="preserve"> wordt er in de memorie van toelichting op gewezen dat de</w:t>
      </w:r>
      <w:r w:rsidR="00B74CCD" w:rsidRPr="00B74CCD">
        <w:rPr>
          <w:color w:val="000000" w:themeColor="text1"/>
          <w:szCs w:val="18"/>
          <w:lang w:val="nl-NL"/>
        </w:rPr>
        <w:t xml:space="preserve"> </w:t>
      </w:r>
      <w:r w:rsidR="00B74CCD" w:rsidRPr="00B74CCD">
        <w:rPr>
          <w:i/>
          <w:color w:val="000000" w:themeColor="text1"/>
          <w:szCs w:val="18"/>
          <w:lang w:val="nl-NL"/>
        </w:rPr>
        <w:t>ratio legis</w:t>
      </w:r>
      <w:r w:rsidR="00B74CCD" w:rsidRPr="00B74CCD">
        <w:rPr>
          <w:color w:val="000000" w:themeColor="text1"/>
          <w:szCs w:val="18"/>
          <w:lang w:val="nl-NL"/>
        </w:rPr>
        <w:t xml:space="preserve"> </w:t>
      </w:r>
      <w:r w:rsidR="00B74CCD">
        <w:rPr>
          <w:color w:val="000000" w:themeColor="text1"/>
          <w:szCs w:val="18"/>
          <w:lang w:val="nl-NL"/>
        </w:rPr>
        <w:t>er</w:t>
      </w:r>
      <w:r w:rsidR="00B74CCD" w:rsidRPr="00B74CCD">
        <w:rPr>
          <w:color w:val="000000" w:themeColor="text1"/>
          <w:szCs w:val="18"/>
          <w:lang w:val="nl-NL"/>
        </w:rPr>
        <w:t xml:space="preserve"> geenszins </w:t>
      </w:r>
      <w:r w:rsidR="00B74CCD">
        <w:rPr>
          <w:color w:val="000000" w:themeColor="text1"/>
          <w:szCs w:val="18"/>
          <w:lang w:val="nl-NL"/>
        </w:rPr>
        <w:t>in bestaat “</w:t>
      </w:r>
      <w:r w:rsidR="00B74CCD" w:rsidRPr="00B74CCD">
        <w:rPr>
          <w:color w:val="000000" w:themeColor="text1"/>
          <w:szCs w:val="18"/>
          <w:lang w:val="nl-NL"/>
        </w:rPr>
        <w:t>om consensuele seksuele handelingen te bestraffen</w:t>
      </w:r>
      <w:r w:rsidR="00B74CCD">
        <w:rPr>
          <w:color w:val="000000" w:themeColor="text1"/>
          <w:szCs w:val="18"/>
          <w:lang w:val="nl-NL"/>
        </w:rPr>
        <w:t>”</w:t>
      </w:r>
      <w:r w:rsidR="00B74CCD" w:rsidRPr="00B74CCD">
        <w:rPr>
          <w:color w:val="000000" w:themeColor="text1"/>
          <w:szCs w:val="18"/>
          <w:lang w:val="nl-NL"/>
        </w:rPr>
        <w:t>.</w:t>
      </w:r>
      <w:r w:rsidR="00B74CCD">
        <w:rPr>
          <w:rStyle w:val="FootnoteReference"/>
          <w:color w:val="000000" w:themeColor="text1"/>
          <w:szCs w:val="18"/>
          <w:lang w:val="nl-NL"/>
        </w:rPr>
        <w:footnoteReference w:id="566"/>
      </w:r>
      <w:r w:rsidR="00B74CCD">
        <w:rPr>
          <w:color w:val="000000" w:themeColor="text1"/>
          <w:szCs w:val="18"/>
          <w:lang w:val="nl-NL"/>
        </w:rPr>
        <w:t xml:space="preserve"> Deze toevoeging wordt verder niet gekaderd, maar heeft m.i. tot gevolg dat de seksuele handelingen met een minderjarige die klaarblijkelijk consensueel waren, wellicht geen aanleiding zullen geven tot een veroordeling.</w:t>
      </w:r>
    </w:p>
    <w:p w14:paraId="5F5A2982" w14:textId="77777777" w:rsidR="00B74CCD" w:rsidRPr="00B74CCD" w:rsidRDefault="00B74CCD" w:rsidP="00260F11">
      <w:pPr>
        <w:pStyle w:val="ListParagraph"/>
        <w:spacing w:line="360" w:lineRule="auto"/>
        <w:ind w:left="0"/>
        <w:rPr>
          <w:color w:val="000000" w:themeColor="text1"/>
          <w:szCs w:val="18"/>
          <w:lang w:val="nl-NL"/>
        </w:rPr>
      </w:pPr>
    </w:p>
    <w:p w14:paraId="7CE782FA" w14:textId="30A9C3A2" w:rsidR="00D9065B" w:rsidRPr="00CA509C" w:rsidRDefault="000B388A" w:rsidP="00260F11">
      <w:pPr>
        <w:pStyle w:val="ListParagraph"/>
        <w:numPr>
          <w:ilvl w:val="0"/>
          <w:numId w:val="1"/>
        </w:numPr>
        <w:spacing w:line="360" w:lineRule="auto"/>
        <w:ind w:left="0" w:hanging="709"/>
        <w:rPr>
          <w:color w:val="000000" w:themeColor="text1"/>
          <w:szCs w:val="18"/>
          <w:lang w:val="nl-NL"/>
        </w:rPr>
      </w:pPr>
      <w:r w:rsidRPr="00CA509C">
        <w:rPr>
          <w:color w:val="000000" w:themeColor="text1"/>
          <w:szCs w:val="18"/>
          <w:lang w:val="nl-NL"/>
        </w:rPr>
        <w:t xml:space="preserve">Gelet op het voorgaande heeft de </w:t>
      </w:r>
      <w:r w:rsidR="007F3E41" w:rsidRPr="00CA509C">
        <w:rPr>
          <w:color w:val="000000" w:themeColor="text1"/>
          <w:szCs w:val="18"/>
          <w:lang w:val="nl-NL"/>
        </w:rPr>
        <w:t>wetgever</w:t>
      </w:r>
      <w:r w:rsidRPr="00CA509C">
        <w:rPr>
          <w:color w:val="000000" w:themeColor="text1"/>
          <w:szCs w:val="18"/>
          <w:lang w:val="nl-NL"/>
        </w:rPr>
        <w:t xml:space="preserve"> </w:t>
      </w:r>
      <w:r w:rsidR="007F317E" w:rsidRPr="00CA509C">
        <w:rPr>
          <w:color w:val="000000" w:themeColor="text1"/>
          <w:szCs w:val="18"/>
          <w:lang w:val="nl-NL"/>
        </w:rPr>
        <w:t xml:space="preserve">in artikel 417/6 </w:t>
      </w:r>
      <w:r w:rsidR="00E8546B">
        <w:rPr>
          <w:color w:val="000000" w:themeColor="text1"/>
          <w:szCs w:val="18"/>
          <w:lang w:val="nl-NL"/>
        </w:rPr>
        <w:t xml:space="preserve">van het </w:t>
      </w:r>
      <w:r w:rsidR="007F317E" w:rsidRPr="00CA509C">
        <w:rPr>
          <w:color w:val="000000" w:themeColor="text1"/>
          <w:szCs w:val="18"/>
          <w:lang w:val="nl-NL"/>
        </w:rPr>
        <w:t>Strafwetboek m.i. geen onredelijke leeftijdsgrens ingestel</w:t>
      </w:r>
      <w:r w:rsidR="001D3BC2">
        <w:rPr>
          <w:color w:val="000000" w:themeColor="text1"/>
          <w:szCs w:val="18"/>
          <w:lang w:val="nl-NL"/>
        </w:rPr>
        <w:t>d.</w:t>
      </w:r>
    </w:p>
    <w:p w14:paraId="3B0D8465" w14:textId="706C12CE" w:rsidR="00331DB2" w:rsidRPr="006656C6" w:rsidRDefault="00331DB2" w:rsidP="00260F11">
      <w:pPr>
        <w:spacing w:line="360" w:lineRule="auto"/>
        <w:rPr>
          <w:b/>
          <w:color w:val="FF0000"/>
          <w:szCs w:val="18"/>
          <w:lang w:val="nl-NL"/>
        </w:rPr>
      </w:pPr>
    </w:p>
    <w:p w14:paraId="13662DC3" w14:textId="1296990E" w:rsidR="00327B66" w:rsidRPr="00327B66" w:rsidRDefault="00B70A67" w:rsidP="00260F11">
      <w:pPr>
        <w:pStyle w:val="Heading4"/>
        <w:spacing w:line="360" w:lineRule="auto"/>
        <w:rPr>
          <w:szCs w:val="18"/>
          <w:lang w:val="nl-NL"/>
        </w:rPr>
      </w:pPr>
      <w:bookmarkStart w:id="75" w:name="_Toc135041103"/>
      <w:r w:rsidRPr="005C1B41">
        <w:rPr>
          <w:lang w:val="nl-NL"/>
        </w:rPr>
        <w:t>Moreel bestanddeel</w:t>
      </w:r>
      <w:bookmarkEnd w:id="75"/>
    </w:p>
    <w:p w14:paraId="755F9139" w14:textId="7E032788" w:rsidR="00327B66" w:rsidRDefault="00327B66" w:rsidP="00260F11">
      <w:pPr>
        <w:pStyle w:val="Heading5"/>
        <w:spacing w:line="360" w:lineRule="auto"/>
        <w:rPr>
          <w:lang w:val="nl-NL"/>
        </w:rPr>
      </w:pPr>
      <w:bookmarkStart w:id="76" w:name="_Toc135041104"/>
      <w:r>
        <w:rPr>
          <w:lang w:val="nl-NL"/>
        </w:rPr>
        <w:t>Stilzwijgen wetgever</w:t>
      </w:r>
      <w:bookmarkEnd w:id="76"/>
    </w:p>
    <w:p w14:paraId="5A1088A3" w14:textId="77777777" w:rsidR="00327B66" w:rsidRPr="00327B66" w:rsidRDefault="00327B66" w:rsidP="00260F11">
      <w:pPr>
        <w:spacing w:line="360" w:lineRule="auto"/>
        <w:rPr>
          <w:lang w:val="nl-NL"/>
        </w:rPr>
      </w:pPr>
    </w:p>
    <w:p w14:paraId="2DF55F73" w14:textId="751318CF" w:rsidR="001566AF" w:rsidRPr="00A20446" w:rsidRDefault="002C5687" w:rsidP="00260F11">
      <w:pPr>
        <w:pStyle w:val="ListParagraph"/>
        <w:numPr>
          <w:ilvl w:val="0"/>
          <w:numId w:val="1"/>
        </w:numPr>
        <w:spacing w:line="360" w:lineRule="auto"/>
        <w:ind w:left="0" w:hanging="709"/>
        <w:rPr>
          <w:color w:val="000000" w:themeColor="text1"/>
          <w:szCs w:val="18"/>
          <w:lang w:val="nl-NL"/>
        </w:rPr>
      </w:pPr>
      <w:r w:rsidRPr="005C1B41">
        <w:rPr>
          <w:color w:val="000000" w:themeColor="text1"/>
          <w:szCs w:val="18"/>
          <w:lang w:val="nl-NL"/>
        </w:rPr>
        <w:t xml:space="preserve">Noch onder het oude recht, noch onder het huidige recht, wordt uitdrukkelijk bepaald welk moreel bestanddeel vereist is. </w:t>
      </w:r>
      <w:r w:rsidR="007E757B" w:rsidRPr="00A20446">
        <w:rPr>
          <w:color w:val="000000" w:themeColor="text1"/>
          <w:szCs w:val="18"/>
          <w:lang w:val="nl-NL"/>
        </w:rPr>
        <w:t>Aanvankelijk was</w:t>
      </w:r>
      <w:r w:rsidR="001566AF" w:rsidRPr="00A20446">
        <w:rPr>
          <w:color w:val="000000" w:themeColor="text1"/>
          <w:szCs w:val="18"/>
          <w:lang w:val="nl-NL"/>
        </w:rPr>
        <w:t xml:space="preserve"> </w:t>
      </w:r>
      <w:r w:rsidR="007E757B" w:rsidRPr="00A20446">
        <w:rPr>
          <w:color w:val="000000" w:themeColor="text1"/>
          <w:szCs w:val="18"/>
          <w:lang w:val="nl-NL"/>
        </w:rPr>
        <w:t xml:space="preserve">het evenwel </w:t>
      </w:r>
      <w:r w:rsidR="001566AF" w:rsidRPr="00A20446">
        <w:rPr>
          <w:color w:val="000000" w:themeColor="text1"/>
          <w:szCs w:val="18"/>
          <w:lang w:val="nl-NL"/>
        </w:rPr>
        <w:t xml:space="preserve">de bedoeling van de wetgever om </w:t>
      </w:r>
      <w:r w:rsidR="00331DB2" w:rsidRPr="00A20446">
        <w:rPr>
          <w:color w:val="000000" w:themeColor="text1"/>
          <w:szCs w:val="18"/>
          <w:lang w:val="nl-NL"/>
        </w:rPr>
        <w:t>hier met de hervorming van het seksueel strafrecht</w:t>
      </w:r>
      <w:r w:rsidR="007E757B" w:rsidRPr="00A20446">
        <w:rPr>
          <w:color w:val="000000" w:themeColor="text1"/>
          <w:szCs w:val="18"/>
          <w:lang w:val="nl-NL"/>
        </w:rPr>
        <w:t xml:space="preserve"> verandering in te brengen</w:t>
      </w:r>
      <w:r w:rsidR="00A6591A" w:rsidRPr="00A20446">
        <w:rPr>
          <w:color w:val="000000" w:themeColor="text1"/>
          <w:szCs w:val="18"/>
          <w:lang w:val="nl-NL"/>
        </w:rPr>
        <w:t>.</w:t>
      </w:r>
      <w:r w:rsidR="007E757B" w:rsidRPr="00A20446">
        <w:rPr>
          <w:color w:val="000000" w:themeColor="text1"/>
          <w:szCs w:val="18"/>
          <w:lang w:val="nl-NL"/>
        </w:rPr>
        <w:t xml:space="preserve"> </w:t>
      </w:r>
      <w:r w:rsidR="001566AF" w:rsidRPr="00A20446">
        <w:rPr>
          <w:color w:val="000000" w:themeColor="text1"/>
          <w:szCs w:val="18"/>
          <w:lang w:val="nl-NL"/>
        </w:rPr>
        <w:t>“</w:t>
      </w:r>
      <w:r w:rsidR="001566AF" w:rsidRPr="00A20446">
        <w:rPr>
          <w:i/>
          <w:color w:val="000000" w:themeColor="text1"/>
          <w:szCs w:val="18"/>
          <w:lang w:val="nl-NL"/>
        </w:rPr>
        <w:t>Om de parlementaire besprekingen niet onnodig te verzwaren”</w:t>
      </w:r>
      <w:r w:rsidR="001566AF" w:rsidRPr="00A20446">
        <w:rPr>
          <w:color w:val="000000" w:themeColor="text1"/>
          <w:szCs w:val="18"/>
          <w:lang w:val="nl-NL"/>
        </w:rPr>
        <w:t xml:space="preserve"> werden de woorden “wetens en willens” </w:t>
      </w:r>
      <w:r w:rsidR="00AF7E09">
        <w:rPr>
          <w:color w:val="000000" w:themeColor="text1"/>
          <w:szCs w:val="18"/>
          <w:lang w:val="nl-NL"/>
        </w:rPr>
        <w:t xml:space="preserve">– duidend op een algemeen opzet - </w:t>
      </w:r>
      <w:r w:rsidR="001566AF" w:rsidRPr="00A20446">
        <w:rPr>
          <w:color w:val="000000" w:themeColor="text1"/>
          <w:szCs w:val="18"/>
          <w:lang w:val="nl-NL"/>
        </w:rPr>
        <w:t>uiteindelijk toch weggelaten.</w:t>
      </w:r>
      <w:r w:rsidR="00331DB2" w:rsidRPr="007E757B">
        <w:rPr>
          <w:rStyle w:val="FootnoteReference"/>
          <w:rFonts w:eastAsiaTheme="majorEastAsia"/>
          <w:color w:val="000000" w:themeColor="text1"/>
          <w:szCs w:val="18"/>
          <w:lang w:val="nl-NL"/>
        </w:rPr>
        <w:footnoteReference w:id="567"/>
      </w:r>
      <w:r w:rsidR="001566AF" w:rsidRPr="00A20446">
        <w:rPr>
          <w:color w:val="000000" w:themeColor="text1"/>
          <w:szCs w:val="18"/>
          <w:lang w:val="nl-NL"/>
        </w:rPr>
        <w:t xml:space="preserve"> Het blijft evenwel de bedoeling van de wetgever</w:t>
      </w:r>
      <w:r w:rsidR="00D91279">
        <w:rPr>
          <w:rStyle w:val="FootnoteReference"/>
          <w:color w:val="000000" w:themeColor="text1"/>
          <w:szCs w:val="18"/>
          <w:lang w:val="nl-NL"/>
        </w:rPr>
        <w:footnoteReference w:id="568"/>
      </w:r>
      <w:r w:rsidR="00331DB2" w:rsidRPr="00A20446">
        <w:rPr>
          <w:color w:val="000000" w:themeColor="text1"/>
          <w:szCs w:val="18"/>
          <w:lang w:val="nl-NL"/>
        </w:rPr>
        <w:t xml:space="preserve"> </w:t>
      </w:r>
      <w:r w:rsidR="001566AF" w:rsidRPr="00A20446">
        <w:rPr>
          <w:color w:val="000000" w:themeColor="text1"/>
          <w:szCs w:val="18"/>
          <w:lang w:val="nl-NL"/>
        </w:rPr>
        <w:t>om bij de globale hervorming van het Strafwetboek, dit moreel bestanddeel wel expliciet te vermelden in de strafbaarstellingen.</w:t>
      </w:r>
      <w:r w:rsidR="001566AF" w:rsidRPr="007E757B">
        <w:rPr>
          <w:rStyle w:val="FootnoteReference"/>
          <w:color w:val="000000" w:themeColor="text1"/>
          <w:szCs w:val="18"/>
          <w:lang w:val="nl-NL"/>
        </w:rPr>
        <w:footnoteReference w:id="569"/>
      </w:r>
    </w:p>
    <w:p w14:paraId="3AC7977E" w14:textId="77777777" w:rsidR="00503279" w:rsidRDefault="00503279" w:rsidP="00260F11">
      <w:pPr>
        <w:pStyle w:val="ListParagraph"/>
        <w:spacing w:line="360" w:lineRule="auto"/>
        <w:ind w:left="0"/>
        <w:rPr>
          <w:color w:val="000000" w:themeColor="text1"/>
          <w:szCs w:val="18"/>
          <w:lang w:val="nl-NL"/>
        </w:rPr>
      </w:pPr>
    </w:p>
    <w:p w14:paraId="439493BF" w14:textId="38B21E68" w:rsidR="000D3A93" w:rsidRDefault="00503279" w:rsidP="00260F11">
      <w:pPr>
        <w:pStyle w:val="ListParagraph"/>
        <w:numPr>
          <w:ilvl w:val="0"/>
          <w:numId w:val="1"/>
        </w:numPr>
        <w:spacing w:line="360" w:lineRule="auto"/>
        <w:ind w:left="0" w:hanging="709"/>
        <w:rPr>
          <w:color w:val="000000" w:themeColor="text1"/>
          <w:szCs w:val="18"/>
          <w:lang w:val="nl-NL"/>
        </w:rPr>
      </w:pPr>
      <w:r w:rsidRPr="00503279">
        <w:rPr>
          <w:color w:val="000000" w:themeColor="text1"/>
          <w:szCs w:val="18"/>
          <w:lang w:val="nl-NL"/>
        </w:rPr>
        <w:lastRenderedPageBreak/>
        <w:t>I.g.v.</w:t>
      </w:r>
      <w:r w:rsidR="002C5687" w:rsidRPr="00503279">
        <w:rPr>
          <w:color w:val="000000" w:themeColor="text1"/>
          <w:szCs w:val="18"/>
          <w:lang w:val="nl-NL"/>
        </w:rPr>
        <w:t xml:space="preserve"> wetgevend stilzwijgen </w:t>
      </w:r>
      <w:r w:rsidR="00DD72EE">
        <w:rPr>
          <w:color w:val="000000" w:themeColor="text1"/>
          <w:szCs w:val="18"/>
          <w:lang w:val="nl-NL"/>
        </w:rPr>
        <w:t xml:space="preserve">omtrent het vereiste moreel bestanddeel, </w:t>
      </w:r>
      <w:r w:rsidR="002C5687" w:rsidRPr="00503279">
        <w:rPr>
          <w:color w:val="000000" w:themeColor="text1"/>
          <w:szCs w:val="18"/>
          <w:lang w:val="nl-NL"/>
        </w:rPr>
        <w:t>wordt algemeen aanvaard dat een algemeen opzet vereist is</w:t>
      </w:r>
      <w:r w:rsidR="00DD72EE">
        <w:rPr>
          <w:color w:val="000000" w:themeColor="text1"/>
          <w:szCs w:val="18"/>
          <w:lang w:val="nl-NL"/>
        </w:rPr>
        <w:t>.</w:t>
      </w:r>
      <w:r w:rsidR="006D0D2A">
        <w:rPr>
          <w:rStyle w:val="FootnoteReference"/>
          <w:color w:val="000000" w:themeColor="text1"/>
          <w:szCs w:val="18"/>
          <w:lang w:val="nl-NL"/>
        </w:rPr>
        <w:footnoteReference w:id="570"/>
      </w:r>
      <w:r w:rsidR="00404F31">
        <w:rPr>
          <w:color w:val="000000" w:themeColor="text1"/>
          <w:szCs w:val="18"/>
          <w:lang w:val="nl-NL"/>
        </w:rPr>
        <w:t xml:space="preserve"> </w:t>
      </w:r>
      <w:r w:rsidR="00DD72EE">
        <w:rPr>
          <w:color w:val="000000" w:themeColor="text1"/>
          <w:szCs w:val="18"/>
          <w:lang w:val="nl-NL"/>
        </w:rPr>
        <w:t>T</w:t>
      </w:r>
      <w:r w:rsidR="00404F31">
        <w:rPr>
          <w:color w:val="000000" w:themeColor="text1"/>
          <w:szCs w:val="18"/>
          <w:lang w:val="nl-NL"/>
        </w:rPr>
        <w:t>och vonden zowel m.b.t. verkrachting als aanranding van de eerbaarheid (vermijdbare) discussies plaats omtrent het vereiste moreel bestanddeel.</w:t>
      </w:r>
      <w:r w:rsidR="006D0D2A">
        <w:rPr>
          <w:rStyle w:val="FootnoteReference"/>
          <w:color w:val="000000" w:themeColor="text1"/>
          <w:szCs w:val="18"/>
          <w:lang w:val="nl-NL"/>
        </w:rPr>
        <w:footnoteReference w:id="571"/>
      </w:r>
    </w:p>
    <w:p w14:paraId="24455FBD" w14:textId="77777777" w:rsidR="00E5449F" w:rsidRDefault="00E5449F" w:rsidP="00260F11">
      <w:pPr>
        <w:pStyle w:val="ListParagraph"/>
        <w:spacing w:line="360" w:lineRule="auto"/>
        <w:ind w:left="0"/>
        <w:rPr>
          <w:color w:val="000000" w:themeColor="text1"/>
          <w:szCs w:val="18"/>
          <w:lang w:val="nl-NL"/>
        </w:rPr>
      </w:pPr>
    </w:p>
    <w:p w14:paraId="482F0585" w14:textId="62C8E893" w:rsidR="00A20446" w:rsidRPr="00BD52B0" w:rsidRDefault="00A20446" w:rsidP="00260F11">
      <w:pPr>
        <w:pStyle w:val="ListParagraph"/>
        <w:numPr>
          <w:ilvl w:val="0"/>
          <w:numId w:val="1"/>
        </w:numPr>
        <w:spacing w:line="360" w:lineRule="auto"/>
        <w:ind w:left="0" w:hanging="709"/>
        <w:rPr>
          <w:color w:val="000000" w:themeColor="text1"/>
          <w:szCs w:val="18"/>
          <w:lang w:val="nl-NL"/>
        </w:rPr>
      </w:pPr>
      <w:r w:rsidRPr="00B70A67">
        <w:rPr>
          <w:color w:val="000000" w:themeColor="text1"/>
          <w:szCs w:val="18"/>
          <w:lang w:val="nl-NL"/>
        </w:rPr>
        <w:t xml:space="preserve">Hoewel de oude </w:t>
      </w:r>
      <w:r>
        <w:rPr>
          <w:color w:val="000000" w:themeColor="text1"/>
          <w:szCs w:val="18"/>
          <w:lang w:val="nl-NL"/>
        </w:rPr>
        <w:t>en</w:t>
      </w:r>
      <w:r w:rsidRPr="00B70A67">
        <w:rPr>
          <w:color w:val="000000" w:themeColor="text1"/>
          <w:szCs w:val="18"/>
          <w:lang w:val="nl-NL"/>
        </w:rPr>
        <w:t xml:space="preserve"> huidige strafbaarstelling</w:t>
      </w:r>
      <w:r>
        <w:rPr>
          <w:color w:val="000000" w:themeColor="text1"/>
          <w:szCs w:val="18"/>
          <w:lang w:val="nl-NL"/>
        </w:rPr>
        <w:t>en</w:t>
      </w:r>
      <w:r w:rsidRPr="00B70A67">
        <w:rPr>
          <w:color w:val="000000" w:themeColor="text1"/>
          <w:szCs w:val="18"/>
          <w:lang w:val="nl-NL"/>
        </w:rPr>
        <w:t xml:space="preserve"> </w:t>
      </w:r>
      <w:r>
        <w:rPr>
          <w:color w:val="000000" w:themeColor="text1"/>
          <w:szCs w:val="18"/>
          <w:lang w:val="nl-NL"/>
        </w:rPr>
        <w:t>geen</w:t>
      </w:r>
      <w:r w:rsidRPr="00B70A67">
        <w:rPr>
          <w:color w:val="000000" w:themeColor="text1"/>
          <w:szCs w:val="18"/>
          <w:lang w:val="nl-NL"/>
        </w:rPr>
        <w:t xml:space="preserve"> </w:t>
      </w:r>
      <w:r w:rsidR="00BD52B0">
        <w:rPr>
          <w:color w:val="000000" w:themeColor="text1"/>
          <w:szCs w:val="18"/>
          <w:lang w:val="nl-NL"/>
        </w:rPr>
        <w:t xml:space="preserve">zogenaamde </w:t>
      </w:r>
      <w:r w:rsidR="002A31CE">
        <w:rPr>
          <w:color w:val="000000" w:themeColor="text1"/>
          <w:szCs w:val="18"/>
          <w:lang w:val="nl-NL"/>
        </w:rPr>
        <w:t>“</w:t>
      </w:r>
      <w:r w:rsidRPr="00B70A67">
        <w:rPr>
          <w:color w:val="000000" w:themeColor="text1"/>
          <w:szCs w:val="18"/>
          <w:lang w:val="nl-NL"/>
        </w:rPr>
        <w:t>materiële inbreuk</w:t>
      </w:r>
      <w:r>
        <w:rPr>
          <w:color w:val="000000" w:themeColor="text1"/>
          <w:szCs w:val="18"/>
          <w:lang w:val="nl-NL"/>
        </w:rPr>
        <w:t>en</w:t>
      </w:r>
      <w:r w:rsidR="002A31CE">
        <w:rPr>
          <w:color w:val="000000" w:themeColor="text1"/>
          <w:szCs w:val="18"/>
          <w:lang w:val="nl-NL"/>
        </w:rPr>
        <w:t>”</w:t>
      </w:r>
      <w:r>
        <w:rPr>
          <w:color w:val="000000" w:themeColor="text1"/>
          <w:szCs w:val="18"/>
          <w:lang w:val="nl-NL"/>
        </w:rPr>
        <w:t xml:space="preserve"> </w:t>
      </w:r>
      <w:r w:rsidRPr="00B70A67">
        <w:rPr>
          <w:color w:val="000000" w:themeColor="text1"/>
          <w:szCs w:val="18"/>
          <w:lang w:val="nl-NL"/>
        </w:rPr>
        <w:t>uitmaken - die in België overigens niet strafbaar zijn</w:t>
      </w:r>
      <w:r w:rsidR="00BD52B0">
        <w:rPr>
          <w:rStyle w:val="FootnoteReference"/>
          <w:color w:val="000000" w:themeColor="text1"/>
          <w:szCs w:val="18"/>
          <w:lang w:val="nl-NL"/>
        </w:rPr>
        <w:footnoteReference w:id="572"/>
      </w:r>
      <w:r w:rsidRPr="00B70A67">
        <w:rPr>
          <w:color w:val="000000" w:themeColor="text1"/>
          <w:szCs w:val="18"/>
          <w:lang w:val="nl-NL"/>
        </w:rPr>
        <w:t xml:space="preserve"> - kan het voorhanden zijn van het moreel bestanddeel worden afgeleid uit de loutere uitvoering van de materiële bestanddelen. Aldus rust o</w:t>
      </w:r>
      <w:r w:rsidRPr="00BD52B0">
        <w:rPr>
          <w:color w:val="000000" w:themeColor="text1"/>
          <w:szCs w:val="18"/>
          <w:lang w:val="nl-NL"/>
        </w:rPr>
        <w:t xml:space="preserve">p het Openbaar Ministerie een lichtere bewijslast i.g.v. </w:t>
      </w:r>
      <w:r w:rsidR="00BD52B0">
        <w:rPr>
          <w:color w:val="000000" w:themeColor="text1"/>
          <w:szCs w:val="18"/>
          <w:lang w:val="nl-NL"/>
        </w:rPr>
        <w:t xml:space="preserve">dergelijk </w:t>
      </w:r>
      <w:r w:rsidRPr="00BD52B0">
        <w:rPr>
          <w:color w:val="000000" w:themeColor="text1"/>
          <w:szCs w:val="18"/>
          <w:lang w:val="nl-NL"/>
        </w:rPr>
        <w:t>wetgevend stilzwijgen</w:t>
      </w:r>
      <w:r w:rsidR="00BD52B0">
        <w:rPr>
          <w:color w:val="000000" w:themeColor="text1"/>
          <w:szCs w:val="18"/>
          <w:lang w:val="nl-NL"/>
        </w:rPr>
        <w:t>.</w:t>
      </w:r>
      <w:r w:rsidR="002A31CE">
        <w:rPr>
          <w:color w:val="000000" w:themeColor="text1"/>
          <w:szCs w:val="18"/>
          <w:lang w:val="nl-NL"/>
        </w:rPr>
        <w:t xml:space="preserve"> </w:t>
      </w:r>
      <w:r w:rsidRPr="00BD52B0">
        <w:rPr>
          <w:color w:val="000000" w:themeColor="text1"/>
          <w:szCs w:val="18"/>
          <w:lang w:val="nl-NL"/>
        </w:rPr>
        <w:t>Het daadwerkelijk voorhanden zijn van het moreel bestanddeel moet namelijk enkel worden bewezen indien door de verdediging wordt aangevoerd dat dit niet vervuld was.</w:t>
      </w:r>
      <w:r w:rsidRPr="000B4AB2">
        <w:rPr>
          <w:rStyle w:val="FootnoteReference"/>
          <w:color w:val="000000" w:themeColor="text1"/>
          <w:szCs w:val="18"/>
          <w:lang w:val="nl-NL"/>
        </w:rPr>
        <w:footnoteReference w:id="573"/>
      </w:r>
      <w:r w:rsidRPr="00BD52B0">
        <w:rPr>
          <w:color w:val="000000" w:themeColor="text1"/>
          <w:szCs w:val="18"/>
          <w:lang w:val="nl-NL"/>
        </w:rPr>
        <w:t xml:space="preserve"> Het niet expliciet vermelden van het algemeen opzet lijkt bijgevolg niet alleen nadelen, maar ook een voordeel te kennen.</w:t>
      </w:r>
      <w:r>
        <w:rPr>
          <w:rStyle w:val="FootnoteReference"/>
          <w:color w:val="000000" w:themeColor="text1"/>
          <w:szCs w:val="18"/>
          <w:lang w:val="nl-NL"/>
        </w:rPr>
        <w:footnoteReference w:id="574"/>
      </w:r>
    </w:p>
    <w:p w14:paraId="4EF38FCA" w14:textId="77777777" w:rsidR="00A20446" w:rsidRPr="00CB7FC7" w:rsidRDefault="00A20446" w:rsidP="00260F11">
      <w:pPr>
        <w:pStyle w:val="ListParagraph"/>
        <w:spacing w:line="360" w:lineRule="auto"/>
        <w:rPr>
          <w:color w:val="000000" w:themeColor="text1"/>
          <w:szCs w:val="18"/>
          <w:lang w:val="nl-NL"/>
        </w:rPr>
      </w:pPr>
    </w:p>
    <w:p w14:paraId="5A443CD3" w14:textId="34CB8138" w:rsidR="00A20446" w:rsidRPr="00A20446" w:rsidRDefault="00F54F20" w:rsidP="00260F11">
      <w:pPr>
        <w:pStyle w:val="ListParagraph"/>
        <w:numPr>
          <w:ilvl w:val="0"/>
          <w:numId w:val="1"/>
        </w:numPr>
        <w:spacing w:line="360" w:lineRule="auto"/>
        <w:ind w:left="0" w:hanging="709"/>
        <w:rPr>
          <w:color w:val="000000" w:themeColor="text1"/>
          <w:szCs w:val="18"/>
          <w:lang w:val="nl-NL"/>
        </w:rPr>
      </w:pPr>
      <w:r w:rsidRPr="00F54F20">
        <w:rPr>
          <w:b/>
          <w:i/>
          <w:color w:val="000000" w:themeColor="text1"/>
          <w:szCs w:val="18"/>
          <w:lang w:val="nl-NL"/>
        </w:rPr>
        <w:t>Aanbeveling</w:t>
      </w:r>
      <w:r>
        <w:rPr>
          <w:color w:val="000000" w:themeColor="text1"/>
          <w:szCs w:val="18"/>
          <w:lang w:val="nl-NL"/>
        </w:rPr>
        <w:t xml:space="preserve">. </w:t>
      </w:r>
      <w:r w:rsidR="00BD52B0">
        <w:rPr>
          <w:color w:val="000000" w:themeColor="text1"/>
          <w:szCs w:val="18"/>
          <w:lang w:val="nl-NL"/>
        </w:rPr>
        <w:t>Dit</w:t>
      </w:r>
      <w:r w:rsidR="00A20446" w:rsidRPr="00047F15">
        <w:rPr>
          <w:color w:val="000000" w:themeColor="text1"/>
          <w:szCs w:val="18"/>
          <w:lang w:val="nl-NL"/>
        </w:rPr>
        <w:t xml:space="preserve"> voordeel weegt m.i. niet op tegen de </w:t>
      </w:r>
      <w:r w:rsidR="00DD2120">
        <w:rPr>
          <w:color w:val="000000" w:themeColor="text1"/>
          <w:szCs w:val="18"/>
          <w:lang w:val="nl-NL"/>
        </w:rPr>
        <w:t>nadelen</w:t>
      </w:r>
      <w:r w:rsidR="00A20446" w:rsidRPr="00047F15">
        <w:rPr>
          <w:color w:val="000000" w:themeColor="text1"/>
          <w:szCs w:val="18"/>
          <w:lang w:val="nl-NL"/>
        </w:rPr>
        <w:t xml:space="preserve"> die </w:t>
      </w:r>
      <w:r w:rsidR="00BD52B0">
        <w:rPr>
          <w:color w:val="000000" w:themeColor="text1"/>
          <w:szCs w:val="18"/>
          <w:lang w:val="nl-NL"/>
        </w:rPr>
        <w:t xml:space="preserve">gepaard gaan met een dergelijk wetgevend </w:t>
      </w:r>
      <w:r>
        <w:rPr>
          <w:color w:val="000000" w:themeColor="text1"/>
          <w:szCs w:val="18"/>
          <w:lang w:val="nl-NL"/>
        </w:rPr>
        <w:t>stilzwijgen</w:t>
      </w:r>
      <w:r w:rsidR="00A20446" w:rsidRPr="00047F15">
        <w:rPr>
          <w:color w:val="000000" w:themeColor="text1"/>
          <w:szCs w:val="18"/>
          <w:lang w:val="nl-NL"/>
        </w:rPr>
        <w:t xml:space="preserve">. Mede gelet op het </w:t>
      </w:r>
      <w:r w:rsidR="00CD2224">
        <w:rPr>
          <w:i/>
          <w:color w:val="000000" w:themeColor="text1"/>
          <w:szCs w:val="18"/>
          <w:lang w:val="nl-NL"/>
        </w:rPr>
        <w:t>lex certa-</w:t>
      </w:r>
      <w:r w:rsidR="00CD2224">
        <w:rPr>
          <w:color w:val="000000" w:themeColor="text1"/>
          <w:szCs w:val="18"/>
          <w:lang w:val="nl-NL"/>
        </w:rPr>
        <w:t>beginsel</w:t>
      </w:r>
      <w:r w:rsidR="00A20446" w:rsidRPr="00047F15">
        <w:rPr>
          <w:color w:val="000000" w:themeColor="text1"/>
          <w:szCs w:val="18"/>
          <w:lang w:val="nl-NL"/>
        </w:rPr>
        <w:t xml:space="preserve">, is het m.i. dan ook aangeraden om </w:t>
      </w:r>
      <w:r w:rsidR="00FA0B36">
        <w:rPr>
          <w:color w:val="000000" w:themeColor="text1"/>
          <w:szCs w:val="18"/>
          <w:lang w:val="nl-NL"/>
        </w:rPr>
        <w:t>de woorden “wetens en willens”</w:t>
      </w:r>
      <w:r w:rsidR="00BD52B0">
        <w:rPr>
          <w:color w:val="000000" w:themeColor="text1"/>
          <w:szCs w:val="18"/>
          <w:lang w:val="nl-NL"/>
        </w:rPr>
        <w:t xml:space="preserve"> </w:t>
      </w:r>
      <w:r w:rsidR="00BD52B0" w:rsidRPr="00047F15">
        <w:rPr>
          <w:color w:val="000000" w:themeColor="text1"/>
          <w:szCs w:val="18"/>
          <w:lang w:val="nl-NL"/>
        </w:rPr>
        <w:t>expliciet op te nemen in de strafbaarstellingen</w:t>
      </w:r>
      <w:r w:rsidR="00425A26">
        <w:rPr>
          <w:color w:val="000000" w:themeColor="text1"/>
          <w:szCs w:val="18"/>
          <w:lang w:val="nl-NL"/>
        </w:rPr>
        <w:t>.</w:t>
      </w:r>
      <w:r w:rsidR="00FA0B36">
        <w:rPr>
          <w:rStyle w:val="FootnoteReference"/>
          <w:color w:val="000000" w:themeColor="text1"/>
          <w:szCs w:val="18"/>
          <w:lang w:val="nl-NL"/>
        </w:rPr>
        <w:footnoteReference w:id="575"/>
      </w:r>
    </w:p>
    <w:p w14:paraId="1C464E0A" w14:textId="15EF6E4F" w:rsidR="000D3A93" w:rsidRDefault="000D3A93" w:rsidP="00260F11">
      <w:pPr>
        <w:spacing w:line="360" w:lineRule="auto"/>
        <w:rPr>
          <w:color w:val="000000" w:themeColor="text1"/>
          <w:szCs w:val="18"/>
          <w:lang w:val="nl-NL"/>
        </w:rPr>
      </w:pPr>
    </w:p>
    <w:p w14:paraId="1D6784BF" w14:textId="63318050" w:rsidR="000D3A93" w:rsidRDefault="000D3A93" w:rsidP="00260F11">
      <w:pPr>
        <w:pStyle w:val="Heading5"/>
        <w:spacing w:line="360" w:lineRule="auto"/>
        <w:rPr>
          <w:lang w:val="nl-NL"/>
        </w:rPr>
      </w:pPr>
      <w:bookmarkStart w:id="77" w:name="_Toc135041105"/>
      <w:r>
        <w:rPr>
          <w:lang w:val="nl-NL"/>
        </w:rPr>
        <w:t>Differentiëren</w:t>
      </w:r>
      <w:bookmarkEnd w:id="77"/>
    </w:p>
    <w:p w14:paraId="1F13A48A" w14:textId="77777777" w:rsidR="000D3A93" w:rsidRPr="000D3A93" w:rsidRDefault="000D3A93" w:rsidP="00260F11">
      <w:pPr>
        <w:spacing w:line="360" w:lineRule="auto"/>
        <w:rPr>
          <w:color w:val="000000" w:themeColor="text1"/>
          <w:szCs w:val="18"/>
          <w:lang w:val="nl-NL"/>
        </w:rPr>
      </w:pPr>
    </w:p>
    <w:p w14:paraId="5AA413F8" w14:textId="44840EAD" w:rsidR="00503279" w:rsidRPr="006D0D2A" w:rsidRDefault="00A16C49"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I</w:t>
      </w:r>
      <w:r w:rsidR="005C1B41" w:rsidRPr="006D0D2A">
        <w:rPr>
          <w:color w:val="000000" w:themeColor="text1"/>
          <w:szCs w:val="18"/>
          <w:lang w:val="nl-NL"/>
        </w:rPr>
        <w:t xml:space="preserve">n de </w:t>
      </w:r>
      <w:r w:rsidR="00503279" w:rsidRPr="006D0D2A">
        <w:rPr>
          <w:color w:val="000000" w:themeColor="text1"/>
          <w:szCs w:val="18"/>
          <w:lang w:val="nl-NL"/>
        </w:rPr>
        <w:t xml:space="preserve">Belgische </w:t>
      </w:r>
      <w:r w:rsidR="005C1B41" w:rsidRPr="006D0D2A">
        <w:rPr>
          <w:color w:val="000000" w:themeColor="text1"/>
          <w:szCs w:val="18"/>
          <w:lang w:val="nl-NL"/>
        </w:rPr>
        <w:t>doctrine</w:t>
      </w:r>
      <w:r>
        <w:rPr>
          <w:color w:val="000000" w:themeColor="text1"/>
          <w:szCs w:val="18"/>
          <w:lang w:val="nl-NL"/>
        </w:rPr>
        <w:t xml:space="preserve"> </w:t>
      </w:r>
      <w:r w:rsidRPr="006D0D2A">
        <w:rPr>
          <w:color w:val="000000" w:themeColor="text1"/>
          <w:szCs w:val="18"/>
          <w:lang w:val="nl-NL"/>
        </w:rPr>
        <w:t>heerst(e)</w:t>
      </w:r>
      <w:r>
        <w:rPr>
          <w:color w:val="000000" w:themeColor="text1"/>
          <w:szCs w:val="18"/>
          <w:lang w:val="nl-NL"/>
        </w:rPr>
        <w:t xml:space="preserve"> discussie </w:t>
      </w:r>
      <w:r w:rsidR="004236CC" w:rsidRPr="006D0D2A">
        <w:rPr>
          <w:color w:val="000000" w:themeColor="text1"/>
          <w:szCs w:val="18"/>
          <w:lang w:val="nl-NL"/>
        </w:rPr>
        <w:t>omtrent</w:t>
      </w:r>
      <w:r w:rsidR="005C1B41" w:rsidRPr="006D0D2A">
        <w:rPr>
          <w:color w:val="000000" w:themeColor="text1"/>
          <w:szCs w:val="18"/>
          <w:lang w:val="nl-NL"/>
        </w:rPr>
        <w:t xml:space="preserve"> het vereiste moreel bestanddeel t.a.v. de welbepaalde minderjarige leeftijd van het slachtoffer</w:t>
      </w:r>
      <w:r w:rsidR="00B9264E" w:rsidRPr="006D0D2A">
        <w:rPr>
          <w:color w:val="000000" w:themeColor="text1"/>
          <w:szCs w:val="18"/>
          <w:lang w:val="nl-NL"/>
        </w:rPr>
        <w:t xml:space="preserve">. </w:t>
      </w:r>
      <w:r w:rsidR="000226F4" w:rsidRPr="006D0D2A">
        <w:rPr>
          <w:color w:val="000000" w:themeColor="text1"/>
          <w:szCs w:val="18"/>
          <w:lang w:val="nl-NL"/>
        </w:rPr>
        <w:t xml:space="preserve">In grote lijnen </w:t>
      </w:r>
      <w:r w:rsidR="004236CC" w:rsidRPr="006D0D2A">
        <w:rPr>
          <w:color w:val="000000" w:themeColor="text1"/>
          <w:szCs w:val="18"/>
          <w:lang w:val="nl-NL"/>
        </w:rPr>
        <w:t>kunnen</w:t>
      </w:r>
      <w:r w:rsidR="000226F4" w:rsidRPr="006D0D2A">
        <w:rPr>
          <w:color w:val="000000" w:themeColor="text1"/>
          <w:szCs w:val="18"/>
          <w:lang w:val="nl-NL"/>
        </w:rPr>
        <w:t xml:space="preserve"> twee visies van elkaar </w:t>
      </w:r>
      <w:r w:rsidR="004236CC" w:rsidRPr="006D0D2A">
        <w:rPr>
          <w:color w:val="000000" w:themeColor="text1"/>
          <w:szCs w:val="18"/>
          <w:lang w:val="nl-NL"/>
        </w:rPr>
        <w:t xml:space="preserve">worden </w:t>
      </w:r>
      <w:r w:rsidR="000226F4" w:rsidRPr="006D0D2A">
        <w:rPr>
          <w:color w:val="000000" w:themeColor="text1"/>
          <w:szCs w:val="18"/>
          <w:lang w:val="nl-NL"/>
        </w:rPr>
        <w:t xml:space="preserve">onderscheiden. In een eerste, m.i. </w:t>
      </w:r>
      <w:r w:rsidR="002701D6">
        <w:rPr>
          <w:color w:val="000000" w:themeColor="text1"/>
          <w:szCs w:val="18"/>
          <w:lang w:val="nl-NL"/>
        </w:rPr>
        <w:t xml:space="preserve">juridisch </w:t>
      </w:r>
      <w:r w:rsidR="000226F4" w:rsidRPr="006D0D2A">
        <w:rPr>
          <w:color w:val="000000" w:themeColor="text1"/>
          <w:szCs w:val="18"/>
          <w:lang w:val="nl-NL"/>
        </w:rPr>
        <w:t>meer correcte visie, wordt gesteld dat onachtzaamheid vereist is t.a.v. de minderjarige leeftijd van het slachtoffer indien dit een constitutief bestanddeel uitmaakt van het misdrijf. Een andere visie vereist een algemeen opzet t.a.v. alle constitutieve bestanddelen van het misdrijf</w:t>
      </w:r>
      <w:r w:rsidR="00E0368C" w:rsidRPr="006D0D2A">
        <w:rPr>
          <w:color w:val="000000" w:themeColor="text1"/>
          <w:szCs w:val="18"/>
          <w:lang w:val="nl-NL"/>
        </w:rPr>
        <w:t xml:space="preserve">. </w:t>
      </w:r>
      <w:r w:rsidR="005C1B41" w:rsidRPr="006D0D2A">
        <w:rPr>
          <w:color w:val="000000" w:themeColor="text1"/>
          <w:szCs w:val="18"/>
          <w:lang w:val="nl-NL"/>
        </w:rPr>
        <w:t xml:space="preserve">Zoals </w:t>
      </w:r>
      <w:r w:rsidR="00E0368C" w:rsidRPr="006D0D2A">
        <w:rPr>
          <w:color w:val="000000" w:themeColor="text1"/>
          <w:szCs w:val="18"/>
          <w:lang w:val="nl-NL"/>
        </w:rPr>
        <w:t>eveneens reeds</w:t>
      </w:r>
      <w:r w:rsidR="005C1B41" w:rsidRPr="006D0D2A">
        <w:rPr>
          <w:color w:val="000000" w:themeColor="text1"/>
          <w:szCs w:val="18"/>
          <w:lang w:val="nl-NL"/>
        </w:rPr>
        <w:t xml:space="preserve"> aangegeven</w:t>
      </w:r>
      <w:r w:rsidR="00E0368C" w:rsidRPr="006D0D2A">
        <w:rPr>
          <w:color w:val="000000" w:themeColor="text1"/>
          <w:szCs w:val="18"/>
          <w:lang w:val="nl-NL"/>
        </w:rPr>
        <w:t>,</w:t>
      </w:r>
      <w:r w:rsidR="005C1B41" w:rsidRPr="006D0D2A">
        <w:rPr>
          <w:color w:val="000000" w:themeColor="text1"/>
          <w:szCs w:val="18"/>
          <w:lang w:val="nl-NL"/>
        </w:rPr>
        <w:t xml:space="preserve"> komt dit eerder neer op een academische discussie</w:t>
      </w:r>
      <w:r w:rsidR="00246FF6" w:rsidRPr="006D0D2A">
        <w:rPr>
          <w:color w:val="000000" w:themeColor="text1"/>
          <w:szCs w:val="18"/>
          <w:lang w:val="nl-NL"/>
        </w:rPr>
        <w:t>.</w:t>
      </w:r>
      <w:r w:rsidR="00246FF6" w:rsidRPr="006D0D2A">
        <w:rPr>
          <w:rStyle w:val="FootnoteReference"/>
          <w:color w:val="000000" w:themeColor="text1"/>
          <w:szCs w:val="18"/>
          <w:lang w:val="nl-NL"/>
        </w:rPr>
        <w:footnoteReference w:id="576"/>
      </w:r>
      <w:r w:rsidR="00246FF6" w:rsidRPr="006D0D2A">
        <w:rPr>
          <w:color w:val="000000" w:themeColor="text1"/>
          <w:szCs w:val="18"/>
          <w:lang w:val="nl-NL"/>
        </w:rPr>
        <w:t xml:space="preserve"> </w:t>
      </w:r>
      <w:r w:rsidR="00B9264E" w:rsidRPr="006D0D2A">
        <w:rPr>
          <w:color w:val="000000" w:themeColor="text1"/>
          <w:szCs w:val="18"/>
          <w:lang w:val="nl-NL"/>
        </w:rPr>
        <w:t xml:space="preserve">Voor het antwoord op de vraag hoe </w:t>
      </w:r>
      <w:r w:rsidR="00E0368C" w:rsidRPr="006D0D2A">
        <w:rPr>
          <w:color w:val="000000" w:themeColor="text1"/>
          <w:szCs w:val="18"/>
          <w:lang w:val="nl-NL"/>
        </w:rPr>
        <w:t>aan voornoemde discussie</w:t>
      </w:r>
      <w:r w:rsidR="00B9264E" w:rsidRPr="006D0D2A">
        <w:rPr>
          <w:color w:val="000000" w:themeColor="text1"/>
          <w:szCs w:val="18"/>
          <w:lang w:val="nl-NL"/>
        </w:rPr>
        <w:t xml:space="preserve"> kan worden verholpen, kan het Brits recht als inspiratiebron dienen.</w:t>
      </w:r>
    </w:p>
    <w:p w14:paraId="639EF0B3" w14:textId="77777777" w:rsidR="00503279" w:rsidRPr="00D84C8D" w:rsidRDefault="00503279" w:rsidP="00260F11">
      <w:pPr>
        <w:spacing w:line="360" w:lineRule="auto"/>
        <w:rPr>
          <w:color w:val="000000" w:themeColor="text1"/>
          <w:szCs w:val="18"/>
          <w:lang w:val="nl-NL"/>
        </w:rPr>
      </w:pPr>
    </w:p>
    <w:p w14:paraId="09092C5A" w14:textId="691314F7" w:rsidR="000E4D0A" w:rsidRPr="00323EEC" w:rsidRDefault="00064D2D" w:rsidP="00260F11">
      <w:pPr>
        <w:pStyle w:val="ListParagraph"/>
        <w:numPr>
          <w:ilvl w:val="0"/>
          <w:numId w:val="1"/>
        </w:numPr>
        <w:spacing w:line="360" w:lineRule="auto"/>
        <w:ind w:left="0" w:hanging="709"/>
        <w:rPr>
          <w:color w:val="000000" w:themeColor="text1"/>
          <w:szCs w:val="18"/>
          <w:lang w:val="nl-NL"/>
        </w:rPr>
      </w:pPr>
      <w:r w:rsidRPr="00571787">
        <w:rPr>
          <w:color w:val="000000" w:themeColor="text1"/>
          <w:szCs w:val="18"/>
          <w:lang w:val="nl-NL"/>
        </w:rPr>
        <w:t xml:space="preserve">In het Brits recht wordt immers gedifferentieerd m.b.t. het moreel bestanddeel. </w:t>
      </w:r>
      <w:r w:rsidR="00B749EF" w:rsidRPr="00571787">
        <w:rPr>
          <w:color w:val="000000" w:themeColor="text1"/>
          <w:szCs w:val="18"/>
          <w:lang w:val="nl-NL"/>
        </w:rPr>
        <w:t xml:space="preserve">Voor alle besproken zedenmisdrijven </w:t>
      </w:r>
      <w:r w:rsidR="00B9264E" w:rsidRPr="00571787">
        <w:rPr>
          <w:color w:val="000000" w:themeColor="text1"/>
          <w:szCs w:val="18"/>
          <w:lang w:val="nl-NL"/>
        </w:rPr>
        <w:t>naar Brits recht</w:t>
      </w:r>
      <w:r w:rsidRPr="00571787">
        <w:rPr>
          <w:color w:val="000000" w:themeColor="text1"/>
          <w:szCs w:val="18"/>
          <w:lang w:val="nl-NL"/>
        </w:rPr>
        <w:t xml:space="preserve"> is in principe een </w:t>
      </w:r>
      <w:r w:rsidRPr="00246FF6">
        <w:rPr>
          <w:color w:val="000000" w:themeColor="text1"/>
          <w:szCs w:val="18"/>
          <w:lang w:val="nl-NL"/>
        </w:rPr>
        <w:t>algemeen opzet vereist</w:t>
      </w:r>
      <w:r w:rsidR="004375E2">
        <w:rPr>
          <w:color w:val="000000" w:themeColor="text1"/>
          <w:szCs w:val="18"/>
          <w:lang w:val="nl-NL"/>
        </w:rPr>
        <w:t>.</w:t>
      </w:r>
      <w:r w:rsidRPr="00246FF6">
        <w:rPr>
          <w:color w:val="000000" w:themeColor="text1"/>
          <w:szCs w:val="18"/>
          <w:lang w:val="nl-NL"/>
        </w:rPr>
        <w:t xml:space="preserve"> </w:t>
      </w:r>
      <w:r w:rsidR="004375E2">
        <w:rPr>
          <w:color w:val="000000" w:themeColor="text1"/>
          <w:szCs w:val="18"/>
          <w:lang w:val="nl-NL"/>
        </w:rPr>
        <w:t xml:space="preserve">Dit wordt echter o.a. niet vereist </w:t>
      </w:r>
      <w:r w:rsidR="00947F48">
        <w:rPr>
          <w:color w:val="000000" w:themeColor="text1"/>
          <w:szCs w:val="18"/>
          <w:lang w:val="nl-NL"/>
        </w:rPr>
        <w:t>t</w:t>
      </w:r>
      <w:r w:rsidR="00571787">
        <w:rPr>
          <w:color w:val="000000" w:themeColor="text1"/>
          <w:szCs w:val="18"/>
          <w:lang w:val="nl-NL"/>
        </w:rPr>
        <w:t xml:space="preserve">.a.v. die minderjarige leeftijd van het slachtoffer indien dit </w:t>
      </w:r>
      <w:r w:rsidR="00C84C7D">
        <w:rPr>
          <w:color w:val="000000" w:themeColor="text1"/>
          <w:szCs w:val="18"/>
          <w:lang w:val="nl-NL"/>
        </w:rPr>
        <w:t>een constitutief bestanddeel uitmaakt</w:t>
      </w:r>
      <w:r w:rsidR="00571787">
        <w:rPr>
          <w:color w:val="000000" w:themeColor="text1"/>
          <w:szCs w:val="18"/>
          <w:lang w:val="nl-NL"/>
        </w:rPr>
        <w:t xml:space="preserve"> van het misdrijf</w:t>
      </w:r>
      <w:r w:rsidR="00323EEC">
        <w:rPr>
          <w:color w:val="000000" w:themeColor="text1"/>
          <w:szCs w:val="18"/>
          <w:lang w:val="nl-NL"/>
        </w:rPr>
        <w:t>.</w:t>
      </w:r>
      <w:r w:rsidR="00246FF6">
        <w:rPr>
          <w:rStyle w:val="FootnoteReference"/>
          <w:color w:val="000000" w:themeColor="text1"/>
          <w:szCs w:val="18"/>
          <w:lang w:val="nl-NL"/>
        </w:rPr>
        <w:footnoteReference w:id="577"/>
      </w:r>
      <w:r w:rsidR="00323EEC">
        <w:rPr>
          <w:color w:val="000000" w:themeColor="text1"/>
          <w:szCs w:val="18"/>
          <w:lang w:val="nl-NL"/>
        </w:rPr>
        <w:t xml:space="preserve"> </w:t>
      </w:r>
      <w:r w:rsidR="007150A0">
        <w:rPr>
          <w:color w:val="000000" w:themeColor="text1"/>
          <w:szCs w:val="18"/>
          <w:lang w:val="nl-NL"/>
        </w:rPr>
        <w:t>In de Belgische strafbaarstellingen</w:t>
      </w:r>
      <w:r w:rsidR="00323EEC">
        <w:rPr>
          <w:color w:val="000000" w:themeColor="text1"/>
          <w:szCs w:val="18"/>
          <w:lang w:val="nl-NL"/>
        </w:rPr>
        <w:t xml:space="preserve"> zou naar Brits voorbeeld eveneens kunnen worden gedifferentieerd.</w:t>
      </w:r>
      <w:r w:rsidR="00323EEC">
        <w:rPr>
          <w:rStyle w:val="FootnoteReference"/>
          <w:color w:val="000000" w:themeColor="text1"/>
          <w:szCs w:val="18"/>
          <w:lang w:val="nl-NL"/>
        </w:rPr>
        <w:footnoteReference w:id="578"/>
      </w:r>
      <w:r w:rsidR="00323EEC">
        <w:rPr>
          <w:color w:val="000000" w:themeColor="text1"/>
          <w:szCs w:val="18"/>
          <w:lang w:val="nl-NL"/>
        </w:rPr>
        <w:t xml:space="preserve"> </w:t>
      </w:r>
      <w:r w:rsidR="00323EEC" w:rsidRPr="00323EEC">
        <w:rPr>
          <w:color w:val="000000" w:themeColor="text1"/>
          <w:szCs w:val="18"/>
          <w:lang w:val="nl-NL"/>
        </w:rPr>
        <w:t>Zo</w:t>
      </w:r>
      <w:r w:rsidR="000E4D0A" w:rsidRPr="00323EEC">
        <w:rPr>
          <w:color w:val="000000" w:themeColor="text1"/>
          <w:szCs w:val="18"/>
          <w:lang w:val="nl-NL"/>
        </w:rPr>
        <w:t xml:space="preserve"> kan als moreel bestanddeel onachtzaamheid worden vereist </w:t>
      </w:r>
      <w:r w:rsidR="000E4D0A" w:rsidRPr="00323EEC">
        <w:rPr>
          <w:color w:val="000000" w:themeColor="text1"/>
          <w:szCs w:val="18"/>
          <w:lang w:val="nl-NL"/>
        </w:rPr>
        <w:lastRenderedPageBreak/>
        <w:t>t.a.v. de welbepaalde minderjarige leeftijd van het slachtoffer indien dit een constitutief bestanddeel van het misdrijf uitmaak</w:t>
      </w:r>
      <w:r w:rsidR="00D778EA">
        <w:rPr>
          <w:color w:val="000000" w:themeColor="text1"/>
          <w:szCs w:val="18"/>
          <w:lang w:val="nl-NL"/>
        </w:rPr>
        <w:t>t</w:t>
      </w:r>
      <w:r w:rsidR="00B9264E" w:rsidRPr="00323EEC">
        <w:rPr>
          <w:color w:val="000000" w:themeColor="text1"/>
          <w:szCs w:val="18"/>
          <w:lang w:val="nl-NL"/>
        </w:rPr>
        <w:t>, maar kan voor de overige constitutieve bestanddelen het algemeen opzet vereist worden.</w:t>
      </w:r>
      <w:r w:rsidR="001054FF">
        <w:rPr>
          <w:color w:val="000000" w:themeColor="text1"/>
          <w:szCs w:val="18"/>
          <w:lang w:val="nl-NL"/>
        </w:rPr>
        <w:t xml:space="preserve"> </w:t>
      </w:r>
      <w:r w:rsidR="001054FF" w:rsidRPr="00CB7FC7">
        <w:rPr>
          <w:color w:val="000000" w:themeColor="text1"/>
          <w:szCs w:val="18"/>
          <w:lang w:val="nl-NL"/>
        </w:rPr>
        <w:t xml:space="preserve">Zo wordt een einde gesteld aan </w:t>
      </w:r>
      <w:r w:rsidR="007150A0">
        <w:rPr>
          <w:color w:val="000000" w:themeColor="text1"/>
          <w:szCs w:val="18"/>
          <w:lang w:val="nl-NL"/>
        </w:rPr>
        <w:t>voormelde</w:t>
      </w:r>
      <w:r w:rsidR="001054FF" w:rsidRPr="00CB7FC7">
        <w:rPr>
          <w:color w:val="000000" w:themeColor="text1"/>
          <w:szCs w:val="18"/>
          <w:lang w:val="nl-NL"/>
        </w:rPr>
        <w:t xml:space="preserve"> discussie, wat de rechtszekerheid ten goede zou komen</w:t>
      </w:r>
      <w:r w:rsidR="001054FF">
        <w:rPr>
          <w:color w:val="000000" w:themeColor="text1"/>
          <w:szCs w:val="18"/>
          <w:lang w:val="nl-NL"/>
        </w:rPr>
        <w:t>.</w:t>
      </w:r>
    </w:p>
    <w:p w14:paraId="357132F8" w14:textId="4702DB81" w:rsidR="00B9264E" w:rsidRDefault="00B9264E" w:rsidP="00260F11">
      <w:pPr>
        <w:pStyle w:val="ListParagraph"/>
        <w:spacing w:line="360" w:lineRule="auto"/>
        <w:ind w:left="0"/>
        <w:rPr>
          <w:color w:val="000000" w:themeColor="text1"/>
          <w:szCs w:val="18"/>
          <w:lang w:val="nl-NL"/>
        </w:rPr>
      </w:pPr>
    </w:p>
    <w:p w14:paraId="2D91B57B" w14:textId="7FA47BD5" w:rsidR="00E254C3" w:rsidRDefault="004236CC" w:rsidP="00260F11">
      <w:pPr>
        <w:pStyle w:val="ListParagraph"/>
        <w:numPr>
          <w:ilvl w:val="0"/>
          <w:numId w:val="1"/>
        </w:numPr>
        <w:spacing w:line="360" w:lineRule="auto"/>
        <w:ind w:left="0" w:hanging="709"/>
        <w:rPr>
          <w:color w:val="000000" w:themeColor="text1"/>
          <w:szCs w:val="18"/>
          <w:lang w:val="nl-NL"/>
        </w:rPr>
      </w:pPr>
      <w:r w:rsidRPr="004236CC">
        <w:rPr>
          <w:b/>
          <w:i/>
          <w:color w:val="000000" w:themeColor="text1"/>
          <w:szCs w:val="18"/>
          <w:lang w:val="nl-NL"/>
        </w:rPr>
        <w:t>Aanbeveling</w:t>
      </w:r>
      <w:r>
        <w:rPr>
          <w:color w:val="000000" w:themeColor="text1"/>
          <w:szCs w:val="18"/>
          <w:lang w:val="nl-NL"/>
        </w:rPr>
        <w:t xml:space="preserve">. </w:t>
      </w:r>
      <w:r w:rsidR="00323EEC">
        <w:rPr>
          <w:color w:val="000000" w:themeColor="text1"/>
          <w:szCs w:val="18"/>
          <w:lang w:val="nl-NL"/>
        </w:rPr>
        <w:t>Gelet op het voorgaande, is het</w:t>
      </w:r>
      <w:r w:rsidR="001054FF">
        <w:rPr>
          <w:color w:val="000000" w:themeColor="text1"/>
          <w:szCs w:val="18"/>
          <w:lang w:val="nl-NL"/>
        </w:rPr>
        <w:t xml:space="preserve"> m.i.</w:t>
      </w:r>
      <w:r w:rsidR="00323EEC">
        <w:rPr>
          <w:color w:val="000000" w:themeColor="text1"/>
          <w:szCs w:val="18"/>
          <w:lang w:val="nl-NL"/>
        </w:rPr>
        <w:t xml:space="preserve"> aangeraden </w:t>
      </w:r>
      <w:r w:rsidR="00DD2120">
        <w:rPr>
          <w:color w:val="000000" w:themeColor="text1"/>
          <w:szCs w:val="18"/>
          <w:lang w:val="nl-NL"/>
        </w:rPr>
        <w:t>om het moreel bestanddeel expliciet op te nemen in de strafbaarstelling</w:t>
      </w:r>
      <w:r w:rsidR="001054FF">
        <w:rPr>
          <w:rStyle w:val="FootnoteReference"/>
          <w:color w:val="000000" w:themeColor="text1"/>
          <w:szCs w:val="18"/>
          <w:lang w:val="nl-NL"/>
        </w:rPr>
        <w:footnoteReference w:id="579"/>
      </w:r>
      <w:r w:rsidR="001054FF">
        <w:rPr>
          <w:color w:val="000000" w:themeColor="text1"/>
          <w:szCs w:val="18"/>
          <w:lang w:val="nl-NL"/>
        </w:rPr>
        <w:t xml:space="preserve"> </w:t>
      </w:r>
      <w:r w:rsidR="00DD2120">
        <w:rPr>
          <w:color w:val="000000" w:themeColor="text1"/>
          <w:szCs w:val="18"/>
          <w:lang w:val="nl-NL"/>
        </w:rPr>
        <w:t>en daarbij op de hierboven aangegeven manier te differentiëren</w:t>
      </w:r>
      <w:r w:rsidR="001054FF">
        <w:rPr>
          <w:color w:val="000000" w:themeColor="text1"/>
          <w:szCs w:val="18"/>
          <w:lang w:val="nl-NL"/>
        </w:rPr>
        <w:t>.</w:t>
      </w:r>
      <w:r w:rsidR="00425A26">
        <w:rPr>
          <w:rStyle w:val="FootnoteReference"/>
          <w:color w:val="000000" w:themeColor="text1"/>
          <w:szCs w:val="18"/>
          <w:lang w:val="nl-NL"/>
        </w:rPr>
        <w:footnoteReference w:id="580"/>
      </w:r>
    </w:p>
    <w:p w14:paraId="642FA3F2" w14:textId="77777777" w:rsidR="00465E6B" w:rsidRDefault="00465E6B" w:rsidP="00260F11">
      <w:pPr>
        <w:pStyle w:val="ListParagraph"/>
        <w:spacing w:line="360" w:lineRule="auto"/>
        <w:ind w:left="0"/>
        <w:rPr>
          <w:color w:val="000000" w:themeColor="text1"/>
          <w:szCs w:val="18"/>
          <w:lang w:val="nl-NL"/>
        </w:rPr>
      </w:pPr>
    </w:p>
    <w:p w14:paraId="1E494C05" w14:textId="43FC94A7" w:rsidR="0079007B" w:rsidRDefault="0079007B" w:rsidP="00260F11">
      <w:pPr>
        <w:pStyle w:val="Heading5"/>
        <w:spacing w:line="360" w:lineRule="auto"/>
        <w:rPr>
          <w:lang w:val="nl-NL"/>
        </w:rPr>
      </w:pPr>
      <w:bookmarkStart w:id="78" w:name="_Toc135041106"/>
      <w:r>
        <w:rPr>
          <w:lang w:val="nl-NL"/>
        </w:rPr>
        <w:t>Seksuele drijfveer?</w:t>
      </w:r>
      <w:bookmarkEnd w:id="78"/>
    </w:p>
    <w:p w14:paraId="65009A37" w14:textId="77777777" w:rsidR="0079007B" w:rsidRPr="0079007B" w:rsidRDefault="0079007B" w:rsidP="00260F11">
      <w:pPr>
        <w:spacing w:line="360" w:lineRule="auto"/>
        <w:rPr>
          <w:color w:val="000000" w:themeColor="text1"/>
          <w:szCs w:val="18"/>
          <w:lang w:val="nl-NL"/>
        </w:rPr>
      </w:pPr>
    </w:p>
    <w:p w14:paraId="3732506E" w14:textId="0C5030C9" w:rsidR="0079007B" w:rsidRDefault="0079007B"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In bepaalde, bekritiseerde rechtsleer m.b.t. het oude recht werd voor aanranding van de eerbaarheid vereist dat de dader de bedoeling had om de eerbaarheid aan te randen. Aldus </w:t>
      </w:r>
      <w:r w:rsidR="003B1C5A">
        <w:rPr>
          <w:color w:val="000000" w:themeColor="text1"/>
          <w:szCs w:val="18"/>
          <w:lang w:val="nl-NL"/>
        </w:rPr>
        <w:t>vereiste deze visie</w:t>
      </w:r>
      <w:r>
        <w:rPr>
          <w:color w:val="000000" w:themeColor="text1"/>
          <w:szCs w:val="18"/>
          <w:lang w:val="nl-NL"/>
        </w:rPr>
        <w:t xml:space="preserve"> in hoofde van de dader een seksuele drijfveer.</w:t>
      </w:r>
      <w:r>
        <w:rPr>
          <w:rStyle w:val="FootnoteReference"/>
          <w:color w:val="000000" w:themeColor="text1"/>
          <w:szCs w:val="18"/>
          <w:lang w:val="nl-NL"/>
        </w:rPr>
        <w:footnoteReference w:id="581"/>
      </w:r>
      <w:r>
        <w:rPr>
          <w:color w:val="000000" w:themeColor="text1"/>
          <w:szCs w:val="18"/>
          <w:lang w:val="nl-NL"/>
        </w:rPr>
        <w:t xml:space="preserve"> Ook m.b.t. de oude strafbaarstelling van verkrachting werd door een bepaald</w:t>
      </w:r>
      <w:r w:rsidR="0064492A">
        <w:rPr>
          <w:color w:val="000000" w:themeColor="text1"/>
          <w:szCs w:val="18"/>
          <w:lang w:val="nl-NL"/>
        </w:rPr>
        <w:t xml:space="preserve"> </w:t>
      </w:r>
      <w:r>
        <w:rPr>
          <w:color w:val="000000" w:themeColor="text1"/>
          <w:szCs w:val="18"/>
          <w:lang w:val="nl-NL"/>
        </w:rPr>
        <w:t>gedeelte van de rechtsleer een seksuele drijfveer in hoofde van de dader vereist opdat een gedraging als verkrachting zou kunnen worden gekwalificeerd.</w:t>
      </w:r>
      <w:r w:rsidR="00EF1101">
        <w:rPr>
          <w:rStyle w:val="FootnoteReference"/>
          <w:color w:val="000000" w:themeColor="text1"/>
          <w:szCs w:val="18"/>
          <w:lang w:val="nl-NL"/>
        </w:rPr>
        <w:footnoteReference w:id="582"/>
      </w:r>
    </w:p>
    <w:p w14:paraId="72C31A74" w14:textId="77777777" w:rsidR="0079007B" w:rsidRDefault="0079007B" w:rsidP="00260F11">
      <w:pPr>
        <w:pStyle w:val="ListParagraph"/>
        <w:spacing w:line="360" w:lineRule="auto"/>
        <w:ind w:left="0"/>
        <w:rPr>
          <w:color w:val="000000" w:themeColor="text1"/>
          <w:szCs w:val="18"/>
          <w:lang w:val="nl-NL"/>
        </w:rPr>
      </w:pPr>
    </w:p>
    <w:p w14:paraId="05C13BB5" w14:textId="70EC92DC" w:rsidR="00ED2F75" w:rsidRDefault="0079007B" w:rsidP="00260F11">
      <w:pPr>
        <w:pStyle w:val="ListParagraph"/>
        <w:spacing w:line="360" w:lineRule="auto"/>
        <w:ind w:left="0"/>
        <w:rPr>
          <w:color w:val="000000" w:themeColor="text1"/>
          <w:szCs w:val="18"/>
          <w:lang w:val="nl-NL"/>
        </w:rPr>
      </w:pPr>
      <w:r>
        <w:rPr>
          <w:color w:val="000000" w:themeColor="text1"/>
          <w:szCs w:val="18"/>
          <w:lang w:val="nl-NL"/>
        </w:rPr>
        <w:t xml:space="preserve">M.i. </w:t>
      </w:r>
      <w:r w:rsidR="001C0B77">
        <w:rPr>
          <w:color w:val="000000" w:themeColor="text1"/>
          <w:szCs w:val="18"/>
          <w:lang w:val="nl-NL"/>
        </w:rPr>
        <w:t>lijkt</w:t>
      </w:r>
      <w:r>
        <w:rPr>
          <w:color w:val="000000" w:themeColor="text1"/>
          <w:szCs w:val="18"/>
          <w:lang w:val="nl-NL"/>
        </w:rPr>
        <w:t xml:space="preserve"> het vereisen van een seksuele drijfveer in hoofde van de dader </w:t>
      </w:r>
      <w:r w:rsidR="001C0B77">
        <w:rPr>
          <w:color w:val="000000" w:themeColor="text1"/>
          <w:szCs w:val="18"/>
          <w:lang w:val="nl-NL"/>
        </w:rPr>
        <w:t xml:space="preserve">sterk </w:t>
      </w:r>
      <w:r>
        <w:rPr>
          <w:color w:val="000000" w:themeColor="text1"/>
          <w:szCs w:val="18"/>
          <w:lang w:val="nl-NL"/>
        </w:rPr>
        <w:t>overeen</w:t>
      </w:r>
      <w:r w:rsidR="001C0B77">
        <w:rPr>
          <w:color w:val="000000" w:themeColor="text1"/>
          <w:szCs w:val="18"/>
          <w:lang w:val="nl-NL"/>
        </w:rPr>
        <w:t xml:space="preserve"> te komen</w:t>
      </w:r>
      <w:r>
        <w:rPr>
          <w:color w:val="000000" w:themeColor="text1"/>
          <w:szCs w:val="18"/>
          <w:lang w:val="nl-NL"/>
        </w:rPr>
        <w:t xml:space="preserve"> met het vereisen van een bijzonder opzet.</w:t>
      </w:r>
      <w:r w:rsidR="007A618E">
        <w:rPr>
          <w:color w:val="000000" w:themeColor="text1"/>
          <w:szCs w:val="18"/>
          <w:lang w:val="nl-NL"/>
        </w:rPr>
        <w:t xml:space="preserve"> </w:t>
      </w:r>
      <w:r w:rsidR="007A618E" w:rsidRPr="00F5406C">
        <w:rPr>
          <w:color w:val="000000" w:themeColor="text1"/>
          <w:szCs w:val="18"/>
          <w:lang w:val="nl-NL"/>
        </w:rPr>
        <w:t xml:space="preserve">Een bijzonder opzet stelt immers hogere eisen dan een algemeen opzet in die zin dat het louter wetens en willens plegen van het misdrijf onvoldoende is om onder de strafbaarstelling te vallen, maar dat </w:t>
      </w:r>
      <w:r w:rsidR="004375E2">
        <w:rPr>
          <w:color w:val="000000" w:themeColor="text1"/>
          <w:szCs w:val="18"/>
          <w:lang w:val="nl-NL"/>
        </w:rPr>
        <w:t>daarenboven</w:t>
      </w:r>
      <w:r w:rsidR="007A618E" w:rsidRPr="00F5406C">
        <w:rPr>
          <w:color w:val="000000" w:themeColor="text1"/>
          <w:szCs w:val="18"/>
          <w:lang w:val="nl-NL"/>
        </w:rPr>
        <w:t xml:space="preserve"> een extra voorwaarde m.b.t. de ingesteldheid van de dader dient voldaan te zijn.</w:t>
      </w:r>
      <w:r w:rsidR="007A618E">
        <w:rPr>
          <w:rStyle w:val="FootnoteReference"/>
          <w:color w:val="000000" w:themeColor="text1"/>
          <w:szCs w:val="18"/>
          <w:lang w:val="nl-NL"/>
        </w:rPr>
        <w:footnoteReference w:id="583"/>
      </w:r>
      <w:r w:rsidR="007A618E" w:rsidRPr="00F5406C">
        <w:rPr>
          <w:color w:val="000000" w:themeColor="text1"/>
          <w:szCs w:val="18"/>
          <w:lang w:val="nl-NL"/>
        </w:rPr>
        <w:t xml:space="preserve"> Vereisen dat de dader wist dat de door hem beoogde gedraging strafbaar was, maar deze desalniettemin wilde stellen en daarbovenop vereisen dat de dader handelde vanuit een seksuele drijfveer, is m.i. dan ook een voorbeeld van een bijzonder opzet</w:t>
      </w:r>
      <w:r w:rsidR="007A618E">
        <w:rPr>
          <w:color w:val="000000" w:themeColor="text1"/>
          <w:szCs w:val="18"/>
          <w:lang w:val="nl-NL"/>
        </w:rPr>
        <w:t>.</w:t>
      </w:r>
      <w:r w:rsidR="00E2622B">
        <w:rPr>
          <w:rStyle w:val="FootnoteReference"/>
          <w:color w:val="000000" w:themeColor="text1"/>
          <w:szCs w:val="18"/>
          <w:lang w:val="nl-NL"/>
        </w:rPr>
        <w:footnoteReference w:id="584"/>
      </w:r>
    </w:p>
    <w:p w14:paraId="611C54CF" w14:textId="77777777" w:rsidR="00ED2F75" w:rsidRPr="00ED2F75" w:rsidRDefault="00ED2F75" w:rsidP="00260F11">
      <w:pPr>
        <w:pStyle w:val="ListParagraph"/>
        <w:spacing w:line="360" w:lineRule="auto"/>
        <w:rPr>
          <w:color w:val="000000" w:themeColor="text1"/>
          <w:szCs w:val="18"/>
          <w:lang w:val="nl-NL"/>
        </w:rPr>
      </w:pPr>
    </w:p>
    <w:p w14:paraId="713DA636" w14:textId="348FAE53" w:rsidR="00ED2F75" w:rsidRDefault="008D7958" w:rsidP="00260F11">
      <w:pPr>
        <w:pStyle w:val="ListParagraph"/>
        <w:spacing w:line="360" w:lineRule="auto"/>
        <w:ind w:left="0"/>
        <w:rPr>
          <w:color w:val="000000" w:themeColor="text1"/>
          <w:szCs w:val="18"/>
          <w:lang w:val="nl-NL"/>
        </w:rPr>
      </w:pPr>
      <w:r w:rsidRPr="00ED2F75">
        <w:rPr>
          <w:color w:val="000000" w:themeColor="text1"/>
          <w:szCs w:val="18"/>
          <w:lang w:val="nl-NL"/>
        </w:rPr>
        <w:t>Noch voor aantasting van de seksuele integriteit, noch voor verkrachting is evenwel een bijzonder opzet vereist</w:t>
      </w:r>
      <w:r w:rsidR="001C0B77">
        <w:rPr>
          <w:color w:val="000000" w:themeColor="text1"/>
          <w:szCs w:val="18"/>
          <w:lang w:val="nl-NL"/>
        </w:rPr>
        <w:t xml:space="preserve">. In dit opzicht is </w:t>
      </w:r>
      <w:r w:rsidR="00ED2F75">
        <w:rPr>
          <w:color w:val="000000" w:themeColor="text1"/>
          <w:szCs w:val="18"/>
          <w:lang w:val="nl-NL"/>
        </w:rPr>
        <w:t xml:space="preserve">het vereisen van een seksuele drijfveer in hoofde van de dader m.i. dan ook juridisch moeilijk verzoenbaar met het </w:t>
      </w:r>
      <w:r w:rsidR="001C0B77">
        <w:rPr>
          <w:color w:val="000000" w:themeColor="text1"/>
          <w:szCs w:val="18"/>
          <w:lang w:val="nl-NL"/>
        </w:rPr>
        <w:t>algemeen opzet als vereiste</w:t>
      </w:r>
      <w:r w:rsidR="00ED2F75">
        <w:rPr>
          <w:color w:val="000000" w:themeColor="text1"/>
          <w:szCs w:val="18"/>
          <w:lang w:val="nl-NL"/>
        </w:rPr>
        <w:t xml:space="preserve"> moreel bestanddeel.</w:t>
      </w:r>
    </w:p>
    <w:p w14:paraId="4C2FDF5E" w14:textId="77777777" w:rsidR="00ED2F75" w:rsidRPr="00ED2F75" w:rsidRDefault="00ED2F75" w:rsidP="00260F11">
      <w:pPr>
        <w:pStyle w:val="ListParagraph"/>
        <w:spacing w:line="360" w:lineRule="auto"/>
        <w:rPr>
          <w:color w:val="000000" w:themeColor="text1"/>
          <w:szCs w:val="18"/>
          <w:lang w:val="nl-NL"/>
        </w:rPr>
      </w:pPr>
    </w:p>
    <w:p w14:paraId="57BB6C20" w14:textId="747450BB" w:rsidR="00ED2F75" w:rsidRPr="00855A7D" w:rsidRDefault="003C047B"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lastRenderedPageBreak/>
        <w:t>Bovenstaande</w:t>
      </w:r>
      <w:r w:rsidR="00ED2F75">
        <w:rPr>
          <w:color w:val="000000" w:themeColor="text1"/>
          <w:szCs w:val="18"/>
          <w:lang w:val="nl-NL"/>
        </w:rPr>
        <w:t xml:space="preserve"> werd eerder in deze masterscriptie dan ook aangeduid als pijnpunt van zowel de oude strafbaarstelling van aanranding van de eerbaarheid als van verkrachting.</w:t>
      </w:r>
      <w:r w:rsidR="00ED2F75">
        <w:rPr>
          <w:rStyle w:val="FootnoteReference"/>
          <w:color w:val="000000" w:themeColor="text1"/>
          <w:szCs w:val="18"/>
          <w:lang w:val="nl-NL"/>
        </w:rPr>
        <w:footnoteReference w:id="585"/>
      </w:r>
      <w:r w:rsidR="004D11D8">
        <w:rPr>
          <w:color w:val="000000" w:themeColor="text1"/>
          <w:szCs w:val="18"/>
          <w:lang w:val="nl-NL"/>
        </w:rPr>
        <w:t xml:space="preserve"> De wetgever heeft evenwel deze hervorming niet aangegrepen om duidelijkheid te brengen</w:t>
      </w:r>
      <w:r w:rsidR="004375E2">
        <w:rPr>
          <w:color w:val="000000" w:themeColor="text1"/>
          <w:szCs w:val="18"/>
          <w:lang w:val="nl-NL"/>
        </w:rPr>
        <w:t xml:space="preserve"> op dit vlak</w:t>
      </w:r>
      <w:r w:rsidR="004D11D8">
        <w:rPr>
          <w:color w:val="000000" w:themeColor="text1"/>
          <w:szCs w:val="18"/>
          <w:lang w:val="nl-NL"/>
        </w:rPr>
        <w:t xml:space="preserve">, zodat dit pijnpunt </w:t>
      </w:r>
      <w:r w:rsidR="004D11D8" w:rsidRPr="00855A7D">
        <w:rPr>
          <w:color w:val="000000" w:themeColor="text1"/>
          <w:szCs w:val="18"/>
          <w:lang w:val="nl-NL"/>
        </w:rPr>
        <w:t xml:space="preserve">niet verholpen werd. </w:t>
      </w:r>
    </w:p>
    <w:p w14:paraId="732C4824" w14:textId="77777777" w:rsidR="004D11D8" w:rsidRPr="00855A7D" w:rsidRDefault="004D11D8" w:rsidP="00260F11">
      <w:pPr>
        <w:pStyle w:val="ListParagraph"/>
        <w:spacing w:line="360" w:lineRule="auto"/>
        <w:rPr>
          <w:color w:val="000000" w:themeColor="text1"/>
          <w:szCs w:val="18"/>
          <w:lang w:val="nl-NL"/>
        </w:rPr>
      </w:pPr>
    </w:p>
    <w:p w14:paraId="4DEA6EBF" w14:textId="0CEFBDAC" w:rsidR="003C047B" w:rsidRPr="00855A7D" w:rsidRDefault="004D11D8" w:rsidP="00260F11">
      <w:pPr>
        <w:pStyle w:val="ListParagraph"/>
        <w:numPr>
          <w:ilvl w:val="0"/>
          <w:numId w:val="1"/>
        </w:numPr>
        <w:spacing w:line="360" w:lineRule="auto"/>
        <w:ind w:left="0" w:hanging="709"/>
        <w:rPr>
          <w:color w:val="000000" w:themeColor="text1"/>
          <w:szCs w:val="18"/>
          <w:lang w:val="nl-NL"/>
        </w:rPr>
      </w:pPr>
      <w:r w:rsidRPr="00855A7D">
        <w:rPr>
          <w:color w:val="000000" w:themeColor="text1"/>
          <w:szCs w:val="18"/>
          <w:lang w:val="nl-NL"/>
        </w:rPr>
        <w:t>Voor zover de wetgever de twee voorgaande aanbevelingen in zou voeren</w:t>
      </w:r>
      <w:r w:rsidR="002F2BE2" w:rsidRPr="00855A7D">
        <w:rPr>
          <w:color w:val="000000" w:themeColor="text1"/>
          <w:szCs w:val="18"/>
          <w:lang w:val="nl-NL"/>
        </w:rPr>
        <w:t xml:space="preserve"> </w:t>
      </w:r>
      <w:r w:rsidRPr="00855A7D">
        <w:rPr>
          <w:color w:val="000000" w:themeColor="text1"/>
          <w:szCs w:val="18"/>
          <w:lang w:val="nl-NL"/>
        </w:rPr>
        <w:t xml:space="preserve">is m.i. geen extra aanbeveling </w:t>
      </w:r>
      <w:r w:rsidR="001C0B77">
        <w:rPr>
          <w:color w:val="000000" w:themeColor="text1"/>
          <w:szCs w:val="18"/>
          <w:lang w:val="nl-NL"/>
        </w:rPr>
        <w:t>(</w:t>
      </w:r>
      <w:r w:rsidRPr="00855A7D">
        <w:rPr>
          <w:color w:val="000000" w:themeColor="text1"/>
          <w:szCs w:val="18"/>
          <w:lang w:val="nl-NL"/>
        </w:rPr>
        <w:t xml:space="preserve">m.b.t. het moreel bestanddeel </w:t>
      </w:r>
      <w:r w:rsidRPr="00855A7D">
        <w:rPr>
          <w:i/>
          <w:color w:val="000000" w:themeColor="text1"/>
          <w:szCs w:val="18"/>
          <w:lang w:val="nl-NL"/>
        </w:rPr>
        <w:t>an sich</w:t>
      </w:r>
      <w:r w:rsidR="001C0B77">
        <w:rPr>
          <w:color w:val="000000" w:themeColor="text1"/>
          <w:szCs w:val="18"/>
          <w:lang w:val="nl-NL"/>
        </w:rPr>
        <w:t>)</w:t>
      </w:r>
      <w:r w:rsidRPr="00855A7D">
        <w:rPr>
          <w:color w:val="000000" w:themeColor="text1"/>
          <w:szCs w:val="18"/>
          <w:lang w:val="nl-NL"/>
        </w:rPr>
        <w:t xml:space="preserve"> nodig om aan dit pijnpunt te verhelpen. </w:t>
      </w:r>
      <w:r w:rsidR="00FC7A9E" w:rsidRPr="00855A7D">
        <w:rPr>
          <w:color w:val="000000" w:themeColor="text1"/>
          <w:szCs w:val="18"/>
          <w:lang w:val="nl-NL"/>
        </w:rPr>
        <w:t>Het is bijgevolg voldoende om het vereiste moreel bestanddeel expliciet in de strafbaarstelling op te nemen en hierbij op de hierboven aangegeven wijze te differentiëren.</w:t>
      </w:r>
      <w:r w:rsidR="004375E2">
        <w:rPr>
          <w:rStyle w:val="FootnoteReference"/>
          <w:color w:val="000000" w:themeColor="text1"/>
          <w:szCs w:val="18"/>
          <w:lang w:val="nl-NL"/>
        </w:rPr>
        <w:footnoteReference w:id="586"/>
      </w:r>
    </w:p>
    <w:p w14:paraId="35A77080" w14:textId="77777777" w:rsidR="003C047B" w:rsidRPr="00855A7D" w:rsidRDefault="003C047B" w:rsidP="00260F11">
      <w:pPr>
        <w:pStyle w:val="ListParagraph"/>
        <w:spacing w:line="360" w:lineRule="auto"/>
        <w:rPr>
          <w:color w:val="000000" w:themeColor="text1"/>
          <w:szCs w:val="18"/>
          <w:lang w:val="nl-NL"/>
        </w:rPr>
      </w:pPr>
    </w:p>
    <w:p w14:paraId="12BFAC6A" w14:textId="21DA197D" w:rsidR="00A83655" w:rsidRDefault="001C0B77"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Desalniettemin</w:t>
      </w:r>
      <w:r w:rsidR="00FC7A9E" w:rsidRPr="00855A7D">
        <w:rPr>
          <w:color w:val="000000" w:themeColor="text1"/>
          <w:szCs w:val="18"/>
          <w:lang w:val="nl-NL"/>
        </w:rPr>
        <w:t xml:space="preserve"> kan de wetgever hieromtrent m.i. nog meer duidelijkheid brengen door een aanbeveling door te voeren die hieronder nog zal worden geformuleerd</w:t>
      </w:r>
      <w:r w:rsidR="00A03285" w:rsidRPr="00855A7D">
        <w:rPr>
          <w:color w:val="000000" w:themeColor="text1"/>
          <w:szCs w:val="18"/>
          <w:lang w:val="nl-NL"/>
        </w:rPr>
        <w:t xml:space="preserve"> </w:t>
      </w:r>
      <w:r w:rsidR="00797839" w:rsidRPr="00855A7D">
        <w:rPr>
          <w:color w:val="000000" w:themeColor="text1"/>
          <w:szCs w:val="18"/>
          <w:lang w:val="nl-NL"/>
        </w:rPr>
        <w:t>zowel m.b.t. de strafbaarstelling van aantasting van de seksuele integriteit als m.b.t. de strafbaarstelling van verkrachting</w:t>
      </w:r>
      <w:r w:rsidR="00464BF9" w:rsidRPr="00855A7D">
        <w:rPr>
          <w:color w:val="000000" w:themeColor="text1"/>
          <w:szCs w:val="18"/>
          <w:lang w:val="nl-NL"/>
        </w:rPr>
        <w:t>.</w:t>
      </w:r>
      <w:r w:rsidR="00464BF9" w:rsidRPr="00855A7D">
        <w:rPr>
          <w:rStyle w:val="FootnoteReference"/>
          <w:color w:val="000000" w:themeColor="text1"/>
          <w:szCs w:val="18"/>
          <w:lang w:val="nl-NL"/>
        </w:rPr>
        <w:footnoteReference w:id="587"/>
      </w:r>
    </w:p>
    <w:p w14:paraId="4710A5AE" w14:textId="77777777" w:rsidR="00AB2778" w:rsidRPr="00A83655" w:rsidRDefault="00AB2778" w:rsidP="00260F11">
      <w:pPr>
        <w:pStyle w:val="ListParagraph"/>
        <w:spacing w:line="360" w:lineRule="auto"/>
        <w:ind w:left="0"/>
        <w:rPr>
          <w:color w:val="000000" w:themeColor="text1"/>
          <w:szCs w:val="18"/>
          <w:lang w:val="nl-NL"/>
        </w:rPr>
      </w:pPr>
    </w:p>
    <w:p w14:paraId="142E9C89" w14:textId="42D9E345" w:rsidR="00AC2734" w:rsidRPr="000B4AB2" w:rsidRDefault="00AC2734" w:rsidP="00260F11">
      <w:pPr>
        <w:pStyle w:val="Heading3"/>
        <w:spacing w:line="360" w:lineRule="auto"/>
        <w:rPr>
          <w:lang w:val="nl-NL"/>
        </w:rPr>
      </w:pPr>
      <w:bookmarkStart w:id="79" w:name="_Toc135041107"/>
      <w:r w:rsidRPr="000B4AB2">
        <w:rPr>
          <w:lang w:val="nl-NL"/>
        </w:rPr>
        <w:t>Aantasting van de seksuele integriteit</w:t>
      </w:r>
      <w:bookmarkEnd w:id="79"/>
    </w:p>
    <w:p w14:paraId="448C206B" w14:textId="77777777" w:rsidR="00AC2734" w:rsidRPr="000B4AB2" w:rsidRDefault="00AC2734" w:rsidP="00260F11">
      <w:pPr>
        <w:spacing w:line="360" w:lineRule="auto"/>
        <w:rPr>
          <w:lang w:val="nl-NL"/>
        </w:rPr>
      </w:pPr>
    </w:p>
    <w:p w14:paraId="500FBD8E" w14:textId="5BF21C5C" w:rsidR="00FC247C" w:rsidRPr="00FC247C" w:rsidRDefault="00AA0206"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In wat voorafging werd reeds een deel van de hervormde strafbaarstelling van aantasting van de seksuele integriteit geëvalueerd. Die evaluatie ging evenwel ook op voor het hervormde misdrijf verkrachting.</w:t>
      </w:r>
      <w:r w:rsidR="00FC247C">
        <w:rPr>
          <w:color w:val="000000" w:themeColor="text1"/>
          <w:szCs w:val="18"/>
          <w:lang w:val="nl-NL"/>
        </w:rPr>
        <w:t xml:space="preserve"> </w:t>
      </w:r>
      <w:r w:rsidR="00FC247C" w:rsidRPr="00FC247C">
        <w:rPr>
          <w:color w:val="000000" w:themeColor="text1"/>
          <w:szCs w:val="18"/>
          <w:lang w:val="nl-NL"/>
        </w:rPr>
        <w:t xml:space="preserve">In wat volgt zal dan ook worden toegespitst op </w:t>
      </w:r>
      <w:r w:rsidR="00AA3BF7">
        <w:rPr>
          <w:color w:val="000000" w:themeColor="text1"/>
          <w:szCs w:val="18"/>
          <w:lang w:val="nl-NL"/>
        </w:rPr>
        <w:t>datgene wat</w:t>
      </w:r>
      <w:r w:rsidR="00FC247C" w:rsidRPr="00FC247C">
        <w:rPr>
          <w:color w:val="000000" w:themeColor="text1"/>
          <w:szCs w:val="18"/>
          <w:lang w:val="nl-NL"/>
        </w:rPr>
        <w:t xml:space="preserve"> specifiek betrekking </w:t>
      </w:r>
      <w:r w:rsidR="00AA3BF7">
        <w:rPr>
          <w:color w:val="000000" w:themeColor="text1"/>
          <w:szCs w:val="18"/>
          <w:lang w:val="nl-NL"/>
        </w:rPr>
        <w:t>heeft</w:t>
      </w:r>
      <w:r w:rsidR="00FC247C" w:rsidRPr="00FC247C">
        <w:rPr>
          <w:color w:val="000000" w:themeColor="text1"/>
          <w:szCs w:val="18"/>
          <w:lang w:val="nl-NL"/>
        </w:rPr>
        <w:t xml:space="preserve"> op het misdrijf </w:t>
      </w:r>
      <w:r w:rsidR="00FC247C">
        <w:rPr>
          <w:color w:val="000000" w:themeColor="text1"/>
          <w:szCs w:val="18"/>
          <w:lang w:val="nl-NL"/>
        </w:rPr>
        <w:t>aantasting van de seksuele integriteit.</w:t>
      </w:r>
    </w:p>
    <w:p w14:paraId="46D4A307" w14:textId="3872E5D5" w:rsidR="00340483" w:rsidRDefault="00340483" w:rsidP="00260F11">
      <w:pPr>
        <w:pStyle w:val="ListParagraph"/>
        <w:spacing w:line="360" w:lineRule="auto"/>
        <w:ind w:left="0"/>
        <w:rPr>
          <w:color w:val="000000" w:themeColor="text1"/>
          <w:szCs w:val="18"/>
          <w:lang w:val="nl-NL"/>
        </w:rPr>
      </w:pPr>
    </w:p>
    <w:p w14:paraId="665145C2" w14:textId="2363528C" w:rsidR="00C453D0" w:rsidRPr="000F01B5" w:rsidRDefault="00C453D0" w:rsidP="00260F11">
      <w:pPr>
        <w:pStyle w:val="Heading4"/>
        <w:spacing w:line="360" w:lineRule="auto"/>
        <w:rPr>
          <w:lang w:val="nl-NL"/>
        </w:rPr>
      </w:pPr>
      <w:bookmarkStart w:id="80" w:name="_Toc135041108"/>
      <w:r>
        <w:rPr>
          <w:lang w:val="nl-NL"/>
        </w:rPr>
        <w:t xml:space="preserve">Materiële gedraging </w:t>
      </w:r>
      <w:r>
        <w:rPr>
          <w:i/>
          <w:lang w:val="nl-NL"/>
        </w:rPr>
        <w:t>sensu stricto</w:t>
      </w:r>
      <w:bookmarkEnd w:id="80"/>
    </w:p>
    <w:p w14:paraId="09A6253A" w14:textId="2A5A71A5" w:rsidR="00C453D0" w:rsidRDefault="00C453D0" w:rsidP="00260F11">
      <w:pPr>
        <w:pStyle w:val="Heading5"/>
        <w:spacing w:line="360" w:lineRule="auto"/>
        <w:rPr>
          <w:lang w:val="nl-NL"/>
        </w:rPr>
      </w:pPr>
      <w:bookmarkStart w:id="81" w:name="_Toc135041109"/>
      <w:r>
        <w:rPr>
          <w:lang w:val="nl-NL"/>
        </w:rPr>
        <w:t>Nieuwe benaming</w:t>
      </w:r>
      <w:bookmarkEnd w:id="81"/>
    </w:p>
    <w:p w14:paraId="6AC68EF2" w14:textId="77777777" w:rsidR="00C453D0" w:rsidRPr="00C453D0" w:rsidRDefault="00C453D0" w:rsidP="00260F11">
      <w:pPr>
        <w:spacing w:line="360" w:lineRule="auto"/>
        <w:rPr>
          <w:lang w:val="nl-NL"/>
        </w:rPr>
      </w:pPr>
    </w:p>
    <w:p w14:paraId="1B23BEE1" w14:textId="32F59579" w:rsidR="00863320" w:rsidRDefault="006E2AA6"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België stond op internationaal vlak te kijk met een misdrijf met als benaming </w:t>
      </w:r>
      <w:r w:rsidR="00340483">
        <w:rPr>
          <w:color w:val="000000" w:themeColor="text1"/>
          <w:szCs w:val="18"/>
          <w:lang w:val="nl-NL"/>
        </w:rPr>
        <w:t xml:space="preserve">“aanranding </w:t>
      </w:r>
      <w:r w:rsidR="00340483" w:rsidRPr="006D0D2A">
        <w:rPr>
          <w:color w:val="000000" w:themeColor="text1"/>
          <w:szCs w:val="18"/>
          <w:lang w:val="nl-NL"/>
        </w:rPr>
        <w:t>van de eerbaarheid”</w:t>
      </w:r>
      <w:r w:rsidRPr="006D0D2A">
        <w:rPr>
          <w:color w:val="000000" w:themeColor="text1"/>
          <w:szCs w:val="18"/>
          <w:lang w:val="nl-NL"/>
        </w:rPr>
        <w:t>.</w:t>
      </w:r>
      <w:r w:rsidR="004D4C9A">
        <w:rPr>
          <w:color w:val="000000" w:themeColor="text1"/>
          <w:szCs w:val="18"/>
          <w:lang w:val="nl-NL"/>
        </w:rPr>
        <w:t xml:space="preserve"> Seksuele misdrijven </w:t>
      </w:r>
      <w:r w:rsidR="00CD3FB7">
        <w:rPr>
          <w:color w:val="000000" w:themeColor="text1"/>
          <w:szCs w:val="18"/>
          <w:lang w:val="nl-NL"/>
        </w:rPr>
        <w:t>mogen</w:t>
      </w:r>
      <w:r w:rsidR="004D4C9A">
        <w:rPr>
          <w:color w:val="000000" w:themeColor="text1"/>
          <w:szCs w:val="18"/>
          <w:lang w:val="nl-NL"/>
        </w:rPr>
        <w:t xml:space="preserve"> </w:t>
      </w:r>
      <w:r w:rsidR="00863320">
        <w:rPr>
          <w:color w:val="000000" w:themeColor="text1"/>
          <w:szCs w:val="18"/>
          <w:lang w:val="nl-NL"/>
        </w:rPr>
        <w:t>conform internationaalrechtelijke vereisten</w:t>
      </w:r>
      <w:r w:rsidR="00CD3FB7">
        <w:rPr>
          <w:color w:val="000000" w:themeColor="text1"/>
          <w:szCs w:val="18"/>
          <w:lang w:val="nl-NL"/>
        </w:rPr>
        <w:t xml:space="preserve"> niet louter als een schending van de moraliteit, eer of het fatsoen worden beschouwd, maar</w:t>
      </w:r>
      <w:r w:rsidRPr="006D0D2A">
        <w:rPr>
          <w:color w:val="000000" w:themeColor="text1"/>
          <w:szCs w:val="18"/>
          <w:lang w:val="nl-NL"/>
        </w:rPr>
        <w:t xml:space="preserve"> </w:t>
      </w:r>
      <w:r w:rsidR="00863320">
        <w:rPr>
          <w:color w:val="000000" w:themeColor="text1"/>
          <w:szCs w:val="18"/>
          <w:lang w:val="nl-NL"/>
        </w:rPr>
        <w:t>moeten als een schending van de fysieke, psychologische en/of seksuele vrijheid en integriteit van personen</w:t>
      </w:r>
      <w:r w:rsidR="00CD3FB7">
        <w:rPr>
          <w:color w:val="000000" w:themeColor="text1"/>
          <w:szCs w:val="18"/>
          <w:lang w:val="nl-NL"/>
        </w:rPr>
        <w:t xml:space="preserve"> worden beschouwd</w:t>
      </w:r>
      <w:r w:rsidR="00863320">
        <w:rPr>
          <w:color w:val="000000" w:themeColor="text1"/>
          <w:szCs w:val="18"/>
          <w:lang w:val="nl-NL"/>
        </w:rPr>
        <w:t xml:space="preserve">. </w:t>
      </w:r>
      <w:r w:rsidRPr="00863320">
        <w:rPr>
          <w:color w:val="000000" w:themeColor="text1"/>
          <w:szCs w:val="18"/>
          <w:lang w:val="nl-NL"/>
        </w:rPr>
        <w:t xml:space="preserve">Het afstappen van deze </w:t>
      </w:r>
      <w:r w:rsidR="00A32742" w:rsidRPr="00863320">
        <w:rPr>
          <w:color w:val="000000" w:themeColor="text1"/>
          <w:szCs w:val="18"/>
          <w:lang w:val="nl-NL"/>
        </w:rPr>
        <w:t>verouderde</w:t>
      </w:r>
      <w:r w:rsidRPr="00863320">
        <w:rPr>
          <w:color w:val="000000" w:themeColor="text1"/>
          <w:szCs w:val="18"/>
          <w:lang w:val="nl-NL"/>
        </w:rPr>
        <w:t xml:space="preserve"> benaming is dan ook vooral </w:t>
      </w:r>
      <w:r w:rsidR="005D7C4C">
        <w:rPr>
          <w:color w:val="000000" w:themeColor="text1"/>
          <w:szCs w:val="18"/>
          <w:lang w:val="nl-NL"/>
        </w:rPr>
        <w:t>in dit opzicht</w:t>
      </w:r>
      <w:r w:rsidRPr="00863320">
        <w:rPr>
          <w:color w:val="000000" w:themeColor="text1"/>
          <w:szCs w:val="18"/>
          <w:lang w:val="nl-NL"/>
        </w:rPr>
        <w:t xml:space="preserve"> een welgekomen verandering.</w:t>
      </w:r>
      <w:r w:rsidRPr="006D0D2A">
        <w:rPr>
          <w:rStyle w:val="FootnoteReference"/>
          <w:color w:val="000000" w:themeColor="text1"/>
          <w:szCs w:val="18"/>
          <w:lang w:val="nl-NL"/>
        </w:rPr>
        <w:footnoteReference w:id="588"/>
      </w:r>
      <w:r w:rsidRPr="00863320">
        <w:rPr>
          <w:color w:val="000000" w:themeColor="text1"/>
          <w:szCs w:val="18"/>
          <w:lang w:val="nl-NL"/>
        </w:rPr>
        <w:t xml:space="preserve"> </w:t>
      </w:r>
    </w:p>
    <w:p w14:paraId="578B2A37" w14:textId="77777777" w:rsidR="00863320" w:rsidRDefault="00863320" w:rsidP="00260F11">
      <w:pPr>
        <w:pStyle w:val="ListParagraph"/>
        <w:spacing w:line="360" w:lineRule="auto"/>
        <w:ind w:left="0"/>
        <w:rPr>
          <w:color w:val="000000" w:themeColor="text1"/>
          <w:szCs w:val="18"/>
          <w:lang w:val="nl-NL"/>
        </w:rPr>
      </w:pPr>
    </w:p>
    <w:p w14:paraId="5716FDD0" w14:textId="77777777" w:rsidR="005D7C4C" w:rsidRDefault="006E2AA6" w:rsidP="00260F11">
      <w:pPr>
        <w:pStyle w:val="ListParagraph"/>
        <w:spacing w:line="360" w:lineRule="auto"/>
        <w:ind w:left="0"/>
        <w:rPr>
          <w:color w:val="000000" w:themeColor="text1"/>
          <w:szCs w:val="18"/>
          <w:lang w:val="nl-NL"/>
        </w:rPr>
      </w:pPr>
      <w:r w:rsidRPr="00863320">
        <w:rPr>
          <w:color w:val="000000" w:themeColor="text1"/>
          <w:szCs w:val="18"/>
          <w:lang w:val="nl-NL"/>
        </w:rPr>
        <w:t xml:space="preserve">“Aanranding van de eerbaarheid” </w:t>
      </w:r>
      <w:r w:rsidR="00340483" w:rsidRPr="00863320">
        <w:rPr>
          <w:color w:val="000000" w:themeColor="text1"/>
          <w:szCs w:val="18"/>
          <w:lang w:val="nl-NL"/>
        </w:rPr>
        <w:t>werd</w:t>
      </w:r>
      <w:r w:rsidRPr="00863320">
        <w:rPr>
          <w:color w:val="000000" w:themeColor="text1"/>
          <w:szCs w:val="18"/>
          <w:lang w:val="nl-NL"/>
        </w:rPr>
        <w:t xml:space="preserve"> </w:t>
      </w:r>
      <w:r w:rsidR="00340483" w:rsidRPr="00863320">
        <w:rPr>
          <w:color w:val="000000" w:themeColor="text1"/>
          <w:szCs w:val="18"/>
          <w:lang w:val="nl-NL"/>
        </w:rPr>
        <w:t>vervangen door de modernere benaming “aantasting van de seksuele integriteit”.</w:t>
      </w:r>
      <w:r w:rsidR="009E67A5" w:rsidRPr="00863320">
        <w:rPr>
          <w:color w:val="000000" w:themeColor="text1"/>
          <w:szCs w:val="18"/>
          <w:lang w:val="nl-NL"/>
        </w:rPr>
        <w:t xml:space="preserve"> De wetgever heeft hiermee het te beschermen rechtsgoed willen </w:t>
      </w:r>
      <w:r w:rsidR="009E67A5" w:rsidRPr="00863320">
        <w:rPr>
          <w:color w:val="000000" w:themeColor="text1"/>
          <w:szCs w:val="18"/>
          <w:lang w:val="nl-NL"/>
        </w:rPr>
        <w:lastRenderedPageBreak/>
        <w:t>benadrukken.</w:t>
      </w:r>
      <w:r w:rsidR="00DE71ED" w:rsidRPr="006D0D2A">
        <w:rPr>
          <w:rStyle w:val="FootnoteReference"/>
          <w:color w:val="000000" w:themeColor="text1"/>
          <w:szCs w:val="18"/>
          <w:lang w:val="nl-NL"/>
        </w:rPr>
        <w:footnoteReference w:id="589"/>
      </w:r>
      <w:r w:rsidR="00340483" w:rsidRPr="00863320">
        <w:rPr>
          <w:color w:val="000000" w:themeColor="text1"/>
          <w:szCs w:val="18"/>
          <w:lang w:val="nl-NL"/>
        </w:rPr>
        <w:t xml:space="preserve"> </w:t>
      </w:r>
      <w:r w:rsidRPr="00863320">
        <w:rPr>
          <w:color w:val="000000" w:themeColor="text1"/>
          <w:szCs w:val="18"/>
          <w:lang w:val="nl-NL"/>
        </w:rPr>
        <w:t>Inhoudelijk zal deze naamswijziging</w:t>
      </w:r>
      <w:r w:rsidR="00340483" w:rsidRPr="00863320">
        <w:rPr>
          <w:color w:val="000000" w:themeColor="text1"/>
          <w:szCs w:val="18"/>
          <w:lang w:val="nl-NL"/>
        </w:rPr>
        <w:t xml:space="preserve"> wellicht niet tot al te veel verschillen leiden m.b.t. de door dit misdrijf geviseerde strafbare gedragingen</w:t>
      </w:r>
      <w:r w:rsidRPr="00863320">
        <w:rPr>
          <w:color w:val="000000" w:themeColor="text1"/>
          <w:szCs w:val="18"/>
          <w:lang w:val="nl-NL"/>
        </w:rPr>
        <w:t>.</w:t>
      </w:r>
      <w:r w:rsidR="00340483" w:rsidRPr="006D0D2A">
        <w:rPr>
          <w:rStyle w:val="FootnoteReference"/>
          <w:color w:val="000000" w:themeColor="text1"/>
          <w:szCs w:val="18"/>
          <w:lang w:val="nl-NL"/>
        </w:rPr>
        <w:footnoteReference w:id="590"/>
      </w:r>
      <w:r w:rsidR="00340483" w:rsidRPr="00863320">
        <w:rPr>
          <w:color w:val="000000" w:themeColor="text1"/>
          <w:szCs w:val="18"/>
          <w:lang w:val="nl-NL"/>
        </w:rPr>
        <w:t xml:space="preserve"> </w:t>
      </w:r>
    </w:p>
    <w:p w14:paraId="22769705" w14:textId="77777777" w:rsidR="005D7C4C" w:rsidRDefault="005D7C4C" w:rsidP="00260F11">
      <w:pPr>
        <w:pStyle w:val="ListParagraph"/>
        <w:spacing w:line="360" w:lineRule="auto"/>
        <w:ind w:left="0"/>
        <w:rPr>
          <w:color w:val="000000" w:themeColor="text1"/>
          <w:szCs w:val="18"/>
          <w:lang w:val="nl-NL"/>
        </w:rPr>
      </w:pPr>
    </w:p>
    <w:p w14:paraId="741B4169" w14:textId="4B52F5D9" w:rsidR="00340483" w:rsidRPr="00863320" w:rsidRDefault="006E2AA6" w:rsidP="00260F11">
      <w:pPr>
        <w:pStyle w:val="ListParagraph"/>
        <w:spacing w:line="360" w:lineRule="auto"/>
        <w:ind w:left="0"/>
        <w:rPr>
          <w:color w:val="000000" w:themeColor="text1"/>
          <w:szCs w:val="18"/>
          <w:lang w:val="nl-NL"/>
        </w:rPr>
      </w:pPr>
      <w:r w:rsidRPr="00863320">
        <w:rPr>
          <w:color w:val="000000" w:themeColor="text1"/>
          <w:szCs w:val="18"/>
          <w:lang w:val="nl-NL"/>
        </w:rPr>
        <w:t xml:space="preserve">Het feit dat de strafbaarstelling momenteel een modernere benaming kent, neemt niet weg dat ook deze benaming op zichzelf weinig veelzeggend is. </w:t>
      </w:r>
      <w:r w:rsidR="00EC313E">
        <w:rPr>
          <w:color w:val="000000" w:themeColor="text1"/>
          <w:szCs w:val="18"/>
          <w:lang w:val="nl-NL"/>
        </w:rPr>
        <w:t xml:space="preserve">Wat betekent seksuele integriteit immers precies en wanneer is deze aangetast? </w:t>
      </w:r>
      <w:r w:rsidRPr="00863320">
        <w:rPr>
          <w:color w:val="000000" w:themeColor="text1"/>
          <w:szCs w:val="18"/>
          <w:lang w:val="nl-NL"/>
        </w:rPr>
        <w:t>Voor de concrete invulling hiervan kan evenwel worden gekeken naar de definitie die de wetgever aan dit misdrijf heeft gegeven</w:t>
      </w:r>
      <w:r w:rsidR="009E67A5" w:rsidRPr="00863320">
        <w:rPr>
          <w:color w:val="000000" w:themeColor="text1"/>
          <w:szCs w:val="18"/>
          <w:lang w:val="nl-NL"/>
        </w:rPr>
        <w:t>.</w:t>
      </w:r>
      <w:r w:rsidR="00246FF6" w:rsidRPr="006D0D2A">
        <w:rPr>
          <w:rStyle w:val="FootnoteReference"/>
          <w:color w:val="000000" w:themeColor="text1"/>
          <w:szCs w:val="18"/>
          <w:lang w:val="nl-NL"/>
        </w:rPr>
        <w:footnoteReference w:id="591"/>
      </w:r>
      <w:r w:rsidR="009E67A5" w:rsidRPr="00863320">
        <w:rPr>
          <w:color w:val="000000" w:themeColor="text1"/>
          <w:szCs w:val="18"/>
          <w:lang w:val="nl-NL"/>
        </w:rPr>
        <w:t xml:space="preserve"> </w:t>
      </w:r>
    </w:p>
    <w:p w14:paraId="01684145" w14:textId="21F7D03C" w:rsidR="009E67A5" w:rsidRPr="006D0D2A" w:rsidRDefault="009E67A5" w:rsidP="00260F11">
      <w:pPr>
        <w:pStyle w:val="ListParagraph"/>
        <w:spacing w:line="360" w:lineRule="auto"/>
        <w:ind w:left="0"/>
        <w:rPr>
          <w:color w:val="000000" w:themeColor="text1"/>
          <w:szCs w:val="18"/>
          <w:lang w:val="nl-NL"/>
        </w:rPr>
      </w:pPr>
    </w:p>
    <w:p w14:paraId="6E6AE86A" w14:textId="7426DAD7" w:rsidR="003A6D59" w:rsidRPr="006D0D2A" w:rsidRDefault="003A6D59" w:rsidP="00260F11">
      <w:pPr>
        <w:pStyle w:val="Heading5"/>
        <w:spacing w:line="360" w:lineRule="auto"/>
        <w:rPr>
          <w:lang w:val="nl-NL"/>
        </w:rPr>
      </w:pPr>
      <w:bookmarkStart w:id="82" w:name="_Toc135041110"/>
      <w:r w:rsidRPr="006D0D2A">
        <w:rPr>
          <w:lang w:val="nl-NL"/>
        </w:rPr>
        <w:t>Wettelijke definitie</w:t>
      </w:r>
      <w:bookmarkEnd w:id="82"/>
    </w:p>
    <w:p w14:paraId="07C43DE9" w14:textId="77777777" w:rsidR="003A6D59" w:rsidRPr="006D0D2A" w:rsidRDefault="003A6D59" w:rsidP="00260F11">
      <w:pPr>
        <w:pStyle w:val="ListParagraph"/>
        <w:spacing w:line="360" w:lineRule="auto"/>
        <w:rPr>
          <w:color w:val="000000" w:themeColor="text1"/>
          <w:szCs w:val="18"/>
          <w:lang w:val="nl-NL"/>
        </w:rPr>
      </w:pPr>
    </w:p>
    <w:p w14:paraId="6898B2F2" w14:textId="2FA37C03" w:rsidR="00F678B3" w:rsidRDefault="00F678B3"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Definitie. </w:t>
      </w:r>
      <w:r w:rsidR="00EF68B3">
        <w:rPr>
          <w:color w:val="000000" w:themeColor="text1"/>
          <w:szCs w:val="18"/>
          <w:lang w:val="nl-NL"/>
        </w:rPr>
        <w:t xml:space="preserve">Daar </w:t>
      </w:r>
      <w:r w:rsidR="003A6D59" w:rsidRPr="007E5491">
        <w:rPr>
          <w:color w:val="000000" w:themeColor="text1"/>
          <w:szCs w:val="18"/>
          <w:lang w:val="nl-NL"/>
        </w:rPr>
        <w:t xml:space="preserve">waar onder het oude recht geen wettelijke definitie bestond voor het misdrijf aanranding van de eerbaarheid, heeft de wetgever nu </w:t>
      </w:r>
      <w:r w:rsidR="006B26C2" w:rsidRPr="007E5491">
        <w:rPr>
          <w:color w:val="000000" w:themeColor="text1"/>
          <w:szCs w:val="18"/>
          <w:lang w:val="nl-NL"/>
        </w:rPr>
        <w:t xml:space="preserve">wel voorzien in een wettelijke definitie van </w:t>
      </w:r>
      <w:r w:rsidR="003A6D59" w:rsidRPr="007E5491">
        <w:rPr>
          <w:color w:val="000000" w:themeColor="text1"/>
          <w:szCs w:val="18"/>
          <w:lang w:val="nl-NL"/>
        </w:rPr>
        <w:t xml:space="preserve">aantasting van de seksuele integriteit. </w:t>
      </w:r>
      <w:r w:rsidR="00BF6725" w:rsidRPr="007E5491">
        <w:rPr>
          <w:color w:val="000000" w:themeColor="text1"/>
          <w:szCs w:val="18"/>
          <w:lang w:val="nl-NL"/>
        </w:rPr>
        <w:t>Zo wordt voortaan expliciet bepaald dat aantasting van de seksuele integriteit bestaat uit het stellen van een seksuele handeling.</w:t>
      </w:r>
      <w:r w:rsidR="00693032" w:rsidRPr="007E5491">
        <w:rPr>
          <w:color w:val="000000" w:themeColor="text1"/>
          <w:szCs w:val="18"/>
          <w:lang w:val="nl-NL"/>
        </w:rPr>
        <w:t xml:space="preserve"> </w:t>
      </w:r>
      <w:r w:rsidR="003A6D59" w:rsidRPr="007E5491">
        <w:rPr>
          <w:color w:val="000000" w:themeColor="text1"/>
          <w:szCs w:val="18"/>
          <w:lang w:val="nl-NL"/>
        </w:rPr>
        <w:t>Hierdoor brengt de wetgever meer duidelijkheid</w:t>
      </w:r>
      <w:r w:rsidR="00BF6725" w:rsidRPr="007E5491">
        <w:rPr>
          <w:color w:val="000000" w:themeColor="text1"/>
          <w:szCs w:val="18"/>
          <w:lang w:val="nl-NL"/>
        </w:rPr>
        <w:t xml:space="preserve">. </w:t>
      </w:r>
      <w:r w:rsidR="00536F00" w:rsidRPr="007E5491">
        <w:rPr>
          <w:color w:val="000000" w:themeColor="text1"/>
          <w:szCs w:val="18"/>
          <w:lang w:val="nl-NL"/>
        </w:rPr>
        <w:t>Dit dient dan ook als een positieve verandering te worden beschouwd, m</w:t>
      </w:r>
      <w:r w:rsidR="006B26C2" w:rsidRPr="007E5491">
        <w:rPr>
          <w:color w:val="000000" w:themeColor="text1"/>
          <w:szCs w:val="18"/>
          <w:lang w:val="nl-NL"/>
        </w:rPr>
        <w:t>ede</w:t>
      </w:r>
      <w:r w:rsidR="003A6D59" w:rsidRPr="007E5491">
        <w:rPr>
          <w:color w:val="000000" w:themeColor="text1"/>
          <w:szCs w:val="18"/>
          <w:lang w:val="nl-NL"/>
        </w:rPr>
        <w:t xml:space="preserve"> in het licht van het </w:t>
      </w:r>
      <w:r w:rsidR="00346107">
        <w:rPr>
          <w:i/>
          <w:color w:val="000000" w:themeColor="text1"/>
          <w:szCs w:val="18"/>
          <w:lang w:val="nl-NL"/>
        </w:rPr>
        <w:t>lex certa-</w:t>
      </w:r>
      <w:r w:rsidR="00346107">
        <w:rPr>
          <w:color w:val="000000" w:themeColor="text1"/>
          <w:szCs w:val="18"/>
          <w:lang w:val="nl-NL"/>
        </w:rPr>
        <w:t>beginsel</w:t>
      </w:r>
      <w:r w:rsidR="00536F00" w:rsidRPr="007E5491">
        <w:rPr>
          <w:color w:val="000000" w:themeColor="text1"/>
          <w:szCs w:val="18"/>
          <w:lang w:val="nl-NL"/>
        </w:rPr>
        <w:t>.</w:t>
      </w:r>
      <w:r w:rsidR="00693032" w:rsidRPr="007E5491">
        <w:rPr>
          <w:color w:val="000000" w:themeColor="text1"/>
          <w:szCs w:val="18"/>
          <w:lang w:val="nl-NL"/>
        </w:rPr>
        <w:t xml:space="preserve"> </w:t>
      </w:r>
      <w:r w:rsidR="000D6D8F" w:rsidRPr="007E5491">
        <w:rPr>
          <w:color w:val="000000" w:themeColor="text1"/>
          <w:szCs w:val="18"/>
          <w:lang w:val="nl-NL"/>
        </w:rPr>
        <w:t>Om te</w:t>
      </w:r>
      <w:r w:rsidR="003B1C5A">
        <w:rPr>
          <w:color w:val="000000" w:themeColor="text1"/>
          <w:szCs w:val="18"/>
          <w:lang w:val="nl-NL"/>
        </w:rPr>
        <w:t xml:space="preserve"> kunnen</w:t>
      </w:r>
      <w:r w:rsidR="000D6D8F" w:rsidRPr="007E5491">
        <w:rPr>
          <w:color w:val="000000" w:themeColor="text1"/>
          <w:szCs w:val="18"/>
          <w:lang w:val="nl-NL"/>
        </w:rPr>
        <w:t xml:space="preserve"> beoordelen of</w:t>
      </w:r>
      <w:r w:rsidR="00774061" w:rsidRPr="007E5491">
        <w:rPr>
          <w:color w:val="000000" w:themeColor="text1"/>
          <w:szCs w:val="18"/>
          <w:lang w:val="nl-NL"/>
        </w:rPr>
        <w:t xml:space="preserve"> hiermee ook effectief</w:t>
      </w:r>
      <w:r w:rsidR="000D6D8F" w:rsidRPr="007E5491">
        <w:rPr>
          <w:color w:val="000000" w:themeColor="text1"/>
          <w:szCs w:val="18"/>
          <w:lang w:val="nl-NL"/>
        </w:rPr>
        <w:t xml:space="preserve"> werd verholpen</w:t>
      </w:r>
      <w:r w:rsidR="00774061" w:rsidRPr="007E5491">
        <w:rPr>
          <w:color w:val="000000" w:themeColor="text1"/>
          <w:szCs w:val="18"/>
          <w:lang w:val="nl-NL"/>
        </w:rPr>
        <w:t xml:space="preserve"> aan het eerste geïdentificeerde pijnpunt van de oude strafbaarstelling, </w:t>
      </w:r>
      <w:r w:rsidR="000D6D8F" w:rsidRPr="007E5491">
        <w:rPr>
          <w:color w:val="000000" w:themeColor="text1"/>
          <w:szCs w:val="18"/>
          <w:lang w:val="nl-NL"/>
        </w:rPr>
        <w:t>dient deze definitie</w:t>
      </w:r>
      <w:r w:rsidR="007E5491" w:rsidRPr="007E5491">
        <w:rPr>
          <w:color w:val="000000" w:themeColor="text1"/>
          <w:szCs w:val="18"/>
          <w:lang w:val="nl-NL"/>
        </w:rPr>
        <w:t xml:space="preserve"> evenwel</w:t>
      </w:r>
      <w:r w:rsidR="000D6D8F" w:rsidRPr="007E5491">
        <w:rPr>
          <w:color w:val="000000" w:themeColor="text1"/>
          <w:szCs w:val="18"/>
          <w:lang w:val="nl-NL"/>
        </w:rPr>
        <w:t xml:space="preserve"> inhoudelijk te worden </w:t>
      </w:r>
      <w:r w:rsidR="007E5491" w:rsidRPr="007E5491">
        <w:rPr>
          <w:color w:val="000000" w:themeColor="text1"/>
          <w:szCs w:val="18"/>
          <w:lang w:val="nl-NL"/>
        </w:rPr>
        <w:t>geëvalueerd</w:t>
      </w:r>
      <w:r w:rsidR="000D6D8F" w:rsidRPr="007E5491">
        <w:rPr>
          <w:color w:val="000000" w:themeColor="text1"/>
          <w:szCs w:val="18"/>
          <w:lang w:val="nl-NL"/>
        </w:rPr>
        <w:t>.</w:t>
      </w:r>
      <w:r w:rsidR="00903B8D" w:rsidRPr="007E5491">
        <w:rPr>
          <w:rStyle w:val="FootnoteReference"/>
          <w:color w:val="000000" w:themeColor="text1"/>
          <w:szCs w:val="18"/>
          <w:lang w:val="nl-NL"/>
        </w:rPr>
        <w:footnoteReference w:id="592"/>
      </w:r>
    </w:p>
    <w:p w14:paraId="00214B56" w14:textId="654BADB8" w:rsidR="00F678B3" w:rsidRPr="00F678B3" w:rsidRDefault="00F678B3" w:rsidP="00260F11">
      <w:pPr>
        <w:pStyle w:val="ListParagraph"/>
        <w:spacing w:line="360" w:lineRule="auto"/>
        <w:ind w:left="0"/>
        <w:rPr>
          <w:color w:val="000000" w:themeColor="text1"/>
          <w:szCs w:val="18"/>
          <w:lang w:val="nl-NL"/>
        </w:rPr>
      </w:pPr>
    </w:p>
    <w:p w14:paraId="3FF2D402" w14:textId="21699987" w:rsidR="008F4AA5" w:rsidRDefault="008F4AA5" w:rsidP="00260F11">
      <w:pPr>
        <w:pStyle w:val="Heading5"/>
        <w:spacing w:line="360" w:lineRule="auto"/>
        <w:rPr>
          <w:lang w:val="nl-NL"/>
        </w:rPr>
      </w:pPr>
      <w:bookmarkStart w:id="83" w:name="_Toc135041111"/>
      <w:r>
        <w:rPr>
          <w:lang w:val="nl-NL"/>
        </w:rPr>
        <w:t>Seksue</w:t>
      </w:r>
      <w:r w:rsidR="006030B6">
        <w:rPr>
          <w:lang w:val="nl-NL"/>
        </w:rPr>
        <w:t>le handeling</w:t>
      </w:r>
      <w:bookmarkEnd w:id="83"/>
    </w:p>
    <w:p w14:paraId="61BC2C5D" w14:textId="77777777" w:rsidR="008F4AA5" w:rsidRPr="00A93044" w:rsidRDefault="008F4AA5" w:rsidP="00260F11">
      <w:pPr>
        <w:pStyle w:val="ListParagraph"/>
        <w:spacing w:line="360" w:lineRule="auto"/>
        <w:ind w:left="0"/>
        <w:rPr>
          <w:color w:val="000000" w:themeColor="text1"/>
          <w:szCs w:val="18"/>
          <w:lang w:val="nl-NL"/>
        </w:rPr>
      </w:pPr>
    </w:p>
    <w:p w14:paraId="0AFECB3F" w14:textId="722E27D1" w:rsidR="008F4AA5" w:rsidRPr="00EF15EE" w:rsidRDefault="008F4AA5" w:rsidP="00260F11">
      <w:pPr>
        <w:pStyle w:val="ListParagraph"/>
        <w:numPr>
          <w:ilvl w:val="0"/>
          <w:numId w:val="1"/>
        </w:numPr>
        <w:spacing w:line="360" w:lineRule="auto"/>
        <w:ind w:left="0" w:hanging="709"/>
        <w:rPr>
          <w:color w:val="000000" w:themeColor="text1"/>
          <w:szCs w:val="18"/>
          <w:lang w:val="nl-NL"/>
        </w:rPr>
      </w:pPr>
      <w:r w:rsidRPr="00572876">
        <w:rPr>
          <w:b/>
          <w:color w:val="000000" w:themeColor="text1"/>
          <w:szCs w:val="18"/>
          <w:lang w:val="nl-NL"/>
        </w:rPr>
        <w:t>Seksuele handeling</w:t>
      </w:r>
      <w:r>
        <w:rPr>
          <w:color w:val="000000" w:themeColor="text1"/>
          <w:szCs w:val="18"/>
          <w:lang w:val="nl-NL"/>
        </w:rPr>
        <w:t xml:space="preserve">. Een aantasting van de seksuele integriteit vindt plaats door een “seksuele handeling”. Wat hieronder moet worden verstaan, is niet nader omschreven in de strafbaarstelling zelf. De memorie van toelichting stelt hierover het volgende: </w:t>
      </w:r>
      <w:r w:rsidRPr="00DE71ED">
        <w:rPr>
          <w:i/>
          <w:color w:val="000000" w:themeColor="text1"/>
          <w:szCs w:val="18"/>
          <w:lang w:val="nl-NL"/>
        </w:rPr>
        <w:t>“Het moet nochtans wel gaan om een handeling die een redelijk persoon als seksueel kan bestempelen en dus als een aantasting van zijn seksuele integriteit kan ervaren.</w:t>
      </w:r>
      <w:r>
        <w:rPr>
          <w:i/>
          <w:color w:val="000000" w:themeColor="text1"/>
          <w:szCs w:val="18"/>
          <w:lang w:val="nl-NL"/>
        </w:rPr>
        <w:t xml:space="preserve"> (…)</w:t>
      </w:r>
      <w:r w:rsidRPr="00DE71ED">
        <w:rPr>
          <w:i/>
          <w:color w:val="000000" w:themeColor="text1"/>
          <w:szCs w:val="18"/>
          <w:lang w:val="nl-NL"/>
        </w:rPr>
        <w:t xml:space="preserve"> Een bijzondere fetisj of parafilie die een persoon een seksuele bevrediging bezorgt kan, maar hoeft dus niet noodzakelijk, een seksueel karakter te hebben die onder deze afdeling ressorteert</w:t>
      </w:r>
      <w:r w:rsidR="0088029A">
        <w:rPr>
          <w:i/>
          <w:color w:val="000000" w:themeColor="text1"/>
          <w:szCs w:val="18"/>
          <w:lang w:val="nl-NL"/>
        </w:rPr>
        <w:t>.”</w:t>
      </w:r>
      <w:r w:rsidRPr="009051AD">
        <w:rPr>
          <w:rStyle w:val="FootnoteReference"/>
          <w:color w:val="000000" w:themeColor="text1"/>
          <w:szCs w:val="18"/>
          <w:lang w:val="nl-NL"/>
        </w:rPr>
        <w:footnoteReference w:id="593"/>
      </w:r>
    </w:p>
    <w:p w14:paraId="6BC7F318" w14:textId="77777777" w:rsidR="008F4AA5" w:rsidRPr="00EF15EE" w:rsidRDefault="008F4AA5" w:rsidP="00260F11">
      <w:pPr>
        <w:pStyle w:val="ListParagraph"/>
        <w:spacing w:line="360" w:lineRule="auto"/>
        <w:ind w:left="0"/>
        <w:rPr>
          <w:color w:val="000000" w:themeColor="text1"/>
          <w:szCs w:val="18"/>
          <w:lang w:val="nl-NL"/>
        </w:rPr>
      </w:pPr>
    </w:p>
    <w:p w14:paraId="70C5DD4C" w14:textId="510F0E3B" w:rsidR="008F4AA5" w:rsidRPr="00E5449F" w:rsidRDefault="008F4AA5"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O</w:t>
      </w:r>
      <w:r w:rsidRPr="008F14C5">
        <w:rPr>
          <w:b/>
          <w:color w:val="000000" w:themeColor="text1"/>
          <w:szCs w:val="18"/>
          <w:lang w:val="nl-NL"/>
        </w:rPr>
        <w:t>ud beoordelingscriterium</w:t>
      </w:r>
      <w:r w:rsidRPr="008F14C5">
        <w:rPr>
          <w:color w:val="000000" w:themeColor="text1"/>
          <w:szCs w:val="18"/>
          <w:lang w:val="nl-NL"/>
        </w:rPr>
        <w:t xml:space="preserve">. Een seksuele handeling is </w:t>
      </w:r>
      <w:r w:rsidR="0065141A">
        <w:rPr>
          <w:color w:val="000000" w:themeColor="text1"/>
          <w:szCs w:val="18"/>
          <w:lang w:val="nl-NL"/>
        </w:rPr>
        <w:t xml:space="preserve">dus </w:t>
      </w:r>
      <w:r w:rsidRPr="008F14C5">
        <w:rPr>
          <w:color w:val="000000" w:themeColor="text1"/>
          <w:szCs w:val="18"/>
          <w:lang w:val="nl-NL"/>
        </w:rPr>
        <w:t xml:space="preserve">- volgens de memorie van toelichting althans - een handeling die een redelijk persoon als seksueel beschouwt. Hiermee verlaat de wetgever het oude beoordelingscriterium </w:t>
      </w:r>
      <w:r w:rsidRPr="008F4AA5">
        <w:rPr>
          <w:color w:val="000000" w:themeColor="text1"/>
          <w:szCs w:val="18"/>
          <w:lang w:val="nl-NL"/>
        </w:rPr>
        <w:t>van het “collectief bewustzijn”.</w:t>
      </w:r>
      <w:r w:rsidRPr="008F4AA5">
        <w:rPr>
          <w:rStyle w:val="FootnoteReference"/>
          <w:color w:val="000000" w:themeColor="text1"/>
          <w:szCs w:val="18"/>
          <w:lang w:val="nl-NL"/>
        </w:rPr>
        <w:footnoteReference w:id="594"/>
      </w:r>
      <w:r w:rsidRPr="008F4AA5">
        <w:rPr>
          <w:color w:val="000000" w:themeColor="text1"/>
          <w:szCs w:val="18"/>
          <w:lang w:val="nl-NL"/>
        </w:rPr>
        <w:t xml:space="preserve"> </w:t>
      </w:r>
      <w:r w:rsidR="0065141A">
        <w:rPr>
          <w:color w:val="000000" w:themeColor="text1"/>
          <w:szCs w:val="18"/>
        </w:rPr>
        <w:t>Laatstgenoemde</w:t>
      </w:r>
      <w:r w:rsidRPr="008F4AA5">
        <w:rPr>
          <w:color w:val="000000" w:themeColor="text1"/>
          <w:szCs w:val="18"/>
        </w:rPr>
        <w:t xml:space="preserve"> werd </w:t>
      </w:r>
      <w:r w:rsidRPr="008F4AA5">
        <w:rPr>
          <w:color w:val="000000" w:themeColor="text1"/>
          <w:szCs w:val="18"/>
        </w:rPr>
        <w:lastRenderedPageBreak/>
        <w:t>bekritiseerd omdat niet duidelijk zou geweest zijn wat hier concreet mee bedoeld werd</w:t>
      </w:r>
      <w:r w:rsidR="0065141A">
        <w:rPr>
          <w:color w:val="000000" w:themeColor="text1"/>
          <w:szCs w:val="18"/>
        </w:rPr>
        <w:t>, zodat d</w:t>
      </w:r>
      <w:r w:rsidRPr="008F4AA5">
        <w:rPr>
          <w:color w:val="000000" w:themeColor="text1"/>
          <w:szCs w:val="18"/>
        </w:rPr>
        <w:t xml:space="preserve">it aangemerkt </w:t>
      </w:r>
      <w:r w:rsidR="0065141A">
        <w:rPr>
          <w:color w:val="000000" w:themeColor="text1"/>
          <w:szCs w:val="18"/>
        </w:rPr>
        <w:t xml:space="preserve">werd </w:t>
      </w:r>
      <w:r w:rsidRPr="008F4AA5">
        <w:rPr>
          <w:color w:val="000000" w:themeColor="text1"/>
          <w:szCs w:val="18"/>
        </w:rPr>
        <w:t>als (deel van een) pijnpunt onder de oude strafbaarstelling.</w:t>
      </w:r>
      <w:r w:rsidRPr="008F4AA5">
        <w:rPr>
          <w:rStyle w:val="FootnoteReference"/>
          <w:color w:val="000000" w:themeColor="text1"/>
          <w:szCs w:val="18"/>
        </w:rPr>
        <w:footnoteReference w:id="595"/>
      </w:r>
      <w:r w:rsidRPr="008F4AA5">
        <w:rPr>
          <w:color w:val="000000" w:themeColor="text1"/>
          <w:szCs w:val="18"/>
        </w:rPr>
        <w:t xml:space="preserve"> </w:t>
      </w:r>
    </w:p>
    <w:p w14:paraId="49A1CBB1" w14:textId="77777777" w:rsidR="00E5449F" w:rsidRPr="008F4AA5" w:rsidRDefault="00E5449F" w:rsidP="00260F11">
      <w:pPr>
        <w:pStyle w:val="ListParagraph"/>
        <w:spacing w:line="360" w:lineRule="auto"/>
        <w:ind w:left="0"/>
        <w:rPr>
          <w:color w:val="000000" w:themeColor="text1"/>
          <w:szCs w:val="18"/>
          <w:lang w:val="nl-NL"/>
        </w:rPr>
      </w:pPr>
    </w:p>
    <w:p w14:paraId="10F61F13" w14:textId="77777777" w:rsidR="008F4AA5" w:rsidRPr="008F14C5" w:rsidRDefault="008F4AA5" w:rsidP="00260F11">
      <w:pPr>
        <w:pStyle w:val="ListParagraph"/>
        <w:numPr>
          <w:ilvl w:val="0"/>
          <w:numId w:val="1"/>
        </w:numPr>
        <w:spacing w:line="360" w:lineRule="auto"/>
        <w:ind w:left="0" w:hanging="709"/>
        <w:rPr>
          <w:color w:val="000000" w:themeColor="text1"/>
          <w:szCs w:val="18"/>
          <w:lang w:val="nl-NL"/>
        </w:rPr>
      </w:pPr>
      <w:r w:rsidRPr="008F4AA5">
        <w:rPr>
          <w:b/>
          <w:color w:val="000000" w:themeColor="text1"/>
          <w:szCs w:val="18"/>
        </w:rPr>
        <w:t>Nieuw beoordelingscriterium</w:t>
      </w:r>
      <w:r w:rsidRPr="008F4AA5">
        <w:rPr>
          <w:color w:val="000000" w:themeColor="text1"/>
          <w:szCs w:val="18"/>
        </w:rPr>
        <w:t xml:space="preserve">. Door het beoordelingscriterium te veranderen naar de opvattingen van een redelijk persoon, wordt m.i. niet verholpen aan voornoemd pijnpunt. </w:t>
      </w:r>
      <w:r w:rsidRPr="008F4AA5">
        <w:rPr>
          <w:color w:val="000000" w:themeColor="text1"/>
          <w:szCs w:val="18"/>
          <w:lang w:val="nl-NL"/>
        </w:rPr>
        <w:t>Immers, hoe dit beoordelingscriterium van de redelijke persoon concreet dient te worden ingevuld, wordt m.b.t. het misdrijf aantasting van de seksuele integriteit</w:t>
      </w:r>
      <w:r w:rsidRPr="008F14C5">
        <w:rPr>
          <w:color w:val="000000" w:themeColor="text1"/>
          <w:szCs w:val="18"/>
          <w:lang w:val="nl-NL"/>
        </w:rPr>
        <w:t xml:space="preserve"> niet nader uiteengezet in de memorie van toelichting.</w:t>
      </w:r>
      <w:r>
        <w:rPr>
          <w:rStyle w:val="FootnoteReference"/>
          <w:color w:val="000000" w:themeColor="text1"/>
          <w:szCs w:val="18"/>
          <w:lang w:val="nl-NL"/>
        </w:rPr>
        <w:footnoteReference w:id="596"/>
      </w:r>
    </w:p>
    <w:p w14:paraId="4D12E40F" w14:textId="77777777" w:rsidR="008F4AA5" w:rsidRPr="008F14C5" w:rsidRDefault="008F4AA5" w:rsidP="00260F11">
      <w:pPr>
        <w:spacing w:line="360" w:lineRule="auto"/>
        <w:rPr>
          <w:color w:val="000000" w:themeColor="text1"/>
          <w:szCs w:val="18"/>
          <w:lang w:val="nl-NL"/>
        </w:rPr>
      </w:pPr>
    </w:p>
    <w:p w14:paraId="68C3EA37" w14:textId="2DC77EB3" w:rsidR="008F4AA5" w:rsidRDefault="008F4AA5"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Brits recht. </w:t>
      </w:r>
      <w:r w:rsidRPr="004D0E0D">
        <w:rPr>
          <w:color w:val="000000" w:themeColor="text1"/>
          <w:szCs w:val="18"/>
          <w:lang w:val="nl-NL"/>
        </w:rPr>
        <w:t>Het Brits recht biedt op dit vlak bijvoorbeeld meer duidelijkheid</w:t>
      </w:r>
      <w:r>
        <w:rPr>
          <w:color w:val="000000" w:themeColor="text1"/>
          <w:szCs w:val="18"/>
          <w:lang w:val="nl-NL"/>
        </w:rPr>
        <w:t>. Naar Brits recht is een gedraging seksueel</w:t>
      </w:r>
      <w:r w:rsidRPr="004D0E0D">
        <w:rPr>
          <w:color w:val="000000" w:themeColor="text1"/>
          <w:szCs w:val="18"/>
          <w:lang w:val="nl-NL"/>
        </w:rPr>
        <w:t xml:space="preserve"> </w:t>
      </w:r>
      <w:r>
        <w:rPr>
          <w:color w:val="000000" w:themeColor="text1"/>
          <w:szCs w:val="18"/>
          <w:lang w:val="nl-NL"/>
        </w:rPr>
        <w:t>wanneer deze</w:t>
      </w:r>
      <w:r w:rsidRPr="004D0E0D">
        <w:rPr>
          <w:color w:val="000000" w:themeColor="text1"/>
          <w:szCs w:val="18"/>
          <w:lang w:val="nl-NL"/>
        </w:rPr>
        <w:t xml:space="preserve"> ofwel volgens een redelijk persoon in ieder geval seksueel is ofwel seksueel kan zijn volgens een redelijk persoon en dit gelet op de concrete omstandigheden en/of het doel van de dader </w:t>
      </w:r>
      <w:r w:rsidR="00BC316B">
        <w:rPr>
          <w:color w:val="000000" w:themeColor="text1"/>
          <w:szCs w:val="18"/>
          <w:lang w:val="nl-NL"/>
        </w:rPr>
        <w:t xml:space="preserve">ook </w:t>
      </w:r>
      <w:r w:rsidRPr="004D0E0D">
        <w:rPr>
          <w:color w:val="000000" w:themeColor="text1"/>
          <w:szCs w:val="18"/>
          <w:lang w:val="nl-NL"/>
        </w:rPr>
        <w:t xml:space="preserve">effectief is. </w:t>
      </w:r>
      <w:r>
        <w:rPr>
          <w:color w:val="000000" w:themeColor="text1"/>
          <w:szCs w:val="18"/>
          <w:lang w:val="nl-NL"/>
        </w:rPr>
        <w:t xml:space="preserve">Handelingen die op zichzelf genomen wel seksueel zijn, kunnen niet opeens niet-seksueel worden geacht o.g.v. de omstandigheden of het doel van de dader. </w:t>
      </w:r>
      <w:r w:rsidRPr="004D0E0D">
        <w:rPr>
          <w:color w:val="000000" w:themeColor="text1"/>
          <w:szCs w:val="18"/>
          <w:lang w:val="nl-NL"/>
        </w:rPr>
        <w:t xml:space="preserve">Handelingen die op zichzelf niet seksueel worden geacht door een redelijk persoon, kunnen dit </w:t>
      </w:r>
      <w:r>
        <w:rPr>
          <w:color w:val="000000" w:themeColor="text1"/>
          <w:szCs w:val="18"/>
          <w:lang w:val="nl-NL"/>
        </w:rPr>
        <w:t>bovendien</w:t>
      </w:r>
      <w:r w:rsidRPr="004D0E0D">
        <w:rPr>
          <w:color w:val="000000" w:themeColor="text1"/>
          <w:szCs w:val="18"/>
          <w:lang w:val="nl-NL"/>
        </w:rPr>
        <w:t xml:space="preserve"> ook niet opeens worden in het licht van de omstandigheden of het doel van de dader. De definitie van “seksueel” brengt op die manier bijvoorbeeld duidelijkheid m.b.t. bepaalde </w:t>
      </w:r>
      <w:r w:rsidRPr="004D0E0D">
        <w:rPr>
          <w:i/>
          <w:color w:val="000000" w:themeColor="text1"/>
          <w:szCs w:val="18"/>
          <w:lang w:val="nl-NL"/>
        </w:rPr>
        <w:t>fetisjen</w:t>
      </w:r>
      <w:r>
        <w:rPr>
          <w:i/>
          <w:color w:val="000000" w:themeColor="text1"/>
          <w:szCs w:val="18"/>
          <w:lang w:val="nl-NL"/>
        </w:rPr>
        <w:t>.</w:t>
      </w:r>
      <w:r>
        <w:rPr>
          <w:rStyle w:val="FootnoteReference"/>
          <w:i/>
          <w:color w:val="000000" w:themeColor="text1"/>
          <w:szCs w:val="18"/>
          <w:lang w:val="nl-NL"/>
        </w:rPr>
        <w:footnoteReference w:id="597"/>
      </w:r>
    </w:p>
    <w:p w14:paraId="3EFD26DB" w14:textId="77777777" w:rsidR="008F4AA5" w:rsidRDefault="008F4AA5" w:rsidP="00260F11">
      <w:pPr>
        <w:pStyle w:val="ListParagraph"/>
        <w:spacing w:line="360" w:lineRule="auto"/>
        <w:ind w:left="0"/>
      </w:pPr>
    </w:p>
    <w:p w14:paraId="10C88876" w14:textId="77777777" w:rsidR="008F4AA5" w:rsidRPr="004D0E0D" w:rsidRDefault="008F4AA5" w:rsidP="00260F11">
      <w:pPr>
        <w:pStyle w:val="ListParagraph"/>
        <w:spacing w:line="360" w:lineRule="auto"/>
        <w:ind w:left="0"/>
        <w:rPr>
          <w:color w:val="000000" w:themeColor="text1"/>
          <w:szCs w:val="18"/>
          <w:lang w:val="nl-NL"/>
        </w:rPr>
      </w:pPr>
      <w:r>
        <w:t xml:space="preserve">Wanneer deze Britse definitie wordt vergeleken met het hoger geciteerde fragment uit de memorie van toelichting, op grond waarvan geen uitsluitsel kan worden gegeven m.b.t. </w:t>
      </w:r>
      <w:r>
        <w:rPr>
          <w:i/>
        </w:rPr>
        <w:t>fetisjen,</w:t>
      </w:r>
      <w:r w:rsidRPr="006241E0">
        <w:rPr>
          <w:rStyle w:val="FootnoteReference"/>
          <w:color w:val="000000" w:themeColor="text1"/>
          <w:szCs w:val="18"/>
          <w:lang w:val="nl-NL"/>
        </w:rPr>
        <w:footnoteReference w:id="598"/>
      </w:r>
      <w:r w:rsidRPr="004D0E0D">
        <w:rPr>
          <w:color w:val="000000" w:themeColor="text1"/>
          <w:szCs w:val="18"/>
          <w:lang w:val="nl-NL"/>
        </w:rPr>
        <w:t xml:space="preserve"> </w:t>
      </w:r>
      <w:r>
        <w:rPr>
          <w:color w:val="000000" w:themeColor="text1"/>
          <w:szCs w:val="18"/>
          <w:lang w:val="nl-NL"/>
        </w:rPr>
        <w:t xml:space="preserve">kan worden besloten dat </w:t>
      </w:r>
      <w:r>
        <w:t>het Belgisch recht minder rechtszekerheid biedt dan de Britse definiëring</w:t>
      </w:r>
      <w:r>
        <w:rPr>
          <w:color w:val="000000" w:themeColor="text1"/>
          <w:szCs w:val="18"/>
          <w:lang w:val="nl-NL"/>
        </w:rPr>
        <w:t>.</w:t>
      </w:r>
      <w:r w:rsidRPr="004D0E0D">
        <w:rPr>
          <w:color w:val="000000" w:themeColor="text1"/>
          <w:szCs w:val="18"/>
          <w:lang w:val="nl-NL"/>
        </w:rPr>
        <w:t xml:space="preserve"> Hoewel de Britse definitie </w:t>
      </w:r>
      <w:r>
        <w:rPr>
          <w:color w:val="000000" w:themeColor="text1"/>
          <w:szCs w:val="18"/>
          <w:lang w:val="nl-NL"/>
        </w:rPr>
        <w:t>evenmin</w:t>
      </w:r>
      <w:r w:rsidRPr="004D0E0D">
        <w:rPr>
          <w:color w:val="000000" w:themeColor="text1"/>
          <w:szCs w:val="18"/>
          <w:lang w:val="nl-NL"/>
        </w:rPr>
        <w:t xml:space="preserve"> alle rechtsonzekerheid uitsluit, wordt de</w:t>
      </w:r>
      <w:r>
        <w:rPr>
          <w:color w:val="000000" w:themeColor="text1"/>
          <w:szCs w:val="18"/>
          <w:lang w:val="nl-NL"/>
        </w:rPr>
        <w:t xml:space="preserve">ze </w:t>
      </w:r>
      <w:r w:rsidRPr="004D0E0D">
        <w:rPr>
          <w:color w:val="000000" w:themeColor="text1"/>
          <w:szCs w:val="18"/>
          <w:lang w:val="nl-NL"/>
        </w:rPr>
        <w:t xml:space="preserve">hierdoor m.i. toch aanzienlijk verminderd. </w:t>
      </w:r>
    </w:p>
    <w:p w14:paraId="7827D5BB" w14:textId="77777777" w:rsidR="008F4AA5" w:rsidRPr="00212D64" w:rsidRDefault="008F4AA5" w:rsidP="00260F11">
      <w:pPr>
        <w:pStyle w:val="ListParagraph"/>
        <w:spacing w:line="360" w:lineRule="auto"/>
        <w:rPr>
          <w:color w:val="000000" w:themeColor="text1"/>
          <w:szCs w:val="18"/>
          <w:lang w:val="nl-NL"/>
        </w:rPr>
      </w:pPr>
    </w:p>
    <w:p w14:paraId="2B3F4FFC" w14:textId="3A042424" w:rsidR="008F4AA5" w:rsidRPr="00212D64" w:rsidRDefault="008F4AA5" w:rsidP="00260F11">
      <w:pPr>
        <w:pStyle w:val="ListParagraph"/>
        <w:spacing w:line="360" w:lineRule="auto"/>
        <w:ind w:left="0"/>
        <w:rPr>
          <w:color w:val="000000" w:themeColor="text1"/>
          <w:szCs w:val="18"/>
          <w:lang w:val="nl-NL"/>
        </w:rPr>
      </w:pPr>
      <w:r w:rsidRPr="00212D64">
        <w:rPr>
          <w:color w:val="000000" w:themeColor="text1"/>
          <w:szCs w:val="18"/>
          <w:lang w:val="nl-NL"/>
        </w:rPr>
        <w:t xml:space="preserve">Hierbij dient m.i. nog te worden benadrukt dat </w:t>
      </w:r>
      <w:r w:rsidRPr="00212D64">
        <w:rPr>
          <w:i/>
          <w:color w:val="000000" w:themeColor="text1"/>
          <w:szCs w:val="18"/>
          <w:lang w:val="nl-NL"/>
        </w:rPr>
        <w:t xml:space="preserve">section </w:t>
      </w:r>
      <w:r w:rsidRPr="00212D64">
        <w:rPr>
          <w:color w:val="000000" w:themeColor="text1"/>
          <w:szCs w:val="18"/>
          <w:lang w:val="nl-NL"/>
        </w:rPr>
        <w:t xml:space="preserve">78 van de SOA het doel van de dader vermeldt als bepalende factor waardoor een mogelijks seksuele gedraging ook effectief als seksueel zal worden beschouwd door een redelijk persoon. Een dergelijke toevoeging in het Belgisch recht zou ertoe leiden dat de subjectieve ingesteldheid (lees: </w:t>
      </w:r>
      <w:r w:rsidR="003F59B0">
        <w:rPr>
          <w:color w:val="000000" w:themeColor="text1"/>
          <w:szCs w:val="18"/>
          <w:lang w:val="nl-NL"/>
        </w:rPr>
        <w:t>de</w:t>
      </w:r>
      <w:r w:rsidRPr="00212D64">
        <w:rPr>
          <w:color w:val="000000" w:themeColor="text1"/>
          <w:szCs w:val="18"/>
          <w:lang w:val="nl-NL"/>
        </w:rPr>
        <w:t xml:space="preserve"> seksuel</w:t>
      </w:r>
      <w:r w:rsidR="003F59B0">
        <w:rPr>
          <w:color w:val="000000" w:themeColor="text1"/>
          <w:szCs w:val="18"/>
          <w:lang w:val="nl-NL"/>
        </w:rPr>
        <w:t>e</w:t>
      </w:r>
      <w:r w:rsidRPr="00212D64">
        <w:rPr>
          <w:color w:val="000000" w:themeColor="text1"/>
          <w:szCs w:val="18"/>
          <w:lang w:val="nl-NL"/>
        </w:rPr>
        <w:t xml:space="preserve"> </w:t>
      </w:r>
      <w:r w:rsidR="003F59B0">
        <w:rPr>
          <w:color w:val="000000" w:themeColor="text1"/>
          <w:szCs w:val="18"/>
          <w:lang w:val="nl-NL"/>
        </w:rPr>
        <w:t>drijfveer</w:t>
      </w:r>
      <w:r w:rsidRPr="00212D64">
        <w:rPr>
          <w:color w:val="000000" w:themeColor="text1"/>
          <w:szCs w:val="18"/>
          <w:lang w:val="nl-NL"/>
        </w:rPr>
        <w:t xml:space="preserve">) van de dader toch </w:t>
      </w:r>
      <w:r w:rsidR="00063F89">
        <w:rPr>
          <w:color w:val="000000" w:themeColor="text1"/>
          <w:szCs w:val="18"/>
          <w:lang w:val="nl-NL"/>
        </w:rPr>
        <w:t xml:space="preserve">enigszins </w:t>
      </w:r>
      <w:r w:rsidRPr="00212D64">
        <w:rPr>
          <w:color w:val="000000" w:themeColor="text1"/>
          <w:szCs w:val="18"/>
          <w:lang w:val="nl-NL"/>
        </w:rPr>
        <w:t xml:space="preserve">bepalend zal kunnen zijn </w:t>
      </w:r>
      <w:r w:rsidR="003F59B0">
        <w:rPr>
          <w:color w:val="000000" w:themeColor="text1"/>
          <w:szCs w:val="18"/>
          <w:lang w:val="nl-NL"/>
        </w:rPr>
        <w:t xml:space="preserve">om te bepalen </w:t>
      </w:r>
      <w:r w:rsidRPr="00212D64">
        <w:rPr>
          <w:color w:val="000000" w:themeColor="text1"/>
          <w:szCs w:val="18"/>
          <w:lang w:val="nl-NL"/>
        </w:rPr>
        <w:t xml:space="preserve">of een bepaalde gedraging al dan niet als </w:t>
      </w:r>
      <w:r w:rsidR="00063F89">
        <w:rPr>
          <w:color w:val="000000" w:themeColor="text1"/>
          <w:szCs w:val="18"/>
          <w:lang w:val="nl-NL"/>
        </w:rPr>
        <w:t>seksueel</w:t>
      </w:r>
      <w:r w:rsidRPr="00212D64">
        <w:rPr>
          <w:color w:val="000000" w:themeColor="text1"/>
          <w:szCs w:val="18"/>
          <w:lang w:val="nl-NL"/>
        </w:rPr>
        <w:t xml:space="preserve"> zal kunnen worden gekwalificeerd. Aldus zou hiermee naast een eerder objectief beoordelingscriterium, opnieuw een subjectieve factor een rol kunnen spelen. </w:t>
      </w:r>
    </w:p>
    <w:p w14:paraId="36EC4380" w14:textId="77777777" w:rsidR="008F4AA5" w:rsidRDefault="008F4AA5" w:rsidP="00260F11">
      <w:pPr>
        <w:pStyle w:val="ListParagraph"/>
        <w:spacing w:line="360" w:lineRule="auto"/>
        <w:ind w:left="0"/>
        <w:rPr>
          <w:color w:val="000000" w:themeColor="text1"/>
          <w:szCs w:val="18"/>
          <w:lang w:val="nl-NL"/>
        </w:rPr>
      </w:pPr>
    </w:p>
    <w:p w14:paraId="20E64DE2" w14:textId="3C89CC72" w:rsidR="008F4AA5" w:rsidRPr="007F2DAD" w:rsidRDefault="008F4AA5" w:rsidP="00260F11">
      <w:pPr>
        <w:pStyle w:val="ListParagraph"/>
        <w:spacing w:line="360" w:lineRule="auto"/>
        <w:ind w:left="0"/>
        <w:rPr>
          <w:color w:val="000000" w:themeColor="text1"/>
        </w:rPr>
      </w:pPr>
      <w:r w:rsidRPr="00212D64">
        <w:rPr>
          <w:color w:val="000000" w:themeColor="text1"/>
          <w:szCs w:val="18"/>
          <w:lang w:val="nl-NL"/>
        </w:rPr>
        <w:t xml:space="preserve">Belangrijk daarbij is dat deze subjectieve factor niet noodzakelijk is om een mogelijks seksuele gedraging als seksueel te kunnen bestempelen. Ook de omstandigheden kunnen immers voldoende zijn om een mogelijks seksuele gedraging </w:t>
      </w:r>
      <w:r w:rsidRPr="00212D64">
        <w:rPr>
          <w:i/>
          <w:color w:val="000000" w:themeColor="text1"/>
          <w:szCs w:val="18"/>
          <w:lang w:val="nl-NL"/>
        </w:rPr>
        <w:t xml:space="preserve">in concreto </w:t>
      </w:r>
      <w:r w:rsidRPr="00212D64">
        <w:rPr>
          <w:color w:val="000000" w:themeColor="text1"/>
          <w:szCs w:val="18"/>
          <w:lang w:val="nl-NL"/>
        </w:rPr>
        <w:t xml:space="preserve">als seksueel te beschouwen. </w:t>
      </w:r>
      <w:r w:rsidR="003F59B0">
        <w:rPr>
          <w:color w:val="000000" w:themeColor="text1"/>
          <w:szCs w:val="18"/>
          <w:lang w:val="nl-NL"/>
        </w:rPr>
        <w:t xml:space="preserve">De seksuele </w:t>
      </w:r>
      <w:r w:rsidR="003F59B0">
        <w:rPr>
          <w:color w:val="000000" w:themeColor="text1"/>
          <w:szCs w:val="18"/>
          <w:lang w:val="nl-NL"/>
        </w:rPr>
        <w:lastRenderedPageBreak/>
        <w:t xml:space="preserve">drijfveer is m.a.w. niet altijd doorslaggevend. </w:t>
      </w:r>
      <w:r w:rsidRPr="00212D64">
        <w:rPr>
          <w:color w:val="000000" w:themeColor="text1"/>
        </w:rPr>
        <w:t xml:space="preserve">Dit is m.i. </w:t>
      </w:r>
      <w:r>
        <w:rPr>
          <w:color w:val="000000" w:themeColor="text1"/>
        </w:rPr>
        <w:t>belangrijk</w:t>
      </w:r>
      <w:r w:rsidRPr="00212D64">
        <w:rPr>
          <w:color w:val="000000" w:themeColor="text1"/>
        </w:rPr>
        <w:t xml:space="preserve"> omdat dit verzoenbaar is met het algemeen opzet als moreel bestanddeel van het misdrijf. Indien de seksuele ingesteldheid van de dader evenwel steeds doorslaggevend zou zijn om een bepaalde gedraging al dan niet te kunnen kwalificeren als </w:t>
      </w:r>
      <w:r>
        <w:rPr>
          <w:color w:val="000000" w:themeColor="text1"/>
        </w:rPr>
        <w:t>dit misdrijf</w:t>
      </w:r>
      <w:r w:rsidRPr="00212D64">
        <w:rPr>
          <w:color w:val="000000" w:themeColor="text1"/>
        </w:rPr>
        <w:t>, zou dit m.i. eerder aanleunen bij een bijzonder opzet.</w:t>
      </w:r>
      <w:r w:rsidRPr="00212D64">
        <w:rPr>
          <w:rStyle w:val="FootnoteReference"/>
          <w:color w:val="000000" w:themeColor="text1"/>
        </w:rPr>
        <w:footnoteReference w:id="599"/>
      </w:r>
    </w:p>
    <w:p w14:paraId="3E469C69" w14:textId="77777777" w:rsidR="008F4AA5" w:rsidRPr="00212D64" w:rsidRDefault="008F4AA5" w:rsidP="00260F11">
      <w:pPr>
        <w:spacing w:line="360" w:lineRule="auto"/>
        <w:rPr>
          <w:color w:val="FF0000"/>
          <w:szCs w:val="18"/>
          <w:lang w:val="nl-NL"/>
        </w:rPr>
      </w:pPr>
    </w:p>
    <w:p w14:paraId="35EB42A9" w14:textId="77777777" w:rsidR="008F4AA5" w:rsidRPr="00855A7D" w:rsidRDefault="008F4AA5" w:rsidP="00260F11">
      <w:pPr>
        <w:pStyle w:val="ListParagraph"/>
        <w:numPr>
          <w:ilvl w:val="0"/>
          <w:numId w:val="1"/>
        </w:numPr>
        <w:spacing w:line="360" w:lineRule="auto"/>
        <w:ind w:left="0" w:hanging="709"/>
        <w:rPr>
          <w:color w:val="000000" w:themeColor="text1"/>
          <w:szCs w:val="18"/>
          <w:lang w:val="nl-NL"/>
        </w:rPr>
      </w:pPr>
      <w:r w:rsidRPr="00855A7D">
        <w:rPr>
          <w:b/>
          <w:i/>
          <w:color w:val="000000" w:themeColor="text1"/>
          <w:szCs w:val="18"/>
          <w:lang w:val="nl-NL"/>
        </w:rPr>
        <w:t>Aanbeveling</w:t>
      </w:r>
      <w:r w:rsidRPr="00855A7D">
        <w:rPr>
          <w:color w:val="000000" w:themeColor="text1"/>
          <w:szCs w:val="18"/>
          <w:lang w:val="nl-NL"/>
        </w:rPr>
        <w:t xml:space="preserve">. Vooreerst is het in het licht van het </w:t>
      </w:r>
      <w:r w:rsidRPr="00855A7D">
        <w:rPr>
          <w:i/>
          <w:color w:val="000000" w:themeColor="text1"/>
          <w:szCs w:val="18"/>
          <w:lang w:val="nl-NL"/>
        </w:rPr>
        <w:t>lex certa-</w:t>
      </w:r>
      <w:r w:rsidRPr="00855A7D">
        <w:rPr>
          <w:color w:val="000000" w:themeColor="text1"/>
          <w:szCs w:val="18"/>
          <w:lang w:val="nl-NL"/>
        </w:rPr>
        <w:t>beginsel, m.i. aangeraden</w:t>
      </w:r>
      <w:r w:rsidRPr="00855A7D">
        <w:rPr>
          <w:rStyle w:val="FootnoteReference"/>
          <w:color w:val="000000" w:themeColor="text1"/>
          <w:szCs w:val="18"/>
          <w:lang w:val="nl-NL"/>
        </w:rPr>
        <w:footnoteReference w:id="600"/>
      </w:r>
      <w:r w:rsidRPr="00855A7D">
        <w:rPr>
          <w:color w:val="000000" w:themeColor="text1"/>
          <w:szCs w:val="18"/>
          <w:lang w:val="nl-NL"/>
        </w:rPr>
        <w:t xml:space="preserve"> om expliciet in de wettekst te bepalen dat het de opvattingen van een redelijk persoon zijn die de maatstaf vormen om te beoordelen of een handeling al dan niet seksueel is. Bovendien is een nadere toelichting van de invulling van dit beoordelingscriterium m.i. aangeraden met het oog op het bevorderen van de rechtszekerheid. Dit kan gebeuren naar Brits voorbeeld.</w:t>
      </w:r>
      <w:r w:rsidRPr="00855A7D">
        <w:rPr>
          <w:rStyle w:val="FootnoteReference"/>
          <w:color w:val="000000" w:themeColor="text1"/>
          <w:szCs w:val="18"/>
          <w:lang w:val="nl-NL"/>
        </w:rPr>
        <w:footnoteReference w:id="601"/>
      </w:r>
    </w:p>
    <w:p w14:paraId="1D69110F" w14:textId="77777777" w:rsidR="008F4AA5" w:rsidRPr="00855A7D" w:rsidRDefault="008F4AA5" w:rsidP="00260F11">
      <w:pPr>
        <w:spacing w:line="360" w:lineRule="auto"/>
        <w:rPr>
          <w:color w:val="000000" w:themeColor="text1"/>
          <w:szCs w:val="18"/>
          <w:lang w:val="nl-NL"/>
        </w:rPr>
      </w:pPr>
    </w:p>
    <w:p w14:paraId="6EA4B64E" w14:textId="658E9DA6" w:rsidR="008F4AA5" w:rsidRPr="00515BCF" w:rsidRDefault="008F4AA5" w:rsidP="00260F11">
      <w:pPr>
        <w:spacing w:line="360" w:lineRule="auto"/>
        <w:rPr>
          <w:color w:val="000000" w:themeColor="text1"/>
          <w:szCs w:val="18"/>
          <w:lang w:val="nl-NL"/>
        </w:rPr>
      </w:pPr>
      <w:r w:rsidRPr="00855A7D">
        <w:rPr>
          <w:color w:val="000000" w:themeColor="text1"/>
          <w:szCs w:val="18"/>
          <w:lang w:val="nl-NL"/>
        </w:rPr>
        <w:t xml:space="preserve">Tevens zal door het seksueel karakter te beoordelen conform een stappenplan zoals </w:t>
      </w:r>
      <w:r w:rsidRPr="00855A7D">
        <w:rPr>
          <w:i/>
          <w:color w:val="000000" w:themeColor="text1"/>
          <w:szCs w:val="18"/>
          <w:lang w:val="nl-NL"/>
        </w:rPr>
        <w:t>section</w:t>
      </w:r>
      <w:r w:rsidRPr="00855A7D">
        <w:rPr>
          <w:color w:val="000000" w:themeColor="text1"/>
          <w:szCs w:val="18"/>
          <w:lang w:val="nl-NL"/>
        </w:rPr>
        <w:t xml:space="preserve"> 78 SOA, op niet mis te verstane wijze door de wetgever aandacht </w:t>
      </w:r>
      <w:r w:rsidR="00063F89">
        <w:rPr>
          <w:color w:val="000000" w:themeColor="text1"/>
          <w:szCs w:val="18"/>
          <w:lang w:val="nl-NL"/>
        </w:rPr>
        <w:t xml:space="preserve">worden </w:t>
      </w:r>
      <w:r w:rsidRPr="00855A7D">
        <w:rPr>
          <w:color w:val="000000" w:themeColor="text1"/>
          <w:szCs w:val="18"/>
          <w:lang w:val="nl-NL"/>
        </w:rPr>
        <w:t xml:space="preserve">geschonken aan de seksuele drijfveer van de dader, zonder dat </w:t>
      </w:r>
      <w:r w:rsidR="00063F89">
        <w:rPr>
          <w:color w:val="000000" w:themeColor="text1"/>
          <w:szCs w:val="18"/>
          <w:lang w:val="nl-NL"/>
        </w:rPr>
        <w:t>dit</w:t>
      </w:r>
      <w:r w:rsidRPr="00855A7D">
        <w:rPr>
          <w:color w:val="000000" w:themeColor="text1"/>
          <w:szCs w:val="18"/>
          <w:lang w:val="nl-NL"/>
        </w:rPr>
        <w:t xml:space="preserve"> op zichzelf</w:t>
      </w:r>
      <w:r w:rsidR="00755320">
        <w:rPr>
          <w:color w:val="000000" w:themeColor="text1"/>
          <w:szCs w:val="18"/>
          <w:lang w:val="nl-NL"/>
        </w:rPr>
        <w:t xml:space="preserve"> </w:t>
      </w:r>
      <w:r w:rsidRPr="00855A7D">
        <w:rPr>
          <w:color w:val="000000" w:themeColor="text1"/>
          <w:szCs w:val="18"/>
          <w:lang w:val="nl-NL"/>
        </w:rPr>
        <w:t>doorslaggevend zal zijn voor de strafbaarstelling. Hierdoor zou verholpen worden aan het reeds hoger geïdentificeerde pijnpunt</w:t>
      </w:r>
      <w:r w:rsidR="00063F89">
        <w:rPr>
          <w:color w:val="000000" w:themeColor="text1"/>
          <w:szCs w:val="18"/>
          <w:lang w:val="nl-NL"/>
        </w:rPr>
        <w:t xml:space="preserve"> m.b.t. de onduidelijkheid van het moreel bestanddeel.</w:t>
      </w:r>
      <w:r w:rsidRPr="00855A7D">
        <w:rPr>
          <w:rStyle w:val="FootnoteReference"/>
          <w:color w:val="000000" w:themeColor="text1"/>
          <w:szCs w:val="18"/>
          <w:lang w:val="nl-NL"/>
        </w:rPr>
        <w:footnoteReference w:id="602"/>
      </w:r>
    </w:p>
    <w:p w14:paraId="12EB7F39" w14:textId="3B4F9B39" w:rsidR="008F4AA5" w:rsidRPr="00515BCF" w:rsidRDefault="008F4AA5" w:rsidP="00260F11">
      <w:pPr>
        <w:spacing w:line="360" w:lineRule="auto"/>
        <w:rPr>
          <w:b/>
          <w:color w:val="000000" w:themeColor="text1"/>
          <w:szCs w:val="18"/>
          <w:lang w:val="nl-NL"/>
        </w:rPr>
      </w:pPr>
    </w:p>
    <w:p w14:paraId="7B89C4B9" w14:textId="300B0B37" w:rsidR="00051371" w:rsidRDefault="00C2151A" w:rsidP="00260F11">
      <w:pPr>
        <w:pStyle w:val="ListParagraph"/>
        <w:numPr>
          <w:ilvl w:val="0"/>
          <w:numId w:val="1"/>
        </w:numPr>
        <w:spacing w:line="360" w:lineRule="auto"/>
        <w:ind w:left="0" w:hanging="709"/>
        <w:rPr>
          <w:color w:val="000000" w:themeColor="text1"/>
          <w:szCs w:val="18"/>
          <w:lang w:val="nl-NL"/>
        </w:rPr>
      </w:pPr>
      <w:r w:rsidRPr="00515BCF">
        <w:rPr>
          <w:b/>
          <w:color w:val="000000" w:themeColor="text1"/>
          <w:szCs w:val="18"/>
          <w:lang w:val="nl-NL"/>
        </w:rPr>
        <w:t xml:space="preserve">Andere voorwaarden m.b.t. de seksuele handeling. </w:t>
      </w:r>
      <w:r w:rsidR="00D41D47">
        <w:rPr>
          <w:color w:val="000000" w:themeColor="text1"/>
          <w:szCs w:val="18"/>
          <w:lang w:val="nl-NL"/>
        </w:rPr>
        <w:t>Naast een seksueel karakter van de handeling,</w:t>
      </w:r>
      <w:r w:rsidRPr="00515BCF">
        <w:rPr>
          <w:color w:val="000000" w:themeColor="text1"/>
          <w:szCs w:val="18"/>
          <w:lang w:val="nl-NL"/>
        </w:rPr>
        <w:t xml:space="preserve"> moet </w:t>
      </w:r>
      <w:r w:rsidR="00864208">
        <w:rPr>
          <w:color w:val="000000" w:themeColor="text1"/>
          <w:szCs w:val="18"/>
          <w:lang w:val="nl-NL"/>
        </w:rPr>
        <w:t xml:space="preserve">er </w:t>
      </w:r>
      <w:r w:rsidRPr="00515BCF">
        <w:rPr>
          <w:color w:val="000000" w:themeColor="text1"/>
          <w:szCs w:val="18"/>
          <w:lang w:val="nl-NL"/>
        </w:rPr>
        <w:t xml:space="preserve">sprake geweest </w:t>
      </w:r>
      <w:r w:rsidR="00864208">
        <w:rPr>
          <w:color w:val="000000" w:themeColor="text1"/>
          <w:szCs w:val="18"/>
          <w:lang w:val="nl-NL"/>
        </w:rPr>
        <w:t xml:space="preserve">zijn </w:t>
      </w:r>
      <w:r w:rsidRPr="00515BCF">
        <w:rPr>
          <w:color w:val="000000" w:themeColor="text1"/>
          <w:szCs w:val="18"/>
          <w:lang w:val="nl-NL"/>
        </w:rPr>
        <w:t xml:space="preserve">van interactie tussen dader en slachtoffer. </w:t>
      </w:r>
      <w:r w:rsidR="00FD3CB5" w:rsidRPr="00515BCF">
        <w:rPr>
          <w:color w:val="000000" w:themeColor="text1"/>
          <w:szCs w:val="18"/>
          <w:lang w:val="nl-NL"/>
        </w:rPr>
        <w:t>Deze vereiste vormt</w:t>
      </w:r>
      <w:r w:rsidRPr="00515BCF">
        <w:rPr>
          <w:color w:val="000000" w:themeColor="text1"/>
          <w:szCs w:val="18"/>
          <w:lang w:val="nl-NL"/>
        </w:rPr>
        <w:t xml:space="preserve"> het criterium des onderscheids met de strafbaarstelling van voyeurisme.</w:t>
      </w:r>
      <w:r w:rsidRPr="00515BCF">
        <w:rPr>
          <w:rStyle w:val="FootnoteReference"/>
          <w:color w:val="000000" w:themeColor="text1"/>
          <w:szCs w:val="18"/>
          <w:lang w:val="nl-NL"/>
        </w:rPr>
        <w:footnoteReference w:id="603"/>
      </w:r>
      <w:r w:rsidR="00FD3CB5" w:rsidRPr="00515BCF">
        <w:rPr>
          <w:color w:val="000000" w:themeColor="text1"/>
          <w:szCs w:val="18"/>
          <w:lang w:val="nl-NL"/>
        </w:rPr>
        <w:t xml:space="preserve"> </w:t>
      </w:r>
      <w:r w:rsidR="00051371">
        <w:rPr>
          <w:color w:val="000000" w:themeColor="text1"/>
          <w:szCs w:val="18"/>
          <w:lang w:val="nl-NL"/>
        </w:rPr>
        <w:t>Dit</w:t>
      </w:r>
      <w:r w:rsidR="00FD3CB5" w:rsidRPr="00515BCF">
        <w:rPr>
          <w:color w:val="000000" w:themeColor="text1"/>
          <w:szCs w:val="18"/>
          <w:lang w:val="nl-NL"/>
        </w:rPr>
        <w:t xml:space="preserve"> werd onder het oude recht algemeen aanvaard binnen de rechtspraak en rechtsleer</w:t>
      </w:r>
      <w:r w:rsidR="00431DC7">
        <w:rPr>
          <w:color w:val="000000" w:themeColor="text1"/>
          <w:szCs w:val="18"/>
          <w:lang w:val="nl-NL"/>
        </w:rPr>
        <w:t>.</w:t>
      </w:r>
      <w:r w:rsidR="00D41D47" w:rsidRPr="00515BCF">
        <w:rPr>
          <w:rStyle w:val="FootnoteReference"/>
          <w:color w:val="000000" w:themeColor="text1"/>
          <w:szCs w:val="18"/>
          <w:lang w:val="nl-NL"/>
        </w:rPr>
        <w:footnoteReference w:id="604"/>
      </w:r>
      <w:r w:rsidR="00FD3CB5" w:rsidRPr="00515BCF">
        <w:rPr>
          <w:color w:val="000000" w:themeColor="text1"/>
          <w:szCs w:val="18"/>
          <w:lang w:val="nl-NL"/>
        </w:rPr>
        <w:t xml:space="preserve"> </w:t>
      </w:r>
      <w:r w:rsidR="00431DC7">
        <w:rPr>
          <w:color w:val="000000" w:themeColor="text1"/>
          <w:szCs w:val="18"/>
          <w:lang w:val="nl-NL"/>
        </w:rPr>
        <w:t xml:space="preserve">Het </w:t>
      </w:r>
      <w:r w:rsidR="00431DC7">
        <w:rPr>
          <w:i/>
          <w:color w:val="000000" w:themeColor="text1"/>
          <w:szCs w:val="18"/>
          <w:lang w:val="nl-NL"/>
        </w:rPr>
        <w:t>lex certa-</w:t>
      </w:r>
      <w:r w:rsidR="00431DC7">
        <w:rPr>
          <w:color w:val="000000" w:themeColor="text1"/>
          <w:szCs w:val="18"/>
          <w:lang w:val="nl-NL"/>
        </w:rPr>
        <w:t>beginsel vereist bijgevolg</w:t>
      </w:r>
      <w:r w:rsidR="00FD3CB5" w:rsidRPr="00515BCF">
        <w:rPr>
          <w:color w:val="000000" w:themeColor="text1"/>
          <w:szCs w:val="18"/>
          <w:lang w:val="nl-NL"/>
        </w:rPr>
        <w:t xml:space="preserve"> niet dat </w:t>
      </w:r>
      <w:r w:rsidR="00431DC7">
        <w:rPr>
          <w:color w:val="000000" w:themeColor="text1"/>
          <w:szCs w:val="18"/>
          <w:lang w:val="nl-NL"/>
        </w:rPr>
        <w:t>dit</w:t>
      </w:r>
      <w:r w:rsidR="00FD3CB5" w:rsidRPr="00515BCF">
        <w:rPr>
          <w:color w:val="000000" w:themeColor="text1"/>
          <w:szCs w:val="18"/>
          <w:lang w:val="nl-NL"/>
        </w:rPr>
        <w:t xml:space="preserve"> expliciet </w:t>
      </w:r>
      <w:r w:rsidR="00051371">
        <w:rPr>
          <w:color w:val="000000" w:themeColor="text1"/>
          <w:szCs w:val="18"/>
          <w:lang w:val="nl-NL"/>
        </w:rPr>
        <w:t>wordt</w:t>
      </w:r>
      <w:r w:rsidR="00FD3CB5" w:rsidRPr="00515BCF">
        <w:rPr>
          <w:color w:val="000000" w:themeColor="text1"/>
          <w:szCs w:val="18"/>
          <w:lang w:val="nl-NL"/>
        </w:rPr>
        <w:t xml:space="preserve"> opgenomen in de strafbaarstelling.</w:t>
      </w:r>
      <w:r w:rsidR="00FD3CB5" w:rsidRPr="00515BCF">
        <w:rPr>
          <w:rStyle w:val="FootnoteReference"/>
          <w:color w:val="000000" w:themeColor="text1"/>
          <w:szCs w:val="18"/>
          <w:lang w:val="nl-NL"/>
        </w:rPr>
        <w:footnoteReference w:id="605"/>
      </w:r>
    </w:p>
    <w:p w14:paraId="76A116DA" w14:textId="77777777" w:rsidR="00051371" w:rsidRDefault="00051371" w:rsidP="00260F11">
      <w:pPr>
        <w:pStyle w:val="ListParagraph"/>
        <w:spacing w:line="360" w:lineRule="auto"/>
        <w:ind w:left="0"/>
        <w:rPr>
          <w:color w:val="000000" w:themeColor="text1"/>
          <w:szCs w:val="18"/>
          <w:lang w:val="nl-NL"/>
        </w:rPr>
      </w:pPr>
    </w:p>
    <w:p w14:paraId="08D786B9" w14:textId="0825C171" w:rsidR="00755320" w:rsidRPr="00051371" w:rsidRDefault="006E1790" w:rsidP="00260F11">
      <w:pPr>
        <w:pStyle w:val="ListParagraph"/>
        <w:numPr>
          <w:ilvl w:val="0"/>
          <w:numId w:val="1"/>
        </w:numPr>
        <w:spacing w:line="360" w:lineRule="auto"/>
        <w:ind w:left="0" w:hanging="709"/>
        <w:rPr>
          <w:color w:val="000000" w:themeColor="text1"/>
          <w:szCs w:val="18"/>
          <w:lang w:val="nl-NL"/>
        </w:rPr>
      </w:pPr>
      <w:r w:rsidRPr="00051371">
        <w:rPr>
          <w:color w:val="000000" w:themeColor="text1"/>
          <w:szCs w:val="18"/>
          <w:lang w:val="nl-NL"/>
        </w:rPr>
        <w:t xml:space="preserve">Ten slotte stelt de memorie van toelichting nog dat de </w:t>
      </w:r>
      <w:r w:rsidR="00C2151A" w:rsidRPr="00051371">
        <w:rPr>
          <w:color w:val="000000" w:themeColor="text1"/>
          <w:szCs w:val="18"/>
          <w:lang w:val="nl-NL"/>
        </w:rPr>
        <w:t xml:space="preserve">voorwaarde </w:t>
      </w:r>
      <w:r w:rsidRPr="00051371">
        <w:rPr>
          <w:color w:val="000000" w:themeColor="text1"/>
          <w:szCs w:val="18"/>
          <w:lang w:val="nl-NL"/>
        </w:rPr>
        <w:t xml:space="preserve">van ernst </w:t>
      </w:r>
      <w:r w:rsidR="00565B16" w:rsidRPr="00051371">
        <w:rPr>
          <w:color w:val="000000" w:themeColor="text1"/>
          <w:szCs w:val="18"/>
          <w:lang w:val="nl-NL"/>
        </w:rPr>
        <w:t>voortvloeit</w:t>
      </w:r>
      <w:r w:rsidR="00C2151A" w:rsidRPr="00051371">
        <w:rPr>
          <w:color w:val="000000" w:themeColor="text1"/>
          <w:szCs w:val="18"/>
          <w:lang w:val="nl-NL"/>
        </w:rPr>
        <w:t xml:space="preserve"> uit het seksueel karakter van de gedraging.</w:t>
      </w:r>
      <w:r w:rsidR="00C2151A" w:rsidRPr="00515BCF">
        <w:rPr>
          <w:rStyle w:val="FootnoteReference"/>
          <w:color w:val="000000" w:themeColor="text1"/>
          <w:szCs w:val="18"/>
          <w:lang w:val="nl-NL"/>
        </w:rPr>
        <w:footnoteReference w:id="606"/>
      </w:r>
      <w:r w:rsidR="00565B16" w:rsidRPr="00051371">
        <w:rPr>
          <w:color w:val="000000" w:themeColor="text1"/>
        </w:rPr>
        <w:t xml:space="preserve"> </w:t>
      </w:r>
      <w:r w:rsidR="00565B16" w:rsidRPr="00051371">
        <w:rPr>
          <w:color w:val="000000" w:themeColor="text1"/>
          <w:szCs w:val="18"/>
          <w:lang w:val="nl-NL"/>
        </w:rPr>
        <w:t xml:space="preserve">Hierdoor </w:t>
      </w:r>
      <w:r w:rsidR="00515BCF" w:rsidRPr="00051371">
        <w:rPr>
          <w:color w:val="000000" w:themeColor="text1"/>
          <w:szCs w:val="18"/>
          <w:lang w:val="nl-NL"/>
        </w:rPr>
        <w:t xml:space="preserve">lijkt de </w:t>
      </w:r>
      <w:r w:rsidR="00565B16" w:rsidRPr="00051371">
        <w:rPr>
          <w:color w:val="000000" w:themeColor="text1"/>
          <w:szCs w:val="18"/>
          <w:lang w:val="nl-NL"/>
        </w:rPr>
        <w:t xml:space="preserve">wetgever m.i. </w:t>
      </w:r>
      <w:r w:rsidR="00515BCF" w:rsidRPr="00051371">
        <w:rPr>
          <w:color w:val="000000" w:themeColor="text1"/>
          <w:szCs w:val="18"/>
          <w:lang w:val="nl-NL"/>
        </w:rPr>
        <w:t xml:space="preserve">te zijn afgestapt van de bijkomende (en </w:t>
      </w:r>
      <w:r w:rsidR="00755320" w:rsidRPr="00051371">
        <w:rPr>
          <w:color w:val="000000" w:themeColor="text1"/>
          <w:szCs w:val="18"/>
          <w:lang w:val="nl-NL"/>
        </w:rPr>
        <w:t xml:space="preserve">als pijnpunt </w:t>
      </w:r>
      <w:r w:rsidR="00051371" w:rsidRPr="00051371">
        <w:rPr>
          <w:color w:val="000000" w:themeColor="text1"/>
          <w:szCs w:val="18"/>
          <w:lang w:val="nl-NL"/>
        </w:rPr>
        <w:t xml:space="preserve">van de oude strafbaarstelling </w:t>
      </w:r>
      <w:r w:rsidR="00755320" w:rsidRPr="00051371">
        <w:rPr>
          <w:color w:val="000000" w:themeColor="text1"/>
          <w:szCs w:val="18"/>
          <w:lang w:val="nl-NL"/>
        </w:rPr>
        <w:t>aangemerkte</w:t>
      </w:r>
      <w:r w:rsidR="00515BCF" w:rsidRPr="00051371">
        <w:rPr>
          <w:color w:val="000000" w:themeColor="text1"/>
          <w:szCs w:val="18"/>
          <w:lang w:val="nl-NL"/>
        </w:rPr>
        <w:t>) vereiste van ernst.</w:t>
      </w:r>
      <w:r w:rsidR="006D29BD">
        <w:rPr>
          <w:rStyle w:val="FootnoteReference"/>
          <w:color w:val="000000" w:themeColor="text1"/>
          <w:szCs w:val="18"/>
          <w:lang w:val="nl-NL"/>
        </w:rPr>
        <w:footnoteReference w:id="607"/>
      </w:r>
      <w:r w:rsidR="00515BCF" w:rsidRPr="00051371">
        <w:rPr>
          <w:color w:val="000000" w:themeColor="text1"/>
          <w:szCs w:val="18"/>
          <w:lang w:val="nl-NL"/>
        </w:rPr>
        <w:t xml:space="preserve"> </w:t>
      </w:r>
      <w:r w:rsidR="002A2996" w:rsidRPr="00051371">
        <w:rPr>
          <w:color w:val="000000" w:themeColor="text1"/>
          <w:szCs w:val="18"/>
          <w:lang w:val="nl-NL"/>
        </w:rPr>
        <w:t xml:space="preserve">Dit lijkt </w:t>
      </w:r>
      <w:r w:rsidR="00D41D47" w:rsidRPr="00051371">
        <w:rPr>
          <w:color w:val="000000" w:themeColor="text1"/>
          <w:szCs w:val="18"/>
          <w:lang w:val="nl-NL"/>
        </w:rPr>
        <w:t xml:space="preserve">bovendien verantwoord </w:t>
      </w:r>
      <w:r w:rsidR="002A2996" w:rsidRPr="00051371">
        <w:rPr>
          <w:color w:val="000000" w:themeColor="text1"/>
          <w:szCs w:val="18"/>
          <w:lang w:val="nl-NL"/>
        </w:rPr>
        <w:t>vanuit rechtsvergelijkend perspectief, daar het Brits recht evenmin een bijkomende vereiste van ernst stelt.</w:t>
      </w:r>
      <w:r w:rsidR="002A2996">
        <w:rPr>
          <w:rStyle w:val="FootnoteReference"/>
          <w:color w:val="000000" w:themeColor="text1"/>
          <w:szCs w:val="18"/>
          <w:lang w:val="nl-NL"/>
        </w:rPr>
        <w:footnoteReference w:id="608"/>
      </w:r>
      <w:r w:rsidR="00C9178D" w:rsidRPr="00051371">
        <w:rPr>
          <w:color w:val="000000" w:themeColor="text1"/>
          <w:szCs w:val="18"/>
          <w:lang w:val="nl-NL"/>
        </w:rPr>
        <w:t xml:space="preserve"> </w:t>
      </w:r>
    </w:p>
    <w:p w14:paraId="012CE6F3" w14:textId="77777777" w:rsidR="00755320" w:rsidRDefault="00755320" w:rsidP="00260F11">
      <w:pPr>
        <w:pStyle w:val="ListParagraph"/>
        <w:spacing w:line="360" w:lineRule="auto"/>
        <w:ind w:left="0"/>
        <w:rPr>
          <w:color w:val="000000" w:themeColor="text1"/>
          <w:szCs w:val="18"/>
          <w:lang w:val="nl-NL"/>
        </w:rPr>
      </w:pPr>
    </w:p>
    <w:p w14:paraId="108A27F8" w14:textId="78852CDF" w:rsidR="00E5449F" w:rsidRDefault="00C9178D" w:rsidP="00260F11">
      <w:pPr>
        <w:pStyle w:val="ListParagraph"/>
        <w:spacing w:line="360" w:lineRule="auto"/>
        <w:ind w:left="0"/>
        <w:rPr>
          <w:color w:val="000000" w:themeColor="text1"/>
          <w:szCs w:val="18"/>
          <w:lang w:val="nl-NL"/>
        </w:rPr>
      </w:pPr>
      <w:r>
        <w:rPr>
          <w:color w:val="000000" w:themeColor="text1"/>
          <w:szCs w:val="18"/>
          <w:lang w:val="nl-NL"/>
        </w:rPr>
        <w:t xml:space="preserve">De vraag of dit inhoudelijk tot een verandering zal leiden, dient m.i. negatief te worden beantwoord. De wetgever heeft immers in de memorie van toelichting gesteld dat het niet de bedoeling is om </w:t>
      </w:r>
      <w:r>
        <w:rPr>
          <w:color w:val="000000" w:themeColor="text1"/>
          <w:szCs w:val="18"/>
          <w:lang w:val="nl-NL"/>
        </w:rPr>
        <w:lastRenderedPageBreak/>
        <w:t>gedragingen die onder de oude strafbaarstelling ressorteerden, nu niet meer te viseren met de huidige strafbaarstelling.</w:t>
      </w:r>
      <w:r>
        <w:rPr>
          <w:rStyle w:val="FootnoteReference"/>
          <w:color w:val="000000" w:themeColor="text1"/>
          <w:szCs w:val="18"/>
          <w:lang w:val="nl-NL"/>
        </w:rPr>
        <w:footnoteReference w:id="609"/>
      </w:r>
      <w:r w:rsidR="00755320">
        <w:rPr>
          <w:color w:val="000000" w:themeColor="text1"/>
          <w:szCs w:val="18"/>
          <w:lang w:val="nl-NL"/>
        </w:rPr>
        <w:t xml:space="preserve"> </w:t>
      </w:r>
    </w:p>
    <w:p w14:paraId="281753CF" w14:textId="77777777" w:rsidR="00E5449F" w:rsidRDefault="00E5449F" w:rsidP="00260F11">
      <w:pPr>
        <w:pStyle w:val="ListParagraph"/>
        <w:spacing w:line="360" w:lineRule="auto"/>
        <w:ind w:left="0"/>
        <w:rPr>
          <w:color w:val="000000" w:themeColor="text1"/>
          <w:szCs w:val="18"/>
          <w:lang w:val="nl-NL"/>
        </w:rPr>
      </w:pPr>
    </w:p>
    <w:p w14:paraId="3CF309A1" w14:textId="1E814630" w:rsidR="00051371" w:rsidRDefault="00E06575" w:rsidP="00260F11">
      <w:pPr>
        <w:pStyle w:val="ListParagraph"/>
        <w:spacing w:line="360" w:lineRule="auto"/>
        <w:ind w:left="0"/>
        <w:rPr>
          <w:color w:val="000000" w:themeColor="text1"/>
          <w:szCs w:val="18"/>
          <w:lang w:val="nl-NL"/>
        </w:rPr>
      </w:pPr>
      <w:r>
        <w:rPr>
          <w:color w:val="000000" w:themeColor="text1"/>
          <w:szCs w:val="18"/>
          <w:lang w:val="nl-NL"/>
        </w:rPr>
        <w:t xml:space="preserve">De voornaamste kritiek m.b.t. de vereiste van ernst hield </w:t>
      </w:r>
      <w:r w:rsidR="00051371">
        <w:rPr>
          <w:color w:val="000000" w:themeColor="text1"/>
          <w:szCs w:val="18"/>
          <w:lang w:val="nl-NL"/>
        </w:rPr>
        <w:t xml:space="preserve">bovendien </w:t>
      </w:r>
      <w:r>
        <w:rPr>
          <w:color w:val="000000" w:themeColor="text1"/>
          <w:szCs w:val="18"/>
          <w:lang w:val="nl-NL"/>
        </w:rPr>
        <w:t>verband met</w:t>
      </w:r>
      <w:r w:rsidR="00755320" w:rsidRPr="00755320">
        <w:rPr>
          <w:color w:val="000000" w:themeColor="text1"/>
          <w:szCs w:val="18"/>
          <w:lang w:val="nl-NL"/>
        </w:rPr>
        <w:t xml:space="preserve"> de vaagheid van het begrip</w:t>
      </w:r>
      <w:r w:rsidR="00755320">
        <w:rPr>
          <w:color w:val="000000" w:themeColor="text1"/>
          <w:szCs w:val="18"/>
          <w:lang w:val="nl-NL"/>
        </w:rPr>
        <w:t xml:space="preserve"> </w:t>
      </w:r>
      <w:r>
        <w:rPr>
          <w:color w:val="000000" w:themeColor="text1"/>
          <w:szCs w:val="18"/>
          <w:lang w:val="nl-NL"/>
        </w:rPr>
        <w:t>waardoor</w:t>
      </w:r>
      <w:r w:rsidR="00755320" w:rsidRPr="00755320">
        <w:rPr>
          <w:color w:val="000000" w:themeColor="text1"/>
          <w:szCs w:val="18"/>
          <w:lang w:val="nl-NL"/>
        </w:rPr>
        <w:t xml:space="preserve"> persoonlijke oordelen m.b.t. seksualiteit een rol </w:t>
      </w:r>
      <w:r>
        <w:rPr>
          <w:color w:val="000000" w:themeColor="text1"/>
          <w:szCs w:val="18"/>
          <w:lang w:val="nl-NL"/>
        </w:rPr>
        <w:t xml:space="preserve">zouden </w:t>
      </w:r>
      <w:r w:rsidR="00755320" w:rsidRPr="00755320">
        <w:rPr>
          <w:color w:val="000000" w:themeColor="text1"/>
          <w:szCs w:val="18"/>
          <w:lang w:val="nl-NL"/>
        </w:rPr>
        <w:t>kunnen spelen.</w:t>
      </w:r>
      <w:r w:rsidR="00755320">
        <w:rPr>
          <w:color w:val="000000" w:themeColor="text1"/>
          <w:szCs w:val="18"/>
          <w:lang w:val="nl-NL"/>
        </w:rPr>
        <w:t xml:space="preserve"> Door niet meer bijkomend te vereisen</w:t>
      </w:r>
      <w:r>
        <w:rPr>
          <w:color w:val="000000" w:themeColor="text1"/>
          <w:szCs w:val="18"/>
          <w:lang w:val="nl-NL"/>
        </w:rPr>
        <w:t xml:space="preserve"> dat de seksuele gedraging ernstig diende te zijn</w:t>
      </w:r>
      <w:r w:rsidR="00755320">
        <w:rPr>
          <w:color w:val="000000" w:themeColor="text1"/>
          <w:szCs w:val="18"/>
          <w:lang w:val="nl-NL"/>
        </w:rPr>
        <w:t>,</w:t>
      </w:r>
      <w:r>
        <w:rPr>
          <w:color w:val="000000" w:themeColor="text1"/>
          <w:szCs w:val="18"/>
          <w:lang w:val="nl-NL"/>
        </w:rPr>
        <w:t xml:space="preserve"> maar hieromtrent te stellen dat dit impliciet vervat is in de vereiste van het seksueel karakter van de gedraging</w:t>
      </w:r>
      <w:r w:rsidR="00755320">
        <w:rPr>
          <w:color w:val="000000" w:themeColor="text1"/>
          <w:szCs w:val="18"/>
          <w:lang w:val="nl-NL"/>
        </w:rPr>
        <w:t xml:space="preserve">, </w:t>
      </w:r>
      <w:r>
        <w:rPr>
          <w:color w:val="000000" w:themeColor="text1"/>
          <w:szCs w:val="18"/>
          <w:lang w:val="nl-NL"/>
        </w:rPr>
        <w:t xml:space="preserve">dient te worden nagegaan of </w:t>
      </w:r>
      <w:r w:rsidR="008306A2">
        <w:rPr>
          <w:color w:val="000000" w:themeColor="text1"/>
          <w:szCs w:val="18"/>
          <w:lang w:val="nl-NL"/>
        </w:rPr>
        <w:t>het</w:t>
      </w:r>
      <w:r>
        <w:rPr>
          <w:color w:val="000000" w:themeColor="text1"/>
          <w:szCs w:val="18"/>
          <w:lang w:val="nl-NL"/>
        </w:rPr>
        <w:t xml:space="preserve"> begrip </w:t>
      </w:r>
      <w:r w:rsidR="008306A2">
        <w:rPr>
          <w:color w:val="000000" w:themeColor="text1"/>
          <w:szCs w:val="18"/>
          <w:lang w:val="nl-NL"/>
        </w:rPr>
        <w:t xml:space="preserve">“seksueel” </w:t>
      </w:r>
      <w:r>
        <w:rPr>
          <w:color w:val="000000" w:themeColor="text1"/>
          <w:szCs w:val="18"/>
          <w:lang w:val="nl-NL"/>
        </w:rPr>
        <w:t>onder het huidige recht verhelpt aan voornoemd pijnpunt.</w:t>
      </w:r>
      <w:r w:rsidR="00051371">
        <w:rPr>
          <w:color w:val="000000" w:themeColor="text1"/>
          <w:szCs w:val="18"/>
          <w:lang w:val="nl-NL"/>
        </w:rPr>
        <w:t xml:space="preserve"> </w:t>
      </w:r>
    </w:p>
    <w:p w14:paraId="7606D512" w14:textId="77777777" w:rsidR="00051371" w:rsidRDefault="00051371" w:rsidP="00260F11">
      <w:pPr>
        <w:pStyle w:val="ListParagraph"/>
        <w:spacing w:line="360" w:lineRule="auto"/>
        <w:ind w:left="0"/>
        <w:rPr>
          <w:color w:val="000000" w:themeColor="text1"/>
          <w:szCs w:val="18"/>
          <w:lang w:val="nl-NL"/>
        </w:rPr>
      </w:pPr>
    </w:p>
    <w:p w14:paraId="01D1B9D9" w14:textId="174FA2E3" w:rsidR="00515BCF" w:rsidRDefault="00E06575" w:rsidP="00260F11">
      <w:pPr>
        <w:pStyle w:val="ListParagraph"/>
        <w:spacing w:line="360" w:lineRule="auto"/>
        <w:ind w:left="0"/>
        <w:rPr>
          <w:color w:val="000000" w:themeColor="text1"/>
          <w:szCs w:val="18"/>
          <w:lang w:val="nl-NL"/>
        </w:rPr>
      </w:pPr>
      <w:r>
        <w:rPr>
          <w:color w:val="000000" w:themeColor="text1"/>
          <w:szCs w:val="18"/>
          <w:lang w:val="nl-NL"/>
        </w:rPr>
        <w:t xml:space="preserve">Gelet op de sobere toelichting m.b.t. </w:t>
      </w:r>
      <w:r w:rsidR="00755320">
        <w:rPr>
          <w:color w:val="000000" w:themeColor="text1"/>
          <w:szCs w:val="18"/>
          <w:lang w:val="nl-NL"/>
        </w:rPr>
        <w:t xml:space="preserve">het beoordelingscriterium van wat </w:t>
      </w:r>
      <w:r>
        <w:rPr>
          <w:color w:val="000000" w:themeColor="text1"/>
          <w:szCs w:val="18"/>
          <w:lang w:val="nl-NL"/>
        </w:rPr>
        <w:t xml:space="preserve">als </w:t>
      </w:r>
      <w:r w:rsidR="00755320">
        <w:rPr>
          <w:color w:val="000000" w:themeColor="text1"/>
          <w:szCs w:val="18"/>
          <w:lang w:val="nl-NL"/>
        </w:rPr>
        <w:t xml:space="preserve">seksueel </w:t>
      </w:r>
      <w:r>
        <w:rPr>
          <w:color w:val="000000" w:themeColor="text1"/>
          <w:szCs w:val="18"/>
          <w:lang w:val="nl-NL"/>
        </w:rPr>
        <w:t>moet worden beschouwd, wordt hier m.i. niet aan verholpen</w:t>
      </w:r>
      <w:r w:rsidR="00755320">
        <w:rPr>
          <w:color w:val="000000" w:themeColor="text1"/>
          <w:szCs w:val="18"/>
          <w:lang w:val="nl-NL"/>
        </w:rPr>
        <w:t xml:space="preserve">. </w:t>
      </w:r>
      <w:r w:rsidR="008F2A5F">
        <w:rPr>
          <w:color w:val="000000" w:themeColor="text1"/>
          <w:szCs w:val="18"/>
          <w:lang w:val="nl-NL"/>
        </w:rPr>
        <w:t>Dit zou m.i. wel het geval zijn</w:t>
      </w:r>
      <w:r w:rsidR="00755320">
        <w:rPr>
          <w:color w:val="000000" w:themeColor="text1"/>
          <w:szCs w:val="18"/>
          <w:lang w:val="nl-NL"/>
        </w:rPr>
        <w:t xml:space="preserve"> wanneer de</w:t>
      </w:r>
      <w:r w:rsidR="006D29BD">
        <w:rPr>
          <w:color w:val="000000" w:themeColor="text1"/>
          <w:szCs w:val="18"/>
          <w:lang w:val="nl-NL"/>
        </w:rPr>
        <w:t xml:space="preserve"> reeds</w:t>
      </w:r>
      <w:r w:rsidR="00755320">
        <w:rPr>
          <w:color w:val="000000" w:themeColor="text1"/>
          <w:szCs w:val="18"/>
          <w:lang w:val="nl-NL"/>
        </w:rPr>
        <w:t xml:space="preserve"> hoger </w:t>
      </w:r>
      <w:r w:rsidR="006D29BD">
        <w:rPr>
          <w:color w:val="000000" w:themeColor="text1"/>
          <w:szCs w:val="18"/>
          <w:lang w:val="nl-NL"/>
        </w:rPr>
        <w:t>geformuleerde</w:t>
      </w:r>
      <w:r w:rsidR="00755320">
        <w:rPr>
          <w:color w:val="000000" w:themeColor="text1"/>
          <w:szCs w:val="18"/>
          <w:lang w:val="nl-NL"/>
        </w:rPr>
        <w:t xml:space="preserve"> aanbeveling wordt nageleefd</w:t>
      </w:r>
      <w:r w:rsidR="008306A2">
        <w:rPr>
          <w:color w:val="000000" w:themeColor="text1"/>
          <w:szCs w:val="18"/>
          <w:lang w:val="nl-NL"/>
        </w:rPr>
        <w:t xml:space="preserve"> m.b.t. de definiëring van “seksueel”</w:t>
      </w:r>
      <w:r w:rsidR="00755320">
        <w:rPr>
          <w:color w:val="000000" w:themeColor="text1"/>
          <w:szCs w:val="18"/>
          <w:lang w:val="nl-NL"/>
        </w:rPr>
        <w:t>.</w:t>
      </w:r>
      <w:r w:rsidR="00755320">
        <w:rPr>
          <w:rStyle w:val="FootnoteReference"/>
          <w:color w:val="000000" w:themeColor="text1"/>
          <w:szCs w:val="18"/>
          <w:lang w:val="nl-NL"/>
        </w:rPr>
        <w:footnoteReference w:id="610"/>
      </w:r>
      <w:r w:rsidR="008F2A5F">
        <w:rPr>
          <w:color w:val="000000" w:themeColor="text1"/>
          <w:szCs w:val="18"/>
          <w:lang w:val="nl-NL"/>
        </w:rPr>
        <w:t xml:space="preserve"> In dat geval is immers duidelijker afgebakend wat dient te worden verstaan als seksueel.</w:t>
      </w:r>
    </w:p>
    <w:p w14:paraId="63B6AAE9" w14:textId="6138D26F" w:rsidR="00C2151A" w:rsidRPr="00515BCF" w:rsidRDefault="00C2151A" w:rsidP="00260F11">
      <w:pPr>
        <w:spacing w:line="360" w:lineRule="auto"/>
        <w:rPr>
          <w:b/>
          <w:color w:val="000000" w:themeColor="text1"/>
          <w:szCs w:val="18"/>
          <w:lang w:val="nl-NL"/>
        </w:rPr>
      </w:pPr>
    </w:p>
    <w:p w14:paraId="384F36E3" w14:textId="5D876C2D" w:rsidR="008F4AA5" w:rsidRPr="000F01B5" w:rsidRDefault="00F02B60" w:rsidP="00260F11">
      <w:pPr>
        <w:pStyle w:val="Heading4"/>
        <w:spacing w:line="360" w:lineRule="auto"/>
        <w:rPr>
          <w:lang w:val="nl-NL"/>
        </w:rPr>
      </w:pPr>
      <w:bookmarkStart w:id="84" w:name="_Toc135041112"/>
      <w:r w:rsidRPr="00515BCF">
        <w:rPr>
          <w:lang w:val="nl-NL"/>
        </w:rPr>
        <w:t>R</w:t>
      </w:r>
      <w:r>
        <w:rPr>
          <w:lang w:val="nl-NL"/>
        </w:rPr>
        <w:t>ol van het slachtoffer</w:t>
      </w:r>
      <w:bookmarkEnd w:id="84"/>
    </w:p>
    <w:p w14:paraId="004AEF25" w14:textId="6E255770" w:rsidR="00E7708A" w:rsidRDefault="000D6D8F" w:rsidP="00260F11">
      <w:pPr>
        <w:pStyle w:val="Heading5"/>
        <w:spacing w:line="360" w:lineRule="auto"/>
        <w:rPr>
          <w:lang w:val="nl-NL"/>
        </w:rPr>
      </w:pPr>
      <w:bookmarkStart w:id="85" w:name="_Toc135041113"/>
      <w:r>
        <w:rPr>
          <w:lang w:val="nl-NL"/>
        </w:rPr>
        <w:t>Formulering</w:t>
      </w:r>
      <w:r w:rsidR="000F01B5">
        <w:rPr>
          <w:lang w:val="nl-NL"/>
        </w:rPr>
        <w:t xml:space="preserve"> strafbaarstelling</w:t>
      </w:r>
      <w:bookmarkEnd w:id="85"/>
    </w:p>
    <w:p w14:paraId="3D57794A" w14:textId="448AFCE4" w:rsidR="00E7708A" w:rsidRDefault="00E7708A" w:rsidP="00260F11">
      <w:pPr>
        <w:pStyle w:val="ListParagraph"/>
        <w:spacing w:line="360" w:lineRule="auto"/>
        <w:ind w:left="0"/>
        <w:rPr>
          <w:color w:val="000000" w:themeColor="text1"/>
          <w:szCs w:val="18"/>
          <w:lang w:val="nl-NL"/>
        </w:rPr>
      </w:pPr>
    </w:p>
    <w:p w14:paraId="2FDB183D" w14:textId="6474A7AF" w:rsidR="00E7708A" w:rsidRPr="00217C6D" w:rsidRDefault="001E1D6B" w:rsidP="00260F11">
      <w:pPr>
        <w:pStyle w:val="ListParagraph"/>
        <w:numPr>
          <w:ilvl w:val="0"/>
          <w:numId w:val="1"/>
        </w:numPr>
        <w:spacing w:line="360" w:lineRule="auto"/>
        <w:ind w:left="0" w:hanging="709"/>
        <w:rPr>
          <w:color w:val="000000" w:themeColor="text1"/>
          <w:szCs w:val="18"/>
          <w:lang w:val="nl-NL"/>
        </w:rPr>
      </w:pPr>
      <w:r>
        <w:rPr>
          <w:b/>
          <w:szCs w:val="18"/>
          <w:lang w:val="nl-NL"/>
        </w:rPr>
        <w:t>Formulering</w:t>
      </w:r>
      <w:r w:rsidRPr="005B3051">
        <w:rPr>
          <w:szCs w:val="18"/>
          <w:lang w:val="nl-NL"/>
        </w:rPr>
        <w:t>.</w:t>
      </w:r>
      <w:r>
        <w:rPr>
          <w:b/>
          <w:szCs w:val="18"/>
          <w:lang w:val="nl-NL"/>
        </w:rPr>
        <w:t xml:space="preserve"> </w:t>
      </w:r>
      <w:r w:rsidR="009E67CD">
        <w:rPr>
          <w:szCs w:val="18"/>
          <w:lang w:val="nl-NL"/>
        </w:rPr>
        <w:t>Aantasting</w:t>
      </w:r>
      <w:r w:rsidR="005512D1">
        <w:rPr>
          <w:szCs w:val="18"/>
          <w:lang w:val="nl-NL"/>
        </w:rPr>
        <w:t xml:space="preserve"> van de seksuele integriteit</w:t>
      </w:r>
      <w:r w:rsidR="009E67CD">
        <w:rPr>
          <w:szCs w:val="18"/>
          <w:lang w:val="nl-NL"/>
        </w:rPr>
        <w:t xml:space="preserve"> wordt – ter herinnering </w:t>
      </w:r>
      <w:r w:rsidR="00051371">
        <w:rPr>
          <w:szCs w:val="18"/>
          <w:lang w:val="nl-NL"/>
        </w:rPr>
        <w:t>–</w:t>
      </w:r>
      <w:r w:rsidR="005512D1">
        <w:rPr>
          <w:szCs w:val="18"/>
          <w:lang w:val="nl-NL"/>
        </w:rPr>
        <w:t xml:space="preserve"> als volgt gedefinieerd: </w:t>
      </w:r>
      <w:r w:rsidR="005512D1" w:rsidRPr="005512D1">
        <w:rPr>
          <w:i/>
          <w:szCs w:val="18"/>
          <w:lang w:val="nl-NL"/>
        </w:rPr>
        <w:t>“Aantasting van de seksuele integriteit is het stellen van een seksuele handeling op een persoon die daar niet in toestemt</w:t>
      </w:r>
      <w:r w:rsidR="005512D1" w:rsidRPr="009E67CD">
        <w:rPr>
          <w:b/>
          <w:i/>
          <w:szCs w:val="18"/>
          <w:lang w:val="nl-NL"/>
        </w:rPr>
        <w:t>, al dan niet met behulp van een derde persoon die daar niet in toestemt, dan wel het laten stellen van een seksuele handeling door een persoon die daar niet in toestemt</w:t>
      </w:r>
      <w:r w:rsidR="005512D1" w:rsidRPr="005512D1">
        <w:rPr>
          <w:i/>
          <w:szCs w:val="18"/>
          <w:lang w:val="nl-NL"/>
        </w:rPr>
        <w:t>.</w:t>
      </w:r>
      <w:r w:rsidR="005512D1">
        <w:rPr>
          <w:i/>
          <w:szCs w:val="18"/>
          <w:lang w:val="nl-NL"/>
        </w:rPr>
        <w:t>”</w:t>
      </w:r>
      <w:r w:rsidR="009E67CD">
        <w:rPr>
          <w:i/>
          <w:szCs w:val="18"/>
          <w:lang w:val="nl-NL"/>
        </w:rPr>
        <w:t xml:space="preserve"> </w:t>
      </w:r>
      <w:r w:rsidR="009E67CD">
        <w:rPr>
          <w:szCs w:val="18"/>
          <w:lang w:val="nl-NL"/>
        </w:rPr>
        <w:t>(eigen aanduidingen)</w:t>
      </w:r>
      <w:r w:rsidR="005512D1" w:rsidRPr="005512D1">
        <w:rPr>
          <w:szCs w:val="18"/>
          <w:lang w:val="nl-NL"/>
        </w:rPr>
        <w:t>.</w:t>
      </w:r>
      <w:r w:rsidR="005512D1" w:rsidRPr="005512D1">
        <w:rPr>
          <w:rStyle w:val="FootnoteReference"/>
          <w:szCs w:val="18"/>
          <w:lang w:val="nl-NL"/>
        </w:rPr>
        <w:footnoteReference w:id="611"/>
      </w:r>
    </w:p>
    <w:p w14:paraId="504E62E8" w14:textId="77777777" w:rsidR="00217C6D" w:rsidRPr="009E67CD" w:rsidRDefault="00217C6D" w:rsidP="00260F11">
      <w:pPr>
        <w:pStyle w:val="ListParagraph"/>
        <w:spacing w:line="360" w:lineRule="auto"/>
        <w:ind w:left="0"/>
        <w:rPr>
          <w:color w:val="000000" w:themeColor="text1"/>
          <w:szCs w:val="18"/>
          <w:lang w:val="nl-NL"/>
        </w:rPr>
      </w:pPr>
    </w:p>
    <w:p w14:paraId="4C34998E" w14:textId="0FC41CBF" w:rsidR="00F02B60" w:rsidRDefault="009E67CD" w:rsidP="00260F11">
      <w:pPr>
        <w:pStyle w:val="ListParagraph"/>
        <w:spacing w:line="360" w:lineRule="auto"/>
        <w:ind w:left="0"/>
        <w:rPr>
          <w:color w:val="000000" w:themeColor="text1"/>
          <w:szCs w:val="18"/>
          <w:lang w:val="nl-NL"/>
        </w:rPr>
      </w:pPr>
      <w:r w:rsidRPr="009E67CD">
        <w:rPr>
          <w:color w:val="000000" w:themeColor="text1"/>
          <w:szCs w:val="18"/>
          <w:lang w:val="nl-NL"/>
        </w:rPr>
        <w:t xml:space="preserve">De wetgever </w:t>
      </w:r>
      <w:r w:rsidR="00DD5B85">
        <w:rPr>
          <w:color w:val="000000" w:themeColor="text1"/>
          <w:szCs w:val="18"/>
          <w:lang w:val="nl-NL"/>
        </w:rPr>
        <w:t>wilde</w:t>
      </w:r>
      <w:r w:rsidRPr="009E67CD">
        <w:rPr>
          <w:color w:val="000000" w:themeColor="text1"/>
          <w:szCs w:val="18"/>
          <w:lang w:val="nl-NL"/>
        </w:rPr>
        <w:t xml:space="preserve"> met </w:t>
      </w:r>
      <w:r w:rsidR="004D7267">
        <w:rPr>
          <w:color w:val="000000" w:themeColor="text1"/>
          <w:szCs w:val="18"/>
          <w:lang w:val="nl-NL"/>
        </w:rPr>
        <w:t>het vetgedrukte gedeelte</w:t>
      </w:r>
      <w:r w:rsidRPr="009E67CD">
        <w:rPr>
          <w:color w:val="000000" w:themeColor="text1"/>
          <w:szCs w:val="18"/>
          <w:lang w:val="nl-NL"/>
        </w:rPr>
        <w:t xml:space="preserve"> twee situaties viseren: enerzijds </w:t>
      </w:r>
      <w:r w:rsidR="00E4513E" w:rsidRPr="009E67CD">
        <w:rPr>
          <w:color w:val="000000" w:themeColor="text1"/>
          <w:szCs w:val="18"/>
          <w:lang w:val="nl-NL"/>
        </w:rPr>
        <w:t>de situatie waarin de dader een derde</w:t>
      </w:r>
      <w:r w:rsidR="00E4513E">
        <w:rPr>
          <w:rStyle w:val="FootnoteReference"/>
          <w:color w:val="000000" w:themeColor="text1"/>
          <w:szCs w:val="18"/>
          <w:lang w:val="nl-NL"/>
        </w:rPr>
        <w:footnoteReference w:id="612"/>
      </w:r>
      <w:r w:rsidR="00E4513E" w:rsidRPr="009E67CD">
        <w:rPr>
          <w:color w:val="000000" w:themeColor="text1"/>
          <w:szCs w:val="18"/>
          <w:lang w:val="nl-NL"/>
        </w:rPr>
        <w:t xml:space="preserve"> </w:t>
      </w:r>
      <w:r w:rsidR="00E4513E">
        <w:rPr>
          <w:color w:val="000000" w:themeColor="text1"/>
          <w:szCs w:val="18"/>
          <w:lang w:val="nl-NL"/>
        </w:rPr>
        <w:t>betrekt</w:t>
      </w:r>
      <w:r w:rsidR="00E4513E" w:rsidRPr="009E67CD">
        <w:rPr>
          <w:color w:val="000000" w:themeColor="text1"/>
          <w:szCs w:val="18"/>
          <w:lang w:val="nl-NL"/>
        </w:rPr>
        <w:t xml:space="preserve"> bij het misdrijf</w:t>
      </w:r>
      <w:r w:rsidR="00E4513E" w:rsidRPr="00E4513E">
        <w:rPr>
          <w:color w:val="000000" w:themeColor="text1"/>
          <w:szCs w:val="18"/>
          <w:lang w:val="nl-NL"/>
        </w:rPr>
        <w:t xml:space="preserve"> </w:t>
      </w:r>
      <w:r w:rsidR="00E4513E" w:rsidRPr="009E67CD">
        <w:rPr>
          <w:color w:val="000000" w:themeColor="text1"/>
          <w:szCs w:val="18"/>
          <w:lang w:val="nl-NL"/>
        </w:rPr>
        <w:t>en anderzijds</w:t>
      </w:r>
      <w:r w:rsidR="00E4513E">
        <w:rPr>
          <w:color w:val="000000" w:themeColor="text1"/>
          <w:szCs w:val="18"/>
          <w:lang w:val="nl-NL"/>
        </w:rPr>
        <w:t xml:space="preserve"> </w:t>
      </w:r>
      <w:r w:rsidRPr="009E67CD">
        <w:rPr>
          <w:color w:val="000000" w:themeColor="text1"/>
          <w:szCs w:val="18"/>
          <w:lang w:val="nl-NL"/>
        </w:rPr>
        <w:t>de situatie waarin het slachtoffer als instrument wordt gebruikt</w:t>
      </w:r>
      <w:r w:rsidR="00E4513E">
        <w:rPr>
          <w:color w:val="000000" w:themeColor="text1"/>
          <w:szCs w:val="18"/>
          <w:lang w:val="nl-NL"/>
        </w:rPr>
        <w:t>.</w:t>
      </w:r>
      <w:r>
        <w:rPr>
          <w:rStyle w:val="FootnoteReference"/>
          <w:color w:val="000000" w:themeColor="text1"/>
          <w:szCs w:val="18"/>
          <w:lang w:val="nl-NL"/>
        </w:rPr>
        <w:footnoteReference w:id="613"/>
      </w:r>
      <w:r>
        <w:rPr>
          <w:color w:val="000000" w:themeColor="text1"/>
          <w:szCs w:val="18"/>
          <w:lang w:val="nl-NL"/>
        </w:rPr>
        <w:t xml:space="preserve"> </w:t>
      </w:r>
    </w:p>
    <w:p w14:paraId="18F3C304" w14:textId="77777777" w:rsidR="00F02B60" w:rsidRPr="00F02B60" w:rsidRDefault="00F02B60" w:rsidP="00260F11">
      <w:pPr>
        <w:pStyle w:val="ListParagraph"/>
        <w:spacing w:line="360" w:lineRule="auto"/>
        <w:rPr>
          <w:b/>
          <w:color w:val="000000" w:themeColor="text1"/>
          <w:szCs w:val="18"/>
          <w:lang w:val="nl-NL"/>
        </w:rPr>
      </w:pPr>
    </w:p>
    <w:p w14:paraId="2AF05D41" w14:textId="6A51CA66" w:rsidR="00F02B60" w:rsidRDefault="004D7267" w:rsidP="00260F11">
      <w:pPr>
        <w:pStyle w:val="ListParagraph"/>
        <w:numPr>
          <w:ilvl w:val="0"/>
          <w:numId w:val="1"/>
        </w:numPr>
        <w:spacing w:line="360" w:lineRule="auto"/>
        <w:ind w:left="0" w:hanging="709"/>
        <w:rPr>
          <w:color w:val="000000" w:themeColor="text1"/>
          <w:szCs w:val="18"/>
          <w:lang w:val="nl-NL"/>
        </w:rPr>
      </w:pPr>
      <w:r w:rsidRPr="00F02B60">
        <w:rPr>
          <w:b/>
          <w:color w:val="000000" w:themeColor="text1"/>
          <w:szCs w:val="18"/>
          <w:lang w:val="nl-NL"/>
        </w:rPr>
        <w:t>Dader betrekt derde</w:t>
      </w:r>
      <w:r w:rsidRPr="00F02B60">
        <w:rPr>
          <w:color w:val="000000" w:themeColor="text1"/>
          <w:szCs w:val="18"/>
          <w:lang w:val="nl-NL"/>
        </w:rPr>
        <w:t>. De situatie waarin de dader een derde betrekt bij het misdrijf,</w:t>
      </w:r>
      <w:r w:rsidR="009E67CD" w:rsidRPr="00F02B60">
        <w:rPr>
          <w:color w:val="000000" w:themeColor="text1"/>
          <w:szCs w:val="18"/>
          <w:lang w:val="nl-NL"/>
        </w:rPr>
        <w:t xml:space="preserve"> moet juridisch gezien niet opgenomen worden</w:t>
      </w:r>
      <w:r w:rsidRPr="00F02B60">
        <w:rPr>
          <w:color w:val="000000" w:themeColor="text1"/>
          <w:szCs w:val="18"/>
          <w:lang w:val="nl-NL"/>
        </w:rPr>
        <w:t xml:space="preserve"> in de strafbaarstelling.</w:t>
      </w:r>
      <w:r w:rsidRPr="00EF15EE">
        <w:rPr>
          <w:rStyle w:val="FootnoteReference"/>
          <w:color w:val="000000" w:themeColor="text1"/>
          <w:szCs w:val="18"/>
          <w:lang w:val="nl-NL"/>
        </w:rPr>
        <w:footnoteReference w:id="614"/>
      </w:r>
      <w:r w:rsidRPr="00F02B60">
        <w:rPr>
          <w:color w:val="000000" w:themeColor="text1"/>
          <w:szCs w:val="18"/>
          <w:lang w:val="nl-NL"/>
        </w:rPr>
        <w:t xml:space="preserve"> Desondanks</w:t>
      </w:r>
      <w:r w:rsidR="009E67CD" w:rsidRPr="00F02B60">
        <w:rPr>
          <w:color w:val="000000" w:themeColor="text1"/>
          <w:szCs w:val="18"/>
          <w:lang w:val="nl-NL"/>
        </w:rPr>
        <w:t xml:space="preserve"> werd</w:t>
      </w:r>
      <w:r w:rsidRPr="00F02B60">
        <w:rPr>
          <w:color w:val="000000" w:themeColor="text1"/>
          <w:szCs w:val="18"/>
          <w:lang w:val="nl-NL"/>
        </w:rPr>
        <w:t xml:space="preserve"> dit</w:t>
      </w:r>
      <w:r w:rsidR="009E67CD" w:rsidRPr="00F02B60">
        <w:rPr>
          <w:color w:val="000000" w:themeColor="text1"/>
          <w:szCs w:val="18"/>
          <w:lang w:val="nl-NL"/>
        </w:rPr>
        <w:t xml:space="preserve"> “duidelijkheidshalve” expliciet opgenomen in het misdrijf.</w:t>
      </w:r>
      <w:r w:rsidR="003007EA" w:rsidRPr="00EF15EE">
        <w:rPr>
          <w:rStyle w:val="FootnoteReference"/>
          <w:color w:val="000000" w:themeColor="text1"/>
          <w:szCs w:val="18"/>
          <w:lang w:val="nl-NL"/>
        </w:rPr>
        <w:footnoteReference w:id="615"/>
      </w:r>
      <w:r w:rsidR="009E67CD" w:rsidRPr="00F02B60">
        <w:rPr>
          <w:color w:val="000000" w:themeColor="text1"/>
          <w:szCs w:val="18"/>
          <w:lang w:val="nl-NL"/>
        </w:rPr>
        <w:t xml:space="preserve"> </w:t>
      </w:r>
      <w:r w:rsidR="003007EA" w:rsidRPr="00F02B60">
        <w:rPr>
          <w:color w:val="000000" w:themeColor="text1"/>
          <w:szCs w:val="18"/>
          <w:lang w:val="nl-NL"/>
        </w:rPr>
        <w:t xml:space="preserve">Deze toevoeging biedt m.i. geenszins meer duidelijkheid, wel integendeel. </w:t>
      </w:r>
    </w:p>
    <w:p w14:paraId="62364148" w14:textId="77777777" w:rsidR="00F02B60" w:rsidRPr="00051371" w:rsidRDefault="00F02B60" w:rsidP="00260F11">
      <w:pPr>
        <w:spacing w:line="360" w:lineRule="auto"/>
        <w:rPr>
          <w:color w:val="000000" w:themeColor="text1"/>
          <w:szCs w:val="18"/>
          <w:lang w:val="nl-NL"/>
        </w:rPr>
      </w:pPr>
    </w:p>
    <w:p w14:paraId="0A3A9E77" w14:textId="21F6FC26" w:rsidR="00F02B60" w:rsidRDefault="00A93044" w:rsidP="00260F11">
      <w:pPr>
        <w:pStyle w:val="ListParagraph"/>
        <w:spacing w:line="360" w:lineRule="auto"/>
        <w:ind w:left="0"/>
        <w:rPr>
          <w:color w:val="000000" w:themeColor="text1"/>
          <w:szCs w:val="18"/>
          <w:lang w:val="nl-NL"/>
        </w:rPr>
      </w:pPr>
      <w:r w:rsidRPr="00F02B60">
        <w:rPr>
          <w:color w:val="000000" w:themeColor="text1"/>
          <w:szCs w:val="18"/>
          <w:lang w:val="nl-NL"/>
        </w:rPr>
        <w:lastRenderedPageBreak/>
        <w:t>Zo is er in</w:t>
      </w:r>
      <w:r w:rsidR="003007EA" w:rsidRPr="00F02B60">
        <w:rPr>
          <w:color w:val="000000" w:themeColor="text1"/>
          <w:szCs w:val="18"/>
          <w:lang w:val="nl-NL"/>
        </w:rPr>
        <w:t xml:space="preserve"> de strafbaarstelling van verkrachting geen gelijkaardige toevoeging te vinden</w:t>
      </w:r>
      <w:r w:rsidR="00051371">
        <w:rPr>
          <w:color w:val="000000" w:themeColor="text1"/>
          <w:szCs w:val="18"/>
          <w:lang w:val="nl-NL"/>
        </w:rPr>
        <w:t>, zodat</w:t>
      </w:r>
      <w:r w:rsidR="004D7267" w:rsidRPr="00F02B60">
        <w:rPr>
          <w:color w:val="000000" w:themeColor="text1"/>
          <w:szCs w:val="18"/>
          <w:lang w:val="nl-NL"/>
        </w:rPr>
        <w:t xml:space="preserve"> </w:t>
      </w:r>
      <w:r w:rsidR="00051371">
        <w:rPr>
          <w:color w:val="000000" w:themeColor="text1"/>
          <w:szCs w:val="18"/>
          <w:lang w:val="nl-NL"/>
        </w:rPr>
        <w:t>e</w:t>
      </w:r>
      <w:r w:rsidR="004D7267" w:rsidRPr="00F02B60">
        <w:rPr>
          <w:color w:val="000000" w:themeColor="text1"/>
          <w:szCs w:val="18"/>
          <w:lang w:val="nl-NL"/>
        </w:rPr>
        <w:t>r sprake</w:t>
      </w:r>
      <w:r w:rsidR="00051371">
        <w:rPr>
          <w:color w:val="000000" w:themeColor="text1"/>
          <w:szCs w:val="18"/>
          <w:lang w:val="nl-NL"/>
        </w:rPr>
        <w:t xml:space="preserve"> is</w:t>
      </w:r>
      <w:r w:rsidR="004D7267" w:rsidRPr="00F02B60">
        <w:rPr>
          <w:color w:val="000000" w:themeColor="text1"/>
          <w:szCs w:val="18"/>
          <w:lang w:val="nl-NL"/>
        </w:rPr>
        <w:t xml:space="preserve"> van een inconsistentie tussen beide strafbaarstellingen</w:t>
      </w:r>
      <w:r w:rsidR="00051371">
        <w:rPr>
          <w:color w:val="000000" w:themeColor="text1"/>
          <w:szCs w:val="18"/>
          <w:lang w:val="nl-NL"/>
        </w:rPr>
        <w:t>. Dit staat in contrast</w:t>
      </w:r>
      <w:r w:rsidR="004D7267" w:rsidRPr="00F02B60">
        <w:rPr>
          <w:color w:val="000000" w:themeColor="text1"/>
          <w:szCs w:val="18"/>
          <w:lang w:val="nl-NL"/>
        </w:rPr>
        <w:t xml:space="preserve"> </w:t>
      </w:r>
      <w:r w:rsidR="00051371">
        <w:rPr>
          <w:color w:val="000000" w:themeColor="text1"/>
          <w:szCs w:val="18"/>
          <w:lang w:val="nl-NL"/>
        </w:rPr>
        <w:t>met</w:t>
      </w:r>
      <w:r w:rsidR="004D7267" w:rsidRPr="00F02B60">
        <w:rPr>
          <w:color w:val="000000" w:themeColor="text1"/>
          <w:szCs w:val="18"/>
          <w:lang w:val="nl-NL"/>
        </w:rPr>
        <w:t xml:space="preserve"> de bedoeling van de wetgever om deze strafbaarstellingen meer op elkaar af te stemmen</w:t>
      </w:r>
      <w:r w:rsidR="003007EA" w:rsidRPr="00F02B60">
        <w:rPr>
          <w:color w:val="000000" w:themeColor="text1"/>
          <w:szCs w:val="18"/>
          <w:lang w:val="nl-NL"/>
        </w:rPr>
        <w:t>.</w:t>
      </w:r>
      <w:r w:rsidR="001C2F72">
        <w:rPr>
          <w:rStyle w:val="FootnoteReference"/>
          <w:color w:val="000000" w:themeColor="text1"/>
          <w:szCs w:val="18"/>
          <w:lang w:val="nl-NL"/>
        </w:rPr>
        <w:footnoteReference w:id="616"/>
      </w:r>
      <w:r w:rsidR="004D7267" w:rsidRPr="00F02B60">
        <w:rPr>
          <w:color w:val="000000" w:themeColor="text1"/>
          <w:szCs w:val="18"/>
          <w:lang w:val="nl-NL"/>
        </w:rPr>
        <w:t xml:space="preserve"> Deze inconsistent</w:t>
      </w:r>
      <w:r w:rsidR="001C2F72" w:rsidRPr="00F02B60">
        <w:rPr>
          <w:color w:val="000000" w:themeColor="text1"/>
          <w:szCs w:val="18"/>
          <w:lang w:val="nl-NL"/>
        </w:rPr>
        <w:t>e formulering</w:t>
      </w:r>
      <w:r w:rsidR="004D7267" w:rsidRPr="00F02B60">
        <w:rPr>
          <w:color w:val="000000" w:themeColor="text1"/>
          <w:szCs w:val="18"/>
          <w:lang w:val="nl-NL"/>
        </w:rPr>
        <w:t xml:space="preserve"> kan m.i.</w:t>
      </w:r>
      <w:r w:rsidR="00051371">
        <w:rPr>
          <w:color w:val="000000" w:themeColor="text1"/>
          <w:szCs w:val="18"/>
          <w:lang w:val="nl-NL"/>
        </w:rPr>
        <w:t xml:space="preserve"> dan ook</w:t>
      </w:r>
      <w:r w:rsidR="004D7267" w:rsidRPr="00F02B60">
        <w:rPr>
          <w:color w:val="000000" w:themeColor="text1"/>
          <w:szCs w:val="18"/>
          <w:lang w:val="nl-NL"/>
        </w:rPr>
        <w:t xml:space="preserve"> aanleiding geven tot rechtsonzekerheid.</w:t>
      </w:r>
    </w:p>
    <w:p w14:paraId="1B341061" w14:textId="77777777" w:rsidR="00E5449F" w:rsidRDefault="00E5449F" w:rsidP="00260F11">
      <w:pPr>
        <w:pStyle w:val="ListParagraph"/>
        <w:spacing w:line="360" w:lineRule="auto"/>
        <w:ind w:left="0"/>
        <w:rPr>
          <w:color w:val="000000" w:themeColor="text1"/>
          <w:szCs w:val="18"/>
          <w:lang w:val="nl-NL"/>
        </w:rPr>
      </w:pPr>
    </w:p>
    <w:p w14:paraId="5FC05B4A" w14:textId="761B23D5" w:rsidR="009E67CD" w:rsidRPr="00F02B60" w:rsidRDefault="0090483F" w:rsidP="00260F11">
      <w:pPr>
        <w:pStyle w:val="ListParagraph"/>
        <w:numPr>
          <w:ilvl w:val="0"/>
          <w:numId w:val="1"/>
        </w:numPr>
        <w:spacing w:line="360" w:lineRule="auto"/>
        <w:ind w:left="0" w:hanging="709"/>
        <w:rPr>
          <w:color w:val="000000" w:themeColor="text1"/>
          <w:szCs w:val="18"/>
          <w:lang w:val="nl-NL"/>
        </w:rPr>
      </w:pPr>
      <w:r w:rsidRPr="00F02B60">
        <w:rPr>
          <w:b/>
          <w:color w:val="000000" w:themeColor="text1"/>
          <w:szCs w:val="18"/>
          <w:lang w:val="nl-NL"/>
        </w:rPr>
        <w:t>Slachtoffer als instrument</w:t>
      </w:r>
      <w:r w:rsidRPr="00F02B60">
        <w:rPr>
          <w:color w:val="000000" w:themeColor="text1"/>
          <w:szCs w:val="18"/>
          <w:lang w:val="nl-NL"/>
        </w:rPr>
        <w:t>. De situatie waarin het slachtoffer door de dader als instrument wordt gebruikt, wordt tevens als aantasting van de seksuele integriteit beschouwd. Dit was eveneens het geval onder het oude recht, zodat dit geen verandering uitmaakt.</w:t>
      </w:r>
    </w:p>
    <w:p w14:paraId="156F0931" w14:textId="77777777" w:rsidR="009E67CD" w:rsidRPr="009E67CD" w:rsidRDefault="009E67CD" w:rsidP="00260F11">
      <w:pPr>
        <w:pStyle w:val="ListParagraph"/>
        <w:spacing w:line="360" w:lineRule="auto"/>
        <w:ind w:left="0"/>
        <w:rPr>
          <w:color w:val="000000" w:themeColor="text1"/>
          <w:szCs w:val="18"/>
          <w:lang w:val="nl-NL"/>
        </w:rPr>
      </w:pPr>
    </w:p>
    <w:p w14:paraId="311ADF70" w14:textId="7787E12B" w:rsidR="00CE2A5F" w:rsidRPr="000D44D0" w:rsidRDefault="00E7708A" w:rsidP="00260F11">
      <w:pPr>
        <w:pStyle w:val="ListParagraph"/>
        <w:numPr>
          <w:ilvl w:val="0"/>
          <w:numId w:val="1"/>
        </w:numPr>
        <w:spacing w:line="360" w:lineRule="auto"/>
        <w:ind w:left="0" w:hanging="709"/>
        <w:rPr>
          <w:i/>
          <w:color w:val="000000" w:themeColor="text1"/>
          <w:szCs w:val="18"/>
          <w:lang w:val="nl-NL"/>
        </w:rPr>
      </w:pPr>
      <w:r w:rsidRPr="00CE2A5F">
        <w:rPr>
          <w:b/>
          <w:color w:val="000000" w:themeColor="text1"/>
          <w:szCs w:val="18"/>
          <w:lang w:val="nl-NL"/>
        </w:rPr>
        <w:t xml:space="preserve">De bewoordingen waaruit </w:t>
      </w:r>
      <w:r w:rsidR="00CE2A5F" w:rsidRPr="00CE2A5F">
        <w:rPr>
          <w:b/>
          <w:color w:val="000000" w:themeColor="text1"/>
          <w:szCs w:val="18"/>
          <w:lang w:val="nl-NL"/>
        </w:rPr>
        <w:t>voornoemde situaties blijken</w:t>
      </w:r>
      <w:r w:rsidRPr="00CE2A5F">
        <w:rPr>
          <w:color w:val="000000" w:themeColor="text1"/>
          <w:szCs w:val="18"/>
          <w:lang w:val="nl-NL"/>
        </w:rPr>
        <w:t xml:space="preserve">. </w:t>
      </w:r>
      <w:r w:rsidR="00CE2A5F">
        <w:rPr>
          <w:color w:val="000000" w:themeColor="text1"/>
          <w:szCs w:val="18"/>
          <w:lang w:val="nl-NL"/>
        </w:rPr>
        <w:t xml:space="preserve">Volgens de memorie van toelichting dient de situatie waarin </w:t>
      </w:r>
      <w:r w:rsidR="000D44D0">
        <w:rPr>
          <w:color w:val="000000" w:themeColor="text1"/>
          <w:szCs w:val="18"/>
          <w:lang w:val="nl-NL"/>
        </w:rPr>
        <w:t>het slachtoffer als instrument wordt gebruikt</w:t>
      </w:r>
      <w:r w:rsidR="000D44D0">
        <w:rPr>
          <w:i/>
          <w:color w:val="000000" w:themeColor="text1"/>
          <w:szCs w:val="18"/>
          <w:lang w:val="nl-NL"/>
        </w:rPr>
        <w:t xml:space="preserve"> </w:t>
      </w:r>
      <w:r w:rsidR="00CE2A5F" w:rsidRPr="000D44D0">
        <w:rPr>
          <w:color w:val="000000" w:themeColor="text1"/>
          <w:szCs w:val="18"/>
          <w:lang w:val="nl-NL"/>
        </w:rPr>
        <w:t>te worden afgeleid uit de bewoordingen</w:t>
      </w:r>
      <w:r w:rsidR="000D44D0" w:rsidRPr="000D44D0">
        <w:rPr>
          <w:color w:val="000000" w:themeColor="text1"/>
          <w:szCs w:val="18"/>
          <w:lang w:val="nl-NL"/>
        </w:rPr>
        <w:t xml:space="preserve"> </w:t>
      </w:r>
      <w:r w:rsidR="000D44D0" w:rsidRPr="000D44D0">
        <w:rPr>
          <w:szCs w:val="18"/>
          <w:lang w:val="nl-NL"/>
        </w:rPr>
        <w:t xml:space="preserve">“met behulp van” en </w:t>
      </w:r>
      <w:r w:rsidR="00303869">
        <w:rPr>
          <w:szCs w:val="18"/>
          <w:lang w:val="nl-NL"/>
        </w:rPr>
        <w:t>dus</w:t>
      </w:r>
      <w:r w:rsidR="000D44D0" w:rsidRPr="000D44D0">
        <w:rPr>
          <w:szCs w:val="18"/>
          <w:lang w:val="nl-NL"/>
        </w:rPr>
        <w:t xml:space="preserve"> uit de zinsnede “</w:t>
      </w:r>
      <w:r w:rsidR="000D44D0" w:rsidRPr="000D44D0">
        <w:rPr>
          <w:i/>
          <w:szCs w:val="18"/>
          <w:lang w:val="nl-NL"/>
        </w:rPr>
        <w:t>al dan niet met behulp van een derde persoon die daar niet in toestemt”</w:t>
      </w:r>
      <w:r w:rsidR="000D44D0" w:rsidRPr="000D44D0">
        <w:rPr>
          <w:color w:val="000000" w:themeColor="text1"/>
          <w:szCs w:val="18"/>
          <w:lang w:val="nl-NL"/>
        </w:rPr>
        <w:t>.</w:t>
      </w:r>
      <w:r w:rsidR="000D44D0" w:rsidRPr="00CE2A5F">
        <w:rPr>
          <w:color w:val="000000" w:themeColor="text1"/>
          <w:vertAlign w:val="superscript"/>
        </w:rPr>
        <w:footnoteReference w:id="617"/>
      </w:r>
      <w:r w:rsidR="000D44D0">
        <w:rPr>
          <w:color w:val="000000" w:themeColor="text1"/>
          <w:szCs w:val="18"/>
          <w:lang w:val="nl-NL"/>
        </w:rPr>
        <w:t xml:space="preserve"> </w:t>
      </w:r>
      <w:r w:rsidR="000D44D0" w:rsidRPr="000D44D0">
        <w:rPr>
          <w:szCs w:val="18"/>
          <w:lang w:val="nl-NL"/>
        </w:rPr>
        <w:t xml:space="preserve">De situatie waarin </w:t>
      </w:r>
      <w:r w:rsidR="000D44D0" w:rsidRPr="000D44D0">
        <w:rPr>
          <w:color w:val="000000" w:themeColor="text1"/>
          <w:szCs w:val="18"/>
          <w:lang w:val="nl-NL"/>
        </w:rPr>
        <w:t>de dader een derde betrekt bij het misdrijf</w:t>
      </w:r>
      <w:r w:rsidR="000D44D0" w:rsidRPr="000D44D0">
        <w:rPr>
          <w:szCs w:val="18"/>
          <w:lang w:val="nl-NL"/>
        </w:rPr>
        <w:t>, zou</w:t>
      </w:r>
      <w:r w:rsidR="00303869">
        <w:rPr>
          <w:szCs w:val="18"/>
          <w:lang w:val="nl-NL"/>
        </w:rPr>
        <w:t xml:space="preserve"> </w:t>
      </w:r>
      <w:r w:rsidR="00051371">
        <w:rPr>
          <w:szCs w:val="18"/>
          <w:lang w:val="nl-NL"/>
        </w:rPr>
        <w:t>ingevolge de memorie van toelichting dan moeten</w:t>
      </w:r>
      <w:r w:rsidR="000D44D0" w:rsidRPr="000D44D0">
        <w:rPr>
          <w:szCs w:val="18"/>
          <w:lang w:val="nl-NL"/>
        </w:rPr>
        <w:t xml:space="preserve"> worden afgeleid uit de woorden:</w:t>
      </w:r>
      <w:r w:rsidR="00CE2A5F" w:rsidRPr="000D44D0">
        <w:rPr>
          <w:color w:val="000000" w:themeColor="text1"/>
          <w:szCs w:val="18"/>
          <w:lang w:val="nl-NL"/>
        </w:rPr>
        <w:t xml:space="preserve"> “</w:t>
      </w:r>
      <w:r w:rsidR="00CE2A5F" w:rsidRPr="000D44D0">
        <w:rPr>
          <w:i/>
          <w:szCs w:val="18"/>
          <w:lang w:val="nl-NL"/>
        </w:rPr>
        <w:t>dan wel het laten stellen van een seksuele handeling door een persoon die daar niet in toestemt”.</w:t>
      </w:r>
      <w:r w:rsidR="00CE2A5F" w:rsidRPr="000D44D0">
        <w:rPr>
          <w:szCs w:val="18"/>
          <w:lang w:val="nl-NL"/>
        </w:rPr>
        <w:t xml:space="preserve"> </w:t>
      </w:r>
    </w:p>
    <w:p w14:paraId="20ACFDB8" w14:textId="77777777" w:rsidR="00CE2A5F" w:rsidRDefault="00CE2A5F" w:rsidP="00260F11">
      <w:pPr>
        <w:pStyle w:val="ListParagraph"/>
        <w:spacing w:line="360" w:lineRule="auto"/>
        <w:ind w:left="0"/>
        <w:rPr>
          <w:b/>
          <w:color w:val="000000" w:themeColor="text1"/>
          <w:szCs w:val="18"/>
          <w:lang w:val="nl-NL"/>
        </w:rPr>
      </w:pPr>
    </w:p>
    <w:p w14:paraId="54358B4E" w14:textId="77777777" w:rsidR="00051371" w:rsidRDefault="00CE2A5F" w:rsidP="00260F11">
      <w:pPr>
        <w:pStyle w:val="ListParagraph"/>
        <w:spacing w:line="360" w:lineRule="auto"/>
        <w:ind w:left="0"/>
        <w:rPr>
          <w:color w:val="000000" w:themeColor="text1"/>
          <w:szCs w:val="18"/>
          <w:lang w:val="nl-NL"/>
        </w:rPr>
      </w:pPr>
      <w:r>
        <w:rPr>
          <w:color w:val="000000" w:themeColor="text1"/>
          <w:szCs w:val="18"/>
          <w:lang w:val="nl-NL"/>
        </w:rPr>
        <w:t xml:space="preserve">De </w:t>
      </w:r>
      <w:r w:rsidR="00303869">
        <w:rPr>
          <w:color w:val="000000" w:themeColor="text1"/>
          <w:szCs w:val="18"/>
          <w:lang w:val="nl-NL"/>
        </w:rPr>
        <w:t>woorden</w:t>
      </w:r>
      <w:r>
        <w:rPr>
          <w:color w:val="000000" w:themeColor="text1"/>
          <w:szCs w:val="18"/>
          <w:lang w:val="nl-NL"/>
        </w:rPr>
        <w:t xml:space="preserve"> “met behulp van” </w:t>
      </w:r>
      <w:r w:rsidR="00303869">
        <w:rPr>
          <w:color w:val="000000" w:themeColor="text1"/>
          <w:szCs w:val="18"/>
          <w:lang w:val="nl-NL"/>
        </w:rPr>
        <w:t>duiden</w:t>
      </w:r>
      <w:r>
        <w:rPr>
          <w:color w:val="000000" w:themeColor="text1"/>
          <w:szCs w:val="18"/>
          <w:lang w:val="nl-NL"/>
        </w:rPr>
        <w:t xml:space="preserve"> inderdaad</w:t>
      </w:r>
      <w:r w:rsidR="00051371">
        <w:rPr>
          <w:color w:val="000000" w:themeColor="text1"/>
          <w:szCs w:val="18"/>
          <w:lang w:val="nl-NL"/>
        </w:rPr>
        <w:t xml:space="preserve"> - in</w:t>
      </w:r>
      <w:r w:rsidR="00E7708A" w:rsidRPr="00CE2A5F">
        <w:rPr>
          <w:color w:val="000000" w:themeColor="text1"/>
          <w:szCs w:val="18"/>
          <w:lang w:val="nl-NL"/>
        </w:rPr>
        <w:t xml:space="preserve"> de oude strafbaarstelling van aanranding van de eerbaarheid</w:t>
      </w:r>
      <w:r>
        <w:rPr>
          <w:rStyle w:val="FootnoteReference"/>
          <w:color w:val="000000" w:themeColor="text1"/>
          <w:szCs w:val="18"/>
          <w:lang w:val="nl-NL"/>
        </w:rPr>
        <w:footnoteReference w:id="618"/>
      </w:r>
      <w:r>
        <w:rPr>
          <w:color w:val="000000" w:themeColor="text1"/>
          <w:szCs w:val="18"/>
          <w:lang w:val="nl-NL"/>
        </w:rPr>
        <w:t xml:space="preserve"> </w:t>
      </w:r>
      <w:r w:rsidR="00E7708A" w:rsidRPr="00CE2A5F">
        <w:rPr>
          <w:color w:val="000000" w:themeColor="text1"/>
          <w:szCs w:val="18"/>
          <w:lang w:val="nl-NL"/>
        </w:rPr>
        <w:t xml:space="preserve">evenals </w:t>
      </w:r>
      <w:r w:rsidR="00051371">
        <w:rPr>
          <w:color w:val="000000" w:themeColor="text1"/>
          <w:szCs w:val="18"/>
          <w:lang w:val="nl-NL"/>
        </w:rPr>
        <w:t>in</w:t>
      </w:r>
      <w:r w:rsidR="00E7708A" w:rsidRPr="00CE2A5F">
        <w:rPr>
          <w:color w:val="000000" w:themeColor="text1"/>
          <w:szCs w:val="18"/>
          <w:lang w:val="nl-NL"/>
        </w:rPr>
        <w:t xml:space="preserve"> de nieuwe strafbaarstelling van verkrachting</w:t>
      </w:r>
      <w:r>
        <w:rPr>
          <w:rStyle w:val="FootnoteReference"/>
          <w:color w:val="000000" w:themeColor="text1"/>
          <w:szCs w:val="18"/>
          <w:lang w:val="nl-NL"/>
        </w:rPr>
        <w:footnoteReference w:id="619"/>
      </w:r>
      <w:r w:rsidR="00E7708A" w:rsidRPr="00CE2A5F">
        <w:rPr>
          <w:color w:val="000000" w:themeColor="text1"/>
          <w:szCs w:val="18"/>
          <w:lang w:val="nl-NL"/>
        </w:rPr>
        <w:t xml:space="preserve"> </w:t>
      </w:r>
      <w:r w:rsidR="00051371">
        <w:rPr>
          <w:color w:val="000000" w:themeColor="text1"/>
          <w:szCs w:val="18"/>
          <w:lang w:val="nl-NL"/>
        </w:rPr>
        <w:t xml:space="preserve">- </w:t>
      </w:r>
      <w:r w:rsidR="000D44D0">
        <w:rPr>
          <w:color w:val="000000" w:themeColor="text1"/>
          <w:szCs w:val="18"/>
          <w:lang w:val="nl-NL"/>
        </w:rPr>
        <w:t xml:space="preserve">op de situatie waarin de dader het slachtoffer als instrument gebruikt. </w:t>
      </w:r>
    </w:p>
    <w:p w14:paraId="75562729" w14:textId="77777777" w:rsidR="00051371" w:rsidRDefault="00051371" w:rsidP="00260F11">
      <w:pPr>
        <w:pStyle w:val="ListParagraph"/>
        <w:spacing w:line="360" w:lineRule="auto"/>
        <w:ind w:left="0"/>
        <w:rPr>
          <w:color w:val="000000" w:themeColor="text1"/>
          <w:szCs w:val="18"/>
          <w:lang w:val="nl-NL"/>
        </w:rPr>
      </w:pPr>
    </w:p>
    <w:p w14:paraId="7422E182" w14:textId="77777777" w:rsidR="00051371" w:rsidRDefault="000D44D0" w:rsidP="00260F11">
      <w:pPr>
        <w:pStyle w:val="ListParagraph"/>
        <w:spacing w:line="360" w:lineRule="auto"/>
        <w:ind w:left="0"/>
        <w:rPr>
          <w:color w:val="000000" w:themeColor="text1"/>
          <w:szCs w:val="18"/>
          <w:lang w:val="nl-NL"/>
        </w:rPr>
      </w:pPr>
      <w:r>
        <w:rPr>
          <w:color w:val="000000" w:themeColor="text1"/>
          <w:szCs w:val="18"/>
          <w:lang w:val="nl-NL"/>
        </w:rPr>
        <w:t>Toch lijkt dit m.i. niet het geval te zijn</w:t>
      </w:r>
      <w:r w:rsidR="00E7708A" w:rsidRPr="00CE2A5F">
        <w:rPr>
          <w:color w:val="000000" w:themeColor="text1"/>
          <w:szCs w:val="18"/>
          <w:lang w:val="nl-NL"/>
        </w:rPr>
        <w:t xml:space="preserve"> voor aantasting van de seksuele integriteit. </w:t>
      </w:r>
      <w:r w:rsidR="00E7708A" w:rsidRPr="00227837">
        <w:rPr>
          <w:color w:val="000000" w:themeColor="text1"/>
          <w:szCs w:val="18"/>
          <w:lang w:val="nl-NL"/>
        </w:rPr>
        <w:t>De woorden “met behulp van” worden</w:t>
      </w:r>
      <w:r w:rsidR="00051371">
        <w:rPr>
          <w:color w:val="000000" w:themeColor="text1"/>
          <w:szCs w:val="18"/>
          <w:lang w:val="nl-NL"/>
        </w:rPr>
        <w:t xml:space="preserve"> in deze strafbaarstelling</w:t>
      </w:r>
      <w:r w:rsidR="00E7708A" w:rsidRPr="00227837">
        <w:rPr>
          <w:color w:val="000000" w:themeColor="text1"/>
          <w:szCs w:val="18"/>
          <w:lang w:val="nl-NL"/>
        </w:rPr>
        <w:t xml:space="preserve"> namelijk gevolgd door de woorden “een derde persoon”. Dit laatste slaat bijgevolg niet op het slachtoffer zelf, maar op een andere persoon</w:t>
      </w:r>
      <w:r w:rsidR="00051371">
        <w:rPr>
          <w:color w:val="000000" w:themeColor="text1"/>
          <w:szCs w:val="18"/>
          <w:lang w:val="nl-NL"/>
        </w:rPr>
        <w:t xml:space="preserve">: </w:t>
      </w:r>
      <w:r w:rsidR="00E7708A" w:rsidRPr="00227837">
        <w:rPr>
          <w:color w:val="000000" w:themeColor="text1"/>
          <w:szCs w:val="18"/>
          <w:lang w:val="nl-NL"/>
        </w:rPr>
        <w:t>een derde.</w:t>
      </w:r>
      <w:r w:rsidR="00E7708A" w:rsidRPr="00227837">
        <w:rPr>
          <w:rStyle w:val="FootnoteReference"/>
          <w:color w:val="000000" w:themeColor="text1"/>
          <w:szCs w:val="18"/>
          <w:lang w:val="nl-NL"/>
        </w:rPr>
        <w:footnoteReference w:id="620"/>
      </w:r>
      <w:r w:rsidR="00E7708A" w:rsidRPr="00227837">
        <w:rPr>
          <w:color w:val="000000" w:themeColor="text1"/>
          <w:szCs w:val="18"/>
          <w:lang w:val="nl-NL"/>
        </w:rPr>
        <w:t xml:space="preserve"> M.i. doelt de zinsnede “al dan niet met behulp van een derde persoon” dan ook op de situatie waarin een derde persoon door de dader wordt verplicht bepaalde handelingen t.a.v. het slachtoffer te stellen. </w:t>
      </w:r>
    </w:p>
    <w:p w14:paraId="13924968" w14:textId="77777777" w:rsidR="00051371" w:rsidRDefault="00051371" w:rsidP="00260F11">
      <w:pPr>
        <w:pStyle w:val="ListParagraph"/>
        <w:spacing w:line="360" w:lineRule="auto"/>
        <w:ind w:left="0"/>
        <w:rPr>
          <w:color w:val="000000" w:themeColor="text1"/>
          <w:szCs w:val="18"/>
          <w:lang w:val="nl-NL"/>
        </w:rPr>
      </w:pPr>
    </w:p>
    <w:p w14:paraId="4B79ADC7" w14:textId="7477778E" w:rsidR="00051371" w:rsidRDefault="00051371" w:rsidP="00260F11">
      <w:pPr>
        <w:pStyle w:val="ListParagraph"/>
        <w:spacing w:line="360" w:lineRule="auto"/>
        <w:ind w:left="0"/>
        <w:rPr>
          <w:color w:val="000000" w:themeColor="text1"/>
          <w:szCs w:val="18"/>
          <w:lang w:val="nl-NL"/>
        </w:rPr>
      </w:pPr>
      <w:r>
        <w:rPr>
          <w:color w:val="000000" w:themeColor="text1"/>
          <w:szCs w:val="18"/>
          <w:lang w:val="nl-NL"/>
        </w:rPr>
        <w:t>Vervolgens doelt de</w:t>
      </w:r>
      <w:r w:rsidR="00E7708A" w:rsidRPr="00227837">
        <w:rPr>
          <w:color w:val="000000" w:themeColor="text1"/>
          <w:szCs w:val="18"/>
          <w:lang w:val="nl-NL"/>
        </w:rPr>
        <w:t xml:space="preserve"> zinsnede “het laten stellen van een seksuele handeling door een persoon die daar niet in toestemt” m.i. op de situatie waarin het slachtoffer door de dader verplicht wordt bepaalde handelingen te stellen. </w:t>
      </w:r>
    </w:p>
    <w:p w14:paraId="79481BED" w14:textId="77777777" w:rsidR="00051371" w:rsidRDefault="00051371" w:rsidP="00260F11">
      <w:pPr>
        <w:pStyle w:val="ListParagraph"/>
        <w:spacing w:line="360" w:lineRule="auto"/>
        <w:ind w:left="0"/>
        <w:rPr>
          <w:color w:val="000000" w:themeColor="text1"/>
          <w:szCs w:val="18"/>
          <w:lang w:val="nl-NL"/>
        </w:rPr>
      </w:pPr>
    </w:p>
    <w:p w14:paraId="26C998A2" w14:textId="6AE907E3" w:rsidR="000D44D0" w:rsidRPr="00051371" w:rsidRDefault="00E7708A" w:rsidP="00260F11">
      <w:pPr>
        <w:pStyle w:val="ListParagraph"/>
        <w:spacing w:line="360" w:lineRule="auto"/>
        <w:ind w:left="0"/>
        <w:rPr>
          <w:i/>
          <w:color w:val="000000" w:themeColor="text1"/>
          <w:szCs w:val="18"/>
          <w:lang w:val="nl-NL"/>
        </w:rPr>
      </w:pPr>
      <w:r w:rsidRPr="00227837">
        <w:rPr>
          <w:color w:val="000000" w:themeColor="text1"/>
          <w:szCs w:val="18"/>
          <w:lang w:val="nl-NL"/>
        </w:rPr>
        <w:lastRenderedPageBreak/>
        <w:t>De wetgever ziet het</w:t>
      </w:r>
      <w:r w:rsidR="000D44D0" w:rsidRPr="00227837">
        <w:rPr>
          <w:color w:val="000000" w:themeColor="text1"/>
          <w:szCs w:val="18"/>
          <w:lang w:val="nl-NL"/>
        </w:rPr>
        <w:t xml:space="preserve"> in de memorie van toelichting</w:t>
      </w:r>
      <w:r w:rsidRPr="00227837">
        <w:rPr>
          <w:color w:val="000000" w:themeColor="text1"/>
          <w:szCs w:val="18"/>
          <w:lang w:val="nl-NL"/>
        </w:rPr>
        <w:t xml:space="preserve"> evenwel omgekeerd. </w:t>
      </w:r>
      <w:r w:rsidR="000D44D0" w:rsidRPr="00227837">
        <w:rPr>
          <w:color w:val="000000" w:themeColor="text1"/>
          <w:szCs w:val="18"/>
          <w:lang w:val="nl-NL"/>
        </w:rPr>
        <w:t xml:space="preserve">Hoewel </w:t>
      </w:r>
      <w:r w:rsidR="00051371">
        <w:rPr>
          <w:color w:val="000000" w:themeColor="text1"/>
          <w:szCs w:val="18"/>
          <w:lang w:val="nl-NL"/>
        </w:rPr>
        <w:t>dit</w:t>
      </w:r>
      <w:r w:rsidR="000D44D0" w:rsidRPr="00227837">
        <w:rPr>
          <w:color w:val="000000" w:themeColor="text1"/>
          <w:szCs w:val="18"/>
          <w:lang w:val="nl-NL"/>
        </w:rPr>
        <w:t xml:space="preserve"> niets verandert aan </w:t>
      </w:r>
      <w:r w:rsidRPr="00227837">
        <w:rPr>
          <w:color w:val="000000" w:themeColor="text1"/>
          <w:szCs w:val="18"/>
          <w:lang w:val="nl-NL"/>
        </w:rPr>
        <w:t>de inhoud van de strafbaarstelling</w:t>
      </w:r>
      <w:r w:rsidR="00303869">
        <w:rPr>
          <w:color w:val="000000" w:themeColor="text1"/>
          <w:szCs w:val="18"/>
          <w:lang w:val="nl-NL"/>
        </w:rPr>
        <w:t>,</w:t>
      </w:r>
      <w:r w:rsidR="000D44D0" w:rsidRPr="00227837">
        <w:rPr>
          <w:color w:val="000000" w:themeColor="text1"/>
          <w:szCs w:val="18"/>
          <w:lang w:val="nl-NL"/>
        </w:rPr>
        <w:t xml:space="preserve"> </w:t>
      </w:r>
      <w:r w:rsidR="00ED7487" w:rsidRPr="00227837">
        <w:rPr>
          <w:color w:val="000000" w:themeColor="text1"/>
          <w:szCs w:val="18"/>
          <w:lang w:val="nl-NL"/>
        </w:rPr>
        <w:t>toont de verwarring van de wetgever in de memorie van toelichting aan dat de strafbaarstelling niet optimaal werd geformuleerd.</w:t>
      </w:r>
      <w:r w:rsidR="00303869" w:rsidRPr="00227837">
        <w:rPr>
          <w:rStyle w:val="FootnoteReference"/>
          <w:color w:val="000000" w:themeColor="text1"/>
          <w:szCs w:val="18"/>
          <w:lang w:val="nl-NL"/>
        </w:rPr>
        <w:footnoteReference w:id="621"/>
      </w:r>
    </w:p>
    <w:p w14:paraId="53610B74" w14:textId="77777777" w:rsidR="0090483F" w:rsidRDefault="0090483F" w:rsidP="00260F11">
      <w:pPr>
        <w:spacing w:line="360" w:lineRule="auto"/>
        <w:rPr>
          <w:lang w:val="nl-NL"/>
        </w:rPr>
      </w:pPr>
    </w:p>
    <w:p w14:paraId="054E2236" w14:textId="285B0118" w:rsidR="00A93044" w:rsidRPr="00357C52" w:rsidRDefault="00A93044" w:rsidP="00260F11">
      <w:pPr>
        <w:pStyle w:val="ListParagraph"/>
        <w:numPr>
          <w:ilvl w:val="0"/>
          <w:numId w:val="1"/>
        </w:numPr>
        <w:spacing w:line="360" w:lineRule="auto"/>
        <w:ind w:left="0" w:hanging="709"/>
        <w:rPr>
          <w:color w:val="000000" w:themeColor="text1"/>
          <w:szCs w:val="18"/>
          <w:lang w:val="nl-NL"/>
        </w:rPr>
      </w:pPr>
      <w:r w:rsidRPr="00A93044">
        <w:rPr>
          <w:b/>
          <w:i/>
          <w:lang w:val="nl-NL"/>
        </w:rPr>
        <w:t>Aanbeveling</w:t>
      </w:r>
      <w:r w:rsidRPr="00A93044">
        <w:rPr>
          <w:lang w:val="nl-NL"/>
        </w:rPr>
        <w:t>.</w:t>
      </w:r>
      <w:r>
        <w:rPr>
          <w:lang w:val="nl-NL"/>
        </w:rPr>
        <w:t xml:space="preserve"> Gelet op het voorgaande is het m.i. aangeraden om </w:t>
      </w:r>
      <w:r w:rsidR="002931BE">
        <w:rPr>
          <w:lang w:val="nl-NL"/>
        </w:rPr>
        <w:t>te voorzien in een meer gelijkluidende</w:t>
      </w:r>
      <w:r>
        <w:rPr>
          <w:lang w:val="nl-NL"/>
        </w:rPr>
        <w:t xml:space="preserve"> formulering van de strafbaarstelling van aantasting van de seksuele integriteit en verkrachting. Dit kan gebeuren door de desbetreffende zinsneden</w:t>
      </w:r>
      <w:r>
        <w:rPr>
          <w:rStyle w:val="FootnoteReference"/>
          <w:lang w:val="nl-NL"/>
        </w:rPr>
        <w:footnoteReference w:id="622"/>
      </w:r>
      <w:r>
        <w:rPr>
          <w:lang w:val="nl-NL"/>
        </w:rPr>
        <w:t xml:space="preserve"> uit de strafbaarstelling te verwijderen en deze te vervangen door de bewoordingen: “of met behulp van een persoon die daar niet in toestemt”.</w:t>
      </w:r>
      <w:r w:rsidR="000D28CC">
        <w:rPr>
          <w:rStyle w:val="FootnoteReference"/>
          <w:lang w:val="nl-NL"/>
        </w:rPr>
        <w:footnoteReference w:id="623"/>
      </w:r>
    </w:p>
    <w:p w14:paraId="29536C1D" w14:textId="5BEDE928" w:rsidR="00357C52" w:rsidRPr="00357C52" w:rsidRDefault="00357C52" w:rsidP="00260F11">
      <w:pPr>
        <w:spacing w:line="360" w:lineRule="auto"/>
        <w:rPr>
          <w:color w:val="000000" w:themeColor="text1"/>
          <w:szCs w:val="18"/>
          <w:lang w:val="nl-NL"/>
        </w:rPr>
      </w:pPr>
    </w:p>
    <w:p w14:paraId="64A0D1B7" w14:textId="696DA10B" w:rsidR="0007087C" w:rsidRPr="00F02B60" w:rsidRDefault="00F02B60" w:rsidP="00260F11">
      <w:pPr>
        <w:pStyle w:val="Heading5"/>
        <w:spacing w:line="360" w:lineRule="auto"/>
        <w:rPr>
          <w:lang w:val="nl-NL"/>
        </w:rPr>
      </w:pPr>
      <w:bookmarkStart w:id="86" w:name="_Toc135041114"/>
      <w:r>
        <w:rPr>
          <w:lang w:val="nl-NL"/>
        </w:rPr>
        <w:t>Geslacht slachtoffer</w:t>
      </w:r>
      <w:bookmarkEnd w:id="86"/>
    </w:p>
    <w:p w14:paraId="0A350D62" w14:textId="77777777" w:rsidR="00F02B60" w:rsidRPr="00F02B60" w:rsidRDefault="00F02B60" w:rsidP="00260F11">
      <w:pPr>
        <w:pStyle w:val="ListParagraph"/>
        <w:spacing w:line="360" w:lineRule="auto"/>
        <w:ind w:left="0"/>
        <w:rPr>
          <w:color w:val="000000" w:themeColor="text1"/>
          <w:szCs w:val="18"/>
          <w:lang w:val="nl-NL"/>
        </w:rPr>
      </w:pPr>
    </w:p>
    <w:p w14:paraId="7F3EC291" w14:textId="70BF9366" w:rsidR="0007087C" w:rsidRPr="004953D4" w:rsidRDefault="00F02B60"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 xml:space="preserve">Ten slotte dient </w:t>
      </w:r>
      <w:r w:rsidR="00051371">
        <w:rPr>
          <w:color w:val="000000" w:themeColor="text1"/>
          <w:szCs w:val="18"/>
          <w:lang w:val="nl-NL"/>
        </w:rPr>
        <w:t xml:space="preserve">erop </w:t>
      </w:r>
      <w:r>
        <w:rPr>
          <w:color w:val="000000" w:themeColor="text1"/>
          <w:szCs w:val="18"/>
          <w:lang w:val="nl-NL"/>
        </w:rPr>
        <w:t>te</w:t>
      </w:r>
      <w:r w:rsidR="0007087C">
        <w:rPr>
          <w:color w:val="000000" w:themeColor="text1"/>
          <w:szCs w:val="18"/>
          <w:lang w:val="nl-NL"/>
        </w:rPr>
        <w:t xml:space="preserve"> worden gewezen</w:t>
      </w:r>
      <w:r>
        <w:rPr>
          <w:color w:val="000000" w:themeColor="text1"/>
          <w:szCs w:val="18"/>
          <w:lang w:val="nl-NL"/>
        </w:rPr>
        <w:t xml:space="preserve"> </w:t>
      </w:r>
      <w:r w:rsidR="0007087C">
        <w:rPr>
          <w:color w:val="000000" w:themeColor="text1"/>
          <w:szCs w:val="18"/>
          <w:lang w:val="nl-NL"/>
        </w:rPr>
        <w:t>dat</w:t>
      </w:r>
      <w:r w:rsidR="0007087C" w:rsidRPr="004953D4">
        <w:rPr>
          <w:color w:val="000000" w:themeColor="text1"/>
          <w:szCs w:val="18"/>
          <w:lang w:val="nl-NL"/>
        </w:rPr>
        <w:t xml:space="preserve"> de strafbaarstelling </w:t>
      </w:r>
      <w:r w:rsidR="0007087C">
        <w:rPr>
          <w:color w:val="000000" w:themeColor="text1"/>
          <w:szCs w:val="18"/>
          <w:lang w:val="nl-NL"/>
        </w:rPr>
        <w:t xml:space="preserve">voortaan </w:t>
      </w:r>
      <w:r w:rsidR="0007087C" w:rsidRPr="004953D4">
        <w:rPr>
          <w:color w:val="000000" w:themeColor="text1"/>
          <w:szCs w:val="18"/>
          <w:lang w:val="nl-NL"/>
        </w:rPr>
        <w:t>geen gewag meer</w:t>
      </w:r>
      <w:r w:rsidR="0007087C">
        <w:rPr>
          <w:color w:val="000000" w:themeColor="text1"/>
          <w:szCs w:val="18"/>
          <w:lang w:val="nl-NL"/>
        </w:rPr>
        <w:t xml:space="preserve"> maakt</w:t>
      </w:r>
      <w:r w:rsidR="0007087C" w:rsidRPr="004953D4">
        <w:rPr>
          <w:color w:val="000000" w:themeColor="text1"/>
          <w:szCs w:val="18"/>
          <w:lang w:val="nl-NL"/>
        </w:rPr>
        <w:t xml:space="preserve"> van het geslacht</w:t>
      </w:r>
      <w:r w:rsidR="0007087C">
        <w:rPr>
          <w:color w:val="000000" w:themeColor="text1"/>
          <w:szCs w:val="18"/>
          <w:lang w:val="nl-NL"/>
        </w:rPr>
        <w:t xml:space="preserve"> van het slachtoffer</w:t>
      </w:r>
      <w:r w:rsidR="0007087C" w:rsidRPr="004953D4">
        <w:rPr>
          <w:color w:val="000000" w:themeColor="text1"/>
          <w:szCs w:val="18"/>
          <w:lang w:val="nl-NL"/>
        </w:rPr>
        <w:t>, zodat personen van eender welk gender zonder twijfel het slachtoffer kunnen uitmaken van aantasting van de seksuele integriteit.</w:t>
      </w:r>
      <w:r w:rsidR="0007087C" w:rsidRPr="004953D4">
        <w:rPr>
          <w:rStyle w:val="FootnoteReference"/>
          <w:color w:val="000000" w:themeColor="text1"/>
          <w:szCs w:val="18"/>
          <w:lang w:val="nl-NL"/>
        </w:rPr>
        <w:footnoteReference w:id="624"/>
      </w:r>
      <w:r w:rsidR="0007087C" w:rsidRPr="004953D4">
        <w:rPr>
          <w:color w:val="000000" w:themeColor="text1"/>
          <w:szCs w:val="18"/>
          <w:lang w:val="nl-NL"/>
        </w:rPr>
        <w:t xml:space="preserve"> Dit (theoretisch) pijnpunt van de oude strafbaarstelling werd bijgevolg verholpen.</w:t>
      </w:r>
      <w:r w:rsidR="0007087C" w:rsidRPr="004953D4">
        <w:rPr>
          <w:rStyle w:val="FootnoteReference"/>
          <w:color w:val="000000" w:themeColor="text1"/>
          <w:szCs w:val="18"/>
          <w:lang w:val="nl-NL"/>
        </w:rPr>
        <w:footnoteReference w:id="625"/>
      </w:r>
    </w:p>
    <w:p w14:paraId="38B37CC7" w14:textId="5785E6C4" w:rsidR="00385EAD" w:rsidRPr="00855A7D" w:rsidRDefault="00385EAD" w:rsidP="00260F11">
      <w:pPr>
        <w:spacing w:line="360" w:lineRule="auto"/>
        <w:rPr>
          <w:color w:val="000000" w:themeColor="text1"/>
          <w:szCs w:val="18"/>
          <w:lang w:val="nl-NL"/>
        </w:rPr>
      </w:pPr>
    </w:p>
    <w:p w14:paraId="4E379B89" w14:textId="5A0DA5FC" w:rsidR="00572876" w:rsidRDefault="000F01B5" w:rsidP="00260F11">
      <w:pPr>
        <w:pStyle w:val="Heading4"/>
        <w:spacing w:line="360" w:lineRule="auto"/>
        <w:rPr>
          <w:lang w:val="nl-NL"/>
        </w:rPr>
      </w:pPr>
      <w:bookmarkStart w:id="87" w:name="_Toc135041115"/>
      <w:r>
        <w:rPr>
          <w:lang w:val="nl-NL"/>
        </w:rPr>
        <w:t>Afwezigheid geldige toestemming</w:t>
      </w:r>
      <w:bookmarkEnd w:id="87"/>
    </w:p>
    <w:p w14:paraId="19DE96B7" w14:textId="77777777" w:rsidR="00F02786" w:rsidRPr="00E7708A" w:rsidRDefault="00F02786" w:rsidP="00260F11">
      <w:pPr>
        <w:spacing w:line="360" w:lineRule="auto"/>
        <w:rPr>
          <w:color w:val="000000" w:themeColor="text1"/>
          <w:szCs w:val="18"/>
          <w:lang w:val="nl-NL"/>
        </w:rPr>
      </w:pPr>
    </w:p>
    <w:p w14:paraId="5FBC09E5" w14:textId="1985B420" w:rsidR="000D6D8F" w:rsidRPr="002174C8" w:rsidRDefault="00A2618C" w:rsidP="00260F11">
      <w:pPr>
        <w:pStyle w:val="ListParagraph"/>
        <w:numPr>
          <w:ilvl w:val="0"/>
          <w:numId w:val="1"/>
        </w:numPr>
        <w:spacing w:line="360" w:lineRule="auto"/>
        <w:ind w:left="0" w:hanging="709"/>
        <w:rPr>
          <w:color w:val="000000" w:themeColor="text1"/>
          <w:szCs w:val="18"/>
          <w:lang w:val="nl-NL"/>
        </w:rPr>
      </w:pPr>
      <w:r w:rsidRPr="00A2618C">
        <w:rPr>
          <w:b/>
          <w:color w:val="000000" w:themeColor="text1"/>
          <w:szCs w:val="18"/>
          <w:lang w:val="nl-NL"/>
        </w:rPr>
        <w:t>Constitutief bestanddeel</w:t>
      </w:r>
      <w:r>
        <w:rPr>
          <w:color w:val="000000" w:themeColor="text1"/>
          <w:szCs w:val="18"/>
          <w:lang w:val="nl-NL"/>
        </w:rPr>
        <w:t xml:space="preserve">. </w:t>
      </w:r>
      <w:r w:rsidR="004B5D9A" w:rsidRPr="002174C8">
        <w:rPr>
          <w:color w:val="000000" w:themeColor="text1"/>
          <w:szCs w:val="18"/>
          <w:lang w:val="nl-NL"/>
        </w:rPr>
        <w:t>De wetgever bepaalt voortaan dat aantasting van de seksuele integriteit plaatsvindt wanneer het slachtoffer hier niet in toestemt</w:t>
      </w:r>
      <w:r w:rsidR="009944DF" w:rsidRPr="002174C8">
        <w:rPr>
          <w:color w:val="000000" w:themeColor="text1"/>
          <w:szCs w:val="18"/>
          <w:lang w:val="nl-NL"/>
        </w:rPr>
        <w:t>.</w:t>
      </w:r>
      <w:r w:rsidR="004B5D9A" w:rsidRPr="002174C8">
        <w:rPr>
          <w:color w:val="000000" w:themeColor="text1"/>
          <w:szCs w:val="18"/>
          <w:lang w:val="nl-NL"/>
        </w:rPr>
        <w:t xml:space="preserve"> Aldus heeft de wetgever hiermee </w:t>
      </w:r>
      <w:r w:rsidR="000D6D8F" w:rsidRPr="002174C8">
        <w:rPr>
          <w:color w:val="000000" w:themeColor="text1"/>
          <w:szCs w:val="18"/>
          <w:lang w:val="nl-NL"/>
        </w:rPr>
        <w:t>een einde gesteld</w:t>
      </w:r>
      <w:r w:rsidR="003A6D59" w:rsidRPr="002174C8">
        <w:rPr>
          <w:color w:val="000000" w:themeColor="text1"/>
          <w:szCs w:val="18"/>
          <w:lang w:val="nl-NL"/>
        </w:rPr>
        <w:t xml:space="preserve"> aan de discussie in de rechtsleer m.b.t. de vraag of de loutere ontstentenis van toestemming in hoofde van het slachtoffer voldoende was om een gedraging als aanranding van de eerbaarheid te kunnen kwalificeren. Volgens de meerderheidsvisie was dit onder het oude recht onvoldoende.</w:t>
      </w:r>
      <w:r w:rsidR="00246FF6" w:rsidRPr="002174C8">
        <w:rPr>
          <w:rStyle w:val="FootnoteReference"/>
          <w:color w:val="000000" w:themeColor="text1"/>
          <w:szCs w:val="18"/>
          <w:lang w:val="nl-NL"/>
        </w:rPr>
        <w:footnoteReference w:id="626"/>
      </w:r>
      <w:r w:rsidR="003A6D59" w:rsidRPr="002174C8">
        <w:rPr>
          <w:color w:val="000000" w:themeColor="text1"/>
          <w:szCs w:val="18"/>
          <w:lang w:val="nl-NL"/>
        </w:rPr>
        <w:t xml:space="preserve"> </w:t>
      </w:r>
      <w:r w:rsidR="000D6D8F" w:rsidRPr="002174C8">
        <w:rPr>
          <w:color w:val="000000" w:themeColor="text1"/>
          <w:szCs w:val="18"/>
          <w:lang w:val="nl-NL"/>
        </w:rPr>
        <w:t xml:space="preserve">Dit werd tevens geïdentificeerd als pijnpunt onder de oude strafbaarstelling, zodat hieraan verholpen werd. </w:t>
      </w:r>
    </w:p>
    <w:p w14:paraId="34C2DC10" w14:textId="77777777" w:rsidR="000D6D8F" w:rsidRDefault="000D6D8F" w:rsidP="00260F11">
      <w:pPr>
        <w:pStyle w:val="ListParagraph"/>
        <w:spacing w:line="360" w:lineRule="auto"/>
        <w:ind w:left="0"/>
        <w:rPr>
          <w:color w:val="000000" w:themeColor="text1"/>
          <w:szCs w:val="18"/>
          <w:lang w:val="nl-NL"/>
        </w:rPr>
      </w:pPr>
    </w:p>
    <w:p w14:paraId="20B6945E" w14:textId="222A5FD6" w:rsidR="000D6D8F" w:rsidRDefault="00F02786" w:rsidP="00260F11">
      <w:pPr>
        <w:pStyle w:val="ListParagraph"/>
        <w:spacing w:line="360" w:lineRule="auto"/>
        <w:ind w:left="0"/>
        <w:rPr>
          <w:color w:val="000000" w:themeColor="text1"/>
          <w:szCs w:val="18"/>
          <w:lang w:val="nl-NL"/>
        </w:rPr>
      </w:pPr>
      <w:r>
        <w:rPr>
          <w:color w:val="000000" w:themeColor="text1"/>
          <w:szCs w:val="18"/>
          <w:lang w:val="nl-NL"/>
        </w:rPr>
        <w:t>Het feit dat een einde wordt gesteld aan voornoemde discussie draagt bij tot de</w:t>
      </w:r>
      <w:r w:rsidR="009C3197">
        <w:rPr>
          <w:color w:val="000000" w:themeColor="text1"/>
          <w:szCs w:val="18"/>
          <w:lang w:val="nl-NL"/>
        </w:rPr>
        <w:t xml:space="preserve"> rechtszekerheid</w:t>
      </w:r>
      <w:r>
        <w:rPr>
          <w:color w:val="000000" w:themeColor="text1"/>
          <w:szCs w:val="18"/>
          <w:lang w:val="nl-NL"/>
        </w:rPr>
        <w:t xml:space="preserve">. Daarnaast geeft </w:t>
      </w:r>
      <w:r w:rsidR="002C0791">
        <w:rPr>
          <w:color w:val="000000" w:themeColor="text1"/>
          <w:szCs w:val="18"/>
          <w:lang w:val="nl-NL"/>
        </w:rPr>
        <w:t xml:space="preserve">o.a. </w:t>
      </w:r>
      <w:r>
        <w:rPr>
          <w:color w:val="000000" w:themeColor="text1"/>
          <w:szCs w:val="18"/>
          <w:lang w:val="nl-NL"/>
        </w:rPr>
        <w:t>deze wijziging</w:t>
      </w:r>
      <w:r>
        <w:rPr>
          <w:rStyle w:val="FootnoteReference"/>
          <w:color w:val="000000" w:themeColor="text1"/>
          <w:szCs w:val="18"/>
          <w:lang w:val="nl-NL"/>
        </w:rPr>
        <w:footnoteReference w:id="627"/>
      </w:r>
      <w:r>
        <w:rPr>
          <w:color w:val="000000" w:themeColor="text1"/>
          <w:szCs w:val="18"/>
          <w:lang w:val="nl-NL"/>
        </w:rPr>
        <w:t xml:space="preserve"> ook </w:t>
      </w:r>
      <w:r w:rsidRPr="00E7708A">
        <w:rPr>
          <w:color w:val="000000" w:themeColor="text1"/>
          <w:szCs w:val="18"/>
          <w:lang w:val="nl-NL"/>
        </w:rPr>
        <w:t xml:space="preserve">gevolg aan de </w:t>
      </w:r>
      <w:r w:rsidR="007E7C53">
        <w:rPr>
          <w:color w:val="000000" w:themeColor="text1"/>
          <w:szCs w:val="18"/>
          <w:lang w:val="nl-NL"/>
        </w:rPr>
        <w:t>internationaalrechtelijke</w:t>
      </w:r>
      <w:r w:rsidRPr="00E7708A">
        <w:rPr>
          <w:color w:val="000000" w:themeColor="text1"/>
          <w:szCs w:val="18"/>
          <w:lang w:val="nl-NL"/>
        </w:rPr>
        <w:t xml:space="preserve"> eisen om elke niet-consensuele seksuele gedraging strafbaar te stellen.</w:t>
      </w:r>
      <w:r w:rsidR="005A4781" w:rsidRPr="00E7708A">
        <w:rPr>
          <w:rStyle w:val="FootnoteReference"/>
          <w:color w:val="000000" w:themeColor="text1"/>
          <w:szCs w:val="18"/>
          <w:lang w:val="nl-NL"/>
        </w:rPr>
        <w:footnoteReference w:id="628"/>
      </w:r>
      <w:r w:rsidR="003A6D59" w:rsidRPr="00E7708A">
        <w:rPr>
          <w:color w:val="000000" w:themeColor="text1"/>
          <w:szCs w:val="18"/>
          <w:lang w:val="nl-NL"/>
        </w:rPr>
        <w:t xml:space="preserve"> </w:t>
      </w:r>
    </w:p>
    <w:p w14:paraId="1C87CCF1" w14:textId="12734EB2" w:rsidR="00340483" w:rsidRPr="00E7708A" w:rsidRDefault="000D6D8F" w:rsidP="00260F11">
      <w:pPr>
        <w:pStyle w:val="ListParagraph"/>
        <w:spacing w:line="360" w:lineRule="auto"/>
        <w:ind w:left="0"/>
        <w:rPr>
          <w:color w:val="000000" w:themeColor="text1"/>
          <w:szCs w:val="18"/>
          <w:lang w:val="nl-NL"/>
        </w:rPr>
      </w:pPr>
      <w:r>
        <w:rPr>
          <w:color w:val="000000" w:themeColor="text1"/>
          <w:szCs w:val="18"/>
          <w:lang w:val="nl-NL"/>
        </w:rPr>
        <w:lastRenderedPageBreak/>
        <w:t>Gelet op het bovenstaande dient h</w:t>
      </w:r>
      <w:r w:rsidR="00F02786">
        <w:rPr>
          <w:color w:val="000000" w:themeColor="text1"/>
          <w:szCs w:val="18"/>
          <w:lang w:val="nl-NL"/>
        </w:rPr>
        <w:t xml:space="preserve">et feit dat het gebrek aan toestemming voortaan expliciet een constitutief bestanddeel uitmaakt van het misdrijf aantasting van de seksuele integriteit, </w:t>
      </w:r>
      <w:r w:rsidR="003A6D59">
        <w:rPr>
          <w:color w:val="000000" w:themeColor="text1"/>
          <w:szCs w:val="18"/>
          <w:lang w:val="nl-NL"/>
        </w:rPr>
        <w:t xml:space="preserve">dan ook als </w:t>
      </w:r>
      <w:r w:rsidR="00F02786">
        <w:rPr>
          <w:color w:val="000000" w:themeColor="text1"/>
          <w:szCs w:val="18"/>
          <w:lang w:val="nl-NL"/>
        </w:rPr>
        <w:t>positief</w:t>
      </w:r>
      <w:r w:rsidR="003A6D59">
        <w:rPr>
          <w:color w:val="000000" w:themeColor="text1"/>
          <w:szCs w:val="18"/>
          <w:lang w:val="nl-NL"/>
        </w:rPr>
        <w:t xml:space="preserve"> te worden aangemerkt.</w:t>
      </w:r>
    </w:p>
    <w:p w14:paraId="30893D3D" w14:textId="77777777" w:rsidR="00AA0206" w:rsidRDefault="00AA0206" w:rsidP="00260F11">
      <w:pPr>
        <w:pStyle w:val="ListParagraph"/>
        <w:spacing w:line="360" w:lineRule="auto"/>
        <w:ind w:left="0"/>
        <w:rPr>
          <w:color w:val="FF0000"/>
          <w:szCs w:val="18"/>
          <w:lang w:val="nl-NL"/>
        </w:rPr>
      </w:pPr>
    </w:p>
    <w:p w14:paraId="7606D73F" w14:textId="5A7FFEE7" w:rsidR="003A6D59" w:rsidRPr="00AC5F66" w:rsidRDefault="00AC5F66" w:rsidP="00260F11">
      <w:pPr>
        <w:pStyle w:val="Heading4"/>
        <w:spacing w:line="360" w:lineRule="auto"/>
        <w:rPr>
          <w:lang w:val="nl-NL"/>
        </w:rPr>
      </w:pPr>
      <w:bookmarkStart w:id="88" w:name="_Toc135041116"/>
      <w:r>
        <w:rPr>
          <w:lang w:val="nl-NL"/>
        </w:rPr>
        <w:t>Restcategorie</w:t>
      </w:r>
      <w:bookmarkEnd w:id="88"/>
    </w:p>
    <w:p w14:paraId="68FFF58D" w14:textId="77777777" w:rsidR="003A6D59" w:rsidRDefault="003A6D59" w:rsidP="00260F11">
      <w:pPr>
        <w:pStyle w:val="ListParagraph"/>
        <w:spacing w:line="360" w:lineRule="auto"/>
        <w:ind w:left="0"/>
        <w:rPr>
          <w:b/>
          <w:color w:val="000000" w:themeColor="text1"/>
          <w:szCs w:val="18"/>
          <w:lang w:val="nl-NL"/>
        </w:rPr>
      </w:pPr>
    </w:p>
    <w:p w14:paraId="7197C660" w14:textId="3265C12E" w:rsidR="00763478" w:rsidRPr="00A3101A" w:rsidRDefault="00466F90" w:rsidP="00260F11">
      <w:pPr>
        <w:pStyle w:val="ListParagraph"/>
        <w:numPr>
          <w:ilvl w:val="0"/>
          <w:numId w:val="1"/>
        </w:numPr>
        <w:spacing w:line="360" w:lineRule="auto"/>
        <w:ind w:left="0" w:hanging="709"/>
        <w:rPr>
          <w:color w:val="000000" w:themeColor="text1"/>
          <w:szCs w:val="18"/>
          <w:lang w:val="nl-NL"/>
        </w:rPr>
      </w:pPr>
      <w:r w:rsidRPr="00466F90">
        <w:rPr>
          <w:b/>
          <w:color w:val="000000" w:themeColor="text1"/>
          <w:szCs w:val="18"/>
          <w:lang w:val="nl-NL"/>
        </w:rPr>
        <w:t>Restcategorie</w:t>
      </w:r>
      <w:r>
        <w:rPr>
          <w:color w:val="000000" w:themeColor="text1"/>
          <w:szCs w:val="18"/>
          <w:lang w:val="nl-NL"/>
        </w:rPr>
        <w:t xml:space="preserve">. </w:t>
      </w:r>
      <w:r w:rsidR="0035521F" w:rsidRPr="0051372E">
        <w:rPr>
          <w:color w:val="000000" w:themeColor="text1"/>
          <w:szCs w:val="18"/>
          <w:lang w:val="nl-NL"/>
        </w:rPr>
        <w:t>Aantasting van de seksuele integriteit komt als eerste aan bod in het Strafwetboek van de niet-consensuele seksuele basismisdrijven. De wetgever wil hiermee benadrukken dat aantasting van de seksuele integriteit dient te worden beschouwd als restcategorie</w:t>
      </w:r>
      <w:r w:rsidR="0099533A">
        <w:rPr>
          <w:color w:val="000000" w:themeColor="text1"/>
          <w:szCs w:val="18"/>
          <w:lang w:val="nl-NL"/>
        </w:rPr>
        <w:t xml:space="preserve"> van de niet-consensuele seksuele misdrijven</w:t>
      </w:r>
      <w:r w:rsidR="0035521F" w:rsidRPr="0051372E">
        <w:rPr>
          <w:color w:val="000000" w:themeColor="text1"/>
          <w:szCs w:val="18"/>
          <w:lang w:val="nl-NL"/>
        </w:rPr>
        <w:t>.</w:t>
      </w:r>
      <w:r w:rsidR="00246FF6">
        <w:rPr>
          <w:rStyle w:val="FootnoteReference"/>
          <w:color w:val="000000" w:themeColor="text1"/>
          <w:szCs w:val="18"/>
          <w:lang w:val="nl-NL"/>
        </w:rPr>
        <w:footnoteReference w:id="629"/>
      </w:r>
      <w:r w:rsidR="005A4781">
        <w:rPr>
          <w:color w:val="000000" w:themeColor="text1"/>
          <w:szCs w:val="18"/>
          <w:lang w:val="nl-NL"/>
        </w:rPr>
        <w:t xml:space="preserve"> </w:t>
      </w:r>
      <w:r w:rsidR="007E7C53">
        <w:rPr>
          <w:color w:val="000000" w:themeColor="text1"/>
          <w:szCs w:val="18"/>
          <w:lang w:val="nl-NL"/>
        </w:rPr>
        <w:t>Ook h</w:t>
      </w:r>
      <w:r w:rsidR="0099533A">
        <w:rPr>
          <w:color w:val="000000" w:themeColor="text1"/>
          <w:szCs w:val="18"/>
          <w:lang w:val="nl-NL"/>
        </w:rPr>
        <w:t>ierdoor</w:t>
      </w:r>
      <w:r w:rsidR="005A4781">
        <w:rPr>
          <w:color w:val="000000" w:themeColor="text1"/>
          <w:szCs w:val="18"/>
          <w:lang w:val="nl-NL"/>
        </w:rPr>
        <w:t xml:space="preserve"> wordt het Belgisch seksueel strafrecht in overeenstemming gebracht met vereisten op inter</w:t>
      </w:r>
      <w:r w:rsidR="00763478">
        <w:rPr>
          <w:color w:val="000000" w:themeColor="text1"/>
          <w:szCs w:val="18"/>
          <w:lang w:val="nl-NL"/>
        </w:rPr>
        <w:t>nationaal</w:t>
      </w:r>
      <w:r w:rsidR="005A4781">
        <w:rPr>
          <w:color w:val="000000" w:themeColor="text1"/>
          <w:szCs w:val="18"/>
          <w:lang w:val="nl-NL"/>
        </w:rPr>
        <w:t xml:space="preserve"> en supranationaal vlak om elke niet-consensuele seksuele gedraging strafbaar te stellen.</w:t>
      </w:r>
      <w:r w:rsidR="005A4781" w:rsidRPr="00E7708A">
        <w:rPr>
          <w:rStyle w:val="FootnoteReference"/>
          <w:color w:val="000000" w:themeColor="text1"/>
          <w:szCs w:val="18"/>
          <w:lang w:val="nl-NL"/>
        </w:rPr>
        <w:footnoteReference w:id="630"/>
      </w:r>
      <w:r>
        <w:rPr>
          <w:color w:val="000000" w:themeColor="text1"/>
          <w:szCs w:val="18"/>
          <w:lang w:val="nl-NL"/>
        </w:rPr>
        <w:t xml:space="preserve"> </w:t>
      </w:r>
      <w:r w:rsidRPr="00A3101A">
        <w:rPr>
          <w:color w:val="000000" w:themeColor="text1"/>
          <w:szCs w:val="18"/>
          <w:lang w:val="nl-NL"/>
        </w:rPr>
        <w:t>Deze verandering dient m.i. dan ook als positief te worden beschouwd.</w:t>
      </w:r>
    </w:p>
    <w:p w14:paraId="66A24AA2" w14:textId="77777777" w:rsidR="00763478" w:rsidRPr="00763478" w:rsidRDefault="00763478" w:rsidP="00260F11">
      <w:pPr>
        <w:pStyle w:val="ListParagraph"/>
        <w:spacing w:line="360" w:lineRule="auto"/>
        <w:rPr>
          <w:color w:val="000000" w:themeColor="text1"/>
          <w:szCs w:val="18"/>
          <w:lang w:val="nl-NL"/>
        </w:rPr>
      </w:pPr>
    </w:p>
    <w:p w14:paraId="0BC3A341" w14:textId="4D166D9E" w:rsidR="00204F38" w:rsidRPr="00466F90" w:rsidRDefault="00466F90" w:rsidP="00260F11">
      <w:pPr>
        <w:pStyle w:val="ListParagraph"/>
        <w:numPr>
          <w:ilvl w:val="0"/>
          <w:numId w:val="1"/>
        </w:numPr>
        <w:spacing w:line="360" w:lineRule="auto"/>
        <w:ind w:left="0" w:hanging="709"/>
        <w:rPr>
          <w:color w:val="000000" w:themeColor="text1"/>
          <w:szCs w:val="18"/>
          <w:lang w:val="nl-NL"/>
        </w:rPr>
      </w:pPr>
      <w:r w:rsidRPr="00466F90">
        <w:rPr>
          <w:b/>
          <w:color w:val="000000" w:themeColor="text1"/>
          <w:szCs w:val="18"/>
          <w:lang w:val="nl-NL"/>
        </w:rPr>
        <w:t>Meerdere strafbaarstellingen?</w:t>
      </w:r>
      <w:r w:rsidRPr="00466F90">
        <w:rPr>
          <w:color w:val="000000" w:themeColor="text1"/>
          <w:szCs w:val="18"/>
          <w:lang w:val="nl-NL"/>
        </w:rPr>
        <w:t xml:space="preserve"> Onder het Brits recht wordt in een andere strafbaarstelling voorzien naargelang de rol van het slachtoffer.</w:t>
      </w:r>
      <w:r w:rsidRPr="00466F90">
        <w:rPr>
          <w:rStyle w:val="FootnoteReference"/>
          <w:color w:val="000000" w:themeColor="text1"/>
          <w:szCs w:val="18"/>
          <w:lang w:val="nl-NL"/>
        </w:rPr>
        <w:footnoteReference w:id="631"/>
      </w:r>
      <w:r w:rsidRPr="00466F90">
        <w:rPr>
          <w:color w:val="000000" w:themeColor="text1"/>
          <w:szCs w:val="18"/>
          <w:lang w:val="nl-NL"/>
        </w:rPr>
        <w:t xml:space="preserve"> Hoewel de wetgever op die manier kan differentiëren qua strafmaat, zijn hieraan ook nadelen verbonden, waarop tevens wordt gewezen in de Britse doctrine. Zo creëren de verschillende strafbaarstellingen overbodige moeilijkheden in de praktijk omdat heel wat misdrijven met elkaar overlappen.</w:t>
      </w:r>
      <w:r w:rsidRPr="00466F90">
        <w:rPr>
          <w:rStyle w:val="FootnoteReference"/>
          <w:color w:val="000000" w:themeColor="text1"/>
          <w:szCs w:val="18"/>
          <w:lang w:val="nl-NL"/>
        </w:rPr>
        <w:footnoteReference w:id="632"/>
      </w:r>
    </w:p>
    <w:p w14:paraId="59272BC5" w14:textId="4EC719D4" w:rsidR="00466F90" w:rsidRDefault="00466F90" w:rsidP="00260F11">
      <w:pPr>
        <w:pStyle w:val="ListParagraph"/>
        <w:spacing w:line="360" w:lineRule="auto"/>
        <w:ind w:left="0"/>
        <w:rPr>
          <w:color w:val="000000" w:themeColor="text1"/>
          <w:szCs w:val="18"/>
          <w:lang w:val="nl-NL"/>
        </w:rPr>
      </w:pPr>
    </w:p>
    <w:p w14:paraId="3259B8BA" w14:textId="6474CF3D" w:rsidR="00F57D25" w:rsidRDefault="00466F90" w:rsidP="00260F11">
      <w:pPr>
        <w:pStyle w:val="ListParagraph"/>
        <w:spacing w:line="360" w:lineRule="auto"/>
        <w:ind w:left="0"/>
        <w:rPr>
          <w:color w:val="000000" w:themeColor="text1"/>
          <w:szCs w:val="18"/>
          <w:lang w:val="nl-NL"/>
        </w:rPr>
      </w:pPr>
      <w:r w:rsidRPr="00466F90">
        <w:rPr>
          <w:color w:val="000000" w:themeColor="text1"/>
          <w:szCs w:val="18"/>
          <w:lang w:val="nl-NL"/>
        </w:rPr>
        <w:t xml:space="preserve">Gelet op </w:t>
      </w:r>
      <w:r>
        <w:rPr>
          <w:color w:val="000000" w:themeColor="text1"/>
          <w:szCs w:val="18"/>
          <w:lang w:val="nl-NL"/>
        </w:rPr>
        <w:t>de</w:t>
      </w:r>
      <w:r w:rsidRPr="00466F90">
        <w:rPr>
          <w:color w:val="000000" w:themeColor="text1"/>
          <w:szCs w:val="18"/>
          <w:lang w:val="nl-NL"/>
        </w:rPr>
        <w:t xml:space="preserve"> bedoeling van de wetgever </w:t>
      </w:r>
      <w:r>
        <w:rPr>
          <w:color w:val="000000" w:themeColor="text1"/>
          <w:szCs w:val="18"/>
          <w:lang w:val="nl-NL"/>
        </w:rPr>
        <w:t xml:space="preserve">om aantasting van de seksuele integriteit in zijn geheel te laten fungeren als restcategorie, </w:t>
      </w:r>
      <w:r w:rsidRPr="00466F90">
        <w:rPr>
          <w:color w:val="000000" w:themeColor="text1"/>
          <w:szCs w:val="18"/>
          <w:lang w:val="nl-NL"/>
        </w:rPr>
        <w:t xml:space="preserve">lijkt de naar Brits recht gehanteerde wetgevende techniek om te voorzien in meerdere strafbaarstellingen </w:t>
      </w:r>
      <w:r w:rsidR="00D615DC">
        <w:rPr>
          <w:color w:val="000000" w:themeColor="text1"/>
          <w:szCs w:val="18"/>
          <w:lang w:val="nl-NL"/>
        </w:rPr>
        <w:t>i</w:t>
      </w:r>
      <w:r w:rsidRPr="00466F90">
        <w:rPr>
          <w:color w:val="000000" w:themeColor="text1"/>
          <w:szCs w:val="18"/>
          <w:lang w:val="nl-NL"/>
        </w:rPr>
        <w:t>n het Belgisch rechtsstelsel dan ook niet wenselijk.</w:t>
      </w:r>
      <w:r w:rsidR="00F57D25">
        <w:rPr>
          <w:rStyle w:val="FootnoteReference"/>
          <w:color w:val="000000" w:themeColor="text1"/>
          <w:szCs w:val="18"/>
          <w:lang w:val="nl-NL"/>
        </w:rPr>
        <w:footnoteReference w:id="633"/>
      </w:r>
    </w:p>
    <w:p w14:paraId="028D0032" w14:textId="77777777" w:rsidR="00204F38" w:rsidRPr="00161D7D" w:rsidRDefault="00204F38" w:rsidP="00260F11">
      <w:pPr>
        <w:pStyle w:val="ListParagraph"/>
        <w:spacing w:line="360" w:lineRule="auto"/>
        <w:ind w:left="0"/>
        <w:rPr>
          <w:color w:val="000000" w:themeColor="text1"/>
          <w:szCs w:val="18"/>
          <w:lang w:val="nl-NL"/>
        </w:rPr>
      </w:pPr>
    </w:p>
    <w:p w14:paraId="180CA314" w14:textId="719429D8" w:rsidR="0027093C" w:rsidRPr="000B4AB2" w:rsidRDefault="00AC2734" w:rsidP="00260F11">
      <w:pPr>
        <w:pStyle w:val="Heading3"/>
        <w:spacing w:line="360" w:lineRule="auto"/>
        <w:rPr>
          <w:lang w:val="nl-NL"/>
        </w:rPr>
      </w:pPr>
      <w:bookmarkStart w:id="89" w:name="_Toc135041117"/>
      <w:r w:rsidRPr="000B4AB2">
        <w:rPr>
          <w:lang w:val="nl-NL"/>
        </w:rPr>
        <w:t>Verkrachting</w:t>
      </w:r>
      <w:bookmarkEnd w:id="89"/>
    </w:p>
    <w:p w14:paraId="1691D182" w14:textId="0E1F10F9" w:rsidR="0027093C" w:rsidRDefault="0027093C" w:rsidP="00260F11">
      <w:pPr>
        <w:pStyle w:val="ListParagraph"/>
        <w:spacing w:line="360" w:lineRule="auto"/>
        <w:ind w:left="0"/>
        <w:rPr>
          <w:color w:val="000000" w:themeColor="text1"/>
          <w:szCs w:val="18"/>
          <w:lang w:val="nl-NL"/>
        </w:rPr>
      </w:pPr>
    </w:p>
    <w:p w14:paraId="536CF125" w14:textId="77118366" w:rsidR="00AB2778" w:rsidRPr="00E5449F" w:rsidRDefault="00AA0206" w:rsidP="00260F11">
      <w:pPr>
        <w:pStyle w:val="ListParagraph"/>
        <w:numPr>
          <w:ilvl w:val="0"/>
          <w:numId w:val="1"/>
        </w:numPr>
        <w:spacing w:line="360" w:lineRule="auto"/>
        <w:ind w:left="0" w:hanging="709"/>
        <w:rPr>
          <w:color w:val="000000" w:themeColor="text1"/>
          <w:szCs w:val="18"/>
          <w:lang w:val="nl-NL"/>
        </w:rPr>
      </w:pPr>
      <w:r>
        <w:rPr>
          <w:color w:val="000000" w:themeColor="text1"/>
          <w:szCs w:val="18"/>
          <w:lang w:val="nl-NL"/>
        </w:rPr>
        <w:t>In wat voorafging werd reeds een deel van de hervormde strafbaarstelling van verkrachting geëvalueerd</w:t>
      </w:r>
      <w:r w:rsidR="005D3325">
        <w:rPr>
          <w:color w:val="000000" w:themeColor="text1"/>
          <w:szCs w:val="18"/>
          <w:lang w:val="nl-NL"/>
        </w:rPr>
        <w:t xml:space="preserve">. </w:t>
      </w:r>
      <w:r w:rsidR="00F57D25">
        <w:rPr>
          <w:color w:val="000000" w:themeColor="text1"/>
          <w:szCs w:val="18"/>
          <w:lang w:val="nl-NL"/>
        </w:rPr>
        <w:t>Deze</w:t>
      </w:r>
      <w:r w:rsidR="005D3325">
        <w:rPr>
          <w:color w:val="000000" w:themeColor="text1"/>
          <w:szCs w:val="18"/>
          <w:lang w:val="nl-NL"/>
        </w:rPr>
        <w:t xml:space="preserve"> evaluatie </w:t>
      </w:r>
      <w:r>
        <w:rPr>
          <w:color w:val="000000" w:themeColor="text1"/>
          <w:szCs w:val="18"/>
          <w:lang w:val="nl-NL"/>
        </w:rPr>
        <w:t xml:space="preserve">ging ook op voor </w:t>
      </w:r>
      <w:r w:rsidR="00484BCC">
        <w:rPr>
          <w:color w:val="000000" w:themeColor="text1"/>
          <w:szCs w:val="18"/>
          <w:lang w:val="nl-NL"/>
        </w:rPr>
        <w:t>aantasting van de seksuele integriteit</w:t>
      </w:r>
      <w:r w:rsidR="00246FF6">
        <w:rPr>
          <w:color w:val="000000" w:themeColor="text1"/>
          <w:szCs w:val="18"/>
          <w:lang w:val="nl-NL"/>
        </w:rPr>
        <w:t>.</w:t>
      </w:r>
      <w:r w:rsidR="00246FF6">
        <w:rPr>
          <w:rStyle w:val="FootnoteReference"/>
          <w:color w:val="000000" w:themeColor="text1"/>
          <w:szCs w:val="18"/>
          <w:lang w:val="nl-NL"/>
        </w:rPr>
        <w:footnoteReference w:id="634"/>
      </w:r>
      <w:r w:rsidR="00246FF6">
        <w:rPr>
          <w:color w:val="000000" w:themeColor="text1"/>
          <w:szCs w:val="18"/>
          <w:lang w:val="nl-NL"/>
        </w:rPr>
        <w:t xml:space="preserve"> </w:t>
      </w:r>
      <w:r>
        <w:rPr>
          <w:color w:val="000000" w:themeColor="text1"/>
          <w:szCs w:val="18"/>
          <w:lang w:val="nl-NL"/>
        </w:rPr>
        <w:t xml:space="preserve">In wat volgt zal </w:t>
      </w:r>
      <w:r w:rsidR="005D3325">
        <w:rPr>
          <w:color w:val="000000" w:themeColor="text1"/>
          <w:szCs w:val="18"/>
          <w:lang w:val="nl-NL"/>
        </w:rPr>
        <w:t xml:space="preserve">echter </w:t>
      </w:r>
      <w:r>
        <w:rPr>
          <w:color w:val="000000" w:themeColor="text1"/>
          <w:szCs w:val="18"/>
          <w:lang w:val="nl-NL"/>
        </w:rPr>
        <w:t xml:space="preserve">worden </w:t>
      </w:r>
      <w:r w:rsidR="00923043">
        <w:rPr>
          <w:color w:val="000000" w:themeColor="text1"/>
          <w:szCs w:val="18"/>
          <w:lang w:val="nl-NL"/>
        </w:rPr>
        <w:t xml:space="preserve">toegespitst </w:t>
      </w:r>
      <w:r w:rsidR="00FC247C">
        <w:rPr>
          <w:color w:val="000000" w:themeColor="text1"/>
          <w:szCs w:val="18"/>
          <w:lang w:val="nl-NL"/>
        </w:rPr>
        <w:t xml:space="preserve">op </w:t>
      </w:r>
      <w:r w:rsidR="005D3325">
        <w:rPr>
          <w:color w:val="000000" w:themeColor="text1"/>
          <w:szCs w:val="18"/>
          <w:lang w:val="nl-NL"/>
        </w:rPr>
        <w:t>datgene wat</w:t>
      </w:r>
      <w:r w:rsidR="00FC247C">
        <w:rPr>
          <w:color w:val="000000" w:themeColor="text1"/>
          <w:szCs w:val="18"/>
          <w:lang w:val="nl-NL"/>
        </w:rPr>
        <w:t xml:space="preserve"> specifiek </w:t>
      </w:r>
      <w:r w:rsidR="005D3325">
        <w:rPr>
          <w:color w:val="000000" w:themeColor="text1"/>
          <w:szCs w:val="18"/>
          <w:lang w:val="nl-NL"/>
        </w:rPr>
        <w:t>betrekking heeft</w:t>
      </w:r>
      <w:r w:rsidR="00FC247C">
        <w:rPr>
          <w:color w:val="000000" w:themeColor="text1"/>
          <w:szCs w:val="18"/>
          <w:lang w:val="nl-NL"/>
        </w:rPr>
        <w:t xml:space="preserve"> op het misdrijf van verkrachting.</w:t>
      </w:r>
    </w:p>
    <w:p w14:paraId="18249BC3" w14:textId="37C25CFA" w:rsidR="00F02CB2" w:rsidRPr="00A41847" w:rsidRDefault="00F02CB2" w:rsidP="00260F11">
      <w:pPr>
        <w:pStyle w:val="Heading4"/>
        <w:spacing w:line="360" w:lineRule="auto"/>
        <w:rPr>
          <w:lang w:val="nl-NL"/>
        </w:rPr>
      </w:pPr>
      <w:bookmarkStart w:id="90" w:name="_Toc135041118"/>
      <w:r>
        <w:rPr>
          <w:lang w:val="nl-NL"/>
        </w:rPr>
        <w:lastRenderedPageBreak/>
        <w:t xml:space="preserve">Materiële gedraging </w:t>
      </w:r>
      <w:r>
        <w:rPr>
          <w:i/>
          <w:lang w:val="nl-NL"/>
        </w:rPr>
        <w:t>sensu stricto</w:t>
      </w:r>
      <w:bookmarkEnd w:id="90"/>
    </w:p>
    <w:p w14:paraId="06B1F33A" w14:textId="77777777" w:rsidR="00A41847" w:rsidRDefault="00A41847" w:rsidP="00260F11">
      <w:pPr>
        <w:pStyle w:val="Heading5"/>
        <w:spacing w:line="360" w:lineRule="auto"/>
        <w:rPr>
          <w:lang w:val="nl-NL"/>
        </w:rPr>
      </w:pPr>
      <w:bookmarkStart w:id="91" w:name="_Toc135041119"/>
      <w:r>
        <w:rPr>
          <w:lang w:val="nl-NL"/>
        </w:rPr>
        <w:t>Seksuele penetratie</w:t>
      </w:r>
      <w:bookmarkEnd w:id="91"/>
    </w:p>
    <w:p w14:paraId="73CCBC2D" w14:textId="77777777" w:rsidR="00A41847" w:rsidRDefault="00A41847" w:rsidP="00260F11">
      <w:pPr>
        <w:pStyle w:val="ListParagraph"/>
        <w:spacing w:line="360" w:lineRule="auto"/>
        <w:ind w:left="0"/>
        <w:rPr>
          <w:color w:val="FF0000"/>
          <w:szCs w:val="18"/>
          <w:lang w:val="nl-NL"/>
        </w:rPr>
      </w:pPr>
    </w:p>
    <w:p w14:paraId="105C0ED3" w14:textId="4CD89CE9" w:rsidR="00A41847" w:rsidRDefault="00A41847" w:rsidP="00260F11">
      <w:pPr>
        <w:pStyle w:val="ListParagraph"/>
        <w:numPr>
          <w:ilvl w:val="0"/>
          <w:numId w:val="1"/>
        </w:numPr>
        <w:spacing w:line="360" w:lineRule="auto"/>
        <w:ind w:left="0" w:hanging="709"/>
        <w:rPr>
          <w:color w:val="000000" w:themeColor="text1"/>
          <w:szCs w:val="18"/>
          <w:lang w:val="nl-NL"/>
        </w:rPr>
      </w:pPr>
      <w:r w:rsidRPr="00565269">
        <w:rPr>
          <w:b/>
          <w:color w:val="000000" w:themeColor="text1"/>
          <w:szCs w:val="18"/>
          <w:lang w:val="nl-NL"/>
        </w:rPr>
        <w:t xml:space="preserve">Onduidelijkheid onder het oude recht. </w:t>
      </w:r>
      <w:r w:rsidRPr="00565269">
        <w:rPr>
          <w:color w:val="000000" w:themeColor="text1"/>
          <w:szCs w:val="18"/>
          <w:lang w:val="nl-NL"/>
        </w:rPr>
        <w:t>Onder het oude recht was het niet geheel duidelijk waarop de wetgever doelde met de vereiste van een “seksuele” penetratie</w:t>
      </w:r>
      <w:r>
        <w:rPr>
          <w:color w:val="000000" w:themeColor="text1"/>
          <w:szCs w:val="18"/>
          <w:lang w:val="nl-NL"/>
        </w:rPr>
        <w:t>, zodat dit dan ook als pijnpunt werd aangeduid</w:t>
      </w:r>
      <w:r w:rsidRPr="00565269">
        <w:rPr>
          <w:color w:val="000000" w:themeColor="text1"/>
          <w:szCs w:val="18"/>
          <w:lang w:val="nl-NL"/>
        </w:rPr>
        <w:t>.</w:t>
      </w:r>
      <w:r>
        <w:rPr>
          <w:rStyle w:val="FootnoteReference"/>
          <w:color w:val="000000" w:themeColor="text1"/>
          <w:szCs w:val="18"/>
          <w:lang w:val="nl-NL"/>
        </w:rPr>
        <w:footnoteReference w:id="635"/>
      </w:r>
      <w:r w:rsidRPr="00565269">
        <w:rPr>
          <w:color w:val="000000" w:themeColor="text1"/>
          <w:szCs w:val="18"/>
          <w:lang w:val="nl-NL"/>
        </w:rPr>
        <w:t xml:space="preserve"> </w:t>
      </w:r>
      <w:r w:rsidRPr="0066034E">
        <w:rPr>
          <w:color w:val="000000" w:themeColor="text1"/>
          <w:szCs w:val="18"/>
        </w:rPr>
        <w:t>Ter herinnering bestempelde de objectieve component als seksueel datgene “</w:t>
      </w:r>
      <w:r w:rsidRPr="0066034E">
        <w:rPr>
          <w:i/>
          <w:color w:val="000000" w:themeColor="text1"/>
          <w:szCs w:val="18"/>
        </w:rPr>
        <w:t>wat men vandaag in het algemeen verstaat onder seksuele activiteit, rekening houdende met de gangbare zeden en gewoonten in onze hedendaagse cultuur</w:t>
      </w:r>
      <w:r w:rsidRPr="0066034E">
        <w:rPr>
          <w:color w:val="000000" w:themeColor="text1"/>
          <w:szCs w:val="18"/>
        </w:rPr>
        <w:t xml:space="preserve">”. De (betwiste) subjectieve component sloeg op </w:t>
      </w:r>
      <w:r w:rsidR="007E7C53">
        <w:rPr>
          <w:color w:val="000000" w:themeColor="text1"/>
          <w:szCs w:val="18"/>
        </w:rPr>
        <w:t>de seksuele drijfveer</w:t>
      </w:r>
      <w:r w:rsidRPr="0066034E">
        <w:rPr>
          <w:color w:val="000000" w:themeColor="text1"/>
          <w:szCs w:val="18"/>
        </w:rPr>
        <w:t xml:space="preserve"> van de dader</w:t>
      </w:r>
      <w:r>
        <w:rPr>
          <w:color w:val="000000" w:themeColor="text1"/>
          <w:szCs w:val="18"/>
        </w:rPr>
        <w:t>.</w:t>
      </w:r>
    </w:p>
    <w:p w14:paraId="36B16D86" w14:textId="77777777" w:rsidR="00A41847" w:rsidRPr="00565269" w:rsidRDefault="00A41847" w:rsidP="00260F11">
      <w:pPr>
        <w:pStyle w:val="ListParagraph"/>
        <w:spacing w:line="360" w:lineRule="auto"/>
        <w:ind w:left="0"/>
        <w:rPr>
          <w:color w:val="000000" w:themeColor="text1"/>
          <w:szCs w:val="18"/>
          <w:lang w:val="nl-NL"/>
        </w:rPr>
      </w:pPr>
    </w:p>
    <w:p w14:paraId="4FC38259" w14:textId="77777777" w:rsidR="00A41847" w:rsidRDefault="00A41847" w:rsidP="00260F11">
      <w:pPr>
        <w:pStyle w:val="ListParagraph"/>
        <w:numPr>
          <w:ilvl w:val="0"/>
          <w:numId w:val="1"/>
        </w:numPr>
        <w:spacing w:line="360" w:lineRule="auto"/>
        <w:ind w:left="0" w:hanging="709"/>
        <w:rPr>
          <w:color w:val="000000" w:themeColor="text1"/>
          <w:szCs w:val="18"/>
          <w:lang w:val="nl-NL"/>
        </w:rPr>
      </w:pPr>
      <w:r w:rsidRPr="00AF2EFB">
        <w:rPr>
          <w:b/>
          <w:color w:val="000000" w:themeColor="text1"/>
          <w:szCs w:val="18"/>
          <w:lang w:val="nl-NL"/>
        </w:rPr>
        <w:t>Verduidelijking</w:t>
      </w:r>
      <w:r>
        <w:rPr>
          <w:b/>
          <w:color w:val="000000" w:themeColor="text1"/>
          <w:szCs w:val="18"/>
          <w:lang w:val="nl-NL"/>
        </w:rPr>
        <w:t>(?)</w:t>
      </w:r>
      <w:r w:rsidRPr="00AF2EFB">
        <w:rPr>
          <w:b/>
          <w:color w:val="000000" w:themeColor="text1"/>
          <w:szCs w:val="18"/>
          <w:lang w:val="nl-NL"/>
        </w:rPr>
        <w:t xml:space="preserve"> </w:t>
      </w:r>
      <w:r w:rsidRPr="00AF2EFB">
        <w:rPr>
          <w:color w:val="000000" w:themeColor="text1"/>
          <w:szCs w:val="18"/>
          <w:lang w:val="nl-NL"/>
        </w:rPr>
        <w:t>De huidige strafbaarstelling van verkrachting hanteert eveneens het begrip seksuele penetratie</w:t>
      </w:r>
      <w:r>
        <w:rPr>
          <w:color w:val="000000" w:themeColor="text1"/>
          <w:szCs w:val="18"/>
          <w:lang w:val="nl-NL"/>
        </w:rPr>
        <w:t>. Ook nu wordt</w:t>
      </w:r>
      <w:r w:rsidRPr="00AF2EFB">
        <w:rPr>
          <w:color w:val="000000" w:themeColor="text1"/>
          <w:szCs w:val="18"/>
          <w:lang w:val="nl-NL"/>
        </w:rPr>
        <w:t xml:space="preserve"> dit begrip </w:t>
      </w:r>
      <w:r>
        <w:rPr>
          <w:color w:val="000000" w:themeColor="text1"/>
          <w:szCs w:val="18"/>
          <w:lang w:val="nl-NL"/>
        </w:rPr>
        <w:t xml:space="preserve">niet verder geduid </w:t>
      </w:r>
      <w:r w:rsidRPr="00AF2EFB">
        <w:rPr>
          <w:color w:val="000000" w:themeColor="text1"/>
          <w:szCs w:val="18"/>
          <w:lang w:val="nl-NL"/>
        </w:rPr>
        <w:t xml:space="preserve">in de strafbepaling zelf. </w:t>
      </w:r>
      <w:r>
        <w:rPr>
          <w:color w:val="000000" w:themeColor="text1"/>
          <w:szCs w:val="18"/>
          <w:lang w:val="nl-NL"/>
        </w:rPr>
        <w:t>De memorie van toelichting bepaalt hierover het volgende:</w:t>
      </w:r>
      <w:r w:rsidRPr="00AF2EFB">
        <w:rPr>
          <w:color w:val="000000" w:themeColor="text1"/>
          <w:szCs w:val="18"/>
          <w:lang w:val="nl-NL"/>
        </w:rPr>
        <w:t xml:space="preserve"> “</w:t>
      </w:r>
      <w:r w:rsidRPr="00AF2EFB">
        <w:rPr>
          <w:i/>
        </w:rPr>
        <w:t xml:space="preserve">(…) een handeling die een redelijk persoon als seksueel kan bestempelen en dus als een aantasting van zijn seksuele integriteit kan ervaren. Zo bepaalt </w:t>
      </w:r>
      <w:r w:rsidRPr="00862615">
        <w:rPr>
          <w:i/>
        </w:rPr>
        <w:t>Section</w:t>
      </w:r>
      <w:r w:rsidRPr="00AF2EFB">
        <w:rPr>
          <w:i/>
        </w:rPr>
        <w:t xml:space="preserve"> 78 van de Engelse Sexual Offences Act 2003 met inbegrip van de “Explanatory notes” dat een seksuele penetratie een penetratie betreft die een redelijk persoon als seksueel zou bestempelen omdat zij (1) ofwel vanwege haar aard seksueel is, ongeacht de omstandigheden of de intentie van een persoon die erbij betrokken is (bv. geslachtsgemeenschap, orale seks) (2) ofwel vanwege haar aard seksueel kan zijn en gezien de omstandigheden en/of de intentie van een persoon die erbij betrokken is, seksueel is (bv. penetratie van de vagina met de vinger indien niet uitgevoerd om medische redenen)</w:t>
      </w:r>
      <w:r>
        <w:rPr>
          <w:i/>
        </w:rPr>
        <w:t>.</w:t>
      </w:r>
      <w:r w:rsidRPr="00AF2EFB">
        <w:rPr>
          <w:i/>
        </w:rPr>
        <w:t>”</w:t>
      </w:r>
      <w:r>
        <w:rPr>
          <w:rStyle w:val="FootnoteReference"/>
          <w:color w:val="000000" w:themeColor="text1"/>
          <w:szCs w:val="18"/>
          <w:lang w:val="nl-NL"/>
        </w:rPr>
        <w:footnoteReference w:id="636"/>
      </w:r>
      <w:r w:rsidRPr="00AF2EFB">
        <w:rPr>
          <w:color w:val="000000" w:themeColor="text1"/>
          <w:szCs w:val="18"/>
          <w:lang w:val="nl-NL"/>
        </w:rPr>
        <w:t xml:space="preserve"> </w:t>
      </w:r>
    </w:p>
    <w:p w14:paraId="1A6C73EA" w14:textId="77777777" w:rsidR="00A41847" w:rsidRPr="00AF2EFB" w:rsidRDefault="00A41847" w:rsidP="00260F11">
      <w:pPr>
        <w:pStyle w:val="ListParagraph"/>
        <w:spacing w:line="360" w:lineRule="auto"/>
        <w:rPr>
          <w:color w:val="000000" w:themeColor="text1"/>
          <w:szCs w:val="18"/>
          <w:lang w:val="nl-NL"/>
        </w:rPr>
      </w:pPr>
    </w:p>
    <w:p w14:paraId="4DA79AD8" w14:textId="77777777" w:rsidR="00A41847" w:rsidRDefault="00A41847" w:rsidP="00260F11">
      <w:pPr>
        <w:pStyle w:val="ListParagraph"/>
        <w:numPr>
          <w:ilvl w:val="0"/>
          <w:numId w:val="1"/>
        </w:numPr>
        <w:spacing w:line="360" w:lineRule="auto"/>
        <w:ind w:left="0" w:hanging="709"/>
        <w:rPr>
          <w:color w:val="000000" w:themeColor="text1"/>
          <w:szCs w:val="18"/>
          <w:lang w:val="nl-NL"/>
        </w:rPr>
      </w:pPr>
      <w:r w:rsidRPr="00C61A88">
        <w:rPr>
          <w:color w:val="000000" w:themeColor="text1"/>
          <w:szCs w:val="18"/>
          <w:lang w:val="nl-NL"/>
        </w:rPr>
        <w:t xml:space="preserve">Aldus vormen de opvattingen van een redelijke persoon het beoordelingscriterium op basis waarvan bepaald wordt of een penetratie al dan niet seksueel is. Hoewel de vraag kan worden gesteld waarom dit beoordelingscriterium niet in de wettekst zelf, maar in de memorie van toelichting naar voren wordt geschoven, wordt met dit beoordelingscriterium m.i. wel enigszins verholpen aan de onduidelijkheid die heerste onder de oude strafbaarstelling m.b.t. het begrip “seksueel”. </w:t>
      </w:r>
    </w:p>
    <w:p w14:paraId="31EC2B35" w14:textId="77777777" w:rsidR="00A41847" w:rsidRPr="00246FF6" w:rsidRDefault="00A41847" w:rsidP="00260F11">
      <w:pPr>
        <w:pStyle w:val="ListParagraph"/>
        <w:spacing w:line="360" w:lineRule="auto"/>
        <w:ind w:left="0"/>
        <w:rPr>
          <w:color w:val="000000" w:themeColor="text1"/>
          <w:szCs w:val="18"/>
          <w:lang w:val="nl-NL"/>
        </w:rPr>
      </w:pPr>
    </w:p>
    <w:p w14:paraId="4C4268D2" w14:textId="77777777" w:rsidR="00A41847" w:rsidRPr="004D0E0D" w:rsidRDefault="00A41847" w:rsidP="00260F11">
      <w:pPr>
        <w:pStyle w:val="ListParagraph"/>
        <w:numPr>
          <w:ilvl w:val="0"/>
          <w:numId w:val="1"/>
        </w:numPr>
        <w:spacing w:line="360" w:lineRule="auto"/>
        <w:ind w:left="0" w:hanging="709"/>
        <w:rPr>
          <w:color w:val="000000" w:themeColor="text1"/>
          <w:szCs w:val="18"/>
          <w:lang w:val="nl-NL"/>
        </w:rPr>
      </w:pPr>
      <w:r w:rsidRPr="00AA3BF7">
        <w:rPr>
          <w:color w:val="000000" w:themeColor="text1"/>
          <w:szCs w:val="18"/>
          <w:lang w:val="nl-NL"/>
        </w:rPr>
        <w:t xml:space="preserve">De memorie van toelichting verwijst bovendien naar </w:t>
      </w:r>
      <w:r w:rsidRPr="00AA3BF7">
        <w:rPr>
          <w:i/>
          <w:color w:val="000000" w:themeColor="text1"/>
          <w:szCs w:val="18"/>
          <w:lang w:val="nl-NL"/>
        </w:rPr>
        <w:t>section</w:t>
      </w:r>
      <w:r w:rsidRPr="00AA3BF7">
        <w:rPr>
          <w:color w:val="000000" w:themeColor="text1"/>
          <w:szCs w:val="18"/>
          <w:lang w:val="nl-NL"/>
        </w:rPr>
        <w:t xml:space="preserve"> 78 van de Britse SOA. Dit </w:t>
      </w:r>
      <w:r>
        <w:rPr>
          <w:color w:val="000000" w:themeColor="text1"/>
          <w:szCs w:val="18"/>
          <w:lang w:val="nl-NL"/>
        </w:rPr>
        <w:t>gebeurde</w:t>
      </w:r>
      <w:r w:rsidRPr="00AA3BF7">
        <w:rPr>
          <w:color w:val="000000" w:themeColor="text1"/>
          <w:szCs w:val="18"/>
          <w:lang w:val="nl-NL"/>
        </w:rPr>
        <w:t xml:space="preserve"> m.i. op zeer onduidelijke wijze. Wil de wetgever hiermee verduidelijken waar inspiratie werd gehaald om de redelijke persoon als beoordelingscriterium te hanteren? Of was het de bedoeling om nader toe te lichten wat onder het Belgisch recht verstaan dient te worden onder de opvattingen van een redelijk persoon, zodat het stappenplan uit </w:t>
      </w:r>
      <w:r w:rsidRPr="00AA3BF7">
        <w:rPr>
          <w:i/>
          <w:color w:val="000000" w:themeColor="text1"/>
          <w:szCs w:val="18"/>
          <w:lang w:val="nl-NL"/>
        </w:rPr>
        <w:t xml:space="preserve">section </w:t>
      </w:r>
      <w:r w:rsidRPr="00AA3BF7">
        <w:rPr>
          <w:color w:val="000000" w:themeColor="text1"/>
          <w:szCs w:val="18"/>
          <w:lang w:val="nl-NL"/>
        </w:rPr>
        <w:t>78</w:t>
      </w:r>
      <w:r>
        <w:rPr>
          <w:rStyle w:val="FootnoteReference"/>
          <w:color w:val="000000" w:themeColor="text1"/>
          <w:szCs w:val="18"/>
          <w:lang w:val="nl-NL"/>
        </w:rPr>
        <w:footnoteReference w:id="637"/>
      </w:r>
      <w:r w:rsidRPr="00AA3BF7">
        <w:rPr>
          <w:color w:val="000000" w:themeColor="text1"/>
          <w:szCs w:val="18"/>
          <w:lang w:val="nl-NL"/>
        </w:rPr>
        <w:t xml:space="preserve"> ook naar Belgisch recht moet worden toegepast? </w:t>
      </w:r>
      <w:r>
        <w:rPr>
          <w:color w:val="000000" w:themeColor="text1"/>
          <w:szCs w:val="18"/>
          <w:lang w:val="nl-NL"/>
        </w:rPr>
        <w:t>Het feit dat deze vragen niet met zekerheid kunnen worden beantwoord o.g.v. de memorie van toelichting, is m.i. dan ook betreurenswaardig.</w:t>
      </w:r>
      <w:r>
        <w:rPr>
          <w:rStyle w:val="FootnoteReference"/>
          <w:color w:val="000000" w:themeColor="text1"/>
          <w:szCs w:val="18"/>
          <w:lang w:val="nl-NL"/>
        </w:rPr>
        <w:footnoteReference w:id="638"/>
      </w:r>
    </w:p>
    <w:p w14:paraId="0B888994" w14:textId="7D85A31F" w:rsidR="00A41847" w:rsidRPr="00855A7D" w:rsidRDefault="00A41847" w:rsidP="00260F11">
      <w:pPr>
        <w:pStyle w:val="ListParagraph"/>
        <w:numPr>
          <w:ilvl w:val="0"/>
          <w:numId w:val="1"/>
        </w:numPr>
        <w:spacing w:line="360" w:lineRule="auto"/>
        <w:ind w:left="0" w:hanging="709"/>
        <w:rPr>
          <w:color w:val="000000" w:themeColor="text1"/>
          <w:szCs w:val="18"/>
          <w:lang w:val="nl-NL"/>
        </w:rPr>
      </w:pPr>
      <w:r w:rsidRPr="00855A7D">
        <w:rPr>
          <w:b/>
          <w:i/>
          <w:color w:val="000000" w:themeColor="text1"/>
          <w:szCs w:val="18"/>
          <w:lang w:val="nl-NL"/>
        </w:rPr>
        <w:lastRenderedPageBreak/>
        <w:t>Aanbeveling</w:t>
      </w:r>
      <w:r w:rsidRPr="00855A7D">
        <w:rPr>
          <w:color w:val="000000" w:themeColor="text1"/>
          <w:szCs w:val="18"/>
          <w:lang w:val="nl-NL"/>
        </w:rPr>
        <w:t xml:space="preserve">. Vooreerst is het in het licht van het </w:t>
      </w:r>
      <w:r w:rsidRPr="00855A7D">
        <w:rPr>
          <w:i/>
          <w:color w:val="000000" w:themeColor="text1"/>
          <w:szCs w:val="18"/>
          <w:lang w:val="nl-NL"/>
        </w:rPr>
        <w:t>lex certa-</w:t>
      </w:r>
      <w:r w:rsidRPr="00855A7D">
        <w:rPr>
          <w:color w:val="000000" w:themeColor="text1"/>
          <w:szCs w:val="18"/>
          <w:lang w:val="nl-NL"/>
        </w:rPr>
        <w:t>beginsel, m.i. aangeraden</w:t>
      </w:r>
      <w:r w:rsidRPr="00855A7D">
        <w:rPr>
          <w:rStyle w:val="FootnoteReference"/>
          <w:color w:val="000000" w:themeColor="text1"/>
          <w:szCs w:val="18"/>
          <w:lang w:val="nl-NL"/>
        </w:rPr>
        <w:footnoteReference w:id="639"/>
      </w:r>
      <w:r w:rsidRPr="00855A7D">
        <w:rPr>
          <w:color w:val="000000" w:themeColor="text1"/>
          <w:szCs w:val="18"/>
          <w:lang w:val="nl-NL"/>
        </w:rPr>
        <w:t xml:space="preserve"> om expliciet in de wettekst te bepalen dat het de opvattingen van een redelijk persoon zijn die de maatstaf vormen om te beoordelen of een handeling al dan niet seksueel is. Bovendien is een nadere toelichting van de invulling van dit beoordelingscriterium m.i. aangeraden met het oog op het bevorderen van de rechtszekerheid. Dit kan gebeuren naar Brits voorbeeld.</w:t>
      </w:r>
      <w:r w:rsidR="007E7C53" w:rsidRPr="00855A7D">
        <w:rPr>
          <w:rStyle w:val="FootnoteReference"/>
          <w:color w:val="000000" w:themeColor="text1"/>
          <w:szCs w:val="18"/>
          <w:lang w:val="nl-NL"/>
        </w:rPr>
        <w:footnoteReference w:id="640"/>
      </w:r>
    </w:p>
    <w:p w14:paraId="1012BAA0" w14:textId="77777777" w:rsidR="00A41847" w:rsidRPr="007E7C53" w:rsidRDefault="00A41847" w:rsidP="00260F11">
      <w:pPr>
        <w:spacing w:line="360" w:lineRule="auto"/>
        <w:rPr>
          <w:color w:val="000000" w:themeColor="text1"/>
          <w:szCs w:val="18"/>
          <w:lang w:val="nl-NL"/>
        </w:rPr>
      </w:pPr>
    </w:p>
    <w:p w14:paraId="398E4705" w14:textId="77777777" w:rsidR="00A41847" w:rsidRPr="00855A7D" w:rsidRDefault="00A41847" w:rsidP="00260F11">
      <w:pPr>
        <w:spacing w:line="360" w:lineRule="auto"/>
        <w:rPr>
          <w:color w:val="000000" w:themeColor="text1"/>
          <w:szCs w:val="18"/>
          <w:lang w:val="nl-NL"/>
        </w:rPr>
      </w:pPr>
      <w:r w:rsidRPr="00855A7D">
        <w:rPr>
          <w:color w:val="000000" w:themeColor="text1"/>
          <w:szCs w:val="18"/>
          <w:lang w:val="nl-NL"/>
        </w:rPr>
        <w:t xml:space="preserve">Tevens zal door het seksueel karakter te beoordelen conform een stappenplan zoals </w:t>
      </w:r>
      <w:r w:rsidRPr="00855A7D">
        <w:rPr>
          <w:i/>
          <w:color w:val="000000" w:themeColor="text1"/>
          <w:szCs w:val="18"/>
          <w:lang w:val="nl-NL"/>
        </w:rPr>
        <w:t>section</w:t>
      </w:r>
      <w:r w:rsidRPr="00855A7D">
        <w:rPr>
          <w:color w:val="000000" w:themeColor="text1"/>
          <w:szCs w:val="18"/>
          <w:lang w:val="nl-NL"/>
        </w:rPr>
        <w:t xml:space="preserve"> 78 SOA, op niet mis te verstane wijze door de wetgever aandacht geschonken worden aan de seksuele drijfveer van de dader, zonder dat deze seksuele ingesteldheid van de dader op zichzelf doorslaggevend zal zijn voor de strafbaarstelling. Hierdoor zou verholpen worden aan het reeds hoger geïdentificeerde pijnpunt</w:t>
      </w:r>
      <w:r w:rsidRPr="00855A7D">
        <w:rPr>
          <w:rStyle w:val="FootnoteReference"/>
          <w:color w:val="000000" w:themeColor="text1"/>
          <w:szCs w:val="18"/>
          <w:lang w:val="nl-NL"/>
        </w:rPr>
        <w:footnoteReference w:id="641"/>
      </w:r>
      <w:r w:rsidRPr="00855A7D">
        <w:rPr>
          <w:color w:val="000000" w:themeColor="text1"/>
          <w:szCs w:val="18"/>
          <w:lang w:val="nl-NL"/>
        </w:rPr>
        <w:t xml:space="preserve"> van de oude strafbaarstelling van verkrachting (dat nu tevens opgaat voor de huidige strafbaarstelling).</w:t>
      </w:r>
      <w:r w:rsidRPr="00855A7D">
        <w:rPr>
          <w:rStyle w:val="FootnoteReference"/>
          <w:color w:val="000000" w:themeColor="text1"/>
          <w:szCs w:val="18"/>
          <w:lang w:val="nl-NL"/>
        </w:rPr>
        <w:footnoteReference w:id="642"/>
      </w:r>
    </w:p>
    <w:p w14:paraId="22475BD1" w14:textId="77777777" w:rsidR="00A41847" w:rsidRPr="009C78E5" w:rsidRDefault="00A41847" w:rsidP="00260F11">
      <w:pPr>
        <w:pStyle w:val="ListParagraph"/>
        <w:spacing w:line="360" w:lineRule="auto"/>
        <w:ind w:left="0"/>
        <w:rPr>
          <w:color w:val="FF0000"/>
          <w:szCs w:val="18"/>
          <w:lang w:val="nl-NL"/>
        </w:rPr>
      </w:pPr>
    </w:p>
    <w:p w14:paraId="269A21F7" w14:textId="77777777" w:rsidR="00A41847" w:rsidRDefault="00A41847" w:rsidP="00260F11">
      <w:pPr>
        <w:pStyle w:val="Heading5"/>
        <w:spacing w:line="360" w:lineRule="auto"/>
        <w:rPr>
          <w:lang w:val="nl-NL"/>
        </w:rPr>
      </w:pPr>
      <w:bookmarkStart w:id="92" w:name="_Toc135041120"/>
      <w:r>
        <w:rPr>
          <w:lang w:val="nl-NL"/>
        </w:rPr>
        <w:t>Van welke aard en met welk middel ook</w:t>
      </w:r>
      <w:bookmarkEnd w:id="92"/>
    </w:p>
    <w:p w14:paraId="0215CDB0" w14:textId="77777777" w:rsidR="00A41847" w:rsidRPr="002929DD" w:rsidRDefault="00A41847" w:rsidP="00260F11">
      <w:pPr>
        <w:spacing w:line="360" w:lineRule="auto"/>
        <w:rPr>
          <w:lang w:val="nl-NL"/>
        </w:rPr>
      </w:pPr>
    </w:p>
    <w:p w14:paraId="19807AF5" w14:textId="1CF873E8" w:rsidR="00A41847" w:rsidRPr="004F6AC9" w:rsidRDefault="00A41847" w:rsidP="00260F11">
      <w:pPr>
        <w:pStyle w:val="ListParagraph"/>
        <w:numPr>
          <w:ilvl w:val="0"/>
          <w:numId w:val="1"/>
        </w:numPr>
        <w:spacing w:line="360" w:lineRule="auto"/>
        <w:ind w:left="0" w:hanging="709"/>
        <w:rPr>
          <w:color w:val="000000" w:themeColor="text1"/>
          <w:szCs w:val="18"/>
          <w:lang w:val="nl-NL"/>
        </w:rPr>
      </w:pPr>
      <w:r w:rsidRPr="004F6AC9">
        <w:rPr>
          <w:b/>
          <w:color w:val="000000" w:themeColor="text1"/>
          <w:szCs w:val="18"/>
          <w:lang w:val="nl-NL"/>
        </w:rPr>
        <w:t xml:space="preserve">(1) Pijnpunt onder de oude strafbaarstelling. </w:t>
      </w:r>
      <w:r w:rsidRPr="004F6AC9">
        <w:rPr>
          <w:color w:val="000000" w:themeColor="text1"/>
          <w:szCs w:val="18"/>
          <w:lang w:val="nl-NL"/>
        </w:rPr>
        <w:t>Deze ruime formulering werd als pijnpunt aangeduid onder de oude strafbaarstelling o.w.v. de onduidelijkheid die deze met zich meebracht.</w:t>
      </w:r>
      <w:r>
        <w:rPr>
          <w:rStyle w:val="FootnoteReference"/>
          <w:color w:val="000000" w:themeColor="text1"/>
          <w:szCs w:val="18"/>
          <w:lang w:val="nl-NL"/>
        </w:rPr>
        <w:footnoteReference w:id="643"/>
      </w:r>
      <w:r w:rsidRPr="004F6AC9">
        <w:rPr>
          <w:color w:val="000000" w:themeColor="text1"/>
          <w:szCs w:val="18"/>
          <w:lang w:val="nl-NL"/>
        </w:rPr>
        <w:t xml:space="preserve"> O.g.v. deze bewoordingen komen immers alle middelen en alle lichaamsholten in aanmerking voor een verkrachting. </w:t>
      </w:r>
    </w:p>
    <w:p w14:paraId="70F9CE50" w14:textId="77777777" w:rsidR="00A41847" w:rsidRDefault="00A41847" w:rsidP="00260F11">
      <w:pPr>
        <w:pStyle w:val="ListParagraph"/>
        <w:spacing w:line="360" w:lineRule="auto"/>
        <w:ind w:left="0"/>
        <w:rPr>
          <w:color w:val="000000" w:themeColor="text1"/>
          <w:szCs w:val="18"/>
          <w:lang w:val="nl-NL"/>
        </w:rPr>
      </w:pPr>
    </w:p>
    <w:p w14:paraId="3A6CC494" w14:textId="77777777" w:rsidR="00A41847" w:rsidRPr="006954ED" w:rsidRDefault="00A41847" w:rsidP="00260F11">
      <w:pPr>
        <w:pStyle w:val="ListParagraph"/>
        <w:numPr>
          <w:ilvl w:val="0"/>
          <w:numId w:val="1"/>
        </w:numPr>
        <w:spacing w:line="360" w:lineRule="auto"/>
        <w:ind w:left="0" w:hanging="709"/>
        <w:rPr>
          <w:color w:val="000000" w:themeColor="text1"/>
          <w:szCs w:val="18"/>
          <w:lang w:val="nl-NL"/>
        </w:rPr>
      </w:pPr>
      <w:r w:rsidRPr="006954ED">
        <w:rPr>
          <w:color w:val="000000" w:themeColor="text1"/>
          <w:szCs w:val="18"/>
          <w:lang w:val="nl-NL"/>
        </w:rPr>
        <w:t>In de rechtspraak en rechtsleer bestond eensgezindheid over de penetraties met een penis (“peniele penetraties”) in de vagina, anus of mond enerzijds en de penetraties van de vagina of anus ongeacht met welk middel anderzijds. Over andere - volgens de letter van de wet mogelijke - toepassingsgevallen bestond meer onduidelijkheid</w:t>
      </w:r>
      <w:r>
        <w:rPr>
          <w:color w:val="000000" w:themeColor="text1"/>
          <w:szCs w:val="18"/>
          <w:lang w:val="nl-NL"/>
        </w:rPr>
        <w:t>.</w:t>
      </w:r>
      <w:r w:rsidRPr="002E47E7">
        <w:rPr>
          <w:rStyle w:val="FootnoteReference"/>
          <w:color w:val="000000" w:themeColor="text1"/>
          <w:szCs w:val="18"/>
          <w:lang w:val="nl-NL"/>
        </w:rPr>
        <w:footnoteReference w:id="644"/>
      </w:r>
    </w:p>
    <w:p w14:paraId="79BE42CB" w14:textId="77777777" w:rsidR="00A41847" w:rsidRDefault="00A41847" w:rsidP="00260F11">
      <w:pPr>
        <w:pStyle w:val="ListParagraph"/>
        <w:spacing w:line="360" w:lineRule="auto"/>
        <w:ind w:left="0"/>
        <w:rPr>
          <w:color w:val="000000" w:themeColor="text1"/>
          <w:szCs w:val="18"/>
          <w:lang w:val="nl-NL"/>
        </w:rPr>
      </w:pPr>
    </w:p>
    <w:p w14:paraId="13156E91" w14:textId="77777777" w:rsidR="00A41847" w:rsidRDefault="00A41847"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(2) Pijnpunt onder de huidige strafbaarstelling?</w:t>
      </w:r>
      <w:r>
        <w:rPr>
          <w:color w:val="000000" w:themeColor="text1"/>
          <w:szCs w:val="18"/>
          <w:lang w:val="nl-NL"/>
        </w:rPr>
        <w:t xml:space="preserve"> De formulering van de strafbaarstelling bleef op dit vlak onveranderd. Aldus gaat hetgeen hierboven werd uiteengezet omtrent de oude strafbaarstelling, ook op voor de huidige strafbaarstelling. </w:t>
      </w:r>
    </w:p>
    <w:p w14:paraId="383F7E3A" w14:textId="77777777" w:rsidR="00A41847" w:rsidRPr="00F67954" w:rsidRDefault="00A41847" w:rsidP="00260F11">
      <w:pPr>
        <w:pStyle w:val="ListParagraph"/>
        <w:spacing w:line="360" w:lineRule="auto"/>
        <w:rPr>
          <w:color w:val="000000" w:themeColor="text1"/>
          <w:szCs w:val="18"/>
          <w:lang w:val="nl-NL"/>
        </w:rPr>
      </w:pPr>
    </w:p>
    <w:p w14:paraId="76DA50D5" w14:textId="6A244DCE" w:rsidR="00A41847" w:rsidRPr="00F67954" w:rsidRDefault="00A41847" w:rsidP="00260F11">
      <w:pPr>
        <w:pStyle w:val="ListParagraph"/>
        <w:numPr>
          <w:ilvl w:val="0"/>
          <w:numId w:val="1"/>
        </w:numPr>
        <w:spacing w:line="360" w:lineRule="auto"/>
        <w:ind w:left="0" w:hanging="709"/>
        <w:rPr>
          <w:color w:val="000000" w:themeColor="text1"/>
          <w:szCs w:val="18"/>
          <w:lang w:val="nl-NL"/>
        </w:rPr>
      </w:pPr>
      <w:r w:rsidRPr="00F67954">
        <w:rPr>
          <w:b/>
          <w:color w:val="000000" w:themeColor="text1"/>
          <w:szCs w:val="18"/>
          <w:lang w:val="nl-NL"/>
        </w:rPr>
        <w:t xml:space="preserve">In het licht van het </w:t>
      </w:r>
      <w:r w:rsidRPr="00EA095E">
        <w:rPr>
          <w:b/>
          <w:i/>
          <w:color w:val="000000" w:themeColor="text1"/>
          <w:szCs w:val="18"/>
          <w:lang w:val="nl-NL"/>
        </w:rPr>
        <w:t>lex certa-</w:t>
      </w:r>
      <w:r w:rsidRPr="00EA095E">
        <w:rPr>
          <w:b/>
          <w:color w:val="000000" w:themeColor="text1"/>
          <w:szCs w:val="18"/>
          <w:lang w:val="nl-NL"/>
        </w:rPr>
        <w:t>beginsel</w:t>
      </w:r>
      <w:r>
        <w:rPr>
          <w:color w:val="000000" w:themeColor="text1"/>
          <w:szCs w:val="18"/>
          <w:lang w:val="nl-NL"/>
        </w:rPr>
        <w:t xml:space="preserve">. </w:t>
      </w:r>
      <w:r w:rsidRPr="00F67954">
        <w:rPr>
          <w:color w:val="000000" w:themeColor="text1"/>
          <w:szCs w:val="18"/>
          <w:lang w:val="nl-NL"/>
        </w:rPr>
        <w:t xml:space="preserve">De vraag rijst of een dergelijke mate van “rechtsonzekerheid” </w:t>
      </w:r>
      <w:r w:rsidR="007643B1">
        <w:rPr>
          <w:color w:val="000000" w:themeColor="text1"/>
          <w:szCs w:val="18"/>
          <w:lang w:val="nl-NL"/>
        </w:rPr>
        <w:t>acceptabel</w:t>
      </w:r>
      <w:r w:rsidRPr="00F67954">
        <w:rPr>
          <w:color w:val="000000" w:themeColor="text1"/>
          <w:szCs w:val="18"/>
          <w:lang w:val="nl-NL"/>
        </w:rPr>
        <w:t xml:space="preserve"> is in het licht van </w:t>
      </w:r>
      <w:r>
        <w:rPr>
          <w:color w:val="000000" w:themeColor="text1"/>
          <w:szCs w:val="18"/>
          <w:lang w:val="nl-NL"/>
        </w:rPr>
        <w:t>voornoemd beginsel</w:t>
      </w:r>
      <w:r w:rsidRPr="00F67954">
        <w:rPr>
          <w:color w:val="000000" w:themeColor="text1"/>
          <w:szCs w:val="18"/>
          <w:lang w:val="nl-NL"/>
        </w:rPr>
        <w:t>, dan wel of de wetgever</w:t>
      </w:r>
      <w:r w:rsidR="00E3002C">
        <w:rPr>
          <w:color w:val="000000" w:themeColor="text1"/>
          <w:szCs w:val="18"/>
          <w:lang w:val="nl-NL"/>
        </w:rPr>
        <w:t xml:space="preserve"> </w:t>
      </w:r>
      <w:r w:rsidRPr="00F67954">
        <w:rPr>
          <w:color w:val="000000" w:themeColor="text1"/>
          <w:szCs w:val="18"/>
          <w:lang w:val="nl-NL"/>
        </w:rPr>
        <w:t xml:space="preserve">specifieker had moeten zijn, zoals bijvoorbeeld onder het Brits recht. </w:t>
      </w:r>
    </w:p>
    <w:p w14:paraId="305BEC72" w14:textId="77777777" w:rsidR="00A41847" w:rsidRPr="000A0D20" w:rsidRDefault="00A41847" w:rsidP="00260F11">
      <w:pPr>
        <w:pStyle w:val="ListParagraph"/>
        <w:spacing w:line="360" w:lineRule="auto"/>
        <w:rPr>
          <w:color w:val="000000" w:themeColor="text1"/>
          <w:szCs w:val="18"/>
          <w:lang w:val="nl-NL"/>
        </w:rPr>
      </w:pPr>
    </w:p>
    <w:p w14:paraId="518AAF00" w14:textId="64DEBEFC" w:rsidR="00A41847" w:rsidRPr="00EE1494" w:rsidRDefault="00A41847" w:rsidP="00260F11">
      <w:pPr>
        <w:pStyle w:val="ListParagraph"/>
        <w:spacing w:line="360" w:lineRule="auto"/>
        <w:ind w:left="0"/>
        <w:rPr>
          <w:color w:val="000000" w:themeColor="text1"/>
          <w:szCs w:val="18"/>
          <w:lang w:val="nl-NL"/>
        </w:rPr>
      </w:pPr>
      <w:r>
        <w:rPr>
          <w:color w:val="000000" w:themeColor="text1"/>
          <w:szCs w:val="18"/>
          <w:lang w:val="nl-NL"/>
        </w:rPr>
        <w:t xml:space="preserve">Naar Brits recht bestaan immers drie verschillende strafbaarstellingen die onder het toepassingsgebied van de Belgische strafbaarstelling van verkrachting vallen. Het toepassingsgebied van </w:t>
      </w:r>
      <w:r w:rsidR="00E3002C">
        <w:rPr>
          <w:color w:val="000000" w:themeColor="text1"/>
          <w:szCs w:val="18"/>
          <w:lang w:val="nl-NL"/>
        </w:rPr>
        <w:t>deze</w:t>
      </w:r>
      <w:r>
        <w:rPr>
          <w:color w:val="000000" w:themeColor="text1"/>
          <w:szCs w:val="18"/>
          <w:lang w:val="nl-NL"/>
        </w:rPr>
        <w:t xml:space="preserve"> strafbaarstellingen is zeer strikt afgelijnd in vergelijking met het Belgische misdrijf van </w:t>
      </w:r>
      <w:r>
        <w:rPr>
          <w:color w:val="000000" w:themeColor="text1"/>
          <w:szCs w:val="18"/>
          <w:lang w:val="nl-NL"/>
        </w:rPr>
        <w:lastRenderedPageBreak/>
        <w:t>verkrachting. Zo bepaalt de Britse SOA expliciet in welke lichaamsholten en door middel waarvan de penetratie dient te zijn gebeurd.</w:t>
      </w:r>
      <w:r>
        <w:rPr>
          <w:rStyle w:val="FootnoteReference"/>
          <w:color w:val="000000" w:themeColor="text1"/>
          <w:szCs w:val="18"/>
          <w:lang w:val="nl-NL"/>
        </w:rPr>
        <w:footnoteReference w:id="645"/>
      </w:r>
    </w:p>
    <w:p w14:paraId="506867D1" w14:textId="77777777" w:rsidR="00A41847" w:rsidRPr="00EE1494" w:rsidRDefault="00A41847" w:rsidP="00260F11">
      <w:pPr>
        <w:pStyle w:val="ListParagraph"/>
        <w:spacing w:line="360" w:lineRule="auto"/>
        <w:rPr>
          <w:color w:val="000000" w:themeColor="text1"/>
          <w:szCs w:val="18"/>
          <w:lang w:val="nl-NL"/>
        </w:rPr>
      </w:pPr>
    </w:p>
    <w:p w14:paraId="5063AE71" w14:textId="13E09BD9" w:rsidR="00A41847" w:rsidRDefault="00A41847" w:rsidP="00260F11">
      <w:pPr>
        <w:pStyle w:val="ListParagraph"/>
        <w:spacing w:line="360" w:lineRule="auto"/>
        <w:ind w:left="0"/>
        <w:rPr>
          <w:color w:val="000000" w:themeColor="text1"/>
          <w:szCs w:val="18"/>
          <w:lang w:val="nl-NL"/>
        </w:rPr>
      </w:pPr>
      <w:r w:rsidRPr="00EA095E">
        <w:rPr>
          <w:color w:val="000000" w:themeColor="text1"/>
          <w:szCs w:val="18"/>
          <w:lang w:val="nl-NL"/>
        </w:rPr>
        <w:t xml:space="preserve">Hoewel het Brits recht in zekere zin meer rechtszekerheid biedt t.a.v. de rechtsonderhorigen, lijkt een dermate specifieke strafbaarstelling niet vereist te zijn in het licht van het </w:t>
      </w:r>
      <w:r w:rsidRPr="00EA095E">
        <w:rPr>
          <w:i/>
          <w:color w:val="000000" w:themeColor="text1"/>
          <w:szCs w:val="18"/>
          <w:lang w:val="nl-NL"/>
        </w:rPr>
        <w:t>lex certa-</w:t>
      </w:r>
      <w:r w:rsidRPr="00EA095E">
        <w:rPr>
          <w:color w:val="000000" w:themeColor="text1"/>
          <w:szCs w:val="18"/>
          <w:lang w:val="nl-NL"/>
        </w:rPr>
        <w:t xml:space="preserve">beginsel. Voornoemd beginsel - zoals </w:t>
      </w:r>
      <w:r w:rsidR="00722224">
        <w:rPr>
          <w:color w:val="000000" w:themeColor="text1"/>
          <w:szCs w:val="18"/>
          <w:lang w:val="nl-NL"/>
        </w:rPr>
        <w:t>dit</w:t>
      </w:r>
      <w:r w:rsidRPr="00EA095E">
        <w:rPr>
          <w:color w:val="000000" w:themeColor="text1"/>
          <w:szCs w:val="18"/>
          <w:lang w:val="nl-NL"/>
        </w:rPr>
        <w:t xml:space="preserve"> thans </w:t>
      </w:r>
      <w:r w:rsidR="00722224">
        <w:rPr>
          <w:color w:val="000000" w:themeColor="text1"/>
          <w:szCs w:val="18"/>
          <w:lang w:val="nl-NL"/>
        </w:rPr>
        <w:t>wordt</w:t>
      </w:r>
      <w:r w:rsidRPr="00EA095E">
        <w:rPr>
          <w:color w:val="000000" w:themeColor="text1"/>
          <w:szCs w:val="18"/>
          <w:lang w:val="nl-NL"/>
        </w:rPr>
        <w:t xml:space="preserve"> opgevat door de hoogste rechtscolleges – </w:t>
      </w:r>
      <w:r w:rsidR="00722224">
        <w:rPr>
          <w:color w:val="000000" w:themeColor="text1"/>
          <w:szCs w:val="18"/>
          <w:lang w:val="nl-NL"/>
        </w:rPr>
        <w:t>lijkt</w:t>
      </w:r>
      <w:r w:rsidRPr="00EA095E">
        <w:rPr>
          <w:color w:val="000000" w:themeColor="text1"/>
          <w:szCs w:val="18"/>
          <w:lang w:val="nl-NL"/>
        </w:rPr>
        <w:t xml:space="preserve"> zich immers niet te verzetten tegen een strafbaarstelling die ruimte laat voor evolutieve interpretaties.</w:t>
      </w:r>
      <w:r w:rsidRPr="00EA095E">
        <w:rPr>
          <w:rStyle w:val="FootnoteReference"/>
          <w:color w:val="000000" w:themeColor="text1"/>
          <w:szCs w:val="18"/>
          <w:lang w:val="nl-NL"/>
        </w:rPr>
        <w:footnoteReference w:id="646"/>
      </w:r>
      <w:r w:rsidRPr="00EE1494">
        <w:rPr>
          <w:color w:val="000000" w:themeColor="text1"/>
          <w:szCs w:val="18"/>
          <w:lang w:val="nl-NL"/>
        </w:rPr>
        <w:t xml:space="preserve"> </w:t>
      </w:r>
    </w:p>
    <w:p w14:paraId="1B280603" w14:textId="77777777" w:rsidR="00A41847" w:rsidRDefault="00A41847" w:rsidP="00260F11">
      <w:pPr>
        <w:pStyle w:val="ListParagraph"/>
        <w:spacing w:line="360" w:lineRule="auto"/>
        <w:ind w:left="0"/>
        <w:rPr>
          <w:color w:val="000000" w:themeColor="text1"/>
          <w:szCs w:val="18"/>
          <w:lang w:val="nl-NL"/>
        </w:rPr>
      </w:pPr>
    </w:p>
    <w:p w14:paraId="697B5636" w14:textId="77777777" w:rsidR="00A41847" w:rsidRDefault="00A41847" w:rsidP="00260F11">
      <w:pPr>
        <w:pStyle w:val="ListParagraph"/>
        <w:spacing w:line="360" w:lineRule="auto"/>
        <w:ind w:left="0"/>
        <w:rPr>
          <w:color w:val="000000" w:themeColor="text1"/>
          <w:szCs w:val="18"/>
          <w:lang w:val="nl-NL"/>
        </w:rPr>
      </w:pPr>
      <w:r w:rsidRPr="00EE1494">
        <w:rPr>
          <w:color w:val="000000" w:themeColor="text1"/>
          <w:szCs w:val="18"/>
          <w:lang w:val="nl-NL"/>
        </w:rPr>
        <w:t>Het staat dan ook</w:t>
      </w:r>
      <w:r>
        <w:rPr>
          <w:color w:val="000000" w:themeColor="text1"/>
          <w:szCs w:val="18"/>
          <w:lang w:val="nl-NL"/>
        </w:rPr>
        <w:t xml:space="preserve"> in beginsel</w:t>
      </w:r>
      <w:r w:rsidRPr="00EE1494">
        <w:rPr>
          <w:color w:val="000000" w:themeColor="text1"/>
          <w:szCs w:val="18"/>
          <w:lang w:val="nl-NL"/>
        </w:rPr>
        <w:t xml:space="preserve"> aan de wetgever om hierin een keuze te maken. </w:t>
      </w:r>
      <w:r w:rsidRPr="00E305A4">
        <w:rPr>
          <w:color w:val="000000" w:themeColor="text1"/>
          <w:szCs w:val="18"/>
          <w:lang w:val="nl-NL"/>
        </w:rPr>
        <w:t>Uit de memorie van toelichting blijkt dat de Belgische wetgever bewust opteerde voor een ruime strafbaarstelling.</w:t>
      </w:r>
      <w:r>
        <w:rPr>
          <w:rStyle w:val="FootnoteReference"/>
          <w:color w:val="000000" w:themeColor="text1"/>
          <w:szCs w:val="18"/>
          <w:lang w:val="nl-NL"/>
        </w:rPr>
        <w:footnoteReference w:id="647"/>
      </w:r>
      <w:r w:rsidRPr="00E305A4">
        <w:rPr>
          <w:color w:val="000000" w:themeColor="text1"/>
          <w:szCs w:val="18"/>
          <w:lang w:val="nl-NL"/>
        </w:rPr>
        <w:t xml:space="preserve"> De wetgever heeft er m.i. dan ook bewust voor gekozen om de mogelijke kwalificatie als verkrachting van bepaalde dubbelzinnig op te vatten penetraties, over te laten aan het oordeel van de rechters.</w:t>
      </w:r>
    </w:p>
    <w:p w14:paraId="3BA74D81" w14:textId="77777777" w:rsidR="00A41847" w:rsidRDefault="00A41847" w:rsidP="00260F11">
      <w:pPr>
        <w:pStyle w:val="ListParagraph"/>
        <w:spacing w:line="360" w:lineRule="auto"/>
        <w:ind w:left="0"/>
        <w:rPr>
          <w:color w:val="000000" w:themeColor="text1"/>
          <w:szCs w:val="18"/>
          <w:lang w:val="nl-NL"/>
        </w:rPr>
      </w:pPr>
    </w:p>
    <w:p w14:paraId="1C551952" w14:textId="7D654F67" w:rsidR="00A41847" w:rsidRDefault="00A41847"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Verdrag van Istanbul</w:t>
      </w:r>
      <w:r>
        <w:rPr>
          <w:color w:val="000000" w:themeColor="text1"/>
          <w:szCs w:val="18"/>
          <w:lang w:val="nl-NL"/>
        </w:rPr>
        <w:t xml:space="preserve">. </w:t>
      </w:r>
      <w:r w:rsidRPr="00F67954">
        <w:rPr>
          <w:color w:val="000000" w:themeColor="text1"/>
          <w:szCs w:val="18"/>
          <w:lang w:val="nl-NL"/>
        </w:rPr>
        <w:t xml:space="preserve">De wetgever heeft </w:t>
      </w:r>
      <w:r>
        <w:rPr>
          <w:color w:val="000000" w:themeColor="text1"/>
          <w:szCs w:val="18"/>
          <w:lang w:val="nl-NL"/>
        </w:rPr>
        <w:t>bij voornoemde keuze</w:t>
      </w:r>
      <w:r w:rsidRPr="00F67954">
        <w:rPr>
          <w:color w:val="000000" w:themeColor="text1"/>
          <w:szCs w:val="18"/>
          <w:lang w:val="nl-NL"/>
        </w:rPr>
        <w:t xml:space="preserve"> evenwel rekening te houden met internationaalrechtelijke eisen, zoals artikel 36.1, a van het Verdrag van Istanbul waarin vereist wordt van verdragspartijen dat zij het opzettelijk en “</w:t>
      </w:r>
      <w:r w:rsidRPr="00F67954">
        <w:rPr>
          <w:i/>
          <w:color w:val="000000" w:themeColor="text1"/>
          <w:szCs w:val="18"/>
          <w:lang w:val="nl-NL"/>
        </w:rPr>
        <w:t>zonder wederzijds goedvinden op seksuele wijze vaginaal, anaal of oraal met een lichaamsdeel of object binnendringen van het lichaam van een ander</w:t>
      </w:r>
      <w:r w:rsidRPr="00F67954">
        <w:rPr>
          <w:color w:val="000000" w:themeColor="text1"/>
          <w:szCs w:val="18"/>
          <w:lang w:val="nl-NL"/>
        </w:rPr>
        <w:t>” strafbaar stellen.</w:t>
      </w:r>
      <w:r>
        <w:rPr>
          <w:rStyle w:val="FootnoteReference"/>
          <w:color w:val="000000" w:themeColor="text1"/>
          <w:szCs w:val="18"/>
          <w:lang w:val="nl-NL"/>
        </w:rPr>
        <w:footnoteReference w:id="648"/>
      </w:r>
      <w:r w:rsidRPr="00F67954">
        <w:rPr>
          <w:color w:val="000000" w:themeColor="text1"/>
          <w:szCs w:val="18"/>
          <w:lang w:val="nl-NL"/>
        </w:rPr>
        <w:t xml:space="preserve"> De wetgever achtte het o.g.v. voornoemde bepaling noodzakelijk om de ruimere bewoordingen te behouden en bijvoorbeeld niet het toepassingsgebied van verkrachting expliciet te beperken tot peniele penetraties van eender welke lichaamsholte enerzijds en penetraties met andere middelen in de vagina of anus anderzijds</w:t>
      </w:r>
      <w:r w:rsidR="00E3002C">
        <w:rPr>
          <w:color w:val="000000" w:themeColor="text1"/>
          <w:szCs w:val="18"/>
          <w:lang w:val="nl-NL"/>
        </w:rPr>
        <w:t>. H</w:t>
      </w:r>
      <w:r w:rsidRPr="00F67954">
        <w:rPr>
          <w:color w:val="000000" w:themeColor="text1"/>
          <w:szCs w:val="18"/>
          <w:lang w:val="nl-NL"/>
        </w:rPr>
        <w:t xml:space="preserve">oewel </w:t>
      </w:r>
      <w:r w:rsidR="00E3002C">
        <w:rPr>
          <w:color w:val="000000" w:themeColor="text1"/>
          <w:szCs w:val="18"/>
          <w:lang w:val="nl-NL"/>
        </w:rPr>
        <w:t>voornoemde gevallen</w:t>
      </w:r>
      <w:r w:rsidRPr="00F67954">
        <w:rPr>
          <w:color w:val="000000" w:themeColor="text1"/>
          <w:szCs w:val="18"/>
          <w:lang w:val="nl-NL"/>
        </w:rPr>
        <w:t xml:space="preserve"> inderdaad de toepassingsgevallen van verkrachting zijn die zowel door de rechtspraak als de rechtsleer unaniem</w:t>
      </w:r>
      <w:r>
        <w:rPr>
          <w:rStyle w:val="FootnoteReference"/>
          <w:color w:val="000000" w:themeColor="text1"/>
          <w:szCs w:val="18"/>
          <w:lang w:val="nl-NL"/>
        </w:rPr>
        <w:footnoteReference w:id="649"/>
      </w:r>
      <w:r w:rsidRPr="00F67954">
        <w:rPr>
          <w:color w:val="000000" w:themeColor="text1"/>
          <w:szCs w:val="18"/>
          <w:lang w:val="nl-NL"/>
        </w:rPr>
        <w:t xml:space="preserve"> aanvaard worden als verkrachting.</w:t>
      </w:r>
      <w:r>
        <w:rPr>
          <w:rStyle w:val="FootnoteReference"/>
          <w:color w:val="000000" w:themeColor="text1"/>
          <w:szCs w:val="18"/>
          <w:lang w:val="nl-NL"/>
        </w:rPr>
        <w:footnoteReference w:id="650"/>
      </w:r>
      <w:r w:rsidRPr="00F67954">
        <w:rPr>
          <w:color w:val="000000" w:themeColor="text1"/>
          <w:szCs w:val="18"/>
          <w:lang w:val="nl-NL"/>
        </w:rPr>
        <w:t xml:space="preserve"> </w:t>
      </w:r>
    </w:p>
    <w:p w14:paraId="07B90EE6" w14:textId="77777777" w:rsidR="00A41847" w:rsidRPr="00FB01ED" w:rsidRDefault="00A41847" w:rsidP="00260F11">
      <w:pPr>
        <w:pStyle w:val="ListParagraph"/>
        <w:spacing w:line="360" w:lineRule="auto"/>
        <w:ind w:left="0"/>
        <w:rPr>
          <w:color w:val="000000" w:themeColor="text1"/>
          <w:szCs w:val="18"/>
          <w:lang w:val="nl-NL"/>
        </w:rPr>
      </w:pPr>
    </w:p>
    <w:p w14:paraId="617D3231" w14:textId="32BE7B8C" w:rsidR="00A41847" w:rsidRDefault="00A41847" w:rsidP="00260F11">
      <w:pPr>
        <w:spacing w:line="360" w:lineRule="auto"/>
        <w:rPr>
          <w:szCs w:val="18"/>
          <w:lang w:val="nl-NL"/>
        </w:rPr>
      </w:pPr>
      <w:r>
        <w:rPr>
          <w:szCs w:val="18"/>
          <w:lang w:val="nl-NL"/>
        </w:rPr>
        <w:t xml:space="preserve">Of </w:t>
      </w:r>
      <w:r w:rsidR="00E3002C">
        <w:rPr>
          <w:szCs w:val="18"/>
          <w:lang w:val="nl-NL"/>
        </w:rPr>
        <w:t>de ruimere formulering</w:t>
      </w:r>
      <w:r>
        <w:rPr>
          <w:szCs w:val="18"/>
          <w:lang w:val="nl-NL"/>
        </w:rPr>
        <w:t xml:space="preserve"> werkelijk noodzakelijk was in het licht van het Verdrag van Istanbul, is m.i. te betwijfelen. </w:t>
      </w:r>
      <w:r w:rsidR="00E3002C">
        <w:rPr>
          <w:szCs w:val="18"/>
          <w:lang w:val="nl-NL"/>
        </w:rPr>
        <w:t>Voornoemd</w:t>
      </w:r>
      <w:r>
        <w:rPr>
          <w:szCs w:val="18"/>
          <w:lang w:val="nl-NL"/>
        </w:rPr>
        <w:t xml:space="preserve"> </w:t>
      </w:r>
      <w:r w:rsidR="00E3002C">
        <w:rPr>
          <w:szCs w:val="18"/>
          <w:lang w:val="nl-NL"/>
        </w:rPr>
        <w:t>v</w:t>
      </w:r>
      <w:r>
        <w:rPr>
          <w:szCs w:val="18"/>
          <w:lang w:val="nl-NL"/>
        </w:rPr>
        <w:t>erdrag vereist immers dat de verdragsstaten dergelijke penetraties strafbaar stellen, maar niet dat dergelijke penetraties allemaal door dezelfde strafbaarstelling moeten worden gedekt, noch dat dergelijke penetraties zouden moeten worden gekwalificeerd als verkrachting.</w:t>
      </w:r>
      <w:r>
        <w:rPr>
          <w:rStyle w:val="FootnoteReference"/>
          <w:szCs w:val="18"/>
          <w:lang w:val="nl-NL"/>
        </w:rPr>
        <w:footnoteReference w:id="651"/>
      </w:r>
      <w:r>
        <w:rPr>
          <w:szCs w:val="18"/>
          <w:lang w:val="nl-NL"/>
        </w:rPr>
        <w:t xml:space="preserve"> De redenering van de wetgever om een dermate ruime strafbaarstelling te hanteren, dient m.i. dan ook kritisch te worden bekeken. </w:t>
      </w:r>
    </w:p>
    <w:p w14:paraId="3CB19DCE" w14:textId="509FE52A" w:rsidR="00A41847" w:rsidRDefault="00E3002C" w:rsidP="00260F11">
      <w:pPr>
        <w:spacing w:line="360" w:lineRule="auto"/>
        <w:rPr>
          <w:szCs w:val="18"/>
          <w:lang w:val="nl-NL"/>
        </w:rPr>
      </w:pPr>
      <w:r>
        <w:rPr>
          <w:szCs w:val="18"/>
          <w:lang w:val="nl-NL"/>
        </w:rPr>
        <w:lastRenderedPageBreak/>
        <w:t>H</w:t>
      </w:r>
      <w:r w:rsidR="00A41847">
        <w:rPr>
          <w:szCs w:val="18"/>
          <w:lang w:val="nl-NL"/>
        </w:rPr>
        <w:t xml:space="preserve">oe dan ook </w:t>
      </w:r>
      <w:r>
        <w:rPr>
          <w:szCs w:val="18"/>
          <w:lang w:val="nl-NL"/>
        </w:rPr>
        <w:t xml:space="preserve">komt het aan </w:t>
      </w:r>
      <w:r w:rsidR="00A41847">
        <w:rPr>
          <w:szCs w:val="18"/>
          <w:lang w:val="nl-NL"/>
        </w:rPr>
        <w:t xml:space="preserve">de wetgever </w:t>
      </w:r>
      <w:r w:rsidR="00361A21">
        <w:rPr>
          <w:szCs w:val="18"/>
          <w:lang w:val="nl-NL"/>
        </w:rPr>
        <w:t xml:space="preserve">toe </w:t>
      </w:r>
      <w:r w:rsidR="00A41847">
        <w:rPr>
          <w:szCs w:val="18"/>
          <w:lang w:val="nl-NL"/>
        </w:rPr>
        <w:t>om in een algemenere dan wel specifieke</w:t>
      </w:r>
      <w:r>
        <w:rPr>
          <w:szCs w:val="18"/>
          <w:lang w:val="nl-NL"/>
        </w:rPr>
        <w:t>re</w:t>
      </w:r>
      <w:r w:rsidR="00A41847">
        <w:rPr>
          <w:szCs w:val="18"/>
          <w:lang w:val="nl-NL"/>
        </w:rPr>
        <w:t xml:space="preserve"> strafbaarstelling(en) te voorzien. De Belgische wetgever </w:t>
      </w:r>
      <w:r w:rsidR="00722224">
        <w:rPr>
          <w:szCs w:val="18"/>
          <w:lang w:val="nl-NL"/>
        </w:rPr>
        <w:t>lijkt</w:t>
      </w:r>
      <w:r>
        <w:rPr>
          <w:szCs w:val="18"/>
          <w:lang w:val="nl-NL"/>
        </w:rPr>
        <w:t xml:space="preserve"> op dit vlak</w:t>
      </w:r>
      <w:r w:rsidR="00A41847">
        <w:rPr>
          <w:szCs w:val="18"/>
          <w:lang w:val="nl-NL"/>
        </w:rPr>
        <w:t xml:space="preserve"> de eerste optie gekozen</w:t>
      </w:r>
      <w:r w:rsidR="00722224">
        <w:rPr>
          <w:szCs w:val="18"/>
          <w:lang w:val="nl-NL"/>
        </w:rPr>
        <w:t xml:space="preserve"> te hebben</w:t>
      </w:r>
      <w:r w:rsidR="00A41847">
        <w:rPr>
          <w:szCs w:val="18"/>
          <w:lang w:val="nl-NL"/>
        </w:rPr>
        <w:t xml:space="preserve">. </w:t>
      </w:r>
    </w:p>
    <w:p w14:paraId="04FFB89D" w14:textId="77777777" w:rsidR="00A41847" w:rsidRDefault="00A41847" w:rsidP="00260F11">
      <w:pPr>
        <w:spacing w:line="360" w:lineRule="auto"/>
        <w:rPr>
          <w:szCs w:val="18"/>
          <w:lang w:val="nl-NL"/>
        </w:rPr>
      </w:pPr>
    </w:p>
    <w:p w14:paraId="615A0B2B" w14:textId="0850E802" w:rsidR="00A41847" w:rsidRPr="007450DA" w:rsidRDefault="00A41847" w:rsidP="00260F11">
      <w:pPr>
        <w:pStyle w:val="ListParagraph"/>
        <w:numPr>
          <w:ilvl w:val="0"/>
          <w:numId w:val="1"/>
        </w:numPr>
        <w:spacing w:line="360" w:lineRule="auto"/>
        <w:ind w:left="0" w:hanging="709"/>
        <w:rPr>
          <w:color w:val="000000" w:themeColor="text1"/>
          <w:szCs w:val="18"/>
          <w:lang w:val="nl-NL"/>
        </w:rPr>
      </w:pPr>
      <w:r>
        <w:rPr>
          <w:b/>
          <w:szCs w:val="18"/>
          <w:lang w:val="nl-NL"/>
        </w:rPr>
        <w:t>Bedoeling wetgever</w:t>
      </w:r>
      <w:r>
        <w:rPr>
          <w:szCs w:val="18"/>
          <w:lang w:val="nl-NL"/>
        </w:rPr>
        <w:t xml:space="preserve">. </w:t>
      </w:r>
      <w:r w:rsidR="00E3002C">
        <w:rPr>
          <w:szCs w:val="18"/>
          <w:lang w:val="nl-NL"/>
        </w:rPr>
        <w:t>D</w:t>
      </w:r>
      <w:r>
        <w:rPr>
          <w:szCs w:val="18"/>
          <w:lang w:val="nl-NL"/>
        </w:rPr>
        <w:t>e</w:t>
      </w:r>
      <w:r w:rsidRPr="00F67954">
        <w:rPr>
          <w:szCs w:val="18"/>
          <w:lang w:val="nl-NL"/>
        </w:rPr>
        <w:t xml:space="preserve"> tongzoen </w:t>
      </w:r>
      <w:r w:rsidR="00E3002C">
        <w:rPr>
          <w:szCs w:val="18"/>
          <w:lang w:val="nl-NL"/>
        </w:rPr>
        <w:t xml:space="preserve">wordt </w:t>
      </w:r>
      <w:r w:rsidRPr="00F67954">
        <w:rPr>
          <w:szCs w:val="18"/>
          <w:lang w:val="nl-NL"/>
        </w:rPr>
        <w:t xml:space="preserve">uit het toepassingsgebied van de strafbaarstelling van verkrachting geweerd in de memorie van toelichting. </w:t>
      </w:r>
      <w:r>
        <w:rPr>
          <w:szCs w:val="18"/>
          <w:lang w:val="nl-NL"/>
        </w:rPr>
        <w:t>Voornoemde</w:t>
      </w:r>
      <w:r w:rsidRPr="00F67954">
        <w:rPr>
          <w:szCs w:val="18"/>
          <w:lang w:val="nl-NL"/>
        </w:rPr>
        <w:t xml:space="preserve"> memorie stelt dat de ruime bewoordingen van de strafbaarstelling een kwalificatie als verkrachting in dergelijke gevallen mogelijk zou maken, maar dat </w:t>
      </w:r>
      <w:r w:rsidR="00E3002C">
        <w:rPr>
          <w:szCs w:val="18"/>
          <w:lang w:val="nl-NL"/>
        </w:rPr>
        <w:t>dit</w:t>
      </w:r>
      <w:r w:rsidRPr="00F67954">
        <w:rPr>
          <w:szCs w:val="18"/>
          <w:lang w:val="nl-NL"/>
        </w:rPr>
        <w:t xml:space="preserve"> geenszins de bedoeling is van de wetgever. De memorie van toelichting weet zich gesteund in de rechtspraak die hieromtrent onder het oude recht eveneens in die zin zou zijn geëvolueerd</w:t>
      </w:r>
      <w:r>
        <w:rPr>
          <w:szCs w:val="18"/>
          <w:lang w:val="nl-NL"/>
        </w:rPr>
        <w:t>.</w:t>
      </w:r>
      <w:r w:rsidR="00722224">
        <w:rPr>
          <w:rStyle w:val="FootnoteReference"/>
          <w:color w:val="000000" w:themeColor="text1"/>
          <w:szCs w:val="18"/>
          <w:lang w:val="nl-NL"/>
        </w:rPr>
        <w:footnoteReference w:id="652"/>
      </w:r>
    </w:p>
    <w:p w14:paraId="566B49EF" w14:textId="77777777" w:rsidR="00A41847" w:rsidRDefault="00A41847" w:rsidP="00260F11">
      <w:pPr>
        <w:pStyle w:val="ListParagraph"/>
        <w:spacing w:line="360" w:lineRule="auto"/>
        <w:ind w:left="0"/>
        <w:rPr>
          <w:color w:val="000000" w:themeColor="text1"/>
          <w:szCs w:val="18"/>
          <w:lang w:val="nl-NL"/>
        </w:rPr>
      </w:pPr>
    </w:p>
    <w:p w14:paraId="6D004371" w14:textId="02E81B0F" w:rsidR="00A41847" w:rsidRPr="00177AAB" w:rsidRDefault="00A41847" w:rsidP="00260F11">
      <w:pPr>
        <w:pStyle w:val="ListParagraph"/>
        <w:spacing w:line="360" w:lineRule="auto"/>
        <w:ind w:left="0"/>
        <w:rPr>
          <w:color w:val="000000" w:themeColor="text1"/>
          <w:szCs w:val="18"/>
          <w:lang w:val="nl-NL"/>
        </w:rPr>
      </w:pPr>
      <w:r w:rsidRPr="00177AAB">
        <w:rPr>
          <w:szCs w:val="18"/>
          <w:lang w:val="nl-NL"/>
        </w:rPr>
        <w:t>M.i. kan toch de vraag worden gesteld welke reden de wetgever indachtig was om de tongzoen van het toepassingsgebied van verkrachting uit te sluiten.</w:t>
      </w:r>
      <w:r>
        <w:rPr>
          <w:rStyle w:val="FootnoteReference"/>
          <w:szCs w:val="18"/>
          <w:lang w:val="nl-NL"/>
        </w:rPr>
        <w:footnoteReference w:id="653"/>
      </w:r>
      <w:r w:rsidRPr="00177AAB">
        <w:rPr>
          <w:szCs w:val="18"/>
          <w:lang w:val="nl-NL"/>
        </w:rPr>
        <w:t xml:space="preserve"> Een tongzoen betreft immers een binnendringen van het lichaam van welke aard en met welk middel dan ook. De enige juridisch sluitende manier</w:t>
      </w:r>
      <w:r>
        <w:rPr>
          <w:rStyle w:val="FootnoteReference"/>
          <w:szCs w:val="18"/>
          <w:lang w:val="nl-NL"/>
        </w:rPr>
        <w:footnoteReference w:id="654"/>
      </w:r>
      <w:r w:rsidRPr="00177AAB">
        <w:rPr>
          <w:szCs w:val="18"/>
          <w:lang w:val="nl-NL"/>
        </w:rPr>
        <w:t xml:space="preserve"> om een dergelijke gedraging van het toepassingsgebied uit te sluiten, zou</w:t>
      </w:r>
      <w:r w:rsidR="00722224">
        <w:rPr>
          <w:szCs w:val="18"/>
          <w:lang w:val="nl-NL"/>
        </w:rPr>
        <w:t xml:space="preserve"> m.i. erin bestaan </w:t>
      </w:r>
      <w:r w:rsidRPr="00177AAB">
        <w:rPr>
          <w:szCs w:val="18"/>
          <w:lang w:val="nl-NL"/>
        </w:rPr>
        <w:t>te stellen dat het de penetratie aan een seksueel karakter ontbreekt. Laat het net deze redenering zijn die ervoor zorgt dat de tongzoen op die manier ook geweerd wordt uit het toepassingsgebied van aantasting van de seksuele integriteit (waar eveneens een seksueel karakter vereist is voor de gestelde gedraging).</w:t>
      </w:r>
      <w:r>
        <w:rPr>
          <w:rStyle w:val="FootnoteReference"/>
          <w:szCs w:val="18"/>
          <w:lang w:val="nl-NL"/>
        </w:rPr>
        <w:footnoteReference w:id="655"/>
      </w:r>
    </w:p>
    <w:p w14:paraId="3E283C4A" w14:textId="77777777" w:rsidR="00A41847" w:rsidRDefault="00A41847" w:rsidP="00260F11">
      <w:pPr>
        <w:pStyle w:val="ListParagraph"/>
        <w:spacing w:line="360" w:lineRule="auto"/>
        <w:ind w:left="0"/>
        <w:rPr>
          <w:color w:val="000000" w:themeColor="text1"/>
          <w:szCs w:val="18"/>
          <w:lang w:val="nl-NL"/>
        </w:rPr>
      </w:pPr>
    </w:p>
    <w:p w14:paraId="289DAEA3" w14:textId="0089BF14" w:rsidR="00A41847" w:rsidRDefault="00A41847" w:rsidP="00260F11">
      <w:pPr>
        <w:pStyle w:val="ListParagraph"/>
        <w:spacing w:line="360" w:lineRule="auto"/>
        <w:ind w:left="0"/>
        <w:rPr>
          <w:color w:val="000000" w:themeColor="text1"/>
          <w:szCs w:val="18"/>
          <w:lang w:val="nl-NL"/>
        </w:rPr>
      </w:pPr>
      <w:r>
        <w:rPr>
          <w:color w:val="000000" w:themeColor="text1"/>
          <w:szCs w:val="18"/>
          <w:lang w:val="nl-NL"/>
        </w:rPr>
        <w:t>Hoe dan ook is m.i. sprake van een discrepantie tussen de ruime bewoordingen van de strafbaarstelling en de striktere bedoeling van de wetgever. De wetgever lijkt zowel uit te zijn op de voordelen van een ruime strafbaarstelling (</w:t>
      </w:r>
      <w:r w:rsidR="00722224">
        <w:rPr>
          <w:color w:val="000000" w:themeColor="text1"/>
          <w:szCs w:val="18"/>
          <w:lang w:val="nl-NL"/>
        </w:rPr>
        <w:t>bv</w:t>
      </w:r>
      <w:r>
        <w:rPr>
          <w:color w:val="000000" w:themeColor="text1"/>
          <w:szCs w:val="18"/>
          <w:lang w:val="nl-NL"/>
        </w:rPr>
        <w:t>. mee kunnen evolueren met evoluties in de maatschappij), als op de voordelen die gepaard gaan met specifiekere, beperktere strafbaarstellingen (</w:t>
      </w:r>
      <w:r w:rsidR="00722224">
        <w:rPr>
          <w:color w:val="000000" w:themeColor="text1"/>
          <w:szCs w:val="18"/>
          <w:lang w:val="nl-NL"/>
        </w:rPr>
        <w:t>bv.</w:t>
      </w:r>
      <w:r>
        <w:rPr>
          <w:color w:val="000000" w:themeColor="text1"/>
          <w:szCs w:val="18"/>
          <w:lang w:val="nl-NL"/>
        </w:rPr>
        <w:t xml:space="preserve"> als wetgever kunnen differentiëren qua strafmaat). De wetgever hanteert immers ruime bewoordingen in haar strafbaarstelling, maar sluit tegelijkertijd de tongzoen</w:t>
      </w:r>
      <w:r w:rsidR="00722224">
        <w:rPr>
          <w:color w:val="000000" w:themeColor="text1"/>
          <w:szCs w:val="18"/>
          <w:lang w:val="nl-NL"/>
        </w:rPr>
        <w:t xml:space="preserve"> -</w:t>
      </w:r>
      <w:r>
        <w:rPr>
          <w:color w:val="000000" w:themeColor="text1"/>
          <w:szCs w:val="18"/>
          <w:lang w:val="nl-NL"/>
        </w:rPr>
        <w:t xml:space="preserve"> die hier volgens de letter van de wet onder zou ressorteren</w:t>
      </w:r>
      <w:r w:rsidR="00722224">
        <w:rPr>
          <w:color w:val="000000" w:themeColor="text1"/>
          <w:szCs w:val="18"/>
          <w:lang w:val="nl-NL"/>
        </w:rPr>
        <w:t xml:space="preserve"> - uit </w:t>
      </w:r>
      <w:r>
        <w:rPr>
          <w:color w:val="000000" w:themeColor="text1"/>
          <w:szCs w:val="18"/>
          <w:lang w:val="nl-NL"/>
        </w:rPr>
        <w:t xml:space="preserve">van het toepassingsgebied. </w:t>
      </w:r>
    </w:p>
    <w:p w14:paraId="44416F31" w14:textId="77777777" w:rsidR="00A41847" w:rsidRDefault="00A41847" w:rsidP="00260F11">
      <w:pPr>
        <w:pStyle w:val="ListParagraph"/>
        <w:spacing w:line="360" w:lineRule="auto"/>
        <w:ind w:left="0"/>
        <w:rPr>
          <w:color w:val="000000" w:themeColor="text1"/>
          <w:szCs w:val="18"/>
          <w:lang w:val="nl-NL"/>
        </w:rPr>
      </w:pPr>
    </w:p>
    <w:p w14:paraId="1D538BAF" w14:textId="60AB8E03" w:rsidR="00A41847" w:rsidRDefault="00A41847" w:rsidP="00260F11">
      <w:pPr>
        <w:pStyle w:val="ListParagraph"/>
        <w:spacing w:line="360" w:lineRule="auto"/>
        <w:ind w:left="0"/>
        <w:rPr>
          <w:color w:val="000000" w:themeColor="text1"/>
          <w:szCs w:val="18"/>
          <w:lang w:val="nl-NL"/>
        </w:rPr>
      </w:pPr>
      <w:r w:rsidRPr="002C76E3">
        <w:rPr>
          <w:color w:val="000000" w:themeColor="text1"/>
          <w:szCs w:val="18"/>
          <w:lang w:val="nl-NL"/>
        </w:rPr>
        <w:t xml:space="preserve">Gelet op het voorgaande, evenals op de visie van het College van procureurs-generaal waarin </w:t>
      </w:r>
      <w:r>
        <w:rPr>
          <w:color w:val="000000" w:themeColor="text1"/>
          <w:szCs w:val="18"/>
          <w:lang w:val="nl-NL"/>
        </w:rPr>
        <w:t>de hierboven beschreven</w:t>
      </w:r>
      <w:r w:rsidRPr="002C76E3">
        <w:rPr>
          <w:color w:val="000000" w:themeColor="text1"/>
          <w:szCs w:val="18"/>
          <w:lang w:val="nl-NL"/>
        </w:rPr>
        <w:t xml:space="preserve"> striktere bedoeling van de wetgever expliciet wordt </w:t>
      </w:r>
      <w:r>
        <w:rPr>
          <w:color w:val="000000" w:themeColor="text1"/>
          <w:szCs w:val="18"/>
          <w:lang w:val="nl-NL"/>
        </w:rPr>
        <w:t>verworpen,</w:t>
      </w:r>
      <w:r w:rsidRPr="002C76E3">
        <w:rPr>
          <w:rStyle w:val="FootnoteReference"/>
          <w:color w:val="000000" w:themeColor="text1"/>
          <w:szCs w:val="18"/>
          <w:lang w:val="nl-NL"/>
        </w:rPr>
        <w:footnoteReference w:id="656"/>
      </w:r>
      <w:r w:rsidRPr="002C76E3">
        <w:rPr>
          <w:color w:val="000000" w:themeColor="text1"/>
          <w:szCs w:val="18"/>
          <w:lang w:val="nl-NL"/>
        </w:rPr>
        <w:t xml:space="preserve"> kan momenteel niet met zekerheid worden gesteld of een tongzoen al dan niet zal kunnen worden gekwalificeerd als verkrachting.</w:t>
      </w:r>
      <w:r w:rsidRPr="002C76E3">
        <w:rPr>
          <w:rStyle w:val="FootnoteReference"/>
          <w:color w:val="000000" w:themeColor="text1"/>
          <w:szCs w:val="18"/>
          <w:lang w:val="nl-NL"/>
        </w:rPr>
        <w:footnoteReference w:id="657"/>
      </w:r>
      <w:r w:rsidRPr="002C76E3">
        <w:rPr>
          <w:color w:val="000000" w:themeColor="text1"/>
          <w:szCs w:val="18"/>
          <w:lang w:val="nl-NL"/>
        </w:rPr>
        <w:t xml:space="preserve"> </w:t>
      </w:r>
    </w:p>
    <w:p w14:paraId="7E910455" w14:textId="74648937" w:rsidR="008918C0" w:rsidRPr="008918C0" w:rsidRDefault="00A41847" w:rsidP="00260F11">
      <w:pPr>
        <w:pStyle w:val="ListParagraph"/>
        <w:numPr>
          <w:ilvl w:val="0"/>
          <w:numId w:val="1"/>
        </w:numPr>
        <w:spacing w:line="360" w:lineRule="auto"/>
        <w:ind w:left="0" w:hanging="709"/>
        <w:rPr>
          <w:color w:val="000000" w:themeColor="text1"/>
          <w:szCs w:val="18"/>
          <w:lang w:val="nl-NL"/>
        </w:rPr>
      </w:pPr>
      <w:r w:rsidRPr="00617F06">
        <w:rPr>
          <w:b/>
          <w:i/>
          <w:color w:val="000000" w:themeColor="text1"/>
          <w:szCs w:val="18"/>
          <w:lang w:val="nl-NL"/>
        </w:rPr>
        <w:lastRenderedPageBreak/>
        <w:t>Aanbeveling</w:t>
      </w:r>
      <w:r w:rsidRPr="00617F06">
        <w:rPr>
          <w:b/>
          <w:color w:val="000000" w:themeColor="text1"/>
          <w:szCs w:val="18"/>
          <w:lang w:val="nl-NL"/>
        </w:rPr>
        <w:t xml:space="preserve">. </w:t>
      </w:r>
      <w:r w:rsidRPr="00617F06">
        <w:rPr>
          <w:color w:val="000000" w:themeColor="text1"/>
          <w:szCs w:val="18"/>
          <w:lang w:val="nl-NL"/>
        </w:rPr>
        <w:t xml:space="preserve">Het </w:t>
      </w:r>
      <w:r>
        <w:rPr>
          <w:color w:val="000000" w:themeColor="text1"/>
          <w:szCs w:val="18"/>
          <w:lang w:val="nl-NL"/>
        </w:rPr>
        <w:t>is</w:t>
      </w:r>
      <w:r w:rsidRPr="00617F06">
        <w:rPr>
          <w:color w:val="000000" w:themeColor="text1"/>
          <w:szCs w:val="18"/>
          <w:lang w:val="nl-NL"/>
        </w:rPr>
        <w:t xml:space="preserve"> m.i. dan ook </w:t>
      </w:r>
      <w:r>
        <w:rPr>
          <w:color w:val="000000" w:themeColor="text1"/>
          <w:szCs w:val="18"/>
          <w:lang w:val="nl-NL"/>
        </w:rPr>
        <w:t>aan te raden</w:t>
      </w:r>
      <w:r w:rsidRPr="00617F06">
        <w:rPr>
          <w:color w:val="000000" w:themeColor="text1"/>
          <w:szCs w:val="18"/>
          <w:lang w:val="nl-NL"/>
        </w:rPr>
        <w:t xml:space="preserve"> </w:t>
      </w:r>
      <w:r>
        <w:rPr>
          <w:color w:val="000000" w:themeColor="text1"/>
          <w:szCs w:val="18"/>
          <w:lang w:val="nl-NL"/>
        </w:rPr>
        <w:t>aan</w:t>
      </w:r>
      <w:r w:rsidRPr="00617F06">
        <w:rPr>
          <w:color w:val="000000" w:themeColor="text1"/>
          <w:szCs w:val="18"/>
          <w:lang w:val="nl-NL"/>
        </w:rPr>
        <w:t xml:space="preserve"> de wetgever</w:t>
      </w:r>
      <w:r>
        <w:rPr>
          <w:color w:val="000000" w:themeColor="text1"/>
          <w:szCs w:val="18"/>
          <w:lang w:val="nl-NL"/>
        </w:rPr>
        <w:t xml:space="preserve"> om</w:t>
      </w:r>
      <w:r w:rsidRPr="00617F06">
        <w:rPr>
          <w:color w:val="000000" w:themeColor="text1"/>
          <w:szCs w:val="18"/>
          <w:lang w:val="nl-NL"/>
        </w:rPr>
        <w:t xml:space="preserve"> een duidelijke keuze </w:t>
      </w:r>
      <w:r>
        <w:rPr>
          <w:color w:val="000000" w:themeColor="text1"/>
          <w:szCs w:val="18"/>
          <w:lang w:val="nl-NL"/>
        </w:rPr>
        <w:t>te maken</w:t>
      </w:r>
      <w:r w:rsidRPr="00617F06">
        <w:rPr>
          <w:color w:val="000000" w:themeColor="text1"/>
          <w:szCs w:val="18"/>
          <w:lang w:val="nl-NL"/>
        </w:rPr>
        <w:t xml:space="preserve"> tussen</w:t>
      </w:r>
      <w:r>
        <w:rPr>
          <w:color w:val="000000" w:themeColor="text1"/>
          <w:szCs w:val="18"/>
          <w:lang w:val="nl-NL"/>
        </w:rPr>
        <w:t xml:space="preserve"> ofwel</w:t>
      </w:r>
      <w:r w:rsidRPr="00617F06">
        <w:rPr>
          <w:color w:val="000000" w:themeColor="text1"/>
          <w:szCs w:val="18"/>
          <w:lang w:val="nl-NL"/>
        </w:rPr>
        <w:t xml:space="preserve"> een ruime strafbaarstelling (waaronder ook een tongzoen kan vallen) of</w:t>
      </w:r>
      <w:r>
        <w:rPr>
          <w:color w:val="000000" w:themeColor="text1"/>
          <w:szCs w:val="18"/>
          <w:lang w:val="nl-NL"/>
        </w:rPr>
        <w:t>wel</w:t>
      </w:r>
      <w:r w:rsidRPr="00617F06">
        <w:rPr>
          <w:color w:val="000000" w:themeColor="text1"/>
          <w:szCs w:val="18"/>
          <w:lang w:val="nl-NL"/>
        </w:rPr>
        <w:t xml:space="preserve"> een striktere strafbaarstelling (zodat </w:t>
      </w:r>
      <w:r>
        <w:rPr>
          <w:color w:val="000000" w:themeColor="text1"/>
          <w:szCs w:val="18"/>
          <w:lang w:val="nl-NL"/>
        </w:rPr>
        <w:t xml:space="preserve">bijvoorbeeld </w:t>
      </w:r>
      <w:r w:rsidRPr="00617F06">
        <w:rPr>
          <w:color w:val="000000" w:themeColor="text1"/>
          <w:szCs w:val="18"/>
          <w:lang w:val="nl-NL"/>
        </w:rPr>
        <w:t xml:space="preserve">de tongzoen op juridisch sluitende wijze </w:t>
      </w:r>
      <w:r w:rsidR="001D3B79">
        <w:rPr>
          <w:color w:val="000000" w:themeColor="text1"/>
          <w:szCs w:val="18"/>
          <w:lang w:val="nl-NL"/>
        </w:rPr>
        <w:t>uit</w:t>
      </w:r>
      <w:r w:rsidRPr="00617F06">
        <w:rPr>
          <w:color w:val="000000" w:themeColor="text1"/>
          <w:szCs w:val="18"/>
          <w:lang w:val="nl-NL"/>
        </w:rPr>
        <w:t xml:space="preserve"> het toepassingsgebied van verkrachting </w:t>
      </w:r>
      <w:r w:rsidR="001D3B79">
        <w:rPr>
          <w:color w:val="000000" w:themeColor="text1"/>
          <w:szCs w:val="18"/>
          <w:lang w:val="nl-NL"/>
        </w:rPr>
        <w:t>wordt geweerd</w:t>
      </w:r>
      <w:r w:rsidRPr="00617F06">
        <w:rPr>
          <w:color w:val="000000" w:themeColor="text1"/>
          <w:szCs w:val="18"/>
          <w:lang w:val="nl-NL"/>
        </w:rPr>
        <w:t>, maar toch kan ressorteren onder de strafbaarstelling van aantasting van de seksuele integriteit). Het staat aan de wetgever om de keuze tussen beide opties te maken.</w:t>
      </w:r>
      <w:r>
        <w:rPr>
          <w:rStyle w:val="FootnoteReference"/>
          <w:color w:val="000000" w:themeColor="text1"/>
          <w:szCs w:val="18"/>
          <w:lang w:val="nl-NL"/>
        </w:rPr>
        <w:footnoteReference w:id="658"/>
      </w:r>
    </w:p>
    <w:p w14:paraId="2270958C" w14:textId="689583F7" w:rsidR="00F02CB2" w:rsidRDefault="00F02CB2" w:rsidP="00260F11">
      <w:pPr>
        <w:pStyle w:val="ListParagraph"/>
        <w:spacing w:line="360" w:lineRule="auto"/>
        <w:ind w:left="0"/>
        <w:rPr>
          <w:color w:val="000000" w:themeColor="text1"/>
          <w:szCs w:val="18"/>
          <w:lang w:val="nl-NL"/>
        </w:rPr>
      </w:pPr>
    </w:p>
    <w:p w14:paraId="7E3D316E" w14:textId="1A4CFBE2" w:rsidR="00A41847" w:rsidRPr="00A41847" w:rsidRDefault="00A41847" w:rsidP="00260F11">
      <w:pPr>
        <w:pStyle w:val="Heading5"/>
        <w:numPr>
          <w:ilvl w:val="3"/>
          <w:numId w:val="20"/>
        </w:numPr>
        <w:spacing w:line="360" w:lineRule="auto"/>
        <w:rPr>
          <w:lang w:val="nl-NL"/>
        </w:rPr>
      </w:pPr>
      <w:bookmarkStart w:id="93" w:name="_Toc135041121"/>
      <w:r>
        <w:rPr>
          <w:lang w:val="nl-NL"/>
        </w:rPr>
        <w:t>(Mede) bestaand uit een seksuele penetratie</w:t>
      </w:r>
      <w:bookmarkEnd w:id="93"/>
    </w:p>
    <w:p w14:paraId="4AF47B76" w14:textId="20314AD1" w:rsidR="006030B6" w:rsidRDefault="006030B6" w:rsidP="00260F11">
      <w:pPr>
        <w:pStyle w:val="ListParagraph"/>
        <w:spacing w:line="360" w:lineRule="auto"/>
        <w:ind w:left="0"/>
        <w:rPr>
          <w:color w:val="000000" w:themeColor="text1"/>
          <w:szCs w:val="18"/>
          <w:lang w:val="nl-NL"/>
        </w:rPr>
      </w:pPr>
    </w:p>
    <w:p w14:paraId="13A009A1" w14:textId="3F685473" w:rsidR="002D589F" w:rsidRDefault="00F2690C" w:rsidP="00260F11">
      <w:pPr>
        <w:pStyle w:val="ListParagraph"/>
        <w:numPr>
          <w:ilvl w:val="0"/>
          <w:numId w:val="1"/>
        </w:numPr>
        <w:spacing w:line="360" w:lineRule="auto"/>
        <w:ind w:left="0" w:hanging="709"/>
        <w:rPr>
          <w:color w:val="000000" w:themeColor="text1"/>
          <w:szCs w:val="18"/>
          <w:lang w:val="nl-NL"/>
        </w:rPr>
      </w:pPr>
      <w:r w:rsidRPr="006E7AA8">
        <w:rPr>
          <w:color w:val="000000" w:themeColor="text1"/>
          <w:szCs w:val="18"/>
          <w:lang w:val="nl-NL"/>
        </w:rPr>
        <w:t xml:space="preserve">Onder het oude recht stond ter discussie </w:t>
      </w:r>
      <w:r w:rsidR="008918C0" w:rsidRPr="006E7AA8">
        <w:rPr>
          <w:color w:val="000000" w:themeColor="text1"/>
          <w:szCs w:val="18"/>
          <w:lang w:val="nl-NL"/>
        </w:rPr>
        <w:t>of de situatie waarin een van de partijen tijdens de seksuele betrekkingen</w:t>
      </w:r>
      <w:r w:rsidR="008918C0" w:rsidRPr="006E7AA8">
        <w:rPr>
          <w:rStyle w:val="FootnoteReference"/>
          <w:color w:val="000000" w:themeColor="text1"/>
          <w:szCs w:val="18"/>
          <w:lang w:val="nl-NL"/>
        </w:rPr>
        <w:footnoteReference w:id="659"/>
      </w:r>
      <w:r w:rsidR="008918C0" w:rsidRPr="006E7AA8">
        <w:rPr>
          <w:color w:val="000000" w:themeColor="text1"/>
          <w:szCs w:val="18"/>
          <w:lang w:val="nl-NL"/>
        </w:rPr>
        <w:t xml:space="preserve"> diens toestemming hiertoe terug introk, kon worden gekwalificeerd als verkrachting. De meerderheidsvisie beantwoordde deze vraag negatief en vond hiervoor steun in de formulering van oud artikel 375 </w:t>
      </w:r>
      <w:r w:rsidR="00E8546B">
        <w:rPr>
          <w:color w:val="000000" w:themeColor="text1"/>
          <w:szCs w:val="18"/>
          <w:lang w:val="nl-NL"/>
        </w:rPr>
        <w:t xml:space="preserve">van het </w:t>
      </w:r>
      <w:r w:rsidR="008918C0" w:rsidRPr="006E7AA8">
        <w:rPr>
          <w:color w:val="000000" w:themeColor="text1"/>
          <w:szCs w:val="18"/>
          <w:lang w:val="nl-NL"/>
        </w:rPr>
        <w:t xml:space="preserve">Strafwetboek. Hierin werd immers enkel de “penetratie” strafbaar gesteld, wat enkel het “binnendringen” in het lichaam betekende volgens deze visie. Het </w:t>
      </w:r>
      <w:r w:rsidR="00B024C6">
        <w:rPr>
          <w:color w:val="000000" w:themeColor="text1"/>
          <w:szCs w:val="18"/>
          <w:lang w:val="nl-NL"/>
        </w:rPr>
        <w:t>“</w:t>
      </w:r>
      <w:r w:rsidR="008918C0" w:rsidRPr="006E7AA8">
        <w:rPr>
          <w:color w:val="000000" w:themeColor="text1"/>
          <w:szCs w:val="18"/>
          <w:lang w:val="nl-NL"/>
        </w:rPr>
        <w:t>binnenblijven</w:t>
      </w:r>
      <w:r w:rsidR="00B024C6">
        <w:rPr>
          <w:color w:val="000000" w:themeColor="text1"/>
          <w:szCs w:val="18"/>
          <w:lang w:val="nl-NL"/>
        </w:rPr>
        <w:t>”</w:t>
      </w:r>
      <w:r w:rsidR="008918C0" w:rsidRPr="006E7AA8">
        <w:rPr>
          <w:color w:val="000000" w:themeColor="text1"/>
          <w:szCs w:val="18"/>
          <w:lang w:val="nl-NL"/>
        </w:rPr>
        <w:t xml:space="preserve"> in het lichaam, ook al zou dit (opeens) zonder toestemming zijn van het slachtoffer, kon volgens deze auteurs dan ook geen verkrachting opleveren.</w:t>
      </w:r>
      <w:r w:rsidR="007E32DF">
        <w:rPr>
          <w:rStyle w:val="FootnoteReference"/>
          <w:color w:val="000000" w:themeColor="text1"/>
          <w:szCs w:val="18"/>
          <w:lang w:val="nl-NL"/>
        </w:rPr>
        <w:footnoteReference w:id="660"/>
      </w:r>
      <w:r w:rsidR="008918C0" w:rsidRPr="006E7AA8">
        <w:rPr>
          <w:color w:val="000000" w:themeColor="text1"/>
          <w:szCs w:val="18"/>
          <w:lang w:val="nl-NL"/>
        </w:rPr>
        <w:t xml:space="preserve"> </w:t>
      </w:r>
    </w:p>
    <w:p w14:paraId="36F0F93A" w14:textId="77777777" w:rsidR="002D589F" w:rsidRDefault="002D589F" w:rsidP="00260F11">
      <w:pPr>
        <w:pStyle w:val="ListParagraph"/>
        <w:spacing w:line="360" w:lineRule="auto"/>
        <w:ind w:left="0"/>
        <w:rPr>
          <w:color w:val="000000" w:themeColor="text1"/>
          <w:szCs w:val="18"/>
          <w:lang w:val="nl-NL"/>
        </w:rPr>
      </w:pPr>
    </w:p>
    <w:p w14:paraId="3272CD55" w14:textId="0ED8072B" w:rsidR="00AB2778" w:rsidRDefault="008918C0" w:rsidP="00260F11">
      <w:pPr>
        <w:pStyle w:val="ListParagraph"/>
        <w:spacing w:line="360" w:lineRule="auto"/>
        <w:ind w:left="0"/>
        <w:rPr>
          <w:color w:val="000000" w:themeColor="text1"/>
          <w:szCs w:val="18"/>
          <w:lang w:val="nl-NL"/>
        </w:rPr>
      </w:pPr>
      <w:r w:rsidRPr="006E7AA8">
        <w:rPr>
          <w:color w:val="000000" w:themeColor="text1"/>
          <w:szCs w:val="18"/>
          <w:lang w:val="nl-NL"/>
        </w:rPr>
        <w:t>Aan dit pijnpunt van de oude strafbaarstelling</w:t>
      </w:r>
      <w:r w:rsidR="007E32DF">
        <w:rPr>
          <w:rStyle w:val="FootnoteReference"/>
          <w:color w:val="000000" w:themeColor="text1"/>
          <w:szCs w:val="18"/>
          <w:lang w:val="nl-NL"/>
        </w:rPr>
        <w:footnoteReference w:id="661"/>
      </w:r>
      <w:r w:rsidRPr="006E7AA8">
        <w:rPr>
          <w:color w:val="000000" w:themeColor="text1"/>
          <w:szCs w:val="18"/>
          <w:lang w:val="nl-NL"/>
        </w:rPr>
        <w:t xml:space="preserve"> werd o.m.</w:t>
      </w:r>
      <w:r w:rsidR="002D589F">
        <w:rPr>
          <w:rStyle w:val="FootnoteReference"/>
          <w:color w:val="000000" w:themeColor="text1"/>
          <w:szCs w:val="18"/>
          <w:lang w:val="nl-NL"/>
        </w:rPr>
        <w:footnoteReference w:id="662"/>
      </w:r>
      <w:r w:rsidRPr="006E7AA8">
        <w:rPr>
          <w:color w:val="000000" w:themeColor="text1"/>
          <w:szCs w:val="18"/>
          <w:lang w:val="nl-NL"/>
        </w:rPr>
        <w:t xml:space="preserve"> verholpen doordat de huidige strafbaarstelling het niet enkel heeft over de seksuele penetratie zelf, maar ook over de gedragingen die mede bestaan uit een seksuele penetratie. Aldus zal ook het seksueel “binnenblijven” zonder toestemming van het slachtoffer, voortaan als verkrachting kunnen worden gekwalificeerd en werd er bijgevolg verholpen aan dit pijnpunt. Deze verandering dient dan ook als positief te worden beschouwd.</w:t>
      </w:r>
    </w:p>
    <w:p w14:paraId="1097AFA7" w14:textId="77777777" w:rsidR="00AB2778" w:rsidRPr="006E7AA8" w:rsidRDefault="00AB2778" w:rsidP="00260F11">
      <w:pPr>
        <w:pStyle w:val="ListParagraph"/>
        <w:spacing w:line="360" w:lineRule="auto"/>
        <w:ind w:left="0"/>
        <w:rPr>
          <w:color w:val="000000" w:themeColor="text1"/>
          <w:szCs w:val="18"/>
          <w:lang w:val="nl-NL"/>
        </w:rPr>
      </w:pPr>
    </w:p>
    <w:p w14:paraId="682FCD55" w14:textId="63373D2B" w:rsidR="00671619" w:rsidRPr="00671619" w:rsidRDefault="00C65352" w:rsidP="00260F11">
      <w:pPr>
        <w:pStyle w:val="Heading4"/>
        <w:spacing w:line="360" w:lineRule="auto"/>
        <w:rPr>
          <w:lang w:val="nl-NL"/>
        </w:rPr>
      </w:pPr>
      <w:bookmarkStart w:id="94" w:name="_Toc135041122"/>
      <w:r w:rsidRPr="00671619">
        <w:rPr>
          <w:szCs w:val="18"/>
          <w:lang w:val="nl-NL"/>
        </w:rPr>
        <w:t>Rol van het slachtoffer</w:t>
      </w:r>
      <w:bookmarkEnd w:id="94"/>
    </w:p>
    <w:p w14:paraId="18F8CF1D" w14:textId="77777777" w:rsidR="00671619" w:rsidRDefault="00671619" w:rsidP="00260F11">
      <w:pPr>
        <w:pStyle w:val="ListParagraph"/>
        <w:spacing w:line="360" w:lineRule="auto"/>
        <w:ind w:left="0"/>
        <w:rPr>
          <w:color w:val="000000" w:themeColor="text1"/>
          <w:szCs w:val="18"/>
          <w:lang w:val="nl-NL"/>
        </w:rPr>
      </w:pPr>
    </w:p>
    <w:p w14:paraId="39EC8272" w14:textId="7E1DB5B3" w:rsidR="00A017F9" w:rsidRPr="00B024C6" w:rsidRDefault="00121BE6"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Pijnpunt oude strafbaarstelling. </w:t>
      </w:r>
      <w:r w:rsidR="00963153">
        <w:rPr>
          <w:color w:val="000000" w:themeColor="text1"/>
          <w:szCs w:val="18"/>
          <w:lang w:val="nl-NL"/>
        </w:rPr>
        <w:t>Onder</w:t>
      </w:r>
      <w:r w:rsidR="00C65352">
        <w:rPr>
          <w:color w:val="000000" w:themeColor="text1"/>
          <w:szCs w:val="18"/>
          <w:lang w:val="nl-NL"/>
        </w:rPr>
        <w:t xml:space="preserve"> het oude recht </w:t>
      </w:r>
      <w:r w:rsidR="00963153">
        <w:rPr>
          <w:color w:val="000000" w:themeColor="text1"/>
          <w:szCs w:val="18"/>
          <w:lang w:val="nl-NL"/>
        </w:rPr>
        <w:t>bestond d</w:t>
      </w:r>
      <w:r w:rsidR="00C65352">
        <w:rPr>
          <w:color w:val="000000" w:themeColor="text1"/>
          <w:szCs w:val="18"/>
          <w:lang w:val="nl-NL"/>
        </w:rPr>
        <w:t>iscussie omtrent de vraag of zowel slachtofferpenetraties als penetraties door het slachtoffer een verkrachting konden uitmaken</w:t>
      </w:r>
      <w:r w:rsidR="00963153">
        <w:rPr>
          <w:color w:val="000000" w:themeColor="text1"/>
          <w:szCs w:val="18"/>
          <w:lang w:val="nl-NL"/>
        </w:rPr>
        <w:t>.</w:t>
      </w:r>
      <w:r w:rsidR="00A017F9">
        <w:rPr>
          <w:color w:val="000000" w:themeColor="text1"/>
          <w:szCs w:val="18"/>
          <w:lang w:val="nl-NL"/>
        </w:rPr>
        <w:t xml:space="preserve"> De meerderheidsvisie beantwoordde deze vraag </w:t>
      </w:r>
      <w:r w:rsidR="00A017F9" w:rsidRPr="00B024C6">
        <w:rPr>
          <w:color w:val="000000" w:themeColor="text1"/>
          <w:szCs w:val="18"/>
          <w:lang w:val="nl-NL"/>
        </w:rPr>
        <w:t xml:space="preserve">negatief. </w:t>
      </w:r>
      <w:r w:rsidR="00B024C6">
        <w:rPr>
          <w:color w:val="000000" w:themeColor="text1"/>
          <w:szCs w:val="18"/>
          <w:lang w:val="nl-NL"/>
        </w:rPr>
        <w:t xml:space="preserve">Dit werd </w:t>
      </w:r>
      <w:r w:rsidR="00A017F9" w:rsidRPr="00B024C6">
        <w:rPr>
          <w:color w:val="000000" w:themeColor="text1"/>
          <w:szCs w:val="18"/>
          <w:lang w:val="nl-NL"/>
        </w:rPr>
        <w:t xml:space="preserve">dan ook als pijnpunt van de strafbaarstelling </w:t>
      </w:r>
      <w:r w:rsidR="004B4BCB" w:rsidRPr="00B024C6">
        <w:rPr>
          <w:color w:val="000000" w:themeColor="text1"/>
          <w:szCs w:val="18"/>
          <w:lang w:val="nl-NL"/>
        </w:rPr>
        <w:t>aangemerkt.</w:t>
      </w:r>
      <w:r w:rsidR="00A017F9">
        <w:rPr>
          <w:rStyle w:val="FootnoteReference"/>
          <w:color w:val="000000" w:themeColor="text1"/>
          <w:szCs w:val="18"/>
          <w:lang w:val="nl-NL"/>
        </w:rPr>
        <w:footnoteReference w:id="663"/>
      </w:r>
    </w:p>
    <w:p w14:paraId="7AA97974" w14:textId="3F96D21F" w:rsidR="00A017F9" w:rsidRDefault="00A017F9" w:rsidP="00260F11">
      <w:pPr>
        <w:pStyle w:val="ListParagraph"/>
        <w:spacing w:line="360" w:lineRule="auto"/>
        <w:ind w:left="0"/>
        <w:rPr>
          <w:color w:val="000000" w:themeColor="text1"/>
          <w:szCs w:val="18"/>
          <w:lang w:val="nl-NL"/>
        </w:rPr>
      </w:pPr>
    </w:p>
    <w:p w14:paraId="09B32347" w14:textId="58BA5882" w:rsidR="006D713E" w:rsidRDefault="004B4BCB" w:rsidP="00260F11">
      <w:pPr>
        <w:pStyle w:val="ListParagraph"/>
        <w:spacing w:line="360" w:lineRule="auto"/>
        <w:ind w:left="0"/>
        <w:rPr>
          <w:color w:val="000000" w:themeColor="text1"/>
          <w:szCs w:val="18"/>
          <w:lang w:val="nl-NL"/>
        </w:rPr>
      </w:pPr>
      <w:r>
        <w:rPr>
          <w:color w:val="000000" w:themeColor="text1"/>
          <w:szCs w:val="18"/>
          <w:lang w:val="nl-NL"/>
        </w:rPr>
        <w:t xml:space="preserve">Penetraties </w:t>
      </w:r>
      <w:r w:rsidR="00A017F9">
        <w:rPr>
          <w:color w:val="000000" w:themeColor="text1"/>
          <w:szCs w:val="18"/>
          <w:lang w:val="nl-NL"/>
        </w:rPr>
        <w:t xml:space="preserve">waarbij </w:t>
      </w:r>
      <w:r w:rsidR="00092CCB">
        <w:rPr>
          <w:color w:val="000000" w:themeColor="text1"/>
          <w:szCs w:val="18"/>
          <w:lang w:val="nl-NL"/>
        </w:rPr>
        <w:t>een ander</w:t>
      </w:r>
      <w:r w:rsidR="00A017F9">
        <w:rPr>
          <w:color w:val="000000" w:themeColor="text1"/>
          <w:szCs w:val="18"/>
          <w:lang w:val="nl-NL"/>
        </w:rPr>
        <w:t xml:space="preserve"> lichaam </w:t>
      </w:r>
      <w:r w:rsidR="00092CCB">
        <w:rPr>
          <w:color w:val="000000" w:themeColor="text1"/>
          <w:szCs w:val="18"/>
          <w:lang w:val="nl-NL"/>
        </w:rPr>
        <w:t xml:space="preserve">dan dat </w:t>
      </w:r>
      <w:r w:rsidR="00A017F9">
        <w:rPr>
          <w:color w:val="000000" w:themeColor="text1"/>
          <w:szCs w:val="18"/>
          <w:lang w:val="nl-NL"/>
        </w:rPr>
        <w:t>van het slachtoffer werd gepenetreerd,</w:t>
      </w:r>
      <w:r>
        <w:rPr>
          <w:color w:val="000000" w:themeColor="text1"/>
          <w:szCs w:val="18"/>
          <w:lang w:val="nl-NL"/>
        </w:rPr>
        <w:t xml:space="preserve"> waren echter</w:t>
      </w:r>
      <w:r w:rsidR="00A017F9">
        <w:rPr>
          <w:color w:val="000000" w:themeColor="text1"/>
          <w:szCs w:val="18"/>
          <w:lang w:val="nl-NL"/>
        </w:rPr>
        <w:t xml:space="preserve"> ook volgens bovenstaande meerderheidsvisie strafbaar. Niet als verkrachting, maar wel eventueel als </w:t>
      </w:r>
      <w:r w:rsidR="00963153">
        <w:rPr>
          <w:color w:val="000000" w:themeColor="text1"/>
          <w:szCs w:val="18"/>
          <w:lang w:val="nl-NL"/>
        </w:rPr>
        <w:t>aanranding van de eerbaarheid.</w:t>
      </w:r>
      <w:r w:rsidR="00963153">
        <w:rPr>
          <w:rStyle w:val="FootnoteReference"/>
          <w:color w:val="000000" w:themeColor="text1"/>
          <w:szCs w:val="18"/>
          <w:lang w:val="nl-NL"/>
        </w:rPr>
        <w:footnoteReference w:id="664"/>
      </w:r>
      <w:r w:rsidR="006D713E">
        <w:rPr>
          <w:color w:val="000000" w:themeColor="text1"/>
          <w:szCs w:val="18"/>
          <w:lang w:val="nl-NL"/>
        </w:rPr>
        <w:t xml:space="preserve"> </w:t>
      </w:r>
    </w:p>
    <w:p w14:paraId="4B5AF964" w14:textId="447D6B74" w:rsidR="00963153" w:rsidRDefault="00121BE6"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lastRenderedPageBreak/>
        <w:t xml:space="preserve">Geen pijnpunt meer onder nieuwe strafbaarstelling. </w:t>
      </w:r>
      <w:r w:rsidR="00A017F9">
        <w:rPr>
          <w:color w:val="000000" w:themeColor="text1"/>
          <w:szCs w:val="18"/>
          <w:lang w:val="nl-NL"/>
        </w:rPr>
        <w:t xml:space="preserve">De wetgever heeft verholpen aan </w:t>
      </w:r>
      <w:r>
        <w:rPr>
          <w:color w:val="000000" w:themeColor="text1"/>
          <w:szCs w:val="18"/>
          <w:lang w:val="nl-NL"/>
        </w:rPr>
        <w:t>deze discussie</w:t>
      </w:r>
      <w:r w:rsidR="00A017F9">
        <w:rPr>
          <w:color w:val="000000" w:themeColor="text1"/>
          <w:szCs w:val="18"/>
          <w:lang w:val="nl-NL"/>
        </w:rPr>
        <w:t>. V</w:t>
      </w:r>
      <w:r w:rsidR="00963153" w:rsidRPr="006D713E">
        <w:rPr>
          <w:color w:val="000000" w:themeColor="text1"/>
          <w:szCs w:val="18"/>
          <w:lang w:val="nl-NL"/>
        </w:rPr>
        <w:t xml:space="preserve">oortaan </w:t>
      </w:r>
      <w:r w:rsidR="00A017F9">
        <w:rPr>
          <w:color w:val="000000" w:themeColor="text1"/>
          <w:szCs w:val="18"/>
          <w:lang w:val="nl-NL"/>
        </w:rPr>
        <w:t>kunnen immers</w:t>
      </w:r>
      <w:r w:rsidR="00963153" w:rsidRPr="006D713E">
        <w:rPr>
          <w:color w:val="000000" w:themeColor="text1"/>
          <w:szCs w:val="18"/>
          <w:lang w:val="nl-NL"/>
        </w:rPr>
        <w:t xml:space="preserve"> beide vormen van penetratie gekwalificeerd worden als verkrachting. Dit</w:t>
      </w:r>
      <w:r w:rsidR="00C65352" w:rsidRPr="006D713E">
        <w:rPr>
          <w:color w:val="000000" w:themeColor="text1"/>
          <w:szCs w:val="18"/>
          <w:lang w:val="nl-NL"/>
        </w:rPr>
        <w:t xml:space="preserve"> gelet op de bewoordingen “op of met behulp van”</w:t>
      </w:r>
      <w:r w:rsidR="00A017F9">
        <w:rPr>
          <w:color w:val="000000" w:themeColor="text1"/>
          <w:szCs w:val="18"/>
          <w:lang w:val="nl-NL"/>
        </w:rPr>
        <w:t xml:space="preserve"> in de strafbaarstelling</w:t>
      </w:r>
      <w:r w:rsidR="00C65352" w:rsidRPr="006D713E">
        <w:rPr>
          <w:color w:val="000000" w:themeColor="text1"/>
          <w:szCs w:val="18"/>
          <w:lang w:val="nl-NL"/>
        </w:rPr>
        <w:t>.</w:t>
      </w:r>
      <w:r w:rsidR="00246FF6">
        <w:rPr>
          <w:rStyle w:val="FootnoteReference"/>
          <w:color w:val="000000" w:themeColor="text1"/>
          <w:szCs w:val="18"/>
          <w:lang w:val="nl-NL"/>
        </w:rPr>
        <w:footnoteReference w:id="665"/>
      </w:r>
      <w:r w:rsidR="00C65352" w:rsidRPr="006D713E">
        <w:rPr>
          <w:color w:val="000000" w:themeColor="text1"/>
          <w:szCs w:val="18"/>
          <w:lang w:val="nl-NL"/>
        </w:rPr>
        <w:t xml:space="preserve"> </w:t>
      </w:r>
    </w:p>
    <w:p w14:paraId="2EEEFC8C" w14:textId="77777777" w:rsidR="00963153" w:rsidRPr="00963153" w:rsidRDefault="00963153" w:rsidP="00260F11">
      <w:pPr>
        <w:pStyle w:val="ListParagraph"/>
        <w:spacing w:line="360" w:lineRule="auto"/>
        <w:ind w:left="0"/>
        <w:rPr>
          <w:color w:val="000000" w:themeColor="text1"/>
          <w:szCs w:val="18"/>
          <w:lang w:val="nl-NL"/>
        </w:rPr>
      </w:pPr>
    </w:p>
    <w:p w14:paraId="2D40F80D" w14:textId="7FE25A06" w:rsidR="0062450F" w:rsidRDefault="00121BE6"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t xml:space="preserve">Internationaalrechtelijk verplicht? </w:t>
      </w:r>
      <w:r w:rsidR="007B5AF0">
        <w:rPr>
          <w:color w:val="000000" w:themeColor="text1"/>
          <w:szCs w:val="18"/>
          <w:lang w:val="nl-NL"/>
        </w:rPr>
        <w:t>Het</w:t>
      </w:r>
      <w:r w:rsidR="006E2868">
        <w:rPr>
          <w:color w:val="000000" w:themeColor="text1"/>
          <w:szCs w:val="18"/>
          <w:lang w:val="nl-NL"/>
        </w:rPr>
        <w:t xml:space="preserve"> Verdrag van Istanbul verplicht de verdragsstaten m.i. niet om </w:t>
      </w:r>
      <w:r w:rsidR="00A054CA">
        <w:rPr>
          <w:color w:val="000000" w:themeColor="text1"/>
          <w:szCs w:val="18"/>
          <w:lang w:val="nl-NL"/>
        </w:rPr>
        <w:t>penetraties die niet plaatsvinden in het lichaam van het slachtoffer</w:t>
      </w:r>
      <w:r w:rsidR="006E2868">
        <w:rPr>
          <w:color w:val="000000" w:themeColor="text1"/>
          <w:szCs w:val="18"/>
          <w:lang w:val="nl-NL"/>
        </w:rPr>
        <w:t xml:space="preserve"> strafbaar te stellen als verkrachting. Wel dient de verdragsstaat een dergelijke gedraging strafbaar te stellen, zodat dit m.i. ook mogelijk was geweest onder de strafbaarstelling van aantasting van de seksuele integriteit.</w:t>
      </w:r>
      <w:r w:rsidR="0062450F">
        <w:rPr>
          <w:rStyle w:val="FootnoteReference"/>
          <w:color w:val="000000" w:themeColor="text1"/>
          <w:szCs w:val="18"/>
          <w:lang w:val="nl-NL"/>
        </w:rPr>
        <w:footnoteReference w:id="666"/>
      </w:r>
      <w:r w:rsidR="006E2868">
        <w:rPr>
          <w:color w:val="000000" w:themeColor="text1"/>
          <w:szCs w:val="18"/>
          <w:lang w:val="nl-NL"/>
        </w:rPr>
        <w:t xml:space="preserve"> </w:t>
      </w:r>
      <w:r w:rsidR="0062450F">
        <w:rPr>
          <w:color w:val="000000" w:themeColor="text1"/>
          <w:szCs w:val="18"/>
          <w:lang w:val="nl-NL"/>
        </w:rPr>
        <w:t xml:space="preserve">Het stond bijgevolg aan de Belgische wetgever om te kiezen onder welke strafbaarstelling dergelijke gedragingen zouden moeten </w:t>
      </w:r>
      <w:r w:rsidR="00A054CA">
        <w:rPr>
          <w:color w:val="000000" w:themeColor="text1"/>
          <w:szCs w:val="18"/>
          <w:lang w:val="nl-NL"/>
        </w:rPr>
        <w:t>ressorteren</w:t>
      </w:r>
      <w:r w:rsidR="0062450F">
        <w:rPr>
          <w:color w:val="000000" w:themeColor="text1"/>
          <w:szCs w:val="18"/>
          <w:lang w:val="nl-NL"/>
        </w:rPr>
        <w:t>.</w:t>
      </w:r>
      <w:r w:rsidR="00A054CA">
        <w:rPr>
          <w:rStyle w:val="FootnoteReference"/>
          <w:color w:val="000000" w:themeColor="text1"/>
          <w:szCs w:val="18"/>
          <w:lang w:val="nl-NL"/>
        </w:rPr>
        <w:footnoteReference w:id="667"/>
      </w:r>
    </w:p>
    <w:p w14:paraId="776E8ADF" w14:textId="77777777" w:rsidR="0062450F" w:rsidRDefault="0062450F" w:rsidP="00260F11">
      <w:pPr>
        <w:pStyle w:val="ListParagraph"/>
        <w:spacing w:line="360" w:lineRule="auto"/>
        <w:ind w:left="0"/>
        <w:rPr>
          <w:color w:val="000000" w:themeColor="text1"/>
          <w:szCs w:val="18"/>
          <w:lang w:val="nl-NL"/>
        </w:rPr>
      </w:pPr>
    </w:p>
    <w:p w14:paraId="4A6C64B8" w14:textId="0DFA9C85" w:rsidR="006E2868" w:rsidRPr="00121BE6" w:rsidRDefault="0062450F" w:rsidP="00260F11">
      <w:pPr>
        <w:pStyle w:val="ListParagraph"/>
        <w:spacing w:line="360" w:lineRule="auto"/>
        <w:ind w:left="0"/>
        <w:rPr>
          <w:color w:val="000000" w:themeColor="text1"/>
          <w:szCs w:val="18"/>
          <w:lang w:val="nl-NL"/>
        </w:rPr>
      </w:pPr>
      <w:r>
        <w:rPr>
          <w:color w:val="000000" w:themeColor="text1"/>
          <w:szCs w:val="18"/>
          <w:lang w:val="nl-NL"/>
        </w:rPr>
        <w:t>De keuze van de wetgever om dergelijke penetraties ook te laten ressorteren onder de strafbaarstelling van verkrachting, komt m.i. de rechtszekerheid ten goed</w:t>
      </w:r>
      <w:r w:rsidR="003522FD">
        <w:rPr>
          <w:color w:val="000000" w:themeColor="text1"/>
          <w:szCs w:val="18"/>
          <w:lang w:val="nl-NL"/>
        </w:rPr>
        <w:t>e.</w:t>
      </w:r>
      <w:r>
        <w:rPr>
          <w:color w:val="000000" w:themeColor="text1"/>
          <w:szCs w:val="18"/>
          <w:lang w:val="nl-NL"/>
        </w:rPr>
        <w:t xml:space="preserve"> </w:t>
      </w:r>
      <w:r w:rsidR="003522FD">
        <w:rPr>
          <w:color w:val="000000" w:themeColor="text1"/>
          <w:szCs w:val="18"/>
          <w:lang w:val="nl-NL"/>
        </w:rPr>
        <w:t>O</w:t>
      </w:r>
      <w:r>
        <w:rPr>
          <w:color w:val="000000" w:themeColor="text1"/>
          <w:szCs w:val="18"/>
          <w:lang w:val="nl-NL"/>
        </w:rPr>
        <w:t>p die manier</w:t>
      </w:r>
      <w:r w:rsidR="003522FD">
        <w:rPr>
          <w:color w:val="000000" w:themeColor="text1"/>
          <w:szCs w:val="18"/>
          <w:lang w:val="nl-NL"/>
        </w:rPr>
        <w:t xml:space="preserve"> blijft immers</w:t>
      </w:r>
      <w:r>
        <w:rPr>
          <w:color w:val="000000" w:themeColor="text1"/>
          <w:szCs w:val="18"/>
          <w:lang w:val="nl-NL"/>
        </w:rPr>
        <w:t xml:space="preserve"> het voorheen geïdentificeerde</w:t>
      </w:r>
      <w:r w:rsidR="00663237">
        <w:rPr>
          <w:color w:val="000000" w:themeColor="text1"/>
          <w:szCs w:val="18"/>
          <w:lang w:val="nl-NL"/>
        </w:rPr>
        <w:t xml:space="preserve"> </w:t>
      </w:r>
      <w:r w:rsidR="003522FD">
        <w:rPr>
          <w:color w:val="000000" w:themeColor="text1"/>
          <w:szCs w:val="18"/>
          <w:lang w:val="nl-NL"/>
        </w:rPr>
        <w:t xml:space="preserve">- </w:t>
      </w:r>
      <w:r w:rsidR="00663237">
        <w:rPr>
          <w:color w:val="000000" w:themeColor="text1"/>
          <w:szCs w:val="18"/>
          <w:lang w:val="nl-NL"/>
        </w:rPr>
        <w:t>en overigens duidelijke</w:t>
      </w:r>
      <w:r>
        <w:rPr>
          <w:color w:val="000000" w:themeColor="text1"/>
          <w:szCs w:val="18"/>
          <w:lang w:val="nl-NL"/>
        </w:rPr>
        <w:t xml:space="preserve"> </w:t>
      </w:r>
      <w:r w:rsidR="003522FD">
        <w:rPr>
          <w:color w:val="000000" w:themeColor="text1"/>
          <w:szCs w:val="18"/>
          <w:lang w:val="nl-NL"/>
        </w:rPr>
        <w:t xml:space="preserve">- </w:t>
      </w:r>
      <w:r>
        <w:rPr>
          <w:color w:val="000000" w:themeColor="text1"/>
          <w:szCs w:val="18"/>
          <w:lang w:val="nl-NL"/>
        </w:rPr>
        <w:t xml:space="preserve">criterium des onderscheids </w:t>
      </w:r>
      <w:r w:rsidR="003522FD">
        <w:rPr>
          <w:color w:val="000000" w:themeColor="text1"/>
          <w:szCs w:val="18"/>
          <w:lang w:val="nl-NL"/>
        </w:rPr>
        <w:t xml:space="preserve">behouden </w:t>
      </w:r>
      <w:r>
        <w:rPr>
          <w:color w:val="000000" w:themeColor="text1"/>
          <w:szCs w:val="18"/>
          <w:lang w:val="nl-NL"/>
        </w:rPr>
        <w:t>tussen beide strafbaarstellingen</w:t>
      </w:r>
      <w:r w:rsidR="006E2868" w:rsidRPr="00121BE6">
        <w:rPr>
          <w:color w:val="000000" w:themeColor="text1"/>
          <w:szCs w:val="18"/>
          <w:lang w:val="nl-NL"/>
        </w:rPr>
        <w:t>.</w:t>
      </w:r>
      <w:r w:rsidRPr="00121BE6">
        <w:rPr>
          <w:rStyle w:val="FootnoteReference"/>
          <w:color w:val="000000" w:themeColor="text1"/>
          <w:szCs w:val="18"/>
          <w:lang w:val="nl-NL"/>
        </w:rPr>
        <w:footnoteReference w:id="668"/>
      </w:r>
    </w:p>
    <w:p w14:paraId="6D03CB2D" w14:textId="77777777" w:rsidR="007B5AF0" w:rsidRPr="00121BE6" w:rsidRDefault="007B5AF0" w:rsidP="00260F11">
      <w:pPr>
        <w:spacing w:line="360" w:lineRule="auto"/>
        <w:rPr>
          <w:color w:val="000000" w:themeColor="text1"/>
          <w:szCs w:val="18"/>
          <w:lang w:val="nl-NL"/>
        </w:rPr>
      </w:pPr>
    </w:p>
    <w:p w14:paraId="3ED543CD" w14:textId="08B499F9" w:rsidR="007B5AF0" w:rsidRPr="00121BE6" w:rsidRDefault="00092CCB" w:rsidP="00260F11">
      <w:pPr>
        <w:pStyle w:val="ListParagraph"/>
        <w:numPr>
          <w:ilvl w:val="0"/>
          <w:numId w:val="1"/>
        </w:numPr>
        <w:spacing w:line="360" w:lineRule="auto"/>
        <w:ind w:left="0" w:hanging="709"/>
        <w:rPr>
          <w:color w:val="000000" w:themeColor="text1"/>
        </w:rPr>
      </w:pPr>
      <w:r>
        <w:rPr>
          <w:b/>
          <w:color w:val="000000" w:themeColor="text1"/>
          <w:szCs w:val="18"/>
          <w:lang w:val="nl-NL"/>
        </w:rPr>
        <w:t xml:space="preserve">Brits recht. </w:t>
      </w:r>
      <w:r w:rsidR="007B5AF0" w:rsidRPr="00121BE6">
        <w:rPr>
          <w:color w:val="000000" w:themeColor="text1"/>
          <w:szCs w:val="18"/>
          <w:lang w:val="nl-NL"/>
        </w:rPr>
        <w:t xml:space="preserve">Wanneer dit bijvoorbeeld wordt vergeleken met het Brits recht, dient te worden vastgesteld dat de Brits wetgever andere keuzes heeft gemaakt. </w:t>
      </w:r>
      <w:r w:rsidR="007B5AF0" w:rsidRPr="00121BE6">
        <w:rPr>
          <w:color w:val="000000" w:themeColor="text1"/>
        </w:rPr>
        <w:t xml:space="preserve">Voor wat betreft de drie met verkrachting corresponderende misdrijven wordt vooreerst voorzien in een misdrijf </w:t>
      </w:r>
      <w:r w:rsidR="007B5AF0" w:rsidRPr="00121BE6">
        <w:rPr>
          <w:i/>
          <w:color w:val="000000" w:themeColor="text1"/>
        </w:rPr>
        <w:t xml:space="preserve">rape </w:t>
      </w:r>
      <w:r w:rsidR="007B5AF0" w:rsidRPr="00121BE6">
        <w:rPr>
          <w:color w:val="000000" w:themeColor="text1"/>
        </w:rPr>
        <w:t>waarin de peniele slachtofferpenetratie centraal staat</w:t>
      </w:r>
      <w:r>
        <w:rPr>
          <w:color w:val="000000" w:themeColor="text1"/>
        </w:rPr>
        <w:t>,</w:t>
      </w:r>
      <w:r w:rsidR="007B5AF0" w:rsidRPr="00121BE6">
        <w:rPr>
          <w:color w:val="000000" w:themeColor="text1"/>
        </w:rPr>
        <w:t xml:space="preserve"> zodat dit enkel kan worden gepleegd door een mannelijke dader. </w:t>
      </w:r>
    </w:p>
    <w:p w14:paraId="1696EBDD" w14:textId="77777777" w:rsidR="007B5AF0" w:rsidRPr="00121BE6" w:rsidRDefault="007B5AF0" w:rsidP="00260F11">
      <w:pPr>
        <w:pStyle w:val="ListParagraph"/>
        <w:spacing w:line="360" w:lineRule="auto"/>
        <w:ind w:left="0"/>
        <w:rPr>
          <w:color w:val="000000" w:themeColor="text1"/>
        </w:rPr>
      </w:pPr>
    </w:p>
    <w:p w14:paraId="36E32F57" w14:textId="18289F4C" w:rsidR="007B5AF0" w:rsidRPr="00121BE6" w:rsidRDefault="007B5AF0" w:rsidP="00260F11">
      <w:pPr>
        <w:pStyle w:val="ListParagraph"/>
        <w:spacing w:line="360" w:lineRule="auto"/>
        <w:ind w:left="0"/>
        <w:rPr>
          <w:color w:val="000000" w:themeColor="text1"/>
        </w:rPr>
      </w:pPr>
      <w:r w:rsidRPr="00121BE6">
        <w:rPr>
          <w:color w:val="000000" w:themeColor="text1"/>
        </w:rPr>
        <w:t xml:space="preserve">Daarnaast bestaat er een misdrijf </w:t>
      </w:r>
      <w:r w:rsidRPr="00121BE6">
        <w:rPr>
          <w:i/>
          <w:color w:val="000000" w:themeColor="text1"/>
        </w:rPr>
        <w:t>assault by penetration</w:t>
      </w:r>
      <w:r w:rsidRPr="00121BE6">
        <w:rPr>
          <w:color w:val="000000" w:themeColor="text1"/>
        </w:rPr>
        <w:t xml:space="preserve"> waarin de slachtofferpenetratie ook kan plaatsvinden </w:t>
      </w:r>
      <w:r w:rsidR="00092CCB">
        <w:rPr>
          <w:color w:val="000000" w:themeColor="text1"/>
        </w:rPr>
        <w:t>d.m.v.</w:t>
      </w:r>
      <w:r w:rsidRPr="00121BE6">
        <w:rPr>
          <w:color w:val="000000" w:themeColor="text1"/>
        </w:rPr>
        <w:t xml:space="preserve"> andere voorwerpen dan een penis</w:t>
      </w:r>
      <w:r w:rsidR="00B024C6">
        <w:rPr>
          <w:color w:val="000000" w:themeColor="text1"/>
        </w:rPr>
        <w:t xml:space="preserve">, </w:t>
      </w:r>
      <w:r w:rsidRPr="00121BE6">
        <w:rPr>
          <w:color w:val="000000" w:themeColor="text1"/>
        </w:rPr>
        <w:t>zodat dit wel door een vrouwelijke dader kan worden gepleegd.</w:t>
      </w:r>
    </w:p>
    <w:p w14:paraId="449BDCF8" w14:textId="77777777" w:rsidR="007B5AF0" w:rsidRPr="00121BE6" w:rsidRDefault="007B5AF0" w:rsidP="00260F11">
      <w:pPr>
        <w:pStyle w:val="ListParagraph"/>
        <w:spacing w:line="360" w:lineRule="auto"/>
        <w:ind w:left="0"/>
        <w:rPr>
          <w:color w:val="000000" w:themeColor="text1"/>
        </w:rPr>
      </w:pPr>
    </w:p>
    <w:p w14:paraId="4207E477" w14:textId="60208F06" w:rsidR="007B5AF0" w:rsidRPr="00121BE6" w:rsidRDefault="007B5AF0" w:rsidP="00260F11">
      <w:pPr>
        <w:pStyle w:val="ListParagraph"/>
        <w:spacing w:line="360" w:lineRule="auto"/>
        <w:ind w:left="0"/>
        <w:rPr>
          <w:color w:val="000000" w:themeColor="text1"/>
        </w:rPr>
      </w:pPr>
      <w:r w:rsidRPr="00121BE6">
        <w:rPr>
          <w:color w:val="000000" w:themeColor="text1"/>
        </w:rPr>
        <w:t>Ten slotte is er een misdrijf</w:t>
      </w:r>
      <w:r w:rsidRPr="00121BE6">
        <w:rPr>
          <w:i/>
          <w:color w:val="000000" w:themeColor="text1"/>
        </w:rPr>
        <w:t xml:space="preserve"> “CESA met penetratie” </w:t>
      </w:r>
      <w:r w:rsidRPr="00121BE6">
        <w:rPr>
          <w:color w:val="000000" w:themeColor="text1"/>
        </w:rPr>
        <w:t xml:space="preserve">waarbij het eveneens </w:t>
      </w:r>
      <w:r w:rsidR="00092CCB">
        <w:rPr>
          <w:color w:val="000000" w:themeColor="text1"/>
        </w:rPr>
        <w:t>kan gaan om andere dan</w:t>
      </w:r>
      <w:r w:rsidRPr="00121BE6">
        <w:rPr>
          <w:color w:val="000000" w:themeColor="text1"/>
        </w:rPr>
        <w:t xml:space="preserve"> peniele penetratie</w:t>
      </w:r>
      <w:r w:rsidR="00B024C6">
        <w:rPr>
          <w:color w:val="000000" w:themeColor="text1"/>
        </w:rPr>
        <w:t>s</w:t>
      </w:r>
      <w:r w:rsidR="00092CCB">
        <w:rPr>
          <w:color w:val="000000" w:themeColor="text1"/>
        </w:rPr>
        <w:t xml:space="preserve">. Bovendien is bij dit misdrijf </w:t>
      </w:r>
      <w:r w:rsidRPr="00121BE6">
        <w:rPr>
          <w:color w:val="000000" w:themeColor="text1"/>
        </w:rPr>
        <w:t>– i.t.t. wat het geval is bij de andere twee misdrijven – het constitutief bestanddeel m.b.t. de rol van het slachtoffer uitgebreider</w:t>
      </w:r>
      <w:r w:rsidR="00092CCB">
        <w:rPr>
          <w:color w:val="000000" w:themeColor="text1"/>
        </w:rPr>
        <w:t xml:space="preserve">, </w:t>
      </w:r>
      <w:r w:rsidRPr="00121BE6">
        <w:rPr>
          <w:color w:val="000000" w:themeColor="text1"/>
        </w:rPr>
        <w:t xml:space="preserve">zodat niet alleen slachtofferpenetraties, maar ook de penetratie verricht door het slachtoffer </w:t>
      </w:r>
      <w:r w:rsidR="004645CA">
        <w:rPr>
          <w:color w:val="000000" w:themeColor="text1"/>
        </w:rPr>
        <w:t xml:space="preserve">daartoe verplicht door </w:t>
      </w:r>
      <w:r w:rsidRPr="00121BE6">
        <w:rPr>
          <w:color w:val="000000" w:themeColor="text1"/>
        </w:rPr>
        <w:t>de dader.</w:t>
      </w:r>
      <w:r w:rsidRPr="00121BE6">
        <w:rPr>
          <w:rStyle w:val="FootnoteReference"/>
          <w:color w:val="000000" w:themeColor="text1"/>
        </w:rPr>
        <w:footnoteReference w:id="669"/>
      </w:r>
    </w:p>
    <w:p w14:paraId="73EC1F77" w14:textId="77777777" w:rsidR="007B5AF0" w:rsidRPr="00121BE6" w:rsidRDefault="007B5AF0" w:rsidP="00260F11">
      <w:pPr>
        <w:pStyle w:val="ListParagraph"/>
        <w:spacing w:line="360" w:lineRule="auto"/>
        <w:ind w:left="0"/>
        <w:rPr>
          <w:color w:val="000000" w:themeColor="text1"/>
          <w:szCs w:val="18"/>
          <w:lang w:val="nl-NL"/>
        </w:rPr>
      </w:pPr>
    </w:p>
    <w:p w14:paraId="787DBE24" w14:textId="028B6C6D" w:rsidR="00C65352" w:rsidRPr="00AA2423" w:rsidRDefault="004642A8" w:rsidP="00260F11">
      <w:pPr>
        <w:pStyle w:val="ListParagraph"/>
        <w:numPr>
          <w:ilvl w:val="0"/>
          <w:numId w:val="1"/>
        </w:numPr>
        <w:spacing w:line="360" w:lineRule="auto"/>
        <w:ind w:left="0" w:hanging="709"/>
        <w:rPr>
          <w:color w:val="000000" w:themeColor="text1"/>
          <w:szCs w:val="18"/>
          <w:lang w:val="nl-NL"/>
        </w:rPr>
      </w:pPr>
      <w:r>
        <w:rPr>
          <w:b/>
          <w:color w:val="000000" w:themeColor="text1"/>
          <w:szCs w:val="18"/>
          <w:lang w:val="nl-NL"/>
        </w:rPr>
        <w:lastRenderedPageBreak/>
        <w:t xml:space="preserve">Positieve verandering. </w:t>
      </w:r>
      <w:r w:rsidR="00AA2423" w:rsidRPr="00121BE6">
        <w:rPr>
          <w:color w:val="000000" w:themeColor="text1"/>
          <w:szCs w:val="18"/>
          <w:lang w:val="nl-NL"/>
        </w:rPr>
        <w:t>Gelet op het bovenstaande dient te worden geconcludeerd dat</w:t>
      </w:r>
      <w:r w:rsidR="00D30313" w:rsidRPr="00121BE6">
        <w:rPr>
          <w:color w:val="000000" w:themeColor="text1"/>
          <w:szCs w:val="18"/>
          <w:lang w:val="nl-NL"/>
        </w:rPr>
        <w:t xml:space="preserve"> werd verholpen aan </w:t>
      </w:r>
      <w:r w:rsidR="00AA2423" w:rsidRPr="00121BE6">
        <w:rPr>
          <w:color w:val="000000" w:themeColor="text1"/>
          <w:szCs w:val="18"/>
          <w:lang w:val="nl-NL"/>
        </w:rPr>
        <w:t>een</w:t>
      </w:r>
      <w:r w:rsidR="00C65352" w:rsidRPr="00121BE6">
        <w:rPr>
          <w:color w:val="000000" w:themeColor="text1"/>
          <w:szCs w:val="18"/>
          <w:lang w:val="nl-NL"/>
        </w:rPr>
        <w:t xml:space="preserve"> pijnpunt van de oude </w:t>
      </w:r>
      <w:r w:rsidR="00C65352" w:rsidRPr="00AA2423">
        <w:rPr>
          <w:color w:val="000000" w:themeColor="text1"/>
          <w:szCs w:val="18"/>
          <w:lang w:val="nl-NL"/>
        </w:rPr>
        <w:t>strafbaarstelling</w:t>
      </w:r>
      <w:r w:rsidR="00121BE6">
        <w:rPr>
          <w:color w:val="000000" w:themeColor="text1"/>
          <w:szCs w:val="18"/>
          <w:lang w:val="nl-NL"/>
        </w:rPr>
        <w:t xml:space="preserve">. Voortaan heerst hieromtrent </w:t>
      </w:r>
      <w:r w:rsidR="00C8132C">
        <w:rPr>
          <w:color w:val="000000" w:themeColor="text1"/>
          <w:szCs w:val="18"/>
          <w:lang w:val="nl-NL"/>
        </w:rPr>
        <w:t xml:space="preserve">immers </w:t>
      </w:r>
      <w:r w:rsidR="00121BE6">
        <w:rPr>
          <w:color w:val="000000" w:themeColor="text1"/>
          <w:szCs w:val="18"/>
          <w:lang w:val="nl-NL"/>
        </w:rPr>
        <w:t>geen onduidelijkheid meer,</w:t>
      </w:r>
      <w:r w:rsidR="00D30313" w:rsidRPr="00AA2423">
        <w:rPr>
          <w:color w:val="000000" w:themeColor="text1"/>
          <w:szCs w:val="18"/>
          <w:lang w:val="nl-NL"/>
        </w:rPr>
        <w:t xml:space="preserve"> wat</w:t>
      </w:r>
      <w:r w:rsidR="00AA2423">
        <w:rPr>
          <w:color w:val="000000" w:themeColor="text1"/>
          <w:szCs w:val="18"/>
          <w:lang w:val="nl-NL"/>
        </w:rPr>
        <w:t xml:space="preserve"> in dit opzicht</w:t>
      </w:r>
      <w:r w:rsidR="00D30313" w:rsidRPr="00AA2423">
        <w:rPr>
          <w:color w:val="000000" w:themeColor="text1"/>
          <w:szCs w:val="18"/>
          <w:lang w:val="nl-NL"/>
        </w:rPr>
        <w:t xml:space="preserve"> dan ook als een positieve verandering dient te worden aangemerkt</w:t>
      </w:r>
      <w:r w:rsidR="00C65352" w:rsidRPr="00AA2423">
        <w:rPr>
          <w:color w:val="000000" w:themeColor="text1"/>
          <w:szCs w:val="18"/>
          <w:lang w:val="nl-NL"/>
        </w:rPr>
        <w:t>.</w:t>
      </w:r>
    </w:p>
    <w:p w14:paraId="1E07C9AD" w14:textId="77777777" w:rsidR="00F02CB2" w:rsidRDefault="00F02CB2" w:rsidP="00260F11">
      <w:pPr>
        <w:pStyle w:val="ListParagraph"/>
        <w:spacing w:line="360" w:lineRule="auto"/>
        <w:ind w:left="0"/>
        <w:rPr>
          <w:color w:val="000000" w:themeColor="text1"/>
          <w:szCs w:val="18"/>
          <w:lang w:val="nl-NL"/>
        </w:rPr>
      </w:pPr>
    </w:p>
    <w:p w14:paraId="0BCEBA29" w14:textId="3E461C6A" w:rsidR="00594A21" w:rsidRDefault="0032073D" w:rsidP="00260F11">
      <w:pPr>
        <w:pStyle w:val="Heading4"/>
        <w:spacing w:line="360" w:lineRule="auto"/>
        <w:rPr>
          <w:szCs w:val="18"/>
          <w:lang w:val="nl-NL"/>
        </w:rPr>
      </w:pPr>
      <w:bookmarkStart w:id="95" w:name="_Toc135041123"/>
      <w:r>
        <w:rPr>
          <w:szCs w:val="18"/>
          <w:lang w:val="nl-NL"/>
        </w:rPr>
        <w:t>Afwezigheid geldige</w:t>
      </w:r>
      <w:r w:rsidR="00C65352" w:rsidRPr="00594A21">
        <w:rPr>
          <w:szCs w:val="18"/>
          <w:lang w:val="nl-NL"/>
        </w:rPr>
        <w:t xml:space="preserve"> toestemming</w:t>
      </w:r>
      <w:bookmarkEnd w:id="95"/>
    </w:p>
    <w:p w14:paraId="14C86D5F" w14:textId="77777777" w:rsidR="00594A21" w:rsidRPr="00594A21" w:rsidRDefault="00594A21" w:rsidP="00260F11">
      <w:pPr>
        <w:spacing w:line="360" w:lineRule="auto"/>
        <w:rPr>
          <w:color w:val="000000" w:themeColor="text1"/>
          <w:szCs w:val="18"/>
          <w:lang w:val="nl-NL"/>
        </w:rPr>
      </w:pPr>
    </w:p>
    <w:p w14:paraId="5A15A552" w14:textId="7AABE13A" w:rsidR="00C65352" w:rsidRPr="00594A21" w:rsidRDefault="0032073D" w:rsidP="00260F11">
      <w:pPr>
        <w:pStyle w:val="ListParagraph"/>
        <w:numPr>
          <w:ilvl w:val="0"/>
          <w:numId w:val="1"/>
        </w:numPr>
        <w:spacing w:line="360" w:lineRule="auto"/>
        <w:ind w:left="0" w:hanging="709"/>
        <w:rPr>
          <w:color w:val="000000" w:themeColor="text1"/>
          <w:szCs w:val="18"/>
          <w:lang w:val="nl-NL"/>
        </w:rPr>
      </w:pPr>
      <w:r w:rsidRPr="0032073D">
        <w:rPr>
          <w:b/>
          <w:color w:val="000000" w:themeColor="text1"/>
          <w:szCs w:val="18"/>
          <w:lang w:val="nl-NL"/>
        </w:rPr>
        <w:t>Intrekking toestemming</w:t>
      </w:r>
      <w:r>
        <w:rPr>
          <w:color w:val="000000" w:themeColor="text1"/>
          <w:szCs w:val="18"/>
          <w:lang w:val="nl-NL"/>
        </w:rPr>
        <w:t xml:space="preserve">. </w:t>
      </w:r>
      <w:r w:rsidR="00C65352" w:rsidRPr="00594A21">
        <w:rPr>
          <w:color w:val="000000" w:themeColor="text1"/>
          <w:szCs w:val="18"/>
          <w:lang w:val="nl-NL"/>
        </w:rPr>
        <w:t>De vraag of de intrekking van een initieel geldig gegeven toestemming tijdens de seksuele betrekkingen, maar na het seksueel binnendringen in het lichaam, aanleiding kon geven tot een verkrachting werd door de meerderheid</w:t>
      </w:r>
      <w:r w:rsidR="00B024C6">
        <w:rPr>
          <w:color w:val="000000" w:themeColor="text1"/>
          <w:szCs w:val="18"/>
          <w:lang w:val="nl-NL"/>
        </w:rPr>
        <w:t>svisie</w:t>
      </w:r>
      <w:r w:rsidR="00C65352" w:rsidRPr="00594A21">
        <w:rPr>
          <w:color w:val="000000" w:themeColor="text1"/>
          <w:szCs w:val="18"/>
          <w:lang w:val="nl-NL"/>
        </w:rPr>
        <w:t xml:space="preserve"> binnen de doctrine negatief beantwoord.</w:t>
      </w:r>
      <w:r w:rsidR="00246FF6">
        <w:rPr>
          <w:rStyle w:val="FootnoteReference"/>
          <w:color w:val="000000" w:themeColor="text1"/>
          <w:szCs w:val="18"/>
          <w:lang w:val="nl-NL"/>
        </w:rPr>
        <w:footnoteReference w:id="670"/>
      </w:r>
      <w:r w:rsidR="00C65352" w:rsidRPr="00594A21">
        <w:rPr>
          <w:color w:val="000000" w:themeColor="text1"/>
          <w:szCs w:val="18"/>
          <w:lang w:val="nl-NL"/>
        </w:rPr>
        <w:t xml:space="preserve"> Onder het huidige recht dient deze vraag evenwel positief te worden beantwoord, gelet op de bewoordingen “mede bestaand uit een seksuele penetratie”</w:t>
      </w:r>
      <w:r w:rsidR="00C65352">
        <w:rPr>
          <w:rStyle w:val="FootnoteReference"/>
          <w:color w:val="000000" w:themeColor="text1"/>
          <w:szCs w:val="18"/>
          <w:lang w:val="nl-NL"/>
        </w:rPr>
        <w:footnoteReference w:id="671"/>
      </w:r>
      <w:r w:rsidR="00C65352" w:rsidRPr="00594A21">
        <w:rPr>
          <w:color w:val="000000" w:themeColor="text1"/>
          <w:szCs w:val="18"/>
          <w:lang w:val="nl-NL"/>
        </w:rPr>
        <w:t xml:space="preserve"> enerzijds</w:t>
      </w:r>
      <w:r w:rsidR="00246FF6">
        <w:rPr>
          <w:rStyle w:val="FootnoteReference"/>
          <w:color w:val="000000" w:themeColor="text1"/>
          <w:szCs w:val="18"/>
          <w:lang w:val="nl-NL"/>
        </w:rPr>
        <w:footnoteReference w:id="672"/>
      </w:r>
      <w:r w:rsidR="00246FF6">
        <w:rPr>
          <w:color w:val="000000" w:themeColor="text1"/>
          <w:szCs w:val="18"/>
          <w:lang w:val="nl-NL"/>
        </w:rPr>
        <w:t xml:space="preserve"> </w:t>
      </w:r>
      <w:r w:rsidR="00C65352" w:rsidRPr="00594A21">
        <w:rPr>
          <w:color w:val="000000" w:themeColor="text1"/>
          <w:szCs w:val="18"/>
          <w:lang w:val="nl-NL"/>
        </w:rPr>
        <w:t>en de uitdrukkelijke erkenning van de mogelijkheid tot intrekking van toestemming op ieder ogenblik</w:t>
      </w:r>
      <w:r w:rsidR="00C65352">
        <w:rPr>
          <w:rStyle w:val="FootnoteReference"/>
          <w:color w:val="000000" w:themeColor="text1"/>
          <w:szCs w:val="18"/>
          <w:lang w:val="nl-NL"/>
        </w:rPr>
        <w:footnoteReference w:id="673"/>
      </w:r>
      <w:r w:rsidR="00C65352" w:rsidRPr="00594A21">
        <w:rPr>
          <w:color w:val="000000" w:themeColor="text1"/>
          <w:szCs w:val="18"/>
          <w:lang w:val="nl-NL"/>
        </w:rPr>
        <w:t xml:space="preserve"> anderzijds</w:t>
      </w:r>
      <w:r w:rsidR="00246FF6">
        <w:rPr>
          <w:color w:val="000000" w:themeColor="text1"/>
          <w:szCs w:val="18"/>
          <w:lang w:val="nl-NL"/>
        </w:rPr>
        <w:t>.</w:t>
      </w:r>
      <w:r w:rsidR="00246FF6">
        <w:rPr>
          <w:rStyle w:val="FootnoteReference"/>
          <w:color w:val="000000" w:themeColor="text1"/>
          <w:szCs w:val="18"/>
          <w:lang w:val="nl-NL"/>
        </w:rPr>
        <w:footnoteReference w:id="674"/>
      </w:r>
      <w:r w:rsidR="00C65352" w:rsidRPr="00594A21">
        <w:rPr>
          <w:color w:val="000000" w:themeColor="text1"/>
          <w:szCs w:val="18"/>
          <w:lang w:val="nl-NL"/>
        </w:rPr>
        <w:t xml:space="preserve"> Dit pijnpunt van de oude strafbaarstelling werd bijgevolg </w:t>
      </w:r>
      <w:r w:rsidR="00D30313">
        <w:rPr>
          <w:color w:val="000000" w:themeColor="text1"/>
          <w:szCs w:val="18"/>
          <w:lang w:val="nl-NL"/>
        </w:rPr>
        <w:t xml:space="preserve">eveneens </w:t>
      </w:r>
      <w:r w:rsidR="00C65352" w:rsidRPr="00594A21">
        <w:rPr>
          <w:color w:val="000000" w:themeColor="text1"/>
          <w:szCs w:val="18"/>
          <w:lang w:val="nl-NL"/>
        </w:rPr>
        <w:t>verholpen</w:t>
      </w:r>
      <w:r w:rsidR="00D30313">
        <w:rPr>
          <w:color w:val="000000" w:themeColor="text1"/>
          <w:szCs w:val="18"/>
          <w:lang w:val="nl-NL"/>
        </w:rPr>
        <w:t>, zodat ook deze verandering als een positieve verandering moet worden beschouwd.</w:t>
      </w:r>
    </w:p>
    <w:p w14:paraId="23F0CA29" w14:textId="77777777" w:rsidR="00AB2778" w:rsidRDefault="00AB2778" w:rsidP="00260F11">
      <w:pPr>
        <w:pStyle w:val="ListParagraph"/>
        <w:spacing w:line="360" w:lineRule="auto"/>
        <w:ind w:left="0"/>
        <w:rPr>
          <w:color w:val="000000" w:themeColor="text1"/>
          <w:szCs w:val="18"/>
          <w:lang w:val="nl-NL"/>
        </w:rPr>
      </w:pPr>
    </w:p>
    <w:p w14:paraId="678852DF" w14:textId="77777777" w:rsidR="00AB2778" w:rsidRDefault="00AB2778" w:rsidP="00260F11">
      <w:pPr>
        <w:spacing w:line="360" w:lineRule="auto"/>
        <w:rPr>
          <w:color w:val="000000" w:themeColor="text1"/>
          <w:szCs w:val="18"/>
          <w:lang w:val="nl-NL"/>
        </w:rPr>
      </w:pPr>
    </w:p>
    <w:p w14:paraId="73E015E4" w14:textId="77777777" w:rsidR="00AB2778" w:rsidRDefault="00AB2778" w:rsidP="00260F11">
      <w:pPr>
        <w:spacing w:line="360" w:lineRule="auto"/>
        <w:jc w:val="left"/>
        <w:rPr>
          <w:color w:val="000000" w:themeColor="text1"/>
          <w:szCs w:val="18"/>
          <w:lang w:val="nl-NL"/>
        </w:rPr>
        <w:sectPr w:rsidR="00AB2778" w:rsidSect="0026404D">
          <w:footerReference w:type="default" r:id="rId23"/>
          <w:pgSz w:w="11906" w:h="16838"/>
          <w:pgMar w:top="1417" w:right="1417" w:bottom="1417" w:left="1417" w:header="709" w:footer="709" w:gutter="0"/>
          <w:cols w:space="708"/>
          <w:docGrid w:linePitch="360"/>
        </w:sectPr>
      </w:pPr>
    </w:p>
    <w:p w14:paraId="76B4C6B5" w14:textId="77777777" w:rsidR="00AB2778" w:rsidRDefault="00AB2778" w:rsidP="00260F11">
      <w:pPr>
        <w:spacing w:line="360" w:lineRule="auto"/>
        <w:jc w:val="left"/>
        <w:rPr>
          <w:color w:val="000000" w:themeColor="text1"/>
          <w:szCs w:val="18"/>
          <w:lang w:val="nl-NL"/>
        </w:rPr>
        <w:sectPr w:rsidR="00AB2778" w:rsidSect="0026404D">
          <w:footerReference w:type="default" r:id="rId24"/>
          <w:pgSz w:w="11906" w:h="16838"/>
          <w:pgMar w:top="1417" w:right="1417" w:bottom="1417" w:left="1417" w:header="709" w:footer="709" w:gutter="0"/>
          <w:cols w:space="708"/>
          <w:docGrid w:linePitch="360"/>
        </w:sectPr>
      </w:pPr>
    </w:p>
    <w:p w14:paraId="5BA0A2D8" w14:textId="5C6FD08C" w:rsidR="00BF7890" w:rsidRDefault="00BD41D9" w:rsidP="00260F11">
      <w:pPr>
        <w:pStyle w:val="Heading2"/>
        <w:spacing w:line="360" w:lineRule="auto"/>
        <w:rPr>
          <w:lang w:val="nl-NL"/>
        </w:rPr>
      </w:pPr>
      <w:bookmarkStart w:id="96" w:name="_Toc135041124"/>
      <w:r>
        <w:rPr>
          <w:lang w:val="nl-NL"/>
        </w:rPr>
        <w:lastRenderedPageBreak/>
        <w:t xml:space="preserve">Eigen </w:t>
      </w:r>
      <w:r w:rsidR="007B43F4">
        <w:rPr>
          <w:lang w:val="nl-NL"/>
        </w:rPr>
        <w:t>wets</w:t>
      </w:r>
      <w:r>
        <w:rPr>
          <w:lang w:val="nl-NL"/>
        </w:rPr>
        <w:t>voorstel</w:t>
      </w:r>
      <w:bookmarkEnd w:id="96"/>
    </w:p>
    <w:p w14:paraId="6C2B7F4B" w14:textId="2E661DED" w:rsidR="00BD41D9" w:rsidRDefault="00BD41D9" w:rsidP="00260F11">
      <w:pPr>
        <w:spacing w:line="360" w:lineRule="auto"/>
        <w:rPr>
          <w:lang w:val="nl-NL"/>
        </w:rPr>
      </w:pPr>
    </w:p>
    <w:p w14:paraId="30C5880E" w14:textId="0996BD60" w:rsidR="004B5BCC" w:rsidRPr="009D0FB3" w:rsidRDefault="004B5BCC" w:rsidP="00260F11">
      <w:pPr>
        <w:pStyle w:val="ListParagraph"/>
        <w:numPr>
          <w:ilvl w:val="0"/>
          <w:numId w:val="1"/>
        </w:numPr>
        <w:spacing w:line="360" w:lineRule="auto"/>
        <w:ind w:left="0" w:hanging="709"/>
        <w:rPr>
          <w:color w:val="000000" w:themeColor="text1"/>
          <w:szCs w:val="18"/>
          <w:lang w:val="nl-NL"/>
        </w:rPr>
      </w:pPr>
      <w:r w:rsidRPr="004B5BCC">
        <w:rPr>
          <w:b/>
          <w:szCs w:val="18"/>
        </w:rPr>
        <w:t>Artikel 417/5</w:t>
      </w:r>
      <w:r w:rsidR="00864C21">
        <w:rPr>
          <w:b/>
          <w:szCs w:val="18"/>
        </w:rPr>
        <w:t xml:space="preserve"> </w:t>
      </w:r>
      <w:r w:rsidR="00B7646D">
        <w:rPr>
          <w:b/>
          <w:szCs w:val="18"/>
        </w:rPr>
        <w:t xml:space="preserve">van het </w:t>
      </w:r>
      <w:r w:rsidR="00864C21">
        <w:rPr>
          <w:b/>
          <w:szCs w:val="18"/>
        </w:rPr>
        <w:t>Strafwetboek</w:t>
      </w:r>
      <w:r w:rsidR="009D0FB3">
        <w:rPr>
          <w:b/>
          <w:szCs w:val="18"/>
        </w:rPr>
        <w:t>.</w:t>
      </w:r>
      <w:r w:rsidR="00864C21" w:rsidRPr="00864C21">
        <w:rPr>
          <w:rStyle w:val="FootnoteReference"/>
          <w:szCs w:val="18"/>
        </w:rPr>
        <w:footnoteReference w:id="675"/>
      </w:r>
      <w:r w:rsidR="009D0FB3">
        <w:rPr>
          <w:b/>
          <w:szCs w:val="18"/>
        </w:rPr>
        <w:t xml:space="preserve"> </w:t>
      </w:r>
      <w:r w:rsidRPr="009D0FB3">
        <w:rPr>
          <w:color w:val="000000" w:themeColor="text1"/>
          <w:szCs w:val="18"/>
        </w:rPr>
        <w:t>Toestemming veronderstelt dat deze uit vrije wil is gegeven. Dit wordt beoordeeld in het licht van de omstandigheden van de zaak. De toestemming kan niet worden afgeleid uit de loutere ontstentenis van verweer van het slachtoffer. De toestemming kan worden ingetrokken op elk ogenblik voor of tijdens de seksuele handeling</w:t>
      </w:r>
      <w:r w:rsidR="009D0FB3">
        <w:rPr>
          <w:color w:val="000000" w:themeColor="text1"/>
          <w:szCs w:val="18"/>
        </w:rPr>
        <w:t>.</w:t>
      </w:r>
    </w:p>
    <w:p w14:paraId="25015648" w14:textId="77777777" w:rsidR="004B5BCC" w:rsidRPr="00934835" w:rsidRDefault="004B5BCC" w:rsidP="00260F11">
      <w:pPr>
        <w:spacing w:line="360" w:lineRule="auto"/>
        <w:rPr>
          <w:szCs w:val="18"/>
        </w:rPr>
      </w:pPr>
    </w:p>
    <w:p w14:paraId="13FF7E71" w14:textId="7E92BF8D" w:rsidR="00881362" w:rsidRPr="009D0FB3" w:rsidRDefault="004B5BCC" w:rsidP="00260F11">
      <w:pPr>
        <w:pStyle w:val="ListParagraph"/>
        <w:numPr>
          <w:ilvl w:val="0"/>
          <w:numId w:val="1"/>
        </w:numPr>
        <w:spacing w:line="360" w:lineRule="auto"/>
        <w:ind w:left="0" w:hanging="709"/>
        <w:rPr>
          <w:color w:val="000000" w:themeColor="text1"/>
          <w:szCs w:val="18"/>
          <w:lang w:val="nl-NL"/>
        </w:rPr>
      </w:pPr>
      <w:r w:rsidRPr="004B5BCC">
        <w:rPr>
          <w:b/>
          <w:szCs w:val="18"/>
        </w:rPr>
        <w:t xml:space="preserve">Artikel 417/7 </w:t>
      </w:r>
      <w:r w:rsidR="00B7646D">
        <w:rPr>
          <w:b/>
          <w:szCs w:val="18"/>
        </w:rPr>
        <w:t xml:space="preserve">van het </w:t>
      </w:r>
      <w:r w:rsidRPr="004B5BCC">
        <w:rPr>
          <w:b/>
          <w:szCs w:val="18"/>
        </w:rPr>
        <w:t>Strafwetboek</w:t>
      </w:r>
      <w:r w:rsidR="009D0FB3">
        <w:rPr>
          <w:b/>
          <w:szCs w:val="18"/>
        </w:rPr>
        <w:t>.</w:t>
      </w:r>
      <w:r w:rsidR="00864C21" w:rsidRPr="00864C21">
        <w:rPr>
          <w:rStyle w:val="FootnoteReference"/>
          <w:szCs w:val="18"/>
        </w:rPr>
        <w:footnoteReference w:id="676"/>
      </w:r>
      <w:r w:rsidR="009D0FB3">
        <w:rPr>
          <w:b/>
          <w:szCs w:val="18"/>
        </w:rPr>
        <w:t xml:space="preserve"> </w:t>
      </w:r>
      <w:r w:rsidRPr="009D0FB3">
        <w:rPr>
          <w:szCs w:val="18"/>
        </w:rPr>
        <w:t xml:space="preserve">Aantasting van de seksuele integriteit is het </w:t>
      </w:r>
      <w:r w:rsidRPr="009D0FB3">
        <w:rPr>
          <w:i/>
          <w:szCs w:val="18"/>
        </w:rPr>
        <w:t>wetens en willens</w:t>
      </w:r>
      <w:r w:rsidRPr="009D0FB3">
        <w:rPr>
          <w:szCs w:val="18"/>
        </w:rPr>
        <w:t xml:space="preserve"> stellen van een seksuele handeling op </w:t>
      </w:r>
      <w:r w:rsidR="00D126A6" w:rsidRPr="009D0FB3">
        <w:rPr>
          <w:szCs w:val="18"/>
        </w:rPr>
        <w:t xml:space="preserve">een persoon </w:t>
      </w:r>
      <w:r w:rsidRPr="009D0FB3">
        <w:rPr>
          <w:i/>
          <w:szCs w:val="18"/>
        </w:rPr>
        <w:t xml:space="preserve">of met behulp van </w:t>
      </w:r>
      <w:r w:rsidRPr="009D0FB3">
        <w:rPr>
          <w:szCs w:val="18"/>
        </w:rPr>
        <w:t>een persoon die daar niet in toestemt.</w:t>
      </w:r>
      <w:r w:rsidR="000F38E4" w:rsidRPr="009D0FB3">
        <w:rPr>
          <w:szCs w:val="18"/>
        </w:rPr>
        <w:t xml:space="preserve"> </w:t>
      </w:r>
    </w:p>
    <w:p w14:paraId="6961762D" w14:textId="3803FE33" w:rsidR="000161F1" w:rsidRPr="00B14688" w:rsidRDefault="000161F1" w:rsidP="00260F11">
      <w:pPr>
        <w:spacing w:line="360" w:lineRule="auto"/>
        <w:rPr>
          <w:color w:val="000000" w:themeColor="text1"/>
          <w:szCs w:val="18"/>
        </w:rPr>
      </w:pPr>
      <w:r w:rsidRPr="00B14688">
        <w:rPr>
          <w:color w:val="000000" w:themeColor="text1"/>
          <w:szCs w:val="18"/>
        </w:rPr>
        <w:t>Handelingen zijn seksueel wanneer deze volgens een redelijk persoon</w:t>
      </w:r>
      <w:r w:rsidR="009D0FB3" w:rsidRPr="00B14688">
        <w:rPr>
          <w:color w:val="000000" w:themeColor="text1"/>
          <w:szCs w:val="18"/>
        </w:rPr>
        <w:t xml:space="preserve"> ofwel</w:t>
      </w:r>
      <w:r w:rsidRPr="00B14688">
        <w:rPr>
          <w:color w:val="000000" w:themeColor="text1"/>
          <w:szCs w:val="18"/>
        </w:rPr>
        <w:t>:</w:t>
      </w:r>
    </w:p>
    <w:p w14:paraId="5AFF96C7" w14:textId="5D4CAC50" w:rsidR="000161F1" w:rsidRPr="00B14688" w:rsidRDefault="000161F1" w:rsidP="00260F11">
      <w:pPr>
        <w:pStyle w:val="ListParagraph"/>
        <w:numPr>
          <w:ilvl w:val="0"/>
          <w:numId w:val="15"/>
        </w:numPr>
        <w:spacing w:line="360" w:lineRule="auto"/>
        <w:rPr>
          <w:color w:val="000000" w:themeColor="text1"/>
          <w:szCs w:val="18"/>
        </w:rPr>
      </w:pPr>
      <w:r w:rsidRPr="00B14688">
        <w:rPr>
          <w:color w:val="000000" w:themeColor="text1"/>
          <w:szCs w:val="18"/>
        </w:rPr>
        <w:t>seksueel zijn omwille van hun aard en dit ongeacht de omstandigheden of de bedoeling van de dader</w:t>
      </w:r>
      <w:r w:rsidR="009D0FB3" w:rsidRPr="00B14688">
        <w:rPr>
          <w:color w:val="000000" w:themeColor="text1"/>
          <w:szCs w:val="18"/>
        </w:rPr>
        <w:t>;</w:t>
      </w:r>
    </w:p>
    <w:p w14:paraId="0BFF2F80" w14:textId="6BD1A785" w:rsidR="000161F1" w:rsidRPr="00B14688" w:rsidRDefault="009D0FB3" w:rsidP="00260F11">
      <w:pPr>
        <w:pStyle w:val="ListParagraph"/>
        <w:numPr>
          <w:ilvl w:val="0"/>
          <w:numId w:val="15"/>
        </w:numPr>
        <w:spacing w:line="360" w:lineRule="auto"/>
        <w:rPr>
          <w:color w:val="000000" w:themeColor="text1"/>
          <w:szCs w:val="18"/>
        </w:rPr>
      </w:pPr>
      <w:r w:rsidRPr="00B14688">
        <w:rPr>
          <w:color w:val="000000" w:themeColor="text1"/>
          <w:szCs w:val="18"/>
        </w:rPr>
        <w:t xml:space="preserve">seksueel zouden kunnen zijn </w:t>
      </w:r>
      <w:r w:rsidR="000161F1" w:rsidRPr="00B14688">
        <w:rPr>
          <w:color w:val="000000" w:themeColor="text1"/>
          <w:szCs w:val="18"/>
        </w:rPr>
        <w:t>omwille van hun aard en dit gelet op de omstandigheden en/of de bedoeling van de dader in een concreet geval daadwerkelijk zijn.</w:t>
      </w:r>
    </w:p>
    <w:p w14:paraId="37364447" w14:textId="5312887F" w:rsidR="00985701" w:rsidRPr="00B14688" w:rsidRDefault="001560C6" w:rsidP="00260F11">
      <w:pPr>
        <w:spacing w:line="360" w:lineRule="auto"/>
        <w:rPr>
          <w:szCs w:val="18"/>
        </w:rPr>
      </w:pPr>
      <w:r w:rsidRPr="00B14688">
        <w:rPr>
          <w:szCs w:val="18"/>
        </w:rPr>
        <w:t xml:space="preserve">Indien </w:t>
      </w:r>
      <w:r w:rsidR="002931BE" w:rsidRPr="00B14688">
        <w:rPr>
          <w:szCs w:val="18"/>
        </w:rPr>
        <w:t xml:space="preserve">de afwezigheid van toestemming blijkt ingevolge artikel 417/6 </w:t>
      </w:r>
      <w:r w:rsidR="00B7646D">
        <w:rPr>
          <w:szCs w:val="18"/>
        </w:rPr>
        <w:t xml:space="preserve">van het </w:t>
      </w:r>
      <w:r w:rsidR="002931BE" w:rsidRPr="00B14688">
        <w:rPr>
          <w:szCs w:val="18"/>
        </w:rPr>
        <w:t xml:space="preserve">Strafwetboek, volstaat onachtzaamheid ten aanzien van de </w:t>
      </w:r>
      <w:r w:rsidR="00B024C6" w:rsidRPr="00B14688">
        <w:rPr>
          <w:szCs w:val="18"/>
        </w:rPr>
        <w:t xml:space="preserve">minderjarige </w:t>
      </w:r>
      <w:r w:rsidR="002931BE" w:rsidRPr="00B14688">
        <w:rPr>
          <w:szCs w:val="18"/>
        </w:rPr>
        <w:t>leeftijd van het slachtoffer.</w:t>
      </w:r>
      <w:r w:rsidR="00985701" w:rsidRPr="00B14688">
        <w:rPr>
          <w:szCs w:val="18"/>
        </w:rPr>
        <w:t xml:space="preserve"> </w:t>
      </w:r>
    </w:p>
    <w:p w14:paraId="5F18BDA8" w14:textId="43949C20" w:rsidR="000F38E4" w:rsidRPr="00985701" w:rsidRDefault="000F38E4" w:rsidP="00260F11">
      <w:pPr>
        <w:spacing w:line="360" w:lineRule="auto"/>
        <w:rPr>
          <w:i/>
          <w:szCs w:val="18"/>
        </w:rPr>
      </w:pPr>
      <w:r>
        <w:rPr>
          <w:szCs w:val="18"/>
        </w:rPr>
        <w:t>(…).</w:t>
      </w:r>
      <w:r>
        <w:rPr>
          <w:rStyle w:val="FootnoteReference"/>
          <w:szCs w:val="18"/>
        </w:rPr>
        <w:footnoteReference w:id="677"/>
      </w:r>
      <w:r w:rsidR="004B5BCC">
        <w:rPr>
          <w:szCs w:val="18"/>
        </w:rPr>
        <w:t xml:space="preserve"> </w:t>
      </w:r>
    </w:p>
    <w:p w14:paraId="2CEFEFD1" w14:textId="77777777" w:rsidR="004B5BCC" w:rsidRPr="00934835" w:rsidRDefault="004B5BCC" w:rsidP="00260F11">
      <w:pPr>
        <w:spacing w:line="360" w:lineRule="auto"/>
        <w:rPr>
          <w:szCs w:val="18"/>
        </w:rPr>
      </w:pPr>
    </w:p>
    <w:p w14:paraId="337F12F6" w14:textId="52CAF26B" w:rsidR="00881362" w:rsidRPr="009D0FB3" w:rsidRDefault="004B5BCC" w:rsidP="00260F11">
      <w:pPr>
        <w:pStyle w:val="ListParagraph"/>
        <w:numPr>
          <w:ilvl w:val="0"/>
          <w:numId w:val="1"/>
        </w:numPr>
        <w:spacing w:line="360" w:lineRule="auto"/>
        <w:ind w:left="0" w:hanging="709"/>
        <w:rPr>
          <w:color w:val="000000" w:themeColor="text1"/>
          <w:szCs w:val="18"/>
          <w:lang w:val="nl-NL"/>
        </w:rPr>
      </w:pPr>
      <w:r w:rsidRPr="004B5BCC">
        <w:rPr>
          <w:b/>
          <w:szCs w:val="18"/>
        </w:rPr>
        <w:t xml:space="preserve">Artikel 417/11 </w:t>
      </w:r>
      <w:r w:rsidR="00B7646D">
        <w:rPr>
          <w:b/>
          <w:szCs w:val="18"/>
        </w:rPr>
        <w:t xml:space="preserve">van het </w:t>
      </w:r>
      <w:r w:rsidRPr="004B5BCC">
        <w:rPr>
          <w:b/>
          <w:szCs w:val="18"/>
        </w:rPr>
        <w:t>Strafwetboek</w:t>
      </w:r>
      <w:r w:rsidR="009D0FB3">
        <w:rPr>
          <w:b/>
          <w:szCs w:val="18"/>
        </w:rPr>
        <w:t>.</w:t>
      </w:r>
      <w:r w:rsidR="00864C21" w:rsidRPr="00864C21">
        <w:rPr>
          <w:rStyle w:val="FootnoteReference"/>
          <w:szCs w:val="18"/>
        </w:rPr>
        <w:footnoteReference w:id="678"/>
      </w:r>
      <w:r w:rsidR="009D0FB3">
        <w:rPr>
          <w:b/>
          <w:szCs w:val="18"/>
        </w:rPr>
        <w:t xml:space="preserve"> </w:t>
      </w:r>
      <w:r w:rsidRPr="009D0FB3">
        <w:rPr>
          <w:szCs w:val="18"/>
        </w:rPr>
        <w:t xml:space="preserve">Verkrachting is elke </w:t>
      </w:r>
      <w:r w:rsidRPr="009D0FB3">
        <w:rPr>
          <w:i/>
          <w:szCs w:val="18"/>
        </w:rPr>
        <w:t>wetens en willens</w:t>
      </w:r>
      <w:r w:rsidRPr="009D0FB3">
        <w:rPr>
          <w:szCs w:val="18"/>
        </w:rPr>
        <w:t xml:space="preserve"> gestelde daad die bestaat of mede bestaat uit een seksuele penetratie van welke aard en met welk middel ook, gepleegd op een persoon of met behulp van een persoon die daar niet in toestemt. </w:t>
      </w:r>
    </w:p>
    <w:p w14:paraId="1314329B" w14:textId="2FD87021" w:rsidR="009D0FB3" w:rsidRPr="00B14688" w:rsidRDefault="009D0FB3" w:rsidP="00260F11">
      <w:pPr>
        <w:spacing w:line="360" w:lineRule="auto"/>
        <w:rPr>
          <w:color w:val="000000" w:themeColor="text1"/>
          <w:szCs w:val="18"/>
        </w:rPr>
      </w:pPr>
      <w:r w:rsidRPr="00B14688">
        <w:rPr>
          <w:color w:val="000000" w:themeColor="text1"/>
          <w:szCs w:val="18"/>
        </w:rPr>
        <w:t>Penetraties zijn seksueel wanneer deze volgens een redelijk persoon ofwel:</w:t>
      </w:r>
    </w:p>
    <w:p w14:paraId="08E62187" w14:textId="617B5B97" w:rsidR="009D0FB3" w:rsidRPr="00B14688" w:rsidRDefault="009D0FB3" w:rsidP="00260F11">
      <w:pPr>
        <w:pStyle w:val="ListParagraph"/>
        <w:numPr>
          <w:ilvl w:val="0"/>
          <w:numId w:val="15"/>
        </w:numPr>
        <w:spacing w:line="360" w:lineRule="auto"/>
        <w:rPr>
          <w:color w:val="000000" w:themeColor="text1"/>
          <w:szCs w:val="18"/>
        </w:rPr>
      </w:pPr>
      <w:r w:rsidRPr="00B14688">
        <w:rPr>
          <w:color w:val="000000" w:themeColor="text1"/>
          <w:szCs w:val="18"/>
        </w:rPr>
        <w:t>seksueel zijn omwille van hun aard en dit ongeacht de omstandigheden of de bedoeling van de dader;</w:t>
      </w:r>
    </w:p>
    <w:p w14:paraId="473338BB" w14:textId="2CCAA333" w:rsidR="009D0FB3" w:rsidRPr="00B14688" w:rsidRDefault="009D0FB3" w:rsidP="00260F11">
      <w:pPr>
        <w:pStyle w:val="ListParagraph"/>
        <w:numPr>
          <w:ilvl w:val="0"/>
          <w:numId w:val="15"/>
        </w:numPr>
        <w:spacing w:line="360" w:lineRule="auto"/>
        <w:rPr>
          <w:color w:val="000000" w:themeColor="text1"/>
          <w:szCs w:val="18"/>
        </w:rPr>
      </w:pPr>
      <w:r w:rsidRPr="00B14688">
        <w:rPr>
          <w:color w:val="000000" w:themeColor="text1"/>
          <w:szCs w:val="18"/>
        </w:rPr>
        <w:t>seksueel zouden kunnen zijn omwille van hun aard en dit gelet op de omstandigheden en/of de bedoeling van de dader in een concreet geval daadwerkelijk zijn.</w:t>
      </w:r>
    </w:p>
    <w:p w14:paraId="50441DCF" w14:textId="3E9A2632" w:rsidR="002931BE" w:rsidRPr="00B14688" w:rsidRDefault="002931BE" w:rsidP="00260F11">
      <w:pPr>
        <w:spacing w:line="360" w:lineRule="auto"/>
        <w:rPr>
          <w:szCs w:val="18"/>
        </w:rPr>
      </w:pPr>
      <w:r w:rsidRPr="00B14688">
        <w:rPr>
          <w:szCs w:val="18"/>
        </w:rPr>
        <w:t xml:space="preserve">Indien de afwezigheid van toestemming blijkt ingevolge artikel 417/6 </w:t>
      </w:r>
      <w:r w:rsidR="00B7646D">
        <w:rPr>
          <w:szCs w:val="18"/>
        </w:rPr>
        <w:t xml:space="preserve">van het </w:t>
      </w:r>
      <w:r w:rsidRPr="00B14688">
        <w:rPr>
          <w:szCs w:val="18"/>
        </w:rPr>
        <w:t>Strafwetboek, volstaat onachtzaamheid ten aanzien van de</w:t>
      </w:r>
      <w:r w:rsidR="00B024C6" w:rsidRPr="00B14688">
        <w:rPr>
          <w:szCs w:val="18"/>
        </w:rPr>
        <w:t xml:space="preserve"> minderjarige</w:t>
      </w:r>
      <w:r w:rsidRPr="00B14688">
        <w:rPr>
          <w:szCs w:val="18"/>
        </w:rPr>
        <w:t xml:space="preserve"> leeftijd van het slachtoffer.</w:t>
      </w:r>
    </w:p>
    <w:p w14:paraId="1E96C8BE" w14:textId="4BA27C15" w:rsidR="004B5BCC" w:rsidRPr="000F38E4" w:rsidRDefault="000F38E4" w:rsidP="00260F11">
      <w:pPr>
        <w:spacing w:line="360" w:lineRule="auto"/>
        <w:rPr>
          <w:szCs w:val="18"/>
        </w:rPr>
      </w:pPr>
      <w:r>
        <w:rPr>
          <w:szCs w:val="18"/>
        </w:rPr>
        <w:t>(…).</w:t>
      </w:r>
      <w:r>
        <w:rPr>
          <w:rStyle w:val="FootnoteReference"/>
          <w:szCs w:val="18"/>
        </w:rPr>
        <w:footnoteReference w:id="679"/>
      </w:r>
    </w:p>
    <w:p w14:paraId="00266864" w14:textId="77777777" w:rsidR="00652DE9" w:rsidRDefault="00652DE9" w:rsidP="00260F11">
      <w:pPr>
        <w:pStyle w:val="ListParagraph"/>
        <w:spacing w:line="360" w:lineRule="auto"/>
        <w:ind w:left="0"/>
        <w:rPr>
          <w:color w:val="000000" w:themeColor="text1"/>
          <w:szCs w:val="18"/>
          <w:lang w:val="nl-NL"/>
        </w:rPr>
      </w:pPr>
    </w:p>
    <w:p w14:paraId="5C7F6718" w14:textId="77777777" w:rsidR="00652DE9" w:rsidRDefault="00652DE9" w:rsidP="00260F11">
      <w:pPr>
        <w:spacing w:line="360" w:lineRule="auto"/>
        <w:rPr>
          <w:color w:val="000000" w:themeColor="text1"/>
          <w:szCs w:val="18"/>
          <w:lang w:val="nl-NL"/>
        </w:rPr>
      </w:pPr>
    </w:p>
    <w:p w14:paraId="1EA2E85A" w14:textId="77777777" w:rsidR="00652DE9" w:rsidRDefault="00652DE9" w:rsidP="00260F11">
      <w:pPr>
        <w:spacing w:line="360" w:lineRule="auto"/>
        <w:jc w:val="left"/>
        <w:rPr>
          <w:color w:val="000000" w:themeColor="text1"/>
          <w:szCs w:val="18"/>
          <w:lang w:val="nl-NL"/>
        </w:rPr>
        <w:sectPr w:rsidR="00652DE9" w:rsidSect="0026404D">
          <w:footerReference w:type="default" r:id="rId25"/>
          <w:pgSz w:w="11906" w:h="16838"/>
          <w:pgMar w:top="1417" w:right="1417" w:bottom="1417" w:left="1417" w:header="709" w:footer="709" w:gutter="0"/>
          <w:cols w:space="708"/>
          <w:docGrid w:linePitch="360"/>
        </w:sectPr>
      </w:pPr>
    </w:p>
    <w:p w14:paraId="6AB88462" w14:textId="77777777" w:rsidR="00652DE9" w:rsidRDefault="00652DE9" w:rsidP="00260F11">
      <w:pPr>
        <w:spacing w:line="360" w:lineRule="auto"/>
        <w:jc w:val="left"/>
        <w:rPr>
          <w:color w:val="000000" w:themeColor="text1"/>
          <w:szCs w:val="18"/>
          <w:lang w:val="nl-NL"/>
        </w:rPr>
        <w:sectPr w:rsidR="00652DE9" w:rsidSect="0026404D">
          <w:footerReference w:type="default" r:id="rId26"/>
          <w:pgSz w:w="11906" w:h="16838"/>
          <w:pgMar w:top="1417" w:right="1417" w:bottom="1417" w:left="1417" w:header="709" w:footer="709" w:gutter="0"/>
          <w:cols w:space="708"/>
          <w:docGrid w:linePitch="360"/>
        </w:sectPr>
      </w:pPr>
    </w:p>
    <w:p w14:paraId="2AAAE927" w14:textId="4A5D849F" w:rsidR="00552BEB" w:rsidRPr="000B4AB2" w:rsidRDefault="00B25D19" w:rsidP="00260F11">
      <w:pPr>
        <w:pStyle w:val="Heading1"/>
        <w:rPr>
          <w:lang w:val="nl-NL"/>
        </w:rPr>
      </w:pPr>
      <w:bookmarkStart w:id="97" w:name="_Toc135041125"/>
      <w:r>
        <w:rPr>
          <w:lang w:val="nl-NL"/>
        </w:rPr>
        <w:lastRenderedPageBreak/>
        <w:t>Conclusie</w:t>
      </w:r>
      <w:bookmarkEnd w:id="97"/>
    </w:p>
    <w:p w14:paraId="79BF55E1" w14:textId="77777777" w:rsidR="00552BEB" w:rsidRPr="000B4AB2" w:rsidRDefault="00552BEB" w:rsidP="00260F11">
      <w:pPr>
        <w:spacing w:line="360" w:lineRule="auto"/>
        <w:rPr>
          <w:szCs w:val="18"/>
          <w:lang w:val="nl-NL"/>
        </w:rPr>
      </w:pPr>
    </w:p>
    <w:p w14:paraId="6F4ED9DE" w14:textId="251FA84B" w:rsidR="00DE7B08" w:rsidRPr="008A68E5" w:rsidRDefault="00DE7B08" w:rsidP="00260F11">
      <w:pPr>
        <w:pStyle w:val="ListParagraph"/>
        <w:numPr>
          <w:ilvl w:val="0"/>
          <w:numId w:val="1"/>
        </w:numPr>
        <w:spacing w:line="360" w:lineRule="auto"/>
        <w:ind w:left="0" w:hanging="709"/>
        <w:rPr>
          <w:color w:val="000000" w:themeColor="text1"/>
        </w:rPr>
      </w:pPr>
      <w:r w:rsidRPr="008A68E5">
        <w:rPr>
          <w:color w:val="000000" w:themeColor="text1"/>
          <w:szCs w:val="18"/>
          <w:lang w:val="nl-NL"/>
        </w:rPr>
        <w:t xml:space="preserve">Hoewel het seksueel strafrecht een </w:t>
      </w:r>
      <w:r w:rsidRPr="008A68E5">
        <w:rPr>
          <w:i/>
          <w:color w:val="000000" w:themeColor="text1"/>
          <w:szCs w:val="18"/>
          <w:lang w:val="nl-NL"/>
        </w:rPr>
        <w:t xml:space="preserve">hot topic </w:t>
      </w:r>
      <w:r w:rsidR="000D1653" w:rsidRPr="008A68E5">
        <w:rPr>
          <w:color w:val="000000" w:themeColor="text1"/>
          <w:szCs w:val="18"/>
          <w:lang w:val="nl-NL"/>
        </w:rPr>
        <w:t>v</w:t>
      </w:r>
      <w:r w:rsidRPr="008A68E5">
        <w:rPr>
          <w:color w:val="000000" w:themeColor="text1"/>
          <w:szCs w:val="18"/>
          <w:lang w:val="nl-NL"/>
        </w:rPr>
        <w:t>ormde ten tijde van de hervorming</w:t>
      </w:r>
      <w:r w:rsidR="00D95615">
        <w:rPr>
          <w:color w:val="000000" w:themeColor="text1"/>
          <w:szCs w:val="18"/>
          <w:lang w:val="nl-NL"/>
        </w:rPr>
        <w:t xml:space="preserve">, </w:t>
      </w:r>
      <w:r w:rsidRPr="008A68E5">
        <w:rPr>
          <w:color w:val="000000" w:themeColor="text1"/>
          <w:szCs w:val="18"/>
          <w:lang w:val="nl-NL"/>
        </w:rPr>
        <w:t xml:space="preserve">is de wetgever niet over één nacht ijs gegaan. Er kon immers worden vertrokken van de ontwerpteksten voor een toekomstig (?) nieuw Strafwetboek die reeds werden opgesteld door de Commissie tot hervorming van het strafrecht. Het resultaat hiervan was de wet van </w:t>
      </w:r>
      <w:r w:rsidR="00CD0B91" w:rsidRPr="008A68E5">
        <w:rPr>
          <w:color w:val="000000" w:themeColor="text1"/>
          <w:szCs w:val="18"/>
          <w:lang w:val="nl-NL"/>
        </w:rPr>
        <w:t xml:space="preserve">21 </w:t>
      </w:r>
      <w:r w:rsidRPr="008A68E5">
        <w:rPr>
          <w:color w:val="000000" w:themeColor="text1"/>
          <w:szCs w:val="18"/>
          <w:lang w:val="nl-NL"/>
        </w:rPr>
        <w:t>maart 2022, waarmee het Belgisch seksueel strafrecht werd hervormd. Voornoemde wet trad reeds in werking op 1 juni 2022.</w:t>
      </w:r>
      <w:r w:rsidR="00AC011B">
        <w:rPr>
          <w:rStyle w:val="FootnoteReference"/>
          <w:color w:val="000000" w:themeColor="text1"/>
          <w:szCs w:val="18"/>
          <w:lang w:val="nl-NL"/>
        </w:rPr>
        <w:footnoteReference w:id="680"/>
      </w:r>
    </w:p>
    <w:p w14:paraId="5737FFB9" w14:textId="77777777" w:rsidR="00DE7B08" w:rsidRPr="00DE7B08" w:rsidRDefault="00DE7B08" w:rsidP="00260F11">
      <w:pPr>
        <w:pStyle w:val="ListParagraph"/>
        <w:spacing w:line="360" w:lineRule="auto"/>
        <w:ind w:left="0"/>
      </w:pPr>
    </w:p>
    <w:p w14:paraId="6936697E" w14:textId="0B8128DC" w:rsidR="00DE7B08" w:rsidRDefault="00DE7B08" w:rsidP="00260F11">
      <w:pPr>
        <w:pStyle w:val="ListParagraph"/>
        <w:numPr>
          <w:ilvl w:val="0"/>
          <w:numId w:val="1"/>
        </w:numPr>
        <w:spacing w:line="360" w:lineRule="auto"/>
        <w:ind w:left="0" w:hanging="709"/>
      </w:pPr>
      <w:r w:rsidRPr="00DE7B08">
        <w:rPr>
          <w:color w:val="000000" w:themeColor="text1"/>
          <w:szCs w:val="18"/>
          <w:lang w:val="nl-NL"/>
        </w:rPr>
        <w:t xml:space="preserve">Zoals met elke hervorming, rijst de vraag naar de inhoudelijke implicaties ervan. Een antwoord </w:t>
      </w:r>
      <w:r w:rsidR="00CD0B91">
        <w:rPr>
          <w:color w:val="000000" w:themeColor="text1"/>
          <w:szCs w:val="18"/>
          <w:lang w:val="nl-NL"/>
        </w:rPr>
        <w:t>trachten te formuleren</w:t>
      </w:r>
      <w:r w:rsidRPr="00DE7B08">
        <w:rPr>
          <w:color w:val="000000" w:themeColor="text1"/>
          <w:szCs w:val="18"/>
          <w:lang w:val="nl-NL"/>
        </w:rPr>
        <w:t xml:space="preserve"> op voornoemde vraag zou een masterscriptie uiteraard te ver leiden. Voor deze masterscriptie werd dan ook toegespitst op de misdrijven aantasting van de seksuele integriteit en verkrachting. Meer bepaald werd een antwoord gezocht op de volgende centrale onderzoeksvraag: </w:t>
      </w:r>
      <w:r w:rsidRPr="00DE7B08">
        <w:rPr>
          <w:szCs w:val="18"/>
          <w:lang w:val="nl-NL"/>
        </w:rPr>
        <w:t>“In welke mate is de hervorming van de strafbaarstellingen van verkrachting en aantasting van de seksuele integriteit op dit ogenblik reeds aan te merken als een positieve evolutie, mede gelet op de oude corresponderende strafbaarstellingen evenals het Brits recht?”</w:t>
      </w:r>
      <w:r w:rsidRPr="00DE7B08">
        <w:rPr>
          <w:color w:val="000000" w:themeColor="text1"/>
          <w:szCs w:val="18"/>
          <w:lang w:val="nl-NL"/>
        </w:rPr>
        <w:t>.</w:t>
      </w:r>
    </w:p>
    <w:p w14:paraId="6779F571" w14:textId="77777777" w:rsidR="00DE7B08" w:rsidRPr="00DE7B08" w:rsidRDefault="00DE7B08" w:rsidP="00260F11">
      <w:pPr>
        <w:pStyle w:val="ListParagraph"/>
        <w:spacing w:line="360" w:lineRule="auto"/>
        <w:rPr>
          <w:color w:val="000000" w:themeColor="text1"/>
          <w:szCs w:val="18"/>
          <w:lang w:val="nl-NL"/>
        </w:rPr>
      </w:pPr>
    </w:p>
    <w:p w14:paraId="6CB508A9" w14:textId="0C737FB6" w:rsidR="001A7812" w:rsidRDefault="00CD0B91" w:rsidP="00260F11">
      <w:pPr>
        <w:pStyle w:val="ListParagraph"/>
        <w:numPr>
          <w:ilvl w:val="0"/>
          <w:numId w:val="1"/>
        </w:numPr>
        <w:spacing w:line="360" w:lineRule="auto"/>
        <w:ind w:left="0" w:hanging="709"/>
      </w:pPr>
      <w:r>
        <w:rPr>
          <w:color w:val="000000" w:themeColor="text1"/>
          <w:szCs w:val="18"/>
          <w:lang w:val="nl-NL"/>
        </w:rPr>
        <w:t xml:space="preserve">Om </w:t>
      </w:r>
      <w:r w:rsidR="006B7D49">
        <w:rPr>
          <w:color w:val="000000" w:themeColor="text1"/>
          <w:szCs w:val="18"/>
          <w:lang w:val="nl-NL"/>
        </w:rPr>
        <w:t>deze</w:t>
      </w:r>
      <w:r w:rsidR="00DE7B08" w:rsidRPr="00DE7B08">
        <w:rPr>
          <w:color w:val="000000" w:themeColor="text1"/>
          <w:szCs w:val="18"/>
          <w:lang w:val="nl-NL"/>
        </w:rPr>
        <w:t xml:space="preserve"> onderzoeksvraag </w:t>
      </w:r>
      <w:r>
        <w:rPr>
          <w:color w:val="000000" w:themeColor="text1"/>
          <w:szCs w:val="18"/>
          <w:lang w:val="nl-NL"/>
        </w:rPr>
        <w:t>te kunnen beantwoorden</w:t>
      </w:r>
      <w:r w:rsidR="00DE7B08" w:rsidRPr="00DE7B08">
        <w:rPr>
          <w:color w:val="000000" w:themeColor="text1"/>
          <w:szCs w:val="18"/>
          <w:lang w:val="nl-NL"/>
        </w:rPr>
        <w:t xml:space="preserve"> werden de constitutieve bestanddelen van de oude strafbaarstellingen uiteengezet.</w:t>
      </w:r>
      <w:r w:rsidR="001A7812">
        <w:rPr>
          <w:rStyle w:val="FootnoteReference"/>
          <w:color w:val="000000" w:themeColor="text1"/>
          <w:szCs w:val="18"/>
          <w:lang w:val="nl-NL"/>
        </w:rPr>
        <w:footnoteReference w:id="681"/>
      </w:r>
      <w:r w:rsidR="001A7812">
        <w:t xml:space="preserve"> </w:t>
      </w:r>
      <w:r w:rsidR="00DE7B08" w:rsidRPr="006B7D49">
        <w:rPr>
          <w:color w:val="000000" w:themeColor="text1"/>
          <w:szCs w:val="18"/>
          <w:lang w:val="nl-NL"/>
        </w:rPr>
        <w:t>O</w:t>
      </w:r>
      <w:r w:rsidR="006B7D49">
        <w:rPr>
          <w:color w:val="000000" w:themeColor="text1"/>
          <w:szCs w:val="18"/>
          <w:lang w:val="nl-NL"/>
        </w:rPr>
        <w:t>p basis hiervan</w:t>
      </w:r>
      <w:r w:rsidR="00DE7B08" w:rsidRPr="006B7D49">
        <w:rPr>
          <w:color w:val="000000" w:themeColor="text1"/>
          <w:szCs w:val="18"/>
          <w:lang w:val="nl-NL"/>
        </w:rPr>
        <w:t xml:space="preserve"> konden vervolgens enkele pijnpunten van de oude strafbaarstellingen worden </w:t>
      </w:r>
      <w:r w:rsidRPr="006B7D49">
        <w:rPr>
          <w:color w:val="000000" w:themeColor="text1"/>
          <w:szCs w:val="18"/>
          <w:lang w:val="nl-NL"/>
        </w:rPr>
        <w:t>geïdentificeerd</w:t>
      </w:r>
      <w:r w:rsidR="00DE7B08" w:rsidRPr="006B7D49">
        <w:rPr>
          <w:color w:val="000000" w:themeColor="text1"/>
          <w:szCs w:val="18"/>
          <w:lang w:val="nl-NL"/>
        </w:rPr>
        <w:t>. Dit betroffen voornamelijk discussiepunten binnen de rechtspraak</w:t>
      </w:r>
      <w:r w:rsidR="0067324B">
        <w:rPr>
          <w:color w:val="000000" w:themeColor="text1"/>
          <w:szCs w:val="18"/>
          <w:lang w:val="nl-NL"/>
        </w:rPr>
        <w:t xml:space="preserve"> en rechtsleer</w:t>
      </w:r>
      <w:r w:rsidR="00DE7B08" w:rsidRPr="006B7D49">
        <w:rPr>
          <w:color w:val="000000" w:themeColor="text1"/>
          <w:szCs w:val="18"/>
          <w:lang w:val="nl-NL"/>
        </w:rPr>
        <w:t>.</w:t>
      </w:r>
      <w:r w:rsidR="001A7812" w:rsidRPr="006B7D49">
        <w:rPr>
          <w:color w:val="000000" w:themeColor="text1"/>
          <w:szCs w:val="18"/>
          <w:lang w:val="nl-NL"/>
        </w:rPr>
        <w:t xml:space="preserve"> Een pijnpunt dat bij elk van beide strafbaarstellingen terug naar voren kwam, was </w:t>
      </w:r>
      <w:r w:rsidR="00CF10D3" w:rsidRPr="006B7D49">
        <w:rPr>
          <w:color w:val="000000" w:themeColor="text1"/>
          <w:szCs w:val="18"/>
          <w:lang w:val="nl-NL"/>
        </w:rPr>
        <w:t xml:space="preserve">(de onduidelijkheid </w:t>
      </w:r>
      <w:r w:rsidR="00AB6E3C" w:rsidRPr="006B7D49">
        <w:rPr>
          <w:color w:val="000000" w:themeColor="text1"/>
          <w:szCs w:val="18"/>
          <w:lang w:val="nl-NL"/>
        </w:rPr>
        <w:t>omtrent</w:t>
      </w:r>
      <w:r w:rsidR="00CF10D3" w:rsidRPr="006B7D49">
        <w:rPr>
          <w:color w:val="000000" w:themeColor="text1"/>
          <w:szCs w:val="18"/>
          <w:lang w:val="nl-NL"/>
        </w:rPr>
        <w:t>) het</w:t>
      </w:r>
      <w:r w:rsidR="001A7812" w:rsidRPr="006B7D49">
        <w:rPr>
          <w:color w:val="000000" w:themeColor="text1"/>
          <w:szCs w:val="18"/>
          <w:lang w:val="nl-NL"/>
        </w:rPr>
        <w:t xml:space="preserve"> moreel bestanddeel.</w:t>
      </w:r>
      <w:r w:rsidR="00DE7B08">
        <w:rPr>
          <w:rStyle w:val="FootnoteReference"/>
          <w:lang w:val="nl-NL"/>
        </w:rPr>
        <w:footnoteReference w:id="682"/>
      </w:r>
      <w:r w:rsidR="00DE7B08" w:rsidRPr="006B7D49">
        <w:rPr>
          <w:color w:val="000000" w:themeColor="text1"/>
          <w:szCs w:val="18"/>
          <w:lang w:val="nl-NL"/>
        </w:rPr>
        <w:t xml:space="preserve"> </w:t>
      </w:r>
    </w:p>
    <w:p w14:paraId="781A32C1" w14:textId="77777777" w:rsidR="001A7812" w:rsidRPr="001A7812" w:rsidRDefault="001A7812" w:rsidP="00260F11">
      <w:pPr>
        <w:pStyle w:val="ListParagraph"/>
        <w:spacing w:line="360" w:lineRule="auto"/>
        <w:rPr>
          <w:color w:val="000000" w:themeColor="text1"/>
          <w:szCs w:val="18"/>
          <w:lang w:val="nl-NL"/>
        </w:rPr>
      </w:pPr>
    </w:p>
    <w:p w14:paraId="207A4F1E" w14:textId="2A5A7E89" w:rsidR="00DE7B08" w:rsidRDefault="00DE7B08" w:rsidP="00260F11">
      <w:pPr>
        <w:pStyle w:val="ListParagraph"/>
        <w:numPr>
          <w:ilvl w:val="0"/>
          <w:numId w:val="1"/>
        </w:numPr>
        <w:spacing w:line="360" w:lineRule="auto"/>
        <w:ind w:left="0" w:hanging="709"/>
      </w:pPr>
      <w:r w:rsidRPr="001A7812">
        <w:rPr>
          <w:color w:val="000000" w:themeColor="text1"/>
          <w:szCs w:val="18"/>
          <w:lang w:val="nl-NL"/>
        </w:rPr>
        <w:t xml:space="preserve">Hierna werden de constitutieve bestanddelen van de nieuwe (lees: huidige) strafbaarstellingen uiteengezet. </w:t>
      </w:r>
      <w:r w:rsidR="00CD0B91" w:rsidRPr="001A7812">
        <w:rPr>
          <w:color w:val="000000" w:themeColor="text1"/>
          <w:szCs w:val="18"/>
          <w:lang w:val="nl-NL"/>
        </w:rPr>
        <w:t>Aan de hand hiervan</w:t>
      </w:r>
      <w:r w:rsidRPr="001A7812">
        <w:rPr>
          <w:color w:val="000000" w:themeColor="text1"/>
          <w:szCs w:val="18"/>
          <w:lang w:val="nl-NL"/>
        </w:rPr>
        <w:t xml:space="preserve"> kon tot een interne rechtsvergelijking gekomen worden. Daarbij werd</w:t>
      </w:r>
      <w:r w:rsidR="00CD0B91" w:rsidRPr="001A7812">
        <w:rPr>
          <w:color w:val="000000" w:themeColor="text1"/>
          <w:szCs w:val="18"/>
          <w:lang w:val="nl-NL"/>
        </w:rPr>
        <w:t xml:space="preserve">en de gelijkenissen en verschilpunten </w:t>
      </w:r>
      <w:r w:rsidRPr="001A7812">
        <w:rPr>
          <w:color w:val="000000" w:themeColor="text1"/>
          <w:szCs w:val="18"/>
          <w:lang w:val="nl-NL"/>
        </w:rPr>
        <w:t>per constitutief bestanddeel schematisch weergegeven en toegelich</w:t>
      </w:r>
      <w:r w:rsidR="00CD0B91" w:rsidRPr="001A7812">
        <w:rPr>
          <w:color w:val="000000" w:themeColor="text1"/>
          <w:szCs w:val="18"/>
          <w:lang w:val="nl-NL"/>
        </w:rPr>
        <w:t>t</w:t>
      </w:r>
      <w:r w:rsidRPr="001A7812">
        <w:rPr>
          <w:color w:val="000000" w:themeColor="text1"/>
          <w:szCs w:val="18"/>
          <w:lang w:val="nl-NL"/>
        </w:rPr>
        <w:t>.</w:t>
      </w:r>
    </w:p>
    <w:p w14:paraId="0F3A04FF" w14:textId="77777777" w:rsidR="00DE7B08" w:rsidRPr="00DE7B08" w:rsidRDefault="00DE7B08" w:rsidP="00260F11">
      <w:pPr>
        <w:pStyle w:val="ListParagraph"/>
        <w:spacing w:line="360" w:lineRule="auto"/>
        <w:rPr>
          <w:color w:val="000000" w:themeColor="text1"/>
          <w:szCs w:val="18"/>
          <w:lang w:val="nl-NL"/>
        </w:rPr>
      </w:pPr>
    </w:p>
    <w:p w14:paraId="169AE9D0" w14:textId="28363898" w:rsidR="00DE7B08" w:rsidRDefault="00DE7B08" w:rsidP="00260F11">
      <w:pPr>
        <w:pStyle w:val="ListParagraph"/>
        <w:numPr>
          <w:ilvl w:val="0"/>
          <w:numId w:val="1"/>
        </w:numPr>
        <w:spacing w:line="360" w:lineRule="auto"/>
        <w:ind w:left="0" w:hanging="709"/>
      </w:pPr>
      <w:r w:rsidRPr="00DE7B08">
        <w:rPr>
          <w:color w:val="000000" w:themeColor="text1"/>
          <w:szCs w:val="18"/>
          <w:lang w:val="nl-NL"/>
        </w:rPr>
        <w:t>Voor wat betreft aantasting van de seksuele integriteit situeerden de voornaamste verschillen zich op het vlak van het constitutief bestanddeel van het gebrek aan een geldige toestemming van het slachtoffer. Voortaan maakt dit ontegensprekelijk een constitutief bestanddeel van het misdrijf uit. Daarnaast is o</w:t>
      </w:r>
      <w:r w:rsidR="001A7812">
        <w:rPr>
          <w:color w:val="000000" w:themeColor="text1"/>
          <w:szCs w:val="18"/>
          <w:lang w:val="nl-NL"/>
        </w:rPr>
        <w:t xml:space="preserve">ver het algemeen </w:t>
      </w:r>
      <w:r w:rsidRPr="00DE7B08">
        <w:rPr>
          <w:color w:val="000000" w:themeColor="text1"/>
          <w:szCs w:val="18"/>
          <w:lang w:val="nl-NL"/>
        </w:rPr>
        <w:t>sprake van modernisering van het misdrijf</w:t>
      </w:r>
      <w:r w:rsidR="00CD0B91">
        <w:rPr>
          <w:color w:val="000000" w:themeColor="text1"/>
          <w:szCs w:val="18"/>
          <w:lang w:val="nl-NL"/>
        </w:rPr>
        <w:t xml:space="preserve"> en werd dit misdrijf voorzien van een wettelijke definitie</w:t>
      </w:r>
      <w:r w:rsidRPr="00DE7B08">
        <w:rPr>
          <w:color w:val="000000" w:themeColor="text1"/>
          <w:szCs w:val="18"/>
          <w:lang w:val="nl-NL"/>
        </w:rPr>
        <w:t>.</w:t>
      </w:r>
      <w:r>
        <w:rPr>
          <w:rStyle w:val="FootnoteReference"/>
          <w:lang w:val="nl-NL"/>
        </w:rPr>
        <w:footnoteReference w:id="683"/>
      </w:r>
      <w:r w:rsidRPr="00DE7B08">
        <w:rPr>
          <w:color w:val="000000" w:themeColor="text1"/>
          <w:szCs w:val="18"/>
          <w:lang w:val="nl-NL"/>
        </w:rPr>
        <w:t xml:space="preserve"> Bovendien voorziet de wetgever voortaan ook in een definitie van toestemming m.b.t. het seksueel zelfbeschikkingsrecht en werd er een unanieme leeftijdsgrens m.b.t. de seksuele meerderjarigheid vastgelegd. </w:t>
      </w:r>
    </w:p>
    <w:p w14:paraId="50087F04" w14:textId="77777777" w:rsidR="00DE7B08" w:rsidRPr="00430E7B" w:rsidRDefault="00DE7B08" w:rsidP="00260F11">
      <w:pPr>
        <w:spacing w:line="360" w:lineRule="auto"/>
        <w:rPr>
          <w:color w:val="000000" w:themeColor="text1"/>
          <w:szCs w:val="18"/>
          <w:lang w:val="nl-NL"/>
        </w:rPr>
      </w:pPr>
    </w:p>
    <w:p w14:paraId="7973FBD7" w14:textId="16305769" w:rsidR="00DE7B08" w:rsidRPr="00DE7B08" w:rsidRDefault="00DE7B08" w:rsidP="00260F11">
      <w:pPr>
        <w:pStyle w:val="ListParagraph"/>
        <w:numPr>
          <w:ilvl w:val="0"/>
          <w:numId w:val="1"/>
        </w:numPr>
        <w:spacing w:line="360" w:lineRule="auto"/>
        <w:ind w:left="0" w:hanging="709"/>
      </w:pPr>
      <w:r w:rsidRPr="00DE7B08">
        <w:rPr>
          <w:color w:val="000000" w:themeColor="text1"/>
          <w:szCs w:val="18"/>
          <w:lang w:val="nl-NL"/>
        </w:rPr>
        <w:t xml:space="preserve">Voor wat betreft het misdrijf van verkrachting situeren de voornaamste verschillen zich op het vlak van de materiële gedraging </w:t>
      </w:r>
      <w:r w:rsidRPr="00DE7B08">
        <w:rPr>
          <w:i/>
          <w:color w:val="000000" w:themeColor="text1"/>
          <w:szCs w:val="18"/>
          <w:lang w:val="nl-NL"/>
        </w:rPr>
        <w:t>sensu stricto</w:t>
      </w:r>
      <w:r w:rsidRPr="00DE7B08">
        <w:rPr>
          <w:color w:val="000000" w:themeColor="text1"/>
          <w:szCs w:val="18"/>
          <w:lang w:val="nl-NL"/>
        </w:rPr>
        <w:t xml:space="preserve">, evenals op het vlak van het constitutief bestanddeel m.b.t. </w:t>
      </w:r>
      <w:r w:rsidRPr="00DE7B08">
        <w:rPr>
          <w:color w:val="000000" w:themeColor="text1"/>
          <w:szCs w:val="18"/>
          <w:lang w:val="nl-NL"/>
        </w:rPr>
        <w:lastRenderedPageBreak/>
        <w:t>de rol van het slachtoffer. Het eerstgenoemde constitutief bestanddeel maakt voortaan ook gewag van gedragingen die “mede bestaan uit” een seksuele penetratie. Op grond hiervan, evenals o.g.v. de toestemmingspremisse uit artikel 417/5, eerste lid</w:t>
      </w:r>
      <w:r w:rsidR="00B7646D">
        <w:rPr>
          <w:color w:val="000000" w:themeColor="text1"/>
          <w:szCs w:val="18"/>
          <w:lang w:val="nl-NL"/>
        </w:rPr>
        <w:t xml:space="preserve"> van het</w:t>
      </w:r>
      <w:r w:rsidRPr="00DE7B08">
        <w:rPr>
          <w:color w:val="000000" w:themeColor="text1"/>
          <w:szCs w:val="18"/>
          <w:lang w:val="nl-NL"/>
        </w:rPr>
        <w:t xml:space="preserve"> Strafwetboek, is het voortaan zonder discussie mogelijk om tijdens de seksuele gedraging de voordien geldig gegeven toestemming, terug in te trekken.</w:t>
      </w:r>
      <w:r>
        <w:rPr>
          <w:rStyle w:val="FootnoteReference"/>
          <w:lang w:val="nl-NL"/>
        </w:rPr>
        <w:footnoteReference w:id="684"/>
      </w:r>
      <w:r w:rsidRPr="00DE7B08">
        <w:rPr>
          <w:color w:val="000000" w:themeColor="text1"/>
          <w:szCs w:val="18"/>
          <w:lang w:val="nl-NL"/>
        </w:rPr>
        <w:t xml:space="preserve"> Het </w:t>
      </w:r>
      <w:r w:rsidR="0050099B">
        <w:rPr>
          <w:color w:val="000000" w:themeColor="text1"/>
          <w:szCs w:val="18"/>
          <w:lang w:val="nl-NL"/>
        </w:rPr>
        <w:t xml:space="preserve">laatstgenoemd </w:t>
      </w:r>
      <w:r w:rsidRPr="00DE7B08">
        <w:rPr>
          <w:color w:val="000000" w:themeColor="text1"/>
          <w:szCs w:val="18"/>
          <w:lang w:val="nl-NL"/>
        </w:rPr>
        <w:t>constitutief bestanddeel</w:t>
      </w:r>
      <w:r w:rsidR="0050099B">
        <w:rPr>
          <w:color w:val="000000" w:themeColor="text1"/>
          <w:szCs w:val="18"/>
          <w:lang w:val="nl-NL"/>
        </w:rPr>
        <w:t xml:space="preserve"> </w:t>
      </w:r>
      <w:r w:rsidRPr="00DE7B08">
        <w:rPr>
          <w:color w:val="000000" w:themeColor="text1"/>
          <w:szCs w:val="18"/>
          <w:lang w:val="nl-NL"/>
        </w:rPr>
        <w:t>is veranderd in die zin dat voortaan niet alleen slachtofferpenetratie</w:t>
      </w:r>
      <w:r w:rsidR="00CD0B91">
        <w:rPr>
          <w:color w:val="000000" w:themeColor="text1"/>
          <w:szCs w:val="18"/>
          <w:lang w:val="nl-NL"/>
        </w:rPr>
        <w:t xml:space="preserve"> als verkrachting kan worden gekwalificeerd</w:t>
      </w:r>
      <w:r w:rsidRPr="00DE7B08">
        <w:rPr>
          <w:color w:val="000000" w:themeColor="text1"/>
          <w:szCs w:val="18"/>
          <w:lang w:val="nl-NL"/>
        </w:rPr>
        <w:t>, maar ook uitdrukkelijk de penetratie die het slachtoffer dient te verrichten.</w:t>
      </w:r>
      <w:r>
        <w:rPr>
          <w:rStyle w:val="FootnoteReference"/>
          <w:lang w:val="nl-NL"/>
        </w:rPr>
        <w:footnoteReference w:id="685"/>
      </w:r>
    </w:p>
    <w:p w14:paraId="71915300" w14:textId="77777777" w:rsidR="00DE7B08" w:rsidRPr="00DE7B08" w:rsidRDefault="00DE7B08" w:rsidP="00260F11">
      <w:pPr>
        <w:pStyle w:val="ListParagraph"/>
        <w:spacing w:line="360" w:lineRule="auto"/>
        <w:rPr>
          <w:b/>
          <w:color w:val="FF0000"/>
        </w:rPr>
      </w:pPr>
    </w:p>
    <w:p w14:paraId="77ADED59" w14:textId="58EED869" w:rsidR="00DE7B08" w:rsidRPr="00187DF7" w:rsidRDefault="00DE7B08" w:rsidP="00260F11">
      <w:pPr>
        <w:pStyle w:val="ListParagraph"/>
        <w:numPr>
          <w:ilvl w:val="0"/>
          <w:numId w:val="1"/>
        </w:numPr>
        <w:spacing w:line="360" w:lineRule="auto"/>
        <w:ind w:left="0" w:hanging="709"/>
        <w:rPr>
          <w:color w:val="000000" w:themeColor="text1"/>
        </w:rPr>
      </w:pPr>
      <w:r w:rsidRPr="00187DF7">
        <w:rPr>
          <w:color w:val="000000" w:themeColor="text1"/>
        </w:rPr>
        <w:t>A.d.h.v. de inhoudelijke verschillen en gelijkenissen tussen de oude en huidige strafbaarstellingen, konden conclusies worden getrokken m.b.t. de temporele werking van de huidige strafbaarstellingen. Doorgaans kon evenwel niet met volledige zekerheid worden gesteld of deze bepalingen al dan niet retroactieve werking zouden mogen kennen en derhalve kunnen worden toegepast op feiten die plaatsvonden voor 1 juni 2022.</w:t>
      </w:r>
      <w:r w:rsidR="00187DF7" w:rsidRPr="00187DF7">
        <w:rPr>
          <w:rStyle w:val="FootnoteReference"/>
          <w:color w:val="000000" w:themeColor="text1"/>
        </w:rPr>
        <w:footnoteReference w:id="686"/>
      </w:r>
    </w:p>
    <w:p w14:paraId="667759F4" w14:textId="77777777" w:rsidR="00DE7B08" w:rsidRPr="00DE7B08" w:rsidRDefault="00DE7B08" w:rsidP="00260F11">
      <w:pPr>
        <w:pStyle w:val="ListParagraph"/>
        <w:spacing w:line="360" w:lineRule="auto"/>
        <w:rPr>
          <w:color w:val="000000" w:themeColor="text1"/>
        </w:rPr>
      </w:pPr>
    </w:p>
    <w:p w14:paraId="35B3769D" w14:textId="1FB11651" w:rsidR="00DE7B08" w:rsidRPr="00DE7B08" w:rsidRDefault="00DE7B08" w:rsidP="00260F11">
      <w:pPr>
        <w:pStyle w:val="ListParagraph"/>
        <w:numPr>
          <w:ilvl w:val="0"/>
          <w:numId w:val="1"/>
        </w:numPr>
        <w:spacing w:line="360" w:lineRule="auto"/>
        <w:ind w:left="0" w:hanging="709"/>
      </w:pPr>
      <w:r w:rsidRPr="00DE7B08">
        <w:rPr>
          <w:color w:val="000000" w:themeColor="text1"/>
        </w:rPr>
        <w:t>Hierna werd overgegaan tot de externe rechtsvergelijking met het VK. Hier werden de misdrijven naar Brits recht gezocht die (het meest) correspondeerden met de Belgische misdrijven van aantasting van de seksuele integriteit respectievelijk verkrachting. Om uit te kunnen maken welk van de Britse misdrijven meer aanleund</w:t>
      </w:r>
      <w:r w:rsidR="00730593">
        <w:rPr>
          <w:color w:val="000000" w:themeColor="text1"/>
        </w:rPr>
        <w:t>e</w:t>
      </w:r>
      <w:r w:rsidRPr="00DE7B08">
        <w:rPr>
          <w:color w:val="000000" w:themeColor="text1"/>
        </w:rPr>
        <w:t xml:space="preserve"> bij het ene dan wel het andere Belgische misdrijf, werd vertrokken vanuit het eerder geïdentificeerde criterium des onderscheids tussen beide misdrijven.</w:t>
      </w:r>
      <w:r>
        <w:rPr>
          <w:rStyle w:val="FootnoteReference"/>
        </w:rPr>
        <w:footnoteReference w:id="687"/>
      </w:r>
      <w:r w:rsidRPr="00DE7B08">
        <w:rPr>
          <w:color w:val="000000" w:themeColor="text1"/>
        </w:rPr>
        <w:t xml:space="preserve"> </w:t>
      </w:r>
    </w:p>
    <w:p w14:paraId="40DA3F53" w14:textId="77777777" w:rsidR="00DE7B08" w:rsidRPr="00DE7B08" w:rsidRDefault="00DE7B08" w:rsidP="00260F11">
      <w:pPr>
        <w:pStyle w:val="ListParagraph"/>
        <w:spacing w:line="360" w:lineRule="auto"/>
        <w:rPr>
          <w:color w:val="000000" w:themeColor="text1"/>
        </w:rPr>
      </w:pPr>
    </w:p>
    <w:p w14:paraId="1F3EE262" w14:textId="44D85893" w:rsidR="00DE7B08" w:rsidRPr="00DE7B08" w:rsidRDefault="00DE7B08" w:rsidP="00260F11">
      <w:pPr>
        <w:pStyle w:val="ListParagraph"/>
        <w:numPr>
          <w:ilvl w:val="0"/>
          <w:numId w:val="1"/>
        </w:numPr>
        <w:spacing w:line="360" w:lineRule="auto"/>
        <w:ind w:left="0" w:hanging="709"/>
      </w:pPr>
      <w:r w:rsidRPr="00DE7B08">
        <w:rPr>
          <w:color w:val="000000" w:themeColor="text1"/>
        </w:rPr>
        <w:t xml:space="preserve">Na de uiteenzetting van deze Britse misdrijven, werden </w:t>
      </w:r>
      <w:r w:rsidRPr="00DE7B08">
        <w:rPr>
          <w:i/>
          <w:color w:val="000000" w:themeColor="text1"/>
        </w:rPr>
        <w:t xml:space="preserve">parallel columns </w:t>
      </w:r>
      <w:r w:rsidRPr="00DE7B08">
        <w:rPr>
          <w:color w:val="000000" w:themeColor="text1"/>
        </w:rPr>
        <w:t xml:space="preserve">opgesteld, waaruit de verschillen en gelijkenissen tussen beide rechtsstelsels duidelijk naar voren </w:t>
      </w:r>
      <w:r w:rsidR="00430E7B">
        <w:rPr>
          <w:color w:val="000000" w:themeColor="text1"/>
        </w:rPr>
        <w:t>kwamen</w:t>
      </w:r>
      <w:r w:rsidRPr="00DE7B08">
        <w:rPr>
          <w:color w:val="000000" w:themeColor="text1"/>
        </w:rPr>
        <w:t xml:space="preserve">. De voornaamste – maar niet de enige – conclusies die hieruit </w:t>
      </w:r>
      <w:r w:rsidR="00430E7B">
        <w:rPr>
          <w:color w:val="000000" w:themeColor="text1"/>
        </w:rPr>
        <w:t>konden</w:t>
      </w:r>
      <w:r w:rsidRPr="00DE7B08">
        <w:rPr>
          <w:color w:val="000000" w:themeColor="text1"/>
        </w:rPr>
        <w:t xml:space="preserve"> worden getrokken, </w:t>
      </w:r>
      <w:r w:rsidR="00430E7B">
        <w:rPr>
          <w:color w:val="000000" w:themeColor="text1"/>
        </w:rPr>
        <w:t>was</w:t>
      </w:r>
      <w:r w:rsidRPr="00DE7B08">
        <w:rPr>
          <w:color w:val="000000" w:themeColor="text1"/>
        </w:rPr>
        <w:t xml:space="preserve"> dat het Brits recht voorziet in meerdere strafbaarstellingen met een beperkter toepassingsgebied in vergelijking met de Belgische strafbaarstellingen. </w:t>
      </w:r>
    </w:p>
    <w:p w14:paraId="4A7F7955" w14:textId="77777777" w:rsidR="00DE7B08" w:rsidRPr="00DE7B08" w:rsidRDefault="00DE7B08" w:rsidP="00260F11">
      <w:pPr>
        <w:pStyle w:val="ListParagraph"/>
        <w:spacing w:line="360" w:lineRule="auto"/>
        <w:rPr>
          <w:color w:val="000000" w:themeColor="text1"/>
        </w:rPr>
      </w:pPr>
    </w:p>
    <w:p w14:paraId="58482244" w14:textId="330EEA06" w:rsidR="00DE7B08" w:rsidRPr="005E1626" w:rsidRDefault="00DE7B08" w:rsidP="00260F11">
      <w:pPr>
        <w:pStyle w:val="ListParagraph"/>
        <w:numPr>
          <w:ilvl w:val="0"/>
          <w:numId w:val="1"/>
        </w:numPr>
        <w:spacing w:line="360" w:lineRule="auto"/>
        <w:ind w:left="0" w:hanging="709"/>
        <w:rPr>
          <w:color w:val="000000" w:themeColor="text1"/>
        </w:rPr>
      </w:pPr>
      <w:r w:rsidRPr="005E1626">
        <w:rPr>
          <w:color w:val="000000" w:themeColor="text1"/>
        </w:rPr>
        <w:t>Daarbij wordt voor wat betreft de met aantasting van de seksuele integriteit corresponderende misdrijven een verschillend misdrijf voorzien naargelang de rol van het slachtoffer. Voor wat betreft de drie met verkrachting corresponderende misdrijven wordt</w:t>
      </w:r>
      <w:r w:rsidR="00430E7B" w:rsidRPr="005E1626">
        <w:rPr>
          <w:color w:val="000000" w:themeColor="text1"/>
        </w:rPr>
        <w:t xml:space="preserve"> </w:t>
      </w:r>
      <w:r w:rsidR="00881E41" w:rsidRPr="005E1626">
        <w:rPr>
          <w:color w:val="000000" w:themeColor="text1"/>
        </w:rPr>
        <w:t>een onderscheiden strafbaarstelling voorzien voor andere dan slachtofferpenetraties (misdrijf</w:t>
      </w:r>
      <w:r w:rsidR="00881E41" w:rsidRPr="005E1626">
        <w:rPr>
          <w:i/>
          <w:color w:val="000000" w:themeColor="text1"/>
        </w:rPr>
        <w:t xml:space="preserve"> “CESA met penetratie”</w:t>
      </w:r>
      <w:r w:rsidR="00881E41" w:rsidRPr="005E1626">
        <w:rPr>
          <w:rStyle w:val="FootnoteReference"/>
          <w:i/>
          <w:color w:val="000000" w:themeColor="text1"/>
        </w:rPr>
        <w:footnoteReference w:id="688"/>
      </w:r>
      <w:r w:rsidR="00881E41" w:rsidRPr="005E1626">
        <w:rPr>
          <w:color w:val="000000" w:themeColor="text1"/>
        </w:rPr>
        <w:t>), maar daarnaast ook in een andere strafbaarstelling naargelang het middel waarmee de penetratie gebeurt (peniele</w:t>
      </w:r>
      <w:r w:rsidR="00881E41" w:rsidRPr="005E1626">
        <w:rPr>
          <w:rStyle w:val="FootnoteReference"/>
          <w:color w:val="000000" w:themeColor="text1"/>
        </w:rPr>
        <w:footnoteReference w:id="689"/>
      </w:r>
      <w:r w:rsidR="00881E41" w:rsidRPr="005E1626">
        <w:rPr>
          <w:color w:val="000000" w:themeColor="text1"/>
        </w:rPr>
        <w:t xml:space="preserve"> dan wel andere</w:t>
      </w:r>
      <w:r w:rsidR="00881E41" w:rsidRPr="005E1626">
        <w:rPr>
          <w:rStyle w:val="FootnoteReference"/>
          <w:color w:val="000000" w:themeColor="text1"/>
        </w:rPr>
        <w:footnoteReference w:id="690"/>
      </w:r>
      <w:r w:rsidR="00881E41" w:rsidRPr="005E1626">
        <w:rPr>
          <w:color w:val="000000" w:themeColor="text1"/>
        </w:rPr>
        <w:t xml:space="preserve"> penetraties).</w:t>
      </w:r>
    </w:p>
    <w:p w14:paraId="4FEC60D2" w14:textId="77777777" w:rsidR="00DE7B08" w:rsidRPr="00DE7B08" w:rsidRDefault="00DE7B08" w:rsidP="00260F11">
      <w:pPr>
        <w:pStyle w:val="ListParagraph"/>
        <w:spacing w:line="360" w:lineRule="auto"/>
        <w:ind w:left="0"/>
      </w:pPr>
    </w:p>
    <w:p w14:paraId="68B00AC0" w14:textId="15CE3AA5" w:rsidR="00DE7B08" w:rsidRDefault="00DE7B08" w:rsidP="00260F11">
      <w:pPr>
        <w:pStyle w:val="ListParagraph"/>
        <w:numPr>
          <w:ilvl w:val="0"/>
          <w:numId w:val="1"/>
        </w:numPr>
        <w:spacing w:line="360" w:lineRule="auto"/>
        <w:ind w:left="0" w:hanging="709"/>
      </w:pPr>
      <w:r>
        <w:lastRenderedPageBreak/>
        <w:t>A.d.h.v. de resultaten van de externe en interne rechtsvergelijking, alsook a.d.h.v. de geïdentificeerde pijnpunten</w:t>
      </w:r>
      <w:r w:rsidR="007D738C">
        <w:rPr>
          <w:rStyle w:val="FootnoteReference"/>
        </w:rPr>
        <w:footnoteReference w:id="691"/>
      </w:r>
      <w:r>
        <w:t xml:space="preserve"> van de oude strafbaarstellingen </w:t>
      </w:r>
      <w:r w:rsidR="00430E7B">
        <w:t>en</w:t>
      </w:r>
      <w:r>
        <w:t xml:space="preserve"> het </w:t>
      </w:r>
      <w:r w:rsidRPr="00DE7B08">
        <w:rPr>
          <w:i/>
        </w:rPr>
        <w:t>lex certa-</w:t>
      </w:r>
      <w:r>
        <w:t>beginsel, kon tot een onderbouwde evaluatie van de hervormde strafbaarstellingen van aantasting van de seksuele integriteit en verkrachting worden gekomen.</w:t>
      </w:r>
    </w:p>
    <w:p w14:paraId="44995140" w14:textId="77777777" w:rsidR="00DE7B08" w:rsidRDefault="00DE7B08" w:rsidP="00260F11">
      <w:pPr>
        <w:pStyle w:val="ListParagraph"/>
        <w:spacing w:line="360" w:lineRule="auto"/>
      </w:pPr>
    </w:p>
    <w:p w14:paraId="38E2C400" w14:textId="77777777" w:rsidR="00DE7B08" w:rsidRPr="00990910" w:rsidRDefault="00DE7B08" w:rsidP="00260F11">
      <w:pPr>
        <w:pStyle w:val="ListParagraph"/>
        <w:numPr>
          <w:ilvl w:val="0"/>
          <w:numId w:val="1"/>
        </w:numPr>
        <w:spacing w:line="360" w:lineRule="auto"/>
        <w:ind w:left="0" w:hanging="709"/>
      </w:pPr>
      <w:r w:rsidRPr="00990910">
        <w:t>Deze evaluatie vond vooreerst plaats m.b.t. de veranderingen die gelijklopend zijn voor zowel aantasting van de seksuele integriteit als verkrachting. Zo werden de plaatsverandering binnen het Strafwetboek van beide misdrijven evenals het feit dat er een overkoepelende definitie van toestemming is die geldt voor beide misdrijven, als een positieve verandering beschouwd.</w:t>
      </w:r>
      <w:r w:rsidRPr="00990910">
        <w:rPr>
          <w:rStyle w:val="FootnoteReference"/>
        </w:rPr>
        <w:footnoteReference w:id="692"/>
      </w:r>
      <w:r w:rsidRPr="00990910">
        <w:t xml:space="preserve"> </w:t>
      </w:r>
    </w:p>
    <w:p w14:paraId="6E85FC61" w14:textId="77777777" w:rsidR="00DE7B08" w:rsidRDefault="00DE7B08" w:rsidP="00260F11">
      <w:pPr>
        <w:pStyle w:val="ListParagraph"/>
        <w:spacing w:line="360" w:lineRule="auto"/>
      </w:pPr>
    </w:p>
    <w:p w14:paraId="0F2D622C" w14:textId="4D3A5573" w:rsidR="00DE7B08" w:rsidRPr="00F42929" w:rsidRDefault="00DE7B08" w:rsidP="00260F11">
      <w:pPr>
        <w:pStyle w:val="ListParagraph"/>
        <w:numPr>
          <w:ilvl w:val="0"/>
          <w:numId w:val="1"/>
        </w:numPr>
        <w:spacing w:line="360" w:lineRule="auto"/>
        <w:ind w:left="0" w:hanging="709"/>
        <w:rPr>
          <w:color w:val="000000" w:themeColor="text1"/>
        </w:rPr>
      </w:pPr>
      <w:r w:rsidRPr="00F42929">
        <w:rPr>
          <w:color w:val="000000" w:themeColor="text1"/>
        </w:rPr>
        <w:t>Inhoudelijk kent de definitie van toestemming m.b.t. het seksueel zelfbeschikkingsrecht dan weer voor- en nadelen. Zo verhelpt de definitie aan enkele pijnpunten die eerder in deze masterscriptie werden geïdentificeerd, maar is deze</w:t>
      </w:r>
      <w:r w:rsidR="00430E7B" w:rsidRPr="00F42929">
        <w:rPr>
          <w:color w:val="000000" w:themeColor="text1"/>
        </w:rPr>
        <w:t xml:space="preserve"> </w:t>
      </w:r>
      <w:r w:rsidRPr="00F42929">
        <w:rPr>
          <w:color w:val="000000" w:themeColor="text1"/>
        </w:rPr>
        <w:t xml:space="preserve">gelet op de te ruime formulering en lengte ervan toch een </w:t>
      </w:r>
      <w:r w:rsidR="00430E7B" w:rsidRPr="00F42929">
        <w:rPr>
          <w:color w:val="000000" w:themeColor="text1"/>
        </w:rPr>
        <w:t xml:space="preserve">mogelijke </w:t>
      </w:r>
      <w:r w:rsidRPr="00F42929">
        <w:rPr>
          <w:color w:val="000000" w:themeColor="text1"/>
        </w:rPr>
        <w:t>bron voor onduidelijkheid.</w:t>
      </w:r>
      <w:r w:rsidRPr="00F42929">
        <w:rPr>
          <w:rStyle w:val="FootnoteReference"/>
          <w:color w:val="000000" w:themeColor="text1"/>
        </w:rPr>
        <w:footnoteReference w:id="693"/>
      </w:r>
      <w:r w:rsidRPr="00F42929">
        <w:rPr>
          <w:color w:val="000000" w:themeColor="text1"/>
        </w:rPr>
        <w:t xml:space="preserve"> Mede o.w.v. deze minpunten werd dan ook aanbevolen de definitie van toestemming m.b.t. het seksueel zelfbeschikkingsrecht te beperken tot wat momenteel in het eerste lid van artikel 417/5 </w:t>
      </w:r>
      <w:r w:rsidR="00B7646D">
        <w:rPr>
          <w:color w:val="000000" w:themeColor="text1"/>
        </w:rPr>
        <w:t xml:space="preserve">van het </w:t>
      </w:r>
      <w:r w:rsidRPr="00F42929">
        <w:rPr>
          <w:color w:val="000000" w:themeColor="text1"/>
        </w:rPr>
        <w:t>Strafwetboek werd opgenomen.</w:t>
      </w:r>
      <w:r w:rsidRPr="00F42929">
        <w:rPr>
          <w:rStyle w:val="FootnoteReference"/>
          <w:color w:val="000000" w:themeColor="text1"/>
        </w:rPr>
        <w:footnoteReference w:id="694"/>
      </w:r>
    </w:p>
    <w:p w14:paraId="5B1BDC18" w14:textId="77777777" w:rsidR="00DE7B08" w:rsidRDefault="00DE7B08" w:rsidP="00260F11">
      <w:pPr>
        <w:pStyle w:val="ListParagraph"/>
        <w:spacing w:line="360" w:lineRule="auto"/>
      </w:pPr>
    </w:p>
    <w:p w14:paraId="7727EA7E" w14:textId="1706138B" w:rsidR="00430E7B" w:rsidRDefault="00DE7B08" w:rsidP="00260F11">
      <w:pPr>
        <w:pStyle w:val="ListParagraph"/>
        <w:numPr>
          <w:ilvl w:val="0"/>
          <w:numId w:val="1"/>
        </w:numPr>
        <w:spacing w:line="360" w:lineRule="auto"/>
        <w:ind w:left="0" w:hanging="709"/>
      </w:pPr>
      <w:r>
        <w:t xml:space="preserve">Daarnaast </w:t>
      </w:r>
      <w:r w:rsidR="00990910">
        <w:t>heeft de wetgever</w:t>
      </w:r>
      <w:r>
        <w:t xml:space="preserve"> ook een </w:t>
      </w:r>
      <w:r w:rsidR="00990910">
        <w:t>uniforme leeftijdsgrens vastgelegd m.b.t. de seksuele meerderjarigheid</w:t>
      </w:r>
      <w:r>
        <w:t>, zodat opnieuw aan een pijnpunt van de oude strafbaarstellingen verholpen werd.</w:t>
      </w:r>
      <w:r>
        <w:rPr>
          <w:rStyle w:val="FootnoteReference"/>
        </w:rPr>
        <w:footnoteReference w:id="695"/>
      </w:r>
      <w:r>
        <w:t xml:space="preserve"> </w:t>
      </w:r>
    </w:p>
    <w:p w14:paraId="0A79F5F4" w14:textId="77777777" w:rsidR="00DE7B08" w:rsidRDefault="00DE7B08" w:rsidP="00260F11">
      <w:pPr>
        <w:pStyle w:val="ListParagraph"/>
        <w:spacing w:line="360" w:lineRule="auto"/>
      </w:pPr>
    </w:p>
    <w:p w14:paraId="5E0C93B0" w14:textId="78C5D8C8" w:rsidR="00545937" w:rsidRPr="00990910" w:rsidRDefault="00DE7B08" w:rsidP="00260F11">
      <w:pPr>
        <w:pStyle w:val="ListParagraph"/>
        <w:numPr>
          <w:ilvl w:val="0"/>
          <w:numId w:val="1"/>
        </w:numPr>
        <w:spacing w:line="360" w:lineRule="auto"/>
        <w:ind w:left="0" w:hanging="709"/>
        <w:rPr>
          <w:color w:val="000000" w:themeColor="text1"/>
        </w:rPr>
      </w:pPr>
      <w:r w:rsidRPr="00990910">
        <w:rPr>
          <w:color w:val="000000" w:themeColor="text1"/>
        </w:rPr>
        <w:t xml:space="preserve">Een laatste punt dat voor beide strafbaarstellingen opgaat, is het </w:t>
      </w:r>
      <w:r w:rsidR="007A6EDE" w:rsidRPr="00990910">
        <w:rPr>
          <w:color w:val="000000" w:themeColor="text1"/>
        </w:rPr>
        <w:t>vereiste</w:t>
      </w:r>
      <w:r w:rsidRPr="00990910">
        <w:rPr>
          <w:color w:val="000000" w:themeColor="text1"/>
        </w:rPr>
        <w:t xml:space="preserve"> moreel bestanddeel. </w:t>
      </w:r>
      <w:r w:rsidR="007A6EDE" w:rsidRPr="00990910">
        <w:rPr>
          <w:color w:val="000000" w:themeColor="text1"/>
        </w:rPr>
        <w:t>Dit werd zowel voor de oude strafbaarstelling van aanranding van de eerbaarheid als van verkrachting aangemer</w:t>
      </w:r>
      <w:r w:rsidR="00822719">
        <w:rPr>
          <w:color w:val="000000" w:themeColor="text1"/>
        </w:rPr>
        <w:t>k</w:t>
      </w:r>
      <w:r w:rsidR="007A6EDE" w:rsidRPr="00990910">
        <w:rPr>
          <w:color w:val="000000" w:themeColor="text1"/>
        </w:rPr>
        <w:t xml:space="preserve">t als pijnpunt. In de rechtsleer bestond </w:t>
      </w:r>
      <w:r w:rsidR="00C94A18" w:rsidRPr="00990910">
        <w:rPr>
          <w:color w:val="000000" w:themeColor="text1"/>
        </w:rPr>
        <w:t xml:space="preserve">hieromtrent </w:t>
      </w:r>
      <w:r w:rsidR="007A6EDE" w:rsidRPr="00990910">
        <w:rPr>
          <w:color w:val="000000" w:themeColor="text1"/>
        </w:rPr>
        <w:t>immers discussie.</w:t>
      </w:r>
      <w:r w:rsidR="007A6EDE" w:rsidRPr="00990910">
        <w:rPr>
          <w:rStyle w:val="FootnoteReference"/>
          <w:color w:val="000000" w:themeColor="text1"/>
        </w:rPr>
        <w:footnoteReference w:id="696"/>
      </w:r>
      <w:r w:rsidR="007A6EDE" w:rsidRPr="00990910">
        <w:rPr>
          <w:color w:val="000000" w:themeColor="text1"/>
        </w:rPr>
        <w:t xml:space="preserve"> </w:t>
      </w:r>
      <w:r w:rsidRPr="00990910">
        <w:rPr>
          <w:color w:val="000000" w:themeColor="text1"/>
        </w:rPr>
        <w:t xml:space="preserve">Hoewel aanvankelijk de bedoeling van de wetgever </w:t>
      </w:r>
      <w:r w:rsidR="007A6EDE" w:rsidRPr="00990910">
        <w:rPr>
          <w:color w:val="000000" w:themeColor="text1"/>
        </w:rPr>
        <w:t>erin bestond</w:t>
      </w:r>
      <w:r w:rsidRPr="00990910">
        <w:rPr>
          <w:color w:val="000000" w:themeColor="text1"/>
        </w:rPr>
        <w:t xml:space="preserve"> de woorden “wetens en willens” in de strafbaarstellingen op te nemen, is deze verandering niet doorgevoerd om “</w:t>
      </w:r>
      <w:r w:rsidRPr="00990910">
        <w:rPr>
          <w:i/>
          <w:color w:val="000000" w:themeColor="text1"/>
        </w:rPr>
        <w:t>de parlementaire besprekingen niet onnodig te verzwaren</w:t>
      </w:r>
      <w:r w:rsidRPr="00990910">
        <w:rPr>
          <w:color w:val="000000" w:themeColor="text1"/>
        </w:rPr>
        <w:t>”.</w:t>
      </w:r>
      <w:r w:rsidRPr="00990910">
        <w:rPr>
          <w:rStyle w:val="FootnoteReference"/>
          <w:color w:val="000000" w:themeColor="text1"/>
        </w:rPr>
        <w:footnoteReference w:id="697"/>
      </w:r>
      <w:r w:rsidRPr="00990910">
        <w:rPr>
          <w:color w:val="000000" w:themeColor="text1"/>
        </w:rPr>
        <w:t xml:space="preserve"> </w:t>
      </w:r>
      <w:r w:rsidR="00545937" w:rsidRPr="00990910">
        <w:rPr>
          <w:color w:val="000000" w:themeColor="text1"/>
        </w:rPr>
        <w:t xml:space="preserve">Aldus werd geenszins verholpen aan de geïdentificeerde pijnpunten onder het oude recht, zodat de hervorming op dit vlak </w:t>
      </w:r>
      <w:r w:rsidR="00990910" w:rsidRPr="00990910">
        <w:rPr>
          <w:color w:val="000000" w:themeColor="text1"/>
        </w:rPr>
        <w:t>m.i.</w:t>
      </w:r>
      <w:r w:rsidR="00D778EA">
        <w:rPr>
          <w:color w:val="000000" w:themeColor="text1"/>
        </w:rPr>
        <w:t xml:space="preserve"> </w:t>
      </w:r>
      <w:r w:rsidR="00545937" w:rsidRPr="00990910">
        <w:rPr>
          <w:color w:val="000000" w:themeColor="text1"/>
        </w:rPr>
        <w:t>een gemiste kans uitmaakt.</w:t>
      </w:r>
    </w:p>
    <w:p w14:paraId="238AA473" w14:textId="77777777" w:rsidR="00545937" w:rsidRDefault="00545937" w:rsidP="00260F11">
      <w:pPr>
        <w:pStyle w:val="ListParagraph"/>
        <w:spacing w:line="360" w:lineRule="auto"/>
      </w:pPr>
    </w:p>
    <w:p w14:paraId="5E50EFE4" w14:textId="7FDFF26E" w:rsidR="00DE7B08" w:rsidRPr="00F515E9" w:rsidRDefault="00DE7B08" w:rsidP="00260F11">
      <w:pPr>
        <w:pStyle w:val="ListParagraph"/>
        <w:spacing w:line="360" w:lineRule="auto"/>
        <w:ind w:left="0"/>
        <w:rPr>
          <w:color w:val="000000" w:themeColor="text1"/>
        </w:rPr>
      </w:pPr>
      <w:r w:rsidRPr="00F515E9">
        <w:rPr>
          <w:color w:val="000000" w:themeColor="text1"/>
        </w:rPr>
        <w:t xml:space="preserve">Gelet op het voorgaande, evenals op de academische discussie die zich stelde m.b.t. het vereiste moreel bestanddeel t.a.v. de minderjarige leeftijd van het slachtoffer als constitutief bestanddeel, werd dan ook aanbevolen het </w:t>
      </w:r>
      <w:r w:rsidR="008E5F79">
        <w:rPr>
          <w:color w:val="000000" w:themeColor="text1"/>
        </w:rPr>
        <w:t xml:space="preserve">algemeen opzet als </w:t>
      </w:r>
      <w:r w:rsidRPr="00F515E9">
        <w:rPr>
          <w:color w:val="000000" w:themeColor="text1"/>
        </w:rPr>
        <w:t xml:space="preserve">vereist moreel bestanddeel expliciet op te nemen in de strafbaarstelling en daarbij expliciet te bepalen dat t.a.v. de minderjarige leeftijd </w:t>
      </w:r>
      <w:r w:rsidR="00E90860" w:rsidRPr="00F515E9">
        <w:rPr>
          <w:color w:val="000000" w:themeColor="text1"/>
        </w:rPr>
        <w:t xml:space="preserve">onachtzaamheid </w:t>
      </w:r>
      <w:r w:rsidR="00430E7B" w:rsidRPr="00F515E9">
        <w:rPr>
          <w:color w:val="000000" w:themeColor="text1"/>
        </w:rPr>
        <w:t xml:space="preserve">als </w:t>
      </w:r>
      <w:r w:rsidR="00E90860">
        <w:rPr>
          <w:color w:val="000000" w:themeColor="text1"/>
        </w:rPr>
        <w:t>moreel</w:t>
      </w:r>
      <w:r w:rsidR="00430E7B" w:rsidRPr="00F515E9">
        <w:rPr>
          <w:color w:val="000000" w:themeColor="text1"/>
        </w:rPr>
        <w:t xml:space="preserve"> bestanddeel </w:t>
      </w:r>
      <w:r w:rsidRPr="00F515E9">
        <w:rPr>
          <w:color w:val="000000" w:themeColor="text1"/>
        </w:rPr>
        <w:t>volstaat.</w:t>
      </w:r>
      <w:r w:rsidRPr="00F515E9">
        <w:rPr>
          <w:rStyle w:val="FootnoteReference"/>
          <w:color w:val="000000" w:themeColor="text1"/>
        </w:rPr>
        <w:footnoteReference w:id="698"/>
      </w:r>
      <w:r w:rsidR="00693032" w:rsidRPr="00F515E9">
        <w:rPr>
          <w:color w:val="000000" w:themeColor="text1"/>
        </w:rPr>
        <w:t xml:space="preserve"> </w:t>
      </w:r>
    </w:p>
    <w:p w14:paraId="620FE06F" w14:textId="77777777" w:rsidR="00DE7B08" w:rsidRDefault="00DE7B08" w:rsidP="00260F11">
      <w:pPr>
        <w:spacing w:line="360" w:lineRule="auto"/>
      </w:pPr>
    </w:p>
    <w:p w14:paraId="448DC2CD" w14:textId="7EF84C3C" w:rsidR="00DE7B08" w:rsidRDefault="00DE7B08" w:rsidP="00260F11">
      <w:pPr>
        <w:pStyle w:val="ListParagraph"/>
        <w:numPr>
          <w:ilvl w:val="0"/>
          <w:numId w:val="1"/>
        </w:numPr>
        <w:spacing w:line="360" w:lineRule="auto"/>
        <w:ind w:left="0" w:hanging="709"/>
      </w:pPr>
      <w:r>
        <w:lastRenderedPageBreak/>
        <w:t>In de twee navolgende delen van de evaluatie werd toegespitst op de veranderingen die specifiek betre</w:t>
      </w:r>
      <w:r w:rsidR="00F80C35">
        <w:t>k</w:t>
      </w:r>
      <w:r>
        <w:t xml:space="preserve">king hebben op aantasting van de seksuele integriteit respectievelijk verkrachting. </w:t>
      </w:r>
    </w:p>
    <w:p w14:paraId="57A9FD46" w14:textId="77777777" w:rsidR="00F515E9" w:rsidRDefault="00F515E9" w:rsidP="00260F11">
      <w:pPr>
        <w:pStyle w:val="ListParagraph"/>
        <w:spacing w:line="360" w:lineRule="auto"/>
        <w:ind w:left="0"/>
      </w:pPr>
    </w:p>
    <w:p w14:paraId="367136DB" w14:textId="49032751" w:rsidR="00DE7B08" w:rsidRPr="000D1653" w:rsidRDefault="00DE7B08" w:rsidP="00260F11">
      <w:pPr>
        <w:pStyle w:val="ListParagraph"/>
        <w:numPr>
          <w:ilvl w:val="0"/>
          <w:numId w:val="1"/>
        </w:numPr>
        <w:spacing w:line="360" w:lineRule="auto"/>
        <w:ind w:left="0" w:hanging="709"/>
      </w:pPr>
      <w:r w:rsidRPr="000D1653">
        <w:t xml:space="preserve">M.b.t. tot het </w:t>
      </w:r>
      <w:r w:rsidR="00431DC2">
        <w:t xml:space="preserve">eerstgenoemde </w:t>
      </w:r>
      <w:r w:rsidRPr="000D1653">
        <w:t>misdrijf werd voornamelijk vastgesteld dat de modernere benaming en het voorhanden zijn van een wettelijke definitie als een positieve verandering dienen te worden beschouwd.</w:t>
      </w:r>
      <w:r w:rsidRPr="000D1653">
        <w:rPr>
          <w:rStyle w:val="FootnoteReference"/>
        </w:rPr>
        <w:footnoteReference w:id="699"/>
      </w:r>
      <w:r w:rsidRPr="000D1653">
        <w:t xml:space="preserve"> Ook het expliciet </w:t>
      </w:r>
      <w:r w:rsidR="0090508B">
        <w:t>benoemen</w:t>
      </w:r>
      <w:r w:rsidRPr="000D1653">
        <w:t xml:space="preserve"> van de </w:t>
      </w:r>
      <w:r w:rsidR="0090508B">
        <w:t>afwezigheid</w:t>
      </w:r>
      <w:r w:rsidRPr="000D1653">
        <w:t xml:space="preserve"> van toestemming van het slachtoffer </w:t>
      </w:r>
      <w:r w:rsidR="0090508B">
        <w:t>als</w:t>
      </w:r>
      <w:r w:rsidRPr="000D1653">
        <w:t xml:space="preserve"> constitutief bestanddeel dient als een positieve verandering te worden </w:t>
      </w:r>
      <w:r w:rsidR="00430E7B" w:rsidRPr="000D1653">
        <w:t>aangemerkt</w:t>
      </w:r>
      <w:r w:rsidR="00545937" w:rsidRPr="000D1653">
        <w:t xml:space="preserve"> en verhelpt aan een pijnpunt van de oude strafbaarstelling</w:t>
      </w:r>
      <w:r w:rsidRPr="000D1653">
        <w:t>.</w:t>
      </w:r>
      <w:r w:rsidRPr="000D1653">
        <w:rPr>
          <w:rStyle w:val="FootnoteReference"/>
        </w:rPr>
        <w:footnoteReference w:id="700"/>
      </w:r>
      <w:r w:rsidRPr="000D1653">
        <w:t xml:space="preserve"> Toch werden de gebruikte zinsconstructies in deze definitie bekritiseerd, m.n. omdat deze m.i. niet </w:t>
      </w:r>
      <w:r w:rsidR="00405298" w:rsidRPr="000D1653">
        <w:t>overeenkomen</w:t>
      </w:r>
      <w:r w:rsidRPr="000D1653">
        <w:t xml:space="preserve"> met de uiteenzetting in de memorie van toelichting en </w:t>
      </w:r>
      <w:r w:rsidR="00545937" w:rsidRPr="000D1653">
        <w:t xml:space="preserve">bovendien </w:t>
      </w:r>
      <w:r w:rsidRPr="000D1653">
        <w:t xml:space="preserve">omdat deze niet op eenzelfde manier geformuleerd worden als in de strafbaarstelling van verkrachting. Dit strookt niet met de </w:t>
      </w:r>
      <w:r w:rsidRPr="000D1653">
        <w:rPr>
          <w:i/>
        </w:rPr>
        <w:t xml:space="preserve">ratio legis </w:t>
      </w:r>
      <w:r w:rsidRPr="000D1653">
        <w:t>om meer uniformiteit tussen deze misdrijven te bewerkstelligen.</w:t>
      </w:r>
      <w:r w:rsidRPr="000D1653">
        <w:rPr>
          <w:rStyle w:val="FootnoteReference"/>
        </w:rPr>
        <w:footnoteReference w:id="701"/>
      </w:r>
      <w:r w:rsidRPr="000D1653">
        <w:t xml:space="preserve"> </w:t>
      </w:r>
    </w:p>
    <w:p w14:paraId="30524979" w14:textId="77777777" w:rsidR="00DE7B08" w:rsidRDefault="00DE7B08" w:rsidP="00260F11">
      <w:pPr>
        <w:pStyle w:val="ListParagraph"/>
        <w:spacing w:line="360" w:lineRule="auto"/>
      </w:pPr>
    </w:p>
    <w:p w14:paraId="0537584A" w14:textId="77777777" w:rsidR="000D1653" w:rsidRDefault="00DE7B08" w:rsidP="00260F11">
      <w:pPr>
        <w:pStyle w:val="ListParagraph"/>
        <w:numPr>
          <w:ilvl w:val="0"/>
          <w:numId w:val="1"/>
        </w:numPr>
        <w:spacing w:line="360" w:lineRule="auto"/>
        <w:ind w:left="0" w:hanging="709"/>
        <w:rPr>
          <w:color w:val="000000" w:themeColor="text1"/>
        </w:rPr>
      </w:pPr>
      <w:r w:rsidRPr="000D1653">
        <w:rPr>
          <w:color w:val="000000" w:themeColor="text1"/>
        </w:rPr>
        <w:t>Daarnaast werd ook het gebruik van de bewoordingen “seksuele gedraging” bekritiseerd, daar de wetgever dit niet nader heeft toegelicht in de strafbaarstelling zelf en ook de memorie van toelichting op dit vlak sober is</w:t>
      </w:r>
      <w:r w:rsidR="00430E7B" w:rsidRPr="000D1653">
        <w:rPr>
          <w:color w:val="000000" w:themeColor="text1"/>
        </w:rPr>
        <w:t>. Hierin worden immers</w:t>
      </w:r>
      <w:r w:rsidRPr="000D1653">
        <w:rPr>
          <w:color w:val="000000" w:themeColor="text1"/>
        </w:rPr>
        <w:t xml:space="preserve"> enkel de opvattingen van een redelijke persoon </w:t>
      </w:r>
      <w:r w:rsidR="00430E7B" w:rsidRPr="000D1653">
        <w:rPr>
          <w:color w:val="000000" w:themeColor="text1"/>
        </w:rPr>
        <w:t>aangereikt</w:t>
      </w:r>
      <w:r w:rsidRPr="000D1653">
        <w:rPr>
          <w:color w:val="000000" w:themeColor="text1"/>
        </w:rPr>
        <w:t xml:space="preserve"> als beoordelingscriterium. Hoewel dit beoordelingscriterium verschilt t.a.v. het vroeger gehanteerde criterium van het collectief bewustzijn, zal dit in de praktijk wellicht geen merkbare verandering opleveren.</w:t>
      </w:r>
      <w:r w:rsidR="00545937" w:rsidRPr="000D1653">
        <w:rPr>
          <w:color w:val="000000" w:themeColor="text1"/>
        </w:rPr>
        <w:t xml:space="preserve"> </w:t>
      </w:r>
      <w:r w:rsidR="00042336" w:rsidRPr="000D1653">
        <w:rPr>
          <w:color w:val="000000" w:themeColor="text1"/>
        </w:rPr>
        <w:t>De</w:t>
      </w:r>
      <w:r w:rsidR="00545937" w:rsidRPr="000D1653">
        <w:rPr>
          <w:color w:val="000000" w:themeColor="text1"/>
        </w:rPr>
        <w:t xml:space="preserve"> inhoudelijke kritiek t.a.v. het oude beoordelingscriterium, dewelke ertoe leidde dat dit als pijnpunt werd aangemerkt onder de oude strafbaarstelling, </w:t>
      </w:r>
      <w:r w:rsidR="00042336" w:rsidRPr="000D1653">
        <w:rPr>
          <w:color w:val="000000" w:themeColor="text1"/>
        </w:rPr>
        <w:t xml:space="preserve">gaat bijgevolg </w:t>
      </w:r>
      <w:r w:rsidR="00545937" w:rsidRPr="000D1653">
        <w:rPr>
          <w:color w:val="000000" w:themeColor="text1"/>
        </w:rPr>
        <w:t xml:space="preserve">evenzeer </w:t>
      </w:r>
      <w:r w:rsidR="00042336" w:rsidRPr="000D1653">
        <w:rPr>
          <w:color w:val="000000" w:themeColor="text1"/>
        </w:rPr>
        <w:t>op</w:t>
      </w:r>
      <w:r w:rsidR="00545937" w:rsidRPr="000D1653">
        <w:rPr>
          <w:color w:val="000000" w:themeColor="text1"/>
        </w:rPr>
        <w:t xml:space="preserve"> voor de nieuwe strafbaarstelling</w:t>
      </w:r>
      <w:r w:rsidR="00042336" w:rsidRPr="000D1653">
        <w:rPr>
          <w:color w:val="000000" w:themeColor="text1"/>
        </w:rPr>
        <w:t xml:space="preserve">. Aan </w:t>
      </w:r>
      <w:r w:rsidR="00545937" w:rsidRPr="000D1653">
        <w:rPr>
          <w:color w:val="000000" w:themeColor="text1"/>
        </w:rPr>
        <w:t xml:space="preserve">dit pijnpunt </w:t>
      </w:r>
      <w:r w:rsidR="00042336" w:rsidRPr="000D1653">
        <w:rPr>
          <w:color w:val="000000" w:themeColor="text1"/>
        </w:rPr>
        <w:t xml:space="preserve">werd </w:t>
      </w:r>
      <w:r w:rsidR="000D1653">
        <w:rPr>
          <w:color w:val="000000" w:themeColor="text1"/>
        </w:rPr>
        <w:t>dan ook</w:t>
      </w:r>
      <w:r w:rsidR="00042336" w:rsidRPr="000D1653">
        <w:rPr>
          <w:color w:val="000000" w:themeColor="text1"/>
        </w:rPr>
        <w:t xml:space="preserve"> </w:t>
      </w:r>
      <w:r w:rsidR="00545937" w:rsidRPr="000D1653">
        <w:rPr>
          <w:color w:val="000000" w:themeColor="text1"/>
        </w:rPr>
        <w:t>niet verholpen.</w:t>
      </w:r>
      <w:r w:rsidRPr="000D1653">
        <w:rPr>
          <w:rStyle w:val="FootnoteReference"/>
          <w:color w:val="000000" w:themeColor="text1"/>
        </w:rPr>
        <w:footnoteReference w:id="702"/>
      </w:r>
      <w:r w:rsidRPr="000D1653">
        <w:rPr>
          <w:color w:val="000000" w:themeColor="text1"/>
        </w:rPr>
        <w:t xml:space="preserve"> </w:t>
      </w:r>
    </w:p>
    <w:p w14:paraId="3742AF2E" w14:textId="77777777" w:rsidR="000D1653" w:rsidRPr="000D1653" w:rsidRDefault="000D1653" w:rsidP="00260F11">
      <w:pPr>
        <w:pStyle w:val="ListParagraph"/>
        <w:spacing w:line="360" w:lineRule="auto"/>
        <w:rPr>
          <w:color w:val="000000" w:themeColor="text1"/>
        </w:rPr>
      </w:pPr>
    </w:p>
    <w:p w14:paraId="536FCB41" w14:textId="30F013E0" w:rsidR="00DE7B08" w:rsidRPr="000D1653" w:rsidRDefault="00DE7B08" w:rsidP="00260F11">
      <w:pPr>
        <w:pStyle w:val="ListParagraph"/>
        <w:numPr>
          <w:ilvl w:val="0"/>
          <w:numId w:val="1"/>
        </w:numPr>
        <w:spacing w:line="360" w:lineRule="auto"/>
        <w:ind w:left="0" w:hanging="709"/>
        <w:rPr>
          <w:color w:val="000000" w:themeColor="text1"/>
        </w:rPr>
      </w:pPr>
      <w:r w:rsidRPr="000D1653">
        <w:rPr>
          <w:color w:val="000000" w:themeColor="text1"/>
        </w:rPr>
        <w:t>Tot slot werd ook het gegeven dat de strafbaarstelling van aantasting van de seksuele integriteit voortaan fungeert als restcategorie t.a.v. de andere niet-consensuele seksuele misdrijven, als een positieve verandering beschouwd.</w:t>
      </w:r>
    </w:p>
    <w:p w14:paraId="02D568D0" w14:textId="77777777" w:rsidR="00DE7B08" w:rsidRDefault="00DE7B08" w:rsidP="00260F11">
      <w:pPr>
        <w:pStyle w:val="ListParagraph"/>
        <w:spacing w:line="360" w:lineRule="auto"/>
      </w:pPr>
    </w:p>
    <w:p w14:paraId="2FC82A0F" w14:textId="278C87D5" w:rsidR="00DE7B08" w:rsidRPr="000D1653" w:rsidRDefault="00DE7B08" w:rsidP="00260F11">
      <w:pPr>
        <w:pStyle w:val="ListParagraph"/>
        <w:numPr>
          <w:ilvl w:val="0"/>
          <w:numId w:val="1"/>
        </w:numPr>
        <w:spacing w:line="360" w:lineRule="auto"/>
        <w:ind w:left="0" w:hanging="709"/>
      </w:pPr>
      <w:r w:rsidRPr="000D1653">
        <w:t xml:space="preserve">M.b.t. het misdrijf verkrachting werd vooreerst het feit dat voortaan zowel slachtofferpenetraties als penetraties </w:t>
      </w:r>
      <w:r w:rsidRPr="000D1653">
        <w:rPr>
          <w:color w:val="000000" w:themeColor="text1"/>
          <w:szCs w:val="18"/>
          <w:lang w:val="nl-NL"/>
        </w:rPr>
        <w:t>die het slachtoffer dien</w:t>
      </w:r>
      <w:r w:rsidR="003C10FB">
        <w:rPr>
          <w:color w:val="000000" w:themeColor="text1"/>
          <w:szCs w:val="18"/>
          <w:lang w:val="nl-NL"/>
        </w:rPr>
        <w:t>t</w:t>
      </w:r>
      <w:r w:rsidRPr="000D1653">
        <w:rPr>
          <w:color w:val="000000" w:themeColor="text1"/>
          <w:szCs w:val="18"/>
          <w:lang w:val="nl-NL"/>
        </w:rPr>
        <w:t xml:space="preserve"> te verrichten als een positieve verandering beschouwd. </w:t>
      </w:r>
      <w:r w:rsidR="00430E7B" w:rsidRPr="000D1653">
        <w:rPr>
          <w:color w:val="000000" w:themeColor="text1"/>
          <w:szCs w:val="18"/>
          <w:lang w:val="nl-NL"/>
        </w:rPr>
        <w:t>H</w:t>
      </w:r>
      <w:r w:rsidRPr="000D1653">
        <w:rPr>
          <w:color w:val="000000" w:themeColor="text1"/>
          <w:szCs w:val="18"/>
          <w:lang w:val="nl-NL"/>
        </w:rPr>
        <w:t>iermee wordt immers verholpen aan een pijnpunt van de oude strafbaarstelling</w:t>
      </w:r>
      <w:r w:rsidR="009E72C1">
        <w:rPr>
          <w:color w:val="000000" w:themeColor="text1"/>
          <w:szCs w:val="18"/>
          <w:lang w:val="nl-NL"/>
        </w:rPr>
        <w:t>,</w:t>
      </w:r>
      <w:r w:rsidRPr="000D1653">
        <w:rPr>
          <w:color w:val="000000" w:themeColor="text1"/>
          <w:szCs w:val="18"/>
          <w:lang w:val="nl-NL"/>
        </w:rPr>
        <w:t xml:space="preserve"> </w:t>
      </w:r>
      <w:r w:rsidR="009E72C1">
        <w:rPr>
          <w:color w:val="000000" w:themeColor="text1"/>
          <w:szCs w:val="18"/>
          <w:lang w:val="nl-NL"/>
        </w:rPr>
        <w:t>waar</w:t>
      </w:r>
      <w:r w:rsidRPr="000D1653">
        <w:rPr>
          <w:color w:val="000000" w:themeColor="text1"/>
          <w:szCs w:val="18"/>
          <w:lang w:val="nl-NL"/>
        </w:rPr>
        <w:t xml:space="preserve"> enkel eensgezindheid bestond omtrent de slachtofferpenetratie.</w:t>
      </w:r>
      <w:r w:rsidRPr="000D1653">
        <w:rPr>
          <w:rStyle w:val="FootnoteReference"/>
        </w:rPr>
        <w:footnoteReference w:id="703"/>
      </w:r>
      <w:r w:rsidRPr="000D1653">
        <w:rPr>
          <w:color w:val="000000" w:themeColor="text1"/>
          <w:szCs w:val="18"/>
          <w:lang w:val="nl-NL"/>
        </w:rPr>
        <w:t xml:space="preserve"> Ook het feit dat voortaan expliciet bepaald wordt dat de toestemming kan worden ingetrokken tijdens de seksuele betrekkingen, werd als positief aangemerkt. Hiermee werd eveneens verholpen aan een pijnpunt van de oude strafbaarstelling.</w:t>
      </w:r>
      <w:r w:rsidRPr="000D1653">
        <w:rPr>
          <w:rStyle w:val="FootnoteReference"/>
        </w:rPr>
        <w:footnoteReference w:id="704"/>
      </w:r>
    </w:p>
    <w:p w14:paraId="2D024410" w14:textId="77777777" w:rsidR="00DE7B08" w:rsidRDefault="00DE7B08" w:rsidP="00260F11">
      <w:pPr>
        <w:pStyle w:val="ListParagraph"/>
        <w:spacing w:line="360" w:lineRule="auto"/>
      </w:pPr>
    </w:p>
    <w:p w14:paraId="34BF3DD2" w14:textId="77777777" w:rsidR="00BF1A47" w:rsidRDefault="00DE7B08" w:rsidP="00260F11">
      <w:pPr>
        <w:pStyle w:val="ListParagraph"/>
        <w:numPr>
          <w:ilvl w:val="0"/>
          <w:numId w:val="1"/>
        </w:numPr>
        <w:spacing w:line="360" w:lineRule="auto"/>
        <w:ind w:left="0" w:hanging="709"/>
        <w:rPr>
          <w:color w:val="000000" w:themeColor="text1"/>
        </w:rPr>
      </w:pPr>
      <w:r w:rsidRPr="00EE128E">
        <w:rPr>
          <w:color w:val="000000" w:themeColor="text1"/>
        </w:rPr>
        <w:t xml:space="preserve">De </w:t>
      </w:r>
      <w:r w:rsidR="00BF1A47">
        <w:rPr>
          <w:color w:val="000000" w:themeColor="text1"/>
        </w:rPr>
        <w:t>formulering</w:t>
      </w:r>
      <w:r w:rsidRPr="00EE128E">
        <w:rPr>
          <w:color w:val="000000" w:themeColor="text1"/>
        </w:rPr>
        <w:t xml:space="preserve"> “seksuele penetratie van welke aard en met welk middel dan ook”</w:t>
      </w:r>
      <w:r w:rsidR="00BF1A47">
        <w:rPr>
          <w:color w:val="000000" w:themeColor="text1"/>
        </w:rPr>
        <w:t xml:space="preserve"> werd als pijnpunt aangeduid van de oude strafbaarstelling van verkrachting. Toch wordt deze formulering </w:t>
      </w:r>
      <w:r w:rsidRPr="00EE128E">
        <w:rPr>
          <w:color w:val="000000" w:themeColor="text1"/>
        </w:rPr>
        <w:t xml:space="preserve">zowel in de oude als in de huidige strafbaarstelling van verkrachting gebruikt. </w:t>
      </w:r>
      <w:r w:rsidR="00BF1A47">
        <w:rPr>
          <w:color w:val="000000" w:themeColor="text1"/>
        </w:rPr>
        <w:t>H</w:t>
      </w:r>
      <w:r w:rsidRPr="00EE128E">
        <w:rPr>
          <w:color w:val="000000" w:themeColor="text1"/>
        </w:rPr>
        <w:t xml:space="preserve">ieromtrent </w:t>
      </w:r>
      <w:r w:rsidR="00BF1A47">
        <w:rPr>
          <w:color w:val="000000" w:themeColor="text1"/>
        </w:rPr>
        <w:t>werden in de evaluatie dan ook</w:t>
      </w:r>
      <w:r w:rsidRPr="00EE128E">
        <w:rPr>
          <w:color w:val="000000" w:themeColor="text1"/>
        </w:rPr>
        <w:t xml:space="preserve"> kritische standpunten ingenomen, mede gelet op de bevindingen van het extern rechtsvergelijkend onderzoek. </w:t>
      </w:r>
    </w:p>
    <w:p w14:paraId="229AB142" w14:textId="44FC5738" w:rsidR="00BF1A47" w:rsidRDefault="00DE7B08" w:rsidP="00260F11">
      <w:pPr>
        <w:pStyle w:val="ListParagraph"/>
        <w:spacing w:line="360" w:lineRule="auto"/>
        <w:ind w:left="0"/>
        <w:rPr>
          <w:color w:val="000000" w:themeColor="text1"/>
        </w:rPr>
      </w:pPr>
      <w:r w:rsidRPr="00EE128E">
        <w:rPr>
          <w:color w:val="000000" w:themeColor="text1"/>
        </w:rPr>
        <w:lastRenderedPageBreak/>
        <w:t xml:space="preserve">Hoewel de memorie van toelichting voortaan bepaalt dat seksueel datgene is wat door een redelijke persoon als dusdanig wordt opgevat, </w:t>
      </w:r>
      <w:r w:rsidR="005568D4">
        <w:rPr>
          <w:color w:val="000000" w:themeColor="text1"/>
        </w:rPr>
        <w:t>verhelpt het</w:t>
      </w:r>
      <w:r w:rsidRPr="00EE128E">
        <w:rPr>
          <w:color w:val="000000" w:themeColor="text1"/>
        </w:rPr>
        <w:t xml:space="preserve"> daarmee slechts </w:t>
      </w:r>
      <w:r w:rsidR="00430E7B" w:rsidRPr="00EE128E">
        <w:rPr>
          <w:color w:val="000000" w:themeColor="text1"/>
        </w:rPr>
        <w:t>gedeeltelijk</w:t>
      </w:r>
      <w:r w:rsidRPr="00EE128E">
        <w:rPr>
          <w:color w:val="000000" w:themeColor="text1"/>
        </w:rPr>
        <w:t xml:space="preserve"> aan de onduidelijkheid die onder het oude recht heerste omtrent het begrip “seksuele penetratie”. Voornoemd beoordelingscriterium wordt immers niet nader </w:t>
      </w:r>
      <w:r w:rsidR="00430E7B" w:rsidRPr="00EE128E">
        <w:rPr>
          <w:color w:val="000000" w:themeColor="text1"/>
        </w:rPr>
        <w:t>toe</w:t>
      </w:r>
      <w:r w:rsidRPr="00EE128E">
        <w:rPr>
          <w:color w:val="000000" w:themeColor="text1"/>
        </w:rPr>
        <w:t>gelicht,</w:t>
      </w:r>
      <w:r w:rsidR="00042336">
        <w:rPr>
          <w:color w:val="000000" w:themeColor="text1"/>
        </w:rPr>
        <w:t xml:space="preserve"> afgezien van een dubieuze verwijzing</w:t>
      </w:r>
      <w:r w:rsidRPr="00EE128E">
        <w:rPr>
          <w:color w:val="000000" w:themeColor="text1"/>
        </w:rPr>
        <w:t xml:space="preserve"> </w:t>
      </w:r>
      <w:r w:rsidR="00042336">
        <w:rPr>
          <w:color w:val="000000" w:themeColor="text1"/>
        </w:rPr>
        <w:t>in</w:t>
      </w:r>
      <w:r w:rsidRPr="00EE128E">
        <w:rPr>
          <w:color w:val="000000" w:themeColor="text1"/>
        </w:rPr>
        <w:t xml:space="preserve"> de memorie van toelichting naar het Brits recht</w:t>
      </w:r>
      <w:r w:rsidR="00042336">
        <w:rPr>
          <w:color w:val="000000" w:themeColor="text1"/>
        </w:rPr>
        <w:t xml:space="preserve"> hieromtrent.</w:t>
      </w:r>
      <w:r w:rsidRPr="00EE128E">
        <w:rPr>
          <w:color w:val="000000" w:themeColor="text1"/>
        </w:rPr>
        <w:t xml:space="preserve"> </w:t>
      </w:r>
      <w:r w:rsidR="00042336">
        <w:rPr>
          <w:color w:val="000000" w:themeColor="text1"/>
        </w:rPr>
        <w:t>Hierdoor is</w:t>
      </w:r>
      <w:r w:rsidRPr="00EE128E">
        <w:rPr>
          <w:color w:val="000000" w:themeColor="text1"/>
        </w:rPr>
        <w:t xml:space="preserve"> vooralsnog niet volledig duidelijk in welke mate rekening wordt gehouden bij de beoordeling van het seksueel karakter met de seksuele drijfveer van de dader.</w:t>
      </w:r>
      <w:r w:rsidR="005568D4" w:rsidRPr="00EE128E">
        <w:rPr>
          <w:rStyle w:val="FootnoteReference"/>
          <w:color w:val="000000" w:themeColor="text1"/>
        </w:rPr>
        <w:footnoteReference w:id="705"/>
      </w:r>
    </w:p>
    <w:p w14:paraId="3E154E56" w14:textId="77777777" w:rsidR="00BF1A47" w:rsidRDefault="00BF1A47" w:rsidP="00260F11">
      <w:pPr>
        <w:pStyle w:val="ListParagraph"/>
        <w:spacing w:line="360" w:lineRule="auto"/>
        <w:ind w:left="0"/>
        <w:rPr>
          <w:color w:val="000000" w:themeColor="text1"/>
        </w:rPr>
      </w:pPr>
    </w:p>
    <w:p w14:paraId="0E242AD3" w14:textId="20DDC89F" w:rsidR="00DE7B08" w:rsidRPr="00EE128E" w:rsidRDefault="00DE7B08" w:rsidP="00260F11">
      <w:pPr>
        <w:pStyle w:val="ListParagraph"/>
        <w:spacing w:line="360" w:lineRule="auto"/>
        <w:ind w:left="0"/>
        <w:rPr>
          <w:color w:val="000000" w:themeColor="text1"/>
        </w:rPr>
      </w:pPr>
      <w:r w:rsidRPr="00EE128E">
        <w:rPr>
          <w:color w:val="000000" w:themeColor="text1"/>
        </w:rPr>
        <w:t>Een duidelijker geformuleerde strafbaarstelling zou hieraan kunnen verhelpen, zodat hieromtrent een aanbeveling werd geformuleerd.</w:t>
      </w:r>
      <w:r w:rsidR="005568D4">
        <w:rPr>
          <w:rStyle w:val="FootnoteReference"/>
          <w:color w:val="000000" w:themeColor="text1"/>
        </w:rPr>
        <w:footnoteReference w:id="706"/>
      </w:r>
      <w:r w:rsidRPr="00EE128E">
        <w:rPr>
          <w:color w:val="000000" w:themeColor="text1"/>
        </w:rPr>
        <w:t xml:space="preserve"> Ook m.b.t. de bewoordingen “van welke aard en met welk middel ook”, werd een gelijkaardige kritiek geuit. Er </w:t>
      </w:r>
      <w:r w:rsidR="00430E7B" w:rsidRPr="00EE128E">
        <w:rPr>
          <w:color w:val="000000" w:themeColor="text1"/>
        </w:rPr>
        <w:t>bestaat</w:t>
      </w:r>
      <w:r w:rsidRPr="00EE128E">
        <w:rPr>
          <w:color w:val="000000" w:themeColor="text1"/>
        </w:rPr>
        <w:t xml:space="preserve"> </w:t>
      </w:r>
      <w:r w:rsidR="00EE128E" w:rsidRPr="00EE128E">
        <w:rPr>
          <w:color w:val="000000" w:themeColor="text1"/>
        </w:rPr>
        <w:t xml:space="preserve">namelijk </w:t>
      </w:r>
      <w:r w:rsidRPr="00EE128E">
        <w:rPr>
          <w:color w:val="000000" w:themeColor="text1"/>
        </w:rPr>
        <w:t>een discrepantie tussen de ruime bewoordingen van de strafbaarstelling van verkrachting enerzijds en de striktere bedoeling van de wetgever anderzijds.</w:t>
      </w:r>
      <w:r w:rsidR="005568D4">
        <w:rPr>
          <w:rStyle w:val="FootnoteReference"/>
          <w:color w:val="000000" w:themeColor="text1"/>
        </w:rPr>
        <w:footnoteReference w:id="707"/>
      </w:r>
      <w:r w:rsidRPr="00EE128E">
        <w:rPr>
          <w:color w:val="000000" w:themeColor="text1"/>
        </w:rPr>
        <w:t xml:space="preserve"> Ook hieraan kan verholpen worden door een duidelijkere strafbaarstelling, dan wel een andersluidende memorie van toelichting.</w:t>
      </w:r>
      <w:r w:rsidR="005568D4">
        <w:rPr>
          <w:rStyle w:val="FootnoteReference"/>
          <w:color w:val="000000" w:themeColor="text1"/>
        </w:rPr>
        <w:footnoteReference w:id="708"/>
      </w:r>
    </w:p>
    <w:p w14:paraId="1C8B9BC6" w14:textId="77777777" w:rsidR="00DE7B08" w:rsidRDefault="00DE7B08" w:rsidP="00260F11">
      <w:pPr>
        <w:spacing w:line="360" w:lineRule="auto"/>
      </w:pPr>
    </w:p>
    <w:p w14:paraId="5D9510A9" w14:textId="465E1FC8" w:rsidR="00D53595" w:rsidRDefault="000D1653" w:rsidP="00260F11">
      <w:pPr>
        <w:pStyle w:val="ListParagraph"/>
        <w:numPr>
          <w:ilvl w:val="0"/>
          <w:numId w:val="1"/>
        </w:numPr>
        <w:spacing w:line="360" w:lineRule="auto"/>
        <w:ind w:left="0" w:hanging="709"/>
        <w:rPr>
          <w:color w:val="FF0000"/>
          <w:szCs w:val="18"/>
          <w:lang w:val="nl-NL"/>
        </w:rPr>
      </w:pPr>
      <w:r w:rsidRPr="00D53595">
        <w:rPr>
          <w:color w:val="000000" w:themeColor="text1"/>
          <w:szCs w:val="18"/>
          <w:lang w:val="nl-NL"/>
        </w:rPr>
        <w:t>De centrale onderzoeksvraag dient dan ook genuanceerd te worden beantwoord. De</w:t>
      </w:r>
      <w:r w:rsidR="00DE7B08" w:rsidRPr="00D53595">
        <w:rPr>
          <w:color w:val="000000" w:themeColor="text1"/>
          <w:szCs w:val="18"/>
          <w:lang w:val="nl-NL"/>
        </w:rPr>
        <w:t xml:space="preserve"> hervorming </w:t>
      </w:r>
      <w:r w:rsidRPr="00D53595">
        <w:rPr>
          <w:color w:val="000000" w:themeColor="text1"/>
          <w:szCs w:val="18"/>
          <w:lang w:val="nl-NL"/>
        </w:rPr>
        <w:t xml:space="preserve">heeft </w:t>
      </w:r>
      <w:r w:rsidR="00DE7B08" w:rsidRPr="00D53595">
        <w:rPr>
          <w:color w:val="000000" w:themeColor="text1"/>
          <w:szCs w:val="18"/>
          <w:lang w:val="nl-NL"/>
        </w:rPr>
        <w:t xml:space="preserve">zeker </w:t>
      </w:r>
      <w:r w:rsidR="00F917E1" w:rsidRPr="00D53595">
        <w:rPr>
          <w:color w:val="000000" w:themeColor="text1"/>
          <w:szCs w:val="18"/>
          <w:lang w:val="nl-NL"/>
        </w:rPr>
        <w:t>een aantal</w:t>
      </w:r>
      <w:r w:rsidR="00DE7B08" w:rsidRPr="00D53595">
        <w:rPr>
          <w:color w:val="000000" w:themeColor="text1"/>
          <w:szCs w:val="18"/>
          <w:lang w:val="nl-NL"/>
        </w:rPr>
        <w:t xml:space="preserve"> positieve veranderingen teweeggebracht</w:t>
      </w:r>
      <w:r w:rsidRPr="00D53595">
        <w:rPr>
          <w:color w:val="000000" w:themeColor="text1"/>
          <w:szCs w:val="18"/>
          <w:lang w:val="nl-NL"/>
        </w:rPr>
        <w:t>, dit zowel m.b.t. de strafbaarstelling van aantasting van de seksuele integriteit als m.b.t. deze van verkrachting</w:t>
      </w:r>
      <w:r w:rsidR="00430E7B" w:rsidRPr="00D53595">
        <w:rPr>
          <w:color w:val="000000" w:themeColor="text1"/>
          <w:szCs w:val="18"/>
          <w:lang w:val="nl-NL"/>
        </w:rPr>
        <w:t>.</w:t>
      </w:r>
      <w:r w:rsidR="00DE7B08" w:rsidRPr="00D53595">
        <w:rPr>
          <w:color w:val="000000" w:themeColor="text1"/>
          <w:szCs w:val="18"/>
          <w:lang w:val="nl-NL"/>
        </w:rPr>
        <w:t xml:space="preserve"> </w:t>
      </w:r>
      <w:r w:rsidR="00430E7B" w:rsidRPr="00D53595">
        <w:rPr>
          <w:color w:val="000000" w:themeColor="text1"/>
          <w:szCs w:val="18"/>
          <w:lang w:val="nl-NL"/>
        </w:rPr>
        <w:t>Desalniettemin</w:t>
      </w:r>
      <w:r w:rsidR="00DE7B08" w:rsidRPr="00D53595">
        <w:rPr>
          <w:color w:val="000000" w:themeColor="text1"/>
          <w:szCs w:val="18"/>
          <w:lang w:val="nl-NL"/>
        </w:rPr>
        <w:t xml:space="preserve"> hield </w:t>
      </w:r>
      <w:r w:rsidRPr="00D53595">
        <w:rPr>
          <w:color w:val="000000" w:themeColor="text1"/>
          <w:szCs w:val="18"/>
          <w:lang w:val="nl-NL"/>
        </w:rPr>
        <w:t>de</w:t>
      </w:r>
      <w:r w:rsidR="00DE7B08" w:rsidRPr="00D53595">
        <w:rPr>
          <w:color w:val="000000" w:themeColor="text1"/>
          <w:szCs w:val="18"/>
          <w:lang w:val="nl-NL"/>
        </w:rPr>
        <w:t xml:space="preserve"> hervorming</w:t>
      </w:r>
      <w:r w:rsidRPr="00D53595">
        <w:rPr>
          <w:color w:val="000000" w:themeColor="text1"/>
          <w:szCs w:val="18"/>
          <w:lang w:val="nl-NL"/>
        </w:rPr>
        <w:t xml:space="preserve"> van voornoemde strafbaarstellingen</w:t>
      </w:r>
      <w:r w:rsidR="00DE7B08" w:rsidRPr="00D53595">
        <w:rPr>
          <w:color w:val="000000" w:themeColor="text1"/>
          <w:szCs w:val="18"/>
          <w:lang w:val="nl-NL"/>
        </w:rPr>
        <w:t xml:space="preserve"> m.i. </w:t>
      </w:r>
      <w:r w:rsidR="00F917E1" w:rsidRPr="00D53595">
        <w:rPr>
          <w:color w:val="000000" w:themeColor="text1"/>
          <w:szCs w:val="18"/>
          <w:lang w:val="nl-NL"/>
        </w:rPr>
        <w:t>ook</w:t>
      </w:r>
      <w:r w:rsidR="00DE7B08" w:rsidRPr="00D53595">
        <w:rPr>
          <w:color w:val="000000" w:themeColor="text1"/>
          <w:szCs w:val="18"/>
          <w:lang w:val="nl-NL"/>
        </w:rPr>
        <w:t xml:space="preserve"> enkele gemiste kansen in</w:t>
      </w:r>
      <w:r w:rsidRPr="00D53595">
        <w:rPr>
          <w:color w:val="000000" w:themeColor="text1"/>
          <w:szCs w:val="18"/>
          <w:lang w:val="nl-NL"/>
        </w:rPr>
        <w:t xml:space="preserve">. De gevolgen van deze hervorming zijn intussen in de </w:t>
      </w:r>
      <w:r w:rsidR="009135C9">
        <w:rPr>
          <w:color w:val="000000" w:themeColor="text1"/>
          <w:szCs w:val="18"/>
          <w:lang w:val="nl-NL"/>
        </w:rPr>
        <w:t>rechts</w:t>
      </w:r>
      <w:r w:rsidRPr="00D53595">
        <w:rPr>
          <w:color w:val="000000" w:themeColor="text1"/>
          <w:szCs w:val="18"/>
          <w:lang w:val="nl-NL"/>
        </w:rPr>
        <w:t xml:space="preserve">praktijk voelbaar aan het worden, met name voor feiten die plaatsvonden vanaf 1 juni 2022. Toch kan </w:t>
      </w:r>
      <w:r w:rsidR="00F917E1" w:rsidRPr="00D53595">
        <w:rPr>
          <w:color w:val="000000" w:themeColor="text1"/>
          <w:szCs w:val="18"/>
          <w:lang w:val="nl-NL"/>
        </w:rPr>
        <w:t>m.b.t.</w:t>
      </w:r>
      <w:r w:rsidRPr="00D53595">
        <w:rPr>
          <w:color w:val="000000" w:themeColor="text1"/>
          <w:szCs w:val="18"/>
          <w:lang w:val="nl-NL"/>
        </w:rPr>
        <w:t xml:space="preserve"> de feiten die voor deze datum plaatsvonden</w:t>
      </w:r>
      <w:r w:rsidR="00F917E1" w:rsidRPr="00D53595">
        <w:rPr>
          <w:color w:val="000000" w:themeColor="text1"/>
          <w:szCs w:val="18"/>
          <w:lang w:val="nl-NL"/>
        </w:rPr>
        <w:t xml:space="preserve">, maar waarin voor </w:t>
      </w:r>
      <w:r w:rsidR="00E90860" w:rsidRPr="00D53595">
        <w:rPr>
          <w:color w:val="000000" w:themeColor="text1"/>
          <w:szCs w:val="18"/>
          <w:lang w:val="nl-NL"/>
        </w:rPr>
        <w:t>deze</w:t>
      </w:r>
      <w:r w:rsidR="00F917E1" w:rsidRPr="00D53595">
        <w:rPr>
          <w:color w:val="000000" w:themeColor="text1"/>
          <w:szCs w:val="18"/>
          <w:lang w:val="nl-NL"/>
        </w:rPr>
        <w:t xml:space="preserve"> datum nog geen uitspraak werd gedaan,</w:t>
      </w:r>
      <w:r w:rsidRPr="00D53595">
        <w:rPr>
          <w:color w:val="000000" w:themeColor="text1"/>
          <w:szCs w:val="18"/>
          <w:lang w:val="nl-NL"/>
        </w:rPr>
        <w:t xml:space="preserve"> niet op eenduidige wijze worden gesteld in welke mate de hervorming van deze strafbaarstellingen reeds voelbaar is.</w:t>
      </w:r>
      <w:r w:rsidR="005568D4" w:rsidRPr="00187DF7">
        <w:rPr>
          <w:rStyle w:val="FootnoteReference"/>
          <w:color w:val="000000" w:themeColor="text1"/>
        </w:rPr>
        <w:footnoteReference w:id="709"/>
      </w:r>
      <w:r w:rsidRPr="00D53595">
        <w:rPr>
          <w:color w:val="000000" w:themeColor="text1"/>
          <w:szCs w:val="18"/>
          <w:lang w:val="nl-NL"/>
        </w:rPr>
        <w:t xml:space="preserve"> Hiervoor is het dan ook wachten op verduidelijking vanwege de (hoogste) rechtscolleges.</w:t>
      </w:r>
      <w:r w:rsidR="00D53595" w:rsidRPr="00D53595">
        <w:rPr>
          <w:color w:val="FF0000"/>
          <w:szCs w:val="18"/>
          <w:lang w:val="nl-NL"/>
        </w:rPr>
        <w:t xml:space="preserve"> </w:t>
      </w:r>
    </w:p>
    <w:p w14:paraId="4CB26F6F" w14:textId="77777777" w:rsidR="007060E1" w:rsidRDefault="007060E1" w:rsidP="00260F11">
      <w:pPr>
        <w:pStyle w:val="ListParagraph"/>
        <w:spacing w:line="360" w:lineRule="auto"/>
        <w:ind w:left="0"/>
        <w:rPr>
          <w:color w:val="000000" w:themeColor="text1"/>
          <w:szCs w:val="18"/>
          <w:lang w:val="nl-NL"/>
        </w:rPr>
      </w:pPr>
    </w:p>
    <w:p w14:paraId="7469DAED" w14:textId="77777777" w:rsidR="007060E1" w:rsidRDefault="007060E1" w:rsidP="00260F11">
      <w:pPr>
        <w:spacing w:line="360" w:lineRule="auto"/>
        <w:rPr>
          <w:color w:val="000000" w:themeColor="text1"/>
          <w:szCs w:val="18"/>
          <w:lang w:val="nl-NL"/>
        </w:rPr>
      </w:pPr>
    </w:p>
    <w:p w14:paraId="1C009BA1" w14:textId="77777777" w:rsidR="007060E1" w:rsidRDefault="007060E1" w:rsidP="00260F11">
      <w:pPr>
        <w:spacing w:line="360" w:lineRule="auto"/>
        <w:jc w:val="left"/>
        <w:rPr>
          <w:color w:val="000000" w:themeColor="text1"/>
          <w:szCs w:val="18"/>
          <w:lang w:val="nl-NL"/>
        </w:rPr>
        <w:sectPr w:rsidR="007060E1" w:rsidSect="0026404D">
          <w:footerReference w:type="default" r:id="rId27"/>
          <w:pgSz w:w="11906" w:h="16838"/>
          <w:pgMar w:top="1417" w:right="1417" w:bottom="1417" w:left="1417" w:header="709" w:footer="709" w:gutter="0"/>
          <w:cols w:space="708"/>
          <w:docGrid w:linePitch="360"/>
        </w:sectPr>
      </w:pPr>
    </w:p>
    <w:p w14:paraId="5E5F27C2" w14:textId="77777777" w:rsidR="007060E1" w:rsidRDefault="007060E1" w:rsidP="00260F11">
      <w:pPr>
        <w:spacing w:line="360" w:lineRule="auto"/>
        <w:jc w:val="left"/>
        <w:rPr>
          <w:color w:val="000000" w:themeColor="text1"/>
          <w:szCs w:val="18"/>
          <w:lang w:val="nl-NL"/>
        </w:rPr>
        <w:sectPr w:rsidR="007060E1" w:rsidSect="0026404D">
          <w:footerReference w:type="default" r:id="rId28"/>
          <w:pgSz w:w="11906" w:h="16838"/>
          <w:pgMar w:top="1417" w:right="1417" w:bottom="1417" w:left="1417" w:header="709" w:footer="709" w:gutter="0"/>
          <w:cols w:space="708"/>
          <w:docGrid w:linePitch="360"/>
        </w:sectPr>
      </w:pPr>
    </w:p>
    <w:p w14:paraId="7F407E12" w14:textId="17C5B040" w:rsidR="00A54C0D" w:rsidRDefault="00A54C0D" w:rsidP="00260F11">
      <w:pPr>
        <w:pStyle w:val="Heading1"/>
      </w:pPr>
      <w:bookmarkStart w:id="98" w:name="_Toc135041126"/>
      <w:r w:rsidRPr="00A54C0D">
        <w:lastRenderedPageBreak/>
        <w:t>Bibliografie</w:t>
      </w:r>
      <w:bookmarkEnd w:id="98"/>
    </w:p>
    <w:p w14:paraId="79B3E840" w14:textId="77777777" w:rsidR="003C10FB" w:rsidRPr="003C10FB" w:rsidRDefault="003C10FB" w:rsidP="00260F11">
      <w:pPr>
        <w:spacing w:line="360" w:lineRule="auto"/>
      </w:pPr>
    </w:p>
    <w:p w14:paraId="3204AE79" w14:textId="4457A18C" w:rsidR="003C10FB" w:rsidRDefault="003C10FB" w:rsidP="00260F11">
      <w:pPr>
        <w:numPr>
          <w:ilvl w:val="0"/>
          <w:numId w:val="21"/>
        </w:numPr>
        <w:spacing w:after="160" w:line="360" w:lineRule="auto"/>
        <w:rPr>
          <w:rFonts w:eastAsia="Verdana" w:cs="Verdana"/>
          <w:b/>
          <w:szCs w:val="18"/>
        </w:rPr>
      </w:pPr>
      <w:r>
        <w:rPr>
          <w:rFonts w:eastAsia="Verdana" w:cs="Verdana"/>
          <w:b/>
          <w:szCs w:val="18"/>
        </w:rPr>
        <w:t>Internationaal</w:t>
      </w:r>
    </w:p>
    <w:p w14:paraId="78A62EB9" w14:textId="77777777" w:rsidR="003C10FB" w:rsidRDefault="003C10FB" w:rsidP="00260F11">
      <w:pPr>
        <w:spacing w:after="160" w:line="360" w:lineRule="auto"/>
        <w:rPr>
          <w:rFonts w:eastAsia="Verdana" w:cs="Verdana"/>
          <w:b/>
          <w:szCs w:val="18"/>
        </w:rPr>
      </w:pPr>
      <w:r>
        <w:rPr>
          <w:rFonts w:eastAsia="Verdana" w:cs="Verdana"/>
          <w:b/>
          <w:szCs w:val="18"/>
        </w:rPr>
        <w:t>1.1 Rechtspraak</w:t>
      </w:r>
    </w:p>
    <w:p w14:paraId="1A5B5616" w14:textId="77777777" w:rsidR="003C10FB" w:rsidRDefault="003C10FB" w:rsidP="00260F11">
      <w:pPr>
        <w:spacing w:after="160" w:line="360" w:lineRule="auto"/>
        <w:rPr>
          <w:rFonts w:eastAsia="Verdana" w:cs="Verdana"/>
          <w:szCs w:val="18"/>
        </w:rPr>
      </w:pPr>
      <w:r>
        <w:rPr>
          <w:rFonts w:eastAsia="Verdana" w:cs="Verdana"/>
          <w:szCs w:val="18"/>
        </w:rPr>
        <w:t>Internationaal Straftribunaal voor ex-Joegoslavië 22 februari 2002, Kunarac, Kovač en Vuković.</w:t>
      </w:r>
    </w:p>
    <w:p w14:paraId="3D024C9B" w14:textId="77777777" w:rsidR="003C10FB" w:rsidRPr="009C29A6" w:rsidRDefault="003C10FB" w:rsidP="00260F11">
      <w:pPr>
        <w:spacing w:after="160" w:line="360" w:lineRule="auto"/>
        <w:rPr>
          <w:rFonts w:eastAsia="Verdana" w:cs="Verdana"/>
          <w:b/>
          <w:szCs w:val="18"/>
          <w:lang w:val="en-GB"/>
        </w:rPr>
      </w:pPr>
      <w:r w:rsidRPr="009C29A6">
        <w:rPr>
          <w:rFonts w:eastAsia="Verdana" w:cs="Verdana"/>
          <w:b/>
          <w:szCs w:val="18"/>
          <w:lang w:val="en-GB"/>
        </w:rPr>
        <w:t>1.2 Onlinebronnen</w:t>
      </w:r>
    </w:p>
    <w:p w14:paraId="1C419C25" w14:textId="6541912F" w:rsidR="003C10FB" w:rsidRPr="009C29A6" w:rsidRDefault="003C10FB" w:rsidP="00260F11">
      <w:pPr>
        <w:pBdr>
          <w:top w:val="nil"/>
          <w:left w:val="nil"/>
          <w:bottom w:val="nil"/>
          <w:right w:val="nil"/>
          <w:between w:val="nil"/>
        </w:pBdr>
        <w:spacing w:after="160" w:line="360" w:lineRule="auto"/>
        <w:rPr>
          <w:rFonts w:eastAsia="Verdana" w:cs="Verdana"/>
          <w:color w:val="1155CC"/>
          <w:szCs w:val="18"/>
          <w:u w:val="single"/>
          <w:lang w:val="en-GB"/>
        </w:rPr>
      </w:pPr>
      <w:r w:rsidRPr="009C29A6">
        <w:rPr>
          <w:rFonts w:eastAsia="Verdana" w:cs="Verdana"/>
          <w:szCs w:val="18"/>
          <w:lang w:val="en-GB"/>
        </w:rPr>
        <w:t xml:space="preserve">UNITED NATIONS ENTITY FOR GENDER EQUALITY AND THE EMPOWERMENT OF WOMEN (UN WOMEN), “Handbook for legislation on violence against women”, </w:t>
      </w:r>
      <w:r w:rsidR="009A4A7D" w:rsidRPr="009C29A6">
        <w:rPr>
          <w:rFonts w:eastAsia="Verdana" w:cs="Verdana"/>
          <w:szCs w:val="18"/>
          <w:lang w:val="en-GB"/>
        </w:rPr>
        <w:t>www.unwomen.org/sites/default/files/Headquarters/Attachments/Sections/Library/Publications/2012/12/UNW_Legislation-Handbook%20pdf.pdf (</w:t>
      </w:r>
      <w:r w:rsidRPr="009C29A6">
        <w:rPr>
          <w:rFonts w:eastAsia="Verdana" w:cs="Verdana"/>
          <w:szCs w:val="18"/>
          <w:lang w:val="en-GB"/>
        </w:rPr>
        <w:t>consultatie 25 april 2023).</w:t>
      </w:r>
    </w:p>
    <w:p w14:paraId="1C0FF602" w14:textId="0B44321C" w:rsidR="003C10FB" w:rsidRDefault="003C10FB" w:rsidP="00260F11">
      <w:pPr>
        <w:numPr>
          <w:ilvl w:val="0"/>
          <w:numId w:val="21"/>
        </w:numPr>
        <w:spacing w:after="160" w:line="360" w:lineRule="auto"/>
        <w:rPr>
          <w:rFonts w:eastAsia="Verdana" w:cs="Verdana"/>
          <w:b/>
          <w:szCs w:val="18"/>
        </w:rPr>
      </w:pPr>
      <w:r>
        <w:rPr>
          <w:rFonts w:eastAsia="Verdana" w:cs="Verdana"/>
          <w:b/>
          <w:szCs w:val="18"/>
        </w:rPr>
        <w:t>Raad van Europa</w:t>
      </w:r>
    </w:p>
    <w:p w14:paraId="2B5D77E7" w14:textId="77777777" w:rsidR="003C10FB" w:rsidRDefault="003C10FB" w:rsidP="00260F11">
      <w:pPr>
        <w:spacing w:after="160" w:line="360" w:lineRule="auto"/>
        <w:rPr>
          <w:rFonts w:eastAsia="Verdana" w:cs="Verdana"/>
          <w:b/>
          <w:szCs w:val="18"/>
        </w:rPr>
      </w:pPr>
      <w:r>
        <w:rPr>
          <w:rFonts w:eastAsia="Verdana" w:cs="Verdana"/>
          <w:b/>
          <w:szCs w:val="18"/>
        </w:rPr>
        <w:t>2.1 Wetgeving</w:t>
      </w:r>
    </w:p>
    <w:p w14:paraId="3BCDB634" w14:textId="77777777" w:rsidR="003C10FB" w:rsidRDefault="003C10FB" w:rsidP="00260F11">
      <w:pPr>
        <w:spacing w:after="160" w:line="360" w:lineRule="auto"/>
        <w:rPr>
          <w:rFonts w:eastAsia="Verdana" w:cs="Verdana"/>
          <w:szCs w:val="18"/>
        </w:rPr>
      </w:pPr>
      <w:r>
        <w:rPr>
          <w:rFonts w:eastAsia="Verdana" w:cs="Verdana"/>
          <w:szCs w:val="18"/>
        </w:rPr>
        <w:t xml:space="preserve">Verdrag van de Raad van Europa inzake het voorkomen en bestrijden van geweld tegen vrouwen en huiselijk geweld, </w:t>
      </w:r>
      <w:r>
        <w:rPr>
          <w:rFonts w:eastAsia="Verdana" w:cs="Verdana"/>
          <w:i/>
          <w:szCs w:val="18"/>
        </w:rPr>
        <w:t>CETS</w:t>
      </w:r>
      <w:r>
        <w:rPr>
          <w:rFonts w:eastAsia="Verdana" w:cs="Verdana"/>
          <w:szCs w:val="18"/>
        </w:rPr>
        <w:t xml:space="preserve"> 11 mei 2011, nr. 210 (“Verdrag van Istanbul”).</w:t>
      </w:r>
    </w:p>
    <w:p w14:paraId="3A75B2B8" w14:textId="56231ED0" w:rsidR="003C10FB" w:rsidRDefault="003C10FB" w:rsidP="00260F11">
      <w:pPr>
        <w:pBdr>
          <w:top w:val="nil"/>
          <w:left w:val="nil"/>
          <w:bottom w:val="nil"/>
          <w:right w:val="nil"/>
          <w:between w:val="nil"/>
        </w:pBdr>
        <w:spacing w:after="160" w:line="360" w:lineRule="auto"/>
        <w:rPr>
          <w:rFonts w:eastAsia="Verdana" w:cs="Verdana"/>
          <w:szCs w:val="18"/>
        </w:rPr>
      </w:pPr>
      <w:r w:rsidRPr="001656BC">
        <w:rPr>
          <w:rFonts w:eastAsia="Verdana" w:cs="Verdana"/>
          <w:i/>
          <w:szCs w:val="18"/>
        </w:rPr>
        <w:t xml:space="preserve">Explanatory Report </w:t>
      </w:r>
      <w:r>
        <w:rPr>
          <w:rFonts w:eastAsia="Verdana" w:cs="Verdana"/>
          <w:szCs w:val="18"/>
        </w:rPr>
        <w:t xml:space="preserve">bij het Verdrag van de Raad van Europa inzake het voorkomen en bestrijden van geweld tegen vrouwen en huiselijk geweld, </w:t>
      </w:r>
      <w:r>
        <w:rPr>
          <w:rFonts w:eastAsia="Verdana" w:cs="Verdana"/>
          <w:i/>
          <w:szCs w:val="18"/>
        </w:rPr>
        <w:t>CETS</w:t>
      </w:r>
      <w:r>
        <w:rPr>
          <w:rFonts w:eastAsia="Verdana" w:cs="Verdana"/>
          <w:szCs w:val="18"/>
        </w:rPr>
        <w:t xml:space="preserve"> 11 mei 2011, nr. 210 (“Verdrag van Istanbul”).</w:t>
      </w:r>
    </w:p>
    <w:p w14:paraId="1C6200D5" w14:textId="4104B87A" w:rsidR="00FD513D" w:rsidRDefault="00FD513D" w:rsidP="00260F11">
      <w:pPr>
        <w:pBdr>
          <w:top w:val="nil"/>
          <w:left w:val="nil"/>
          <w:bottom w:val="nil"/>
          <w:right w:val="nil"/>
          <w:between w:val="nil"/>
        </w:pBdr>
        <w:spacing w:after="160" w:line="360" w:lineRule="auto"/>
        <w:rPr>
          <w:rFonts w:eastAsia="Verdana" w:cs="Verdana"/>
          <w:szCs w:val="18"/>
        </w:rPr>
      </w:pPr>
      <w:r>
        <w:rPr>
          <w:rFonts w:eastAsia="Verdana" w:cs="Verdana"/>
          <w:szCs w:val="18"/>
        </w:rPr>
        <w:t>Raad van Europa, Comité van ministers, Aanbeveling nr. 5 (2002) van 30 april 2002 inzake de bescherming van vrouwen tegen geweld.</w:t>
      </w:r>
    </w:p>
    <w:p w14:paraId="5056000E" w14:textId="77777777" w:rsidR="003C10FB" w:rsidRDefault="003C10FB" w:rsidP="00260F11">
      <w:pPr>
        <w:spacing w:after="160" w:line="360" w:lineRule="auto"/>
        <w:rPr>
          <w:rFonts w:eastAsia="Verdana" w:cs="Verdana"/>
          <w:b/>
          <w:szCs w:val="18"/>
        </w:rPr>
      </w:pPr>
      <w:r>
        <w:rPr>
          <w:rFonts w:eastAsia="Verdana" w:cs="Verdana"/>
          <w:b/>
          <w:szCs w:val="18"/>
        </w:rPr>
        <w:t>2.2 Rechtspraak</w:t>
      </w:r>
    </w:p>
    <w:p w14:paraId="0E4CF04E" w14:textId="77777777" w:rsidR="003C10FB" w:rsidRDefault="003C10FB" w:rsidP="00260F11">
      <w:pPr>
        <w:spacing w:after="160" w:line="360" w:lineRule="auto"/>
        <w:rPr>
          <w:rFonts w:eastAsia="Verdana" w:cs="Verdana"/>
          <w:szCs w:val="18"/>
        </w:rPr>
      </w:pPr>
      <w:r>
        <w:rPr>
          <w:rFonts w:eastAsia="Verdana" w:cs="Verdana"/>
          <w:szCs w:val="18"/>
        </w:rPr>
        <w:t xml:space="preserve">EHRM 4 december 2003, </w:t>
      </w:r>
      <w:r>
        <w:rPr>
          <w:rFonts w:eastAsia="Verdana" w:cs="Verdana"/>
          <w:i/>
          <w:szCs w:val="18"/>
        </w:rPr>
        <w:t>M.C./Bulgarije,</w:t>
      </w:r>
      <w:r>
        <w:rPr>
          <w:rFonts w:eastAsia="Verdana" w:cs="Verdana"/>
          <w:szCs w:val="18"/>
        </w:rPr>
        <w:t xml:space="preserve"> 39727/98.</w:t>
      </w:r>
    </w:p>
    <w:p w14:paraId="38ABA44C" w14:textId="77777777" w:rsidR="003C10FB" w:rsidRDefault="003C10FB" w:rsidP="00260F11">
      <w:pPr>
        <w:spacing w:after="160" w:line="360" w:lineRule="auto"/>
        <w:rPr>
          <w:rFonts w:eastAsia="Verdana" w:cs="Verdana"/>
          <w:szCs w:val="18"/>
        </w:rPr>
      </w:pPr>
      <w:r>
        <w:rPr>
          <w:rFonts w:eastAsia="Verdana" w:cs="Verdana"/>
          <w:szCs w:val="18"/>
        </w:rPr>
        <w:t xml:space="preserve">EHRM 22 oktober 1981, nr. 7525/76, Dudgeon t. Verenigd Koninkrijk. </w:t>
      </w:r>
    </w:p>
    <w:p w14:paraId="2BCAC7C9" w14:textId="77777777" w:rsidR="003C10FB" w:rsidRPr="009C29A6" w:rsidRDefault="003C10FB" w:rsidP="00260F11">
      <w:pPr>
        <w:spacing w:after="160" w:line="360" w:lineRule="auto"/>
        <w:rPr>
          <w:rFonts w:eastAsia="Verdana" w:cs="Verdana"/>
          <w:b/>
          <w:szCs w:val="18"/>
          <w:lang w:val="en-GB"/>
        </w:rPr>
      </w:pPr>
      <w:r w:rsidRPr="009C29A6">
        <w:rPr>
          <w:rFonts w:eastAsia="Verdana" w:cs="Verdana"/>
          <w:b/>
          <w:szCs w:val="18"/>
          <w:lang w:val="en-GB"/>
        </w:rPr>
        <w:t>2.3 Onlinebronnen</w:t>
      </w:r>
    </w:p>
    <w:p w14:paraId="1D5F2B22" w14:textId="620F6A30"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COUNCIL OF EUROPE, “Chart of signatures and ratifications of Treaty 210”, </w:t>
      </w:r>
      <w:r w:rsidR="009A4A7D" w:rsidRPr="009C29A6">
        <w:rPr>
          <w:rFonts w:eastAsia="Verdana" w:cs="Verdana"/>
          <w:szCs w:val="18"/>
          <w:lang w:val="en-GB"/>
        </w:rPr>
        <w:t xml:space="preserve">www.coe.int/en/web/conventions/full-list?module=signatures-by-treaty&amp;treatynum=210 </w:t>
      </w:r>
      <w:r w:rsidRPr="009C29A6">
        <w:rPr>
          <w:rFonts w:eastAsia="Verdana" w:cs="Verdana"/>
          <w:szCs w:val="18"/>
          <w:lang w:val="en-GB"/>
        </w:rPr>
        <w:t>(consultatie 25 maart 2023).</w:t>
      </w:r>
    </w:p>
    <w:p w14:paraId="0469B0A6" w14:textId="5F454CD4" w:rsidR="00FD513D" w:rsidRPr="009C29A6" w:rsidRDefault="00FD513D" w:rsidP="00260F11">
      <w:pPr>
        <w:spacing w:after="160" w:line="360" w:lineRule="auto"/>
        <w:rPr>
          <w:rFonts w:eastAsia="Verdana" w:cs="Verdana"/>
          <w:szCs w:val="18"/>
          <w:lang w:val="en-GB"/>
        </w:rPr>
      </w:pPr>
      <w:r w:rsidRPr="009C29A6">
        <w:rPr>
          <w:rFonts w:eastAsia="Verdana" w:cs="Verdana"/>
          <w:szCs w:val="18"/>
          <w:lang w:val="en-GB"/>
        </w:rPr>
        <w:t>COUNCIL OF EUROPE, “GREVIO”,</w:t>
      </w:r>
      <w:r w:rsidRPr="009C29A6">
        <w:rPr>
          <w:lang w:val="en-GB"/>
        </w:rPr>
        <w:t xml:space="preserve"> </w:t>
      </w:r>
      <w:r w:rsidRPr="009C29A6">
        <w:rPr>
          <w:rFonts w:eastAsia="Verdana" w:cs="Verdana"/>
          <w:szCs w:val="18"/>
          <w:lang w:val="en-GB"/>
        </w:rPr>
        <w:t>www.coe.int/en/web/istanbul-convention/grevio (consultatie 25 april 2023).</w:t>
      </w:r>
    </w:p>
    <w:p w14:paraId="67068B45" w14:textId="041624D4"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GROUP OF EXPERTS ON ACTION AGAINST VIOLENCE AGAINST WOMEN AND DOMESTIC VIOLENCE (GREVIO), “GREVIO’s Baseline Evaluation Report Belgium”, 26 juni 2020</w:t>
      </w:r>
      <w:r w:rsidR="00963830" w:rsidRPr="009C29A6">
        <w:rPr>
          <w:rFonts w:eastAsia="Verdana" w:cs="Verdana"/>
          <w:szCs w:val="18"/>
          <w:lang w:val="en-GB"/>
        </w:rPr>
        <w:t xml:space="preserve">, https://rm.coe.int/grevio-report-on-belgium/16809f9a2c </w:t>
      </w:r>
      <w:r w:rsidRPr="009C29A6">
        <w:rPr>
          <w:rFonts w:eastAsia="Verdana" w:cs="Verdana"/>
          <w:szCs w:val="18"/>
          <w:lang w:val="en-GB"/>
        </w:rPr>
        <w:t>(consultatie 25 april 2023).</w:t>
      </w:r>
    </w:p>
    <w:p w14:paraId="54020BFC" w14:textId="72E9F765" w:rsidR="003C10FB" w:rsidRDefault="003C10FB" w:rsidP="00260F11">
      <w:pPr>
        <w:numPr>
          <w:ilvl w:val="0"/>
          <w:numId w:val="21"/>
        </w:numPr>
        <w:spacing w:after="160" w:line="360" w:lineRule="auto"/>
        <w:rPr>
          <w:rFonts w:eastAsia="Verdana" w:cs="Verdana"/>
          <w:b/>
          <w:szCs w:val="18"/>
        </w:rPr>
      </w:pPr>
      <w:r>
        <w:rPr>
          <w:rFonts w:eastAsia="Verdana" w:cs="Verdana"/>
          <w:b/>
          <w:szCs w:val="18"/>
        </w:rPr>
        <w:t>Europese Unie</w:t>
      </w:r>
    </w:p>
    <w:p w14:paraId="3FB45AE8" w14:textId="77777777" w:rsidR="005B0438" w:rsidRDefault="003C10FB" w:rsidP="005B0438">
      <w:pPr>
        <w:spacing w:after="160" w:line="360" w:lineRule="auto"/>
        <w:rPr>
          <w:rFonts w:eastAsia="Verdana" w:cs="Verdana"/>
          <w:b/>
          <w:szCs w:val="18"/>
        </w:rPr>
      </w:pPr>
      <w:r>
        <w:rPr>
          <w:rFonts w:eastAsia="Verdana" w:cs="Verdana"/>
          <w:b/>
          <w:szCs w:val="18"/>
        </w:rPr>
        <w:t>3.1 Wetgeving</w:t>
      </w:r>
    </w:p>
    <w:p w14:paraId="2C192404" w14:textId="2449D670" w:rsidR="003C10FB" w:rsidRPr="005B0438" w:rsidRDefault="003C10FB" w:rsidP="005B0438">
      <w:pPr>
        <w:spacing w:after="160" w:line="360" w:lineRule="auto"/>
        <w:rPr>
          <w:rFonts w:eastAsia="Verdana" w:cs="Verdana"/>
          <w:b/>
          <w:szCs w:val="18"/>
        </w:rPr>
      </w:pPr>
      <w:r>
        <w:rPr>
          <w:rFonts w:eastAsia="Verdana" w:cs="Verdana"/>
          <w:szCs w:val="18"/>
        </w:rPr>
        <w:lastRenderedPageBreak/>
        <w:t>Richtlijn 2011/93/EU van het Europees Parlement en de Raad van 13 december 2011 ter bestrijding van seksueel misbruik en seksuele uitbuiting van kinderen en kinderpornografie, en ter vervanging van Kaderbesluit 2004/68/JBZ van de Raad</w:t>
      </w:r>
    </w:p>
    <w:p w14:paraId="5B87820C" w14:textId="5DD51F48" w:rsidR="003C10FB" w:rsidRDefault="003C10FB" w:rsidP="00260F11">
      <w:pPr>
        <w:numPr>
          <w:ilvl w:val="0"/>
          <w:numId w:val="21"/>
        </w:numPr>
        <w:spacing w:after="160" w:line="360" w:lineRule="auto"/>
        <w:rPr>
          <w:rFonts w:eastAsia="Verdana" w:cs="Verdana"/>
          <w:b/>
          <w:szCs w:val="18"/>
        </w:rPr>
      </w:pPr>
      <w:r>
        <w:rPr>
          <w:rFonts w:eastAsia="Verdana" w:cs="Verdana"/>
          <w:b/>
          <w:szCs w:val="18"/>
        </w:rPr>
        <w:t>België</w:t>
      </w:r>
    </w:p>
    <w:p w14:paraId="7894E2F8" w14:textId="77777777" w:rsidR="003C10FB" w:rsidRDefault="003C10FB" w:rsidP="00260F11">
      <w:pPr>
        <w:spacing w:after="160" w:line="360" w:lineRule="auto"/>
        <w:rPr>
          <w:rFonts w:eastAsia="Verdana" w:cs="Verdana"/>
          <w:b/>
          <w:szCs w:val="18"/>
        </w:rPr>
      </w:pPr>
      <w:r>
        <w:rPr>
          <w:rFonts w:eastAsia="Verdana" w:cs="Verdana"/>
          <w:b/>
          <w:szCs w:val="18"/>
        </w:rPr>
        <w:t>4.1 Wetgeving</w:t>
      </w:r>
    </w:p>
    <w:p w14:paraId="02D4316B" w14:textId="77777777" w:rsidR="003C10FB" w:rsidRDefault="003C10FB" w:rsidP="00260F11">
      <w:pPr>
        <w:spacing w:after="160" w:line="360" w:lineRule="auto"/>
        <w:rPr>
          <w:rFonts w:eastAsia="Verdana" w:cs="Verdana"/>
          <w:b/>
          <w:szCs w:val="18"/>
        </w:rPr>
      </w:pPr>
      <w:r>
        <w:rPr>
          <w:rFonts w:eastAsia="Verdana" w:cs="Verdana"/>
          <w:b/>
          <w:szCs w:val="18"/>
        </w:rPr>
        <w:t>4.1.1 Wetgevende normen</w:t>
      </w:r>
    </w:p>
    <w:p w14:paraId="217889F3" w14:textId="77777777" w:rsidR="003C10FB" w:rsidRDefault="003C10FB" w:rsidP="00260F11">
      <w:pPr>
        <w:spacing w:after="160" w:line="360" w:lineRule="auto"/>
        <w:rPr>
          <w:rFonts w:eastAsia="Verdana" w:cs="Verdana"/>
          <w:szCs w:val="18"/>
        </w:rPr>
      </w:pPr>
      <w:r>
        <w:rPr>
          <w:rFonts w:eastAsia="Verdana" w:cs="Verdana"/>
          <w:szCs w:val="18"/>
        </w:rPr>
        <w:t>Artikel 22bis van de Grondwet</w:t>
      </w:r>
    </w:p>
    <w:p w14:paraId="2850EBF9" w14:textId="77777777" w:rsidR="003C10FB" w:rsidRDefault="003C10FB" w:rsidP="00260F11">
      <w:pPr>
        <w:spacing w:after="160" w:line="360" w:lineRule="auto"/>
        <w:rPr>
          <w:rFonts w:eastAsia="Verdana" w:cs="Verdana"/>
          <w:szCs w:val="18"/>
        </w:rPr>
      </w:pPr>
      <w:r>
        <w:rPr>
          <w:rFonts w:eastAsia="Verdana" w:cs="Verdana"/>
          <w:szCs w:val="18"/>
        </w:rPr>
        <w:t>Strafwetboek</w:t>
      </w:r>
    </w:p>
    <w:p w14:paraId="43797EE2" w14:textId="77777777" w:rsidR="003C10FB" w:rsidRDefault="003C10FB" w:rsidP="00260F11">
      <w:pPr>
        <w:spacing w:after="160" w:line="360" w:lineRule="auto"/>
        <w:rPr>
          <w:rFonts w:eastAsia="Verdana" w:cs="Verdana"/>
          <w:szCs w:val="18"/>
        </w:rPr>
      </w:pPr>
      <w:r>
        <w:rPr>
          <w:rFonts w:eastAsia="Verdana" w:cs="Verdana"/>
          <w:szCs w:val="18"/>
        </w:rPr>
        <w:t xml:space="preserve">Wet 21 maart 2022 houdende wijzigingen aan het Strafwetboek met betrekking tot het seksueel strafrecht, </w:t>
      </w:r>
      <w:r>
        <w:rPr>
          <w:rFonts w:eastAsia="Verdana" w:cs="Verdana"/>
          <w:i/>
          <w:szCs w:val="18"/>
        </w:rPr>
        <w:t>BS</w:t>
      </w:r>
      <w:r>
        <w:rPr>
          <w:rFonts w:eastAsia="Verdana" w:cs="Verdana"/>
          <w:szCs w:val="18"/>
        </w:rPr>
        <w:t xml:space="preserve"> 30 maart 2022.</w:t>
      </w:r>
    </w:p>
    <w:p w14:paraId="27056C42" w14:textId="77777777" w:rsidR="003C10FB" w:rsidRDefault="003C10FB" w:rsidP="00260F11">
      <w:pPr>
        <w:spacing w:after="160" w:line="360" w:lineRule="auto"/>
        <w:rPr>
          <w:rFonts w:eastAsia="Verdana" w:cs="Verdana"/>
          <w:szCs w:val="18"/>
        </w:rPr>
      </w:pPr>
      <w:r>
        <w:rPr>
          <w:rFonts w:eastAsia="Verdana" w:cs="Verdana"/>
          <w:szCs w:val="18"/>
        </w:rPr>
        <w:t xml:space="preserve">Wet 1 maart 2016 houdende instemming met het Verdrag van de Raad van Europa inzake het voorkomen en bestrijden van geweld tegen vrouwen en huiselijk geweld, gedaan te Istanbul op 11 mei 2011, </w:t>
      </w:r>
      <w:r>
        <w:rPr>
          <w:rFonts w:eastAsia="Verdana" w:cs="Verdana"/>
          <w:i/>
          <w:szCs w:val="18"/>
        </w:rPr>
        <w:t>BS</w:t>
      </w:r>
      <w:r>
        <w:rPr>
          <w:rFonts w:eastAsia="Verdana" w:cs="Verdana"/>
          <w:szCs w:val="18"/>
        </w:rPr>
        <w:t xml:space="preserve"> 9 juni 2016.</w:t>
      </w:r>
    </w:p>
    <w:p w14:paraId="1616F6BF" w14:textId="77777777" w:rsidR="003C10FB" w:rsidRDefault="003C10FB" w:rsidP="00260F11">
      <w:pPr>
        <w:spacing w:after="160" w:line="360" w:lineRule="auto"/>
        <w:rPr>
          <w:rFonts w:eastAsia="Verdana" w:cs="Verdana"/>
          <w:szCs w:val="18"/>
        </w:rPr>
      </w:pPr>
      <w:r>
        <w:rPr>
          <w:rFonts w:eastAsia="Verdana" w:cs="Verdana"/>
          <w:szCs w:val="18"/>
        </w:rPr>
        <w:t xml:space="preserve">Wet 1 februari 2016 tot wijziging van diverse bepalingen wat de aanranding van de eerbaarheid en het voyeurisme betreft, </w:t>
      </w:r>
      <w:r>
        <w:rPr>
          <w:rFonts w:eastAsia="Verdana" w:cs="Verdana"/>
          <w:i/>
          <w:szCs w:val="18"/>
        </w:rPr>
        <w:t>BS</w:t>
      </w:r>
      <w:r>
        <w:rPr>
          <w:rFonts w:eastAsia="Verdana" w:cs="Verdana"/>
          <w:szCs w:val="18"/>
        </w:rPr>
        <w:t xml:space="preserve"> 19 februari 2016.</w:t>
      </w:r>
    </w:p>
    <w:p w14:paraId="0A04BDE7" w14:textId="14DDF202" w:rsidR="003C10FB" w:rsidRDefault="00142E03" w:rsidP="00260F11">
      <w:pPr>
        <w:spacing w:after="160" w:line="360" w:lineRule="auto"/>
        <w:rPr>
          <w:rFonts w:eastAsia="Verdana" w:cs="Verdana"/>
          <w:b/>
          <w:szCs w:val="18"/>
        </w:rPr>
      </w:pPr>
      <w:r>
        <w:rPr>
          <w:rFonts w:eastAsia="Verdana" w:cs="Verdana"/>
          <w:b/>
          <w:szCs w:val="18"/>
        </w:rPr>
        <w:t>4</w:t>
      </w:r>
      <w:r w:rsidR="003C10FB">
        <w:rPr>
          <w:rFonts w:eastAsia="Verdana" w:cs="Verdana"/>
          <w:b/>
          <w:szCs w:val="18"/>
        </w:rPr>
        <w:t>.1.2 Ministeriële Besluiten</w:t>
      </w:r>
    </w:p>
    <w:p w14:paraId="72F60974" w14:textId="77777777" w:rsidR="003C10FB" w:rsidRDefault="003C10FB" w:rsidP="00260F11">
      <w:pPr>
        <w:pBdr>
          <w:top w:val="nil"/>
          <w:left w:val="nil"/>
          <w:bottom w:val="nil"/>
          <w:right w:val="nil"/>
          <w:between w:val="nil"/>
        </w:pBdr>
        <w:spacing w:after="160" w:line="360" w:lineRule="auto"/>
        <w:rPr>
          <w:rFonts w:eastAsia="Verdana" w:cs="Verdana"/>
          <w:szCs w:val="18"/>
        </w:rPr>
      </w:pPr>
      <w:r>
        <w:rPr>
          <w:rFonts w:eastAsia="Verdana" w:cs="Verdana"/>
          <w:szCs w:val="18"/>
        </w:rPr>
        <w:t xml:space="preserve">MB 22 december 2020 houdende oprichting van de Commissie tot hervorming van het strafrecht, </w:t>
      </w:r>
      <w:r>
        <w:rPr>
          <w:rFonts w:eastAsia="Verdana" w:cs="Verdana"/>
          <w:i/>
          <w:szCs w:val="18"/>
        </w:rPr>
        <w:t>BS</w:t>
      </w:r>
      <w:r>
        <w:rPr>
          <w:rFonts w:eastAsia="Verdana" w:cs="Verdana"/>
          <w:szCs w:val="18"/>
        </w:rPr>
        <w:t xml:space="preserve"> 20 januari 2021. </w:t>
      </w:r>
    </w:p>
    <w:p w14:paraId="63D58C5E" w14:textId="77777777" w:rsidR="003C10FB" w:rsidRDefault="003C10FB" w:rsidP="00260F11">
      <w:pPr>
        <w:spacing w:after="160" w:line="360" w:lineRule="auto"/>
        <w:rPr>
          <w:rFonts w:eastAsia="Verdana" w:cs="Verdana"/>
          <w:szCs w:val="18"/>
        </w:rPr>
      </w:pPr>
      <w:r>
        <w:rPr>
          <w:rFonts w:eastAsia="Verdana" w:cs="Verdana"/>
          <w:szCs w:val="18"/>
        </w:rPr>
        <w:t xml:space="preserve">MB 30 oktober 2015 houdende oprichting van de Commissie tot hervorming van het strafrecht, </w:t>
      </w:r>
      <w:r>
        <w:rPr>
          <w:rFonts w:eastAsia="Verdana" w:cs="Verdana"/>
          <w:i/>
          <w:szCs w:val="18"/>
        </w:rPr>
        <w:t>BS</w:t>
      </w:r>
      <w:r>
        <w:rPr>
          <w:rFonts w:eastAsia="Verdana" w:cs="Verdana"/>
          <w:szCs w:val="18"/>
        </w:rPr>
        <w:t xml:space="preserve"> 29 december 2015. </w:t>
      </w:r>
    </w:p>
    <w:p w14:paraId="1276DB47" w14:textId="77777777" w:rsidR="003C10FB" w:rsidRDefault="003C10FB" w:rsidP="00260F11">
      <w:pPr>
        <w:spacing w:after="160" w:line="360" w:lineRule="auto"/>
        <w:rPr>
          <w:rFonts w:eastAsia="Verdana" w:cs="Verdana"/>
          <w:b/>
          <w:szCs w:val="18"/>
        </w:rPr>
      </w:pPr>
      <w:r>
        <w:rPr>
          <w:rFonts w:eastAsia="Verdana" w:cs="Verdana"/>
          <w:b/>
          <w:szCs w:val="18"/>
        </w:rPr>
        <w:t>4.1.3 Voorbereidende documenten</w:t>
      </w:r>
    </w:p>
    <w:p w14:paraId="74C6E032" w14:textId="77777777" w:rsidR="003C10FB" w:rsidRDefault="003C10FB" w:rsidP="00260F11">
      <w:pPr>
        <w:spacing w:after="160" w:line="360" w:lineRule="auto"/>
        <w:rPr>
          <w:rFonts w:eastAsia="Verdana" w:cs="Verdana"/>
          <w:b/>
          <w:szCs w:val="18"/>
        </w:rPr>
      </w:pPr>
      <w:r>
        <w:rPr>
          <w:rFonts w:eastAsia="Verdana" w:cs="Verdana"/>
          <w:b/>
          <w:szCs w:val="18"/>
        </w:rPr>
        <w:t>4.1.3.1 Voorbereidende werken</w:t>
      </w:r>
    </w:p>
    <w:p w14:paraId="0C93E138" w14:textId="77777777" w:rsidR="003C10FB" w:rsidRDefault="003C10FB" w:rsidP="00260F11">
      <w:pPr>
        <w:spacing w:after="160" w:line="360" w:lineRule="auto"/>
        <w:rPr>
          <w:rFonts w:eastAsia="Verdana" w:cs="Verdana"/>
          <w:szCs w:val="18"/>
        </w:rPr>
      </w:pPr>
      <w:r>
        <w:rPr>
          <w:rFonts w:eastAsia="Verdana" w:cs="Verdana"/>
          <w:szCs w:val="18"/>
        </w:rPr>
        <w:t xml:space="preserve">MvT, </w:t>
      </w:r>
      <w:r>
        <w:rPr>
          <w:rFonts w:eastAsia="Verdana" w:cs="Verdana"/>
          <w:i/>
          <w:szCs w:val="18"/>
        </w:rPr>
        <w:t>Parl.St</w:t>
      </w:r>
      <w:r>
        <w:rPr>
          <w:rFonts w:eastAsia="Verdana" w:cs="Verdana"/>
          <w:szCs w:val="18"/>
        </w:rPr>
        <w:t>. Kamer 2020-21, nr. 55-2141/001.</w:t>
      </w:r>
    </w:p>
    <w:p w14:paraId="2033C8FC" w14:textId="77777777" w:rsidR="003C10FB" w:rsidRDefault="003C10FB" w:rsidP="00260F11">
      <w:pPr>
        <w:spacing w:after="160" w:line="360" w:lineRule="auto"/>
        <w:rPr>
          <w:rFonts w:eastAsia="Verdana" w:cs="Verdana"/>
          <w:szCs w:val="18"/>
        </w:rPr>
      </w:pPr>
      <w:r>
        <w:rPr>
          <w:rFonts w:eastAsia="Verdana" w:cs="Verdana"/>
          <w:i/>
          <w:szCs w:val="18"/>
        </w:rPr>
        <w:t xml:space="preserve">Hand. </w:t>
      </w:r>
      <w:r>
        <w:rPr>
          <w:rFonts w:eastAsia="Verdana" w:cs="Verdana"/>
          <w:szCs w:val="18"/>
        </w:rPr>
        <w:t>Kamer 2020-21, nr. 55-2141/017.</w:t>
      </w:r>
    </w:p>
    <w:p w14:paraId="7DB22264" w14:textId="77777777" w:rsidR="003C10FB" w:rsidRDefault="003C10FB" w:rsidP="00260F11">
      <w:pPr>
        <w:spacing w:after="160" w:line="360" w:lineRule="auto"/>
        <w:rPr>
          <w:rFonts w:eastAsia="Verdana" w:cs="Verdana"/>
          <w:szCs w:val="18"/>
        </w:rPr>
      </w:pPr>
      <w:r>
        <w:rPr>
          <w:rFonts w:eastAsia="Verdana" w:cs="Verdana"/>
          <w:i/>
          <w:szCs w:val="18"/>
        </w:rPr>
        <w:t>Hand.</w:t>
      </w:r>
      <w:r>
        <w:rPr>
          <w:rFonts w:eastAsia="Verdana" w:cs="Verdana"/>
          <w:szCs w:val="18"/>
        </w:rPr>
        <w:t xml:space="preserve"> Kamer commissie voor justitie 2020-21, 23 december 2021, nr. 55-2141/006.</w:t>
      </w:r>
    </w:p>
    <w:p w14:paraId="35DE5508" w14:textId="77777777" w:rsidR="003C10FB" w:rsidRDefault="003C10FB" w:rsidP="00260F11">
      <w:pPr>
        <w:spacing w:after="160" w:line="360" w:lineRule="auto"/>
        <w:rPr>
          <w:rFonts w:eastAsia="Verdana" w:cs="Verdana"/>
          <w:szCs w:val="18"/>
        </w:rPr>
      </w:pPr>
      <w:r>
        <w:rPr>
          <w:rFonts w:eastAsia="Verdana" w:cs="Verdana"/>
          <w:szCs w:val="18"/>
        </w:rPr>
        <w:t xml:space="preserve">Amendement (K. GABRIËLS) op het wetsontwerp houdende wijzigingen aan het Strafwetboek met betrekking tot het seksueel strafrecht, </w:t>
      </w:r>
      <w:r>
        <w:rPr>
          <w:rFonts w:eastAsia="Verdana" w:cs="Verdana"/>
          <w:i/>
          <w:szCs w:val="18"/>
        </w:rPr>
        <w:t>Parl.St.</w:t>
      </w:r>
      <w:r>
        <w:rPr>
          <w:rFonts w:eastAsia="Verdana" w:cs="Verdana"/>
          <w:szCs w:val="18"/>
        </w:rPr>
        <w:t xml:space="preserve"> Kamer, nr. 55-2141/003, 26. </w:t>
      </w:r>
    </w:p>
    <w:p w14:paraId="2D70F3BE" w14:textId="77777777" w:rsidR="003C10FB" w:rsidRDefault="003C10FB" w:rsidP="00260F11">
      <w:pPr>
        <w:spacing w:after="160" w:line="360" w:lineRule="auto"/>
        <w:rPr>
          <w:rFonts w:eastAsia="Verdana" w:cs="Verdana"/>
          <w:szCs w:val="18"/>
        </w:rPr>
      </w:pPr>
      <w:r>
        <w:rPr>
          <w:rFonts w:eastAsia="Verdana" w:cs="Verdana"/>
          <w:szCs w:val="18"/>
        </w:rPr>
        <w:t xml:space="preserve">Verslag van de eerste lezing bij het wetsontwerp houdende wijzigingen aan het Strafwetboek met betrekking tot het seksueel strafrecht e.a., </w:t>
      </w:r>
      <w:r>
        <w:rPr>
          <w:rFonts w:eastAsia="Verdana" w:cs="Verdana"/>
          <w:i/>
          <w:szCs w:val="18"/>
        </w:rPr>
        <w:t>Parl.St. 2021-22</w:t>
      </w:r>
      <w:r>
        <w:rPr>
          <w:rFonts w:eastAsia="Verdana" w:cs="Verdana"/>
          <w:szCs w:val="18"/>
        </w:rPr>
        <w:t>, nr. 55-2141/006.</w:t>
      </w:r>
    </w:p>
    <w:p w14:paraId="61437FB6" w14:textId="77777777" w:rsidR="003C10FB" w:rsidRDefault="003C10FB" w:rsidP="00260F11">
      <w:pPr>
        <w:spacing w:after="160" w:line="360" w:lineRule="auto"/>
        <w:rPr>
          <w:rFonts w:eastAsia="Verdana" w:cs="Verdana"/>
          <w:szCs w:val="18"/>
        </w:rPr>
      </w:pPr>
      <w:r>
        <w:rPr>
          <w:rFonts w:eastAsia="Verdana" w:cs="Verdana"/>
          <w:szCs w:val="18"/>
        </w:rPr>
        <w:t xml:space="preserve">Verslag Taelman, </w:t>
      </w:r>
      <w:r>
        <w:rPr>
          <w:rFonts w:eastAsia="Verdana" w:cs="Verdana"/>
          <w:i/>
          <w:szCs w:val="18"/>
        </w:rPr>
        <w:t xml:space="preserve">Parl.St. </w:t>
      </w:r>
      <w:r>
        <w:rPr>
          <w:rFonts w:eastAsia="Verdana" w:cs="Verdana"/>
          <w:szCs w:val="18"/>
        </w:rPr>
        <w:t>Senaat 1999-2000, 2-21/4.</w:t>
      </w:r>
    </w:p>
    <w:p w14:paraId="75875217" w14:textId="77777777" w:rsidR="003C10FB" w:rsidRDefault="003C10FB" w:rsidP="00260F11">
      <w:pPr>
        <w:spacing w:after="160" w:line="360" w:lineRule="auto"/>
        <w:rPr>
          <w:rFonts w:eastAsia="Verdana" w:cs="Verdana"/>
          <w:szCs w:val="18"/>
        </w:rPr>
      </w:pPr>
      <w:r>
        <w:rPr>
          <w:rFonts w:eastAsia="Verdana" w:cs="Verdana"/>
          <w:szCs w:val="18"/>
        </w:rPr>
        <w:t xml:space="preserve">Amendement (C. VAN COUTER) op het voorstel van wet tot wijziging van diverse bepalingen wat de aanranding van de eerbaarheid en het voyeurisme betreft, </w:t>
      </w:r>
      <w:r>
        <w:rPr>
          <w:rFonts w:eastAsia="Verdana" w:cs="Verdana"/>
          <w:i/>
          <w:szCs w:val="18"/>
        </w:rPr>
        <w:t>Parl.St.</w:t>
      </w:r>
      <w:r>
        <w:rPr>
          <w:rFonts w:eastAsia="Verdana" w:cs="Verdana"/>
          <w:szCs w:val="18"/>
        </w:rPr>
        <w:t xml:space="preserve"> Kamer 2015-16, nr. 54-699/3.</w:t>
      </w:r>
    </w:p>
    <w:p w14:paraId="6365288D" w14:textId="77777777" w:rsidR="003C10FB" w:rsidRDefault="003C10FB" w:rsidP="00260F11">
      <w:pPr>
        <w:spacing w:after="160" w:line="360" w:lineRule="auto"/>
        <w:rPr>
          <w:rFonts w:eastAsia="Verdana" w:cs="Verdana"/>
          <w:szCs w:val="18"/>
        </w:rPr>
      </w:pPr>
      <w:r>
        <w:rPr>
          <w:rFonts w:eastAsia="Verdana" w:cs="Verdana"/>
          <w:szCs w:val="18"/>
        </w:rPr>
        <w:lastRenderedPageBreak/>
        <w:t xml:space="preserve">Verslag, </w:t>
      </w:r>
      <w:r>
        <w:rPr>
          <w:rFonts w:eastAsia="Verdana" w:cs="Verdana"/>
          <w:i/>
          <w:szCs w:val="18"/>
        </w:rPr>
        <w:t>Parl.St.</w:t>
      </w:r>
      <w:r>
        <w:rPr>
          <w:rFonts w:eastAsia="Verdana" w:cs="Verdana"/>
          <w:szCs w:val="18"/>
        </w:rPr>
        <w:t xml:space="preserve"> Kamer 1988-89, nr. 702/4.</w:t>
      </w:r>
    </w:p>
    <w:p w14:paraId="3AD18E27" w14:textId="77777777" w:rsidR="003C10FB" w:rsidRDefault="003C10FB" w:rsidP="00260F11">
      <w:pPr>
        <w:spacing w:after="160" w:line="360" w:lineRule="auto"/>
        <w:rPr>
          <w:rFonts w:eastAsia="Verdana" w:cs="Verdana"/>
          <w:szCs w:val="18"/>
        </w:rPr>
      </w:pPr>
      <w:r>
        <w:rPr>
          <w:rFonts w:eastAsia="Verdana" w:cs="Verdana"/>
          <w:szCs w:val="18"/>
        </w:rPr>
        <w:t xml:space="preserve">Wetsontwerp tot wijziging van sommige bepaling betreffende het misdrijf verkrachting, </w:t>
      </w:r>
      <w:r>
        <w:rPr>
          <w:rFonts w:eastAsia="Verdana" w:cs="Verdana"/>
          <w:i/>
          <w:szCs w:val="18"/>
        </w:rPr>
        <w:t xml:space="preserve">Parl.St. </w:t>
      </w:r>
      <w:r>
        <w:rPr>
          <w:rFonts w:eastAsia="Verdana" w:cs="Verdana"/>
          <w:szCs w:val="18"/>
        </w:rPr>
        <w:t>Kamer 1988-89, nr. 702/4.</w:t>
      </w:r>
    </w:p>
    <w:p w14:paraId="14473B59" w14:textId="77777777" w:rsidR="003C10FB" w:rsidRDefault="003C10FB" w:rsidP="00260F11">
      <w:pPr>
        <w:spacing w:after="160" w:line="360" w:lineRule="auto"/>
        <w:rPr>
          <w:rFonts w:eastAsia="Verdana" w:cs="Verdana"/>
          <w:szCs w:val="18"/>
        </w:rPr>
      </w:pPr>
      <w:r>
        <w:rPr>
          <w:rFonts w:eastAsia="Verdana" w:cs="Verdana"/>
          <w:szCs w:val="18"/>
        </w:rPr>
        <w:t xml:space="preserve">Wetsvoorstel tot wijziging van artikel 369bis van het Strafwetboek betreffende de ontvoering van kinderen, </w:t>
      </w:r>
      <w:r>
        <w:rPr>
          <w:rFonts w:eastAsia="Verdana" w:cs="Verdana"/>
          <w:i/>
          <w:szCs w:val="18"/>
        </w:rPr>
        <w:t xml:space="preserve">Parl.St. </w:t>
      </w:r>
      <w:r>
        <w:rPr>
          <w:rFonts w:eastAsia="Verdana" w:cs="Verdana"/>
          <w:szCs w:val="18"/>
        </w:rPr>
        <w:t xml:space="preserve">Kamer 1998-99, nr. 1907/1. </w:t>
      </w:r>
    </w:p>
    <w:p w14:paraId="0BBC7C42" w14:textId="77777777" w:rsidR="003C10FB" w:rsidRDefault="003C10FB" w:rsidP="00260F11">
      <w:pPr>
        <w:spacing w:after="160" w:line="360" w:lineRule="auto"/>
        <w:rPr>
          <w:rFonts w:eastAsia="Verdana" w:cs="Verdana"/>
          <w:szCs w:val="18"/>
        </w:rPr>
      </w:pPr>
      <w:r>
        <w:rPr>
          <w:rFonts w:eastAsia="Verdana" w:cs="Verdana"/>
          <w:szCs w:val="18"/>
        </w:rPr>
        <w:t xml:space="preserve">Aanvullend Verslag, </w:t>
      </w:r>
      <w:r>
        <w:rPr>
          <w:rFonts w:eastAsia="Verdana" w:cs="Verdana"/>
          <w:i/>
          <w:szCs w:val="18"/>
        </w:rPr>
        <w:t>Parl.St.</w:t>
      </w:r>
      <w:r>
        <w:rPr>
          <w:rFonts w:eastAsia="Verdana" w:cs="Verdana"/>
          <w:szCs w:val="18"/>
        </w:rPr>
        <w:t xml:space="preserve"> Senaat 1984-85, nr. 306/3.</w:t>
      </w:r>
    </w:p>
    <w:p w14:paraId="58F7A8EC" w14:textId="1A092534" w:rsidR="003C10FB" w:rsidRDefault="00AF4C0A" w:rsidP="00260F11">
      <w:pPr>
        <w:spacing w:after="160" w:line="360" w:lineRule="auto"/>
        <w:rPr>
          <w:rFonts w:eastAsia="Verdana" w:cs="Verdana"/>
          <w:b/>
          <w:szCs w:val="18"/>
        </w:rPr>
      </w:pPr>
      <w:r>
        <w:rPr>
          <w:rFonts w:eastAsia="Verdana" w:cs="Verdana"/>
          <w:b/>
          <w:szCs w:val="18"/>
        </w:rPr>
        <w:t>4</w:t>
      </w:r>
      <w:r w:rsidR="003C10FB">
        <w:rPr>
          <w:rFonts w:eastAsia="Verdana" w:cs="Verdana"/>
          <w:b/>
          <w:szCs w:val="18"/>
        </w:rPr>
        <w:t>.1.3.2 Adviezen Raad van State afdeling Wetgeving</w:t>
      </w:r>
    </w:p>
    <w:p w14:paraId="3018415F" w14:textId="77777777" w:rsidR="003C10FB" w:rsidRDefault="003C10FB" w:rsidP="00260F11">
      <w:pPr>
        <w:spacing w:after="160" w:line="360" w:lineRule="auto"/>
        <w:rPr>
          <w:rFonts w:eastAsia="Verdana" w:cs="Verdana"/>
          <w:szCs w:val="18"/>
        </w:rPr>
      </w:pPr>
      <w:r>
        <w:rPr>
          <w:rFonts w:eastAsia="Verdana" w:cs="Verdana"/>
          <w:szCs w:val="18"/>
        </w:rPr>
        <w:t>Adv.RvS afdeling Wetgeving van 3 februari 2022 over een ontwerp van wet ‘houdende wijzigingen van het Strafwetboek met betrekking tot het seksueel strafrecht’ (</w:t>
      </w:r>
      <w:r>
        <w:rPr>
          <w:rFonts w:eastAsia="Verdana" w:cs="Verdana"/>
          <w:i/>
          <w:szCs w:val="18"/>
        </w:rPr>
        <w:t xml:space="preserve">Parl.St. </w:t>
      </w:r>
      <w:r>
        <w:rPr>
          <w:rFonts w:eastAsia="Verdana" w:cs="Verdana"/>
          <w:szCs w:val="18"/>
        </w:rPr>
        <w:t xml:space="preserve">Kamer 2021-22, nr. 55-2141/007), nr. 70.817/3. </w:t>
      </w:r>
    </w:p>
    <w:p w14:paraId="2D90B8F9" w14:textId="77777777" w:rsidR="003C10FB" w:rsidRDefault="003C10FB" w:rsidP="00260F11">
      <w:pPr>
        <w:spacing w:after="160" w:line="360" w:lineRule="auto"/>
        <w:rPr>
          <w:rFonts w:eastAsia="Verdana" w:cs="Verdana"/>
          <w:szCs w:val="18"/>
        </w:rPr>
      </w:pPr>
      <w:r>
        <w:rPr>
          <w:rFonts w:eastAsia="Verdana" w:cs="Verdana"/>
          <w:szCs w:val="18"/>
        </w:rPr>
        <w:t xml:space="preserve">Adv.RvS afdeling Wetgeving van 25 mei 2021 over een voorontwerp van wet ‘houdende wijzigingen aan het Strafwetboek met betrekking tot het seksueel strafrecht’, nr. 69.204/3. </w:t>
      </w:r>
    </w:p>
    <w:p w14:paraId="2414EBAB" w14:textId="77777777" w:rsidR="003C10FB" w:rsidRDefault="003C10FB" w:rsidP="00260F11">
      <w:pPr>
        <w:spacing w:after="160" w:line="360" w:lineRule="auto"/>
        <w:rPr>
          <w:rFonts w:eastAsia="Verdana" w:cs="Verdana"/>
          <w:b/>
          <w:szCs w:val="18"/>
        </w:rPr>
      </w:pPr>
      <w:r>
        <w:rPr>
          <w:rFonts w:eastAsia="Verdana" w:cs="Verdana"/>
          <w:szCs w:val="18"/>
        </w:rPr>
        <w:t xml:space="preserve">Adv.RvS afdeling Wetgeving van 23 november 2018 over een voorontwerp van - ‘Strafwetboek - Boek 2’, nr. 64.121/1. </w:t>
      </w:r>
    </w:p>
    <w:p w14:paraId="51A1D656" w14:textId="77777777" w:rsidR="003C10FB" w:rsidRDefault="003C10FB" w:rsidP="00260F11">
      <w:pPr>
        <w:spacing w:after="160" w:line="360" w:lineRule="auto"/>
        <w:rPr>
          <w:rFonts w:eastAsia="Verdana" w:cs="Verdana"/>
          <w:b/>
          <w:szCs w:val="18"/>
        </w:rPr>
      </w:pPr>
      <w:r>
        <w:rPr>
          <w:rFonts w:eastAsia="Verdana" w:cs="Verdana"/>
          <w:b/>
          <w:szCs w:val="18"/>
        </w:rPr>
        <w:t>4.1.3.3 Omzendbrieven</w:t>
      </w:r>
    </w:p>
    <w:p w14:paraId="48A88B91" w14:textId="259E24A7" w:rsidR="003C10FB" w:rsidRDefault="003C10FB" w:rsidP="00260F11">
      <w:pPr>
        <w:spacing w:after="160" w:line="360" w:lineRule="auto"/>
        <w:rPr>
          <w:rFonts w:eastAsia="Verdana" w:cs="Verdana"/>
          <w:szCs w:val="18"/>
        </w:rPr>
      </w:pPr>
      <w:r>
        <w:rPr>
          <w:rFonts w:eastAsia="Verdana" w:cs="Verdana"/>
          <w:szCs w:val="18"/>
        </w:rPr>
        <w:t>Omz. nr. 05/2022 9 juni 2022 betreffende de Wet van 21 maart 2022 houdende wijzigingen aan het Strafwetboek met betrekking tot het seksueel strafrecht, gepubliceerd in het Belgisch Staatsblad van 30 maart 2022, met inwerkingtreding op 1 juni 2022,</w:t>
      </w:r>
      <w:r w:rsidR="009A4A7D">
        <w:rPr>
          <w:rFonts w:eastAsia="Verdana" w:cs="Verdana"/>
          <w:szCs w:val="18"/>
        </w:rPr>
        <w:t xml:space="preserve"> </w:t>
      </w:r>
      <w:r w:rsidR="009A4A7D" w:rsidRPr="009A4A7D">
        <w:rPr>
          <w:rFonts w:eastAsia="Verdana" w:cs="Verdana"/>
          <w:szCs w:val="18"/>
        </w:rPr>
        <w:t>www.om-mp.be/nl/meer-weten/omzendbrieven.</w:t>
      </w:r>
    </w:p>
    <w:p w14:paraId="04FF09DA" w14:textId="21C9C032" w:rsidR="003C10FB" w:rsidRDefault="003C10FB" w:rsidP="00260F11">
      <w:pPr>
        <w:spacing w:after="160" w:line="360" w:lineRule="auto"/>
        <w:rPr>
          <w:rFonts w:eastAsia="Verdana" w:cs="Verdana"/>
          <w:szCs w:val="18"/>
        </w:rPr>
      </w:pPr>
      <w:r>
        <w:rPr>
          <w:rFonts w:eastAsia="Verdana" w:cs="Verdana"/>
          <w:szCs w:val="18"/>
        </w:rPr>
        <w:t>Vademecum bij Omz. nr. 05/2022 9 juni 2022 betreffende de Wet van 21 maart 2022 houdende wijzigingen aan het Strafwetboek met betrekking tot het seksueel strafrecht, gepubliceerd in het Belgisch Staatsblad van 30 maart 2022, met inwerkingtreding op 1 juni 2022,</w:t>
      </w:r>
      <w:r w:rsidR="009A4A7D">
        <w:rPr>
          <w:rFonts w:eastAsia="Verdana" w:cs="Verdana"/>
          <w:szCs w:val="18"/>
        </w:rPr>
        <w:t xml:space="preserve"> </w:t>
      </w:r>
      <w:r w:rsidR="009A4A7D" w:rsidRPr="009A4A7D">
        <w:rPr>
          <w:rFonts w:eastAsia="Verdana" w:cs="Verdana"/>
          <w:szCs w:val="18"/>
        </w:rPr>
        <w:t>www.om-mp.be/nl/meer-weten/omzendbrieven.</w:t>
      </w:r>
    </w:p>
    <w:p w14:paraId="4729B14F" w14:textId="77777777" w:rsidR="003C10FB" w:rsidRDefault="003C10FB" w:rsidP="00260F11">
      <w:pPr>
        <w:spacing w:after="160" w:line="360" w:lineRule="auto"/>
        <w:rPr>
          <w:rFonts w:eastAsia="Verdana" w:cs="Verdana"/>
          <w:b/>
          <w:szCs w:val="18"/>
        </w:rPr>
      </w:pPr>
      <w:r>
        <w:rPr>
          <w:rFonts w:eastAsia="Verdana" w:cs="Verdana"/>
          <w:b/>
          <w:szCs w:val="18"/>
        </w:rPr>
        <w:t>4.1.3.4 Beleidsnota’s</w:t>
      </w:r>
    </w:p>
    <w:p w14:paraId="2583F79F" w14:textId="4928FBAB" w:rsidR="003C10FB" w:rsidRDefault="003C10FB" w:rsidP="00260F11">
      <w:pPr>
        <w:spacing w:after="160" w:line="360" w:lineRule="auto"/>
        <w:rPr>
          <w:rFonts w:eastAsia="Verdana" w:cs="Verdana"/>
          <w:szCs w:val="18"/>
        </w:rPr>
      </w:pPr>
      <w:r>
        <w:rPr>
          <w:rFonts w:eastAsia="Verdana" w:cs="Verdana"/>
          <w:szCs w:val="18"/>
        </w:rPr>
        <w:t xml:space="preserve">Minister van Justitie, </w:t>
      </w:r>
      <w:r>
        <w:rPr>
          <w:rFonts w:eastAsia="Verdana" w:cs="Verdana"/>
          <w:i/>
          <w:szCs w:val="18"/>
        </w:rPr>
        <w:t>Algemene beleidsnota Justitie</w:t>
      </w:r>
      <w:r>
        <w:rPr>
          <w:rFonts w:eastAsia="Verdana" w:cs="Verdana"/>
          <w:szCs w:val="18"/>
        </w:rPr>
        <w:t>, 4 november 2020, nr. 1580/016</w:t>
      </w:r>
      <w:hyperlink r:id="rId29">
        <w:r>
          <w:rPr>
            <w:rFonts w:eastAsia="Verdana" w:cs="Verdana"/>
            <w:szCs w:val="18"/>
          </w:rPr>
          <w:t xml:space="preserve"> </w:t>
        </w:r>
      </w:hyperlink>
      <w:r w:rsidR="009A4A7D" w:rsidRPr="009A4A7D">
        <w:t xml:space="preserve"> </w:t>
      </w:r>
      <w:r w:rsidR="009A4A7D" w:rsidRPr="009A4A7D">
        <w:rPr>
          <w:rFonts w:eastAsia="Verdana" w:cs="Verdana"/>
          <w:szCs w:val="18"/>
        </w:rPr>
        <w:t>www.dekamer.be/doc/FLWB/pdf/55/1580/55K1580016.pdf</w:t>
      </w:r>
      <w:r w:rsidR="009A4A7D">
        <w:rPr>
          <w:rFonts w:eastAsia="Verdana" w:cs="Verdana"/>
          <w:szCs w:val="18"/>
        </w:rPr>
        <w:t>.</w:t>
      </w:r>
    </w:p>
    <w:p w14:paraId="52BF5305" w14:textId="77777777" w:rsidR="003C10FB" w:rsidRDefault="003C10FB" w:rsidP="00260F11">
      <w:pPr>
        <w:spacing w:after="160" w:line="360" w:lineRule="auto"/>
        <w:rPr>
          <w:rFonts w:eastAsia="Verdana" w:cs="Verdana"/>
          <w:b/>
          <w:szCs w:val="18"/>
        </w:rPr>
      </w:pPr>
      <w:r>
        <w:rPr>
          <w:rFonts w:eastAsia="Verdana" w:cs="Verdana"/>
          <w:b/>
          <w:szCs w:val="18"/>
        </w:rPr>
        <w:t>4.2 Rechtspraak</w:t>
      </w:r>
    </w:p>
    <w:p w14:paraId="10E0D2DE" w14:textId="77777777" w:rsidR="003C10FB" w:rsidRDefault="003C10FB" w:rsidP="00260F11">
      <w:pPr>
        <w:spacing w:after="160" w:line="360" w:lineRule="auto"/>
        <w:rPr>
          <w:rFonts w:eastAsia="Verdana" w:cs="Verdana"/>
          <w:szCs w:val="18"/>
        </w:rPr>
      </w:pPr>
      <w:r>
        <w:rPr>
          <w:rFonts w:eastAsia="Verdana" w:cs="Verdana"/>
          <w:szCs w:val="18"/>
        </w:rPr>
        <w:t>GwH 16 januari 2020, nr. 1/2020.</w:t>
      </w:r>
    </w:p>
    <w:p w14:paraId="1C063F48" w14:textId="77777777" w:rsidR="003C10FB" w:rsidRDefault="003C10FB" w:rsidP="00260F11">
      <w:pPr>
        <w:spacing w:after="160" w:line="360" w:lineRule="auto"/>
        <w:rPr>
          <w:rFonts w:eastAsia="Verdana" w:cs="Verdana"/>
          <w:szCs w:val="18"/>
        </w:rPr>
      </w:pPr>
      <w:r>
        <w:rPr>
          <w:rFonts w:eastAsia="Verdana" w:cs="Verdana"/>
          <w:szCs w:val="18"/>
        </w:rPr>
        <w:t>GwH 15 mei 2017, nr. 76/2017.</w:t>
      </w:r>
    </w:p>
    <w:p w14:paraId="36B65C36" w14:textId="77777777" w:rsidR="003C10FB" w:rsidRDefault="003C10FB" w:rsidP="00260F11">
      <w:pPr>
        <w:spacing w:after="160" w:line="360" w:lineRule="auto"/>
        <w:rPr>
          <w:rFonts w:eastAsia="Verdana" w:cs="Verdana"/>
          <w:szCs w:val="18"/>
        </w:rPr>
      </w:pPr>
      <w:r>
        <w:rPr>
          <w:rFonts w:eastAsia="Verdana" w:cs="Verdana"/>
          <w:szCs w:val="18"/>
        </w:rPr>
        <w:t>GwH 11 mei 2017, nr. 54/2017.</w:t>
      </w:r>
    </w:p>
    <w:p w14:paraId="0CFC6028" w14:textId="77777777" w:rsidR="003C10FB" w:rsidRDefault="003C10FB" w:rsidP="00260F11">
      <w:pPr>
        <w:spacing w:after="160" w:line="360" w:lineRule="auto"/>
        <w:rPr>
          <w:rFonts w:eastAsia="Verdana" w:cs="Verdana"/>
          <w:szCs w:val="18"/>
        </w:rPr>
      </w:pPr>
      <w:r>
        <w:rPr>
          <w:rFonts w:eastAsia="Verdana" w:cs="Verdana"/>
          <w:szCs w:val="18"/>
        </w:rPr>
        <w:t>GwH 22 december 2016 nr. 168/2016.</w:t>
      </w:r>
    </w:p>
    <w:p w14:paraId="49019E85" w14:textId="77777777" w:rsidR="003C10FB" w:rsidRDefault="003C10FB" w:rsidP="00260F11">
      <w:pPr>
        <w:spacing w:after="160" w:line="360" w:lineRule="auto"/>
        <w:rPr>
          <w:rFonts w:eastAsia="Verdana" w:cs="Verdana"/>
          <w:szCs w:val="18"/>
        </w:rPr>
      </w:pPr>
      <w:r>
        <w:rPr>
          <w:rFonts w:eastAsia="Verdana" w:cs="Verdana"/>
          <w:szCs w:val="18"/>
        </w:rPr>
        <w:t>GwH 19 juli 2012, nr. 97/2012.</w:t>
      </w:r>
    </w:p>
    <w:p w14:paraId="5E2B32CD" w14:textId="77777777" w:rsidR="003C10FB" w:rsidRDefault="003C10FB" w:rsidP="00260F11">
      <w:pPr>
        <w:spacing w:after="160" w:line="360" w:lineRule="auto"/>
        <w:rPr>
          <w:rFonts w:eastAsia="Verdana" w:cs="Verdana"/>
          <w:szCs w:val="18"/>
        </w:rPr>
      </w:pPr>
      <w:r>
        <w:rPr>
          <w:rFonts w:eastAsia="Verdana" w:cs="Verdana"/>
          <w:szCs w:val="18"/>
        </w:rPr>
        <w:t>GwH 29 oktober 2009, nr. 167/2009.</w:t>
      </w:r>
    </w:p>
    <w:p w14:paraId="3A48BE30"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lastRenderedPageBreak/>
        <w:t xml:space="preserve">GwH 4 juni 2009, nr. 93/2009. </w:t>
      </w:r>
    </w:p>
    <w:p w14:paraId="13B4F781"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18 april 2023, AR P.22.1734.N.</w:t>
      </w:r>
    </w:p>
    <w:p w14:paraId="2087CEF5" w14:textId="7281FD61"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21 december 2021, AR P.21.0055.N.</w:t>
      </w:r>
    </w:p>
    <w:p w14:paraId="7FE263D3" w14:textId="04CA2BFF" w:rsidR="008F7AF2" w:rsidRPr="009C29A6" w:rsidRDefault="008F7AF2" w:rsidP="00260F11">
      <w:pPr>
        <w:spacing w:after="160" w:line="360" w:lineRule="auto"/>
        <w:rPr>
          <w:rFonts w:eastAsia="Verdana" w:cs="Verdana"/>
          <w:szCs w:val="18"/>
          <w:lang w:val="en-GB"/>
        </w:rPr>
      </w:pPr>
      <w:r w:rsidRPr="009C29A6">
        <w:rPr>
          <w:rFonts w:eastAsia="Verdana" w:cs="Verdana"/>
          <w:szCs w:val="18"/>
          <w:lang w:val="en-GB"/>
        </w:rPr>
        <w:t>Cass. 13 november 2019, AR P.19.0873.F.</w:t>
      </w:r>
    </w:p>
    <w:p w14:paraId="151B3E3C"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12 november 2019, AR P.19.0566.N.</w:t>
      </w:r>
    </w:p>
    <w:p w14:paraId="1D5993BB" w14:textId="5B068823"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3 november 2015, AR P.14.0365.N, </w:t>
      </w:r>
      <w:r w:rsidRPr="009C29A6">
        <w:rPr>
          <w:rFonts w:eastAsia="Verdana" w:cs="Verdana"/>
          <w:i/>
          <w:szCs w:val="18"/>
          <w:lang w:val="en-GB"/>
        </w:rPr>
        <w:t>RABG</w:t>
      </w:r>
      <w:r w:rsidRPr="009C29A6">
        <w:rPr>
          <w:rFonts w:eastAsia="Verdana" w:cs="Verdana"/>
          <w:szCs w:val="18"/>
          <w:lang w:val="en-GB"/>
        </w:rPr>
        <w:t xml:space="preserve"> 2016-17, 530-531.</w:t>
      </w:r>
    </w:p>
    <w:p w14:paraId="7480F97E" w14:textId="77777777" w:rsidR="008F7AF2" w:rsidRPr="009C29A6" w:rsidRDefault="008F7AF2" w:rsidP="00260F11">
      <w:pPr>
        <w:spacing w:after="160" w:line="360" w:lineRule="auto"/>
        <w:rPr>
          <w:rFonts w:eastAsia="Verdana" w:cs="Verdana"/>
          <w:szCs w:val="18"/>
          <w:lang w:val="en-GB"/>
        </w:rPr>
      </w:pPr>
      <w:r w:rsidRPr="009C29A6">
        <w:rPr>
          <w:rFonts w:eastAsia="Verdana" w:cs="Verdana"/>
          <w:szCs w:val="18"/>
          <w:lang w:val="en-GB"/>
        </w:rPr>
        <w:t>Cass. 10 juni 2015, AR P.15.0316.F.</w:t>
      </w:r>
    </w:p>
    <w:p w14:paraId="10852FEC"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31 maart 2015, AR P.14.0293.N.</w:t>
      </w:r>
    </w:p>
    <w:p w14:paraId="7D8F23AE"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26 maart 2014, AR P.13.1860.F.</w:t>
      </w:r>
    </w:p>
    <w:p w14:paraId="7758BF9F"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24 februari 2014, </w:t>
      </w:r>
      <w:r w:rsidRPr="009C29A6">
        <w:rPr>
          <w:rFonts w:eastAsia="Verdana" w:cs="Verdana"/>
          <w:i/>
          <w:szCs w:val="18"/>
          <w:lang w:val="en-GB"/>
        </w:rPr>
        <w:t>Arr.Cass.</w:t>
      </w:r>
      <w:r w:rsidRPr="009C29A6">
        <w:rPr>
          <w:rFonts w:eastAsia="Verdana" w:cs="Verdana"/>
          <w:szCs w:val="18"/>
          <w:lang w:val="en-GB"/>
        </w:rPr>
        <w:t xml:space="preserve"> 2014, 513.</w:t>
      </w:r>
    </w:p>
    <w:p w14:paraId="22BC28E1"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27 november 2013, AR P.13.0714.F.</w:t>
      </w:r>
    </w:p>
    <w:p w14:paraId="27790BCB"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6 februari 2013, AR P.12.1650.F.</w:t>
      </w:r>
    </w:p>
    <w:p w14:paraId="69C62C3B" w14:textId="77777777" w:rsidR="003C10FB" w:rsidRDefault="003C10FB" w:rsidP="00260F11">
      <w:pPr>
        <w:spacing w:after="160" w:line="360" w:lineRule="auto"/>
        <w:rPr>
          <w:rFonts w:eastAsia="Verdana" w:cs="Verdana"/>
          <w:szCs w:val="18"/>
        </w:rPr>
      </w:pPr>
      <w:r>
        <w:rPr>
          <w:rFonts w:eastAsia="Verdana" w:cs="Verdana"/>
          <w:szCs w:val="18"/>
        </w:rPr>
        <w:t>Cass. 9 oktober 2012, AR P.11.2120.N.</w:t>
      </w:r>
    </w:p>
    <w:p w14:paraId="729BCA31" w14:textId="77777777" w:rsidR="003C10FB" w:rsidRDefault="003C10FB" w:rsidP="00260F11">
      <w:pPr>
        <w:spacing w:after="160" w:line="360" w:lineRule="auto"/>
        <w:rPr>
          <w:rFonts w:eastAsia="Verdana" w:cs="Verdana"/>
          <w:sz w:val="16"/>
          <w:szCs w:val="16"/>
        </w:rPr>
      </w:pPr>
      <w:r>
        <w:rPr>
          <w:rFonts w:eastAsia="Verdana" w:cs="Verdana"/>
          <w:szCs w:val="18"/>
        </w:rPr>
        <w:t>Cass. 29 november 2011, AR P.10.1766.N.</w:t>
      </w:r>
    </w:p>
    <w:p w14:paraId="5DA8B62E" w14:textId="77777777" w:rsidR="003C10FB" w:rsidRDefault="003C10FB" w:rsidP="00260F11">
      <w:pPr>
        <w:spacing w:after="160" w:line="360" w:lineRule="auto"/>
        <w:rPr>
          <w:rFonts w:eastAsia="Verdana" w:cs="Verdana"/>
          <w:szCs w:val="18"/>
        </w:rPr>
      </w:pPr>
      <w:r>
        <w:rPr>
          <w:rFonts w:eastAsia="Verdana" w:cs="Verdana"/>
          <w:szCs w:val="18"/>
        </w:rPr>
        <w:t>Cass. 24 mei 2011, AR P.10.1990.N, ‘roltraparrest’.</w:t>
      </w:r>
    </w:p>
    <w:p w14:paraId="2C61F0A2" w14:textId="77777777" w:rsidR="003C10FB" w:rsidRDefault="003C10FB" w:rsidP="00260F11">
      <w:pPr>
        <w:spacing w:after="160" w:line="360" w:lineRule="auto"/>
        <w:rPr>
          <w:rFonts w:eastAsia="Verdana" w:cs="Verdana"/>
          <w:szCs w:val="18"/>
        </w:rPr>
      </w:pPr>
      <w:r>
        <w:rPr>
          <w:rFonts w:eastAsia="Verdana" w:cs="Verdana"/>
          <w:szCs w:val="18"/>
        </w:rPr>
        <w:t xml:space="preserve">Cass. 26 april 2010, </w:t>
      </w:r>
      <w:r>
        <w:rPr>
          <w:rFonts w:eastAsia="Verdana" w:cs="Verdana"/>
          <w:i/>
          <w:szCs w:val="18"/>
        </w:rPr>
        <w:t>Arr.Cass.</w:t>
      </w:r>
      <w:r>
        <w:rPr>
          <w:rFonts w:eastAsia="Verdana" w:cs="Verdana"/>
          <w:szCs w:val="18"/>
        </w:rPr>
        <w:t xml:space="preserve"> 2010, 283.</w:t>
      </w:r>
    </w:p>
    <w:p w14:paraId="44593C3C" w14:textId="0393326D" w:rsidR="003C10FB" w:rsidRDefault="003C10FB" w:rsidP="00260F11">
      <w:pPr>
        <w:spacing w:after="160" w:line="360" w:lineRule="auto"/>
        <w:rPr>
          <w:rFonts w:eastAsia="Verdana" w:cs="Verdana"/>
          <w:szCs w:val="18"/>
        </w:rPr>
      </w:pPr>
      <w:r>
        <w:rPr>
          <w:rFonts w:eastAsia="Verdana" w:cs="Verdana"/>
          <w:szCs w:val="18"/>
        </w:rPr>
        <w:t xml:space="preserve">Cass. 7 mei 2008, P.08.0176.F., </w:t>
      </w:r>
      <w:r>
        <w:rPr>
          <w:rFonts w:eastAsia="Verdana" w:cs="Verdana"/>
          <w:i/>
          <w:szCs w:val="18"/>
        </w:rPr>
        <w:t>Arr.Cass.</w:t>
      </w:r>
      <w:r>
        <w:rPr>
          <w:rFonts w:eastAsia="Verdana" w:cs="Verdana"/>
          <w:szCs w:val="18"/>
        </w:rPr>
        <w:t xml:space="preserve"> 2008, 1129-1130.</w:t>
      </w:r>
    </w:p>
    <w:p w14:paraId="41023C11" w14:textId="2B7250AC" w:rsidR="00821E7E" w:rsidRPr="009C29A6" w:rsidRDefault="00821E7E" w:rsidP="00260F11">
      <w:pPr>
        <w:spacing w:after="160" w:line="360" w:lineRule="auto"/>
        <w:rPr>
          <w:rFonts w:eastAsia="Verdana" w:cs="Verdana"/>
          <w:szCs w:val="18"/>
          <w:lang w:val="en-GB"/>
        </w:rPr>
      </w:pPr>
      <w:r w:rsidRPr="009C29A6">
        <w:rPr>
          <w:rFonts w:eastAsia="Verdana" w:cs="Verdana"/>
          <w:szCs w:val="18"/>
          <w:lang w:val="en-GB"/>
        </w:rPr>
        <w:t xml:space="preserve">Cass. 8 april 2008, AR P.08.0137.N., </w:t>
      </w:r>
      <w:r w:rsidRPr="009C29A6">
        <w:rPr>
          <w:rFonts w:eastAsia="Verdana" w:cs="Verdana"/>
          <w:i/>
          <w:szCs w:val="18"/>
          <w:lang w:val="en-GB"/>
        </w:rPr>
        <w:t>Arr.Cass.</w:t>
      </w:r>
      <w:r w:rsidRPr="009C29A6">
        <w:rPr>
          <w:rFonts w:eastAsia="Verdana" w:cs="Verdana"/>
          <w:szCs w:val="18"/>
          <w:lang w:val="en-GB"/>
        </w:rPr>
        <w:t xml:space="preserve"> 2008, 872-874.</w:t>
      </w:r>
    </w:p>
    <w:p w14:paraId="2E68AB48"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8 april 2008, AR P.08.0006.N. </w:t>
      </w:r>
      <w:r w:rsidRPr="009C29A6">
        <w:rPr>
          <w:rFonts w:eastAsia="Verdana" w:cs="Verdana"/>
          <w:i/>
          <w:szCs w:val="18"/>
          <w:lang w:val="en-GB"/>
        </w:rPr>
        <w:t>Arr.Cass</w:t>
      </w:r>
      <w:r w:rsidRPr="009C29A6">
        <w:rPr>
          <w:rFonts w:eastAsia="Verdana" w:cs="Verdana"/>
          <w:szCs w:val="18"/>
          <w:lang w:val="en-GB"/>
        </w:rPr>
        <w:t>. 2008, 866.</w:t>
      </w:r>
    </w:p>
    <w:p w14:paraId="3C778FB4"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23 januari 2008, AR P.08.0105.F.</w:t>
      </w:r>
    </w:p>
    <w:p w14:paraId="51D0BA77"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30 oktober 2007, AR P.07.0574.N.</w:t>
      </w:r>
    </w:p>
    <w:p w14:paraId="4F8E56DF"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17 oktober 2007, AR P.07.0726.F.</w:t>
      </w:r>
    </w:p>
    <w:p w14:paraId="22A79B94"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25 september 2007, </w:t>
      </w:r>
      <w:r w:rsidRPr="009C29A6">
        <w:rPr>
          <w:rFonts w:eastAsia="Verdana" w:cs="Verdana"/>
          <w:i/>
          <w:szCs w:val="18"/>
          <w:lang w:val="en-GB"/>
        </w:rPr>
        <w:t>RW</w:t>
      </w:r>
      <w:r w:rsidRPr="009C29A6">
        <w:rPr>
          <w:rFonts w:eastAsia="Verdana" w:cs="Verdana"/>
          <w:szCs w:val="18"/>
          <w:lang w:val="en-GB"/>
        </w:rPr>
        <w:t xml:space="preserve"> 2007-08, 1503.</w:t>
      </w:r>
    </w:p>
    <w:p w14:paraId="13084C31" w14:textId="77777777" w:rsidR="003C10FB" w:rsidRPr="009C29A6" w:rsidRDefault="003C10FB" w:rsidP="00260F11">
      <w:pPr>
        <w:pBdr>
          <w:top w:val="nil"/>
          <w:left w:val="nil"/>
          <w:bottom w:val="nil"/>
          <w:right w:val="nil"/>
          <w:between w:val="nil"/>
        </w:pBdr>
        <w:spacing w:after="160" w:line="360" w:lineRule="auto"/>
        <w:rPr>
          <w:rFonts w:eastAsia="Verdana" w:cs="Verdana"/>
          <w:szCs w:val="18"/>
          <w:lang w:val="en-GB"/>
        </w:rPr>
      </w:pPr>
      <w:r w:rsidRPr="009C29A6">
        <w:rPr>
          <w:rFonts w:eastAsia="Verdana" w:cs="Verdana"/>
          <w:szCs w:val="18"/>
          <w:lang w:val="en-GB"/>
        </w:rPr>
        <w:t>Cass. 23 mei 2007, P.07.0405.F.</w:t>
      </w:r>
    </w:p>
    <w:p w14:paraId="405FBBF5"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23 april 2007, AR P.07.0726.F.</w:t>
      </w:r>
    </w:p>
    <w:p w14:paraId="33BA7CC6"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17 mei 2005, </w:t>
      </w:r>
      <w:r w:rsidRPr="009C29A6">
        <w:rPr>
          <w:rFonts w:eastAsia="Verdana" w:cs="Verdana"/>
          <w:i/>
          <w:szCs w:val="18"/>
          <w:lang w:val="en-GB"/>
        </w:rPr>
        <w:t>Arr.Cass.</w:t>
      </w:r>
      <w:r w:rsidRPr="009C29A6">
        <w:rPr>
          <w:rFonts w:eastAsia="Verdana" w:cs="Verdana"/>
          <w:szCs w:val="18"/>
          <w:lang w:val="en-GB"/>
        </w:rPr>
        <w:t xml:space="preserve"> 2005, 282.</w:t>
      </w:r>
    </w:p>
    <w:p w14:paraId="14517872"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6 oktober 2004, AR P.04.0665.F., </w:t>
      </w:r>
      <w:r w:rsidRPr="009C29A6">
        <w:rPr>
          <w:rFonts w:eastAsia="Verdana" w:cs="Verdana"/>
          <w:i/>
          <w:szCs w:val="18"/>
          <w:lang w:val="en-GB"/>
        </w:rPr>
        <w:t>JT</w:t>
      </w:r>
      <w:r w:rsidRPr="009C29A6">
        <w:rPr>
          <w:rFonts w:eastAsia="Verdana" w:cs="Verdana"/>
          <w:szCs w:val="18"/>
          <w:lang w:val="en-GB"/>
        </w:rPr>
        <w:t xml:space="preserve"> 2005, 100.</w:t>
      </w:r>
    </w:p>
    <w:p w14:paraId="14866FF4"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16 juni 2004, </w:t>
      </w:r>
      <w:r w:rsidRPr="009C29A6">
        <w:rPr>
          <w:rFonts w:eastAsia="Verdana" w:cs="Verdana"/>
          <w:i/>
          <w:szCs w:val="18"/>
          <w:lang w:val="en-GB"/>
        </w:rPr>
        <w:t>Arr.Cass.</w:t>
      </w:r>
      <w:r w:rsidRPr="009C29A6">
        <w:rPr>
          <w:rFonts w:eastAsia="Verdana" w:cs="Verdana"/>
          <w:szCs w:val="18"/>
          <w:lang w:val="en-GB"/>
        </w:rPr>
        <w:t xml:space="preserve"> 2004, 1088.</w:t>
      </w:r>
    </w:p>
    <w:p w14:paraId="0481A282"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18 februari 2002, </w:t>
      </w:r>
      <w:r w:rsidRPr="009C29A6">
        <w:rPr>
          <w:rFonts w:eastAsia="Verdana" w:cs="Verdana"/>
          <w:i/>
          <w:szCs w:val="18"/>
          <w:lang w:val="en-GB"/>
        </w:rPr>
        <w:t xml:space="preserve">Arr.Cass. </w:t>
      </w:r>
      <w:r w:rsidRPr="009C29A6">
        <w:rPr>
          <w:rFonts w:eastAsia="Verdana" w:cs="Verdana"/>
          <w:szCs w:val="18"/>
          <w:lang w:val="en-GB"/>
        </w:rPr>
        <w:t>2002, 115.</w:t>
      </w:r>
    </w:p>
    <w:p w14:paraId="7C4417E9"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lastRenderedPageBreak/>
        <w:t xml:space="preserve">Cass. 2 november 1999, </w:t>
      </w:r>
      <w:r w:rsidRPr="009C29A6">
        <w:rPr>
          <w:rFonts w:eastAsia="Verdana" w:cs="Verdana"/>
          <w:i/>
          <w:szCs w:val="18"/>
          <w:lang w:val="en-GB"/>
        </w:rPr>
        <w:t>Arr.Cass.</w:t>
      </w:r>
      <w:r w:rsidRPr="009C29A6">
        <w:rPr>
          <w:rFonts w:eastAsia="Verdana" w:cs="Verdana"/>
          <w:szCs w:val="18"/>
          <w:lang w:val="en-GB"/>
        </w:rPr>
        <w:t xml:space="preserve"> 1999, Pas. 1999, I, 1423.</w:t>
      </w:r>
    </w:p>
    <w:p w14:paraId="5B5638CF"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25 november 1997, </w:t>
      </w:r>
      <w:r w:rsidRPr="009C29A6">
        <w:rPr>
          <w:rFonts w:eastAsia="Verdana" w:cs="Verdana"/>
          <w:i/>
          <w:szCs w:val="18"/>
          <w:lang w:val="en-GB"/>
        </w:rPr>
        <w:t>Arr.Cass</w:t>
      </w:r>
      <w:r w:rsidRPr="009C29A6">
        <w:rPr>
          <w:rFonts w:eastAsia="Verdana" w:cs="Verdana"/>
          <w:szCs w:val="18"/>
          <w:lang w:val="en-GB"/>
        </w:rPr>
        <w:t>. 1997, 504.</w:t>
      </w:r>
    </w:p>
    <w:p w14:paraId="15CE3E16"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Cass. 7 januari 1997, AR P.95.1312.N.</w:t>
      </w:r>
    </w:p>
    <w:p w14:paraId="24308026"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22 maart 1994, </w:t>
      </w:r>
      <w:r w:rsidRPr="009C29A6">
        <w:rPr>
          <w:rFonts w:eastAsia="Verdana" w:cs="Verdana"/>
          <w:i/>
          <w:szCs w:val="18"/>
          <w:lang w:val="en-GB"/>
        </w:rPr>
        <w:t>Pas.,</w:t>
      </w:r>
      <w:r w:rsidRPr="009C29A6">
        <w:rPr>
          <w:rFonts w:eastAsia="Verdana" w:cs="Verdana"/>
          <w:szCs w:val="18"/>
          <w:lang w:val="en-GB"/>
        </w:rPr>
        <w:t xml:space="preserve"> 1994, I, 923.</w:t>
      </w:r>
    </w:p>
    <w:p w14:paraId="73B10772"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5 februari 1985, </w:t>
      </w:r>
      <w:r w:rsidRPr="009C29A6">
        <w:rPr>
          <w:rFonts w:eastAsia="Verdana" w:cs="Verdana"/>
          <w:i/>
          <w:szCs w:val="18"/>
          <w:lang w:val="en-GB"/>
        </w:rPr>
        <w:t>Arr.Cass.</w:t>
      </w:r>
      <w:r w:rsidRPr="009C29A6">
        <w:rPr>
          <w:rFonts w:eastAsia="Verdana" w:cs="Verdana"/>
          <w:szCs w:val="18"/>
          <w:lang w:val="en-GB"/>
        </w:rPr>
        <w:t xml:space="preserve"> 1985, 749-763.</w:t>
      </w:r>
    </w:p>
    <w:p w14:paraId="697791DA"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8 december 1981, </w:t>
      </w:r>
      <w:r w:rsidRPr="009C29A6">
        <w:rPr>
          <w:rFonts w:eastAsia="Verdana" w:cs="Verdana"/>
          <w:i/>
          <w:szCs w:val="18"/>
          <w:lang w:val="en-GB"/>
        </w:rPr>
        <w:t>Arr.Cass.</w:t>
      </w:r>
      <w:r w:rsidRPr="009C29A6">
        <w:rPr>
          <w:rFonts w:eastAsia="Verdana" w:cs="Verdana"/>
          <w:szCs w:val="18"/>
          <w:lang w:val="en-GB"/>
        </w:rPr>
        <w:t xml:space="preserve"> 1981, 483.</w:t>
      </w:r>
    </w:p>
    <w:p w14:paraId="2B2358B3"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14 december 1971, </w:t>
      </w:r>
      <w:r w:rsidRPr="009C29A6">
        <w:rPr>
          <w:rFonts w:eastAsia="Verdana" w:cs="Verdana"/>
          <w:i/>
          <w:szCs w:val="18"/>
          <w:lang w:val="en-GB"/>
        </w:rPr>
        <w:t>Pas</w:t>
      </w:r>
      <w:r w:rsidRPr="009C29A6">
        <w:rPr>
          <w:rFonts w:eastAsia="Verdana" w:cs="Verdana"/>
          <w:szCs w:val="18"/>
          <w:lang w:val="en-GB"/>
        </w:rPr>
        <w:t>., 1972, I, 367.</w:t>
      </w:r>
    </w:p>
    <w:p w14:paraId="060E9237"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13 mei 1942, </w:t>
      </w:r>
      <w:r w:rsidRPr="009C29A6">
        <w:rPr>
          <w:rFonts w:eastAsia="Verdana" w:cs="Verdana"/>
          <w:i/>
          <w:szCs w:val="18"/>
          <w:lang w:val="en-GB"/>
        </w:rPr>
        <w:t>Arr.Cass.</w:t>
      </w:r>
      <w:r w:rsidRPr="009C29A6">
        <w:rPr>
          <w:rFonts w:eastAsia="Verdana" w:cs="Verdana"/>
          <w:szCs w:val="18"/>
          <w:lang w:val="en-GB"/>
        </w:rPr>
        <w:t xml:space="preserve"> 1942, 57-58.</w:t>
      </w:r>
    </w:p>
    <w:p w14:paraId="780BEA85"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11 februari 1942, </w:t>
      </w:r>
      <w:r w:rsidRPr="009C29A6">
        <w:rPr>
          <w:rFonts w:eastAsia="Verdana" w:cs="Verdana"/>
          <w:i/>
          <w:szCs w:val="18"/>
          <w:lang w:val="en-GB"/>
        </w:rPr>
        <w:t>Arr.Cass.</w:t>
      </w:r>
      <w:r w:rsidRPr="009C29A6">
        <w:rPr>
          <w:rFonts w:eastAsia="Verdana" w:cs="Verdana"/>
          <w:szCs w:val="18"/>
          <w:lang w:val="en-GB"/>
        </w:rPr>
        <w:t xml:space="preserve"> 1942, 17.</w:t>
      </w:r>
    </w:p>
    <w:p w14:paraId="7C30E666"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7 mei 1928, </w:t>
      </w:r>
      <w:r w:rsidRPr="009C29A6">
        <w:rPr>
          <w:rFonts w:eastAsia="Verdana" w:cs="Verdana"/>
          <w:i/>
          <w:szCs w:val="18"/>
          <w:lang w:val="en-GB"/>
        </w:rPr>
        <w:t xml:space="preserve">Pas. </w:t>
      </w:r>
      <w:r w:rsidRPr="009C29A6">
        <w:rPr>
          <w:rFonts w:eastAsia="Verdana" w:cs="Verdana"/>
          <w:szCs w:val="18"/>
          <w:lang w:val="en-GB"/>
        </w:rPr>
        <w:t>1928, I, 155.</w:t>
      </w:r>
    </w:p>
    <w:p w14:paraId="7B03E172"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17 mei 1926, </w:t>
      </w:r>
      <w:r w:rsidRPr="009C29A6">
        <w:rPr>
          <w:rFonts w:eastAsia="Verdana" w:cs="Verdana"/>
          <w:i/>
          <w:szCs w:val="18"/>
          <w:lang w:val="en-GB"/>
        </w:rPr>
        <w:t>Pas.</w:t>
      </w:r>
      <w:r w:rsidRPr="009C29A6">
        <w:rPr>
          <w:rFonts w:eastAsia="Verdana" w:cs="Verdana"/>
          <w:szCs w:val="18"/>
          <w:lang w:val="en-GB"/>
        </w:rPr>
        <w:t xml:space="preserve"> 1926, I, 380.</w:t>
      </w:r>
    </w:p>
    <w:p w14:paraId="5EECBF22"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15 januari 1923, </w:t>
      </w:r>
      <w:r w:rsidRPr="009C29A6">
        <w:rPr>
          <w:rFonts w:eastAsia="Verdana" w:cs="Verdana"/>
          <w:i/>
          <w:szCs w:val="18"/>
          <w:lang w:val="en-GB"/>
        </w:rPr>
        <w:t>Pas</w:t>
      </w:r>
      <w:r w:rsidRPr="009C29A6">
        <w:rPr>
          <w:rFonts w:eastAsia="Verdana" w:cs="Verdana"/>
          <w:szCs w:val="18"/>
          <w:lang w:val="en-GB"/>
        </w:rPr>
        <w:t>. 1923, I, 155.</w:t>
      </w:r>
    </w:p>
    <w:p w14:paraId="3B6D6AC5"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Cass. 24 juli 1916, </w:t>
      </w:r>
      <w:r w:rsidRPr="009C29A6">
        <w:rPr>
          <w:rFonts w:eastAsia="Verdana" w:cs="Verdana"/>
          <w:i/>
          <w:szCs w:val="18"/>
          <w:lang w:val="en-GB"/>
        </w:rPr>
        <w:t>Pas.</w:t>
      </w:r>
      <w:r w:rsidRPr="009C29A6">
        <w:rPr>
          <w:rFonts w:eastAsia="Verdana" w:cs="Verdana"/>
          <w:szCs w:val="18"/>
          <w:lang w:val="en-GB"/>
        </w:rPr>
        <w:t xml:space="preserve"> 1916, I, 223. </w:t>
      </w:r>
    </w:p>
    <w:p w14:paraId="6FA5E539" w14:textId="77777777" w:rsidR="003C10FB" w:rsidRDefault="003C10FB" w:rsidP="00260F11">
      <w:pPr>
        <w:spacing w:after="160" w:line="360" w:lineRule="auto"/>
        <w:rPr>
          <w:rFonts w:eastAsia="Verdana" w:cs="Verdana"/>
          <w:szCs w:val="18"/>
        </w:rPr>
      </w:pPr>
      <w:r>
        <w:rPr>
          <w:rFonts w:eastAsia="Verdana" w:cs="Verdana"/>
          <w:szCs w:val="18"/>
        </w:rPr>
        <w:t>Concl. DE SWAEF bij Cass. 31 maart 2015, ECLI:BE:CASS:2015:CONC.20150331.3.</w:t>
      </w:r>
    </w:p>
    <w:p w14:paraId="4A57BDDB" w14:textId="77777777" w:rsidR="003C10FB" w:rsidRDefault="003C10FB" w:rsidP="00260F11">
      <w:pPr>
        <w:spacing w:after="160" w:line="360" w:lineRule="auto"/>
        <w:rPr>
          <w:rFonts w:eastAsia="Verdana" w:cs="Verdana"/>
          <w:szCs w:val="18"/>
        </w:rPr>
      </w:pPr>
      <w:r>
        <w:rPr>
          <w:rFonts w:eastAsia="Verdana" w:cs="Verdana"/>
          <w:szCs w:val="18"/>
        </w:rPr>
        <w:t xml:space="preserve">Concl. LOOP bij Cass. 26 maart 2014, </w:t>
      </w:r>
      <w:r>
        <w:rPr>
          <w:rFonts w:eastAsia="Verdana" w:cs="Verdana"/>
          <w:i/>
          <w:szCs w:val="18"/>
        </w:rPr>
        <w:t>RDPC</w:t>
      </w:r>
      <w:r>
        <w:rPr>
          <w:rFonts w:eastAsia="Verdana" w:cs="Verdana"/>
          <w:szCs w:val="18"/>
        </w:rPr>
        <w:t xml:space="preserve"> 2014, 803-806.</w:t>
      </w:r>
    </w:p>
    <w:p w14:paraId="231B6808"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Concl. TIMPERMAN bij Cass. 29 november 2011, AR P.10.1766.N, ECLI:BE:CASS:2011:CONC.20111129.1.</w:t>
      </w:r>
    </w:p>
    <w:p w14:paraId="6D72BCD7" w14:textId="77777777" w:rsidR="003C10FB" w:rsidRDefault="003C10FB" w:rsidP="00260F11">
      <w:pPr>
        <w:spacing w:after="160" w:line="360" w:lineRule="auto"/>
        <w:rPr>
          <w:rFonts w:eastAsia="Verdana" w:cs="Verdana"/>
          <w:szCs w:val="18"/>
        </w:rPr>
      </w:pPr>
      <w:r>
        <w:rPr>
          <w:rFonts w:eastAsia="Verdana" w:cs="Verdana"/>
          <w:szCs w:val="18"/>
        </w:rPr>
        <w:t xml:space="preserve">Concl. VANDERMEERSCH bij Cass. 27 november 2013, </w:t>
      </w:r>
      <w:r>
        <w:rPr>
          <w:rFonts w:eastAsia="Verdana" w:cs="Verdana"/>
          <w:i/>
          <w:szCs w:val="18"/>
        </w:rPr>
        <w:t>RDP</w:t>
      </w:r>
      <w:r>
        <w:rPr>
          <w:rFonts w:eastAsia="Verdana" w:cs="Verdana"/>
          <w:szCs w:val="18"/>
        </w:rPr>
        <w:t xml:space="preserve"> 2014, 226-231.</w:t>
      </w:r>
    </w:p>
    <w:p w14:paraId="65C37E50" w14:textId="77777777" w:rsidR="003C10FB" w:rsidRDefault="003C10FB" w:rsidP="00260F11">
      <w:pPr>
        <w:spacing w:after="160" w:line="360" w:lineRule="auto"/>
        <w:rPr>
          <w:rFonts w:eastAsia="Verdana" w:cs="Verdana"/>
          <w:szCs w:val="18"/>
        </w:rPr>
      </w:pPr>
      <w:r>
        <w:rPr>
          <w:rFonts w:eastAsia="Verdana" w:cs="Verdana"/>
          <w:szCs w:val="18"/>
        </w:rPr>
        <w:t>Concl. VANDERMEERSCH bij Cass. 6 februari 2013, ECLI:BE:CASS:2013:CONC.20130206.2.</w:t>
      </w:r>
    </w:p>
    <w:p w14:paraId="17D1A6CB" w14:textId="77777777" w:rsidR="003C10FB" w:rsidRDefault="003C10FB" w:rsidP="00260F11">
      <w:pPr>
        <w:spacing w:after="160" w:line="360" w:lineRule="auto"/>
        <w:rPr>
          <w:rFonts w:eastAsia="Verdana" w:cs="Verdana"/>
          <w:szCs w:val="18"/>
        </w:rPr>
      </w:pPr>
      <w:r>
        <w:rPr>
          <w:rFonts w:eastAsia="Verdana" w:cs="Verdana"/>
          <w:szCs w:val="18"/>
        </w:rPr>
        <w:t xml:space="preserve">Brussel 17 maart 2015, </w:t>
      </w:r>
      <w:r>
        <w:rPr>
          <w:rFonts w:eastAsia="Verdana" w:cs="Verdana"/>
          <w:i/>
          <w:szCs w:val="18"/>
        </w:rPr>
        <w:t>JLMB</w:t>
      </w:r>
      <w:r>
        <w:rPr>
          <w:rFonts w:eastAsia="Verdana" w:cs="Verdana"/>
          <w:szCs w:val="18"/>
        </w:rPr>
        <w:t xml:space="preserve"> 2018, 540.</w:t>
      </w:r>
    </w:p>
    <w:p w14:paraId="60F88A84" w14:textId="77777777" w:rsidR="003C10FB" w:rsidRDefault="003C10FB" w:rsidP="00260F11">
      <w:pPr>
        <w:spacing w:after="160" w:line="360" w:lineRule="auto"/>
        <w:rPr>
          <w:rFonts w:eastAsia="Verdana" w:cs="Verdana"/>
          <w:szCs w:val="18"/>
        </w:rPr>
      </w:pPr>
      <w:r>
        <w:rPr>
          <w:rFonts w:eastAsia="Verdana" w:cs="Verdana"/>
          <w:szCs w:val="18"/>
        </w:rPr>
        <w:t xml:space="preserve">Luik 6 mei 2003, </w:t>
      </w:r>
      <w:r>
        <w:rPr>
          <w:rFonts w:eastAsia="Verdana" w:cs="Verdana"/>
          <w:i/>
          <w:szCs w:val="18"/>
        </w:rPr>
        <w:t>JLMB</w:t>
      </w:r>
      <w:r>
        <w:rPr>
          <w:rFonts w:eastAsia="Verdana" w:cs="Verdana"/>
          <w:szCs w:val="18"/>
        </w:rPr>
        <w:t xml:space="preserve"> 2018, 540.</w:t>
      </w:r>
    </w:p>
    <w:p w14:paraId="39E6E2D0" w14:textId="77777777" w:rsidR="003C10FB" w:rsidRDefault="003C10FB" w:rsidP="00260F11">
      <w:pPr>
        <w:spacing w:after="160" w:line="360" w:lineRule="auto"/>
        <w:rPr>
          <w:rFonts w:eastAsia="Verdana" w:cs="Verdana"/>
          <w:szCs w:val="18"/>
        </w:rPr>
      </w:pPr>
      <w:r>
        <w:rPr>
          <w:rFonts w:eastAsia="Verdana" w:cs="Verdana"/>
          <w:szCs w:val="18"/>
        </w:rPr>
        <w:t xml:space="preserve">Antwerpen 25 augustus 1976, </w:t>
      </w:r>
      <w:r>
        <w:rPr>
          <w:rFonts w:eastAsia="Verdana" w:cs="Verdana"/>
          <w:i/>
          <w:szCs w:val="18"/>
        </w:rPr>
        <w:t>RW</w:t>
      </w:r>
      <w:r>
        <w:rPr>
          <w:rFonts w:eastAsia="Verdana" w:cs="Verdana"/>
          <w:szCs w:val="18"/>
        </w:rPr>
        <w:t xml:space="preserve"> 1977-78, 1114-1115.</w:t>
      </w:r>
    </w:p>
    <w:p w14:paraId="69981EE0" w14:textId="77777777" w:rsidR="003C10FB" w:rsidRDefault="003C10FB" w:rsidP="00260F11">
      <w:pPr>
        <w:spacing w:after="160" w:line="360" w:lineRule="auto"/>
        <w:rPr>
          <w:rFonts w:eastAsia="Verdana" w:cs="Verdana"/>
          <w:szCs w:val="18"/>
        </w:rPr>
      </w:pPr>
      <w:r>
        <w:rPr>
          <w:rFonts w:eastAsia="Verdana" w:cs="Verdana"/>
          <w:szCs w:val="18"/>
        </w:rPr>
        <w:t xml:space="preserve">Luik 9 april 1992, </w:t>
      </w:r>
      <w:r>
        <w:rPr>
          <w:rFonts w:eastAsia="Verdana" w:cs="Verdana"/>
          <w:i/>
          <w:szCs w:val="18"/>
        </w:rPr>
        <w:t>JLMB</w:t>
      </w:r>
      <w:r>
        <w:rPr>
          <w:rFonts w:eastAsia="Verdana" w:cs="Verdana"/>
          <w:szCs w:val="18"/>
        </w:rPr>
        <w:t xml:space="preserve"> 1993, 8-11.</w:t>
      </w:r>
    </w:p>
    <w:p w14:paraId="0BE56500" w14:textId="77777777" w:rsidR="003C10FB" w:rsidRDefault="003C10FB" w:rsidP="00260F11">
      <w:pPr>
        <w:spacing w:after="160" w:line="360" w:lineRule="auto"/>
        <w:rPr>
          <w:rFonts w:eastAsia="Verdana" w:cs="Verdana"/>
          <w:szCs w:val="18"/>
        </w:rPr>
      </w:pPr>
      <w:r>
        <w:rPr>
          <w:rFonts w:eastAsia="Verdana" w:cs="Verdana"/>
          <w:szCs w:val="18"/>
        </w:rPr>
        <w:t xml:space="preserve">Corr. Limburg (afd. Hasselt) 19 januari 2021, </w:t>
      </w:r>
      <w:r>
        <w:rPr>
          <w:rFonts w:eastAsia="Verdana" w:cs="Verdana"/>
          <w:i/>
          <w:szCs w:val="18"/>
        </w:rPr>
        <w:t>Limb.Rechtsl.</w:t>
      </w:r>
      <w:r>
        <w:rPr>
          <w:rFonts w:eastAsia="Verdana" w:cs="Verdana"/>
          <w:szCs w:val="18"/>
        </w:rPr>
        <w:t xml:space="preserve"> 2021, 122-127, noot. I. DELBROUCK.</w:t>
      </w:r>
    </w:p>
    <w:p w14:paraId="7A605A82" w14:textId="77777777" w:rsidR="003C10FB" w:rsidRDefault="003C10FB" w:rsidP="00260F11">
      <w:pPr>
        <w:spacing w:after="160" w:line="360" w:lineRule="auto"/>
        <w:rPr>
          <w:rFonts w:eastAsia="Verdana" w:cs="Verdana"/>
          <w:szCs w:val="18"/>
        </w:rPr>
      </w:pPr>
      <w:r>
        <w:rPr>
          <w:rFonts w:eastAsia="Verdana" w:cs="Verdana"/>
          <w:szCs w:val="18"/>
        </w:rPr>
        <w:t>​​Corr. Leuven 19 december 2006,</w:t>
      </w:r>
      <w:r>
        <w:rPr>
          <w:rFonts w:eastAsia="Verdana" w:cs="Verdana"/>
          <w:i/>
          <w:szCs w:val="18"/>
        </w:rPr>
        <w:t xml:space="preserve"> T.Strafr</w:t>
      </w:r>
      <w:r>
        <w:rPr>
          <w:rFonts w:eastAsia="Verdana" w:cs="Verdana"/>
          <w:szCs w:val="18"/>
        </w:rPr>
        <w:t>. 2007, 217-219.</w:t>
      </w:r>
    </w:p>
    <w:p w14:paraId="5D7D1F31" w14:textId="77777777" w:rsidR="003C10FB" w:rsidRDefault="003C10FB" w:rsidP="00260F11">
      <w:pPr>
        <w:spacing w:after="160" w:line="360" w:lineRule="auto"/>
        <w:rPr>
          <w:rFonts w:eastAsia="Verdana" w:cs="Verdana"/>
          <w:szCs w:val="18"/>
        </w:rPr>
      </w:pPr>
      <w:r>
        <w:rPr>
          <w:rFonts w:eastAsia="Verdana" w:cs="Verdana"/>
          <w:szCs w:val="18"/>
        </w:rPr>
        <w:t xml:space="preserve">Corr. Brussel 5 januari 1999, </w:t>
      </w:r>
      <w:r>
        <w:rPr>
          <w:rFonts w:eastAsia="Verdana" w:cs="Verdana"/>
          <w:i/>
          <w:szCs w:val="18"/>
        </w:rPr>
        <w:t xml:space="preserve">JT </w:t>
      </w:r>
      <w:r>
        <w:rPr>
          <w:rFonts w:eastAsia="Verdana" w:cs="Verdana"/>
          <w:szCs w:val="18"/>
        </w:rPr>
        <w:t>1999, 627.</w:t>
      </w:r>
    </w:p>
    <w:p w14:paraId="24227F48"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Corr. Neufchâteau 26 november 1992, </w:t>
      </w:r>
      <w:r w:rsidRPr="009C29A6">
        <w:rPr>
          <w:rFonts w:eastAsia="Verdana" w:cs="Verdana"/>
          <w:i/>
          <w:szCs w:val="18"/>
          <w:lang w:val="fr-FR"/>
        </w:rPr>
        <w:t>Journ.proc.</w:t>
      </w:r>
      <w:r w:rsidRPr="009C29A6">
        <w:rPr>
          <w:rFonts w:eastAsia="Verdana" w:cs="Verdana"/>
          <w:szCs w:val="18"/>
          <w:lang w:val="fr-FR"/>
        </w:rPr>
        <w:t xml:space="preserve"> 1993, 28-31.</w:t>
      </w:r>
    </w:p>
    <w:p w14:paraId="5A79B6E2" w14:textId="77777777" w:rsidR="003C10FB" w:rsidRPr="009C29A6" w:rsidRDefault="003C10FB" w:rsidP="00260F11">
      <w:pPr>
        <w:spacing w:after="160" w:line="360" w:lineRule="auto"/>
        <w:rPr>
          <w:rFonts w:eastAsia="Verdana" w:cs="Verdana"/>
          <w:szCs w:val="18"/>
          <w:lang w:val="fr-FR"/>
        </w:rPr>
      </w:pPr>
      <w:r w:rsidRPr="009C29A6">
        <w:rPr>
          <w:rFonts w:eastAsia="Verdana" w:cs="Verdana"/>
          <w:b/>
          <w:szCs w:val="18"/>
          <w:lang w:val="fr-FR"/>
        </w:rPr>
        <w:t>4.3 Rechtsleer</w:t>
      </w:r>
    </w:p>
    <w:p w14:paraId="0A69F21E" w14:textId="77777777" w:rsidR="003C10FB" w:rsidRPr="009C29A6" w:rsidRDefault="003C10FB" w:rsidP="00260F11">
      <w:pPr>
        <w:spacing w:after="160" w:line="360" w:lineRule="auto"/>
        <w:rPr>
          <w:rFonts w:eastAsia="Verdana" w:cs="Verdana"/>
          <w:b/>
          <w:szCs w:val="18"/>
          <w:lang w:val="fr-FR"/>
        </w:rPr>
      </w:pPr>
      <w:r w:rsidRPr="009C29A6">
        <w:rPr>
          <w:rFonts w:eastAsia="Verdana" w:cs="Verdana"/>
          <w:b/>
          <w:szCs w:val="18"/>
          <w:lang w:val="fr-FR"/>
        </w:rPr>
        <w:t>4.3.1 Boeken</w:t>
      </w:r>
    </w:p>
    <w:p w14:paraId="1D7A1F99"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lastRenderedPageBreak/>
        <w:t xml:space="preserve">BASTYNS, O., “Attentat à la pudeur” in X, </w:t>
      </w:r>
      <w:r w:rsidRPr="009C29A6">
        <w:rPr>
          <w:rFonts w:eastAsia="Verdana" w:cs="Verdana"/>
          <w:i/>
          <w:szCs w:val="18"/>
          <w:lang w:val="fr-FR"/>
        </w:rPr>
        <w:t>Droit pénal et procédure pénale</w:t>
      </w:r>
      <w:r w:rsidRPr="009C29A6">
        <w:rPr>
          <w:rFonts w:eastAsia="Verdana" w:cs="Verdana"/>
          <w:szCs w:val="18"/>
          <w:lang w:val="fr-FR"/>
        </w:rPr>
        <w:t>, Mechelen, Wolters Kluwer, losbl., 9-40.</w:t>
      </w:r>
    </w:p>
    <w:p w14:paraId="711AFAFC"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BASTYNS, O., “Le viol” in X, </w:t>
      </w:r>
      <w:r w:rsidRPr="009C29A6">
        <w:rPr>
          <w:rFonts w:eastAsia="Verdana" w:cs="Verdana"/>
          <w:i/>
          <w:szCs w:val="18"/>
          <w:lang w:val="fr-FR"/>
        </w:rPr>
        <w:t>Droit pénal et procédure pénale</w:t>
      </w:r>
      <w:r w:rsidRPr="009C29A6">
        <w:rPr>
          <w:rFonts w:eastAsia="Verdana" w:cs="Verdana"/>
          <w:szCs w:val="18"/>
          <w:lang w:val="fr-FR"/>
        </w:rPr>
        <w:t>, Mechelen, Wolters Kluwer, losbl., 59-89.</w:t>
      </w:r>
    </w:p>
    <w:p w14:paraId="331B7D8C" w14:textId="77777777" w:rsidR="003C10FB" w:rsidRDefault="003C10FB" w:rsidP="00260F11">
      <w:pPr>
        <w:spacing w:after="160" w:line="360" w:lineRule="auto"/>
        <w:rPr>
          <w:rFonts w:eastAsia="Verdana" w:cs="Verdana"/>
          <w:szCs w:val="18"/>
        </w:rPr>
      </w:pPr>
      <w:r>
        <w:rPr>
          <w:rFonts w:eastAsia="Verdana" w:cs="Verdana"/>
          <w:szCs w:val="18"/>
        </w:rPr>
        <w:t xml:space="preserve">COP, M. en HENRION, T., </w:t>
      </w:r>
      <w:r>
        <w:rPr>
          <w:rFonts w:eastAsia="Verdana" w:cs="Verdana"/>
          <w:i/>
          <w:szCs w:val="18"/>
        </w:rPr>
        <w:t xml:space="preserve">Het nieuwe seksueel strafrecht. Artikelsgewijze bespreking van de hervorming anno 2022, </w:t>
      </w:r>
      <w:r>
        <w:rPr>
          <w:rFonts w:eastAsia="Verdana" w:cs="Verdana"/>
          <w:szCs w:val="18"/>
        </w:rPr>
        <w:t>Leuven,</w:t>
      </w:r>
      <w:r>
        <w:rPr>
          <w:rFonts w:eastAsia="Verdana" w:cs="Verdana"/>
          <w:i/>
          <w:szCs w:val="18"/>
        </w:rPr>
        <w:t xml:space="preserve"> </w:t>
      </w:r>
      <w:r>
        <w:rPr>
          <w:rFonts w:eastAsia="Verdana" w:cs="Verdana"/>
          <w:szCs w:val="18"/>
        </w:rPr>
        <w:t>LeA Uitgevers, 2022, 110 p.</w:t>
      </w:r>
    </w:p>
    <w:p w14:paraId="40AC4232" w14:textId="77777777" w:rsidR="003C10FB" w:rsidRDefault="003C10FB" w:rsidP="00260F11">
      <w:pPr>
        <w:spacing w:after="160" w:line="360" w:lineRule="auto"/>
        <w:rPr>
          <w:rFonts w:eastAsia="Verdana" w:cs="Verdana"/>
          <w:szCs w:val="18"/>
        </w:rPr>
      </w:pPr>
      <w:r>
        <w:rPr>
          <w:rFonts w:eastAsia="Verdana" w:cs="Verdana"/>
          <w:szCs w:val="18"/>
        </w:rPr>
        <w:t xml:space="preserve">DE BUSSCHER, M., MEESE, J., VAN DER KELEN, D. en VERBIST, J. (eds.), </w:t>
      </w:r>
      <w:r>
        <w:rPr>
          <w:rFonts w:eastAsia="Verdana" w:cs="Verdana"/>
          <w:i/>
          <w:szCs w:val="18"/>
        </w:rPr>
        <w:t xml:space="preserve">Duiding Strafrecht, </w:t>
      </w:r>
      <w:r>
        <w:rPr>
          <w:rFonts w:eastAsia="Verdana" w:cs="Verdana"/>
          <w:szCs w:val="18"/>
        </w:rPr>
        <w:t>Brussel, Larcier, 2018, 904 p.</w:t>
      </w:r>
    </w:p>
    <w:p w14:paraId="2B7445F1" w14:textId="77777777" w:rsidR="003C10FB" w:rsidRDefault="003C10FB" w:rsidP="00260F11">
      <w:pPr>
        <w:spacing w:after="160" w:line="360" w:lineRule="auto"/>
        <w:rPr>
          <w:rFonts w:eastAsia="Verdana" w:cs="Verdana"/>
          <w:szCs w:val="18"/>
        </w:rPr>
      </w:pPr>
      <w:r>
        <w:rPr>
          <w:rFonts w:eastAsia="Verdana" w:cs="Verdana"/>
          <w:szCs w:val="18"/>
        </w:rPr>
        <w:t xml:space="preserve">DE HERT, P., “Mensenrechten en het liefdevol doodkussen van het liberale denken” in RAES, K. (ed.), </w:t>
      </w:r>
      <w:r>
        <w:rPr>
          <w:rFonts w:eastAsia="Verdana" w:cs="Verdana"/>
          <w:i/>
          <w:szCs w:val="18"/>
        </w:rPr>
        <w:t xml:space="preserve">Liefde’s onrecht, </w:t>
      </w:r>
      <w:r>
        <w:rPr>
          <w:rFonts w:eastAsia="Verdana" w:cs="Verdana"/>
          <w:szCs w:val="18"/>
        </w:rPr>
        <w:t>Gent, Mys &amp; Breesch, 1998, 220 p.</w:t>
      </w:r>
    </w:p>
    <w:p w14:paraId="6C86FAA1" w14:textId="77777777" w:rsidR="00965449" w:rsidRDefault="00965449" w:rsidP="00260F11">
      <w:pPr>
        <w:spacing w:after="160" w:line="360" w:lineRule="auto"/>
        <w:rPr>
          <w:rFonts w:eastAsia="Verdana" w:cs="Verdana"/>
          <w:szCs w:val="18"/>
        </w:rPr>
      </w:pPr>
      <w:r>
        <w:rPr>
          <w:rFonts w:eastAsia="Verdana" w:cs="Verdana"/>
          <w:szCs w:val="18"/>
        </w:rPr>
        <w:t xml:space="preserve">DELBROUCK, I., </w:t>
      </w:r>
      <w:r>
        <w:rPr>
          <w:rFonts w:eastAsia="Verdana" w:cs="Verdana"/>
          <w:i/>
          <w:szCs w:val="18"/>
        </w:rPr>
        <w:t>Aanranding van de eerbaarheid en verkrachting</w:t>
      </w:r>
      <w:r>
        <w:rPr>
          <w:rFonts w:eastAsia="Verdana" w:cs="Verdana"/>
          <w:szCs w:val="18"/>
        </w:rPr>
        <w:t>, Brugge, die Keure, 2015, 158 p.</w:t>
      </w:r>
    </w:p>
    <w:p w14:paraId="1149E98D" w14:textId="77777777" w:rsidR="00965449" w:rsidRDefault="00965449" w:rsidP="00260F11">
      <w:pPr>
        <w:spacing w:after="160" w:line="360" w:lineRule="auto"/>
        <w:rPr>
          <w:rFonts w:eastAsia="Verdana" w:cs="Verdana"/>
          <w:szCs w:val="18"/>
        </w:rPr>
      </w:pPr>
      <w:r>
        <w:rPr>
          <w:rFonts w:eastAsia="Verdana" w:cs="Verdana"/>
          <w:szCs w:val="18"/>
        </w:rPr>
        <w:t xml:space="preserve">DELBROUCK, I., “Aanranding van de eerbaarheid - het misdrijf” in X, </w:t>
      </w:r>
      <w:r>
        <w:rPr>
          <w:rFonts w:eastAsia="Verdana" w:cs="Verdana"/>
          <w:i/>
          <w:szCs w:val="18"/>
        </w:rPr>
        <w:t xml:space="preserve">Comm.Straf., </w:t>
      </w:r>
      <w:r>
        <w:rPr>
          <w:rFonts w:eastAsia="Verdana" w:cs="Verdana"/>
          <w:szCs w:val="18"/>
        </w:rPr>
        <w:t>Mechelen, Wolters Kluwer, losbl., 11-59.</w:t>
      </w:r>
    </w:p>
    <w:p w14:paraId="427A6524" w14:textId="7A94300E" w:rsidR="00965449" w:rsidRDefault="00965449" w:rsidP="00260F11">
      <w:pPr>
        <w:spacing w:after="160" w:line="360" w:lineRule="auto"/>
        <w:rPr>
          <w:rFonts w:eastAsia="Verdana" w:cs="Verdana"/>
          <w:szCs w:val="18"/>
        </w:rPr>
      </w:pPr>
      <w:r>
        <w:rPr>
          <w:rFonts w:eastAsia="Verdana" w:cs="Verdana"/>
          <w:szCs w:val="18"/>
        </w:rPr>
        <w:t xml:space="preserve">DELBROUCK, I., “Verkrachting” in X, </w:t>
      </w:r>
      <w:r>
        <w:rPr>
          <w:rFonts w:eastAsia="Verdana" w:cs="Verdana"/>
          <w:i/>
          <w:szCs w:val="18"/>
        </w:rPr>
        <w:t xml:space="preserve">Postal Memorialis. Lexicon strafrecht, strafvordering en bijzondere wetten, </w:t>
      </w:r>
      <w:r>
        <w:rPr>
          <w:rFonts w:eastAsia="Verdana" w:cs="Verdana"/>
          <w:szCs w:val="18"/>
        </w:rPr>
        <w:t>Mechelen, Wolters Kluwer, losbl., V.130/1 - V.130/44.</w:t>
      </w:r>
    </w:p>
    <w:p w14:paraId="26ABF6DC" w14:textId="500DF4EF" w:rsidR="003C10FB" w:rsidRDefault="003C10FB" w:rsidP="00260F11">
      <w:pPr>
        <w:spacing w:after="160" w:line="360" w:lineRule="auto"/>
        <w:rPr>
          <w:rFonts w:eastAsia="Verdana" w:cs="Verdana"/>
          <w:szCs w:val="18"/>
        </w:rPr>
      </w:pPr>
      <w:r>
        <w:rPr>
          <w:rFonts w:eastAsia="Verdana" w:cs="Verdana"/>
          <w:szCs w:val="18"/>
        </w:rPr>
        <w:t xml:space="preserve">DE NAUW, A. en DERUYCK, F., </w:t>
      </w:r>
      <w:r>
        <w:rPr>
          <w:rFonts w:eastAsia="Verdana" w:cs="Verdana"/>
          <w:i/>
          <w:szCs w:val="18"/>
        </w:rPr>
        <w:t>Inleiding tot het bijzonder strafrecht</w:t>
      </w:r>
      <w:r>
        <w:rPr>
          <w:rFonts w:eastAsia="Verdana" w:cs="Verdana"/>
          <w:szCs w:val="18"/>
        </w:rPr>
        <w:t>, Mechelen, Kluwer, 2020, 658 p.</w:t>
      </w:r>
    </w:p>
    <w:p w14:paraId="2E2A1443" w14:textId="77777777" w:rsidR="003C10FB" w:rsidRDefault="003C10FB" w:rsidP="00260F11">
      <w:pPr>
        <w:spacing w:line="360" w:lineRule="auto"/>
        <w:rPr>
          <w:rFonts w:eastAsia="Verdana" w:cs="Verdana"/>
          <w:szCs w:val="18"/>
        </w:rPr>
      </w:pPr>
      <w:r>
        <w:rPr>
          <w:rFonts w:eastAsia="Verdana" w:cs="Verdana"/>
          <w:szCs w:val="18"/>
        </w:rPr>
        <w:t xml:space="preserve">DE NAUW, A. en KUTY, F., </w:t>
      </w:r>
      <w:r>
        <w:rPr>
          <w:rFonts w:eastAsia="Verdana" w:cs="Verdana"/>
          <w:i/>
          <w:szCs w:val="18"/>
        </w:rPr>
        <w:t>Manuel de droit pénal spécial</w:t>
      </w:r>
      <w:r>
        <w:rPr>
          <w:rFonts w:eastAsia="Verdana" w:cs="Verdana"/>
          <w:szCs w:val="18"/>
        </w:rPr>
        <w:t>, Wolters Kluwer, Liège, 2018, 1392 p.</w:t>
      </w:r>
    </w:p>
    <w:p w14:paraId="6B480179" w14:textId="77777777" w:rsidR="003C10FB" w:rsidRDefault="003C10FB" w:rsidP="00260F11">
      <w:pPr>
        <w:spacing w:after="160" w:line="360" w:lineRule="auto"/>
        <w:rPr>
          <w:rFonts w:eastAsia="Verdana" w:cs="Verdana"/>
          <w:szCs w:val="18"/>
        </w:rPr>
      </w:pPr>
      <w:r>
        <w:rPr>
          <w:rFonts w:eastAsia="Verdana" w:cs="Verdana"/>
          <w:szCs w:val="18"/>
        </w:rPr>
        <w:t xml:space="preserve">DERUYCK, F., SPRIET, B., TRAEST, P. en VERSTRAETEN, R. (eds.), </w:t>
      </w:r>
      <w:r>
        <w:rPr>
          <w:rFonts w:eastAsia="Verdana" w:cs="Verdana"/>
          <w:i/>
          <w:szCs w:val="18"/>
        </w:rPr>
        <w:t xml:space="preserve">Strafrecht. Deel 1- Algemeen strafrecht, </w:t>
      </w:r>
      <w:r>
        <w:rPr>
          <w:rFonts w:eastAsia="Verdana" w:cs="Verdana"/>
          <w:szCs w:val="18"/>
        </w:rPr>
        <w:t>Brugge, die Keure, 2022, 1242 p.</w:t>
      </w:r>
    </w:p>
    <w:p w14:paraId="446D75DE" w14:textId="77777777" w:rsidR="003C10FB" w:rsidRDefault="003C10FB" w:rsidP="00260F11">
      <w:pPr>
        <w:spacing w:after="160" w:line="360" w:lineRule="auto"/>
        <w:rPr>
          <w:rFonts w:eastAsia="Verdana" w:cs="Verdana"/>
          <w:szCs w:val="18"/>
        </w:rPr>
      </w:pPr>
      <w:r>
        <w:rPr>
          <w:rFonts w:eastAsia="Verdana" w:cs="Verdana"/>
          <w:szCs w:val="18"/>
        </w:rPr>
        <w:t xml:space="preserve">DERUYCK, F., SPRIET, B., TRAEST, P. en VERSTRAETEN, R. (eds.), </w:t>
      </w:r>
      <w:r>
        <w:rPr>
          <w:rFonts w:eastAsia="Verdana" w:cs="Verdana"/>
          <w:i/>
          <w:szCs w:val="18"/>
        </w:rPr>
        <w:t xml:space="preserve">Strafrecht. Deel 1 - Algemeen strafrecht, </w:t>
      </w:r>
      <w:r>
        <w:rPr>
          <w:rFonts w:eastAsia="Verdana" w:cs="Verdana"/>
          <w:szCs w:val="18"/>
        </w:rPr>
        <w:t>Brugge, die Keure, 2021, 1459 p.</w:t>
      </w:r>
    </w:p>
    <w:p w14:paraId="364FA9AE" w14:textId="77777777" w:rsidR="003C10FB" w:rsidRDefault="003C10FB" w:rsidP="00260F11">
      <w:pPr>
        <w:spacing w:after="160" w:line="360" w:lineRule="auto"/>
        <w:rPr>
          <w:rFonts w:eastAsia="Verdana" w:cs="Verdana"/>
          <w:szCs w:val="18"/>
        </w:rPr>
      </w:pPr>
      <w:r>
        <w:rPr>
          <w:rFonts w:eastAsia="Verdana" w:cs="Verdana"/>
          <w:szCs w:val="18"/>
        </w:rPr>
        <w:t xml:space="preserve">DERUYCK, F. en VAN LANDEGHEM, Y., </w:t>
      </w:r>
      <w:r>
        <w:rPr>
          <w:rFonts w:eastAsia="Verdana" w:cs="Verdana"/>
          <w:i/>
          <w:szCs w:val="18"/>
        </w:rPr>
        <w:t>Overzicht van het Belgisch algemeen strafrecht</w:t>
      </w:r>
      <w:r>
        <w:rPr>
          <w:rFonts w:eastAsia="Verdana" w:cs="Verdana"/>
          <w:szCs w:val="18"/>
        </w:rPr>
        <w:t>, Brugge, die Keure, 2021, 270 p.</w:t>
      </w:r>
    </w:p>
    <w:p w14:paraId="292D3E7F" w14:textId="77777777" w:rsidR="003C10FB" w:rsidRDefault="003C10FB" w:rsidP="00260F11">
      <w:pPr>
        <w:spacing w:after="160" w:line="360" w:lineRule="auto"/>
        <w:rPr>
          <w:rFonts w:eastAsia="Verdana" w:cs="Verdana"/>
          <w:szCs w:val="18"/>
        </w:rPr>
      </w:pPr>
      <w:r>
        <w:rPr>
          <w:rFonts w:eastAsia="Verdana" w:cs="Verdana"/>
          <w:szCs w:val="18"/>
        </w:rPr>
        <w:t xml:space="preserve">DIERICKX, A., </w:t>
      </w:r>
      <w:r>
        <w:rPr>
          <w:rFonts w:eastAsia="Verdana" w:cs="Verdana"/>
          <w:i/>
          <w:szCs w:val="18"/>
        </w:rPr>
        <w:t>Toestemming en strafrecht</w:t>
      </w:r>
      <w:r>
        <w:rPr>
          <w:rFonts w:eastAsia="Verdana" w:cs="Verdana"/>
          <w:szCs w:val="18"/>
        </w:rPr>
        <w:t>, Antwerpen, Intersentia, 2006, 561 p.</w:t>
      </w:r>
    </w:p>
    <w:p w14:paraId="47C35026" w14:textId="77777777" w:rsidR="003C10FB" w:rsidRDefault="003C10FB" w:rsidP="00260F11">
      <w:pPr>
        <w:spacing w:after="160" w:line="360" w:lineRule="auto"/>
        <w:rPr>
          <w:rFonts w:eastAsia="Verdana" w:cs="Verdana"/>
          <w:szCs w:val="18"/>
        </w:rPr>
      </w:pPr>
      <w:r>
        <w:rPr>
          <w:rFonts w:eastAsia="Verdana" w:cs="Verdana"/>
          <w:szCs w:val="18"/>
        </w:rPr>
        <w:t xml:space="preserve">DILLEN, M., VAN VOLSEM, F., KEMPS, P. en DENENBOURG, K., </w:t>
      </w:r>
      <w:r>
        <w:rPr>
          <w:rFonts w:eastAsia="Verdana" w:cs="Verdana"/>
          <w:i/>
          <w:szCs w:val="18"/>
        </w:rPr>
        <w:t xml:space="preserve">Zakboekje strafrecht, </w:t>
      </w:r>
      <w:r>
        <w:rPr>
          <w:rFonts w:eastAsia="Verdana" w:cs="Verdana"/>
          <w:szCs w:val="18"/>
        </w:rPr>
        <w:t xml:space="preserve">Mechelen, Wolters Kluwer, 2022, 832 p. </w:t>
      </w:r>
    </w:p>
    <w:p w14:paraId="2AE69C9F" w14:textId="35E605C8" w:rsidR="003C10FB" w:rsidRDefault="003C10FB" w:rsidP="00260F11">
      <w:pPr>
        <w:spacing w:after="160" w:line="360" w:lineRule="auto"/>
        <w:rPr>
          <w:rFonts w:eastAsia="Verdana" w:cs="Verdana"/>
          <w:szCs w:val="18"/>
        </w:rPr>
      </w:pPr>
      <w:r>
        <w:rPr>
          <w:rFonts w:eastAsia="Verdana" w:cs="Verdana"/>
          <w:szCs w:val="18"/>
        </w:rPr>
        <w:t xml:space="preserve">GORLÉ, F., BOURGEOIS, G., BOCKEN, H., REYNTJENS, F., DE BONDT, W. en LEMMENS, K., </w:t>
      </w:r>
      <w:r>
        <w:rPr>
          <w:rFonts w:eastAsia="Verdana" w:cs="Verdana"/>
          <w:i/>
          <w:szCs w:val="18"/>
        </w:rPr>
        <w:t xml:space="preserve">Rechtsvergelijking, </w:t>
      </w:r>
      <w:r>
        <w:rPr>
          <w:rFonts w:eastAsia="Verdana" w:cs="Verdana"/>
          <w:szCs w:val="18"/>
        </w:rPr>
        <w:t>Mechelen, Kluwer, 2007, 359</w:t>
      </w:r>
      <w:r w:rsidR="00965449">
        <w:rPr>
          <w:rFonts w:eastAsia="Verdana" w:cs="Verdana"/>
          <w:szCs w:val="18"/>
        </w:rPr>
        <w:t xml:space="preserve"> p</w:t>
      </w:r>
      <w:r>
        <w:rPr>
          <w:rFonts w:eastAsia="Verdana" w:cs="Verdana"/>
          <w:szCs w:val="18"/>
        </w:rPr>
        <w:t>.</w:t>
      </w:r>
    </w:p>
    <w:p w14:paraId="18417386" w14:textId="014E5CAB" w:rsidR="00965449" w:rsidRPr="009C29A6" w:rsidRDefault="00965449" w:rsidP="00260F11">
      <w:pPr>
        <w:spacing w:after="160" w:line="360" w:lineRule="auto"/>
        <w:rPr>
          <w:rFonts w:eastAsia="Verdana" w:cs="Verdana"/>
          <w:szCs w:val="18"/>
          <w:lang w:val="fr-FR"/>
        </w:rPr>
      </w:pPr>
      <w:r w:rsidRPr="009C29A6">
        <w:rPr>
          <w:rFonts w:eastAsia="Verdana" w:cs="Verdana"/>
          <w:szCs w:val="18"/>
          <w:lang w:val="fr-FR"/>
        </w:rPr>
        <w:t xml:space="preserve">HENRION, T., </w:t>
      </w:r>
      <w:r w:rsidRPr="009C29A6">
        <w:rPr>
          <w:rFonts w:eastAsia="Verdana" w:cs="Verdana"/>
          <w:i/>
          <w:szCs w:val="18"/>
          <w:lang w:val="fr-FR"/>
        </w:rPr>
        <w:t>La réforme du droit pénal sexuel</w:t>
      </w:r>
      <w:r w:rsidRPr="009C29A6">
        <w:rPr>
          <w:rFonts w:eastAsia="Verdana" w:cs="Verdana"/>
          <w:szCs w:val="18"/>
          <w:lang w:val="fr-FR"/>
        </w:rPr>
        <w:t>, Limal, Anthemis, 2022, 108 p.</w:t>
      </w:r>
    </w:p>
    <w:p w14:paraId="6C1338EE" w14:textId="77777777" w:rsidR="003C10FB" w:rsidRPr="009C29A6" w:rsidRDefault="003C10FB" w:rsidP="00260F11">
      <w:pPr>
        <w:spacing w:line="360" w:lineRule="auto"/>
        <w:rPr>
          <w:rFonts w:eastAsia="Verdana" w:cs="Verdana"/>
          <w:szCs w:val="18"/>
          <w:lang w:val="fr-FR"/>
        </w:rPr>
      </w:pPr>
      <w:r w:rsidRPr="009C29A6">
        <w:rPr>
          <w:rFonts w:eastAsia="Verdana" w:cs="Verdana"/>
          <w:szCs w:val="18"/>
          <w:lang w:val="fr-FR"/>
        </w:rPr>
        <w:t>HENRION, T., “Le viol et l’atteinte à l’intégrité sexuelle” in COLSON, P., Actualités en matière de droit pénal sexuel, Limal, Anthemis, 2022, 7-39.</w:t>
      </w:r>
    </w:p>
    <w:p w14:paraId="0626409D" w14:textId="77777777" w:rsidR="003C10FB" w:rsidRDefault="003C10FB" w:rsidP="00260F11">
      <w:pPr>
        <w:spacing w:after="160" w:line="360" w:lineRule="auto"/>
        <w:rPr>
          <w:rFonts w:eastAsia="Verdana" w:cs="Verdana"/>
          <w:szCs w:val="18"/>
        </w:rPr>
      </w:pPr>
      <w:r>
        <w:rPr>
          <w:rFonts w:eastAsia="Verdana" w:cs="Verdana"/>
          <w:szCs w:val="18"/>
        </w:rPr>
        <w:t xml:space="preserve">KESTEMONT, L., SCHOUKENS, P., HENDRICKX, K. en TERRYN, E. (eds.), </w:t>
      </w:r>
      <w:r>
        <w:rPr>
          <w:rFonts w:eastAsia="Verdana" w:cs="Verdana"/>
          <w:i/>
          <w:szCs w:val="18"/>
        </w:rPr>
        <w:t>Rechtswetenschappelijk schrijven</w:t>
      </w:r>
      <w:r>
        <w:rPr>
          <w:rFonts w:eastAsia="Verdana" w:cs="Verdana"/>
          <w:szCs w:val="18"/>
        </w:rPr>
        <w:t>, Leuven, Acco, 2021, 144 p.</w:t>
      </w:r>
    </w:p>
    <w:p w14:paraId="048972F2" w14:textId="77777777" w:rsidR="003C10FB" w:rsidRDefault="003C10FB" w:rsidP="00260F11">
      <w:pPr>
        <w:spacing w:after="160" w:line="360" w:lineRule="auto"/>
        <w:rPr>
          <w:rFonts w:eastAsia="Verdana" w:cs="Verdana"/>
          <w:szCs w:val="18"/>
        </w:rPr>
      </w:pPr>
      <w:r>
        <w:rPr>
          <w:rFonts w:eastAsia="Verdana" w:cs="Verdana"/>
          <w:szCs w:val="18"/>
        </w:rPr>
        <w:lastRenderedPageBreak/>
        <w:t xml:space="preserve">LINDENBERG, K., “Verkrachting, aanranding en de bescherming van de seksuele integriteit: moet Nederland ook naar een ‘Nein heißt Nein’?” in GRITTER, E. (ed.), </w:t>
      </w:r>
      <w:r>
        <w:rPr>
          <w:rFonts w:eastAsia="Verdana" w:cs="Verdana"/>
          <w:i/>
          <w:szCs w:val="18"/>
        </w:rPr>
        <w:t>Modern Strafrecht</w:t>
      </w:r>
      <w:r>
        <w:rPr>
          <w:rFonts w:eastAsia="Verdana" w:cs="Verdana"/>
          <w:szCs w:val="18"/>
        </w:rPr>
        <w:t>, Deventer, Wolters Kluwer, 2019, 1-33.</w:t>
      </w:r>
    </w:p>
    <w:p w14:paraId="280B7253" w14:textId="77777777" w:rsidR="003C10FB" w:rsidRPr="009C29A6" w:rsidRDefault="003C10FB" w:rsidP="00260F11">
      <w:pPr>
        <w:spacing w:line="360" w:lineRule="auto"/>
        <w:rPr>
          <w:rFonts w:eastAsia="Verdana" w:cs="Verdana"/>
          <w:szCs w:val="18"/>
          <w:lang w:val="fr-FR"/>
        </w:rPr>
      </w:pPr>
      <w:r w:rsidRPr="009C29A6">
        <w:rPr>
          <w:rFonts w:eastAsia="Verdana" w:cs="Verdana"/>
          <w:szCs w:val="18"/>
          <w:lang w:val="fr-FR"/>
        </w:rPr>
        <w:t xml:space="preserve">MASSET, A., COCO, G., CORNEILLE, S., DE DECKER, S., GAZAN, F., LOUWETTE, S., VERMEULEN, G. en WATTIER, I., </w:t>
      </w:r>
      <w:r w:rsidRPr="009C29A6">
        <w:rPr>
          <w:rFonts w:eastAsia="Verdana" w:cs="Verdana"/>
          <w:i/>
          <w:szCs w:val="18"/>
          <w:lang w:val="fr-FR"/>
        </w:rPr>
        <w:t>La poursuite et le traitement des auteurs d'infractions a caractère sexuel</w:t>
      </w:r>
      <w:r w:rsidRPr="009C29A6">
        <w:rPr>
          <w:rFonts w:eastAsia="Verdana" w:cs="Verdana"/>
          <w:szCs w:val="18"/>
          <w:lang w:val="fr-FR"/>
        </w:rPr>
        <w:t>, Brugge, la Charte, 2009, 216 p.</w:t>
      </w:r>
    </w:p>
    <w:p w14:paraId="5A2DADC5" w14:textId="77777777" w:rsidR="003C10FB" w:rsidRDefault="003C10FB" w:rsidP="00260F11">
      <w:pPr>
        <w:spacing w:after="160" w:line="360" w:lineRule="auto"/>
        <w:rPr>
          <w:rFonts w:eastAsia="Verdana" w:cs="Verdana"/>
          <w:szCs w:val="18"/>
        </w:rPr>
      </w:pPr>
      <w:r>
        <w:rPr>
          <w:rFonts w:eastAsia="Verdana" w:cs="Verdana"/>
          <w:szCs w:val="18"/>
        </w:rPr>
        <w:t xml:space="preserve">MERCKX, D. en DELBROUCK, I., “Verkrachting - het misdrijf” in X, </w:t>
      </w:r>
      <w:r>
        <w:rPr>
          <w:rFonts w:eastAsia="Verdana" w:cs="Verdana"/>
          <w:i/>
          <w:szCs w:val="18"/>
        </w:rPr>
        <w:t xml:space="preserve">Comm.Straf., </w:t>
      </w:r>
      <w:r>
        <w:rPr>
          <w:rFonts w:eastAsia="Verdana" w:cs="Verdana"/>
          <w:szCs w:val="18"/>
        </w:rPr>
        <w:t>Mechelen, Wolters Kluwer, losbl., 229-300.</w:t>
      </w:r>
    </w:p>
    <w:p w14:paraId="257053AE" w14:textId="77777777" w:rsidR="003C10FB" w:rsidRPr="009C29A6" w:rsidRDefault="003C10FB" w:rsidP="00260F11">
      <w:pPr>
        <w:spacing w:line="360" w:lineRule="auto"/>
        <w:rPr>
          <w:rFonts w:eastAsia="Verdana" w:cs="Verdana"/>
          <w:szCs w:val="18"/>
          <w:lang w:val="fr-FR"/>
        </w:rPr>
      </w:pPr>
      <w:r w:rsidRPr="009C29A6">
        <w:rPr>
          <w:rFonts w:eastAsia="Verdana" w:cs="Verdana"/>
          <w:szCs w:val="18"/>
          <w:lang w:val="fr-FR"/>
        </w:rPr>
        <w:t xml:space="preserve">RIZZO, A. (ed.), </w:t>
      </w:r>
      <w:r w:rsidRPr="009C29A6">
        <w:rPr>
          <w:rFonts w:eastAsia="Verdana" w:cs="Verdana"/>
          <w:i/>
          <w:szCs w:val="18"/>
          <w:lang w:val="fr-FR"/>
        </w:rPr>
        <w:t>Le nouveau droit pénal sexuel</w:t>
      </w:r>
      <w:r w:rsidRPr="009C29A6">
        <w:rPr>
          <w:rFonts w:eastAsia="Verdana" w:cs="Verdana"/>
          <w:szCs w:val="18"/>
          <w:lang w:val="fr-FR"/>
        </w:rPr>
        <w:t>, Brussel, Larcier, 2022, 306 p.</w:t>
      </w:r>
    </w:p>
    <w:p w14:paraId="7E4C2EBA" w14:textId="77777777" w:rsidR="003C10FB" w:rsidRDefault="003C10FB" w:rsidP="00260F11">
      <w:pPr>
        <w:spacing w:after="160" w:line="360" w:lineRule="auto"/>
        <w:rPr>
          <w:rFonts w:eastAsia="Verdana" w:cs="Verdana"/>
          <w:szCs w:val="18"/>
        </w:rPr>
      </w:pPr>
      <w:r>
        <w:rPr>
          <w:rFonts w:eastAsia="Verdana" w:cs="Verdana"/>
          <w:szCs w:val="18"/>
        </w:rPr>
        <w:t xml:space="preserve">ROZIE, J., “Gender in het bijzonder strafrecht” in BREMS, E., CANNOOT P. en STEVENS, L. (eds.), </w:t>
      </w:r>
      <w:r>
        <w:rPr>
          <w:rFonts w:eastAsia="Verdana" w:cs="Verdana"/>
          <w:i/>
          <w:szCs w:val="18"/>
        </w:rPr>
        <w:t xml:space="preserve">Recht &amp; Gender in Belgie - 10 jaar later, </w:t>
      </w:r>
      <w:r>
        <w:rPr>
          <w:rFonts w:eastAsia="Verdana" w:cs="Verdana"/>
          <w:szCs w:val="18"/>
        </w:rPr>
        <w:t>Brugge, die Keure, 2021, 267-294.</w:t>
      </w:r>
    </w:p>
    <w:p w14:paraId="4BA99F70" w14:textId="77777777" w:rsidR="003C10FB" w:rsidRDefault="003C10FB" w:rsidP="00260F11">
      <w:pPr>
        <w:spacing w:after="160" w:line="360" w:lineRule="auto"/>
        <w:rPr>
          <w:rFonts w:eastAsia="Verdana" w:cs="Verdana"/>
          <w:szCs w:val="18"/>
        </w:rPr>
      </w:pPr>
      <w:r>
        <w:rPr>
          <w:rFonts w:eastAsia="Verdana" w:cs="Verdana"/>
          <w:szCs w:val="18"/>
        </w:rPr>
        <w:t xml:space="preserve">ROZIE, J., VANDERMEERSCH, D., DE HERDT, J. en DEBAUCHE, M., </w:t>
      </w:r>
      <w:r>
        <w:rPr>
          <w:rFonts w:eastAsia="Verdana" w:cs="Verdana"/>
          <w:i/>
          <w:szCs w:val="18"/>
        </w:rPr>
        <w:t xml:space="preserve">Commissie voor de hervorming van het strafrecht. Voorstel van voorontwerp van Boek I van het Strafwetboek, </w:t>
      </w:r>
      <w:r>
        <w:rPr>
          <w:rFonts w:eastAsia="Verdana" w:cs="Verdana"/>
          <w:szCs w:val="18"/>
        </w:rPr>
        <w:t>Brugge, die Keure, 2016, 169 p.</w:t>
      </w:r>
    </w:p>
    <w:p w14:paraId="45566DEB" w14:textId="77777777" w:rsidR="003C10FB" w:rsidRDefault="003C10FB" w:rsidP="00260F11">
      <w:pPr>
        <w:spacing w:after="160" w:line="360" w:lineRule="auto"/>
        <w:rPr>
          <w:rFonts w:eastAsia="Verdana" w:cs="Verdana"/>
          <w:szCs w:val="18"/>
        </w:rPr>
      </w:pPr>
      <w:r>
        <w:rPr>
          <w:rFonts w:eastAsia="Verdana" w:cs="Verdana"/>
          <w:szCs w:val="18"/>
        </w:rPr>
        <w:t xml:space="preserve">ROZIE, J., VANDERMEERSCH, D., DE HERDT, J., DEBAUCHE, M. en TAEYMANS, M., </w:t>
      </w:r>
      <w:r>
        <w:rPr>
          <w:rFonts w:eastAsia="Verdana" w:cs="Verdana"/>
          <w:i/>
          <w:szCs w:val="18"/>
        </w:rPr>
        <w:t xml:space="preserve">Naar een nieuw Strafwetboek? Het voorstel van de Commissie tot Hervorming van het Strafrecht, </w:t>
      </w:r>
      <w:r>
        <w:rPr>
          <w:rFonts w:eastAsia="Verdana" w:cs="Verdana"/>
          <w:szCs w:val="18"/>
        </w:rPr>
        <w:t>Brugge, die Keure, 2019, 610p.</w:t>
      </w:r>
    </w:p>
    <w:p w14:paraId="1FC3AF3C" w14:textId="77777777" w:rsidR="003C10FB" w:rsidRDefault="003C10FB" w:rsidP="00260F11">
      <w:pPr>
        <w:spacing w:after="160" w:line="360" w:lineRule="auto"/>
        <w:rPr>
          <w:rFonts w:eastAsia="Verdana" w:cs="Verdana"/>
          <w:szCs w:val="18"/>
        </w:rPr>
      </w:pPr>
      <w:r>
        <w:rPr>
          <w:rFonts w:eastAsia="Verdana" w:cs="Verdana"/>
          <w:szCs w:val="18"/>
        </w:rPr>
        <w:t xml:space="preserve">SPRIET, B., “(Lichaams)grens aan verkrachting: van Antwerpse vrijspraak tot nieuwe wetgeving?” in TRAEST, P., LECLERCQ, J., GOETHALS, E. HUYBRECHTS, L. ROZIE, J. VERSTRAETEN, R. DERUYCK, F. EN ROZIE, M. (eds.), </w:t>
      </w:r>
      <w:r>
        <w:rPr>
          <w:rFonts w:eastAsia="Verdana" w:cs="Verdana"/>
          <w:i/>
          <w:szCs w:val="18"/>
        </w:rPr>
        <w:t>Amicus curiae. Liber amicorum Marc De Swaef,</w:t>
      </w:r>
      <w:r>
        <w:rPr>
          <w:rFonts w:eastAsia="Verdana" w:cs="Verdana"/>
          <w:szCs w:val="18"/>
        </w:rPr>
        <w:t xml:space="preserve"> Mortsel, Intersentia, 2013, 317-334.</w:t>
      </w:r>
    </w:p>
    <w:p w14:paraId="312642A0" w14:textId="1FAF0956" w:rsidR="003C10FB" w:rsidRDefault="003C10FB" w:rsidP="00260F11">
      <w:pPr>
        <w:spacing w:after="160" w:line="360" w:lineRule="auto"/>
        <w:rPr>
          <w:rFonts w:eastAsia="Verdana" w:cs="Verdana"/>
          <w:szCs w:val="18"/>
        </w:rPr>
      </w:pPr>
      <w:r>
        <w:rPr>
          <w:rFonts w:eastAsia="Verdana" w:cs="Verdana"/>
          <w:szCs w:val="18"/>
        </w:rPr>
        <w:t>SOTTIAUX,</w:t>
      </w:r>
      <w:r w:rsidR="00112F04">
        <w:rPr>
          <w:rFonts w:eastAsia="Verdana" w:cs="Verdana"/>
          <w:szCs w:val="18"/>
        </w:rPr>
        <w:t xml:space="preserve"> S.,</w:t>
      </w:r>
      <w:r>
        <w:rPr>
          <w:rFonts w:eastAsia="Verdana" w:cs="Verdana"/>
          <w:szCs w:val="18"/>
        </w:rPr>
        <w:t xml:space="preserve"> </w:t>
      </w:r>
      <w:r>
        <w:rPr>
          <w:rFonts w:eastAsia="Verdana" w:cs="Verdana"/>
          <w:i/>
          <w:szCs w:val="18"/>
        </w:rPr>
        <w:t>Grondwettelijk recht</w:t>
      </w:r>
      <w:r>
        <w:rPr>
          <w:rFonts w:eastAsia="Verdana" w:cs="Verdana"/>
          <w:szCs w:val="18"/>
        </w:rPr>
        <w:t>, Antwerpen, Intersentia, 2021, 319-337.</w:t>
      </w:r>
    </w:p>
    <w:p w14:paraId="23D6C5F3" w14:textId="77777777" w:rsidR="003C10FB" w:rsidRDefault="003C10FB" w:rsidP="00260F11">
      <w:pPr>
        <w:spacing w:after="160" w:line="360" w:lineRule="auto"/>
        <w:rPr>
          <w:rFonts w:eastAsia="Verdana" w:cs="Verdana"/>
          <w:szCs w:val="18"/>
        </w:rPr>
      </w:pPr>
      <w:r>
        <w:rPr>
          <w:rFonts w:eastAsia="Verdana" w:cs="Verdana"/>
          <w:szCs w:val="18"/>
        </w:rPr>
        <w:t xml:space="preserve">STEVENS, L., </w:t>
      </w:r>
      <w:r>
        <w:rPr>
          <w:rFonts w:eastAsia="Verdana" w:cs="Verdana"/>
          <w:i/>
          <w:szCs w:val="18"/>
        </w:rPr>
        <w:t>Strafrecht en seksualiteit</w:t>
      </w:r>
      <w:r>
        <w:rPr>
          <w:rFonts w:eastAsia="Verdana" w:cs="Verdana"/>
          <w:szCs w:val="18"/>
        </w:rPr>
        <w:t>, Antwerpen, Intersentia, 2002, 601 p.</w:t>
      </w:r>
    </w:p>
    <w:p w14:paraId="0174BC3F" w14:textId="5C21BB4A" w:rsidR="003C10FB" w:rsidRDefault="003C10FB" w:rsidP="00260F11">
      <w:pPr>
        <w:spacing w:after="160" w:line="360" w:lineRule="auto"/>
        <w:rPr>
          <w:rFonts w:eastAsia="Verdana" w:cs="Verdana"/>
          <w:szCs w:val="18"/>
        </w:rPr>
      </w:pPr>
      <w:r>
        <w:rPr>
          <w:rFonts w:eastAsia="Verdana" w:cs="Verdana"/>
          <w:szCs w:val="18"/>
        </w:rPr>
        <w:t xml:space="preserve">THEUNIS, J., </w:t>
      </w:r>
      <w:r>
        <w:rPr>
          <w:rFonts w:eastAsia="Verdana" w:cs="Verdana"/>
          <w:i/>
          <w:szCs w:val="18"/>
        </w:rPr>
        <w:t xml:space="preserve">De exceptie van onwettigheid, </w:t>
      </w:r>
      <w:r>
        <w:rPr>
          <w:rFonts w:eastAsia="Verdana" w:cs="Verdana"/>
          <w:szCs w:val="18"/>
        </w:rPr>
        <w:t xml:space="preserve">onuitg. doctoraatsthesis rechten KU Leuven, 2011, </w:t>
      </w:r>
      <w:r w:rsidR="00963830" w:rsidRPr="00963830">
        <w:rPr>
          <w:rFonts w:eastAsia="Verdana" w:cs="Verdana"/>
          <w:szCs w:val="18"/>
        </w:rPr>
        <w:t>https://lirias.kuleuven.be/retrieve/152319</w:t>
      </w:r>
      <w:r w:rsidR="00360E83">
        <w:rPr>
          <w:rFonts w:eastAsia="Verdana" w:cs="Verdana"/>
          <w:szCs w:val="18"/>
        </w:rPr>
        <w:t xml:space="preserve">, </w:t>
      </w:r>
      <w:r>
        <w:rPr>
          <w:rFonts w:eastAsia="Verdana" w:cs="Verdana"/>
          <w:szCs w:val="18"/>
        </w:rPr>
        <w:t xml:space="preserve">534 p. </w:t>
      </w:r>
    </w:p>
    <w:p w14:paraId="187A102D" w14:textId="77777777" w:rsidR="003C10FB" w:rsidRPr="009C29A6" w:rsidRDefault="003C10FB" w:rsidP="00260F11">
      <w:pPr>
        <w:spacing w:line="360" w:lineRule="auto"/>
        <w:rPr>
          <w:rFonts w:eastAsia="Verdana" w:cs="Verdana"/>
          <w:szCs w:val="18"/>
          <w:lang w:val="fr-FR"/>
        </w:rPr>
      </w:pPr>
      <w:r w:rsidRPr="009C29A6">
        <w:rPr>
          <w:rFonts w:eastAsia="Verdana" w:cs="Verdana"/>
          <w:szCs w:val="18"/>
          <w:lang w:val="fr-FR"/>
        </w:rPr>
        <w:t>TÖLLER, M. en WERDING, A., “La réforme du droit pénal sexuel” in FRANSSEN, V. en MASSET, A. (eds.), Le droit pénal et la procédure pénale en constante évolution, Limal, Anthemis, 2022, 9-116.</w:t>
      </w:r>
    </w:p>
    <w:p w14:paraId="6CB6DD7B" w14:textId="4EADE64A" w:rsidR="003C10FB" w:rsidRDefault="003C10FB" w:rsidP="00260F11">
      <w:pPr>
        <w:spacing w:line="360" w:lineRule="auto"/>
        <w:rPr>
          <w:rFonts w:eastAsia="Verdana" w:cs="Verdana"/>
          <w:szCs w:val="18"/>
        </w:rPr>
      </w:pPr>
      <w:r>
        <w:rPr>
          <w:rFonts w:eastAsia="Verdana" w:cs="Verdana"/>
          <w:szCs w:val="18"/>
        </w:rPr>
        <w:t xml:space="preserve">VANCOOPPERNOLLE, T., </w:t>
      </w:r>
      <w:r>
        <w:rPr>
          <w:rFonts w:eastAsia="Verdana" w:cs="Verdana"/>
          <w:i/>
          <w:szCs w:val="18"/>
        </w:rPr>
        <w:t xml:space="preserve">Intertemporeel recht, </w:t>
      </w:r>
      <w:r>
        <w:rPr>
          <w:rFonts w:eastAsia="Verdana" w:cs="Verdana"/>
          <w:szCs w:val="18"/>
        </w:rPr>
        <w:t>Antwerpen, Intersentia, 2019, 930 p.</w:t>
      </w:r>
    </w:p>
    <w:p w14:paraId="3E5B9BA3" w14:textId="77777777" w:rsidR="003C10FB" w:rsidRDefault="003C10FB" w:rsidP="00260F11">
      <w:pPr>
        <w:pBdr>
          <w:top w:val="nil"/>
          <w:left w:val="nil"/>
          <w:bottom w:val="nil"/>
          <w:right w:val="nil"/>
          <w:between w:val="nil"/>
        </w:pBdr>
        <w:spacing w:line="360" w:lineRule="auto"/>
        <w:rPr>
          <w:rFonts w:eastAsia="Verdana" w:cs="Verdana"/>
          <w:szCs w:val="18"/>
        </w:rPr>
      </w:pPr>
      <w:r>
        <w:rPr>
          <w:rFonts w:eastAsia="Verdana" w:cs="Verdana"/>
          <w:szCs w:val="18"/>
        </w:rPr>
        <w:t xml:space="preserve">VELAERS, J., </w:t>
      </w:r>
      <w:r>
        <w:rPr>
          <w:rFonts w:eastAsia="Verdana" w:cs="Verdana"/>
          <w:i/>
          <w:szCs w:val="18"/>
        </w:rPr>
        <w:t>De Grondwet - Een artikelsgewijze commentaar. Deel I - Het federale België, het grondgebied, de grondrechten</w:t>
      </w:r>
      <w:r>
        <w:rPr>
          <w:rFonts w:eastAsia="Verdana" w:cs="Verdana"/>
          <w:szCs w:val="18"/>
        </w:rPr>
        <w:t>, Brugge, die Keure, 2019, 651p.</w:t>
      </w:r>
    </w:p>
    <w:p w14:paraId="5B6EA20B" w14:textId="77777777" w:rsidR="003C10FB" w:rsidRDefault="003C10FB" w:rsidP="00260F11">
      <w:pPr>
        <w:spacing w:line="360" w:lineRule="auto"/>
        <w:rPr>
          <w:rFonts w:eastAsia="Verdana" w:cs="Verdana"/>
          <w:szCs w:val="18"/>
        </w:rPr>
      </w:pPr>
      <w:r>
        <w:rPr>
          <w:rFonts w:eastAsia="Verdana" w:cs="Verdana"/>
          <w:szCs w:val="18"/>
        </w:rPr>
        <w:t xml:space="preserve">VERBRUGGEN, F., “Voorwoord. De moeilijkste taak van het strafrecht” in COP M. en HENRION T., </w:t>
      </w:r>
      <w:r>
        <w:rPr>
          <w:rFonts w:eastAsia="Verdana" w:cs="Verdana"/>
          <w:i/>
          <w:szCs w:val="18"/>
        </w:rPr>
        <w:t>Het nieuwe seksueel strafrecht. Artikelsgewijze bespreking van de hervorming anno 2022,</w:t>
      </w:r>
      <w:r>
        <w:rPr>
          <w:rFonts w:eastAsia="Verdana" w:cs="Verdana"/>
          <w:szCs w:val="18"/>
        </w:rPr>
        <w:t xml:space="preserve"> Leuven, LeA Uitgevers, 2022, v-ix.</w:t>
      </w:r>
    </w:p>
    <w:p w14:paraId="0F781369" w14:textId="26CAB1B8" w:rsidR="008F13D7" w:rsidRDefault="008F13D7" w:rsidP="00260F11">
      <w:pPr>
        <w:spacing w:after="160" w:line="360" w:lineRule="auto"/>
        <w:rPr>
          <w:rFonts w:eastAsia="Verdana" w:cs="Verdana"/>
          <w:szCs w:val="18"/>
        </w:rPr>
      </w:pPr>
      <w:r>
        <w:rPr>
          <w:rFonts w:eastAsia="Verdana" w:cs="Verdana"/>
          <w:szCs w:val="18"/>
        </w:rPr>
        <w:t xml:space="preserve">VERSTRAETEN, R. en VERBRUGGEN, F., </w:t>
      </w:r>
      <w:r>
        <w:rPr>
          <w:rFonts w:eastAsia="Verdana" w:cs="Verdana"/>
          <w:i/>
          <w:szCs w:val="18"/>
        </w:rPr>
        <w:t xml:space="preserve">Inleiding tot het Belgische strafrecht en strafprocesrecht, </w:t>
      </w:r>
      <w:r>
        <w:rPr>
          <w:rFonts w:eastAsia="Verdana" w:cs="Verdana"/>
          <w:szCs w:val="18"/>
        </w:rPr>
        <w:t>Antwerpen, Intersentia, 2023, 735 p.</w:t>
      </w:r>
    </w:p>
    <w:p w14:paraId="3E4B5411" w14:textId="610ECA69" w:rsidR="003C10FB" w:rsidRDefault="003C10FB" w:rsidP="00260F11">
      <w:pPr>
        <w:spacing w:after="160" w:line="360" w:lineRule="auto"/>
        <w:rPr>
          <w:rFonts w:eastAsia="Verdana" w:cs="Verdana"/>
          <w:szCs w:val="18"/>
        </w:rPr>
      </w:pPr>
      <w:r>
        <w:rPr>
          <w:rFonts w:eastAsia="Verdana" w:cs="Verdana"/>
          <w:szCs w:val="18"/>
        </w:rPr>
        <w:t xml:space="preserve">VERSTRAETEN, R. en VERBRUGGEN, F., </w:t>
      </w:r>
      <w:r>
        <w:rPr>
          <w:rFonts w:eastAsia="Verdana" w:cs="Verdana"/>
          <w:i/>
          <w:szCs w:val="18"/>
        </w:rPr>
        <w:t>Strafrecht en strafprocesrecht voor bachelors</w:t>
      </w:r>
      <w:r>
        <w:rPr>
          <w:rFonts w:eastAsia="Verdana" w:cs="Verdana"/>
          <w:szCs w:val="18"/>
        </w:rPr>
        <w:t>, Antwerpen, Intersentia, 2022, 578 p.</w:t>
      </w:r>
    </w:p>
    <w:p w14:paraId="69CD3A50" w14:textId="77777777" w:rsidR="003C10FB" w:rsidRDefault="003C10FB" w:rsidP="00260F11">
      <w:pPr>
        <w:spacing w:after="160" w:line="360" w:lineRule="auto"/>
        <w:rPr>
          <w:rFonts w:eastAsia="Verdana" w:cs="Verdana"/>
          <w:szCs w:val="18"/>
        </w:rPr>
      </w:pPr>
      <w:r>
        <w:rPr>
          <w:rFonts w:eastAsia="Verdana" w:cs="Verdana"/>
          <w:szCs w:val="18"/>
        </w:rPr>
        <w:lastRenderedPageBreak/>
        <w:t xml:space="preserve">WAETERINCKX, P., “Effent de rechtspraak van het Grondwettelijk Hof (stilaan) het pad naar de distributieve toepassing van artikel 2 Sw.?” in DE NAUW, A., DE WOLF, D., ROZIE, M., WAETERINCKX, P. en WINANTS, A., </w:t>
      </w:r>
      <w:r>
        <w:rPr>
          <w:rFonts w:eastAsia="Verdana" w:cs="Verdana"/>
          <w:i/>
          <w:szCs w:val="18"/>
        </w:rPr>
        <w:t xml:space="preserve">Strafrecht meer… dan ooit, </w:t>
      </w:r>
      <w:r>
        <w:rPr>
          <w:rFonts w:eastAsia="Verdana" w:cs="Verdana"/>
          <w:szCs w:val="18"/>
        </w:rPr>
        <w:t>Brugge, die Keure, 2011, 219-245.</w:t>
      </w:r>
    </w:p>
    <w:p w14:paraId="01430D2C" w14:textId="77777777" w:rsidR="003C10FB" w:rsidRPr="009C29A6" w:rsidRDefault="003C10FB" w:rsidP="00260F11">
      <w:pPr>
        <w:spacing w:line="360" w:lineRule="auto"/>
        <w:rPr>
          <w:rFonts w:eastAsia="Verdana" w:cs="Verdana"/>
          <w:szCs w:val="18"/>
          <w:lang w:val="fr-FR"/>
        </w:rPr>
      </w:pPr>
      <w:r w:rsidRPr="009C29A6">
        <w:rPr>
          <w:rFonts w:eastAsia="Verdana" w:cs="Verdana"/>
          <w:szCs w:val="18"/>
          <w:lang w:val="fr-FR"/>
        </w:rPr>
        <w:t xml:space="preserve">WATTIER, I., “L’attentat à la pudeur et le viol” in BOSLY, H. en DE VALKENEER C. (eds.), </w:t>
      </w:r>
      <w:r w:rsidRPr="009C29A6">
        <w:rPr>
          <w:rFonts w:eastAsia="Verdana" w:cs="Verdana"/>
          <w:i/>
          <w:szCs w:val="18"/>
          <w:lang w:val="fr-FR"/>
        </w:rPr>
        <w:t>Les infactions. Volume 3. Les infractions contre l’ordre des familles, la moralité publique et les mineurs</w:t>
      </w:r>
      <w:r w:rsidRPr="009C29A6">
        <w:rPr>
          <w:rFonts w:eastAsia="Verdana" w:cs="Verdana"/>
          <w:szCs w:val="18"/>
          <w:lang w:val="fr-FR"/>
        </w:rPr>
        <w:t>, Brussel, Larcier, 2011, 75-180.</w:t>
      </w:r>
    </w:p>
    <w:p w14:paraId="045CF900"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WEYEMBERGH, A. en KENNES, L., </w:t>
      </w:r>
      <w:r w:rsidRPr="009C29A6">
        <w:rPr>
          <w:rFonts w:eastAsia="Verdana" w:cs="Verdana"/>
          <w:i/>
          <w:szCs w:val="18"/>
          <w:lang w:val="fr-FR"/>
        </w:rPr>
        <w:t xml:space="preserve">Droit pénal spécial, </w:t>
      </w:r>
      <w:r w:rsidRPr="009C29A6">
        <w:rPr>
          <w:rFonts w:eastAsia="Verdana" w:cs="Verdana"/>
          <w:szCs w:val="18"/>
          <w:lang w:val="fr-FR"/>
        </w:rPr>
        <w:t>Limal, Anthemis, 2011, 430 p.</w:t>
      </w:r>
    </w:p>
    <w:p w14:paraId="7DC92853" w14:textId="77777777" w:rsidR="003C10FB" w:rsidRPr="009C29A6" w:rsidRDefault="003C10FB" w:rsidP="00260F11">
      <w:pPr>
        <w:spacing w:after="160" w:line="360" w:lineRule="auto"/>
        <w:rPr>
          <w:rFonts w:eastAsia="Verdana" w:cs="Verdana"/>
          <w:b/>
          <w:szCs w:val="18"/>
          <w:lang w:val="fr-FR"/>
        </w:rPr>
      </w:pPr>
      <w:r w:rsidRPr="009C29A6">
        <w:rPr>
          <w:rFonts w:eastAsia="Verdana" w:cs="Verdana"/>
          <w:b/>
          <w:szCs w:val="18"/>
          <w:lang w:val="fr-FR"/>
        </w:rPr>
        <w:t>4.3.2 Tijdschriften</w:t>
      </w:r>
    </w:p>
    <w:p w14:paraId="1904B323"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BASTYNS, O., “Le viol, l’absence de consentement de la victime et la connaissance de ce refus par l’auteur” (noot onder corr. Henegouwen (afd. Bergen) 25 oktober 2021), </w:t>
      </w:r>
      <w:r w:rsidRPr="009C29A6">
        <w:rPr>
          <w:rFonts w:eastAsia="Verdana" w:cs="Verdana"/>
          <w:i/>
          <w:szCs w:val="18"/>
          <w:lang w:val="fr-FR"/>
        </w:rPr>
        <w:t>JLMB</w:t>
      </w:r>
      <w:r w:rsidRPr="009C29A6">
        <w:rPr>
          <w:rFonts w:eastAsia="Verdana" w:cs="Verdana"/>
          <w:szCs w:val="18"/>
          <w:lang w:val="fr-FR"/>
        </w:rPr>
        <w:t xml:space="preserve"> 2021, 1882-1887.</w:t>
      </w:r>
    </w:p>
    <w:p w14:paraId="645914C3"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BASTYNS, O., “Le viol: une notion évolutive?”, </w:t>
      </w:r>
      <w:r w:rsidRPr="009C29A6">
        <w:rPr>
          <w:rFonts w:eastAsia="Verdana" w:cs="Verdana"/>
          <w:i/>
          <w:szCs w:val="18"/>
          <w:lang w:val="fr-FR"/>
        </w:rPr>
        <w:t>RDPC</w:t>
      </w:r>
      <w:r w:rsidRPr="009C29A6">
        <w:rPr>
          <w:rFonts w:eastAsia="Verdana" w:cs="Verdana"/>
          <w:szCs w:val="18"/>
          <w:lang w:val="fr-FR"/>
        </w:rPr>
        <w:t xml:space="preserve"> 2014, 808-814.</w:t>
      </w:r>
    </w:p>
    <w:p w14:paraId="487E6EE1" w14:textId="4510CD15"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BASTYNS, O., “Pénétration de l’auteur: viol ou attentat à la pudeur?” (noot onder Brussel 17 maart 2015), </w:t>
      </w:r>
      <w:r w:rsidRPr="009C29A6">
        <w:rPr>
          <w:rFonts w:eastAsia="Verdana" w:cs="Verdana"/>
          <w:i/>
          <w:szCs w:val="18"/>
          <w:lang w:val="fr-FR"/>
        </w:rPr>
        <w:t>JLMB</w:t>
      </w:r>
      <w:r w:rsidRPr="009C29A6">
        <w:rPr>
          <w:rFonts w:eastAsia="Verdana" w:cs="Verdana"/>
          <w:szCs w:val="18"/>
          <w:lang w:val="fr-FR"/>
        </w:rPr>
        <w:t xml:space="preserve"> 2018, 542-548.</w:t>
      </w:r>
    </w:p>
    <w:p w14:paraId="6597421D" w14:textId="77777777" w:rsidR="00FD513D" w:rsidRPr="009C29A6" w:rsidRDefault="00FD513D" w:rsidP="00FD513D">
      <w:pPr>
        <w:spacing w:after="160" w:line="360" w:lineRule="auto"/>
        <w:rPr>
          <w:rFonts w:eastAsia="Verdana" w:cs="Verdana"/>
          <w:szCs w:val="18"/>
          <w:lang w:val="fr-FR"/>
        </w:rPr>
      </w:pPr>
      <w:r w:rsidRPr="009C29A6">
        <w:rPr>
          <w:rFonts w:eastAsia="Verdana" w:cs="Verdana"/>
          <w:szCs w:val="18"/>
          <w:lang w:val="fr-FR"/>
        </w:rPr>
        <w:t xml:space="preserve">BERGHIN, A., “Infractions à caractère sexuel liées à l’environnement numérique”, </w:t>
      </w:r>
      <w:r w:rsidRPr="009C29A6">
        <w:rPr>
          <w:rFonts w:eastAsia="Verdana" w:cs="Verdana"/>
          <w:i/>
          <w:szCs w:val="18"/>
          <w:lang w:val="fr-FR"/>
        </w:rPr>
        <w:t xml:space="preserve">RDTI </w:t>
      </w:r>
      <w:r w:rsidRPr="009C29A6">
        <w:rPr>
          <w:rFonts w:eastAsia="Verdana" w:cs="Verdana"/>
          <w:szCs w:val="18"/>
          <w:lang w:val="fr-FR"/>
        </w:rPr>
        <w:t>2022, afl. 8, 29-49.</w:t>
      </w:r>
    </w:p>
    <w:p w14:paraId="309880F0" w14:textId="15E1F08A" w:rsidR="00FD513D" w:rsidRDefault="00FD513D" w:rsidP="00260F11">
      <w:pPr>
        <w:spacing w:after="160" w:line="360" w:lineRule="auto"/>
        <w:rPr>
          <w:rFonts w:eastAsia="Verdana" w:cs="Verdana"/>
          <w:szCs w:val="18"/>
        </w:rPr>
      </w:pPr>
      <w:r>
        <w:rPr>
          <w:rFonts w:eastAsia="Verdana" w:cs="Verdana"/>
          <w:szCs w:val="18"/>
        </w:rPr>
        <w:t xml:space="preserve">BOONE, R., “Mensen moeten in hun leven het verschil zien. Als dat lukt, kunnen we het vertrouwen in justitie heropbouwen”, </w:t>
      </w:r>
      <w:r>
        <w:rPr>
          <w:rFonts w:eastAsia="Verdana" w:cs="Verdana"/>
          <w:i/>
          <w:szCs w:val="18"/>
        </w:rPr>
        <w:t>Juristenkrant</w:t>
      </w:r>
      <w:r>
        <w:rPr>
          <w:rFonts w:eastAsia="Verdana" w:cs="Verdana"/>
          <w:szCs w:val="18"/>
        </w:rPr>
        <w:t xml:space="preserve"> 2022, afl. 444, 8-9.</w:t>
      </w:r>
    </w:p>
    <w:p w14:paraId="3570991D" w14:textId="77777777" w:rsidR="003C10FB" w:rsidRDefault="003C10FB" w:rsidP="00260F11">
      <w:pPr>
        <w:spacing w:after="160" w:line="360" w:lineRule="auto"/>
        <w:rPr>
          <w:rFonts w:eastAsia="Verdana" w:cs="Verdana"/>
          <w:szCs w:val="18"/>
        </w:rPr>
      </w:pPr>
      <w:r>
        <w:rPr>
          <w:rFonts w:eastAsia="Verdana" w:cs="Verdana"/>
          <w:szCs w:val="18"/>
        </w:rPr>
        <w:t xml:space="preserve">COLETTE, M., “Aanranding van de eerbaarheid en seksuele integriteit” (noot onder Cass. 24 mei 2011), </w:t>
      </w:r>
      <w:r>
        <w:rPr>
          <w:rFonts w:eastAsia="Verdana" w:cs="Verdana"/>
          <w:i/>
          <w:szCs w:val="18"/>
        </w:rPr>
        <w:t xml:space="preserve">TJK </w:t>
      </w:r>
      <w:r>
        <w:rPr>
          <w:rFonts w:eastAsia="Verdana" w:cs="Verdana"/>
          <w:szCs w:val="18"/>
        </w:rPr>
        <w:t>2012, 149-159.</w:t>
      </w:r>
    </w:p>
    <w:p w14:paraId="3BAEAC2D" w14:textId="0D04232E" w:rsidR="003C10FB" w:rsidRDefault="003C10FB" w:rsidP="00260F11">
      <w:pPr>
        <w:spacing w:after="160" w:line="360" w:lineRule="auto"/>
        <w:rPr>
          <w:rFonts w:eastAsia="Verdana" w:cs="Verdana"/>
          <w:szCs w:val="18"/>
        </w:rPr>
      </w:pPr>
      <w:r>
        <w:rPr>
          <w:rFonts w:eastAsia="Verdana" w:cs="Verdana"/>
          <w:szCs w:val="18"/>
        </w:rPr>
        <w:t>COP, M.,</w:t>
      </w:r>
      <w:r w:rsidR="00E5449F">
        <w:rPr>
          <w:rFonts w:eastAsia="Verdana" w:cs="Verdana"/>
          <w:szCs w:val="18"/>
        </w:rPr>
        <w:t xml:space="preserve"> </w:t>
      </w:r>
      <w:r>
        <w:rPr>
          <w:rFonts w:eastAsia="Verdana" w:cs="Verdana"/>
          <w:szCs w:val="18"/>
        </w:rPr>
        <w:t xml:space="preserve">“Seksueel strafrecht anno 2021; broodnodige (r)evolutie”, </w:t>
      </w:r>
      <w:r>
        <w:rPr>
          <w:rFonts w:eastAsia="Verdana" w:cs="Verdana"/>
          <w:i/>
          <w:szCs w:val="18"/>
        </w:rPr>
        <w:t>RW</w:t>
      </w:r>
      <w:r>
        <w:rPr>
          <w:rFonts w:eastAsia="Verdana" w:cs="Verdana"/>
          <w:szCs w:val="18"/>
        </w:rPr>
        <w:t xml:space="preserve"> 2021-22, 650.</w:t>
      </w:r>
    </w:p>
    <w:p w14:paraId="37100E7E" w14:textId="77777777" w:rsidR="003C10FB" w:rsidRPr="009C29A6" w:rsidRDefault="003C10FB" w:rsidP="00260F11">
      <w:pPr>
        <w:pBdr>
          <w:top w:val="nil"/>
          <w:left w:val="nil"/>
          <w:bottom w:val="nil"/>
          <w:right w:val="nil"/>
          <w:between w:val="nil"/>
        </w:pBdr>
        <w:spacing w:after="160" w:line="360" w:lineRule="auto"/>
        <w:rPr>
          <w:rFonts w:eastAsia="Verdana" w:cs="Verdana"/>
          <w:szCs w:val="18"/>
          <w:lang w:val="fr-FR"/>
        </w:rPr>
      </w:pPr>
      <w:r w:rsidRPr="009C29A6">
        <w:rPr>
          <w:rFonts w:eastAsia="Verdana" w:cs="Verdana"/>
          <w:szCs w:val="18"/>
          <w:lang w:val="fr-FR"/>
        </w:rPr>
        <w:t xml:space="preserve">DE BÉCO, R., “La protection de l’intégrité sexuelle des enfants: la Cour de cassation remet les pendules à l’heure” (noot onder Cass. 10 juni 2015), </w:t>
      </w:r>
      <w:r w:rsidRPr="009C29A6">
        <w:rPr>
          <w:rFonts w:eastAsia="Verdana" w:cs="Verdana"/>
          <w:i/>
          <w:szCs w:val="18"/>
          <w:lang w:val="fr-FR"/>
        </w:rPr>
        <w:t>JT</w:t>
      </w:r>
      <w:r w:rsidRPr="009C29A6">
        <w:rPr>
          <w:rFonts w:eastAsia="Verdana" w:cs="Verdana"/>
          <w:szCs w:val="18"/>
          <w:lang w:val="fr-FR"/>
        </w:rPr>
        <w:t xml:space="preserve"> 2015, 594-595.</w:t>
      </w:r>
    </w:p>
    <w:p w14:paraId="7E08D0EF" w14:textId="77777777" w:rsidR="003C10FB" w:rsidRDefault="003C10FB" w:rsidP="00260F11">
      <w:pPr>
        <w:spacing w:after="160" w:line="360" w:lineRule="auto"/>
        <w:rPr>
          <w:rFonts w:eastAsia="Verdana" w:cs="Verdana"/>
          <w:szCs w:val="18"/>
        </w:rPr>
      </w:pPr>
      <w:r>
        <w:rPr>
          <w:rFonts w:eastAsia="Verdana" w:cs="Verdana"/>
          <w:szCs w:val="18"/>
        </w:rPr>
        <w:t xml:space="preserve">DE BRAUWERE, Y., “Antwoord op de annotatie: ‘Over de tongkus en de seksuele penetratie’”, </w:t>
      </w:r>
      <w:r>
        <w:rPr>
          <w:rFonts w:eastAsia="Verdana" w:cs="Verdana"/>
          <w:i/>
          <w:szCs w:val="18"/>
        </w:rPr>
        <w:t>RW</w:t>
      </w:r>
      <w:r>
        <w:rPr>
          <w:rFonts w:eastAsia="Verdana" w:cs="Verdana"/>
          <w:szCs w:val="18"/>
        </w:rPr>
        <w:t xml:space="preserve"> 1998-99, 791.</w:t>
      </w:r>
    </w:p>
    <w:p w14:paraId="334466DF" w14:textId="77777777" w:rsidR="003C10FB" w:rsidRDefault="003C10FB" w:rsidP="00260F11">
      <w:pPr>
        <w:spacing w:after="160" w:line="360" w:lineRule="auto"/>
        <w:rPr>
          <w:rFonts w:eastAsia="Verdana" w:cs="Verdana"/>
          <w:szCs w:val="18"/>
        </w:rPr>
      </w:pPr>
      <w:r>
        <w:rPr>
          <w:rFonts w:eastAsia="Verdana" w:cs="Verdana"/>
          <w:szCs w:val="18"/>
        </w:rPr>
        <w:t xml:space="preserve">DECAIGNY, T., "De strafrechtelijke aanpak van voyeurisme" (noot onder Cass. 31 maart 2015), </w:t>
      </w:r>
      <w:r>
        <w:rPr>
          <w:rFonts w:eastAsia="Verdana" w:cs="Verdana"/>
          <w:i/>
          <w:szCs w:val="18"/>
        </w:rPr>
        <w:t>T.Strafr.</w:t>
      </w:r>
      <w:r>
        <w:rPr>
          <w:rFonts w:eastAsia="Verdana" w:cs="Verdana"/>
          <w:szCs w:val="18"/>
        </w:rPr>
        <w:t xml:space="preserve"> 2015, 142-144.</w:t>
      </w:r>
    </w:p>
    <w:p w14:paraId="622B5133" w14:textId="77777777" w:rsidR="003C10FB" w:rsidRDefault="003C10FB" w:rsidP="00260F11">
      <w:pPr>
        <w:spacing w:after="160" w:line="360" w:lineRule="auto"/>
        <w:rPr>
          <w:rFonts w:eastAsia="Verdana" w:cs="Verdana"/>
          <w:szCs w:val="18"/>
        </w:rPr>
      </w:pPr>
      <w:r>
        <w:rPr>
          <w:rFonts w:eastAsia="Verdana" w:cs="Verdana"/>
          <w:szCs w:val="18"/>
        </w:rPr>
        <w:t>DELBROUCK, I., “Speel niet met mijn voeten!” (noot onder corr. Hasselt 19 januari 2021),</w:t>
      </w:r>
      <w:r>
        <w:rPr>
          <w:rFonts w:eastAsia="Verdana" w:cs="Verdana"/>
          <w:i/>
          <w:szCs w:val="18"/>
        </w:rPr>
        <w:t xml:space="preserve"> Limb.Rechtsl.</w:t>
      </w:r>
      <w:r>
        <w:rPr>
          <w:rFonts w:eastAsia="Verdana" w:cs="Verdana"/>
          <w:szCs w:val="18"/>
        </w:rPr>
        <w:t xml:space="preserve"> 2021, 126-127.</w:t>
      </w:r>
    </w:p>
    <w:p w14:paraId="32D709B7" w14:textId="77777777" w:rsidR="003C10FB" w:rsidRDefault="003C10FB" w:rsidP="00260F11">
      <w:pPr>
        <w:spacing w:after="160" w:line="360" w:lineRule="auto"/>
        <w:rPr>
          <w:rFonts w:eastAsia="Verdana" w:cs="Verdana"/>
          <w:szCs w:val="18"/>
        </w:rPr>
      </w:pPr>
      <w:r>
        <w:rPr>
          <w:rFonts w:eastAsia="Verdana" w:cs="Verdana"/>
          <w:szCs w:val="18"/>
        </w:rPr>
        <w:t xml:space="preserve">DELBROUCK, L., “Eigen bedprestaties vastleggen hoeft geen aanranding te zijn” (noot onder Cass. 27 november 2013), </w:t>
      </w:r>
      <w:r>
        <w:rPr>
          <w:rFonts w:eastAsia="Verdana" w:cs="Verdana"/>
          <w:i/>
          <w:szCs w:val="18"/>
        </w:rPr>
        <w:t>RABG</w:t>
      </w:r>
      <w:r>
        <w:rPr>
          <w:rFonts w:eastAsia="Verdana" w:cs="Verdana"/>
          <w:szCs w:val="18"/>
        </w:rPr>
        <w:t xml:space="preserve"> 2014, 499-502.</w:t>
      </w:r>
    </w:p>
    <w:p w14:paraId="7E9C7271"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DE NAUW, A., “Les limites de l’incrimination classique de l’attentat de la pudeur” (noot onder Cass. 31 maart 2015), </w:t>
      </w:r>
      <w:r w:rsidRPr="009C29A6">
        <w:rPr>
          <w:rFonts w:eastAsia="Verdana" w:cs="Verdana"/>
          <w:i/>
          <w:szCs w:val="18"/>
          <w:lang w:val="fr-FR"/>
        </w:rPr>
        <w:t xml:space="preserve">JLMB </w:t>
      </w:r>
      <w:r w:rsidRPr="009C29A6">
        <w:rPr>
          <w:rFonts w:eastAsia="Verdana" w:cs="Verdana"/>
          <w:szCs w:val="18"/>
          <w:lang w:val="fr-FR"/>
        </w:rPr>
        <w:t>2016,747-751.</w:t>
      </w:r>
    </w:p>
    <w:p w14:paraId="52DF4565" w14:textId="77777777" w:rsidR="003C10FB" w:rsidRDefault="003C10FB" w:rsidP="00260F11">
      <w:pPr>
        <w:spacing w:after="160" w:line="360" w:lineRule="auto"/>
        <w:rPr>
          <w:rFonts w:eastAsia="Verdana" w:cs="Verdana"/>
          <w:szCs w:val="18"/>
        </w:rPr>
      </w:pPr>
      <w:r w:rsidRPr="009C29A6">
        <w:rPr>
          <w:rFonts w:eastAsia="Verdana" w:cs="Verdana"/>
          <w:szCs w:val="18"/>
          <w:lang w:val="fr-FR"/>
        </w:rPr>
        <w:t xml:space="preserve">DERMAGNE, J., “Des bavures policières et de leurs suites” (noot onder Corr. </w:t>
      </w:r>
      <w:r>
        <w:rPr>
          <w:rFonts w:eastAsia="Verdana" w:cs="Verdana"/>
          <w:szCs w:val="18"/>
        </w:rPr>
        <w:t xml:space="preserve">Neufchâteau 26 november 1992), </w:t>
      </w:r>
      <w:r>
        <w:rPr>
          <w:rFonts w:eastAsia="Verdana" w:cs="Verdana"/>
          <w:i/>
          <w:szCs w:val="18"/>
        </w:rPr>
        <w:t>Journ.proc.</w:t>
      </w:r>
      <w:r>
        <w:rPr>
          <w:rFonts w:eastAsia="Verdana" w:cs="Verdana"/>
          <w:szCs w:val="18"/>
        </w:rPr>
        <w:t xml:space="preserve"> 1993, 31.</w:t>
      </w:r>
    </w:p>
    <w:p w14:paraId="5A7626B4" w14:textId="77777777" w:rsidR="003C10FB" w:rsidRDefault="003C10FB" w:rsidP="00260F11">
      <w:pPr>
        <w:spacing w:after="160" w:line="360" w:lineRule="auto"/>
        <w:rPr>
          <w:rFonts w:eastAsia="Verdana" w:cs="Verdana"/>
          <w:szCs w:val="18"/>
        </w:rPr>
      </w:pPr>
      <w:r>
        <w:rPr>
          <w:rFonts w:eastAsia="Verdana" w:cs="Verdana"/>
          <w:szCs w:val="18"/>
        </w:rPr>
        <w:lastRenderedPageBreak/>
        <w:t xml:space="preserve">DIERICKX, A., “De seksuele penetratie en de geldige toestemming in het licht van het misdrijf verkrachting” (noot onder Cass. 17 oktober 2007), </w:t>
      </w:r>
      <w:r>
        <w:rPr>
          <w:rFonts w:eastAsia="Verdana" w:cs="Verdana"/>
          <w:i/>
          <w:szCs w:val="18"/>
        </w:rPr>
        <w:t>NC</w:t>
      </w:r>
      <w:r>
        <w:rPr>
          <w:rFonts w:eastAsia="Verdana" w:cs="Verdana"/>
          <w:szCs w:val="18"/>
        </w:rPr>
        <w:t xml:space="preserve"> 2010, 81-84.</w:t>
      </w:r>
    </w:p>
    <w:p w14:paraId="01B7C0A1" w14:textId="77777777" w:rsidR="003C10FB" w:rsidRDefault="003C10FB" w:rsidP="00260F11">
      <w:pPr>
        <w:spacing w:after="160" w:line="360" w:lineRule="auto"/>
        <w:rPr>
          <w:rFonts w:eastAsia="Verdana" w:cs="Verdana"/>
          <w:szCs w:val="18"/>
        </w:rPr>
      </w:pPr>
      <w:r>
        <w:rPr>
          <w:rFonts w:eastAsia="Verdana" w:cs="Verdana"/>
          <w:szCs w:val="18"/>
        </w:rPr>
        <w:t xml:space="preserve">DIERICKX, A., “Hoe ver reikt de bescherming van de strafbepalingen van aanranding van de eerbaarheid en verkrachting?”, </w:t>
      </w:r>
      <w:r>
        <w:rPr>
          <w:rFonts w:eastAsia="Verdana" w:cs="Verdana"/>
          <w:i/>
          <w:szCs w:val="18"/>
        </w:rPr>
        <w:t>NC</w:t>
      </w:r>
      <w:r>
        <w:rPr>
          <w:rFonts w:eastAsia="Verdana" w:cs="Verdana"/>
          <w:szCs w:val="18"/>
        </w:rPr>
        <w:t xml:space="preserve"> 2006, 95-108.</w:t>
      </w:r>
    </w:p>
    <w:p w14:paraId="01658FEC" w14:textId="77777777" w:rsidR="003C10FB" w:rsidRDefault="003C10FB" w:rsidP="00260F11">
      <w:pPr>
        <w:spacing w:after="160" w:line="360" w:lineRule="auto"/>
        <w:rPr>
          <w:rFonts w:eastAsia="Verdana" w:cs="Verdana"/>
          <w:szCs w:val="18"/>
        </w:rPr>
      </w:pPr>
      <w:r>
        <w:rPr>
          <w:rFonts w:eastAsia="Verdana" w:cs="Verdana"/>
          <w:szCs w:val="18"/>
        </w:rPr>
        <w:t xml:space="preserve">DIERICKX, A., “Noopt nieuwe seksuele criminaliteit tot nieuwe seksuele misdrijven?”, </w:t>
      </w:r>
      <w:r>
        <w:rPr>
          <w:rFonts w:eastAsia="Verdana" w:cs="Verdana"/>
          <w:i/>
          <w:szCs w:val="18"/>
        </w:rPr>
        <w:t>NC</w:t>
      </w:r>
      <w:r>
        <w:rPr>
          <w:rFonts w:eastAsia="Verdana" w:cs="Verdana"/>
          <w:szCs w:val="18"/>
        </w:rPr>
        <w:t xml:space="preserve"> 2017, 207-239.</w:t>
      </w:r>
    </w:p>
    <w:p w14:paraId="304F0364" w14:textId="77777777" w:rsidR="003C10FB" w:rsidRDefault="003C10FB" w:rsidP="00260F11">
      <w:pPr>
        <w:spacing w:after="160" w:line="360" w:lineRule="auto"/>
        <w:rPr>
          <w:rFonts w:eastAsia="Verdana" w:cs="Verdana"/>
          <w:szCs w:val="18"/>
        </w:rPr>
      </w:pPr>
      <w:r>
        <w:rPr>
          <w:rFonts w:eastAsia="Verdana" w:cs="Verdana"/>
          <w:szCs w:val="18"/>
        </w:rPr>
        <w:t xml:space="preserve">HUTSBEAUT, F., “De nieuwe wetgeving op de verkrachting”, </w:t>
      </w:r>
      <w:r>
        <w:rPr>
          <w:rFonts w:eastAsia="Verdana" w:cs="Verdana"/>
          <w:i/>
          <w:szCs w:val="18"/>
        </w:rPr>
        <w:t>Panopticon</w:t>
      </w:r>
      <w:r>
        <w:rPr>
          <w:rFonts w:eastAsia="Verdana" w:cs="Verdana"/>
          <w:szCs w:val="18"/>
        </w:rPr>
        <w:t xml:space="preserve"> 1990, 32-54. </w:t>
      </w:r>
    </w:p>
    <w:p w14:paraId="6241D5B5" w14:textId="77777777" w:rsidR="003C10FB" w:rsidRDefault="003C10FB" w:rsidP="00260F11">
      <w:pPr>
        <w:spacing w:after="160" w:line="360" w:lineRule="auto"/>
        <w:rPr>
          <w:rFonts w:eastAsia="Verdana" w:cs="Verdana"/>
          <w:szCs w:val="18"/>
        </w:rPr>
      </w:pPr>
      <w:r>
        <w:rPr>
          <w:rFonts w:eastAsia="Verdana" w:cs="Verdana"/>
          <w:szCs w:val="18"/>
        </w:rPr>
        <w:t xml:space="preserve">KETELS, B., “Cassatie lijkt afwezigheid toestemming als constitutief bestanddeel voor aanranding te aanvaarden” (noot onder Cass. 24 mei 2011), </w:t>
      </w:r>
      <w:r>
        <w:rPr>
          <w:rFonts w:eastAsia="Verdana" w:cs="Verdana"/>
          <w:i/>
          <w:szCs w:val="18"/>
        </w:rPr>
        <w:t>Juristenkrant</w:t>
      </w:r>
      <w:r>
        <w:rPr>
          <w:rFonts w:eastAsia="Verdana" w:cs="Verdana"/>
          <w:szCs w:val="18"/>
        </w:rPr>
        <w:t xml:space="preserve"> 2011, afl. 236, 20.</w:t>
      </w:r>
    </w:p>
    <w:p w14:paraId="12B06B44" w14:textId="77777777" w:rsidR="003C10FB" w:rsidRDefault="003C10FB" w:rsidP="00260F11">
      <w:pPr>
        <w:spacing w:after="160" w:line="360" w:lineRule="auto"/>
        <w:rPr>
          <w:rFonts w:eastAsia="Verdana" w:cs="Verdana"/>
          <w:szCs w:val="18"/>
        </w:rPr>
      </w:pPr>
      <w:r>
        <w:rPr>
          <w:rFonts w:eastAsia="Verdana" w:cs="Verdana"/>
          <w:szCs w:val="18"/>
        </w:rPr>
        <w:t xml:space="preserve">KETELS, B., “Cassatie verduidelijkt draagwijdte seksuele toestemming” (noot onder Cass. 23 april 2007), </w:t>
      </w:r>
      <w:r>
        <w:rPr>
          <w:rFonts w:eastAsia="Verdana" w:cs="Verdana"/>
          <w:i/>
          <w:szCs w:val="18"/>
        </w:rPr>
        <w:t xml:space="preserve">Juristenkrant </w:t>
      </w:r>
      <w:r>
        <w:rPr>
          <w:rFonts w:eastAsia="Verdana" w:cs="Verdana"/>
          <w:szCs w:val="18"/>
        </w:rPr>
        <w:t>2008, afl. 164, 3.</w:t>
      </w:r>
    </w:p>
    <w:p w14:paraId="150FDE15" w14:textId="77777777" w:rsidR="003C10FB" w:rsidRDefault="003C10FB" w:rsidP="00260F11">
      <w:pPr>
        <w:spacing w:after="160" w:line="360" w:lineRule="auto"/>
        <w:rPr>
          <w:rFonts w:eastAsia="Verdana" w:cs="Verdana"/>
          <w:szCs w:val="18"/>
        </w:rPr>
      </w:pPr>
      <w:r>
        <w:rPr>
          <w:rFonts w:eastAsia="Verdana" w:cs="Verdana"/>
          <w:szCs w:val="18"/>
        </w:rPr>
        <w:t xml:space="preserve">KETELS, B., “De beperkte draagwijdte en het herroepelijk karakter van de seksuele toestemming” (noot onder Cass. 17 oktober 2007), </w:t>
      </w:r>
      <w:r>
        <w:rPr>
          <w:rFonts w:eastAsia="Verdana" w:cs="Verdana"/>
          <w:i/>
          <w:szCs w:val="18"/>
        </w:rPr>
        <w:t>RW</w:t>
      </w:r>
      <w:r>
        <w:rPr>
          <w:rFonts w:eastAsia="Verdana" w:cs="Verdana"/>
          <w:szCs w:val="18"/>
        </w:rPr>
        <w:t xml:space="preserve"> 2008-09, 570.</w:t>
      </w:r>
    </w:p>
    <w:p w14:paraId="1CC77EF5" w14:textId="77777777" w:rsidR="003C10FB" w:rsidRDefault="003C10FB" w:rsidP="00260F11">
      <w:pPr>
        <w:spacing w:after="160" w:line="360" w:lineRule="auto"/>
        <w:rPr>
          <w:rFonts w:eastAsia="Verdana" w:cs="Verdana"/>
          <w:szCs w:val="18"/>
        </w:rPr>
      </w:pPr>
      <w:r>
        <w:rPr>
          <w:rFonts w:eastAsia="Verdana" w:cs="Verdana"/>
          <w:szCs w:val="18"/>
        </w:rPr>
        <w:t xml:space="preserve">KETELS, B. en VERMEULEN, G., “Grondwettelijk Hof verfijnt onderscheid leeftijdsgrens verkrachting en aanranding”, </w:t>
      </w:r>
      <w:r>
        <w:rPr>
          <w:rFonts w:eastAsia="Verdana" w:cs="Verdana"/>
          <w:i/>
          <w:szCs w:val="18"/>
        </w:rPr>
        <w:t>Juristenkrant</w:t>
      </w:r>
      <w:r>
        <w:rPr>
          <w:rFonts w:eastAsia="Verdana" w:cs="Verdana"/>
          <w:szCs w:val="18"/>
        </w:rPr>
        <w:t xml:space="preserve"> 2010, afl. 201, 4-5. </w:t>
      </w:r>
    </w:p>
    <w:p w14:paraId="2C5E40BE" w14:textId="28872AD3" w:rsidR="003C10FB" w:rsidRDefault="003C10FB" w:rsidP="00260F11">
      <w:pPr>
        <w:spacing w:after="160" w:line="360" w:lineRule="auto"/>
        <w:rPr>
          <w:rFonts w:eastAsia="Verdana" w:cs="Verdana"/>
          <w:szCs w:val="18"/>
        </w:rPr>
      </w:pPr>
      <w:r>
        <w:rPr>
          <w:rFonts w:eastAsia="Verdana" w:cs="Verdana"/>
          <w:szCs w:val="18"/>
        </w:rPr>
        <w:t xml:space="preserve">KETELS, B., “Volstaat de afwezigheid van toestemming voor aanranding van de eerbaarheid met geweld of bedreiging?”, </w:t>
      </w:r>
      <w:r>
        <w:rPr>
          <w:rFonts w:eastAsia="Verdana" w:cs="Verdana"/>
          <w:i/>
          <w:szCs w:val="18"/>
        </w:rPr>
        <w:t>NC</w:t>
      </w:r>
      <w:r>
        <w:rPr>
          <w:rFonts w:eastAsia="Verdana" w:cs="Verdana"/>
          <w:szCs w:val="18"/>
        </w:rPr>
        <w:t xml:space="preserve"> 2012, 61-68.</w:t>
      </w:r>
    </w:p>
    <w:p w14:paraId="6482AF2D" w14:textId="52A18A50" w:rsidR="000F1144" w:rsidRPr="009C29A6" w:rsidRDefault="000F1144" w:rsidP="00260F11">
      <w:pPr>
        <w:spacing w:after="160" w:line="360" w:lineRule="auto"/>
        <w:rPr>
          <w:rFonts w:eastAsia="Verdana" w:cs="Verdana"/>
          <w:szCs w:val="18"/>
          <w:lang w:val="fr-FR"/>
        </w:rPr>
      </w:pPr>
      <w:r w:rsidRPr="009C29A6">
        <w:rPr>
          <w:rFonts w:eastAsia="Verdana" w:cs="Verdana"/>
          <w:szCs w:val="18"/>
          <w:lang w:val="fr-FR"/>
        </w:rPr>
        <w:t xml:space="preserve">KUTY, F., “Les notions de violence, de menace et de surprise constitutives de l'attentat à la pudeur”, </w:t>
      </w:r>
      <w:r w:rsidRPr="009C29A6">
        <w:rPr>
          <w:rFonts w:eastAsia="Verdana" w:cs="Verdana"/>
          <w:i/>
          <w:szCs w:val="18"/>
          <w:lang w:val="fr-FR"/>
        </w:rPr>
        <w:t>JLMB</w:t>
      </w:r>
      <w:r w:rsidRPr="009C29A6">
        <w:rPr>
          <w:rFonts w:eastAsia="Verdana" w:cs="Verdana"/>
          <w:szCs w:val="18"/>
          <w:lang w:val="fr-FR"/>
        </w:rPr>
        <w:t xml:space="preserve"> 2015, 467-478.</w:t>
      </w:r>
    </w:p>
    <w:p w14:paraId="36E6744B"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KUTY, F. “Le viol, l'absence de consentement de la victime et la connaissance de ce refus par l'auteur”, </w:t>
      </w:r>
      <w:r w:rsidRPr="009C29A6">
        <w:rPr>
          <w:rFonts w:eastAsia="Verdana" w:cs="Verdana"/>
          <w:i/>
          <w:szCs w:val="18"/>
          <w:lang w:val="fr-FR"/>
        </w:rPr>
        <w:t>JLMB</w:t>
      </w:r>
      <w:r w:rsidRPr="009C29A6">
        <w:rPr>
          <w:rFonts w:eastAsia="Verdana" w:cs="Verdana"/>
          <w:szCs w:val="18"/>
          <w:lang w:val="fr-FR"/>
        </w:rPr>
        <w:t xml:space="preserve"> 2021, 1882-1887.</w:t>
      </w:r>
    </w:p>
    <w:p w14:paraId="4EF54201" w14:textId="77777777" w:rsidR="003C10FB" w:rsidRDefault="003C10FB" w:rsidP="00260F11">
      <w:pPr>
        <w:spacing w:line="360" w:lineRule="auto"/>
        <w:rPr>
          <w:rFonts w:eastAsia="Verdana" w:cs="Verdana"/>
          <w:szCs w:val="18"/>
        </w:rPr>
      </w:pPr>
      <w:r>
        <w:rPr>
          <w:rFonts w:eastAsia="Verdana" w:cs="Verdana"/>
          <w:szCs w:val="18"/>
        </w:rPr>
        <w:t xml:space="preserve">MEEUSEN, B. en FRANÇOIS, L., “De ene toets is de andere niet. Variërende toetsingsintensiteit in de rechtspraak van het Grondwettelijk Hof”, </w:t>
      </w:r>
      <w:r>
        <w:rPr>
          <w:rFonts w:eastAsia="Verdana" w:cs="Verdana"/>
          <w:i/>
          <w:szCs w:val="18"/>
        </w:rPr>
        <w:t xml:space="preserve">RW </w:t>
      </w:r>
      <w:r>
        <w:rPr>
          <w:rFonts w:eastAsia="Verdana" w:cs="Verdana"/>
          <w:szCs w:val="18"/>
        </w:rPr>
        <w:t>2020-21, 363-373.</w:t>
      </w:r>
    </w:p>
    <w:p w14:paraId="31F1EF30" w14:textId="77777777" w:rsidR="003C10FB" w:rsidRDefault="003C10FB" w:rsidP="00260F11">
      <w:pPr>
        <w:spacing w:after="160" w:line="360" w:lineRule="auto"/>
        <w:rPr>
          <w:rFonts w:eastAsia="Verdana" w:cs="Verdana"/>
          <w:szCs w:val="18"/>
        </w:rPr>
      </w:pPr>
      <w:r>
        <w:rPr>
          <w:rFonts w:eastAsia="Verdana" w:cs="Verdana"/>
          <w:szCs w:val="18"/>
        </w:rPr>
        <w:t xml:space="preserve">MELIS, B. “Kan men na de toestemming nog van verkrachting spreken? Eens, ja, altijd ja!?” (noot onder Corr. Antwerpen 28 maart 2003), </w:t>
      </w:r>
      <w:r>
        <w:rPr>
          <w:rFonts w:eastAsia="Verdana" w:cs="Verdana"/>
          <w:i/>
          <w:szCs w:val="18"/>
        </w:rPr>
        <w:t>RABG</w:t>
      </w:r>
      <w:r>
        <w:rPr>
          <w:rFonts w:eastAsia="Verdana" w:cs="Verdana"/>
          <w:szCs w:val="18"/>
        </w:rPr>
        <w:t xml:space="preserve"> 2005, 1536-1538.</w:t>
      </w:r>
    </w:p>
    <w:p w14:paraId="2971E193" w14:textId="77777777" w:rsidR="003C10FB" w:rsidRDefault="003C10FB" w:rsidP="00260F11">
      <w:pPr>
        <w:spacing w:after="160" w:line="360" w:lineRule="auto"/>
        <w:rPr>
          <w:rFonts w:eastAsia="Verdana" w:cs="Verdana"/>
          <w:szCs w:val="18"/>
        </w:rPr>
      </w:pPr>
      <w:r>
        <w:rPr>
          <w:rFonts w:eastAsia="Verdana" w:cs="Verdana"/>
          <w:szCs w:val="18"/>
        </w:rPr>
        <w:t xml:space="preserve">ROYER, S., “Kamer keurt nieuw seksueel strafrecht goed”, </w:t>
      </w:r>
      <w:r>
        <w:rPr>
          <w:rFonts w:eastAsia="Verdana" w:cs="Verdana"/>
          <w:i/>
          <w:szCs w:val="18"/>
        </w:rPr>
        <w:t>Juristenkrant</w:t>
      </w:r>
      <w:r>
        <w:rPr>
          <w:rFonts w:eastAsia="Verdana" w:cs="Verdana"/>
          <w:szCs w:val="18"/>
        </w:rPr>
        <w:t xml:space="preserve"> 2022, afl. 446, 1-2.</w:t>
      </w:r>
    </w:p>
    <w:p w14:paraId="10E795C7" w14:textId="77777777" w:rsidR="003C10FB" w:rsidRDefault="003C10FB" w:rsidP="00260F11">
      <w:pPr>
        <w:pBdr>
          <w:top w:val="nil"/>
          <w:left w:val="nil"/>
          <w:bottom w:val="nil"/>
          <w:right w:val="nil"/>
          <w:between w:val="nil"/>
        </w:pBdr>
        <w:spacing w:after="160" w:line="360" w:lineRule="auto"/>
        <w:rPr>
          <w:rFonts w:eastAsia="Verdana" w:cs="Verdana"/>
          <w:szCs w:val="18"/>
        </w:rPr>
      </w:pPr>
      <w:r>
        <w:rPr>
          <w:rFonts w:eastAsia="Verdana" w:cs="Verdana"/>
          <w:szCs w:val="18"/>
        </w:rPr>
        <w:t xml:space="preserve">ROZIE, J. "Beklaagde alwetend. Over het criterium van de redelijke voorzienbaarheid als maatstaf van het lex certa-principe in strafzaken", </w:t>
      </w:r>
      <w:r>
        <w:rPr>
          <w:rFonts w:eastAsia="Verdana" w:cs="Verdana"/>
          <w:i/>
          <w:szCs w:val="18"/>
        </w:rPr>
        <w:t>RW</w:t>
      </w:r>
      <w:r>
        <w:rPr>
          <w:rFonts w:eastAsia="Verdana" w:cs="Verdana"/>
          <w:szCs w:val="18"/>
        </w:rPr>
        <w:t xml:space="preserve"> 2012-13, 802-817.</w:t>
      </w:r>
    </w:p>
    <w:p w14:paraId="1F69B0D0" w14:textId="77777777" w:rsidR="003C10FB" w:rsidRDefault="003C10FB" w:rsidP="00260F11">
      <w:pPr>
        <w:pBdr>
          <w:top w:val="nil"/>
          <w:left w:val="nil"/>
          <w:bottom w:val="nil"/>
          <w:right w:val="nil"/>
          <w:between w:val="nil"/>
        </w:pBdr>
        <w:spacing w:after="160" w:line="360" w:lineRule="auto"/>
        <w:rPr>
          <w:rFonts w:eastAsia="Verdana" w:cs="Verdana"/>
          <w:szCs w:val="18"/>
        </w:rPr>
      </w:pPr>
      <w:r>
        <w:rPr>
          <w:rFonts w:eastAsia="Verdana" w:cs="Verdana"/>
          <w:szCs w:val="18"/>
        </w:rPr>
        <w:t xml:space="preserve">ROZIE, J. en DE HERDT, J., “De hervorming van het seksueel strafrecht geanalyseerd in het licht van het overgangsrecht”, </w:t>
      </w:r>
      <w:r>
        <w:rPr>
          <w:rFonts w:eastAsia="Verdana" w:cs="Verdana"/>
          <w:i/>
          <w:szCs w:val="18"/>
        </w:rPr>
        <w:t>NC</w:t>
      </w:r>
      <w:r>
        <w:rPr>
          <w:rFonts w:eastAsia="Verdana" w:cs="Verdana"/>
          <w:szCs w:val="18"/>
        </w:rPr>
        <w:t xml:space="preserve"> 2022, 171-206.</w:t>
      </w:r>
    </w:p>
    <w:p w14:paraId="34B0D3E9" w14:textId="77777777" w:rsidR="003C10FB" w:rsidRDefault="003C10FB" w:rsidP="00260F11">
      <w:pPr>
        <w:spacing w:after="160" w:line="360" w:lineRule="auto"/>
        <w:rPr>
          <w:rFonts w:eastAsia="Verdana" w:cs="Verdana"/>
          <w:szCs w:val="18"/>
        </w:rPr>
      </w:pPr>
      <w:r>
        <w:rPr>
          <w:rFonts w:eastAsia="Verdana" w:cs="Verdana"/>
          <w:szCs w:val="18"/>
        </w:rPr>
        <w:t xml:space="preserve">ROZIE, J. en VANDERMEERSCH, D., “De aanpak van seksuele delinquentie in het licht van de publieke opinie en de voorstellen van de Commissie tot hervorming van het strafrecht”, </w:t>
      </w:r>
      <w:r>
        <w:rPr>
          <w:rFonts w:eastAsia="Verdana" w:cs="Verdana"/>
          <w:i/>
          <w:szCs w:val="18"/>
        </w:rPr>
        <w:t>RW</w:t>
      </w:r>
      <w:r>
        <w:rPr>
          <w:rFonts w:eastAsia="Verdana" w:cs="Verdana"/>
          <w:szCs w:val="18"/>
        </w:rPr>
        <w:t xml:space="preserve"> 2019-20, 483-499.</w:t>
      </w:r>
    </w:p>
    <w:p w14:paraId="7EBE5BE5" w14:textId="77777777" w:rsidR="003C10FB" w:rsidRDefault="003C10FB" w:rsidP="00260F11">
      <w:pPr>
        <w:spacing w:after="160" w:line="360" w:lineRule="auto"/>
        <w:rPr>
          <w:rFonts w:eastAsia="Verdana" w:cs="Verdana"/>
          <w:szCs w:val="18"/>
        </w:rPr>
      </w:pPr>
      <w:r>
        <w:rPr>
          <w:rFonts w:eastAsia="Verdana" w:cs="Verdana"/>
          <w:szCs w:val="18"/>
        </w:rPr>
        <w:t xml:space="preserve">SCHUERMANS, F., “Heimelijk voyeurisme is nog geen aanranding van de eerbaarheid” (noot onder Cass. 23 januari 2008), </w:t>
      </w:r>
      <w:r>
        <w:rPr>
          <w:rFonts w:eastAsia="Verdana" w:cs="Verdana"/>
          <w:i/>
          <w:szCs w:val="18"/>
        </w:rPr>
        <w:t>RABG</w:t>
      </w:r>
      <w:r>
        <w:rPr>
          <w:rFonts w:eastAsia="Verdana" w:cs="Verdana"/>
          <w:szCs w:val="18"/>
        </w:rPr>
        <w:t xml:space="preserve"> 2008, 811-815.</w:t>
      </w:r>
    </w:p>
    <w:p w14:paraId="67D8609E" w14:textId="77777777" w:rsidR="003C10FB" w:rsidRDefault="003C10FB" w:rsidP="00260F11">
      <w:pPr>
        <w:spacing w:after="160" w:line="360" w:lineRule="auto"/>
        <w:rPr>
          <w:rFonts w:eastAsia="Verdana" w:cs="Verdana"/>
          <w:szCs w:val="18"/>
        </w:rPr>
      </w:pPr>
      <w:r>
        <w:rPr>
          <w:rFonts w:eastAsia="Verdana" w:cs="Verdana"/>
          <w:szCs w:val="18"/>
        </w:rPr>
        <w:lastRenderedPageBreak/>
        <w:t xml:space="preserve">SPRIET, B., “Bestraffing van verkrachting vóór en na de wet van 21 maart 2022”, (noot onder Cass. 21 april 2020), </w:t>
      </w:r>
      <w:r>
        <w:rPr>
          <w:rFonts w:eastAsia="Verdana" w:cs="Verdana"/>
          <w:i/>
          <w:szCs w:val="18"/>
        </w:rPr>
        <w:t xml:space="preserve">RW </w:t>
      </w:r>
      <w:r>
        <w:rPr>
          <w:rFonts w:eastAsia="Verdana" w:cs="Verdana"/>
          <w:szCs w:val="18"/>
        </w:rPr>
        <w:t>2022-23, 948-952.</w:t>
      </w:r>
    </w:p>
    <w:p w14:paraId="72FF741F" w14:textId="3DF838D9" w:rsidR="003C10FB" w:rsidRDefault="003C10FB" w:rsidP="00260F11">
      <w:pPr>
        <w:spacing w:after="160" w:line="360" w:lineRule="auto"/>
        <w:rPr>
          <w:rFonts w:eastAsia="Verdana" w:cs="Verdana"/>
          <w:szCs w:val="18"/>
        </w:rPr>
      </w:pPr>
      <w:r>
        <w:rPr>
          <w:rFonts w:eastAsia="Verdana" w:cs="Verdana"/>
          <w:szCs w:val="18"/>
        </w:rPr>
        <w:t xml:space="preserve">SPRIET, B. en BOECKXSTAENS J., “Het nieuwe misdrijf van voyeurisme en een aanpassing van het misdrijf van aanranding van de eerbaarheid en van verkrachting” in DECAIGNY, T., DE HERT, P., DELBROUCK, L., KERKHOFS, J., MEGANCK, B., SCHOORENS, G., SCHUERMANS, F., VAN BAVEL, H., VAN CAUTER, J., VAN DEN BERGE, Y. en VAN GAEVER, J., </w:t>
      </w:r>
      <w:r>
        <w:rPr>
          <w:rFonts w:eastAsia="Verdana" w:cs="Verdana"/>
          <w:i/>
          <w:szCs w:val="18"/>
        </w:rPr>
        <w:t>T.Strafr.,</w:t>
      </w:r>
      <w:r>
        <w:rPr>
          <w:rFonts w:eastAsia="Verdana" w:cs="Verdana"/>
          <w:szCs w:val="18"/>
        </w:rPr>
        <w:t xml:space="preserve"> Mechelen, Kluwer, 2016,</w:t>
      </w:r>
      <w:r>
        <w:rPr>
          <w:rFonts w:eastAsia="Verdana" w:cs="Verdana"/>
          <w:i/>
          <w:szCs w:val="18"/>
        </w:rPr>
        <w:t xml:space="preserve"> </w:t>
      </w:r>
      <w:r>
        <w:rPr>
          <w:rFonts w:eastAsia="Verdana" w:cs="Verdana"/>
          <w:szCs w:val="18"/>
        </w:rPr>
        <w:t>207-223.</w:t>
      </w:r>
    </w:p>
    <w:p w14:paraId="76A9ACC7" w14:textId="16F75C81" w:rsidR="000F1144" w:rsidRDefault="000F1144" w:rsidP="00260F11">
      <w:pPr>
        <w:spacing w:after="160" w:line="360" w:lineRule="auto"/>
        <w:rPr>
          <w:rFonts w:eastAsia="Verdana" w:cs="Verdana"/>
          <w:szCs w:val="18"/>
        </w:rPr>
      </w:pPr>
      <w:r>
        <w:rPr>
          <w:rFonts w:eastAsia="Verdana" w:cs="Verdana"/>
          <w:szCs w:val="18"/>
        </w:rPr>
        <w:t xml:space="preserve">SPRIET, B., CAREEL, S. en WALGRAEVE, M., “Actualia seksueel strafrecht: aanranding van de eerbaarheid, verkrachting, voyeurisme” in CAREEL, S., COLLAGE, L., HUYSMANS, J., KNOPS, M., SPRIET, B., VERBRUGGEN, F., VERSTRAETEN, R. en WALGRAEVE, M.(eds.), </w:t>
      </w:r>
      <w:r>
        <w:rPr>
          <w:rFonts w:eastAsia="Verdana" w:cs="Verdana"/>
          <w:i/>
          <w:szCs w:val="18"/>
        </w:rPr>
        <w:t>Straf- en strafprocesrecht</w:t>
      </w:r>
      <w:r>
        <w:rPr>
          <w:rFonts w:eastAsia="Verdana" w:cs="Verdana"/>
          <w:szCs w:val="18"/>
        </w:rPr>
        <w:t>, Antwerpen, Intersentia, 2022, 1-70.</w:t>
      </w:r>
    </w:p>
    <w:p w14:paraId="4D16CA96" w14:textId="77777777" w:rsidR="003C10FB" w:rsidRDefault="003C10FB" w:rsidP="00260F11">
      <w:pPr>
        <w:spacing w:after="160" w:line="360" w:lineRule="auto"/>
        <w:rPr>
          <w:rFonts w:eastAsia="Verdana" w:cs="Verdana"/>
          <w:szCs w:val="18"/>
        </w:rPr>
      </w:pPr>
      <w:r>
        <w:rPr>
          <w:rFonts w:eastAsia="Verdana" w:cs="Verdana"/>
          <w:szCs w:val="18"/>
        </w:rPr>
        <w:t xml:space="preserve">SPRIET, B. en MARLIER, G., “Aanranding van de eerbaarheid en verkrachting in het begin van de 21ste eeuw” in CONINGS, C., DEMEDTS, H., HUYSMANS, J., MARLIER, G., SPRIET, B., VERBRUGGEN, F., en VERSTRAETEN, R., </w:t>
      </w:r>
      <w:r>
        <w:rPr>
          <w:rFonts w:eastAsia="Verdana" w:cs="Verdana"/>
          <w:i/>
          <w:szCs w:val="18"/>
        </w:rPr>
        <w:t>Straf- en strafprocesrecht</w:t>
      </w:r>
      <w:r>
        <w:rPr>
          <w:rFonts w:eastAsia="Verdana" w:cs="Verdana"/>
          <w:szCs w:val="18"/>
        </w:rPr>
        <w:t>, Brugge, die Keure, 2013, 81-154.</w:t>
      </w:r>
    </w:p>
    <w:p w14:paraId="48648A69" w14:textId="77777777" w:rsidR="003C10FB" w:rsidRDefault="003C10FB" w:rsidP="00260F11">
      <w:pPr>
        <w:spacing w:after="160" w:line="360" w:lineRule="auto"/>
        <w:rPr>
          <w:rFonts w:eastAsia="Verdana" w:cs="Verdana"/>
          <w:szCs w:val="18"/>
        </w:rPr>
      </w:pPr>
      <w:r>
        <w:rPr>
          <w:rFonts w:eastAsia="Verdana" w:cs="Verdana"/>
          <w:szCs w:val="18"/>
        </w:rPr>
        <w:t xml:space="preserve">STEVENS, L., “Over anale verkrachting” (noot onder Cass. 8 april 2008), </w:t>
      </w:r>
      <w:r>
        <w:rPr>
          <w:rFonts w:eastAsia="Verdana" w:cs="Verdana"/>
          <w:i/>
          <w:szCs w:val="18"/>
        </w:rPr>
        <w:t>T.Strafr.</w:t>
      </w:r>
      <w:r>
        <w:rPr>
          <w:rFonts w:eastAsia="Verdana" w:cs="Verdana"/>
          <w:szCs w:val="18"/>
        </w:rPr>
        <w:t xml:space="preserve"> 2008, 462-463.</w:t>
      </w:r>
    </w:p>
    <w:p w14:paraId="541EA9E5"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t xml:space="preserve">VAN BRUSTEM, E., “Observations “Voyeurisme passif et attentat à la pudeur”” (noot onder Cass. 10 juni 2015), </w:t>
      </w:r>
      <w:r w:rsidRPr="009C29A6">
        <w:rPr>
          <w:rFonts w:eastAsia="Verdana" w:cs="Verdana"/>
          <w:i/>
          <w:szCs w:val="18"/>
          <w:lang w:val="fr-FR"/>
        </w:rPr>
        <w:t>JLMB</w:t>
      </w:r>
      <w:r w:rsidRPr="009C29A6">
        <w:rPr>
          <w:rFonts w:eastAsia="Verdana" w:cs="Verdana"/>
          <w:szCs w:val="18"/>
          <w:lang w:val="fr-FR"/>
        </w:rPr>
        <w:t xml:space="preserve"> 2016, 751-759.</w:t>
      </w:r>
    </w:p>
    <w:p w14:paraId="3768A888" w14:textId="77777777" w:rsidR="003C10FB" w:rsidRDefault="003C10FB" w:rsidP="00260F11">
      <w:pPr>
        <w:spacing w:after="160" w:line="360" w:lineRule="auto"/>
        <w:rPr>
          <w:rFonts w:eastAsia="Verdana" w:cs="Verdana"/>
          <w:szCs w:val="18"/>
        </w:rPr>
      </w:pPr>
      <w:r>
        <w:rPr>
          <w:rFonts w:eastAsia="Verdana" w:cs="Verdana"/>
          <w:szCs w:val="18"/>
        </w:rPr>
        <w:t xml:space="preserve">VANDEPLAS, A., “Betreffende verkrachting” (noot onder Antwerpen 13 oktober 1978), </w:t>
      </w:r>
      <w:r>
        <w:rPr>
          <w:rFonts w:eastAsia="Verdana" w:cs="Verdana"/>
          <w:i/>
          <w:szCs w:val="18"/>
        </w:rPr>
        <w:t xml:space="preserve">RW </w:t>
      </w:r>
      <w:r>
        <w:rPr>
          <w:rFonts w:eastAsia="Verdana" w:cs="Verdana"/>
          <w:szCs w:val="18"/>
        </w:rPr>
        <w:t>1978-79, 2817-2818.</w:t>
      </w:r>
      <w:r>
        <w:rPr>
          <w:rFonts w:eastAsia="Verdana" w:cs="Verdana"/>
          <w:szCs w:val="18"/>
        </w:rPr>
        <w:tab/>
      </w:r>
      <w:r>
        <w:rPr>
          <w:rFonts w:eastAsia="Verdana" w:cs="Verdana"/>
          <w:szCs w:val="18"/>
        </w:rPr>
        <w:tab/>
      </w:r>
      <w:r>
        <w:rPr>
          <w:rFonts w:eastAsia="Verdana" w:cs="Verdana"/>
          <w:szCs w:val="18"/>
        </w:rPr>
        <w:tab/>
      </w:r>
      <w:r>
        <w:rPr>
          <w:rFonts w:eastAsia="Verdana" w:cs="Verdana"/>
          <w:szCs w:val="18"/>
        </w:rPr>
        <w:tab/>
      </w:r>
    </w:p>
    <w:p w14:paraId="45164A4A" w14:textId="77777777" w:rsidR="003C10FB" w:rsidRDefault="003C10FB" w:rsidP="00260F11">
      <w:pPr>
        <w:spacing w:after="160" w:line="360" w:lineRule="auto"/>
        <w:rPr>
          <w:rFonts w:eastAsia="Verdana" w:cs="Verdana"/>
          <w:szCs w:val="18"/>
        </w:rPr>
      </w:pPr>
      <w:r>
        <w:rPr>
          <w:rFonts w:eastAsia="Verdana" w:cs="Verdana"/>
          <w:szCs w:val="18"/>
        </w:rPr>
        <w:t xml:space="preserve">VANDEPLAS, A., “De wetenschap t.a.v. de leeftijd van het slachtoffer bij aanranding van de eerbaarheid” (noot onder Antwerpen 25 augustus 1976), </w:t>
      </w:r>
      <w:r>
        <w:rPr>
          <w:rFonts w:eastAsia="Verdana" w:cs="Verdana"/>
          <w:i/>
          <w:szCs w:val="18"/>
        </w:rPr>
        <w:t xml:space="preserve">RW </w:t>
      </w:r>
      <w:r>
        <w:rPr>
          <w:rFonts w:eastAsia="Verdana" w:cs="Verdana"/>
          <w:szCs w:val="18"/>
        </w:rPr>
        <w:t>1978-79, 1114-1116.</w:t>
      </w:r>
    </w:p>
    <w:p w14:paraId="032CCD68" w14:textId="77777777" w:rsidR="003C10FB" w:rsidRDefault="003C10FB" w:rsidP="00260F11">
      <w:pPr>
        <w:spacing w:after="160" w:line="360" w:lineRule="auto"/>
        <w:rPr>
          <w:rFonts w:eastAsia="Verdana" w:cs="Verdana"/>
          <w:szCs w:val="18"/>
        </w:rPr>
      </w:pPr>
      <w:r>
        <w:rPr>
          <w:rFonts w:eastAsia="Verdana" w:cs="Verdana"/>
          <w:szCs w:val="18"/>
        </w:rPr>
        <w:t xml:space="preserve">VANDEPLAS, A., “Over de tongkus en de seksuele penetratie” (noot onder Brussel 8 april 1998), </w:t>
      </w:r>
      <w:r>
        <w:rPr>
          <w:rFonts w:eastAsia="Verdana" w:cs="Verdana"/>
          <w:i/>
          <w:szCs w:val="18"/>
        </w:rPr>
        <w:t>RW</w:t>
      </w:r>
      <w:r>
        <w:rPr>
          <w:rFonts w:eastAsia="Verdana" w:cs="Verdana"/>
          <w:szCs w:val="18"/>
        </w:rPr>
        <w:t xml:space="preserve"> 1998-99, 505.</w:t>
      </w:r>
    </w:p>
    <w:p w14:paraId="68D0BE0F" w14:textId="77777777" w:rsidR="003C10FB" w:rsidRDefault="003C10FB" w:rsidP="00260F11">
      <w:pPr>
        <w:spacing w:after="160" w:line="360" w:lineRule="auto"/>
        <w:rPr>
          <w:rFonts w:eastAsia="Verdana" w:cs="Verdana"/>
          <w:szCs w:val="18"/>
        </w:rPr>
      </w:pPr>
      <w:r>
        <w:rPr>
          <w:rFonts w:eastAsia="Verdana" w:cs="Verdana"/>
          <w:szCs w:val="18"/>
        </w:rPr>
        <w:t xml:space="preserve">VANDEPLAS, A., “Over zoenen en omhelzen” (noot onder Cass. 7 januari 1997), </w:t>
      </w:r>
      <w:r>
        <w:rPr>
          <w:rFonts w:eastAsia="Verdana" w:cs="Verdana"/>
          <w:i/>
          <w:szCs w:val="18"/>
        </w:rPr>
        <w:t xml:space="preserve">RW </w:t>
      </w:r>
      <w:r>
        <w:rPr>
          <w:rFonts w:eastAsia="Verdana" w:cs="Verdana"/>
          <w:szCs w:val="18"/>
        </w:rPr>
        <w:t>1997-98, 116.</w:t>
      </w:r>
    </w:p>
    <w:p w14:paraId="2B1836E5" w14:textId="77777777" w:rsidR="003C10FB" w:rsidRDefault="003C10FB" w:rsidP="00260F11">
      <w:pPr>
        <w:spacing w:after="160" w:line="360" w:lineRule="auto"/>
        <w:rPr>
          <w:rFonts w:eastAsia="Verdana" w:cs="Verdana"/>
          <w:szCs w:val="18"/>
        </w:rPr>
      </w:pPr>
      <w:r>
        <w:rPr>
          <w:rFonts w:eastAsia="Verdana" w:cs="Verdana"/>
          <w:szCs w:val="18"/>
        </w:rPr>
        <w:t xml:space="preserve">VANDEPLAS, A., “Wederantwoord van de annotator op de reactie van Y. De Brauwere”, </w:t>
      </w:r>
      <w:r>
        <w:rPr>
          <w:rFonts w:eastAsia="Verdana" w:cs="Verdana"/>
          <w:i/>
          <w:szCs w:val="18"/>
        </w:rPr>
        <w:t>RW</w:t>
      </w:r>
      <w:r>
        <w:rPr>
          <w:rFonts w:eastAsia="Verdana" w:cs="Verdana"/>
          <w:szCs w:val="18"/>
        </w:rPr>
        <w:t xml:space="preserve"> 1998-99, 791.</w:t>
      </w:r>
    </w:p>
    <w:p w14:paraId="5AFEB9D2" w14:textId="77777777" w:rsidR="003C10FB" w:rsidRDefault="003C10FB" w:rsidP="00260F11">
      <w:pPr>
        <w:spacing w:after="160" w:line="360" w:lineRule="auto"/>
        <w:rPr>
          <w:rFonts w:eastAsia="Verdana" w:cs="Verdana"/>
          <w:szCs w:val="18"/>
        </w:rPr>
      </w:pPr>
      <w:r>
        <w:rPr>
          <w:rFonts w:eastAsia="Verdana" w:cs="Verdana"/>
          <w:szCs w:val="18"/>
        </w:rPr>
        <w:t>VANDROMME, S., “Aanzetten van minderjarigen tot webcamseks: aanranding van de eerbaarheid en/of aanzetten tot ontucht” (noot onder Corr. Antwerpen 27 juni 2008, Corr. Antwerpen 25 juni 2008 en Corr. Antwerpen 20 juni 2008),</w:t>
      </w:r>
      <w:r>
        <w:rPr>
          <w:rFonts w:eastAsia="Verdana" w:cs="Verdana"/>
          <w:i/>
          <w:szCs w:val="18"/>
        </w:rPr>
        <w:t xml:space="preserve"> T.Strafr.</w:t>
      </w:r>
      <w:r>
        <w:rPr>
          <w:rFonts w:eastAsia="Verdana" w:cs="Verdana"/>
          <w:szCs w:val="18"/>
        </w:rPr>
        <w:t xml:space="preserve"> 2009, 176-180.</w:t>
      </w:r>
    </w:p>
    <w:p w14:paraId="792B83D4" w14:textId="77777777" w:rsidR="003C10FB" w:rsidRDefault="003C10FB" w:rsidP="00260F11">
      <w:pPr>
        <w:spacing w:after="160" w:line="360" w:lineRule="auto"/>
        <w:rPr>
          <w:rFonts w:eastAsia="Verdana" w:cs="Verdana"/>
          <w:szCs w:val="18"/>
        </w:rPr>
      </w:pPr>
      <w:r>
        <w:rPr>
          <w:rFonts w:eastAsia="Verdana" w:cs="Verdana"/>
          <w:szCs w:val="18"/>
        </w:rPr>
        <w:t xml:space="preserve">VANDROMME, S., “Afwezigheid van toestemming bij het misdrijf van verkrachting” (noot onder Cass. 25 september 2007), </w:t>
      </w:r>
      <w:r>
        <w:rPr>
          <w:rFonts w:eastAsia="Verdana" w:cs="Verdana"/>
          <w:i/>
          <w:szCs w:val="18"/>
        </w:rPr>
        <w:t xml:space="preserve">RW </w:t>
      </w:r>
      <w:r>
        <w:rPr>
          <w:rFonts w:eastAsia="Verdana" w:cs="Verdana"/>
          <w:szCs w:val="18"/>
        </w:rPr>
        <w:t>2007-08, 1503-1505.</w:t>
      </w:r>
    </w:p>
    <w:p w14:paraId="156D545A" w14:textId="77777777" w:rsidR="003C10FB" w:rsidRDefault="003C10FB" w:rsidP="00260F11">
      <w:pPr>
        <w:spacing w:after="160" w:line="360" w:lineRule="auto"/>
        <w:rPr>
          <w:rFonts w:eastAsia="Verdana" w:cs="Verdana"/>
          <w:szCs w:val="18"/>
        </w:rPr>
      </w:pPr>
      <w:r>
        <w:rPr>
          <w:rFonts w:eastAsia="Verdana" w:cs="Verdana"/>
          <w:szCs w:val="18"/>
        </w:rPr>
        <w:t xml:space="preserve">VANDROMME, S., “Zijn het stiekem filmen van seksuele betrekkingen en andere vormen van voyeurisme strafbaar als aanranding van de eerbaarheid?” (noot onder Cass. 27 november 2013), </w:t>
      </w:r>
      <w:r>
        <w:rPr>
          <w:rFonts w:eastAsia="Verdana" w:cs="Verdana"/>
          <w:i/>
          <w:szCs w:val="18"/>
        </w:rPr>
        <w:t xml:space="preserve">T.Strafr. </w:t>
      </w:r>
      <w:r>
        <w:rPr>
          <w:rFonts w:eastAsia="Verdana" w:cs="Verdana"/>
          <w:szCs w:val="18"/>
        </w:rPr>
        <w:t>2014, 362-370.</w:t>
      </w:r>
    </w:p>
    <w:p w14:paraId="1E49CFBF" w14:textId="77777777" w:rsidR="003C10FB" w:rsidRDefault="003C10FB" w:rsidP="00260F11">
      <w:pPr>
        <w:spacing w:after="160" w:line="360" w:lineRule="auto"/>
        <w:rPr>
          <w:rFonts w:eastAsia="Verdana" w:cs="Verdana"/>
          <w:szCs w:val="18"/>
        </w:rPr>
      </w:pPr>
      <w:r>
        <w:rPr>
          <w:rFonts w:eastAsia="Verdana" w:cs="Verdana"/>
          <w:szCs w:val="18"/>
        </w:rPr>
        <w:t xml:space="preserve">VERBRUGGEN, F., “Gebrek aan toestemming als constitutief bestanddeel bij verkrachting van een mentaal gehandicapte minderjarige”, </w:t>
      </w:r>
      <w:r>
        <w:rPr>
          <w:rFonts w:eastAsia="Verdana" w:cs="Verdana"/>
          <w:i/>
          <w:szCs w:val="18"/>
        </w:rPr>
        <w:t>AJT</w:t>
      </w:r>
      <w:r>
        <w:rPr>
          <w:rFonts w:eastAsia="Verdana" w:cs="Verdana"/>
          <w:szCs w:val="18"/>
        </w:rPr>
        <w:t xml:space="preserve"> 1995-96, 472-476.</w:t>
      </w:r>
    </w:p>
    <w:p w14:paraId="10B39E11" w14:textId="77777777" w:rsidR="003C10FB" w:rsidRPr="009C29A6" w:rsidRDefault="003C10FB" w:rsidP="00260F11">
      <w:pPr>
        <w:spacing w:after="160" w:line="360" w:lineRule="auto"/>
        <w:rPr>
          <w:rFonts w:eastAsia="Verdana" w:cs="Verdana"/>
          <w:szCs w:val="18"/>
          <w:lang w:val="fr-FR"/>
        </w:rPr>
      </w:pPr>
      <w:r w:rsidRPr="009C29A6">
        <w:rPr>
          <w:rFonts w:eastAsia="Verdana" w:cs="Verdana"/>
          <w:szCs w:val="18"/>
          <w:lang w:val="fr-FR"/>
        </w:rPr>
        <w:lastRenderedPageBreak/>
        <w:t xml:space="preserve">WATTIER, I., “La jurisprudence récente relative à l'attentat à la pudeur: sans gêne ou mal à l'aise?” (noot onder Cass. 10 juni 2015), </w:t>
      </w:r>
      <w:r w:rsidRPr="009C29A6">
        <w:rPr>
          <w:rFonts w:eastAsia="Verdana" w:cs="Verdana"/>
          <w:i/>
          <w:szCs w:val="18"/>
          <w:lang w:val="fr-FR"/>
        </w:rPr>
        <w:t>RDPC</w:t>
      </w:r>
      <w:r w:rsidRPr="009C29A6">
        <w:rPr>
          <w:rFonts w:eastAsia="Verdana" w:cs="Verdana"/>
          <w:szCs w:val="18"/>
          <w:lang w:val="fr-FR"/>
        </w:rPr>
        <w:t xml:space="preserve"> 2016, 139-150.</w:t>
      </w:r>
    </w:p>
    <w:p w14:paraId="55C3B72F" w14:textId="77777777" w:rsidR="003C10FB" w:rsidRPr="009C29A6" w:rsidRDefault="003C10FB" w:rsidP="00260F11">
      <w:pPr>
        <w:spacing w:after="160" w:line="360" w:lineRule="auto"/>
        <w:rPr>
          <w:rFonts w:eastAsia="Verdana" w:cs="Verdana"/>
          <w:b/>
          <w:szCs w:val="18"/>
          <w:lang w:val="fr-FR"/>
        </w:rPr>
      </w:pPr>
      <w:r w:rsidRPr="009C29A6">
        <w:rPr>
          <w:rFonts w:eastAsia="Verdana" w:cs="Verdana"/>
          <w:szCs w:val="18"/>
          <w:lang w:val="fr-FR"/>
        </w:rPr>
        <w:t xml:space="preserve">WATTIER, I. “De la constitutionnalité à la contrefactualité des catégories pénales de viol et de l’attentat à la pudeur commis sans violences ni menaces sur un mineur de moins de seize ans” (noot onder GwH 29 oktober 2009), </w:t>
      </w:r>
      <w:r w:rsidRPr="009C29A6">
        <w:rPr>
          <w:rFonts w:eastAsia="Verdana" w:cs="Verdana"/>
          <w:i/>
          <w:szCs w:val="18"/>
          <w:lang w:val="fr-FR"/>
        </w:rPr>
        <w:t>RDPC</w:t>
      </w:r>
      <w:r w:rsidRPr="009C29A6">
        <w:rPr>
          <w:rFonts w:eastAsia="Verdana" w:cs="Verdana"/>
          <w:szCs w:val="18"/>
          <w:lang w:val="fr-FR"/>
        </w:rPr>
        <w:t xml:space="preserve"> 2010, 344. </w:t>
      </w:r>
    </w:p>
    <w:p w14:paraId="50576B14" w14:textId="77777777" w:rsidR="003C10FB" w:rsidRDefault="003C10FB" w:rsidP="00260F11">
      <w:pPr>
        <w:spacing w:after="160" w:line="360" w:lineRule="auto"/>
        <w:rPr>
          <w:rFonts w:eastAsia="Verdana" w:cs="Verdana"/>
          <w:b/>
          <w:szCs w:val="18"/>
        </w:rPr>
      </w:pPr>
      <w:r>
        <w:rPr>
          <w:rFonts w:eastAsia="Verdana" w:cs="Verdana"/>
          <w:b/>
          <w:szCs w:val="18"/>
        </w:rPr>
        <w:t>4.4 Onlinebronnen</w:t>
      </w:r>
    </w:p>
    <w:p w14:paraId="44B3B269" w14:textId="1CDFD007" w:rsidR="003C10FB" w:rsidRDefault="003C10FB" w:rsidP="00260F11">
      <w:pPr>
        <w:spacing w:after="160" w:line="360" w:lineRule="auto"/>
        <w:rPr>
          <w:rFonts w:eastAsia="Verdana" w:cs="Verdana"/>
          <w:szCs w:val="18"/>
        </w:rPr>
      </w:pPr>
      <w:r>
        <w:rPr>
          <w:rFonts w:eastAsia="Verdana" w:cs="Verdana"/>
          <w:szCs w:val="18"/>
        </w:rPr>
        <w:t>DE STANDAARD, “500 betogers in Brussel voor boycot horeca wegens seksueel geweld”,</w:t>
      </w:r>
      <w:hyperlink r:id="rId30">
        <w:r>
          <w:rPr>
            <w:rFonts w:eastAsia="Verdana" w:cs="Verdana"/>
            <w:szCs w:val="18"/>
          </w:rPr>
          <w:t xml:space="preserve"> </w:t>
        </w:r>
      </w:hyperlink>
      <w:r w:rsidR="00963830" w:rsidRPr="00963830">
        <w:t xml:space="preserve"> </w:t>
      </w:r>
      <w:r w:rsidR="00963830" w:rsidRPr="00963830">
        <w:rPr>
          <w:rFonts w:eastAsia="Verdana" w:cs="Verdana"/>
          <w:szCs w:val="18"/>
        </w:rPr>
        <w:t>www.standaard.be/cnt/dmf20211112_97668733</w:t>
      </w:r>
      <w:r>
        <w:rPr>
          <w:rFonts w:eastAsia="Verdana" w:cs="Verdana"/>
          <w:szCs w:val="18"/>
        </w:rPr>
        <w:t xml:space="preserve"> (consultatie 7 augustus 2022).</w:t>
      </w:r>
    </w:p>
    <w:p w14:paraId="3CD03F4F" w14:textId="6E37BC8F" w:rsidR="003C10FB" w:rsidRDefault="003C10FB" w:rsidP="00260F11">
      <w:pPr>
        <w:spacing w:after="160" w:line="360" w:lineRule="auto"/>
        <w:rPr>
          <w:rFonts w:eastAsia="Verdana" w:cs="Verdana"/>
          <w:szCs w:val="18"/>
        </w:rPr>
      </w:pPr>
      <w:r>
        <w:rPr>
          <w:rFonts w:eastAsia="Verdana" w:cs="Verdana"/>
          <w:szCs w:val="18"/>
        </w:rPr>
        <w:t>FEDERALE POLITIE BELGIË, “Politiële criminaliteitsstatistieken”,</w:t>
      </w:r>
      <w:hyperlink r:id="rId31">
        <w:r>
          <w:rPr>
            <w:rFonts w:eastAsia="Verdana" w:cs="Verdana"/>
            <w:szCs w:val="18"/>
          </w:rPr>
          <w:t xml:space="preserve"> </w:t>
        </w:r>
      </w:hyperlink>
      <w:r w:rsidR="00963830" w:rsidRPr="00963830">
        <w:t xml:space="preserve"> </w:t>
      </w:r>
      <w:r w:rsidR="00963830" w:rsidRPr="00963830">
        <w:rPr>
          <w:rFonts w:eastAsia="Verdana" w:cs="Verdana"/>
          <w:szCs w:val="18"/>
        </w:rPr>
        <w:t>www.stat.policefederale.be/assets/pdf/crimestat/nationaal/rapport_2021_trim4_nat_belgie_nl.pdf?fbclid=IwAR0p4Hl285KEgcWxBQJ5WezjRhUXiTa-bMur7uFo3pAtvhxu9pVlzt-_4dE</w:t>
      </w:r>
      <w:r>
        <w:rPr>
          <w:rFonts w:eastAsia="Verdana" w:cs="Verdana"/>
          <w:szCs w:val="18"/>
        </w:rPr>
        <w:t xml:space="preserve"> (consultatie 7 augustus 2022).</w:t>
      </w:r>
    </w:p>
    <w:p w14:paraId="7E4BA214" w14:textId="00E1C1C2" w:rsidR="00BA2330" w:rsidRDefault="00BA2330" w:rsidP="00260F11">
      <w:pPr>
        <w:spacing w:after="160" w:line="360" w:lineRule="auto"/>
        <w:rPr>
          <w:rFonts w:eastAsia="Verdana" w:cs="Verdana"/>
          <w:szCs w:val="18"/>
        </w:rPr>
      </w:pPr>
      <w:r>
        <w:rPr>
          <w:rFonts w:eastAsia="Verdana" w:cs="Verdana"/>
          <w:szCs w:val="18"/>
        </w:rPr>
        <w:t xml:space="preserve">HOGE RAAD VOOR DE JUSTITIE, </w:t>
      </w:r>
      <w:r>
        <w:rPr>
          <w:rFonts w:eastAsia="Verdana" w:cs="Verdana"/>
          <w:i/>
          <w:szCs w:val="18"/>
        </w:rPr>
        <w:t xml:space="preserve">Advies voorontwerp van Strafwetboek - Boek II </w:t>
      </w:r>
      <w:r>
        <w:rPr>
          <w:rFonts w:eastAsia="Verdana" w:cs="Verdana"/>
          <w:szCs w:val="18"/>
        </w:rPr>
        <w:t>(goedgekeurd door de Alg</w:t>
      </w:r>
      <w:r w:rsidR="00EE7517">
        <w:rPr>
          <w:rFonts w:eastAsia="Verdana" w:cs="Verdana"/>
          <w:szCs w:val="18"/>
        </w:rPr>
        <w:t>e</w:t>
      </w:r>
      <w:r>
        <w:rPr>
          <w:rFonts w:eastAsia="Verdana" w:cs="Verdana"/>
          <w:szCs w:val="18"/>
        </w:rPr>
        <w:t>mene Vergadering van de Hoge Raad voor de Justitie op 19 december 2018),</w:t>
      </w:r>
      <w:r w:rsidR="00963830">
        <w:t xml:space="preserve"> </w:t>
      </w:r>
      <w:r w:rsidR="00963830" w:rsidRPr="00963830">
        <w:t>https://hrj.be/admin/storage/hrj/advies-strafwetboekii.pdf</w:t>
      </w:r>
      <w:r>
        <w:rPr>
          <w:rFonts w:eastAsia="Verdana" w:cs="Verdana"/>
          <w:szCs w:val="18"/>
        </w:rPr>
        <w:t>.</w:t>
      </w:r>
    </w:p>
    <w:p w14:paraId="1C199963" w14:textId="21778FB3" w:rsidR="003C10FB" w:rsidRDefault="003C10FB" w:rsidP="00260F11">
      <w:pPr>
        <w:spacing w:after="160" w:line="360" w:lineRule="auto"/>
        <w:rPr>
          <w:rFonts w:eastAsia="Verdana" w:cs="Verdana"/>
          <w:szCs w:val="18"/>
        </w:rPr>
      </w:pPr>
      <w:r>
        <w:rPr>
          <w:rFonts w:eastAsia="Verdana" w:cs="Verdana"/>
          <w:szCs w:val="18"/>
        </w:rPr>
        <w:t xml:space="preserve">HOGE RAAD VOOR DE JUSTITIE, </w:t>
      </w:r>
      <w:r>
        <w:rPr>
          <w:rFonts w:eastAsia="Verdana" w:cs="Verdana"/>
          <w:i/>
          <w:szCs w:val="18"/>
        </w:rPr>
        <w:t>Naar een betere aanpak van seksueel geweld</w:t>
      </w:r>
      <w:r>
        <w:rPr>
          <w:rFonts w:eastAsia="Verdana" w:cs="Verdana"/>
          <w:szCs w:val="18"/>
        </w:rPr>
        <w:t xml:space="preserve"> (goedgekeurd door de Algemene Vergadering van de Hoge Raad voor de Justitie op 25 april 2019),</w:t>
      </w:r>
      <w:r w:rsidR="00963830">
        <w:t xml:space="preserve"> </w:t>
      </w:r>
      <w:r w:rsidR="00963830" w:rsidRPr="00963830">
        <w:t>https://hrj.be/nl/publicaties/2019/naar-een-betere-aanpak-van-seksueel-geweld</w:t>
      </w:r>
      <w:r>
        <w:rPr>
          <w:rFonts w:eastAsia="Verdana" w:cs="Verdana"/>
          <w:szCs w:val="18"/>
        </w:rPr>
        <w:t>.</w:t>
      </w:r>
    </w:p>
    <w:p w14:paraId="1D1E1CB8" w14:textId="42EE5D9C" w:rsidR="003C10FB" w:rsidRDefault="003C10FB" w:rsidP="00260F11">
      <w:pPr>
        <w:spacing w:after="160" w:line="360" w:lineRule="auto"/>
        <w:rPr>
          <w:rFonts w:eastAsia="Verdana" w:cs="Verdana"/>
          <w:szCs w:val="18"/>
        </w:rPr>
      </w:pPr>
      <w:r>
        <w:rPr>
          <w:rFonts w:eastAsia="Verdana" w:cs="Verdana"/>
          <w:szCs w:val="18"/>
        </w:rPr>
        <w:t>HOGE RAAD VOOR DE JUSTITIE, Opvolgings- en uitdiepingsrapport</w:t>
      </w:r>
      <w:r w:rsidR="008D25DD">
        <w:rPr>
          <w:rFonts w:eastAsia="Verdana" w:cs="Verdana"/>
          <w:szCs w:val="18"/>
        </w:rPr>
        <w:t>.</w:t>
      </w:r>
      <w:r>
        <w:rPr>
          <w:rFonts w:eastAsia="Verdana" w:cs="Verdana"/>
          <w:szCs w:val="18"/>
        </w:rPr>
        <w:t xml:space="preserve"> </w:t>
      </w:r>
      <w:r>
        <w:rPr>
          <w:rFonts w:eastAsia="Verdana" w:cs="Verdana"/>
          <w:i/>
          <w:szCs w:val="18"/>
        </w:rPr>
        <w:t xml:space="preserve">Naar een betere aanpak van seksueel geweld </w:t>
      </w:r>
      <w:r>
        <w:rPr>
          <w:rFonts w:eastAsia="Verdana" w:cs="Verdana"/>
          <w:szCs w:val="18"/>
        </w:rPr>
        <w:t>(goedgekeurd door de Algmene Vergadering van de Hoge Raad voor de Justitie op 25 juni 2020),</w:t>
      </w:r>
      <w:r w:rsidR="00963830">
        <w:t xml:space="preserve"> </w:t>
      </w:r>
      <w:r w:rsidR="00963830" w:rsidRPr="00963830">
        <w:t>https://hrj.be/nl/publicaties/2020/opvolgings-en-uitdiepingsrapport-naar-een-betere-aanpak-van-seksueel-geweld</w:t>
      </w:r>
      <w:r>
        <w:rPr>
          <w:rFonts w:eastAsia="Verdana" w:cs="Verdana"/>
          <w:szCs w:val="18"/>
        </w:rPr>
        <w:t>.</w:t>
      </w:r>
    </w:p>
    <w:p w14:paraId="71EF5D1C" w14:textId="4404618F" w:rsidR="003C10FB" w:rsidRDefault="003C10FB" w:rsidP="00260F11">
      <w:pPr>
        <w:spacing w:after="160" w:line="360" w:lineRule="auto"/>
        <w:rPr>
          <w:rFonts w:eastAsia="Verdana" w:cs="Verdana"/>
          <w:szCs w:val="18"/>
        </w:rPr>
      </w:pPr>
      <w:r>
        <w:rPr>
          <w:rFonts w:eastAsia="Verdana" w:cs="Verdana"/>
          <w:szCs w:val="18"/>
        </w:rPr>
        <w:t>LANDTSHEERE, E., “Een nieuw Strafwetboek aangepast aan de 21e eeuw”,</w:t>
      </w:r>
      <w:hyperlink r:id="rId32">
        <w:r>
          <w:rPr>
            <w:rFonts w:eastAsia="Verdana" w:cs="Verdana"/>
            <w:szCs w:val="18"/>
          </w:rPr>
          <w:t xml:space="preserve"> </w:t>
        </w:r>
      </w:hyperlink>
      <w:r>
        <w:rPr>
          <w:rFonts w:eastAsia="Verdana" w:cs="Verdana"/>
          <w:szCs w:val="18"/>
        </w:rPr>
        <w:t xml:space="preserve"> </w:t>
      </w:r>
      <w:r w:rsidR="00963830" w:rsidRPr="00963830">
        <w:rPr>
          <w:rFonts w:eastAsia="Verdana" w:cs="Verdana"/>
          <w:szCs w:val="18"/>
        </w:rPr>
        <w:t xml:space="preserve">www.teamjustitie.be/2022/11/06/een-nieuw-strafwetboek-aangepast-aan-de-21e-eeuw/ </w:t>
      </w:r>
      <w:r>
        <w:rPr>
          <w:rFonts w:eastAsia="Verdana" w:cs="Verdana"/>
          <w:szCs w:val="18"/>
        </w:rPr>
        <w:t>(consultatie 28 november 2022).</w:t>
      </w:r>
    </w:p>
    <w:p w14:paraId="0A57468B" w14:textId="00F676D5" w:rsidR="003C10FB" w:rsidRDefault="003C10FB" w:rsidP="00260F11">
      <w:pPr>
        <w:spacing w:after="160" w:line="360" w:lineRule="auto"/>
        <w:rPr>
          <w:rFonts w:eastAsia="Verdana" w:cs="Verdana"/>
          <w:szCs w:val="18"/>
        </w:rPr>
      </w:pPr>
      <w:r>
        <w:rPr>
          <w:rFonts w:eastAsia="Verdana" w:cs="Verdana"/>
          <w:szCs w:val="18"/>
        </w:rPr>
        <w:t>SEGERS, F. en DE MAESENEER, W., “Protestbetoging tegen "verkrachtingscultuur" in het uitgaansleven in Gent”,</w:t>
      </w:r>
      <w:r w:rsidR="00963830">
        <w:t xml:space="preserve"> </w:t>
      </w:r>
      <w:r w:rsidR="00963830" w:rsidRPr="00963830">
        <w:t>www.vrt.be/vrtnws/nl/2021/11/06/gentse-politie-start-opnieuw-onderzoek-naar-verkrachting-in-cafe/#:~:text=geen%20VRT%2Dprofiel%3F-,Protestbetoging%20tegen%20%22verkrachtingscultuur%22%20in%20het%20uitgaansleven%20in%20Gent,te%20geven%20aan%20het%20stadsbestuur</w:t>
      </w:r>
      <w:r w:rsidR="00963830">
        <w:rPr>
          <w:rFonts w:eastAsia="Verdana" w:cs="Verdana"/>
          <w:szCs w:val="18"/>
        </w:rPr>
        <w:t xml:space="preserve"> </w:t>
      </w:r>
      <w:r>
        <w:rPr>
          <w:rFonts w:eastAsia="Verdana" w:cs="Verdana"/>
          <w:szCs w:val="18"/>
        </w:rPr>
        <w:t>(consultatie 7 augustus 2022).</w:t>
      </w:r>
    </w:p>
    <w:p w14:paraId="0CF78A52" w14:textId="3514EE45" w:rsidR="00963830" w:rsidRDefault="00142E03" w:rsidP="00963830">
      <w:pPr>
        <w:spacing w:after="160" w:line="360" w:lineRule="auto"/>
        <w:rPr>
          <w:rFonts w:eastAsia="Verdana" w:cs="Verdana"/>
          <w:szCs w:val="18"/>
        </w:rPr>
      </w:pPr>
      <w:r>
        <w:rPr>
          <w:rFonts w:eastAsia="Verdana" w:cs="Verdana"/>
          <w:szCs w:val="18"/>
        </w:rPr>
        <w:t xml:space="preserve">VAN VEEN, S., </w:t>
      </w:r>
      <w:r>
        <w:rPr>
          <w:rFonts w:eastAsia="Verdana" w:cs="Verdana"/>
          <w:i/>
          <w:szCs w:val="18"/>
        </w:rPr>
        <w:t>De strafrechtelijke onachtzaamheid getoetst aan de burgerlijke onzorgvuldigheid. Over de ontwikkeling van de eenheid van fout</w:t>
      </w:r>
      <w:r>
        <w:rPr>
          <w:rFonts w:eastAsia="Verdana" w:cs="Verdana"/>
          <w:szCs w:val="18"/>
        </w:rPr>
        <w:t>, onuitg. Masterproef rechten UGent, 2017,</w:t>
      </w:r>
      <w:r w:rsidR="00963830" w:rsidRPr="00963830">
        <w:t xml:space="preserve"> </w:t>
      </w:r>
      <w:r w:rsidR="00963830" w:rsidRPr="00963830">
        <w:rPr>
          <w:rFonts w:eastAsia="Verdana" w:cs="Verdana"/>
          <w:szCs w:val="18"/>
        </w:rPr>
        <w:t>https://libstore.ugent.be/fulltxt/RUG01/002/349/415/RUG01-002349415_2017_0001_AC.pdf,</w:t>
      </w:r>
      <w:r w:rsidR="00963830">
        <w:rPr>
          <w:rFonts w:eastAsia="Verdana" w:cs="Verdana"/>
          <w:szCs w:val="18"/>
        </w:rPr>
        <w:t xml:space="preserve"> </w:t>
      </w:r>
      <w:r>
        <w:rPr>
          <w:rFonts w:eastAsia="Verdana" w:cs="Verdana"/>
          <w:szCs w:val="18"/>
        </w:rPr>
        <w:t>129 p.</w:t>
      </w:r>
    </w:p>
    <w:p w14:paraId="5139FCA4" w14:textId="1C419EA5" w:rsidR="003C10FB" w:rsidRDefault="003C10FB" w:rsidP="00260F11">
      <w:pPr>
        <w:numPr>
          <w:ilvl w:val="0"/>
          <w:numId w:val="21"/>
        </w:numPr>
        <w:spacing w:after="160" w:line="360" w:lineRule="auto"/>
        <w:rPr>
          <w:rFonts w:eastAsia="Verdana" w:cs="Verdana"/>
          <w:b/>
          <w:szCs w:val="18"/>
        </w:rPr>
      </w:pPr>
      <w:r>
        <w:rPr>
          <w:rFonts w:eastAsia="Verdana" w:cs="Verdana"/>
          <w:b/>
          <w:szCs w:val="18"/>
        </w:rPr>
        <w:t>Verenigd Koninkrijk</w:t>
      </w:r>
    </w:p>
    <w:p w14:paraId="389DF79F" w14:textId="77777777" w:rsidR="003C10FB" w:rsidRDefault="003C10FB" w:rsidP="00260F11">
      <w:pPr>
        <w:spacing w:after="160" w:line="360" w:lineRule="auto"/>
        <w:rPr>
          <w:rFonts w:eastAsia="Verdana" w:cs="Verdana"/>
          <w:b/>
          <w:szCs w:val="18"/>
        </w:rPr>
      </w:pPr>
      <w:r>
        <w:rPr>
          <w:rFonts w:eastAsia="Verdana" w:cs="Verdana"/>
          <w:b/>
          <w:szCs w:val="18"/>
        </w:rPr>
        <w:t>5.1 Wetgeving</w:t>
      </w:r>
    </w:p>
    <w:p w14:paraId="1F3152A6" w14:textId="126C6A82"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lastRenderedPageBreak/>
        <w:t>Sexual Offences Act 2003,</w:t>
      </w:r>
      <w:hyperlink r:id="rId33">
        <w:r w:rsidRPr="009C29A6">
          <w:rPr>
            <w:rFonts w:eastAsia="Verdana" w:cs="Verdana"/>
            <w:szCs w:val="18"/>
            <w:lang w:val="en-GB"/>
          </w:rPr>
          <w:t xml:space="preserve"> </w:t>
        </w:r>
      </w:hyperlink>
      <w:r w:rsidR="00963830" w:rsidRPr="009C29A6">
        <w:rPr>
          <w:lang w:val="en-GB"/>
        </w:rPr>
        <w:t xml:space="preserve"> </w:t>
      </w:r>
      <w:r w:rsidR="00963830" w:rsidRPr="009C29A6">
        <w:rPr>
          <w:rFonts w:eastAsia="Verdana" w:cs="Verdana"/>
          <w:szCs w:val="18"/>
          <w:lang w:val="en-GB"/>
        </w:rPr>
        <w:t>www.legislation.gov.uk.</w:t>
      </w:r>
    </w:p>
    <w:p w14:paraId="423C7383" w14:textId="68AD1858"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Explanatory Notes Relating to the Sexual Offences Act 2003, Commentary on Sections, </w:t>
      </w:r>
      <w:r w:rsidR="00963830" w:rsidRPr="009C29A6">
        <w:rPr>
          <w:rFonts w:eastAsia="Verdana" w:cs="Verdana"/>
          <w:szCs w:val="18"/>
          <w:lang w:val="en-GB"/>
        </w:rPr>
        <w:t>www.legislation.gov.uk.</w:t>
      </w:r>
    </w:p>
    <w:p w14:paraId="24282DD3" w14:textId="77777777" w:rsidR="003C10FB" w:rsidRPr="009C29A6" w:rsidRDefault="003C10FB" w:rsidP="00260F11">
      <w:pPr>
        <w:spacing w:after="160" w:line="360" w:lineRule="auto"/>
        <w:rPr>
          <w:rFonts w:eastAsia="Verdana" w:cs="Verdana"/>
          <w:b/>
          <w:szCs w:val="18"/>
          <w:lang w:val="en-GB"/>
        </w:rPr>
      </w:pPr>
      <w:r w:rsidRPr="009C29A6">
        <w:rPr>
          <w:rFonts w:eastAsia="Verdana" w:cs="Verdana"/>
          <w:b/>
          <w:szCs w:val="18"/>
          <w:lang w:val="en-GB"/>
        </w:rPr>
        <w:t>5.2 Rechtspraak</w:t>
      </w:r>
    </w:p>
    <w:p w14:paraId="3472CB33" w14:textId="1E09B116"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United Kingdom Supreme Court (VK) 26 juni 2013, </w:t>
      </w:r>
      <w:r w:rsidR="00EB2433" w:rsidRPr="009C29A6">
        <w:rPr>
          <w:rFonts w:eastAsia="Verdana" w:cs="Verdana"/>
          <w:szCs w:val="18"/>
          <w:lang w:val="en-GB"/>
        </w:rPr>
        <w:t xml:space="preserve">R. v. </w:t>
      </w:r>
      <w:r w:rsidRPr="009C29A6">
        <w:rPr>
          <w:rFonts w:eastAsia="Verdana" w:cs="Verdana"/>
          <w:szCs w:val="18"/>
          <w:lang w:val="en-GB"/>
        </w:rPr>
        <w:t xml:space="preserve">Brown, </w:t>
      </w:r>
      <w:r w:rsidRPr="009C29A6">
        <w:rPr>
          <w:rFonts w:eastAsia="Verdana" w:cs="Verdana"/>
          <w:i/>
          <w:szCs w:val="18"/>
          <w:lang w:val="en-GB"/>
        </w:rPr>
        <w:t>UKSC,</w:t>
      </w:r>
      <w:r w:rsidRPr="009C29A6">
        <w:rPr>
          <w:rFonts w:eastAsia="Verdana" w:cs="Verdana"/>
          <w:szCs w:val="18"/>
          <w:lang w:val="en-GB"/>
        </w:rPr>
        <w:t xml:space="preserve"> 43.</w:t>
      </w:r>
    </w:p>
    <w:p w14:paraId="32EA2B4F" w14:textId="1C4AE6AE"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Opinions of the Lords of Appeal (VK) 18 juni 2008, </w:t>
      </w:r>
      <w:r w:rsidR="00EB2433" w:rsidRPr="009C29A6">
        <w:rPr>
          <w:rFonts w:eastAsia="Verdana" w:cs="Verdana"/>
          <w:szCs w:val="18"/>
          <w:lang w:val="en-GB"/>
        </w:rPr>
        <w:t xml:space="preserve">R. v. </w:t>
      </w:r>
      <w:r w:rsidRPr="009C29A6">
        <w:rPr>
          <w:rFonts w:eastAsia="Verdana" w:cs="Verdana"/>
          <w:szCs w:val="18"/>
          <w:lang w:val="en-GB"/>
        </w:rPr>
        <w:t xml:space="preserve">G, </w:t>
      </w:r>
      <w:r w:rsidRPr="009C29A6">
        <w:rPr>
          <w:rFonts w:eastAsia="Verdana" w:cs="Verdana"/>
          <w:i/>
          <w:szCs w:val="18"/>
          <w:lang w:val="en-GB"/>
        </w:rPr>
        <w:t>UKHL,</w:t>
      </w:r>
      <w:r w:rsidRPr="009C29A6">
        <w:rPr>
          <w:rFonts w:eastAsia="Verdana" w:cs="Verdana"/>
          <w:szCs w:val="18"/>
          <w:lang w:val="en-GB"/>
        </w:rPr>
        <w:t xml:space="preserve"> 37.</w:t>
      </w:r>
    </w:p>
    <w:p w14:paraId="5C8C4FFD" w14:textId="5B177DBD"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House of Lords (VK) 1 maart 1984, </w:t>
      </w:r>
      <w:r w:rsidR="00EB2433" w:rsidRPr="009C29A6">
        <w:rPr>
          <w:rFonts w:eastAsia="Verdana" w:cs="Verdana"/>
          <w:szCs w:val="18"/>
          <w:lang w:val="en-GB"/>
        </w:rPr>
        <w:t xml:space="preserve">R. v. </w:t>
      </w:r>
      <w:r w:rsidRPr="009C29A6">
        <w:rPr>
          <w:rFonts w:eastAsia="Verdana" w:cs="Verdana"/>
          <w:szCs w:val="18"/>
          <w:lang w:val="en-GB"/>
        </w:rPr>
        <w:t xml:space="preserve">Courtie, </w:t>
      </w:r>
      <w:r w:rsidRPr="009C29A6">
        <w:rPr>
          <w:rFonts w:eastAsia="Verdana" w:cs="Verdana"/>
          <w:i/>
          <w:szCs w:val="18"/>
          <w:lang w:val="en-GB"/>
        </w:rPr>
        <w:t>AC,</w:t>
      </w:r>
      <w:r w:rsidRPr="009C29A6">
        <w:rPr>
          <w:rFonts w:eastAsia="Verdana" w:cs="Verdana"/>
          <w:szCs w:val="18"/>
          <w:lang w:val="en-GB"/>
        </w:rPr>
        <w:t xml:space="preserve"> 463.</w:t>
      </w:r>
    </w:p>
    <w:p w14:paraId="0DE57208"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House of Lords (VK), 30 april 1975, DPP v Morgan, </w:t>
      </w:r>
      <w:r w:rsidRPr="009C29A6">
        <w:rPr>
          <w:rFonts w:eastAsia="Verdana" w:cs="Verdana"/>
          <w:i/>
          <w:szCs w:val="18"/>
          <w:lang w:val="en-GB"/>
        </w:rPr>
        <w:t xml:space="preserve">UKHL </w:t>
      </w:r>
      <w:r w:rsidRPr="009C29A6">
        <w:rPr>
          <w:rFonts w:eastAsia="Verdana" w:cs="Verdana"/>
          <w:szCs w:val="18"/>
          <w:lang w:val="en-GB"/>
        </w:rPr>
        <w:t xml:space="preserve">3. </w:t>
      </w:r>
    </w:p>
    <w:p w14:paraId="36545D92"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Attorney General’s Reference (No. 1 of 2020), 10 december 2020, </w:t>
      </w:r>
      <w:r w:rsidRPr="009C29A6">
        <w:rPr>
          <w:rFonts w:eastAsia="Verdana" w:cs="Verdana"/>
          <w:i/>
          <w:szCs w:val="18"/>
          <w:lang w:val="en-GB"/>
        </w:rPr>
        <w:t>EWCA Crim</w:t>
      </w:r>
      <w:r w:rsidRPr="009C29A6">
        <w:rPr>
          <w:rFonts w:eastAsia="Verdana" w:cs="Verdana"/>
          <w:szCs w:val="18"/>
          <w:lang w:val="en-GB"/>
        </w:rPr>
        <w:t>, 1665.</w:t>
      </w:r>
    </w:p>
    <w:p w14:paraId="5D967A83" w14:textId="38AFC619"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23 juli 2020, </w:t>
      </w:r>
      <w:r w:rsidR="00EB2433" w:rsidRPr="009C29A6">
        <w:rPr>
          <w:rFonts w:eastAsia="Verdana" w:cs="Verdana"/>
          <w:szCs w:val="18"/>
          <w:lang w:val="en-GB"/>
        </w:rPr>
        <w:t xml:space="preserve">R. v. </w:t>
      </w:r>
      <w:r w:rsidRPr="009C29A6">
        <w:rPr>
          <w:rFonts w:eastAsia="Verdana" w:cs="Verdana"/>
          <w:szCs w:val="18"/>
          <w:lang w:val="en-GB"/>
        </w:rPr>
        <w:t xml:space="preserve">Lawrance, </w:t>
      </w:r>
      <w:r w:rsidRPr="009C29A6">
        <w:rPr>
          <w:rFonts w:eastAsia="Verdana" w:cs="Verdana"/>
          <w:i/>
          <w:szCs w:val="18"/>
          <w:lang w:val="en-GB"/>
        </w:rPr>
        <w:t>EWCA Crim</w:t>
      </w:r>
      <w:r w:rsidRPr="009C29A6">
        <w:rPr>
          <w:rFonts w:eastAsia="Verdana" w:cs="Verdana"/>
          <w:szCs w:val="18"/>
          <w:lang w:val="en-GB"/>
        </w:rPr>
        <w:t>, 971.</w:t>
      </w:r>
    </w:p>
    <w:p w14:paraId="70E6D093" w14:textId="66A1CCCB"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20 december 2019, </w:t>
      </w:r>
      <w:r w:rsidR="00EB2433" w:rsidRPr="009C29A6">
        <w:rPr>
          <w:rFonts w:eastAsia="Verdana" w:cs="Verdana"/>
          <w:szCs w:val="18"/>
          <w:lang w:val="en-GB"/>
        </w:rPr>
        <w:t xml:space="preserve">R. v. </w:t>
      </w:r>
      <w:r w:rsidRPr="009C29A6">
        <w:rPr>
          <w:rFonts w:eastAsia="Verdana" w:cs="Verdana"/>
          <w:szCs w:val="18"/>
          <w:lang w:val="en-GB"/>
        </w:rPr>
        <w:t xml:space="preserve">Gabbai, </w:t>
      </w:r>
      <w:r w:rsidRPr="009C29A6">
        <w:rPr>
          <w:rFonts w:eastAsia="Verdana" w:cs="Verdana"/>
          <w:i/>
          <w:szCs w:val="18"/>
          <w:lang w:val="en-GB"/>
        </w:rPr>
        <w:t>EWCA Crim,</w:t>
      </w:r>
      <w:r w:rsidRPr="009C29A6">
        <w:rPr>
          <w:rFonts w:eastAsia="Verdana" w:cs="Verdana"/>
          <w:szCs w:val="18"/>
          <w:lang w:val="en-GB"/>
        </w:rPr>
        <w:t xml:space="preserve"> 2287</w:t>
      </w:r>
    </w:p>
    <w:p w14:paraId="61DC8133" w14:textId="272DF615"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29 november 2013, </w:t>
      </w:r>
      <w:r w:rsidR="00EB2433" w:rsidRPr="009C29A6">
        <w:rPr>
          <w:rFonts w:eastAsia="Verdana" w:cs="Verdana"/>
          <w:szCs w:val="18"/>
          <w:lang w:val="en-GB"/>
        </w:rPr>
        <w:t xml:space="preserve">R. v. </w:t>
      </w:r>
      <w:r w:rsidRPr="009C29A6">
        <w:rPr>
          <w:rFonts w:eastAsia="Verdana" w:cs="Verdana"/>
          <w:szCs w:val="18"/>
          <w:lang w:val="en-GB"/>
        </w:rPr>
        <w:t xml:space="preserve">Kamki, </w:t>
      </w:r>
      <w:r w:rsidRPr="009C29A6">
        <w:rPr>
          <w:rFonts w:eastAsia="Verdana" w:cs="Verdana"/>
          <w:i/>
          <w:szCs w:val="18"/>
          <w:lang w:val="en-GB"/>
        </w:rPr>
        <w:t>EWCA Crim</w:t>
      </w:r>
      <w:r w:rsidRPr="009C29A6">
        <w:rPr>
          <w:rFonts w:eastAsia="Verdana" w:cs="Verdana"/>
          <w:szCs w:val="18"/>
          <w:lang w:val="en-GB"/>
        </w:rPr>
        <w:t>, 2335.</w:t>
      </w:r>
    </w:p>
    <w:p w14:paraId="63556DA6" w14:textId="08F013A0" w:rsidR="003C10FB" w:rsidRPr="009C29A6" w:rsidRDefault="003C10FB" w:rsidP="00260F11">
      <w:pPr>
        <w:pBdr>
          <w:top w:val="nil"/>
          <w:left w:val="nil"/>
          <w:bottom w:val="nil"/>
          <w:right w:val="nil"/>
          <w:between w:val="nil"/>
        </w:pBdr>
        <w:spacing w:after="160" w:line="360" w:lineRule="auto"/>
        <w:rPr>
          <w:rFonts w:eastAsia="Verdana" w:cs="Verdana"/>
          <w:szCs w:val="18"/>
          <w:lang w:val="en-GB"/>
        </w:rPr>
      </w:pPr>
      <w:r w:rsidRPr="009C29A6">
        <w:rPr>
          <w:rFonts w:eastAsia="Verdana" w:cs="Verdana"/>
          <w:szCs w:val="18"/>
          <w:lang w:val="en-GB"/>
        </w:rPr>
        <w:t xml:space="preserve">Court of Appeal (VK) 27 juni 2013, </w:t>
      </w:r>
      <w:r w:rsidR="00EB2433" w:rsidRPr="009C29A6">
        <w:rPr>
          <w:rFonts w:eastAsia="Verdana" w:cs="Verdana"/>
          <w:szCs w:val="18"/>
          <w:lang w:val="en-GB"/>
        </w:rPr>
        <w:t xml:space="preserve">R. v. </w:t>
      </w:r>
      <w:r w:rsidRPr="009C29A6">
        <w:rPr>
          <w:rFonts w:eastAsia="Verdana" w:cs="Verdana"/>
          <w:szCs w:val="18"/>
          <w:lang w:val="en-GB"/>
        </w:rPr>
        <w:t xml:space="preserve">McNally, </w:t>
      </w:r>
      <w:r w:rsidRPr="009C29A6">
        <w:rPr>
          <w:rFonts w:eastAsia="Verdana" w:cs="Verdana"/>
          <w:i/>
          <w:szCs w:val="18"/>
          <w:lang w:val="en-GB"/>
        </w:rPr>
        <w:t>EWCA Crim</w:t>
      </w:r>
      <w:r w:rsidRPr="009C29A6">
        <w:rPr>
          <w:rFonts w:eastAsia="Verdana" w:cs="Verdana"/>
          <w:szCs w:val="18"/>
          <w:lang w:val="en-GB"/>
        </w:rPr>
        <w:t>, 1051.</w:t>
      </w:r>
    </w:p>
    <w:p w14:paraId="5F5C5743" w14:textId="5ACFB0EA"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31 januari 2013, </w:t>
      </w:r>
      <w:r w:rsidR="00EB2433" w:rsidRPr="009C29A6">
        <w:rPr>
          <w:rFonts w:eastAsia="Verdana" w:cs="Verdana"/>
          <w:szCs w:val="18"/>
          <w:lang w:val="en-GB"/>
        </w:rPr>
        <w:t xml:space="preserve">R. v. </w:t>
      </w:r>
      <w:r w:rsidRPr="009C29A6">
        <w:rPr>
          <w:rFonts w:eastAsia="Verdana" w:cs="Verdana"/>
          <w:szCs w:val="18"/>
          <w:lang w:val="en-GB"/>
        </w:rPr>
        <w:t xml:space="preserve">B, </w:t>
      </w:r>
      <w:r w:rsidRPr="009C29A6">
        <w:rPr>
          <w:rFonts w:eastAsia="Verdana" w:cs="Verdana"/>
          <w:i/>
          <w:szCs w:val="18"/>
          <w:lang w:val="en-GB"/>
        </w:rPr>
        <w:t>EWCA Crim</w:t>
      </w:r>
      <w:r w:rsidRPr="009C29A6">
        <w:rPr>
          <w:rFonts w:eastAsia="Verdana" w:cs="Verdana"/>
          <w:szCs w:val="18"/>
          <w:lang w:val="en-GB"/>
        </w:rPr>
        <w:t>, 3.</w:t>
      </w:r>
    </w:p>
    <w:p w14:paraId="748C9CFF" w14:textId="0D0A2936"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 november 2011, </w:t>
      </w:r>
      <w:r w:rsidR="00EB2433" w:rsidRPr="009C29A6">
        <w:rPr>
          <w:rFonts w:eastAsia="Verdana" w:cs="Verdana"/>
          <w:szCs w:val="18"/>
          <w:lang w:val="en-GB"/>
        </w:rPr>
        <w:t xml:space="preserve">R. v. </w:t>
      </w:r>
      <w:r w:rsidRPr="009C29A6">
        <w:rPr>
          <w:rFonts w:eastAsia="Verdana" w:cs="Verdana"/>
          <w:szCs w:val="18"/>
          <w:lang w:val="en-GB"/>
        </w:rPr>
        <w:t xml:space="preserve">Ciccarelli (Yuri), </w:t>
      </w:r>
      <w:r w:rsidRPr="009C29A6">
        <w:rPr>
          <w:rFonts w:eastAsia="Verdana" w:cs="Verdana"/>
          <w:i/>
          <w:szCs w:val="18"/>
          <w:lang w:val="en-GB"/>
        </w:rPr>
        <w:t>EWCA Crim,</w:t>
      </w:r>
      <w:r w:rsidRPr="009C29A6">
        <w:rPr>
          <w:rFonts w:eastAsia="Verdana" w:cs="Verdana"/>
          <w:szCs w:val="18"/>
          <w:lang w:val="en-GB"/>
        </w:rPr>
        <w:t xml:space="preserve"> 2011, 2665.</w:t>
      </w:r>
    </w:p>
    <w:p w14:paraId="516FE5E9" w14:textId="5BF3DAE8"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23 maart 2011, </w:t>
      </w:r>
      <w:r w:rsidR="00EB2433" w:rsidRPr="009C29A6">
        <w:rPr>
          <w:rFonts w:eastAsia="Verdana" w:cs="Verdana"/>
          <w:szCs w:val="18"/>
          <w:lang w:val="en-GB"/>
        </w:rPr>
        <w:t xml:space="preserve">R. v. </w:t>
      </w:r>
      <w:r w:rsidRPr="009C29A6">
        <w:rPr>
          <w:rFonts w:eastAsia="Verdana" w:cs="Verdana"/>
          <w:szCs w:val="18"/>
          <w:lang w:val="en-GB"/>
        </w:rPr>
        <w:t xml:space="preserve">Robinson, </w:t>
      </w:r>
      <w:r w:rsidRPr="009C29A6">
        <w:rPr>
          <w:rFonts w:eastAsia="Verdana" w:cs="Verdana"/>
          <w:i/>
          <w:szCs w:val="18"/>
          <w:lang w:val="en-GB"/>
        </w:rPr>
        <w:t>EWCA Crim</w:t>
      </w:r>
      <w:r w:rsidRPr="009C29A6">
        <w:rPr>
          <w:rFonts w:eastAsia="Verdana" w:cs="Verdana"/>
          <w:szCs w:val="18"/>
          <w:lang w:val="en-GB"/>
        </w:rPr>
        <w:t>, 916.</w:t>
      </w:r>
    </w:p>
    <w:p w14:paraId="4CD3FE79" w14:textId="6FA12B41"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 maart 2011, </w:t>
      </w:r>
      <w:r w:rsidR="00EB2433" w:rsidRPr="009C29A6">
        <w:rPr>
          <w:rFonts w:eastAsia="Verdana" w:cs="Verdana"/>
          <w:szCs w:val="18"/>
          <w:lang w:val="en-GB"/>
        </w:rPr>
        <w:t xml:space="preserve">R. v. </w:t>
      </w:r>
      <w:r w:rsidRPr="009C29A6">
        <w:rPr>
          <w:rFonts w:eastAsia="Verdana" w:cs="Verdana"/>
          <w:szCs w:val="18"/>
          <w:lang w:val="en-GB"/>
        </w:rPr>
        <w:t xml:space="preserve">Grout, </w:t>
      </w:r>
      <w:r w:rsidRPr="009C29A6">
        <w:rPr>
          <w:rFonts w:eastAsia="Verdana" w:cs="Verdana"/>
          <w:i/>
          <w:szCs w:val="18"/>
          <w:lang w:val="en-GB"/>
        </w:rPr>
        <w:t>EWCA Crim</w:t>
      </w:r>
      <w:r w:rsidRPr="009C29A6">
        <w:rPr>
          <w:rFonts w:eastAsia="Verdana" w:cs="Verdana"/>
          <w:szCs w:val="18"/>
          <w:lang w:val="en-GB"/>
        </w:rPr>
        <w:t>, 299.</w:t>
      </w:r>
    </w:p>
    <w:p w14:paraId="7BD65832" w14:textId="09C68FAD"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22 januari 2010, </w:t>
      </w:r>
      <w:r w:rsidR="00EB2433" w:rsidRPr="009C29A6">
        <w:rPr>
          <w:rFonts w:eastAsia="Verdana" w:cs="Verdana"/>
          <w:szCs w:val="18"/>
          <w:lang w:val="en-GB"/>
        </w:rPr>
        <w:t xml:space="preserve">R. v. </w:t>
      </w:r>
      <w:r w:rsidRPr="009C29A6">
        <w:rPr>
          <w:rFonts w:eastAsia="Verdana" w:cs="Verdana"/>
          <w:szCs w:val="18"/>
          <w:lang w:val="en-GB"/>
        </w:rPr>
        <w:t xml:space="preserve">Doyle, </w:t>
      </w:r>
      <w:r w:rsidRPr="009C29A6">
        <w:rPr>
          <w:rFonts w:eastAsia="Verdana" w:cs="Verdana"/>
          <w:i/>
          <w:szCs w:val="18"/>
          <w:lang w:val="en-GB"/>
        </w:rPr>
        <w:t>EWCA Crim</w:t>
      </w:r>
      <w:r w:rsidRPr="009C29A6">
        <w:rPr>
          <w:rFonts w:eastAsia="Verdana" w:cs="Verdana"/>
          <w:szCs w:val="18"/>
          <w:lang w:val="en-GB"/>
        </w:rPr>
        <w:t>, 119.</w:t>
      </w:r>
    </w:p>
    <w:p w14:paraId="69027A1C" w14:textId="2A54BD93"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19 november 2009, </w:t>
      </w:r>
      <w:r w:rsidR="00EB2433" w:rsidRPr="009C29A6">
        <w:rPr>
          <w:rFonts w:eastAsia="Verdana" w:cs="Verdana"/>
          <w:szCs w:val="18"/>
          <w:lang w:val="en-GB"/>
        </w:rPr>
        <w:t xml:space="preserve">R. v. </w:t>
      </w:r>
      <w:r w:rsidRPr="009C29A6">
        <w:rPr>
          <w:rFonts w:eastAsia="Verdana" w:cs="Verdana"/>
          <w:szCs w:val="18"/>
          <w:lang w:val="en-GB"/>
        </w:rPr>
        <w:t xml:space="preserve">Ayeva, </w:t>
      </w:r>
      <w:r w:rsidRPr="009C29A6">
        <w:rPr>
          <w:rFonts w:eastAsia="Verdana" w:cs="Verdana"/>
          <w:i/>
          <w:szCs w:val="18"/>
          <w:lang w:val="en-GB"/>
        </w:rPr>
        <w:t>EWCA Crim</w:t>
      </w:r>
      <w:r w:rsidRPr="009C29A6">
        <w:rPr>
          <w:rFonts w:eastAsia="Verdana" w:cs="Verdana"/>
          <w:szCs w:val="18"/>
          <w:lang w:val="en-GB"/>
        </w:rPr>
        <w:t>, 2640.</w:t>
      </w:r>
    </w:p>
    <w:p w14:paraId="1F137F6E" w14:textId="712B35DC"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10 september 2008, </w:t>
      </w:r>
      <w:r w:rsidR="00EB2433" w:rsidRPr="009C29A6">
        <w:rPr>
          <w:rFonts w:eastAsia="Verdana" w:cs="Verdana"/>
          <w:szCs w:val="18"/>
          <w:lang w:val="en-GB"/>
        </w:rPr>
        <w:t xml:space="preserve">R. v. </w:t>
      </w:r>
      <w:r w:rsidRPr="009C29A6">
        <w:rPr>
          <w:rFonts w:eastAsia="Verdana" w:cs="Verdana"/>
          <w:szCs w:val="18"/>
          <w:lang w:val="en-GB"/>
        </w:rPr>
        <w:t xml:space="preserve">Basherdost, </w:t>
      </w:r>
      <w:r w:rsidRPr="009C29A6">
        <w:rPr>
          <w:rFonts w:eastAsia="Verdana" w:cs="Verdana"/>
          <w:i/>
          <w:szCs w:val="18"/>
          <w:lang w:val="en-GB"/>
        </w:rPr>
        <w:t xml:space="preserve">EWCA Crim, </w:t>
      </w:r>
      <w:r w:rsidRPr="009C29A6">
        <w:rPr>
          <w:rFonts w:eastAsia="Verdana" w:cs="Verdana"/>
          <w:szCs w:val="18"/>
          <w:lang w:val="en-GB"/>
        </w:rPr>
        <w:t>2883.</w:t>
      </w:r>
    </w:p>
    <w:p w14:paraId="4A0C7115" w14:textId="179A09DC"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18 februari 2008, </w:t>
      </w:r>
      <w:r w:rsidR="00EB2433" w:rsidRPr="009C29A6">
        <w:rPr>
          <w:rFonts w:eastAsia="Verdana" w:cs="Verdana"/>
          <w:szCs w:val="18"/>
          <w:lang w:val="en-GB"/>
        </w:rPr>
        <w:t xml:space="preserve">R. v. </w:t>
      </w:r>
      <w:r w:rsidRPr="009C29A6">
        <w:rPr>
          <w:rFonts w:eastAsia="Verdana" w:cs="Verdana"/>
          <w:szCs w:val="18"/>
          <w:lang w:val="en-GB"/>
        </w:rPr>
        <w:t xml:space="preserve">SD, </w:t>
      </w:r>
      <w:r w:rsidRPr="009C29A6">
        <w:rPr>
          <w:rFonts w:eastAsia="Verdana" w:cs="Verdana"/>
          <w:i/>
          <w:szCs w:val="18"/>
          <w:lang w:val="en-GB"/>
        </w:rPr>
        <w:t>EWCA Crim</w:t>
      </w:r>
      <w:r w:rsidRPr="009C29A6">
        <w:rPr>
          <w:rFonts w:eastAsia="Verdana" w:cs="Verdana"/>
          <w:szCs w:val="18"/>
          <w:lang w:val="en-GB"/>
        </w:rPr>
        <w:t>, 527.</w:t>
      </w:r>
    </w:p>
    <w:p w14:paraId="5A5B0F77" w14:textId="387D784E"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3 augustus 2007, </w:t>
      </w:r>
      <w:r w:rsidR="00EB2433" w:rsidRPr="009C29A6">
        <w:rPr>
          <w:rFonts w:eastAsia="Verdana" w:cs="Verdana"/>
          <w:szCs w:val="18"/>
          <w:lang w:val="en-GB"/>
        </w:rPr>
        <w:t xml:space="preserve">R. v. </w:t>
      </w:r>
      <w:r w:rsidRPr="009C29A6">
        <w:rPr>
          <w:rFonts w:eastAsia="Verdana" w:cs="Verdana"/>
          <w:szCs w:val="18"/>
          <w:lang w:val="en-GB"/>
        </w:rPr>
        <w:t xml:space="preserve">Piper, </w:t>
      </w:r>
      <w:r w:rsidRPr="009C29A6">
        <w:rPr>
          <w:rFonts w:eastAsia="Verdana" w:cs="Verdana"/>
          <w:i/>
          <w:szCs w:val="18"/>
          <w:lang w:val="en-GB"/>
        </w:rPr>
        <w:t>EWCA Crim,</w:t>
      </w:r>
      <w:r w:rsidRPr="009C29A6">
        <w:rPr>
          <w:rFonts w:eastAsia="Verdana" w:cs="Verdana"/>
          <w:szCs w:val="18"/>
          <w:lang w:val="en-GB"/>
        </w:rPr>
        <w:t xml:space="preserve"> 2151.</w:t>
      </w:r>
    </w:p>
    <w:p w14:paraId="726D2417" w14:textId="1D1EB84E"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11 juli 2007, </w:t>
      </w:r>
      <w:r w:rsidR="00EB2433" w:rsidRPr="009C29A6">
        <w:rPr>
          <w:rFonts w:eastAsia="Verdana" w:cs="Verdana"/>
          <w:szCs w:val="18"/>
          <w:lang w:val="en-GB"/>
        </w:rPr>
        <w:t xml:space="preserve">R. v. </w:t>
      </w:r>
      <w:r w:rsidRPr="009C29A6">
        <w:rPr>
          <w:rFonts w:eastAsia="Verdana" w:cs="Verdana"/>
          <w:szCs w:val="18"/>
          <w:lang w:val="en-GB"/>
        </w:rPr>
        <w:t xml:space="preserve">Jheeta, </w:t>
      </w:r>
      <w:r w:rsidRPr="009C29A6">
        <w:rPr>
          <w:rFonts w:eastAsia="Verdana" w:cs="Verdana"/>
          <w:i/>
          <w:szCs w:val="18"/>
          <w:lang w:val="en-GB"/>
        </w:rPr>
        <w:t>EWCA Crim</w:t>
      </w:r>
      <w:r w:rsidRPr="009C29A6">
        <w:rPr>
          <w:rFonts w:eastAsia="Verdana" w:cs="Verdana"/>
          <w:szCs w:val="18"/>
          <w:lang w:val="en-GB"/>
        </w:rPr>
        <w:t>, 1699.</w:t>
      </w:r>
    </w:p>
    <w:p w14:paraId="600E7AB8" w14:textId="663FFA42"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10 juli 2007, </w:t>
      </w:r>
      <w:r w:rsidR="00EB2433" w:rsidRPr="009C29A6">
        <w:rPr>
          <w:rFonts w:eastAsia="Verdana" w:cs="Verdana"/>
          <w:szCs w:val="18"/>
          <w:lang w:val="en-GB"/>
        </w:rPr>
        <w:t xml:space="preserve">R. v. </w:t>
      </w:r>
      <w:r w:rsidRPr="009C29A6">
        <w:rPr>
          <w:rFonts w:eastAsia="Verdana" w:cs="Verdana"/>
          <w:szCs w:val="18"/>
          <w:lang w:val="en-GB"/>
        </w:rPr>
        <w:t xml:space="preserve">Hysa, </w:t>
      </w:r>
      <w:r w:rsidRPr="009C29A6">
        <w:rPr>
          <w:rFonts w:eastAsia="Verdana" w:cs="Verdana"/>
          <w:i/>
          <w:szCs w:val="18"/>
          <w:lang w:val="en-GB"/>
        </w:rPr>
        <w:t>EWCA Crim</w:t>
      </w:r>
      <w:r w:rsidRPr="009C29A6">
        <w:rPr>
          <w:rFonts w:eastAsia="Verdana" w:cs="Verdana"/>
          <w:szCs w:val="18"/>
          <w:lang w:val="en-GB"/>
        </w:rPr>
        <w:t>, 2056.</w:t>
      </w:r>
    </w:p>
    <w:p w14:paraId="2686C222" w14:textId="5C9D72D9"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26 maart 2007, </w:t>
      </w:r>
      <w:r w:rsidR="00EB2433" w:rsidRPr="009C29A6">
        <w:rPr>
          <w:rFonts w:eastAsia="Verdana" w:cs="Verdana"/>
          <w:szCs w:val="18"/>
          <w:lang w:val="en-GB"/>
        </w:rPr>
        <w:t xml:space="preserve">R. v. </w:t>
      </w:r>
      <w:r w:rsidRPr="009C29A6">
        <w:rPr>
          <w:rFonts w:eastAsia="Verdana" w:cs="Verdana"/>
          <w:szCs w:val="18"/>
          <w:lang w:val="en-GB"/>
        </w:rPr>
        <w:t xml:space="preserve">Bree, </w:t>
      </w:r>
      <w:r w:rsidRPr="009C29A6">
        <w:rPr>
          <w:rFonts w:eastAsia="Verdana" w:cs="Verdana"/>
          <w:i/>
          <w:szCs w:val="18"/>
          <w:lang w:val="en-GB"/>
        </w:rPr>
        <w:t>EWCA Crim</w:t>
      </w:r>
      <w:r w:rsidRPr="009C29A6">
        <w:rPr>
          <w:rFonts w:eastAsia="Verdana" w:cs="Verdana"/>
          <w:szCs w:val="18"/>
          <w:lang w:val="en-GB"/>
        </w:rPr>
        <w:t>, 804.</w:t>
      </w:r>
    </w:p>
    <w:p w14:paraId="1AD24B4D" w14:textId="38A36890"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12 februari 2007, </w:t>
      </w:r>
      <w:r w:rsidR="00EB2433" w:rsidRPr="009C29A6">
        <w:rPr>
          <w:rFonts w:eastAsia="Verdana" w:cs="Verdana"/>
          <w:szCs w:val="18"/>
          <w:lang w:val="en-GB"/>
        </w:rPr>
        <w:t xml:space="preserve">R. v. </w:t>
      </w:r>
      <w:r w:rsidRPr="009C29A6">
        <w:rPr>
          <w:rFonts w:eastAsia="Verdana" w:cs="Verdana"/>
          <w:szCs w:val="18"/>
          <w:lang w:val="en-GB"/>
        </w:rPr>
        <w:t xml:space="preserve">Heard, </w:t>
      </w:r>
      <w:r w:rsidRPr="009C29A6">
        <w:rPr>
          <w:rFonts w:eastAsia="Verdana" w:cs="Verdana"/>
          <w:i/>
          <w:szCs w:val="18"/>
          <w:lang w:val="en-GB"/>
        </w:rPr>
        <w:t>EWCA Crim</w:t>
      </w:r>
      <w:r w:rsidRPr="009C29A6">
        <w:rPr>
          <w:rFonts w:eastAsia="Verdana" w:cs="Verdana"/>
          <w:szCs w:val="18"/>
          <w:lang w:val="en-GB"/>
        </w:rPr>
        <w:t>, 125.</w:t>
      </w:r>
    </w:p>
    <w:p w14:paraId="3B94E3D4" w14:textId="46D229C8" w:rsidR="00BE5038" w:rsidRPr="009C29A6" w:rsidRDefault="00BE5038" w:rsidP="00260F11">
      <w:pPr>
        <w:spacing w:after="160" w:line="360" w:lineRule="auto"/>
        <w:rPr>
          <w:rFonts w:eastAsia="Verdana" w:cs="Verdana"/>
          <w:szCs w:val="18"/>
          <w:lang w:val="en-GB"/>
        </w:rPr>
      </w:pPr>
      <w:r w:rsidRPr="009C29A6">
        <w:rPr>
          <w:rFonts w:eastAsia="Verdana" w:cs="Verdana"/>
          <w:szCs w:val="18"/>
          <w:lang w:val="en-GB"/>
        </w:rPr>
        <w:t xml:space="preserve">Court of Appeal (VK), 14 december 2006, </w:t>
      </w:r>
      <w:r w:rsidR="00EB2433" w:rsidRPr="009C29A6">
        <w:rPr>
          <w:rFonts w:eastAsia="Verdana" w:cs="Verdana"/>
          <w:szCs w:val="18"/>
          <w:lang w:val="en-GB"/>
        </w:rPr>
        <w:t xml:space="preserve">R. v. </w:t>
      </w:r>
      <w:r w:rsidRPr="009C29A6">
        <w:rPr>
          <w:rFonts w:eastAsia="Verdana" w:cs="Verdana"/>
          <w:szCs w:val="18"/>
          <w:lang w:val="en-GB"/>
        </w:rPr>
        <w:t xml:space="preserve">Farrar, </w:t>
      </w:r>
      <w:r w:rsidRPr="009C29A6">
        <w:rPr>
          <w:rFonts w:eastAsia="Verdana" w:cs="Verdana"/>
          <w:i/>
          <w:szCs w:val="18"/>
          <w:lang w:val="en-GB"/>
        </w:rPr>
        <w:t>EWCA Crim,</w:t>
      </w:r>
      <w:r w:rsidRPr="009C29A6">
        <w:rPr>
          <w:rFonts w:eastAsia="Verdana" w:cs="Verdana"/>
          <w:szCs w:val="18"/>
          <w:lang w:val="en-GB"/>
        </w:rPr>
        <w:t xml:space="preserve"> 3261.</w:t>
      </w:r>
    </w:p>
    <w:p w14:paraId="1155178C" w14:textId="2CD6EF31"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18 oktober 2006, </w:t>
      </w:r>
      <w:r w:rsidR="00EB2433" w:rsidRPr="009C29A6">
        <w:rPr>
          <w:rFonts w:eastAsia="Verdana" w:cs="Verdana"/>
          <w:szCs w:val="18"/>
          <w:lang w:val="en-GB"/>
        </w:rPr>
        <w:t xml:space="preserve">R. v. </w:t>
      </w:r>
      <w:r w:rsidRPr="009C29A6">
        <w:rPr>
          <w:rFonts w:eastAsia="Verdana" w:cs="Verdana"/>
          <w:szCs w:val="18"/>
          <w:lang w:val="en-GB"/>
        </w:rPr>
        <w:t xml:space="preserve">Hill, </w:t>
      </w:r>
      <w:r w:rsidRPr="009C29A6">
        <w:rPr>
          <w:rFonts w:eastAsia="Verdana" w:cs="Verdana"/>
          <w:i/>
          <w:szCs w:val="18"/>
          <w:lang w:val="en-GB"/>
        </w:rPr>
        <w:t>EWCA Crim</w:t>
      </w:r>
      <w:r w:rsidRPr="009C29A6">
        <w:rPr>
          <w:rFonts w:eastAsia="Verdana" w:cs="Verdana"/>
          <w:szCs w:val="18"/>
          <w:lang w:val="en-GB"/>
        </w:rPr>
        <w:t>, 2575.</w:t>
      </w:r>
    </w:p>
    <w:p w14:paraId="087506B7" w14:textId="24661FB8"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16 oktober 2006, </w:t>
      </w:r>
      <w:r w:rsidR="00EB2433" w:rsidRPr="009C29A6">
        <w:rPr>
          <w:rFonts w:eastAsia="Verdana" w:cs="Verdana"/>
          <w:szCs w:val="18"/>
          <w:lang w:val="en-GB"/>
        </w:rPr>
        <w:t xml:space="preserve">R. v. </w:t>
      </w:r>
      <w:r w:rsidRPr="009C29A6">
        <w:rPr>
          <w:rFonts w:eastAsia="Verdana" w:cs="Verdana"/>
          <w:szCs w:val="18"/>
          <w:lang w:val="en-GB"/>
        </w:rPr>
        <w:t xml:space="preserve">EB, </w:t>
      </w:r>
      <w:r w:rsidRPr="009C29A6">
        <w:rPr>
          <w:rFonts w:eastAsia="Verdana" w:cs="Verdana"/>
          <w:i/>
          <w:szCs w:val="18"/>
          <w:lang w:val="en-GB"/>
        </w:rPr>
        <w:t>EWCA Crim,</w:t>
      </w:r>
      <w:r w:rsidRPr="009C29A6">
        <w:rPr>
          <w:rFonts w:eastAsia="Verdana" w:cs="Verdana"/>
          <w:szCs w:val="18"/>
          <w:lang w:val="en-GB"/>
        </w:rPr>
        <w:t xml:space="preserve"> 2945.</w:t>
      </w:r>
    </w:p>
    <w:p w14:paraId="0C8F5E72" w14:textId="0F40C8AB"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lastRenderedPageBreak/>
        <w:t xml:space="preserve">Court of Appeal (VK) 3 oktober 2006, </w:t>
      </w:r>
      <w:r w:rsidR="00EB2433" w:rsidRPr="009C29A6">
        <w:rPr>
          <w:rFonts w:eastAsia="Verdana" w:cs="Verdana"/>
          <w:szCs w:val="18"/>
          <w:lang w:val="en-GB"/>
        </w:rPr>
        <w:t xml:space="preserve">R. v. </w:t>
      </w:r>
      <w:r w:rsidRPr="009C29A6">
        <w:rPr>
          <w:rFonts w:eastAsia="Verdana" w:cs="Verdana"/>
          <w:szCs w:val="18"/>
          <w:lang w:val="en-GB"/>
        </w:rPr>
        <w:t xml:space="preserve">Swinscoe, </w:t>
      </w:r>
      <w:r w:rsidRPr="009C29A6">
        <w:rPr>
          <w:rFonts w:eastAsia="Verdana" w:cs="Verdana"/>
          <w:i/>
          <w:szCs w:val="18"/>
          <w:lang w:val="en-GB"/>
        </w:rPr>
        <w:t>EWCA Crim</w:t>
      </w:r>
      <w:r w:rsidRPr="009C29A6">
        <w:rPr>
          <w:rFonts w:eastAsia="Verdana" w:cs="Verdana"/>
          <w:szCs w:val="18"/>
          <w:lang w:val="en-GB"/>
        </w:rPr>
        <w:t>, 2412.</w:t>
      </w:r>
    </w:p>
    <w:p w14:paraId="7326E539" w14:textId="2F345F41"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3 februari 2006, </w:t>
      </w:r>
      <w:r w:rsidR="00EB2433" w:rsidRPr="009C29A6">
        <w:rPr>
          <w:rFonts w:eastAsia="Verdana" w:cs="Verdana"/>
          <w:szCs w:val="18"/>
          <w:lang w:val="en-GB"/>
        </w:rPr>
        <w:t xml:space="preserve">R. v. </w:t>
      </w:r>
      <w:r w:rsidRPr="009C29A6">
        <w:rPr>
          <w:rFonts w:eastAsia="Verdana" w:cs="Verdana"/>
          <w:szCs w:val="18"/>
          <w:lang w:val="en-GB"/>
        </w:rPr>
        <w:t xml:space="preserve">Lyddaman, </w:t>
      </w:r>
      <w:r w:rsidRPr="009C29A6">
        <w:rPr>
          <w:rFonts w:eastAsia="Verdana" w:cs="Verdana"/>
          <w:i/>
          <w:szCs w:val="18"/>
          <w:lang w:val="en-GB"/>
        </w:rPr>
        <w:t xml:space="preserve">EWCA Crim, </w:t>
      </w:r>
      <w:r w:rsidRPr="009C29A6">
        <w:rPr>
          <w:rFonts w:eastAsia="Verdana" w:cs="Verdana"/>
          <w:szCs w:val="18"/>
          <w:lang w:val="en-GB"/>
        </w:rPr>
        <w:t>383.</w:t>
      </w:r>
    </w:p>
    <w:p w14:paraId="07A1525F" w14:textId="6547051B" w:rsidR="00BE5038" w:rsidRPr="009C29A6" w:rsidRDefault="00BE5038" w:rsidP="00260F11">
      <w:pPr>
        <w:spacing w:after="160" w:line="360" w:lineRule="auto"/>
        <w:rPr>
          <w:rFonts w:eastAsia="Verdana" w:cs="Verdana"/>
          <w:szCs w:val="18"/>
          <w:lang w:val="en-GB"/>
        </w:rPr>
      </w:pPr>
      <w:r w:rsidRPr="009C29A6">
        <w:rPr>
          <w:rFonts w:eastAsia="Verdana" w:cs="Verdana"/>
          <w:szCs w:val="18"/>
          <w:lang w:val="en-GB"/>
        </w:rPr>
        <w:t xml:space="preserve">Court of Appeal (VK) 2006, </w:t>
      </w:r>
      <w:r w:rsidR="00EB2433" w:rsidRPr="009C29A6">
        <w:rPr>
          <w:rFonts w:eastAsia="Verdana" w:cs="Verdana"/>
          <w:szCs w:val="18"/>
          <w:lang w:val="en-GB"/>
        </w:rPr>
        <w:t xml:space="preserve">R. v. </w:t>
      </w:r>
      <w:r w:rsidRPr="009C29A6">
        <w:rPr>
          <w:rFonts w:eastAsia="Verdana" w:cs="Verdana"/>
          <w:szCs w:val="18"/>
          <w:lang w:val="en-GB"/>
        </w:rPr>
        <w:t xml:space="preserve">AJ, </w:t>
      </w:r>
      <w:r w:rsidRPr="009C29A6">
        <w:rPr>
          <w:rFonts w:eastAsia="Verdana" w:cs="Verdana"/>
          <w:i/>
          <w:szCs w:val="18"/>
          <w:lang w:val="en-GB"/>
        </w:rPr>
        <w:t>EWCA Crim</w:t>
      </w:r>
      <w:r w:rsidRPr="009C29A6">
        <w:rPr>
          <w:rFonts w:eastAsia="Verdana" w:cs="Verdana"/>
          <w:szCs w:val="18"/>
          <w:lang w:val="en-GB"/>
        </w:rPr>
        <w:t>, 2956.</w:t>
      </w:r>
    </w:p>
    <w:p w14:paraId="3634A32F" w14:textId="26638ECC"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 februari 2005, </w:t>
      </w:r>
      <w:r w:rsidR="00EB2433" w:rsidRPr="009C29A6">
        <w:rPr>
          <w:rFonts w:eastAsia="Verdana" w:cs="Verdana"/>
          <w:szCs w:val="18"/>
          <w:lang w:val="en-GB"/>
        </w:rPr>
        <w:t xml:space="preserve">R. v. </w:t>
      </w:r>
      <w:r w:rsidRPr="009C29A6">
        <w:rPr>
          <w:rFonts w:eastAsia="Verdana" w:cs="Verdana"/>
          <w:szCs w:val="18"/>
          <w:lang w:val="en-GB"/>
        </w:rPr>
        <w:t xml:space="preserve">H, </w:t>
      </w:r>
      <w:r w:rsidRPr="009C29A6">
        <w:rPr>
          <w:rFonts w:eastAsia="Verdana" w:cs="Verdana"/>
          <w:i/>
          <w:szCs w:val="18"/>
          <w:lang w:val="en-GB"/>
        </w:rPr>
        <w:t>EWCA Crim</w:t>
      </w:r>
      <w:r w:rsidRPr="009C29A6">
        <w:rPr>
          <w:rFonts w:eastAsia="Verdana" w:cs="Verdana"/>
          <w:szCs w:val="18"/>
          <w:lang w:val="en-GB"/>
        </w:rPr>
        <w:t xml:space="preserve">, 732. </w:t>
      </w:r>
    </w:p>
    <w:p w14:paraId="1C651612" w14:textId="00FF22C8"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25 oktober 2004, </w:t>
      </w:r>
      <w:r w:rsidR="00EB2433" w:rsidRPr="009C29A6">
        <w:rPr>
          <w:rFonts w:eastAsia="Verdana" w:cs="Verdana"/>
          <w:szCs w:val="18"/>
          <w:lang w:val="en-GB"/>
        </w:rPr>
        <w:t xml:space="preserve">R. v. </w:t>
      </w:r>
      <w:r w:rsidRPr="009C29A6">
        <w:rPr>
          <w:rFonts w:eastAsia="Verdana" w:cs="Verdana"/>
          <w:szCs w:val="18"/>
          <w:lang w:val="en-GB"/>
        </w:rPr>
        <w:t xml:space="preserve">Minshull, </w:t>
      </w:r>
      <w:r w:rsidRPr="009C29A6">
        <w:rPr>
          <w:rFonts w:eastAsia="Verdana" w:cs="Verdana"/>
          <w:i/>
          <w:szCs w:val="18"/>
          <w:lang w:val="en-GB"/>
        </w:rPr>
        <w:t>EWCA Crim</w:t>
      </w:r>
      <w:r w:rsidRPr="009C29A6">
        <w:rPr>
          <w:rFonts w:eastAsia="Verdana" w:cs="Verdana"/>
          <w:szCs w:val="18"/>
          <w:lang w:val="en-GB"/>
        </w:rPr>
        <w:t>, 2673.</w:t>
      </w:r>
    </w:p>
    <w:p w14:paraId="6D0C7BC4" w14:textId="52664DF0"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11 mei 2000, </w:t>
      </w:r>
      <w:r w:rsidR="00EB2433" w:rsidRPr="009C29A6">
        <w:rPr>
          <w:rFonts w:eastAsia="Verdana" w:cs="Verdana"/>
          <w:szCs w:val="18"/>
          <w:lang w:val="en-GB"/>
        </w:rPr>
        <w:t xml:space="preserve">R. v. </w:t>
      </w:r>
      <w:r w:rsidRPr="009C29A6">
        <w:rPr>
          <w:rFonts w:eastAsia="Verdana" w:cs="Verdana"/>
          <w:szCs w:val="18"/>
          <w:lang w:val="en-GB"/>
        </w:rPr>
        <w:t xml:space="preserve">Tabassum, </w:t>
      </w:r>
      <w:r w:rsidRPr="009C29A6">
        <w:rPr>
          <w:rFonts w:eastAsia="Verdana" w:cs="Verdana"/>
          <w:i/>
          <w:szCs w:val="18"/>
          <w:lang w:val="en-GB"/>
        </w:rPr>
        <w:t>Crim LR</w:t>
      </w:r>
      <w:r w:rsidRPr="009C29A6">
        <w:rPr>
          <w:rFonts w:eastAsia="Verdana" w:cs="Verdana"/>
          <w:szCs w:val="18"/>
          <w:lang w:val="en-GB"/>
        </w:rPr>
        <w:t>, 686.</w:t>
      </w:r>
    </w:p>
    <w:p w14:paraId="12F4F622" w14:textId="6674264B"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 mei 1998, </w:t>
      </w:r>
      <w:r w:rsidR="00EB2433" w:rsidRPr="009C29A6">
        <w:rPr>
          <w:rFonts w:eastAsia="Verdana" w:cs="Verdana"/>
          <w:szCs w:val="18"/>
          <w:lang w:val="en-GB"/>
        </w:rPr>
        <w:t xml:space="preserve">R. v. </w:t>
      </w:r>
      <w:r w:rsidRPr="009C29A6">
        <w:rPr>
          <w:rFonts w:eastAsia="Verdana" w:cs="Verdana"/>
          <w:szCs w:val="18"/>
          <w:lang w:val="en-GB"/>
        </w:rPr>
        <w:t xml:space="preserve">Malone, </w:t>
      </w:r>
      <w:r w:rsidRPr="009C29A6">
        <w:rPr>
          <w:rFonts w:eastAsia="Verdana" w:cs="Verdana"/>
          <w:i/>
          <w:szCs w:val="18"/>
          <w:lang w:val="en-GB"/>
        </w:rPr>
        <w:t>EWCA Crim</w:t>
      </w:r>
      <w:r w:rsidRPr="009C29A6">
        <w:rPr>
          <w:rFonts w:eastAsia="Verdana" w:cs="Verdana"/>
          <w:szCs w:val="18"/>
          <w:lang w:val="en-GB"/>
        </w:rPr>
        <w:t>, 1462.</w:t>
      </w:r>
    </w:p>
    <w:p w14:paraId="5A93276E"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1994, Cooper and Schaub, </w:t>
      </w:r>
      <w:r w:rsidRPr="009C29A6">
        <w:rPr>
          <w:rFonts w:eastAsia="Verdana" w:cs="Verdana"/>
          <w:i/>
          <w:szCs w:val="18"/>
          <w:lang w:val="en-GB"/>
        </w:rPr>
        <w:t xml:space="preserve">Crim LR, </w:t>
      </w:r>
      <w:r w:rsidRPr="009C29A6">
        <w:rPr>
          <w:rFonts w:eastAsia="Verdana" w:cs="Verdana"/>
          <w:szCs w:val="18"/>
          <w:lang w:val="en-GB"/>
        </w:rPr>
        <w:t>531.</w:t>
      </w:r>
    </w:p>
    <w:p w14:paraId="29A0ABD4" w14:textId="11B0EC36"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1985, </w:t>
      </w:r>
      <w:r w:rsidR="00EB2433" w:rsidRPr="009C29A6">
        <w:rPr>
          <w:rFonts w:eastAsia="Verdana" w:cs="Verdana"/>
          <w:szCs w:val="18"/>
          <w:lang w:val="en-GB"/>
        </w:rPr>
        <w:t xml:space="preserve">R. v. </w:t>
      </w:r>
      <w:r w:rsidRPr="009C29A6">
        <w:rPr>
          <w:rFonts w:eastAsia="Verdana" w:cs="Verdana"/>
          <w:szCs w:val="18"/>
          <w:lang w:val="en-GB"/>
        </w:rPr>
        <w:t xml:space="preserve">Haughian, </w:t>
      </w:r>
      <w:r w:rsidRPr="009C29A6">
        <w:rPr>
          <w:rFonts w:eastAsia="Verdana" w:cs="Verdana"/>
          <w:i/>
          <w:szCs w:val="18"/>
          <w:lang w:val="en-GB"/>
        </w:rPr>
        <w:t>80</w:t>
      </w:r>
      <w:r w:rsidRPr="009C29A6">
        <w:rPr>
          <w:rFonts w:eastAsia="Verdana" w:cs="Verdana"/>
          <w:szCs w:val="18"/>
          <w:lang w:val="en-GB"/>
        </w:rPr>
        <w:t xml:space="preserve"> </w:t>
      </w:r>
      <w:r w:rsidRPr="009C29A6">
        <w:rPr>
          <w:rFonts w:eastAsia="Verdana" w:cs="Verdana"/>
          <w:i/>
          <w:szCs w:val="18"/>
          <w:lang w:val="en-GB"/>
        </w:rPr>
        <w:t xml:space="preserve">Cr App R, </w:t>
      </w:r>
      <w:r w:rsidRPr="009C29A6">
        <w:rPr>
          <w:rFonts w:eastAsia="Verdana" w:cs="Verdana"/>
          <w:szCs w:val="18"/>
          <w:lang w:val="en-GB"/>
        </w:rPr>
        <w:t>334.</w:t>
      </w:r>
    </w:p>
    <w:p w14:paraId="13ECA641" w14:textId="1D97D8E3"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Court of Appeal (VK) 1 mei 1984, </w:t>
      </w:r>
      <w:r w:rsidR="00EB2433" w:rsidRPr="009C29A6">
        <w:rPr>
          <w:rFonts w:eastAsia="Verdana" w:cs="Verdana"/>
          <w:szCs w:val="18"/>
          <w:lang w:val="en-GB"/>
        </w:rPr>
        <w:t xml:space="preserve">R. v. </w:t>
      </w:r>
      <w:r w:rsidRPr="009C29A6">
        <w:rPr>
          <w:rFonts w:eastAsia="Verdana" w:cs="Verdana"/>
          <w:szCs w:val="18"/>
          <w:lang w:val="en-GB"/>
        </w:rPr>
        <w:t xml:space="preserve">Kaitamaki, </w:t>
      </w:r>
      <w:r w:rsidRPr="009C29A6">
        <w:rPr>
          <w:rFonts w:eastAsia="Verdana" w:cs="Verdana"/>
          <w:i/>
          <w:szCs w:val="18"/>
          <w:lang w:val="en-GB"/>
        </w:rPr>
        <w:t>UKPC</w:t>
      </w:r>
      <w:r w:rsidRPr="009C29A6">
        <w:rPr>
          <w:rFonts w:eastAsia="Verdana" w:cs="Verdana"/>
          <w:szCs w:val="18"/>
          <w:lang w:val="en-GB"/>
        </w:rPr>
        <w:t>, 15.</w:t>
      </w:r>
    </w:p>
    <w:p w14:paraId="25B6D593" w14:textId="68602998" w:rsidR="00BE5038" w:rsidRPr="009C29A6" w:rsidRDefault="00BE5038" w:rsidP="00260F11">
      <w:pPr>
        <w:spacing w:after="160" w:line="360" w:lineRule="auto"/>
        <w:rPr>
          <w:rFonts w:eastAsia="Verdana" w:cs="Verdana"/>
          <w:szCs w:val="18"/>
          <w:lang w:val="en-GB"/>
        </w:rPr>
      </w:pPr>
      <w:r w:rsidRPr="009C29A6">
        <w:rPr>
          <w:rFonts w:eastAsia="Verdana" w:cs="Verdana"/>
          <w:szCs w:val="18"/>
          <w:lang w:val="en-GB"/>
        </w:rPr>
        <w:t xml:space="preserve">Court of Appeal (VK) 1984, </w:t>
      </w:r>
      <w:r w:rsidR="00EB2433" w:rsidRPr="009C29A6">
        <w:rPr>
          <w:rFonts w:eastAsia="Verdana" w:cs="Verdana"/>
          <w:szCs w:val="18"/>
          <w:lang w:val="en-GB"/>
        </w:rPr>
        <w:t xml:space="preserve">R. v. </w:t>
      </w:r>
      <w:r w:rsidRPr="009C29A6">
        <w:rPr>
          <w:rFonts w:eastAsia="Verdana" w:cs="Verdana"/>
          <w:szCs w:val="18"/>
          <w:lang w:val="en-GB"/>
        </w:rPr>
        <w:t xml:space="preserve">Taylor, </w:t>
      </w:r>
      <w:r w:rsidRPr="009C29A6">
        <w:rPr>
          <w:rFonts w:eastAsia="Verdana" w:cs="Verdana"/>
          <w:i/>
          <w:szCs w:val="18"/>
          <w:lang w:val="en-GB"/>
        </w:rPr>
        <w:t>80</w:t>
      </w:r>
      <w:r w:rsidRPr="009C29A6">
        <w:rPr>
          <w:rFonts w:eastAsia="Verdana" w:cs="Verdana"/>
          <w:szCs w:val="18"/>
          <w:lang w:val="en-GB"/>
        </w:rPr>
        <w:t xml:space="preserve"> </w:t>
      </w:r>
      <w:r w:rsidRPr="009C29A6">
        <w:rPr>
          <w:rFonts w:eastAsia="Verdana" w:cs="Verdana"/>
          <w:i/>
          <w:szCs w:val="18"/>
          <w:lang w:val="en-GB"/>
        </w:rPr>
        <w:t xml:space="preserve">Cr App R, </w:t>
      </w:r>
      <w:r w:rsidRPr="009C29A6">
        <w:rPr>
          <w:rFonts w:eastAsia="Verdana" w:cs="Verdana"/>
          <w:szCs w:val="18"/>
          <w:lang w:val="en-GB"/>
        </w:rPr>
        <w:t>327.</w:t>
      </w:r>
    </w:p>
    <w:p w14:paraId="78B2D4F7"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High Court of Justice (VK) 14 december 2018, R. (on the application of Monica) v DPP, </w:t>
      </w:r>
      <w:r w:rsidRPr="009C29A6">
        <w:rPr>
          <w:rFonts w:eastAsia="Verdana" w:cs="Verdana"/>
          <w:i/>
          <w:szCs w:val="18"/>
          <w:lang w:val="en-GB"/>
        </w:rPr>
        <w:t>EWHC</w:t>
      </w:r>
      <w:r w:rsidRPr="009C29A6">
        <w:rPr>
          <w:rFonts w:eastAsia="Verdana" w:cs="Verdana"/>
          <w:szCs w:val="18"/>
          <w:lang w:val="en-GB"/>
        </w:rPr>
        <w:t xml:space="preserve"> 3508.</w:t>
      </w:r>
    </w:p>
    <w:p w14:paraId="7FA10143"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High Court of Justice (VK) 24 april 2013, R. (on the application of F) v DPP, </w:t>
      </w:r>
      <w:r w:rsidRPr="009C29A6">
        <w:rPr>
          <w:rFonts w:eastAsia="Verdana" w:cs="Verdana"/>
          <w:i/>
          <w:szCs w:val="18"/>
          <w:lang w:val="en-GB"/>
        </w:rPr>
        <w:t>EWHC</w:t>
      </w:r>
      <w:r w:rsidRPr="009C29A6">
        <w:rPr>
          <w:rFonts w:eastAsia="Verdana" w:cs="Verdana"/>
          <w:szCs w:val="18"/>
          <w:lang w:val="en-GB"/>
        </w:rPr>
        <w:t xml:space="preserve"> 945.</w:t>
      </w:r>
    </w:p>
    <w:p w14:paraId="5EBA5928"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High Court of Justice (VK) 2 november 2011, Assange v Swedish Prosecution Authority, </w:t>
      </w:r>
      <w:r w:rsidRPr="009C29A6">
        <w:rPr>
          <w:rFonts w:eastAsia="Verdana" w:cs="Verdana"/>
          <w:i/>
          <w:szCs w:val="18"/>
          <w:lang w:val="en-GB"/>
        </w:rPr>
        <w:t>EWHC</w:t>
      </w:r>
      <w:r w:rsidRPr="009C29A6">
        <w:rPr>
          <w:rFonts w:eastAsia="Verdana" w:cs="Verdana"/>
          <w:szCs w:val="18"/>
          <w:lang w:val="en-GB"/>
        </w:rPr>
        <w:t xml:space="preserve"> 2849.</w:t>
      </w:r>
    </w:p>
    <w:p w14:paraId="2DFB2A13" w14:textId="77777777" w:rsidR="003C10FB" w:rsidRPr="009C29A6" w:rsidRDefault="003C10FB" w:rsidP="00260F11">
      <w:pPr>
        <w:spacing w:after="160" w:line="360" w:lineRule="auto"/>
        <w:rPr>
          <w:rFonts w:eastAsia="Verdana" w:cs="Verdana"/>
          <w:szCs w:val="18"/>
          <w:lang w:val="en-GB"/>
        </w:rPr>
      </w:pPr>
      <w:r w:rsidRPr="009C29A6">
        <w:rPr>
          <w:rFonts w:eastAsia="Verdana" w:cs="Verdana"/>
          <w:b/>
          <w:szCs w:val="18"/>
          <w:lang w:val="en-GB"/>
        </w:rPr>
        <w:t>5.3 Rechtsleer</w:t>
      </w:r>
    </w:p>
    <w:p w14:paraId="1789ECE0" w14:textId="77777777" w:rsidR="003C10FB" w:rsidRPr="009C29A6" w:rsidRDefault="003C10FB" w:rsidP="00260F11">
      <w:pPr>
        <w:spacing w:after="160" w:line="360" w:lineRule="auto"/>
        <w:rPr>
          <w:rFonts w:eastAsia="Verdana" w:cs="Verdana"/>
          <w:b/>
          <w:szCs w:val="18"/>
          <w:lang w:val="en-GB"/>
        </w:rPr>
      </w:pPr>
      <w:r w:rsidRPr="009C29A6">
        <w:rPr>
          <w:rFonts w:eastAsia="Verdana" w:cs="Verdana"/>
          <w:b/>
          <w:szCs w:val="18"/>
          <w:lang w:val="en-GB"/>
        </w:rPr>
        <w:t>5.3.1 Boeken</w:t>
      </w:r>
    </w:p>
    <w:p w14:paraId="21511C47"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ALLEN, M.J. en EDWARDS, I., </w:t>
      </w:r>
      <w:r w:rsidRPr="009C29A6">
        <w:rPr>
          <w:rFonts w:eastAsia="Verdana" w:cs="Verdana"/>
          <w:i/>
          <w:szCs w:val="18"/>
          <w:lang w:val="en-GB"/>
        </w:rPr>
        <w:t xml:space="preserve">Criminal Law, </w:t>
      </w:r>
      <w:r w:rsidRPr="009C29A6">
        <w:rPr>
          <w:rFonts w:eastAsia="Verdana" w:cs="Verdana"/>
          <w:szCs w:val="18"/>
          <w:lang w:val="en-GB"/>
        </w:rPr>
        <w:t>Oxford (VK), Oxford University Press, 2021, 656 p.</w:t>
      </w:r>
    </w:p>
    <w:p w14:paraId="3FB68D89"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HORDER, J., </w:t>
      </w:r>
      <w:r w:rsidRPr="009C29A6">
        <w:rPr>
          <w:rFonts w:eastAsia="Verdana" w:cs="Verdana"/>
          <w:i/>
          <w:szCs w:val="18"/>
          <w:lang w:val="en-GB"/>
        </w:rPr>
        <w:t xml:space="preserve">Ashworth’s Principles of Criminal Law, </w:t>
      </w:r>
      <w:r w:rsidRPr="009C29A6">
        <w:rPr>
          <w:rFonts w:eastAsia="Verdana" w:cs="Verdana"/>
          <w:szCs w:val="18"/>
          <w:lang w:val="en-GB"/>
        </w:rPr>
        <w:t xml:space="preserve">Oxford (VK), Oxford University Press, 2019, 548 p. </w:t>
      </w:r>
    </w:p>
    <w:p w14:paraId="59608E05"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ORMEROD D. en LAIRD, K., </w:t>
      </w:r>
      <w:r w:rsidRPr="009C29A6">
        <w:rPr>
          <w:rFonts w:eastAsia="Verdana" w:cs="Verdana"/>
          <w:i/>
          <w:szCs w:val="18"/>
          <w:lang w:val="en-GB"/>
        </w:rPr>
        <w:t>Smith, Hogan, &amp; Ormerod’s Criminal Law</w:t>
      </w:r>
      <w:r w:rsidRPr="009C29A6">
        <w:rPr>
          <w:rFonts w:eastAsia="Verdana" w:cs="Verdana"/>
          <w:szCs w:val="18"/>
          <w:lang w:val="en-GB"/>
        </w:rPr>
        <w:t xml:space="preserve">, Oxford (VK), Oxford University Press, 2021, 1158 p. </w:t>
      </w:r>
    </w:p>
    <w:p w14:paraId="68353A11"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TAYLOR, C., </w:t>
      </w:r>
      <w:r w:rsidRPr="009C29A6">
        <w:rPr>
          <w:rFonts w:eastAsia="Verdana" w:cs="Verdana"/>
          <w:i/>
          <w:szCs w:val="18"/>
          <w:lang w:val="en-GB"/>
        </w:rPr>
        <w:t>Criminal Law</w:t>
      </w:r>
      <w:r w:rsidRPr="009C29A6">
        <w:rPr>
          <w:rFonts w:eastAsia="Verdana" w:cs="Verdana"/>
          <w:szCs w:val="18"/>
          <w:lang w:val="en-GB"/>
        </w:rPr>
        <w:t>, London (VK), Thomson Reuters, 2018, 653 p.</w:t>
      </w:r>
    </w:p>
    <w:p w14:paraId="5D019FBA"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THOMAS, T., </w:t>
      </w:r>
      <w:r w:rsidRPr="009C29A6">
        <w:rPr>
          <w:rFonts w:eastAsia="Verdana" w:cs="Verdana"/>
          <w:i/>
          <w:szCs w:val="18"/>
          <w:lang w:val="en-GB"/>
        </w:rPr>
        <w:t>Sex Crime. Sex offending and society</w:t>
      </w:r>
      <w:r w:rsidRPr="009C29A6">
        <w:rPr>
          <w:rFonts w:eastAsia="Verdana" w:cs="Verdana"/>
          <w:szCs w:val="18"/>
          <w:lang w:val="en-GB"/>
        </w:rPr>
        <w:t xml:space="preserve">, Cullompton (VK), Willan Publishing, 2005, 214 p. </w:t>
      </w:r>
    </w:p>
    <w:p w14:paraId="22597E96" w14:textId="77777777" w:rsidR="003C10FB" w:rsidRPr="009C29A6" w:rsidRDefault="003C10FB" w:rsidP="00260F11">
      <w:pPr>
        <w:spacing w:after="160" w:line="360" w:lineRule="auto"/>
        <w:rPr>
          <w:rFonts w:eastAsia="Verdana" w:cs="Verdana"/>
          <w:b/>
          <w:szCs w:val="18"/>
          <w:lang w:val="en-GB"/>
        </w:rPr>
      </w:pPr>
      <w:r w:rsidRPr="009C29A6">
        <w:rPr>
          <w:rFonts w:eastAsia="Verdana" w:cs="Verdana"/>
          <w:b/>
          <w:szCs w:val="18"/>
          <w:lang w:val="en-GB"/>
        </w:rPr>
        <w:t>5.3.2 Tijdschriften</w:t>
      </w:r>
    </w:p>
    <w:p w14:paraId="5E59F610"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BREWIS, B. en STOREY, T., “The meaning of "reasonable belief in consent" under the Sexual Offences Act 2003 and the admissibility of bad character evidence under the Criminal Justice Act 2003”, </w:t>
      </w:r>
      <w:r w:rsidRPr="009C29A6">
        <w:rPr>
          <w:rFonts w:eastAsia="Verdana" w:cs="Verdana"/>
          <w:i/>
          <w:szCs w:val="18"/>
          <w:lang w:val="en-GB"/>
        </w:rPr>
        <w:t>Journal of Criminal Law</w:t>
      </w:r>
      <w:r w:rsidRPr="009C29A6">
        <w:rPr>
          <w:rFonts w:eastAsia="Verdana" w:cs="Verdana"/>
          <w:szCs w:val="18"/>
          <w:lang w:val="en-GB"/>
        </w:rPr>
        <w:t xml:space="preserve"> 2020, 84(5), 508-511</w:t>
      </w:r>
    </w:p>
    <w:p w14:paraId="3C41BF25" w14:textId="77777777"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 xml:space="preserve">GLENDINNING, I., “Should mistaken consent still be consent? In defence of an incremental understanding of consent in the Sexual Offences Act 2003”, </w:t>
      </w:r>
      <w:r w:rsidRPr="009C29A6">
        <w:rPr>
          <w:rFonts w:eastAsia="Verdana" w:cs="Verdana"/>
          <w:i/>
          <w:szCs w:val="18"/>
          <w:lang w:val="en-GB"/>
        </w:rPr>
        <w:t>Journal of Criminal Law</w:t>
      </w:r>
      <w:r w:rsidRPr="009C29A6">
        <w:rPr>
          <w:rFonts w:eastAsia="Verdana" w:cs="Verdana"/>
          <w:szCs w:val="18"/>
          <w:lang w:val="en-GB"/>
        </w:rPr>
        <w:t xml:space="preserve"> 2021, afl. 85(3), 223-231.</w:t>
      </w:r>
    </w:p>
    <w:p w14:paraId="414EC788" w14:textId="77777777" w:rsidR="003C10FB" w:rsidRPr="009C29A6" w:rsidRDefault="003C10FB" w:rsidP="00260F11">
      <w:pPr>
        <w:spacing w:after="160" w:line="360" w:lineRule="auto"/>
        <w:rPr>
          <w:rFonts w:eastAsia="Verdana" w:cs="Verdana"/>
          <w:b/>
          <w:szCs w:val="18"/>
          <w:lang w:val="en-GB"/>
        </w:rPr>
      </w:pPr>
      <w:r w:rsidRPr="009C29A6">
        <w:rPr>
          <w:rFonts w:eastAsia="Verdana" w:cs="Verdana"/>
          <w:b/>
          <w:szCs w:val="18"/>
          <w:lang w:val="en-GB"/>
        </w:rPr>
        <w:lastRenderedPageBreak/>
        <w:t>5.4 Onlinebronnen</w:t>
      </w:r>
    </w:p>
    <w:p w14:paraId="54D9958A" w14:textId="29569C4F" w:rsidR="00BE5038" w:rsidRPr="009C29A6" w:rsidRDefault="00BE5038" w:rsidP="00260F11">
      <w:pPr>
        <w:pBdr>
          <w:top w:val="nil"/>
          <w:left w:val="nil"/>
          <w:bottom w:val="nil"/>
          <w:right w:val="nil"/>
          <w:between w:val="nil"/>
        </w:pBdr>
        <w:spacing w:after="160" w:line="360" w:lineRule="auto"/>
        <w:rPr>
          <w:rFonts w:eastAsia="Verdana" w:cs="Verdana"/>
          <w:szCs w:val="18"/>
          <w:lang w:val="en-GB"/>
        </w:rPr>
      </w:pPr>
      <w:r w:rsidRPr="009C29A6">
        <w:rPr>
          <w:rFonts w:eastAsia="Verdana" w:cs="Verdana"/>
          <w:szCs w:val="18"/>
          <w:lang w:val="en-GB"/>
        </w:rPr>
        <w:t>CROWN PROSECUTION SERVICE (CPS), “Rape and Sexual Offences - Overview and index of 2021 updated guidance”,</w:t>
      </w:r>
      <w:r w:rsidR="00963830" w:rsidRPr="009C29A6">
        <w:rPr>
          <w:rFonts w:eastAsia="Verdana" w:cs="Verdana"/>
          <w:szCs w:val="18"/>
          <w:lang w:val="en-GB"/>
        </w:rPr>
        <w:t xml:space="preserve"> www.cps.gov.uk/legal-guidance/rape-and-sexual-offences-overview-and-index-2021-updated-guidance </w:t>
      </w:r>
      <w:r w:rsidRPr="009C29A6">
        <w:rPr>
          <w:rFonts w:eastAsia="Verdana" w:cs="Verdana"/>
          <w:szCs w:val="18"/>
          <w:lang w:val="en-GB"/>
        </w:rPr>
        <w:t xml:space="preserve">(consultatie 17 april 2023). </w:t>
      </w:r>
    </w:p>
    <w:p w14:paraId="06498520" w14:textId="42FE7559"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HAUSER GLOBAL LAW SCHOOL PROGRAM, “Researching the Legal System of the United Kingdom”</w:t>
      </w:r>
      <w:r w:rsidR="00963830" w:rsidRPr="009C29A6">
        <w:rPr>
          <w:lang w:val="en-GB"/>
        </w:rPr>
        <w:t>, www.nyulawglobal.org/globalex/United_Kingdom1.html#leged</w:t>
      </w:r>
      <w:r w:rsidRPr="009C29A6">
        <w:rPr>
          <w:rFonts w:eastAsia="Verdana" w:cs="Verdana"/>
          <w:szCs w:val="18"/>
          <w:lang w:val="en-GB"/>
        </w:rPr>
        <w:t xml:space="preserve"> (consultatie 13 oktober 2022).</w:t>
      </w:r>
    </w:p>
    <w:p w14:paraId="36A47885" w14:textId="09A27861" w:rsidR="00BE5038" w:rsidRPr="009C29A6" w:rsidRDefault="00BE5038" w:rsidP="00260F11">
      <w:pPr>
        <w:pBdr>
          <w:top w:val="nil"/>
          <w:left w:val="nil"/>
          <w:bottom w:val="nil"/>
          <w:right w:val="nil"/>
          <w:between w:val="nil"/>
        </w:pBdr>
        <w:spacing w:after="160" w:line="360" w:lineRule="auto"/>
        <w:rPr>
          <w:rFonts w:eastAsia="Verdana" w:cs="Verdana"/>
          <w:szCs w:val="18"/>
          <w:lang w:val="en-GB"/>
        </w:rPr>
      </w:pPr>
      <w:r w:rsidRPr="009C29A6">
        <w:rPr>
          <w:rFonts w:eastAsia="Verdana" w:cs="Verdana"/>
          <w:szCs w:val="18"/>
          <w:lang w:val="en-GB"/>
        </w:rPr>
        <w:t>HOME OFFICE, “Setting the Boundaries. Reforming the law on sex offences.”,</w:t>
      </w:r>
      <w:r w:rsidR="00963830" w:rsidRPr="009C29A6">
        <w:rPr>
          <w:lang w:val="en-GB"/>
        </w:rPr>
        <w:t xml:space="preserve"> </w:t>
      </w:r>
      <w:r w:rsidR="00963830" w:rsidRPr="009C29A6">
        <w:rPr>
          <w:rFonts w:eastAsia="Verdana" w:cs="Verdana"/>
          <w:szCs w:val="18"/>
          <w:lang w:val="en-GB"/>
        </w:rPr>
        <w:t xml:space="preserve">https://lawbore.net/articles/setting-the-boundaries.pdf </w:t>
      </w:r>
      <w:r w:rsidRPr="009C29A6">
        <w:rPr>
          <w:rFonts w:eastAsia="Verdana" w:cs="Verdana"/>
          <w:szCs w:val="18"/>
          <w:lang w:val="en-GB"/>
        </w:rPr>
        <w:t xml:space="preserve">(consultatie 20 februari 2023). </w:t>
      </w:r>
    </w:p>
    <w:p w14:paraId="4351A2AC" w14:textId="467B8DF0" w:rsidR="003C10FB" w:rsidRPr="009C29A6" w:rsidRDefault="003C10FB" w:rsidP="00260F11">
      <w:pPr>
        <w:spacing w:after="160" w:line="360" w:lineRule="auto"/>
        <w:rPr>
          <w:rFonts w:eastAsia="Verdana" w:cs="Verdana"/>
          <w:szCs w:val="18"/>
          <w:lang w:val="en-GB"/>
        </w:rPr>
      </w:pPr>
      <w:r w:rsidRPr="009C29A6">
        <w:rPr>
          <w:rFonts w:eastAsia="Verdana" w:cs="Verdana"/>
          <w:szCs w:val="18"/>
          <w:lang w:val="en-GB"/>
        </w:rPr>
        <w:t>LEGISLATION.GOV.UK, “Understanding legislation”,</w:t>
      </w:r>
      <w:r w:rsidR="00963830" w:rsidRPr="009C29A6">
        <w:rPr>
          <w:lang w:val="en-GB"/>
        </w:rPr>
        <w:t xml:space="preserve"> www.legislation.gov.uk/understanding-legislation</w:t>
      </w:r>
      <w:r w:rsidRPr="009C29A6">
        <w:rPr>
          <w:rFonts w:eastAsia="Verdana" w:cs="Verdana"/>
          <w:szCs w:val="18"/>
          <w:lang w:val="en-GB"/>
        </w:rPr>
        <w:t xml:space="preserve"> (consultatie 15 oktober 2022).</w:t>
      </w:r>
    </w:p>
    <w:p w14:paraId="7FD97E41" w14:textId="660F78E8" w:rsidR="00B10463" w:rsidRDefault="00552BEB" w:rsidP="00260F11">
      <w:pPr>
        <w:pStyle w:val="Heading1"/>
      </w:pPr>
      <w:bookmarkStart w:id="99" w:name="_Toc135041127"/>
      <w:r w:rsidRPr="000B4AB2">
        <w:rPr>
          <w:lang w:val="nl-NL"/>
        </w:rPr>
        <w:lastRenderedPageBreak/>
        <w:t>Bijlagen</w:t>
      </w:r>
      <w:bookmarkEnd w:id="99"/>
    </w:p>
    <w:p w14:paraId="46C58C01" w14:textId="77777777" w:rsidR="00B10463" w:rsidRDefault="00B10463" w:rsidP="00260F11">
      <w:pPr>
        <w:spacing w:line="360" w:lineRule="auto"/>
        <w:rPr>
          <w:highlight w:val="yellow"/>
        </w:rPr>
      </w:pPr>
    </w:p>
    <w:p w14:paraId="36A9DBAB" w14:textId="6B1D65DD" w:rsidR="00AB020A" w:rsidRPr="00B10463" w:rsidRDefault="009B640D" w:rsidP="00260F11">
      <w:pPr>
        <w:spacing w:line="360" w:lineRule="auto"/>
        <w:rPr>
          <w:b/>
          <w:lang w:val="nl-NL"/>
        </w:rPr>
      </w:pPr>
      <w:r w:rsidRPr="00897DC1">
        <w:rPr>
          <w:b/>
        </w:rPr>
        <w:t xml:space="preserve">BIJLAGE </w:t>
      </w:r>
      <w:r w:rsidR="00B10463" w:rsidRPr="00897DC1">
        <w:rPr>
          <w:b/>
        </w:rPr>
        <w:t>1</w:t>
      </w:r>
      <w:r w:rsidRPr="00897DC1">
        <w:rPr>
          <w:b/>
        </w:rPr>
        <w:t xml:space="preserve">: </w:t>
      </w:r>
      <w:r w:rsidR="00AB020A" w:rsidRPr="00897DC1">
        <w:rPr>
          <w:b/>
        </w:rPr>
        <w:t>MAILVERKEER MET COLLEGE VAN PROCUREURS-GENERAAL</w:t>
      </w:r>
      <w:r w:rsidR="00CF2AD5" w:rsidRPr="00897DC1">
        <w:rPr>
          <w:rStyle w:val="FootnoteReference"/>
          <w:b/>
          <w:szCs w:val="18"/>
        </w:rPr>
        <w:footnoteReference w:id="710"/>
      </w:r>
    </w:p>
    <w:p w14:paraId="1DC99CEC" w14:textId="083A391E" w:rsidR="000427AB" w:rsidRDefault="00E85B96" w:rsidP="00260F11">
      <w:pPr>
        <w:spacing w:line="360" w:lineRule="auto"/>
        <w:rPr>
          <w:szCs w:val="18"/>
          <w:lang w:val="nl-NL"/>
        </w:rPr>
      </w:pPr>
      <w:r w:rsidRPr="000B4AB2">
        <w:rPr>
          <w:noProof/>
          <w:szCs w:val="18"/>
          <w:lang w:val="nl-NL"/>
        </w:rPr>
        <w:drawing>
          <wp:inline distT="0" distB="0" distL="0" distR="0" wp14:anchorId="2B4766F3" wp14:editId="61472AE4">
            <wp:extent cx="5760720" cy="7776503"/>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ermafbeelding 2023-03-26 om 12.25.13.png"/>
                    <pic:cNvPicPr/>
                  </pic:nvPicPr>
                  <pic:blipFill rotWithShape="1">
                    <a:blip r:embed="rId34">
                      <a:extLst>
                        <a:ext uri="{28A0092B-C50C-407E-A947-70E740481C1C}">
                          <a14:useLocalDpi xmlns:a14="http://schemas.microsoft.com/office/drawing/2010/main" val="0"/>
                        </a:ext>
                      </a:extLst>
                    </a:blip>
                    <a:srcRect l="26244" r="27456" b="-2"/>
                    <a:stretch/>
                  </pic:blipFill>
                  <pic:spPr bwMode="auto">
                    <a:xfrm>
                      <a:off x="0" y="0"/>
                      <a:ext cx="5792359" cy="7819213"/>
                    </a:xfrm>
                    <a:prstGeom prst="rect">
                      <a:avLst/>
                    </a:prstGeom>
                    <a:ln>
                      <a:noFill/>
                    </a:ln>
                    <a:extLst>
                      <a:ext uri="{53640926-AAD7-44D8-BBD7-CCE9431645EC}">
                        <a14:shadowObscured xmlns:a14="http://schemas.microsoft.com/office/drawing/2010/main"/>
                      </a:ext>
                    </a:extLst>
                  </pic:spPr>
                </pic:pic>
              </a:graphicData>
            </a:graphic>
          </wp:inline>
        </w:drawing>
      </w:r>
    </w:p>
    <w:p w14:paraId="06780ABE" w14:textId="3DA34612" w:rsidR="003F5C1E" w:rsidRDefault="003F5C1E" w:rsidP="00260F11">
      <w:pPr>
        <w:spacing w:line="360" w:lineRule="auto"/>
        <w:rPr>
          <w:b/>
          <w:szCs w:val="18"/>
        </w:rPr>
      </w:pPr>
      <w:r w:rsidRPr="00897DC1">
        <w:rPr>
          <w:b/>
          <w:szCs w:val="18"/>
        </w:rPr>
        <w:lastRenderedPageBreak/>
        <w:t xml:space="preserve">BIJLAGE </w:t>
      </w:r>
      <w:r w:rsidR="00B10463" w:rsidRPr="00897DC1">
        <w:rPr>
          <w:b/>
          <w:szCs w:val="18"/>
        </w:rPr>
        <w:t>2</w:t>
      </w:r>
      <w:r w:rsidRPr="00897DC1">
        <w:rPr>
          <w:b/>
          <w:szCs w:val="18"/>
        </w:rPr>
        <w:t>: SCHEMATISCHE WEERGAVE TEMPORELE WERKING</w:t>
      </w:r>
      <w:r w:rsidR="003102B0" w:rsidRPr="00897DC1">
        <w:rPr>
          <w:b/>
          <w:szCs w:val="18"/>
        </w:rPr>
        <w:t xml:space="preserve"> AANTASTING VAN DE SEKSUELE INTEGRITEIT</w:t>
      </w:r>
    </w:p>
    <w:p w14:paraId="3BC3F296" w14:textId="673E3A5C" w:rsidR="003102B0" w:rsidRDefault="003102B0" w:rsidP="00260F11">
      <w:pPr>
        <w:spacing w:line="360" w:lineRule="auto"/>
        <w:rPr>
          <w:b/>
          <w:szCs w:val="18"/>
        </w:rPr>
      </w:pPr>
    </w:p>
    <w:p w14:paraId="5951BB67" w14:textId="3B9929D0" w:rsidR="003102B0" w:rsidRDefault="003102B0" w:rsidP="00260F11">
      <w:pPr>
        <w:pStyle w:val="ListParagraph"/>
        <w:numPr>
          <w:ilvl w:val="0"/>
          <w:numId w:val="17"/>
        </w:numPr>
        <w:spacing w:line="360" w:lineRule="auto"/>
        <w:rPr>
          <w:b/>
          <w:szCs w:val="18"/>
        </w:rPr>
      </w:pPr>
      <w:r>
        <w:rPr>
          <w:b/>
          <w:szCs w:val="18"/>
        </w:rPr>
        <w:t xml:space="preserve">Strafbaarstelling </w:t>
      </w:r>
    </w:p>
    <w:p w14:paraId="7DE5F437" w14:textId="081F4DB5" w:rsidR="003102B0" w:rsidRDefault="003102B0" w:rsidP="00260F11">
      <w:pPr>
        <w:spacing w:line="360" w:lineRule="auto"/>
        <w:rPr>
          <w:b/>
          <w:szCs w:val="18"/>
        </w:rPr>
      </w:pPr>
    </w:p>
    <w:tbl>
      <w:tblPr>
        <w:tblStyle w:val="GridTable4-Accent3"/>
        <w:tblW w:w="0" w:type="auto"/>
        <w:tblLook w:val="04A0" w:firstRow="1" w:lastRow="0" w:firstColumn="1" w:lastColumn="0" w:noHBand="0" w:noVBand="1"/>
      </w:tblPr>
      <w:tblGrid>
        <w:gridCol w:w="3247"/>
        <w:gridCol w:w="3137"/>
        <w:gridCol w:w="2678"/>
      </w:tblGrid>
      <w:tr w:rsidR="001B7F07" w:rsidRPr="00AD1F89" w14:paraId="472F81B3" w14:textId="77777777" w:rsidTr="00A408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7" w:type="dxa"/>
          </w:tcPr>
          <w:p w14:paraId="44042F19" w14:textId="77777777" w:rsidR="001B7F07" w:rsidRPr="00AD1F89" w:rsidRDefault="001B7F07" w:rsidP="00260F11">
            <w:pPr>
              <w:spacing w:line="360" w:lineRule="auto"/>
              <w:rPr>
                <w:szCs w:val="18"/>
              </w:rPr>
            </w:pPr>
            <w:r w:rsidRPr="00AD1F89">
              <w:rPr>
                <w:szCs w:val="18"/>
              </w:rPr>
              <w:t>Constitutief bestanddeel</w:t>
            </w:r>
          </w:p>
        </w:tc>
        <w:tc>
          <w:tcPr>
            <w:tcW w:w="3137" w:type="dxa"/>
          </w:tcPr>
          <w:p w14:paraId="6F8FA613" w14:textId="77777777" w:rsidR="001B7F07" w:rsidRPr="00AD1F89" w:rsidRDefault="001B7F07"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Verschil t.o.v. oude strafbaarstelling?</w:t>
            </w:r>
          </w:p>
        </w:tc>
        <w:tc>
          <w:tcPr>
            <w:tcW w:w="2678" w:type="dxa"/>
          </w:tcPr>
          <w:p w14:paraId="74E3187E" w14:textId="77777777" w:rsidR="001B7F07" w:rsidRPr="00AD1F89" w:rsidRDefault="001B7F07"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Temporele werking</w:t>
            </w:r>
          </w:p>
        </w:tc>
      </w:tr>
      <w:tr w:rsidR="001B7F07" w:rsidRPr="00AD1F89" w14:paraId="31205673" w14:textId="77777777" w:rsidTr="00A40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7" w:type="dxa"/>
          </w:tcPr>
          <w:p w14:paraId="048F8779" w14:textId="77777777" w:rsidR="001B7F07" w:rsidRPr="00AD1F89" w:rsidRDefault="001B7F07" w:rsidP="00260F11">
            <w:pPr>
              <w:spacing w:line="360" w:lineRule="auto"/>
              <w:rPr>
                <w:i/>
                <w:szCs w:val="18"/>
              </w:rPr>
            </w:pPr>
            <w:r w:rsidRPr="00AD1F89">
              <w:rPr>
                <w:szCs w:val="18"/>
              </w:rPr>
              <w:t xml:space="preserve">Materiële gedraging </w:t>
            </w:r>
            <w:r w:rsidRPr="00AD1F89">
              <w:rPr>
                <w:i/>
                <w:szCs w:val="18"/>
              </w:rPr>
              <w:t>sensu stricto</w:t>
            </w:r>
          </w:p>
        </w:tc>
        <w:tc>
          <w:tcPr>
            <w:tcW w:w="3137" w:type="dxa"/>
          </w:tcPr>
          <w:p w14:paraId="114CDF76" w14:textId="77777777" w:rsidR="001B7F07" w:rsidRPr="008204BA" w:rsidRDefault="001B7F07"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r w:rsidRPr="008204BA">
              <w:rPr>
                <w:szCs w:val="18"/>
              </w:rPr>
              <w:t>Geen inhoudelijk verschil</w:t>
            </w:r>
          </w:p>
        </w:tc>
        <w:tc>
          <w:tcPr>
            <w:tcW w:w="2678" w:type="dxa"/>
          </w:tcPr>
          <w:p w14:paraId="4D2575AD" w14:textId="77777777" w:rsidR="001B7F07" w:rsidRPr="008204BA" w:rsidRDefault="001B7F07"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r w:rsidRPr="008204BA">
              <w:rPr>
                <w:b/>
                <w:szCs w:val="18"/>
              </w:rPr>
              <w:t>Retroactieve werking</w:t>
            </w:r>
          </w:p>
        </w:tc>
      </w:tr>
      <w:tr w:rsidR="001B7F07" w:rsidRPr="00AD1F89" w14:paraId="204C6114" w14:textId="77777777" w:rsidTr="00A408E4">
        <w:tc>
          <w:tcPr>
            <w:cnfStyle w:val="001000000000" w:firstRow="0" w:lastRow="0" w:firstColumn="1" w:lastColumn="0" w:oddVBand="0" w:evenVBand="0" w:oddHBand="0" w:evenHBand="0" w:firstRowFirstColumn="0" w:firstRowLastColumn="0" w:lastRowFirstColumn="0" w:lastRowLastColumn="0"/>
            <w:tcW w:w="3247" w:type="dxa"/>
          </w:tcPr>
          <w:p w14:paraId="40A14322" w14:textId="77777777" w:rsidR="001B7F07" w:rsidRPr="00AD1F89" w:rsidRDefault="001B7F07" w:rsidP="00260F11">
            <w:pPr>
              <w:spacing w:line="360" w:lineRule="auto"/>
              <w:rPr>
                <w:szCs w:val="18"/>
              </w:rPr>
            </w:pPr>
            <w:r w:rsidRPr="00AD1F89">
              <w:rPr>
                <w:szCs w:val="18"/>
              </w:rPr>
              <w:t>Rol van het slachtoffer</w:t>
            </w:r>
          </w:p>
        </w:tc>
        <w:tc>
          <w:tcPr>
            <w:tcW w:w="3137" w:type="dxa"/>
          </w:tcPr>
          <w:p w14:paraId="05994287" w14:textId="77777777" w:rsidR="001B7F07" w:rsidRPr="008204BA"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sidRPr="008204BA">
              <w:rPr>
                <w:szCs w:val="18"/>
              </w:rPr>
              <w:t xml:space="preserve">Geen inhoudelijk verschil </w:t>
            </w:r>
          </w:p>
        </w:tc>
        <w:tc>
          <w:tcPr>
            <w:tcW w:w="2678" w:type="dxa"/>
          </w:tcPr>
          <w:p w14:paraId="6399D9FB" w14:textId="77777777" w:rsidR="001B7F07" w:rsidRPr="008204BA"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sidRPr="008204BA">
              <w:rPr>
                <w:b/>
                <w:szCs w:val="18"/>
              </w:rPr>
              <w:t>Retroactieve werking</w:t>
            </w:r>
          </w:p>
        </w:tc>
      </w:tr>
      <w:tr w:rsidR="001B7F07" w:rsidRPr="00AD1F89" w14:paraId="181548FB" w14:textId="77777777" w:rsidTr="00A40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7" w:type="dxa"/>
          </w:tcPr>
          <w:p w14:paraId="2D350F83" w14:textId="77777777" w:rsidR="001B7F07" w:rsidRPr="00AD1F89" w:rsidRDefault="001B7F07" w:rsidP="00260F11">
            <w:pPr>
              <w:spacing w:line="360" w:lineRule="auto"/>
              <w:rPr>
                <w:szCs w:val="18"/>
              </w:rPr>
            </w:pPr>
            <w:r w:rsidRPr="00AD1F89">
              <w:rPr>
                <w:szCs w:val="18"/>
              </w:rPr>
              <w:t>Afwezigheid geldige toestemming slachtoffer</w:t>
            </w:r>
            <w:r w:rsidRPr="00AD1F89">
              <w:rPr>
                <w:rStyle w:val="FootnoteReference"/>
                <w:rFonts w:eastAsiaTheme="majorEastAsia"/>
                <w:szCs w:val="18"/>
              </w:rPr>
              <w:footnoteReference w:id="711"/>
            </w:r>
          </w:p>
        </w:tc>
        <w:tc>
          <w:tcPr>
            <w:tcW w:w="3137" w:type="dxa"/>
          </w:tcPr>
          <w:p w14:paraId="3B813228" w14:textId="3817838D" w:rsidR="000F2201" w:rsidRPr="000F2201" w:rsidRDefault="000F2201" w:rsidP="00260F11">
            <w:pPr>
              <w:spacing w:line="360" w:lineRule="auto"/>
              <w:cnfStyle w:val="000000100000" w:firstRow="0" w:lastRow="0" w:firstColumn="0" w:lastColumn="0" w:oddVBand="0" w:evenVBand="0" w:oddHBand="1" w:evenHBand="0" w:firstRowFirstColumn="0" w:firstRowLastColumn="0" w:lastRowFirstColumn="0" w:lastRowLastColumn="0"/>
              <w:rPr>
                <w:i/>
                <w:szCs w:val="18"/>
              </w:rPr>
            </w:pPr>
            <w:r w:rsidRPr="000F2201">
              <w:rPr>
                <w:i/>
                <w:szCs w:val="18"/>
              </w:rPr>
              <w:t xml:space="preserve">Verschil: dit </w:t>
            </w:r>
            <w:r>
              <w:rPr>
                <w:i/>
                <w:szCs w:val="18"/>
              </w:rPr>
              <w:t>is</w:t>
            </w:r>
            <w:r w:rsidRPr="000F2201">
              <w:rPr>
                <w:i/>
                <w:szCs w:val="18"/>
              </w:rPr>
              <w:t xml:space="preserve"> voortaan </w:t>
            </w:r>
            <w:r>
              <w:rPr>
                <w:i/>
                <w:szCs w:val="18"/>
              </w:rPr>
              <w:t xml:space="preserve">(zonder discussie) </w:t>
            </w:r>
            <w:r w:rsidRPr="000F2201">
              <w:rPr>
                <w:i/>
                <w:szCs w:val="18"/>
              </w:rPr>
              <w:t>een constitutief bestanddeel van het misdrijf</w:t>
            </w:r>
            <w:r>
              <w:rPr>
                <w:i/>
                <w:szCs w:val="18"/>
              </w:rPr>
              <w:t>.</w:t>
            </w:r>
          </w:p>
          <w:p w14:paraId="18F1E120" w14:textId="77777777" w:rsidR="000F2201" w:rsidRPr="000F2201" w:rsidRDefault="000F2201"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22C570B2" w14:textId="37BF287E" w:rsidR="001B7F07" w:rsidRPr="00A67DE8" w:rsidRDefault="001B7F07" w:rsidP="00260F11">
            <w:pPr>
              <w:pStyle w:val="ListParagraph"/>
              <w:numPr>
                <w:ilvl w:val="0"/>
                <w:numId w:val="19"/>
              </w:numPr>
              <w:spacing w:line="360" w:lineRule="auto"/>
              <w:ind w:left="181" w:hanging="181"/>
              <w:cnfStyle w:val="000000100000" w:firstRow="0" w:lastRow="0" w:firstColumn="0" w:lastColumn="0" w:oddVBand="0" w:evenVBand="0" w:oddHBand="1" w:evenHBand="0" w:firstRowFirstColumn="0" w:firstRowLastColumn="0" w:lastRowFirstColumn="0" w:lastRowLastColumn="0"/>
              <w:rPr>
                <w:szCs w:val="18"/>
              </w:rPr>
            </w:pPr>
            <w:r w:rsidRPr="00AD1F89">
              <w:rPr>
                <w:szCs w:val="18"/>
              </w:rPr>
              <w:t>Verstrenging volgens meerderheidsvisie</w:t>
            </w:r>
            <w:r w:rsidR="00A67DE8">
              <w:rPr>
                <w:rStyle w:val="FootnoteReference"/>
                <w:szCs w:val="18"/>
              </w:rPr>
              <w:footnoteReference w:id="712"/>
            </w:r>
          </w:p>
          <w:p w14:paraId="10CA6DA9" w14:textId="77777777" w:rsidR="00A67DE8" w:rsidRPr="000F2201" w:rsidRDefault="00A67DE8"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76262F44" w14:textId="77777777" w:rsidR="001B7F07" w:rsidRPr="008204BA" w:rsidRDefault="001B7F07" w:rsidP="00260F11">
            <w:pPr>
              <w:pStyle w:val="ListParagraph"/>
              <w:numPr>
                <w:ilvl w:val="0"/>
                <w:numId w:val="19"/>
              </w:numPr>
              <w:spacing w:line="360" w:lineRule="auto"/>
              <w:ind w:left="181" w:hanging="181"/>
              <w:cnfStyle w:val="000000100000" w:firstRow="0" w:lastRow="0" w:firstColumn="0" w:lastColumn="0" w:oddVBand="0" w:evenVBand="0" w:oddHBand="1" w:evenHBand="0" w:firstRowFirstColumn="0" w:firstRowLastColumn="0" w:lastRowFirstColumn="0" w:lastRowLastColumn="0"/>
              <w:rPr>
                <w:szCs w:val="18"/>
              </w:rPr>
            </w:pPr>
            <w:r w:rsidRPr="008204BA">
              <w:rPr>
                <w:szCs w:val="18"/>
              </w:rPr>
              <w:t>Geen inhoudelijk verschil volgens minderheidsvisie</w:t>
            </w:r>
          </w:p>
        </w:tc>
        <w:tc>
          <w:tcPr>
            <w:tcW w:w="2678" w:type="dxa"/>
          </w:tcPr>
          <w:p w14:paraId="631DAE6E" w14:textId="4600447A" w:rsidR="000F2201" w:rsidRDefault="000F2201"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134FC5C1" w14:textId="766230E3" w:rsidR="000F2201" w:rsidRDefault="000F2201"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2FFA6203" w14:textId="338ED625" w:rsidR="000F2201" w:rsidRDefault="000F2201"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09BA271B" w14:textId="77777777" w:rsidR="000F2201" w:rsidRPr="000F2201" w:rsidRDefault="000F2201"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31F0403C" w14:textId="0253E256" w:rsidR="001B7F07" w:rsidRDefault="001B7F07" w:rsidP="00260F11">
            <w:pPr>
              <w:pStyle w:val="ListParagraph"/>
              <w:numPr>
                <w:ilvl w:val="0"/>
                <w:numId w:val="19"/>
              </w:numPr>
              <w:spacing w:line="360" w:lineRule="auto"/>
              <w:ind w:left="181" w:hanging="181"/>
              <w:cnfStyle w:val="000000100000" w:firstRow="0" w:lastRow="0" w:firstColumn="0" w:lastColumn="0" w:oddVBand="0" w:evenVBand="0" w:oddHBand="1" w:evenHBand="0" w:firstRowFirstColumn="0" w:firstRowLastColumn="0" w:lastRowFirstColumn="0" w:lastRowLastColumn="0"/>
              <w:rPr>
                <w:szCs w:val="18"/>
              </w:rPr>
            </w:pPr>
            <w:r w:rsidRPr="006372CE">
              <w:rPr>
                <w:b/>
                <w:szCs w:val="18"/>
              </w:rPr>
              <w:t xml:space="preserve">Verboden </w:t>
            </w:r>
            <w:r w:rsidRPr="006372CE">
              <w:rPr>
                <w:szCs w:val="18"/>
              </w:rPr>
              <w:t>retroactieve werking</w:t>
            </w:r>
            <w:r w:rsidRPr="00AD1F89">
              <w:rPr>
                <w:szCs w:val="18"/>
              </w:rPr>
              <w:t xml:space="preserve"> (volgens meerderheidsvisie)</w:t>
            </w:r>
            <w:r w:rsidR="00A67DE8">
              <w:rPr>
                <w:rStyle w:val="FootnoteReference"/>
                <w:szCs w:val="18"/>
              </w:rPr>
              <w:footnoteReference w:id="713"/>
            </w:r>
          </w:p>
          <w:p w14:paraId="68DD1370" w14:textId="77777777" w:rsidR="001B7F07" w:rsidRPr="008204BA" w:rsidRDefault="001B7F07"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p w14:paraId="231E7546" w14:textId="77777777" w:rsidR="001B7F07" w:rsidRDefault="001B7F07" w:rsidP="00260F11">
            <w:pPr>
              <w:pStyle w:val="ListParagraph"/>
              <w:numPr>
                <w:ilvl w:val="0"/>
                <w:numId w:val="19"/>
              </w:numPr>
              <w:spacing w:line="360" w:lineRule="auto"/>
              <w:ind w:left="181" w:hanging="181"/>
              <w:cnfStyle w:val="000000100000" w:firstRow="0" w:lastRow="0" w:firstColumn="0" w:lastColumn="0" w:oddVBand="0" w:evenVBand="0" w:oddHBand="1" w:evenHBand="0" w:firstRowFirstColumn="0" w:firstRowLastColumn="0" w:lastRowFirstColumn="0" w:lastRowLastColumn="0"/>
              <w:rPr>
                <w:szCs w:val="18"/>
              </w:rPr>
            </w:pPr>
            <w:r w:rsidRPr="008204BA">
              <w:rPr>
                <w:b/>
                <w:szCs w:val="18"/>
              </w:rPr>
              <w:t>Retroactieve werking</w:t>
            </w:r>
            <w:r w:rsidRPr="008204BA">
              <w:rPr>
                <w:szCs w:val="18"/>
              </w:rPr>
              <w:t xml:space="preserve"> (volgens minderheidsvisie)</w:t>
            </w:r>
          </w:p>
          <w:p w14:paraId="043FA122" w14:textId="791E8698" w:rsidR="000F2201" w:rsidRPr="000F2201" w:rsidRDefault="000F2201"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p>
        </w:tc>
      </w:tr>
      <w:tr w:rsidR="001B7F07" w:rsidRPr="00AD1F89" w14:paraId="4BC3BE83" w14:textId="77777777" w:rsidTr="00A408E4">
        <w:tc>
          <w:tcPr>
            <w:cnfStyle w:val="001000000000" w:firstRow="0" w:lastRow="0" w:firstColumn="1" w:lastColumn="0" w:oddVBand="0" w:evenVBand="0" w:oddHBand="0" w:evenHBand="0" w:firstRowFirstColumn="0" w:firstRowLastColumn="0" w:lastRowFirstColumn="0" w:lastRowLastColumn="0"/>
            <w:tcW w:w="3247" w:type="dxa"/>
          </w:tcPr>
          <w:p w14:paraId="039D7E6F" w14:textId="77777777" w:rsidR="001B7F07" w:rsidRPr="00AD1F89" w:rsidRDefault="001B7F07" w:rsidP="00260F11">
            <w:pPr>
              <w:spacing w:line="360" w:lineRule="auto"/>
              <w:rPr>
                <w:szCs w:val="18"/>
              </w:rPr>
            </w:pPr>
            <w:r w:rsidRPr="00AD1F89">
              <w:rPr>
                <w:szCs w:val="18"/>
              </w:rPr>
              <w:t>Moreel bestanddeel</w:t>
            </w:r>
          </w:p>
        </w:tc>
        <w:tc>
          <w:tcPr>
            <w:tcW w:w="3137" w:type="dxa"/>
          </w:tcPr>
          <w:p w14:paraId="4C08131C" w14:textId="77777777" w:rsidR="001B7F07" w:rsidRPr="00AD1F89"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Pr>
                <w:szCs w:val="18"/>
              </w:rPr>
              <w:t>Geen inhoudelijk verschil</w:t>
            </w:r>
          </w:p>
        </w:tc>
        <w:tc>
          <w:tcPr>
            <w:tcW w:w="2678" w:type="dxa"/>
          </w:tcPr>
          <w:p w14:paraId="6CD1E825" w14:textId="77777777" w:rsidR="001B7F07" w:rsidRPr="006372CE"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b/>
                <w:szCs w:val="18"/>
              </w:rPr>
            </w:pPr>
            <w:r w:rsidRPr="006372CE">
              <w:rPr>
                <w:b/>
                <w:szCs w:val="18"/>
              </w:rPr>
              <w:t>Retroactieve werking</w:t>
            </w:r>
          </w:p>
        </w:tc>
      </w:tr>
    </w:tbl>
    <w:p w14:paraId="0BAEC80F" w14:textId="4B3DB1C7" w:rsidR="003102B0" w:rsidRDefault="003102B0" w:rsidP="00260F11">
      <w:pPr>
        <w:spacing w:line="360" w:lineRule="auto"/>
        <w:rPr>
          <w:b/>
          <w:szCs w:val="18"/>
        </w:rPr>
      </w:pPr>
    </w:p>
    <w:p w14:paraId="18DA0054" w14:textId="1201B0E9" w:rsidR="003102B0" w:rsidRDefault="003102B0" w:rsidP="00260F11">
      <w:pPr>
        <w:pStyle w:val="ListParagraph"/>
        <w:numPr>
          <w:ilvl w:val="0"/>
          <w:numId w:val="17"/>
        </w:numPr>
        <w:spacing w:line="360" w:lineRule="auto"/>
        <w:rPr>
          <w:b/>
          <w:szCs w:val="18"/>
        </w:rPr>
      </w:pPr>
      <w:r>
        <w:rPr>
          <w:b/>
          <w:szCs w:val="18"/>
        </w:rPr>
        <w:t>Leeftijd seksuele meerderjarigheid</w:t>
      </w:r>
    </w:p>
    <w:p w14:paraId="65ECA738" w14:textId="6C350CBE" w:rsidR="003102B0" w:rsidRDefault="003102B0" w:rsidP="00260F11">
      <w:pPr>
        <w:spacing w:line="360" w:lineRule="auto"/>
        <w:rPr>
          <w:b/>
          <w:szCs w:val="18"/>
        </w:rPr>
      </w:pPr>
    </w:p>
    <w:tbl>
      <w:tblPr>
        <w:tblStyle w:val="GridTable4-Accent3"/>
        <w:tblW w:w="0" w:type="auto"/>
        <w:tblLook w:val="04A0" w:firstRow="1" w:lastRow="0" w:firstColumn="1" w:lastColumn="0" w:noHBand="0" w:noVBand="1"/>
      </w:tblPr>
      <w:tblGrid>
        <w:gridCol w:w="3020"/>
        <w:gridCol w:w="3021"/>
        <w:gridCol w:w="3021"/>
      </w:tblGrid>
      <w:tr w:rsidR="003102B0" w:rsidRPr="00AD1F89" w14:paraId="261DFF7A" w14:textId="77777777" w:rsidTr="003102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2F2972A" w14:textId="77777777" w:rsidR="003102B0" w:rsidRPr="00AD1F89" w:rsidRDefault="003102B0" w:rsidP="00260F11">
            <w:pPr>
              <w:spacing w:line="360" w:lineRule="auto"/>
              <w:rPr>
                <w:szCs w:val="18"/>
              </w:rPr>
            </w:pPr>
            <w:r w:rsidRPr="00AD1F89">
              <w:rPr>
                <w:szCs w:val="18"/>
              </w:rPr>
              <w:t>Leeftijd slachtoffer</w:t>
            </w:r>
          </w:p>
        </w:tc>
        <w:tc>
          <w:tcPr>
            <w:tcW w:w="3021" w:type="dxa"/>
          </w:tcPr>
          <w:p w14:paraId="1F9DE773" w14:textId="77777777" w:rsidR="003102B0" w:rsidRPr="00AD1F89" w:rsidRDefault="003102B0"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Verschil t.o.v. oude strafbaarstelling?</w:t>
            </w:r>
          </w:p>
        </w:tc>
        <w:tc>
          <w:tcPr>
            <w:tcW w:w="3021" w:type="dxa"/>
          </w:tcPr>
          <w:p w14:paraId="07C4DB4E" w14:textId="77777777" w:rsidR="003102B0" w:rsidRPr="00AD1F89" w:rsidRDefault="003102B0"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Temporele werking</w:t>
            </w:r>
          </w:p>
        </w:tc>
      </w:tr>
      <w:tr w:rsidR="003102B0" w:rsidRPr="00AD1F89" w14:paraId="6DA767DE" w14:textId="77777777" w:rsidTr="003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7DEB160" w14:textId="77777777" w:rsidR="003102B0" w:rsidRPr="00AD1F89" w:rsidRDefault="003102B0" w:rsidP="00260F11">
            <w:pPr>
              <w:spacing w:line="360" w:lineRule="auto"/>
              <w:rPr>
                <w:szCs w:val="18"/>
              </w:rPr>
            </w:pPr>
            <w:r w:rsidRPr="00AD1F89">
              <w:rPr>
                <w:szCs w:val="18"/>
              </w:rPr>
              <w:t xml:space="preserve">Principe: </w:t>
            </w:r>
            <w:r w:rsidRPr="00AD1F89">
              <w:rPr>
                <w:b w:val="0"/>
                <w:szCs w:val="18"/>
              </w:rPr>
              <w:t>vanaf zestien jaar</w:t>
            </w:r>
          </w:p>
        </w:tc>
        <w:tc>
          <w:tcPr>
            <w:tcW w:w="3021" w:type="dxa"/>
          </w:tcPr>
          <w:p w14:paraId="6547A9B5" w14:textId="77777777" w:rsidR="003102B0" w:rsidRPr="00AD1F89" w:rsidRDefault="003102B0"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r w:rsidRPr="00AD1F89">
              <w:rPr>
                <w:szCs w:val="18"/>
              </w:rPr>
              <w:t>Geen inhoudelijk verschil</w:t>
            </w:r>
          </w:p>
        </w:tc>
        <w:tc>
          <w:tcPr>
            <w:tcW w:w="3021" w:type="dxa"/>
          </w:tcPr>
          <w:p w14:paraId="09466BEF" w14:textId="77777777" w:rsidR="003102B0" w:rsidRPr="006372CE" w:rsidRDefault="003102B0" w:rsidP="00260F11">
            <w:pPr>
              <w:spacing w:line="360" w:lineRule="auto"/>
              <w:cnfStyle w:val="000000100000" w:firstRow="0" w:lastRow="0" w:firstColumn="0" w:lastColumn="0" w:oddVBand="0" w:evenVBand="0" w:oddHBand="1" w:evenHBand="0" w:firstRowFirstColumn="0" w:firstRowLastColumn="0" w:lastRowFirstColumn="0" w:lastRowLastColumn="0"/>
              <w:rPr>
                <w:b/>
                <w:szCs w:val="18"/>
              </w:rPr>
            </w:pPr>
            <w:r w:rsidRPr="006372CE">
              <w:rPr>
                <w:b/>
                <w:szCs w:val="18"/>
              </w:rPr>
              <w:t>Retroactieve werking</w:t>
            </w:r>
          </w:p>
        </w:tc>
      </w:tr>
      <w:tr w:rsidR="003102B0" w:rsidRPr="00AD1F89" w14:paraId="49AA16F6" w14:textId="77777777" w:rsidTr="003102B0">
        <w:tc>
          <w:tcPr>
            <w:cnfStyle w:val="001000000000" w:firstRow="0" w:lastRow="0" w:firstColumn="1" w:lastColumn="0" w:oddVBand="0" w:evenVBand="0" w:oddHBand="0" w:evenHBand="0" w:firstRowFirstColumn="0" w:firstRowLastColumn="0" w:lastRowFirstColumn="0" w:lastRowLastColumn="0"/>
            <w:tcW w:w="3020" w:type="dxa"/>
          </w:tcPr>
          <w:p w14:paraId="4A48AAC1" w14:textId="77777777" w:rsidR="003102B0" w:rsidRPr="00AD1F89" w:rsidRDefault="003102B0" w:rsidP="00260F11">
            <w:pPr>
              <w:spacing w:line="360" w:lineRule="auto"/>
              <w:rPr>
                <w:szCs w:val="18"/>
              </w:rPr>
            </w:pPr>
            <w:r w:rsidRPr="00AD1F89">
              <w:rPr>
                <w:szCs w:val="18"/>
              </w:rPr>
              <w:t xml:space="preserve">Uitzondering: </w:t>
            </w:r>
            <w:r w:rsidRPr="00AD1F89">
              <w:rPr>
                <w:b w:val="0"/>
                <w:szCs w:val="18"/>
              </w:rPr>
              <w:t>vanaf veertien jaar indien…</w:t>
            </w:r>
          </w:p>
        </w:tc>
        <w:tc>
          <w:tcPr>
            <w:tcW w:w="3021" w:type="dxa"/>
          </w:tcPr>
          <w:p w14:paraId="60CB98BC" w14:textId="77777777" w:rsidR="003102B0" w:rsidRPr="00AD1F89" w:rsidRDefault="003102B0"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sidRPr="00AD1F89">
              <w:rPr>
                <w:szCs w:val="18"/>
              </w:rPr>
              <w:t>Versoepeling</w:t>
            </w:r>
          </w:p>
        </w:tc>
        <w:tc>
          <w:tcPr>
            <w:tcW w:w="3021" w:type="dxa"/>
          </w:tcPr>
          <w:p w14:paraId="7DAF5057" w14:textId="77777777" w:rsidR="003102B0" w:rsidRPr="006372CE" w:rsidRDefault="003102B0" w:rsidP="00260F11">
            <w:pPr>
              <w:spacing w:line="360" w:lineRule="auto"/>
              <w:cnfStyle w:val="000000000000" w:firstRow="0" w:lastRow="0" w:firstColumn="0" w:lastColumn="0" w:oddVBand="0" w:evenVBand="0" w:oddHBand="0" w:evenHBand="0" w:firstRowFirstColumn="0" w:firstRowLastColumn="0" w:lastRowFirstColumn="0" w:lastRowLastColumn="0"/>
              <w:rPr>
                <w:b/>
                <w:szCs w:val="18"/>
              </w:rPr>
            </w:pPr>
            <w:r w:rsidRPr="006372CE">
              <w:rPr>
                <w:b/>
                <w:szCs w:val="18"/>
              </w:rPr>
              <w:t>Retroactieve werking</w:t>
            </w:r>
          </w:p>
        </w:tc>
      </w:tr>
      <w:tr w:rsidR="003102B0" w:rsidRPr="00AD1F89" w14:paraId="456201E0" w14:textId="77777777" w:rsidTr="003102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D3FB0DD" w14:textId="77777777" w:rsidR="003102B0" w:rsidRPr="00AD1F89" w:rsidRDefault="003102B0" w:rsidP="00260F11">
            <w:pPr>
              <w:spacing w:line="360" w:lineRule="auto"/>
              <w:rPr>
                <w:szCs w:val="18"/>
              </w:rPr>
            </w:pPr>
            <w:r w:rsidRPr="00AD1F89">
              <w:rPr>
                <w:szCs w:val="18"/>
              </w:rPr>
              <w:t xml:space="preserve">Uitzondering: </w:t>
            </w:r>
            <w:r w:rsidRPr="00AD1F89">
              <w:rPr>
                <w:b w:val="0"/>
                <w:szCs w:val="18"/>
              </w:rPr>
              <w:t>vanaf achttien jaar indien…</w:t>
            </w:r>
          </w:p>
        </w:tc>
        <w:tc>
          <w:tcPr>
            <w:tcW w:w="3021" w:type="dxa"/>
          </w:tcPr>
          <w:p w14:paraId="2F70CB6E" w14:textId="77777777" w:rsidR="003102B0" w:rsidRPr="00AD1F89" w:rsidRDefault="003102B0"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r w:rsidRPr="00AD1F89">
              <w:rPr>
                <w:i/>
                <w:szCs w:val="18"/>
              </w:rPr>
              <w:t xml:space="preserve">In concreto, </w:t>
            </w:r>
            <w:r w:rsidRPr="00AD1F89">
              <w:rPr>
                <w:szCs w:val="18"/>
              </w:rPr>
              <w:t>daderhoedanigheid per daderhoedanigheid</w:t>
            </w:r>
            <w:r w:rsidRPr="00AD1F89">
              <w:rPr>
                <w:i/>
                <w:szCs w:val="18"/>
              </w:rPr>
              <w:t xml:space="preserve"> </w:t>
            </w:r>
            <w:r w:rsidRPr="00AD1F89">
              <w:rPr>
                <w:szCs w:val="18"/>
              </w:rPr>
              <w:t>bekijken.</w:t>
            </w:r>
          </w:p>
        </w:tc>
        <w:tc>
          <w:tcPr>
            <w:tcW w:w="3021" w:type="dxa"/>
          </w:tcPr>
          <w:p w14:paraId="1538F6D5" w14:textId="77777777" w:rsidR="003102B0" w:rsidRPr="00AD1F89" w:rsidRDefault="003102B0" w:rsidP="00260F11">
            <w:pPr>
              <w:spacing w:line="360" w:lineRule="auto"/>
              <w:cnfStyle w:val="000000100000" w:firstRow="0" w:lastRow="0" w:firstColumn="0" w:lastColumn="0" w:oddVBand="0" w:evenVBand="0" w:oddHBand="1" w:evenHBand="0" w:firstRowFirstColumn="0" w:firstRowLastColumn="0" w:lastRowFirstColumn="0" w:lastRowLastColumn="0"/>
              <w:rPr>
                <w:szCs w:val="18"/>
              </w:rPr>
            </w:pPr>
            <w:r w:rsidRPr="006372CE">
              <w:rPr>
                <w:b/>
                <w:i/>
                <w:szCs w:val="18"/>
              </w:rPr>
              <w:t>In concreto</w:t>
            </w:r>
            <w:r w:rsidRPr="00AD1F89">
              <w:rPr>
                <w:i/>
                <w:szCs w:val="18"/>
              </w:rPr>
              <w:t xml:space="preserve">, </w:t>
            </w:r>
            <w:r w:rsidRPr="00AD1F89">
              <w:rPr>
                <w:szCs w:val="18"/>
              </w:rPr>
              <w:t>daderhoedanigheid per daderhoedanigheid</w:t>
            </w:r>
            <w:r w:rsidRPr="00AD1F89">
              <w:rPr>
                <w:i/>
                <w:szCs w:val="18"/>
              </w:rPr>
              <w:t xml:space="preserve"> </w:t>
            </w:r>
            <w:r w:rsidRPr="00AD1F89">
              <w:rPr>
                <w:szCs w:val="18"/>
              </w:rPr>
              <w:t>bekijken.</w:t>
            </w:r>
          </w:p>
        </w:tc>
      </w:tr>
    </w:tbl>
    <w:p w14:paraId="4A36CA10" w14:textId="77777777" w:rsidR="003102B0" w:rsidRDefault="003102B0" w:rsidP="00260F11">
      <w:pPr>
        <w:spacing w:line="360" w:lineRule="auto"/>
        <w:rPr>
          <w:b/>
          <w:szCs w:val="18"/>
        </w:rPr>
      </w:pPr>
    </w:p>
    <w:p w14:paraId="7988C021" w14:textId="77777777" w:rsidR="003102B0" w:rsidRPr="003102B0" w:rsidRDefault="003102B0" w:rsidP="00260F11">
      <w:pPr>
        <w:spacing w:line="360" w:lineRule="auto"/>
        <w:rPr>
          <w:b/>
          <w:szCs w:val="18"/>
        </w:rPr>
      </w:pPr>
    </w:p>
    <w:p w14:paraId="36345BBB" w14:textId="00E941F4" w:rsidR="003F5C1E" w:rsidRDefault="003F5C1E" w:rsidP="00260F11">
      <w:pPr>
        <w:spacing w:line="360" w:lineRule="auto"/>
        <w:rPr>
          <w:szCs w:val="18"/>
          <w:lang w:val="nl-NL"/>
        </w:rPr>
      </w:pPr>
    </w:p>
    <w:p w14:paraId="17AE33DF" w14:textId="3C369876" w:rsidR="003102B0" w:rsidRDefault="003102B0" w:rsidP="00260F11">
      <w:pPr>
        <w:spacing w:line="360" w:lineRule="auto"/>
        <w:rPr>
          <w:szCs w:val="18"/>
          <w:lang w:val="nl-NL"/>
        </w:rPr>
      </w:pPr>
      <w:r>
        <w:rPr>
          <w:szCs w:val="18"/>
          <w:lang w:val="nl-NL"/>
        </w:rPr>
        <w:br w:type="page"/>
      </w:r>
    </w:p>
    <w:p w14:paraId="30AFEF01" w14:textId="5F9D6C40" w:rsidR="003102B0" w:rsidRDefault="003102B0" w:rsidP="00260F11">
      <w:pPr>
        <w:spacing w:line="360" w:lineRule="auto"/>
        <w:rPr>
          <w:b/>
          <w:szCs w:val="18"/>
        </w:rPr>
      </w:pPr>
      <w:r w:rsidRPr="00187DF7">
        <w:rPr>
          <w:b/>
          <w:szCs w:val="18"/>
        </w:rPr>
        <w:lastRenderedPageBreak/>
        <w:t>BIJLAGE 3: SCHEMATISCHE WEERGAVE TEMPORELE WERKING VERKRACHTING</w:t>
      </w:r>
    </w:p>
    <w:p w14:paraId="2655FC40" w14:textId="77777777" w:rsidR="003102B0" w:rsidRDefault="003102B0" w:rsidP="00260F11">
      <w:pPr>
        <w:spacing w:line="360" w:lineRule="auto"/>
        <w:rPr>
          <w:b/>
          <w:szCs w:val="18"/>
        </w:rPr>
      </w:pPr>
    </w:p>
    <w:p w14:paraId="46CADFFF" w14:textId="77777777" w:rsidR="003102B0" w:rsidRDefault="003102B0" w:rsidP="00260F11">
      <w:pPr>
        <w:pStyle w:val="ListParagraph"/>
        <w:numPr>
          <w:ilvl w:val="0"/>
          <w:numId w:val="18"/>
        </w:numPr>
        <w:spacing w:line="360" w:lineRule="auto"/>
        <w:rPr>
          <w:b/>
          <w:szCs w:val="18"/>
        </w:rPr>
      </w:pPr>
      <w:r>
        <w:rPr>
          <w:b/>
          <w:szCs w:val="18"/>
        </w:rPr>
        <w:t xml:space="preserve">Strafbaarstelling </w:t>
      </w:r>
    </w:p>
    <w:p w14:paraId="70002708" w14:textId="77777777" w:rsidR="003102B0" w:rsidRDefault="003102B0" w:rsidP="00260F11">
      <w:pPr>
        <w:spacing w:line="360" w:lineRule="auto"/>
        <w:rPr>
          <w:b/>
          <w:szCs w:val="18"/>
        </w:rPr>
      </w:pPr>
    </w:p>
    <w:tbl>
      <w:tblPr>
        <w:tblStyle w:val="GridTable4-Accent3"/>
        <w:tblW w:w="0" w:type="auto"/>
        <w:tblLook w:val="04A0" w:firstRow="1" w:lastRow="0" w:firstColumn="1" w:lastColumn="0" w:noHBand="0" w:noVBand="1"/>
      </w:tblPr>
      <w:tblGrid>
        <w:gridCol w:w="2263"/>
        <w:gridCol w:w="3686"/>
        <w:gridCol w:w="3113"/>
      </w:tblGrid>
      <w:tr w:rsidR="001B7F07" w:rsidRPr="00AD1F89" w14:paraId="4DC39B2A" w14:textId="77777777" w:rsidTr="00D322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0A67CC8" w14:textId="77777777" w:rsidR="001B7F07" w:rsidRPr="00AD1F89" w:rsidRDefault="001B7F07" w:rsidP="00260F11">
            <w:pPr>
              <w:spacing w:line="360" w:lineRule="auto"/>
              <w:rPr>
                <w:szCs w:val="18"/>
              </w:rPr>
            </w:pPr>
            <w:r w:rsidRPr="00AD1F89">
              <w:rPr>
                <w:szCs w:val="18"/>
              </w:rPr>
              <w:t>Constitutief bestanddeel</w:t>
            </w:r>
          </w:p>
        </w:tc>
        <w:tc>
          <w:tcPr>
            <w:tcW w:w="3686" w:type="dxa"/>
          </w:tcPr>
          <w:p w14:paraId="0E0DBC2E" w14:textId="77777777" w:rsidR="001B7F07" w:rsidRPr="00AD1F89" w:rsidRDefault="001B7F07"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Verschil t.o.v. oude strafbaarstelling?</w:t>
            </w:r>
          </w:p>
        </w:tc>
        <w:tc>
          <w:tcPr>
            <w:tcW w:w="3113" w:type="dxa"/>
          </w:tcPr>
          <w:p w14:paraId="3FF8FB0B" w14:textId="77777777" w:rsidR="001B7F07" w:rsidRPr="00AD1F89" w:rsidRDefault="001B7F07"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Temporele werking</w:t>
            </w:r>
          </w:p>
        </w:tc>
      </w:tr>
      <w:tr w:rsidR="001B7F07" w:rsidRPr="00AD1F89" w14:paraId="1198E4C0" w14:textId="77777777" w:rsidTr="00D322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4248B66" w14:textId="77777777" w:rsidR="001B7F07" w:rsidRPr="00AD1F89" w:rsidRDefault="001B7F07" w:rsidP="00260F11">
            <w:pPr>
              <w:spacing w:line="360" w:lineRule="auto"/>
              <w:jc w:val="left"/>
              <w:rPr>
                <w:i/>
                <w:szCs w:val="18"/>
              </w:rPr>
            </w:pPr>
            <w:r w:rsidRPr="00AD1F89">
              <w:rPr>
                <w:szCs w:val="18"/>
              </w:rPr>
              <w:t xml:space="preserve">Materiële gedraging </w:t>
            </w:r>
            <w:r w:rsidRPr="00AD1F89">
              <w:rPr>
                <w:i/>
                <w:szCs w:val="18"/>
              </w:rPr>
              <w:t>sensu stricto</w:t>
            </w:r>
          </w:p>
        </w:tc>
        <w:tc>
          <w:tcPr>
            <w:tcW w:w="3686" w:type="dxa"/>
          </w:tcPr>
          <w:p w14:paraId="5FD1D7FE" w14:textId="543EDBAD" w:rsidR="00144BE4" w:rsidRDefault="00144BE4" w:rsidP="00260F11">
            <w:pPr>
              <w:spacing w:line="360" w:lineRule="auto"/>
              <w:jc w:val="left"/>
              <w:cnfStyle w:val="000000100000" w:firstRow="0" w:lastRow="0" w:firstColumn="0" w:lastColumn="0" w:oddVBand="0" w:evenVBand="0" w:oddHBand="1" w:evenHBand="0" w:firstRowFirstColumn="0" w:firstRowLastColumn="0" w:lastRowFirstColumn="0" w:lastRowLastColumn="0"/>
              <w:rPr>
                <w:i/>
                <w:szCs w:val="18"/>
              </w:rPr>
            </w:pPr>
            <w:r w:rsidRPr="00144BE4">
              <w:rPr>
                <w:i/>
                <w:szCs w:val="18"/>
              </w:rPr>
              <w:t xml:space="preserve">Verschil: toevoeging gedragingen </w:t>
            </w:r>
            <w:r>
              <w:rPr>
                <w:i/>
                <w:szCs w:val="18"/>
              </w:rPr>
              <w:t>“</w:t>
            </w:r>
            <w:r w:rsidRPr="00144BE4">
              <w:rPr>
                <w:i/>
                <w:szCs w:val="18"/>
              </w:rPr>
              <w:t>mede bestaand uit</w:t>
            </w:r>
            <w:r>
              <w:rPr>
                <w:i/>
                <w:szCs w:val="18"/>
              </w:rPr>
              <w:t>”</w:t>
            </w:r>
            <w:r w:rsidRPr="00144BE4">
              <w:rPr>
                <w:i/>
                <w:szCs w:val="18"/>
              </w:rPr>
              <w:t xml:space="preserve"> seksuele penetratie.</w:t>
            </w:r>
          </w:p>
          <w:p w14:paraId="3121B4A2" w14:textId="77777777" w:rsidR="00144BE4" w:rsidRPr="00144BE4" w:rsidRDefault="00144BE4" w:rsidP="00260F11">
            <w:pPr>
              <w:spacing w:line="360" w:lineRule="auto"/>
              <w:jc w:val="left"/>
              <w:cnfStyle w:val="000000100000" w:firstRow="0" w:lastRow="0" w:firstColumn="0" w:lastColumn="0" w:oddVBand="0" w:evenVBand="0" w:oddHBand="1" w:evenHBand="0" w:firstRowFirstColumn="0" w:firstRowLastColumn="0" w:lastRowFirstColumn="0" w:lastRowLastColumn="0"/>
              <w:rPr>
                <w:i/>
                <w:szCs w:val="18"/>
              </w:rPr>
            </w:pPr>
          </w:p>
          <w:p w14:paraId="6904AC88" w14:textId="65073039" w:rsidR="001B7F07"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AD1F89">
              <w:rPr>
                <w:szCs w:val="18"/>
              </w:rPr>
              <w:t xml:space="preserve">Verstrenging volgens </w:t>
            </w:r>
            <w:r>
              <w:rPr>
                <w:szCs w:val="18"/>
              </w:rPr>
              <w:t>bepaalde strekking binnen rechtsleer</w:t>
            </w:r>
            <w:r w:rsidR="00483E9D">
              <w:rPr>
                <w:rStyle w:val="FootnoteReference"/>
                <w:szCs w:val="18"/>
              </w:rPr>
              <w:footnoteReference w:id="714"/>
            </w:r>
          </w:p>
          <w:p w14:paraId="735BCD7F" w14:textId="780BD784" w:rsidR="001B7F07" w:rsidRDefault="001B7F0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7957DCB5" w14:textId="77777777" w:rsidR="00144BE4" w:rsidRPr="001E003F" w:rsidRDefault="00144BE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203FD528" w14:textId="77777777" w:rsidR="001B7F07"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1E003F">
              <w:rPr>
                <w:szCs w:val="18"/>
              </w:rPr>
              <w:t xml:space="preserve">Geen inhoudelijk verschil volgens </w:t>
            </w:r>
            <w:r>
              <w:rPr>
                <w:szCs w:val="18"/>
              </w:rPr>
              <w:t>andere strekking binnen rechtsleer</w:t>
            </w:r>
          </w:p>
          <w:p w14:paraId="23E77727" w14:textId="265EDC8D" w:rsidR="00FD4F96" w:rsidRPr="00FD4F96" w:rsidRDefault="00FD4F96"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tc>
        <w:tc>
          <w:tcPr>
            <w:tcW w:w="3113" w:type="dxa"/>
          </w:tcPr>
          <w:p w14:paraId="607FEB9F" w14:textId="47F51BB0" w:rsidR="00144BE4" w:rsidRDefault="00144BE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2133F9B8" w14:textId="3B3F06D7" w:rsidR="00144BE4" w:rsidRDefault="00144BE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7BF64A0E" w14:textId="77777777" w:rsidR="00D32213" w:rsidRDefault="00D32213"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1B6E70FF" w14:textId="77777777" w:rsidR="00144BE4" w:rsidRPr="00144BE4" w:rsidRDefault="00144BE4"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01D2C9F2" w14:textId="03FEC95F" w:rsidR="001B7F07"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6372CE">
              <w:rPr>
                <w:b/>
                <w:szCs w:val="18"/>
              </w:rPr>
              <w:t xml:space="preserve">Verboden </w:t>
            </w:r>
            <w:r w:rsidRPr="006372CE">
              <w:rPr>
                <w:szCs w:val="18"/>
              </w:rPr>
              <w:t>retroactieve werking</w:t>
            </w:r>
            <w:r w:rsidRPr="00AD1F89">
              <w:rPr>
                <w:szCs w:val="18"/>
              </w:rPr>
              <w:t xml:space="preserve"> (volgens </w:t>
            </w:r>
            <w:r>
              <w:rPr>
                <w:szCs w:val="18"/>
              </w:rPr>
              <w:t>deze visie)</w:t>
            </w:r>
            <w:r w:rsidR="00483E9D">
              <w:rPr>
                <w:rStyle w:val="FootnoteReference"/>
                <w:szCs w:val="18"/>
              </w:rPr>
              <w:footnoteReference w:id="715"/>
            </w:r>
          </w:p>
          <w:p w14:paraId="0E99F3ED" w14:textId="77777777" w:rsidR="001B7F07" w:rsidRPr="001E003F" w:rsidRDefault="001B7F0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p>
          <w:p w14:paraId="432F889E" w14:textId="77777777" w:rsidR="001B7F07" w:rsidRPr="001E003F"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6372CE">
              <w:rPr>
                <w:b/>
                <w:szCs w:val="18"/>
              </w:rPr>
              <w:t>Retroactieve werking</w:t>
            </w:r>
            <w:r w:rsidRPr="001E003F">
              <w:rPr>
                <w:szCs w:val="18"/>
              </w:rPr>
              <w:t xml:space="preserve"> (volgens </w:t>
            </w:r>
            <w:r>
              <w:rPr>
                <w:szCs w:val="18"/>
              </w:rPr>
              <w:t>deze visie</w:t>
            </w:r>
            <w:r w:rsidRPr="001E003F">
              <w:rPr>
                <w:szCs w:val="18"/>
              </w:rPr>
              <w:t>)</w:t>
            </w:r>
          </w:p>
        </w:tc>
      </w:tr>
      <w:tr w:rsidR="001B7F07" w:rsidRPr="00AD1F89" w14:paraId="3048F4CC" w14:textId="77777777" w:rsidTr="00D32213">
        <w:tc>
          <w:tcPr>
            <w:cnfStyle w:val="001000000000" w:firstRow="0" w:lastRow="0" w:firstColumn="1" w:lastColumn="0" w:oddVBand="0" w:evenVBand="0" w:oddHBand="0" w:evenHBand="0" w:firstRowFirstColumn="0" w:firstRowLastColumn="0" w:lastRowFirstColumn="0" w:lastRowLastColumn="0"/>
            <w:tcW w:w="2263" w:type="dxa"/>
          </w:tcPr>
          <w:p w14:paraId="318C5AF0" w14:textId="77777777" w:rsidR="001B7F07" w:rsidRPr="00AD1F89" w:rsidRDefault="001B7F07" w:rsidP="00260F11">
            <w:pPr>
              <w:spacing w:line="360" w:lineRule="auto"/>
              <w:jc w:val="left"/>
              <w:rPr>
                <w:szCs w:val="18"/>
              </w:rPr>
            </w:pPr>
            <w:r w:rsidRPr="00AD1F89">
              <w:rPr>
                <w:szCs w:val="18"/>
              </w:rPr>
              <w:t>Rol van het slachtoffer</w:t>
            </w:r>
          </w:p>
        </w:tc>
        <w:tc>
          <w:tcPr>
            <w:tcW w:w="3686" w:type="dxa"/>
          </w:tcPr>
          <w:p w14:paraId="2F9DE517" w14:textId="1864F9FA" w:rsidR="00144BE4" w:rsidRPr="00144BE4" w:rsidRDefault="00144BE4" w:rsidP="00260F11">
            <w:pPr>
              <w:spacing w:line="360" w:lineRule="auto"/>
              <w:jc w:val="left"/>
              <w:cnfStyle w:val="000000000000" w:firstRow="0" w:lastRow="0" w:firstColumn="0" w:lastColumn="0" w:oddVBand="0" w:evenVBand="0" w:oddHBand="0" w:evenHBand="0" w:firstRowFirstColumn="0" w:firstRowLastColumn="0" w:lastRowFirstColumn="0" w:lastRowLastColumn="0"/>
              <w:rPr>
                <w:i/>
                <w:szCs w:val="18"/>
              </w:rPr>
            </w:pPr>
            <w:r>
              <w:rPr>
                <w:i/>
                <w:szCs w:val="18"/>
              </w:rPr>
              <w:t xml:space="preserve">Verschil: toevoeging “of met behulp van” het slachtoffer. </w:t>
            </w:r>
          </w:p>
          <w:p w14:paraId="39B720F3" w14:textId="77777777" w:rsidR="00144BE4" w:rsidRPr="00144BE4" w:rsidRDefault="00144BE4"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p w14:paraId="70898413" w14:textId="60676409" w:rsidR="001B7F07" w:rsidRDefault="001B7F07" w:rsidP="00260F11">
            <w:pPr>
              <w:pStyle w:val="ListParagraph"/>
              <w:numPr>
                <w:ilvl w:val="0"/>
                <w:numId w:val="19"/>
              </w:numPr>
              <w:spacing w:line="360" w:lineRule="auto"/>
              <w:ind w:left="181" w:hanging="181"/>
              <w:jc w:val="left"/>
              <w:cnfStyle w:val="000000000000" w:firstRow="0" w:lastRow="0" w:firstColumn="0" w:lastColumn="0" w:oddVBand="0" w:evenVBand="0" w:oddHBand="0" w:evenHBand="0" w:firstRowFirstColumn="0" w:firstRowLastColumn="0" w:lastRowFirstColumn="0" w:lastRowLastColumn="0"/>
              <w:rPr>
                <w:szCs w:val="18"/>
              </w:rPr>
            </w:pPr>
            <w:r w:rsidRPr="00AD1F89">
              <w:rPr>
                <w:szCs w:val="18"/>
              </w:rPr>
              <w:t>Verstrenging volgens meerderheidsvisie</w:t>
            </w:r>
            <w:r w:rsidR="00D32213">
              <w:rPr>
                <w:rStyle w:val="FootnoteReference"/>
                <w:szCs w:val="18"/>
              </w:rPr>
              <w:footnoteReference w:id="716"/>
            </w:r>
          </w:p>
          <w:p w14:paraId="249B62D7" w14:textId="32840721" w:rsidR="001B7F07" w:rsidRDefault="001B7F07"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p w14:paraId="0E124333" w14:textId="77777777" w:rsidR="00D32213" w:rsidRPr="00D32213" w:rsidRDefault="00D32213"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p w14:paraId="782BA593" w14:textId="77777777" w:rsidR="001B7F07" w:rsidRPr="00A10856" w:rsidRDefault="001B7F07" w:rsidP="00260F11">
            <w:pPr>
              <w:pStyle w:val="ListParagraph"/>
              <w:numPr>
                <w:ilvl w:val="0"/>
                <w:numId w:val="19"/>
              </w:numPr>
              <w:spacing w:line="360" w:lineRule="auto"/>
              <w:ind w:left="181" w:hanging="181"/>
              <w:jc w:val="left"/>
              <w:cnfStyle w:val="000000000000" w:firstRow="0" w:lastRow="0" w:firstColumn="0" w:lastColumn="0" w:oddVBand="0" w:evenVBand="0" w:oddHBand="0" w:evenHBand="0" w:firstRowFirstColumn="0" w:firstRowLastColumn="0" w:lastRowFirstColumn="0" w:lastRowLastColumn="0"/>
              <w:rPr>
                <w:szCs w:val="18"/>
              </w:rPr>
            </w:pPr>
            <w:r w:rsidRPr="00A10856">
              <w:rPr>
                <w:szCs w:val="18"/>
              </w:rPr>
              <w:t>Geen inhoudelijk verschil volgens minderheidsvisie</w:t>
            </w:r>
          </w:p>
        </w:tc>
        <w:tc>
          <w:tcPr>
            <w:tcW w:w="3113" w:type="dxa"/>
          </w:tcPr>
          <w:p w14:paraId="67F4E06D" w14:textId="3852AC82" w:rsidR="00144BE4" w:rsidRDefault="00144BE4" w:rsidP="00260F11">
            <w:pPr>
              <w:pStyle w:val="ListParagraph"/>
              <w:spacing w:line="360" w:lineRule="auto"/>
              <w:ind w:left="181"/>
              <w:jc w:val="left"/>
              <w:cnfStyle w:val="000000000000" w:firstRow="0" w:lastRow="0" w:firstColumn="0" w:lastColumn="0" w:oddVBand="0" w:evenVBand="0" w:oddHBand="0" w:evenHBand="0" w:firstRowFirstColumn="0" w:firstRowLastColumn="0" w:lastRowFirstColumn="0" w:lastRowLastColumn="0"/>
              <w:rPr>
                <w:szCs w:val="18"/>
              </w:rPr>
            </w:pPr>
          </w:p>
          <w:p w14:paraId="56B0DB2E" w14:textId="3ABB1267" w:rsidR="00144BE4" w:rsidRDefault="00144BE4" w:rsidP="00260F11">
            <w:pPr>
              <w:pStyle w:val="ListParagraph"/>
              <w:spacing w:line="360" w:lineRule="auto"/>
              <w:ind w:left="181"/>
              <w:jc w:val="left"/>
              <w:cnfStyle w:val="000000000000" w:firstRow="0" w:lastRow="0" w:firstColumn="0" w:lastColumn="0" w:oddVBand="0" w:evenVBand="0" w:oddHBand="0" w:evenHBand="0" w:firstRowFirstColumn="0" w:firstRowLastColumn="0" w:lastRowFirstColumn="0" w:lastRowLastColumn="0"/>
              <w:rPr>
                <w:szCs w:val="18"/>
              </w:rPr>
            </w:pPr>
          </w:p>
          <w:p w14:paraId="35BDBCA1" w14:textId="77777777" w:rsidR="00144BE4" w:rsidRPr="00144BE4" w:rsidRDefault="00144BE4" w:rsidP="00260F11">
            <w:pPr>
              <w:pStyle w:val="ListParagraph"/>
              <w:spacing w:line="360" w:lineRule="auto"/>
              <w:ind w:left="181"/>
              <w:jc w:val="left"/>
              <w:cnfStyle w:val="000000000000" w:firstRow="0" w:lastRow="0" w:firstColumn="0" w:lastColumn="0" w:oddVBand="0" w:evenVBand="0" w:oddHBand="0" w:evenHBand="0" w:firstRowFirstColumn="0" w:firstRowLastColumn="0" w:lastRowFirstColumn="0" w:lastRowLastColumn="0"/>
              <w:rPr>
                <w:szCs w:val="18"/>
              </w:rPr>
            </w:pPr>
          </w:p>
          <w:p w14:paraId="3D7BDF94" w14:textId="31D7B4C7" w:rsidR="001B7F07" w:rsidRDefault="001B7F07" w:rsidP="00260F11">
            <w:pPr>
              <w:pStyle w:val="ListParagraph"/>
              <w:numPr>
                <w:ilvl w:val="0"/>
                <w:numId w:val="19"/>
              </w:numPr>
              <w:spacing w:line="360" w:lineRule="auto"/>
              <w:ind w:left="181" w:hanging="181"/>
              <w:jc w:val="left"/>
              <w:cnfStyle w:val="000000000000" w:firstRow="0" w:lastRow="0" w:firstColumn="0" w:lastColumn="0" w:oddVBand="0" w:evenVBand="0" w:oddHBand="0" w:evenHBand="0" w:firstRowFirstColumn="0" w:firstRowLastColumn="0" w:lastRowFirstColumn="0" w:lastRowLastColumn="0"/>
              <w:rPr>
                <w:szCs w:val="18"/>
              </w:rPr>
            </w:pPr>
            <w:r w:rsidRPr="006372CE">
              <w:rPr>
                <w:b/>
                <w:szCs w:val="18"/>
              </w:rPr>
              <w:t xml:space="preserve">Verboden </w:t>
            </w:r>
            <w:r w:rsidRPr="006372CE">
              <w:rPr>
                <w:szCs w:val="18"/>
              </w:rPr>
              <w:t>retroactieve werking</w:t>
            </w:r>
            <w:r w:rsidRPr="00AD1F89">
              <w:rPr>
                <w:szCs w:val="18"/>
              </w:rPr>
              <w:t xml:space="preserve"> (volgens meerderheidsvisie)</w:t>
            </w:r>
            <w:r w:rsidR="00D32213">
              <w:rPr>
                <w:rStyle w:val="FootnoteReference"/>
                <w:szCs w:val="18"/>
              </w:rPr>
              <w:footnoteReference w:id="717"/>
            </w:r>
          </w:p>
          <w:p w14:paraId="543D0F40" w14:textId="77777777" w:rsidR="001B7F07" w:rsidRDefault="001B7F07" w:rsidP="00260F11">
            <w:pPr>
              <w:pStyle w:val="ListParagraph"/>
              <w:spacing w:line="360" w:lineRule="auto"/>
              <w:ind w:left="181"/>
              <w:jc w:val="left"/>
              <w:cnfStyle w:val="000000000000" w:firstRow="0" w:lastRow="0" w:firstColumn="0" w:lastColumn="0" w:oddVBand="0" w:evenVBand="0" w:oddHBand="0" w:evenHBand="0" w:firstRowFirstColumn="0" w:firstRowLastColumn="0" w:lastRowFirstColumn="0" w:lastRowLastColumn="0"/>
              <w:rPr>
                <w:szCs w:val="18"/>
              </w:rPr>
            </w:pPr>
          </w:p>
          <w:p w14:paraId="3F4C1965" w14:textId="77777777" w:rsidR="001B7F07" w:rsidRDefault="001B7F07" w:rsidP="00260F11">
            <w:pPr>
              <w:pStyle w:val="ListParagraph"/>
              <w:numPr>
                <w:ilvl w:val="0"/>
                <w:numId w:val="19"/>
              </w:numPr>
              <w:spacing w:line="360" w:lineRule="auto"/>
              <w:ind w:left="181" w:hanging="181"/>
              <w:jc w:val="left"/>
              <w:cnfStyle w:val="000000000000" w:firstRow="0" w:lastRow="0" w:firstColumn="0" w:lastColumn="0" w:oddVBand="0" w:evenVBand="0" w:oddHBand="0" w:evenHBand="0" w:firstRowFirstColumn="0" w:firstRowLastColumn="0" w:lastRowFirstColumn="0" w:lastRowLastColumn="0"/>
              <w:rPr>
                <w:szCs w:val="18"/>
              </w:rPr>
            </w:pPr>
            <w:r w:rsidRPr="006372CE">
              <w:rPr>
                <w:b/>
                <w:szCs w:val="18"/>
              </w:rPr>
              <w:t>Retroactieve werking</w:t>
            </w:r>
            <w:r w:rsidRPr="00A10856">
              <w:rPr>
                <w:szCs w:val="18"/>
              </w:rPr>
              <w:t xml:space="preserve"> (volgens minderheidsvisie)</w:t>
            </w:r>
          </w:p>
          <w:p w14:paraId="457EE5F6" w14:textId="20BE4AE6" w:rsidR="00FD4F96" w:rsidRPr="00FD4F96" w:rsidRDefault="00FD4F96" w:rsidP="00260F11">
            <w:pPr>
              <w:spacing w:line="360" w:lineRule="auto"/>
              <w:jc w:val="left"/>
              <w:cnfStyle w:val="000000000000" w:firstRow="0" w:lastRow="0" w:firstColumn="0" w:lastColumn="0" w:oddVBand="0" w:evenVBand="0" w:oddHBand="0" w:evenHBand="0" w:firstRowFirstColumn="0" w:firstRowLastColumn="0" w:lastRowFirstColumn="0" w:lastRowLastColumn="0"/>
              <w:rPr>
                <w:szCs w:val="18"/>
              </w:rPr>
            </w:pPr>
          </w:p>
        </w:tc>
      </w:tr>
      <w:tr w:rsidR="001B7F07" w:rsidRPr="00AD1F89" w14:paraId="557CE06C" w14:textId="77777777" w:rsidTr="00D322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9E3F532" w14:textId="77777777" w:rsidR="001B7F07" w:rsidRPr="00AD1F89" w:rsidRDefault="001B7F07" w:rsidP="00260F11">
            <w:pPr>
              <w:spacing w:line="360" w:lineRule="auto"/>
              <w:jc w:val="left"/>
              <w:rPr>
                <w:szCs w:val="18"/>
              </w:rPr>
            </w:pPr>
            <w:r w:rsidRPr="00AD1F89">
              <w:rPr>
                <w:szCs w:val="18"/>
              </w:rPr>
              <w:t>Afwezigheid geldige toestemming slachtoffer</w:t>
            </w:r>
            <w:r w:rsidRPr="00AD1F89">
              <w:rPr>
                <w:rStyle w:val="FootnoteReference"/>
                <w:rFonts w:eastAsiaTheme="majorEastAsia"/>
                <w:szCs w:val="18"/>
              </w:rPr>
              <w:footnoteReference w:id="718"/>
            </w:r>
          </w:p>
        </w:tc>
        <w:tc>
          <w:tcPr>
            <w:tcW w:w="3686" w:type="dxa"/>
          </w:tcPr>
          <w:p w14:paraId="39427D1F" w14:textId="77777777" w:rsidR="001B7F07"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792BC4">
              <w:rPr>
                <w:szCs w:val="18"/>
              </w:rPr>
              <w:t xml:space="preserve">Over het algemeen geen inhoudelijk verschil </w:t>
            </w:r>
          </w:p>
          <w:p w14:paraId="46C6CEC6" w14:textId="77777777" w:rsidR="001B7F07" w:rsidRDefault="001B7F07" w:rsidP="00260F11">
            <w:pPr>
              <w:pStyle w:val="ListParagraph"/>
              <w:spacing w:line="360" w:lineRule="auto"/>
              <w:ind w:left="181"/>
              <w:jc w:val="left"/>
              <w:cnfStyle w:val="000000100000" w:firstRow="0" w:lastRow="0" w:firstColumn="0" w:lastColumn="0" w:oddVBand="0" w:evenVBand="0" w:oddHBand="1" w:evenHBand="0" w:firstRowFirstColumn="0" w:firstRowLastColumn="0" w:lastRowFirstColumn="0" w:lastRowLastColumn="0"/>
              <w:rPr>
                <w:szCs w:val="18"/>
              </w:rPr>
            </w:pPr>
          </w:p>
          <w:p w14:paraId="53F76AD4" w14:textId="77777777" w:rsidR="001B7F07" w:rsidRPr="00792BC4"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792BC4">
              <w:rPr>
                <w:szCs w:val="18"/>
              </w:rPr>
              <w:sym w:font="Wingdings" w:char="F0DF"/>
            </w:r>
            <w:r w:rsidRPr="00792BC4">
              <w:rPr>
                <w:szCs w:val="18"/>
              </w:rPr>
              <w:sym w:font="Wingdings" w:char="F0E0"/>
            </w:r>
            <w:r>
              <w:rPr>
                <w:szCs w:val="18"/>
              </w:rPr>
              <w:t xml:space="preserve"> </w:t>
            </w:r>
            <w:r w:rsidRPr="00792BC4">
              <w:rPr>
                <w:szCs w:val="18"/>
              </w:rPr>
              <w:t>M.b.t. het feit dat toestemming op elk ogenblik kan worden ingetrokken:</w:t>
            </w:r>
          </w:p>
          <w:p w14:paraId="551116E9" w14:textId="77777777" w:rsidR="001B7F07" w:rsidRPr="00D32213" w:rsidRDefault="000F2201" w:rsidP="00260F11">
            <w:pPr>
              <w:pStyle w:val="ListParagraph"/>
              <w:numPr>
                <w:ilvl w:val="1"/>
                <w:numId w:val="19"/>
              </w:numPr>
              <w:spacing w:line="360" w:lineRule="auto"/>
              <w:ind w:left="468" w:hanging="284"/>
              <w:jc w:val="left"/>
              <w:cnfStyle w:val="000000100000" w:firstRow="0" w:lastRow="0" w:firstColumn="0" w:lastColumn="0" w:oddVBand="0" w:evenVBand="0" w:oddHBand="1" w:evenHBand="0" w:firstRowFirstColumn="0" w:firstRowLastColumn="0" w:lastRowFirstColumn="0" w:lastRowLastColumn="0"/>
              <w:rPr>
                <w:szCs w:val="18"/>
              </w:rPr>
            </w:pPr>
            <w:r>
              <w:rPr>
                <w:szCs w:val="18"/>
              </w:rPr>
              <w:t xml:space="preserve">Zie kolom m.b.t. de materiële gedraging </w:t>
            </w:r>
            <w:r>
              <w:rPr>
                <w:i/>
                <w:szCs w:val="18"/>
              </w:rPr>
              <w:t>sensu stricto.</w:t>
            </w:r>
          </w:p>
          <w:p w14:paraId="48102F93" w14:textId="54AB921C" w:rsidR="00D32213" w:rsidRPr="00D32213" w:rsidRDefault="00D32213" w:rsidP="00260F11">
            <w:pPr>
              <w:spacing w:line="360" w:lineRule="auto"/>
              <w:ind w:left="184"/>
              <w:jc w:val="left"/>
              <w:cnfStyle w:val="000000100000" w:firstRow="0" w:lastRow="0" w:firstColumn="0" w:lastColumn="0" w:oddVBand="0" w:evenVBand="0" w:oddHBand="1" w:evenHBand="0" w:firstRowFirstColumn="0" w:firstRowLastColumn="0" w:lastRowFirstColumn="0" w:lastRowLastColumn="0"/>
              <w:rPr>
                <w:szCs w:val="18"/>
              </w:rPr>
            </w:pPr>
          </w:p>
        </w:tc>
        <w:tc>
          <w:tcPr>
            <w:tcW w:w="3113" w:type="dxa"/>
          </w:tcPr>
          <w:p w14:paraId="2FFDE735" w14:textId="77777777" w:rsidR="001B7F07"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792BC4">
              <w:rPr>
                <w:szCs w:val="18"/>
              </w:rPr>
              <w:t xml:space="preserve">Over het algemeen </w:t>
            </w:r>
            <w:r w:rsidRPr="006372CE">
              <w:rPr>
                <w:b/>
                <w:szCs w:val="18"/>
              </w:rPr>
              <w:t>retroactieve werking</w:t>
            </w:r>
          </w:p>
          <w:p w14:paraId="3A9B96B3" w14:textId="77777777" w:rsidR="001B7F07" w:rsidRDefault="001B7F07" w:rsidP="00260F11">
            <w:pPr>
              <w:pStyle w:val="ListParagraph"/>
              <w:spacing w:line="360" w:lineRule="auto"/>
              <w:ind w:left="181"/>
              <w:jc w:val="left"/>
              <w:cnfStyle w:val="000000100000" w:firstRow="0" w:lastRow="0" w:firstColumn="0" w:lastColumn="0" w:oddVBand="0" w:evenVBand="0" w:oddHBand="1" w:evenHBand="0" w:firstRowFirstColumn="0" w:firstRowLastColumn="0" w:lastRowFirstColumn="0" w:lastRowLastColumn="0"/>
              <w:rPr>
                <w:szCs w:val="18"/>
              </w:rPr>
            </w:pPr>
          </w:p>
          <w:p w14:paraId="7DF11E93" w14:textId="77777777" w:rsidR="001B7F07" w:rsidRPr="00792BC4" w:rsidRDefault="001B7F07" w:rsidP="00260F11">
            <w:pPr>
              <w:pStyle w:val="ListParagraph"/>
              <w:numPr>
                <w:ilvl w:val="0"/>
                <w:numId w:val="19"/>
              </w:numPr>
              <w:spacing w:line="360" w:lineRule="auto"/>
              <w:ind w:left="181" w:hanging="181"/>
              <w:jc w:val="left"/>
              <w:cnfStyle w:val="000000100000" w:firstRow="0" w:lastRow="0" w:firstColumn="0" w:lastColumn="0" w:oddVBand="0" w:evenVBand="0" w:oddHBand="1" w:evenHBand="0" w:firstRowFirstColumn="0" w:firstRowLastColumn="0" w:lastRowFirstColumn="0" w:lastRowLastColumn="0"/>
              <w:rPr>
                <w:szCs w:val="18"/>
              </w:rPr>
            </w:pPr>
            <w:r w:rsidRPr="00792BC4">
              <w:rPr>
                <w:szCs w:val="18"/>
              </w:rPr>
              <w:sym w:font="Wingdings" w:char="F0DF"/>
            </w:r>
            <w:r w:rsidRPr="00792BC4">
              <w:rPr>
                <w:szCs w:val="18"/>
              </w:rPr>
              <w:sym w:font="Wingdings" w:char="F0E0"/>
            </w:r>
            <w:r>
              <w:rPr>
                <w:szCs w:val="18"/>
              </w:rPr>
              <w:t xml:space="preserve"> </w:t>
            </w:r>
            <w:r w:rsidRPr="00792BC4">
              <w:rPr>
                <w:szCs w:val="18"/>
              </w:rPr>
              <w:t>M.b.t. het feit dat toestemming op elk ogenblik kan worden ingetrokken:</w:t>
            </w:r>
          </w:p>
          <w:p w14:paraId="304D2B60" w14:textId="77777777" w:rsidR="001B7F07" w:rsidRPr="00FD4F96" w:rsidRDefault="000F2201" w:rsidP="00260F11">
            <w:pPr>
              <w:pStyle w:val="ListParagraph"/>
              <w:numPr>
                <w:ilvl w:val="1"/>
                <w:numId w:val="19"/>
              </w:numPr>
              <w:spacing w:line="360" w:lineRule="auto"/>
              <w:ind w:left="468" w:hanging="284"/>
              <w:jc w:val="left"/>
              <w:cnfStyle w:val="000000100000" w:firstRow="0" w:lastRow="0" w:firstColumn="0" w:lastColumn="0" w:oddVBand="0" w:evenVBand="0" w:oddHBand="1" w:evenHBand="0" w:firstRowFirstColumn="0" w:firstRowLastColumn="0" w:lastRowFirstColumn="0" w:lastRowLastColumn="0"/>
              <w:rPr>
                <w:szCs w:val="18"/>
              </w:rPr>
            </w:pPr>
            <w:r>
              <w:rPr>
                <w:szCs w:val="18"/>
              </w:rPr>
              <w:t xml:space="preserve">Zie kolom m.b.t. de materiële gedraging </w:t>
            </w:r>
            <w:r>
              <w:rPr>
                <w:i/>
                <w:szCs w:val="18"/>
              </w:rPr>
              <w:t>sensu stricto.</w:t>
            </w:r>
          </w:p>
          <w:p w14:paraId="715B4542" w14:textId="1E5EA784" w:rsidR="00FD4F96" w:rsidRPr="00FD4F96" w:rsidRDefault="00FD4F96" w:rsidP="00260F11">
            <w:pPr>
              <w:spacing w:line="360" w:lineRule="auto"/>
              <w:ind w:left="184"/>
              <w:jc w:val="left"/>
              <w:cnfStyle w:val="000000100000" w:firstRow="0" w:lastRow="0" w:firstColumn="0" w:lastColumn="0" w:oddVBand="0" w:evenVBand="0" w:oddHBand="1" w:evenHBand="0" w:firstRowFirstColumn="0" w:firstRowLastColumn="0" w:lastRowFirstColumn="0" w:lastRowLastColumn="0"/>
              <w:rPr>
                <w:szCs w:val="18"/>
              </w:rPr>
            </w:pPr>
          </w:p>
        </w:tc>
      </w:tr>
      <w:tr w:rsidR="001B7F07" w:rsidRPr="00AD1F89" w14:paraId="194D9273" w14:textId="77777777" w:rsidTr="00D32213">
        <w:tc>
          <w:tcPr>
            <w:cnfStyle w:val="001000000000" w:firstRow="0" w:lastRow="0" w:firstColumn="1" w:lastColumn="0" w:oddVBand="0" w:evenVBand="0" w:oddHBand="0" w:evenHBand="0" w:firstRowFirstColumn="0" w:firstRowLastColumn="0" w:lastRowFirstColumn="0" w:lastRowLastColumn="0"/>
            <w:tcW w:w="2263" w:type="dxa"/>
          </w:tcPr>
          <w:p w14:paraId="32BA7B5B" w14:textId="77777777" w:rsidR="001B7F07" w:rsidRPr="00AD1F89" w:rsidRDefault="001B7F07" w:rsidP="00260F11">
            <w:pPr>
              <w:spacing w:line="360" w:lineRule="auto"/>
              <w:rPr>
                <w:szCs w:val="18"/>
              </w:rPr>
            </w:pPr>
            <w:r w:rsidRPr="00AD1F89">
              <w:rPr>
                <w:szCs w:val="18"/>
              </w:rPr>
              <w:t>Moreel bestanddeel</w:t>
            </w:r>
          </w:p>
        </w:tc>
        <w:tc>
          <w:tcPr>
            <w:tcW w:w="3686" w:type="dxa"/>
          </w:tcPr>
          <w:p w14:paraId="371B3005" w14:textId="77777777" w:rsidR="001B7F07" w:rsidRPr="00AD1F89"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Pr>
                <w:szCs w:val="18"/>
              </w:rPr>
              <w:t>Geen inhoudelijk verschil</w:t>
            </w:r>
          </w:p>
        </w:tc>
        <w:tc>
          <w:tcPr>
            <w:tcW w:w="3113" w:type="dxa"/>
          </w:tcPr>
          <w:p w14:paraId="290E011E" w14:textId="6A728CDE" w:rsidR="00FD4F96" w:rsidRPr="006372CE"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b/>
                <w:szCs w:val="18"/>
              </w:rPr>
            </w:pPr>
            <w:r w:rsidRPr="006372CE">
              <w:rPr>
                <w:b/>
                <w:szCs w:val="18"/>
              </w:rPr>
              <w:t>Retroactieve werking</w:t>
            </w:r>
          </w:p>
        </w:tc>
      </w:tr>
    </w:tbl>
    <w:p w14:paraId="2C14DF34" w14:textId="77777777" w:rsidR="003102B0" w:rsidRDefault="003102B0" w:rsidP="00260F11">
      <w:pPr>
        <w:pStyle w:val="ListParagraph"/>
        <w:numPr>
          <w:ilvl w:val="0"/>
          <w:numId w:val="18"/>
        </w:numPr>
        <w:spacing w:line="360" w:lineRule="auto"/>
        <w:rPr>
          <w:b/>
          <w:szCs w:val="18"/>
        </w:rPr>
      </w:pPr>
      <w:r>
        <w:rPr>
          <w:b/>
          <w:szCs w:val="18"/>
        </w:rPr>
        <w:lastRenderedPageBreak/>
        <w:t>Leeftijd seksuele meerderjarigheid</w:t>
      </w:r>
    </w:p>
    <w:p w14:paraId="1583CA60" w14:textId="755A9254" w:rsidR="003F5C1E" w:rsidRDefault="003F5C1E" w:rsidP="00260F11">
      <w:pPr>
        <w:spacing w:line="360" w:lineRule="auto"/>
        <w:rPr>
          <w:szCs w:val="18"/>
          <w:lang w:val="nl-NL"/>
        </w:rPr>
      </w:pPr>
    </w:p>
    <w:tbl>
      <w:tblPr>
        <w:tblStyle w:val="GridTable4-Accent3"/>
        <w:tblW w:w="0" w:type="auto"/>
        <w:tblLook w:val="04A0" w:firstRow="1" w:lastRow="0" w:firstColumn="1" w:lastColumn="0" w:noHBand="0" w:noVBand="1"/>
      </w:tblPr>
      <w:tblGrid>
        <w:gridCol w:w="3020"/>
        <w:gridCol w:w="3021"/>
        <w:gridCol w:w="3021"/>
      </w:tblGrid>
      <w:tr w:rsidR="001B7F07" w:rsidRPr="00AD1F89" w14:paraId="436E3456" w14:textId="77777777" w:rsidTr="00A408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05D1C18" w14:textId="77777777" w:rsidR="001B7F07" w:rsidRPr="00AD1F89" w:rsidRDefault="001B7F07" w:rsidP="00260F11">
            <w:pPr>
              <w:spacing w:line="360" w:lineRule="auto"/>
              <w:rPr>
                <w:szCs w:val="18"/>
              </w:rPr>
            </w:pPr>
            <w:r w:rsidRPr="00AD1F89">
              <w:rPr>
                <w:szCs w:val="18"/>
              </w:rPr>
              <w:t>Leeftijd slachtoffer</w:t>
            </w:r>
          </w:p>
        </w:tc>
        <w:tc>
          <w:tcPr>
            <w:tcW w:w="3021" w:type="dxa"/>
          </w:tcPr>
          <w:p w14:paraId="6F0B9E7B" w14:textId="77777777" w:rsidR="001B7F07" w:rsidRPr="00AD1F89" w:rsidRDefault="001B7F07"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Verschil t.o.v. oude strafbaarstelling?</w:t>
            </w:r>
          </w:p>
        </w:tc>
        <w:tc>
          <w:tcPr>
            <w:tcW w:w="3021" w:type="dxa"/>
          </w:tcPr>
          <w:p w14:paraId="2BCBC5C0" w14:textId="77777777" w:rsidR="001B7F07" w:rsidRPr="00AD1F89" w:rsidRDefault="001B7F07" w:rsidP="00260F11">
            <w:pPr>
              <w:spacing w:line="360" w:lineRule="auto"/>
              <w:cnfStyle w:val="100000000000" w:firstRow="1" w:lastRow="0" w:firstColumn="0" w:lastColumn="0" w:oddVBand="0" w:evenVBand="0" w:oddHBand="0" w:evenHBand="0" w:firstRowFirstColumn="0" w:firstRowLastColumn="0" w:lastRowFirstColumn="0" w:lastRowLastColumn="0"/>
              <w:rPr>
                <w:szCs w:val="18"/>
              </w:rPr>
            </w:pPr>
            <w:r w:rsidRPr="00AD1F89">
              <w:rPr>
                <w:szCs w:val="18"/>
              </w:rPr>
              <w:t>Temporele werking</w:t>
            </w:r>
          </w:p>
        </w:tc>
      </w:tr>
      <w:tr w:rsidR="001B7F07" w:rsidRPr="00AD1F89" w14:paraId="54A3AB4B" w14:textId="77777777" w:rsidTr="00A40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5DA9C0F" w14:textId="77777777" w:rsidR="001B7F07" w:rsidRPr="00AD1F89" w:rsidRDefault="001B7F07" w:rsidP="00260F11">
            <w:pPr>
              <w:spacing w:line="360" w:lineRule="auto"/>
              <w:jc w:val="left"/>
              <w:rPr>
                <w:szCs w:val="18"/>
              </w:rPr>
            </w:pPr>
            <w:r w:rsidRPr="00AD1F89">
              <w:rPr>
                <w:szCs w:val="18"/>
              </w:rPr>
              <w:t xml:space="preserve">Principe: </w:t>
            </w:r>
            <w:r w:rsidRPr="00AD1F89">
              <w:rPr>
                <w:b w:val="0"/>
                <w:szCs w:val="18"/>
              </w:rPr>
              <w:t>vanaf zestien jaar</w:t>
            </w:r>
          </w:p>
        </w:tc>
        <w:tc>
          <w:tcPr>
            <w:tcW w:w="3021" w:type="dxa"/>
          </w:tcPr>
          <w:p w14:paraId="5EA1DCF7" w14:textId="77777777" w:rsidR="001B7F07" w:rsidRPr="00AD1F89" w:rsidRDefault="001B7F0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r w:rsidRPr="00AD1F89">
              <w:rPr>
                <w:szCs w:val="18"/>
              </w:rPr>
              <w:t>Verstrenging</w:t>
            </w:r>
          </w:p>
        </w:tc>
        <w:tc>
          <w:tcPr>
            <w:tcW w:w="3021" w:type="dxa"/>
          </w:tcPr>
          <w:p w14:paraId="02A6D0C4" w14:textId="77777777" w:rsidR="001B7F07" w:rsidRPr="006372CE" w:rsidRDefault="001B7F07" w:rsidP="00260F11">
            <w:pPr>
              <w:spacing w:line="360" w:lineRule="auto"/>
              <w:jc w:val="left"/>
              <w:cnfStyle w:val="000000100000" w:firstRow="0" w:lastRow="0" w:firstColumn="0" w:lastColumn="0" w:oddVBand="0" w:evenVBand="0" w:oddHBand="1" w:evenHBand="0" w:firstRowFirstColumn="0" w:firstRowLastColumn="0" w:lastRowFirstColumn="0" w:lastRowLastColumn="0"/>
              <w:rPr>
                <w:b/>
                <w:szCs w:val="18"/>
              </w:rPr>
            </w:pPr>
            <w:r w:rsidRPr="006372CE">
              <w:rPr>
                <w:b/>
                <w:szCs w:val="18"/>
              </w:rPr>
              <w:t xml:space="preserve">Verboden </w:t>
            </w:r>
            <w:r w:rsidRPr="006372CE">
              <w:rPr>
                <w:szCs w:val="18"/>
              </w:rPr>
              <w:t>retroactieve werking</w:t>
            </w:r>
          </w:p>
        </w:tc>
      </w:tr>
      <w:tr w:rsidR="001B7F07" w:rsidRPr="00AD1F89" w14:paraId="45D1DC9F" w14:textId="77777777" w:rsidTr="00A408E4">
        <w:tc>
          <w:tcPr>
            <w:cnfStyle w:val="001000000000" w:firstRow="0" w:lastRow="0" w:firstColumn="1" w:lastColumn="0" w:oddVBand="0" w:evenVBand="0" w:oddHBand="0" w:evenHBand="0" w:firstRowFirstColumn="0" w:firstRowLastColumn="0" w:lastRowFirstColumn="0" w:lastRowLastColumn="0"/>
            <w:tcW w:w="3020" w:type="dxa"/>
          </w:tcPr>
          <w:p w14:paraId="25EF5004" w14:textId="77777777" w:rsidR="001B7F07" w:rsidRPr="00AD1F89" w:rsidRDefault="001B7F07" w:rsidP="00260F11">
            <w:pPr>
              <w:spacing w:line="360" w:lineRule="auto"/>
              <w:rPr>
                <w:szCs w:val="18"/>
              </w:rPr>
            </w:pPr>
            <w:r w:rsidRPr="00AD1F89">
              <w:rPr>
                <w:szCs w:val="18"/>
              </w:rPr>
              <w:t xml:space="preserve">Uitzondering: </w:t>
            </w:r>
            <w:r w:rsidRPr="00AD1F89">
              <w:rPr>
                <w:b w:val="0"/>
                <w:szCs w:val="18"/>
              </w:rPr>
              <w:t>vanaf veertien jaar indien…</w:t>
            </w:r>
          </w:p>
        </w:tc>
        <w:tc>
          <w:tcPr>
            <w:tcW w:w="3021" w:type="dxa"/>
          </w:tcPr>
          <w:p w14:paraId="68DD65EB" w14:textId="77777777" w:rsidR="001B7F07" w:rsidRPr="00AD1F89"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szCs w:val="18"/>
              </w:rPr>
            </w:pPr>
            <w:r w:rsidRPr="00AD1F89">
              <w:rPr>
                <w:szCs w:val="18"/>
              </w:rPr>
              <w:t>Geen inhoudelijk verschil met principe onder oud recht</w:t>
            </w:r>
          </w:p>
        </w:tc>
        <w:tc>
          <w:tcPr>
            <w:tcW w:w="3021" w:type="dxa"/>
          </w:tcPr>
          <w:p w14:paraId="109BD89E" w14:textId="77777777" w:rsidR="001B7F07" w:rsidRPr="006372CE" w:rsidRDefault="001B7F07" w:rsidP="00260F11">
            <w:pPr>
              <w:spacing w:line="360" w:lineRule="auto"/>
              <w:cnfStyle w:val="000000000000" w:firstRow="0" w:lastRow="0" w:firstColumn="0" w:lastColumn="0" w:oddVBand="0" w:evenVBand="0" w:oddHBand="0" w:evenHBand="0" w:firstRowFirstColumn="0" w:firstRowLastColumn="0" w:lastRowFirstColumn="0" w:lastRowLastColumn="0"/>
              <w:rPr>
                <w:b/>
                <w:szCs w:val="18"/>
              </w:rPr>
            </w:pPr>
            <w:r w:rsidRPr="006372CE">
              <w:rPr>
                <w:b/>
                <w:szCs w:val="18"/>
              </w:rPr>
              <w:t>Retroactieve werking</w:t>
            </w:r>
          </w:p>
        </w:tc>
      </w:tr>
      <w:tr w:rsidR="001B7F07" w:rsidRPr="00AD1F89" w14:paraId="66528E05" w14:textId="77777777" w:rsidTr="00A408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F099495" w14:textId="77777777" w:rsidR="001B7F07" w:rsidRPr="00AD1F89" w:rsidRDefault="001B7F07" w:rsidP="00260F11">
            <w:pPr>
              <w:spacing w:line="360" w:lineRule="auto"/>
              <w:jc w:val="left"/>
              <w:rPr>
                <w:szCs w:val="18"/>
              </w:rPr>
            </w:pPr>
            <w:r w:rsidRPr="00AD1F89">
              <w:rPr>
                <w:szCs w:val="18"/>
              </w:rPr>
              <w:t xml:space="preserve">Uitzondering: </w:t>
            </w:r>
            <w:r w:rsidRPr="00AD1F89">
              <w:rPr>
                <w:b w:val="0"/>
                <w:szCs w:val="18"/>
              </w:rPr>
              <w:t>vanaf achttien jaar indien…</w:t>
            </w:r>
          </w:p>
        </w:tc>
        <w:tc>
          <w:tcPr>
            <w:tcW w:w="3021" w:type="dxa"/>
          </w:tcPr>
          <w:p w14:paraId="4D95E348" w14:textId="77777777" w:rsidR="001B7F07" w:rsidRPr="00AD1F89" w:rsidRDefault="001B7F0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r w:rsidRPr="00AD1F89">
              <w:rPr>
                <w:i/>
                <w:szCs w:val="18"/>
              </w:rPr>
              <w:t xml:space="preserve">In concreto, </w:t>
            </w:r>
            <w:r w:rsidRPr="00AD1F89">
              <w:rPr>
                <w:szCs w:val="18"/>
              </w:rPr>
              <w:t>daderhoedanigheid per daderhoedanigheid</w:t>
            </w:r>
            <w:r w:rsidRPr="00AD1F89">
              <w:rPr>
                <w:i/>
                <w:szCs w:val="18"/>
              </w:rPr>
              <w:t xml:space="preserve"> </w:t>
            </w:r>
            <w:r w:rsidRPr="00AD1F89">
              <w:rPr>
                <w:szCs w:val="18"/>
              </w:rPr>
              <w:t>bekijken.</w:t>
            </w:r>
          </w:p>
        </w:tc>
        <w:tc>
          <w:tcPr>
            <w:tcW w:w="3021" w:type="dxa"/>
          </w:tcPr>
          <w:p w14:paraId="0A3D221E" w14:textId="77777777" w:rsidR="001B7F07" w:rsidRPr="00AD1F89" w:rsidRDefault="001B7F07" w:rsidP="00260F11">
            <w:pPr>
              <w:spacing w:line="360" w:lineRule="auto"/>
              <w:jc w:val="left"/>
              <w:cnfStyle w:val="000000100000" w:firstRow="0" w:lastRow="0" w:firstColumn="0" w:lastColumn="0" w:oddVBand="0" w:evenVBand="0" w:oddHBand="1" w:evenHBand="0" w:firstRowFirstColumn="0" w:firstRowLastColumn="0" w:lastRowFirstColumn="0" w:lastRowLastColumn="0"/>
              <w:rPr>
                <w:szCs w:val="18"/>
              </w:rPr>
            </w:pPr>
            <w:r w:rsidRPr="006372CE">
              <w:rPr>
                <w:b/>
                <w:i/>
                <w:szCs w:val="18"/>
              </w:rPr>
              <w:t>In concreto</w:t>
            </w:r>
            <w:r w:rsidRPr="00AD1F89">
              <w:rPr>
                <w:i/>
                <w:szCs w:val="18"/>
              </w:rPr>
              <w:t xml:space="preserve">, </w:t>
            </w:r>
            <w:r w:rsidRPr="00AD1F89">
              <w:rPr>
                <w:szCs w:val="18"/>
              </w:rPr>
              <w:t>daderhoedanigheid per daderhoedanigheid</w:t>
            </w:r>
            <w:r w:rsidRPr="00AD1F89">
              <w:rPr>
                <w:i/>
                <w:szCs w:val="18"/>
              </w:rPr>
              <w:t xml:space="preserve"> </w:t>
            </w:r>
            <w:r w:rsidRPr="00AD1F89">
              <w:rPr>
                <w:szCs w:val="18"/>
              </w:rPr>
              <w:t>bekijken.</w:t>
            </w:r>
          </w:p>
        </w:tc>
      </w:tr>
    </w:tbl>
    <w:p w14:paraId="2EAC94E1" w14:textId="0568E0E8" w:rsidR="001B7F07" w:rsidRDefault="001B7F07" w:rsidP="00260F11">
      <w:pPr>
        <w:spacing w:line="360" w:lineRule="auto"/>
        <w:rPr>
          <w:szCs w:val="18"/>
          <w:lang w:val="nl-NL"/>
        </w:rPr>
      </w:pPr>
    </w:p>
    <w:p w14:paraId="2388D450" w14:textId="5345C519" w:rsidR="00AB488D" w:rsidRDefault="00AB488D" w:rsidP="00260F11">
      <w:pPr>
        <w:spacing w:line="360" w:lineRule="auto"/>
        <w:rPr>
          <w:szCs w:val="18"/>
          <w:lang w:val="nl-NL"/>
        </w:rPr>
      </w:pPr>
      <w:r>
        <w:rPr>
          <w:szCs w:val="18"/>
          <w:lang w:val="nl-NL"/>
        </w:rPr>
        <w:br w:type="page"/>
      </w:r>
    </w:p>
    <w:p w14:paraId="0D07CEFF" w14:textId="0AF80B2C" w:rsidR="00A01380" w:rsidRPr="009C29A6" w:rsidRDefault="00AB488D" w:rsidP="00260F11">
      <w:pPr>
        <w:spacing w:line="360" w:lineRule="auto"/>
        <w:rPr>
          <w:b/>
          <w:szCs w:val="18"/>
          <w:lang w:val="fr-FR"/>
        </w:rPr>
      </w:pPr>
      <w:r w:rsidRPr="009C29A6">
        <w:rPr>
          <w:b/>
          <w:szCs w:val="18"/>
          <w:lang w:val="fr-FR"/>
        </w:rPr>
        <w:lastRenderedPageBreak/>
        <w:t xml:space="preserve">BIJLAGE 4: </w:t>
      </w:r>
      <w:r w:rsidR="00491862" w:rsidRPr="009C29A6">
        <w:rPr>
          <w:b/>
          <w:szCs w:val="18"/>
          <w:lang w:val="fr-FR"/>
        </w:rPr>
        <w:t xml:space="preserve">RELEVANTE </w:t>
      </w:r>
      <w:r w:rsidR="00F16DFD" w:rsidRPr="009C29A6">
        <w:rPr>
          <w:b/>
          <w:i/>
          <w:szCs w:val="18"/>
          <w:lang w:val="fr-FR"/>
        </w:rPr>
        <w:t>SECTIONS</w:t>
      </w:r>
      <w:r w:rsidR="00F16DFD" w:rsidRPr="009C29A6">
        <w:rPr>
          <w:b/>
          <w:szCs w:val="18"/>
          <w:lang w:val="fr-FR"/>
        </w:rPr>
        <w:t xml:space="preserve"> </w:t>
      </w:r>
      <w:r w:rsidR="00491862" w:rsidRPr="009C29A6">
        <w:rPr>
          <w:b/>
          <w:szCs w:val="18"/>
          <w:lang w:val="fr-FR"/>
        </w:rPr>
        <w:t xml:space="preserve">UIT DE </w:t>
      </w:r>
      <w:r w:rsidR="00A01380" w:rsidRPr="009C29A6">
        <w:rPr>
          <w:b/>
          <w:i/>
          <w:szCs w:val="18"/>
          <w:lang w:val="fr-FR"/>
        </w:rPr>
        <w:t>SEXUAL OFFENCES ACT</w:t>
      </w:r>
      <w:r w:rsidR="00F16DFD" w:rsidRPr="00491862">
        <w:rPr>
          <w:rStyle w:val="FootnoteReference"/>
          <w:szCs w:val="18"/>
          <w:lang w:val="nl-NL"/>
        </w:rPr>
        <w:footnoteReference w:id="719"/>
      </w:r>
    </w:p>
    <w:p w14:paraId="3714ECCB" w14:textId="77777777" w:rsidR="00F16DFD" w:rsidRPr="009C29A6" w:rsidRDefault="00F16DFD" w:rsidP="00260F11">
      <w:pPr>
        <w:spacing w:line="360" w:lineRule="auto"/>
        <w:rPr>
          <w:b/>
          <w:szCs w:val="18"/>
          <w:lang w:val="fr-FR"/>
        </w:rPr>
      </w:pPr>
    </w:p>
    <w:p w14:paraId="296B256D" w14:textId="1561F3B1" w:rsidR="00F16DFD" w:rsidRPr="009C29A6" w:rsidRDefault="00F16DFD" w:rsidP="00260F11">
      <w:pPr>
        <w:spacing w:line="360" w:lineRule="auto"/>
        <w:rPr>
          <w:b/>
          <w:i/>
          <w:szCs w:val="18"/>
          <w:lang w:val="en-GB"/>
        </w:rPr>
      </w:pPr>
      <w:r w:rsidRPr="009C29A6">
        <w:rPr>
          <w:b/>
          <w:i/>
          <w:szCs w:val="18"/>
          <w:lang w:val="en-GB"/>
        </w:rPr>
        <w:t>Section 1</w:t>
      </w:r>
      <w:r w:rsidR="00801494" w:rsidRPr="009C29A6">
        <w:rPr>
          <w:b/>
          <w:i/>
          <w:szCs w:val="18"/>
          <w:lang w:val="en-GB"/>
        </w:rPr>
        <w:t xml:space="preserve">: Rape </w:t>
      </w:r>
    </w:p>
    <w:p w14:paraId="4D723AAA" w14:textId="77777777" w:rsidR="00F16DFD" w:rsidRPr="009C29A6" w:rsidRDefault="00F16DFD" w:rsidP="00260F11">
      <w:pPr>
        <w:pStyle w:val="ListParagraph"/>
        <w:spacing w:line="360" w:lineRule="auto"/>
        <w:ind w:left="0"/>
        <w:rPr>
          <w:color w:val="000000" w:themeColor="text1"/>
          <w:szCs w:val="18"/>
          <w:lang w:val="en-GB"/>
        </w:rPr>
      </w:pPr>
      <w:r w:rsidRPr="009C29A6">
        <w:rPr>
          <w:i/>
          <w:color w:val="000000" w:themeColor="text1"/>
          <w:szCs w:val="18"/>
          <w:lang w:val="en-GB"/>
        </w:rPr>
        <w:t>“(1) A person (A) commits an offence if–</w:t>
      </w:r>
    </w:p>
    <w:p w14:paraId="32417064"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(a) he intentionally penetrates the vagina, anus or mouth of another person (B) with his penis,</w:t>
      </w:r>
    </w:p>
    <w:p w14:paraId="138174A3"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(b) B does not consent to the penetration, and</w:t>
      </w:r>
    </w:p>
    <w:p w14:paraId="0281ED1E" w14:textId="7EB69EAF" w:rsidR="00F16DFD" w:rsidRPr="009C29A6" w:rsidRDefault="00F16DFD" w:rsidP="00260F11">
      <w:pPr>
        <w:spacing w:line="360" w:lineRule="auto"/>
        <w:rPr>
          <w:szCs w:val="18"/>
          <w:lang w:val="en-GB"/>
        </w:rPr>
      </w:pPr>
      <w:r w:rsidRPr="009C29A6">
        <w:rPr>
          <w:i/>
          <w:color w:val="000000" w:themeColor="text1"/>
          <w:szCs w:val="18"/>
          <w:lang w:val="en-GB"/>
        </w:rPr>
        <w:t>(c) A does not reasonably believe that B consents. (...)</w:t>
      </w:r>
      <w:r w:rsidR="00491862" w:rsidRPr="009C29A6">
        <w:rPr>
          <w:i/>
          <w:color w:val="000000" w:themeColor="text1"/>
          <w:szCs w:val="18"/>
          <w:lang w:val="en-GB"/>
        </w:rPr>
        <w:t>.</w:t>
      </w:r>
      <w:r w:rsidRPr="009C29A6">
        <w:rPr>
          <w:i/>
          <w:color w:val="000000" w:themeColor="text1"/>
          <w:szCs w:val="18"/>
          <w:lang w:val="en-GB"/>
        </w:rPr>
        <w:t xml:space="preserve">” </w:t>
      </w:r>
    </w:p>
    <w:p w14:paraId="7E3622FD" w14:textId="153A2B42" w:rsidR="00F16DFD" w:rsidRPr="009C29A6" w:rsidRDefault="00F16DFD" w:rsidP="00260F11">
      <w:pPr>
        <w:spacing w:line="360" w:lineRule="auto"/>
        <w:rPr>
          <w:b/>
          <w:szCs w:val="18"/>
          <w:lang w:val="en-GB"/>
        </w:rPr>
      </w:pPr>
    </w:p>
    <w:p w14:paraId="739A4F07" w14:textId="20CA90F6" w:rsidR="00F16DFD" w:rsidRPr="009C29A6" w:rsidRDefault="00F16DFD" w:rsidP="00260F11">
      <w:pPr>
        <w:spacing w:line="360" w:lineRule="auto"/>
        <w:rPr>
          <w:b/>
          <w:i/>
          <w:szCs w:val="18"/>
          <w:lang w:val="en-GB"/>
        </w:rPr>
      </w:pPr>
      <w:r w:rsidRPr="009C29A6">
        <w:rPr>
          <w:b/>
          <w:i/>
          <w:szCs w:val="18"/>
          <w:lang w:val="en-GB"/>
        </w:rPr>
        <w:t>Section 2</w:t>
      </w:r>
      <w:r w:rsidR="00801494" w:rsidRPr="009C29A6">
        <w:rPr>
          <w:b/>
          <w:i/>
          <w:szCs w:val="18"/>
          <w:lang w:val="en-GB"/>
        </w:rPr>
        <w:t>: Assault by penetration</w:t>
      </w:r>
    </w:p>
    <w:p w14:paraId="54FFB250" w14:textId="77777777" w:rsidR="00F16DFD" w:rsidRPr="009C29A6" w:rsidRDefault="00F16DFD" w:rsidP="00260F11">
      <w:pPr>
        <w:pStyle w:val="ListParagraph"/>
        <w:spacing w:line="360" w:lineRule="auto"/>
        <w:ind w:left="0"/>
        <w:rPr>
          <w:color w:val="000000" w:themeColor="text1"/>
          <w:szCs w:val="18"/>
          <w:lang w:val="en-GB"/>
        </w:rPr>
      </w:pPr>
      <w:r w:rsidRPr="009C29A6">
        <w:rPr>
          <w:i/>
          <w:color w:val="000000" w:themeColor="text1"/>
          <w:szCs w:val="18"/>
          <w:lang w:val="en-GB"/>
        </w:rPr>
        <w:t>“(1) A person (A) commits an offence if—</w:t>
      </w:r>
    </w:p>
    <w:p w14:paraId="706879A1"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(a) he intentionally penetrates the vagina or anus of another person (B) with a part of his body or anything else,</w:t>
      </w:r>
    </w:p>
    <w:p w14:paraId="730F1C22"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(b) the penetration is sexual,</w:t>
      </w:r>
    </w:p>
    <w:p w14:paraId="25B72DED"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(c) B does not consent to the penetration, and</w:t>
      </w:r>
    </w:p>
    <w:p w14:paraId="72D65B2C" w14:textId="7DAD5C30" w:rsidR="00F16DFD" w:rsidRPr="009C29A6" w:rsidRDefault="00F16DFD" w:rsidP="00260F11">
      <w:pPr>
        <w:spacing w:line="360" w:lineRule="auto"/>
        <w:rPr>
          <w:b/>
          <w:szCs w:val="18"/>
          <w:lang w:val="en-GB"/>
        </w:rPr>
      </w:pPr>
      <w:r w:rsidRPr="009C29A6">
        <w:rPr>
          <w:i/>
          <w:color w:val="000000" w:themeColor="text1"/>
          <w:szCs w:val="18"/>
          <w:lang w:val="en-GB"/>
        </w:rPr>
        <w:t>(d) A does not reasonably believe that B consents. (...)</w:t>
      </w:r>
      <w:r w:rsidR="00491862" w:rsidRPr="009C29A6">
        <w:rPr>
          <w:i/>
          <w:color w:val="000000" w:themeColor="text1"/>
          <w:szCs w:val="18"/>
          <w:lang w:val="en-GB"/>
        </w:rPr>
        <w:t>.</w:t>
      </w:r>
      <w:r w:rsidRPr="009C29A6">
        <w:rPr>
          <w:i/>
          <w:color w:val="000000" w:themeColor="text1"/>
          <w:szCs w:val="18"/>
          <w:lang w:val="en-GB"/>
        </w:rPr>
        <w:t>”</w:t>
      </w:r>
    </w:p>
    <w:p w14:paraId="299235F2" w14:textId="77777777" w:rsidR="00F16DFD" w:rsidRPr="009C29A6" w:rsidRDefault="00F16DFD" w:rsidP="00260F11">
      <w:pPr>
        <w:spacing w:line="360" w:lineRule="auto"/>
        <w:rPr>
          <w:b/>
          <w:szCs w:val="18"/>
          <w:lang w:val="en-GB"/>
        </w:rPr>
      </w:pPr>
    </w:p>
    <w:p w14:paraId="78F1C6A3" w14:textId="54348806" w:rsidR="00F16DFD" w:rsidRPr="009C29A6" w:rsidRDefault="00801494" w:rsidP="00260F11">
      <w:pPr>
        <w:spacing w:line="360" w:lineRule="auto"/>
        <w:rPr>
          <w:b/>
          <w:i/>
          <w:szCs w:val="18"/>
          <w:lang w:val="en-GB"/>
        </w:rPr>
      </w:pPr>
      <w:r w:rsidRPr="009C29A6">
        <w:rPr>
          <w:b/>
          <w:i/>
          <w:szCs w:val="18"/>
          <w:lang w:val="en-GB"/>
        </w:rPr>
        <w:t xml:space="preserve">Section </w:t>
      </w:r>
      <w:r w:rsidR="00F16DFD" w:rsidRPr="009C29A6">
        <w:rPr>
          <w:b/>
          <w:i/>
          <w:szCs w:val="18"/>
          <w:lang w:val="en-GB"/>
        </w:rPr>
        <w:t>3:</w:t>
      </w:r>
      <w:r w:rsidR="00491862" w:rsidRPr="009C29A6">
        <w:rPr>
          <w:b/>
          <w:i/>
          <w:szCs w:val="18"/>
          <w:lang w:val="en-GB"/>
        </w:rPr>
        <w:t xml:space="preserve"> Sexual Assault</w:t>
      </w:r>
    </w:p>
    <w:p w14:paraId="66BF8379"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“(1) A person (A) commits an offence if—</w:t>
      </w:r>
    </w:p>
    <w:p w14:paraId="5C23ACF2"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(a) he intentionally touches another person (B),</w:t>
      </w:r>
    </w:p>
    <w:p w14:paraId="5FAEA0A5"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(b) the touching is sexual,</w:t>
      </w:r>
    </w:p>
    <w:p w14:paraId="4955C6E3"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(c) B does not consent to the touching, and</w:t>
      </w:r>
    </w:p>
    <w:p w14:paraId="31D81413" w14:textId="7938CCFC" w:rsidR="00F16DFD" w:rsidRPr="009C29A6" w:rsidRDefault="00F16DFD" w:rsidP="00260F11">
      <w:pPr>
        <w:spacing w:line="360" w:lineRule="auto"/>
        <w:rPr>
          <w:b/>
          <w:szCs w:val="18"/>
          <w:lang w:val="en-GB"/>
        </w:rPr>
      </w:pPr>
      <w:r w:rsidRPr="009C29A6">
        <w:rPr>
          <w:i/>
          <w:color w:val="000000" w:themeColor="text1"/>
          <w:szCs w:val="18"/>
          <w:lang w:val="en-GB"/>
        </w:rPr>
        <w:t>(d) A does not reasonably believe that B consents (…).”</w:t>
      </w:r>
      <w:r w:rsidRPr="009C29A6">
        <w:rPr>
          <w:color w:val="000000" w:themeColor="text1"/>
          <w:szCs w:val="18"/>
          <w:lang w:val="en-GB"/>
        </w:rPr>
        <w:t xml:space="preserve"> </w:t>
      </w:r>
    </w:p>
    <w:p w14:paraId="57D77E2A" w14:textId="02895126" w:rsidR="00F16DFD" w:rsidRPr="009C29A6" w:rsidRDefault="00F16DFD" w:rsidP="00260F11">
      <w:pPr>
        <w:spacing w:line="360" w:lineRule="auto"/>
        <w:rPr>
          <w:b/>
          <w:szCs w:val="18"/>
          <w:lang w:val="en-GB"/>
        </w:rPr>
      </w:pPr>
    </w:p>
    <w:p w14:paraId="68FADDD1" w14:textId="14140064" w:rsidR="00F16DFD" w:rsidRPr="009C29A6" w:rsidRDefault="00F16DFD" w:rsidP="00260F11">
      <w:pPr>
        <w:spacing w:line="360" w:lineRule="auto"/>
        <w:rPr>
          <w:b/>
          <w:i/>
          <w:szCs w:val="18"/>
          <w:lang w:val="en-GB"/>
        </w:rPr>
      </w:pPr>
      <w:r w:rsidRPr="009C29A6">
        <w:rPr>
          <w:b/>
          <w:i/>
          <w:szCs w:val="18"/>
          <w:lang w:val="en-GB"/>
        </w:rPr>
        <w:t>Section 4:</w:t>
      </w:r>
      <w:r w:rsidR="00491862" w:rsidRPr="009C29A6">
        <w:rPr>
          <w:b/>
          <w:i/>
          <w:szCs w:val="18"/>
          <w:lang w:val="en-GB"/>
        </w:rPr>
        <w:t xml:space="preserve"> Causing a person to engage in sexual activity without consent</w:t>
      </w:r>
    </w:p>
    <w:p w14:paraId="1A8320C6" w14:textId="77777777" w:rsidR="00F16DFD" w:rsidRPr="009C29A6" w:rsidRDefault="00F16DFD" w:rsidP="00260F11">
      <w:pPr>
        <w:pStyle w:val="ListParagraph"/>
        <w:spacing w:line="360" w:lineRule="auto"/>
        <w:ind w:left="0"/>
        <w:rPr>
          <w:color w:val="000000" w:themeColor="text1"/>
          <w:szCs w:val="18"/>
          <w:lang w:val="en-GB"/>
        </w:rPr>
      </w:pPr>
      <w:r w:rsidRPr="009C29A6">
        <w:rPr>
          <w:i/>
          <w:color w:val="000000" w:themeColor="text1"/>
          <w:szCs w:val="18"/>
          <w:lang w:val="en-GB"/>
        </w:rPr>
        <w:t>“(1) A person (A) commits an offence if—</w:t>
      </w:r>
    </w:p>
    <w:p w14:paraId="338D0F97"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(a) he intentionally causes another person (B) to engage in an activity,</w:t>
      </w:r>
    </w:p>
    <w:p w14:paraId="459BEE85"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(b) the activity is sexual,</w:t>
      </w:r>
    </w:p>
    <w:p w14:paraId="0A1A35EB"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(c) B does not consent to engaging in the activity, and</w:t>
      </w:r>
    </w:p>
    <w:p w14:paraId="2A93246E"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 xml:space="preserve">(d) A does not reasonably believe that B consents. (…) </w:t>
      </w:r>
    </w:p>
    <w:p w14:paraId="69E9624E" w14:textId="77777777" w:rsidR="00F16DFD" w:rsidRPr="009C29A6" w:rsidRDefault="00F16DFD" w:rsidP="00260F11">
      <w:pPr>
        <w:pStyle w:val="ListParagraph"/>
        <w:spacing w:line="360" w:lineRule="auto"/>
        <w:ind w:left="0"/>
        <w:rPr>
          <w:i/>
          <w:color w:val="000000" w:themeColor="text1"/>
          <w:szCs w:val="18"/>
          <w:lang w:val="en-GB"/>
        </w:rPr>
      </w:pPr>
      <w:r w:rsidRPr="009C29A6">
        <w:rPr>
          <w:i/>
          <w:color w:val="000000" w:themeColor="text1"/>
          <w:szCs w:val="18"/>
          <w:lang w:val="en-GB"/>
        </w:rPr>
        <w:t>(4) A person guilty of an offence under this section, if the activity caused involved—</w:t>
      </w:r>
    </w:p>
    <w:p w14:paraId="396D3C14"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(a) penetration of B’s anus or vagina,</w:t>
      </w:r>
    </w:p>
    <w:p w14:paraId="2EA69AC4"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(b) penetration of B’s mouth with a person’s penis,</w:t>
      </w:r>
    </w:p>
    <w:p w14:paraId="488C2054"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(c) penetration of a person’s anus or vagina with a part of B’s body or by B with anything else, or</w:t>
      </w:r>
    </w:p>
    <w:p w14:paraId="42C10929" w14:textId="3EF2AC84" w:rsidR="00F16DFD" w:rsidRPr="009C29A6" w:rsidRDefault="00F16DFD" w:rsidP="00260F11">
      <w:pPr>
        <w:pStyle w:val="NoSpacing"/>
        <w:spacing w:line="360" w:lineRule="auto"/>
        <w:rPr>
          <w:sz w:val="18"/>
          <w:szCs w:val="18"/>
          <w:lang w:val="en-GB"/>
        </w:rPr>
      </w:pPr>
      <w:r w:rsidRPr="009C29A6">
        <w:rPr>
          <w:i/>
          <w:color w:val="000000" w:themeColor="text1"/>
          <w:sz w:val="18"/>
          <w:szCs w:val="18"/>
          <w:lang w:val="en-GB"/>
        </w:rPr>
        <w:t xml:space="preserve">(d) penetration of a person’s mouth with B’s penis (…).” </w:t>
      </w:r>
    </w:p>
    <w:p w14:paraId="0CE2128A" w14:textId="57EDFD37" w:rsidR="00F16DFD" w:rsidRPr="009C29A6" w:rsidRDefault="00F16DFD" w:rsidP="00260F11">
      <w:pPr>
        <w:spacing w:line="360" w:lineRule="auto"/>
        <w:rPr>
          <w:b/>
          <w:szCs w:val="18"/>
          <w:lang w:val="en-GB"/>
        </w:rPr>
      </w:pPr>
    </w:p>
    <w:p w14:paraId="601812F3" w14:textId="7BE7B664" w:rsidR="00F16DFD" w:rsidRPr="009C29A6" w:rsidRDefault="00F16DFD" w:rsidP="00260F11">
      <w:pPr>
        <w:spacing w:line="360" w:lineRule="auto"/>
        <w:rPr>
          <w:b/>
          <w:i/>
          <w:szCs w:val="18"/>
          <w:lang w:val="en-GB"/>
        </w:rPr>
      </w:pPr>
      <w:r w:rsidRPr="009C29A6">
        <w:rPr>
          <w:b/>
          <w:i/>
          <w:szCs w:val="18"/>
          <w:lang w:val="en-GB"/>
        </w:rPr>
        <w:t>Section 74</w:t>
      </w:r>
      <w:r w:rsidR="00491862" w:rsidRPr="009C29A6">
        <w:rPr>
          <w:b/>
          <w:i/>
          <w:szCs w:val="18"/>
          <w:lang w:val="en-GB"/>
        </w:rPr>
        <w:t>: “Consent”</w:t>
      </w:r>
    </w:p>
    <w:p w14:paraId="0F38439D" w14:textId="42A5E4EA" w:rsidR="00491862" w:rsidRPr="009C29A6" w:rsidRDefault="00491862" w:rsidP="00260F11">
      <w:pPr>
        <w:pStyle w:val="ListParagraph"/>
        <w:spacing w:line="360" w:lineRule="auto"/>
        <w:ind w:left="0"/>
        <w:rPr>
          <w:i/>
          <w:szCs w:val="18"/>
          <w:lang w:val="en-GB"/>
        </w:rPr>
      </w:pPr>
      <w:r w:rsidRPr="009C29A6">
        <w:rPr>
          <w:i/>
          <w:szCs w:val="18"/>
          <w:lang w:val="en-GB"/>
        </w:rPr>
        <w:t>“(…) a person consents if he agrees by choice, and has the freedom and capacity to make that choice.”</w:t>
      </w:r>
    </w:p>
    <w:p w14:paraId="04D5C56C" w14:textId="1FFF927B" w:rsidR="001404C5" w:rsidRPr="009C29A6" w:rsidRDefault="001404C5" w:rsidP="00260F11">
      <w:pPr>
        <w:spacing w:line="360" w:lineRule="auto"/>
        <w:rPr>
          <w:i/>
          <w:color w:val="000000" w:themeColor="text1"/>
          <w:szCs w:val="18"/>
          <w:lang w:val="en-GB"/>
        </w:rPr>
      </w:pPr>
      <w:r w:rsidRPr="009C29A6">
        <w:rPr>
          <w:i/>
          <w:color w:val="000000" w:themeColor="text1"/>
          <w:szCs w:val="18"/>
          <w:lang w:val="en-GB"/>
        </w:rPr>
        <w:br w:type="page"/>
      </w:r>
    </w:p>
    <w:p w14:paraId="2CF451D5" w14:textId="605FDCCC" w:rsidR="00491862" w:rsidRPr="009C29A6" w:rsidRDefault="00F16DFD" w:rsidP="00260F11">
      <w:pPr>
        <w:pStyle w:val="ListParagraph"/>
        <w:spacing w:line="360" w:lineRule="auto"/>
        <w:ind w:left="0"/>
        <w:rPr>
          <w:b/>
          <w:i/>
          <w:color w:val="000000" w:themeColor="text1"/>
          <w:szCs w:val="18"/>
          <w:lang w:val="en-GB"/>
        </w:rPr>
      </w:pPr>
      <w:r w:rsidRPr="009C29A6">
        <w:rPr>
          <w:b/>
          <w:i/>
          <w:color w:val="000000" w:themeColor="text1"/>
          <w:szCs w:val="18"/>
          <w:lang w:val="en-GB"/>
        </w:rPr>
        <w:lastRenderedPageBreak/>
        <w:t>Section 75</w:t>
      </w:r>
      <w:r w:rsidR="00491862" w:rsidRPr="009C29A6">
        <w:rPr>
          <w:b/>
          <w:i/>
          <w:color w:val="000000" w:themeColor="text1"/>
          <w:szCs w:val="18"/>
          <w:lang w:val="en-GB"/>
        </w:rPr>
        <w:t>: Evidential presumptions about consent</w:t>
      </w:r>
    </w:p>
    <w:p w14:paraId="507497DA" w14:textId="3A0D57F6" w:rsidR="00F16DFD" w:rsidRPr="009C29A6" w:rsidRDefault="00F16DFD" w:rsidP="00260F11">
      <w:pPr>
        <w:pStyle w:val="ListParagraph"/>
        <w:spacing w:line="360" w:lineRule="auto"/>
        <w:ind w:left="0"/>
        <w:rPr>
          <w:i/>
          <w:color w:val="000000" w:themeColor="text1"/>
          <w:szCs w:val="18"/>
          <w:lang w:val="en-GB"/>
        </w:rPr>
      </w:pPr>
      <w:r w:rsidRPr="009C29A6">
        <w:rPr>
          <w:color w:val="000000" w:themeColor="text1"/>
          <w:szCs w:val="18"/>
          <w:lang w:val="en-GB"/>
        </w:rPr>
        <w:t>“(</w:t>
      </w:r>
      <w:r w:rsidRPr="009C29A6">
        <w:rPr>
          <w:i/>
          <w:color w:val="000000" w:themeColor="text1"/>
          <w:szCs w:val="18"/>
          <w:lang w:val="en-GB"/>
        </w:rPr>
        <w:t>1) If in proceedings for an offence to which this section applies it is proved– (a) that the defendant did the relevant act,</w:t>
      </w:r>
    </w:p>
    <w:p w14:paraId="23F271CB"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(b) that any of the circumstances specified in subsection (2) existed, and (c) that the defendant knew that those circumstances existed,</w:t>
      </w:r>
    </w:p>
    <w:p w14:paraId="27044C4B"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the complainant is to be taken not to have consented to the relevant act unless sufficient evidence is adduced to raise an issue as to whether he consented, and the defendant is to be taken not to have reasonably believed that the complainant consented unless sufficient evidence is adduced to raise an issue as to whether he reasonably believed it.</w:t>
      </w:r>
    </w:p>
    <w:p w14:paraId="6AEFA106"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(2) The circumstances are that–(…).</w:t>
      </w:r>
    </w:p>
    <w:p w14:paraId="060163D6"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(a) any person was, at the time of the relevant act or immediately before it began, using violence against the complainant or causing the complainant to fear that immediate violence would be used against him;</w:t>
      </w:r>
    </w:p>
    <w:p w14:paraId="7E5FB792"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(b) any person was, at the time of the relevant act or immediately before it began, causing the complainant to fear that violence was being used, or that immediate violence would be used, against another person;</w:t>
      </w:r>
    </w:p>
    <w:p w14:paraId="39124A09"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(c) the complainant was, and the defendant was not, unlawfully detained at the time of the relevant act;</w:t>
      </w:r>
    </w:p>
    <w:p w14:paraId="0A5A771D" w14:textId="0EC43C20"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(d) the complainant was asleep or otherwise unconscious at the time of the relevant act;</w:t>
      </w:r>
    </w:p>
    <w:p w14:paraId="76C54F63"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(e) because of the complainant's physical disability, the complainant would not have been able at the time of the relevant act to communicate to the defendant whether the complainant consented;</w:t>
      </w:r>
    </w:p>
    <w:p w14:paraId="0A83826D"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(f) any person had administered to or caused to be taken by the complainant, without the complainant's consent, a substance which, having regard to when it was administered or taken, was capable of causing or enabling the complainant to be stupefied or overpowered at the time of the relevant act.</w:t>
      </w:r>
    </w:p>
    <w:p w14:paraId="722F5401" w14:textId="77777777" w:rsidR="00F16DFD" w:rsidRPr="009C29A6" w:rsidRDefault="00F16DFD" w:rsidP="00260F11">
      <w:pPr>
        <w:pStyle w:val="NoSpacing"/>
        <w:spacing w:line="360" w:lineRule="auto"/>
        <w:rPr>
          <w:sz w:val="18"/>
          <w:szCs w:val="18"/>
          <w:lang w:val="en-GB"/>
        </w:rPr>
      </w:pPr>
      <w:r w:rsidRPr="009C29A6">
        <w:rPr>
          <w:i/>
          <w:color w:val="000000" w:themeColor="text1"/>
          <w:sz w:val="18"/>
          <w:szCs w:val="18"/>
          <w:lang w:val="en-GB"/>
        </w:rPr>
        <w:t>(3) In subsection (2)(a) and (b), the reference to the time immediately before the relevant act began is, in the case of an act which is one of a continuous series of sexual activities, a reference to the time immediately before the first sexual activity began</w:t>
      </w:r>
      <w:r w:rsidRPr="009C29A6">
        <w:rPr>
          <w:color w:val="000000" w:themeColor="text1"/>
          <w:sz w:val="18"/>
          <w:szCs w:val="18"/>
          <w:lang w:val="en-GB"/>
        </w:rPr>
        <w:t>.”</w:t>
      </w:r>
    </w:p>
    <w:p w14:paraId="1943578B" w14:textId="77777777" w:rsidR="00F16DFD" w:rsidRPr="009C29A6" w:rsidRDefault="00F16DFD" w:rsidP="00260F11">
      <w:pPr>
        <w:spacing w:line="360" w:lineRule="auto"/>
        <w:rPr>
          <w:b/>
          <w:szCs w:val="18"/>
          <w:lang w:val="en-GB"/>
        </w:rPr>
      </w:pPr>
    </w:p>
    <w:p w14:paraId="2BA412DE" w14:textId="1E73CF5C" w:rsidR="00F16DFD" w:rsidRPr="009C29A6" w:rsidRDefault="00F16DFD" w:rsidP="00260F11">
      <w:pPr>
        <w:spacing w:line="360" w:lineRule="auto"/>
        <w:rPr>
          <w:b/>
          <w:i/>
          <w:szCs w:val="18"/>
          <w:lang w:val="en-GB"/>
        </w:rPr>
      </w:pPr>
      <w:r w:rsidRPr="009C29A6">
        <w:rPr>
          <w:b/>
          <w:i/>
          <w:szCs w:val="18"/>
          <w:lang w:val="en-GB"/>
        </w:rPr>
        <w:t>Section 76</w:t>
      </w:r>
      <w:r w:rsidR="00491862" w:rsidRPr="009C29A6">
        <w:rPr>
          <w:b/>
          <w:i/>
          <w:szCs w:val="18"/>
          <w:lang w:val="en-GB"/>
        </w:rPr>
        <w:t>: Conclusive presumptions about consent</w:t>
      </w:r>
    </w:p>
    <w:p w14:paraId="457F8EFA" w14:textId="2E0AD2BD" w:rsidR="00491862" w:rsidRPr="009C29A6" w:rsidRDefault="00491862" w:rsidP="00260F11">
      <w:pPr>
        <w:spacing w:line="360" w:lineRule="auto"/>
        <w:rPr>
          <w:i/>
          <w:szCs w:val="18"/>
          <w:lang w:val="en-GB"/>
        </w:rPr>
      </w:pPr>
      <w:r w:rsidRPr="009C29A6">
        <w:rPr>
          <w:i/>
          <w:szCs w:val="18"/>
          <w:lang w:val="en-GB"/>
        </w:rPr>
        <w:t>“(1) If in proceedings for an offence to which this section applies it is proved that the defendant did the relevant act and that any of the circumstances specified in subsection (2) existed, it is to be conclusively presumed–</w:t>
      </w:r>
    </w:p>
    <w:p w14:paraId="499CF9B1" w14:textId="77777777" w:rsidR="00491862" w:rsidRPr="009C29A6" w:rsidRDefault="00491862" w:rsidP="00260F11">
      <w:pPr>
        <w:spacing w:line="360" w:lineRule="auto"/>
        <w:rPr>
          <w:i/>
          <w:szCs w:val="18"/>
          <w:lang w:val="en-GB"/>
        </w:rPr>
      </w:pPr>
      <w:r w:rsidRPr="009C29A6">
        <w:rPr>
          <w:i/>
          <w:szCs w:val="18"/>
          <w:lang w:val="en-GB"/>
        </w:rPr>
        <w:t>(a) that the complainant did not consent to the relevant act, and</w:t>
      </w:r>
    </w:p>
    <w:p w14:paraId="2623D238" w14:textId="77777777" w:rsidR="00491862" w:rsidRPr="009C29A6" w:rsidRDefault="00491862" w:rsidP="00260F11">
      <w:pPr>
        <w:spacing w:line="360" w:lineRule="auto"/>
        <w:rPr>
          <w:i/>
          <w:szCs w:val="18"/>
          <w:lang w:val="en-GB"/>
        </w:rPr>
      </w:pPr>
      <w:r w:rsidRPr="009C29A6">
        <w:rPr>
          <w:i/>
          <w:szCs w:val="18"/>
          <w:lang w:val="en-GB"/>
        </w:rPr>
        <w:t>(b) that the defendant did not believe that the complainant consented to the relevant act.</w:t>
      </w:r>
    </w:p>
    <w:p w14:paraId="47447CCB" w14:textId="77777777" w:rsidR="00491862" w:rsidRPr="009C29A6" w:rsidRDefault="00491862" w:rsidP="00260F11">
      <w:pPr>
        <w:spacing w:line="360" w:lineRule="auto"/>
        <w:rPr>
          <w:i/>
          <w:szCs w:val="18"/>
          <w:lang w:val="en-GB"/>
        </w:rPr>
      </w:pPr>
      <w:r w:rsidRPr="009C29A6">
        <w:rPr>
          <w:i/>
          <w:szCs w:val="18"/>
          <w:lang w:val="en-GB"/>
        </w:rPr>
        <w:t>(2) The circumstances are that–</w:t>
      </w:r>
    </w:p>
    <w:p w14:paraId="29745868" w14:textId="77777777" w:rsidR="00491862" w:rsidRPr="009C29A6" w:rsidRDefault="00491862" w:rsidP="00260F11">
      <w:pPr>
        <w:spacing w:line="360" w:lineRule="auto"/>
        <w:rPr>
          <w:i/>
          <w:szCs w:val="18"/>
          <w:lang w:val="en-GB"/>
        </w:rPr>
      </w:pPr>
      <w:r w:rsidRPr="009C29A6">
        <w:rPr>
          <w:i/>
          <w:szCs w:val="18"/>
          <w:lang w:val="en-GB"/>
        </w:rPr>
        <w:t>(a) the defendant intentionally deceived the complainant as to the nature or purpose of the relevant act;</w:t>
      </w:r>
    </w:p>
    <w:p w14:paraId="1BDC6ECB" w14:textId="5BD2B382" w:rsidR="00F16DFD" w:rsidRPr="009C29A6" w:rsidRDefault="00491862" w:rsidP="00260F11">
      <w:pPr>
        <w:spacing w:line="360" w:lineRule="auto"/>
        <w:rPr>
          <w:i/>
          <w:szCs w:val="18"/>
          <w:lang w:val="en-GB"/>
        </w:rPr>
      </w:pPr>
      <w:r w:rsidRPr="009C29A6">
        <w:rPr>
          <w:i/>
          <w:szCs w:val="18"/>
          <w:lang w:val="en-GB"/>
        </w:rPr>
        <w:t>(b) the defendant intentionally induced the complainant to consent to the relevant act by impersonating a person known personally to the complainant.”</w:t>
      </w:r>
    </w:p>
    <w:p w14:paraId="3D3D6CB4" w14:textId="77777777" w:rsidR="00491862" w:rsidRPr="009C29A6" w:rsidRDefault="00491862" w:rsidP="00260F11">
      <w:pPr>
        <w:spacing w:line="360" w:lineRule="auto"/>
        <w:rPr>
          <w:i/>
          <w:szCs w:val="18"/>
          <w:lang w:val="en-GB"/>
        </w:rPr>
      </w:pPr>
    </w:p>
    <w:p w14:paraId="327074C1" w14:textId="77777777" w:rsidR="001404C5" w:rsidRPr="009C29A6" w:rsidRDefault="001404C5" w:rsidP="00260F11">
      <w:pPr>
        <w:spacing w:line="360" w:lineRule="auto"/>
        <w:rPr>
          <w:b/>
          <w:i/>
          <w:szCs w:val="18"/>
          <w:lang w:val="en-GB"/>
        </w:rPr>
      </w:pPr>
      <w:r w:rsidRPr="009C29A6">
        <w:rPr>
          <w:b/>
          <w:i/>
          <w:szCs w:val="18"/>
          <w:lang w:val="en-GB"/>
        </w:rPr>
        <w:br w:type="page"/>
      </w:r>
    </w:p>
    <w:p w14:paraId="608EF094" w14:textId="51047104" w:rsidR="00491862" w:rsidRPr="009C29A6" w:rsidRDefault="00F16DFD" w:rsidP="00260F11">
      <w:pPr>
        <w:pStyle w:val="ListParagraph"/>
        <w:spacing w:line="360" w:lineRule="auto"/>
        <w:ind w:left="0"/>
        <w:rPr>
          <w:b/>
          <w:szCs w:val="18"/>
          <w:lang w:val="en-GB"/>
        </w:rPr>
      </w:pPr>
      <w:r w:rsidRPr="009C29A6">
        <w:rPr>
          <w:b/>
          <w:i/>
          <w:szCs w:val="18"/>
          <w:lang w:val="en-GB"/>
        </w:rPr>
        <w:lastRenderedPageBreak/>
        <w:t>Section</w:t>
      </w:r>
      <w:r w:rsidRPr="009C29A6">
        <w:rPr>
          <w:b/>
          <w:szCs w:val="18"/>
          <w:lang w:val="en-GB"/>
        </w:rPr>
        <w:t xml:space="preserve"> 78</w:t>
      </w:r>
      <w:r w:rsidR="00491862" w:rsidRPr="009C29A6">
        <w:rPr>
          <w:b/>
          <w:szCs w:val="18"/>
          <w:lang w:val="en-GB"/>
        </w:rPr>
        <w:t>: “Sexual”</w:t>
      </w:r>
    </w:p>
    <w:p w14:paraId="4D74B35F" w14:textId="3ED3DB40" w:rsidR="00F16DFD" w:rsidRPr="009C29A6" w:rsidRDefault="00F16DFD" w:rsidP="00260F11">
      <w:pPr>
        <w:pStyle w:val="ListParagraph"/>
        <w:spacing w:line="360" w:lineRule="auto"/>
        <w:ind w:left="0"/>
        <w:rPr>
          <w:color w:val="000000" w:themeColor="text1"/>
          <w:szCs w:val="18"/>
          <w:lang w:val="en-GB"/>
        </w:rPr>
      </w:pPr>
      <w:r w:rsidRPr="009C29A6">
        <w:rPr>
          <w:i/>
          <w:color w:val="000000" w:themeColor="text1"/>
          <w:szCs w:val="18"/>
          <w:lang w:val="en-GB"/>
        </w:rPr>
        <w:t>“(…) penetration, touching or any other activity is sexual if a reasonable person would consider that–</w:t>
      </w:r>
    </w:p>
    <w:p w14:paraId="11123508" w14:textId="77777777" w:rsidR="00F16DFD" w:rsidRPr="009C29A6" w:rsidRDefault="00F16DFD" w:rsidP="00260F11">
      <w:pPr>
        <w:spacing w:line="360" w:lineRule="auto"/>
        <w:rPr>
          <w:i/>
          <w:color w:val="000000" w:themeColor="text1"/>
          <w:szCs w:val="18"/>
          <w:lang w:val="en-GB"/>
        </w:rPr>
      </w:pPr>
      <w:r w:rsidRPr="009C29A6">
        <w:rPr>
          <w:i/>
          <w:color w:val="000000" w:themeColor="text1"/>
          <w:szCs w:val="18"/>
          <w:lang w:val="en-GB"/>
        </w:rPr>
        <w:t>(a) whatever its circumstances or any person's purpose in relation to it, it is because of its nature sexual, or</w:t>
      </w:r>
    </w:p>
    <w:p w14:paraId="3BEA658D" w14:textId="02892E81" w:rsidR="00A01380" w:rsidRPr="009C29A6" w:rsidRDefault="00F16DFD" w:rsidP="00260F11">
      <w:pPr>
        <w:spacing w:line="360" w:lineRule="auto"/>
        <w:rPr>
          <w:b/>
          <w:szCs w:val="18"/>
          <w:lang w:val="en-GB"/>
        </w:rPr>
      </w:pPr>
      <w:r w:rsidRPr="009C29A6">
        <w:rPr>
          <w:i/>
          <w:color w:val="000000" w:themeColor="text1"/>
          <w:szCs w:val="18"/>
          <w:lang w:val="en-GB"/>
        </w:rPr>
        <w:t>(b) because of its nature it may be sexual and because of its circumstances or the purpose of any person in relation to it (or both) it is sexual</w:t>
      </w:r>
      <w:r w:rsidRPr="009C29A6">
        <w:rPr>
          <w:color w:val="000000" w:themeColor="text1"/>
          <w:szCs w:val="18"/>
          <w:lang w:val="en-GB"/>
        </w:rPr>
        <w:t>.”</w:t>
      </w:r>
      <w:r w:rsidR="00A01380" w:rsidRPr="009C29A6">
        <w:rPr>
          <w:b/>
          <w:szCs w:val="18"/>
          <w:lang w:val="en-GB"/>
        </w:rPr>
        <w:br w:type="page"/>
      </w:r>
    </w:p>
    <w:p w14:paraId="36A72739" w14:textId="78BA0B12" w:rsidR="00AB488D" w:rsidRDefault="00A01380" w:rsidP="00260F11">
      <w:pPr>
        <w:spacing w:line="360" w:lineRule="auto"/>
        <w:rPr>
          <w:b/>
          <w:szCs w:val="18"/>
          <w:lang w:val="nl-NL"/>
        </w:rPr>
      </w:pPr>
      <w:r>
        <w:rPr>
          <w:b/>
          <w:szCs w:val="18"/>
          <w:lang w:val="nl-NL"/>
        </w:rPr>
        <w:lastRenderedPageBreak/>
        <w:t xml:space="preserve">BIJLAGE 5: </w:t>
      </w:r>
      <w:r w:rsidR="00AB488D">
        <w:rPr>
          <w:b/>
          <w:szCs w:val="18"/>
          <w:lang w:val="nl-NL"/>
        </w:rPr>
        <w:t>SCHEMATISCHE WEERGAVE PIJNPUNTEN</w:t>
      </w:r>
      <w:r w:rsidR="00E012CA">
        <w:rPr>
          <w:b/>
          <w:szCs w:val="18"/>
          <w:lang w:val="nl-NL"/>
        </w:rPr>
        <w:t xml:space="preserve"> AANRANDING VAN DE EERBAARHEID RESPECTIEVELIJK AANTASTING VAN DE SEKSUELE INTEGRITEIT</w:t>
      </w:r>
    </w:p>
    <w:p w14:paraId="00A32A7B" w14:textId="0EA16908" w:rsidR="00E012CA" w:rsidRDefault="00E012CA" w:rsidP="00260F11">
      <w:pPr>
        <w:spacing w:line="360" w:lineRule="auto"/>
        <w:rPr>
          <w:b/>
          <w:szCs w:val="18"/>
          <w:lang w:val="nl-NL"/>
        </w:rPr>
      </w:pPr>
    </w:p>
    <w:tbl>
      <w:tblPr>
        <w:tblStyle w:val="GridTable4-Accent3"/>
        <w:tblW w:w="0" w:type="auto"/>
        <w:tblLook w:val="04A0" w:firstRow="1" w:lastRow="0" w:firstColumn="1" w:lastColumn="0" w:noHBand="0" w:noVBand="1"/>
      </w:tblPr>
      <w:tblGrid>
        <w:gridCol w:w="4531"/>
        <w:gridCol w:w="4531"/>
      </w:tblGrid>
      <w:tr w:rsidR="00E012CA" w:rsidRPr="00E012CA" w14:paraId="5812F788" w14:textId="77777777" w:rsidTr="00A34D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CB825D8" w14:textId="69289E34" w:rsidR="00E012CA" w:rsidRPr="00E012CA" w:rsidRDefault="00E012CA" w:rsidP="00260F11">
            <w:pPr>
              <w:spacing w:line="360" w:lineRule="auto"/>
              <w:rPr>
                <w:szCs w:val="18"/>
                <w:lang w:val="nl-NL"/>
              </w:rPr>
            </w:pPr>
            <w:r w:rsidRPr="00E012CA">
              <w:rPr>
                <w:szCs w:val="18"/>
                <w:lang w:val="nl-NL"/>
              </w:rPr>
              <w:t>Pijnpunt oude strafbaarstelling</w:t>
            </w:r>
          </w:p>
        </w:tc>
        <w:tc>
          <w:tcPr>
            <w:tcW w:w="4531" w:type="dxa"/>
          </w:tcPr>
          <w:p w14:paraId="2F9090E2" w14:textId="56D69F82" w:rsidR="00E012CA" w:rsidRPr="00E012CA" w:rsidRDefault="00E012CA" w:rsidP="00260F11">
            <w:pPr>
              <w:spacing w:line="360" w:lineRule="auto"/>
              <w:cnfStyle w:val="100000000000" w:firstRow="1" w:lastRow="0" w:firstColumn="0" w:lastColumn="0" w:oddVBand="0" w:evenVBand="0" w:oddHBand="0" w:evenHBand="0" w:firstRowFirstColumn="0" w:firstRowLastColumn="0" w:lastRowFirstColumn="0" w:lastRowLastColumn="0"/>
              <w:rPr>
                <w:szCs w:val="18"/>
                <w:lang w:val="nl-NL"/>
              </w:rPr>
            </w:pPr>
            <w:r w:rsidRPr="00E012CA">
              <w:rPr>
                <w:szCs w:val="18"/>
                <w:lang w:val="nl-NL"/>
              </w:rPr>
              <w:t>Verholpen?</w:t>
            </w:r>
          </w:p>
        </w:tc>
      </w:tr>
      <w:tr w:rsidR="00E012CA" w:rsidRPr="00E012CA" w14:paraId="6B8CB7D4" w14:textId="77777777" w:rsidTr="00A34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5AB5C71" w14:textId="284D33A6" w:rsidR="00810238" w:rsidRPr="00BB7A76" w:rsidRDefault="00E012CA" w:rsidP="00260F11">
            <w:pPr>
              <w:spacing w:line="360" w:lineRule="auto"/>
              <w:rPr>
                <w:bCs w:val="0"/>
                <w:szCs w:val="18"/>
                <w:lang w:val="nl-NL"/>
              </w:rPr>
            </w:pPr>
            <w:r w:rsidRPr="00BB7A76">
              <w:rPr>
                <w:szCs w:val="18"/>
                <w:lang w:val="nl-NL"/>
              </w:rPr>
              <w:t>Eerste pijnpunt</w:t>
            </w:r>
            <w:r w:rsidR="00810238" w:rsidRPr="00BB7A76">
              <w:rPr>
                <w:szCs w:val="18"/>
                <w:lang w:val="nl-NL"/>
              </w:rPr>
              <w:t xml:space="preserve"> – geen wettelijke definitie</w:t>
            </w:r>
          </w:p>
          <w:p w14:paraId="34C3359B" w14:textId="0C4A7073" w:rsidR="00BB7A76" w:rsidRDefault="00BB7A76" w:rsidP="00260F11">
            <w:pPr>
              <w:spacing w:line="360" w:lineRule="auto"/>
              <w:rPr>
                <w:szCs w:val="18"/>
                <w:lang w:val="nl-NL"/>
              </w:rPr>
            </w:pPr>
          </w:p>
          <w:p w14:paraId="7807AFCA" w14:textId="59EFC52D" w:rsidR="004E7532" w:rsidRDefault="004E7532" w:rsidP="00260F11">
            <w:pPr>
              <w:spacing w:line="360" w:lineRule="auto"/>
              <w:rPr>
                <w:szCs w:val="18"/>
                <w:lang w:val="nl-NL"/>
              </w:rPr>
            </w:pPr>
          </w:p>
          <w:p w14:paraId="5E6C45A8" w14:textId="77777777" w:rsidR="004E7532" w:rsidRDefault="004E7532" w:rsidP="00260F11">
            <w:pPr>
              <w:spacing w:line="360" w:lineRule="auto"/>
              <w:rPr>
                <w:b w:val="0"/>
                <w:bCs w:val="0"/>
                <w:szCs w:val="18"/>
                <w:lang w:val="nl-NL"/>
              </w:rPr>
            </w:pPr>
          </w:p>
          <w:p w14:paraId="6251CB74" w14:textId="237B78C4" w:rsidR="00810238" w:rsidRDefault="00810238" w:rsidP="00260F11">
            <w:pPr>
              <w:spacing w:line="360" w:lineRule="auto"/>
              <w:ind w:left="708"/>
              <w:rPr>
                <w:bCs w:val="0"/>
                <w:szCs w:val="18"/>
                <w:lang w:val="nl-NL"/>
              </w:rPr>
            </w:pPr>
            <w:r w:rsidRPr="00810238">
              <w:rPr>
                <w:b w:val="0"/>
                <w:szCs w:val="18"/>
                <w:lang w:val="nl-NL"/>
              </w:rPr>
              <w:sym w:font="Wingdings" w:char="F0E0"/>
            </w:r>
            <w:r>
              <w:rPr>
                <w:b w:val="0"/>
                <w:szCs w:val="18"/>
                <w:lang w:val="nl-NL"/>
              </w:rPr>
              <w:t xml:space="preserve"> Afwezigheid toestemming constitutief bestanddeel?</w:t>
            </w:r>
          </w:p>
          <w:p w14:paraId="52D4CB92" w14:textId="77777777" w:rsidR="00810238" w:rsidRDefault="00810238" w:rsidP="00260F11">
            <w:pPr>
              <w:spacing w:line="360" w:lineRule="auto"/>
              <w:ind w:left="708"/>
              <w:rPr>
                <w:bCs w:val="0"/>
                <w:szCs w:val="18"/>
                <w:lang w:val="nl-NL"/>
              </w:rPr>
            </w:pPr>
          </w:p>
          <w:p w14:paraId="1F6F5A23" w14:textId="77777777" w:rsidR="00810238" w:rsidRDefault="00810238" w:rsidP="00260F11">
            <w:pPr>
              <w:spacing w:line="360" w:lineRule="auto"/>
              <w:ind w:left="708"/>
              <w:rPr>
                <w:bCs w:val="0"/>
                <w:szCs w:val="18"/>
                <w:lang w:val="nl-NL"/>
              </w:rPr>
            </w:pPr>
            <w:r w:rsidRPr="00810238">
              <w:rPr>
                <w:b w:val="0"/>
                <w:szCs w:val="18"/>
                <w:lang w:val="nl-NL"/>
              </w:rPr>
              <w:sym w:font="Wingdings" w:char="F0E0"/>
            </w:r>
            <w:r>
              <w:rPr>
                <w:b w:val="0"/>
                <w:szCs w:val="18"/>
                <w:lang w:val="nl-NL"/>
              </w:rPr>
              <w:t xml:space="preserve"> Collectief bewustzijn</w:t>
            </w:r>
            <w:r w:rsidR="004E7532">
              <w:rPr>
                <w:b w:val="0"/>
                <w:szCs w:val="18"/>
                <w:lang w:val="nl-NL"/>
              </w:rPr>
              <w:t>: onduidelijk beoordelingscriterium.</w:t>
            </w:r>
          </w:p>
          <w:p w14:paraId="283EB11E" w14:textId="77777777" w:rsidR="00515BCF" w:rsidRDefault="00515BCF" w:rsidP="00260F11">
            <w:pPr>
              <w:spacing w:line="360" w:lineRule="auto"/>
              <w:ind w:left="708"/>
              <w:rPr>
                <w:b w:val="0"/>
                <w:szCs w:val="18"/>
                <w:lang w:val="nl-NL"/>
              </w:rPr>
            </w:pPr>
          </w:p>
          <w:p w14:paraId="5A9D36CC" w14:textId="2A094F33" w:rsidR="00515BCF" w:rsidRPr="00810238" w:rsidRDefault="00515BCF" w:rsidP="00260F11">
            <w:pPr>
              <w:spacing w:line="360" w:lineRule="auto"/>
              <w:ind w:left="708"/>
              <w:rPr>
                <w:bCs w:val="0"/>
                <w:szCs w:val="18"/>
                <w:lang w:val="nl-NL"/>
              </w:rPr>
            </w:pPr>
            <w:r w:rsidRPr="00515BCF">
              <w:rPr>
                <w:b w:val="0"/>
                <w:szCs w:val="18"/>
                <w:lang w:val="nl-NL"/>
              </w:rPr>
              <w:sym w:font="Wingdings" w:char="F0E0"/>
            </w:r>
            <w:r>
              <w:rPr>
                <w:b w:val="0"/>
                <w:szCs w:val="18"/>
                <w:lang w:val="nl-NL"/>
              </w:rPr>
              <w:t xml:space="preserve"> Vereiste van ernst.</w:t>
            </w:r>
          </w:p>
        </w:tc>
        <w:tc>
          <w:tcPr>
            <w:tcW w:w="4531" w:type="dxa"/>
          </w:tcPr>
          <w:p w14:paraId="15797560" w14:textId="1B9B6865" w:rsidR="004E7532" w:rsidRPr="004E7532" w:rsidRDefault="004E7532" w:rsidP="00260F11">
            <w:pPr>
              <w:spacing w:line="360" w:lineRule="auto"/>
              <w:cnfStyle w:val="000000100000" w:firstRow="0" w:lastRow="0" w:firstColumn="0" w:lastColumn="0" w:oddVBand="0" w:evenVBand="0" w:oddHBand="1" w:evenHBand="0" w:firstRowFirstColumn="0" w:firstRowLastColumn="0" w:lastRowFirstColumn="0" w:lastRowLastColumn="0"/>
              <w:rPr>
                <w:szCs w:val="18"/>
                <w:lang w:val="nl-NL"/>
              </w:rPr>
            </w:pPr>
            <w:r w:rsidRPr="004E7532">
              <w:rPr>
                <w:szCs w:val="18"/>
                <w:lang w:val="nl-NL"/>
              </w:rPr>
              <w:t>Enigszins verholpen. Aantasting van de seksuele integriteit wordt voortaan gedefinieerd.</w:t>
            </w:r>
          </w:p>
          <w:p w14:paraId="00C23CEA" w14:textId="77777777" w:rsidR="004E7532" w:rsidRPr="004E7532" w:rsidRDefault="004E7532" w:rsidP="00260F11">
            <w:pPr>
              <w:spacing w:line="360" w:lineRule="auto"/>
              <w:cnfStyle w:val="000000100000" w:firstRow="0" w:lastRow="0" w:firstColumn="0" w:lastColumn="0" w:oddVBand="0" w:evenVBand="0" w:oddHBand="1" w:evenHBand="0" w:firstRowFirstColumn="0" w:firstRowLastColumn="0" w:lastRowFirstColumn="0" w:lastRowLastColumn="0"/>
              <w:rPr>
                <w:bCs/>
                <w:szCs w:val="18"/>
                <w:lang w:val="nl-NL"/>
              </w:rPr>
            </w:pPr>
          </w:p>
          <w:p w14:paraId="522B7B94" w14:textId="4FF6CEF9" w:rsidR="004E7532" w:rsidRDefault="004E7532" w:rsidP="00260F11">
            <w:pPr>
              <w:spacing w:line="360" w:lineRule="auto"/>
              <w:ind w:left="708"/>
              <w:cnfStyle w:val="000000100000" w:firstRow="0" w:lastRow="0" w:firstColumn="0" w:lastColumn="0" w:oddVBand="0" w:evenVBand="0" w:oddHBand="1" w:evenHBand="0" w:firstRowFirstColumn="0" w:firstRowLastColumn="0" w:lastRowFirstColumn="0" w:lastRowLastColumn="0"/>
              <w:rPr>
                <w:szCs w:val="18"/>
                <w:lang w:val="nl-NL"/>
              </w:rPr>
            </w:pPr>
            <w:r w:rsidRPr="004E7532">
              <w:rPr>
                <w:szCs w:val="18"/>
                <w:lang w:val="nl-NL"/>
              </w:rPr>
              <w:sym w:font="Wingdings" w:char="F0E0"/>
            </w:r>
            <w:r w:rsidRPr="004E7532">
              <w:rPr>
                <w:szCs w:val="18"/>
                <w:lang w:val="nl-NL"/>
              </w:rPr>
              <w:t xml:space="preserve"> Afwezigheid toestemming constitutief bestanddeel</w:t>
            </w:r>
            <w:r>
              <w:rPr>
                <w:szCs w:val="18"/>
                <w:lang w:val="nl-NL"/>
              </w:rPr>
              <w:t>.</w:t>
            </w:r>
          </w:p>
          <w:p w14:paraId="4A6F10C8" w14:textId="77777777" w:rsidR="004E7532" w:rsidRPr="004E7532" w:rsidRDefault="004E7532" w:rsidP="00260F11">
            <w:pPr>
              <w:spacing w:line="360" w:lineRule="auto"/>
              <w:ind w:left="708"/>
              <w:cnfStyle w:val="000000100000" w:firstRow="0" w:lastRow="0" w:firstColumn="0" w:lastColumn="0" w:oddVBand="0" w:evenVBand="0" w:oddHBand="1" w:evenHBand="0" w:firstRowFirstColumn="0" w:firstRowLastColumn="0" w:lastRowFirstColumn="0" w:lastRowLastColumn="0"/>
              <w:rPr>
                <w:bCs/>
                <w:szCs w:val="18"/>
                <w:lang w:val="nl-NL"/>
              </w:rPr>
            </w:pPr>
          </w:p>
          <w:p w14:paraId="00E4ED11" w14:textId="322D485F" w:rsidR="004E7532" w:rsidRDefault="004E7532" w:rsidP="00260F11">
            <w:pPr>
              <w:spacing w:line="360" w:lineRule="auto"/>
              <w:ind w:left="708"/>
              <w:cnfStyle w:val="000000100000" w:firstRow="0" w:lastRow="0" w:firstColumn="0" w:lastColumn="0" w:oddVBand="0" w:evenVBand="0" w:oddHBand="1" w:evenHBand="0" w:firstRowFirstColumn="0" w:firstRowLastColumn="0" w:lastRowFirstColumn="0" w:lastRowLastColumn="0"/>
              <w:rPr>
                <w:szCs w:val="18"/>
                <w:lang w:val="nl-NL"/>
              </w:rPr>
            </w:pPr>
            <w:r w:rsidRPr="004E7532">
              <w:rPr>
                <w:szCs w:val="18"/>
                <w:lang w:val="nl-NL"/>
              </w:rPr>
              <w:sym w:font="Wingdings" w:char="F0E0"/>
            </w:r>
            <w:r w:rsidRPr="004E7532">
              <w:rPr>
                <w:szCs w:val="18"/>
                <w:lang w:val="nl-NL"/>
              </w:rPr>
              <w:t xml:space="preserve"> </w:t>
            </w:r>
            <w:r>
              <w:rPr>
                <w:szCs w:val="18"/>
                <w:lang w:val="nl-NL"/>
              </w:rPr>
              <w:t>Redelijk persoon: onduidelijk beoordelingscriterium.</w:t>
            </w:r>
          </w:p>
          <w:p w14:paraId="0E3E294D" w14:textId="01C318B6" w:rsidR="00515BCF" w:rsidRDefault="00515BCF" w:rsidP="00260F11">
            <w:pPr>
              <w:spacing w:line="360" w:lineRule="auto"/>
              <w:ind w:left="708"/>
              <w:cnfStyle w:val="000000100000" w:firstRow="0" w:lastRow="0" w:firstColumn="0" w:lastColumn="0" w:oddVBand="0" w:evenVBand="0" w:oddHBand="1" w:evenHBand="0" w:firstRowFirstColumn="0" w:firstRowLastColumn="0" w:lastRowFirstColumn="0" w:lastRowLastColumn="0"/>
              <w:rPr>
                <w:szCs w:val="18"/>
                <w:lang w:val="nl-NL"/>
              </w:rPr>
            </w:pPr>
          </w:p>
          <w:p w14:paraId="3497B843" w14:textId="20561405" w:rsidR="00515BCF" w:rsidRPr="004E7532" w:rsidRDefault="00515BCF" w:rsidP="00260F11">
            <w:pPr>
              <w:spacing w:line="360" w:lineRule="auto"/>
              <w:ind w:left="708"/>
              <w:cnfStyle w:val="000000100000" w:firstRow="0" w:lastRow="0" w:firstColumn="0" w:lastColumn="0" w:oddVBand="0" w:evenVBand="0" w:oddHBand="1" w:evenHBand="0" w:firstRowFirstColumn="0" w:firstRowLastColumn="0" w:lastRowFirstColumn="0" w:lastRowLastColumn="0"/>
              <w:rPr>
                <w:szCs w:val="18"/>
                <w:lang w:val="nl-NL"/>
              </w:rPr>
            </w:pPr>
            <w:r w:rsidRPr="00515BCF">
              <w:rPr>
                <w:szCs w:val="18"/>
                <w:lang w:val="nl-NL"/>
              </w:rPr>
              <w:sym w:font="Wingdings" w:char="F0E0"/>
            </w:r>
            <w:r>
              <w:rPr>
                <w:szCs w:val="18"/>
                <w:lang w:val="nl-NL"/>
              </w:rPr>
              <w:t xml:space="preserve"> ligt besloten in seksueel karakter.</w:t>
            </w:r>
          </w:p>
          <w:p w14:paraId="5C4C05F0" w14:textId="73BEEFF8" w:rsidR="004E7532" w:rsidRPr="004E7532" w:rsidRDefault="004E7532" w:rsidP="00260F11">
            <w:pPr>
              <w:spacing w:line="360" w:lineRule="auto"/>
              <w:cnfStyle w:val="000000100000" w:firstRow="0" w:lastRow="0" w:firstColumn="0" w:lastColumn="0" w:oddVBand="0" w:evenVBand="0" w:oddHBand="1" w:evenHBand="0" w:firstRowFirstColumn="0" w:firstRowLastColumn="0" w:lastRowFirstColumn="0" w:lastRowLastColumn="0"/>
              <w:rPr>
                <w:szCs w:val="18"/>
                <w:lang w:val="nl-NL"/>
              </w:rPr>
            </w:pPr>
          </w:p>
        </w:tc>
      </w:tr>
      <w:tr w:rsidR="00E012CA" w:rsidRPr="00E012CA" w14:paraId="6E08E89C" w14:textId="77777777" w:rsidTr="00A34DC7">
        <w:tc>
          <w:tcPr>
            <w:cnfStyle w:val="001000000000" w:firstRow="0" w:lastRow="0" w:firstColumn="1" w:lastColumn="0" w:oddVBand="0" w:evenVBand="0" w:oddHBand="0" w:evenHBand="0" w:firstRowFirstColumn="0" w:firstRowLastColumn="0" w:lastRowFirstColumn="0" w:lastRowLastColumn="0"/>
            <w:tcW w:w="4531" w:type="dxa"/>
          </w:tcPr>
          <w:p w14:paraId="10753296" w14:textId="6CBA1E17" w:rsidR="00E012CA" w:rsidRPr="00E012CA" w:rsidRDefault="00E012CA" w:rsidP="00260F11">
            <w:pPr>
              <w:spacing w:line="360" w:lineRule="auto"/>
              <w:rPr>
                <w:b w:val="0"/>
                <w:szCs w:val="18"/>
                <w:lang w:val="nl-NL"/>
              </w:rPr>
            </w:pPr>
            <w:r w:rsidRPr="00BB7A76">
              <w:rPr>
                <w:szCs w:val="18"/>
                <w:lang w:val="nl-NL"/>
              </w:rPr>
              <w:t xml:space="preserve">Tweede </w:t>
            </w:r>
            <w:r w:rsidR="00810238" w:rsidRPr="00BB7A76">
              <w:rPr>
                <w:szCs w:val="18"/>
                <w:lang w:val="nl-NL"/>
              </w:rPr>
              <w:t xml:space="preserve">(theoretisch) </w:t>
            </w:r>
            <w:r w:rsidRPr="00BB7A76">
              <w:rPr>
                <w:szCs w:val="18"/>
                <w:lang w:val="nl-NL"/>
              </w:rPr>
              <w:t>pijnpunt</w:t>
            </w:r>
            <w:r w:rsidR="00810238" w:rsidRPr="00BB7A76">
              <w:rPr>
                <w:szCs w:val="18"/>
                <w:lang w:val="nl-NL"/>
              </w:rPr>
              <w:t xml:space="preserve"> - </w:t>
            </w:r>
            <w:r w:rsidR="00BB7A76" w:rsidRPr="00BB7A76">
              <w:rPr>
                <w:szCs w:val="18"/>
                <w:lang w:val="nl-NL"/>
              </w:rPr>
              <w:t>geslacht</w:t>
            </w:r>
          </w:p>
        </w:tc>
        <w:tc>
          <w:tcPr>
            <w:tcW w:w="4531" w:type="dxa"/>
          </w:tcPr>
          <w:p w14:paraId="7B224DA0" w14:textId="6D0B5EF7" w:rsidR="00E012CA" w:rsidRPr="00E012CA" w:rsidRDefault="004E7532" w:rsidP="00260F11">
            <w:pPr>
              <w:spacing w:line="360" w:lineRule="auto"/>
              <w:cnfStyle w:val="000000000000" w:firstRow="0" w:lastRow="0" w:firstColumn="0" w:lastColumn="0" w:oddVBand="0" w:evenVBand="0" w:oddHBand="0" w:evenHBand="0" w:firstRowFirstColumn="0" w:firstRowLastColumn="0" w:lastRowFirstColumn="0" w:lastRowLastColumn="0"/>
              <w:rPr>
                <w:szCs w:val="18"/>
                <w:lang w:val="nl-NL"/>
              </w:rPr>
            </w:pPr>
            <w:r>
              <w:rPr>
                <w:szCs w:val="18"/>
                <w:lang w:val="nl-NL"/>
              </w:rPr>
              <w:t>Verholpen.</w:t>
            </w:r>
          </w:p>
        </w:tc>
      </w:tr>
      <w:tr w:rsidR="00E012CA" w:rsidRPr="00E012CA" w14:paraId="2111AF1E" w14:textId="77777777" w:rsidTr="00A34D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6D0A1AE" w14:textId="76835B29" w:rsidR="00E012CA" w:rsidRPr="00E012CA" w:rsidRDefault="00E012CA" w:rsidP="00260F11">
            <w:pPr>
              <w:spacing w:line="360" w:lineRule="auto"/>
              <w:rPr>
                <w:b w:val="0"/>
                <w:szCs w:val="18"/>
                <w:lang w:val="nl-NL"/>
              </w:rPr>
            </w:pPr>
            <w:r w:rsidRPr="00BB7A76">
              <w:rPr>
                <w:szCs w:val="18"/>
                <w:lang w:val="nl-NL"/>
              </w:rPr>
              <w:t>Derde pijnpunt</w:t>
            </w:r>
            <w:r w:rsidR="00BB7A76" w:rsidRPr="00BB7A76">
              <w:rPr>
                <w:szCs w:val="18"/>
                <w:lang w:val="nl-NL"/>
              </w:rPr>
              <w:t xml:space="preserve"> – moreel bestanddeel</w:t>
            </w:r>
          </w:p>
        </w:tc>
        <w:tc>
          <w:tcPr>
            <w:tcW w:w="4531" w:type="dxa"/>
          </w:tcPr>
          <w:p w14:paraId="6CD77789" w14:textId="4CB0AC48" w:rsidR="00FC6574" w:rsidRPr="00E012CA" w:rsidRDefault="004E7532" w:rsidP="00260F11">
            <w:pPr>
              <w:spacing w:line="360" w:lineRule="auto"/>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Niet verholpen.</w:t>
            </w:r>
          </w:p>
        </w:tc>
      </w:tr>
      <w:tr w:rsidR="00FC6574" w:rsidRPr="00750149" w14:paraId="0049FE83" w14:textId="77777777" w:rsidTr="00A34DC7">
        <w:tc>
          <w:tcPr>
            <w:cnfStyle w:val="001000000000" w:firstRow="0" w:lastRow="0" w:firstColumn="1" w:lastColumn="0" w:oddVBand="0" w:evenVBand="0" w:oddHBand="0" w:evenHBand="0" w:firstRowFirstColumn="0" w:firstRowLastColumn="0" w:lastRowFirstColumn="0" w:lastRowLastColumn="0"/>
            <w:tcW w:w="4531" w:type="dxa"/>
          </w:tcPr>
          <w:p w14:paraId="2B8CDC52" w14:textId="6926D077" w:rsidR="00FC6574" w:rsidRPr="00750149" w:rsidRDefault="00FC6574" w:rsidP="00260F11">
            <w:pPr>
              <w:spacing w:line="360" w:lineRule="auto"/>
              <w:rPr>
                <w:i/>
                <w:szCs w:val="18"/>
                <w:lang w:val="nl-NL"/>
              </w:rPr>
            </w:pPr>
            <w:r w:rsidRPr="00750149">
              <w:rPr>
                <w:i/>
                <w:szCs w:val="18"/>
                <w:lang w:val="nl-NL"/>
              </w:rPr>
              <w:t>Gemeenschappelijk pijnpunt - anomalie leeftijdsgrens</w:t>
            </w:r>
          </w:p>
        </w:tc>
        <w:tc>
          <w:tcPr>
            <w:tcW w:w="4531" w:type="dxa"/>
          </w:tcPr>
          <w:p w14:paraId="55ED00F1" w14:textId="77777777" w:rsidR="00FC6574" w:rsidRPr="00750149" w:rsidRDefault="00FC6574" w:rsidP="00260F11">
            <w:pPr>
              <w:spacing w:line="360" w:lineRule="auto"/>
              <w:cnfStyle w:val="000000000000" w:firstRow="0" w:lastRow="0" w:firstColumn="0" w:lastColumn="0" w:oddVBand="0" w:evenVBand="0" w:oddHBand="0" w:evenHBand="0" w:firstRowFirstColumn="0" w:firstRowLastColumn="0" w:lastRowFirstColumn="0" w:lastRowLastColumn="0"/>
              <w:rPr>
                <w:i/>
                <w:szCs w:val="18"/>
                <w:lang w:val="nl-NL"/>
              </w:rPr>
            </w:pPr>
            <w:r w:rsidRPr="00750149">
              <w:rPr>
                <w:i/>
                <w:szCs w:val="18"/>
                <w:lang w:val="nl-NL"/>
              </w:rPr>
              <w:t>Verholpen.</w:t>
            </w:r>
          </w:p>
        </w:tc>
      </w:tr>
    </w:tbl>
    <w:p w14:paraId="61472229" w14:textId="77777777" w:rsidR="00E012CA" w:rsidRDefault="00E012CA" w:rsidP="00260F11">
      <w:pPr>
        <w:spacing w:line="360" w:lineRule="auto"/>
        <w:rPr>
          <w:b/>
          <w:szCs w:val="18"/>
          <w:lang w:val="nl-NL"/>
        </w:rPr>
      </w:pPr>
    </w:p>
    <w:p w14:paraId="3181C5CF" w14:textId="41115070" w:rsidR="00E012CA" w:rsidRDefault="00E012CA" w:rsidP="00260F11">
      <w:pPr>
        <w:spacing w:line="360" w:lineRule="auto"/>
        <w:rPr>
          <w:szCs w:val="18"/>
          <w:lang w:val="nl-NL"/>
        </w:rPr>
      </w:pPr>
      <w:r>
        <w:rPr>
          <w:szCs w:val="18"/>
          <w:lang w:val="nl-NL"/>
        </w:rPr>
        <w:br w:type="page"/>
      </w:r>
    </w:p>
    <w:p w14:paraId="6A0D2170" w14:textId="1AD4364B" w:rsidR="00E012CA" w:rsidRDefault="00E012CA" w:rsidP="00260F11">
      <w:pPr>
        <w:spacing w:line="360" w:lineRule="auto"/>
        <w:rPr>
          <w:b/>
          <w:szCs w:val="18"/>
          <w:lang w:val="nl-NL"/>
        </w:rPr>
      </w:pPr>
      <w:r>
        <w:rPr>
          <w:b/>
          <w:szCs w:val="18"/>
          <w:lang w:val="nl-NL"/>
        </w:rPr>
        <w:lastRenderedPageBreak/>
        <w:t xml:space="preserve">BIJLAGE </w:t>
      </w:r>
      <w:r w:rsidR="00A01380">
        <w:rPr>
          <w:b/>
          <w:szCs w:val="18"/>
          <w:lang w:val="nl-NL"/>
        </w:rPr>
        <w:t>6</w:t>
      </w:r>
      <w:r>
        <w:rPr>
          <w:b/>
          <w:szCs w:val="18"/>
          <w:lang w:val="nl-NL"/>
        </w:rPr>
        <w:t>: SCHEMATISCHE WEERGAVE PIJNPUNTEN VERKRACHTING</w:t>
      </w:r>
    </w:p>
    <w:p w14:paraId="0EFFDD21" w14:textId="77777777" w:rsidR="00E012CA" w:rsidRPr="00E012CA" w:rsidRDefault="00E012CA" w:rsidP="00260F11">
      <w:pPr>
        <w:spacing w:line="360" w:lineRule="auto"/>
        <w:rPr>
          <w:szCs w:val="18"/>
          <w:lang w:val="nl-NL"/>
        </w:rPr>
      </w:pPr>
    </w:p>
    <w:tbl>
      <w:tblPr>
        <w:tblStyle w:val="GridTable4-Accent3"/>
        <w:tblW w:w="0" w:type="auto"/>
        <w:tblLook w:val="04A0" w:firstRow="1" w:lastRow="0" w:firstColumn="1" w:lastColumn="0" w:noHBand="0" w:noVBand="1"/>
      </w:tblPr>
      <w:tblGrid>
        <w:gridCol w:w="4531"/>
        <w:gridCol w:w="4531"/>
      </w:tblGrid>
      <w:tr w:rsidR="00FC6574" w:rsidRPr="00E012CA" w14:paraId="7A9567DC" w14:textId="77777777" w:rsidTr="001560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54D72946" w14:textId="77777777" w:rsidR="00FC6574" w:rsidRPr="00E012CA" w:rsidRDefault="00FC6574" w:rsidP="00260F11">
            <w:pPr>
              <w:spacing w:line="360" w:lineRule="auto"/>
              <w:rPr>
                <w:szCs w:val="18"/>
                <w:lang w:val="nl-NL"/>
              </w:rPr>
            </w:pPr>
            <w:r w:rsidRPr="00E012CA">
              <w:rPr>
                <w:szCs w:val="18"/>
                <w:lang w:val="nl-NL"/>
              </w:rPr>
              <w:t>Pijnpunt oude strafbaarstelling</w:t>
            </w:r>
          </w:p>
        </w:tc>
        <w:tc>
          <w:tcPr>
            <w:tcW w:w="4531" w:type="dxa"/>
          </w:tcPr>
          <w:p w14:paraId="5D575644" w14:textId="77777777" w:rsidR="00FC6574" w:rsidRPr="00E012CA" w:rsidRDefault="00FC6574" w:rsidP="00260F11">
            <w:pPr>
              <w:spacing w:line="360" w:lineRule="auto"/>
              <w:cnfStyle w:val="100000000000" w:firstRow="1" w:lastRow="0" w:firstColumn="0" w:lastColumn="0" w:oddVBand="0" w:evenVBand="0" w:oddHBand="0" w:evenHBand="0" w:firstRowFirstColumn="0" w:firstRowLastColumn="0" w:lastRowFirstColumn="0" w:lastRowLastColumn="0"/>
              <w:rPr>
                <w:szCs w:val="18"/>
                <w:lang w:val="nl-NL"/>
              </w:rPr>
            </w:pPr>
            <w:r w:rsidRPr="00E012CA">
              <w:rPr>
                <w:szCs w:val="18"/>
                <w:lang w:val="nl-NL"/>
              </w:rPr>
              <w:t>Verholpen?</w:t>
            </w:r>
          </w:p>
        </w:tc>
      </w:tr>
      <w:tr w:rsidR="00FC6574" w:rsidRPr="00E012CA" w14:paraId="130FC752" w14:textId="77777777" w:rsidTr="00156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2425525" w14:textId="77777777" w:rsidR="00FC6574" w:rsidRDefault="00FC6574" w:rsidP="00260F11">
            <w:pPr>
              <w:spacing w:line="360" w:lineRule="auto"/>
              <w:rPr>
                <w:b w:val="0"/>
                <w:bCs w:val="0"/>
                <w:szCs w:val="18"/>
                <w:lang w:val="nl-NL"/>
              </w:rPr>
            </w:pPr>
            <w:r w:rsidRPr="00BB7A76">
              <w:rPr>
                <w:szCs w:val="18"/>
                <w:lang w:val="nl-NL"/>
              </w:rPr>
              <w:t xml:space="preserve">Eerste pijnpunt – </w:t>
            </w:r>
            <w:r>
              <w:rPr>
                <w:szCs w:val="18"/>
                <w:lang w:val="nl-NL"/>
              </w:rPr>
              <w:t>seksueel karakter</w:t>
            </w:r>
          </w:p>
          <w:p w14:paraId="1E8F5C77" w14:textId="77777777" w:rsidR="00FC6574" w:rsidRDefault="00FC6574" w:rsidP="00260F11">
            <w:pPr>
              <w:spacing w:line="360" w:lineRule="auto"/>
              <w:rPr>
                <w:bCs w:val="0"/>
                <w:szCs w:val="18"/>
                <w:lang w:val="nl-NL"/>
              </w:rPr>
            </w:pPr>
          </w:p>
          <w:p w14:paraId="786AC42F" w14:textId="77777777" w:rsidR="00FC6574" w:rsidRDefault="00FC6574" w:rsidP="00260F11">
            <w:pPr>
              <w:spacing w:line="360" w:lineRule="auto"/>
              <w:ind w:left="708"/>
              <w:rPr>
                <w:bCs w:val="0"/>
                <w:szCs w:val="18"/>
                <w:lang w:val="nl-NL"/>
              </w:rPr>
            </w:pPr>
            <w:r w:rsidRPr="00810238">
              <w:rPr>
                <w:b w:val="0"/>
                <w:szCs w:val="18"/>
                <w:lang w:val="nl-NL"/>
              </w:rPr>
              <w:sym w:font="Wingdings" w:char="F0E0"/>
            </w:r>
            <w:r>
              <w:rPr>
                <w:b w:val="0"/>
                <w:szCs w:val="18"/>
                <w:lang w:val="nl-NL"/>
              </w:rPr>
              <w:t xml:space="preserve"> onduidelijk beoordelingscriterium: naast objectieve ook subjectieve component?</w:t>
            </w:r>
          </w:p>
          <w:p w14:paraId="11AA5FAB" w14:textId="4B14CF8A" w:rsidR="00FC6574" w:rsidRPr="00810238" w:rsidRDefault="00FC6574" w:rsidP="00260F11">
            <w:pPr>
              <w:spacing w:line="360" w:lineRule="auto"/>
              <w:rPr>
                <w:bCs w:val="0"/>
                <w:szCs w:val="18"/>
                <w:lang w:val="nl-NL"/>
              </w:rPr>
            </w:pPr>
          </w:p>
        </w:tc>
        <w:tc>
          <w:tcPr>
            <w:tcW w:w="4531" w:type="dxa"/>
          </w:tcPr>
          <w:p w14:paraId="0FE54BF0" w14:textId="77777777" w:rsidR="00FC6574" w:rsidRDefault="00FC6574" w:rsidP="00260F11">
            <w:pPr>
              <w:spacing w:line="360" w:lineRule="auto"/>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 xml:space="preserve">Enigszins verholpen. </w:t>
            </w:r>
          </w:p>
          <w:p w14:paraId="6C491E02" w14:textId="7B990C34" w:rsidR="00FC6574" w:rsidRDefault="00FC6574" w:rsidP="00260F11">
            <w:pPr>
              <w:spacing w:line="360" w:lineRule="auto"/>
              <w:cnfStyle w:val="000000100000" w:firstRow="0" w:lastRow="0" w:firstColumn="0" w:lastColumn="0" w:oddVBand="0" w:evenVBand="0" w:oddHBand="1" w:evenHBand="0" w:firstRowFirstColumn="0" w:firstRowLastColumn="0" w:lastRowFirstColumn="0" w:lastRowLastColumn="0"/>
              <w:rPr>
                <w:szCs w:val="18"/>
                <w:lang w:val="nl-NL"/>
              </w:rPr>
            </w:pPr>
          </w:p>
          <w:p w14:paraId="1D0CC81E" w14:textId="529298F7" w:rsidR="00FC6574" w:rsidRPr="00D56E58" w:rsidRDefault="00D56E58" w:rsidP="00260F11">
            <w:pPr>
              <w:spacing w:line="360" w:lineRule="auto"/>
              <w:ind w:left="708"/>
              <w:cnfStyle w:val="000000100000" w:firstRow="0" w:lastRow="0" w:firstColumn="0" w:lastColumn="0" w:oddVBand="0" w:evenVBand="0" w:oddHBand="1" w:evenHBand="0" w:firstRowFirstColumn="0" w:firstRowLastColumn="0" w:lastRowFirstColumn="0" w:lastRowLastColumn="0"/>
              <w:rPr>
                <w:szCs w:val="18"/>
                <w:lang w:val="nl-NL"/>
              </w:rPr>
            </w:pPr>
            <w:r w:rsidRPr="00D56E58">
              <w:rPr>
                <w:szCs w:val="18"/>
                <w:lang w:val="nl-NL"/>
              </w:rPr>
              <w:sym w:font="Wingdings" w:char="F0E0"/>
            </w:r>
            <w:r>
              <w:rPr>
                <w:szCs w:val="18"/>
                <w:lang w:val="nl-NL"/>
              </w:rPr>
              <w:t xml:space="preserve"> </w:t>
            </w:r>
            <w:r w:rsidR="00FC6574" w:rsidRPr="00D56E58">
              <w:rPr>
                <w:szCs w:val="18"/>
                <w:lang w:val="nl-NL"/>
              </w:rPr>
              <w:t>Beoordelingscriterium: redelijke persoon</w:t>
            </w:r>
            <w:r>
              <w:rPr>
                <w:szCs w:val="18"/>
                <w:lang w:val="nl-NL"/>
              </w:rPr>
              <w:t>.</w:t>
            </w:r>
          </w:p>
          <w:p w14:paraId="65F56AD1" w14:textId="300F03E2" w:rsidR="00FC6574" w:rsidRPr="00D56E58" w:rsidRDefault="00FC6574" w:rsidP="00260F11">
            <w:pPr>
              <w:spacing w:line="360" w:lineRule="auto"/>
              <w:ind w:left="708"/>
              <w:cnfStyle w:val="000000100000" w:firstRow="0" w:lastRow="0" w:firstColumn="0" w:lastColumn="0" w:oddVBand="0" w:evenVBand="0" w:oddHBand="1" w:evenHBand="0" w:firstRowFirstColumn="0" w:firstRowLastColumn="0" w:lastRowFirstColumn="0" w:lastRowLastColumn="0"/>
              <w:rPr>
                <w:szCs w:val="18"/>
                <w:lang w:val="nl-NL"/>
              </w:rPr>
            </w:pPr>
            <w:r w:rsidRPr="00FC6574">
              <w:rPr>
                <w:lang w:val="nl-NL"/>
              </w:rPr>
              <w:sym w:font="Wingdings" w:char="F0DF"/>
            </w:r>
            <w:r w:rsidRPr="00FC6574">
              <w:rPr>
                <w:lang w:val="nl-NL"/>
              </w:rPr>
              <w:sym w:font="Wingdings" w:char="F0E0"/>
            </w:r>
            <w:r w:rsidRPr="00D56E58">
              <w:rPr>
                <w:szCs w:val="18"/>
                <w:lang w:val="nl-NL"/>
              </w:rPr>
              <w:t xml:space="preserve"> concrete invulling onduidelijk.</w:t>
            </w:r>
          </w:p>
        </w:tc>
      </w:tr>
      <w:tr w:rsidR="00FC6574" w:rsidRPr="00E012CA" w14:paraId="426F9592" w14:textId="77777777" w:rsidTr="001560C6">
        <w:tc>
          <w:tcPr>
            <w:cnfStyle w:val="001000000000" w:firstRow="0" w:lastRow="0" w:firstColumn="1" w:lastColumn="0" w:oddVBand="0" w:evenVBand="0" w:oddHBand="0" w:evenHBand="0" w:firstRowFirstColumn="0" w:firstRowLastColumn="0" w:lastRowFirstColumn="0" w:lastRowLastColumn="0"/>
            <w:tcW w:w="4531" w:type="dxa"/>
          </w:tcPr>
          <w:p w14:paraId="5F5E3DC6" w14:textId="402AFD1B" w:rsidR="00FC6574" w:rsidRPr="00E012CA" w:rsidRDefault="00FC6574" w:rsidP="00260F11">
            <w:pPr>
              <w:spacing w:line="360" w:lineRule="auto"/>
              <w:rPr>
                <w:b w:val="0"/>
                <w:szCs w:val="18"/>
                <w:lang w:val="nl-NL"/>
              </w:rPr>
            </w:pPr>
            <w:r w:rsidRPr="00BB7A76">
              <w:rPr>
                <w:szCs w:val="18"/>
                <w:lang w:val="nl-NL"/>
              </w:rPr>
              <w:t xml:space="preserve">Tweede pijnpunt </w:t>
            </w:r>
            <w:r>
              <w:rPr>
                <w:szCs w:val="18"/>
                <w:lang w:val="nl-NL"/>
              </w:rPr>
              <w:t>–</w:t>
            </w:r>
            <w:r w:rsidRPr="00BB7A76">
              <w:rPr>
                <w:szCs w:val="18"/>
                <w:lang w:val="nl-NL"/>
              </w:rPr>
              <w:t xml:space="preserve"> </w:t>
            </w:r>
            <w:r>
              <w:rPr>
                <w:szCs w:val="18"/>
                <w:lang w:val="nl-NL"/>
              </w:rPr>
              <w:t>van welke aard en met welk middel ook</w:t>
            </w:r>
          </w:p>
        </w:tc>
        <w:tc>
          <w:tcPr>
            <w:tcW w:w="4531" w:type="dxa"/>
          </w:tcPr>
          <w:p w14:paraId="3D74BC7B" w14:textId="4B526813" w:rsidR="00FC6574" w:rsidRPr="00E012CA" w:rsidRDefault="00FC6574" w:rsidP="00260F11">
            <w:pPr>
              <w:spacing w:line="360" w:lineRule="auto"/>
              <w:cnfStyle w:val="000000000000" w:firstRow="0" w:lastRow="0" w:firstColumn="0" w:lastColumn="0" w:oddVBand="0" w:evenVBand="0" w:oddHBand="0" w:evenHBand="0" w:firstRowFirstColumn="0" w:firstRowLastColumn="0" w:lastRowFirstColumn="0" w:lastRowLastColumn="0"/>
              <w:rPr>
                <w:szCs w:val="18"/>
                <w:lang w:val="nl-NL"/>
              </w:rPr>
            </w:pPr>
            <w:r>
              <w:rPr>
                <w:szCs w:val="18"/>
                <w:lang w:val="nl-NL"/>
              </w:rPr>
              <w:t>Niet verholpen.</w:t>
            </w:r>
          </w:p>
        </w:tc>
      </w:tr>
      <w:tr w:rsidR="00FC6574" w:rsidRPr="00E012CA" w14:paraId="2F02350F" w14:textId="77777777" w:rsidTr="00156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DC9E88A" w14:textId="5E99A449" w:rsidR="00FC6574" w:rsidRPr="00E012CA" w:rsidRDefault="00FC6574" w:rsidP="00260F11">
            <w:pPr>
              <w:spacing w:line="360" w:lineRule="auto"/>
              <w:rPr>
                <w:b w:val="0"/>
                <w:szCs w:val="18"/>
                <w:lang w:val="nl-NL"/>
              </w:rPr>
            </w:pPr>
            <w:r w:rsidRPr="00BB7A76">
              <w:rPr>
                <w:szCs w:val="18"/>
                <w:lang w:val="nl-NL"/>
              </w:rPr>
              <w:t xml:space="preserve">Derde pijnpunt – </w:t>
            </w:r>
            <w:r>
              <w:rPr>
                <w:szCs w:val="18"/>
                <w:lang w:val="nl-NL"/>
              </w:rPr>
              <w:t>rol van het slachtoffer</w:t>
            </w:r>
          </w:p>
        </w:tc>
        <w:tc>
          <w:tcPr>
            <w:tcW w:w="4531" w:type="dxa"/>
          </w:tcPr>
          <w:p w14:paraId="55EAE28E" w14:textId="208B1461" w:rsidR="00FC6574" w:rsidRPr="00E012CA" w:rsidRDefault="00FC6574" w:rsidP="00260F11">
            <w:pPr>
              <w:spacing w:line="360" w:lineRule="auto"/>
              <w:cnfStyle w:val="000000100000" w:firstRow="0" w:lastRow="0" w:firstColumn="0" w:lastColumn="0" w:oddVBand="0" w:evenVBand="0" w:oddHBand="1" w:evenHBand="0" w:firstRowFirstColumn="0" w:firstRowLastColumn="0" w:lastRowFirstColumn="0" w:lastRowLastColumn="0"/>
              <w:rPr>
                <w:szCs w:val="18"/>
                <w:lang w:val="nl-NL"/>
              </w:rPr>
            </w:pPr>
            <w:r>
              <w:rPr>
                <w:szCs w:val="18"/>
                <w:lang w:val="nl-NL"/>
              </w:rPr>
              <w:t>Verholpen.</w:t>
            </w:r>
          </w:p>
        </w:tc>
      </w:tr>
      <w:tr w:rsidR="00FC6574" w:rsidRPr="00E012CA" w14:paraId="78AAE0F3" w14:textId="77777777" w:rsidTr="001560C6">
        <w:tc>
          <w:tcPr>
            <w:cnfStyle w:val="001000000000" w:firstRow="0" w:lastRow="0" w:firstColumn="1" w:lastColumn="0" w:oddVBand="0" w:evenVBand="0" w:oddHBand="0" w:evenHBand="0" w:firstRowFirstColumn="0" w:firstRowLastColumn="0" w:lastRowFirstColumn="0" w:lastRowLastColumn="0"/>
            <w:tcW w:w="4531" w:type="dxa"/>
          </w:tcPr>
          <w:p w14:paraId="659F63BF" w14:textId="55E7BBE2" w:rsidR="00FC6574" w:rsidRPr="00BB7A76" w:rsidRDefault="00FC6574" w:rsidP="00260F11">
            <w:pPr>
              <w:spacing w:line="360" w:lineRule="auto"/>
              <w:rPr>
                <w:szCs w:val="18"/>
                <w:lang w:val="nl-NL"/>
              </w:rPr>
            </w:pPr>
            <w:r>
              <w:rPr>
                <w:szCs w:val="18"/>
                <w:lang w:val="nl-NL"/>
              </w:rPr>
              <w:t>Vierde pijnpunt – intrekking toestemming?</w:t>
            </w:r>
          </w:p>
        </w:tc>
        <w:tc>
          <w:tcPr>
            <w:tcW w:w="4531" w:type="dxa"/>
          </w:tcPr>
          <w:p w14:paraId="2EC28D13" w14:textId="32EB7CC6" w:rsidR="00FC6574" w:rsidRDefault="00FC6574" w:rsidP="00260F11">
            <w:pPr>
              <w:spacing w:line="360" w:lineRule="auto"/>
              <w:cnfStyle w:val="000000000000" w:firstRow="0" w:lastRow="0" w:firstColumn="0" w:lastColumn="0" w:oddVBand="0" w:evenVBand="0" w:oddHBand="0" w:evenHBand="0" w:firstRowFirstColumn="0" w:firstRowLastColumn="0" w:lastRowFirstColumn="0" w:lastRowLastColumn="0"/>
              <w:rPr>
                <w:szCs w:val="18"/>
                <w:lang w:val="nl-NL"/>
              </w:rPr>
            </w:pPr>
            <w:r>
              <w:rPr>
                <w:szCs w:val="18"/>
                <w:lang w:val="nl-NL"/>
              </w:rPr>
              <w:t>Verholpen.</w:t>
            </w:r>
          </w:p>
        </w:tc>
      </w:tr>
      <w:tr w:rsidR="00FC6574" w:rsidRPr="00750149" w14:paraId="71408ECC" w14:textId="77777777" w:rsidTr="00156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6AC2024" w14:textId="1FC379C2" w:rsidR="00FC6574" w:rsidRPr="00750149" w:rsidRDefault="00FC6574" w:rsidP="00260F11">
            <w:pPr>
              <w:spacing w:line="360" w:lineRule="auto"/>
              <w:rPr>
                <w:szCs w:val="18"/>
                <w:lang w:val="nl-NL"/>
              </w:rPr>
            </w:pPr>
            <w:r w:rsidRPr="00750149">
              <w:rPr>
                <w:szCs w:val="18"/>
                <w:lang w:val="nl-NL"/>
              </w:rPr>
              <w:t>Vijfde (gemeenschappelijk) pijnpunt - anomalie leeftijdsgrens</w:t>
            </w:r>
          </w:p>
        </w:tc>
        <w:tc>
          <w:tcPr>
            <w:tcW w:w="4531" w:type="dxa"/>
          </w:tcPr>
          <w:p w14:paraId="3459B9FB" w14:textId="3382972C" w:rsidR="00FC6574" w:rsidRPr="00750149" w:rsidRDefault="00FC6574" w:rsidP="00260F11">
            <w:pPr>
              <w:spacing w:line="360" w:lineRule="auto"/>
              <w:cnfStyle w:val="000000100000" w:firstRow="0" w:lastRow="0" w:firstColumn="0" w:lastColumn="0" w:oddVBand="0" w:evenVBand="0" w:oddHBand="1" w:evenHBand="0" w:firstRowFirstColumn="0" w:firstRowLastColumn="0" w:lastRowFirstColumn="0" w:lastRowLastColumn="0"/>
              <w:rPr>
                <w:szCs w:val="18"/>
                <w:lang w:val="nl-NL"/>
              </w:rPr>
            </w:pPr>
            <w:r w:rsidRPr="00750149">
              <w:rPr>
                <w:szCs w:val="18"/>
                <w:lang w:val="nl-NL"/>
              </w:rPr>
              <w:t>Verholpen.</w:t>
            </w:r>
          </w:p>
        </w:tc>
      </w:tr>
      <w:tr w:rsidR="00FC6574" w:rsidRPr="00FC6574" w14:paraId="37F86133" w14:textId="77777777" w:rsidTr="001560C6">
        <w:tc>
          <w:tcPr>
            <w:cnfStyle w:val="001000000000" w:firstRow="0" w:lastRow="0" w:firstColumn="1" w:lastColumn="0" w:oddVBand="0" w:evenVBand="0" w:oddHBand="0" w:evenHBand="0" w:firstRowFirstColumn="0" w:firstRowLastColumn="0" w:lastRowFirstColumn="0" w:lastRowLastColumn="0"/>
            <w:tcW w:w="4531" w:type="dxa"/>
          </w:tcPr>
          <w:p w14:paraId="757E1674" w14:textId="56B719A9" w:rsidR="00FC6574" w:rsidRPr="00FC6574" w:rsidRDefault="00FC6574" w:rsidP="00260F11">
            <w:pPr>
              <w:spacing w:line="360" w:lineRule="auto"/>
              <w:rPr>
                <w:szCs w:val="18"/>
                <w:lang w:val="nl-NL"/>
              </w:rPr>
            </w:pPr>
            <w:r>
              <w:rPr>
                <w:szCs w:val="18"/>
                <w:lang w:val="nl-NL"/>
              </w:rPr>
              <w:t>Zesde pijnpunt – moreel bestanddeel</w:t>
            </w:r>
          </w:p>
        </w:tc>
        <w:tc>
          <w:tcPr>
            <w:tcW w:w="4531" w:type="dxa"/>
          </w:tcPr>
          <w:p w14:paraId="013060A6" w14:textId="270DB2B5" w:rsidR="00FC6574" w:rsidRPr="00FC6574" w:rsidRDefault="00FC6574" w:rsidP="00260F11">
            <w:pPr>
              <w:spacing w:line="360" w:lineRule="auto"/>
              <w:cnfStyle w:val="000000000000" w:firstRow="0" w:lastRow="0" w:firstColumn="0" w:lastColumn="0" w:oddVBand="0" w:evenVBand="0" w:oddHBand="0" w:evenHBand="0" w:firstRowFirstColumn="0" w:firstRowLastColumn="0" w:lastRowFirstColumn="0" w:lastRowLastColumn="0"/>
              <w:rPr>
                <w:szCs w:val="18"/>
                <w:lang w:val="nl-NL"/>
              </w:rPr>
            </w:pPr>
            <w:r>
              <w:rPr>
                <w:szCs w:val="18"/>
                <w:lang w:val="nl-NL"/>
              </w:rPr>
              <w:t>Niet verholpen.</w:t>
            </w:r>
          </w:p>
        </w:tc>
      </w:tr>
    </w:tbl>
    <w:p w14:paraId="5047B58F" w14:textId="77777777" w:rsidR="00AB488D" w:rsidRDefault="00AB488D" w:rsidP="00260F11">
      <w:pPr>
        <w:spacing w:line="360" w:lineRule="auto"/>
        <w:rPr>
          <w:szCs w:val="18"/>
          <w:lang w:val="nl-NL"/>
        </w:rPr>
      </w:pPr>
    </w:p>
    <w:p w14:paraId="21D52AB1" w14:textId="77777777" w:rsidR="00AB488D" w:rsidRPr="00AB488D" w:rsidRDefault="00AB488D" w:rsidP="00260F11">
      <w:pPr>
        <w:spacing w:line="360" w:lineRule="auto"/>
        <w:rPr>
          <w:szCs w:val="18"/>
          <w:lang w:val="nl-NL"/>
        </w:rPr>
      </w:pPr>
    </w:p>
    <w:sectPr w:rsidR="00AB488D" w:rsidRPr="00AB488D" w:rsidSect="0026404D">
      <w:footerReference w:type="default" r:id="rId3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20890" w14:textId="77777777" w:rsidR="00C513A6" w:rsidRDefault="00C513A6" w:rsidP="00AC6960">
      <w:r>
        <w:separator/>
      </w:r>
    </w:p>
  </w:endnote>
  <w:endnote w:type="continuationSeparator" w:id="0">
    <w:p w14:paraId="0E7C7A01" w14:textId="77777777" w:rsidR="00C513A6" w:rsidRDefault="00C513A6" w:rsidP="00AC6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Hoofdtekst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2551597"/>
      <w:docPartObj>
        <w:docPartGallery w:val="Page Numbers (Bottom of Page)"/>
        <w:docPartUnique/>
      </w:docPartObj>
    </w:sdtPr>
    <w:sdtEndPr>
      <w:rPr>
        <w:rStyle w:val="PageNumber"/>
      </w:rPr>
    </w:sdtEndPr>
    <w:sdtContent>
      <w:p w14:paraId="1D44C283" w14:textId="4148F254" w:rsidR="00BA0376" w:rsidRDefault="00BA0376" w:rsidP="00BA037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0D5D93" w14:textId="77777777" w:rsidR="00BA0376" w:rsidRDefault="00BA037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A511" w14:textId="77777777" w:rsidR="00BA0376" w:rsidRDefault="00BA0376" w:rsidP="001714DD">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31136090"/>
      <w:docPartObj>
        <w:docPartGallery w:val="Page Numbers (Bottom of Page)"/>
        <w:docPartUnique/>
      </w:docPartObj>
    </w:sdtPr>
    <w:sdtEndPr>
      <w:rPr>
        <w:rStyle w:val="PageNumber"/>
      </w:rPr>
    </w:sdtEndPr>
    <w:sdtContent>
      <w:p w14:paraId="5CED00FD" w14:textId="77777777" w:rsidR="00BA0376" w:rsidRDefault="00BA0376" w:rsidP="00D53F07">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B4BCB8C" w14:textId="77777777" w:rsidR="00BA0376" w:rsidRDefault="00BA0376" w:rsidP="001714DD">
    <w:pPr>
      <w:pStyle w:val="Footer"/>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0341" w14:textId="77777777" w:rsidR="00BA0376" w:rsidRDefault="00BA0376" w:rsidP="00D53F07">
    <w:pPr>
      <w:pStyle w:val="Footer"/>
      <w:framePr w:wrap="notBeside" w:vAnchor="text" w:hAnchor="margin" w:xAlign="center" w:y="1"/>
      <w:rPr>
        <w:rStyle w:val="PageNumber"/>
      </w:rPr>
    </w:pPr>
  </w:p>
  <w:p w14:paraId="6DD6A383" w14:textId="77777777" w:rsidR="00BA0376" w:rsidRDefault="00BA0376" w:rsidP="001714DD">
    <w:pPr>
      <w:pStyle w:val="Footer"/>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186805"/>
      <w:docPartObj>
        <w:docPartGallery w:val="Page Numbers (Bottom of Page)"/>
        <w:docPartUnique/>
      </w:docPartObj>
    </w:sdtPr>
    <w:sdtEndPr>
      <w:rPr>
        <w:rStyle w:val="PageNumber"/>
      </w:rPr>
    </w:sdtEndPr>
    <w:sdtContent>
      <w:p w14:paraId="078C193C" w14:textId="77777777" w:rsidR="00BA0376" w:rsidRDefault="00BA0376" w:rsidP="00D53F07">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B0C7EC" w14:textId="77777777" w:rsidR="00BA0376" w:rsidRDefault="00BA0376" w:rsidP="001714DD">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9016D" w14:textId="77777777" w:rsidR="00BA0376" w:rsidRDefault="00BA0376" w:rsidP="00D53F07">
    <w:pPr>
      <w:pStyle w:val="Footer"/>
      <w:framePr w:wrap="notBeside" w:vAnchor="text" w:hAnchor="margin" w:xAlign="center" w:y="1"/>
      <w:rPr>
        <w:rStyle w:val="PageNumber"/>
      </w:rPr>
    </w:pPr>
  </w:p>
  <w:p w14:paraId="24C8AF6E" w14:textId="77777777" w:rsidR="00BA0376" w:rsidRDefault="00BA0376" w:rsidP="001714DD">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22303207"/>
      <w:docPartObj>
        <w:docPartGallery w:val="Page Numbers (Bottom of Page)"/>
        <w:docPartUnique/>
      </w:docPartObj>
    </w:sdtPr>
    <w:sdtEndPr>
      <w:rPr>
        <w:rStyle w:val="PageNumber"/>
      </w:rPr>
    </w:sdtEndPr>
    <w:sdtContent>
      <w:p w14:paraId="3F850583" w14:textId="77777777" w:rsidR="00BA0376" w:rsidRDefault="00BA0376" w:rsidP="00D53F07">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D313FC3" w14:textId="77777777" w:rsidR="00BA0376" w:rsidRDefault="00BA0376" w:rsidP="001714DD">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CDDCB" w14:textId="77777777" w:rsidR="00BA0376" w:rsidRDefault="00BA0376" w:rsidP="00D53F07">
    <w:pPr>
      <w:pStyle w:val="Footer"/>
      <w:framePr w:wrap="notBeside" w:vAnchor="text" w:hAnchor="margin" w:xAlign="center" w:y="1"/>
      <w:rPr>
        <w:rStyle w:val="PageNumber"/>
      </w:rPr>
    </w:pPr>
  </w:p>
  <w:p w14:paraId="75259759" w14:textId="77777777" w:rsidR="00BA0376" w:rsidRDefault="00BA0376" w:rsidP="001714DD">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115445"/>
      <w:docPartObj>
        <w:docPartGallery w:val="Page Numbers (Bottom of Page)"/>
        <w:docPartUnique/>
      </w:docPartObj>
    </w:sdtPr>
    <w:sdtEndPr>
      <w:rPr>
        <w:rStyle w:val="PageNumber"/>
      </w:rPr>
    </w:sdtEndPr>
    <w:sdtContent>
      <w:p w14:paraId="3A02EF67" w14:textId="77777777" w:rsidR="00BA0376" w:rsidRDefault="00BA0376" w:rsidP="00D53F07">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A712F8" w14:textId="77777777" w:rsidR="00BA0376" w:rsidRDefault="00BA0376" w:rsidP="001714DD">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92C40" w14:textId="77777777" w:rsidR="00BA0376" w:rsidRDefault="00BA0376" w:rsidP="00D53F07">
    <w:pPr>
      <w:pStyle w:val="Footer"/>
      <w:framePr w:wrap="notBeside" w:vAnchor="text" w:hAnchor="margin" w:xAlign="center" w:y="1"/>
      <w:rPr>
        <w:rStyle w:val="PageNumber"/>
      </w:rPr>
    </w:pPr>
  </w:p>
  <w:p w14:paraId="41F37FBF" w14:textId="77777777" w:rsidR="00BA0376" w:rsidRDefault="00BA0376" w:rsidP="001714DD">
    <w:pPr>
      <w:pStyle w:val="Footer"/>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0224527"/>
      <w:docPartObj>
        <w:docPartGallery w:val="Page Numbers (Bottom of Page)"/>
        <w:docPartUnique/>
      </w:docPartObj>
    </w:sdtPr>
    <w:sdtEndPr>
      <w:rPr>
        <w:rStyle w:val="PageNumber"/>
      </w:rPr>
    </w:sdtEndPr>
    <w:sdtContent>
      <w:p w14:paraId="6127AADB" w14:textId="77777777" w:rsidR="00BA0376" w:rsidRDefault="00BA0376" w:rsidP="00D53F07">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D27065" w14:textId="77777777" w:rsidR="00BA0376" w:rsidRDefault="00BA0376" w:rsidP="001714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05F9" w14:textId="77777777" w:rsidR="00BA0376" w:rsidRDefault="00BA0376" w:rsidP="001714D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8389337"/>
      <w:docPartObj>
        <w:docPartGallery w:val="Page Numbers (Bottom of Page)"/>
        <w:docPartUnique/>
      </w:docPartObj>
    </w:sdtPr>
    <w:sdtEndPr>
      <w:rPr>
        <w:rStyle w:val="PageNumber"/>
      </w:rPr>
    </w:sdtEndPr>
    <w:sdtContent>
      <w:p w14:paraId="058C1684" w14:textId="6A6E9B37" w:rsidR="00BA0376" w:rsidRDefault="00BA0376" w:rsidP="00BA0376">
        <w:pPr>
          <w:pStyle w:val="Footer"/>
          <w:framePr w:wrap="none" w:vAnchor="text" w:hAnchor="margin" w:xAlign="center" w:y="1"/>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88082C7" w14:textId="719F45DE" w:rsidR="00BA0376" w:rsidRDefault="00BA0376" w:rsidP="00715080">
    <w:pPr>
      <w:pStyle w:val="Footer"/>
      <w:framePr w:wrap="none" w:vAnchor="text" w:hAnchor="margin" w:xAlign="center" w:y="1"/>
      <w:rPr>
        <w:rStyle w:val="PageNumber"/>
      </w:rPr>
    </w:pPr>
  </w:p>
  <w:p w14:paraId="4E950313" w14:textId="77777777" w:rsidR="00BA0376" w:rsidRDefault="00BA0376" w:rsidP="001714D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F7C30" w14:textId="77777777" w:rsidR="00BA0376" w:rsidRDefault="00BA0376" w:rsidP="00D53F07">
    <w:pPr>
      <w:pStyle w:val="Footer"/>
      <w:framePr w:wrap="notBeside" w:vAnchor="text" w:hAnchor="margin" w:xAlign="center" w:y="1"/>
      <w:rPr>
        <w:rStyle w:val="PageNumber"/>
      </w:rPr>
    </w:pPr>
  </w:p>
  <w:p w14:paraId="286C31A7" w14:textId="77777777" w:rsidR="00BA0376" w:rsidRDefault="00BA0376" w:rsidP="001714D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24659177"/>
      <w:docPartObj>
        <w:docPartGallery w:val="Page Numbers (Bottom of Page)"/>
        <w:docPartUnique/>
      </w:docPartObj>
    </w:sdtPr>
    <w:sdtEndPr>
      <w:rPr>
        <w:rStyle w:val="PageNumber"/>
      </w:rPr>
    </w:sdtEndPr>
    <w:sdtContent>
      <w:p w14:paraId="419C4783" w14:textId="77777777" w:rsidR="00BA0376" w:rsidRDefault="00BA0376" w:rsidP="00D53F07">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37051D2" w14:textId="77777777" w:rsidR="00BA0376" w:rsidRDefault="00BA0376" w:rsidP="001714DD">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EE9F" w14:textId="77777777" w:rsidR="00BA0376" w:rsidRDefault="00BA0376" w:rsidP="00D53F07">
    <w:pPr>
      <w:pStyle w:val="Footer"/>
      <w:framePr w:wrap="notBeside" w:vAnchor="text" w:hAnchor="margin" w:xAlign="center" w:y="1"/>
      <w:rPr>
        <w:rStyle w:val="PageNumber"/>
      </w:rPr>
    </w:pPr>
  </w:p>
  <w:p w14:paraId="685E2A91" w14:textId="77777777" w:rsidR="00BA0376" w:rsidRDefault="00BA0376" w:rsidP="001714DD">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1252879"/>
      <w:docPartObj>
        <w:docPartGallery w:val="Page Numbers (Bottom of Page)"/>
        <w:docPartUnique/>
      </w:docPartObj>
    </w:sdtPr>
    <w:sdtEndPr>
      <w:rPr>
        <w:rStyle w:val="PageNumber"/>
      </w:rPr>
    </w:sdtEndPr>
    <w:sdtContent>
      <w:p w14:paraId="11DEA5F0" w14:textId="77777777" w:rsidR="00BA0376" w:rsidRDefault="00BA0376" w:rsidP="00D53F07">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909239" w14:textId="77777777" w:rsidR="00BA0376" w:rsidRDefault="00BA0376" w:rsidP="001714DD">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2920" w14:textId="77777777" w:rsidR="00BA0376" w:rsidRDefault="00BA0376" w:rsidP="00D53F07">
    <w:pPr>
      <w:pStyle w:val="Footer"/>
      <w:framePr w:wrap="notBeside" w:vAnchor="text" w:hAnchor="margin" w:xAlign="center" w:y="1"/>
      <w:rPr>
        <w:rStyle w:val="PageNumber"/>
      </w:rPr>
    </w:pPr>
  </w:p>
  <w:p w14:paraId="312B9C60" w14:textId="77777777" w:rsidR="00BA0376" w:rsidRDefault="00BA0376" w:rsidP="001714DD">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4122966"/>
      <w:docPartObj>
        <w:docPartGallery w:val="Page Numbers (Bottom of Page)"/>
        <w:docPartUnique/>
      </w:docPartObj>
    </w:sdtPr>
    <w:sdtEndPr>
      <w:rPr>
        <w:rStyle w:val="PageNumber"/>
      </w:rPr>
    </w:sdtEndPr>
    <w:sdtContent>
      <w:p w14:paraId="5F2A4534" w14:textId="77777777" w:rsidR="00BA0376" w:rsidRDefault="00BA0376" w:rsidP="00A34A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3ADC7DC" w14:textId="77777777" w:rsidR="00BA0376" w:rsidRDefault="00BA0376" w:rsidP="001714D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A40F7" w14:textId="77777777" w:rsidR="00C513A6" w:rsidRDefault="00C513A6" w:rsidP="00AC6960">
      <w:r>
        <w:separator/>
      </w:r>
    </w:p>
  </w:footnote>
  <w:footnote w:type="continuationSeparator" w:id="0">
    <w:p w14:paraId="77D49B53" w14:textId="77777777" w:rsidR="00C513A6" w:rsidRDefault="00C513A6" w:rsidP="00AC6960">
      <w:r>
        <w:continuationSeparator/>
      </w:r>
    </w:p>
  </w:footnote>
  <w:footnote w:id="1">
    <w:p w14:paraId="7ADFFD69" w14:textId="44652FC7" w:rsidR="00BA0376" w:rsidRPr="00963830" w:rsidRDefault="00BA0376" w:rsidP="0019471A">
      <w:pPr>
        <w:pStyle w:val="NoSpacing"/>
        <w:rPr>
          <w:color w:val="000000" w:themeColor="text1"/>
        </w:rPr>
      </w:pPr>
      <w:r w:rsidRPr="00963830">
        <w:rPr>
          <w:rStyle w:val="FootnoteReference"/>
          <w:color w:val="000000" w:themeColor="text1"/>
        </w:rPr>
        <w:footnoteRef/>
      </w:r>
      <w:r w:rsidRPr="00963830">
        <w:rPr>
          <w:color w:val="000000" w:themeColor="text1"/>
        </w:rPr>
        <w:t xml:space="preserve"> </w:t>
      </w:r>
      <w:r w:rsidRPr="00963830">
        <w:t xml:space="preserve">R. VERSTRAETEN en F. VERBRUGGEN, </w:t>
      </w:r>
      <w:r w:rsidRPr="00963830">
        <w:rPr>
          <w:i/>
        </w:rPr>
        <w:t>Inleiding tot het Belgische strafrecht en strafprocesrecht</w:t>
      </w:r>
      <w:r w:rsidRPr="00963830">
        <w:t>, Antwerpen, Intersentia, 2023, 45 en 53-54.</w:t>
      </w:r>
    </w:p>
  </w:footnote>
  <w:footnote w:id="2">
    <w:p w14:paraId="388F8F45" w14:textId="77777777" w:rsidR="00BA0376" w:rsidRPr="00963830" w:rsidRDefault="00BA0376" w:rsidP="00613E6B">
      <w:pPr>
        <w:pStyle w:val="NoSpacing"/>
      </w:pPr>
      <w:r w:rsidRPr="00963830">
        <w:rPr>
          <w:rStyle w:val="FootnoteReference"/>
        </w:rPr>
        <w:footnoteRef/>
      </w:r>
      <w:r w:rsidRPr="00963830">
        <w:t xml:space="preserve"> </w:t>
      </w:r>
      <w:r w:rsidRPr="00963830">
        <w:rPr>
          <w:i/>
          <w:iCs/>
        </w:rPr>
        <w:t>Hand.</w:t>
      </w:r>
      <w:r w:rsidRPr="00963830">
        <w:t xml:space="preserve"> Kamer commissie voor justitie 2020-21, 23 december 2021, nr. 55-2141/006, 38. </w:t>
      </w:r>
    </w:p>
  </w:footnote>
  <w:footnote w:id="3">
    <w:p w14:paraId="76782EB1" w14:textId="10105ACE" w:rsidR="00BA0376" w:rsidRPr="00963830" w:rsidRDefault="00BA0376" w:rsidP="00613E6B">
      <w:pPr>
        <w:pStyle w:val="NoSpacing"/>
        <w:rPr>
          <w:color w:val="000000" w:themeColor="text1"/>
        </w:rPr>
      </w:pPr>
      <w:r w:rsidRPr="00963830">
        <w:rPr>
          <w:rStyle w:val="FootnoteReference"/>
          <w:color w:val="000000" w:themeColor="text1"/>
        </w:rPr>
        <w:footnoteRef/>
      </w:r>
      <w:r w:rsidRPr="00963830">
        <w:rPr>
          <w:color w:val="000000" w:themeColor="text1"/>
        </w:rPr>
        <w:t xml:space="preserve"> </w:t>
      </w:r>
      <w:r w:rsidRPr="00963830">
        <w:t>FEDERALE POLITIE BELGIË, “Politiële criminaliteitsstatistieken”, www.stat.policefederale.be/assets/pdf/crimestat/nationaal/rapport_2021_trim4_nat_belgie_nl.pdf?fbclid=IwAR0p4Hl285KEgcWxBQJ5WezjRhUXiTa-bMur7uFo3pAtvhxu9pVlzt-_4dE, 94 (consultatie 7 augustus 2022).</w:t>
      </w:r>
    </w:p>
  </w:footnote>
  <w:footnote w:id="4">
    <w:p w14:paraId="7BA43A54" w14:textId="6CFB082B"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DE STANDAARD, “500 betogers in Brussel voor boycot horeca wegens seksueel geweld”, www.standaard.be/cnt/dmf20211112_97668733 (consultatie 7 augustus 2022); F. SEGERS en W. DE MAESENEER, “Protestbetoging tegen "verkrachtingscultuur" in het uitgaansleven in Gent”, www.vrt.be/vrtnws/nl/2021/11/06/gentse-politie-start-opnieuw-onderzoek-naar-verkrachting-in-cafe/#:~:text=geen%20VRT%2Dprofiel%3F-,Protestbetoging%20tegen%20%22verkrachtingscultuur%22%20in%20het%20uitgaansleven%20in%20Gent,te%20geven%20aan%20het%20stadsbestuur (consultatie 7 augustus 2022).</w:t>
      </w:r>
    </w:p>
  </w:footnote>
  <w:footnote w:id="5">
    <w:p w14:paraId="665E966F" w14:textId="61B83AF8" w:rsidR="00BA0376" w:rsidRPr="00963830" w:rsidRDefault="00BA0376" w:rsidP="00613E6B">
      <w:pPr>
        <w:pStyle w:val="NoSpacing"/>
      </w:pPr>
      <w:r w:rsidRPr="00963830">
        <w:rPr>
          <w:rStyle w:val="FootnoteReference"/>
        </w:rPr>
        <w:footnoteRef/>
      </w:r>
      <w:r w:rsidRPr="00963830">
        <w:t xml:space="preserve"> R. BOONE, “Mensen moeten in hun leven het verschil zien. Als dat lukt, kunnen we het vertrouwen in justitie heropbouwen”, </w:t>
      </w:r>
      <w:r w:rsidRPr="00963830">
        <w:rPr>
          <w:i/>
        </w:rPr>
        <w:t>Juristenkrant</w:t>
      </w:r>
      <w:r w:rsidRPr="00963830">
        <w:t xml:space="preserve"> 2022, afl. 444 (8) 9; M. COP, “Seksueel strafrecht anno 2021; broodnodige (r)evolutie”, </w:t>
      </w:r>
      <w:r w:rsidRPr="00963830">
        <w:rPr>
          <w:i/>
        </w:rPr>
        <w:t>RW</w:t>
      </w:r>
      <w:r w:rsidRPr="00963830">
        <w:t xml:space="preserve"> 2021-22, 650.</w:t>
      </w:r>
    </w:p>
  </w:footnote>
  <w:footnote w:id="6">
    <w:p w14:paraId="1D4DCB09" w14:textId="6AD2794F"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HOGE RAAD VOOR DE JUSTITIE, </w:t>
      </w:r>
      <w:r w:rsidRPr="00963830">
        <w:rPr>
          <w:i/>
          <w:sz w:val="16"/>
          <w:szCs w:val="16"/>
        </w:rPr>
        <w:t>Naar een betere aanpak van seksueel geweld</w:t>
      </w:r>
      <w:r w:rsidRPr="00963830">
        <w:rPr>
          <w:sz w:val="16"/>
          <w:szCs w:val="16"/>
        </w:rPr>
        <w:t xml:space="preserve"> (goedgekeurd door de Algemene Vergadering van de Hoge Raad voor de Justitie op 25 april 2019), https://hrj.be/nl/publicaties/2019/naar-een-betere-aanpak-van-seksueel-geweld; HOGE RAAD VOOR DE JUSTITIE, </w:t>
      </w:r>
      <w:r w:rsidRPr="00963830">
        <w:rPr>
          <w:i/>
          <w:sz w:val="16"/>
          <w:szCs w:val="16"/>
        </w:rPr>
        <w:t>Opvolgings- en uitdiepingsrapport. Naar een betere aanpak van seksueel geweld</w:t>
      </w:r>
      <w:r w:rsidRPr="00963830">
        <w:rPr>
          <w:sz w:val="16"/>
          <w:szCs w:val="16"/>
        </w:rPr>
        <w:t xml:space="preserve"> (goedgekeurd door de Algemene Vergadering van de Hoge Raad voor de Justitie op 25 juni 2020), https://hrj.be/nl/publicaties/2020/opvolgings-en-uitdiepingsrapport-naar-een-betere-aanpak-van-seksueel-geweld.</w:t>
      </w:r>
    </w:p>
  </w:footnote>
  <w:footnote w:id="7">
    <w:p w14:paraId="14D0F0EC" w14:textId="1FE7C556" w:rsidR="00BA0376" w:rsidRPr="00963830" w:rsidRDefault="00BA0376" w:rsidP="0095242E">
      <w:pPr>
        <w:pStyle w:val="NoSpacing"/>
      </w:pPr>
      <w:r w:rsidRPr="00963830">
        <w:rPr>
          <w:rStyle w:val="FootnoteReference"/>
        </w:rPr>
        <w:footnoteRef/>
      </w:r>
      <w:r w:rsidRPr="00963830">
        <w:t xml:space="preserve"> Meer bepaald ging het om het College van procureurs-generaal. Zie: Verslag van de eerste lezing bij het wetsontwerp houdende wijzigingen aan het Strafwetboek met betrekking tot het seksueel strafrecht e.a., </w:t>
      </w:r>
      <w:r w:rsidRPr="00963830">
        <w:rPr>
          <w:i/>
        </w:rPr>
        <w:t>Parl.St</w:t>
      </w:r>
      <w:r w:rsidRPr="00963830">
        <w:t xml:space="preserve">. 2021-22, nr. 55-2141/006, 318; J. ROZIE en J. DE HERDT, “overgangsrecht seksueel strafrecht”, </w:t>
      </w:r>
      <w:r w:rsidRPr="00963830">
        <w:rPr>
          <w:i/>
        </w:rPr>
        <w:t>supra</w:t>
      </w:r>
      <w:r w:rsidRPr="00963830">
        <w:t xml:space="preserve"> vn. 7, 171 (hierna: J. ROZIE en J. DE HERDT, “overgangsrecht seksueel strafrecht”).</w:t>
      </w:r>
    </w:p>
  </w:footnote>
  <w:footnote w:id="8">
    <w:p w14:paraId="75CC6533" w14:textId="6E4ECADD" w:rsidR="00BA0376" w:rsidRPr="00963830" w:rsidRDefault="00BA0376" w:rsidP="002266F2">
      <w:pPr>
        <w:pStyle w:val="NoSpacing"/>
      </w:pPr>
      <w:r w:rsidRPr="00963830">
        <w:rPr>
          <w:rStyle w:val="FootnoteReference"/>
        </w:rPr>
        <w:footnoteRef/>
      </w:r>
      <w:r w:rsidRPr="00963830">
        <w:t xml:space="preserve"> J. ROZIE, D. VANDERMEERSCH, J. DE HERDT en M. DEBAUCHE, </w:t>
      </w:r>
      <w:r w:rsidRPr="00963830">
        <w:rPr>
          <w:i/>
        </w:rPr>
        <w:t>Commissie voor de hervorming van het strafrecht. Voorstel van voorontwerp van Boek I van het Strafwetboek</w:t>
      </w:r>
      <w:r w:rsidRPr="00963830">
        <w:t>, Brugge, die Keure, 2016, 31.</w:t>
      </w:r>
    </w:p>
  </w:footnote>
  <w:footnote w:id="9">
    <w:p w14:paraId="55BE0C25" w14:textId="77777777" w:rsidR="00BA0376" w:rsidRPr="00963830" w:rsidRDefault="00BA0376" w:rsidP="00613E6B">
      <w:pPr>
        <w:pStyle w:val="NoSpacing"/>
      </w:pPr>
      <w:r w:rsidRPr="00963830">
        <w:rPr>
          <w:rStyle w:val="FootnoteReference"/>
        </w:rPr>
        <w:footnoteRef/>
      </w:r>
      <w:r w:rsidRPr="00963830">
        <w:t xml:space="preserve"> Art. 1 MB 30 oktober 2015 houdende oprichting van de Commissie tot hervorming van het strafrecht, </w:t>
      </w:r>
      <w:r w:rsidRPr="00963830">
        <w:rPr>
          <w:i/>
          <w:iCs/>
        </w:rPr>
        <w:t>BS</w:t>
      </w:r>
      <w:r w:rsidRPr="00963830">
        <w:t xml:space="preserve"> 29 december 2015.</w:t>
      </w:r>
    </w:p>
  </w:footnote>
  <w:footnote w:id="10">
    <w:p w14:paraId="2E7D1F29" w14:textId="3C7E8564" w:rsidR="00BA0376" w:rsidRPr="00963830" w:rsidRDefault="00BA0376" w:rsidP="00613E6B">
      <w:pPr>
        <w:pStyle w:val="NoSpacing"/>
      </w:pPr>
      <w:r w:rsidRPr="00963830">
        <w:rPr>
          <w:rStyle w:val="FootnoteReference"/>
        </w:rPr>
        <w:footnoteRef/>
      </w:r>
      <w:r w:rsidRPr="00963830">
        <w:t xml:space="preserve"> Zie: J. ROZIE e.a., </w:t>
      </w:r>
      <w:r w:rsidRPr="00963830">
        <w:rPr>
          <w:i/>
          <w:iCs/>
        </w:rPr>
        <w:t xml:space="preserve">Commissie voor de hervorming van het strafrecht. Voorstel van voorontwerp van Boek I van het Strafwetboek, </w:t>
      </w:r>
      <w:r w:rsidRPr="00963830">
        <w:t xml:space="preserve">Brugge, die Keure, 2016, 169 p; J. ROZIE, D. VANDERMEERSCH, J. DE HERDT, M. DEBAUCHE en M. TAEYMANS, </w:t>
      </w:r>
      <w:r w:rsidRPr="00963830">
        <w:rPr>
          <w:i/>
          <w:iCs/>
        </w:rPr>
        <w:t xml:space="preserve">Naar een nieuw Strafwetboek? Het voorstel van de Commissie tot Hervorming van het Strafrecht, </w:t>
      </w:r>
      <w:r w:rsidRPr="00963830">
        <w:t>Brugge, die Keure, 2019, 610 p.</w:t>
      </w:r>
    </w:p>
  </w:footnote>
  <w:footnote w:id="11">
    <w:p w14:paraId="62F747C0" w14:textId="7EABD592"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Art. 1, lid 2, 1° MB 22 december 2020 houdende oprichting van de Commissie tot hervorming van het strafrecht, </w:t>
      </w:r>
      <w:r w:rsidRPr="00963830">
        <w:rPr>
          <w:i/>
          <w:iCs/>
          <w:sz w:val="16"/>
          <w:szCs w:val="16"/>
        </w:rPr>
        <w:t>BS</w:t>
      </w:r>
      <w:r w:rsidRPr="00963830">
        <w:rPr>
          <w:sz w:val="16"/>
          <w:szCs w:val="16"/>
        </w:rPr>
        <w:t xml:space="preserve"> 20 januari 2021; E. LANDTSHEERE, “Een nieuw Strafwetboek aangepast aan de 21e eeuw”, www.teamjustitie.be/2022/11/06/een-nieuw-strafwetboek-aangepast-aan-de-21e-eeuw/ (consultatie 28 november 2022).</w:t>
      </w:r>
    </w:p>
  </w:footnote>
  <w:footnote w:id="12">
    <w:p w14:paraId="53161487" w14:textId="60086E88" w:rsidR="00BA0376" w:rsidRPr="00963830" w:rsidRDefault="00BA0376" w:rsidP="00613E6B">
      <w:pPr>
        <w:pStyle w:val="NoSpacing"/>
      </w:pPr>
      <w:r w:rsidRPr="00963830">
        <w:rPr>
          <w:rStyle w:val="FootnoteReference"/>
        </w:rPr>
        <w:footnoteRef/>
      </w:r>
      <w:r w:rsidRPr="00963830">
        <w:t xml:space="preserve"> </w:t>
      </w:r>
      <w:r w:rsidRPr="00963830">
        <w:rPr>
          <w:i/>
          <w:iCs/>
        </w:rPr>
        <w:t>Hand.</w:t>
      </w:r>
      <w:r w:rsidRPr="00963830">
        <w:t xml:space="preserve"> Kamer commissie voor justitie 2020-21, 23 december 2021, nr. 55-2141/006, 18, 40, 41, 51 en 85.</w:t>
      </w:r>
    </w:p>
  </w:footnote>
  <w:footnote w:id="13">
    <w:p w14:paraId="53B03B39" w14:textId="5E207C9D" w:rsidR="00BA0376" w:rsidRPr="00963830" w:rsidRDefault="00BA0376" w:rsidP="00613E6B">
      <w:pPr>
        <w:pStyle w:val="NoSpacing"/>
      </w:pPr>
      <w:r w:rsidRPr="00963830">
        <w:rPr>
          <w:rStyle w:val="FootnoteReference"/>
        </w:rPr>
        <w:footnoteRef/>
      </w:r>
      <w:r w:rsidRPr="00963830">
        <w:t xml:space="preserve"> Toch was dit geen sinecure. De teksten waren immers afgestemd op het nieuwe Strafwetboek. Zie: </w:t>
      </w:r>
      <w:r w:rsidRPr="00963830">
        <w:rPr>
          <w:i/>
          <w:iCs/>
        </w:rPr>
        <w:t>Hand.</w:t>
      </w:r>
      <w:r w:rsidRPr="00963830">
        <w:t xml:space="preserve"> Kamer commissie voor justitie 2020-21, 23 december 2021, nr. 55-2141/006, 5; MvT, </w:t>
      </w:r>
      <w:r w:rsidRPr="00963830">
        <w:rPr>
          <w:i/>
        </w:rPr>
        <w:t>Parl.St.</w:t>
      </w:r>
      <w:r w:rsidRPr="00963830">
        <w:t xml:space="preserve"> Kamer 2020-21, nr. 55-2141/001, 3-5.</w:t>
      </w:r>
    </w:p>
  </w:footnote>
  <w:footnote w:id="14">
    <w:p w14:paraId="5180182D" w14:textId="67C95941"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Art. 118 van de wet van 21</w:t>
      </w:r>
      <w:r w:rsidRPr="00963830">
        <w:t xml:space="preserve"> maart 2022 “houdende wijzigingen aan het Strafwetboek met betrekking tot het seksueel strafrecht’, </w:t>
      </w:r>
      <w:r w:rsidRPr="00963830">
        <w:rPr>
          <w:i/>
        </w:rPr>
        <w:t>BS</w:t>
      </w:r>
      <w:r w:rsidRPr="00963830">
        <w:t xml:space="preserve"> 30 maart 2022.</w:t>
      </w:r>
    </w:p>
  </w:footnote>
  <w:footnote w:id="15">
    <w:p w14:paraId="3A2C44A6" w14:textId="77777777" w:rsidR="00BA0376" w:rsidRPr="00963830" w:rsidRDefault="00BA0376" w:rsidP="00613E6B">
      <w:pPr>
        <w:pStyle w:val="NoSpacing"/>
        <w:rPr>
          <w:color w:val="000000" w:themeColor="text1"/>
        </w:rPr>
      </w:pPr>
      <w:r w:rsidRPr="00963830">
        <w:rPr>
          <w:rStyle w:val="FootnoteReference"/>
          <w:color w:val="000000" w:themeColor="text1"/>
        </w:rPr>
        <w:footnoteRef/>
      </w:r>
      <w:r w:rsidRPr="00963830">
        <w:rPr>
          <w:color w:val="000000" w:themeColor="text1"/>
        </w:rPr>
        <w:t xml:space="preserve"> MvT, </w:t>
      </w:r>
      <w:r w:rsidRPr="00963830">
        <w:rPr>
          <w:i/>
          <w:color w:val="000000" w:themeColor="text1"/>
        </w:rPr>
        <w:t xml:space="preserve">Parl.St. </w:t>
      </w:r>
      <w:r w:rsidRPr="00963830">
        <w:rPr>
          <w:color w:val="000000" w:themeColor="text1"/>
        </w:rPr>
        <w:t>Kamer 2020-21, nr. 55-2141/006, 4.</w:t>
      </w:r>
    </w:p>
  </w:footnote>
  <w:footnote w:id="16">
    <w:p w14:paraId="2EEF32CD" w14:textId="77777777" w:rsidR="00BA0376" w:rsidRPr="00963830" w:rsidRDefault="00BA0376" w:rsidP="004D09D0">
      <w:pPr>
        <w:pStyle w:val="NoSpacing"/>
      </w:pPr>
      <w:r w:rsidRPr="00963830">
        <w:rPr>
          <w:rStyle w:val="FootnoteReference"/>
        </w:rPr>
        <w:footnoteRef/>
      </w:r>
      <w:r w:rsidRPr="00963830">
        <w:t xml:space="preserve"> J. ROZIE en J. DE HERDT, “De hervorming van het seksueel strafrecht geanalyseerd in het licht van het overgangsrecht”, </w:t>
      </w:r>
      <w:r w:rsidRPr="00963830">
        <w:rPr>
          <w:i/>
        </w:rPr>
        <w:t>NC</w:t>
      </w:r>
      <w:r w:rsidRPr="00963830">
        <w:t xml:space="preserve"> 2022, (171) 204.</w:t>
      </w:r>
    </w:p>
  </w:footnote>
  <w:footnote w:id="17">
    <w:p w14:paraId="02C0831A" w14:textId="6F61E5E9" w:rsidR="00BA0376" w:rsidRPr="00963830" w:rsidRDefault="00BA0376" w:rsidP="00613E6B">
      <w:pPr>
        <w:pStyle w:val="NoSpacing"/>
      </w:pPr>
      <w:r w:rsidRPr="00963830">
        <w:rPr>
          <w:rStyle w:val="FootnoteReference"/>
        </w:rPr>
        <w:footnoteRef/>
      </w:r>
      <w:r w:rsidRPr="00963830">
        <w:t xml:space="preserve"> Daarnaast bevat het nieuw Strafwetboek nog andere niet-consensuele seksuele misdrijven. De basismisdrijven hiervan zijn te vinden in</w:t>
      </w:r>
      <w:r w:rsidRPr="00963830">
        <w:rPr>
          <w:color w:val="000000" w:themeColor="text1"/>
        </w:rPr>
        <w:t xml:space="preserve"> Titel VIII, Hoofdstuk I/1, Afdeling 1, onderafdeling 2 van boek II van het Strafwetboek. Het gaat naast aantasting van de seksuele integriteit en verkrachting om voyeurisme en niet-consensuele verspreiding van seksueel getinte inhoud.</w:t>
      </w:r>
    </w:p>
  </w:footnote>
  <w:footnote w:id="18">
    <w:p w14:paraId="3FB420D7" w14:textId="1C5EC385" w:rsidR="00BA0376" w:rsidRPr="00963830" w:rsidRDefault="00BA0376" w:rsidP="00613E6B">
      <w:pPr>
        <w:pStyle w:val="NoSpacing"/>
      </w:pPr>
      <w:r w:rsidRPr="00963830">
        <w:rPr>
          <w:rStyle w:val="FootnoteReference"/>
        </w:rPr>
        <w:footnoteRef/>
      </w:r>
      <w:r w:rsidRPr="00963830">
        <w:t xml:space="preserve"> Art. 417/12-417/22 Sw.</w:t>
      </w:r>
    </w:p>
  </w:footnote>
  <w:footnote w:id="19">
    <w:p w14:paraId="7EF9D5BC" w14:textId="517CBE45" w:rsidR="00BA0376" w:rsidRPr="00963830" w:rsidRDefault="00BA0376" w:rsidP="00613E6B">
      <w:pPr>
        <w:pStyle w:val="NoSpacing"/>
      </w:pPr>
      <w:r w:rsidRPr="00963830">
        <w:rPr>
          <w:rStyle w:val="FootnoteReference"/>
        </w:rPr>
        <w:footnoteRef/>
      </w:r>
      <w:r w:rsidRPr="00963830">
        <w:t xml:space="preserve"> Art. 417/23 Sw.</w:t>
      </w:r>
    </w:p>
  </w:footnote>
  <w:footnote w:id="20">
    <w:p w14:paraId="73580D4F" w14:textId="58F379C1"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De centrale onderzoeksvraag is een aanbevelende onderzoeksvraag. </w:t>
      </w:r>
      <w:r w:rsidRPr="00963830">
        <w:t xml:space="preserve">Zie: L. KESTEMONT, P. SCHOUKENS, K. HENDRICKX en E. TERRYN (eds.), </w:t>
      </w:r>
      <w:r w:rsidRPr="00963830">
        <w:rPr>
          <w:i/>
        </w:rPr>
        <w:t>Rechtswetenschappelijk schrijven</w:t>
      </w:r>
      <w:r w:rsidRPr="00963830">
        <w:t>, Leuven, Acco, 2021</w:t>
      </w:r>
      <w:r w:rsidRPr="00963830">
        <w:rPr>
          <w:i/>
        </w:rPr>
        <w:t xml:space="preserve">, </w:t>
      </w:r>
      <w:r w:rsidRPr="00963830">
        <w:t>32.</w:t>
      </w:r>
    </w:p>
  </w:footnote>
  <w:footnote w:id="21">
    <w:p w14:paraId="5560CB3F" w14:textId="5908B195" w:rsidR="00BA0376" w:rsidRPr="00963830" w:rsidRDefault="00BA0376" w:rsidP="00613E6B">
      <w:pPr>
        <w:pStyle w:val="NoSpacing"/>
      </w:pPr>
      <w:r w:rsidRPr="00963830">
        <w:rPr>
          <w:rStyle w:val="FootnoteReference"/>
        </w:rPr>
        <w:footnoteRef/>
      </w:r>
      <w:r w:rsidRPr="00963830">
        <w:t xml:space="preserve"> Dit is een beschrijvende onderzoeksvraag, zie: L. KESTEMONT e.a. (eds.),</w:t>
      </w:r>
      <w:r w:rsidRPr="00963830">
        <w:rPr>
          <w:i/>
        </w:rPr>
        <w:t xml:space="preserve"> Rechtswetenschappelijk schrijven</w:t>
      </w:r>
      <w:r w:rsidRPr="00963830">
        <w:t>, Leuven, Acco, 2021</w:t>
      </w:r>
      <w:r w:rsidRPr="00963830">
        <w:rPr>
          <w:i/>
        </w:rPr>
        <w:t xml:space="preserve">, </w:t>
      </w:r>
      <w:r w:rsidRPr="00963830">
        <w:t xml:space="preserve">30. </w:t>
      </w:r>
    </w:p>
  </w:footnote>
  <w:footnote w:id="22">
    <w:p w14:paraId="00D3FF51" w14:textId="5B7D6561" w:rsidR="00BA0376" w:rsidRPr="00963830" w:rsidRDefault="00BA0376" w:rsidP="00613E6B">
      <w:pPr>
        <w:pStyle w:val="NoSpacing"/>
      </w:pPr>
      <w:r w:rsidRPr="00963830">
        <w:rPr>
          <w:rStyle w:val="FootnoteReference"/>
        </w:rPr>
        <w:footnoteRef/>
      </w:r>
      <w:r w:rsidRPr="00963830">
        <w:t xml:space="preserve"> Dit is eveneens een beschrijvende onderzoeksvraag, zie: L. KESTEMONT e.a. (eds.),</w:t>
      </w:r>
      <w:r w:rsidRPr="00963830">
        <w:rPr>
          <w:i/>
        </w:rPr>
        <w:t xml:space="preserve"> Rechtswetenschappelijk schrijven</w:t>
      </w:r>
      <w:r w:rsidRPr="00963830">
        <w:t>, Leuven, Acco, 2021</w:t>
      </w:r>
      <w:r w:rsidRPr="00963830">
        <w:rPr>
          <w:i/>
        </w:rPr>
        <w:t xml:space="preserve">, </w:t>
      </w:r>
      <w:r w:rsidRPr="00963830">
        <w:t>30.</w:t>
      </w:r>
    </w:p>
  </w:footnote>
  <w:footnote w:id="23">
    <w:p w14:paraId="7D62194F" w14:textId="77B95F32" w:rsidR="00BA0376" w:rsidRPr="00963830" w:rsidRDefault="00BA0376" w:rsidP="00613E6B">
      <w:pPr>
        <w:pStyle w:val="NoSpacing"/>
      </w:pPr>
      <w:r w:rsidRPr="00963830">
        <w:rPr>
          <w:rStyle w:val="FootnoteReference"/>
        </w:rPr>
        <w:footnoteRef/>
      </w:r>
      <w:r w:rsidRPr="00963830">
        <w:t xml:space="preserve"> Dit is een vergelijkende onderzoeksvraag, meer bepaald betreft dit een interne rechtsvergelijking er wordt immers vergeleken binnen eenzelfde rechtsstelsel, zie: L. KESTEMONT e.a. (eds.),</w:t>
      </w:r>
      <w:r w:rsidRPr="00963830">
        <w:rPr>
          <w:i/>
        </w:rPr>
        <w:t xml:space="preserve"> Rechtswetenschappelijk schrijven</w:t>
      </w:r>
      <w:r w:rsidRPr="00963830">
        <w:t>, Leuven, Acco, 2021</w:t>
      </w:r>
      <w:r w:rsidRPr="00963830">
        <w:rPr>
          <w:i/>
        </w:rPr>
        <w:t xml:space="preserve">, </w:t>
      </w:r>
      <w:r w:rsidRPr="00963830">
        <w:t>31.</w:t>
      </w:r>
    </w:p>
  </w:footnote>
  <w:footnote w:id="24">
    <w:p w14:paraId="11662C7A" w14:textId="3D1D66DF" w:rsidR="00BA0376" w:rsidRPr="00963830" w:rsidRDefault="00BA0376" w:rsidP="00613E6B">
      <w:pPr>
        <w:pStyle w:val="NoSpacing"/>
      </w:pPr>
      <w:r w:rsidRPr="00963830">
        <w:rPr>
          <w:rStyle w:val="FootnoteReference"/>
        </w:rPr>
        <w:footnoteRef/>
      </w:r>
      <w:r w:rsidRPr="00963830">
        <w:t xml:space="preserve"> Dit is een vergelijkende onderzoeksvraag, meer bepaald betreft dit een interne rechtsvergelijking er wordt immers vergeleken binnen eenzelfde rechtsstelsel, zie: L. KESTEMONT e.a. (eds.),</w:t>
      </w:r>
      <w:r w:rsidRPr="00963830">
        <w:rPr>
          <w:i/>
        </w:rPr>
        <w:t xml:space="preserve"> Rechtswetenschappelijk schrijven</w:t>
      </w:r>
      <w:r w:rsidRPr="00963830">
        <w:t>, Leuven, Acco, 2021</w:t>
      </w:r>
      <w:r w:rsidRPr="00963830">
        <w:rPr>
          <w:i/>
        </w:rPr>
        <w:t xml:space="preserve">, </w:t>
      </w:r>
      <w:r w:rsidRPr="00963830">
        <w:t>31.</w:t>
      </w:r>
    </w:p>
  </w:footnote>
  <w:footnote w:id="25">
    <w:p w14:paraId="07D8EC69" w14:textId="6CE5D734" w:rsidR="00BA0376" w:rsidRPr="00963830" w:rsidRDefault="00BA0376" w:rsidP="00613E6B">
      <w:pPr>
        <w:pStyle w:val="NoSpacing"/>
      </w:pPr>
      <w:r w:rsidRPr="00963830">
        <w:rPr>
          <w:rStyle w:val="FootnoteReference"/>
        </w:rPr>
        <w:footnoteRef/>
      </w:r>
      <w:r w:rsidRPr="00963830">
        <w:t xml:space="preserve"> Dit is een vergelijkende onderzoeksvraag, meer bepaald gaat het om een externe rechtsvergelijking die plaatsvindt tussen de drie voornoemde rechtsstelsels. Zie: L. KESTEMONT e.a. (eds.),</w:t>
      </w:r>
      <w:r w:rsidRPr="00963830">
        <w:rPr>
          <w:i/>
        </w:rPr>
        <w:t xml:space="preserve"> Rechtswetenschappelijk schrijven</w:t>
      </w:r>
      <w:r w:rsidRPr="00963830">
        <w:t>, Leuven, Acco, 2021</w:t>
      </w:r>
      <w:r w:rsidRPr="00963830">
        <w:rPr>
          <w:i/>
        </w:rPr>
        <w:t xml:space="preserve">, </w:t>
      </w:r>
      <w:r w:rsidRPr="00963830">
        <w:t>31.</w:t>
      </w:r>
    </w:p>
  </w:footnote>
  <w:footnote w:id="26">
    <w:p w14:paraId="56062318" w14:textId="77777777" w:rsidR="00BA0376" w:rsidRPr="00963830" w:rsidRDefault="00BA0376" w:rsidP="00FB2E81">
      <w:pPr>
        <w:pStyle w:val="NoSpacing"/>
      </w:pPr>
      <w:r w:rsidRPr="00963830">
        <w:rPr>
          <w:rStyle w:val="FootnoteReference"/>
        </w:rPr>
        <w:footnoteRef/>
      </w:r>
      <w:r w:rsidRPr="00963830">
        <w:t xml:space="preserve"> Het Verenigd Koninkrijk (VK) bestaat uit Engeland, Wales, Schotland en Noord-Ierland. Voor wat betreft deze masterscriptie zal worden gefocust op Engeland.</w:t>
      </w:r>
    </w:p>
  </w:footnote>
  <w:footnote w:id="27">
    <w:p w14:paraId="447D443B" w14:textId="77777777" w:rsidR="00BA0376" w:rsidRPr="00963830" w:rsidRDefault="00BA0376" w:rsidP="00FB2E81">
      <w:pPr>
        <w:pStyle w:val="NoSpacing"/>
        <w:rPr>
          <w:i/>
        </w:rPr>
      </w:pPr>
      <w:r w:rsidRPr="00963830">
        <w:rPr>
          <w:rStyle w:val="FootnoteReference"/>
        </w:rPr>
        <w:footnoteRef/>
      </w:r>
      <w:r w:rsidRPr="00963830">
        <w:t xml:space="preserve"> MvT, </w:t>
      </w:r>
      <w:r w:rsidRPr="00963830">
        <w:rPr>
          <w:i/>
        </w:rPr>
        <w:t>Parl.St.</w:t>
      </w:r>
      <w:r w:rsidRPr="00963830">
        <w:t xml:space="preserve"> Kamer 2020-21, nr. 55-2141/001, 29.</w:t>
      </w:r>
    </w:p>
  </w:footnote>
  <w:footnote w:id="28">
    <w:p w14:paraId="085844C2" w14:textId="416DFD71" w:rsidR="00BA0376" w:rsidRPr="00963830" w:rsidRDefault="00BA0376" w:rsidP="00613E6B">
      <w:pPr>
        <w:pStyle w:val="NoSpacing"/>
      </w:pPr>
      <w:r w:rsidRPr="00963830">
        <w:rPr>
          <w:rStyle w:val="FootnoteReference"/>
          <w:rFonts w:eastAsiaTheme="majorEastAsia"/>
        </w:rPr>
        <w:footnoteRef/>
      </w:r>
      <w:r w:rsidRPr="00963830">
        <w:t xml:space="preserve"> De constitutieve bestanddelen van twee misdrijven onder het Belgisch recht werden geprojecteerd op het Brits rechtsstelsel, om op die manier equivalente misdrijven op te sporen binnen het andere rechtsstelsel. Zie: L. KESTEMONT e.a. (eds.),</w:t>
      </w:r>
      <w:r w:rsidRPr="00963830">
        <w:rPr>
          <w:i/>
        </w:rPr>
        <w:t xml:space="preserve"> Rechtswetenschappelijk schrijven</w:t>
      </w:r>
      <w:r w:rsidRPr="00963830">
        <w:t>, Leuven, Acco, 2021</w:t>
      </w:r>
      <w:r w:rsidRPr="00963830">
        <w:rPr>
          <w:i/>
        </w:rPr>
        <w:t xml:space="preserve">, </w:t>
      </w:r>
      <w:r w:rsidRPr="00963830">
        <w:t>57.</w:t>
      </w:r>
    </w:p>
  </w:footnote>
  <w:footnote w:id="29">
    <w:p w14:paraId="220BC112" w14:textId="3B52C163" w:rsidR="00BA0376" w:rsidRPr="00963830" w:rsidRDefault="00BA0376" w:rsidP="00963830">
      <w:pPr>
        <w:rPr>
          <w:sz w:val="16"/>
          <w:szCs w:val="16"/>
        </w:rPr>
      </w:pPr>
      <w:r w:rsidRPr="00963830">
        <w:rPr>
          <w:rStyle w:val="FootnoteReference"/>
          <w:rFonts w:eastAsiaTheme="majorEastAsia"/>
          <w:sz w:val="16"/>
          <w:szCs w:val="16"/>
        </w:rPr>
        <w:footnoteRef/>
      </w:r>
      <w:r w:rsidRPr="00963830">
        <w:rPr>
          <w:sz w:val="16"/>
          <w:szCs w:val="16"/>
        </w:rPr>
        <w:t xml:space="preserve"> Zo werd niet alleen aandacht geschonken aan de primaire rechtsbronnen van het buitenlands rechtsstelsel, maar evenzeer aan de secundaire rechtsbronnen ervan. Zie: L. KESTEMONT e.a. (eds.),</w:t>
      </w:r>
      <w:r w:rsidRPr="00963830">
        <w:rPr>
          <w:i/>
          <w:sz w:val="16"/>
          <w:szCs w:val="16"/>
        </w:rPr>
        <w:t xml:space="preserve"> Rechtswetenschappelijk schrijven</w:t>
      </w:r>
      <w:r w:rsidRPr="00963830">
        <w:rPr>
          <w:sz w:val="16"/>
          <w:szCs w:val="16"/>
        </w:rPr>
        <w:t>, Leuven, Acco, 2021</w:t>
      </w:r>
      <w:r w:rsidRPr="00963830">
        <w:rPr>
          <w:i/>
          <w:sz w:val="16"/>
          <w:szCs w:val="16"/>
        </w:rPr>
        <w:t xml:space="preserve">, </w:t>
      </w:r>
      <w:r w:rsidRPr="00963830">
        <w:rPr>
          <w:sz w:val="16"/>
          <w:szCs w:val="16"/>
        </w:rPr>
        <w:t xml:space="preserve">58. De primaire of formele rechtsbronnen van een </w:t>
      </w:r>
      <w:r w:rsidRPr="00963830">
        <w:rPr>
          <w:i/>
          <w:sz w:val="16"/>
          <w:szCs w:val="16"/>
        </w:rPr>
        <w:t xml:space="preserve">common law </w:t>
      </w:r>
      <w:r w:rsidRPr="00963830">
        <w:rPr>
          <w:sz w:val="16"/>
          <w:szCs w:val="16"/>
        </w:rPr>
        <w:t xml:space="preserve">rechtsstelsel zoals het Verenigd Koninkrijk, worden gevormd door wetgeving, maar evenzeer door de </w:t>
      </w:r>
      <w:r w:rsidRPr="00963830">
        <w:rPr>
          <w:i/>
          <w:sz w:val="16"/>
          <w:szCs w:val="16"/>
        </w:rPr>
        <w:t>case law</w:t>
      </w:r>
      <w:r w:rsidRPr="00963830">
        <w:rPr>
          <w:sz w:val="16"/>
          <w:szCs w:val="16"/>
        </w:rPr>
        <w:t xml:space="preserve"> of zogenaamde </w:t>
      </w:r>
      <w:r w:rsidRPr="00963830">
        <w:rPr>
          <w:i/>
          <w:sz w:val="16"/>
          <w:szCs w:val="16"/>
        </w:rPr>
        <w:t>hard cases.</w:t>
      </w:r>
      <w:r w:rsidRPr="00963830">
        <w:rPr>
          <w:sz w:val="16"/>
          <w:szCs w:val="16"/>
        </w:rPr>
        <w:t xml:space="preserve"> Zie: F. GORLÉ, G. BOURGEOIS, H. BOCKEN, F. REYNTJENS, W. DE BONDT en K. LEMMENS</w:t>
      </w:r>
      <w:r w:rsidRPr="00963830">
        <w:rPr>
          <w:i/>
          <w:sz w:val="16"/>
          <w:szCs w:val="16"/>
        </w:rPr>
        <w:t xml:space="preserve">, Rechtsvergelijking, </w:t>
      </w:r>
      <w:r w:rsidRPr="00963830">
        <w:rPr>
          <w:sz w:val="16"/>
          <w:szCs w:val="16"/>
        </w:rPr>
        <w:t>Mechelen, Kluwer, 2007, 32; LEGISLATION.GOV.UK, “Understanding legislation”, www.legislation.gov.uk/understanding-legislation (consultatie 15 oktober 2022).</w:t>
      </w:r>
    </w:p>
  </w:footnote>
  <w:footnote w:id="30">
    <w:p w14:paraId="3780693D" w14:textId="77BDF94E" w:rsidR="00BA0376" w:rsidRPr="00963830" w:rsidRDefault="00BA0376" w:rsidP="001315C4">
      <w:pPr>
        <w:pStyle w:val="NoSpacing"/>
      </w:pPr>
      <w:r w:rsidRPr="00963830">
        <w:rPr>
          <w:rStyle w:val="FootnoteReference"/>
          <w:rFonts w:eastAsiaTheme="majorEastAsia"/>
        </w:rPr>
        <w:footnoteRef/>
      </w:r>
      <w:r w:rsidRPr="00963830">
        <w:t xml:space="preserve"> L. KESTEMONT e.a. (eds.),</w:t>
      </w:r>
      <w:r w:rsidRPr="00963830">
        <w:rPr>
          <w:i/>
        </w:rPr>
        <w:t xml:space="preserve"> Rechtswetenschappelijk schrijven</w:t>
      </w:r>
      <w:r w:rsidRPr="00963830">
        <w:t>, Leuven, Acco, 2021</w:t>
      </w:r>
      <w:r w:rsidRPr="00963830">
        <w:rPr>
          <w:i/>
        </w:rPr>
        <w:t xml:space="preserve">, </w:t>
      </w:r>
      <w:r w:rsidRPr="00963830">
        <w:t>58.</w:t>
      </w:r>
    </w:p>
  </w:footnote>
  <w:footnote w:id="31">
    <w:p w14:paraId="7712483E" w14:textId="678261F7" w:rsidR="00BA0376" w:rsidRPr="00963830" w:rsidRDefault="00BA0376" w:rsidP="001315C4">
      <w:pPr>
        <w:pStyle w:val="NoSpacing"/>
      </w:pPr>
      <w:r w:rsidRPr="00963830">
        <w:rPr>
          <w:rStyle w:val="FootnoteReference"/>
        </w:rPr>
        <w:footnoteRef/>
      </w:r>
      <w:r w:rsidRPr="00963830">
        <w:t xml:space="preserve"> In deze masterscriptie werd gepoogd een evenwicht te vinden tussen enerzijds het respect voor de eigenheid van het buitenlands rechtsstelsel en anderzijds het volgen van een vaste structuur voor beide rechtsstelsels om op die manier tot een zo duidelijk mogelijke rechtsvergelijking te kunnen komen. Toch kon dit evenwicht niet altijd behouden blijven en werd bijvoorbeeld in de uiteenzetting van het Brits rechtsstelsel de voorkeur gegeven aan de vaste structuur van de masterscriptie, waardoor de volgorde van de relevante wettelijke bepalingen in het Brits recht niet kon worden gevolgd. Gelet op het doel van dit rechtsvergelijkend onderzoek, was het minder belangrijk om volledig vast te houden aan de structuur van het Brits recht en belangrijker om het onderzoek in alle rechtsstelsels weer te geven volgens eenzelfde structuur.</w:t>
      </w:r>
    </w:p>
  </w:footnote>
  <w:footnote w:id="32">
    <w:p w14:paraId="6C4BBE5E" w14:textId="16E5A440" w:rsidR="00BA0376" w:rsidRPr="00963830" w:rsidRDefault="00BA0376" w:rsidP="00613E6B">
      <w:pPr>
        <w:pStyle w:val="NoSpacing"/>
      </w:pPr>
      <w:r w:rsidRPr="00963830">
        <w:rPr>
          <w:rStyle w:val="FootnoteReference"/>
          <w:rFonts w:eastAsiaTheme="majorEastAsia"/>
        </w:rPr>
        <w:footnoteRef/>
      </w:r>
      <w:r w:rsidRPr="00963830">
        <w:t xml:space="preserve"> L. KESTEMONT e.a. (eds.),</w:t>
      </w:r>
      <w:r w:rsidRPr="00963830">
        <w:rPr>
          <w:i/>
        </w:rPr>
        <w:t xml:space="preserve"> Rechtswetenschappelijk schrijven</w:t>
      </w:r>
      <w:r w:rsidRPr="00963830">
        <w:t>, Leuven, Acco, 2021</w:t>
      </w:r>
      <w:r w:rsidRPr="00963830">
        <w:rPr>
          <w:i/>
        </w:rPr>
        <w:t xml:space="preserve">, </w:t>
      </w:r>
      <w:r w:rsidRPr="00963830">
        <w:t>60.</w:t>
      </w:r>
    </w:p>
  </w:footnote>
  <w:footnote w:id="33">
    <w:p w14:paraId="1B661827" w14:textId="44D92DA8" w:rsidR="00BA0376" w:rsidRPr="00963830" w:rsidRDefault="00BA0376" w:rsidP="00335CAD">
      <w:pPr>
        <w:pStyle w:val="NoSpacing"/>
      </w:pPr>
      <w:r w:rsidRPr="00963830">
        <w:rPr>
          <w:rStyle w:val="FootnoteReference"/>
        </w:rPr>
        <w:footnoteRef/>
      </w:r>
      <w:r w:rsidRPr="00963830">
        <w:t xml:space="preserve"> Het gaat bijgevolg om interne evaluatiecriteria. Zie: L. KESTEMONT e.a. (eds.),</w:t>
      </w:r>
      <w:r w:rsidRPr="00963830">
        <w:rPr>
          <w:i/>
        </w:rPr>
        <w:t xml:space="preserve"> Rechtswetenschappelijk schrijven</w:t>
      </w:r>
      <w:r w:rsidRPr="00963830">
        <w:t>, Leuven, Acco, 2021</w:t>
      </w:r>
      <w:r w:rsidRPr="00963830">
        <w:rPr>
          <w:i/>
        </w:rPr>
        <w:t>,</w:t>
      </w:r>
      <w:r w:rsidRPr="00963830">
        <w:t xml:space="preserve"> 64-65.</w:t>
      </w:r>
    </w:p>
  </w:footnote>
  <w:footnote w:id="34">
    <w:p w14:paraId="4CCAA268" w14:textId="5FAA6D45" w:rsidR="00BA0376" w:rsidRPr="009C29A6" w:rsidRDefault="00BA0376" w:rsidP="0039329C">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4.</w:t>
      </w:r>
    </w:p>
  </w:footnote>
  <w:footnote w:id="35">
    <w:p w14:paraId="44160610" w14:textId="7539712E" w:rsidR="00BA0376" w:rsidRPr="009C29A6" w:rsidRDefault="00BA0376" w:rsidP="0039329C">
      <w:pPr>
        <w:pStyle w:val="NoSpacing"/>
        <w:rPr>
          <w:lang w:val="fr-FR"/>
        </w:rPr>
      </w:pPr>
      <w:r w:rsidRPr="00963830">
        <w:rPr>
          <w:rStyle w:val="FootnoteReference"/>
        </w:rPr>
        <w:footnoteRef/>
      </w:r>
      <w:r w:rsidRPr="009C29A6">
        <w:rPr>
          <w:lang w:val="fr-FR"/>
        </w:rPr>
        <w:t xml:space="preserve"> </w:t>
      </w:r>
      <w:r w:rsidRPr="009C29A6">
        <w:rPr>
          <w:i/>
          <w:lang w:val="fr-FR"/>
        </w:rPr>
        <w:t xml:space="preserve">Infra </w:t>
      </w:r>
      <w:r w:rsidRPr="009C29A6">
        <w:rPr>
          <w:lang w:val="fr-FR"/>
        </w:rPr>
        <w:t>titels 1.1.3 en 1.2.3.</w:t>
      </w:r>
    </w:p>
  </w:footnote>
  <w:footnote w:id="36">
    <w:p w14:paraId="2AB7ED70" w14:textId="6752F1CE" w:rsidR="00BA0376" w:rsidRPr="00963830" w:rsidRDefault="00BA0376" w:rsidP="0039329C">
      <w:pPr>
        <w:pStyle w:val="NoSpacing"/>
      </w:pPr>
      <w:r w:rsidRPr="00963830">
        <w:rPr>
          <w:rStyle w:val="FootnoteReference"/>
        </w:rPr>
        <w:footnoteRef/>
      </w:r>
      <w:r w:rsidRPr="00963830">
        <w:t xml:space="preserve"> </w:t>
      </w:r>
      <w:r w:rsidRPr="00963830">
        <w:rPr>
          <w:i/>
        </w:rPr>
        <w:t xml:space="preserve">Infra </w:t>
      </w:r>
      <w:r w:rsidRPr="00963830">
        <w:t>titel 2.3.</w:t>
      </w:r>
    </w:p>
  </w:footnote>
  <w:footnote w:id="37">
    <w:p w14:paraId="3D48F354" w14:textId="7AA2E478" w:rsidR="00BA0376" w:rsidRPr="00963830" w:rsidRDefault="00BA0376" w:rsidP="00613E6B">
      <w:pPr>
        <w:pStyle w:val="NoSpacing"/>
      </w:pPr>
      <w:r w:rsidRPr="00963830">
        <w:rPr>
          <w:rStyle w:val="FootnoteReference"/>
        </w:rPr>
        <w:footnoteRef/>
      </w:r>
      <w:r w:rsidRPr="00963830">
        <w:t xml:space="preserve"> Uit een verkrachting konden bv. buitenhuwelijkse kinderen geboren worden. Volgens de aanvankelijke opvatting moest de orde van de familie daartegen worden beschermd. Zie: A. DE NAUW en F. DERUYCK, </w:t>
      </w:r>
      <w:r w:rsidRPr="00963830">
        <w:rPr>
          <w:i/>
        </w:rPr>
        <w:t>Inleiding tot het bijzonder strafrecht</w:t>
      </w:r>
      <w:r w:rsidRPr="00963830">
        <w:t xml:space="preserve">, Mechelen, Kluwer, 2020, 198; </w:t>
      </w:r>
      <w:r w:rsidRPr="00963830">
        <w:rPr>
          <w:color w:val="000000" w:themeColor="text1"/>
        </w:rPr>
        <w:t xml:space="preserve">D. MERCKX en I. DELBROUCK, “Verkrachting - het misdrijf” in X, </w:t>
      </w:r>
      <w:r w:rsidRPr="00963830">
        <w:rPr>
          <w:i/>
          <w:color w:val="000000" w:themeColor="text1"/>
        </w:rPr>
        <w:t>Comm.Straf</w:t>
      </w:r>
      <w:r w:rsidRPr="00963830">
        <w:rPr>
          <w:color w:val="000000" w:themeColor="text1"/>
        </w:rPr>
        <w:t>., Mechelen, Wolters Kluwer, losbl., (229) 239 (hierna: D. MERCKX en I. DELBROUCK, “Verkrachting”).</w:t>
      </w:r>
    </w:p>
  </w:footnote>
  <w:footnote w:id="38">
    <w:p w14:paraId="5D9DDA58" w14:textId="6A9E055F" w:rsidR="00BA0376" w:rsidRPr="00963830" w:rsidRDefault="00BA0376" w:rsidP="00837CA8">
      <w:pPr>
        <w:pStyle w:val="NoSpacing"/>
      </w:pPr>
      <w:r w:rsidRPr="00963830">
        <w:rPr>
          <w:rStyle w:val="FootnoteReference"/>
        </w:rPr>
        <w:footnoteRef/>
      </w:r>
      <w:r w:rsidRPr="00963830">
        <w:t xml:space="preserve"> De wetgever had reeds eind 20</w:t>
      </w:r>
      <w:r w:rsidRPr="00963830">
        <w:rPr>
          <w:vertAlign w:val="superscript"/>
        </w:rPr>
        <w:t>e</w:t>
      </w:r>
      <w:r w:rsidRPr="00963830">
        <w:t xml:space="preserve"> eeuw geprobeerd de misdrijven van verkrachting en aanranding van de eerbaarheid niet langer als misdrijven tegen de familiale orde, maar tegen de persoon te beschouwen. De misdrijven werden evenwel niet van plaats binnen het Strafwetboek veranderd. Zie: Wetsontwerp tot wijziging van sommige bepaling betreffende het misdrijf verkrachting, </w:t>
      </w:r>
      <w:r w:rsidRPr="00963830">
        <w:rPr>
          <w:i/>
        </w:rPr>
        <w:t>Parl.St.</w:t>
      </w:r>
      <w:r w:rsidRPr="00963830">
        <w:t xml:space="preserve"> Kamer 1988-89, nr. 702/4, 2; in A. </w:t>
      </w:r>
      <w:r w:rsidRPr="00963830">
        <w:rPr>
          <w:rFonts w:eastAsia="Verdana" w:cs="Verdana"/>
        </w:rPr>
        <w:t xml:space="preserve">DIERICKX, </w:t>
      </w:r>
      <w:r w:rsidRPr="00963830">
        <w:rPr>
          <w:rFonts w:eastAsia="Verdana" w:cs="Verdana"/>
          <w:i/>
        </w:rPr>
        <w:t>Toestemming en strafrecht</w:t>
      </w:r>
      <w:r w:rsidRPr="00963830">
        <w:rPr>
          <w:rFonts w:eastAsia="Verdana" w:cs="Verdana"/>
        </w:rPr>
        <w:t xml:space="preserve">, Antwerpen, Intersentia, 2006, 89;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238-239.</w:t>
      </w:r>
    </w:p>
  </w:footnote>
  <w:footnote w:id="39">
    <w:p w14:paraId="32AB9FFA" w14:textId="69916FC4"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9-10; A. DE NAUW en F. DERUYCK, </w:t>
      </w:r>
      <w:r w:rsidRPr="00963830">
        <w:rPr>
          <w:i/>
        </w:rPr>
        <w:t>Inleiding tot het bijzonder strafrecht</w:t>
      </w:r>
      <w:r w:rsidRPr="00963830">
        <w:t>, Mechelen, Kluwer, 2020, 198; B. SPRIET en G. MARLIER, “Aanranding van de eerbaarheid en verkrachting in het begin van de 21ste eeuw (2000-2012)” in B. SPRIET, F. VERBRUGGEN en R. VERSTRAETEN (eds.), Straf-en strafprocesrecht, Brugge, Die Keure, 2013, (81) 103 (hierna: B. SPRIET en G. MARLIER, “Aanranding van de eerbaarheid en verkrachting”).</w:t>
      </w:r>
    </w:p>
  </w:footnote>
  <w:footnote w:id="40">
    <w:p w14:paraId="7D251814" w14:textId="77777777"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9-10.</w:t>
      </w:r>
    </w:p>
  </w:footnote>
  <w:footnote w:id="41">
    <w:p w14:paraId="223BC549" w14:textId="4AD6FC04" w:rsidR="00BA0376" w:rsidRPr="00963830" w:rsidRDefault="00BA0376" w:rsidP="00613E6B">
      <w:pPr>
        <w:pStyle w:val="NoSpacing"/>
      </w:pPr>
      <w:r w:rsidRPr="00963830">
        <w:rPr>
          <w:rStyle w:val="FootnoteReference"/>
        </w:rPr>
        <w:footnoteRef/>
      </w:r>
      <w:r w:rsidRPr="00963830">
        <w:t xml:space="preserve"> Om de leesbaarheid te bevorderen, zal in wat volgt - indien het gaat om het oude recht - in de verleden tijd worden geschreven. Dit mist uiteraard de nodige nuance, aangezien (sommige van) deze bepalingen nog enige tijd zullen worden toegepast, gelet op het niet-retroactiviteitsbeginsel. Hierop zal later in deze masterscriptie worden ingegaan (</w:t>
      </w:r>
      <w:r w:rsidRPr="00963830">
        <w:rPr>
          <w:i/>
        </w:rPr>
        <w:t xml:space="preserve">infra </w:t>
      </w:r>
      <w:r w:rsidRPr="00963830">
        <w:t>titels 1.1.3, 1.2.3 en 1.3.2).</w:t>
      </w:r>
    </w:p>
  </w:footnote>
  <w:footnote w:id="42">
    <w:p w14:paraId="5B6A7813" w14:textId="1E5D0410" w:rsidR="00BA0376" w:rsidRPr="00963830" w:rsidRDefault="00BA0376" w:rsidP="002541B1">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4.</w:t>
      </w:r>
    </w:p>
  </w:footnote>
  <w:footnote w:id="43">
    <w:p w14:paraId="4D3BFCB1" w14:textId="0D11CB9B" w:rsidR="00BA0376" w:rsidRPr="00963830" w:rsidRDefault="00BA0376" w:rsidP="00613E6B">
      <w:pPr>
        <w:pStyle w:val="NoSpacing"/>
      </w:pPr>
      <w:r w:rsidRPr="00963830">
        <w:rPr>
          <w:rStyle w:val="FootnoteReference"/>
        </w:rPr>
        <w:footnoteRef/>
      </w:r>
      <w:r w:rsidRPr="00963830">
        <w:t xml:space="preserve"> Dit was een uitzondering op de algemene principes inzake de strafbare poging uit art. 51 Sw</w:t>
      </w:r>
      <w:r w:rsidRPr="00963830">
        <w:rPr>
          <w:color w:val="000000" w:themeColor="text1"/>
        </w:rPr>
        <w:t xml:space="preserve">. Zie: </w:t>
      </w:r>
      <w:r w:rsidRPr="00963830">
        <w:rPr>
          <w:color w:val="000000"/>
        </w:rPr>
        <w:t xml:space="preserve">Cass. 11 februari 1942, </w:t>
      </w:r>
      <w:r w:rsidRPr="00963830">
        <w:rPr>
          <w:i/>
          <w:iCs/>
          <w:color w:val="000000"/>
        </w:rPr>
        <w:t>Arr.Cass.</w:t>
      </w:r>
      <w:r w:rsidRPr="00963830">
        <w:rPr>
          <w:color w:val="000000"/>
        </w:rPr>
        <w:t xml:space="preserve"> 1942, 17; </w:t>
      </w:r>
      <w:r w:rsidRPr="00963830">
        <w:t xml:space="preserve">A. DE NAUW en F. DERUYCK, </w:t>
      </w:r>
      <w:r w:rsidRPr="00963830">
        <w:rPr>
          <w:i/>
        </w:rPr>
        <w:t>Inleiding tot het bijzonder strafrecht</w:t>
      </w:r>
      <w:r w:rsidRPr="00963830">
        <w:t xml:space="preserve">, Mechelen, Kluwer, 2020, 197-198; A. DIERICKX en J. DECOKER, “Artikel 372 - 375 Sw.” in M. DE BUSSCHER, J. MEESE, D. VAN DER KELEN en J. VERBIST (eds.), </w:t>
      </w:r>
      <w:r w:rsidRPr="00963830">
        <w:rPr>
          <w:i/>
        </w:rPr>
        <w:t>Duiding Strafrecht</w:t>
      </w:r>
      <w:r w:rsidRPr="00963830">
        <w:t xml:space="preserve">, Brussel, Larcier, 2018, (441) 444 (hierna: A. DIERICKX en J. DECOKER, “Artikel 372 - 375 Sw.”); B. SPRIET en G. MARLIER, “Aanranding van de eerbaarheid en verkrachting”, </w:t>
      </w:r>
      <w:r w:rsidRPr="00963830">
        <w:rPr>
          <w:i/>
        </w:rPr>
        <w:t>supra</w:t>
      </w:r>
      <w:r w:rsidRPr="00963830">
        <w:t xml:space="preserve"> vn. 39, 100-102; I. </w:t>
      </w:r>
      <w:r w:rsidRPr="00963830">
        <w:rPr>
          <w:color w:val="000000" w:themeColor="text1"/>
        </w:rPr>
        <w:t xml:space="preserve">DELBROUCK, </w:t>
      </w:r>
      <w:r w:rsidRPr="00963830">
        <w:rPr>
          <w:i/>
          <w:color w:val="000000" w:themeColor="text1"/>
        </w:rPr>
        <w:t>Aanranding van de eerbaarheid en verkrachting</w:t>
      </w:r>
      <w:r w:rsidRPr="00963830">
        <w:rPr>
          <w:color w:val="000000" w:themeColor="text1"/>
        </w:rPr>
        <w:t xml:space="preserve">, Brugge, die Keure, 2015, 44-47 (hierna: </w:t>
      </w:r>
      <w:r w:rsidRPr="00963830">
        <w:t xml:space="preserve">I. </w:t>
      </w:r>
      <w:r w:rsidRPr="00963830">
        <w:rPr>
          <w:color w:val="000000" w:themeColor="text1"/>
        </w:rPr>
        <w:t xml:space="preserve">DELBROUCK, </w:t>
      </w:r>
      <w:r w:rsidRPr="00963830">
        <w:rPr>
          <w:i/>
          <w:color w:val="000000" w:themeColor="text1"/>
        </w:rPr>
        <w:t>Aanranding</w:t>
      </w:r>
      <w:r w:rsidRPr="00963830">
        <w:rPr>
          <w:color w:val="000000" w:themeColor="text1"/>
        </w:rPr>
        <w:t>).</w:t>
      </w:r>
    </w:p>
  </w:footnote>
  <w:footnote w:id="44">
    <w:p w14:paraId="128DE7CE" w14:textId="2E09103F" w:rsidR="00BA0376" w:rsidRPr="00963830" w:rsidRDefault="00BA0376" w:rsidP="00613E6B">
      <w:pPr>
        <w:pStyle w:val="NoSpacing"/>
      </w:pPr>
      <w:r w:rsidRPr="00963830">
        <w:rPr>
          <w:rStyle w:val="FootnoteReference"/>
        </w:rPr>
        <w:footnoteRef/>
      </w:r>
      <w:r w:rsidRPr="00963830">
        <w:t xml:space="preserve"> I. DELBROUCK, </w:t>
      </w:r>
      <w:r w:rsidRPr="00963830">
        <w:rPr>
          <w:i/>
        </w:rPr>
        <w:t>Aanranding</w:t>
      </w:r>
      <w:r w:rsidRPr="00963830">
        <w:t xml:space="preserve">, </w:t>
      </w:r>
      <w:r w:rsidRPr="00963830">
        <w:rPr>
          <w:i/>
        </w:rPr>
        <w:t>supra</w:t>
      </w:r>
      <w:r w:rsidRPr="00963830">
        <w:t xml:space="preserve"> vn. 43, </w:t>
      </w:r>
      <w:r w:rsidRPr="00963830">
        <w:rPr>
          <w:color w:val="000000" w:themeColor="text1"/>
        </w:rPr>
        <w:t>3.</w:t>
      </w:r>
    </w:p>
  </w:footnote>
  <w:footnote w:id="45">
    <w:p w14:paraId="5BDBF5EB" w14:textId="6D538687"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Cass. 24 mei 2011, AR P.10.1990.N., ‘roltraparrest’. Het </w:t>
      </w:r>
      <w:r w:rsidRPr="00963830">
        <w:t>Hof van Cassatie omschreef aanranding van de eerbaarheid ook in oudere arresten als een gedraging van een “</w:t>
      </w:r>
      <w:r w:rsidRPr="00963830">
        <w:rPr>
          <w:i/>
        </w:rPr>
        <w:t>zekere graad van zwaarwichtigheid”</w:t>
      </w:r>
      <w:r w:rsidRPr="00963830">
        <w:t>, “</w:t>
      </w:r>
      <w:r w:rsidRPr="00963830">
        <w:rPr>
          <w:i/>
        </w:rPr>
        <w:t>waardoor de seksuele integriteit van een persoon wordt aangetast, zoals deze door het collectief bewustzijn van een bepaalde maatschappij en op een bepaald tijdstip wordt ervaren</w:t>
      </w:r>
      <w:r w:rsidRPr="00963830">
        <w:t xml:space="preserve">”. Zie bv.: </w:t>
      </w:r>
      <w:r w:rsidRPr="00963830">
        <w:rPr>
          <w:color w:val="000000"/>
        </w:rPr>
        <w:t>Cass. 7 januari 1997, AR P.95.1312.N.</w:t>
      </w:r>
    </w:p>
  </w:footnote>
  <w:footnote w:id="46">
    <w:p w14:paraId="2FDB2A8E" w14:textId="051FFAC9" w:rsidR="00BA0376" w:rsidRPr="00963830" w:rsidRDefault="00BA0376" w:rsidP="00613E6B">
      <w:pPr>
        <w:pStyle w:val="NoSpacing"/>
      </w:pPr>
      <w:r w:rsidRPr="00963830">
        <w:rPr>
          <w:rStyle w:val="FootnoteReference"/>
        </w:rPr>
        <w:footnoteRef/>
      </w:r>
      <w:r w:rsidRPr="00963830">
        <w:t xml:space="preserve"> Cass. 9 oktober 2012, AR P.11.2120.N; </w:t>
      </w:r>
      <w:r w:rsidRPr="00963830">
        <w:rPr>
          <w:color w:val="000000" w:themeColor="text1"/>
        </w:rPr>
        <w:t xml:space="preserve">Cass. 3 november 2015, AR P.14.0365.N, </w:t>
      </w:r>
      <w:r w:rsidRPr="00963830">
        <w:rPr>
          <w:rFonts w:eastAsia="Verdana" w:cs="Verdana"/>
          <w:i/>
        </w:rPr>
        <w:t>RABG</w:t>
      </w:r>
      <w:r w:rsidRPr="00963830">
        <w:rPr>
          <w:rFonts w:eastAsia="Verdana" w:cs="Verdana"/>
        </w:rPr>
        <w:t xml:space="preserve"> 2016-17, 530-531</w:t>
      </w:r>
      <w:r w:rsidRPr="00963830">
        <w:rPr>
          <w:color w:val="000000" w:themeColor="text1"/>
        </w:rPr>
        <w:t>;</w:t>
      </w:r>
      <w:r w:rsidRPr="00963830">
        <w:t xml:space="preserve"> </w:t>
      </w:r>
      <w:r w:rsidRPr="00963830">
        <w:rPr>
          <w:color w:val="000000" w:themeColor="text1"/>
        </w:rPr>
        <w:t>Cass. 6 februari 2013, AR P.12.1650.F</w:t>
      </w:r>
      <w:r w:rsidRPr="00963830">
        <w:t xml:space="preserve">; F. DERUYCK, B. SPRIET, P. TRAEST en R. VERSTRAETEN (eds.), </w:t>
      </w:r>
      <w:r w:rsidRPr="00963830">
        <w:rPr>
          <w:i/>
          <w:iCs/>
        </w:rPr>
        <w:t xml:space="preserve">Strafrecht. Deel 1 - Algemeen strafrecht, </w:t>
      </w:r>
      <w:r w:rsidRPr="00963830">
        <w:t xml:space="preserve">Brugge, die Keure, 2021, 582; I. DELBROUCK, </w:t>
      </w:r>
      <w:r w:rsidRPr="00963830">
        <w:rPr>
          <w:i/>
        </w:rPr>
        <w:t>Aanranding, supra</w:t>
      </w:r>
      <w:r w:rsidRPr="00963830">
        <w:t xml:space="preserve"> vn. 43, </w:t>
      </w:r>
      <w:r w:rsidRPr="00963830">
        <w:rPr>
          <w:color w:val="000000" w:themeColor="text1"/>
        </w:rPr>
        <w:t>5-6.</w:t>
      </w:r>
    </w:p>
  </w:footnote>
  <w:footnote w:id="47">
    <w:p w14:paraId="4216766E" w14:textId="2B37E4B1" w:rsidR="00BA0376" w:rsidRPr="00963830" w:rsidRDefault="00BA0376" w:rsidP="00613E6B">
      <w:pPr>
        <w:pStyle w:val="NoSpacing"/>
        <w:rPr>
          <w:color w:val="000000" w:themeColor="text1"/>
        </w:rPr>
      </w:pPr>
      <w:r w:rsidRPr="00963830">
        <w:rPr>
          <w:rStyle w:val="FootnoteReference"/>
          <w:color w:val="000000" w:themeColor="text1"/>
        </w:rPr>
        <w:footnoteRef/>
      </w:r>
      <w:r w:rsidRPr="00963830">
        <w:rPr>
          <w:color w:val="000000" w:themeColor="text1"/>
        </w:rPr>
        <w:t xml:space="preserve"> Eind jaren 90 werd tevens - tevergeefs - voorgesteld om de naam van het misdrijf te veranderen in “aantasting van de seksuele integriteit”. Zie: </w:t>
      </w:r>
      <w:r w:rsidRPr="00963830">
        <w:t xml:space="preserve">Wetsvoorstel tot wijziging van artikel 369bis van het Strafwetboek betreffende de ontvoering van kinderen, </w:t>
      </w:r>
      <w:r w:rsidRPr="00963830">
        <w:rPr>
          <w:i/>
        </w:rPr>
        <w:t>Parl.St.</w:t>
      </w:r>
      <w:r w:rsidRPr="00963830">
        <w:t xml:space="preserve"> Kamer 1998-99, nr. 1907/1; </w:t>
      </w:r>
      <w:r w:rsidRPr="00963830">
        <w:rPr>
          <w:color w:val="000000" w:themeColor="text1"/>
        </w:rPr>
        <w:t xml:space="preserve">I. DELBROUCK, </w:t>
      </w:r>
      <w:r w:rsidRPr="00963830">
        <w:rPr>
          <w:i/>
          <w:color w:val="000000" w:themeColor="text1"/>
        </w:rPr>
        <w:t>Aanranding, supra</w:t>
      </w:r>
      <w:r w:rsidRPr="00963830">
        <w:rPr>
          <w:color w:val="000000" w:themeColor="text1"/>
        </w:rPr>
        <w:t xml:space="preserve"> vn. 43, 4;</w:t>
      </w:r>
      <w:r w:rsidRPr="00963830">
        <w:t xml:space="preserve"> J. ROZIE e.a., </w:t>
      </w:r>
      <w:r w:rsidRPr="00963830">
        <w:rPr>
          <w:i/>
        </w:rPr>
        <w:t>Naar een nieuw Strafwetboek? Het voorstel van de Commissie tot Hervorming van het Strafrecht</w:t>
      </w:r>
      <w:r w:rsidRPr="00963830">
        <w:t xml:space="preserve">, Brugge, die Keure, 2019, 250; J. ROZIE en J. DE HERDT, “overgangsrecht seksueel strafrecht”, </w:t>
      </w:r>
      <w:r w:rsidRPr="00963830">
        <w:rPr>
          <w:i/>
        </w:rPr>
        <w:t>supra</w:t>
      </w:r>
      <w:r w:rsidRPr="00963830">
        <w:t xml:space="preserve"> vn. 7, 182.</w:t>
      </w:r>
    </w:p>
  </w:footnote>
  <w:footnote w:id="48">
    <w:p w14:paraId="50A9A2A0" w14:textId="371C87B2" w:rsidR="00BA0376" w:rsidRPr="00963830" w:rsidRDefault="00BA0376" w:rsidP="00613E6B">
      <w:pPr>
        <w:pStyle w:val="NoSpacing"/>
      </w:pPr>
      <w:r w:rsidRPr="00963830">
        <w:rPr>
          <w:rStyle w:val="FootnoteReference"/>
        </w:rPr>
        <w:footnoteRef/>
      </w:r>
      <w:r w:rsidRPr="00963830">
        <w:t xml:space="preserve"> A. DE NAUW en F. DERUYCK, </w:t>
      </w:r>
      <w:r w:rsidRPr="00963830">
        <w:rPr>
          <w:i/>
        </w:rPr>
        <w:t>Inleiding tot het bijzonder strafrecht</w:t>
      </w:r>
      <w:r w:rsidRPr="00963830">
        <w:t xml:space="preserve">, Mechelen, Kluwer, 2020, 189; A. DE NAUW en F. KUTY, </w:t>
      </w:r>
      <w:r w:rsidRPr="00963830">
        <w:rPr>
          <w:i/>
        </w:rPr>
        <w:t>Manuel de droit pénal spécial</w:t>
      </w:r>
      <w:r w:rsidRPr="00963830">
        <w:t>, Wolters Kluwer, Liège, 2018, 230-231; B. SPRIET, S. CAREEL en M. WALGRAEVE, “Actualia seksueel strafrecht: aanranding van de eerbaarheid, verkrachting, voyeurisme” in S. CAREEL, L. COLLAGE, J. HUYSMANS, M. KNOPS, B. SPRIET, F. VERBRUGGEN, R. VERSTRAETEN en M. WALGRAEVE (eds.), Straf- en strafprocesrecht, Antwerpen, Intersentia, 2022, (1) 8 (hierna: B. SPRIET e.a. (eds.), “Actualia seksueel strafrecht”).</w:t>
      </w:r>
    </w:p>
  </w:footnote>
  <w:footnote w:id="49">
    <w:p w14:paraId="216221F6" w14:textId="269A0F76" w:rsidR="00BA0376" w:rsidRPr="00963830" w:rsidRDefault="00BA0376" w:rsidP="00613E6B">
      <w:pPr>
        <w:pStyle w:val="NoSpacing"/>
      </w:pPr>
      <w:r w:rsidRPr="00963830">
        <w:rPr>
          <w:rStyle w:val="FootnoteReference"/>
        </w:rPr>
        <w:footnoteRef/>
      </w:r>
      <w:r w:rsidRPr="00963830">
        <w:t xml:space="preserve"> A. DE NAUW en F. DERUYCK, </w:t>
      </w:r>
      <w:r w:rsidRPr="00963830">
        <w:rPr>
          <w:i/>
        </w:rPr>
        <w:t>Inleiding tot het bijzonder strafrecht</w:t>
      </w:r>
      <w:r w:rsidRPr="00963830">
        <w:t xml:space="preserve">, Mechelen, Kluwer, 2020, 188-191; A. DE NAUW en F. KUTY, </w:t>
      </w:r>
      <w:r w:rsidRPr="00963830">
        <w:rPr>
          <w:i/>
        </w:rPr>
        <w:t>Manuel de droit pénal spécial</w:t>
      </w:r>
      <w:r w:rsidRPr="00963830">
        <w:t xml:space="preserve">, Wolters Kluwer, Liège, 2018, 230-240; B. SPRIET en G. MARLIER, “Aanranding van de eerbaarheid en verkrachting”, </w:t>
      </w:r>
      <w:r w:rsidRPr="00963830">
        <w:rPr>
          <w:i/>
        </w:rPr>
        <w:t>supra</w:t>
      </w:r>
      <w:r w:rsidRPr="00963830">
        <w:t xml:space="preserve"> vn. 39, 83-97.</w:t>
      </w:r>
    </w:p>
  </w:footnote>
  <w:footnote w:id="50">
    <w:p w14:paraId="189BB52C" w14:textId="342D3048" w:rsidR="00BA0376" w:rsidRPr="00963830" w:rsidRDefault="00BA0376" w:rsidP="00613E6B">
      <w:pPr>
        <w:pStyle w:val="NoSpacing"/>
      </w:pPr>
      <w:r w:rsidRPr="00963830">
        <w:rPr>
          <w:rStyle w:val="FootnoteReference"/>
        </w:rPr>
        <w:footnoteRef/>
      </w:r>
      <w:r w:rsidRPr="00963830">
        <w:t xml:space="preserve"> Een grondige analyse m.b.t. de tijdsgebondenheid van de maatschappelijke norm m.b.t. seksuele integriteit is terug te vinden in: L. </w:t>
      </w:r>
      <w:r w:rsidRPr="00963830">
        <w:rPr>
          <w:lang w:val="nl-BE"/>
        </w:rPr>
        <w:t xml:space="preserve">STEVENS, </w:t>
      </w:r>
      <w:r w:rsidRPr="00963830">
        <w:rPr>
          <w:i/>
          <w:iCs/>
          <w:lang w:val="nl-BE"/>
        </w:rPr>
        <w:t>Strafrecht en seksualiteit</w:t>
      </w:r>
      <w:r w:rsidRPr="00963830">
        <w:rPr>
          <w:lang w:val="nl-BE"/>
        </w:rPr>
        <w:t>, Antwerpen, Intersentia, 2002, 601 p</w:t>
      </w:r>
      <w:r w:rsidRPr="00963830">
        <w:t>. Hoewel dit werk reeds dateert van 2002, toont het wel de veranderlijkheid van de maatschappelijke opvatting hieromtrent aan.</w:t>
      </w:r>
    </w:p>
  </w:footnote>
  <w:footnote w:id="51">
    <w:p w14:paraId="2E7A65C6" w14:textId="721AE5EE" w:rsidR="00BA0376" w:rsidRPr="00963830" w:rsidRDefault="00BA0376" w:rsidP="00613E6B">
      <w:pPr>
        <w:pStyle w:val="NoSpacing"/>
      </w:pPr>
      <w:r w:rsidRPr="00963830">
        <w:rPr>
          <w:rStyle w:val="FootnoteReference"/>
        </w:rPr>
        <w:footnoteRef/>
      </w:r>
      <w:r w:rsidRPr="00963830">
        <w:t xml:space="preserve"> A. DE NAUW en F. DERUYCK, </w:t>
      </w:r>
      <w:r w:rsidRPr="00963830">
        <w:rPr>
          <w:i/>
        </w:rPr>
        <w:t>Inleiding tot het bijzonder strafrecht</w:t>
      </w:r>
      <w:r w:rsidRPr="00963830">
        <w:t xml:space="preserve">, Mechelen, Kluwer, 2020, 189; I. DELBROUCK, </w:t>
      </w:r>
      <w:r w:rsidRPr="00963830">
        <w:rPr>
          <w:i/>
        </w:rPr>
        <w:t>Aanranding, supra</w:t>
      </w:r>
      <w:r w:rsidRPr="00963830">
        <w:t xml:space="preserve"> vn. 43, </w:t>
      </w:r>
      <w:r w:rsidRPr="00963830">
        <w:rPr>
          <w:color w:val="000000" w:themeColor="text1"/>
        </w:rPr>
        <w:t>8 en 11;</w:t>
      </w:r>
      <w:r w:rsidRPr="00963830">
        <w:t xml:space="preserve"> A. DE NAUW en F. KUTY, </w:t>
      </w:r>
      <w:r w:rsidRPr="00963830">
        <w:rPr>
          <w:i/>
        </w:rPr>
        <w:t>Manuel de droit pénal spécial</w:t>
      </w:r>
      <w:r w:rsidRPr="00963830">
        <w:t>, Wolters Kluwer, Liège, 2018, 231.</w:t>
      </w:r>
    </w:p>
  </w:footnote>
  <w:footnote w:id="52">
    <w:p w14:paraId="36A7E074" w14:textId="77777777" w:rsidR="00BA0376" w:rsidRPr="00963830" w:rsidRDefault="00BA0376" w:rsidP="00613E6B">
      <w:pPr>
        <w:pStyle w:val="NoSpacing"/>
      </w:pPr>
      <w:r w:rsidRPr="00963830">
        <w:rPr>
          <w:rStyle w:val="FootnoteReference"/>
        </w:rPr>
        <w:footnoteRef/>
      </w:r>
      <w:r w:rsidRPr="00963830">
        <w:t xml:space="preserve"> A. DIERICKX, “Hoe ver reikt de bescherming van de strafbepalingen van aanranding van de eerbaarheid en verkrachting?”, </w:t>
      </w:r>
      <w:r w:rsidRPr="00963830">
        <w:rPr>
          <w:i/>
        </w:rPr>
        <w:t>NC</w:t>
      </w:r>
      <w:r w:rsidRPr="00963830">
        <w:t xml:space="preserve"> 2006, (95) 103-104.</w:t>
      </w:r>
    </w:p>
  </w:footnote>
  <w:footnote w:id="53">
    <w:p w14:paraId="7F3C2E73" w14:textId="55283E8C" w:rsidR="00BA0376" w:rsidRPr="00963830" w:rsidRDefault="00BA0376" w:rsidP="00613E6B">
      <w:pPr>
        <w:pStyle w:val="NoSpacing"/>
        <w:rPr>
          <w:color w:val="000000" w:themeColor="text1"/>
        </w:rPr>
      </w:pPr>
      <w:r w:rsidRPr="00963830">
        <w:rPr>
          <w:rStyle w:val="FootnoteReference"/>
        </w:rPr>
        <w:footnoteRef/>
      </w:r>
      <w:r w:rsidRPr="00963830">
        <w:t xml:space="preserve"> I. DELBROUCK, </w:t>
      </w:r>
      <w:r w:rsidRPr="00963830">
        <w:rPr>
          <w:i/>
        </w:rPr>
        <w:t>Aanranding, supra</w:t>
      </w:r>
      <w:r w:rsidRPr="00963830">
        <w:t xml:space="preserve"> vn. 43, </w:t>
      </w:r>
      <w:r w:rsidRPr="00963830">
        <w:rPr>
          <w:color w:val="000000" w:themeColor="text1"/>
        </w:rPr>
        <w:t xml:space="preserve">8 en 11. </w:t>
      </w:r>
    </w:p>
  </w:footnote>
  <w:footnote w:id="54">
    <w:p w14:paraId="0757C548" w14:textId="255D6371" w:rsidR="00BA0376" w:rsidRPr="00963830" w:rsidRDefault="00BA0376" w:rsidP="00613E6B">
      <w:pPr>
        <w:pStyle w:val="NoSpacing"/>
      </w:pPr>
      <w:r w:rsidRPr="00963830">
        <w:rPr>
          <w:rStyle w:val="FootnoteReference"/>
        </w:rPr>
        <w:footnoteRef/>
      </w:r>
      <w:r w:rsidRPr="00963830">
        <w:t xml:space="preserve"> SPRIET e.a. sluiten zich eveneens aan bij deze kritiek. Zie: B. SPRIET e.a. (eds.), “Actualia seksueel strafrecht”, </w:t>
      </w:r>
      <w:r w:rsidRPr="00963830">
        <w:rPr>
          <w:i/>
        </w:rPr>
        <w:t>supra</w:t>
      </w:r>
      <w:r w:rsidRPr="00963830">
        <w:t xml:space="preserve"> vn. 48, 9; I. DELBROUCK, </w:t>
      </w:r>
      <w:r w:rsidRPr="00963830">
        <w:rPr>
          <w:i/>
        </w:rPr>
        <w:t>Aanranding, supra</w:t>
      </w:r>
      <w:r w:rsidRPr="00963830">
        <w:t xml:space="preserve"> vn. 43, </w:t>
      </w:r>
      <w:r w:rsidRPr="00963830">
        <w:rPr>
          <w:color w:val="000000" w:themeColor="text1"/>
        </w:rPr>
        <w:t xml:space="preserve">8 en 11; </w:t>
      </w:r>
      <w:r w:rsidRPr="00963830">
        <w:t xml:space="preserve">I. </w:t>
      </w:r>
      <w:r w:rsidRPr="00963830">
        <w:rPr>
          <w:rFonts w:eastAsia="Times New Roman" w:cs="Times New Roman"/>
          <w:color w:val="000000"/>
          <w:lang w:val="nl-BE"/>
        </w:rPr>
        <w:t xml:space="preserve">DELBROUCK, “Speel niet met mijn voeten!” </w:t>
      </w:r>
      <w:r w:rsidRPr="00963830">
        <w:rPr>
          <w:color w:val="000000"/>
        </w:rPr>
        <w:t>(noot onder corr. Hasselt 19 januari 2021),</w:t>
      </w:r>
      <w:r w:rsidRPr="00963830">
        <w:rPr>
          <w:i/>
          <w:iCs/>
          <w:color w:val="000000"/>
        </w:rPr>
        <w:t xml:space="preserve"> Limb.Rechtsl.</w:t>
      </w:r>
      <w:r w:rsidRPr="00963830">
        <w:rPr>
          <w:color w:val="000000"/>
        </w:rPr>
        <w:t xml:space="preserve"> 2021, 126-127.</w:t>
      </w:r>
    </w:p>
  </w:footnote>
  <w:footnote w:id="55">
    <w:p w14:paraId="5EEE7C28" w14:textId="77777777" w:rsidR="00BA0376" w:rsidRPr="00963830" w:rsidRDefault="00BA0376" w:rsidP="00613E6B">
      <w:pPr>
        <w:pStyle w:val="NoSpacing"/>
      </w:pPr>
      <w:r w:rsidRPr="00963830">
        <w:rPr>
          <w:rStyle w:val="FootnoteReference"/>
        </w:rPr>
        <w:footnoteRef/>
      </w:r>
      <w:r w:rsidRPr="00963830">
        <w:t xml:space="preserve"> A. DIERICKX, “Hoe ver reikt de bescherming van de strafbepalingen van aanranding van de eerbaarheid en verkrachting?”, </w:t>
      </w:r>
      <w:r w:rsidRPr="00963830">
        <w:rPr>
          <w:i/>
        </w:rPr>
        <w:t>NC</w:t>
      </w:r>
      <w:r w:rsidRPr="00963830">
        <w:t xml:space="preserve"> 2006, (95) 103-104.</w:t>
      </w:r>
    </w:p>
  </w:footnote>
  <w:footnote w:id="56">
    <w:p w14:paraId="601B08E6" w14:textId="09E59EFD" w:rsidR="00BA0376" w:rsidRPr="00963830" w:rsidRDefault="00BA0376" w:rsidP="00613E6B">
      <w:pPr>
        <w:pStyle w:val="NoSpacing"/>
      </w:pPr>
      <w:r w:rsidRPr="00963830">
        <w:rPr>
          <w:rStyle w:val="FootnoteReference"/>
        </w:rPr>
        <w:footnoteRef/>
      </w:r>
      <w:r w:rsidRPr="00963830">
        <w:t xml:space="preserve"> </w:t>
      </w:r>
      <w:r w:rsidRPr="00963830">
        <w:rPr>
          <w:color w:val="000000"/>
        </w:rPr>
        <w:t xml:space="preserve">Cass. 7 januari 1997, AR P.95.1312.N.; </w:t>
      </w:r>
      <w:r w:rsidRPr="00963830">
        <w:t xml:space="preserve">A. DIERICKX en J. DECOKER, “Artikel 372 - 375 Sw.”, </w:t>
      </w:r>
      <w:r w:rsidRPr="00963830">
        <w:rPr>
          <w:i/>
        </w:rPr>
        <w:t>supra</w:t>
      </w:r>
      <w:r w:rsidRPr="00963830">
        <w:t xml:space="preserve"> vn. 43, 441; A. DIERICKX, “Hoe ver reikt de bescherming van de strafbepalingen van aanranding van de eerbaarheid en verkrachting?”, </w:t>
      </w:r>
      <w:r w:rsidRPr="00963830">
        <w:rPr>
          <w:i/>
        </w:rPr>
        <w:t>NC</w:t>
      </w:r>
      <w:r w:rsidRPr="00963830">
        <w:t xml:space="preserve"> 2006, (95) 103; A. DIERICKX, “Noopt nieuwe seksuele criminaliteit tot nieuwe seksuele misdrijven?”, </w:t>
      </w:r>
      <w:r w:rsidRPr="00963830">
        <w:rPr>
          <w:i/>
          <w:iCs/>
        </w:rPr>
        <w:t>NC</w:t>
      </w:r>
      <w:r w:rsidRPr="00963830">
        <w:t xml:space="preserve"> 2017, (207) 212; A. </w:t>
      </w:r>
      <w:r w:rsidRPr="00963830">
        <w:rPr>
          <w:color w:val="000000"/>
        </w:rPr>
        <w:t xml:space="preserve">VANDEPLAS, “Over zoenen en omhelzen” (noot onder Cass. 7 januari 1997), </w:t>
      </w:r>
      <w:r w:rsidRPr="00963830">
        <w:rPr>
          <w:i/>
          <w:iCs/>
          <w:color w:val="000000"/>
        </w:rPr>
        <w:t xml:space="preserve">RW </w:t>
      </w:r>
      <w:r w:rsidRPr="00963830">
        <w:rPr>
          <w:color w:val="000000"/>
        </w:rPr>
        <w:t>1997-98, 116.</w:t>
      </w:r>
    </w:p>
  </w:footnote>
  <w:footnote w:id="57">
    <w:p w14:paraId="1F8A1119" w14:textId="57C3BF0E" w:rsidR="00BA0376" w:rsidRPr="009C29A6" w:rsidRDefault="00BA0376" w:rsidP="00613E6B">
      <w:pPr>
        <w:pStyle w:val="NoSpacing"/>
        <w:rPr>
          <w:lang w:val="fr-FR"/>
        </w:rPr>
      </w:pPr>
      <w:r w:rsidRPr="00963830">
        <w:rPr>
          <w:rStyle w:val="FootnoteReference"/>
        </w:rPr>
        <w:footnoteRef/>
      </w:r>
      <w:r w:rsidRPr="00963830">
        <w:t xml:space="preserve"> A. BERGHIN, “Infractions à caractère sexuel liées à l’environnement numérique”, </w:t>
      </w:r>
      <w:r w:rsidRPr="00963830">
        <w:rPr>
          <w:i/>
        </w:rPr>
        <w:t>RDTI</w:t>
      </w:r>
      <w:r w:rsidRPr="00963830">
        <w:t xml:space="preserve"> 2022, afl. 8, (29) 31; A. DE NAUW en F. DERUYCK, </w:t>
      </w:r>
      <w:r w:rsidRPr="00963830">
        <w:rPr>
          <w:i/>
        </w:rPr>
        <w:t>Inleiding tot het bijzonder strafrecht</w:t>
      </w:r>
      <w:r w:rsidRPr="00963830">
        <w:t xml:space="preserve">, Mechelen, Kluwer, 2020, 189; A. DE NAUW en F. KUTY, </w:t>
      </w:r>
      <w:r w:rsidRPr="00963830">
        <w:rPr>
          <w:i/>
        </w:rPr>
        <w:t>Manuel de droit pénal spécial</w:t>
      </w:r>
      <w:r w:rsidRPr="00963830">
        <w:t xml:space="preserve">, Wolters Kluwer, Liège, 2018, 230 I. WATTIER, “L’attentat à la pudeur et le viol” in H. BOSLY en C. DE VALKENEER (eds.), </w:t>
      </w:r>
      <w:r w:rsidRPr="00963830">
        <w:rPr>
          <w:i/>
        </w:rPr>
        <w:t xml:space="preserve">Les infactions. </w:t>
      </w:r>
      <w:r w:rsidRPr="009C29A6">
        <w:rPr>
          <w:i/>
          <w:lang w:val="fr-FR"/>
        </w:rPr>
        <w:t>Volume 3. Les infractions contre l’ordre des familles, la moralité publique et les mineurs</w:t>
      </w:r>
      <w:r w:rsidRPr="009C29A6">
        <w:rPr>
          <w:lang w:val="fr-FR"/>
        </w:rPr>
        <w:t xml:space="preserve">, Brussel, Larcier, 2011, (75) 98-100 (hierna: I. WATTIER, “L’attentat à la pudeur et le viol”); L. STEVENS, </w:t>
      </w:r>
      <w:r w:rsidRPr="009C29A6">
        <w:rPr>
          <w:i/>
          <w:lang w:val="fr-FR"/>
        </w:rPr>
        <w:t>Strafrecht en seksualiteit</w:t>
      </w:r>
      <w:r w:rsidRPr="009C29A6">
        <w:rPr>
          <w:lang w:val="fr-FR"/>
        </w:rPr>
        <w:t>, Antwerpen, Intersentia, 2002, 481-487.</w:t>
      </w:r>
    </w:p>
  </w:footnote>
  <w:footnote w:id="58">
    <w:p w14:paraId="4A6372C9" w14:textId="2BC769A2"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Cass. 24 mei 2011, AR P.10.1990.N., ‘roltraparrest’; </w:t>
      </w:r>
      <w:r w:rsidRPr="00963830">
        <w:t xml:space="preserve">A. DE NAUW en F. DERUYCK, </w:t>
      </w:r>
      <w:r w:rsidRPr="00963830">
        <w:rPr>
          <w:i/>
        </w:rPr>
        <w:t>Inleiding tot het bijzonder strafrecht</w:t>
      </w:r>
      <w:r w:rsidRPr="00963830">
        <w:t xml:space="preserve">, Mechelen, Kluwer, 2020, 189; A. DIERICKX en J. DECOKER, “Artikel 372 - 375 Sw.”, </w:t>
      </w:r>
      <w:r w:rsidRPr="00963830">
        <w:rPr>
          <w:i/>
        </w:rPr>
        <w:t>supra</w:t>
      </w:r>
      <w:r w:rsidRPr="00963830">
        <w:t xml:space="preserve"> vn. 43, 441; I. DELBROUCK, </w:t>
      </w:r>
      <w:r w:rsidRPr="00963830">
        <w:rPr>
          <w:i/>
        </w:rPr>
        <w:t>Aanranding, supra</w:t>
      </w:r>
      <w:r w:rsidRPr="00963830">
        <w:t xml:space="preserve"> vn. 43, </w:t>
      </w:r>
      <w:r w:rsidRPr="00963830">
        <w:rPr>
          <w:color w:val="000000" w:themeColor="text1"/>
        </w:rPr>
        <w:t xml:space="preserve">17; </w:t>
      </w:r>
      <w:r w:rsidRPr="00963830">
        <w:t xml:space="preserve">M. COLETTE, “Aanranding van de eerbaarheid en seksuele integriteit” (noot onder Cass. 24 mei 2011), </w:t>
      </w:r>
      <w:r w:rsidRPr="00963830">
        <w:rPr>
          <w:i/>
        </w:rPr>
        <w:t>TJK</w:t>
      </w:r>
      <w:r w:rsidRPr="00963830">
        <w:t xml:space="preserve"> 2012, (149) 157;</w:t>
      </w:r>
      <w:r w:rsidRPr="00963830">
        <w:rPr>
          <w:color w:val="000000" w:themeColor="text1"/>
        </w:rPr>
        <w:t xml:space="preserve"> </w:t>
      </w:r>
      <w:r w:rsidRPr="00963830">
        <w:t xml:space="preserve">L. STEVENS, </w:t>
      </w:r>
      <w:r w:rsidRPr="00963830">
        <w:rPr>
          <w:i/>
        </w:rPr>
        <w:t>Strafrecht en seksualiteit</w:t>
      </w:r>
      <w:r w:rsidRPr="00963830">
        <w:t>, Antwerpen, Intersentia, 2002, 481-487.</w:t>
      </w:r>
    </w:p>
  </w:footnote>
  <w:footnote w:id="59">
    <w:p w14:paraId="5132DBF5" w14:textId="0268AA0D" w:rsidR="00BA0376" w:rsidRPr="00963830" w:rsidRDefault="00BA0376" w:rsidP="00613E6B">
      <w:pPr>
        <w:pStyle w:val="NoSpacing"/>
      </w:pPr>
      <w:r w:rsidRPr="00963830">
        <w:rPr>
          <w:rStyle w:val="FootnoteReference"/>
        </w:rPr>
        <w:footnoteRef/>
      </w:r>
      <w:r w:rsidRPr="009C29A6">
        <w:rPr>
          <w:lang w:val="en-GB"/>
        </w:rPr>
        <w:t xml:space="preserve"> </w:t>
      </w:r>
      <w:r w:rsidRPr="009C29A6">
        <w:rPr>
          <w:color w:val="000000" w:themeColor="text1"/>
          <w:lang w:val="en-GB"/>
        </w:rPr>
        <w:t xml:space="preserve">Cass. 6 oktober 2004, AR P.04.0665.F, </w:t>
      </w:r>
      <w:r w:rsidRPr="009C29A6">
        <w:rPr>
          <w:i/>
          <w:color w:val="000000" w:themeColor="text1"/>
          <w:lang w:val="en-GB"/>
        </w:rPr>
        <w:t>JT</w:t>
      </w:r>
      <w:r w:rsidRPr="009C29A6">
        <w:rPr>
          <w:color w:val="000000" w:themeColor="text1"/>
          <w:lang w:val="en-GB"/>
        </w:rPr>
        <w:t xml:space="preserve"> 2005, 100; </w:t>
      </w:r>
      <w:r w:rsidRPr="009C29A6">
        <w:rPr>
          <w:lang w:val="en-GB"/>
        </w:rPr>
        <w:t xml:space="preserve">Cass. 27 november 2013, AR P.13.0714.F; </w:t>
      </w:r>
      <w:r w:rsidRPr="009C29A6">
        <w:rPr>
          <w:color w:val="000000" w:themeColor="text1"/>
          <w:lang w:val="en-GB"/>
        </w:rPr>
        <w:t xml:space="preserve">Concl. </w:t>
      </w:r>
      <w:r w:rsidRPr="00963830">
        <w:rPr>
          <w:color w:val="000000" w:themeColor="text1"/>
        </w:rPr>
        <w:t xml:space="preserve">VANDERMEERSCH bij Cass. 27 november 2013, </w:t>
      </w:r>
      <w:r w:rsidRPr="00963830">
        <w:rPr>
          <w:i/>
          <w:color w:val="000000" w:themeColor="text1"/>
        </w:rPr>
        <w:t>RDP</w:t>
      </w:r>
      <w:r w:rsidRPr="00963830">
        <w:rPr>
          <w:color w:val="000000" w:themeColor="text1"/>
        </w:rPr>
        <w:t xml:space="preserve"> 2014, (226) 228-229; </w:t>
      </w:r>
      <w:r w:rsidRPr="00963830">
        <w:t xml:space="preserve">A. DE NAUW en F. DERUYCK, </w:t>
      </w:r>
      <w:r w:rsidRPr="00963830">
        <w:rPr>
          <w:i/>
        </w:rPr>
        <w:t>Inleiding tot het bijzonder strafrecht</w:t>
      </w:r>
      <w:r w:rsidRPr="00963830">
        <w:t xml:space="preserve">, Mechelen, Kluwer, 2020, 190; A. DE NAUW en F. KUTY, </w:t>
      </w:r>
      <w:r w:rsidRPr="00963830">
        <w:rPr>
          <w:i/>
        </w:rPr>
        <w:t>Manuel de droit pénal spécial</w:t>
      </w:r>
      <w:r w:rsidRPr="00963830">
        <w:t xml:space="preserve">, Wolters Kluwer, Liège, 2018, 232; A. DIERICKX, “Hoe ver reikt de bescherming van de strafbepalingen van aanranding van de eerbaarheid en verkrachting?”, </w:t>
      </w:r>
      <w:r w:rsidRPr="00963830">
        <w:rPr>
          <w:i/>
        </w:rPr>
        <w:t>NC</w:t>
      </w:r>
      <w:r w:rsidRPr="00963830">
        <w:t xml:space="preserve"> 2006, (95) 103-104; B. SPRIET en G. MARLIER, “Aanranding van de eerbaarheid en verkrachting”, </w:t>
      </w:r>
      <w:r w:rsidRPr="00963830">
        <w:rPr>
          <w:i/>
        </w:rPr>
        <w:t>supra</w:t>
      </w:r>
      <w:r w:rsidRPr="00963830">
        <w:t xml:space="preserve"> vn. 39, 87-88; B. SPRIET e.a. (eds.), “Actualia seksueel strafrecht”, </w:t>
      </w:r>
      <w:r w:rsidRPr="00963830">
        <w:rPr>
          <w:i/>
        </w:rPr>
        <w:t>supra</w:t>
      </w:r>
      <w:r w:rsidRPr="00963830">
        <w:t xml:space="preserve"> vn. 48, 11; F. DERUYCK, B. SPRIET, P. TRAEST en R. VERSTRAETEN (eds.), </w:t>
      </w:r>
      <w:r w:rsidRPr="00963830">
        <w:rPr>
          <w:i/>
          <w:iCs/>
        </w:rPr>
        <w:t xml:space="preserve">Strafrecht. Deel 1 - Algemeen strafrecht, </w:t>
      </w:r>
      <w:r w:rsidRPr="00963830">
        <w:t xml:space="preserve">Brugge, die Keure, 2021, 582; I. DELBROUCK, </w:t>
      </w:r>
      <w:r w:rsidRPr="00963830">
        <w:rPr>
          <w:i/>
        </w:rPr>
        <w:t>Aanranding, supra</w:t>
      </w:r>
      <w:r w:rsidRPr="00963830">
        <w:t xml:space="preserve"> vn. 43, </w:t>
      </w:r>
      <w:r w:rsidRPr="00963830">
        <w:rPr>
          <w:color w:val="000000" w:themeColor="text1"/>
        </w:rPr>
        <w:t>18-28.</w:t>
      </w:r>
    </w:p>
  </w:footnote>
  <w:footnote w:id="60">
    <w:p w14:paraId="28E1C8F9" w14:textId="3DE38C73" w:rsidR="00BA0376" w:rsidRPr="00963830" w:rsidRDefault="00BA0376" w:rsidP="00613E6B">
      <w:pPr>
        <w:pStyle w:val="NoSpacing"/>
      </w:pPr>
      <w:r w:rsidRPr="00963830">
        <w:rPr>
          <w:rStyle w:val="FootnoteReference"/>
        </w:rPr>
        <w:footnoteRef/>
      </w:r>
      <w:r w:rsidRPr="00963830">
        <w:t xml:space="preserve"> Zie ook hetgeen hierover reeds hoger werd uiteengezet (</w:t>
      </w:r>
      <w:r w:rsidRPr="00963830">
        <w:rPr>
          <w:i/>
        </w:rPr>
        <w:t>supra</w:t>
      </w:r>
      <w:r w:rsidRPr="00963830">
        <w:t xml:space="preserve"> voetnoot 43). A. DIERICKX, “Noopt nieuwe seksuele criminaliteit tot nieuwe seksuele misdrijven?”, </w:t>
      </w:r>
      <w:r w:rsidRPr="00963830">
        <w:rPr>
          <w:i/>
          <w:iCs/>
        </w:rPr>
        <w:t>NC</w:t>
      </w:r>
      <w:r w:rsidRPr="00963830">
        <w:t xml:space="preserve"> 2017, (207) 212.</w:t>
      </w:r>
    </w:p>
  </w:footnote>
  <w:footnote w:id="61">
    <w:p w14:paraId="43353B1B" w14:textId="1DA00859" w:rsidR="00BA0376" w:rsidRPr="00963830" w:rsidRDefault="00BA0376" w:rsidP="00613E6B">
      <w:pPr>
        <w:pStyle w:val="NoSpacing"/>
      </w:pPr>
      <w:r w:rsidRPr="00963830">
        <w:rPr>
          <w:rStyle w:val="FootnoteReference"/>
        </w:rPr>
        <w:footnoteRef/>
      </w:r>
      <w:r w:rsidRPr="00963830">
        <w:t xml:space="preserve"> A. DIERICKX, “Noopt nieuwe seksuele criminaliteit tot nieuwe seksuele misdrijven?”, </w:t>
      </w:r>
      <w:r w:rsidRPr="00963830">
        <w:rPr>
          <w:i/>
          <w:iCs/>
        </w:rPr>
        <w:t>NC</w:t>
      </w:r>
      <w:r w:rsidRPr="00963830">
        <w:t xml:space="preserve"> 2017, (207) 232; B. SPRIET en G. MARLIER, “Aanranding van de eerbaarheid en verkrachting”, supra vn. 39, 88; B. SPRIET e.a. (eds.), “Actualia seksueel strafrecht”, </w:t>
      </w:r>
      <w:r w:rsidRPr="00963830">
        <w:rPr>
          <w:i/>
        </w:rPr>
        <w:t>supra</w:t>
      </w:r>
      <w:r w:rsidRPr="00963830">
        <w:t xml:space="preserve"> vn. 48, 11; I. DELBROUCK, </w:t>
      </w:r>
      <w:r w:rsidRPr="00963830">
        <w:rPr>
          <w:i/>
        </w:rPr>
        <w:t>Aanranding, supra</w:t>
      </w:r>
      <w:r w:rsidRPr="00963830">
        <w:t xml:space="preserve"> vn. 43, </w:t>
      </w:r>
      <w:r w:rsidRPr="00963830">
        <w:rPr>
          <w:color w:val="000000" w:themeColor="text1"/>
        </w:rPr>
        <w:t xml:space="preserve">18-20; S. VANDROMME, “Aanzetten van minderjarigen tot webcamseks: aanranding van de eerbaarheid en/of aanzetten tot ontucht” (noot onder Corr. Antwerpen 27 juni 2008, Corr. Antwerpen 25 juni 2008 en Corr. Antwerpen 20 juni 2008), </w:t>
      </w:r>
      <w:r w:rsidRPr="00963830">
        <w:rPr>
          <w:i/>
          <w:color w:val="000000" w:themeColor="text1"/>
        </w:rPr>
        <w:t>T.Strafr.</w:t>
      </w:r>
      <w:r w:rsidRPr="00963830">
        <w:rPr>
          <w:color w:val="000000" w:themeColor="text1"/>
        </w:rPr>
        <w:t xml:space="preserve"> 2009, (176) 176-180.</w:t>
      </w:r>
    </w:p>
  </w:footnote>
  <w:footnote w:id="62">
    <w:p w14:paraId="55BAEAEA" w14:textId="6910651F"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Cass. 6 oktober 2004, AR P.04.0665.F, </w:t>
      </w:r>
      <w:r w:rsidRPr="00963830">
        <w:rPr>
          <w:i/>
          <w:color w:val="000000" w:themeColor="text1"/>
        </w:rPr>
        <w:t>JT</w:t>
      </w:r>
      <w:r w:rsidRPr="00963830">
        <w:rPr>
          <w:color w:val="000000" w:themeColor="text1"/>
        </w:rPr>
        <w:t xml:space="preserve"> 2005, 100; </w:t>
      </w:r>
      <w:r w:rsidRPr="00963830">
        <w:t xml:space="preserve">A. DIERICKX, “Hoe ver reikt de bescherming van de strafbepalingen van aanranding van de eerbaarheid en verkrachting?”, </w:t>
      </w:r>
      <w:r w:rsidRPr="00963830">
        <w:rPr>
          <w:i/>
        </w:rPr>
        <w:t>NC</w:t>
      </w:r>
      <w:r w:rsidRPr="00963830">
        <w:t xml:space="preserve"> 2006, (95) 104; A. DIERICKX, “Noopt nieuwe seksuele criminaliteit tot nieuwe seksuele misdrijven?”, </w:t>
      </w:r>
      <w:r w:rsidRPr="00963830">
        <w:rPr>
          <w:i/>
          <w:iCs/>
        </w:rPr>
        <w:t>NC</w:t>
      </w:r>
      <w:r w:rsidRPr="00963830">
        <w:t xml:space="preserve"> 2017, (207) 215.</w:t>
      </w:r>
    </w:p>
  </w:footnote>
  <w:footnote w:id="63">
    <w:p w14:paraId="56572F10" w14:textId="04B8DD26"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Concl. DE SWAEF bij Cass. 31 maart 2015, ECLI:BE:CASS:2015:CONC.20150331.3; </w:t>
      </w:r>
      <w:r w:rsidRPr="00963830">
        <w:t xml:space="preserve">B. SPRIET en G. MARLIER, “Aanranding van de eerbaarheid en verkrachting”, </w:t>
      </w:r>
      <w:r w:rsidRPr="00963830">
        <w:rPr>
          <w:i/>
        </w:rPr>
        <w:t>supra</w:t>
      </w:r>
      <w:r w:rsidRPr="00963830">
        <w:t xml:space="preserve"> vn. 39, 82 en 89-90; </w:t>
      </w:r>
      <w:r w:rsidRPr="00963830">
        <w:rPr>
          <w:color w:val="000000"/>
        </w:rPr>
        <w:t xml:space="preserve">F. SCHUERMANS, “Heimelijk voyeurisme is nog geen aanranding van de eerbaarheid” (noot onder Cass. 23 januari 2008), </w:t>
      </w:r>
      <w:r w:rsidRPr="00963830">
        <w:rPr>
          <w:i/>
          <w:iCs/>
          <w:color w:val="000000"/>
        </w:rPr>
        <w:t>RABG</w:t>
      </w:r>
      <w:r w:rsidRPr="00963830">
        <w:rPr>
          <w:color w:val="000000"/>
        </w:rPr>
        <w:t xml:space="preserve"> 2008, (811) 812; </w:t>
      </w:r>
      <w:r w:rsidRPr="00963830">
        <w:t xml:space="preserve">I. DELBROUCK, </w:t>
      </w:r>
      <w:r w:rsidRPr="00963830">
        <w:rPr>
          <w:i/>
        </w:rPr>
        <w:t>Aanranding, supra</w:t>
      </w:r>
      <w:r w:rsidRPr="00963830">
        <w:t xml:space="preserve"> vn. 43, </w:t>
      </w:r>
      <w:r w:rsidRPr="00963830">
        <w:rPr>
          <w:color w:val="000000" w:themeColor="text1"/>
        </w:rPr>
        <w:t>5.</w:t>
      </w:r>
    </w:p>
  </w:footnote>
  <w:footnote w:id="64">
    <w:p w14:paraId="6F237B18" w14:textId="6139C813"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color w:val="000000" w:themeColor="text1"/>
          <w:lang w:val="en-GB"/>
        </w:rPr>
        <w:t>Cass. 27 november 2013, AR P.13.0714.F.</w:t>
      </w:r>
    </w:p>
  </w:footnote>
  <w:footnote w:id="65">
    <w:p w14:paraId="55939F32" w14:textId="77777777" w:rsidR="00BA0376" w:rsidRPr="00963830" w:rsidRDefault="00BA0376" w:rsidP="00613E6B">
      <w:pPr>
        <w:pStyle w:val="NoSpacing"/>
      </w:pPr>
      <w:r w:rsidRPr="00963830">
        <w:rPr>
          <w:rStyle w:val="FootnoteReference"/>
        </w:rPr>
        <w:footnoteRef/>
      </w:r>
      <w:r w:rsidRPr="00963830">
        <w:t xml:space="preserve"> Cass. 31 maart 2015, AR P.14.0293.N</w:t>
      </w:r>
      <w:r w:rsidRPr="00963830">
        <w:rPr>
          <w:color w:val="000000" w:themeColor="text1"/>
        </w:rPr>
        <w:t xml:space="preserve">; Cass. 27 november 2013, AR P.13.0714.F; Concl. VANDERMEERSCH bij Cass. 27 november 2013, </w:t>
      </w:r>
      <w:r w:rsidRPr="00963830">
        <w:rPr>
          <w:i/>
          <w:color w:val="000000" w:themeColor="text1"/>
        </w:rPr>
        <w:t>RDP</w:t>
      </w:r>
      <w:r w:rsidRPr="00963830">
        <w:rPr>
          <w:color w:val="000000" w:themeColor="text1"/>
        </w:rPr>
        <w:t xml:space="preserve"> 2014, (226) 228-229; </w:t>
      </w:r>
      <w:r w:rsidRPr="00963830">
        <w:t xml:space="preserve">A. DIERICKX, “Noopt nieuwe seksuele criminaliteit tot nieuwe seksuele misdrijven?”, </w:t>
      </w:r>
      <w:r w:rsidRPr="00963830">
        <w:rPr>
          <w:i/>
          <w:iCs/>
        </w:rPr>
        <w:t>NC</w:t>
      </w:r>
      <w:r w:rsidRPr="00963830">
        <w:t xml:space="preserve"> 2017, (207) 215; </w:t>
      </w:r>
      <w:r w:rsidRPr="00963830">
        <w:rPr>
          <w:color w:val="000000" w:themeColor="text1"/>
        </w:rPr>
        <w:t xml:space="preserve">L. DELBROUCK, “Eigen bedprestaties vastleggen hoeft geen aanranding te zijn” (noot onder Cass. 27 november 2013), </w:t>
      </w:r>
      <w:r w:rsidRPr="00963830">
        <w:rPr>
          <w:i/>
          <w:color w:val="000000" w:themeColor="text1"/>
        </w:rPr>
        <w:t xml:space="preserve">RABG </w:t>
      </w:r>
      <w:r w:rsidRPr="00963830">
        <w:rPr>
          <w:color w:val="000000" w:themeColor="text1"/>
        </w:rPr>
        <w:t xml:space="preserve">2014, (499) 499-502; S. VANDROMME, “Zijn het stiekem filmen van seksuele betrekkingen en andere vormen van voyeurisme strafbaar als aanranding van de eerbaarheid?” (noot onder Cass. 27 november 2013), </w:t>
      </w:r>
      <w:r w:rsidRPr="00963830">
        <w:rPr>
          <w:i/>
          <w:color w:val="000000" w:themeColor="text1"/>
        </w:rPr>
        <w:t>T.Strafr.</w:t>
      </w:r>
      <w:r w:rsidRPr="00963830">
        <w:rPr>
          <w:color w:val="000000" w:themeColor="text1"/>
        </w:rPr>
        <w:t xml:space="preserve"> 2014, (362) 362-370; T.DECAIGNY, “De strafrechtelijke aanpak van voyeurisme” (noot onder Cass. 31 maart 2015), </w:t>
      </w:r>
      <w:r w:rsidRPr="00963830">
        <w:rPr>
          <w:i/>
          <w:color w:val="000000" w:themeColor="text1"/>
        </w:rPr>
        <w:t>T.Strafr.</w:t>
      </w:r>
      <w:r w:rsidRPr="00963830">
        <w:rPr>
          <w:color w:val="000000" w:themeColor="text1"/>
        </w:rPr>
        <w:t xml:space="preserve"> 2015, (142) 143.</w:t>
      </w:r>
    </w:p>
  </w:footnote>
  <w:footnote w:id="66">
    <w:p w14:paraId="3C258607" w14:textId="7BCC67B9"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I. DELBROUCK, “Aanranding van de eerbaarheid - het misdrijf”, </w:t>
      </w:r>
      <w:r w:rsidRPr="00963830">
        <w:rPr>
          <w:i/>
          <w:color w:val="000000" w:themeColor="text1"/>
        </w:rPr>
        <w:t>Comm.Straf.</w:t>
      </w:r>
      <w:r w:rsidRPr="00963830">
        <w:rPr>
          <w:color w:val="000000" w:themeColor="text1"/>
        </w:rPr>
        <w:t>, Mechelen, Kluwer, losbl., (11) 16.</w:t>
      </w:r>
    </w:p>
  </w:footnote>
  <w:footnote w:id="67">
    <w:p w14:paraId="0B41DD01" w14:textId="77777777"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Concl. DE SWAEF bij Cass. 31 maart 2015, ECLI:BE:CASS:2015:CONC.20150331.3;</w:t>
      </w:r>
      <w:r w:rsidRPr="00963830">
        <w:t xml:space="preserve"> A. DE NAUW en F. DERUYCK, </w:t>
      </w:r>
      <w:r w:rsidRPr="00963830">
        <w:rPr>
          <w:i/>
        </w:rPr>
        <w:t>Inleiding tot het bijzonder strafrecht</w:t>
      </w:r>
      <w:r w:rsidRPr="00963830">
        <w:t>, Mechelen, Kluwer, 2020, 189-190.</w:t>
      </w:r>
    </w:p>
  </w:footnote>
  <w:footnote w:id="68">
    <w:p w14:paraId="78C81FD7" w14:textId="0E4E10DC" w:rsidR="00BA0376" w:rsidRPr="00963830" w:rsidRDefault="00BA0376" w:rsidP="00613E6B">
      <w:pPr>
        <w:pStyle w:val="NoSpacing"/>
      </w:pPr>
      <w:r w:rsidRPr="00963830">
        <w:rPr>
          <w:rStyle w:val="FootnoteReference"/>
        </w:rPr>
        <w:footnoteRef/>
      </w:r>
      <w:r w:rsidRPr="00963830">
        <w:t xml:space="preserve"> B. SPRIET en G. MARLIER, “Aanranding van de eerbaarheid en verkrachting”, </w:t>
      </w:r>
      <w:r w:rsidRPr="00963830">
        <w:rPr>
          <w:i/>
        </w:rPr>
        <w:t>supra</w:t>
      </w:r>
      <w:r w:rsidRPr="00963830">
        <w:t xml:space="preserve"> vn. 39, 89.</w:t>
      </w:r>
    </w:p>
  </w:footnote>
  <w:footnote w:id="69">
    <w:p w14:paraId="307A68F4" w14:textId="77777777"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I. DELBROUCK, “Aanranding van de eerbaarheid - het misdrijf”, </w:t>
      </w:r>
      <w:r w:rsidRPr="00963830">
        <w:rPr>
          <w:i/>
          <w:color w:val="000000" w:themeColor="text1"/>
        </w:rPr>
        <w:t>Comm.Straf.</w:t>
      </w:r>
      <w:r w:rsidRPr="00963830">
        <w:rPr>
          <w:color w:val="000000" w:themeColor="text1"/>
        </w:rPr>
        <w:t>, Mechelen, Kluwer, losbl., (11) 16.</w:t>
      </w:r>
    </w:p>
  </w:footnote>
  <w:footnote w:id="70">
    <w:p w14:paraId="520D7FFD" w14:textId="3467EEAD" w:rsidR="00BA0376" w:rsidRPr="009C29A6" w:rsidRDefault="00BA0376" w:rsidP="00613E6B">
      <w:pPr>
        <w:pStyle w:val="NoSpacing"/>
        <w:rPr>
          <w:lang w:val="fr-FR"/>
        </w:rPr>
      </w:pPr>
      <w:r w:rsidRPr="00963830">
        <w:rPr>
          <w:rStyle w:val="FootnoteReference"/>
        </w:rPr>
        <w:footnoteRef/>
      </w:r>
      <w:r w:rsidRPr="009C29A6">
        <w:rPr>
          <w:lang w:val="fr-FR"/>
        </w:rPr>
        <w:t xml:space="preserve"> Cass. 10 juni 2015, AR P.15.0316.F.</w:t>
      </w:r>
    </w:p>
  </w:footnote>
  <w:footnote w:id="71">
    <w:p w14:paraId="15C5FC16" w14:textId="70DD72E2" w:rsidR="00BA0376" w:rsidRPr="00963830" w:rsidRDefault="00BA0376" w:rsidP="00613E6B">
      <w:pPr>
        <w:pStyle w:val="NoSpacing"/>
        <w:rPr>
          <w:lang w:val="nl-BE"/>
        </w:rPr>
      </w:pPr>
      <w:r w:rsidRPr="00963830">
        <w:rPr>
          <w:rStyle w:val="FootnoteReference"/>
        </w:rPr>
        <w:footnoteRef/>
      </w:r>
      <w:r w:rsidRPr="009C29A6">
        <w:rPr>
          <w:lang w:val="fr-FR"/>
        </w:rPr>
        <w:t xml:space="preserve"> A. DIERICKX, “Noopt nieuwe seksuele criminaliteit tot nieuwe seksuele misdrijven?”, </w:t>
      </w:r>
      <w:r w:rsidRPr="009C29A6">
        <w:rPr>
          <w:i/>
          <w:iCs/>
          <w:lang w:val="fr-FR"/>
        </w:rPr>
        <w:t>NC</w:t>
      </w:r>
      <w:r w:rsidRPr="009C29A6">
        <w:rPr>
          <w:lang w:val="fr-FR"/>
        </w:rPr>
        <w:t xml:space="preserve"> 2017, (207) 215-216; R. DE BÉCO, “La protection de l’intégrité sexuelle des enfants: la Cour de cassation remet les pendules à l’heure” (noot onder Cass. 10 juni 2015), </w:t>
      </w:r>
      <w:r w:rsidRPr="009C29A6">
        <w:rPr>
          <w:i/>
          <w:lang w:val="fr-FR"/>
        </w:rPr>
        <w:t>JT</w:t>
      </w:r>
      <w:r w:rsidRPr="009C29A6">
        <w:rPr>
          <w:lang w:val="fr-FR"/>
        </w:rPr>
        <w:t xml:space="preserve"> 2015, (594) 594; I. WATTIER, “La jurisprudence récente relative à l’attentat à la pudeur: sans gêne ou mal à l’aise?” </w:t>
      </w:r>
      <w:r w:rsidRPr="00963830">
        <w:t xml:space="preserve">(noot onder Cass. 10 juni 2015), </w:t>
      </w:r>
      <w:r w:rsidRPr="00963830">
        <w:rPr>
          <w:i/>
        </w:rPr>
        <w:t>RDCP</w:t>
      </w:r>
      <w:r w:rsidRPr="00963830">
        <w:t xml:space="preserve"> 2016, (139) 143.</w:t>
      </w:r>
    </w:p>
  </w:footnote>
  <w:footnote w:id="72">
    <w:p w14:paraId="1DDF3DB8" w14:textId="5FC6D326" w:rsidR="00BA0376" w:rsidRPr="00963830" w:rsidRDefault="00BA0376" w:rsidP="00651BDC">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17.</w:t>
      </w:r>
    </w:p>
  </w:footnote>
  <w:footnote w:id="73">
    <w:p w14:paraId="2ABDD4C5" w14:textId="6F373B52" w:rsidR="00BA0376" w:rsidRPr="00963830" w:rsidRDefault="00BA0376" w:rsidP="00613E6B">
      <w:pPr>
        <w:pStyle w:val="NoSpacing"/>
      </w:pPr>
      <w:r w:rsidRPr="00963830">
        <w:rPr>
          <w:rStyle w:val="FootnoteReference"/>
        </w:rPr>
        <w:footnoteRef/>
      </w:r>
      <w:r w:rsidRPr="00963830">
        <w:t xml:space="preserve"> Cass. 31 maart 2015, AR P.14.0293.N.</w:t>
      </w:r>
    </w:p>
  </w:footnote>
  <w:footnote w:id="74">
    <w:p w14:paraId="7D765A93" w14:textId="6D08A620" w:rsidR="00BA0376" w:rsidRPr="00963830" w:rsidRDefault="00BA0376" w:rsidP="00613E6B">
      <w:pPr>
        <w:pStyle w:val="NoSpacing"/>
      </w:pPr>
      <w:r w:rsidRPr="00963830">
        <w:rPr>
          <w:rStyle w:val="FootnoteReference"/>
        </w:rPr>
        <w:footnoteRef/>
      </w:r>
      <w:r w:rsidRPr="00963830">
        <w:t xml:space="preserve"> Binnen de doctrine bestond al langer discussie m.b.t. de mogelijkheid om voyeurisme al dan niet te kwalificeren als aanranding van de eerbaarheid. Een eerste aanleiding om te stellen dat een dergelijke kwalificatie niet zou kunnen, kwam er n.a.v. een arrest van het Hof van Cassatie in 2008 (Cass. 23 januari 2008, AR P.08.0105.F). Dit arrest handelde evenwel over het niet voorhanden zijn van de vereiste ernstige aanwijzingen van schuld en niet zo zeer expliciet over de mogelijke kwalificatie van voyeurisme als aanranding van de eerbaarheid. Zie hierover: noot F. </w:t>
      </w:r>
      <w:r w:rsidRPr="00963830">
        <w:rPr>
          <w:color w:val="000000"/>
        </w:rPr>
        <w:t xml:space="preserve">SCHUERMANS, “Heimelijk voyeurisme is nog geen aanranding van de eerbaarheid” (noot onder Cass. 23 januari 2008), </w:t>
      </w:r>
      <w:r w:rsidRPr="00963830">
        <w:rPr>
          <w:i/>
          <w:iCs/>
          <w:color w:val="000000"/>
        </w:rPr>
        <w:t>RABG</w:t>
      </w:r>
      <w:r w:rsidRPr="00963830">
        <w:rPr>
          <w:color w:val="000000"/>
        </w:rPr>
        <w:t xml:space="preserve"> 2008, (811) 811-815. </w:t>
      </w:r>
      <w:r w:rsidRPr="00963830">
        <w:t>In 2013 volgde het geciteerde arrest van het Hof van Cassatie (</w:t>
      </w:r>
      <w:r w:rsidRPr="00963830">
        <w:rPr>
          <w:color w:val="000000" w:themeColor="text1"/>
        </w:rPr>
        <w:t>Cass. 27 november 2013, AR P.13.0714.F)</w:t>
      </w:r>
      <w:r w:rsidRPr="00963830">
        <w:t xml:space="preserve">, waarvan de bewoordingen opnieuw werden overgenomen in een arrest in 2015 om er daarna expliciet uit af te leiden dat: </w:t>
      </w:r>
      <w:r w:rsidRPr="00963830">
        <w:rPr>
          <w:i/>
        </w:rPr>
        <w:t xml:space="preserve">“Het heimelijk filmen van een naakte persoon, dit is zonder diens toestemming en medeweten en zonder dat daarbij enige fysieke of morele dwang wordt aangewend, kan aldus het misdrijf aanranding van de eerbaarheid met geweld of bedreiging niet opleveren, ook al wordt het slachtoffer in zijn verwachtingen verschalkt.” </w:t>
      </w:r>
      <w:r w:rsidRPr="00963830">
        <w:t xml:space="preserve">(Cass. 31 maart 2015, AR P.14.0293.N). Het voorgaande neemt evenwel niet weg dat in oudere rechtspraak een aantal zaken van passief voyeurisme, achteraf gezien foutief, toch werden gekwalificeerd als aanranding van de eerbaarheid. Een voorbeeld van een dergelijke betwistbare kwalificatie is het bespieden van een vrouw terwijl zij zich aan het omkleden was in een kleedhokje van een zwembad (Corr. Leuven 19 december 2006, </w:t>
      </w:r>
      <w:r w:rsidRPr="00963830">
        <w:rPr>
          <w:i/>
        </w:rPr>
        <w:t>T.Strafr.</w:t>
      </w:r>
      <w:r w:rsidRPr="00963830">
        <w:t xml:space="preserve"> 2007, (217) 217-219; A. DE NAUW en F. DERUYCK, </w:t>
      </w:r>
      <w:r w:rsidRPr="00963830">
        <w:rPr>
          <w:i/>
        </w:rPr>
        <w:t>Inleiding tot het bijzonder strafrecht</w:t>
      </w:r>
      <w:r w:rsidRPr="00963830">
        <w:t xml:space="preserve">, Mechelen, Kluwer, 2020, 190). </w:t>
      </w:r>
    </w:p>
    <w:p w14:paraId="012BFE6F" w14:textId="646A034C" w:rsidR="00BA0376" w:rsidRPr="00963830" w:rsidRDefault="00BA0376" w:rsidP="00613E6B">
      <w:pPr>
        <w:pStyle w:val="NoSpacing"/>
      </w:pPr>
      <w:r w:rsidRPr="00963830">
        <w:t xml:space="preserve">Zie ook: </w:t>
      </w:r>
      <w:r w:rsidRPr="00963830">
        <w:rPr>
          <w:color w:val="000000" w:themeColor="text1"/>
        </w:rPr>
        <w:t xml:space="preserve">Concl. DE SWAEF bij Cass. 31 maart 2015, ECLI:BE:CASS:2015:CONC.20150331.3; </w:t>
      </w:r>
      <w:r w:rsidRPr="00963830">
        <w:t xml:space="preserve">A. DE NAUW en F. DERUYCK, </w:t>
      </w:r>
      <w:r w:rsidRPr="00963830">
        <w:rPr>
          <w:i/>
        </w:rPr>
        <w:t>Inleiding tot het bijzonder strafrecht</w:t>
      </w:r>
      <w:r w:rsidRPr="00963830">
        <w:t xml:space="preserve">, Mechelen, Kluwer, 2020, 190; A. DIERICKX en J. DECOKER, “Artikel 372 - 375 Sw.”, </w:t>
      </w:r>
      <w:r w:rsidRPr="00963830">
        <w:rPr>
          <w:i/>
        </w:rPr>
        <w:t>supra</w:t>
      </w:r>
      <w:r w:rsidRPr="00963830">
        <w:t xml:space="preserve"> vn. 43, 440; A. DIERICKX, “Noopt nieuwe seksuele criminaliteit tot nieuwe seksuele misdrijven?”, NC 2017, (207) 216; F. SCHUERMANS, “Heimelijk voyeurisme is nog geen aanranding van de eerbaarheid” (noot onder Cass. 23 januari 2008), </w:t>
      </w:r>
      <w:r w:rsidRPr="00963830">
        <w:rPr>
          <w:i/>
        </w:rPr>
        <w:t>RABG</w:t>
      </w:r>
      <w:r w:rsidRPr="00963830">
        <w:t xml:space="preserve"> 2008, (811) 813; </w:t>
      </w:r>
      <w:r w:rsidRPr="00963830">
        <w:rPr>
          <w:color w:val="000000" w:themeColor="text1"/>
        </w:rPr>
        <w:t xml:space="preserve">I. DELBROUCK, “Aanranding van de eerbaarheid - het misdrijf”, </w:t>
      </w:r>
      <w:r w:rsidRPr="00963830">
        <w:rPr>
          <w:i/>
          <w:color w:val="000000" w:themeColor="text1"/>
        </w:rPr>
        <w:t>Comm.Straf.</w:t>
      </w:r>
      <w:r w:rsidRPr="00963830">
        <w:rPr>
          <w:color w:val="000000" w:themeColor="text1"/>
        </w:rPr>
        <w:t>, Mechelen, Kluwer, losbl., (11) 15</w:t>
      </w:r>
      <w:r w:rsidRPr="00963830">
        <w:t>.</w:t>
      </w:r>
    </w:p>
  </w:footnote>
  <w:footnote w:id="75">
    <w:p w14:paraId="7E3B6B94" w14:textId="4D6FFCD9"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Concl. DE SWAEF bij Cass. 31 maart 2015, ECLI:BE:CASS:2015:CONC.20150331.3; I. DELBROUCK, “Aanranding van de eerbaarheid - het misdrijf”, </w:t>
      </w:r>
      <w:r w:rsidRPr="00963830">
        <w:rPr>
          <w:i/>
          <w:color w:val="000000" w:themeColor="text1"/>
        </w:rPr>
        <w:t>Comm.Straf.</w:t>
      </w:r>
      <w:r w:rsidRPr="00963830">
        <w:rPr>
          <w:color w:val="000000" w:themeColor="text1"/>
        </w:rPr>
        <w:t>, Mechelen, Kluwer, losbl., (11) 25.</w:t>
      </w:r>
    </w:p>
  </w:footnote>
  <w:footnote w:id="76">
    <w:p w14:paraId="73C4CEA6" w14:textId="466483DF"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Wet van 1 februari 2016 tot wijziging van diverse bepalingen wat de aanranding van de eerbaarheid en het voyeurisme betreft, </w:t>
      </w:r>
      <w:r w:rsidRPr="00963830">
        <w:rPr>
          <w:i/>
          <w:color w:val="000000" w:themeColor="text1"/>
        </w:rPr>
        <w:t>BS</w:t>
      </w:r>
      <w:r w:rsidRPr="00963830">
        <w:rPr>
          <w:color w:val="000000" w:themeColor="text1"/>
        </w:rPr>
        <w:t xml:space="preserve"> 19 februari 2016 (hierna: Voyeurismewet). Op deze strafbaarstelling wordt in deze masterscriptie niet verder ingegaan.</w:t>
      </w:r>
    </w:p>
  </w:footnote>
  <w:footnote w:id="77">
    <w:p w14:paraId="672CE02C" w14:textId="3E329BEA" w:rsidR="00BA0376" w:rsidRPr="00963830" w:rsidRDefault="00BA0376" w:rsidP="00613E6B">
      <w:pPr>
        <w:pStyle w:val="NoSpacing"/>
      </w:pPr>
      <w:r w:rsidRPr="00963830">
        <w:rPr>
          <w:rStyle w:val="FootnoteReference"/>
        </w:rPr>
        <w:footnoteRef/>
      </w:r>
      <w:r w:rsidRPr="00963830">
        <w:t xml:space="preserve"> De woorden “met behulp van” werden pas toegevoegd aan de strafbaarstelling met de </w:t>
      </w:r>
      <w:r w:rsidRPr="00963830">
        <w:rPr>
          <w:color w:val="000000" w:themeColor="text1"/>
        </w:rPr>
        <w:t>Voyeurismewet</w:t>
      </w:r>
      <w:r w:rsidRPr="00963830">
        <w:t xml:space="preserve">. Voor de inwerkingtreding van voornoemde wet (29 februari 2016) werd in de jurisprudentie evenwel reeds aanvaard dat aanranding van de eerbaarheid niet alleen op een persoon, maar ook “met behulp van” een persoon kon worden gepleegd. Zie: </w:t>
      </w:r>
      <w:r w:rsidRPr="00963830">
        <w:rPr>
          <w:color w:val="000000"/>
        </w:rPr>
        <w:t xml:space="preserve">Cass. 27 november 2013, AR P.13.0714.F.; </w:t>
      </w:r>
      <w:r w:rsidRPr="00963830">
        <w:t xml:space="preserve">I. DELBROUCK, </w:t>
      </w:r>
      <w:r w:rsidRPr="00963830">
        <w:rPr>
          <w:i/>
        </w:rPr>
        <w:t>Aanranding, supra</w:t>
      </w:r>
      <w:r w:rsidRPr="00963830">
        <w:t xml:space="preserve"> vn. 43, </w:t>
      </w:r>
      <w:r w:rsidRPr="00963830">
        <w:rPr>
          <w:color w:val="000000" w:themeColor="text1"/>
        </w:rPr>
        <w:t xml:space="preserve">12; A. </w:t>
      </w:r>
      <w:r w:rsidRPr="00963830">
        <w:t xml:space="preserve">DIERICKX, “Noopt nieuwe seksuele criminaliteit tot nieuwe seksuele misdrijven?”, </w:t>
      </w:r>
      <w:r w:rsidRPr="00963830">
        <w:rPr>
          <w:i/>
          <w:iCs/>
        </w:rPr>
        <w:t>NC</w:t>
      </w:r>
      <w:r w:rsidRPr="00963830">
        <w:t xml:space="preserve"> 2017, (207) 213.</w:t>
      </w:r>
    </w:p>
  </w:footnote>
  <w:footnote w:id="78">
    <w:p w14:paraId="50B7D65E" w14:textId="66EE949C" w:rsidR="00BA0376" w:rsidRPr="00963830" w:rsidRDefault="00BA0376" w:rsidP="00613E6B">
      <w:pPr>
        <w:pStyle w:val="NoSpacing"/>
      </w:pPr>
      <w:r w:rsidRPr="00963830">
        <w:rPr>
          <w:rStyle w:val="FootnoteReference"/>
        </w:rPr>
        <w:footnoteRef/>
      </w:r>
      <w:r w:rsidRPr="00963830">
        <w:t xml:space="preserve"> A. DE NAUW en F. DERUYCK, </w:t>
      </w:r>
      <w:r w:rsidRPr="00963830">
        <w:rPr>
          <w:i/>
        </w:rPr>
        <w:t>Inleiding tot het bijzonder strafrecht</w:t>
      </w:r>
      <w:r w:rsidRPr="00963830">
        <w:t xml:space="preserve">, Mechelen, Kluwer, 2020, 189; A. DIERICKX en J. DECOKER, “Artikel 372 - 375 Sw.”, </w:t>
      </w:r>
      <w:r w:rsidRPr="00963830">
        <w:rPr>
          <w:i/>
        </w:rPr>
        <w:t>supra</w:t>
      </w:r>
      <w:r w:rsidRPr="00963830">
        <w:t xml:space="preserve"> vn. 43, 442-443; I. DELBROUCK, </w:t>
      </w:r>
      <w:r w:rsidRPr="00963830">
        <w:rPr>
          <w:i/>
        </w:rPr>
        <w:t>Aanranding, supra</w:t>
      </w:r>
      <w:r w:rsidRPr="00963830">
        <w:t xml:space="preserve"> vn. 43, </w:t>
      </w:r>
      <w:r w:rsidRPr="00963830">
        <w:rPr>
          <w:color w:val="000000" w:themeColor="text1"/>
        </w:rPr>
        <w:t>10-13;</w:t>
      </w:r>
      <w:r w:rsidRPr="00963830">
        <w:t xml:space="preserve"> L. STEVENS, </w:t>
      </w:r>
      <w:r w:rsidRPr="00963830">
        <w:rPr>
          <w:i/>
        </w:rPr>
        <w:t>Strafrecht en seksualiteit</w:t>
      </w:r>
      <w:r w:rsidRPr="00963830">
        <w:t>, Antwerpen, Intersentia, 2002,</w:t>
      </w:r>
      <w:r w:rsidRPr="00963830">
        <w:rPr>
          <w:color w:val="000000" w:themeColor="text1"/>
        </w:rPr>
        <w:t xml:space="preserve"> 169 en 467.</w:t>
      </w:r>
    </w:p>
  </w:footnote>
  <w:footnote w:id="79">
    <w:p w14:paraId="4F73FA85" w14:textId="3ABDE384"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Omz. nr. 05/2022 9 juni 2022 betreffende de Wet van 21 maart 2022 houdende wijzigingen aan het Strafwetboek met betrekking tot het seksueel strafrecht, gepubliceerd in het Belgisch Staatsblad van 30 maart 2022, met inwerkingtreding op 1 juni 2022, www.om-mp.be/nl/meer-weten/omzendbrieven, 23 (hierna: Omz. seksueel strafrecht); J. ROZIE, “Gender in het bijzonder strafrecht” in E. BREMS, P. CANNOOT en L. STEVENS (eds.), </w:t>
      </w:r>
      <w:r w:rsidRPr="00963830">
        <w:rPr>
          <w:i/>
          <w:sz w:val="16"/>
          <w:szCs w:val="16"/>
        </w:rPr>
        <w:t>Recht &amp; Gender in België - 10 jaar later</w:t>
      </w:r>
      <w:r w:rsidRPr="00963830">
        <w:rPr>
          <w:sz w:val="16"/>
          <w:szCs w:val="16"/>
        </w:rPr>
        <w:t xml:space="preserve">, Brugge, die Keure, 2021, (267) </w:t>
      </w:r>
      <w:r w:rsidRPr="00963830">
        <w:rPr>
          <w:color w:val="000000" w:themeColor="text1"/>
          <w:sz w:val="16"/>
          <w:szCs w:val="16"/>
        </w:rPr>
        <w:t>273.</w:t>
      </w:r>
    </w:p>
  </w:footnote>
  <w:footnote w:id="80">
    <w:p w14:paraId="365C09EA" w14:textId="2A880FAD" w:rsidR="00BA0376" w:rsidRPr="00963830" w:rsidRDefault="00BA0376" w:rsidP="00651BDC">
      <w:pPr>
        <w:pStyle w:val="NoSpacing"/>
      </w:pPr>
      <w:r w:rsidRPr="00963830">
        <w:rPr>
          <w:rStyle w:val="FootnoteReference"/>
        </w:rPr>
        <w:footnoteRef/>
      </w:r>
      <w:r w:rsidRPr="00963830">
        <w:t xml:space="preserve"> </w:t>
      </w:r>
      <w:r w:rsidRPr="00963830">
        <w:rPr>
          <w:i/>
        </w:rPr>
        <w:t xml:space="preserve">Infra </w:t>
      </w:r>
      <w:r w:rsidRPr="00963830">
        <w:t>nr. 28.</w:t>
      </w:r>
    </w:p>
  </w:footnote>
  <w:footnote w:id="81">
    <w:p w14:paraId="27E56E1A" w14:textId="38AC9710" w:rsidR="00BA0376" w:rsidRPr="00963830" w:rsidRDefault="00BA0376" w:rsidP="00132612">
      <w:pPr>
        <w:pStyle w:val="NoSpacing"/>
      </w:pPr>
      <w:r w:rsidRPr="00963830">
        <w:rPr>
          <w:rStyle w:val="FootnoteReference"/>
        </w:rPr>
        <w:footnoteRef/>
      </w:r>
      <w:r w:rsidRPr="00963830">
        <w:t xml:space="preserve"> </w:t>
      </w:r>
      <w:r w:rsidRPr="00963830">
        <w:rPr>
          <w:color w:val="000000"/>
        </w:rPr>
        <w:t xml:space="preserve">Cass. 15 januari 1923, </w:t>
      </w:r>
      <w:r w:rsidRPr="00963830">
        <w:rPr>
          <w:i/>
          <w:color w:val="000000"/>
        </w:rPr>
        <w:t>Pas</w:t>
      </w:r>
      <w:r w:rsidRPr="00963830">
        <w:rPr>
          <w:color w:val="000000"/>
        </w:rPr>
        <w:t xml:space="preserve">. 1923, I, 155; </w:t>
      </w:r>
      <w:r w:rsidRPr="00963830">
        <w:t xml:space="preserve">Cass. 10 juni 2015, AR P.15.0316.F ; A. DE NAUW en F. KUTY, </w:t>
      </w:r>
      <w:r w:rsidRPr="00963830">
        <w:rPr>
          <w:i/>
        </w:rPr>
        <w:t>Manuel de droit pénal spécial</w:t>
      </w:r>
      <w:r w:rsidRPr="00963830">
        <w:t xml:space="preserve">, Wolters Kluwer, Liège, 2018, 233-234; A. DIERICKX, “Hoe ver reikt de bescherming van de strafbepalingen van aanranding van de eerbaarheid en verkrachting?”, </w:t>
      </w:r>
      <w:r w:rsidRPr="00963830">
        <w:rPr>
          <w:i/>
        </w:rPr>
        <w:t>NC</w:t>
      </w:r>
      <w:r w:rsidRPr="00963830">
        <w:t xml:space="preserve"> 2006, (95) 96; A. DIERICKX en J. DECOKER, “Artikel 372 - 375 Sw.”, </w:t>
      </w:r>
      <w:r w:rsidRPr="00963830">
        <w:rPr>
          <w:i/>
        </w:rPr>
        <w:t>supra</w:t>
      </w:r>
      <w:r w:rsidRPr="00963830">
        <w:t xml:space="preserve"> vn. 43, 441; B. SPRIET en G. MARLIER, “Aanranding van de eerbaarheid en verkrachting”, </w:t>
      </w:r>
      <w:r w:rsidRPr="00963830">
        <w:rPr>
          <w:i/>
        </w:rPr>
        <w:t>supra</w:t>
      </w:r>
      <w:r w:rsidRPr="00963830">
        <w:t xml:space="preserve"> vn. 39, 92-93; B. SPRIET e.a. (eds.), “Actualia seksueel strafrecht”, </w:t>
      </w:r>
      <w:r w:rsidRPr="00963830">
        <w:rPr>
          <w:i/>
        </w:rPr>
        <w:t>supra</w:t>
      </w:r>
      <w:r w:rsidRPr="00963830">
        <w:t xml:space="preserve"> vn. 48, 14; I. DELBROUCK, </w:t>
      </w:r>
      <w:r w:rsidRPr="00963830">
        <w:rPr>
          <w:i/>
        </w:rPr>
        <w:t>Aanranding, supra</w:t>
      </w:r>
      <w:r w:rsidRPr="00963830">
        <w:t xml:space="preserve"> vn. 43, </w:t>
      </w:r>
      <w:r w:rsidRPr="00963830">
        <w:rPr>
          <w:color w:val="000000" w:themeColor="text1"/>
        </w:rPr>
        <w:t>35-36</w:t>
      </w:r>
      <w:r w:rsidRPr="00963830">
        <w:t xml:space="preserve">; I. DELBROUCK, </w:t>
      </w:r>
      <w:r w:rsidRPr="00963830">
        <w:rPr>
          <w:i/>
        </w:rPr>
        <w:t>Aanranding, supra</w:t>
      </w:r>
      <w:r w:rsidRPr="00963830">
        <w:t xml:space="preserve"> vn. 43, </w:t>
      </w:r>
      <w:r w:rsidRPr="00963830">
        <w:rPr>
          <w:color w:val="000000" w:themeColor="text1"/>
        </w:rPr>
        <w:t>35.</w:t>
      </w:r>
    </w:p>
  </w:footnote>
  <w:footnote w:id="82">
    <w:p w14:paraId="5B14CAA0" w14:textId="1576257A" w:rsidR="00BA0376" w:rsidRPr="00963830" w:rsidRDefault="00BA0376" w:rsidP="005E70E8">
      <w:pPr>
        <w:pStyle w:val="NoSpacing"/>
      </w:pPr>
      <w:r w:rsidRPr="00963830">
        <w:rPr>
          <w:rStyle w:val="FootnoteReference"/>
        </w:rPr>
        <w:footnoteRef/>
      </w:r>
      <w:r w:rsidRPr="00963830">
        <w:t xml:space="preserve"> Hierop wordt in deze masterscriptie niet verder ingegaan. Een voorbeeld is de situatie waarin de dader de ouder is van het slachtoffer.</w:t>
      </w:r>
    </w:p>
  </w:footnote>
  <w:footnote w:id="83">
    <w:p w14:paraId="3535859F" w14:textId="391B4534" w:rsidR="00BA0376" w:rsidRPr="00963830" w:rsidRDefault="00BA0376" w:rsidP="00613E6B">
      <w:pPr>
        <w:pStyle w:val="NoSpacing"/>
      </w:pPr>
      <w:r w:rsidRPr="00963830">
        <w:rPr>
          <w:rStyle w:val="FootnoteReference"/>
        </w:rPr>
        <w:footnoteRef/>
      </w:r>
      <w:r w:rsidRPr="00963830">
        <w:t xml:space="preserve"> Minzestienjarigen vielen niet onder het toepassingsgebied van oud art. 372, lid 2 Sw.. Wanneer een dader met de hoedanigheid die vereist werd in dit artikel, dergelijke feiten pleegde t.a.v. een minzestienjarig slachtoffer, werden deze feiten niet gekwalificeerd als een aanranding van de eerbaarheid o.g.v. oud art. 372, lid 2 Sw., maar o.g.v. oud art. 377, lid 1 Sw. Dit artikel bevat hetzelfde basismisdrijf als oud art. 372, lid 1 Sw., maar voegt hier de specifieke hoedanigheden van de dader t.a.v. het slachtoffer aan toe als verzwarende omstandigheid. Het verschil tussen oud artikel 372, lid 2 enerzijds en 377, lid 1 anderzijds schuilt dus in het feit dat de vereiste hoedanigheid van de dader als constitutief bestanddeel respectievelijk als verzwarende omstandigheid wordt beschouwd. Zie: A. DE NAUW en F. DERUYCK, </w:t>
      </w:r>
      <w:r w:rsidRPr="00963830">
        <w:rPr>
          <w:i/>
        </w:rPr>
        <w:t>Inleiding tot het bijzonder strafrecht</w:t>
      </w:r>
      <w:r w:rsidRPr="00963830">
        <w:t xml:space="preserve">, Mechelen, Kluwer, 2020, 194; A. DE NAUW en F. KUTY, </w:t>
      </w:r>
      <w:r w:rsidRPr="00963830">
        <w:rPr>
          <w:i/>
        </w:rPr>
        <w:t>Manuel de droit pénal spécial</w:t>
      </w:r>
      <w:r w:rsidRPr="00963830">
        <w:t xml:space="preserve">, Wolters Kluwer, Liège, 2018, 236; B. SPRIET en G. MARLIER, “Aanranding van de eerbaarheid en verkrachting”, </w:t>
      </w:r>
      <w:r w:rsidRPr="00963830">
        <w:rPr>
          <w:i/>
        </w:rPr>
        <w:t>supra</w:t>
      </w:r>
      <w:r w:rsidRPr="00963830">
        <w:t xml:space="preserve"> vn. 39, 94.</w:t>
      </w:r>
    </w:p>
  </w:footnote>
  <w:footnote w:id="84">
    <w:p w14:paraId="2940587C" w14:textId="47F5DF9B" w:rsidR="00BA0376" w:rsidRPr="00963830" w:rsidRDefault="00BA0376" w:rsidP="00E47326">
      <w:pPr>
        <w:pStyle w:val="NoSpacing"/>
        <w:rPr>
          <w:color w:val="000000" w:themeColor="text1"/>
        </w:rPr>
      </w:pPr>
      <w:r w:rsidRPr="00963830">
        <w:rPr>
          <w:rStyle w:val="FootnoteReference"/>
          <w:color w:val="000000" w:themeColor="text1"/>
        </w:rPr>
        <w:footnoteRef/>
      </w:r>
      <w:r w:rsidRPr="00963830">
        <w:rPr>
          <w:color w:val="000000" w:themeColor="text1"/>
        </w:rPr>
        <w:t xml:space="preserve"> A. DE NAUW en F. DERUYCK, </w:t>
      </w:r>
      <w:r w:rsidRPr="00963830">
        <w:rPr>
          <w:i/>
          <w:color w:val="000000" w:themeColor="text1"/>
        </w:rPr>
        <w:t>Inleiding tot het bijzonder strafrecht</w:t>
      </w:r>
      <w:r w:rsidRPr="00963830">
        <w:rPr>
          <w:color w:val="000000" w:themeColor="text1"/>
        </w:rPr>
        <w:t xml:space="preserve">, Mechelen, Kluwer, 2020, 194; </w:t>
      </w:r>
      <w:r w:rsidRPr="00963830">
        <w:t xml:space="preserve">A. DE NAUW en F. KUTY, </w:t>
      </w:r>
      <w:r w:rsidRPr="00963830">
        <w:rPr>
          <w:i/>
        </w:rPr>
        <w:t>Manuel de droit pénal spécial</w:t>
      </w:r>
      <w:r w:rsidRPr="00963830">
        <w:t>, Wolters Kluwer, Liège, 2018, 235-236;</w:t>
      </w:r>
      <w:r w:rsidRPr="00963830">
        <w:rPr>
          <w:color w:val="000000" w:themeColor="text1"/>
        </w:rPr>
        <w:t xml:space="preserve"> </w:t>
      </w:r>
      <w:r w:rsidRPr="00963830">
        <w:t xml:space="preserve">A. DIERICKX en J. DECOKER, “Artikel 372 - 375 Sw.”, </w:t>
      </w:r>
      <w:r w:rsidRPr="00963830">
        <w:rPr>
          <w:i/>
        </w:rPr>
        <w:t>supra</w:t>
      </w:r>
      <w:r w:rsidRPr="00963830">
        <w:t xml:space="preserve"> vn. 43, 441-442; </w:t>
      </w:r>
      <w:r w:rsidRPr="00963830">
        <w:rPr>
          <w:color w:val="000000" w:themeColor="text1"/>
        </w:rPr>
        <w:t xml:space="preserve">B. SPRIET en G. MARLIER, “Aanranding van de eerbaarheid en verkrachting”, </w:t>
      </w:r>
      <w:r w:rsidRPr="00963830">
        <w:rPr>
          <w:i/>
          <w:color w:val="000000" w:themeColor="text1"/>
        </w:rPr>
        <w:t>supra</w:t>
      </w:r>
      <w:r w:rsidRPr="00963830">
        <w:rPr>
          <w:color w:val="000000" w:themeColor="text1"/>
        </w:rPr>
        <w:t xml:space="preserve"> vn. 39, 94; I. DELBROUCK, </w:t>
      </w:r>
      <w:r w:rsidRPr="00963830">
        <w:rPr>
          <w:i/>
          <w:color w:val="000000" w:themeColor="text1"/>
        </w:rPr>
        <w:t>Aanranding, supra</w:t>
      </w:r>
      <w:r w:rsidRPr="00963830">
        <w:rPr>
          <w:color w:val="000000" w:themeColor="text1"/>
        </w:rPr>
        <w:t xml:space="preserve"> vn. 43, 38.</w:t>
      </w:r>
    </w:p>
  </w:footnote>
  <w:footnote w:id="85">
    <w:p w14:paraId="2FAB27B2" w14:textId="5A69B1CF" w:rsidR="00BA0376" w:rsidRPr="00963830" w:rsidRDefault="00BA0376" w:rsidP="00651BDC">
      <w:pPr>
        <w:pStyle w:val="NoSpacing"/>
      </w:pPr>
      <w:r w:rsidRPr="00963830">
        <w:rPr>
          <w:rStyle w:val="FootnoteReference"/>
        </w:rPr>
        <w:footnoteRef/>
      </w:r>
      <w:r w:rsidRPr="00963830">
        <w:t xml:space="preserve"> Uit </w:t>
      </w:r>
      <w:r w:rsidRPr="00963830">
        <w:rPr>
          <w:color w:val="000000" w:themeColor="text1"/>
        </w:rPr>
        <w:t>oud art. 372 tweede lid Sw.</w:t>
      </w:r>
    </w:p>
  </w:footnote>
  <w:footnote w:id="86">
    <w:p w14:paraId="4E836DF8" w14:textId="55E22C19" w:rsidR="00BA0376" w:rsidRPr="00963830" w:rsidRDefault="00BA0376" w:rsidP="00920CBA">
      <w:pPr>
        <w:pStyle w:val="NoSpacing"/>
      </w:pPr>
      <w:r w:rsidRPr="00963830">
        <w:rPr>
          <w:rStyle w:val="FootnoteReference"/>
        </w:rPr>
        <w:footnoteRef/>
      </w:r>
      <w:r w:rsidRPr="00963830">
        <w:t xml:space="preserve"> Zie evenwel de reeds eerder gemaakte opmerking in voetnoot 83.</w:t>
      </w:r>
    </w:p>
  </w:footnote>
  <w:footnote w:id="87">
    <w:p w14:paraId="3296C371" w14:textId="41CBCA0D" w:rsidR="00BA0376" w:rsidRPr="00963830" w:rsidRDefault="00BA0376" w:rsidP="00613E6B">
      <w:pPr>
        <w:pStyle w:val="NoSpacing"/>
      </w:pPr>
      <w:r w:rsidRPr="00963830">
        <w:rPr>
          <w:rStyle w:val="FootnoteReference"/>
        </w:rPr>
        <w:footnoteRef/>
      </w:r>
      <w:r w:rsidRPr="00963830">
        <w:t xml:space="preserve"> B. SPRIET en G. MARLIER, “Aanranding van de eerbaarheid en verkrachting”, </w:t>
      </w:r>
      <w:r w:rsidRPr="00963830">
        <w:rPr>
          <w:i/>
        </w:rPr>
        <w:t>supra</w:t>
      </w:r>
      <w:r w:rsidRPr="00963830">
        <w:t xml:space="preserve"> vn. 39, 94.</w:t>
      </w:r>
    </w:p>
  </w:footnote>
  <w:footnote w:id="88">
    <w:p w14:paraId="41067F9E" w14:textId="6AB617EF" w:rsidR="00BA0376" w:rsidRPr="00963830" w:rsidRDefault="00BA0376" w:rsidP="00613E6B">
      <w:pPr>
        <w:pStyle w:val="NoSpacing"/>
        <w:rPr>
          <w:color w:val="000000" w:themeColor="text1"/>
        </w:rPr>
      </w:pPr>
      <w:r w:rsidRPr="00963830">
        <w:rPr>
          <w:rStyle w:val="FootnoteReference"/>
        </w:rPr>
        <w:footnoteRef/>
      </w:r>
      <w:r w:rsidRPr="00963830">
        <w:t xml:space="preserve"> Ingevolge de inwerkingtreding van de Voyeurismewet op 29 februari 2016, zijnde tien dagen na de publicatiedatum ervan in het Belgisch Staatsblad. Zie: </w:t>
      </w:r>
      <w:r w:rsidRPr="00963830">
        <w:rPr>
          <w:color w:val="000000" w:themeColor="text1"/>
        </w:rPr>
        <w:t xml:space="preserve">Wet van 1 februari 2016 tot wijziging van diverse bepalingen wat de aanranding van de eerbaarheid en het voyeurisme betreft, </w:t>
      </w:r>
      <w:r w:rsidRPr="00963830">
        <w:rPr>
          <w:i/>
          <w:color w:val="000000" w:themeColor="text1"/>
        </w:rPr>
        <w:t>BS</w:t>
      </w:r>
      <w:r w:rsidRPr="00963830">
        <w:rPr>
          <w:color w:val="000000" w:themeColor="text1"/>
        </w:rPr>
        <w:t xml:space="preserve"> 19 februari 2016.</w:t>
      </w:r>
    </w:p>
  </w:footnote>
  <w:footnote w:id="89">
    <w:p w14:paraId="315AAAEA" w14:textId="40E52A55" w:rsidR="00BA0376" w:rsidRPr="00963830" w:rsidRDefault="00BA0376" w:rsidP="00613E6B">
      <w:pPr>
        <w:pStyle w:val="NoSpacing"/>
        <w:rPr>
          <w:rFonts w:eastAsia="Times New Roman" w:cs="Times New Roman"/>
          <w:color w:val="000000" w:themeColor="text1"/>
          <w:lang w:val="nl-BE"/>
        </w:rPr>
      </w:pPr>
      <w:r w:rsidRPr="00963830">
        <w:rPr>
          <w:rStyle w:val="FootnoteReference"/>
          <w:color w:val="000000" w:themeColor="text1"/>
        </w:rPr>
        <w:footnoteRef/>
      </w:r>
      <w:r w:rsidRPr="00963830">
        <w:rPr>
          <w:color w:val="000000" w:themeColor="text1"/>
        </w:rPr>
        <w:t xml:space="preserve"> De wetgever breidde deze lijst des tijds uit om meer cohesie te creëren tussen de strafbaarstelling van aanranding van de eerbaarheid (oud art. 373 Sw.) en die van verkrachting (oud art. 375 Sw.). Zie: </w:t>
      </w:r>
      <w:r w:rsidRPr="00963830">
        <w:rPr>
          <w:rFonts w:eastAsia="Times New Roman" w:cs="Times New Roman"/>
          <w:color w:val="000000" w:themeColor="text1"/>
          <w:lang w:val="nl-BE"/>
        </w:rPr>
        <w:t xml:space="preserve">Amendement (C. VAN COUTER) op het voorstel van wet tot wijziging van diverse bepalingen wat de aanranding van de eerbaarheid en het voyeurisme betreft, </w:t>
      </w:r>
      <w:r w:rsidRPr="00963830">
        <w:rPr>
          <w:rFonts w:eastAsia="Times New Roman" w:cs="Times New Roman"/>
          <w:i/>
          <w:iCs/>
          <w:color w:val="000000" w:themeColor="text1"/>
          <w:lang w:val="nl-BE"/>
        </w:rPr>
        <w:t>Parl.St.</w:t>
      </w:r>
      <w:r w:rsidRPr="00963830">
        <w:rPr>
          <w:rFonts w:eastAsia="Times New Roman" w:cs="Times New Roman"/>
          <w:color w:val="000000" w:themeColor="text1"/>
          <w:lang w:val="nl-BE"/>
        </w:rPr>
        <w:t xml:space="preserve"> Kamer 2015-16, nr. 54-699/3.</w:t>
      </w:r>
      <w:r w:rsidRPr="00963830">
        <w:rPr>
          <w:color w:val="000000" w:themeColor="text1"/>
        </w:rPr>
        <w:t xml:space="preserve"> Zie ook </w:t>
      </w:r>
      <w:r w:rsidRPr="00963830">
        <w:rPr>
          <w:i/>
          <w:color w:val="000000" w:themeColor="text1"/>
        </w:rPr>
        <w:t xml:space="preserve">infra </w:t>
      </w:r>
      <w:r w:rsidRPr="00963830">
        <w:rPr>
          <w:color w:val="000000" w:themeColor="text1"/>
        </w:rPr>
        <w:t>nr. 116.</w:t>
      </w:r>
    </w:p>
  </w:footnote>
  <w:footnote w:id="90">
    <w:p w14:paraId="443DFFD0" w14:textId="542AE3FD" w:rsidR="00BA0376" w:rsidRPr="00963830" w:rsidRDefault="00BA0376" w:rsidP="00613E6B">
      <w:pPr>
        <w:pStyle w:val="NoSpacing"/>
        <w:rPr>
          <w:color w:val="000000" w:themeColor="text1"/>
        </w:rPr>
      </w:pPr>
      <w:r w:rsidRPr="00963830">
        <w:rPr>
          <w:rStyle w:val="FootnoteReference"/>
        </w:rPr>
        <w:footnoteRef/>
      </w:r>
      <w:r w:rsidRPr="00963830">
        <w:t xml:space="preserve"> Het begrip geweld </w:t>
      </w:r>
      <w:r w:rsidRPr="00963830">
        <w:rPr>
          <w:color w:val="000000" w:themeColor="text1"/>
        </w:rPr>
        <w:t xml:space="preserve">werd (voor de wetswijziging in 2016) geïnterpreteerd conform art. 483, eerste lid Sw.: “(...) </w:t>
      </w:r>
      <w:r w:rsidRPr="00963830">
        <w:rPr>
          <w:i/>
        </w:rPr>
        <w:t>daden van fysieke dwang gepleegd op personen</w:t>
      </w:r>
      <w:r w:rsidRPr="00963830">
        <w:t>”. Hieronder werd ook de situatie begrepen waarin het slachtoffer verrast werd door de manoeuvres van de dader en hierdoor niet kon ontsnappen aan de situatie (</w:t>
      </w:r>
      <w:r w:rsidRPr="00963830">
        <w:rPr>
          <w:color w:val="000000" w:themeColor="text1"/>
        </w:rPr>
        <w:t xml:space="preserve">Cass. 6 oktober 2004, AR P.04.0665.F, </w:t>
      </w:r>
      <w:r w:rsidRPr="00963830">
        <w:rPr>
          <w:i/>
          <w:color w:val="000000" w:themeColor="text1"/>
        </w:rPr>
        <w:t>JT</w:t>
      </w:r>
      <w:r w:rsidRPr="00963830">
        <w:rPr>
          <w:color w:val="000000" w:themeColor="text1"/>
        </w:rPr>
        <w:t xml:space="preserve"> 2005, 100). Viel ook onder geweld: de situatie waarin het slachtoffer zich door de fysieke dwang van de dader niet kon onttrekken aan de handelingen die hij of zij vrijwillig niet zou hebben getolereerd of indien het slachtoffer door</w:t>
      </w:r>
      <w:r w:rsidRPr="00963830">
        <w:t xml:space="preserve"> de plotselinge en onvoorziene acties van de dader geen gelegenheid had om bezwaar te maken</w:t>
      </w:r>
      <w:r w:rsidRPr="00963830">
        <w:rPr>
          <w:color w:val="000000" w:themeColor="text1"/>
        </w:rPr>
        <w:t xml:space="preserve"> (</w:t>
      </w:r>
      <w:r w:rsidRPr="00963830">
        <w:t>Cass. 9 oktober 2012, AR P.11.2120.N). Zowel geweld tijdens als geweld dat voorafgaat aan de aanranding van de eerbaarheid komen in aanmerking.</w:t>
      </w:r>
      <w:r w:rsidRPr="00963830">
        <w:rPr>
          <w:color w:val="000000" w:themeColor="text1"/>
        </w:rPr>
        <w:t xml:space="preserve"> Zie ook: Concl. VANDERMEERSCH bij Cass. 27 november 2013, </w:t>
      </w:r>
      <w:r w:rsidRPr="00963830">
        <w:rPr>
          <w:i/>
          <w:color w:val="000000" w:themeColor="text1"/>
        </w:rPr>
        <w:t>RDP</w:t>
      </w:r>
      <w:r w:rsidRPr="00963830">
        <w:rPr>
          <w:color w:val="000000" w:themeColor="text1"/>
        </w:rPr>
        <w:t xml:space="preserve"> 2014, (226) 228-229;</w:t>
      </w:r>
      <w:r w:rsidRPr="00963830">
        <w:t xml:space="preserve"> A. DIERICKX, “Hoe ver reikt de bescherming van de strafbepalingen van aanranding van de eerbaarheid en verkrachting?”, </w:t>
      </w:r>
      <w:r w:rsidRPr="00963830">
        <w:rPr>
          <w:i/>
        </w:rPr>
        <w:t>NC</w:t>
      </w:r>
      <w:r w:rsidRPr="00963830">
        <w:t xml:space="preserve"> 2006, (95) 95-96; A. DIERICKX, “Noopt nieuwe seksuele criminaliteit tot nieuwe seksuele misdrijven?”, </w:t>
      </w:r>
      <w:r w:rsidRPr="00963830">
        <w:rPr>
          <w:i/>
          <w:iCs/>
        </w:rPr>
        <w:t>NC</w:t>
      </w:r>
      <w:r w:rsidRPr="00963830">
        <w:t xml:space="preserve"> 2017, (207) 212-213; F. </w:t>
      </w:r>
      <w:r w:rsidRPr="00963830">
        <w:rPr>
          <w:color w:val="000000"/>
        </w:rPr>
        <w:t xml:space="preserve">KUTY, “Les notions de violence, de menace et de surprise constitutives de l'attentat à la pudeur”, </w:t>
      </w:r>
      <w:r w:rsidRPr="00963830">
        <w:rPr>
          <w:i/>
          <w:iCs/>
          <w:color w:val="000000"/>
        </w:rPr>
        <w:t>JLMB</w:t>
      </w:r>
      <w:r w:rsidRPr="00963830">
        <w:rPr>
          <w:color w:val="000000"/>
        </w:rPr>
        <w:t xml:space="preserve"> 2015, (467) 470; </w:t>
      </w:r>
      <w:r w:rsidRPr="00963830">
        <w:t xml:space="preserve">I. DELBROUCK, </w:t>
      </w:r>
      <w:r w:rsidRPr="00963830">
        <w:rPr>
          <w:i/>
        </w:rPr>
        <w:t>Aanranding, supra</w:t>
      </w:r>
      <w:r w:rsidRPr="00963830">
        <w:t xml:space="preserve"> vn. 43, 42-43; I. DELBROUCK, “Aanranding van de eerbaarheid - het misdrijf”, </w:t>
      </w:r>
      <w:r w:rsidRPr="00963830">
        <w:rPr>
          <w:i/>
        </w:rPr>
        <w:t>Comm.Straf.</w:t>
      </w:r>
      <w:r w:rsidRPr="00963830">
        <w:t>, Mechelen, Kluwer, losbl., (11) 36.</w:t>
      </w:r>
    </w:p>
  </w:footnote>
  <w:footnote w:id="91">
    <w:p w14:paraId="5D2F0026" w14:textId="2405EFF2" w:rsidR="00BA0376" w:rsidRPr="00963830" w:rsidRDefault="00BA0376" w:rsidP="00613E6B">
      <w:pPr>
        <w:pStyle w:val="NoSpacing"/>
        <w:rPr>
          <w:color w:val="000000" w:themeColor="text1"/>
        </w:rPr>
      </w:pPr>
      <w:r w:rsidRPr="00963830">
        <w:rPr>
          <w:rStyle w:val="FootnoteReference"/>
          <w:color w:val="000000" w:themeColor="text1"/>
        </w:rPr>
        <w:footnoteRef/>
      </w:r>
      <w:r w:rsidRPr="00963830">
        <w:rPr>
          <w:color w:val="000000" w:themeColor="text1"/>
        </w:rPr>
        <w:t xml:space="preserve"> Het begrip bedreiging werd (voor de wetswijziging van 2016) geïnterpreteerd conform art. 483, tweede lid Sw.: “</w:t>
      </w:r>
      <w:r w:rsidRPr="00963830">
        <w:t xml:space="preserve">(...) </w:t>
      </w:r>
      <w:r w:rsidRPr="00963830">
        <w:rPr>
          <w:i/>
        </w:rPr>
        <w:t>alle middelen van morele dwang door het verwekken van vrees voor een dreigend kwaad</w:t>
      </w:r>
      <w:r w:rsidRPr="00963830">
        <w:t xml:space="preserve">”. </w:t>
      </w:r>
      <w:r w:rsidRPr="00963830">
        <w:rPr>
          <w:color w:val="000000" w:themeColor="text1"/>
        </w:rPr>
        <w:t xml:space="preserve">Zie ook: </w:t>
      </w:r>
      <w:r w:rsidRPr="00963830">
        <w:t>Cass. 9 oktober 2012, AR P.11.2120.N;</w:t>
      </w:r>
      <w:r w:rsidRPr="00963830">
        <w:rPr>
          <w:color w:val="000000" w:themeColor="text1"/>
        </w:rPr>
        <w:t xml:space="preserve"> Concl. VANDERMEERSCH bij Cass. 27 november 2013, </w:t>
      </w:r>
      <w:r w:rsidRPr="00963830">
        <w:rPr>
          <w:i/>
          <w:color w:val="000000" w:themeColor="text1"/>
        </w:rPr>
        <w:t>RDP</w:t>
      </w:r>
      <w:r w:rsidRPr="00963830">
        <w:rPr>
          <w:color w:val="000000" w:themeColor="text1"/>
        </w:rPr>
        <w:t xml:space="preserve"> 2014, (226) 228-229; </w:t>
      </w:r>
      <w:r w:rsidRPr="00963830">
        <w:t xml:space="preserve">A. DIERICKX, “Hoe ver reikt de bescherming van de strafbepalingen van aanranding van de eerbaarheid en verkrachting?”, </w:t>
      </w:r>
      <w:r w:rsidRPr="00963830">
        <w:rPr>
          <w:i/>
        </w:rPr>
        <w:t>NC</w:t>
      </w:r>
      <w:r w:rsidRPr="00963830">
        <w:t xml:space="preserve"> 2006, (95) 96; A. DIERICKX, “Noopt nieuwe seksuele criminaliteit tot nieuwe seksuele misdrijven?”, </w:t>
      </w:r>
      <w:r w:rsidRPr="00963830">
        <w:rPr>
          <w:i/>
          <w:iCs/>
        </w:rPr>
        <w:t>NC</w:t>
      </w:r>
      <w:r w:rsidRPr="00963830">
        <w:t xml:space="preserve"> 2017, (207) 212-213; F. </w:t>
      </w:r>
      <w:r w:rsidRPr="00963830">
        <w:rPr>
          <w:color w:val="000000"/>
        </w:rPr>
        <w:t xml:space="preserve">KUTY, “Les notions de violence, de menace et de surprise constitutives de l'attentat à la pudeur”, </w:t>
      </w:r>
      <w:r w:rsidRPr="00963830">
        <w:rPr>
          <w:i/>
          <w:iCs/>
          <w:color w:val="000000"/>
        </w:rPr>
        <w:t>JLMB</w:t>
      </w:r>
      <w:r w:rsidRPr="00963830">
        <w:rPr>
          <w:color w:val="000000"/>
        </w:rPr>
        <w:t xml:space="preserve"> 2015, (467) 470;</w:t>
      </w:r>
      <w:r w:rsidRPr="00963830">
        <w:t xml:space="preserve"> </w:t>
      </w:r>
      <w:r w:rsidRPr="00963830">
        <w:rPr>
          <w:color w:val="000000" w:themeColor="text1"/>
        </w:rPr>
        <w:t xml:space="preserve">I. DELBROUCK, </w:t>
      </w:r>
      <w:r w:rsidRPr="00963830">
        <w:rPr>
          <w:i/>
          <w:color w:val="000000" w:themeColor="text1"/>
        </w:rPr>
        <w:t>Aanranding, supra</w:t>
      </w:r>
      <w:r w:rsidRPr="00963830">
        <w:rPr>
          <w:color w:val="000000" w:themeColor="text1"/>
        </w:rPr>
        <w:t xml:space="preserve"> vn. 43, 43</w:t>
      </w:r>
      <w:r w:rsidRPr="00963830">
        <w:t xml:space="preserve">; ; I. DELBROUCK, “Aanranding van de eerbaarheid - het misdrijf”, </w:t>
      </w:r>
      <w:r w:rsidRPr="00963830">
        <w:rPr>
          <w:i/>
        </w:rPr>
        <w:t>Comm.Straf.</w:t>
      </w:r>
      <w:r w:rsidRPr="00963830">
        <w:t>, Mechelen, Kluwer, losbl., (11) 37.</w:t>
      </w:r>
    </w:p>
  </w:footnote>
  <w:footnote w:id="92">
    <w:p w14:paraId="47BDC336" w14:textId="2B617CDF" w:rsidR="00BA0376" w:rsidRPr="00963830" w:rsidRDefault="00BA0376" w:rsidP="00613E6B">
      <w:pPr>
        <w:pStyle w:val="NoSpacing"/>
        <w:rPr>
          <w:color w:val="000000" w:themeColor="text1"/>
        </w:rPr>
      </w:pPr>
      <w:r w:rsidRPr="00963830">
        <w:rPr>
          <w:rStyle w:val="FootnoteReference"/>
          <w:color w:val="000000" w:themeColor="text1"/>
        </w:rPr>
        <w:footnoteRef/>
      </w:r>
      <w:r w:rsidRPr="00963830">
        <w:rPr>
          <w:color w:val="000000" w:themeColor="text1"/>
        </w:rPr>
        <w:t xml:space="preserve"> Het Hof van Cassatie oordeelde in diens arrest van 12 november 2019 dat de situaties van “dwang, verrassing, list, onvolwaardigheid, lichamelijk of geestelijk gebrek van het slachtoffer” ook voor de inwerkingtreding van de Voyeurismewet reeds onder de begrippen “geweld of bedreiging” vielen. Ook DE NAUW en DERUYCK wezen op de minimale impact van deze wijziging aangezien de rechtspraak de noties geweld en bedreiging reeds zeer soepel invulden. SPRIET e.a. waren het hier evenwel niet volledig mee eens. Volgens laatstgenoemden konden verrassing en dwang inderdaad begrepen worden onder de begrippen geweld of bedreiging. Dit zou niet het geval geweest zijn voor de list, onvolwaardigheid of het lichamelijk of geestelijk gebrek. </w:t>
      </w:r>
      <w:r w:rsidRPr="00963830">
        <w:t xml:space="preserve">Zie: Cass. 12 november 2019, AR P.19.0566.N; A. DE NAUW en F. DERUYCK, </w:t>
      </w:r>
      <w:r w:rsidRPr="00963830">
        <w:rPr>
          <w:i/>
        </w:rPr>
        <w:t>Inleiding tot het bijzonder strafrecht</w:t>
      </w:r>
      <w:r w:rsidRPr="00963830">
        <w:t xml:space="preserve">, Mechelen, Kluwer, 2020,195-196; B. SPRIET e.a. (eds.), “Actualia seksueel strafrecht”, </w:t>
      </w:r>
      <w:r w:rsidRPr="00963830">
        <w:rPr>
          <w:i/>
        </w:rPr>
        <w:t>supra</w:t>
      </w:r>
      <w:r w:rsidRPr="00963830">
        <w:t xml:space="preserve"> vn. 48, 12.</w:t>
      </w:r>
    </w:p>
  </w:footnote>
  <w:footnote w:id="93">
    <w:p w14:paraId="24424FA6" w14:textId="60F77D3C" w:rsidR="00BA0376" w:rsidRPr="00963830" w:rsidRDefault="00BA0376" w:rsidP="00613E6B">
      <w:pPr>
        <w:pStyle w:val="NoSpacing"/>
        <w:rPr>
          <w:color w:val="000000" w:themeColor="text1"/>
        </w:rPr>
      </w:pPr>
      <w:r w:rsidRPr="00963830">
        <w:rPr>
          <w:rStyle w:val="FootnoteReference"/>
        </w:rPr>
        <w:footnoteRef/>
      </w:r>
      <w:r w:rsidRPr="00963830">
        <w:t xml:space="preserve"> B. SPRIET e.a. (eds.), “Actualia seksueel strafrecht”, </w:t>
      </w:r>
      <w:r w:rsidRPr="00963830">
        <w:rPr>
          <w:i/>
        </w:rPr>
        <w:t>supra</w:t>
      </w:r>
      <w:r w:rsidRPr="00963830">
        <w:t xml:space="preserve"> vn. 48,</w:t>
      </w:r>
      <w:r w:rsidRPr="00963830">
        <w:rPr>
          <w:color w:val="000000" w:themeColor="text1"/>
        </w:rPr>
        <w:t xml:space="preserve"> 11; I. DELBROUCK, </w:t>
      </w:r>
      <w:r w:rsidRPr="00963830">
        <w:rPr>
          <w:i/>
          <w:color w:val="000000" w:themeColor="text1"/>
        </w:rPr>
        <w:t>Aanranding, supra</w:t>
      </w:r>
      <w:r w:rsidRPr="00963830">
        <w:rPr>
          <w:color w:val="000000" w:themeColor="text1"/>
        </w:rPr>
        <w:t xml:space="preserve"> vn. 43, 34 en 41.</w:t>
      </w:r>
    </w:p>
  </w:footnote>
  <w:footnote w:id="94">
    <w:p w14:paraId="0041A844" w14:textId="75051AF2" w:rsidR="00BA0376" w:rsidRPr="00963830" w:rsidRDefault="00BA0376" w:rsidP="00613E6B">
      <w:pPr>
        <w:pStyle w:val="NoSpacing"/>
      </w:pPr>
      <w:r w:rsidRPr="00963830">
        <w:rPr>
          <w:rStyle w:val="FootnoteReference"/>
        </w:rPr>
        <w:footnoteRef/>
      </w:r>
      <w:r w:rsidRPr="00963830">
        <w:t xml:space="preserve"> B. SPRIET en G. MARLIER, “Aanranding van de eerbaarheid en verkrachting”, </w:t>
      </w:r>
      <w:r w:rsidRPr="00963830">
        <w:rPr>
          <w:i/>
        </w:rPr>
        <w:t>supra</w:t>
      </w:r>
      <w:r w:rsidRPr="00963830">
        <w:t xml:space="preserve"> vn. 39, 95.</w:t>
      </w:r>
    </w:p>
  </w:footnote>
  <w:footnote w:id="95">
    <w:p w14:paraId="7A3E0426" w14:textId="6FF06E16" w:rsidR="00BA0376" w:rsidRPr="00963830" w:rsidRDefault="00BA0376" w:rsidP="00613E6B">
      <w:pPr>
        <w:pStyle w:val="NoSpacing"/>
      </w:pPr>
      <w:r w:rsidRPr="00963830">
        <w:rPr>
          <w:rStyle w:val="FootnoteReference"/>
        </w:rPr>
        <w:footnoteRef/>
      </w:r>
      <w:r w:rsidRPr="00963830">
        <w:t xml:space="preserve"> Sinds het roltraparrest gingen immers stemmen op binnen de rechtsleer die stelden dat de loutere afwezigheid van toestemming op zich voldoende zou zijn voor aanranding van de eerbaarheid. Voor het roltraparrest, werd dit onderwerp ook behandeld in de rechtsleer, maar stelde zich hieromtrent geen echte discussie. Zie bv.: A. DIERICKX, “Hoe ver reikt de bescherming van de strafbepalingen van aanranding van de eerbaarheid en verkrachting?”, </w:t>
      </w:r>
      <w:r w:rsidRPr="00963830">
        <w:rPr>
          <w:i/>
        </w:rPr>
        <w:t>NC</w:t>
      </w:r>
      <w:r w:rsidRPr="00963830">
        <w:t xml:space="preserve"> 2006, (95) 101-102. </w:t>
      </w:r>
    </w:p>
  </w:footnote>
  <w:footnote w:id="96">
    <w:p w14:paraId="00793068" w14:textId="5310F13F" w:rsidR="00BA0376" w:rsidRPr="00963830" w:rsidRDefault="00BA0376" w:rsidP="00E234F9">
      <w:pPr>
        <w:pStyle w:val="NoSpacing"/>
      </w:pPr>
      <w:r w:rsidRPr="00963830">
        <w:rPr>
          <w:rStyle w:val="FootnoteReference"/>
        </w:rPr>
        <w:footnoteRef/>
      </w:r>
      <w:r w:rsidRPr="00963830">
        <w:t xml:space="preserve"> </w:t>
      </w:r>
      <w:r w:rsidRPr="00963830">
        <w:rPr>
          <w:i/>
        </w:rPr>
        <w:t>Supra</w:t>
      </w:r>
      <w:r w:rsidRPr="00963830">
        <w:t xml:space="preserve"> nr. 11.</w:t>
      </w:r>
    </w:p>
  </w:footnote>
  <w:footnote w:id="97">
    <w:p w14:paraId="39A88E0F" w14:textId="04C2F715" w:rsidR="00BA0376" w:rsidRPr="00963830" w:rsidRDefault="00BA0376" w:rsidP="0035203B">
      <w:pPr>
        <w:pStyle w:val="NoSpacing"/>
      </w:pPr>
      <w:r w:rsidRPr="00963830">
        <w:rPr>
          <w:rStyle w:val="FootnoteReference"/>
        </w:rPr>
        <w:footnoteRef/>
      </w:r>
      <w:r w:rsidRPr="00963830">
        <w:t xml:space="preserve"> B. KETELS, “Cassatie lijkt afwezigheid toestemming als constitutief bestanddeel voor aanranding te aanvaarden” (noot onder Cass. 24 mei 2011), </w:t>
      </w:r>
      <w:r w:rsidRPr="00963830">
        <w:rPr>
          <w:i/>
        </w:rPr>
        <w:t>Juristenkrant</w:t>
      </w:r>
      <w:r w:rsidRPr="00963830">
        <w:t xml:space="preserve"> 2011, afl. 236, (20) 20; B. KETELS, “Volstaat de afwezigheid van toestemming voor aanranding van de eerbaarheid met geweld of bedreiging?”, </w:t>
      </w:r>
      <w:r w:rsidRPr="00963830">
        <w:rPr>
          <w:i/>
        </w:rPr>
        <w:t>NC</w:t>
      </w:r>
      <w:r w:rsidRPr="00963830">
        <w:t xml:space="preserve"> 2012, (61) 67; J. ROZIE en J. DE HERDT, “overgangsrecht seksueel strafrecht”, </w:t>
      </w:r>
      <w:r w:rsidRPr="00963830">
        <w:rPr>
          <w:i/>
        </w:rPr>
        <w:t>supra</w:t>
      </w:r>
      <w:r w:rsidRPr="00963830">
        <w:t xml:space="preserve"> vn. 7, 180-181; M. COLETTE, “Aanranding van de eerbaarheid en seksuele integriteit” (noot onder Cass. 24 mei 2011), </w:t>
      </w:r>
      <w:r w:rsidRPr="00963830">
        <w:rPr>
          <w:i/>
        </w:rPr>
        <w:t>TJK</w:t>
      </w:r>
      <w:r w:rsidRPr="00963830">
        <w:t xml:space="preserve"> 2012, (149) 152-155 en 159. </w:t>
      </w:r>
    </w:p>
    <w:p w14:paraId="6F466322" w14:textId="77AC57F2" w:rsidR="00BA0376" w:rsidRPr="009C29A6" w:rsidRDefault="00BA0376" w:rsidP="00963830">
      <w:pPr>
        <w:rPr>
          <w:sz w:val="16"/>
          <w:szCs w:val="16"/>
          <w:lang w:val="en-GB"/>
        </w:rPr>
      </w:pPr>
      <w:r w:rsidRPr="00963830">
        <w:rPr>
          <w:color w:val="000000" w:themeColor="text1"/>
          <w:sz w:val="16"/>
          <w:szCs w:val="16"/>
        </w:rPr>
        <w:t>Ook GREVIO</w:t>
      </w:r>
      <w:r w:rsidRPr="00963830">
        <w:rPr>
          <w:sz w:val="16"/>
          <w:szCs w:val="16"/>
        </w:rPr>
        <w:t xml:space="preserve"> (Group of Experts on Action Against Violence against Women and Domestic Violence) – dit is de commissie die toeziet op de naleving van de verplichtingen onder het Verdrag van Istanbul door de verdragsstaten - </w:t>
      </w:r>
      <w:r w:rsidRPr="00963830">
        <w:rPr>
          <w:color w:val="000000" w:themeColor="text1"/>
          <w:sz w:val="16"/>
          <w:szCs w:val="16"/>
        </w:rPr>
        <w:t>sloot zich aan bij deze minderheidsvisie en stelde in een rapport m.b.t. België dat de afwezigheid van toestemming bij aanranding van de eerbaarheid centraal zou staan.</w:t>
      </w:r>
      <w:r w:rsidRPr="00963830">
        <w:rPr>
          <w:sz w:val="16"/>
          <w:szCs w:val="16"/>
        </w:rPr>
        <w:t xml:space="preserve"> </w:t>
      </w:r>
      <w:r w:rsidRPr="009C29A6">
        <w:rPr>
          <w:sz w:val="16"/>
          <w:szCs w:val="16"/>
          <w:lang w:val="en-GB"/>
        </w:rPr>
        <w:t>Zie: art. 66 Verdrag van Istanbul; COUNCIL OF EUROPE, “GREVIO”, www.coe.int/en/web/istanbul-convention/grevio (consultatie 25 april 2023); GROUP OF EXPERTS ON ACTION AGAINST VIOLENCE AGAINST WOMEN AND DOMESTIC VIOLENCE (GREVIO), “GREVIO’s Baseline Evaluation Report Belgium”, 26 juni 2020, https://rm.coe.int/grevio-report-on-belgium/16809f9a2c (consultatie 25 april 2023), 46-47 en 72.</w:t>
      </w:r>
    </w:p>
  </w:footnote>
  <w:footnote w:id="98">
    <w:p w14:paraId="2DB83145" w14:textId="5800261C" w:rsidR="00BA0376" w:rsidRPr="00963830" w:rsidRDefault="00BA0376" w:rsidP="00613E6B">
      <w:pPr>
        <w:pStyle w:val="NoSpacing"/>
      </w:pPr>
      <w:r w:rsidRPr="00963830">
        <w:rPr>
          <w:rStyle w:val="FootnoteReference"/>
        </w:rPr>
        <w:footnoteRef/>
      </w:r>
      <w:r w:rsidRPr="00963830">
        <w:t xml:space="preserve"> A. DIERICKX, “Noopt nieuwe seksuele criminaliteit tot nieuwe seksuele misdrijven?”, </w:t>
      </w:r>
      <w:r w:rsidRPr="00963830">
        <w:rPr>
          <w:i/>
          <w:iCs/>
        </w:rPr>
        <w:t>NC</w:t>
      </w:r>
      <w:r w:rsidRPr="00963830">
        <w:t xml:space="preserve"> 2017, (207) 212-213; B. KETELS, “Cassatie lijkt afwezigheid toestemming als constitutief bestanddeel voor aanranding te aanvaarden” (noot onder Cass. 24 mei 2011), Juristenkrant 2011, afl. 236, (20) 20; B. SPRIET en G. MARLIER, “Aanranding van de eerbaarheid en verkrachting”, </w:t>
      </w:r>
      <w:r w:rsidRPr="00963830">
        <w:rPr>
          <w:i/>
        </w:rPr>
        <w:t>supra</w:t>
      </w:r>
      <w:r w:rsidRPr="00963830">
        <w:t xml:space="preserve"> vn. 39, 83-84.</w:t>
      </w:r>
    </w:p>
  </w:footnote>
  <w:footnote w:id="99">
    <w:p w14:paraId="0654552B" w14:textId="06A85177" w:rsidR="00BA0376" w:rsidRPr="00963830" w:rsidRDefault="00BA0376" w:rsidP="00613E6B">
      <w:pPr>
        <w:pStyle w:val="NoSpacing"/>
      </w:pPr>
      <w:r w:rsidRPr="00963830">
        <w:rPr>
          <w:rStyle w:val="FootnoteReference"/>
        </w:rPr>
        <w:footnoteRef/>
      </w:r>
      <w:r w:rsidRPr="00963830">
        <w:t xml:space="preserve"> B. SPRIET en G. MARLIER, “Aanranding van de eerbaarheid en verkrachting”, </w:t>
      </w:r>
      <w:r w:rsidRPr="00963830">
        <w:rPr>
          <w:i/>
        </w:rPr>
        <w:t>supra</w:t>
      </w:r>
      <w:r w:rsidRPr="00963830">
        <w:t xml:space="preserve"> vn. 39, 83-84.</w:t>
      </w:r>
    </w:p>
  </w:footnote>
  <w:footnote w:id="100">
    <w:p w14:paraId="503CCABF" w14:textId="67FFADF8" w:rsidR="00BA0376" w:rsidRPr="00963830" w:rsidRDefault="00BA0376" w:rsidP="00613E6B">
      <w:pPr>
        <w:pStyle w:val="NoSpacing"/>
      </w:pPr>
      <w:r w:rsidRPr="00963830">
        <w:rPr>
          <w:rStyle w:val="FootnoteReference"/>
        </w:rPr>
        <w:footnoteRef/>
      </w:r>
      <w:r w:rsidRPr="00963830">
        <w:t xml:space="preserve"> Cass. 18 april 2023, AR P.22.1734.N; B. SPRIET en G. MARLIER, “Aanranding van de eerbaarheid en verkrachting”, </w:t>
      </w:r>
      <w:r w:rsidRPr="00963830">
        <w:rPr>
          <w:i/>
        </w:rPr>
        <w:t>supra</w:t>
      </w:r>
      <w:r w:rsidRPr="00963830">
        <w:t xml:space="preserve"> vn. 39, 83.</w:t>
      </w:r>
    </w:p>
  </w:footnote>
  <w:footnote w:id="101">
    <w:p w14:paraId="35C9C4B4" w14:textId="393F39B1" w:rsidR="00BA0376" w:rsidRPr="00963830" w:rsidRDefault="00BA0376" w:rsidP="00613E6B">
      <w:pPr>
        <w:pStyle w:val="NoSpacing"/>
      </w:pPr>
      <w:r w:rsidRPr="00963830">
        <w:rPr>
          <w:rStyle w:val="FootnoteReference"/>
        </w:rPr>
        <w:footnoteRef/>
      </w:r>
      <w:r w:rsidRPr="00963830">
        <w:t xml:space="preserve"> A. DE NAUW en F. DERUYCK, </w:t>
      </w:r>
      <w:r w:rsidRPr="00963830">
        <w:rPr>
          <w:i/>
        </w:rPr>
        <w:t>Inleiding tot het bijzonder strafrecht</w:t>
      </w:r>
      <w:r w:rsidRPr="00963830">
        <w:t xml:space="preserve">, Mechelen, Kluwer, 2020, 195-197 en 201; A. DIERICKX en J. DECOKER, “Artikel 372 - 375 Sw.”, </w:t>
      </w:r>
      <w:r w:rsidRPr="00963830">
        <w:rPr>
          <w:i/>
        </w:rPr>
        <w:t>supra</w:t>
      </w:r>
      <w:r w:rsidRPr="00963830">
        <w:t xml:space="preserve"> vn. 43, 442; A. DIERICKX, “Hoe ver reikt de bescherming van de strafbepalingen van aanranding van de eerbaarheid en verkrachting?”, </w:t>
      </w:r>
      <w:r w:rsidRPr="00963830">
        <w:rPr>
          <w:i/>
        </w:rPr>
        <w:t>NC</w:t>
      </w:r>
      <w:r w:rsidRPr="00963830">
        <w:t xml:space="preserve"> 2006, (95) 101-102; A. DE NAUW en F. KUTY, </w:t>
      </w:r>
      <w:r w:rsidRPr="00963830">
        <w:rPr>
          <w:i/>
        </w:rPr>
        <w:t>Manuel de droit pénal spécial</w:t>
      </w:r>
      <w:r w:rsidRPr="00963830">
        <w:t xml:space="preserve">, Wolters Kluwer, Liège, 2018, 237-238; A. DIERICKX, “Noopt nieuwe seksuele criminaliteit tot nieuwe seksuele misdrijven?”, </w:t>
      </w:r>
      <w:r w:rsidRPr="00963830">
        <w:rPr>
          <w:i/>
          <w:iCs/>
        </w:rPr>
        <w:t>NC</w:t>
      </w:r>
      <w:r w:rsidRPr="00963830">
        <w:t xml:space="preserve"> 2017, (207) 212-213; B. SPRIET en G. MARLIER, “Aanranding van de eerbaarheid en verkrachting”, </w:t>
      </w:r>
      <w:r w:rsidRPr="00963830">
        <w:rPr>
          <w:i/>
        </w:rPr>
        <w:t>supra</w:t>
      </w:r>
      <w:r w:rsidRPr="00963830">
        <w:t xml:space="preserve"> vn. 39, 110-113; B. SPRIET e.a. (eds.), “Actualia seksueel strafrecht”, </w:t>
      </w:r>
      <w:r w:rsidRPr="00963830">
        <w:rPr>
          <w:i/>
        </w:rPr>
        <w:t>supra</w:t>
      </w:r>
      <w:r w:rsidRPr="00963830">
        <w:t xml:space="preserve"> vn. 48, 12-13; I. DELBROUCK, “Aanranding van de eerbaarheid - het misdrijf”, </w:t>
      </w:r>
      <w:r w:rsidRPr="00963830">
        <w:rPr>
          <w:i/>
        </w:rPr>
        <w:t>Comm.Straf.</w:t>
      </w:r>
      <w:r w:rsidRPr="00963830">
        <w:t xml:space="preserve">, Mechelen, Kluwer, losbl., (11) 35; M. ALIÉ, “La notion de consentement dans le nouveau Code pénal sexuel : fil d’Ariane ou future pierre d’achoppement?” in A. RIZZO (ed.), </w:t>
      </w:r>
      <w:r w:rsidRPr="00963830">
        <w:rPr>
          <w:i/>
        </w:rPr>
        <w:t>Le nouveau droit pénal sexuel</w:t>
      </w:r>
      <w:r w:rsidRPr="00963830">
        <w:t>, Brussel, Larcier, 2022, (79) 81.</w:t>
      </w:r>
    </w:p>
    <w:p w14:paraId="6B3B1E78" w14:textId="0E5E5A4E" w:rsidR="00BA0376" w:rsidRPr="00963830" w:rsidRDefault="00BA0376" w:rsidP="00613E6B">
      <w:pPr>
        <w:pStyle w:val="NoSpacing"/>
      </w:pPr>
      <w:r w:rsidRPr="00963830">
        <w:rPr>
          <w:i/>
        </w:rPr>
        <w:t>Contra</w:t>
      </w:r>
      <w:r w:rsidRPr="00963830">
        <w:t xml:space="preserve">: J. ROZIE en J. DE HERDT, “overgangsrecht seksueel strafrecht”, </w:t>
      </w:r>
      <w:r w:rsidRPr="00963830">
        <w:rPr>
          <w:i/>
        </w:rPr>
        <w:t>supra</w:t>
      </w:r>
      <w:r w:rsidRPr="00963830">
        <w:t xml:space="preserve"> vn. 7, 180-181.</w:t>
      </w:r>
    </w:p>
  </w:footnote>
  <w:footnote w:id="102">
    <w:p w14:paraId="38AE142B" w14:textId="1B60CF15" w:rsidR="00BA0376" w:rsidRPr="00963830" w:rsidRDefault="00BA0376" w:rsidP="00613E6B">
      <w:pPr>
        <w:pStyle w:val="NoSpacing"/>
      </w:pPr>
      <w:r w:rsidRPr="00963830">
        <w:rPr>
          <w:rStyle w:val="FootnoteReference"/>
        </w:rPr>
        <w:footnoteRef/>
      </w:r>
      <w:r w:rsidRPr="00963830">
        <w:t xml:space="preserve"> Gebaseerd op het onderscheid dat ook gemaakt wordt in B. SPRIET en G. MARLIER, “Aanranding van de eerbaarheid en verkrachting”, </w:t>
      </w:r>
      <w:r w:rsidRPr="00963830">
        <w:rPr>
          <w:i/>
        </w:rPr>
        <w:t>supra</w:t>
      </w:r>
      <w:r w:rsidRPr="00963830">
        <w:t xml:space="preserve"> vn. 39, 1-70.</w:t>
      </w:r>
    </w:p>
  </w:footnote>
  <w:footnote w:id="103">
    <w:p w14:paraId="045879FF" w14:textId="43F0EEBE"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Vroeger bestond hieromtrent discussie. Sommige auteurs meenden dat het een zogenaamde “materiële inbreuk” zou betreffen, die strafbaar is van zodra aan de objectieve delictstypiciteit voldaan is. Voor dergelijke “materiële inbreuken was volgens deze auteurs bijgevolg geen specifiek moreel bestanddeel nodig. Deze discussie is evenwel achterhaald sinds het Hof van Cassatie stelde dat materiële inbreuken niet strafbaar zijn (Cass. 12 mei 1987, </w:t>
      </w:r>
      <w:r w:rsidRPr="00963830">
        <w:rPr>
          <w:i/>
          <w:sz w:val="16"/>
          <w:szCs w:val="16"/>
        </w:rPr>
        <w:t>RW</w:t>
      </w:r>
      <w:r w:rsidRPr="00963830">
        <w:rPr>
          <w:sz w:val="16"/>
          <w:szCs w:val="16"/>
        </w:rPr>
        <w:t xml:space="preserve"> 1987-88, 538). Het Hof van Cassatie preciseerde later evenwel dat een onderscheid dient te worden gemaakt tussen de strafbaarheid van de gedraging enerzijds en de bewijslast anderzijds. Zo kan het voorhanden zijn van het moreel bestanddeel worden afgeleid uit de loutere uitvoering van de materiële bestanddelen. Aldus is er in deze een lichtere bewijslast voor het Openbaar Ministerie, in die zin dat het Openbaar Ministerie het daadwerkelijk voorhanden zijn van het moreel bestanddeel enkel zal moeten bewijzen indien door de verdediging zou worden aangevoerd dat dit niet vervuld is. </w:t>
      </w:r>
      <w:r w:rsidRPr="009C29A6">
        <w:rPr>
          <w:sz w:val="16"/>
          <w:szCs w:val="16"/>
          <w:lang w:val="en-GB"/>
        </w:rPr>
        <w:t>(Cass. 8 april 2008, AR P.08.0006.N</w:t>
      </w:r>
      <w:r w:rsidRPr="009C29A6">
        <w:rPr>
          <w:i/>
          <w:sz w:val="16"/>
          <w:szCs w:val="16"/>
          <w:lang w:val="en-GB"/>
        </w:rPr>
        <w:t>., Arr.Cass.</w:t>
      </w:r>
      <w:r w:rsidRPr="009C29A6">
        <w:rPr>
          <w:sz w:val="16"/>
          <w:szCs w:val="16"/>
          <w:lang w:val="en-GB"/>
        </w:rPr>
        <w:t xml:space="preserve"> 2008, 866; Cass. 24 februari 2014, </w:t>
      </w:r>
      <w:r w:rsidRPr="009C29A6">
        <w:rPr>
          <w:i/>
          <w:sz w:val="16"/>
          <w:szCs w:val="16"/>
          <w:lang w:val="en-GB"/>
        </w:rPr>
        <w:t>Arr.Cass.</w:t>
      </w:r>
      <w:r w:rsidRPr="009C29A6">
        <w:rPr>
          <w:sz w:val="16"/>
          <w:szCs w:val="16"/>
          <w:lang w:val="en-GB"/>
        </w:rPr>
        <w:t xml:space="preserve"> 2014, 513). </w:t>
      </w:r>
      <w:r w:rsidRPr="00963830">
        <w:rPr>
          <w:sz w:val="16"/>
          <w:szCs w:val="16"/>
        </w:rPr>
        <w:t xml:space="preserve">Zie: A. DE NAUW en F. KUTY, </w:t>
      </w:r>
      <w:r w:rsidRPr="00963830">
        <w:rPr>
          <w:i/>
          <w:sz w:val="16"/>
          <w:szCs w:val="16"/>
        </w:rPr>
        <w:t>Manuel de droit pénal spécial</w:t>
      </w:r>
      <w:r w:rsidRPr="00963830">
        <w:rPr>
          <w:sz w:val="16"/>
          <w:szCs w:val="16"/>
        </w:rPr>
        <w:t xml:space="preserve">, Wolters Kluwer, Liège, 2018, 233; I. DELBROUCK, “Aanranding van de eerbaarheid - het misdrijf”, </w:t>
      </w:r>
      <w:r w:rsidRPr="00963830">
        <w:rPr>
          <w:i/>
          <w:sz w:val="16"/>
          <w:szCs w:val="16"/>
        </w:rPr>
        <w:t>Comm.Straf.</w:t>
      </w:r>
      <w:r w:rsidRPr="00963830">
        <w:rPr>
          <w:sz w:val="16"/>
          <w:szCs w:val="16"/>
        </w:rPr>
        <w:t xml:space="preserve">, Mechelen, Kluwer, losbl., (11) 47; S. VAN VEEN, </w:t>
      </w:r>
      <w:r w:rsidRPr="00963830">
        <w:rPr>
          <w:i/>
          <w:sz w:val="16"/>
          <w:szCs w:val="16"/>
        </w:rPr>
        <w:t>De strafrechtelijke onachtzaamheid getoetst aan de burgerlijke onzorgvuldigheid. Over de ontwikkeling van de eenheid van fout,</w:t>
      </w:r>
      <w:r w:rsidRPr="00963830">
        <w:rPr>
          <w:sz w:val="16"/>
          <w:szCs w:val="16"/>
        </w:rPr>
        <w:t xml:space="preserve"> onuitg. Masterproef rechten UGent, 2017, https://libstore.ugent.be/fulltxt/RUG01/002/349/415/RUG01-002349415_2017_0001_AC.pdf, 25.</w:t>
      </w:r>
    </w:p>
  </w:footnote>
  <w:footnote w:id="104">
    <w:p w14:paraId="06AB1E3E" w14:textId="72C2FC7C" w:rsidR="00BA0376" w:rsidRPr="00963830" w:rsidRDefault="00BA0376" w:rsidP="00613E6B">
      <w:pPr>
        <w:pStyle w:val="NoSpacing"/>
      </w:pPr>
      <w:r w:rsidRPr="00963830">
        <w:rPr>
          <w:rStyle w:val="FootnoteReference"/>
        </w:rPr>
        <w:footnoteRef/>
      </w:r>
      <w:r w:rsidRPr="00963830">
        <w:t xml:space="preserve"> R. VERSTRAETEN en F. VERBRUGGEN, </w:t>
      </w:r>
      <w:r w:rsidRPr="00963830">
        <w:rPr>
          <w:i/>
          <w:iCs/>
        </w:rPr>
        <w:t>Strafrecht en strafprocesrecht voor bachelors</w:t>
      </w:r>
      <w:r w:rsidRPr="00963830">
        <w:t>, Antwerpen, Intersentia, 2022, 52-53.</w:t>
      </w:r>
    </w:p>
  </w:footnote>
  <w:footnote w:id="105">
    <w:p w14:paraId="3C94E802" w14:textId="74CD47D4" w:rsidR="00BA0376" w:rsidRPr="009C29A6" w:rsidRDefault="00BA0376" w:rsidP="00613E6B">
      <w:pPr>
        <w:pStyle w:val="NoSpacing"/>
        <w:rPr>
          <w:lang w:val="fr-FR"/>
        </w:rPr>
      </w:pPr>
      <w:r w:rsidRPr="00963830">
        <w:rPr>
          <w:rStyle w:val="FootnoteReference"/>
        </w:rPr>
        <w:footnoteRef/>
      </w:r>
      <w:r w:rsidRPr="00963830">
        <w:t xml:space="preserve"> </w:t>
      </w:r>
      <w:r w:rsidRPr="00963830">
        <w:rPr>
          <w:color w:val="000000" w:themeColor="text1"/>
        </w:rPr>
        <w:t xml:space="preserve">KARCHER en BASTYNS leiden hier, m.i. onterecht, uit af dat een bijzonder opzet vereist is voor het misdrijf. Aangezien het ging om een arrest dat handelde over het misdrijf aanranding van de eerbaarheid en beide auteurs deze visie verdedigen in hun bespreking van het nieuwe misdrijf aantasting van de seksuele integriteit, kan ervan worden uitgegaan dat auteurs zowel voor wat betreft het misdrijf aanranding van de eerbaarheid, als voor wat betreft het misdrijf aantasting van de seksuele integriteit, menen dat hiervoor een bijzonder opzet vereist is. </w:t>
      </w:r>
      <w:r w:rsidRPr="009C29A6">
        <w:rPr>
          <w:color w:val="000000" w:themeColor="text1"/>
          <w:lang w:val="fr-FR"/>
        </w:rPr>
        <w:t xml:space="preserve">Zie: </w:t>
      </w:r>
      <w:r w:rsidRPr="009C29A6">
        <w:rPr>
          <w:lang w:val="fr-FR"/>
        </w:rPr>
        <w:t xml:space="preserve">A. KARCHER en O. BASTYNS, “L’atteinte à l’intégrité sexuelle et le viol” in A. RIZZO (ed.), </w:t>
      </w:r>
      <w:r w:rsidRPr="009C29A6">
        <w:rPr>
          <w:i/>
          <w:lang w:val="fr-FR"/>
        </w:rPr>
        <w:t>Le nouveau droit pénal sexuel</w:t>
      </w:r>
      <w:r w:rsidRPr="009C29A6">
        <w:rPr>
          <w:lang w:val="fr-FR"/>
        </w:rPr>
        <w:t>, Brussel, Larcier, 2022, (109) 116.</w:t>
      </w:r>
    </w:p>
  </w:footnote>
  <w:footnote w:id="106">
    <w:p w14:paraId="73ADD073" w14:textId="776CF6D7" w:rsidR="00BA0376" w:rsidRPr="00963830" w:rsidRDefault="00BA0376" w:rsidP="00613E6B">
      <w:pPr>
        <w:pStyle w:val="NoSpacing"/>
      </w:pPr>
      <w:r w:rsidRPr="00963830">
        <w:rPr>
          <w:rStyle w:val="FootnoteReference"/>
        </w:rPr>
        <w:footnoteRef/>
      </w:r>
      <w:r w:rsidRPr="009C29A6">
        <w:rPr>
          <w:lang w:val="en-GB"/>
        </w:rPr>
        <w:t xml:space="preserve"> </w:t>
      </w:r>
      <w:r w:rsidRPr="009C29A6">
        <w:rPr>
          <w:color w:val="000000" w:themeColor="text1"/>
          <w:lang w:val="en-GB"/>
        </w:rPr>
        <w:t xml:space="preserve">Cass. 3 november 2015, AR P.14.0365.N, </w:t>
      </w:r>
      <w:r w:rsidRPr="009C29A6">
        <w:rPr>
          <w:rFonts w:eastAsia="Verdana" w:cs="Verdana"/>
          <w:i/>
          <w:lang w:val="en-GB"/>
        </w:rPr>
        <w:t>RABG</w:t>
      </w:r>
      <w:r w:rsidRPr="009C29A6">
        <w:rPr>
          <w:rFonts w:eastAsia="Verdana" w:cs="Verdana"/>
          <w:lang w:val="en-GB"/>
        </w:rPr>
        <w:t xml:space="preserve"> 2016-17, 530-531</w:t>
      </w:r>
      <w:r w:rsidRPr="009C29A6">
        <w:rPr>
          <w:color w:val="000000" w:themeColor="text1"/>
          <w:lang w:val="en-GB"/>
        </w:rPr>
        <w:t>;</w:t>
      </w:r>
      <w:r w:rsidRPr="009C29A6">
        <w:rPr>
          <w:lang w:val="en-GB"/>
        </w:rPr>
        <w:t xml:space="preserve"> </w:t>
      </w:r>
      <w:r w:rsidRPr="009C29A6">
        <w:rPr>
          <w:color w:val="000000" w:themeColor="text1"/>
          <w:lang w:val="en-GB"/>
        </w:rPr>
        <w:t>Cass. 6 februari 2013, AR P.12.1650.F</w:t>
      </w:r>
      <w:r w:rsidRPr="009C29A6">
        <w:rPr>
          <w:lang w:val="en-GB"/>
        </w:rPr>
        <w:t xml:space="preserve">; Cass. 9 oktober 2012, AR P.11.2120.N; </w:t>
      </w:r>
      <w:r w:rsidRPr="009C29A6">
        <w:rPr>
          <w:color w:val="000000"/>
          <w:lang w:val="en-GB"/>
        </w:rPr>
        <w:t xml:space="preserve">Concl. </w:t>
      </w:r>
      <w:r w:rsidRPr="00963830">
        <w:rPr>
          <w:color w:val="000000"/>
        </w:rPr>
        <w:t>VANDERMEERSCH bij Cass. 6 februari 2013, ECLI:BE:CASS:2013:CONC.20130206.2;</w:t>
      </w:r>
      <w:r w:rsidRPr="00963830">
        <w:t xml:space="preserve"> A. DE NAUW en F. DERUYCK, </w:t>
      </w:r>
      <w:r w:rsidRPr="00963830">
        <w:rPr>
          <w:i/>
        </w:rPr>
        <w:t>Inleiding tot het bijzonder strafrecht</w:t>
      </w:r>
      <w:r w:rsidRPr="00963830">
        <w:t xml:space="preserve">, Mechelen, Kluwer, 2020, 191; A. DE NAUW en F. KUTY, </w:t>
      </w:r>
      <w:r w:rsidRPr="00963830">
        <w:rPr>
          <w:i/>
        </w:rPr>
        <w:t>Manuel de droit pénal spécial</w:t>
      </w:r>
      <w:r w:rsidRPr="00963830">
        <w:t xml:space="preserve">, Wolters Kluwer, Liège, 2018, 233; A. DIERICKX en J. DECOKER, “Artikel 372 - 375 Sw.”, </w:t>
      </w:r>
      <w:r w:rsidRPr="00963830">
        <w:rPr>
          <w:i/>
        </w:rPr>
        <w:t>supra</w:t>
      </w:r>
      <w:r w:rsidRPr="00963830">
        <w:t xml:space="preserve"> vn. 43, 442-444; B. SPRIET en G. MARLIER, “Aanranding van de eerbaarheid en verkrachting”, </w:t>
      </w:r>
      <w:r w:rsidRPr="00963830">
        <w:rPr>
          <w:i/>
        </w:rPr>
        <w:t>supra</w:t>
      </w:r>
      <w:r w:rsidRPr="00963830">
        <w:t xml:space="preserve"> vn. 39, 83 en 97-99; F. DERUYCK, B. SPRIET, P. TRAEST en R. VERSTRAETEN (eds.), </w:t>
      </w:r>
      <w:r w:rsidRPr="00963830">
        <w:rPr>
          <w:i/>
          <w:iCs/>
        </w:rPr>
        <w:t xml:space="preserve">Strafrecht. Deel 1 - Algemeen strafrecht, </w:t>
      </w:r>
      <w:r w:rsidRPr="00963830">
        <w:t xml:space="preserve">Brugge, die Keure, 2021, 582; I. DELBROUCK, </w:t>
      </w:r>
      <w:r w:rsidRPr="00963830">
        <w:rPr>
          <w:i/>
        </w:rPr>
        <w:t>Aanranding, supra</w:t>
      </w:r>
      <w:r w:rsidRPr="00963830">
        <w:t xml:space="preserve"> vn. 43, </w:t>
      </w:r>
      <w:r w:rsidRPr="00963830">
        <w:rPr>
          <w:color w:val="000000" w:themeColor="text1"/>
        </w:rPr>
        <w:t>30-33</w:t>
      </w:r>
      <w:r w:rsidRPr="00963830">
        <w:t>.</w:t>
      </w:r>
    </w:p>
  </w:footnote>
  <w:footnote w:id="107">
    <w:p w14:paraId="764EAE03" w14:textId="42EB3B89" w:rsidR="00BA0376" w:rsidRPr="00963830" w:rsidRDefault="00BA0376" w:rsidP="005B2F1B">
      <w:pPr>
        <w:pStyle w:val="NoSpacing"/>
      </w:pPr>
      <w:r w:rsidRPr="00963830">
        <w:rPr>
          <w:rStyle w:val="FootnoteReference"/>
        </w:rPr>
        <w:footnoteRef/>
      </w:r>
      <w:r w:rsidRPr="00963830">
        <w:t xml:space="preserve"> Wanneer in hoofde van de dader vereist is dat deze de bedoeling had de eerbaarheid aan te randen, komt dit m.i. overeen met stellen dat de dader diende te handelen vanuit een seksuele drijfveer.</w:t>
      </w:r>
    </w:p>
  </w:footnote>
  <w:footnote w:id="108">
    <w:p w14:paraId="3345BFE8" w14:textId="4CBCB346" w:rsidR="00BA0376" w:rsidRPr="00963830" w:rsidRDefault="00BA0376" w:rsidP="00613E6B">
      <w:pPr>
        <w:pStyle w:val="NoSpacing"/>
      </w:pPr>
      <w:r w:rsidRPr="00963830">
        <w:rPr>
          <w:rStyle w:val="FootnoteReference"/>
        </w:rPr>
        <w:footnoteRef/>
      </w:r>
      <w:r w:rsidRPr="00963830">
        <w:t xml:space="preserve"> L. STEVENS, </w:t>
      </w:r>
      <w:r w:rsidRPr="00963830">
        <w:rPr>
          <w:i/>
        </w:rPr>
        <w:t>Strafrecht en seksualiteit</w:t>
      </w:r>
      <w:r w:rsidRPr="00963830">
        <w:t>, Antwerpen, Intersentia, 2002, 479.</w:t>
      </w:r>
    </w:p>
  </w:footnote>
  <w:footnote w:id="109">
    <w:p w14:paraId="4B2EBA3C" w14:textId="53A4F463" w:rsidR="00BA0376" w:rsidRPr="00963830" w:rsidRDefault="00BA0376" w:rsidP="00613E6B">
      <w:pPr>
        <w:pStyle w:val="NoSpacing"/>
      </w:pPr>
      <w:r w:rsidRPr="00963830">
        <w:rPr>
          <w:rStyle w:val="FootnoteReference"/>
        </w:rPr>
        <w:footnoteRef/>
      </w:r>
      <w:r w:rsidRPr="00963830">
        <w:t xml:space="preserve"> Het algemeen opzet betekent immers dat de dader de handelingen wetens en willens stelt (zie: R. VERSTRAETEN en F. VERBRUGGEN, </w:t>
      </w:r>
      <w:r w:rsidRPr="00963830">
        <w:rPr>
          <w:i/>
        </w:rPr>
        <w:t>Inleiding tot het Belgische strafrecht en strafprocesrecht</w:t>
      </w:r>
      <w:r w:rsidRPr="00963830">
        <w:t xml:space="preserve">, Antwerpen, Intersentia, 2023, 64). Voor aanranding van de eerbaarheid betekent dit bijgevolg: weten dat de gedraging strijdig is met de zeden en desondanks deze gedraging willen stellen. </w:t>
      </w:r>
    </w:p>
  </w:footnote>
  <w:footnote w:id="110">
    <w:p w14:paraId="2B18E2A4" w14:textId="158EB327" w:rsidR="00BA0376" w:rsidRPr="009C29A6" w:rsidRDefault="00BA0376" w:rsidP="00613E6B">
      <w:pPr>
        <w:pStyle w:val="NoSpacing"/>
        <w:rPr>
          <w:lang w:val="fr-FR"/>
        </w:rPr>
      </w:pPr>
      <w:r w:rsidRPr="00963830">
        <w:rPr>
          <w:rStyle w:val="FootnoteReference"/>
        </w:rPr>
        <w:footnoteRef/>
      </w:r>
      <w:r w:rsidRPr="009C29A6">
        <w:rPr>
          <w:lang w:val="fr-FR"/>
        </w:rPr>
        <w:t xml:space="preserve"> I. WATTIER, “L’attentat à la pudeur et le viol”, supra nr. 57, 103.</w:t>
      </w:r>
    </w:p>
  </w:footnote>
  <w:footnote w:id="111">
    <w:p w14:paraId="4060EE70" w14:textId="47E48B6E" w:rsidR="00BA0376" w:rsidRPr="00963830" w:rsidRDefault="00BA0376" w:rsidP="00613E6B">
      <w:pPr>
        <w:pStyle w:val="NoSpacing"/>
      </w:pPr>
      <w:r w:rsidRPr="00963830">
        <w:rPr>
          <w:rStyle w:val="FootnoteReference"/>
        </w:rPr>
        <w:footnoteRef/>
      </w:r>
      <w:r w:rsidRPr="009C29A6">
        <w:rPr>
          <w:lang w:val="fr-FR"/>
        </w:rPr>
        <w:t xml:space="preserve"> J. DERMAGNE, “Des bavures policières et de leurs suites” (noot onder Corr. </w:t>
      </w:r>
      <w:r w:rsidRPr="00963830">
        <w:t xml:space="preserve">Neufchâteau 26 november 1992), </w:t>
      </w:r>
      <w:r w:rsidRPr="00963830">
        <w:rPr>
          <w:i/>
        </w:rPr>
        <w:t>Journ.proc</w:t>
      </w:r>
      <w:r w:rsidRPr="00963830">
        <w:t xml:space="preserve">. 1993, (31), 31; L. STEVENS, </w:t>
      </w:r>
      <w:r w:rsidRPr="00963830">
        <w:rPr>
          <w:i/>
        </w:rPr>
        <w:t>Strafrecht en seksualiteit</w:t>
      </w:r>
      <w:r w:rsidRPr="00963830">
        <w:t>, Antwerpen, Intersentia, 2002, 480.</w:t>
      </w:r>
    </w:p>
  </w:footnote>
  <w:footnote w:id="112">
    <w:p w14:paraId="5647DFA5" w14:textId="2C135102" w:rsidR="00BA0376" w:rsidRPr="00963830" w:rsidRDefault="00BA0376" w:rsidP="00613E6B">
      <w:pPr>
        <w:pStyle w:val="NoSpacing"/>
      </w:pPr>
      <w:r w:rsidRPr="00963830">
        <w:rPr>
          <w:rStyle w:val="FootnoteReference"/>
        </w:rPr>
        <w:footnoteRef/>
      </w:r>
      <w:r w:rsidRPr="00963830">
        <w:t xml:space="preserve"> Corr. Neufchâteau 26 november 1992, </w:t>
      </w:r>
      <w:r w:rsidRPr="00963830">
        <w:rPr>
          <w:i/>
        </w:rPr>
        <w:t>Journ.proc.</w:t>
      </w:r>
      <w:r w:rsidRPr="00963830">
        <w:t xml:space="preserve"> 1993, (28) 28; A. DE NAUW en F. DERUYCK, </w:t>
      </w:r>
      <w:r w:rsidRPr="00963830">
        <w:rPr>
          <w:i/>
        </w:rPr>
        <w:t>Inleiding tot het bijzonder strafrecht</w:t>
      </w:r>
      <w:r w:rsidRPr="00963830">
        <w:t xml:space="preserve">, Mechelen, Kluwer, 2020, 191; I. DELBROUCK, </w:t>
      </w:r>
      <w:r w:rsidRPr="00963830">
        <w:rPr>
          <w:i/>
        </w:rPr>
        <w:t>Aanranding, supra</w:t>
      </w:r>
      <w:r w:rsidRPr="00963830">
        <w:t xml:space="preserve"> vn. 43, </w:t>
      </w:r>
      <w:r w:rsidRPr="00963830">
        <w:rPr>
          <w:color w:val="000000" w:themeColor="text1"/>
        </w:rPr>
        <w:t xml:space="preserve">32; </w:t>
      </w:r>
      <w:r w:rsidRPr="00963830">
        <w:t xml:space="preserve">I. DELBROUCK, “Aanranding van de eerbaarheid - het misdrijf”, </w:t>
      </w:r>
      <w:r w:rsidRPr="00963830">
        <w:rPr>
          <w:i/>
        </w:rPr>
        <w:t>Comm.Straf.</w:t>
      </w:r>
      <w:r w:rsidRPr="00963830">
        <w:t xml:space="preserve">, Mechelen, Kluwer, losbl., (11) 47; O. BASTYNS, “Attentat à la pudeur” in X, </w:t>
      </w:r>
      <w:r w:rsidRPr="00963830">
        <w:rPr>
          <w:i/>
        </w:rPr>
        <w:t>Droit pénal et procédure pénale</w:t>
      </w:r>
      <w:r w:rsidRPr="00963830">
        <w:t xml:space="preserve">, Mechelen, Wolters Kluwer, losbl., (9) </w:t>
      </w:r>
    </w:p>
  </w:footnote>
  <w:footnote w:id="113">
    <w:p w14:paraId="3DCFB056" w14:textId="72F9B12F" w:rsidR="00BA0376" w:rsidRPr="00963830" w:rsidRDefault="00BA0376" w:rsidP="00613E6B">
      <w:pPr>
        <w:pStyle w:val="NoSpacing"/>
      </w:pPr>
      <w:r w:rsidRPr="00963830">
        <w:rPr>
          <w:rStyle w:val="FootnoteReference"/>
        </w:rPr>
        <w:footnoteRef/>
      </w:r>
      <w:r w:rsidRPr="00963830">
        <w:t xml:space="preserve"> Indien tijdens een vechtpartij bepaalde zones van het lichaam worden aangeraakt, zelfs bewust, zou dit volgens deze visie het misdrijf slagen en verwondingen opleveren en geen aanranding van de eerbaarheid. Dit omdat het vereiste moreel bestanddeel zou ontbreken. </w:t>
      </w:r>
    </w:p>
    <w:p w14:paraId="5C5D7F51" w14:textId="1ECC244E" w:rsidR="00BA0376" w:rsidRPr="00963830" w:rsidRDefault="00BA0376" w:rsidP="00613E6B">
      <w:pPr>
        <w:pStyle w:val="NoSpacing"/>
      </w:pPr>
      <w:r w:rsidRPr="00963830">
        <w:t xml:space="preserve">Zie: Corr. Neufchâteau 26 november 1992, </w:t>
      </w:r>
      <w:r w:rsidRPr="00963830">
        <w:rPr>
          <w:i/>
        </w:rPr>
        <w:t>Journ.proc.</w:t>
      </w:r>
      <w:r w:rsidRPr="00963830">
        <w:t xml:space="preserve"> 1993, (28) 28; A. DE NAUW en F. DERUYCK, </w:t>
      </w:r>
      <w:r w:rsidRPr="00963830">
        <w:rPr>
          <w:i/>
        </w:rPr>
        <w:t>Inleiding tot het bijzonder strafrecht</w:t>
      </w:r>
      <w:r w:rsidRPr="00963830">
        <w:t xml:space="preserve">, Mechelen, Kluwer, 2020, 191; B. SPRIET en G. MARLIER, “Aanranding van de eerbaarheid en verkrachting”, </w:t>
      </w:r>
      <w:r w:rsidRPr="00963830">
        <w:rPr>
          <w:i/>
        </w:rPr>
        <w:t>supra</w:t>
      </w:r>
      <w:r w:rsidRPr="00963830">
        <w:t xml:space="preserve"> vn. 39, 99; I. DELBROUCK, </w:t>
      </w:r>
      <w:r w:rsidRPr="00963830">
        <w:rPr>
          <w:i/>
        </w:rPr>
        <w:t>Aanranding, supra</w:t>
      </w:r>
      <w:r w:rsidRPr="00963830">
        <w:t xml:space="preserve"> vn. 43, </w:t>
      </w:r>
      <w:r w:rsidRPr="00963830">
        <w:rPr>
          <w:color w:val="000000" w:themeColor="text1"/>
        </w:rPr>
        <w:t>32 en 47</w:t>
      </w:r>
      <w:r w:rsidRPr="00963830">
        <w:t>.</w:t>
      </w:r>
    </w:p>
    <w:p w14:paraId="557A0F61" w14:textId="0AAF6D2D" w:rsidR="00BA0376" w:rsidRPr="00963830" w:rsidRDefault="00BA0376" w:rsidP="00613E6B">
      <w:pPr>
        <w:pStyle w:val="NoSpacing"/>
      </w:pPr>
      <w:r w:rsidRPr="009C29A6">
        <w:rPr>
          <w:lang w:val="fr-FR"/>
        </w:rPr>
        <w:t xml:space="preserve">Contra: J. DERMAGNE, “Des bavures policières et de leurs suites” (noot onder Corr. </w:t>
      </w:r>
      <w:r w:rsidRPr="00963830">
        <w:t xml:space="preserve">Neufchâteau 26 november 1992), </w:t>
      </w:r>
      <w:r w:rsidRPr="00963830">
        <w:rPr>
          <w:i/>
        </w:rPr>
        <w:t>Journ.proc</w:t>
      </w:r>
      <w:r w:rsidRPr="00963830">
        <w:t xml:space="preserve">. 1993, (31), 31; L. STEVENS, </w:t>
      </w:r>
      <w:r w:rsidRPr="00963830">
        <w:rPr>
          <w:i/>
        </w:rPr>
        <w:t>Strafrecht en seksualiteit</w:t>
      </w:r>
      <w:r w:rsidRPr="00963830">
        <w:t>, Antwerpen, Intersentia, 2002, 479.</w:t>
      </w:r>
    </w:p>
  </w:footnote>
  <w:footnote w:id="114">
    <w:p w14:paraId="422CC787" w14:textId="757FFE26" w:rsidR="00BA0376" w:rsidRPr="00963830" w:rsidRDefault="00BA0376" w:rsidP="0035203B">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23 e.v.</w:t>
      </w:r>
    </w:p>
  </w:footnote>
  <w:footnote w:id="115">
    <w:p w14:paraId="190346F6" w14:textId="3FCD27D1" w:rsidR="00BA0376" w:rsidRPr="00963830" w:rsidRDefault="00BA0376" w:rsidP="00613E6B">
      <w:pPr>
        <w:pStyle w:val="NoSpacing"/>
      </w:pPr>
      <w:r w:rsidRPr="00963830">
        <w:rPr>
          <w:rStyle w:val="FootnoteReference"/>
        </w:rPr>
        <w:footnoteRef/>
      </w:r>
      <w:r w:rsidRPr="00963830">
        <w:t xml:space="preserve"> B. SPRIET e.a. (eds.), “Actualia seksueel strafrecht”, </w:t>
      </w:r>
      <w:r w:rsidRPr="00963830">
        <w:rPr>
          <w:i/>
        </w:rPr>
        <w:t>supra</w:t>
      </w:r>
      <w:r w:rsidRPr="00963830">
        <w:t xml:space="preserve"> vn. 48, 16; R. VERSTRAETEN en F. VERBRUGGEN, </w:t>
      </w:r>
      <w:r w:rsidRPr="00963830">
        <w:rPr>
          <w:i/>
        </w:rPr>
        <w:t>Strafrecht en strafprocesrecht voor bachelors</w:t>
      </w:r>
      <w:r w:rsidRPr="00963830">
        <w:t>, Antwerpen, Intersentia, 2022, 51-52.</w:t>
      </w:r>
    </w:p>
  </w:footnote>
  <w:footnote w:id="116">
    <w:p w14:paraId="7ADAD069" w14:textId="2F03740D" w:rsidR="00BA0376" w:rsidRPr="00963830" w:rsidRDefault="00BA0376" w:rsidP="00613E6B">
      <w:pPr>
        <w:pStyle w:val="NoSpacing"/>
      </w:pPr>
      <w:r w:rsidRPr="00963830">
        <w:rPr>
          <w:rStyle w:val="FootnoteReference"/>
        </w:rPr>
        <w:footnoteRef/>
      </w:r>
      <w:r w:rsidRPr="00963830">
        <w:t xml:space="preserve"> B. SPRIET en G. MARLIER, “Aanranding van de eerbaarheid en verkrachting”, </w:t>
      </w:r>
      <w:r w:rsidRPr="00963830">
        <w:rPr>
          <w:i/>
        </w:rPr>
        <w:t>supra</w:t>
      </w:r>
      <w:r w:rsidRPr="00963830">
        <w:t xml:space="preserve"> vn. 39, 97-99; B. SPRIET e.a. (eds.), “Actualia seksueel strafrecht”, </w:t>
      </w:r>
      <w:r w:rsidRPr="00963830">
        <w:rPr>
          <w:i/>
        </w:rPr>
        <w:t>supra</w:t>
      </w:r>
      <w:r w:rsidRPr="00963830">
        <w:t xml:space="preserve"> vn. 48, 16.</w:t>
      </w:r>
    </w:p>
  </w:footnote>
  <w:footnote w:id="117">
    <w:p w14:paraId="78821DD4" w14:textId="77777777" w:rsidR="00BA0376" w:rsidRPr="00963830" w:rsidRDefault="00BA0376" w:rsidP="00613E6B">
      <w:pPr>
        <w:pStyle w:val="NoSpacing"/>
      </w:pPr>
      <w:r w:rsidRPr="00963830">
        <w:rPr>
          <w:rStyle w:val="FootnoteReference"/>
        </w:rPr>
        <w:footnoteRef/>
      </w:r>
      <w:r w:rsidRPr="00963830">
        <w:t xml:space="preserve"> A. DE NAUW en F. KUTY, </w:t>
      </w:r>
      <w:r w:rsidRPr="00963830">
        <w:rPr>
          <w:i/>
        </w:rPr>
        <w:t>Manuel de droit pénal spécial</w:t>
      </w:r>
      <w:r w:rsidRPr="00963830">
        <w:t xml:space="preserve">, Wolters Kluwer, Liège, 2018, 245; </w:t>
      </w:r>
      <w:r w:rsidRPr="00963830">
        <w:rPr>
          <w:color w:val="000000" w:themeColor="text1"/>
        </w:rPr>
        <w:t xml:space="preserve">I. DELBROUCK, “Verkrachting” in X, </w:t>
      </w:r>
      <w:r w:rsidRPr="00963830">
        <w:rPr>
          <w:i/>
          <w:color w:val="000000" w:themeColor="text1"/>
        </w:rPr>
        <w:t>Postal Memorialis. Lexicon strafrecht, strafvordering en bijzondere wetten</w:t>
      </w:r>
      <w:r w:rsidRPr="00963830">
        <w:rPr>
          <w:color w:val="000000" w:themeColor="text1"/>
        </w:rPr>
        <w:t xml:space="preserve">, Mechelen, Wolters Kluwer, losbl., (V.130/1) V.130/20; L. STEVENS, </w:t>
      </w:r>
      <w:r w:rsidRPr="00963830">
        <w:rPr>
          <w:i/>
          <w:color w:val="000000" w:themeColor="text1"/>
        </w:rPr>
        <w:t>Strafrecht en seksualiteit</w:t>
      </w:r>
      <w:r w:rsidRPr="00963830">
        <w:rPr>
          <w:color w:val="000000" w:themeColor="text1"/>
        </w:rPr>
        <w:t>, Antwerpen, Intersentia, 2002, 466-467.</w:t>
      </w:r>
    </w:p>
  </w:footnote>
  <w:footnote w:id="118">
    <w:p w14:paraId="7FA72906" w14:textId="06942121" w:rsidR="00BA0376" w:rsidRPr="00963830" w:rsidRDefault="00BA0376" w:rsidP="00613E6B">
      <w:pPr>
        <w:pStyle w:val="NoSpacing"/>
        <w:rPr>
          <w:i/>
        </w:rPr>
      </w:pPr>
      <w:r w:rsidRPr="00963830">
        <w:rPr>
          <w:rStyle w:val="FootnoteReference"/>
        </w:rPr>
        <w:footnoteRef/>
      </w:r>
      <w:r w:rsidRPr="00963830">
        <w:rPr>
          <w:color w:val="000000" w:themeColor="text1"/>
        </w:rPr>
        <w:t xml:space="preserve"> </w:t>
      </w:r>
      <w:r w:rsidRPr="00963830">
        <w:rPr>
          <w:i/>
          <w:color w:val="000000" w:themeColor="text1"/>
        </w:rPr>
        <w:t>Ibid.</w:t>
      </w:r>
    </w:p>
  </w:footnote>
  <w:footnote w:id="119">
    <w:p w14:paraId="7AC27CD6" w14:textId="77777777" w:rsidR="00BA0376" w:rsidRPr="00963830" w:rsidRDefault="00BA0376" w:rsidP="00613E6B">
      <w:pPr>
        <w:pStyle w:val="NoSpacing"/>
      </w:pPr>
      <w:r w:rsidRPr="00963830">
        <w:rPr>
          <w:rStyle w:val="FootnoteReference"/>
        </w:rPr>
        <w:footnoteRef/>
      </w:r>
      <w:r w:rsidRPr="00963830">
        <w:t xml:space="preserve"> R. VERSTRAETEN en F. VERBRUGGEN, </w:t>
      </w:r>
      <w:r w:rsidRPr="00963830">
        <w:rPr>
          <w:i/>
        </w:rPr>
        <w:t>Strafrecht en strafprocesrecht voor bachelors</w:t>
      </w:r>
      <w:r w:rsidRPr="00963830">
        <w:t>, Antwerpen, Intersentia, 2022, 52.</w:t>
      </w:r>
    </w:p>
  </w:footnote>
  <w:footnote w:id="120">
    <w:p w14:paraId="123C0525" w14:textId="77777777" w:rsidR="00BA0376" w:rsidRPr="00963830" w:rsidRDefault="00BA0376" w:rsidP="00613E6B">
      <w:pPr>
        <w:pStyle w:val="NoSpacing"/>
      </w:pPr>
      <w:r w:rsidRPr="00963830">
        <w:rPr>
          <w:rStyle w:val="FootnoteReference"/>
        </w:rPr>
        <w:footnoteRef/>
      </w:r>
      <w:r w:rsidRPr="00963830">
        <w:t xml:space="preserve"> A. DE NAUW en F. KUTY, </w:t>
      </w:r>
      <w:r w:rsidRPr="00963830">
        <w:rPr>
          <w:i/>
        </w:rPr>
        <w:t>Manuel de droit pénal spécial</w:t>
      </w:r>
      <w:r w:rsidRPr="00963830">
        <w:t xml:space="preserve">, Wolters Kluwer, Liège, 2018, 245; </w:t>
      </w:r>
      <w:r w:rsidRPr="00963830">
        <w:rPr>
          <w:color w:val="000000" w:themeColor="text1"/>
        </w:rPr>
        <w:t xml:space="preserve">I. DELBROUCK, “Verkrachting” in X, </w:t>
      </w:r>
      <w:r w:rsidRPr="00963830">
        <w:rPr>
          <w:i/>
          <w:color w:val="000000" w:themeColor="text1"/>
        </w:rPr>
        <w:t>Postal Memorialis. Lexicon strafrecht, strafvordering en bijzondere wetten</w:t>
      </w:r>
      <w:r w:rsidRPr="00963830">
        <w:rPr>
          <w:color w:val="000000" w:themeColor="text1"/>
        </w:rPr>
        <w:t xml:space="preserve">, Mechelen, Wolters Kluwer, losbl., (V.130/1) V.130/20; L. STEVENS, </w:t>
      </w:r>
      <w:r w:rsidRPr="00963830">
        <w:rPr>
          <w:i/>
          <w:color w:val="000000" w:themeColor="text1"/>
        </w:rPr>
        <w:t>Strafrecht en seksualiteit</w:t>
      </w:r>
      <w:r w:rsidRPr="00963830">
        <w:rPr>
          <w:color w:val="000000" w:themeColor="text1"/>
        </w:rPr>
        <w:t>, Antwerpen, Intersentia, 2002, 466-467.</w:t>
      </w:r>
    </w:p>
  </w:footnote>
  <w:footnote w:id="121">
    <w:p w14:paraId="2DB31EBF" w14:textId="725CF6B8" w:rsidR="00BA0376" w:rsidRPr="00963830" w:rsidRDefault="00BA0376" w:rsidP="00054C92">
      <w:pPr>
        <w:pStyle w:val="NoSpacing"/>
      </w:pPr>
      <w:r w:rsidRPr="00963830">
        <w:rPr>
          <w:rStyle w:val="FootnoteReference"/>
        </w:rPr>
        <w:footnoteRef/>
      </w:r>
      <w:r w:rsidRPr="00963830">
        <w:t xml:space="preserve"> Een voorbeeld van een aangenomen onoverkomelijke dwaling is dat van de minderjarige die aan de “dader” een vervalste identiteitskaart had voorgelegd. </w:t>
      </w:r>
      <w:r w:rsidRPr="00963830">
        <w:rPr>
          <w:color w:val="000000" w:themeColor="text1"/>
        </w:rPr>
        <w:t xml:space="preserve">Zie: Antwerpen 25 augustus 1976, </w:t>
      </w:r>
      <w:r w:rsidRPr="00963830">
        <w:rPr>
          <w:i/>
          <w:color w:val="000000" w:themeColor="text1"/>
        </w:rPr>
        <w:t>RW</w:t>
      </w:r>
      <w:r w:rsidRPr="00963830">
        <w:rPr>
          <w:color w:val="000000" w:themeColor="text1"/>
        </w:rPr>
        <w:t xml:space="preserve"> 1977-78, 1114-1115; A. DE NAUW en F. KUTY, </w:t>
      </w:r>
      <w:r w:rsidRPr="00963830">
        <w:rPr>
          <w:i/>
          <w:color w:val="000000" w:themeColor="text1"/>
        </w:rPr>
        <w:t>Manuel de droit pénal spécial</w:t>
      </w:r>
      <w:r w:rsidRPr="00963830">
        <w:rPr>
          <w:color w:val="000000" w:themeColor="text1"/>
        </w:rPr>
        <w:t xml:space="preserve">, Wolters Kluwer, Liège, 2018, 235; </w:t>
      </w:r>
      <w:r w:rsidRPr="00963830">
        <w:t xml:space="preserve">A. DIERICKX en J. DECOKER, “Artikel 372 - 375 Sw.”, </w:t>
      </w:r>
      <w:r w:rsidRPr="00963830">
        <w:rPr>
          <w:i/>
        </w:rPr>
        <w:t>supra</w:t>
      </w:r>
      <w:r w:rsidRPr="00963830">
        <w:t xml:space="preserve"> vn. 43, 441; A. VANDEPLAS, “De wetenschap t.a.v. de leeftijd van het slachtoffer bij aanranding van de eerbaarheid” (noot onder Antwerpen 25 augustus 1976), </w:t>
      </w:r>
      <w:r w:rsidRPr="00963830">
        <w:rPr>
          <w:i/>
        </w:rPr>
        <w:t>RW</w:t>
      </w:r>
      <w:r w:rsidRPr="00963830">
        <w:t xml:space="preserve"> 1978-79, 1114-1116; I. DELBROUCK, </w:t>
      </w:r>
      <w:r w:rsidRPr="00963830">
        <w:rPr>
          <w:i/>
        </w:rPr>
        <w:t>Aanranding, supra</w:t>
      </w:r>
      <w:r w:rsidRPr="00963830">
        <w:t xml:space="preserve"> vn. 43, </w:t>
      </w:r>
      <w:r w:rsidRPr="00963830">
        <w:rPr>
          <w:color w:val="000000" w:themeColor="text1"/>
        </w:rPr>
        <w:t>37.</w:t>
      </w:r>
    </w:p>
  </w:footnote>
  <w:footnote w:id="122">
    <w:p w14:paraId="0D80ED44" w14:textId="77777777" w:rsidR="00BA0376" w:rsidRPr="00963830" w:rsidRDefault="00BA0376" w:rsidP="00174C12">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4.</w:t>
      </w:r>
    </w:p>
  </w:footnote>
  <w:footnote w:id="123">
    <w:p w14:paraId="5C9D5015" w14:textId="4B61B907" w:rsidR="00BA0376" w:rsidRPr="00963830" w:rsidRDefault="00BA0376" w:rsidP="009038E6">
      <w:pPr>
        <w:pStyle w:val="NoSpacing"/>
      </w:pPr>
      <w:r w:rsidRPr="00963830">
        <w:rPr>
          <w:rStyle w:val="FootnoteReference"/>
        </w:rPr>
        <w:footnoteRef/>
      </w:r>
      <w:r w:rsidRPr="00963830">
        <w:rPr>
          <w:i/>
          <w:color w:val="000000" w:themeColor="text1"/>
        </w:rPr>
        <w:t xml:space="preserve"> Supra</w:t>
      </w:r>
      <w:r w:rsidRPr="00963830">
        <w:rPr>
          <w:color w:val="000000" w:themeColor="text1"/>
        </w:rPr>
        <w:t xml:space="preserve"> nr. 11.</w:t>
      </w:r>
    </w:p>
  </w:footnote>
  <w:footnote w:id="124">
    <w:p w14:paraId="503EC838" w14:textId="37821666" w:rsidR="00BA0376" w:rsidRPr="00963830" w:rsidRDefault="00BA0376" w:rsidP="009038E6">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29.</w:t>
      </w:r>
    </w:p>
  </w:footnote>
  <w:footnote w:id="125">
    <w:p w14:paraId="75436DDC" w14:textId="6695AE5E" w:rsidR="00BA0376" w:rsidRPr="00963830" w:rsidRDefault="00BA0376" w:rsidP="00925874">
      <w:pPr>
        <w:pStyle w:val="NoSpacing"/>
      </w:pPr>
      <w:r w:rsidRPr="00963830">
        <w:rPr>
          <w:rStyle w:val="FootnoteReference"/>
        </w:rPr>
        <w:footnoteRef/>
      </w:r>
      <w:r w:rsidRPr="00963830">
        <w:t xml:space="preserve"> </w:t>
      </w:r>
      <w:r w:rsidRPr="00963830">
        <w:rPr>
          <w:i/>
        </w:rPr>
        <w:t>Supra</w:t>
      </w:r>
      <w:r w:rsidRPr="00963830">
        <w:t xml:space="preserve"> nr. 13-14.</w:t>
      </w:r>
    </w:p>
  </w:footnote>
  <w:footnote w:id="126">
    <w:p w14:paraId="0A43A3D2" w14:textId="0200C8E3" w:rsidR="00BA0376" w:rsidRPr="00963830" w:rsidRDefault="00BA0376" w:rsidP="00925874">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15.</w:t>
      </w:r>
    </w:p>
  </w:footnote>
  <w:footnote w:id="127">
    <w:p w14:paraId="10F9C586" w14:textId="68D102CB" w:rsidR="00BA0376" w:rsidRPr="00963830" w:rsidRDefault="00BA0376" w:rsidP="00925874">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nrs. 17-18.</w:t>
      </w:r>
    </w:p>
  </w:footnote>
  <w:footnote w:id="128">
    <w:p w14:paraId="50A24A6B" w14:textId="6E931E1A" w:rsidR="00BA0376" w:rsidRPr="00963830" w:rsidRDefault="00BA0376" w:rsidP="009038E6">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21.</w:t>
      </w:r>
    </w:p>
  </w:footnote>
  <w:footnote w:id="129">
    <w:p w14:paraId="4078636D" w14:textId="49B2258D" w:rsidR="00BA0376" w:rsidRPr="00963830" w:rsidRDefault="00BA0376" w:rsidP="009038E6">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30 e.v.</w:t>
      </w:r>
    </w:p>
  </w:footnote>
  <w:footnote w:id="130">
    <w:p w14:paraId="297BE53C" w14:textId="044F48FD" w:rsidR="00BA0376" w:rsidRPr="00963830" w:rsidRDefault="00BA0376" w:rsidP="009038E6">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4.</w:t>
      </w:r>
    </w:p>
  </w:footnote>
  <w:footnote w:id="131">
    <w:p w14:paraId="4AA860EC" w14:textId="07506F95" w:rsidR="00BA0376" w:rsidRPr="00963830" w:rsidRDefault="00BA0376" w:rsidP="00C86F4B">
      <w:pPr>
        <w:pStyle w:val="NoSpacing"/>
      </w:pPr>
      <w:r w:rsidRPr="00963830">
        <w:rPr>
          <w:rStyle w:val="FootnoteReference"/>
        </w:rPr>
        <w:footnoteRef/>
      </w:r>
      <w:r w:rsidRPr="00963830">
        <w:t xml:space="preserve"> </w:t>
      </w:r>
      <w:r w:rsidRPr="00963830">
        <w:rPr>
          <w:color w:val="000000" w:themeColor="text1"/>
        </w:rPr>
        <w:t xml:space="preserve">De wetgever had deze naamswijziging reeds eind jaren 90 voorgesteld, maar dit werd destijds niet doorgevoerd. Zie: </w:t>
      </w:r>
      <w:r w:rsidRPr="00963830">
        <w:t xml:space="preserve">Wetsvoorstel tot wijziging van artikel 369bis van het Strafwetboek betreffende de ontvoering van kinderen, </w:t>
      </w:r>
      <w:r w:rsidRPr="00963830">
        <w:rPr>
          <w:i/>
        </w:rPr>
        <w:t>Parl.St.</w:t>
      </w:r>
      <w:r w:rsidRPr="00963830">
        <w:t xml:space="preserve"> Kamer 1998-99, nr. 1907/1; </w:t>
      </w:r>
      <w:r w:rsidRPr="00963830">
        <w:rPr>
          <w:color w:val="000000" w:themeColor="text1"/>
        </w:rPr>
        <w:t xml:space="preserve">I. DELBROUCK, </w:t>
      </w:r>
      <w:r w:rsidRPr="00963830">
        <w:rPr>
          <w:i/>
          <w:color w:val="000000" w:themeColor="text1"/>
        </w:rPr>
        <w:t>Aanranding, supra</w:t>
      </w:r>
      <w:r w:rsidRPr="00963830">
        <w:rPr>
          <w:color w:val="000000" w:themeColor="text1"/>
        </w:rPr>
        <w:t xml:space="preserve"> vn. 43, 4; </w:t>
      </w:r>
      <w:r w:rsidRPr="00963830">
        <w:t xml:space="preserve">J. ROZIE e.a., </w:t>
      </w:r>
      <w:r w:rsidRPr="00963830">
        <w:rPr>
          <w:i/>
        </w:rPr>
        <w:t>Naar een nieuw Strafwetboek? Het voorstel van de Commissie tot Hervorming van het Strafrecht</w:t>
      </w:r>
      <w:r w:rsidRPr="00963830">
        <w:t xml:space="preserve">, Brugge, die Keure, 2019, 250; J. ROZIE en J. DE HERDT, “overgangsrecht seksueel strafrecht”, </w:t>
      </w:r>
      <w:r w:rsidRPr="00963830">
        <w:rPr>
          <w:i/>
        </w:rPr>
        <w:t>supra</w:t>
      </w:r>
      <w:r w:rsidRPr="00963830">
        <w:t xml:space="preserve"> vn. 7, 182.</w:t>
      </w:r>
    </w:p>
  </w:footnote>
  <w:footnote w:id="132">
    <w:p w14:paraId="708C02AD" w14:textId="77777777"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24; J. ROZIE e.a., </w:t>
      </w:r>
      <w:r w:rsidRPr="00963830">
        <w:rPr>
          <w:i/>
        </w:rPr>
        <w:t>Naar een nieuw Strafwetboek? Het voorstel van de Commissie tot Hervorming van het Strafrecht</w:t>
      </w:r>
      <w:r w:rsidRPr="00963830">
        <w:t>, Brugge, die Keure, 2019, 249-250.</w:t>
      </w:r>
    </w:p>
  </w:footnote>
  <w:footnote w:id="133">
    <w:p w14:paraId="4BA1643B" w14:textId="1DEFFC3B" w:rsidR="00BA0376" w:rsidRPr="009C29A6" w:rsidRDefault="00BA0376" w:rsidP="00613E6B">
      <w:pPr>
        <w:pStyle w:val="NoSpacing"/>
        <w:rPr>
          <w:lang w:val="fr-FR"/>
        </w:rPr>
      </w:pPr>
      <w:r w:rsidRPr="00963830">
        <w:rPr>
          <w:rStyle w:val="FootnoteReference"/>
        </w:rPr>
        <w:footnoteRef/>
      </w:r>
      <w:r w:rsidRPr="00963830">
        <w:t xml:space="preserve"> Het tweede lid van voornoemd artikel bevat de strafbaarstelling van aantasting van de seksuele integriteit “bij gelijkstelling”. Dit wordt verder in deze masterscriptie buiten beschouwing gelaten. Wel kan erop worden gewezen dat dit werd ingevoerd om de Belgische wetgeving in overeenstemming te brengen met artikel 3.1 en 3.2 van Richtlijn 2011/93/EU van 13 december 2011 ter bestrijding van seksueel misbruik en seksuele uitbuiting van kinderen en kinderpornografie. </w:t>
      </w:r>
      <w:r w:rsidRPr="009C29A6">
        <w:rPr>
          <w:lang w:val="fr-FR"/>
        </w:rPr>
        <w:t xml:space="preserve">Zie ook: MvT, </w:t>
      </w:r>
      <w:r w:rsidRPr="009C29A6">
        <w:rPr>
          <w:i/>
          <w:lang w:val="fr-FR"/>
        </w:rPr>
        <w:t>Parl.St.</w:t>
      </w:r>
      <w:r w:rsidRPr="009C29A6">
        <w:rPr>
          <w:lang w:val="fr-FR"/>
        </w:rPr>
        <w:t xml:space="preserve"> Kamer 2020-21, nr. 55-2141/001, 27; ; A. KARCHER en O. BASTYNS, “L’atteinte à l’intégrité sexuelle et le viol” in A. RIZZO (ed.), </w:t>
      </w:r>
      <w:r w:rsidRPr="009C29A6">
        <w:rPr>
          <w:i/>
          <w:lang w:val="fr-FR"/>
        </w:rPr>
        <w:t>Le nouveau droit pénal sexuel</w:t>
      </w:r>
      <w:r w:rsidRPr="009C29A6">
        <w:rPr>
          <w:lang w:val="fr-FR"/>
        </w:rPr>
        <w:t xml:space="preserve">, Brussel, Larcier, 2022, (109) 114-115; J. ROZIE en J. DE HERDT, “overgangsrecht seksueel strafrecht”, </w:t>
      </w:r>
      <w:r w:rsidRPr="009C29A6">
        <w:rPr>
          <w:i/>
          <w:lang w:val="fr-FR"/>
        </w:rPr>
        <w:t>supra</w:t>
      </w:r>
      <w:r w:rsidRPr="009C29A6">
        <w:rPr>
          <w:lang w:val="fr-FR"/>
        </w:rPr>
        <w:t xml:space="preserve"> vn. 7, 192.</w:t>
      </w:r>
    </w:p>
  </w:footnote>
  <w:footnote w:id="134">
    <w:p w14:paraId="03CA73D7" w14:textId="58FB0C66" w:rsidR="00BA0376" w:rsidRPr="00963830" w:rsidRDefault="00BA0376" w:rsidP="008D2750">
      <w:pPr>
        <w:pStyle w:val="NoSpacing"/>
      </w:pPr>
      <w:r w:rsidRPr="00963830">
        <w:rPr>
          <w:rStyle w:val="FootnoteReference"/>
        </w:rPr>
        <w:footnoteRef/>
      </w:r>
      <w:r w:rsidRPr="00963830">
        <w:t xml:space="preserve"> MvT, </w:t>
      </w:r>
      <w:r w:rsidRPr="00963830">
        <w:rPr>
          <w:i/>
        </w:rPr>
        <w:t>Parl.St.</w:t>
      </w:r>
      <w:r w:rsidRPr="00963830">
        <w:t xml:space="preserve"> Kamer 2020-21, nr. 55-2141/001, 22; Omz. seksueel strafrecht, </w:t>
      </w:r>
      <w:r w:rsidRPr="00963830">
        <w:rPr>
          <w:i/>
        </w:rPr>
        <w:t>supra</w:t>
      </w:r>
      <w:r w:rsidRPr="00963830">
        <w:t xml:space="preserve"> vn. 79, 9; M. DILLEN, F. VAN VOLSEM, P. KEMPS en K. DENENBOURG, </w:t>
      </w:r>
      <w:r w:rsidRPr="00963830">
        <w:rPr>
          <w:i/>
        </w:rPr>
        <w:t>Zakboekje strafrecht</w:t>
      </w:r>
      <w:r w:rsidRPr="00963830">
        <w:t>, Mechelen, Wolters Kluwer, 2022, 438.</w:t>
      </w:r>
    </w:p>
  </w:footnote>
  <w:footnote w:id="135">
    <w:p w14:paraId="7A2E62D3" w14:textId="4BCEE8EE"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24-26; B. SPRIET e.a. (eds.), “Actualia seksueel strafrecht”, </w:t>
      </w:r>
      <w:r w:rsidRPr="00963830">
        <w:rPr>
          <w:i/>
        </w:rPr>
        <w:t>supra</w:t>
      </w:r>
      <w:r w:rsidRPr="00963830">
        <w:t xml:space="preserve"> vn. 48, 6-7; J. ROZIE en J. DE HERDT, “overgangsrecht seksueel strafrecht”, </w:t>
      </w:r>
      <w:r w:rsidRPr="00963830">
        <w:rPr>
          <w:i/>
        </w:rPr>
        <w:t>supra</w:t>
      </w:r>
      <w:r w:rsidRPr="00963830">
        <w:t xml:space="preserve"> vn. 7, 182; M. COP en T. HENRION, </w:t>
      </w:r>
      <w:r w:rsidRPr="00963830">
        <w:rPr>
          <w:i/>
        </w:rPr>
        <w:t>Het nieuwe seksueel strafrecht. Artikelsgewijze bespreking van de hervorming anno 2022,</w:t>
      </w:r>
      <w:r w:rsidRPr="00963830">
        <w:t xml:space="preserve"> Leuven, LeA Uitgevers, 2022, 15.</w:t>
      </w:r>
    </w:p>
  </w:footnote>
  <w:footnote w:id="136">
    <w:p w14:paraId="0BE624F8" w14:textId="42FA9B5F" w:rsidR="00BA0376" w:rsidRPr="00963830" w:rsidRDefault="00BA0376" w:rsidP="0099533A">
      <w:pPr>
        <w:pStyle w:val="NoSpacing"/>
      </w:pPr>
      <w:r w:rsidRPr="00963830">
        <w:rPr>
          <w:rStyle w:val="FootnoteReference"/>
        </w:rPr>
        <w:footnoteRef/>
      </w:r>
      <w:r w:rsidRPr="00963830">
        <w:t xml:space="preserve"> MvT, </w:t>
      </w:r>
      <w:r w:rsidRPr="00963830">
        <w:rPr>
          <w:i/>
        </w:rPr>
        <w:t>Parl.St.</w:t>
      </w:r>
      <w:r w:rsidRPr="00963830">
        <w:t xml:space="preserve"> Kamer 2020-21, nr. 55-2141/001, 22.</w:t>
      </w:r>
    </w:p>
  </w:footnote>
  <w:footnote w:id="137">
    <w:p w14:paraId="661E1CE9" w14:textId="47A16559" w:rsidR="00BA0376" w:rsidRPr="009C29A6" w:rsidRDefault="00BA0376" w:rsidP="00A1443D">
      <w:pPr>
        <w:pStyle w:val="NoSpacing"/>
        <w:rPr>
          <w:lang w:val="fr-FR"/>
        </w:rPr>
      </w:pPr>
      <w:r w:rsidRPr="00963830">
        <w:rPr>
          <w:rStyle w:val="FootnoteReference"/>
        </w:rPr>
        <w:footnoteRef/>
      </w:r>
      <w:r w:rsidRPr="009C29A6">
        <w:rPr>
          <w:lang w:val="fr-FR"/>
        </w:rPr>
        <w:t xml:space="preserve"> MvT, </w:t>
      </w:r>
      <w:r w:rsidRPr="009C29A6">
        <w:rPr>
          <w:i/>
          <w:lang w:val="fr-FR"/>
        </w:rPr>
        <w:t>Parl.St.</w:t>
      </w:r>
      <w:r w:rsidRPr="009C29A6">
        <w:rPr>
          <w:lang w:val="fr-FR"/>
        </w:rPr>
        <w:t xml:space="preserve"> Kamer 2020-21, nr. 55-2141/001, 24-25; A. KARCHER en O. BASTYNS, “L’atteinte à l’intégrité sexuelle et le viol” in A. RIZZO (ed.), </w:t>
      </w:r>
      <w:r w:rsidRPr="009C29A6">
        <w:rPr>
          <w:i/>
          <w:lang w:val="fr-FR"/>
        </w:rPr>
        <w:t>Le nouveau droit pénal sexuel</w:t>
      </w:r>
      <w:r w:rsidRPr="009C29A6">
        <w:rPr>
          <w:lang w:val="fr-FR"/>
        </w:rPr>
        <w:t>, Brussel, Larcier, 2022, (109) 115.</w:t>
      </w:r>
    </w:p>
  </w:footnote>
  <w:footnote w:id="138">
    <w:p w14:paraId="6284F848" w14:textId="77777777" w:rsidR="00BA0376" w:rsidRPr="00963830" w:rsidRDefault="00BA0376" w:rsidP="00A1443D">
      <w:pPr>
        <w:pStyle w:val="NoSpacing"/>
      </w:pPr>
      <w:r w:rsidRPr="00963830">
        <w:rPr>
          <w:rStyle w:val="FootnoteReference"/>
        </w:rPr>
        <w:footnoteRef/>
      </w:r>
      <w:r w:rsidRPr="00963830">
        <w:t xml:space="preserve"> MvT, </w:t>
      </w:r>
      <w:r w:rsidRPr="00963830">
        <w:rPr>
          <w:i/>
        </w:rPr>
        <w:t>Parl.St.</w:t>
      </w:r>
      <w:r w:rsidRPr="00963830">
        <w:t xml:space="preserve"> Kamer 2020-21, nr. 55-2141/001, 26.</w:t>
      </w:r>
    </w:p>
  </w:footnote>
  <w:footnote w:id="139">
    <w:p w14:paraId="5DAEF308" w14:textId="60449373"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21-22; Omz. seksueel strafrecht, </w:t>
      </w:r>
      <w:r w:rsidRPr="00963830">
        <w:rPr>
          <w:i/>
        </w:rPr>
        <w:t>supra</w:t>
      </w:r>
      <w:r w:rsidRPr="00963830">
        <w:t xml:space="preserve"> vn. 79, 22.</w:t>
      </w:r>
    </w:p>
  </w:footnote>
  <w:footnote w:id="140">
    <w:p w14:paraId="36C1C5FD" w14:textId="0671D49F" w:rsidR="00BA0376" w:rsidRPr="00963830" w:rsidRDefault="00BA0376" w:rsidP="009038E6">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17-18.</w:t>
      </w:r>
    </w:p>
  </w:footnote>
  <w:footnote w:id="141">
    <w:p w14:paraId="34C31B5B" w14:textId="4F5ACD66"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21-22; Omz. seksueel strafrecht, </w:t>
      </w:r>
      <w:r w:rsidRPr="00963830">
        <w:rPr>
          <w:i/>
        </w:rPr>
        <w:t>supra</w:t>
      </w:r>
      <w:r w:rsidRPr="00963830">
        <w:t xml:space="preserve"> vn. 79, 22.</w:t>
      </w:r>
    </w:p>
  </w:footnote>
  <w:footnote w:id="142">
    <w:p w14:paraId="29DEC92F" w14:textId="6BA47709" w:rsidR="00BA0376" w:rsidRPr="00963830" w:rsidRDefault="00BA0376" w:rsidP="00613E6B">
      <w:pPr>
        <w:pStyle w:val="NoSpacing"/>
      </w:pPr>
      <w:r w:rsidRPr="00963830">
        <w:rPr>
          <w:rStyle w:val="FootnoteReference"/>
        </w:rPr>
        <w:footnoteRef/>
      </w:r>
      <w:r w:rsidRPr="00963830">
        <w:t xml:space="preserve"> Omz. seksueel strafrecht, </w:t>
      </w:r>
      <w:r w:rsidRPr="00963830">
        <w:rPr>
          <w:i/>
        </w:rPr>
        <w:t>supra vn. 79</w:t>
      </w:r>
      <w:r w:rsidRPr="00963830">
        <w:t>, 9.</w:t>
      </w:r>
    </w:p>
  </w:footnote>
  <w:footnote w:id="143">
    <w:p w14:paraId="22066E43" w14:textId="69DFA8EE" w:rsidR="00BA0376" w:rsidRPr="00963830" w:rsidRDefault="00BA0376" w:rsidP="00613E6B">
      <w:pPr>
        <w:pStyle w:val="NoSpacing"/>
        <w:rPr>
          <w:rFonts w:cs="Verdana"/>
        </w:rPr>
      </w:pPr>
      <w:r w:rsidRPr="00963830">
        <w:rPr>
          <w:rStyle w:val="FootnoteReference"/>
        </w:rPr>
        <w:footnoteRef/>
      </w:r>
      <w:r w:rsidRPr="00963830">
        <w:t xml:space="preserve"> Dit wordt verderop in deze masterscriptie nog nader toegelicht (</w:t>
      </w:r>
      <w:r w:rsidRPr="00963830">
        <w:rPr>
          <w:i/>
        </w:rPr>
        <w:t>infra</w:t>
      </w:r>
      <w:r w:rsidRPr="00963830">
        <w:t xml:space="preserve"> titel 1.3.1). Zie ook: MvT, </w:t>
      </w:r>
      <w:r w:rsidRPr="00963830">
        <w:rPr>
          <w:i/>
        </w:rPr>
        <w:t>Parl.St.</w:t>
      </w:r>
      <w:r w:rsidRPr="00963830">
        <w:t xml:space="preserve"> Kamer 2020-21, nr. 55-2141/001, 22; </w:t>
      </w:r>
      <w:r w:rsidRPr="00963830">
        <w:rPr>
          <w:rFonts w:cs="Verdana"/>
        </w:rPr>
        <w:t xml:space="preserve">Omz. seksueel strafrecht, </w:t>
      </w:r>
      <w:r w:rsidRPr="00963830">
        <w:rPr>
          <w:rFonts w:cs="Verdana"/>
          <w:i/>
        </w:rPr>
        <w:t>supra</w:t>
      </w:r>
      <w:r w:rsidRPr="00963830">
        <w:rPr>
          <w:rFonts w:cs="Verdana"/>
        </w:rPr>
        <w:t xml:space="preserve"> vn. 79, 27.</w:t>
      </w:r>
    </w:p>
  </w:footnote>
  <w:footnote w:id="144">
    <w:p w14:paraId="231A30D2" w14:textId="4CD573E1"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26; </w:t>
      </w:r>
      <w:r w:rsidRPr="00963830">
        <w:rPr>
          <w:rFonts w:cs="Verdana"/>
        </w:rPr>
        <w:t xml:space="preserve">Omz. seksueel strafrecht, </w:t>
      </w:r>
      <w:r w:rsidRPr="00963830">
        <w:rPr>
          <w:rFonts w:cs="Verdana"/>
          <w:i/>
        </w:rPr>
        <w:t>supra</w:t>
      </w:r>
      <w:r w:rsidRPr="00963830">
        <w:rPr>
          <w:rFonts w:cs="Verdana"/>
        </w:rPr>
        <w:t xml:space="preserve"> vn. 79, 22.</w:t>
      </w:r>
    </w:p>
  </w:footnote>
  <w:footnote w:id="145">
    <w:p w14:paraId="331CD0BB" w14:textId="77777777" w:rsidR="00BA0376" w:rsidRPr="009C29A6" w:rsidRDefault="00BA0376" w:rsidP="00613E6B">
      <w:pPr>
        <w:pStyle w:val="NoSpacing"/>
        <w:rPr>
          <w:lang w:val="fr-FR"/>
        </w:rPr>
      </w:pPr>
      <w:r w:rsidRPr="00963830">
        <w:rPr>
          <w:rStyle w:val="FootnoteReference"/>
        </w:rPr>
        <w:footnoteRef/>
      </w:r>
      <w:r w:rsidRPr="009C29A6">
        <w:rPr>
          <w:lang w:val="fr-FR"/>
        </w:rPr>
        <w:t xml:space="preserve"> A. KARCHER en O. BASTYNS, “L’atteinte à l’intégrité sexuelle et le viol” in A. RIZZO (ed.), </w:t>
      </w:r>
      <w:r w:rsidRPr="009C29A6">
        <w:rPr>
          <w:i/>
          <w:lang w:val="fr-FR"/>
        </w:rPr>
        <w:t>Le nouveau droit pénal sexuel</w:t>
      </w:r>
      <w:r w:rsidRPr="009C29A6">
        <w:rPr>
          <w:lang w:val="fr-FR"/>
        </w:rPr>
        <w:t xml:space="preserve">, Brussel, Larcier, 2022, (109) 114; M. DILLEN, F. VAN VOLSEM, P. KEMPS en K. DENENBOURG, </w:t>
      </w:r>
      <w:r w:rsidRPr="009C29A6">
        <w:rPr>
          <w:i/>
          <w:lang w:val="fr-FR"/>
        </w:rPr>
        <w:t>Zakboekje strafrecht</w:t>
      </w:r>
      <w:r w:rsidRPr="009C29A6">
        <w:rPr>
          <w:lang w:val="fr-FR"/>
        </w:rPr>
        <w:t>, Mechelen, Wolters Kluwer, 2022, 435.</w:t>
      </w:r>
    </w:p>
  </w:footnote>
  <w:footnote w:id="146">
    <w:p w14:paraId="3B09F57D" w14:textId="357AD1FB" w:rsidR="00BA0376" w:rsidRPr="00963830" w:rsidRDefault="00BA0376" w:rsidP="00613E6B">
      <w:pPr>
        <w:pStyle w:val="NoSpacing"/>
      </w:pPr>
      <w:r w:rsidRPr="00963830">
        <w:rPr>
          <w:rStyle w:val="FootnoteReference"/>
        </w:rPr>
        <w:footnoteRef/>
      </w:r>
      <w:r w:rsidRPr="00963830">
        <w:t xml:space="preserve"> </w:t>
      </w:r>
      <w:r w:rsidRPr="00963830">
        <w:rPr>
          <w:i/>
        </w:rPr>
        <w:t>Ibid.</w:t>
      </w:r>
    </w:p>
  </w:footnote>
  <w:footnote w:id="147">
    <w:p w14:paraId="5CB783B8" w14:textId="186EE852" w:rsidR="00BA0376" w:rsidRPr="00963830" w:rsidRDefault="00BA0376" w:rsidP="00613E6B">
      <w:pPr>
        <w:pStyle w:val="NoSpacing"/>
      </w:pPr>
      <w:r w:rsidRPr="00963830">
        <w:rPr>
          <w:rStyle w:val="FootnoteReference"/>
        </w:rPr>
        <w:footnoteRef/>
      </w:r>
      <w:r w:rsidRPr="00963830">
        <w:t xml:space="preserve"> </w:t>
      </w:r>
      <w:r w:rsidRPr="00963830">
        <w:rPr>
          <w:i/>
        </w:rPr>
        <w:t>Ibid.</w:t>
      </w:r>
      <w:r w:rsidRPr="00963830">
        <w:t>.</w:t>
      </w:r>
    </w:p>
  </w:footnote>
  <w:footnote w:id="148">
    <w:p w14:paraId="1289815E" w14:textId="77777777" w:rsidR="00BA0376" w:rsidRPr="00963830" w:rsidRDefault="00BA0376" w:rsidP="00613E6B">
      <w:pPr>
        <w:pStyle w:val="NoSpacing"/>
      </w:pPr>
      <w:r w:rsidRPr="00963830">
        <w:rPr>
          <w:rStyle w:val="FootnoteReference"/>
        </w:rPr>
        <w:footnoteRef/>
      </w:r>
      <w:r w:rsidRPr="00963830">
        <w:t xml:space="preserve"> In de Memorie van Toelichting wordt hiervoor evenwel de term “schuldontheffingsgrond” gehanteerd, zie: MvT, </w:t>
      </w:r>
      <w:r w:rsidRPr="00963830">
        <w:rPr>
          <w:i/>
        </w:rPr>
        <w:t>Parl.St.</w:t>
      </w:r>
      <w:r w:rsidRPr="00963830">
        <w:t xml:space="preserve"> Kamer 2020-21, nr. 55-2141/001, 26.</w:t>
      </w:r>
    </w:p>
  </w:footnote>
  <w:footnote w:id="149">
    <w:p w14:paraId="4034A1C1" w14:textId="77777777" w:rsidR="00BA0376" w:rsidRPr="009C29A6" w:rsidRDefault="00BA0376" w:rsidP="00613E6B">
      <w:pPr>
        <w:pStyle w:val="NoSpacing"/>
        <w:rPr>
          <w:lang w:val="fr-FR"/>
        </w:rPr>
      </w:pPr>
      <w:r w:rsidRPr="00963830">
        <w:rPr>
          <w:rStyle w:val="FootnoteReference"/>
        </w:rPr>
        <w:footnoteRef/>
      </w:r>
      <w:r w:rsidRPr="009C29A6">
        <w:rPr>
          <w:lang w:val="fr-FR"/>
        </w:rPr>
        <w:t xml:space="preserve"> MvT, </w:t>
      </w:r>
      <w:r w:rsidRPr="009C29A6">
        <w:rPr>
          <w:i/>
          <w:lang w:val="fr-FR"/>
        </w:rPr>
        <w:t>Parl.St.</w:t>
      </w:r>
      <w:r w:rsidRPr="009C29A6">
        <w:rPr>
          <w:lang w:val="fr-FR"/>
        </w:rPr>
        <w:t xml:space="preserve"> Kamer 2020-21, nr. 55-2141/001, 26; A. KARCHER en O. BASTYNS, “L’atteinte à l’intégrité sexuelle et le viol” in A. RIZZO (ed.), </w:t>
      </w:r>
      <w:r w:rsidRPr="009C29A6">
        <w:rPr>
          <w:i/>
          <w:lang w:val="fr-FR"/>
        </w:rPr>
        <w:t>Le nouveau droit pénal sexuel</w:t>
      </w:r>
      <w:r w:rsidRPr="009C29A6">
        <w:rPr>
          <w:lang w:val="fr-FR"/>
        </w:rPr>
        <w:t>, Brussel, Larcier, 2022, (109) 114.</w:t>
      </w:r>
    </w:p>
  </w:footnote>
  <w:footnote w:id="150">
    <w:p w14:paraId="3E2E4234" w14:textId="77777777" w:rsidR="00BA0376" w:rsidRPr="00963830" w:rsidRDefault="00BA0376" w:rsidP="00613E6B">
      <w:pPr>
        <w:pStyle w:val="NoSpacing"/>
      </w:pPr>
      <w:r w:rsidRPr="00963830">
        <w:rPr>
          <w:rStyle w:val="FootnoteReference"/>
        </w:rPr>
        <w:footnoteRef/>
      </w:r>
      <w:r w:rsidRPr="00963830">
        <w:t xml:space="preserve"> J. ROZIE e.a., </w:t>
      </w:r>
      <w:r w:rsidRPr="00963830">
        <w:rPr>
          <w:i/>
        </w:rPr>
        <w:t>Naar een nieuw Strafwetboek? Het voorstel van de Commissie tot Hervorming van het Strafrecht</w:t>
      </w:r>
      <w:r w:rsidRPr="00963830">
        <w:t>, Brugge, die Keure, 2019, 251.</w:t>
      </w:r>
    </w:p>
  </w:footnote>
  <w:footnote w:id="151">
    <w:p w14:paraId="664CF2B0" w14:textId="053B9130"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21.</w:t>
      </w:r>
    </w:p>
  </w:footnote>
  <w:footnote w:id="152">
    <w:p w14:paraId="7A52B543" w14:textId="0F588F2A" w:rsidR="00BA0376" w:rsidRPr="00963830" w:rsidRDefault="00BA0376" w:rsidP="00613E6B">
      <w:pPr>
        <w:pStyle w:val="NoSpacing"/>
      </w:pPr>
      <w:r w:rsidRPr="00963830">
        <w:rPr>
          <w:rStyle w:val="FootnoteReference"/>
        </w:rPr>
        <w:footnoteRef/>
      </w:r>
      <w:r w:rsidRPr="00963830">
        <w:t xml:space="preserve"> Dit blijkt vooreerst uit de plaats die het artikel inneemt in het Strafwetboek, maar ook uit de parlementaire voorbereidingen. Zie MvT, </w:t>
      </w:r>
      <w:r w:rsidRPr="00963830">
        <w:rPr>
          <w:i/>
        </w:rPr>
        <w:t>Parl.St.</w:t>
      </w:r>
      <w:r w:rsidRPr="00963830">
        <w:t xml:space="preserve"> Kamer 2020-21, nr. 55-2141/001, 14 e.v.; M. COP en T. HENRION, </w:t>
      </w:r>
      <w:r w:rsidRPr="00963830">
        <w:rPr>
          <w:i/>
        </w:rPr>
        <w:t>Het nieuwe seksueel strafrecht. Artikelsgewijze bespreking van de hervorming anno 2022,</w:t>
      </w:r>
      <w:r w:rsidRPr="00963830">
        <w:t xml:space="preserve"> Leuven, LeA Uitgevers, 2022, 9.</w:t>
      </w:r>
    </w:p>
  </w:footnote>
  <w:footnote w:id="153">
    <w:p w14:paraId="450DA0C8" w14:textId="2A9B17EF" w:rsidR="00BA0376" w:rsidRPr="00963830" w:rsidRDefault="00BA0376" w:rsidP="00613E6B">
      <w:pPr>
        <w:pStyle w:val="NoSpacing"/>
      </w:pPr>
      <w:r w:rsidRPr="00963830">
        <w:rPr>
          <w:rStyle w:val="FootnoteReference"/>
        </w:rPr>
        <w:footnoteRef/>
      </w:r>
      <w:r w:rsidRPr="00963830">
        <w:t xml:space="preserve"> J. ROZIE e.a., </w:t>
      </w:r>
      <w:r w:rsidRPr="00963830">
        <w:rPr>
          <w:i/>
        </w:rPr>
        <w:t>Naar een nieuw Strafwetboek? Het voorstel van de Commissie tot Hervorming van het Strafrecht</w:t>
      </w:r>
      <w:r w:rsidRPr="00963830">
        <w:t xml:space="preserve">, Brugge, die Keure, 2019, </w:t>
      </w:r>
    </w:p>
  </w:footnote>
  <w:footnote w:id="154">
    <w:p w14:paraId="0E94E9F8" w14:textId="6690F873"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18; M. COP en T. HENRION, </w:t>
      </w:r>
      <w:r w:rsidRPr="00963830">
        <w:rPr>
          <w:i/>
        </w:rPr>
        <w:t>Het nieuwe seksueel strafrecht. Artikelsgewijze bespreking van de hervorming anno 2022,</w:t>
      </w:r>
      <w:r w:rsidRPr="00963830">
        <w:t xml:space="preserve"> Leuven, LeA Uitgevers, 2022, 7; T. HENRION, </w:t>
      </w:r>
      <w:r w:rsidRPr="00963830">
        <w:rPr>
          <w:i/>
        </w:rPr>
        <w:t>La réforme du droit pénal sexuel</w:t>
      </w:r>
      <w:r w:rsidRPr="00963830">
        <w:t>, Limal, Anthemis, 2022, 18-19.</w:t>
      </w:r>
    </w:p>
  </w:footnote>
  <w:footnote w:id="155">
    <w:p w14:paraId="1E7082B2" w14:textId="19574B5B"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20; Omz. seksueel strafrecht, </w:t>
      </w:r>
      <w:r w:rsidRPr="00963830">
        <w:rPr>
          <w:i/>
        </w:rPr>
        <w:t>supra</w:t>
      </w:r>
      <w:r w:rsidRPr="00963830">
        <w:t xml:space="preserve"> vn. 79, 15; M. COP en T. HENRION, </w:t>
      </w:r>
      <w:r w:rsidRPr="00963830">
        <w:rPr>
          <w:i/>
        </w:rPr>
        <w:t>Het nieuwe seksueel strafrecht. Artikelsgewijze bespreking van de hervorming anno 2022,</w:t>
      </w:r>
      <w:r w:rsidRPr="00963830">
        <w:t xml:space="preserve"> Leuven, LeA Uitgevers, 2022, 7.</w:t>
      </w:r>
    </w:p>
  </w:footnote>
  <w:footnote w:id="156">
    <w:p w14:paraId="6D8A1191" w14:textId="420CEF3F" w:rsidR="00BA0376" w:rsidRPr="00963830" w:rsidRDefault="00BA0376" w:rsidP="00613E6B">
      <w:pPr>
        <w:pStyle w:val="NoSpacing"/>
      </w:pPr>
      <w:r w:rsidRPr="00963830">
        <w:rPr>
          <w:rStyle w:val="FootnoteReference"/>
        </w:rPr>
        <w:footnoteRef/>
      </w:r>
      <w:r w:rsidRPr="00963830">
        <w:t xml:space="preserve"> Hierop zal eveneens verder worden ingegaan bij de bespreking van verkrachting onder het nieuwe recht (</w:t>
      </w:r>
      <w:r w:rsidRPr="00963830">
        <w:rPr>
          <w:i/>
        </w:rPr>
        <w:t>infra</w:t>
      </w:r>
      <w:r w:rsidRPr="00963830">
        <w:t xml:space="preserve"> nr. 144). Zie ook: M. COP en T. HENRION, </w:t>
      </w:r>
      <w:r w:rsidRPr="00963830">
        <w:rPr>
          <w:i/>
        </w:rPr>
        <w:t>Het nieuwe seksueel strafrecht. Artikelsgewijze bespreking van de hervorming anno 2022,</w:t>
      </w:r>
      <w:r w:rsidRPr="00963830">
        <w:t xml:space="preserve"> Leuven, LeA Uitgevers, 2022, 8; J. ROZIE en J. DE HERDT, “overgangsrecht seksueel strafrecht”, </w:t>
      </w:r>
      <w:r w:rsidRPr="00963830">
        <w:rPr>
          <w:i/>
        </w:rPr>
        <w:t>supra</w:t>
      </w:r>
      <w:r w:rsidRPr="00963830">
        <w:t xml:space="preserve"> vn. 7, 180-181; T. HENRION, </w:t>
      </w:r>
      <w:r w:rsidRPr="00963830">
        <w:rPr>
          <w:i/>
        </w:rPr>
        <w:t>La réforme du droit pénal sexuel</w:t>
      </w:r>
      <w:r w:rsidRPr="00963830">
        <w:t>, Limal, Anthemis, 2022, 19.</w:t>
      </w:r>
    </w:p>
  </w:footnote>
  <w:footnote w:id="157">
    <w:p w14:paraId="1C33B2C5" w14:textId="66E80C5D" w:rsidR="00BA0376" w:rsidRPr="009C29A6" w:rsidRDefault="00BA0376" w:rsidP="00613E6B">
      <w:pPr>
        <w:pStyle w:val="NoSpacing"/>
        <w:rPr>
          <w:lang w:val="fr-FR"/>
        </w:rPr>
      </w:pPr>
      <w:r w:rsidRPr="00963830">
        <w:rPr>
          <w:rStyle w:val="FootnoteReference"/>
        </w:rPr>
        <w:footnoteRef/>
      </w:r>
      <w:r w:rsidRPr="00963830">
        <w:t xml:space="preserve"> MvT, </w:t>
      </w:r>
      <w:r w:rsidRPr="00963830">
        <w:rPr>
          <w:i/>
        </w:rPr>
        <w:t>Parl.St.</w:t>
      </w:r>
      <w:r w:rsidRPr="00963830">
        <w:t xml:space="preserve"> Kamer 2020-21, nr. 55-2141/001, 18; M. COP en T. HENRION, </w:t>
      </w:r>
      <w:r w:rsidRPr="00963830">
        <w:rPr>
          <w:i/>
        </w:rPr>
        <w:t xml:space="preserve">Het nieuwe seksueel strafrecht. </w:t>
      </w:r>
      <w:r w:rsidRPr="009C29A6">
        <w:rPr>
          <w:i/>
          <w:lang w:val="fr-FR"/>
        </w:rPr>
        <w:t>Artikelsgewijze bespreking van de hervorming anno 2022,</w:t>
      </w:r>
      <w:r w:rsidRPr="009C29A6">
        <w:rPr>
          <w:lang w:val="fr-FR"/>
        </w:rPr>
        <w:t xml:space="preserve"> Leuven, LeA Uitgevers, 2022, 8.</w:t>
      </w:r>
    </w:p>
  </w:footnote>
  <w:footnote w:id="158">
    <w:p w14:paraId="417019E4" w14:textId="16AB145F" w:rsidR="00BA0376" w:rsidRPr="009C29A6" w:rsidRDefault="00BA0376" w:rsidP="00613E6B">
      <w:pPr>
        <w:pStyle w:val="NoSpacing"/>
        <w:rPr>
          <w:lang w:val="fr-FR"/>
        </w:rPr>
      </w:pPr>
      <w:r w:rsidRPr="00963830">
        <w:rPr>
          <w:rStyle w:val="FootnoteReference"/>
        </w:rPr>
        <w:footnoteRef/>
      </w:r>
      <w:r w:rsidRPr="009C29A6">
        <w:rPr>
          <w:lang w:val="fr-FR"/>
        </w:rPr>
        <w:t xml:space="preserve"> M. ALIÉ, “La notion de consentement dans le nouveau Code pénal sexuel : fil d’Ariane ou future pierre d’achoppement?” in A. RIZZO (ed.), </w:t>
      </w:r>
      <w:r w:rsidRPr="009C29A6">
        <w:rPr>
          <w:i/>
          <w:lang w:val="fr-FR"/>
        </w:rPr>
        <w:t>Le nouveau droit pénal sexuel</w:t>
      </w:r>
      <w:r w:rsidRPr="009C29A6">
        <w:rPr>
          <w:lang w:val="fr-FR"/>
        </w:rPr>
        <w:t>, Brussel, Larcier, 2022, (79) 92-95.</w:t>
      </w:r>
    </w:p>
  </w:footnote>
  <w:footnote w:id="159">
    <w:p w14:paraId="7EB639BF" w14:textId="7276414C" w:rsidR="00BA0376" w:rsidRPr="00963830" w:rsidRDefault="00BA0376" w:rsidP="00613E6B">
      <w:pPr>
        <w:pStyle w:val="NoSpacing"/>
      </w:pPr>
      <w:r w:rsidRPr="00963830">
        <w:rPr>
          <w:rStyle w:val="FootnoteReference"/>
        </w:rPr>
        <w:footnoteRef/>
      </w:r>
      <w:r w:rsidRPr="009C29A6">
        <w:rPr>
          <w:lang w:val="fr-FR"/>
        </w:rPr>
        <w:t xml:space="preserve"> MvT, </w:t>
      </w:r>
      <w:r w:rsidRPr="009C29A6">
        <w:rPr>
          <w:i/>
          <w:lang w:val="fr-FR"/>
        </w:rPr>
        <w:t>Parl.St.</w:t>
      </w:r>
      <w:r w:rsidRPr="009C29A6">
        <w:rPr>
          <w:lang w:val="fr-FR"/>
        </w:rPr>
        <w:t xml:space="preserve"> Kamer 2020-21, nr. 55-2141/001, 17; M. ALIÉ, “La notion de consentement dans le nouveau Code pénal sexuel : fil d’Ariane ou future pierre d’achoppement?” in A. RIZZO (ed.), </w:t>
      </w:r>
      <w:r w:rsidRPr="009C29A6">
        <w:rPr>
          <w:i/>
          <w:lang w:val="fr-FR"/>
        </w:rPr>
        <w:t>Le nouveau droit pénal sexuel</w:t>
      </w:r>
      <w:r w:rsidRPr="009C29A6">
        <w:rPr>
          <w:lang w:val="fr-FR"/>
        </w:rPr>
        <w:t xml:space="preserve">, Brussel, Larcier, 2022, (79) 92-95; M. COP en T. HENRION, </w:t>
      </w:r>
      <w:r w:rsidRPr="009C29A6">
        <w:rPr>
          <w:i/>
          <w:lang w:val="fr-FR"/>
        </w:rPr>
        <w:t xml:space="preserve">Het nieuwe seksueel strafrecht. </w:t>
      </w:r>
      <w:r w:rsidRPr="00963830">
        <w:rPr>
          <w:i/>
        </w:rPr>
        <w:t>Artikelsgewijze bespreking van de hervorming anno 2022,</w:t>
      </w:r>
      <w:r w:rsidRPr="00963830">
        <w:t xml:space="preserve"> Leuven, LeA Uitgevers, 2022, 8-9; T. HENRION, </w:t>
      </w:r>
      <w:r w:rsidRPr="00963830">
        <w:rPr>
          <w:i/>
        </w:rPr>
        <w:t>La réforme du droit pénal sexuel</w:t>
      </w:r>
      <w:r w:rsidRPr="00963830">
        <w:t xml:space="preserve">, Limal, Anthemis, 2022, 19-20. </w:t>
      </w:r>
    </w:p>
  </w:footnote>
  <w:footnote w:id="160">
    <w:p w14:paraId="67C20AAD" w14:textId="7E91F773" w:rsidR="00BA0376" w:rsidRPr="00963830" w:rsidRDefault="00BA0376" w:rsidP="00613E6B">
      <w:pPr>
        <w:pStyle w:val="NoSpacing"/>
      </w:pPr>
      <w:r w:rsidRPr="00963830">
        <w:rPr>
          <w:rStyle w:val="FootnoteReference"/>
        </w:rPr>
        <w:footnoteRef/>
      </w:r>
      <w:r w:rsidRPr="009C29A6">
        <w:rPr>
          <w:lang w:val="fr-FR"/>
        </w:rPr>
        <w:t xml:space="preserve"> </w:t>
      </w:r>
      <w:r w:rsidRPr="009C29A6">
        <w:rPr>
          <w:i/>
          <w:lang w:val="fr-FR"/>
        </w:rPr>
        <w:t>Hand</w:t>
      </w:r>
      <w:r w:rsidRPr="009C29A6">
        <w:rPr>
          <w:lang w:val="fr-FR"/>
        </w:rPr>
        <w:t xml:space="preserve">. Kamer 2020-21, nr. 55-2141/017, 9-11; M. ALIÉ, “La notion de consentement dans le nouveau Code pénal sexuel : fil d’Ariane ou future pierre d’achoppement?” in A. RIZZO (ed.), </w:t>
      </w:r>
      <w:r w:rsidRPr="009C29A6">
        <w:rPr>
          <w:i/>
          <w:lang w:val="fr-FR"/>
        </w:rPr>
        <w:t>Le nouveau droit pénal sexuel</w:t>
      </w:r>
      <w:r w:rsidRPr="009C29A6">
        <w:rPr>
          <w:lang w:val="fr-FR"/>
        </w:rPr>
        <w:t xml:space="preserve">, Brussel, Larcier, 2022, (79) 93; M. COP en T. HENRION, </w:t>
      </w:r>
      <w:r w:rsidRPr="009C29A6">
        <w:rPr>
          <w:i/>
          <w:lang w:val="fr-FR"/>
        </w:rPr>
        <w:t xml:space="preserve">Het nieuwe seksueel strafrecht. </w:t>
      </w:r>
      <w:r w:rsidRPr="00963830">
        <w:rPr>
          <w:i/>
        </w:rPr>
        <w:t>Artikelsgewijze bespreking van de hervorming anno 2022,</w:t>
      </w:r>
      <w:r w:rsidRPr="00963830">
        <w:t xml:space="preserve"> Leuven, LeA Uitgevers, 2022, 9; T. HENRION, </w:t>
      </w:r>
      <w:r w:rsidRPr="00963830">
        <w:rPr>
          <w:i/>
        </w:rPr>
        <w:t>La réforme du droit pénal sexuel</w:t>
      </w:r>
      <w:r w:rsidRPr="00963830">
        <w:t>, Limal, Anthemis, 2022, 19-20.</w:t>
      </w:r>
    </w:p>
  </w:footnote>
  <w:footnote w:id="161">
    <w:p w14:paraId="22037472" w14:textId="4E8879D0" w:rsidR="00BA0376" w:rsidRPr="009C29A6" w:rsidRDefault="00BA0376" w:rsidP="00613E6B">
      <w:pPr>
        <w:pStyle w:val="NoSpacing"/>
        <w:rPr>
          <w:lang w:val="fr-FR"/>
        </w:rPr>
      </w:pPr>
      <w:r w:rsidRPr="00963830">
        <w:rPr>
          <w:rStyle w:val="FootnoteReference"/>
        </w:rPr>
        <w:footnoteRef/>
      </w:r>
      <w:r w:rsidRPr="00963830">
        <w:t xml:space="preserve"> Deze twee laatstgenoemde leden vatten immers allebei aan met de woorden “Toestemming is er in ieder geval niet (…)”. Wanneer een situatie valt onder een van deze twee leden, zal er bijgevolg wel noodzakelijkerwijs een gebrek aan toestemming zijn. </w:t>
      </w:r>
      <w:r w:rsidRPr="009C29A6">
        <w:rPr>
          <w:lang w:val="fr-FR"/>
        </w:rPr>
        <w:t xml:space="preserve">Zie: </w:t>
      </w:r>
      <w:r w:rsidRPr="009C29A6">
        <w:rPr>
          <w:i/>
          <w:lang w:val="fr-FR"/>
        </w:rPr>
        <w:t>Hand</w:t>
      </w:r>
      <w:r w:rsidRPr="009C29A6">
        <w:rPr>
          <w:lang w:val="fr-FR"/>
        </w:rPr>
        <w:t xml:space="preserve">. Kamer 2020-21, nr. 55-2141/017, 12; M. ALIÉ, “La notion de consentement dans le nouveau Code pénal sexuel : fil d’Ariane ou future pierre d’achoppement?” in A. RIZZO (ed.), </w:t>
      </w:r>
      <w:r w:rsidRPr="009C29A6">
        <w:rPr>
          <w:i/>
          <w:lang w:val="fr-FR"/>
        </w:rPr>
        <w:t>Le nouveau droit pénal sexuel</w:t>
      </w:r>
      <w:r w:rsidRPr="009C29A6">
        <w:rPr>
          <w:lang w:val="fr-FR"/>
        </w:rPr>
        <w:t xml:space="preserve">, Brussel, Larcier, 2022, (79) 96; T. HENRION, </w:t>
      </w:r>
      <w:r w:rsidRPr="009C29A6">
        <w:rPr>
          <w:i/>
          <w:lang w:val="fr-FR"/>
        </w:rPr>
        <w:t>La réforme du droit pénal sexuel</w:t>
      </w:r>
      <w:r w:rsidRPr="009C29A6">
        <w:rPr>
          <w:lang w:val="fr-FR"/>
        </w:rPr>
        <w:t>, Limal, Anthemis, 2022, 19.</w:t>
      </w:r>
    </w:p>
  </w:footnote>
  <w:footnote w:id="162">
    <w:p w14:paraId="610151A8" w14:textId="5D62FCCC" w:rsidR="00BA0376" w:rsidRPr="009C29A6" w:rsidRDefault="00BA0376" w:rsidP="00613E6B">
      <w:pPr>
        <w:pStyle w:val="NoSpacing"/>
        <w:rPr>
          <w:lang w:val="fr-FR"/>
        </w:rPr>
      </w:pPr>
      <w:r w:rsidRPr="00963830">
        <w:rPr>
          <w:rStyle w:val="FootnoteReference"/>
        </w:rPr>
        <w:footnoteRef/>
      </w:r>
      <w:r w:rsidRPr="009C29A6">
        <w:rPr>
          <w:lang w:val="fr-FR"/>
        </w:rPr>
        <w:t xml:space="preserve"> M. ALIÉ, “La notion de consentement dans le nouveau Code pénal sexuel : fil d’Ariane ou future pierre d’achoppement?” in A. RIZZO (ed.), </w:t>
      </w:r>
      <w:r w:rsidRPr="009C29A6">
        <w:rPr>
          <w:i/>
          <w:lang w:val="fr-FR"/>
        </w:rPr>
        <w:t>Le nouveau droit pénal sexuel</w:t>
      </w:r>
      <w:r w:rsidRPr="009C29A6">
        <w:rPr>
          <w:lang w:val="fr-FR"/>
        </w:rPr>
        <w:t>, Brussel, Larcier, 2022, (79) 96.</w:t>
      </w:r>
    </w:p>
  </w:footnote>
  <w:footnote w:id="163">
    <w:p w14:paraId="3655A3D0" w14:textId="77777777" w:rsidR="00BA0376" w:rsidRPr="00963830" w:rsidRDefault="00BA0376" w:rsidP="00613E6B">
      <w:pPr>
        <w:pStyle w:val="NoSpacing"/>
      </w:pPr>
      <w:r w:rsidRPr="00963830">
        <w:rPr>
          <w:rStyle w:val="FootnoteReference"/>
        </w:rPr>
        <w:footnoteRef/>
      </w:r>
      <w:r w:rsidRPr="00963830">
        <w:t xml:space="preserve"> Zowel prof dr. J. ROZIE als prof dr. J. DE HERDT maken deel uit van de Commissie tot hervorming van het Strafrecht, dewelke de wetgever heeft geadviseerd omtrent de hervorming van het seksueel strafrecht. Zie o.m. MvT, </w:t>
      </w:r>
      <w:r w:rsidRPr="00963830">
        <w:rPr>
          <w:i/>
        </w:rPr>
        <w:t>Parl.St.</w:t>
      </w:r>
      <w:r w:rsidRPr="00963830">
        <w:t xml:space="preserve"> Kamer 2020-21, nr. 55-2141/001.</w:t>
      </w:r>
    </w:p>
  </w:footnote>
  <w:footnote w:id="164">
    <w:p w14:paraId="0E7A3A02" w14:textId="18E1BE0E"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180; T. HENRION en M. PREUMONT, La réforme du droit pénal sexuel, Limal, Anthemis, 2022, 15-19.</w:t>
      </w:r>
    </w:p>
  </w:footnote>
  <w:footnote w:id="165">
    <w:p w14:paraId="6ABE5104" w14:textId="454EAFA3" w:rsidR="00BA0376" w:rsidRPr="009C29A6" w:rsidRDefault="00BA0376" w:rsidP="00E65D1F">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27 e.v..</w:t>
      </w:r>
    </w:p>
  </w:footnote>
  <w:footnote w:id="166">
    <w:p w14:paraId="6C696DA5" w14:textId="76CE3A15" w:rsidR="00BA0376" w:rsidRPr="009C29A6" w:rsidRDefault="00BA0376" w:rsidP="00613E6B">
      <w:pPr>
        <w:pStyle w:val="NoSpacing"/>
        <w:rPr>
          <w:lang w:val="fr-FR"/>
        </w:rPr>
      </w:pPr>
      <w:r w:rsidRPr="00963830">
        <w:rPr>
          <w:rStyle w:val="FootnoteReference"/>
        </w:rPr>
        <w:footnoteRef/>
      </w:r>
      <w:r w:rsidRPr="009C29A6">
        <w:rPr>
          <w:lang w:val="fr-FR"/>
        </w:rPr>
        <w:t xml:space="preserve"> </w:t>
      </w:r>
      <w:r w:rsidRPr="009C29A6">
        <w:rPr>
          <w:i/>
          <w:lang w:val="fr-FR"/>
        </w:rPr>
        <w:t xml:space="preserve">Infra </w:t>
      </w:r>
      <w:r w:rsidRPr="009C29A6">
        <w:rPr>
          <w:lang w:val="fr-FR"/>
        </w:rPr>
        <w:t>nr. 218.</w:t>
      </w:r>
    </w:p>
  </w:footnote>
  <w:footnote w:id="167">
    <w:p w14:paraId="74A4265D" w14:textId="718B0FE8" w:rsidR="00BA0376" w:rsidRPr="009C29A6" w:rsidRDefault="00BA0376" w:rsidP="00613E6B">
      <w:pPr>
        <w:pStyle w:val="NoSpacing"/>
        <w:rPr>
          <w:lang w:val="fr-FR"/>
        </w:rPr>
      </w:pPr>
      <w:r w:rsidRPr="00963830">
        <w:rPr>
          <w:rStyle w:val="FootnoteReference"/>
        </w:rPr>
        <w:footnoteRef/>
      </w:r>
      <w:r w:rsidRPr="009C29A6">
        <w:rPr>
          <w:lang w:val="fr-FR"/>
        </w:rPr>
        <w:t xml:space="preserve"> M. ALIÉ, “La notion de consentement dans le nouveau Code pénal sexuel : fil d’Ariane ou future pierre d’achoppement?” in A. RIZZO (ed.), </w:t>
      </w:r>
      <w:r w:rsidRPr="009C29A6">
        <w:rPr>
          <w:i/>
          <w:lang w:val="fr-FR"/>
        </w:rPr>
        <w:t>Le nouveau droit pénal sexuel</w:t>
      </w:r>
      <w:r w:rsidRPr="009C29A6">
        <w:rPr>
          <w:lang w:val="fr-FR"/>
        </w:rPr>
        <w:t>, Brussel, Larcier, 2022, (79) 96.</w:t>
      </w:r>
    </w:p>
  </w:footnote>
  <w:footnote w:id="168">
    <w:p w14:paraId="1F1AB160" w14:textId="5B5E1ACA" w:rsidR="00BA0376" w:rsidRPr="00963830" w:rsidRDefault="00BA0376" w:rsidP="00613E6B">
      <w:pPr>
        <w:pStyle w:val="NoSpacing"/>
      </w:pPr>
      <w:r w:rsidRPr="00963830">
        <w:rPr>
          <w:rStyle w:val="FootnoteReference"/>
        </w:rPr>
        <w:footnoteRef/>
      </w:r>
      <w:r w:rsidRPr="009C29A6">
        <w:rPr>
          <w:lang w:val="fr-FR"/>
        </w:rPr>
        <w:t xml:space="preserve"> M. ALIÉ, “La notion de consentement dans le nouveau Code pénal sexuel : fil d’Ariane ou future pierre d’achoppement?” in A. RIZZO (ed.), </w:t>
      </w:r>
      <w:r w:rsidRPr="009C29A6">
        <w:rPr>
          <w:i/>
          <w:lang w:val="fr-FR"/>
        </w:rPr>
        <w:t>Le nouveau droit pénal sexuel</w:t>
      </w:r>
      <w:r w:rsidRPr="009C29A6">
        <w:rPr>
          <w:lang w:val="fr-FR"/>
        </w:rPr>
        <w:t xml:space="preserve">, Brussel, Larcier, 2022, (79) 96; T. HENRION, </w:t>
      </w:r>
      <w:r w:rsidRPr="009C29A6">
        <w:rPr>
          <w:i/>
          <w:lang w:val="fr-FR"/>
        </w:rPr>
        <w:t>La réforme du droit pénal sexuel</w:t>
      </w:r>
      <w:r w:rsidRPr="009C29A6">
        <w:rPr>
          <w:lang w:val="fr-FR"/>
        </w:rPr>
        <w:t xml:space="preserve">, Limal, Anthemis, 2022, 19; M. COP en T. HENRION, </w:t>
      </w:r>
      <w:r w:rsidRPr="009C29A6">
        <w:rPr>
          <w:i/>
          <w:lang w:val="fr-FR"/>
        </w:rPr>
        <w:t xml:space="preserve">Het nieuwe seksueel strafrecht. </w:t>
      </w:r>
      <w:r w:rsidRPr="00963830">
        <w:rPr>
          <w:i/>
        </w:rPr>
        <w:t>Artikelsgewijze bespreking van de hervorming anno 2022,</w:t>
      </w:r>
      <w:r w:rsidRPr="00963830">
        <w:t xml:space="preserve"> Leuven, LeA Uitgevers, 2022, 8.</w:t>
      </w:r>
    </w:p>
  </w:footnote>
  <w:footnote w:id="169">
    <w:p w14:paraId="52824CF3" w14:textId="67617C6A" w:rsidR="00BA0376" w:rsidRPr="00963830" w:rsidRDefault="00BA0376" w:rsidP="00D46697">
      <w:pPr>
        <w:pStyle w:val="NoSpacing"/>
      </w:pPr>
      <w:r w:rsidRPr="00963830">
        <w:rPr>
          <w:rStyle w:val="FootnoteReference"/>
        </w:rPr>
        <w:footnoteRef/>
      </w:r>
      <w:r w:rsidRPr="00963830">
        <w:t xml:space="preserve"> </w:t>
      </w:r>
      <w:r w:rsidRPr="00963830">
        <w:rPr>
          <w:i/>
        </w:rPr>
        <w:t>Supra</w:t>
      </w:r>
      <w:r w:rsidRPr="00963830">
        <w:t xml:space="preserve"> nr. 24.</w:t>
      </w:r>
    </w:p>
  </w:footnote>
  <w:footnote w:id="170">
    <w:p w14:paraId="5EA95FFA" w14:textId="346B120E" w:rsidR="00BA0376" w:rsidRPr="00963830" w:rsidRDefault="00BA0376" w:rsidP="00613E6B">
      <w:pPr>
        <w:pStyle w:val="NoSpacing"/>
      </w:pPr>
      <w:r w:rsidRPr="00963830">
        <w:rPr>
          <w:rStyle w:val="FootnoteReference"/>
        </w:rPr>
        <w:footnoteRef/>
      </w:r>
      <w:r w:rsidRPr="00963830">
        <w:t xml:space="preserve"> </w:t>
      </w:r>
      <w:r w:rsidRPr="00963830">
        <w:rPr>
          <w:i/>
        </w:rPr>
        <w:t>Hand</w:t>
      </w:r>
      <w:r w:rsidRPr="00963830">
        <w:t xml:space="preserve">. Kamer commissie voor justitie 2020-21, 23 december 2021, nr. 55-2141/006, 11 e.v. </w:t>
      </w:r>
    </w:p>
  </w:footnote>
  <w:footnote w:id="171">
    <w:p w14:paraId="0CC4AB95" w14:textId="45B7B0E9" w:rsidR="00BA0376" w:rsidRPr="00963830" w:rsidRDefault="00BA0376" w:rsidP="00613E6B">
      <w:pPr>
        <w:pStyle w:val="NoSpacing"/>
      </w:pPr>
      <w:r w:rsidRPr="00963830">
        <w:rPr>
          <w:rStyle w:val="FootnoteReference"/>
        </w:rPr>
        <w:footnoteRef/>
      </w:r>
      <w:r w:rsidRPr="00963830">
        <w:t xml:space="preserve"> Art. 417/6, §1 Sw.</w:t>
      </w:r>
    </w:p>
  </w:footnote>
  <w:footnote w:id="172">
    <w:p w14:paraId="31050386" w14:textId="565AC433" w:rsidR="00BA0376" w:rsidRPr="00963830" w:rsidRDefault="00BA0376" w:rsidP="00613E6B">
      <w:pPr>
        <w:pStyle w:val="NoSpacing"/>
      </w:pPr>
      <w:r w:rsidRPr="00963830">
        <w:rPr>
          <w:rStyle w:val="FootnoteReference"/>
        </w:rPr>
        <w:footnoteRef/>
      </w:r>
      <w:r w:rsidRPr="00963830">
        <w:t xml:space="preserve"> B. SPRIET e.a. (eds.), “Actualia seksueel strafrecht”, </w:t>
      </w:r>
      <w:r w:rsidRPr="00963830">
        <w:rPr>
          <w:i/>
        </w:rPr>
        <w:t>supra</w:t>
      </w:r>
      <w:r w:rsidRPr="00963830">
        <w:t xml:space="preserve"> vn. 48, 14-15; J. ROZIE en J. DE HERDT, “overgangsrecht seksueel strafrecht”, </w:t>
      </w:r>
      <w:r w:rsidRPr="00963830">
        <w:rPr>
          <w:i/>
        </w:rPr>
        <w:t>supra</w:t>
      </w:r>
      <w:r w:rsidRPr="00963830">
        <w:t xml:space="preserve"> vn. 7, 191.</w:t>
      </w:r>
    </w:p>
  </w:footnote>
  <w:footnote w:id="173">
    <w:p w14:paraId="1A5C90C0" w14:textId="6D0BE48F" w:rsidR="00BA0376" w:rsidRPr="00963830" w:rsidRDefault="00BA0376" w:rsidP="00613E6B">
      <w:pPr>
        <w:pStyle w:val="NoSpacing"/>
      </w:pPr>
      <w:r w:rsidRPr="00963830">
        <w:rPr>
          <w:rStyle w:val="FootnoteReference"/>
        </w:rPr>
        <w:footnoteRef/>
      </w:r>
      <w:r w:rsidRPr="00963830">
        <w:t xml:space="preserve"> Verslag van de eerste lezing bij het wetsontwerp houdende wijzigingen aan het Strafwetboek met betrekking tot het seksueel strafrecht e.a., Parl.St. 2021-22, nr. 55-2141/006, 348; J. ROZIE en J. DE HERDT, “overgangsrecht seksueel strafrecht”, </w:t>
      </w:r>
      <w:r w:rsidRPr="00963830">
        <w:rPr>
          <w:i/>
        </w:rPr>
        <w:t>supra</w:t>
      </w:r>
      <w:r w:rsidRPr="00963830">
        <w:t xml:space="preserve"> vn. 7, 190.</w:t>
      </w:r>
    </w:p>
  </w:footnote>
  <w:footnote w:id="174">
    <w:p w14:paraId="73A61F11" w14:textId="10FDAD19" w:rsidR="00BA0376" w:rsidRPr="00963830" w:rsidRDefault="00BA0376" w:rsidP="00613E6B">
      <w:pPr>
        <w:pStyle w:val="NoSpacing"/>
      </w:pPr>
      <w:r w:rsidRPr="00963830">
        <w:rPr>
          <w:rStyle w:val="FootnoteReference"/>
        </w:rPr>
        <w:footnoteRef/>
      </w:r>
      <w:r w:rsidRPr="00963830">
        <w:t xml:space="preserve"> Amendement (K. GABRIËLS) op het wetsontwerp houdende wijzigingen aan het Strafwetboek met betrekking tot het seksueel strafrecht, </w:t>
      </w:r>
      <w:r w:rsidRPr="00963830">
        <w:rPr>
          <w:i/>
        </w:rPr>
        <w:t>Parl.St.</w:t>
      </w:r>
      <w:r w:rsidRPr="00963830">
        <w:t xml:space="preserve"> Kamer, nr. 55-2141/003, 26; J. ROZIE en J. DE HERDT, “overgangsrecht seksueel strafrecht”, </w:t>
      </w:r>
      <w:r w:rsidRPr="00963830">
        <w:rPr>
          <w:i/>
        </w:rPr>
        <w:t>supra</w:t>
      </w:r>
      <w:r w:rsidRPr="00963830">
        <w:t xml:space="preserve"> vn. 7, 191.</w:t>
      </w:r>
    </w:p>
  </w:footnote>
  <w:footnote w:id="175">
    <w:p w14:paraId="70C96A01" w14:textId="1568ED8E"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190-191; M. COP en T. HENRION, </w:t>
      </w:r>
      <w:r w:rsidRPr="00963830">
        <w:rPr>
          <w:i/>
        </w:rPr>
        <w:t>Het nieuwe seksueel strafrecht. Artikelsgewijze bespreking van de hervorming anno 2022,</w:t>
      </w:r>
      <w:r w:rsidRPr="00963830">
        <w:t xml:space="preserve"> Leuven, LeA Uitgevers, 2022, 13; T. HENRION, </w:t>
      </w:r>
      <w:r w:rsidRPr="00963830">
        <w:rPr>
          <w:i/>
        </w:rPr>
        <w:t>La réforme du droit pénal sexuel</w:t>
      </w:r>
      <w:r w:rsidRPr="00963830">
        <w:t>, Limal, Anthemis, 2022, 23.</w:t>
      </w:r>
    </w:p>
  </w:footnote>
  <w:footnote w:id="176">
    <w:p w14:paraId="217A04F4" w14:textId="12FC7288" w:rsidR="00BA0376" w:rsidRPr="009C29A6" w:rsidRDefault="00BA0376" w:rsidP="004446BF">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3.</w:t>
      </w:r>
    </w:p>
  </w:footnote>
  <w:footnote w:id="177">
    <w:p w14:paraId="699C48D3" w14:textId="19F087E7" w:rsidR="00BA0376" w:rsidRPr="00963830" w:rsidRDefault="00BA0376" w:rsidP="00613E6B">
      <w:pPr>
        <w:pStyle w:val="NoSpacing"/>
      </w:pPr>
      <w:r w:rsidRPr="00963830">
        <w:rPr>
          <w:rStyle w:val="FootnoteReference"/>
        </w:rPr>
        <w:footnoteRef/>
      </w:r>
      <w:r w:rsidRPr="009C29A6">
        <w:rPr>
          <w:lang w:val="fr-FR"/>
        </w:rPr>
        <w:t xml:space="preserve"> J. ROZIE en J. DE HERDT, “overgangsrecht seksueel strafrecht”, </w:t>
      </w:r>
      <w:r w:rsidRPr="009C29A6">
        <w:rPr>
          <w:i/>
          <w:lang w:val="fr-FR"/>
        </w:rPr>
        <w:t>supra</w:t>
      </w:r>
      <w:r w:rsidRPr="009C29A6">
        <w:rPr>
          <w:lang w:val="fr-FR"/>
        </w:rPr>
        <w:t xml:space="preserve"> vn. 7, 189-190; M. ALIÉ, “La notion de consentement dans le nouveau Code pénal sexuel : fil d’Ariane ou future pierre d’achoppement?” in A. RIZZO (ed.), </w:t>
      </w:r>
      <w:r w:rsidRPr="009C29A6">
        <w:rPr>
          <w:i/>
          <w:lang w:val="fr-FR"/>
        </w:rPr>
        <w:t>Le nouveau droit pénal sexuel</w:t>
      </w:r>
      <w:r w:rsidRPr="009C29A6">
        <w:rPr>
          <w:lang w:val="fr-FR"/>
        </w:rPr>
        <w:t xml:space="preserve">, Brussel, Larcier, 2022, (79) 105-106; M. COP en T. HENRION, </w:t>
      </w:r>
      <w:r w:rsidRPr="009C29A6">
        <w:rPr>
          <w:i/>
          <w:lang w:val="fr-FR"/>
        </w:rPr>
        <w:t xml:space="preserve">Het nieuwe seksueel strafrecht. </w:t>
      </w:r>
      <w:r w:rsidRPr="00963830">
        <w:rPr>
          <w:i/>
        </w:rPr>
        <w:t>Artikelsgewijze bespreking van de hervorming anno 2022,</w:t>
      </w:r>
      <w:r w:rsidRPr="00963830">
        <w:t xml:space="preserve"> Leuven, LeA Uitgevers, 2022, 13-14; T. HENRION, </w:t>
      </w:r>
      <w:r w:rsidRPr="00963830">
        <w:rPr>
          <w:i/>
        </w:rPr>
        <w:t>La réforme du droit pénal sexuel</w:t>
      </w:r>
      <w:r w:rsidRPr="00963830">
        <w:t>, Limal, Anthemis, 2022, 23-24.</w:t>
      </w:r>
    </w:p>
  </w:footnote>
  <w:footnote w:id="178">
    <w:p w14:paraId="29860681" w14:textId="57F28393" w:rsidR="00BA0376" w:rsidRPr="00963830" w:rsidRDefault="00BA0376" w:rsidP="00613E6B">
      <w:pPr>
        <w:pStyle w:val="NoSpacing"/>
      </w:pPr>
      <w:r w:rsidRPr="00963830">
        <w:rPr>
          <w:rStyle w:val="FootnoteReference"/>
        </w:rPr>
        <w:footnoteRef/>
      </w:r>
      <w:r w:rsidRPr="00963830">
        <w:t xml:space="preserve"> Zie oud art. 372 en 373 Sw. enerzijds en art. 417/7 Sw. anderzijds. </w:t>
      </w:r>
    </w:p>
  </w:footnote>
  <w:footnote w:id="179">
    <w:p w14:paraId="00A9D311" w14:textId="77777777" w:rsidR="00BA0376" w:rsidRPr="009C29A6" w:rsidRDefault="00BA0376" w:rsidP="00D46697">
      <w:pPr>
        <w:pStyle w:val="NoSpacing"/>
        <w:rPr>
          <w:lang w:val="fr-FR"/>
        </w:rPr>
      </w:pPr>
      <w:r w:rsidRPr="00963830">
        <w:rPr>
          <w:rStyle w:val="FootnoteReference"/>
        </w:rPr>
        <w:footnoteRef/>
      </w:r>
      <w:r w:rsidRPr="00963830">
        <w:t xml:space="preserve"> Zie evenwel volgende minderheidsvisie van </w:t>
      </w:r>
      <w:r w:rsidRPr="00963830">
        <w:rPr>
          <w:color w:val="000000" w:themeColor="text1"/>
        </w:rPr>
        <w:t xml:space="preserve">KARCHER en BASTYNS. Zij voeren aan dat een bijzonder opzet vereist is voor het misdrijf aantasting van de seksuele integriteit (art. 417/7 Sw.). Zij baseren zich hiervoor op een arrest van het Hof van Cassatie van 30 september 2007, hetgeen nog handelde over het misdrijf aanranding van de eerbaarheid (oud art. 372 en 373 Sw.). Cassatie stelde in voornoemd arrest dat de dader van aanranding van de eerbaarheid de handeling moest willen stellen die door de wet verboden is en dat die bovendien moest weten dat deze gedragingen “immoreel of obsceen” waren. Aangezien het ging om een arrest dat handelde over het misdrijf aanranding van de eerbaarheid en beide auteurs deze visie verdedigen in hun bespreking van het nieuwe misdrijf aantasting van de seksuele integriteit, kan ervan worden uitgegaan dat auteurs zowel voor wat betreft het misdrijf aanranding van de eerbaarheid, als voor wat betreft het misdrijf aantasting van de seksuele integriteit, menen dat hiervoor een bijzonder opzet vereist is. </w:t>
      </w:r>
      <w:r w:rsidRPr="009C29A6">
        <w:rPr>
          <w:color w:val="000000" w:themeColor="text1"/>
          <w:lang w:val="fr-FR"/>
        </w:rPr>
        <w:t xml:space="preserve">Zie: </w:t>
      </w:r>
      <w:r w:rsidRPr="009C29A6">
        <w:rPr>
          <w:lang w:val="fr-FR"/>
        </w:rPr>
        <w:t xml:space="preserve">A. KARCHER en O. BASTYNS, “L’atteinte à l’intégrité sexuelle et le viol” in A. RIZZO (ed.), </w:t>
      </w:r>
      <w:r w:rsidRPr="009C29A6">
        <w:rPr>
          <w:i/>
          <w:lang w:val="fr-FR"/>
        </w:rPr>
        <w:t>Le nouveau droit pénal sexuel</w:t>
      </w:r>
      <w:r w:rsidRPr="009C29A6">
        <w:rPr>
          <w:lang w:val="fr-FR"/>
        </w:rPr>
        <w:t>, Brussel, Larcier, 2022, (109) 116.</w:t>
      </w:r>
    </w:p>
  </w:footnote>
  <w:footnote w:id="180">
    <w:p w14:paraId="79CCEC78" w14:textId="2D97CC31"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178.</w:t>
      </w:r>
    </w:p>
    <w:p w14:paraId="2F4839FF" w14:textId="2C6D5744" w:rsidR="00BA0376" w:rsidRPr="00963830" w:rsidRDefault="00BA0376" w:rsidP="00613E6B">
      <w:pPr>
        <w:pStyle w:val="NoSpacing"/>
      </w:pPr>
      <w:r w:rsidRPr="00963830">
        <w:t xml:space="preserve">In de omzendbrief van het College van Procureurs-generaal van 9 juni 2022 wordt evenwel op het einde van de uiteenzetting bij het misdrijf van aantasting van de seksuele integriteit gesteld dat hiervoor een “bijzonder opzet” vereist is. Het College van Procureurs-generaal gaf hierbij evenwel geen verdere toelichting. Zie </w:t>
      </w:r>
      <w:r w:rsidRPr="00963830">
        <w:rPr>
          <w:rFonts w:cs="Verdana"/>
        </w:rPr>
        <w:t xml:space="preserve">Omz. seksueel strafrecht, </w:t>
      </w:r>
      <w:r w:rsidRPr="00963830">
        <w:rPr>
          <w:rFonts w:cs="Verdana"/>
          <w:i/>
        </w:rPr>
        <w:t>supra</w:t>
      </w:r>
      <w:r w:rsidRPr="00963830">
        <w:rPr>
          <w:rFonts w:cs="Verdana"/>
        </w:rPr>
        <w:t xml:space="preserve"> vn. 79, 23. Dit bleek evenwel een vergissing te zijn (mail 16 maart 2023): het College van procureurs generaal vereist voor het misdrijf van aantasting van de seksuele integriteit wel degelijk een algemeen opzet. Zie bijlage 2. </w:t>
      </w:r>
    </w:p>
  </w:footnote>
  <w:footnote w:id="181">
    <w:p w14:paraId="6642FBD5" w14:textId="69CBDA84" w:rsidR="00BA0376" w:rsidRPr="00963830" w:rsidRDefault="00BA0376" w:rsidP="00D46697">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nrs. 30 e.v.</w:t>
      </w:r>
    </w:p>
  </w:footnote>
  <w:footnote w:id="182">
    <w:p w14:paraId="7D139471" w14:textId="3CBF8A36" w:rsidR="00BA0376" w:rsidRPr="00963830" w:rsidRDefault="00BA0376" w:rsidP="00984D83">
      <w:pPr>
        <w:pStyle w:val="NoSpacing"/>
      </w:pPr>
      <w:r w:rsidRPr="00963830">
        <w:rPr>
          <w:rStyle w:val="FootnoteReference"/>
        </w:rPr>
        <w:footnoteRef/>
      </w:r>
      <w:r w:rsidRPr="00963830">
        <w:rPr>
          <w:i/>
          <w:color w:val="000000" w:themeColor="text1"/>
        </w:rPr>
        <w:t xml:space="preserve"> Supra </w:t>
      </w:r>
      <w:r w:rsidRPr="00963830">
        <w:rPr>
          <w:color w:val="000000" w:themeColor="text1"/>
        </w:rPr>
        <w:t>nr. 4.</w:t>
      </w:r>
    </w:p>
  </w:footnote>
  <w:footnote w:id="183">
    <w:p w14:paraId="34EC484E" w14:textId="0515EEFF" w:rsidR="00BA0376" w:rsidRPr="00963830" w:rsidRDefault="00BA0376" w:rsidP="00984D83">
      <w:pPr>
        <w:pStyle w:val="NoSpacing"/>
      </w:pPr>
      <w:r w:rsidRPr="00963830">
        <w:rPr>
          <w:rStyle w:val="FootnoteReference"/>
        </w:rPr>
        <w:footnoteRef/>
      </w:r>
      <w:r w:rsidRPr="00963830">
        <w:rPr>
          <w:i/>
          <w:color w:val="000000" w:themeColor="text1"/>
        </w:rPr>
        <w:t xml:space="preserve"> Ibid.</w:t>
      </w:r>
    </w:p>
  </w:footnote>
  <w:footnote w:id="184">
    <w:p w14:paraId="063A557C" w14:textId="2ECCE66E" w:rsidR="00BA0376" w:rsidRPr="00963830" w:rsidRDefault="00BA0376" w:rsidP="00613E6B">
      <w:pPr>
        <w:pStyle w:val="NoSpacing"/>
      </w:pPr>
      <w:r w:rsidRPr="00963830">
        <w:rPr>
          <w:rStyle w:val="FootnoteReference"/>
        </w:rPr>
        <w:footnoteRef/>
      </w:r>
      <w:r w:rsidRPr="00963830">
        <w:t xml:space="preserve"> Aangezien deze masterscriptie focust op de delictstypiciteit en niet op de bestraffing, zal in wat volgt niet worden ingegaan op de mogelijke temporele werking van de bestraffing voorzien in de nieuwe wet. Toch heeft dit geenszins tot gevolg dat enkel de bespreking van de temporele werking van de constitutieve bestanddelen van het misdrijf nutteloos zou zijn (</w:t>
      </w:r>
      <w:r w:rsidRPr="00963830">
        <w:rPr>
          <w:i/>
        </w:rPr>
        <w:t xml:space="preserve">infra </w:t>
      </w:r>
      <w:r w:rsidRPr="00963830">
        <w:t>nr. 76).</w:t>
      </w:r>
    </w:p>
  </w:footnote>
  <w:footnote w:id="185">
    <w:p w14:paraId="414C2D18" w14:textId="60BD666D" w:rsidR="00BA0376" w:rsidRPr="00963830" w:rsidRDefault="00BA0376" w:rsidP="00613E6B">
      <w:pPr>
        <w:pStyle w:val="NoSpacing"/>
        <w:rPr>
          <w:rFonts w:cs="Verdana"/>
        </w:rPr>
      </w:pPr>
      <w:r w:rsidRPr="00963830">
        <w:rPr>
          <w:rStyle w:val="FootnoteReference"/>
        </w:rPr>
        <w:footnoteRef/>
      </w:r>
      <w:r w:rsidRPr="00963830">
        <w:t xml:space="preserve"> </w:t>
      </w:r>
      <w:r w:rsidRPr="00963830">
        <w:rPr>
          <w:rFonts w:cs="Verdana"/>
        </w:rPr>
        <w:t xml:space="preserve">Omz. seksueel strafrecht, </w:t>
      </w:r>
      <w:r w:rsidRPr="00963830">
        <w:rPr>
          <w:rFonts w:cs="Verdana"/>
          <w:i/>
        </w:rPr>
        <w:t>supra</w:t>
      </w:r>
      <w:r w:rsidRPr="00963830">
        <w:rPr>
          <w:rFonts w:cs="Verdana"/>
        </w:rPr>
        <w:t xml:space="preserve"> vn. 79, 79-81.</w:t>
      </w:r>
    </w:p>
  </w:footnote>
  <w:footnote w:id="186">
    <w:p w14:paraId="122BE2D0" w14:textId="77777777"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Art. 118 van de wet van 21</w:t>
      </w:r>
      <w:r w:rsidRPr="00963830">
        <w:t xml:space="preserve"> maart 2022 “houdende wijzigingen aan het Strafwetboek met betrekking tot het seksueel strafrecht’, </w:t>
      </w:r>
      <w:r w:rsidRPr="00963830">
        <w:rPr>
          <w:i/>
        </w:rPr>
        <w:t>BS</w:t>
      </w:r>
      <w:r w:rsidRPr="00963830">
        <w:t xml:space="preserve"> 30 maart 2022.</w:t>
      </w:r>
    </w:p>
  </w:footnote>
  <w:footnote w:id="187">
    <w:p w14:paraId="5218E2D9" w14:textId="05485FF5" w:rsidR="00BA0376" w:rsidRPr="00963830" w:rsidRDefault="00BA0376" w:rsidP="00984D83">
      <w:pPr>
        <w:pStyle w:val="NoSpacing"/>
      </w:pPr>
      <w:r w:rsidRPr="00963830">
        <w:rPr>
          <w:rStyle w:val="FootnoteReference"/>
        </w:rPr>
        <w:footnoteRef/>
      </w:r>
      <w:r w:rsidRPr="00963830">
        <w:t xml:space="preserve"> Het moment van uitspraak is bepalend voor de temporele werking van de wet van 21 maart 2022, niet bijvoorbeeld de datum waarop de zaak in beraad werd genomen. Aldus dienen vonnissen en arresten die worden gewezen na 1 juni 2022 rekening houden met de bepalingen van de wet van 21 maart 2022. Zie: R. VERSTRAETEN en F. VERBRUGGEN, </w:t>
      </w:r>
      <w:r w:rsidRPr="00963830">
        <w:rPr>
          <w:i/>
        </w:rPr>
        <w:t>Inleiding tot het Belgische strafrecht en strafprocesrecht</w:t>
      </w:r>
      <w:r w:rsidRPr="00963830">
        <w:t>, Antwerpen, Intersentia, 2023, 29.</w:t>
      </w:r>
    </w:p>
  </w:footnote>
  <w:footnote w:id="188">
    <w:p w14:paraId="155863EE" w14:textId="0E3F2FDE" w:rsidR="00BA0376" w:rsidRPr="00963830" w:rsidRDefault="00BA0376" w:rsidP="00256091">
      <w:pPr>
        <w:pStyle w:val="NoSpacing"/>
      </w:pPr>
      <w:r w:rsidRPr="00963830">
        <w:rPr>
          <w:rStyle w:val="FootnoteReference"/>
        </w:rPr>
        <w:footnoteRef/>
      </w:r>
      <w:r w:rsidRPr="00963830">
        <w:t xml:space="preserve"> R. VERSTRAETEN en F. VERBRUGGEN, </w:t>
      </w:r>
      <w:r w:rsidRPr="00963830">
        <w:rPr>
          <w:i/>
        </w:rPr>
        <w:t>Inleiding tot het Belgische strafrecht en strafprocesrecht</w:t>
      </w:r>
      <w:r w:rsidRPr="00963830">
        <w:t>, Antwerpen, Intersentia, 2023, 29.</w:t>
      </w:r>
    </w:p>
  </w:footnote>
  <w:footnote w:id="189">
    <w:p w14:paraId="5CBF50D4" w14:textId="198D2F21"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w:t>
      </w:r>
      <w:r w:rsidRPr="00963830">
        <w:rPr>
          <w:color w:val="000000" w:themeColor="text1"/>
          <w:sz w:val="16"/>
          <w:szCs w:val="16"/>
        </w:rPr>
        <w:t xml:space="preserve">Het beginsel van niet-retroactiviteit in het strafrecht (en de uitzondering erop) vloeien niet alleen voort uit art. 2 Sw., maar ook uit art. 7.1 EVRM en 15.1 BUPO (en art. 49 van het Handvest van de Grondrechten van de Europese Unie, in zoverre het een bepaling betreft die het unierecht omzet in nationaal recht). Zowel het Grondwettelijk Hof als het Hof van Cassatie erkenden de niet-retroactiviteit van de Strafwet bovendien als een algemeen rechtsbeginsel. Zie: </w:t>
      </w:r>
      <w:r w:rsidRPr="00963830">
        <w:rPr>
          <w:sz w:val="16"/>
          <w:szCs w:val="16"/>
        </w:rPr>
        <w:t xml:space="preserve">GwH 16 januari 2020, nr. 1/2020, overw. B.3.2; GwH 15 mei 2017, nr. 76/2017, overw. B.2.4; GwH 11 mei 2017, nr. 54/2017, overw. B.3.2; GwH 22 december 2016, nr. 168/2016, overw. B.2.4; Cass. 17 mei 2005, </w:t>
      </w:r>
      <w:r w:rsidRPr="00963830">
        <w:rPr>
          <w:i/>
          <w:sz w:val="16"/>
          <w:szCs w:val="16"/>
        </w:rPr>
        <w:t>Arr.Cass.</w:t>
      </w:r>
      <w:r w:rsidRPr="00963830">
        <w:rPr>
          <w:sz w:val="16"/>
          <w:szCs w:val="16"/>
        </w:rPr>
        <w:t xml:space="preserve"> 2005, nr. 282; J. ROZIE en J. DE HERDT, “overgangsrecht seksueel strafrecht”, </w:t>
      </w:r>
      <w:r w:rsidRPr="00963830">
        <w:rPr>
          <w:i/>
          <w:sz w:val="16"/>
          <w:szCs w:val="16"/>
        </w:rPr>
        <w:t>supra</w:t>
      </w:r>
      <w:r w:rsidRPr="00963830">
        <w:rPr>
          <w:sz w:val="16"/>
          <w:szCs w:val="16"/>
        </w:rPr>
        <w:t xml:space="preserve"> vn. 7, 173; J. </w:t>
      </w:r>
      <w:r w:rsidRPr="00963830">
        <w:rPr>
          <w:color w:val="000000" w:themeColor="text1"/>
          <w:sz w:val="16"/>
          <w:szCs w:val="16"/>
        </w:rPr>
        <w:t xml:space="preserve">THEUNIS, </w:t>
      </w:r>
      <w:r w:rsidRPr="00963830">
        <w:rPr>
          <w:i/>
          <w:color w:val="000000" w:themeColor="text1"/>
          <w:sz w:val="16"/>
          <w:szCs w:val="16"/>
        </w:rPr>
        <w:t>De exceptie van onwettigheid</w:t>
      </w:r>
      <w:r w:rsidRPr="00963830">
        <w:rPr>
          <w:color w:val="000000" w:themeColor="text1"/>
          <w:sz w:val="16"/>
          <w:szCs w:val="16"/>
        </w:rPr>
        <w:t>, onuitg. doctoraatsthesis rechten KU Leuven, 201</w:t>
      </w:r>
      <w:r>
        <w:rPr>
          <w:color w:val="000000" w:themeColor="text1"/>
        </w:rPr>
        <w:t>1,</w:t>
      </w:r>
      <w:r w:rsidRPr="00963830">
        <w:rPr>
          <w:rFonts w:eastAsia="Verdana" w:cs="Verdana"/>
          <w:sz w:val="16"/>
          <w:szCs w:val="16"/>
        </w:rPr>
        <w:t xml:space="preserve"> </w:t>
      </w:r>
      <w:r w:rsidRPr="001B3B38">
        <w:rPr>
          <w:sz w:val="16"/>
          <w:szCs w:val="16"/>
        </w:rPr>
        <w:t>https://lirias.kuleuven.be/retrieve/152319</w:t>
      </w:r>
      <w:r>
        <w:rPr>
          <w:rFonts w:eastAsia="Verdana" w:cs="Verdana"/>
        </w:rPr>
        <w:t xml:space="preserve">, </w:t>
      </w:r>
      <w:r w:rsidRPr="00963830">
        <w:rPr>
          <w:color w:val="000000" w:themeColor="text1"/>
          <w:sz w:val="16"/>
          <w:szCs w:val="16"/>
        </w:rPr>
        <w:t xml:space="preserve">32; </w:t>
      </w:r>
      <w:r w:rsidRPr="00963830">
        <w:rPr>
          <w:sz w:val="16"/>
          <w:szCs w:val="16"/>
        </w:rPr>
        <w:t>R. VERSTRAETEN en F. VERBRUGGEN, Strafrecht en strafprocesrecht voor bachelors, Antwerpen, Intersentia, 2022, 514-515.</w:t>
      </w:r>
    </w:p>
  </w:footnote>
  <w:footnote w:id="190">
    <w:p w14:paraId="2E95E9DD" w14:textId="768CC53E" w:rsidR="00BA0376" w:rsidRPr="00963830" w:rsidRDefault="00BA0376" w:rsidP="00613E6B">
      <w:pPr>
        <w:pStyle w:val="NoSpacing"/>
      </w:pPr>
      <w:r w:rsidRPr="00963830">
        <w:rPr>
          <w:rStyle w:val="FootnoteReference"/>
        </w:rPr>
        <w:footnoteRef/>
      </w:r>
      <w:r w:rsidRPr="00963830">
        <w:t xml:space="preserve"> F. DERUYCK en Y. VAN LANDEGHEM, </w:t>
      </w:r>
      <w:r w:rsidRPr="00963830">
        <w:rPr>
          <w:i/>
        </w:rPr>
        <w:t>Overzicht van het Belgisch algemeen strafrecht</w:t>
      </w:r>
      <w:r w:rsidRPr="00963830">
        <w:t xml:space="preserve">, Brugge, die Keure, 2021, 21; R. VERSTRAETEN en F. VERBRUGGEN, </w:t>
      </w:r>
      <w:r w:rsidRPr="00963830">
        <w:rPr>
          <w:i/>
        </w:rPr>
        <w:t>Strafrecht en strafprocesrecht voor bachelors</w:t>
      </w:r>
      <w:r w:rsidRPr="00963830">
        <w:t xml:space="preserve">, Antwerpen, Intersentia, 2022, 512-515; T. VANCOOPPERNOLLE, </w:t>
      </w:r>
      <w:r w:rsidRPr="00963830">
        <w:rPr>
          <w:i/>
        </w:rPr>
        <w:t>Intertemporeel recht</w:t>
      </w:r>
      <w:r w:rsidRPr="00963830">
        <w:t>, Antwerpen, Intersentia, 2019, 210-220.</w:t>
      </w:r>
    </w:p>
  </w:footnote>
  <w:footnote w:id="191">
    <w:p w14:paraId="3AD830A4" w14:textId="40D87CF0" w:rsidR="00BA0376" w:rsidRPr="00963830" w:rsidRDefault="00BA0376" w:rsidP="00613E6B">
      <w:pPr>
        <w:pStyle w:val="NoSpacing"/>
      </w:pPr>
      <w:r w:rsidRPr="00963830">
        <w:rPr>
          <w:rStyle w:val="FootnoteReference"/>
        </w:rPr>
        <w:footnoteRef/>
      </w:r>
      <w:r w:rsidRPr="00963830">
        <w:t xml:space="preserve"> </w:t>
      </w:r>
      <w:r w:rsidRPr="00963830">
        <w:rPr>
          <w:rFonts w:cs="Verdana"/>
        </w:rPr>
        <w:t xml:space="preserve">Omz. seksueel strafrecht, </w:t>
      </w:r>
      <w:r w:rsidRPr="00963830">
        <w:rPr>
          <w:rFonts w:cs="Verdana"/>
          <w:i/>
        </w:rPr>
        <w:t>supra</w:t>
      </w:r>
      <w:r w:rsidRPr="00963830">
        <w:rPr>
          <w:rFonts w:cs="Verdana"/>
        </w:rPr>
        <w:t xml:space="preserve"> vn. 79, 79; </w:t>
      </w:r>
      <w:r w:rsidRPr="00963830">
        <w:t xml:space="preserve">GwH 15 mei 2017, nr. 76/2017; Cass. 22 maart 1994, </w:t>
      </w:r>
      <w:r w:rsidRPr="00963830">
        <w:rPr>
          <w:i/>
        </w:rPr>
        <w:t>Pas.,</w:t>
      </w:r>
      <w:r w:rsidRPr="00963830">
        <w:t xml:space="preserve"> 1994, I, 923</w:t>
      </w:r>
      <w:r w:rsidRPr="00963830">
        <w:rPr>
          <w:rFonts w:cs="Verdana"/>
        </w:rPr>
        <w:t xml:space="preserve">; </w:t>
      </w:r>
      <w:r w:rsidRPr="00963830">
        <w:t xml:space="preserve">F. DERUYCK en Y. VAN LANDEGHEM, </w:t>
      </w:r>
      <w:r w:rsidRPr="00963830">
        <w:rPr>
          <w:i/>
        </w:rPr>
        <w:t>Overzicht van het Belgisch algemeen strafrecht</w:t>
      </w:r>
      <w:r w:rsidRPr="00963830">
        <w:t xml:space="preserve">, Brugge, die Keure, 2021, 21; J. ROZIE en J. DE HERDT, “overgangsrecht seksueel strafrecht”, </w:t>
      </w:r>
      <w:r w:rsidRPr="00963830">
        <w:rPr>
          <w:i/>
        </w:rPr>
        <w:t>supra</w:t>
      </w:r>
      <w:r w:rsidRPr="00963830">
        <w:t xml:space="preserve"> vn. 7, 174; R. VERSTRAETEN en F. VERBRUGGEN, </w:t>
      </w:r>
      <w:r w:rsidRPr="00963830">
        <w:rPr>
          <w:i/>
        </w:rPr>
        <w:t>Strafrecht en strafprocesrecht voor bachelors</w:t>
      </w:r>
      <w:r w:rsidRPr="00963830">
        <w:t>, Antwerpen, Intersentia, 2022, 512-515.</w:t>
      </w:r>
    </w:p>
  </w:footnote>
  <w:footnote w:id="192">
    <w:p w14:paraId="6D4FB90E" w14:textId="6B70B6BC" w:rsidR="00BA0376" w:rsidRPr="00963830" w:rsidRDefault="00BA0376" w:rsidP="00613E6B">
      <w:pPr>
        <w:pStyle w:val="NoSpacing"/>
      </w:pPr>
      <w:r w:rsidRPr="00963830">
        <w:rPr>
          <w:rStyle w:val="FootnoteReference"/>
        </w:rPr>
        <w:footnoteRef/>
      </w:r>
      <w:r w:rsidRPr="00963830">
        <w:t xml:space="preserve"> Cass. 26 april 2010, </w:t>
      </w:r>
      <w:r w:rsidRPr="00963830">
        <w:rPr>
          <w:i/>
        </w:rPr>
        <w:t>Arr.Cass.</w:t>
      </w:r>
      <w:r w:rsidRPr="00963830">
        <w:t xml:space="preserve"> 2010, 283; J. ROZIE en J. DE HERDT, “overgangsrecht seksueel strafrecht”, </w:t>
      </w:r>
      <w:r w:rsidRPr="00963830">
        <w:rPr>
          <w:i/>
        </w:rPr>
        <w:t>supra</w:t>
      </w:r>
      <w:r w:rsidRPr="00963830">
        <w:t xml:space="preserve"> vn. 7, 175; P. WAETERINCKX, “Effent de rechtspraak van het Grondwettelijk Hof (stilaan) het pad naar de distributieve toepassing van artikel 2 Sw.?” in A. DE NAUW, D. DE WOLF, M. ROZIE, P. WAETERINCKX en A. WINANTS, </w:t>
      </w:r>
      <w:r w:rsidRPr="00963830">
        <w:rPr>
          <w:i/>
        </w:rPr>
        <w:t>Strafrecht meer… dan ooit</w:t>
      </w:r>
      <w:r w:rsidRPr="00963830">
        <w:t>, Brugge, die Keure, 2011, (219) 226.</w:t>
      </w:r>
    </w:p>
  </w:footnote>
  <w:footnote w:id="193">
    <w:p w14:paraId="6B8D780A" w14:textId="6D8EAF74"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174.</w:t>
      </w:r>
    </w:p>
  </w:footnote>
  <w:footnote w:id="194">
    <w:p w14:paraId="137F44A0" w14:textId="64012D44" w:rsidR="00BA0376" w:rsidRPr="00963830" w:rsidRDefault="00BA0376" w:rsidP="00613E6B">
      <w:pPr>
        <w:pStyle w:val="NoSpacing"/>
        <w:rPr>
          <w:b/>
        </w:rPr>
      </w:pPr>
      <w:r w:rsidRPr="00963830">
        <w:rPr>
          <w:rStyle w:val="FootnoteReference"/>
        </w:rPr>
        <w:footnoteRef/>
      </w:r>
      <w:r w:rsidRPr="00963830">
        <w:t xml:space="preserve"> J. ROZIE en J. DE HERDT, “overgangsrecht seksueel strafrecht”, </w:t>
      </w:r>
      <w:r w:rsidRPr="00963830">
        <w:rPr>
          <w:i/>
        </w:rPr>
        <w:t>supra</w:t>
      </w:r>
      <w:r w:rsidRPr="00963830">
        <w:t xml:space="preserve"> vn. 7, 175; R. VERSTRAETEN en F. VERBRUGGEN, </w:t>
      </w:r>
      <w:r w:rsidRPr="00963830">
        <w:rPr>
          <w:i/>
        </w:rPr>
        <w:t>Strafrecht en strafprocesrecht voor bachelors</w:t>
      </w:r>
      <w:r w:rsidRPr="00963830">
        <w:t>, Antwerpen, Intersentia, 2022, 514.</w:t>
      </w:r>
    </w:p>
  </w:footnote>
  <w:footnote w:id="195">
    <w:p w14:paraId="40ADE114" w14:textId="3CB6BEE3"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Voor deze masterscriptie zal het vnl. van belang zijn om uit te maken of het strafbaar stellen van een bepaalde gedraging onder andere voorwaarden dan voordien, een strengere, mildere dan wel gelijkluidende strafbaarstelling oplevert.</w:t>
      </w:r>
      <w:r w:rsidRPr="00963830">
        <w:t xml:space="preserve"> </w:t>
      </w:r>
      <w:r w:rsidRPr="00963830">
        <w:rPr>
          <w:color w:val="000000" w:themeColor="text1"/>
        </w:rPr>
        <w:t>In wat volgt zal dan ook enkel op deze aspecten van de temporele werking van de strafwet worden ingegaan.</w:t>
      </w:r>
    </w:p>
  </w:footnote>
  <w:footnote w:id="196">
    <w:p w14:paraId="5CAB909D" w14:textId="546F39AD" w:rsidR="00BA0376" w:rsidRPr="00963830" w:rsidRDefault="00BA0376" w:rsidP="00613E6B">
      <w:pPr>
        <w:pStyle w:val="NoSpacing"/>
      </w:pPr>
      <w:r w:rsidRPr="00963830">
        <w:rPr>
          <w:rStyle w:val="FootnoteReference"/>
        </w:rPr>
        <w:footnoteRef/>
      </w:r>
      <w:r w:rsidRPr="00963830">
        <w:t xml:space="preserve"> </w:t>
      </w:r>
      <w:r w:rsidRPr="00963830">
        <w:rPr>
          <w:color w:val="000000"/>
        </w:rPr>
        <w:t xml:space="preserve">Cass. 12 november 2019, AR P.19.0566.N; </w:t>
      </w:r>
      <w:r w:rsidRPr="00963830">
        <w:t xml:space="preserve">J. ROZIE en J. DE HERDT, “overgangsrecht seksueel strafrecht”, </w:t>
      </w:r>
      <w:r w:rsidRPr="00963830">
        <w:rPr>
          <w:i/>
        </w:rPr>
        <w:t>supra</w:t>
      </w:r>
      <w:r w:rsidRPr="00963830">
        <w:t xml:space="preserve"> vn. 7, 174.</w:t>
      </w:r>
    </w:p>
  </w:footnote>
  <w:footnote w:id="197">
    <w:p w14:paraId="3CD7C136" w14:textId="0AD653AD" w:rsidR="00BA0376" w:rsidRPr="00963830" w:rsidRDefault="00BA0376" w:rsidP="00613E6B">
      <w:pPr>
        <w:pStyle w:val="NoSpacing"/>
      </w:pPr>
      <w:r w:rsidRPr="00963830">
        <w:rPr>
          <w:rStyle w:val="FootnoteReference"/>
        </w:rPr>
        <w:footnoteRef/>
      </w:r>
      <w:r w:rsidRPr="00963830">
        <w:t xml:space="preserve"> Het Hof van Cassatie zou zich m.i. echter ook kunnen hebben geschaard achter de andere binnen de rechtsleer gangbare opvatting, indien de rechters ten gronde deze zouden hebben verdedigd. Het Hof van Cassatie overwoog immers o.m. het volgende: “</w:t>
      </w:r>
      <w:r w:rsidRPr="00963830">
        <w:rPr>
          <w:i/>
        </w:rPr>
        <w:t>Ten slotte oordeelt het dat de termen dwang, verrassing of list op het ogenblik van de ten laste gelegde feiten weliswaar niet in de wettelijke strafbaarstelling waren opgenomen, maar dat die termen volgen uit de ten tijde van de feiten door de rechtspraak gegeven interpretatie van de begrippen geweld of bedreiging (arrest, p. 41). Met dat oordeel schendt het arrest de door het middel geviseerde bepalingen niet en miskent het evenmin het legaliteitsbeginsel</w:t>
      </w:r>
      <w:r w:rsidRPr="00963830">
        <w:t xml:space="preserve">”. Zie: </w:t>
      </w:r>
      <w:r w:rsidRPr="00963830">
        <w:rPr>
          <w:color w:val="000000"/>
        </w:rPr>
        <w:t>Cass. 12 november 2019, AR P.19.0566.N.).</w:t>
      </w:r>
    </w:p>
  </w:footnote>
  <w:footnote w:id="198">
    <w:p w14:paraId="7C65E1AA" w14:textId="1791875C" w:rsidR="00BA0376" w:rsidRPr="00963830" w:rsidRDefault="00BA0376" w:rsidP="00613E6B">
      <w:pPr>
        <w:pStyle w:val="NoSpacing"/>
      </w:pPr>
      <w:r w:rsidRPr="00963830">
        <w:rPr>
          <w:rStyle w:val="FootnoteReference"/>
        </w:rPr>
        <w:footnoteRef/>
      </w:r>
      <w:r w:rsidRPr="00963830">
        <w:t xml:space="preserve"> Meer in het bijzonder voor de artikelen die in deze masterscriptie uiteengezet worden.</w:t>
      </w:r>
    </w:p>
  </w:footnote>
  <w:footnote w:id="199">
    <w:p w14:paraId="2F6CD0BF" w14:textId="298B3ACB"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182.</w:t>
      </w:r>
    </w:p>
  </w:footnote>
  <w:footnote w:id="200">
    <w:p w14:paraId="145F39F2" w14:textId="2C845798" w:rsidR="00BA0376" w:rsidRPr="00963830" w:rsidRDefault="00BA0376" w:rsidP="00613E6B">
      <w:pPr>
        <w:pStyle w:val="NoSpacing"/>
      </w:pPr>
      <w:r w:rsidRPr="00963830">
        <w:rPr>
          <w:rStyle w:val="FootnoteReference"/>
        </w:rPr>
        <w:footnoteRef/>
      </w:r>
      <w:r w:rsidRPr="00963830">
        <w:t xml:space="preserve"> F. DERUYCK en Y. VAN LANDEGHEM, </w:t>
      </w:r>
      <w:r w:rsidRPr="00963830">
        <w:rPr>
          <w:i/>
        </w:rPr>
        <w:t>Overzicht van het Belgisch algemeen strafrecht</w:t>
      </w:r>
      <w:r w:rsidRPr="00963830">
        <w:t xml:space="preserve">, Brugge, die Keure, 2021, 26. Zie hierover meer uitgebreid: P. WAETERINCKX, “Effent de rechtspraak van het Grondwettelijk Hof (stilaan) het pad naar de distributieve toepassing van artikel 2 Sw.?” in A. DE NAUW, D. DE WOLF, M. ROZIE, P. WAETERINCKX en A. WINANTS, </w:t>
      </w:r>
      <w:r w:rsidRPr="00963830">
        <w:rPr>
          <w:i/>
        </w:rPr>
        <w:t>Strafrecht meer… dan ooit</w:t>
      </w:r>
      <w:r w:rsidRPr="00963830">
        <w:t>, Brugge, die Keure, 2011, 219-245.</w:t>
      </w:r>
    </w:p>
  </w:footnote>
  <w:footnote w:id="201">
    <w:p w14:paraId="5C2BAF21" w14:textId="6DABBFE3" w:rsidR="00BA0376" w:rsidRPr="00963830" w:rsidRDefault="00BA0376" w:rsidP="00613E6B">
      <w:pPr>
        <w:pStyle w:val="NoSpacing"/>
      </w:pPr>
      <w:r w:rsidRPr="00963830">
        <w:rPr>
          <w:rStyle w:val="FootnoteReference"/>
        </w:rPr>
        <w:footnoteRef/>
      </w:r>
      <w:r w:rsidRPr="00963830">
        <w:t xml:space="preserve"> Verderop in deze masterscriptie, m.n. nadat ook de temporele werking van de constitutieve bestanddelen van artikel 417/11 Sw. uiteengezet zijn, zal een korte conclusie volgen inzake de temporele werking van zowel art. 417/7 als 417/11 Sw (</w:t>
      </w:r>
      <w:r w:rsidRPr="00963830">
        <w:rPr>
          <w:i/>
        </w:rPr>
        <w:t xml:space="preserve">supra </w:t>
      </w:r>
      <w:r w:rsidRPr="00963830">
        <w:t>titel 1.3.2).</w:t>
      </w:r>
    </w:p>
  </w:footnote>
  <w:footnote w:id="202">
    <w:p w14:paraId="0491FC7E" w14:textId="2834CCFB" w:rsidR="00BA0376" w:rsidRPr="00963830" w:rsidRDefault="00BA0376" w:rsidP="00613E6B">
      <w:pPr>
        <w:pStyle w:val="NoSpacing"/>
      </w:pPr>
      <w:r w:rsidRPr="00963830">
        <w:rPr>
          <w:rStyle w:val="FootnoteReference"/>
        </w:rPr>
        <w:footnoteRef/>
      </w:r>
      <w:r w:rsidRPr="00963830">
        <w:t xml:space="preserve"> Voor de doeleinden van deze masterscriptie is het overbodig om te wijzen op de toepassingsgevallen die niet vallen onder dit verbod op retroactiviteit van strengere strafwetten, zoals bijvoorbeeld interpretatieve wetten of procedurewetten. Zie bv.: </w:t>
      </w:r>
      <w:r w:rsidRPr="00963830">
        <w:rPr>
          <w:rFonts w:cs="Verdana"/>
        </w:rPr>
        <w:t xml:space="preserve">Omz. seksueel strafrecht, </w:t>
      </w:r>
      <w:r w:rsidRPr="00963830">
        <w:rPr>
          <w:rFonts w:cs="Verdana"/>
          <w:i/>
        </w:rPr>
        <w:t>supra</w:t>
      </w:r>
      <w:r w:rsidRPr="00963830">
        <w:rPr>
          <w:rFonts w:cs="Verdana"/>
        </w:rPr>
        <w:t xml:space="preserve"> vn. 79, 79;</w:t>
      </w:r>
      <w:r w:rsidRPr="00963830">
        <w:t xml:space="preserve"> J. ROZIE en J. DE HERDT, “overgangsrecht seksueel strafrecht”, </w:t>
      </w:r>
      <w:r w:rsidRPr="00963830">
        <w:rPr>
          <w:i/>
        </w:rPr>
        <w:t>supra</w:t>
      </w:r>
      <w:r w:rsidRPr="00963830">
        <w:t xml:space="preserve"> vn. 7, 173-176.</w:t>
      </w:r>
    </w:p>
  </w:footnote>
  <w:footnote w:id="203">
    <w:p w14:paraId="22E46725" w14:textId="5A000D94" w:rsidR="00BA0376" w:rsidRPr="00963830" w:rsidRDefault="00BA0376" w:rsidP="00613E6B">
      <w:pPr>
        <w:pStyle w:val="NoSpacing"/>
      </w:pPr>
      <w:r w:rsidRPr="00963830">
        <w:rPr>
          <w:rStyle w:val="FootnoteReference"/>
        </w:rPr>
        <w:footnoteRef/>
      </w:r>
      <w:r w:rsidRPr="00963830">
        <w:t xml:space="preserve"> </w:t>
      </w:r>
      <w:r w:rsidRPr="00963830">
        <w:rPr>
          <w:color w:val="000000"/>
        </w:rPr>
        <w:t>Cass. 12 november 2019, AR P.19.0566.N, overw. 3; zie evenwel de kritische opmerking hieromtrent onder voetnoot 197.</w:t>
      </w:r>
    </w:p>
  </w:footnote>
  <w:footnote w:id="204">
    <w:p w14:paraId="27EBB49D" w14:textId="7FFA2B70" w:rsidR="00BA0376" w:rsidRPr="00963830" w:rsidRDefault="00BA0376" w:rsidP="007605D5">
      <w:pPr>
        <w:pStyle w:val="NoSpacing"/>
      </w:pPr>
      <w:r w:rsidRPr="00963830">
        <w:rPr>
          <w:rStyle w:val="FootnoteReference"/>
        </w:rPr>
        <w:footnoteRef/>
      </w:r>
      <w:r w:rsidRPr="00963830">
        <w:t xml:space="preserve"> </w:t>
      </w:r>
      <w:r w:rsidRPr="00963830">
        <w:rPr>
          <w:i/>
        </w:rPr>
        <w:t xml:space="preserve">Supra </w:t>
      </w:r>
      <w:r w:rsidRPr="00963830">
        <w:t>nr. 72.</w:t>
      </w:r>
    </w:p>
  </w:footnote>
  <w:footnote w:id="205">
    <w:p w14:paraId="05493D6B" w14:textId="2E2A764B" w:rsidR="00BA0376" w:rsidRPr="009C29A6" w:rsidRDefault="00BA0376" w:rsidP="00534952">
      <w:pPr>
        <w:pStyle w:val="NoSpacing"/>
        <w:rPr>
          <w:lang w:val="en-GB"/>
        </w:rPr>
      </w:pPr>
      <w:r w:rsidRPr="00963830">
        <w:rPr>
          <w:rStyle w:val="FootnoteReference"/>
        </w:rPr>
        <w:footnoteRef/>
      </w:r>
      <w:r w:rsidRPr="00963830">
        <w:t xml:space="preserve"> MvT, </w:t>
      </w:r>
      <w:r w:rsidRPr="00963830">
        <w:rPr>
          <w:i/>
        </w:rPr>
        <w:t>Parl.St.</w:t>
      </w:r>
      <w:r w:rsidRPr="00963830">
        <w:t xml:space="preserve"> Kamer 2020-21, nr. 55-2141/001, 24-25. </w:t>
      </w:r>
      <w:r w:rsidRPr="009C29A6">
        <w:rPr>
          <w:i/>
          <w:lang w:val="en-GB"/>
        </w:rPr>
        <w:t xml:space="preserve">Supra </w:t>
      </w:r>
      <w:r w:rsidRPr="009C29A6">
        <w:rPr>
          <w:lang w:val="en-GB"/>
        </w:rPr>
        <w:t>nr. 50.</w:t>
      </w:r>
    </w:p>
  </w:footnote>
  <w:footnote w:id="206">
    <w:p w14:paraId="40D7CE7A" w14:textId="4ADA9061"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Ibid.</w:t>
      </w:r>
    </w:p>
  </w:footnote>
  <w:footnote w:id="207">
    <w:p w14:paraId="18140F95" w14:textId="0DBFEB67" w:rsidR="00BA0376" w:rsidRPr="009C29A6" w:rsidRDefault="00BA0376" w:rsidP="005126AC">
      <w:pPr>
        <w:pStyle w:val="NoSpacing"/>
        <w:rPr>
          <w:lang w:val="en-GB"/>
        </w:rPr>
      </w:pPr>
      <w:r w:rsidRPr="00963830">
        <w:rPr>
          <w:rStyle w:val="FootnoteReference"/>
        </w:rPr>
        <w:footnoteRef/>
      </w:r>
      <w:r w:rsidRPr="009C29A6">
        <w:rPr>
          <w:lang w:val="en-GB"/>
        </w:rPr>
        <w:t xml:space="preserve"> </w:t>
      </w:r>
      <w:r w:rsidRPr="009C29A6">
        <w:rPr>
          <w:i/>
          <w:lang w:val="en-GB"/>
        </w:rPr>
        <w:t>Supra</w:t>
      </w:r>
      <w:r w:rsidRPr="009C29A6">
        <w:rPr>
          <w:lang w:val="en-GB"/>
        </w:rPr>
        <w:t xml:space="preserve"> nrs. 53 e.v.</w:t>
      </w:r>
    </w:p>
  </w:footnote>
  <w:footnote w:id="208">
    <w:p w14:paraId="15A02623" w14:textId="18B7DABD" w:rsidR="00BA0376" w:rsidRPr="00963830" w:rsidRDefault="00BA0376" w:rsidP="00532725">
      <w:pPr>
        <w:pStyle w:val="NoSpacing"/>
      </w:pPr>
      <w:r w:rsidRPr="00963830">
        <w:rPr>
          <w:rStyle w:val="FootnoteReference"/>
        </w:rPr>
        <w:footnoteRef/>
      </w:r>
      <w:r w:rsidRPr="00963830">
        <w:t xml:space="preserve"> </w:t>
      </w:r>
      <w:r w:rsidRPr="00963830">
        <w:rPr>
          <w:i/>
        </w:rPr>
        <w:t xml:space="preserve">Supra </w:t>
      </w:r>
      <w:r w:rsidRPr="00963830">
        <w:t>nr. 23 e.v.</w:t>
      </w:r>
    </w:p>
  </w:footnote>
  <w:footnote w:id="209">
    <w:p w14:paraId="6BB6EAAD" w14:textId="0EE935A3" w:rsidR="00BA0376" w:rsidRPr="00963830" w:rsidRDefault="00BA0376" w:rsidP="00613E6B">
      <w:pPr>
        <w:pStyle w:val="NoSpacing"/>
      </w:pPr>
      <w:r w:rsidRPr="00963830">
        <w:rPr>
          <w:rStyle w:val="FootnoteReference"/>
        </w:rPr>
        <w:footnoteRef/>
      </w:r>
      <w:r w:rsidRPr="00963830">
        <w:t xml:space="preserve"> Vergelijk oud art. 372, eerste lid Sw. met art. 417/6, §1 Sw.</w:t>
      </w:r>
    </w:p>
  </w:footnote>
  <w:footnote w:id="210">
    <w:p w14:paraId="370BF378" w14:textId="1891D86A" w:rsidR="00BA0376" w:rsidRPr="00963830" w:rsidRDefault="00BA0376" w:rsidP="00613E6B">
      <w:pPr>
        <w:pStyle w:val="NoSpacing"/>
      </w:pPr>
      <w:r w:rsidRPr="00963830">
        <w:rPr>
          <w:rStyle w:val="FootnoteReference"/>
        </w:rPr>
        <w:footnoteRef/>
      </w:r>
      <w:r w:rsidRPr="00963830">
        <w:t xml:space="preserve"> Vergelijk oud art. 372, tweede lid Sw. met art. 417/6, §3 Sw. </w:t>
      </w:r>
    </w:p>
  </w:footnote>
  <w:footnote w:id="211">
    <w:p w14:paraId="44282B8B" w14:textId="5CF405DD" w:rsidR="00BA0376" w:rsidRPr="00963830" w:rsidRDefault="00BA0376" w:rsidP="00413FD8">
      <w:pPr>
        <w:pStyle w:val="NoSpacing"/>
      </w:pPr>
      <w:r w:rsidRPr="00963830">
        <w:rPr>
          <w:rStyle w:val="FootnoteReference"/>
        </w:rPr>
        <w:footnoteRef/>
      </w:r>
      <w:r w:rsidRPr="00963830">
        <w:t xml:space="preserve"> Art. 417/6, §2, eerste en tweede lid Sw.</w:t>
      </w:r>
    </w:p>
  </w:footnote>
  <w:footnote w:id="212">
    <w:p w14:paraId="476F93A6" w14:textId="4627D809" w:rsidR="00BA0376" w:rsidRPr="00963830" w:rsidRDefault="00BA0376" w:rsidP="004446BF">
      <w:pPr>
        <w:pStyle w:val="NoSpacing"/>
      </w:pPr>
      <w:r w:rsidRPr="00963830">
        <w:rPr>
          <w:rStyle w:val="FootnoteReference"/>
        </w:rPr>
        <w:footnoteRef/>
      </w:r>
      <w:r w:rsidRPr="00963830">
        <w:t xml:space="preserve"> Inhoudelijk valt deze uitzondering, zoals reeds aangegeven (</w:t>
      </w:r>
      <w:r w:rsidRPr="00963830">
        <w:rPr>
          <w:i/>
        </w:rPr>
        <w:t xml:space="preserve">supra </w:t>
      </w:r>
      <w:r w:rsidRPr="00963830">
        <w:t>nr. 3), buiten het bestek van deze masterscriptie.</w:t>
      </w:r>
    </w:p>
  </w:footnote>
  <w:footnote w:id="213">
    <w:p w14:paraId="394CEF13" w14:textId="4EE54326" w:rsidR="00BA0376" w:rsidRPr="00963830" w:rsidRDefault="00BA0376" w:rsidP="00613E6B">
      <w:pPr>
        <w:pStyle w:val="NoSpacing"/>
      </w:pPr>
      <w:r w:rsidRPr="00963830">
        <w:rPr>
          <w:rStyle w:val="FootnoteReference"/>
        </w:rPr>
        <w:footnoteRef/>
      </w:r>
      <w:r w:rsidRPr="00963830">
        <w:t xml:space="preserve"> In diezelfde zin: Vademecum bij Omz. seksueel strafrecht, </w:t>
      </w:r>
      <w:r w:rsidRPr="00963830">
        <w:rPr>
          <w:i/>
        </w:rPr>
        <w:t>supra</w:t>
      </w:r>
      <w:r w:rsidRPr="00963830">
        <w:t xml:space="preserve"> vn. 79, 12; B. SPRIET e.a. (eds.), “Actualia seksueel strafrecht”, </w:t>
      </w:r>
      <w:r w:rsidRPr="00963830">
        <w:rPr>
          <w:i/>
        </w:rPr>
        <w:t>supra</w:t>
      </w:r>
      <w:r w:rsidRPr="00963830">
        <w:t xml:space="preserve"> vn. 48, 15; J. ROZIE en J. DE HERDT, “overgangsrecht seksueel strafrecht”, </w:t>
      </w:r>
      <w:r w:rsidRPr="00963830">
        <w:rPr>
          <w:i/>
        </w:rPr>
        <w:t>supra</w:t>
      </w:r>
      <w:r w:rsidRPr="00963830">
        <w:t xml:space="preserve"> vn. 7, 191.</w:t>
      </w:r>
    </w:p>
  </w:footnote>
  <w:footnote w:id="214">
    <w:p w14:paraId="20FC1EAB" w14:textId="06CB97E1" w:rsidR="00BA0376" w:rsidRPr="00963830" w:rsidRDefault="00BA0376" w:rsidP="00AF67A3">
      <w:pPr>
        <w:pStyle w:val="NoSpacing"/>
      </w:pPr>
      <w:r w:rsidRPr="00963830">
        <w:rPr>
          <w:rStyle w:val="FootnoteReference"/>
        </w:rPr>
        <w:footnoteRef/>
      </w:r>
      <w:r w:rsidRPr="00963830">
        <w:t xml:space="preserve"> </w:t>
      </w:r>
      <w:r w:rsidRPr="00963830">
        <w:rPr>
          <w:color w:val="000000" w:themeColor="text1"/>
        </w:rPr>
        <w:t xml:space="preserve">Hier dienen ook de principes zoals eerder uiteengezet op te worden toegepast. </w:t>
      </w:r>
      <w:r w:rsidRPr="00963830">
        <w:rPr>
          <w:i/>
          <w:color w:val="000000" w:themeColor="text1"/>
        </w:rPr>
        <w:t xml:space="preserve">Supra </w:t>
      </w:r>
      <w:r w:rsidRPr="00963830">
        <w:rPr>
          <w:color w:val="000000" w:themeColor="text1"/>
        </w:rPr>
        <w:t>nr. 72 e.v.</w:t>
      </w:r>
    </w:p>
  </w:footnote>
  <w:footnote w:id="215">
    <w:p w14:paraId="5B202414" w14:textId="1E80E442" w:rsidR="00BA0376" w:rsidRPr="00963830" w:rsidRDefault="00BA0376" w:rsidP="00613E6B">
      <w:pPr>
        <w:pStyle w:val="NoSpacing"/>
      </w:pPr>
      <w:r w:rsidRPr="00963830">
        <w:rPr>
          <w:rStyle w:val="FootnoteReference"/>
        </w:rPr>
        <w:footnoteRef/>
      </w:r>
      <w:r w:rsidRPr="00963830">
        <w:t xml:space="preserve"> </w:t>
      </w:r>
      <w:r w:rsidRPr="00963830">
        <w:rPr>
          <w:i/>
        </w:rPr>
        <w:t>Supra</w:t>
      </w:r>
      <w:r w:rsidRPr="00963830">
        <w:t xml:space="preserve"> nr. 27 e.v. </w:t>
      </w:r>
    </w:p>
  </w:footnote>
  <w:footnote w:id="216">
    <w:p w14:paraId="785F14F5" w14:textId="7AB0B3EE" w:rsidR="00BA0376" w:rsidRPr="00963830" w:rsidRDefault="00BA0376" w:rsidP="000864E9">
      <w:pPr>
        <w:pStyle w:val="NoSpacing"/>
      </w:pPr>
      <w:r w:rsidRPr="00963830">
        <w:rPr>
          <w:rStyle w:val="FootnoteReference"/>
        </w:rPr>
        <w:footnoteRef/>
      </w:r>
      <w:r w:rsidRPr="00963830">
        <w:t xml:space="preserve"> Vergelijk oud art. 373, lid 1 Sw. met art. 417/5, vierde lid Sw.</w:t>
      </w:r>
    </w:p>
  </w:footnote>
  <w:footnote w:id="217">
    <w:p w14:paraId="7EE340A9" w14:textId="083B0863"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180; M. COP en T. HENRION, </w:t>
      </w:r>
      <w:r w:rsidRPr="00963830">
        <w:rPr>
          <w:i/>
        </w:rPr>
        <w:t>Het nieuwe seksueel strafrecht. Artikelsgewijze bespreking van de hervorming anno 2022,</w:t>
      </w:r>
      <w:r w:rsidRPr="00963830">
        <w:t xml:space="preserve"> Leuven, LeA Uitgevers, 2022, 16.</w:t>
      </w:r>
    </w:p>
  </w:footnote>
  <w:footnote w:id="218">
    <w:p w14:paraId="550C213E" w14:textId="69A7F350" w:rsidR="00BA0376" w:rsidRPr="00963830" w:rsidRDefault="00BA0376" w:rsidP="00722687">
      <w:pPr>
        <w:pStyle w:val="NoSpacing"/>
      </w:pPr>
      <w:r w:rsidRPr="00963830">
        <w:rPr>
          <w:rStyle w:val="FootnoteReference"/>
        </w:rPr>
        <w:footnoteRef/>
      </w:r>
      <w:r w:rsidRPr="00963830">
        <w:t xml:space="preserve"> </w:t>
      </w:r>
      <w:r w:rsidRPr="00963830">
        <w:rPr>
          <w:color w:val="000000" w:themeColor="text1"/>
        </w:rPr>
        <w:t>Evenals naar mijn mening</w:t>
      </w:r>
      <w:r w:rsidRPr="00963830">
        <w:t>.</w:t>
      </w:r>
    </w:p>
  </w:footnote>
  <w:footnote w:id="219">
    <w:p w14:paraId="2C589AC3" w14:textId="4EDA609C" w:rsidR="00BA0376" w:rsidRPr="00963830" w:rsidRDefault="00BA0376" w:rsidP="0095229B">
      <w:pPr>
        <w:pStyle w:val="NoSpacing"/>
      </w:pPr>
      <w:r w:rsidRPr="00963830">
        <w:rPr>
          <w:rStyle w:val="FootnoteReference"/>
        </w:rPr>
        <w:footnoteRef/>
      </w:r>
      <w:r w:rsidRPr="00963830">
        <w:t xml:space="preserve"> Zie in die zin: B. SPRIET e.a. (eds.), “Actualia seksueel strafrecht”, </w:t>
      </w:r>
      <w:r w:rsidRPr="00963830">
        <w:rPr>
          <w:i/>
        </w:rPr>
        <w:t>supra</w:t>
      </w:r>
      <w:r w:rsidRPr="00963830">
        <w:t xml:space="preserve"> vn. 48, 13.</w:t>
      </w:r>
    </w:p>
  </w:footnote>
  <w:footnote w:id="220">
    <w:p w14:paraId="245D5858" w14:textId="43267701" w:rsidR="00BA0376" w:rsidRPr="00963830" w:rsidRDefault="00BA0376" w:rsidP="00613E6B">
      <w:pPr>
        <w:pStyle w:val="NoSpacing"/>
      </w:pPr>
      <w:r w:rsidRPr="00963830">
        <w:rPr>
          <w:rStyle w:val="FootnoteReference"/>
        </w:rPr>
        <w:footnoteRef/>
      </w:r>
      <w:r w:rsidRPr="00963830">
        <w:t xml:space="preserve"> Zie in die zin: J. ROZIE en J. DE HERDT, “overgangsrecht seksueel strafrecht”, </w:t>
      </w:r>
      <w:r w:rsidRPr="00963830">
        <w:rPr>
          <w:i/>
        </w:rPr>
        <w:t>supra</w:t>
      </w:r>
      <w:r w:rsidRPr="00963830">
        <w:t xml:space="preserve"> vn. 7, 180-182.</w:t>
      </w:r>
    </w:p>
  </w:footnote>
  <w:footnote w:id="221">
    <w:p w14:paraId="4B5BD0D2" w14:textId="32E64F11"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179.</w:t>
      </w:r>
    </w:p>
  </w:footnote>
  <w:footnote w:id="222">
    <w:p w14:paraId="474BA088" w14:textId="08FD3132" w:rsidR="00BA0376" w:rsidRPr="00963830" w:rsidRDefault="00BA0376" w:rsidP="00613E6B">
      <w:pPr>
        <w:pStyle w:val="NoSpacing"/>
      </w:pPr>
      <w:r w:rsidRPr="00963830">
        <w:rPr>
          <w:rStyle w:val="FootnoteReference"/>
        </w:rPr>
        <w:footnoteRef/>
      </w:r>
      <w:r w:rsidRPr="00963830">
        <w:t xml:space="preserve"> Omz. seksueel strafrecht, </w:t>
      </w:r>
      <w:r w:rsidRPr="00963830">
        <w:rPr>
          <w:i/>
        </w:rPr>
        <w:t>supra</w:t>
      </w:r>
      <w:r w:rsidRPr="00963830">
        <w:t xml:space="preserve"> vn. 79, 8; J. ROZIE en J. DE HERDT, “overgangsrecht seksueel strafrecht”, </w:t>
      </w:r>
      <w:r w:rsidRPr="00963830">
        <w:rPr>
          <w:i/>
        </w:rPr>
        <w:t>supra</w:t>
      </w:r>
      <w:r w:rsidRPr="00963830">
        <w:t xml:space="preserve"> vn. 7, 179-181.</w:t>
      </w:r>
    </w:p>
  </w:footnote>
  <w:footnote w:id="223">
    <w:p w14:paraId="4D37D959" w14:textId="667E1F1F" w:rsidR="00BA0376" w:rsidRPr="009C29A6" w:rsidRDefault="00BA0376" w:rsidP="00425B83">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Supra</w:t>
      </w:r>
      <w:r w:rsidRPr="009C29A6">
        <w:rPr>
          <w:color w:val="000000" w:themeColor="text1"/>
          <w:lang w:val="fr-FR"/>
        </w:rPr>
        <w:t xml:space="preserve"> nr. 97.</w:t>
      </w:r>
    </w:p>
  </w:footnote>
  <w:footnote w:id="224">
    <w:p w14:paraId="524B4429" w14:textId="2E4B2D90" w:rsidR="00BA0376" w:rsidRPr="009C29A6" w:rsidRDefault="00BA0376" w:rsidP="004F48D1">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nrs. 30 e.v. en 70.</w:t>
      </w:r>
    </w:p>
  </w:footnote>
  <w:footnote w:id="225">
    <w:p w14:paraId="22555325" w14:textId="1E220602" w:rsidR="00BA0376" w:rsidRPr="009C29A6" w:rsidRDefault="00BA0376" w:rsidP="00DD6B2E">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 4.</w:t>
      </w:r>
    </w:p>
  </w:footnote>
  <w:footnote w:id="226">
    <w:p w14:paraId="2D7F26A4" w14:textId="17BA999B" w:rsidR="00BA0376" w:rsidRPr="009C29A6" w:rsidRDefault="00BA0376" w:rsidP="00613E6B">
      <w:pPr>
        <w:pStyle w:val="NoSpacing"/>
        <w:rPr>
          <w:color w:val="000000" w:themeColor="text1"/>
          <w:lang w:val="fr-FR"/>
        </w:rPr>
      </w:pPr>
      <w:r w:rsidRPr="00963830">
        <w:rPr>
          <w:rStyle w:val="FootnoteReference"/>
        </w:rPr>
        <w:footnoteRef/>
      </w:r>
      <w:r w:rsidRPr="009C29A6">
        <w:rPr>
          <w:lang w:val="fr-FR"/>
        </w:rPr>
        <w:t xml:space="preserve"> </w:t>
      </w:r>
      <w:r w:rsidRPr="009C29A6">
        <w:rPr>
          <w:color w:val="000000" w:themeColor="text1"/>
          <w:lang w:val="fr-FR"/>
        </w:rPr>
        <w:t xml:space="preserve">Cass. 13 mei 1942, </w:t>
      </w:r>
      <w:r w:rsidRPr="009C29A6">
        <w:rPr>
          <w:i/>
          <w:color w:val="000000" w:themeColor="text1"/>
          <w:lang w:val="fr-FR"/>
        </w:rPr>
        <w:t>Arr.Cass</w:t>
      </w:r>
      <w:r w:rsidRPr="009C29A6">
        <w:rPr>
          <w:color w:val="000000" w:themeColor="text1"/>
          <w:lang w:val="fr-FR"/>
        </w:rPr>
        <w:t xml:space="preserve">. 1942, (57) 57; </w:t>
      </w:r>
      <w:r w:rsidRPr="009C29A6">
        <w:rPr>
          <w:lang w:val="fr-FR"/>
        </w:rPr>
        <w:t xml:space="preserve">A. DE NAUW en F. KUTY, </w:t>
      </w:r>
      <w:r w:rsidRPr="009C29A6">
        <w:rPr>
          <w:i/>
          <w:lang w:val="fr-FR"/>
        </w:rPr>
        <w:t>Manuel de droit pénal spécial</w:t>
      </w:r>
      <w:r w:rsidRPr="009C29A6">
        <w:rPr>
          <w:lang w:val="fr-FR"/>
        </w:rPr>
        <w:t xml:space="preserve">, Wolters Kluwer, Liège, 2018, 240; </w:t>
      </w:r>
      <w:r w:rsidRPr="009C29A6">
        <w:rPr>
          <w:color w:val="000000" w:themeColor="text1"/>
          <w:lang w:val="fr-FR"/>
        </w:rPr>
        <w:t xml:space="preserve">D. MERCKX en I. DELBROUCK, “Verkrachting”, </w:t>
      </w:r>
      <w:r w:rsidRPr="009C29A6">
        <w:rPr>
          <w:i/>
          <w:color w:val="000000" w:themeColor="text1"/>
          <w:lang w:val="fr-FR"/>
        </w:rPr>
        <w:t>supra</w:t>
      </w:r>
      <w:r w:rsidRPr="009C29A6">
        <w:rPr>
          <w:color w:val="000000" w:themeColor="text1"/>
          <w:lang w:val="fr-FR"/>
        </w:rPr>
        <w:t xml:space="preserve"> vn. 37, 235.</w:t>
      </w:r>
    </w:p>
  </w:footnote>
  <w:footnote w:id="227">
    <w:p w14:paraId="2956B6FE" w14:textId="5A9D6B01" w:rsidR="00BA0376" w:rsidRPr="009C29A6" w:rsidRDefault="00BA0376" w:rsidP="00613E6B">
      <w:pPr>
        <w:pStyle w:val="NoSpacing"/>
        <w:rPr>
          <w:lang w:val="fr-FR"/>
        </w:rPr>
      </w:pPr>
      <w:r w:rsidRPr="00963830">
        <w:rPr>
          <w:rStyle w:val="FootnoteReference"/>
        </w:rPr>
        <w:footnoteRef/>
      </w:r>
      <w:r w:rsidRPr="009C29A6">
        <w:rPr>
          <w:lang w:val="fr-FR"/>
        </w:rPr>
        <w:t xml:space="preserve"> Cass. 24 juli 1916, </w:t>
      </w:r>
      <w:r w:rsidRPr="009C29A6">
        <w:rPr>
          <w:i/>
          <w:iCs/>
          <w:lang w:val="fr-FR"/>
        </w:rPr>
        <w:t>Pas.</w:t>
      </w:r>
      <w:r w:rsidRPr="009C29A6">
        <w:rPr>
          <w:lang w:val="fr-FR"/>
        </w:rPr>
        <w:t xml:space="preserve"> 1916, I, 223; </w:t>
      </w:r>
      <w:r w:rsidRPr="009C29A6">
        <w:rPr>
          <w:color w:val="000000" w:themeColor="text1"/>
          <w:lang w:val="fr-FR"/>
        </w:rPr>
        <w:t xml:space="preserve">Cass. 13 mei 1942, </w:t>
      </w:r>
      <w:r w:rsidRPr="009C29A6">
        <w:rPr>
          <w:i/>
          <w:color w:val="000000" w:themeColor="text1"/>
          <w:lang w:val="fr-FR"/>
        </w:rPr>
        <w:t>Arr.Cass</w:t>
      </w:r>
      <w:r w:rsidRPr="009C29A6">
        <w:rPr>
          <w:color w:val="000000" w:themeColor="text1"/>
          <w:lang w:val="fr-FR"/>
        </w:rPr>
        <w:t xml:space="preserve">. 1942, (57) 57; </w:t>
      </w:r>
      <w:r w:rsidRPr="009C29A6">
        <w:rPr>
          <w:lang w:val="fr-FR"/>
        </w:rPr>
        <w:t xml:space="preserve">Cass. 8 december 1981, </w:t>
      </w:r>
      <w:r w:rsidRPr="009C29A6">
        <w:rPr>
          <w:i/>
          <w:iCs/>
          <w:lang w:val="fr-FR"/>
        </w:rPr>
        <w:t>Arr.Cass.</w:t>
      </w:r>
      <w:r w:rsidRPr="009C29A6">
        <w:rPr>
          <w:lang w:val="fr-FR"/>
        </w:rPr>
        <w:t xml:space="preserve"> 1981, 483</w:t>
      </w:r>
      <w:r w:rsidRPr="009C29A6">
        <w:rPr>
          <w:color w:val="000000"/>
          <w:lang w:val="fr-FR"/>
        </w:rPr>
        <w:t xml:space="preserve">; </w:t>
      </w:r>
      <w:r w:rsidRPr="009C29A6">
        <w:rPr>
          <w:lang w:val="fr-FR"/>
        </w:rPr>
        <w:t xml:space="preserve">D. MERCKX en I. DELBROUCK, “Verkrachting”, </w:t>
      </w:r>
      <w:r w:rsidRPr="009C29A6">
        <w:rPr>
          <w:i/>
          <w:lang w:val="fr-FR"/>
        </w:rPr>
        <w:t>supra</w:t>
      </w:r>
      <w:r w:rsidRPr="009C29A6">
        <w:rPr>
          <w:lang w:val="fr-FR"/>
        </w:rPr>
        <w:t xml:space="preserve"> vn. 37, 235.</w:t>
      </w:r>
    </w:p>
  </w:footnote>
  <w:footnote w:id="228">
    <w:p w14:paraId="27E90C0B" w14:textId="13427314" w:rsidR="00BA0376" w:rsidRPr="00963830" w:rsidRDefault="00BA0376" w:rsidP="00613E6B">
      <w:pPr>
        <w:pStyle w:val="NoSpacing"/>
      </w:pPr>
      <w:r w:rsidRPr="00963830">
        <w:rPr>
          <w:rStyle w:val="FootnoteReference"/>
        </w:rPr>
        <w:footnoteRef/>
      </w:r>
      <w:r w:rsidRPr="00963830">
        <w:t xml:space="preserve"> DIERICKX heeft het over twee verzamelingen die gedeeltelijk overlappen, maar niet volledig samenvallen. Zie figuren III.3 en III.4 in A. </w:t>
      </w:r>
      <w:r w:rsidRPr="00963830">
        <w:rPr>
          <w:rFonts w:eastAsia="Verdana" w:cs="Verdana"/>
        </w:rPr>
        <w:t xml:space="preserve">DIERICKX, </w:t>
      </w:r>
      <w:r w:rsidRPr="00963830">
        <w:rPr>
          <w:rFonts w:eastAsia="Verdana" w:cs="Verdana"/>
          <w:i/>
        </w:rPr>
        <w:t>Toestemming en strafrecht</w:t>
      </w:r>
      <w:r w:rsidRPr="00963830">
        <w:rPr>
          <w:rFonts w:eastAsia="Verdana" w:cs="Verdana"/>
        </w:rPr>
        <w:t>, Antwerpen, Intersentia, 2006, 94-95.</w:t>
      </w:r>
      <w:r w:rsidRPr="00963830">
        <w:t xml:space="preserve"> Zo is bijvoorbeeld de situatie denkbaar waarin een verkrachting plaatsvindt zonder dat de afwezigheid van toestemming van het slachtoffer blijkt uit een van de wilsuitsluitende gronden uit oud art. 375 Sw. Dit zal geen aanranding van de eerbaarheid kunnen uitmaken, aangezien daar de afwezigheid van een geldige toestemming moet blijken uit de aanwezigheid van een van de limitatief opgesomde wilsuitsluitende gronden uit oud art. 373 Sw. (volgens de meerderheidsvisie, </w:t>
      </w:r>
      <w:r w:rsidRPr="00963830">
        <w:rPr>
          <w:i/>
        </w:rPr>
        <w:t>supra</w:t>
      </w:r>
      <w:r w:rsidRPr="00963830">
        <w:t xml:space="preserve"> nr. 29). Zie ook: A. DIERICKX, “Hoe ver reikt de bescherming van de strafbepalingen van aanranding van de eerbaarheid en verkrachting?”, </w:t>
      </w:r>
      <w:r w:rsidRPr="00963830">
        <w:rPr>
          <w:i/>
        </w:rPr>
        <w:t>NC</w:t>
      </w:r>
      <w:r w:rsidRPr="00963830">
        <w:t xml:space="preserve"> 2006, (95) 102;</w:t>
      </w:r>
      <w:r w:rsidRPr="00963830">
        <w:rPr>
          <w:rFonts w:eastAsia="Verdana" w:cs="Verdana"/>
        </w:rPr>
        <w:t xml:space="preserve"> </w:t>
      </w:r>
      <w:r w:rsidRPr="00963830">
        <w:t xml:space="preserve">D. MERCKX en I. DELBROUCK, “Verkrachting”, </w:t>
      </w:r>
      <w:r w:rsidRPr="00963830">
        <w:rPr>
          <w:i/>
        </w:rPr>
        <w:t>supra</w:t>
      </w:r>
      <w:r w:rsidRPr="00963830">
        <w:t xml:space="preserve"> vn. 37, 235-236.</w:t>
      </w:r>
    </w:p>
  </w:footnote>
  <w:footnote w:id="229">
    <w:p w14:paraId="728B8483" w14:textId="3394E0A1" w:rsidR="00BA0376" w:rsidRPr="00963830" w:rsidRDefault="00BA0376" w:rsidP="00613E6B">
      <w:pPr>
        <w:pStyle w:val="NoSpacing"/>
      </w:pPr>
      <w:r w:rsidRPr="00963830">
        <w:rPr>
          <w:rStyle w:val="FootnoteReference"/>
        </w:rPr>
        <w:footnoteRef/>
      </w:r>
      <w:r w:rsidRPr="00963830">
        <w:t xml:space="preserve"> Cass. 16 juni 2004, </w:t>
      </w:r>
      <w:r w:rsidRPr="00963830">
        <w:rPr>
          <w:i/>
          <w:iCs/>
        </w:rPr>
        <w:t>Arr.Cass.</w:t>
      </w:r>
      <w:r w:rsidRPr="00963830">
        <w:t xml:space="preserve"> 2004, 1088.</w:t>
      </w:r>
    </w:p>
  </w:footnote>
  <w:footnote w:id="230">
    <w:p w14:paraId="745894D1" w14:textId="3F8FFD5E" w:rsidR="00BA0376" w:rsidRPr="00963830" w:rsidRDefault="00BA0376" w:rsidP="00613E6B">
      <w:pPr>
        <w:pStyle w:val="NoSpacing"/>
      </w:pPr>
      <w:r w:rsidRPr="00963830">
        <w:rPr>
          <w:rStyle w:val="FootnoteReference"/>
        </w:rPr>
        <w:footnoteRef/>
      </w:r>
      <w:r w:rsidRPr="00963830">
        <w:t xml:space="preserve"> A. DIERICKX, “Hoe ver reikt de bescherming van de strafbepalingen van aanranding van de eerbaarheid en verkrachting?”, </w:t>
      </w:r>
      <w:r w:rsidRPr="00963830">
        <w:rPr>
          <w:i/>
        </w:rPr>
        <w:t>NC</w:t>
      </w:r>
      <w:r w:rsidRPr="00963830">
        <w:t xml:space="preserve"> 2006, (95) 102; A. </w:t>
      </w:r>
      <w:r w:rsidRPr="00963830">
        <w:rPr>
          <w:rFonts w:eastAsia="Verdana" w:cs="Verdana"/>
        </w:rPr>
        <w:t xml:space="preserve">DIERICKX, </w:t>
      </w:r>
      <w:r w:rsidRPr="00963830">
        <w:rPr>
          <w:rFonts w:eastAsia="Verdana" w:cs="Verdana"/>
          <w:i/>
        </w:rPr>
        <w:t>Toestemming en strafrecht</w:t>
      </w:r>
      <w:r w:rsidRPr="00963830">
        <w:rPr>
          <w:rFonts w:eastAsia="Verdana" w:cs="Verdana"/>
        </w:rPr>
        <w:t xml:space="preserve">, Antwerpen, Intersentia, 2006, 94-95; </w:t>
      </w:r>
      <w:r w:rsidRPr="00963830">
        <w:t xml:space="preserve">D. MERCKX en I. DELBROUCK, “Verkrachting”, </w:t>
      </w:r>
      <w:r w:rsidRPr="00963830">
        <w:rPr>
          <w:i/>
        </w:rPr>
        <w:t>supra</w:t>
      </w:r>
      <w:r w:rsidRPr="00963830">
        <w:t xml:space="preserve"> vn. 37, 235-236.</w:t>
      </w:r>
    </w:p>
  </w:footnote>
  <w:footnote w:id="231">
    <w:p w14:paraId="0FB29671" w14:textId="6C9CAFF5" w:rsidR="00BA0376" w:rsidRPr="00963830" w:rsidRDefault="00BA0376" w:rsidP="00613E6B">
      <w:pPr>
        <w:pStyle w:val="NoSpacing"/>
      </w:pPr>
      <w:r w:rsidRPr="00963830">
        <w:rPr>
          <w:rStyle w:val="FootnoteReference"/>
        </w:rPr>
        <w:footnoteRef/>
      </w:r>
      <w:r w:rsidRPr="00963830">
        <w:t xml:space="preserve"> B. SPRIET, “(Lichaams)grens aan verkrachting: van Antwerpse vrijspraak tot nieuwe wetgeving?” in P. TRAEST, J. LECLERCQ, E. GOETHALS, L. HUYBRECHTS, J. ROZIE, R. VERSTRAETEN, F. DERUYCK EN M. ROZIE (eds.), </w:t>
      </w:r>
      <w:r w:rsidRPr="00963830">
        <w:rPr>
          <w:i/>
        </w:rPr>
        <w:t>Amicus curiae. Liber amicorum Marc De Swaef</w:t>
      </w:r>
      <w:r w:rsidRPr="00963830">
        <w:t xml:space="preserve">, Mortsel, Intersentia, 2013, (317) 331;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236; I. DELBROUCK, “Verkrachting” in X, </w:t>
      </w:r>
      <w:r w:rsidRPr="00963830">
        <w:rPr>
          <w:i/>
          <w:color w:val="000000" w:themeColor="text1"/>
        </w:rPr>
        <w:t>Postal Memorialis. Lexicon strafrecht, strafvordering en bijzondere wetten</w:t>
      </w:r>
      <w:r w:rsidRPr="00963830">
        <w:rPr>
          <w:color w:val="000000" w:themeColor="text1"/>
        </w:rPr>
        <w:t xml:space="preserve">, Mechelen, Wolters Kluwer, losbl., (V.130/1) V.130/13; </w:t>
      </w:r>
      <w:r w:rsidRPr="00963830">
        <w:t xml:space="preserve">M. COP en T. HENRION, </w:t>
      </w:r>
      <w:r w:rsidRPr="00963830">
        <w:rPr>
          <w:i/>
        </w:rPr>
        <w:t>Het nieuwe seksueel strafrecht. Artikelsgewijze bespreking van de hervorming anno 2022,</w:t>
      </w:r>
      <w:r w:rsidRPr="00963830">
        <w:t xml:space="preserve"> Leuven, LeA Uitgevers, 2022, 22; O. BASTYNS, “Pénétration de l’auteur: viol ou attentat à la pudeur?” (noot onder Brussel 17 maart 2015), </w:t>
      </w:r>
      <w:r w:rsidRPr="00963830">
        <w:rPr>
          <w:i/>
        </w:rPr>
        <w:t>JLMB</w:t>
      </w:r>
      <w:r w:rsidRPr="00963830">
        <w:t xml:space="preserve"> 2018, (542) 543.</w:t>
      </w:r>
    </w:p>
  </w:footnote>
  <w:footnote w:id="232">
    <w:p w14:paraId="7F2F5A00" w14:textId="752ACBD3" w:rsidR="00BA0376" w:rsidRPr="00963830" w:rsidRDefault="00BA0376" w:rsidP="00613E6B">
      <w:pPr>
        <w:pStyle w:val="NoSpacing"/>
      </w:pPr>
      <w:r w:rsidRPr="00963830">
        <w:rPr>
          <w:rStyle w:val="FootnoteReference"/>
        </w:rPr>
        <w:footnoteRef/>
      </w:r>
      <w:r w:rsidRPr="00963830">
        <w:rPr>
          <w:color w:val="000000" w:themeColor="text1"/>
        </w:rPr>
        <w:t xml:space="preserve"> Cass. 8 april 2008, AR P.08.0137.N., </w:t>
      </w:r>
      <w:r w:rsidRPr="00963830">
        <w:rPr>
          <w:i/>
          <w:color w:val="000000" w:themeColor="text1"/>
        </w:rPr>
        <w:t>Arr.Cass.</w:t>
      </w:r>
      <w:r w:rsidRPr="00963830">
        <w:rPr>
          <w:color w:val="000000" w:themeColor="text1"/>
        </w:rPr>
        <w:t xml:space="preserve"> 2008, (872) 872-873; A. DE NAUW en F. DERUYCK, </w:t>
      </w:r>
      <w:r w:rsidRPr="00963830">
        <w:rPr>
          <w:i/>
          <w:color w:val="000000" w:themeColor="text1"/>
        </w:rPr>
        <w:t>Inleiding tot het bijzonder strafrecht</w:t>
      </w:r>
      <w:r w:rsidRPr="00963830">
        <w:rPr>
          <w:color w:val="000000" w:themeColor="text1"/>
        </w:rPr>
        <w:t xml:space="preserve">, Mechelen, Kluwer, 2020, 199; </w:t>
      </w:r>
      <w:r w:rsidRPr="00963830">
        <w:t xml:space="preserve">A. DIERICKX en J. DECOKER, “Artikel 372 - 375 Sw.”, </w:t>
      </w:r>
      <w:r w:rsidRPr="00963830">
        <w:rPr>
          <w:i/>
        </w:rPr>
        <w:t>supra</w:t>
      </w:r>
      <w:r w:rsidRPr="00963830">
        <w:t xml:space="preserve"> vn. 43, 445;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249; L. STEVENS, “Over anale verkrachting” (noot onder Cass. 8 april 2008), </w:t>
      </w:r>
      <w:r w:rsidRPr="00963830">
        <w:rPr>
          <w:i/>
          <w:color w:val="000000" w:themeColor="text1"/>
        </w:rPr>
        <w:t>T.Strafr.</w:t>
      </w:r>
      <w:r w:rsidRPr="00963830">
        <w:rPr>
          <w:color w:val="000000" w:themeColor="text1"/>
        </w:rPr>
        <w:t xml:space="preserve"> 2008, (462) 462; I. DELBROUCK, “Verkrachting” in X, </w:t>
      </w:r>
      <w:r w:rsidRPr="00963830">
        <w:rPr>
          <w:i/>
          <w:color w:val="000000" w:themeColor="text1"/>
        </w:rPr>
        <w:t>Postal Memorialis. Lexicon strafrecht, strafvordering en bijzondere wetten</w:t>
      </w:r>
      <w:r w:rsidRPr="00963830">
        <w:rPr>
          <w:color w:val="000000" w:themeColor="text1"/>
        </w:rPr>
        <w:t xml:space="preserve">, Mechelen, Wolters Kluwer, losbl., (V.130/1) V.130/13; </w:t>
      </w:r>
      <w:r w:rsidRPr="00963830">
        <w:t xml:space="preserve">O. BASTYNS, “Le viol: une notion évolutive?”, </w:t>
      </w:r>
      <w:r w:rsidRPr="00963830">
        <w:rPr>
          <w:i/>
        </w:rPr>
        <w:t>RDPC</w:t>
      </w:r>
      <w:r w:rsidRPr="00963830">
        <w:t xml:space="preserve"> 2014, (808) 808-814.</w:t>
      </w:r>
    </w:p>
  </w:footnote>
  <w:footnote w:id="233">
    <w:p w14:paraId="64AEC910" w14:textId="446FE653"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color w:val="000000" w:themeColor="text1"/>
          <w:lang w:val="en-GB"/>
        </w:rPr>
        <w:t xml:space="preserve">Cass. 8 april 2008, AR P.08.0137.N., </w:t>
      </w:r>
      <w:r w:rsidRPr="009C29A6">
        <w:rPr>
          <w:i/>
          <w:color w:val="000000" w:themeColor="text1"/>
          <w:lang w:val="en-GB"/>
        </w:rPr>
        <w:t>Arr.Cass.</w:t>
      </w:r>
      <w:r w:rsidRPr="009C29A6">
        <w:rPr>
          <w:color w:val="000000" w:themeColor="text1"/>
          <w:lang w:val="en-GB"/>
        </w:rPr>
        <w:t xml:space="preserve"> 2008, (872) 872-873.</w:t>
      </w:r>
    </w:p>
  </w:footnote>
  <w:footnote w:id="234">
    <w:p w14:paraId="6AC81F60" w14:textId="15955E80"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Cass 17 mei 1926, </w:t>
      </w:r>
      <w:r w:rsidRPr="00963830">
        <w:rPr>
          <w:i/>
          <w:color w:val="000000" w:themeColor="text1"/>
        </w:rPr>
        <w:t>Pas</w:t>
      </w:r>
      <w:r w:rsidRPr="00963830">
        <w:rPr>
          <w:color w:val="000000" w:themeColor="text1"/>
        </w:rPr>
        <w:t xml:space="preserve">. 1926, I, 380; Cass. 7 mei 1928, </w:t>
      </w:r>
      <w:r w:rsidRPr="00963830">
        <w:rPr>
          <w:i/>
          <w:color w:val="000000" w:themeColor="text1"/>
        </w:rPr>
        <w:t>Pas</w:t>
      </w:r>
      <w:r w:rsidRPr="00963830">
        <w:rPr>
          <w:color w:val="000000" w:themeColor="text1"/>
        </w:rPr>
        <w:t xml:space="preserve">. 1928, I, 155; D. MERCKX en I. DELBROUCK, “Verkrachting”, </w:t>
      </w:r>
      <w:r w:rsidRPr="00963830">
        <w:rPr>
          <w:i/>
          <w:color w:val="000000" w:themeColor="text1"/>
        </w:rPr>
        <w:t>supra</w:t>
      </w:r>
      <w:r w:rsidRPr="00963830">
        <w:rPr>
          <w:color w:val="000000" w:themeColor="text1"/>
        </w:rPr>
        <w:t xml:space="preserve"> vn. 37, 250; </w:t>
      </w:r>
      <w:r w:rsidRPr="00963830">
        <w:t xml:space="preserve">L. STEVENS, </w:t>
      </w:r>
      <w:r w:rsidRPr="00963830">
        <w:rPr>
          <w:i/>
        </w:rPr>
        <w:t>Strafrecht en seksualiteit</w:t>
      </w:r>
      <w:r w:rsidRPr="00963830">
        <w:t>, Antwerpen, Intersentia, 2002, 451.</w:t>
      </w:r>
    </w:p>
  </w:footnote>
  <w:footnote w:id="235">
    <w:p w14:paraId="54744A76" w14:textId="0F12CE61" w:rsidR="00BA0376" w:rsidRPr="00963830" w:rsidRDefault="00BA0376" w:rsidP="00613E6B">
      <w:pPr>
        <w:pStyle w:val="NoSpacing"/>
        <w:rPr>
          <w:color w:val="000000" w:themeColor="text1"/>
        </w:rPr>
      </w:pPr>
      <w:r w:rsidRPr="00963830">
        <w:rPr>
          <w:rStyle w:val="FootnoteReference"/>
        </w:rPr>
        <w:footnoteRef/>
      </w:r>
      <w:r w:rsidRPr="00963830">
        <w:t xml:space="preserve"> </w:t>
      </w:r>
      <w:r w:rsidRPr="00963830">
        <w:rPr>
          <w:color w:val="000000" w:themeColor="text1"/>
        </w:rPr>
        <w:t xml:space="preserve">Aanvullend Verslag, </w:t>
      </w:r>
      <w:r w:rsidRPr="00963830">
        <w:rPr>
          <w:i/>
          <w:color w:val="000000" w:themeColor="text1"/>
        </w:rPr>
        <w:t>Parl.St.</w:t>
      </w:r>
      <w:r w:rsidRPr="00963830">
        <w:rPr>
          <w:color w:val="000000" w:themeColor="text1"/>
        </w:rPr>
        <w:t xml:space="preserve"> Senaat 1984-85, nr. 306/3, 4;</w:t>
      </w:r>
      <w:r w:rsidRPr="00963830">
        <w:t xml:space="preserve"> </w:t>
      </w:r>
      <w:r w:rsidRPr="00963830">
        <w:rPr>
          <w:color w:val="000000" w:themeColor="text1"/>
        </w:rPr>
        <w:t xml:space="preserve">Verslag, Parl.St. Kamer 1988-89, nr. 702/4, 9; A. DE NAUW en F. DERUYCK, </w:t>
      </w:r>
      <w:r w:rsidRPr="00963830">
        <w:rPr>
          <w:i/>
          <w:color w:val="000000" w:themeColor="text1"/>
        </w:rPr>
        <w:t>Inleiding tot het bijzonder strafrecht</w:t>
      </w:r>
      <w:r w:rsidRPr="00963830">
        <w:rPr>
          <w:color w:val="000000" w:themeColor="text1"/>
        </w:rPr>
        <w:t>, Mechelen, Kluwer, 2020, 199;</w:t>
      </w:r>
      <w:r w:rsidRPr="00963830">
        <w:t xml:space="preserve"> D. MERCKX en I. DELBROUCK, “Verkrachting”, </w:t>
      </w:r>
      <w:r w:rsidRPr="00963830">
        <w:rPr>
          <w:i/>
        </w:rPr>
        <w:t>supra</w:t>
      </w:r>
      <w:r w:rsidRPr="00963830">
        <w:t xml:space="preserve"> vn. 37, 252;</w:t>
      </w:r>
      <w:r w:rsidRPr="00963830">
        <w:rPr>
          <w:color w:val="000000" w:themeColor="text1"/>
        </w:rPr>
        <w:t xml:space="preserve"> </w:t>
      </w:r>
      <w:r w:rsidRPr="00963830">
        <w:t xml:space="preserve">L. STEVENS, </w:t>
      </w:r>
      <w:r w:rsidRPr="00963830">
        <w:rPr>
          <w:i/>
        </w:rPr>
        <w:t>Strafrecht en seksualiteit</w:t>
      </w:r>
      <w:r w:rsidRPr="00963830">
        <w:t>, Antwerpen, Intersentia, 2002, 448-449.</w:t>
      </w:r>
    </w:p>
  </w:footnote>
  <w:footnote w:id="236">
    <w:p w14:paraId="252400AB" w14:textId="69B79DAD"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Verslag, Parl.St. Kamer 1988-89, nr. 702/4, 9;</w:t>
      </w:r>
      <w:r w:rsidRPr="00963830">
        <w:t xml:space="preserve"> A. DIERICKX, “Hoe ver reikt de bescherming van de strafbepalingen van aanranding van de eerbaarheid en verkrachting?”, </w:t>
      </w:r>
      <w:r w:rsidRPr="00963830">
        <w:rPr>
          <w:i/>
        </w:rPr>
        <w:t>NC</w:t>
      </w:r>
      <w:r w:rsidRPr="00963830">
        <w:t xml:space="preserve"> 2006, (95) 103; D. MERCKX en I. DELBROUCK, “Verkrachting”, </w:t>
      </w:r>
      <w:r w:rsidRPr="00963830">
        <w:rPr>
          <w:i/>
        </w:rPr>
        <w:t>supra</w:t>
      </w:r>
      <w:r w:rsidRPr="00963830">
        <w:t xml:space="preserve"> vn. 37, 252; L. STEVENS, </w:t>
      </w:r>
      <w:r w:rsidRPr="00963830">
        <w:rPr>
          <w:i/>
        </w:rPr>
        <w:t>Strafrecht en seksualiteit</w:t>
      </w:r>
      <w:r w:rsidRPr="00963830">
        <w:t xml:space="preserve">, Antwerpen, Intersentia, 2002, 449; O. BASTYNS, “Pénétration de l’auteur: viol ou attentat à la pudeur?” (noot onder Brussel 17 maart 2015), </w:t>
      </w:r>
      <w:r w:rsidRPr="00963830">
        <w:rPr>
          <w:i/>
        </w:rPr>
        <w:t>JLMB</w:t>
      </w:r>
      <w:r w:rsidRPr="00963830">
        <w:t xml:space="preserve"> 2018, (542) 543.</w:t>
      </w:r>
    </w:p>
  </w:footnote>
  <w:footnote w:id="237">
    <w:p w14:paraId="54ADEBDB" w14:textId="550ED9A5" w:rsidR="00BA0376" w:rsidRPr="00963830" w:rsidRDefault="00BA0376" w:rsidP="00B72598">
      <w:pPr>
        <w:pStyle w:val="NoSpacing"/>
      </w:pPr>
      <w:r w:rsidRPr="00963830">
        <w:rPr>
          <w:rStyle w:val="FootnoteReference"/>
        </w:rPr>
        <w:footnoteRef/>
      </w:r>
      <w:r w:rsidRPr="00963830">
        <w:t xml:space="preserve"> Hierop wordt tevens verder ingegaan bij de uiteenzetting van het moreel bestanddeel (</w:t>
      </w:r>
      <w:r w:rsidRPr="00963830">
        <w:rPr>
          <w:i/>
        </w:rPr>
        <w:t xml:space="preserve">infra </w:t>
      </w:r>
      <w:r w:rsidRPr="00963830">
        <w:t>nr. 122).</w:t>
      </w:r>
    </w:p>
  </w:footnote>
  <w:footnote w:id="238">
    <w:p w14:paraId="074D1EE2" w14:textId="6E5AF199"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Verslag, Parl.St. Kamer 1988-89, nr. 702/4, 9; </w:t>
      </w:r>
      <w:r w:rsidRPr="00963830">
        <w:t xml:space="preserve">D. MERCKX en I. DELBROUCK, “Verkrachting”, </w:t>
      </w:r>
      <w:r w:rsidRPr="00963830">
        <w:rPr>
          <w:i/>
        </w:rPr>
        <w:t>supra</w:t>
      </w:r>
      <w:r w:rsidRPr="00963830">
        <w:t xml:space="preserve"> vn. 37, 252; L. STEVENS, </w:t>
      </w:r>
      <w:r w:rsidRPr="00963830">
        <w:rPr>
          <w:i/>
        </w:rPr>
        <w:t>Strafrecht en seksualiteit</w:t>
      </w:r>
      <w:r w:rsidRPr="00963830">
        <w:t>, Antwerpen, Intersentia, 2002, 451 en 464.</w:t>
      </w:r>
    </w:p>
  </w:footnote>
  <w:footnote w:id="239">
    <w:p w14:paraId="51D5F36E" w14:textId="601CD7D8"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A. DE NAUW en F. DERUYCK, </w:t>
      </w:r>
      <w:r w:rsidRPr="00963830">
        <w:rPr>
          <w:i/>
          <w:color w:val="000000" w:themeColor="text1"/>
        </w:rPr>
        <w:t>Inleiding tot het bijzonder strafrecht</w:t>
      </w:r>
      <w:r w:rsidRPr="00963830">
        <w:rPr>
          <w:color w:val="000000" w:themeColor="text1"/>
        </w:rPr>
        <w:t xml:space="preserve">, Mechelen, Kluwer, 2020,199; </w:t>
      </w:r>
      <w:r w:rsidRPr="00963830">
        <w:t xml:space="preserve">B. SPRIET, “(Lichaams)grens aan verkrachting: van Antwerpse vrijspraak tot nieuwe wetgeving?” in P. TRAEST, J. LECLERCQ, E. GOETHALS, L. HUYBRECHTS, J. ROZIE, R. VERSTRAETEN, F. DERUYCK EN M. ROZIE (eds.), </w:t>
      </w:r>
      <w:r w:rsidRPr="00963830">
        <w:rPr>
          <w:i/>
        </w:rPr>
        <w:t>Amicus curiae. Liber amicorum Marc De Swaef</w:t>
      </w:r>
      <w:r w:rsidRPr="00963830">
        <w:t xml:space="preserve">, Mortsel, Intersentia, 2013, (317) 319; D. MERCKX en I. DELBROUCK, “Verkrachting”, </w:t>
      </w:r>
      <w:r w:rsidRPr="00963830">
        <w:rPr>
          <w:i/>
        </w:rPr>
        <w:t>supra</w:t>
      </w:r>
      <w:r w:rsidRPr="00963830">
        <w:t xml:space="preserve"> vn. 37, 252; F. HUTSBEAUT, “De nieuwe wetgeving op de verkrachting”, </w:t>
      </w:r>
      <w:r w:rsidRPr="00963830">
        <w:rPr>
          <w:i/>
        </w:rPr>
        <w:t>Panopticon</w:t>
      </w:r>
      <w:r w:rsidRPr="00963830">
        <w:t xml:space="preserve"> 1990, (32) 38. </w:t>
      </w:r>
    </w:p>
  </w:footnote>
  <w:footnote w:id="240">
    <w:p w14:paraId="35CEE9E1" w14:textId="42DB017F" w:rsidR="00BA0376" w:rsidRPr="00963830" w:rsidRDefault="00BA0376" w:rsidP="00613E6B">
      <w:pPr>
        <w:pStyle w:val="NoSpacing"/>
      </w:pPr>
      <w:r w:rsidRPr="00963830">
        <w:rPr>
          <w:rStyle w:val="FootnoteReference"/>
        </w:rPr>
        <w:footnoteRef/>
      </w:r>
      <w:r w:rsidRPr="00963830">
        <w:t xml:space="preserve"> A. V</w:t>
      </w:r>
      <w:r w:rsidRPr="00963830">
        <w:rPr>
          <w:color w:val="000000" w:themeColor="text1"/>
        </w:rPr>
        <w:t xml:space="preserve">ANDEPLAS, “Over de tongkus en de seksuele penetratie” (noot onder Brussel 8 april 1998), </w:t>
      </w:r>
      <w:r w:rsidRPr="00963830">
        <w:rPr>
          <w:i/>
          <w:color w:val="000000" w:themeColor="text1"/>
        </w:rPr>
        <w:t>RW</w:t>
      </w:r>
      <w:r w:rsidRPr="00963830">
        <w:rPr>
          <w:color w:val="000000" w:themeColor="text1"/>
        </w:rPr>
        <w:t xml:space="preserve"> 1998-99, 505; </w:t>
      </w:r>
      <w:r w:rsidRPr="00963830">
        <w:t xml:space="preserve">F. VERBRUGGEN, “Gebrek aan toestemming als constitutief bestanddeel bij verkrachting van een mentaal gehandicapte minderjarige”, </w:t>
      </w:r>
      <w:r w:rsidRPr="00963830">
        <w:rPr>
          <w:i/>
        </w:rPr>
        <w:t>AJT</w:t>
      </w:r>
      <w:r w:rsidRPr="00963830">
        <w:t xml:space="preserve"> 1995-96, (472) 474.</w:t>
      </w:r>
    </w:p>
  </w:footnote>
  <w:footnote w:id="241">
    <w:p w14:paraId="00DABD82" w14:textId="77777777" w:rsidR="00BA0376" w:rsidRPr="00963830" w:rsidRDefault="00BA0376" w:rsidP="00A83655">
      <w:pPr>
        <w:pStyle w:val="NoSpacing"/>
      </w:pPr>
      <w:r w:rsidRPr="00963830">
        <w:rPr>
          <w:rStyle w:val="FootnoteReference"/>
        </w:rPr>
        <w:footnoteRef/>
      </w:r>
      <w:r w:rsidRPr="00963830">
        <w:t xml:space="preserve"> Hun voornaamste kritiek bestond erin dat op die manier het moreel bestanddeel van het misdrijf gewijzigd zou worden. Bovendien wordt erop gewezen dat in de parlementaire werkzaamheden een eventueel subjectieve perceptie van de feiten niet </w:t>
      </w:r>
      <w:r w:rsidRPr="00963830">
        <w:rPr>
          <w:color w:val="000000" w:themeColor="text1"/>
        </w:rPr>
        <w:t>in aanmerking zou worden genomen voor de beoordeling van de strafbaarheid van de gedraging. O.w.v. het voorgaande wordt de subjectieve component, door de auteurs gereduceerd tot een opmerking in het wetgevend proces waaraan weinig tot geen belang moest worden gehecht</w:t>
      </w:r>
      <w:r w:rsidRPr="00963830">
        <w:t xml:space="preserve">. Zie in die zin: L. STEVENS, </w:t>
      </w:r>
      <w:r w:rsidRPr="00963830">
        <w:rPr>
          <w:i/>
        </w:rPr>
        <w:t>Strafrecht en seksualiteit</w:t>
      </w:r>
      <w:r w:rsidRPr="00963830">
        <w:t>, Antwerpen, Intersentia, 2002, 464-465;</w:t>
      </w:r>
      <w:r w:rsidRPr="00963830">
        <w:rPr>
          <w:color w:val="000000" w:themeColor="text1"/>
        </w:rPr>
        <w:t xml:space="preserve"> O. BASTYNS, “Le viol” in X, Droit pénal et procédure pénale, Mechelen, Wolters Kluwer, losbl., (59) 63.</w:t>
      </w:r>
    </w:p>
  </w:footnote>
  <w:footnote w:id="242">
    <w:p w14:paraId="66BBFB25" w14:textId="04218BAF" w:rsidR="00BA0376" w:rsidRPr="00963830" w:rsidRDefault="00BA0376" w:rsidP="00613E6B">
      <w:pPr>
        <w:pStyle w:val="NoSpacing"/>
      </w:pPr>
      <w:r w:rsidRPr="00963830">
        <w:rPr>
          <w:rStyle w:val="FootnoteReference"/>
        </w:rPr>
        <w:footnoteRef/>
      </w:r>
      <w:r w:rsidRPr="00963830">
        <w:t xml:space="preserve"> Cass. 21 december 2021, AR P.21.0055.N, overw. 94.</w:t>
      </w:r>
    </w:p>
  </w:footnote>
  <w:footnote w:id="243">
    <w:p w14:paraId="6C76D921" w14:textId="77777777" w:rsidR="00BA0376" w:rsidRPr="00963830" w:rsidRDefault="00BA0376" w:rsidP="000A3E24">
      <w:pPr>
        <w:pStyle w:val="NoSpacing"/>
      </w:pPr>
      <w:r w:rsidRPr="00963830">
        <w:rPr>
          <w:rStyle w:val="FootnoteReference"/>
        </w:rPr>
        <w:footnoteRef/>
      </w:r>
      <w:r w:rsidRPr="00963830">
        <w:t xml:space="preserve"> </w:t>
      </w:r>
      <w:r w:rsidRPr="00963830">
        <w:rPr>
          <w:color w:val="000000" w:themeColor="text1"/>
        </w:rPr>
        <w:t>M. COP en T. HENRION, Het nieuwe seksueel strafrecht. Artikelsgewijze bespreking van de hervorming anno 2022, Leuven, LeA Uitgevers, 2022, 23.</w:t>
      </w:r>
    </w:p>
  </w:footnote>
  <w:footnote w:id="244">
    <w:p w14:paraId="46A3F24E" w14:textId="5C01E630"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252-254; O. BASTYNS, “Le viol: une notion évolutive?”, </w:t>
      </w:r>
      <w:r w:rsidRPr="00963830">
        <w:rPr>
          <w:i/>
          <w:color w:val="000000" w:themeColor="text1"/>
        </w:rPr>
        <w:t>RDPC</w:t>
      </w:r>
      <w:r w:rsidRPr="00963830">
        <w:rPr>
          <w:color w:val="000000" w:themeColor="text1"/>
        </w:rPr>
        <w:t xml:space="preserve"> 2014, (808) 808-814; </w:t>
      </w:r>
      <w:r w:rsidRPr="00963830">
        <w:t xml:space="preserve">L. STEVENS, </w:t>
      </w:r>
      <w:r w:rsidRPr="00963830">
        <w:rPr>
          <w:i/>
        </w:rPr>
        <w:t>Strafrecht en seksualiteit</w:t>
      </w:r>
      <w:r w:rsidRPr="00963830">
        <w:t>, Antwerpen, Intersentia, 2002, 445.</w:t>
      </w:r>
    </w:p>
  </w:footnote>
  <w:footnote w:id="245">
    <w:p w14:paraId="169692FD" w14:textId="6D648D52"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Hierop wordt verder ingegaan bij de uiteenzetting van de pijnpunten van de strafbaarstelling (</w:t>
      </w:r>
      <w:r w:rsidRPr="00963830">
        <w:rPr>
          <w:i/>
          <w:color w:val="000000" w:themeColor="text1"/>
        </w:rPr>
        <w:t>infra</w:t>
      </w:r>
      <w:r w:rsidRPr="00963830">
        <w:rPr>
          <w:color w:val="000000" w:themeColor="text1"/>
        </w:rPr>
        <w:t xml:space="preserve"> nr. 130).</w:t>
      </w:r>
    </w:p>
  </w:footnote>
  <w:footnote w:id="246">
    <w:p w14:paraId="6CED2112" w14:textId="2B60D28B"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Cass. 26 maart 2014, AR P.13.1860.F.;</w:t>
      </w:r>
      <w:r w:rsidRPr="00963830">
        <w:t xml:space="preserve"> </w:t>
      </w:r>
      <w:r w:rsidRPr="00963830">
        <w:rPr>
          <w:color w:val="000000" w:themeColor="text1"/>
        </w:rPr>
        <w:t xml:space="preserve">Concl. LOOP bij Cass. 26 maart 2014, </w:t>
      </w:r>
      <w:r w:rsidRPr="00963830">
        <w:rPr>
          <w:i/>
          <w:color w:val="000000" w:themeColor="text1"/>
        </w:rPr>
        <w:t>RDPC</w:t>
      </w:r>
      <w:r w:rsidRPr="00963830">
        <w:rPr>
          <w:color w:val="000000" w:themeColor="text1"/>
        </w:rPr>
        <w:t xml:space="preserve"> 2014, (803) 803-806; D. MERCKX en I. DELBROUCK, “Verkrachting”, </w:t>
      </w:r>
      <w:r w:rsidRPr="00963830">
        <w:rPr>
          <w:i/>
          <w:color w:val="000000" w:themeColor="text1"/>
        </w:rPr>
        <w:t>supra</w:t>
      </w:r>
      <w:r w:rsidRPr="00963830">
        <w:rPr>
          <w:color w:val="000000" w:themeColor="text1"/>
        </w:rPr>
        <w:t xml:space="preserve"> vn. 37, 252-254; O. BASTYNS, “Le viol: une notion évolutive?”, </w:t>
      </w:r>
      <w:r w:rsidRPr="00963830">
        <w:rPr>
          <w:i/>
          <w:color w:val="000000" w:themeColor="text1"/>
        </w:rPr>
        <w:t>RDPC</w:t>
      </w:r>
      <w:r w:rsidRPr="00963830">
        <w:rPr>
          <w:color w:val="000000" w:themeColor="text1"/>
        </w:rPr>
        <w:t xml:space="preserve"> 2014, (808) 808-814; </w:t>
      </w:r>
      <w:r w:rsidRPr="00963830">
        <w:t xml:space="preserve">L. STEVENS, </w:t>
      </w:r>
      <w:r w:rsidRPr="00963830">
        <w:rPr>
          <w:i/>
        </w:rPr>
        <w:t>Strafrecht en seksualiteit</w:t>
      </w:r>
      <w:r w:rsidRPr="00963830">
        <w:t>, Antwerpen, Intersentia, 2002, 445.</w:t>
      </w:r>
    </w:p>
  </w:footnote>
  <w:footnote w:id="247">
    <w:p w14:paraId="7CC49176" w14:textId="2922A780" w:rsidR="00BA0376" w:rsidRPr="00963830" w:rsidRDefault="00BA0376" w:rsidP="00950326">
      <w:pPr>
        <w:pStyle w:val="NoSpacing"/>
      </w:pPr>
      <w:r w:rsidRPr="00963830">
        <w:rPr>
          <w:rStyle w:val="FootnoteReference"/>
        </w:rPr>
        <w:footnoteRef/>
      </w:r>
      <w:r w:rsidRPr="00963830">
        <w:t xml:space="preserve"> </w:t>
      </w:r>
      <w:r w:rsidRPr="00963830">
        <w:rPr>
          <w:color w:val="000000" w:themeColor="text1"/>
        </w:rPr>
        <w:t xml:space="preserve">Verslag, Parl.St. Kamer 1988-89, nr. 702/4, 9-10; A. DE NAUW en F. DERUYCK, </w:t>
      </w:r>
      <w:r w:rsidRPr="00963830">
        <w:rPr>
          <w:i/>
          <w:color w:val="000000" w:themeColor="text1"/>
        </w:rPr>
        <w:t>Inleiding tot het bijzonder strafrecht</w:t>
      </w:r>
      <w:r w:rsidRPr="00963830">
        <w:rPr>
          <w:color w:val="000000" w:themeColor="text1"/>
        </w:rPr>
        <w:t xml:space="preserve">, Mechelen, Kluwer, 2020, 200; </w:t>
      </w:r>
      <w:r w:rsidRPr="00963830">
        <w:t xml:space="preserve">A. DE NAUW en F. KUTY, </w:t>
      </w:r>
      <w:r w:rsidRPr="00963830">
        <w:rPr>
          <w:i/>
        </w:rPr>
        <w:t>Manuel de droit pénal spécial</w:t>
      </w:r>
      <w:r w:rsidRPr="00963830">
        <w:t xml:space="preserve">, Wolters Kluwer, Liège, 2018, 242; B. SPRIET, “(Lichaams)grens aan verkrachting: van Antwerpse vrijspraak tot nieuwe wetgeving?” in P. TRAEST, J. LECLERCQ, E. GOETHALS, L. HUYBRECHTS, J. ROZIE, R. VERSTRAETEN, F. DERUYCK EN M. ROZIE (eds.), </w:t>
      </w:r>
      <w:r w:rsidRPr="00963830">
        <w:rPr>
          <w:i/>
        </w:rPr>
        <w:t>Amicus curiae. Liber amicorum Marc De Swaef</w:t>
      </w:r>
      <w:r w:rsidRPr="00963830">
        <w:t xml:space="preserve">, Mortsel, Intersentia, 2013, (317) 319-320;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254-255; </w:t>
      </w:r>
      <w:r w:rsidRPr="00963830">
        <w:t xml:space="preserve">L. STEVENS, </w:t>
      </w:r>
      <w:r w:rsidRPr="00963830">
        <w:rPr>
          <w:i/>
        </w:rPr>
        <w:t>Strafrecht en seksualiteit</w:t>
      </w:r>
      <w:r w:rsidRPr="00963830">
        <w:t xml:space="preserve">, Antwerpen, Intersentia, 2002, 446 en 450; F. HUTSBEAUT, “De nieuwe wetgeving op de verkrachting”, </w:t>
      </w:r>
      <w:r w:rsidRPr="00963830">
        <w:rPr>
          <w:i/>
        </w:rPr>
        <w:t>Panopticon</w:t>
      </w:r>
      <w:r w:rsidRPr="00963830">
        <w:t xml:space="preserve"> 1990, (32) 39.</w:t>
      </w:r>
    </w:p>
  </w:footnote>
  <w:footnote w:id="248">
    <w:p w14:paraId="51D50A58" w14:textId="1CE57872" w:rsidR="00BA0376" w:rsidRPr="00963830" w:rsidRDefault="00BA0376" w:rsidP="00613E6B">
      <w:pPr>
        <w:pStyle w:val="NoSpacing"/>
      </w:pPr>
      <w:r w:rsidRPr="00963830">
        <w:rPr>
          <w:rStyle w:val="FootnoteReference"/>
        </w:rPr>
        <w:footnoteRef/>
      </w:r>
      <w:r w:rsidRPr="00963830">
        <w:t xml:space="preserve"> Het slachtoffer moest een mens zijn en kon dus geen dier zijn. Wanneer een slachtoffer door de dader verplicht werd een penetratie te ondergaan door een dier, kon dit wel verkrachting uitmaken (met welk middel dan ook). Zie ook: B. SPRIET, “(Lichaams)grens aan verkrachting: van Antwerpse vrijspraak tot nieuwe wetgeving?” in P. TRAEST, J. LECLERCQ, E. GOETHALS, L. HUYBRECHTS, J. ROZIE, R. VERSTRAETEN, F. DERUYCK EN M. ROZIE (eds.), </w:t>
      </w:r>
      <w:r w:rsidRPr="00963830">
        <w:rPr>
          <w:i/>
        </w:rPr>
        <w:t>Amicus curiae. Liber amicorum Marc De Swaef</w:t>
      </w:r>
      <w:r w:rsidRPr="00963830">
        <w:t xml:space="preserve">, Mortsel, Intersentia, 2013, (317) 321;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256; I. DELBROUCK, “Verkrachting” in X, </w:t>
      </w:r>
      <w:r w:rsidRPr="00963830">
        <w:rPr>
          <w:i/>
          <w:color w:val="000000" w:themeColor="text1"/>
        </w:rPr>
        <w:t>Postal Memorialis. Lexicon strafrecht, strafvordering en bijzondere wetten</w:t>
      </w:r>
      <w:r w:rsidRPr="00963830">
        <w:rPr>
          <w:color w:val="000000" w:themeColor="text1"/>
        </w:rPr>
        <w:t>, Mechelen, Wolters Kluwer, losbl., (V.130/1) V.130/14–V.130/15.</w:t>
      </w:r>
    </w:p>
  </w:footnote>
  <w:footnote w:id="249">
    <w:p w14:paraId="4E78C310" w14:textId="25238AC1" w:rsidR="00BA0376" w:rsidRPr="00963830" w:rsidRDefault="00BA0376" w:rsidP="00613E6B">
      <w:pPr>
        <w:pStyle w:val="NoSpacing"/>
      </w:pPr>
      <w:r w:rsidRPr="00963830">
        <w:rPr>
          <w:rStyle w:val="FootnoteReference"/>
        </w:rPr>
        <w:footnoteRef/>
      </w:r>
      <w:r w:rsidRPr="00963830">
        <w:t xml:space="preserve"> Als verkrachting de dood tot gevolg heeft, is dit een verzwarende omstandigheid (oud art. 376 Sw.). Hierop wordt in deze masterscriptie niet dieper ingegaan (</w:t>
      </w:r>
      <w:r w:rsidRPr="00963830">
        <w:rPr>
          <w:i/>
        </w:rPr>
        <w:t xml:space="preserve">supra </w:t>
      </w:r>
      <w:r w:rsidRPr="00963830">
        <w:t xml:space="preserve">nr. 3). Wanneer feiten plaatsvinden die onder verkrachting zouden kunnen vallen, maar worden gepleegd op een reeds overleden persoon, zal dit geen verkrachting uitmaken. De chronologie van de feiten zal dus in dit opzicht van belang zijn voor de mogelijke kwalificaties. Zie ook: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256. </w:t>
      </w:r>
    </w:p>
  </w:footnote>
  <w:footnote w:id="250">
    <w:p w14:paraId="09E0148F" w14:textId="11D7184C" w:rsidR="00BA0376" w:rsidRPr="00963830" w:rsidRDefault="00BA0376" w:rsidP="00613E6B">
      <w:pPr>
        <w:pStyle w:val="NoSpacing"/>
      </w:pPr>
      <w:r w:rsidRPr="00963830">
        <w:rPr>
          <w:rStyle w:val="FootnoteReference"/>
        </w:rPr>
        <w:footnoteRef/>
      </w:r>
      <w:r w:rsidRPr="00963830">
        <w:rPr>
          <w:rStyle w:val="FootnoteReference"/>
        </w:rPr>
        <w:t xml:space="preserve"> </w:t>
      </w:r>
      <w:r w:rsidRPr="00963830">
        <w:t xml:space="preserve">A. DE NAUW en F. KUTY, </w:t>
      </w:r>
      <w:r w:rsidRPr="00963830">
        <w:rPr>
          <w:i/>
        </w:rPr>
        <w:t>Manuel de droit pénal spécial</w:t>
      </w:r>
      <w:r w:rsidRPr="00963830">
        <w:t xml:space="preserve">, Wolters Kluwer, Liège, 2018, 242; D. MERCKX en I. DELBROUCK, “Verkrachting”, </w:t>
      </w:r>
      <w:r w:rsidRPr="00963830">
        <w:rPr>
          <w:i/>
        </w:rPr>
        <w:t>supra</w:t>
      </w:r>
      <w:r w:rsidRPr="00963830">
        <w:t xml:space="preserve"> vn. 37, 256; L. STEVENS, </w:t>
      </w:r>
      <w:r w:rsidRPr="00963830">
        <w:rPr>
          <w:i/>
        </w:rPr>
        <w:t>Strafrecht en seksualiteit</w:t>
      </w:r>
      <w:r w:rsidRPr="00963830">
        <w:t xml:space="preserve">, Antwerpen, Intersentia, 2002, 445; F. HUTSBEAUT, “De nieuwe wetgeving op de verkrachting”, </w:t>
      </w:r>
      <w:r w:rsidRPr="00963830">
        <w:rPr>
          <w:i/>
        </w:rPr>
        <w:t>Panopticon</w:t>
      </w:r>
      <w:r w:rsidRPr="00963830">
        <w:t xml:space="preserve"> 1990, (32) 39.</w:t>
      </w:r>
    </w:p>
  </w:footnote>
  <w:footnote w:id="251">
    <w:p w14:paraId="5F740570" w14:textId="3F63B32E"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256; I. DELBROUCK, “Verkrachting” in X, </w:t>
      </w:r>
      <w:r w:rsidRPr="00963830">
        <w:rPr>
          <w:i/>
          <w:color w:val="000000" w:themeColor="text1"/>
        </w:rPr>
        <w:t>Postal Memorialis. Lexicon strafrecht, strafvordering en bijzondere wetten</w:t>
      </w:r>
      <w:r w:rsidRPr="00963830">
        <w:rPr>
          <w:color w:val="000000" w:themeColor="text1"/>
        </w:rPr>
        <w:t>, Mechelen, Wolters Kluwer, losbl., (V.130/1) V.130/15; O. BASTYNS, “Le viol” in X, Droit pénal et procédure pénale, Mechelen, Wolters Kluwer, losbl., (59) 63.</w:t>
      </w:r>
    </w:p>
  </w:footnote>
  <w:footnote w:id="252">
    <w:p w14:paraId="7D3147F3" w14:textId="11ECD02B" w:rsidR="00BA0376" w:rsidRPr="00963830" w:rsidRDefault="00BA0376" w:rsidP="007653BC">
      <w:pPr>
        <w:pStyle w:val="NoSpacing"/>
      </w:pPr>
      <w:r w:rsidRPr="00963830">
        <w:rPr>
          <w:rStyle w:val="FootnoteReference"/>
        </w:rPr>
        <w:footnoteRef/>
      </w:r>
      <w:r w:rsidRPr="00963830">
        <w:t xml:space="preserve"> B. SPRIET en G. MARLIER, “Aanranding van de eerbaarheid en verkrachting”, </w:t>
      </w:r>
      <w:r w:rsidRPr="00963830">
        <w:rPr>
          <w:i/>
        </w:rPr>
        <w:t>supra</w:t>
      </w:r>
      <w:r w:rsidRPr="00963830">
        <w:t xml:space="preserve"> vn. 39, 105-107; B. SPRIET, “(Lichaams)grens aan verkrachting: van Antwerpse vrijspraak tot nieuwe wetgeving?” in P. TRAEST, J. LECLERCQ, E. GOETHALS, L. HUYBRECHTS, J. ROZIE, R. VERSTRAETEN, F. DERUYCK EN M. ROZIE (eds.), </w:t>
      </w:r>
      <w:r w:rsidRPr="00963830">
        <w:rPr>
          <w:i/>
        </w:rPr>
        <w:t>Amicus curiae. Liber amicorum Marc De Swaef</w:t>
      </w:r>
      <w:r w:rsidRPr="00963830">
        <w:t xml:space="preserve">, Mortsel, Intersentia, 2013, (317) 321 en 329-330; L. STEVENS, </w:t>
      </w:r>
      <w:r w:rsidRPr="00963830">
        <w:rPr>
          <w:i/>
        </w:rPr>
        <w:t>Strafrecht en seksualiteit</w:t>
      </w:r>
      <w:r w:rsidRPr="00963830">
        <w:t xml:space="preserve">, Antwerpen, Intersentia, 2002, 451; . COP en T. HENRION, </w:t>
      </w:r>
      <w:r w:rsidRPr="00963830">
        <w:rPr>
          <w:i/>
        </w:rPr>
        <w:t>Het nieuwe seksueel strafrecht. Artikelsgewijze bespreking van de hervorming anno 2022,</w:t>
      </w:r>
      <w:r w:rsidRPr="00963830">
        <w:t xml:space="preserve"> Leuven, LeA Uitgevers, 2022, 23; O. BASTYNS, “Pénétration de l’auteur: viol ou attentat à la pudeur?” (noot onder Brussel 17 maart 2015), </w:t>
      </w:r>
      <w:r w:rsidRPr="00963830">
        <w:rPr>
          <w:i/>
        </w:rPr>
        <w:t>JLMB</w:t>
      </w:r>
      <w:r w:rsidRPr="00963830">
        <w:t xml:space="preserve"> 2018, (542) 546.</w:t>
      </w:r>
    </w:p>
    <w:p w14:paraId="66A2425E" w14:textId="77777777" w:rsidR="00BA0376" w:rsidRPr="00963830" w:rsidRDefault="00BA0376" w:rsidP="007653BC">
      <w:pPr>
        <w:pStyle w:val="NoSpacing"/>
      </w:pPr>
      <w:r w:rsidRPr="00963830">
        <w:t xml:space="preserve">Zie ook expliciet: MvT, </w:t>
      </w:r>
      <w:r w:rsidRPr="00963830">
        <w:rPr>
          <w:i/>
        </w:rPr>
        <w:t>Parl.St</w:t>
      </w:r>
      <w:r w:rsidRPr="00963830">
        <w:t>. Kamer 2020-21, nr. 55-2141/001, 27-28.</w:t>
      </w:r>
    </w:p>
  </w:footnote>
  <w:footnote w:id="253">
    <w:p w14:paraId="1A983656" w14:textId="1A0D0D25" w:rsidR="00BA0376" w:rsidRPr="00963830" w:rsidRDefault="00BA0376" w:rsidP="00920B2E">
      <w:pPr>
        <w:pStyle w:val="NoSpacing"/>
      </w:pPr>
      <w:r w:rsidRPr="00963830">
        <w:rPr>
          <w:rStyle w:val="FootnoteReference"/>
        </w:rPr>
        <w:footnoteRef/>
      </w:r>
      <w:r w:rsidRPr="00963830">
        <w:t xml:space="preserve"> Evenals naar mijn mening.</w:t>
      </w:r>
    </w:p>
  </w:footnote>
  <w:footnote w:id="254">
    <w:p w14:paraId="368438AE" w14:textId="795E0668"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27-28; Vademecum bij Omz. seksueel strafrecht, </w:t>
      </w:r>
      <w:r w:rsidRPr="00963830">
        <w:rPr>
          <w:i/>
        </w:rPr>
        <w:t>supra</w:t>
      </w:r>
      <w:r w:rsidRPr="00963830">
        <w:t xml:space="preserve"> vn. 79, 51; A. DE NAUW en F. DERUYCK, </w:t>
      </w:r>
      <w:r w:rsidRPr="00963830">
        <w:rPr>
          <w:i/>
        </w:rPr>
        <w:t>Inleiding tot het bijzonder strafrecht</w:t>
      </w:r>
      <w:r w:rsidRPr="00963830">
        <w:t xml:space="preserve">, Mechelen, Kluwer, 2020, 200; A. DE NAUW en F. KUTY, </w:t>
      </w:r>
      <w:r w:rsidRPr="00963830">
        <w:rPr>
          <w:i/>
        </w:rPr>
        <w:t>Manuel de droit pénal spécial</w:t>
      </w:r>
      <w:r w:rsidRPr="00963830">
        <w:t xml:space="preserve">, Wolters Kluwer, Liège, 2018, 242; B. SPRIET en G. MARLIER, “Aanranding van de eerbaarheid en verkrachting”, </w:t>
      </w:r>
      <w:r w:rsidRPr="00963830">
        <w:rPr>
          <w:i/>
        </w:rPr>
        <w:t>supra</w:t>
      </w:r>
      <w:r w:rsidRPr="00963830">
        <w:t xml:space="preserve"> vn. 39, 105-107; B. SPRIET, “(Lichaams)grens aan verkrachting: van Antwerpse vrijspraak tot nieuwe wetgeving?” in P. TRAEST, J. LECLERCQ, E. GOETHALS, L. HUYBRECHTS, J. ROZIE, R. VERSTRAETEN, F. DERUYCK EN M. ROZIE (eds.), </w:t>
      </w:r>
      <w:r w:rsidRPr="00963830">
        <w:rPr>
          <w:i/>
        </w:rPr>
        <w:t>Amicus curiae. Liber amicorum Marc De Swaef</w:t>
      </w:r>
      <w:r w:rsidRPr="00963830">
        <w:t xml:space="preserve">, Mortsel, Intersentia, 2013, (317) 321 en 329-330; </w:t>
      </w:r>
      <w:r w:rsidRPr="00963830">
        <w:rPr>
          <w:color w:val="000000" w:themeColor="text1"/>
        </w:rPr>
        <w:t xml:space="preserve">I. DELBROUCK, “Verkrachting” in X, </w:t>
      </w:r>
      <w:r w:rsidRPr="00963830">
        <w:rPr>
          <w:i/>
          <w:color w:val="000000" w:themeColor="text1"/>
        </w:rPr>
        <w:t>Postal Memorialis. Lexicon strafrecht, strafvordering en bijzondere wetten</w:t>
      </w:r>
      <w:r w:rsidRPr="00963830">
        <w:rPr>
          <w:color w:val="000000" w:themeColor="text1"/>
        </w:rPr>
        <w:t xml:space="preserve">, Mechelen, Wolters Kluwer, losbl., (V.130/1) V.130/13 en V.130/15; </w:t>
      </w:r>
      <w:r w:rsidRPr="00963830">
        <w:t xml:space="preserve">J. ROZIE en J. DE HERDT, “overgangsrecht seksueel strafrecht”, </w:t>
      </w:r>
      <w:r w:rsidRPr="00963830">
        <w:rPr>
          <w:i/>
        </w:rPr>
        <w:t>supra</w:t>
      </w:r>
      <w:r w:rsidRPr="00963830">
        <w:t xml:space="preserve"> vn. 7, 184; L. STEVENS, </w:t>
      </w:r>
      <w:r w:rsidRPr="00963830">
        <w:rPr>
          <w:i/>
        </w:rPr>
        <w:t>Strafrecht en seksualiteit</w:t>
      </w:r>
      <w:r w:rsidRPr="00963830">
        <w:t xml:space="preserve">, Antwerpen, Intersentia, 2002, 451; </w:t>
      </w:r>
      <w:r w:rsidRPr="00963830">
        <w:rPr>
          <w:color w:val="000000" w:themeColor="text1"/>
        </w:rPr>
        <w:t xml:space="preserve">O. BASTYNS, “Le viol” in X, Droit pénal et procédure pénale, Mechelen, Wolters Kluwer, losbl., (59) 63; </w:t>
      </w:r>
      <w:r w:rsidRPr="00963830">
        <w:t xml:space="preserve">O. BASTYNS, “Pénétration de l’auteur: viol ou attentat à la pudeur?” (noot onder Brussel 17 maart 2015), </w:t>
      </w:r>
      <w:r w:rsidRPr="00963830">
        <w:rPr>
          <w:i/>
        </w:rPr>
        <w:t>JLMB</w:t>
      </w:r>
      <w:r w:rsidRPr="00963830">
        <w:t xml:space="preserve"> 2018, (542) 546.</w:t>
      </w:r>
    </w:p>
  </w:footnote>
  <w:footnote w:id="255">
    <w:p w14:paraId="5CA875E8" w14:textId="0598D6E9" w:rsidR="00BA0376" w:rsidRPr="00963830" w:rsidRDefault="00BA0376" w:rsidP="00613E6B">
      <w:pPr>
        <w:pStyle w:val="NoSpacing"/>
      </w:pPr>
      <w:r w:rsidRPr="00963830">
        <w:rPr>
          <w:rStyle w:val="FootnoteReference"/>
        </w:rPr>
        <w:footnoteRef/>
      </w:r>
      <w:r w:rsidRPr="00963830">
        <w:rPr>
          <w:color w:val="000000" w:themeColor="text1"/>
        </w:rPr>
        <w:t xml:space="preserve"> </w:t>
      </w:r>
      <w:r w:rsidRPr="00963830">
        <w:t xml:space="preserve">Brussel 17 maart 2015, </w:t>
      </w:r>
      <w:r w:rsidRPr="00963830">
        <w:rPr>
          <w:i/>
        </w:rPr>
        <w:t>JLMB</w:t>
      </w:r>
      <w:r w:rsidRPr="00963830">
        <w:t xml:space="preserve"> 2018, 540; Luik 6 mei 2003, </w:t>
      </w:r>
      <w:r w:rsidRPr="00963830">
        <w:rPr>
          <w:i/>
        </w:rPr>
        <w:t>JLMB</w:t>
      </w:r>
      <w:r w:rsidRPr="00963830">
        <w:t xml:space="preserve"> 2018, 540;</w:t>
      </w:r>
      <w:r w:rsidRPr="00963830">
        <w:rPr>
          <w:color w:val="000000" w:themeColor="text1"/>
        </w:rPr>
        <w:t xml:space="preserve"> </w:t>
      </w:r>
      <w:r w:rsidRPr="00963830">
        <w:t xml:space="preserve">F. VERBRUGGEN, “Gebrek aan toestemming als constitutief bestanddeel bij verkrachting van een mentaal gehandicapte minderjarige”, </w:t>
      </w:r>
      <w:r w:rsidRPr="00963830">
        <w:rPr>
          <w:i/>
        </w:rPr>
        <w:t>AJT</w:t>
      </w:r>
      <w:r w:rsidRPr="00963830">
        <w:t xml:space="preserve"> 1995-96, (472) 474; I. WATTIER, “L’attentat à la pudeur et le viol”, supra nr. 57, 144; J. ROZIE en J. DE HERDT, “overgangsrecht seksueel strafrecht”, </w:t>
      </w:r>
      <w:r w:rsidRPr="00963830">
        <w:rPr>
          <w:i/>
        </w:rPr>
        <w:t>supra</w:t>
      </w:r>
      <w:r w:rsidRPr="00963830">
        <w:t xml:space="preserve"> vn. 7, 184.</w:t>
      </w:r>
    </w:p>
    <w:p w14:paraId="4F7100EB" w14:textId="5D4ECB09" w:rsidR="00BA0376" w:rsidRPr="00963830" w:rsidRDefault="00BA0376" w:rsidP="00613E6B">
      <w:pPr>
        <w:pStyle w:val="NoSpacing"/>
      </w:pPr>
      <w:r w:rsidRPr="00963830">
        <w:t xml:space="preserve">Hierbij dient erop te worden gewezen dat VERBRUGGEN dit poneerde in een bijdrage waarin dit onderwerp niet centraal stond en waarin dit aldus “terloops” gesteld werd, zie: F. VERBRUGGEN, “Gebrek aan toestemming als constitutief bestanddeel bij verkrachting van een mentaal gehandicapte minderjarige”, </w:t>
      </w:r>
      <w:r w:rsidRPr="00963830">
        <w:rPr>
          <w:i/>
        </w:rPr>
        <w:t>AJT</w:t>
      </w:r>
      <w:r w:rsidRPr="00963830">
        <w:t xml:space="preserve"> 1995-96, (472) 474.</w:t>
      </w:r>
    </w:p>
  </w:footnote>
  <w:footnote w:id="256">
    <w:p w14:paraId="23EEA9E7" w14:textId="0BA2E4E4" w:rsidR="00BA0376" w:rsidRPr="00963830" w:rsidRDefault="00BA0376" w:rsidP="001E60FB">
      <w:pPr>
        <w:pStyle w:val="NoSpacing"/>
      </w:pPr>
      <w:r w:rsidRPr="00963830">
        <w:rPr>
          <w:rStyle w:val="FootnoteReference"/>
        </w:rPr>
        <w:footnoteRef/>
      </w:r>
      <w:r w:rsidRPr="00963830">
        <w:t xml:space="preserve"> Te vinden in oud art. 375, eerste en tweede lid Sw.</w:t>
      </w:r>
    </w:p>
  </w:footnote>
  <w:footnote w:id="257">
    <w:p w14:paraId="73A7D0D9" w14:textId="4BFF8057" w:rsidR="00BA0376" w:rsidRPr="00963830" w:rsidRDefault="00BA0376" w:rsidP="001E60FB">
      <w:pPr>
        <w:pStyle w:val="NoSpacing"/>
      </w:pPr>
      <w:r w:rsidRPr="00963830">
        <w:rPr>
          <w:rStyle w:val="FootnoteReference"/>
        </w:rPr>
        <w:footnoteRef/>
      </w:r>
      <w:r w:rsidRPr="00963830">
        <w:t xml:space="preserve"> Te vinden in oud art. 375, zesde lid Sw.</w:t>
      </w:r>
    </w:p>
  </w:footnote>
  <w:footnote w:id="258">
    <w:p w14:paraId="56F3F07D" w14:textId="24AE738D" w:rsidR="00BA0376" w:rsidRPr="00963830" w:rsidRDefault="00BA0376" w:rsidP="00613E6B">
      <w:pPr>
        <w:pStyle w:val="NoSpacing"/>
      </w:pPr>
      <w:r w:rsidRPr="00963830">
        <w:rPr>
          <w:rStyle w:val="FootnoteReference"/>
        </w:rPr>
        <w:footnoteRef/>
      </w:r>
      <w:r w:rsidRPr="00963830">
        <w:t xml:space="preserve"> A. DE NAUW en F. DERUYCK, </w:t>
      </w:r>
      <w:r w:rsidRPr="00963830">
        <w:rPr>
          <w:i/>
        </w:rPr>
        <w:t>Inleiding tot het bijzonder strafrecht</w:t>
      </w:r>
      <w:r w:rsidRPr="00963830">
        <w:t xml:space="preserve">, Mechelen, Kluwer, 2020, 201; A. DE NAUW en F. KUTY, </w:t>
      </w:r>
      <w:r w:rsidRPr="00963830">
        <w:rPr>
          <w:i/>
        </w:rPr>
        <w:t>Manuel de droit pénal spécial</w:t>
      </w:r>
      <w:r w:rsidRPr="00963830">
        <w:t xml:space="preserve">, Wolters Kluwer, Liège, 2018, 240; A. DIERICKX en J. DECOKER, “Artikel 372 - 375 Sw.”, </w:t>
      </w:r>
      <w:r w:rsidRPr="00963830">
        <w:rPr>
          <w:i/>
        </w:rPr>
        <w:t>supra</w:t>
      </w:r>
      <w:r w:rsidRPr="00963830">
        <w:t xml:space="preserve"> vn. 43, 445-446.</w:t>
      </w:r>
    </w:p>
  </w:footnote>
  <w:footnote w:id="259">
    <w:p w14:paraId="7EC7346C" w14:textId="3CC8964B" w:rsidR="00BA0376" w:rsidRPr="009C29A6" w:rsidRDefault="00BA0376" w:rsidP="00613E6B">
      <w:pPr>
        <w:pStyle w:val="NoSpacing"/>
        <w:rPr>
          <w:lang w:val="en-GB"/>
        </w:rPr>
      </w:pPr>
      <w:r w:rsidRPr="00963830">
        <w:rPr>
          <w:rStyle w:val="FootnoteReference"/>
        </w:rPr>
        <w:footnoteRef/>
      </w:r>
      <w:r w:rsidRPr="009C29A6">
        <w:rPr>
          <w:lang w:val="en-GB"/>
        </w:rPr>
        <w:t xml:space="preserve"> Cass. 17 oktober 2007, AR P.07.0726.F.</w:t>
      </w:r>
    </w:p>
  </w:footnote>
  <w:footnote w:id="260">
    <w:p w14:paraId="589DB7AF" w14:textId="385DFBAB" w:rsidR="00BA0376" w:rsidRPr="00963830" w:rsidRDefault="00BA0376" w:rsidP="00613E6B">
      <w:pPr>
        <w:pStyle w:val="NoSpacing"/>
      </w:pPr>
      <w:r w:rsidRPr="00963830">
        <w:rPr>
          <w:rStyle w:val="FootnoteReference"/>
        </w:rPr>
        <w:footnoteRef/>
      </w:r>
      <w:r w:rsidRPr="009C29A6">
        <w:rPr>
          <w:lang w:val="en-GB"/>
        </w:rPr>
        <w:t xml:space="preserve"> Cass. 2 november 1999, </w:t>
      </w:r>
      <w:r w:rsidRPr="009C29A6">
        <w:rPr>
          <w:i/>
          <w:lang w:val="en-GB"/>
        </w:rPr>
        <w:t>Arr.Cass.</w:t>
      </w:r>
      <w:r w:rsidRPr="009C29A6">
        <w:rPr>
          <w:lang w:val="en-GB"/>
        </w:rPr>
        <w:t xml:space="preserve"> 1999, Pas. 1999, I, 1423; Cass. </w:t>
      </w:r>
      <w:r w:rsidRPr="00963830">
        <w:t xml:space="preserve">September 2007, </w:t>
      </w:r>
      <w:r w:rsidRPr="00963830">
        <w:rPr>
          <w:i/>
        </w:rPr>
        <w:t xml:space="preserve">RW </w:t>
      </w:r>
      <w:r w:rsidRPr="00963830">
        <w:t xml:space="preserve">2007-08, 1503; Cass. 30 oktober 2007, AR P.07.0574.N; A. DE NAUW en F. DERUYCK, </w:t>
      </w:r>
      <w:r w:rsidRPr="00963830">
        <w:rPr>
          <w:i/>
        </w:rPr>
        <w:t>Inleiding tot het bijzonder strafrecht</w:t>
      </w:r>
      <w:r w:rsidRPr="00963830">
        <w:t xml:space="preserve">, Mechelen, Kluwer, 2020, 195-197 en 201; A. DIERICKX, “Hoe ver reikt de bescherming van de strafbepalingen van aanranding van de eerbaarheid en verkrachting?”, </w:t>
      </w:r>
      <w:r w:rsidRPr="00963830">
        <w:rPr>
          <w:i/>
        </w:rPr>
        <w:t>NC</w:t>
      </w:r>
      <w:r w:rsidRPr="00963830">
        <w:t xml:space="preserve"> 2006, (95) 100; B. SPRIET en G. MARLIER, “Aanranding van de eerbaarheid en verkrachting”, </w:t>
      </w:r>
      <w:r w:rsidRPr="00963830">
        <w:rPr>
          <w:i/>
        </w:rPr>
        <w:t>supra</w:t>
      </w:r>
      <w:r w:rsidRPr="00963830">
        <w:t xml:space="preserve"> vn. 39, 110-113; B. SPRIET e.a. (eds.), “Actualia seksueel strafrecht”, </w:t>
      </w:r>
      <w:r w:rsidRPr="00963830">
        <w:rPr>
          <w:i/>
        </w:rPr>
        <w:t>supra</w:t>
      </w:r>
      <w:r w:rsidRPr="00963830">
        <w:t xml:space="preserve"> vn. 48, 12-25;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260; O. BASTYNS, “Le viol” in X, Droit pénal et procédure pénale, Mechelen, Wolters Kluwer, losbl., (59) 64; </w:t>
      </w:r>
      <w:r w:rsidRPr="00963830">
        <w:t xml:space="preserve">S. VANDROMME, “Afwezigheid van toestemming bij het misdrijf van verkrachting” (noot onder Cass. 25 september 2007), </w:t>
      </w:r>
      <w:r w:rsidRPr="00963830">
        <w:rPr>
          <w:i/>
        </w:rPr>
        <w:t>RW</w:t>
      </w:r>
      <w:r w:rsidRPr="00963830">
        <w:t xml:space="preserve"> 2007-08, (1503) 1504-1505.</w:t>
      </w:r>
    </w:p>
  </w:footnote>
  <w:footnote w:id="261">
    <w:p w14:paraId="033DFE73" w14:textId="23E9A7E8" w:rsidR="00BA0376" w:rsidRPr="00963830" w:rsidRDefault="00BA0376" w:rsidP="00613E6B">
      <w:pPr>
        <w:pStyle w:val="NoSpacing"/>
      </w:pPr>
      <w:r w:rsidRPr="00963830">
        <w:rPr>
          <w:rStyle w:val="FootnoteReference"/>
        </w:rPr>
        <w:footnoteRef/>
      </w:r>
      <w:r w:rsidRPr="00963830">
        <w:t xml:space="preserve"> Cass. 25 september 2007, </w:t>
      </w:r>
      <w:r w:rsidRPr="00963830">
        <w:rPr>
          <w:i/>
        </w:rPr>
        <w:t xml:space="preserve">RW </w:t>
      </w:r>
      <w:r w:rsidRPr="00963830">
        <w:t xml:space="preserve">2007-08, 1503. </w:t>
      </w:r>
    </w:p>
  </w:footnote>
  <w:footnote w:id="262">
    <w:p w14:paraId="581EE0C8" w14:textId="665C8FB3"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L. STEVENS, </w:t>
      </w:r>
      <w:r w:rsidRPr="00963830">
        <w:rPr>
          <w:i/>
          <w:color w:val="000000" w:themeColor="text1"/>
        </w:rPr>
        <w:t>Strafrecht en seksualiteit</w:t>
      </w:r>
      <w:r w:rsidRPr="00963830">
        <w:rPr>
          <w:color w:val="000000" w:themeColor="text1"/>
        </w:rPr>
        <w:t>, Antwerpen, Intersentia, 2002, 460;</w:t>
      </w:r>
      <w:r w:rsidRPr="00963830">
        <w:t xml:space="preserve"> S. VANDROMME, “Afwezigheid van toestemming bij het misdrijf van verkrachting” (noot onder Cass. 25 september 2007), </w:t>
      </w:r>
      <w:r w:rsidRPr="00963830">
        <w:rPr>
          <w:i/>
        </w:rPr>
        <w:t>RW</w:t>
      </w:r>
      <w:r w:rsidRPr="00963830">
        <w:t xml:space="preserve"> 2007-08, (1503) 1504.</w:t>
      </w:r>
    </w:p>
  </w:footnote>
  <w:footnote w:id="263">
    <w:p w14:paraId="7156EDFF" w14:textId="09B41AA5" w:rsidR="00BA0376" w:rsidRPr="009C29A6" w:rsidRDefault="00BA0376" w:rsidP="00613E6B">
      <w:pPr>
        <w:pStyle w:val="NoSpacing"/>
        <w:rPr>
          <w:lang w:val="fr-FR"/>
        </w:rPr>
      </w:pPr>
      <w:r w:rsidRPr="00963830">
        <w:rPr>
          <w:rStyle w:val="FootnoteReference"/>
        </w:rPr>
        <w:footnoteRef/>
      </w:r>
      <w:r w:rsidRPr="009C29A6">
        <w:rPr>
          <w:lang w:val="fr-FR"/>
        </w:rPr>
        <w:t xml:space="preserve"> </w:t>
      </w:r>
      <w:r w:rsidRPr="009C29A6">
        <w:rPr>
          <w:color w:val="000000" w:themeColor="text1"/>
          <w:lang w:val="fr-FR"/>
        </w:rPr>
        <w:t>O. BASTYNS, “Le viol” in X, Droit pénal et procédure pénale, Mechelen, Wolters Kluwer, losbl., (59) 63</w:t>
      </w:r>
    </w:p>
  </w:footnote>
  <w:footnote w:id="264">
    <w:p w14:paraId="0992E173" w14:textId="77C10EAA"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Cass. 23 april 2007, AR P.07.0726.F; </w:t>
      </w:r>
      <w:r w:rsidRPr="00963830">
        <w:t xml:space="preserve">Cass. 17 oktober 2007, AR P.07.0726.F; </w:t>
      </w:r>
      <w:r w:rsidRPr="00963830">
        <w:rPr>
          <w:color w:val="000000" w:themeColor="text1"/>
        </w:rPr>
        <w:t xml:space="preserve">B. KETELS, “Cassatie verduidelijkt draagwijdte seksuele toestemming” (noot onder Cass. 23 april 2007), </w:t>
      </w:r>
      <w:r w:rsidRPr="00963830">
        <w:rPr>
          <w:i/>
          <w:color w:val="000000" w:themeColor="text1"/>
        </w:rPr>
        <w:t>Juristenkrant</w:t>
      </w:r>
      <w:r w:rsidRPr="00963830">
        <w:rPr>
          <w:color w:val="000000" w:themeColor="text1"/>
        </w:rPr>
        <w:t xml:space="preserve"> 2008, afl. 164, 3; </w:t>
      </w:r>
      <w:r w:rsidRPr="00963830">
        <w:t xml:space="preserve">B. SPRIET en G. MARLIER, “Aanranding van de eerbaarheid en verkrachting”, </w:t>
      </w:r>
      <w:r w:rsidRPr="00963830">
        <w:rPr>
          <w:i/>
        </w:rPr>
        <w:t>supra</w:t>
      </w:r>
      <w:r w:rsidRPr="00963830">
        <w:t xml:space="preserve"> vn. 39, 110;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261-262.</w:t>
      </w:r>
    </w:p>
  </w:footnote>
  <w:footnote w:id="265">
    <w:p w14:paraId="2FA065AE" w14:textId="79A6CE6E" w:rsidR="00BA0376" w:rsidRPr="00963830" w:rsidRDefault="00BA0376" w:rsidP="00613E6B">
      <w:pPr>
        <w:pStyle w:val="NoSpacing"/>
      </w:pPr>
      <w:r w:rsidRPr="00963830">
        <w:rPr>
          <w:rStyle w:val="FootnoteReference"/>
        </w:rPr>
        <w:footnoteRef/>
      </w:r>
      <w:r w:rsidRPr="00963830">
        <w:t xml:space="preserve"> A. </w:t>
      </w:r>
      <w:r w:rsidRPr="00963830">
        <w:rPr>
          <w:rFonts w:eastAsia="Verdana" w:cs="Verdana"/>
        </w:rPr>
        <w:t xml:space="preserve">DIERICKX, </w:t>
      </w:r>
      <w:r w:rsidRPr="00963830">
        <w:rPr>
          <w:rFonts w:eastAsia="Verdana" w:cs="Verdana"/>
          <w:i/>
        </w:rPr>
        <w:t>Toestemming en strafrecht</w:t>
      </w:r>
      <w:r w:rsidRPr="00963830">
        <w:rPr>
          <w:rFonts w:eastAsia="Verdana" w:cs="Verdana"/>
        </w:rPr>
        <w:t xml:space="preserve">, Antwerpen, Intersentia, 2006, 344; </w:t>
      </w:r>
      <w:r w:rsidRPr="00963830">
        <w:t xml:space="preserve">A. DIERICKX, “De seksuele penetratie en de geldige toestemming in het licht van het misdrijf verkrachting” (noot onder Cass. 17 oktober 2007), </w:t>
      </w:r>
      <w:r w:rsidRPr="00963830">
        <w:rPr>
          <w:i/>
        </w:rPr>
        <w:t>NC</w:t>
      </w:r>
      <w:r w:rsidRPr="00963830">
        <w:t xml:space="preserve"> 2010, (81) 83-84; A. VANDEPLAS, “Betreffende verkrachting” (noot onder Antwerpen 13 oktober 1978), </w:t>
      </w:r>
      <w:r w:rsidRPr="00963830">
        <w:rPr>
          <w:i/>
        </w:rPr>
        <w:t>RW</w:t>
      </w:r>
      <w:r w:rsidRPr="00963830">
        <w:t xml:space="preserve"> 1978-79, (2817) 2818; B. SPRIET e.a. (eds.), “Actualia seksueel strafrecht”, </w:t>
      </w:r>
      <w:r w:rsidRPr="00963830">
        <w:rPr>
          <w:i/>
        </w:rPr>
        <w:t>supra</w:t>
      </w:r>
      <w:r w:rsidRPr="00963830">
        <w:t xml:space="preserve"> vn. 48, 22; </w:t>
      </w:r>
      <w:r w:rsidRPr="00963830">
        <w:rPr>
          <w:color w:val="000000" w:themeColor="text1"/>
        </w:rPr>
        <w:t xml:space="preserve">I. DELBROUCK, “Verkrachting” in X, </w:t>
      </w:r>
      <w:r w:rsidRPr="00963830">
        <w:rPr>
          <w:i/>
          <w:color w:val="000000" w:themeColor="text1"/>
        </w:rPr>
        <w:t>Postal Memorialis. Lexicon strafrecht, strafvordering en bijzondere wetten</w:t>
      </w:r>
      <w:r w:rsidRPr="00963830">
        <w:rPr>
          <w:color w:val="000000" w:themeColor="text1"/>
        </w:rPr>
        <w:t>, Mechelen, Wolters Kluwer, losbl., (V.130/1) V.130/16.</w:t>
      </w:r>
    </w:p>
  </w:footnote>
  <w:footnote w:id="266">
    <w:p w14:paraId="0E8E707E" w14:textId="7EEF7758" w:rsidR="00BA0376" w:rsidRPr="00963830" w:rsidRDefault="00BA0376" w:rsidP="00F57338">
      <w:pPr>
        <w:pStyle w:val="NoSpacing"/>
      </w:pPr>
      <w:r w:rsidRPr="00963830">
        <w:rPr>
          <w:rStyle w:val="FootnoteReference"/>
        </w:rPr>
        <w:footnoteRef/>
      </w:r>
      <w:r w:rsidRPr="00963830">
        <w:t xml:space="preserve"> A. DE NAUW en F. DERUYCK, </w:t>
      </w:r>
      <w:r w:rsidRPr="00963830">
        <w:rPr>
          <w:i/>
        </w:rPr>
        <w:t>Inleiding tot het bijzonder strafrecht</w:t>
      </w:r>
      <w:r w:rsidRPr="00963830">
        <w:t xml:space="preserve">, Mechelen, Kluwer, 2020, 202; A. DE NAUW en F. KUTY, </w:t>
      </w:r>
      <w:r w:rsidRPr="00963830">
        <w:rPr>
          <w:i/>
        </w:rPr>
        <w:t>Manuel de droit pénal spécial</w:t>
      </w:r>
      <w:r w:rsidRPr="00963830">
        <w:t xml:space="preserve">, Wolters Kluwer, Liège, 2018, 244; J. ROZIE en J. DE HERDT, “overgangsrecht seksueel strafrecht”, </w:t>
      </w:r>
      <w:r w:rsidRPr="00963830">
        <w:rPr>
          <w:i/>
        </w:rPr>
        <w:t>supra</w:t>
      </w:r>
      <w:r w:rsidRPr="00963830">
        <w:t xml:space="preserve"> vn. 7, 180-184; </w:t>
      </w:r>
      <w:r w:rsidRPr="00963830">
        <w:rPr>
          <w:color w:val="000000" w:themeColor="text1"/>
        </w:rPr>
        <w:t xml:space="preserve">L. STEVENS, </w:t>
      </w:r>
      <w:r w:rsidRPr="00963830">
        <w:rPr>
          <w:i/>
          <w:color w:val="000000" w:themeColor="text1"/>
        </w:rPr>
        <w:t>Strafrecht en seksualiteit</w:t>
      </w:r>
      <w:r w:rsidRPr="00963830">
        <w:rPr>
          <w:color w:val="000000" w:themeColor="text1"/>
        </w:rPr>
        <w:t xml:space="preserve">, Antwerpen, Intersentia, 2002, 458; </w:t>
      </w:r>
      <w:r w:rsidRPr="00963830">
        <w:t xml:space="preserve">B. KETELS, “De beperkte draagwijdte en het herroepelijk karakter van de seksuele toestemming” (noot onder Cass. 17 oktober 2007), </w:t>
      </w:r>
      <w:r w:rsidRPr="00963830">
        <w:rPr>
          <w:i/>
        </w:rPr>
        <w:t>RW</w:t>
      </w:r>
      <w:r w:rsidRPr="00963830">
        <w:t xml:space="preserve"> 2008-09, (570) 570.</w:t>
      </w:r>
    </w:p>
    <w:p w14:paraId="097E5CA1" w14:textId="722BDECB" w:rsidR="00BA0376" w:rsidRPr="00963830" w:rsidRDefault="00BA0376" w:rsidP="00F57338">
      <w:pPr>
        <w:pStyle w:val="NoSpacing"/>
      </w:pPr>
      <w:r w:rsidRPr="00963830">
        <w:t xml:space="preserve">Niet expliciet, maar wel eerder in die zin: B. MELIS, “Kan men na de toestemming nog van verkrachting spreken? Eens, ja, altijd ja!?” (noot onder Corr. Antwerpen 28 maart 2003), </w:t>
      </w:r>
      <w:r w:rsidRPr="00963830">
        <w:rPr>
          <w:i/>
        </w:rPr>
        <w:t>RABG</w:t>
      </w:r>
      <w:r w:rsidRPr="00963830">
        <w:t xml:space="preserve"> 2005, (1536) 1535-1537; I. WATTIER, “L’attentat à la pudeur et le viol”, supra nr. 57, 144.</w:t>
      </w:r>
    </w:p>
  </w:footnote>
  <w:footnote w:id="267">
    <w:p w14:paraId="4480551D" w14:textId="112F4FD8" w:rsidR="00BA0376" w:rsidRPr="00963830" w:rsidRDefault="00BA0376" w:rsidP="00F57338">
      <w:pPr>
        <w:pStyle w:val="NoSpacing"/>
      </w:pPr>
      <w:r w:rsidRPr="00963830">
        <w:rPr>
          <w:rStyle w:val="FootnoteReference"/>
        </w:rPr>
        <w:footnoteRef/>
      </w:r>
      <w:r w:rsidRPr="00963830">
        <w:t xml:space="preserve"> </w:t>
      </w:r>
      <w:r w:rsidRPr="00963830">
        <w:rPr>
          <w:color w:val="000000" w:themeColor="text1"/>
        </w:rPr>
        <w:t>Binnen deze visie zetten enkel STEVENS en ROZIE hun argumenten daartoe uitdrukkelijk uiteen. De argumentatie van ROZIE dient echter kritisch te worden bekeken. ROZIE stelt hieromtrent immers dat “algemeen aanvaard” wordt dat “de toestemming kan worden ingetrokken op elk ogenblik voor of tijdens de seksuele handeling” en verwijst hierbij naar het Cassatiearrest van 17 oktober 2007 (</w:t>
      </w:r>
      <w:r w:rsidRPr="00963830">
        <w:t xml:space="preserve">Cass. 17 oktober 2007, (P.07.0726.F), </w:t>
      </w:r>
      <w:r w:rsidRPr="00963830">
        <w:rPr>
          <w:i/>
        </w:rPr>
        <w:t xml:space="preserve">NC </w:t>
      </w:r>
      <w:r w:rsidRPr="00963830">
        <w:t>2010, 80, noot A. DIERICKX, “De seksuele penetratie en de geldige toestemming in het licht van verkrachting”)</w:t>
      </w:r>
      <w:r w:rsidRPr="00963830">
        <w:rPr>
          <w:color w:val="000000" w:themeColor="text1"/>
        </w:rPr>
        <w:t xml:space="preserve">. Een dergelijke conclusie kan m.i. niet uit dit arrest worden getrokken, gezien dit enkel handelt over het wél algemeen aanvaard principe dat toestemming voor de ene seksuele penetratie (bv. vaginaal) niet gelijkstaat aan toestemming voor de andere seksuele penetratie (bv. anaal). Zie: </w:t>
      </w:r>
      <w:r w:rsidRPr="00963830">
        <w:t xml:space="preserve">J. ROZIE en J. DE HERDT, “overgangsrecht seksueel strafrecht”, </w:t>
      </w:r>
      <w:r w:rsidRPr="00963830">
        <w:rPr>
          <w:i/>
        </w:rPr>
        <w:t>supra</w:t>
      </w:r>
      <w:r w:rsidRPr="00963830">
        <w:t xml:space="preserve"> vn. 7, 183-184.</w:t>
      </w:r>
    </w:p>
  </w:footnote>
  <w:footnote w:id="268">
    <w:p w14:paraId="0E4FA0EF" w14:textId="129B46C6"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Cass. 14 december 1971, </w:t>
      </w:r>
      <w:r w:rsidRPr="00963830">
        <w:rPr>
          <w:i/>
          <w:color w:val="000000" w:themeColor="text1"/>
        </w:rPr>
        <w:t>Pas</w:t>
      </w:r>
      <w:r w:rsidRPr="00963830">
        <w:rPr>
          <w:color w:val="000000" w:themeColor="text1"/>
        </w:rPr>
        <w:t xml:space="preserve">., 1972, I, 367; </w:t>
      </w:r>
      <w:r w:rsidRPr="00963830">
        <w:t xml:space="preserve">Cass. 5 februari 1985, </w:t>
      </w:r>
      <w:r w:rsidRPr="00963830">
        <w:rPr>
          <w:i/>
        </w:rPr>
        <w:t>Arr.Cass</w:t>
      </w:r>
      <w:r w:rsidRPr="00963830">
        <w:t xml:space="preserve">. 1985, (749) 762; A. DE NAUW en F. DERUYCK, </w:t>
      </w:r>
      <w:r w:rsidRPr="00963830">
        <w:rPr>
          <w:i/>
        </w:rPr>
        <w:t>Inleiding tot het bijzonder strafrecht</w:t>
      </w:r>
      <w:r w:rsidRPr="00963830">
        <w:t xml:space="preserve">, Mechelen, Kluwer, 2020, 203; A. DIERICKX, “Hoe ver reikt de bescherming van de strafbepalingen van aanranding van de eerbaarheid en verkrachting?”, </w:t>
      </w:r>
      <w:r w:rsidRPr="00963830">
        <w:rPr>
          <w:i/>
        </w:rPr>
        <w:t>NC</w:t>
      </w:r>
      <w:r w:rsidRPr="00963830">
        <w:t xml:space="preserve"> 2006, (95) 97;</w:t>
      </w:r>
      <w:r w:rsidRPr="00963830">
        <w:rPr>
          <w:color w:val="000000" w:themeColor="text1"/>
        </w:rPr>
        <w:t xml:space="preserve"> I. DELBROUCK, “Verkrachting” in X, </w:t>
      </w:r>
      <w:r w:rsidRPr="00963830">
        <w:rPr>
          <w:i/>
          <w:color w:val="000000" w:themeColor="text1"/>
        </w:rPr>
        <w:t>Postal Memorialis. Lexicon strafrecht, strafvordering en bijzondere wetten</w:t>
      </w:r>
      <w:r w:rsidRPr="00963830">
        <w:rPr>
          <w:color w:val="000000" w:themeColor="text1"/>
        </w:rPr>
        <w:t xml:space="preserve">, Mechelen, Wolters Kluwer, losbl., (V.130/1) V.130/19; </w:t>
      </w:r>
      <w:r w:rsidRPr="00963830">
        <w:t xml:space="preserve">I. WATTIER, “L’attentat à la pudeur et le viol”, supra nr. 57, 148; </w:t>
      </w:r>
      <w:r w:rsidRPr="00963830">
        <w:rPr>
          <w:color w:val="000000" w:themeColor="text1"/>
        </w:rPr>
        <w:t>O. BASTYNS, “Le viol” in X, Droit pénal et procédure pénale, Mechelen, Wolters Kluwer, losbl., (59) 65-66 en 73.</w:t>
      </w:r>
    </w:p>
  </w:footnote>
  <w:footnote w:id="269">
    <w:p w14:paraId="56367D0F" w14:textId="19990B20" w:rsidR="00BA0376" w:rsidRPr="00963830" w:rsidRDefault="00BA0376" w:rsidP="00613E6B">
      <w:pPr>
        <w:pStyle w:val="NoSpacing"/>
      </w:pPr>
      <w:r w:rsidRPr="00963830">
        <w:rPr>
          <w:rStyle w:val="FootnoteReference"/>
        </w:rPr>
        <w:footnoteRef/>
      </w:r>
      <w:r w:rsidRPr="00963830">
        <w:t xml:space="preserve"> Oud art. 375, zesde lid Sw.</w:t>
      </w:r>
    </w:p>
  </w:footnote>
  <w:footnote w:id="270">
    <w:p w14:paraId="7A6A2F64" w14:textId="7F04BD73" w:rsidR="00BA0376" w:rsidRPr="00963830" w:rsidRDefault="00BA0376" w:rsidP="00613E6B">
      <w:pPr>
        <w:pStyle w:val="NoSpacing"/>
      </w:pPr>
      <w:r w:rsidRPr="00963830">
        <w:rPr>
          <w:rStyle w:val="FootnoteReference"/>
        </w:rPr>
        <w:footnoteRef/>
      </w:r>
      <w:r w:rsidRPr="00963830">
        <w:t xml:space="preserve"> Oud art. 372, eerste lid Sw. (</w:t>
      </w:r>
      <w:r w:rsidRPr="00963830">
        <w:rPr>
          <w:i/>
          <w:color w:val="000000" w:themeColor="text1"/>
        </w:rPr>
        <w:t xml:space="preserve">supra </w:t>
      </w:r>
      <w:r w:rsidRPr="00963830">
        <w:rPr>
          <w:color w:val="000000" w:themeColor="text1"/>
        </w:rPr>
        <w:t>nr. 24 e.v.).</w:t>
      </w:r>
    </w:p>
  </w:footnote>
  <w:footnote w:id="271">
    <w:p w14:paraId="69BB5476" w14:textId="7985F6AD" w:rsidR="00BA0376" w:rsidRPr="009C29A6" w:rsidRDefault="00BA0376" w:rsidP="00613E6B">
      <w:pPr>
        <w:pStyle w:val="NoSpacing"/>
        <w:rPr>
          <w:lang w:val="fr-FR"/>
        </w:rPr>
      </w:pPr>
      <w:r w:rsidRPr="00963830">
        <w:rPr>
          <w:rStyle w:val="FootnoteReference"/>
        </w:rPr>
        <w:footnoteRef/>
      </w:r>
      <w:r w:rsidRPr="00963830">
        <w:t xml:space="preserve"> </w:t>
      </w:r>
      <w:r w:rsidRPr="00963830">
        <w:rPr>
          <w:color w:val="000000" w:themeColor="text1"/>
        </w:rPr>
        <w:t xml:space="preserve">GwH 4 juni 2009, nr. 93/2009, 9, overw. B.6; GwH 29 oktober 2009, nr. 167/2009, 11, overw. </w:t>
      </w:r>
      <w:r w:rsidRPr="009C29A6">
        <w:rPr>
          <w:color w:val="000000" w:themeColor="text1"/>
          <w:lang w:val="fr-FR"/>
        </w:rPr>
        <w:t xml:space="preserve">B.6; B. KETELS en G. VERMEULEN, “Grondwettelijk Hof verfijnt onderscheid leeftijdsgrens verkrachting en aanranding”, </w:t>
      </w:r>
      <w:r w:rsidRPr="009C29A6">
        <w:rPr>
          <w:i/>
          <w:color w:val="000000" w:themeColor="text1"/>
          <w:lang w:val="fr-FR"/>
        </w:rPr>
        <w:t>Juristenkrant</w:t>
      </w:r>
      <w:r w:rsidRPr="009C29A6">
        <w:rPr>
          <w:color w:val="000000" w:themeColor="text1"/>
          <w:lang w:val="fr-FR"/>
        </w:rPr>
        <w:t xml:space="preserve"> 2010, afl. 201, (4) 4-5; D. MERCKX en I. DELBROUCK, “Verkrachting”, </w:t>
      </w:r>
      <w:r w:rsidRPr="009C29A6">
        <w:rPr>
          <w:i/>
          <w:color w:val="000000" w:themeColor="text1"/>
          <w:lang w:val="fr-FR"/>
        </w:rPr>
        <w:t>supra</w:t>
      </w:r>
      <w:r w:rsidRPr="009C29A6">
        <w:rPr>
          <w:color w:val="000000" w:themeColor="text1"/>
          <w:lang w:val="fr-FR"/>
        </w:rPr>
        <w:t xml:space="preserve"> vn. 37, 237; I. </w:t>
      </w:r>
      <w:r w:rsidRPr="009C29A6">
        <w:rPr>
          <w:color w:val="000000"/>
          <w:shd w:val="clear" w:color="auto" w:fill="FFFFFF"/>
          <w:lang w:val="fr-FR"/>
        </w:rPr>
        <w:t xml:space="preserve">WATTIER, “De la constitutionnalité à la contrefactualité des catégories pénales de viol et de l’attentat à la pudeur commis sans violences ni menaces sur un mineur de moins de seize ans” (noot onder GwH 29 oktober 2009), </w:t>
      </w:r>
      <w:r w:rsidRPr="009C29A6">
        <w:rPr>
          <w:i/>
          <w:iCs/>
          <w:color w:val="000000"/>
          <w:shd w:val="clear" w:color="auto" w:fill="FFFFFF"/>
          <w:lang w:val="fr-FR"/>
        </w:rPr>
        <w:t>RDPC</w:t>
      </w:r>
      <w:r w:rsidRPr="009C29A6">
        <w:rPr>
          <w:color w:val="000000"/>
          <w:shd w:val="clear" w:color="auto" w:fill="FFFFFF"/>
          <w:lang w:val="fr-FR"/>
        </w:rPr>
        <w:t xml:space="preserve"> 2010, 344.</w:t>
      </w:r>
    </w:p>
  </w:footnote>
  <w:footnote w:id="272">
    <w:p w14:paraId="07B0A383" w14:textId="61F584DF" w:rsidR="00BA0376" w:rsidRPr="00963830" w:rsidRDefault="00BA0376" w:rsidP="00613E6B">
      <w:pPr>
        <w:pStyle w:val="NoSpacing"/>
        <w:rPr>
          <w:color w:val="000000" w:themeColor="text1"/>
        </w:rPr>
      </w:pPr>
      <w:r w:rsidRPr="00963830">
        <w:rPr>
          <w:rStyle w:val="FootnoteReference"/>
        </w:rPr>
        <w:footnoteRef/>
      </w:r>
      <w:r w:rsidRPr="00963830">
        <w:rPr>
          <w:color w:val="000000" w:themeColor="text1"/>
        </w:rPr>
        <w:t>GwH 4 juni 2009, nr. 93/2009, 9, overw. B.6 en GwH 29 oktober 2009, nr. 167/2009, 11, overw. B.6.</w:t>
      </w:r>
    </w:p>
  </w:footnote>
  <w:footnote w:id="273">
    <w:p w14:paraId="59B50562" w14:textId="2D7CF9B6" w:rsidR="00BA0376" w:rsidRPr="00963830" w:rsidRDefault="00BA0376" w:rsidP="007653BC">
      <w:pPr>
        <w:pStyle w:val="NoSpacing"/>
      </w:pPr>
      <w:r w:rsidRPr="00963830">
        <w:rPr>
          <w:rStyle w:val="FootnoteReference"/>
        </w:rPr>
        <w:footnoteRef/>
      </w:r>
      <w:r w:rsidRPr="00963830">
        <w:t xml:space="preserve"> </w:t>
      </w:r>
      <w:r w:rsidRPr="00963830">
        <w:rPr>
          <w:color w:val="000000" w:themeColor="text1"/>
        </w:rPr>
        <w:t>Oud art. 375, zesde lid Sw.</w:t>
      </w:r>
    </w:p>
  </w:footnote>
  <w:footnote w:id="274">
    <w:p w14:paraId="53F1BCFA" w14:textId="474243DE" w:rsidR="00BA0376" w:rsidRPr="00963830" w:rsidRDefault="00BA0376" w:rsidP="00613E6B">
      <w:pPr>
        <w:pStyle w:val="NoSpacing"/>
      </w:pPr>
      <w:r w:rsidRPr="00963830">
        <w:rPr>
          <w:rStyle w:val="FootnoteReference"/>
        </w:rPr>
        <w:footnoteRef/>
      </w:r>
      <w:r w:rsidRPr="00963830">
        <w:t xml:space="preserve"> Gebaseerd op het onderscheid dat ook gemaakt wordt in B. SPRIET en G. MARLIER, “Aanranding van de eerbaarheid en verkrachting”, </w:t>
      </w:r>
      <w:r w:rsidRPr="00963830">
        <w:rPr>
          <w:i/>
        </w:rPr>
        <w:t>supra</w:t>
      </w:r>
      <w:r w:rsidRPr="00963830">
        <w:t xml:space="preserve"> vn. 39, 81-154; B. SPRIET e.a. (eds.), “Actualia seksueel strafrecht”, </w:t>
      </w:r>
      <w:r w:rsidRPr="00963830">
        <w:rPr>
          <w:i/>
        </w:rPr>
        <w:t>supra</w:t>
      </w:r>
      <w:r w:rsidRPr="00963830">
        <w:t xml:space="preserve"> vn. 48, 1-70.</w:t>
      </w:r>
    </w:p>
  </w:footnote>
  <w:footnote w:id="275">
    <w:p w14:paraId="5203610C" w14:textId="2EF391DE" w:rsidR="00BA0376" w:rsidRPr="00963830" w:rsidRDefault="00BA0376" w:rsidP="00613E6B">
      <w:pPr>
        <w:pStyle w:val="NoSpacing"/>
      </w:pPr>
      <w:r w:rsidRPr="00963830">
        <w:rPr>
          <w:rStyle w:val="FootnoteReference"/>
        </w:rPr>
        <w:footnoteRef/>
      </w:r>
      <w:r w:rsidRPr="00963830">
        <w:t xml:space="preserve"> Vroeger bestond hieromtrent evenwel discussie, zoals reeds hoger uiteengezet (</w:t>
      </w:r>
      <w:r w:rsidRPr="00963830">
        <w:rPr>
          <w:i/>
        </w:rPr>
        <w:t>supra</w:t>
      </w:r>
      <w:r w:rsidRPr="00963830">
        <w:t xml:space="preserve"> voetnoot nr. 103).</w:t>
      </w:r>
    </w:p>
  </w:footnote>
  <w:footnote w:id="276">
    <w:p w14:paraId="4ADB7F6D" w14:textId="62155B45" w:rsidR="00BA0376" w:rsidRPr="00963830" w:rsidRDefault="00BA0376" w:rsidP="00613E6B">
      <w:pPr>
        <w:pStyle w:val="NoSpacing"/>
      </w:pPr>
      <w:r w:rsidRPr="00963830">
        <w:rPr>
          <w:rStyle w:val="FootnoteReference"/>
        </w:rPr>
        <w:footnoteRef/>
      </w:r>
      <w:r w:rsidRPr="00963830">
        <w:t xml:space="preserve"> R. VERSTRAETEN en F. VERBRUGGEN, </w:t>
      </w:r>
      <w:r w:rsidRPr="00963830">
        <w:rPr>
          <w:i/>
        </w:rPr>
        <w:t>Strafrecht en strafprocesrecht voor bachelors</w:t>
      </w:r>
      <w:r w:rsidRPr="00963830">
        <w:t>, Antwerpen, Intersentia, 2022, 52-53.</w:t>
      </w:r>
    </w:p>
  </w:footnote>
  <w:footnote w:id="277">
    <w:p w14:paraId="517FE44F" w14:textId="52C08382" w:rsidR="00BA0376" w:rsidRPr="00963830" w:rsidRDefault="00BA0376" w:rsidP="00613E6B">
      <w:pPr>
        <w:pStyle w:val="NoSpacing"/>
        <w:rPr>
          <w:lang w:val="nl-BE"/>
        </w:rPr>
      </w:pPr>
      <w:r w:rsidRPr="00963830">
        <w:rPr>
          <w:rStyle w:val="FootnoteReference"/>
        </w:rPr>
        <w:footnoteRef/>
      </w:r>
      <w:r w:rsidRPr="00963830">
        <w:t xml:space="preserve"> Cass. 21 december 2021, AR.P.21.0055.N., overw. 98-99; A. DE NAUW en F. DERUYCK, </w:t>
      </w:r>
      <w:r w:rsidRPr="00963830">
        <w:rPr>
          <w:i/>
        </w:rPr>
        <w:t>Inleiding tot het bijzonder strafrecht</w:t>
      </w:r>
      <w:r w:rsidRPr="00963830">
        <w:t xml:space="preserve">, Mechelen, Kluwer, 2020, 200; A. DE NAUW en F. KUTY, </w:t>
      </w:r>
      <w:r w:rsidRPr="00963830">
        <w:rPr>
          <w:i/>
        </w:rPr>
        <w:t>Manuel de droit pénal spécial</w:t>
      </w:r>
      <w:r w:rsidRPr="00963830">
        <w:t xml:space="preserve">, Wolters Kluwer, Liège, 2018, 243; B. SPRIET, “(Lichaams)grens aan verkrachting: van Antwerpse vrijspraak tot nieuwe wetgeving?” in P. TRAEST, J. LECLERCQ, E. GOETHALS, L. HUYBRECHTS, J. ROZIE, R. VERSTRAETEN, F. DERUYCK EN M. ROZIE (eds.), </w:t>
      </w:r>
      <w:r w:rsidRPr="00963830">
        <w:rPr>
          <w:i/>
        </w:rPr>
        <w:t>Amicus curiae. Liber amicorum Marc De Swaef</w:t>
      </w:r>
      <w:r w:rsidRPr="00963830">
        <w:t xml:space="preserve">, Mortsel, Intersentia, 2013, (317) 322; F. VERBRUGGEN, “Gebrek aan toestemming als constitutief bestanddeel bij verkrachting van een mentaal gehandicapte minderjarige”, </w:t>
      </w:r>
      <w:r w:rsidRPr="00963830">
        <w:rPr>
          <w:i/>
        </w:rPr>
        <w:t>AJT</w:t>
      </w:r>
      <w:r w:rsidRPr="00963830">
        <w:t xml:space="preserve"> 1995-96, (472) 474; </w:t>
      </w:r>
      <w:r w:rsidRPr="00963830">
        <w:rPr>
          <w:color w:val="000000" w:themeColor="text1"/>
        </w:rPr>
        <w:t xml:space="preserve">I. DELBROUCK, “Verkrachting” in X, </w:t>
      </w:r>
      <w:r w:rsidRPr="00963830">
        <w:rPr>
          <w:i/>
          <w:color w:val="000000" w:themeColor="text1"/>
        </w:rPr>
        <w:t xml:space="preserve">Postal Memorialis. </w:t>
      </w:r>
      <w:r w:rsidRPr="009C29A6">
        <w:rPr>
          <w:i/>
          <w:color w:val="000000" w:themeColor="text1"/>
          <w:lang w:val="fr-FR"/>
        </w:rPr>
        <w:t>Lexicon strafrecht, strafvordering en bijzondere wetten</w:t>
      </w:r>
      <w:r w:rsidRPr="009C29A6">
        <w:rPr>
          <w:color w:val="000000" w:themeColor="text1"/>
          <w:lang w:val="fr-FR"/>
        </w:rPr>
        <w:t>, Mechelen, Wolters Kluwer, losbl., (V.130/1) V.130/29;</w:t>
      </w:r>
      <w:r w:rsidRPr="009C29A6">
        <w:rPr>
          <w:lang w:val="fr-FR"/>
        </w:rPr>
        <w:t xml:space="preserve"> O. BASTYNS, “Le viol, l’absence de consentement de la victime et la connaissance de ce refus par l’auteur” (noot onder corr. </w:t>
      </w:r>
      <w:r w:rsidRPr="00963830">
        <w:t xml:space="preserve">Henegouwen (afd. Bergen) 25 oktober 2021), </w:t>
      </w:r>
      <w:r w:rsidRPr="00963830">
        <w:rPr>
          <w:i/>
        </w:rPr>
        <w:t>JLMB</w:t>
      </w:r>
      <w:r w:rsidRPr="00963830">
        <w:t xml:space="preserve"> 2021, (1882) 1884-1885.</w:t>
      </w:r>
    </w:p>
  </w:footnote>
  <w:footnote w:id="278">
    <w:p w14:paraId="2CCA323E" w14:textId="77777777" w:rsidR="00BA0376" w:rsidRPr="00963830" w:rsidRDefault="00BA0376" w:rsidP="005A04F6">
      <w:pPr>
        <w:pStyle w:val="NoSpacing"/>
      </w:pPr>
      <w:r w:rsidRPr="00963830">
        <w:rPr>
          <w:rStyle w:val="FootnoteReference"/>
        </w:rPr>
        <w:footnoteRef/>
      </w:r>
      <w:r w:rsidRPr="00963830">
        <w:t xml:space="preserve"> </w:t>
      </w:r>
      <w:r w:rsidRPr="00963830">
        <w:rPr>
          <w:i/>
        </w:rPr>
        <w:t xml:space="preserve">Supra </w:t>
      </w:r>
      <w:r w:rsidRPr="00963830">
        <w:t xml:space="preserve">nr. 108-110. </w:t>
      </w:r>
    </w:p>
  </w:footnote>
  <w:footnote w:id="279">
    <w:p w14:paraId="3E2466C4" w14:textId="48C3E4DF" w:rsidR="00BA0376" w:rsidRPr="00963830" w:rsidRDefault="00BA0376" w:rsidP="00083440">
      <w:pPr>
        <w:pStyle w:val="NoSpacing"/>
      </w:pPr>
      <w:r w:rsidRPr="00963830">
        <w:rPr>
          <w:rStyle w:val="FootnoteReference"/>
        </w:rPr>
        <w:footnoteRef/>
      </w:r>
      <w:r w:rsidRPr="00963830">
        <w:t xml:space="preserve"> </w:t>
      </w:r>
      <w:r w:rsidRPr="00963830">
        <w:rPr>
          <w:i/>
        </w:rPr>
        <w:t>Supra</w:t>
      </w:r>
      <w:r w:rsidRPr="00963830">
        <w:t xml:space="preserve"> nr. 118.</w:t>
      </w:r>
    </w:p>
  </w:footnote>
  <w:footnote w:id="280">
    <w:p w14:paraId="143662CF" w14:textId="15748B7A" w:rsidR="00BA0376" w:rsidRPr="00963830" w:rsidRDefault="00BA0376" w:rsidP="00613E6B">
      <w:pPr>
        <w:pStyle w:val="NoSpacing"/>
      </w:pPr>
      <w:r w:rsidRPr="00963830">
        <w:rPr>
          <w:rStyle w:val="FootnoteReference"/>
        </w:rPr>
        <w:footnoteRef/>
      </w:r>
      <w:r w:rsidRPr="00963830">
        <w:t xml:space="preserve"> B. SPRIET e.a. (eds.), “Actualia seksueel strafrecht”, </w:t>
      </w:r>
      <w:r w:rsidRPr="00963830">
        <w:rPr>
          <w:i/>
        </w:rPr>
        <w:t>supra</w:t>
      </w:r>
      <w:r w:rsidRPr="00963830">
        <w:t xml:space="preserve"> vn. 48, 16; R. VERSTRAETEN en F. VERBRUGGEN, </w:t>
      </w:r>
      <w:r w:rsidRPr="00963830">
        <w:rPr>
          <w:i/>
        </w:rPr>
        <w:t>Strafrecht en strafprocesrecht voor bachelors</w:t>
      </w:r>
      <w:r w:rsidRPr="00963830">
        <w:t>, Antwerpen, Intersentia, 2022, 51-52.</w:t>
      </w:r>
    </w:p>
  </w:footnote>
  <w:footnote w:id="281">
    <w:p w14:paraId="6B87473F" w14:textId="2DDDA42F" w:rsidR="00BA0376" w:rsidRPr="00963830" w:rsidRDefault="00BA0376" w:rsidP="00613E6B">
      <w:pPr>
        <w:pStyle w:val="NoSpacing"/>
      </w:pPr>
      <w:r w:rsidRPr="00963830">
        <w:rPr>
          <w:rStyle w:val="FootnoteReference"/>
        </w:rPr>
        <w:footnoteRef/>
      </w:r>
      <w:r w:rsidRPr="00963830">
        <w:t xml:space="preserve"> B. SPRIET en G. MARLIER, “Aanranding van de eerbaarheid en verkrachting”, </w:t>
      </w:r>
      <w:r w:rsidRPr="00963830">
        <w:rPr>
          <w:i/>
        </w:rPr>
        <w:t>supra</w:t>
      </w:r>
      <w:r w:rsidRPr="00963830">
        <w:t xml:space="preserve"> vn. 39, 102 en 114-115.</w:t>
      </w:r>
    </w:p>
  </w:footnote>
  <w:footnote w:id="282">
    <w:p w14:paraId="23E617E2" w14:textId="77777777" w:rsidR="00BA0376" w:rsidRPr="00963830" w:rsidRDefault="00BA0376" w:rsidP="00613E6B">
      <w:pPr>
        <w:pStyle w:val="NoSpacing"/>
      </w:pPr>
      <w:r w:rsidRPr="00963830">
        <w:rPr>
          <w:rStyle w:val="FootnoteReference"/>
        </w:rPr>
        <w:footnoteRef/>
      </w:r>
      <w:r w:rsidRPr="00963830">
        <w:t xml:space="preserve"> R. VERSTRAETEN en F. VERBRUGGEN, </w:t>
      </w:r>
      <w:r w:rsidRPr="00963830">
        <w:rPr>
          <w:i/>
        </w:rPr>
        <w:t>Strafrecht en strafprocesrecht voor bachelors</w:t>
      </w:r>
      <w:r w:rsidRPr="00963830">
        <w:t>, Antwerpen, Intersentia, 2022, 52.</w:t>
      </w:r>
    </w:p>
  </w:footnote>
  <w:footnote w:id="283">
    <w:p w14:paraId="01DD9482" w14:textId="6DE43F68" w:rsidR="00BA0376" w:rsidRPr="00963830" w:rsidRDefault="00BA0376" w:rsidP="00613E6B">
      <w:pPr>
        <w:pStyle w:val="NoSpacing"/>
      </w:pPr>
      <w:r w:rsidRPr="00963830">
        <w:rPr>
          <w:rStyle w:val="FootnoteReference"/>
        </w:rPr>
        <w:footnoteRef/>
      </w:r>
      <w:r w:rsidRPr="00963830">
        <w:t xml:space="preserve"> A. DE NAUW en F. KUTY, </w:t>
      </w:r>
      <w:r w:rsidRPr="00963830">
        <w:rPr>
          <w:i/>
        </w:rPr>
        <w:t>Manuel de droit pénal spécial</w:t>
      </w:r>
      <w:r w:rsidRPr="00963830">
        <w:t xml:space="preserve">, Wolters Kluwer, Liège, 2018, 245; </w:t>
      </w:r>
      <w:r w:rsidRPr="00963830">
        <w:rPr>
          <w:color w:val="000000" w:themeColor="text1"/>
        </w:rPr>
        <w:t xml:space="preserve">I. DELBROUCK, “Verkrachting” in X, </w:t>
      </w:r>
      <w:r w:rsidRPr="00963830">
        <w:rPr>
          <w:i/>
          <w:color w:val="000000" w:themeColor="text1"/>
        </w:rPr>
        <w:t>Postal Memorialis. Lexicon strafrecht, strafvordering en bijzondere wetten</w:t>
      </w:r>
      <w:r w:rsidRPr="00963830">
        <w:rPr>
          <w:color w:val="000000" w:themeColor="text1"/>
        </w:rPr>
        <w:t xml:space="preserve">, Mechelen, Wolters Kluwer, losbl., (V.130/1) V.130/20; L. STEVENS, </w:t>
      </w:r>
      <w:r w:rsidRPr="00963830">
        <w:rPr>
          <w:i/>
          <w:color w:val="000000" w:themeColor="text1"/>
        </w:rPr>
        <w:t>Strafrecht en seksualiteit</w:t>
      </w:r>
      <w:r w:rsidRPr="00963830">
        <w:rPr>
          <w:color w:val="000000" w:themeColor="text1"/>
        </w:rPr>
        <w:t>, Antwerpen, Intersentia, 2002, 466-467.</w:t>
      </w:r>
    </w:p>
  </w:footnote>
  <w:footnote w:id="284">
    <w:p w14:paraId="570F7DA2" w14:textId="61DA0769" w:rsidR="00BA0376" w:rsidRPr="00963830" w:rsidRDefault="00BA0376" w:rsidP="000A48F3">
      <w:pPr>
        <w:pStyle w:val="NoSpacing"/>
      </w:pPr>
      <w:r w:rsidRPr="00963830">
        <w:rPr>
          <w:rStyle w:val="FootnoteReference"/>
        </w:rPr>
        <w:footnoteRef/>
      </w:r>
      <w:r w:rsidRPr="00963830">
        <w:t xml:space="preserve"> Een voorbeeld van een aangenomen onoverkomelijke dwaling is dat van de minderjarige die aan de “dader” een vervalste identiteitskaart had voorgelegd. </w:t>
      </w:r>
      <w:r w:rsidRPr="00963830">
        <w:rPr>
          <w:color w:val="000000" w:themeColor="text1"/>
        </w:rPr>
        <w:t xml:space="preserve">Zie: Antwerpen 25 augustus 1976, </w:t>
      </w:r>
      <w:r w:rsidRPr="00963830">
        <w:rPr>
          <w:i/>
          <w:color w:val="000000" w:themeColor="text1"/>
        </w:rPr>
        <w:t>RW</w:t>
      </w:r>
      <w:r w:rsidRPr="00963830">
        <w:rPr>
          <w:color w:val="000000" w:themeColor="text1"/>
        </w:rPr>
        <w:t xml:space="preserve"> 1977-78, 1114-1115; A. DE NAUW en F. KUTY, </w:t>
      </w:r>
      <w:r w:rsidRPr="00963830">
        <w:rPr>
          <w:i/>
          <w:color w:val="000000" w:themeColor="text1"/>
        </w:rPr>
        <w:t>Manuel de droit pénal spécial</w:t>
      </w:r>
      <w:r w:rsidRPr="00963830">
        <w:rPr>
          <w:color w:val="000000" w:themeColor="text1"/>
        </w:rPr>
        <w:t xml:space="preserve">, Wolters Kluwer, Liège, 2018, 235; </w:t>
      </w:r>
      <w:r w:rsidRPr="00963830">
        <w:t xml:space="preserve">A. DIERICKX en J. DECOKER, “Artikel 372 - 375 Sw.”, </w:t>
      </w:r>
      <w:r w:rsidRPr="00963830">
        <w:rPr>
          <w:i/>
        </w:rPr>
        <w:t>supra</w:t>
      </w:r>
      <w:r w:rsidRPr="00963830">
        <w:t xml:space="preserve"> vn. 43, 441; A. VANDEPLAS, “De wetenschap t.a.v. de leeftijd van het slachtoffer bij aanranding van de eerbaarheid” (noot onder Antwerpen 25 augustus 1976), </w:t>
      </w:r>
      <w:r w:rsidRPr="00963830">
        <w:rPr>
          <w:i/>
        </w:rPr>
        <w:t>RW</w:t>
      </w:r>
      <w:r w:rsidRPr="00963830">
        <w:t xml:space="preserve"> 1978-79, 1114-1116; I. DELBROUCK, </w:t>
      </w:r>
      <w:r w:rsidRPr="00963830">
        <w:rPr>
          <w:i/>
        </w:rPr>
        <w:t>Aanranding, supra</w:t>
      </w:r>
      <w:r w:rsidRPr="00963830">
        <w:t xml:space="preserve"> vn. 43, </w:t>
      </w:r>
      <w:r w:rsidRPr="00963830">
        <w:rPr>
          <w:color w:val="000000" w:themeColor="text1"/>
        </w:rPr>
        <w:t>37.</w:t>
      </w:r>
    </w:p>
  </w:footnote>
  <w:footnote w:id="285">
    <w:p w14:paraId="10B97B88" w14:textId="04D25EC9" w:rsidR="00BA0376" w:rsidRPr="009C29A6" w:rsidRDefault="00BA0376" w:rsidP="00DD6B2E">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 4.</w:t>
      </w:r>
    </w:p>
  </w:footnote>
  <w:footnote w:id="286">
    <w:p w14:paraId="510A7AB1" w14:textId="77777777" w:rsidR="00BA0376" w:rsidRPr="009C29A6" w:rsidRDefault="00BA0376" w:rsidP="00311131">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108-110.</w:t>
      </w:r>
    </w:p>
  </w:footnote>
  <w:footnote w:id="287">
    <w:p w14:paraId="6D5A6DF5" w14:textId="77777777" w:rsidR="00BA0376" w:rsidRPr="009C29A6" w:rsidRDefault="00BA0376" w:rsidP="004F6F55">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111.</w:t>
      </w:r>
    </w:p>
  </w:footnote>
  <w:footnote w:id="288">
    <w:p w14:paraId="31BF6D8C" w14:textId="7A4339DC" w:rsidR="00BA0376" w:rsidRPr="009C29A6" w:rsidRDefault="00BA0376" w:rsidP="006D0D2A">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Supra</w:t>
      </w:r>
      <w:r w:rsidRPr="009C29A6">
        <w:rPr>
          <w:color w:val="000000" w:themeColor="text1"/>
          <w:lang w:val="fr-FR"/>
        </w:rPr>
        <w:t>, nr. 112.</w:t>
      </w:r>
    </w:p>
  </w:footnote>
  <w:footnote w:id="289">
    <w:p w14:paraId="672C2915" w14:textId="1E76A518" w:rsidR="00BA0376" w:rsidRPr="009C29A6" w:rsidRDefault="00BA0376" w:rsidP="00613E6B">
      <w:pPr>
        <w:pStyle w:val="NoSpacing"/>
        <w:rPr>
          <w:lang w:val="fr-FR"/>
        </w:rPr>
      </w:pPr>
      <w:r w:rsidRPr="00963830">
        <w:rPr>
          <w:rStyle w:val="FootnoteReference"/>
        </w:rPr>
        <w:footnoteRef/>
      </w:r>
      <w:r w:rsidRPr="009C29A6">
        <w:rPr>
          <w:lang w:val="fr-FR"/>
        </w:rPr>
        <w:t xml:space="preserve"> </w:t>
      </w:r>
      <w:r w:rsidRPr="009C29A6">
        <w:rPr>
          <w:color w:val="000000" w:themeColor="text1"/>
          <w:lang w:val="fr-FR"/>
        </w:rPr>
        <w:t>O. BASTYNS, “Le viol” in X, Droit pénal et procédure pénale, Mechelen, Wolters Kluwer, losbl., (59) 62.</w:t>
      </w:r>
    </w:p>
  </w:footnote>
  <w:footnote w:id="290">
    <w:p w14:paraId="7DC14808" w14:textId="3B7DC89A"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A. DE NAUW en F. DERUYCK, Inleiding tot het bijzonder strafrecht, Mechelen, Kluwer, 2020, 200; A. DE NAUW en F. KUTY, Manuel de droit pénal spécial, Wolters Kluwer, Liège, 2018, 242; B. SPRIET en G. MARLIER, “Aanranding van de eerbaarheid en verkrachting”, </w:t>
      </w:r>
      <w:r w:rsidRPr="00963830">
        <w:rPr>
          <w:i/>
          <w:color w:val="000000" w:themeColor="text1"/>
        </w:rPr>
        <w:t>supra</w:t>
      </w:r>
      <w:r w:rsidRPr="00963830">
        <w:rPr>
          <w:color w:val="000000" w:themeColor="text1"/>
        </w:rPr>
        <w:t xml:space="preserve"> vn. 39, 104; D. MERCKX en I. DELBROUCK, “Verkrachting”, </w:t>
      </w:r>
      <w:r w:rsidRPr="00963830">
        <w:rPr>
          <w:i/>
          <w:color w:val="000000" w:themeColor="text1"/>
        </w:rPr>
        <w:t>supra</w:t>
      </w:r>
      <w:r w:rsidRPr="00963830">
        <w:rPr>
          <w:color w:val="000000" w:themeColor="text1"/>
        </w:rPr>
        <w:t xml:space="preserve"> vn. 37, 254-256; F. HUTSBEAUT, “De nieuwe wetgeving op de verkrachting”, Panopticon 1990, (32) 38; I. DELBROUCK, “Verkrachting” in X, Postal Memorialis. Lexicon strafrecht, strafvordering en bijzondere wetten, Mechelen, Wolters Kluwer, losbl., (V.130/1) V.130/14; I. WATTIER, “L’attentat à la pudeur et le viol”, supra nr. 57, 142.</w:t>
      </w:r>
    </w:p>
  </w:footnote>
  <w:footnote w:id="291">
    <w:p w14:paraId="1A55EA18" w14:textId="654DBA70" w:rsidR="00BA0376" w:rsidRPr="00963830" w:rsidRDefault="00BA0376" w:rsidP="00613E6B">
      <w:pPr>
        <w:pStyle w:val="NoSpacing"/>
      </w:pPr>
      <w:r w:rsidRPr="00963830">
        <w:rPr>
          <w:rStyle w:val="FootnoteReference"/>
        </w:rPr>
        <w:footnoteRef/>
      </w:r>
      <w:r w:rsidRPr="00963830">
        <w:rPr>
          <w:color w:val="000000" w:themeColor="text1"/>
        </w:rPr>
        <w:t xml:space="preserve"> L. STEVENS, Strafrecht en seksualiteit, Antwerpen, Intersentia, 2002, 454.</w:t>
      </w:r>
    </w:p>
  </w:footnote>
  <w:footnote w:id="292">
    <w:p w14:paraId="36A92A4B" w14:textId="1A0F6282"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Aanvullend Verslag, Parl.St. Senaat 1984-85, nr. 306/3, 4.</w:t>
      </w:r>
    </w:p>
  </w:footnote>
  <w:footnote w:id="293">
    <w:p w14:paraId="48A35FB5" w14:textId="16A13334"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A. VANDEPLAS, “Over de tongkus en de seksuele penetratie” (noot onder Brussel 8 april 1998), RW 1998-99, 505; A. VANDEPLAS, “Wederantwoord van de annotator op de reactie van Y. De Brauwere”, RW 1998-99, 791; L. STEVENS, Strafrecht en seksualiteit, Antwerpen, Intersentia, 2002, 453; Y. DE BRAUWERE, “Antwoord op de annotatie: ‘Over de tongkus en de seksuele penetratie’”, </w:t>
      </w:r>
      <w:r w:rsidRPr="00963830">
        <w:rPr>
          <w:i/>
          <w:color w:val="000000" w:themeColor="text1"/>
        </w:rPr>
        <w:t>RW</w:t>
      </w:r>
      <w:r w:rsidRPr="00963830">
        <w:rPr>
          <w:color w:val="000000" w:themeColor="text1"/>
        </w:rPr>
        <w:t xml:space="preserve"> 1998-99, 791.</w:t>
      </w:r>
    </w:p>
  </w:footnote>
  <w:footnote w:id="294">
    <w:p w14:paraId="56405081" w14:textId="5444D9C2" w:rsidR="00BA0376" w:rsidRPr="00963830" w:rsidRDefault="00BA0376" w:rsidP="00613E6B">
      <w:pPr>
        <w:pStyle w:val="NoSpacing"/>
      </w:pPr>
      <w:r w:rsidRPr="00963830">
        <w:rPr>
          <w:rStyle w:val="FootnoteReference"/>
        </w:rPr>
        <w:footnoteRef/>
      </w:r>
      <w:r w:rsidRPr="00963830">
        <w:t xml:space="preserve"> Zie: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255-256; L. STEVENS, Strafrecht en seksualiteit, Antwerpen, Intersentia, 2002, 454.</w:t>
      </w:r>
    </w:p>
  </w:footnote>
  <w:footnote w:id="295">
    <w:p w14:paraId="204221D4" w14:textId="183A4B1E"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Cass. 26 maart 2014, AR P.13.1860.F.;</w:t>
      </w:r>
      <w:r w:rsidRPr="00963830">
        <w:t xml:space="preserve"> </w:t>
      </w:r>
      <w:r w:rsidRPr="00963830">
        <w:rPr>
          <w:color w:val="000000" w:themeColor="text1"/>
        </w:rPr>
        <w:t xml:space="preserve">Concl. LOOP bij Cass. 26 maart 2014, </w:t>
      </w:r>
      <w:r w:rsidRPr="00963830">
        <w:rPr>
          <w:i/>
          <w:color w:val="000000" w:themeColor="text1"/>
        </w:rPr>
        <w:t>RDPC</w:t>
      </w:r>
      <w:r w:rsidRPr="00963830">
        <w:rPr>
          <w:color w:val="000000" w:themeColor="text1"/>
        </w:rPr>
        <w:t xml:space="preserve"> 2014, (803) 803-806; D. MERCKX en I. DELBROUCK, “Verkrachting”, </w:t>
      </w:r>
      <w:r w:rsidRPr="00963830">
        <w:rPr>
          <w:i/>
          <w:color w:val="000000" w:themeColor="text1"/>
        </w:rPr>
        <w:t>supra</w:t>
      </w:r>
      <w:r w:rsidRPr="00963830">
        <w:rPr>
          <w:color w:val="000000" w:themeColor="text1"/>
        </w:rPr>
        <w:t xml:space="preserve"> vn. 37, 252-254; O. BASTYNS, “Le viol: une notion évolutive?”, </w:t>
      </w:r>
      <w:r w:rsidRPr="00963830">
        <w:rPr>
          <w:i/>
          <w:color w:val="000000" w:themeColor="text1"/>
        </w:rPr>
        <w:t>RDPC</w:t>
      </w:r>
      <w:r w:rsidRPr="00963830">
        <w:rPr>
          <w:color w:val="000000" w:themeColor="text1"/>
        </w:rPr>
        <w:t xml:space="preserve"> 2014, (808) 808-814; </w:t>
      </w:r>
      <w:r w:rsidRPr="00963830">
        <w:t xml:space="preserve">L. STEVENS, </w:t>
      </w:r>
      <w:r w:rsidRPr="00963830">
        <w:rPr>
          <w:i/>
        </w:rPr>
        <w:t>Strafrecht en seksualiteit</w:t>
      </w:r>
      <w:r w:rsidRPr="00963830">
        <w:t>, Antwerpen, Intersentia, 2002, 445.</w:t>
      </w:r>
    </w:p>
  </w:footnote>
  <w:footnote w:id="296">
    <w:p w14:paraId="7BF8D891" w14:textId="315E8645" w:rsidR="00BA0376" w:rsidRPr="00963830" w:rsidRDefault="00BA0376" w:rsidP="00A717C4">
      <w:pPr>
        <w:pStyle w:val="NoSpacing"/>
      </w:pPr>
      <w:r w:rsidRPr="00963830">
        <w:rPr>
          <w:rStyle w:val="FootnoteReference"/>
        </w:rPr>
        <w:footnoteRef/>
      </w:r>
      <w:r w:rsidRPr="00963830">
        <w:t xml:space="preserve"> De strafbaarstelling van aanranding van de eerbaarheid bevatte de woorden “op of met behulp van”, terwijl de strafbaarstelling van verkrachting enkel de woorden “op” bevatte, maar niet “met behulp van”. </w:t>
      </w:r>
      <w:r w:rsidRPr="00963830">
        <w:rPr>
          <w:i/>
        </w:rPr>
        <w:t xml:space="preserve">Supra </w:t>
      </w:r>
      <w:r w:rsidRPr="00963830">
        <w:t>nr. 114.</w:t>
      </w:r>
    </w:p>
  </w:footnote>
  <w:footnote w:id="297">
    <w:p w14:paraId="09282BE7" w14:textId="77777777" w:rsidR="00BA0376" w:rsidRPr="00963830" w:rsidRDefault="00BA0376" w:rsidP="00B26090">
      <w:pPr>
        <w:pStyle w:val="NoSpacing"/>
      </w:pPr>
      <w:r w:rsidRPr="00963830">
        <w:rPr>
          <w:rStyle w:val="FootnoteReference"/>
        </w:rPr>
        <w:footnoteRef/>
      </w:r>
      <w:r w:rsidRPr="00963830">
        <w:t xml:space="preserve"> </w:t>
      </w:r>
      <w:r w:rsidRPr="00963830">
        <w:rPr>
          <w:i/>
        </w:rPr>
        <w:t xml:space="preserve">Supra </w:t>
      </w:r>
      <w:r w:rsidRPr="00963830">
        <w:t>nr. 114.</w:t>
      </w:r>
    </w:p>
  </w:footnote>
  <w:footnote w:id="298">
    <w:p w14:paraId="297B4541" w14:textId="0194DE82"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118.</w:t>
      </w:r>
    </w:p>
  </w:footnote>
  <w:footnote w:id="299">
    <w:p w14:paraId="44F25E2D" w14:textId="1A2FB499" w:rsidR="00BA0376" w:rsidRPr="00963830" w:rsidRDefault="00BA0376" w:rsidP="000E4657">
      <w:pPr>
        <w:pStyle w:val="NoSpacing"/>
      </w:pPr>
      <w:r w:rsidRPr="00963830">
        <w:rPr>
          <w:rStyle w:val="FootnoteReference"/>
        </w:rPr>
        <w:footnoteRef/>
      </w:r>
      <w:r w:rsidRPr="00963830">
        <w:t xml:space="preserve"> </w:t>
      </w:r>
      <w:r w:rsidRPr="00963830">
        <w:rPr>
          <w:color w:val="000000" w:themeColor="text1"/>
        </w:rPr>
        <w:t>Oud art. 375, zesde lid Sw.</w:t>
      </w:r>
    </w:p>
  </w:footnote>
  <w:footnote w:id="300">
    <w:p w14:paraId="548591B0" w14:textId="6B85154F" w:rsidR="00BA0376" w:rsidRPr="00963830" w:rsidRDefault="00BA0376" w:rsidP="000E4657">
      <w:pPr>
        <w:pStyle w:val="NoSpacing"/>
      </w:pPr>
      <w:r w:rsidRPr="00963830">
        <w:rPr>
          <w:rStyle w:val="FootnoteReference"/>
        </w:rPr>
        <w:footnoteRef/>
      </w:r>
      <w:r w:rsidRPr="00963830">
        <w:t xml:space="preserve"> </w:t>
      </w:r>
      <w:r w:rsidRPr="00963830">
        <w:rPr>
          <w:color w:val="000000" w:themeColor="text1"/>
        </w:rPr>
        <w:t>Oud art. 372 Sw.</w:t>
      </w:r>
    </w:p>
  </w:footnote>
  <w:footnote w:id="301">
    <w:p w14:paraId="14CEC5E9" w14:textId="31DE1743"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119.</w:t>
      </w:r>
    </w:p>
  </w:footnote>
  <w:footnote w:id="302">
    <w:p w14:paraId="60C4BE5A" w14:textId="496874C7" w:rsidR="00BA0376" w:rsidRPr="00963830" w:rsidRDefault="00BA0376" w:rsidP="005C3C3D">
      <w:pPr>
        <w:pStyle w:val="NoSpacing"/>
      </w:pPr>
      <w:r w:rsidRPr="00963830">
        <w:rPr>
          <w:rStyle w:val="FootnoteReference"/>
        </w:rPr>
        <w:footnoteRef/>
      </w:r>
      <w:r w:rsidRPr="00963830">
        <w:t xml:space="preserve"> </w:t>
      </w:r>
      <w:r w:rsidRPr="00963830">
        <w:rPr>
          <w:i/>
        </w:rPr>
        <w:t xml:space="preserve">Supra </w:t>
      </w:r>
      <w:r w:rsidRPr="00963830">
        <w:t>nr. 120 e.v.</w:t>
      </w:r>
    </w:p>
  </w:footnote>
  <w:footnote w:id="303">
    <w:p w14:paraId="575737DC" w14:textId="04C45C77"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4.</w:t>
      </w:r>
    </w:p>
  </w:footnote>
  <w:footnote w:id="304">
    <w:p w14:paraId="69923362" w14:textId="77777777" w:rsidR="00BA0376" w:rsidRPr="00963830" w:rsidRDefault="00BA0376" w:rsidP="00613E6B">
      <w:pPr>
        <w:pStyle w:val="NoSpacing"/>
      </w:pPr>
      <w:r w:rsidRPr="00963830">
        <w:rPr>
          <w:rStyle w:val="FootnoteReference"/>
        </w:rPr>
        <w:footnoteRef/>
      </w:r>
      <w:r w:rsidRPr="00963830">
        <w:t xml:space="preserve"> Art. 417/11, eerste lid Sw.</w:t>
      </w:r>
    </w:p>
  </w:footnote>
  <w:footnote w:id="305">
    <w:p w14:paraId="3A6F7C6B" w14:textId="592BC974" w:rsidR="00BA0376" w:rsidRPr="00963830" w:rsidRDefault="00BA0376" w:rsidP="00244D66">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107.</w:t>
      </w:r>
    </w:p>
  </w:footnote>
  <w:footnote w:id="306">
    <w:p w14:paraId="36ABFBC2" w14:textId="0AA4C606"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27; J. ROZIE e.a., </w:t>
      </w:r>
      <w:r w:rsidRPr="00963830">
        <w:rPr>
          <w:i/>
        </w:rPr>
        <w:t>Naar een nieuw Strafwetboek? Het voorstel van de Commissie tot Hervorming van het Strafrecht</w:t>
      </w:r>
      <w:r w:rsidRPr="00963830">
        <w:t xml:space="preserve">, Brugge, die Keure, 2019, 252; J. ROZIE en J. DE HERDT, “overgangsrecht seksueel strafrecht”, </w:t>
      </w:r>
      <w:r w:rsidRPr="00963830">
        <w:rPr>
          <w:i/>
        </w:rPr>
        <w:t>supra</w:t>
      </w:r>
      <w:r w:rsidRPr="00963830">
        <w:t xml:space="preserve"> vn. 7, 183; M. COP en T. HENRION, </w:t>
      </w:r>
      <w:r w:rsidRPr="00963830">
        <w:rPr>
          <w:i/>
        </w:rPr>
        <w:t>Het nieuwe seksueel strafrecht. Artikelsgewijze bespreking van de hervorming anno 2022,</w:t>
      </w:r>
      <w:r w:rsidRPr="00963830">
        <w:t xml:space="preserve"> Leuven, LeA Uitgevers, 2022, 25. </w:t>
      </w:r>
    </w:p>
  </w:footnote>
  <w:footnote w:id="307">
    <w:p w14:paraId="02385657" w14:textId="0C816CDB" w:rsidR="00BA0376" w:rsidRPr="00963830" w:rsidRDefault="00BA0376" w:rsidP="004674FC">
      <w:pPr>
        <w:pStyle w:val="NoSpacing"/>
      </w:pPr>
      <w:r w:rsidRPr="00963830">
        <w:rPr>
          <w:rStyle w:val="FootnoteReference"/>
        </w:rPr>
        <w:footnoteRef/>
      </w:r>
      <w:r w:rsidRPr="00963830">
        <w:t xml:space="preserve"> Dit vloeit tevens voort uit de toestemmingspremisse uit artikel 417/5 van het Strafwetboek, waarin wordt gepreciseerd dat toestemming op elk ogenblik kan worden ingetrokken (</w:t>
      </w:r>
      <w:r w:rsidRPr="00963830">
        <w:rPr>
          <w:i/>
        </w:rPr>
        <w:t xml:space="preserve">infra </w:t>
      </w:r>
      <w:r w:rsidRPr="00963830">
        <w:t>nr. 144).</w:t>
      </w:r>
    </w:p>
  </w:footnote>
  <w:footnote w:id="308">
    <w:p w14:paraId="400F7F61" w14:textId="5F588A4C"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27; Vademecum bij Omz. seksueel strafrecht, </w:t>
      </w:r>
      <w:r w:rsidRPr="00963830">
        <w:rPr>
          <w:i/>
        </w:rPr>
        <w:t>supra</w:t>
      </w:r>
      <w:r w:rsidRPr="00963830">
        <w:t xml:space="preserve"> vn. 79, 51; J. ROZIE e.a., </w:t>
      </w:r>
      <w:r w:rsidRPr="00963830">
        <w:rPr>
          <w:i/>
        </w:rPr>
        <w:t>Naar een nieuw Strafwetboek? Het voorstel van de Commissie tot Hervorming van het Strafrecht</w:t>
      </w:r>
      <w:r w:rsidRPr="00963830">
        <w:t xml:space="preserve">, Brugge, die Keure, 2019, 252; J. ROZIE en J. DE HERDT, “overgangsrecht seksueel strafrecht”, </w:t>
      </w:r>
      <w:r w:rsidRPr="00963830">
        <w:rPr>
          <w:i/>
        </w:rPr>
        <w:t>supra</w:t>
      </w:r>
      <w:r w:rsidRPr="00963830">
        <w:t xml:space="preserve"> vn. 7, 183; M. COP en T. HENRION, </w:t>
      </w:r>
      <w:r w:rsidRPr="00963830">
        <w:rPr>
          <w:i/>
        </w:rPr>
        <w:t>Het nieuwe seksueel strafrecht. Artikelsgewijze bespreking van de hervorming anno 2022,</w:t>
      </w:r>
      <w:r w:rsidRPr="00963830">
        <w:t xml:space="preserve"> Leuven, LeA Uitgevers, 2022, 25. </w:t>
      </w:r>
    </w:p>
  </w:footnote>
  <w:footnote w:id="309">
    <w:p w14:paraId="2D9677FE" w14:textId="2B7BE75B"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D.i. het condoom verwijderen tijdens de seksuele betrekkingen zonder toestemming van de seksuele partner. Zie: </w:t>
      </w:r>
      <w:r w:rsidRPr="00963830">
        <w:t xml:space="preserve">Verslag van de eerste lezing bij het wetsontwerp houdende wijzigingen aan het Strafwetboek met betrekking tot het seksueel strafrecht e.a., Parl.St. 2021-22, nr. 55-2141/006, </w:t>
      </w:r>
    </w:p>
  </w:footnote>
  <w:footnote w:id="310">
    <w:p w14:paraId="00861741" w14:textId="326AC030"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183; M. COP en T. HENRION, </w:t>
      </w:r>
      <w:r w:rsidRPr="00963830">
        <w:rPr>
          <w:i/>
        </w:rPr>
        <w:t>Het nieuwe seksueel strafrecht. Artikelsgewijze bespreking van de hervorming anno 2022,</w:t>
      </w:r>
      <w:r w:rsidRPr="00963830">
        <w:t xml:space="preserve"> Leuven, LeA Uitgevers, 2022, 8; T. HENRION, </w:t>
      </w:r>
      <w:r w:rsidRPr="00963830">
        <w:rPr>
          <w:i/>
        </w:rPr>
        <w:t>La réforme du droit pénal sexuel</w:t>
      </w:r>
      <w:r w:rsidRPr="00963830">
        <w:t>, Limal, Anthemis, 2022, 19.</w:t>
      </w:r>
    </w:p>
  </w:footnote>
  <w:footnote w:id="311">
    <w:p w14:paraId="173DE5F4" w14:textId="560AAC73"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28.</w:t>
      </w:r>
    </w:p>
  </w:footnote>
  <w:footnote w:id="312">
    <w:p w14:paraId="350ABC13" w14:textId="4BB78974" w:rsidR="00BA0376" w:rsidRPr="00963830" w:rsidRDefault="00BA0376" w:rsidP="005C3C3D">
      <w:pPr>
        <w:pStyle w:val="NoSpacing"/>
      </w:pPr>
      <w:r w:rsidRPr="00963830">
        <w:rPr>
          <w:rStyle w:val="FootnoteReference"/>
        </w:rPr>
        <w:footnoteRef/>
      </w:r>
      <w:r w:rsidRPr="00963830">
        <w:t xml:space="preserve"> Er zijn meerdere adviezen van de Raad van State omdat de nieuwe wetgeving m.b.t. het seksueel strafrecht aanvankelijk opgenomen zou worden in een volledig nieuw Strafwetboek. Over dit nieuw Strafwetboek, zowel boek 1 als boek 2, gaf de Raad van State reeds advies (zie o.m. Adv.RvS afdeling Wetgeving van 23 november 2018 over een voorontwerp van - ‘Strafwetboek - Boek 2’, nr. 64.121/1). Zoals reeds uiteengezet, werd het seksueel strafrecht echter voorafgenomen uit deze globale hervorming van het strafrecht. Dit nieuw seksueel strafrecht werd een eerste maal aan de Raad van State voorgelegd voor advies in 2021 (Adv.RvS afdeling Wetgeving van 25 mei 2021 over een voorontwerp van wet ‘houdende wijzigingen aan het Strafwetboek met betrekking tot het seksueel strafrecht’, nr. 69.204/3) en een tweede maal in 2022, gelet op de inhoudelijke aanpassingen die de wetgever na het advies van de Raad van State in 2021 had doorgevoerd (Adv.RvS afdeling Wetgeving van 3 februari 2022 over een ontwerp van wet ‘houdende wijzigingen van het Strafwetboek met betrekking tot het seksueel strafrecht’ (</w:t>
      </w:r>
      <w:r w:rsidRPr="00963830">
        <w:rPr>
          <w:i/>
        </w:rPr>
        <w:t>Parl.St.</w:t>
      </w:r>
      <w:r w:rsidRPr="00963830">
        <w:t xml:space="preserve"> Kamer 2021-22, nr. 55-2141/007), nr. 70.817/3).</w:t>
      </w:r>
    </w:p>
  </w:footnote>
  <w:footnote w:id="313">
    <w:p w14:paraId="4F70713E" w14:textId="77777777" w:rsidR="00BA0376" w:rsidRPr="00963830" w:rsidRDefault="00BA0376" w:rsidP="00613E6B">
      <w:pPr>
        <w:pStyle w:val="NoSpacing"/>
      </w:pPr>
      <w:r w:rsidRPr="00963830">
        <w:rPr>
          <w:rStyle w:val="FootnoteReference"/>
        </w:rPr>
        <w:footnoteRef/>
      </w:r>
      <w:r w:rsidRPr="00963830">
        <w:t xml:space="preserve"> Adv.RvS afdeling Wetgeving van 25 mei 2021 over een voorontwerp van wet ‘houdende wijzigingen aan het Strafwetboek met betrekking tot het seksueel strafrecht’, nr. 69.204/3, 7-9.</w:t>
      </w:r>
    </w:p>
  </w:footnote>
  <w:footnote w:id="314">
    <w:p w14:paraId="1EEB240A" w14:textId="305F0A20"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28.</w:t>
      </w:r>
    </w:p>
  </w:footnote>
  <w:footnote w:id="315">
    <w:p w14:paraId="25FF3D9F" w14:textId="06BDA6C4" w:rsidR="00BA0376" w:rsidRPr="00963830" w:rsidRDefault="00BA0376" w:rsidP="003D22C8">
      <w:pPr>
        <w:pStyle w:val="NoSpacing"/>
      </w:pPr>
      <w:r w:rsidRPr="00963830">
        <w:rPr>
          <w:rStyle w:val="FootnoteReference"/>
        </w:rPr>
        <w:footnoteRef/>
      </w:r>
      <w:r w:rsidRPr="00963830">
        <w:t xml:space="preserve"> Meer bepaald tegen art. 36 van het Verdrag van de Raad van Europa inzake het voorkomen en bestrijden van geweld tegen vrouwen en huiselijk geweld, </w:t>
      </w:r>
      <w:r w:rsidRPr="00963830">
        <w:rPr>
          <w:i/>
        </w:rPr>
        <w:t>CETS</w:t>
      </w:r>
      <w:r w:rsidRPr="00963830">
        <w:t xml:space="preserve"> 11 mei 2011, nr. 210 (hierna: Verdrag van Istanbul).</w:t>
      </w:r>
    </w:p>
  </w:footnote>
  <w:footnote w:id="316">
    <w:p w14:paraId="4A3F6977" w14:textId="2942AA61" w:rsidR="00BA0376" w:rsidRPr="00963830" w:rsidRDefault="00BA0376" w:rsidP="00613E6B">
      <w:pPr>
        <w:pStyle w:val="NoSpacing"/>
      </w:pPr>
      <w:r w:rsidRPr="00963830">
        <w:rPr>
          <w:rStyle w:val="FootnoteReference"/>
        </w:rPr>
        <w:footnoteRef/>
      </w:r>
      <w:r w:rsidRPr="00963830">
        <w:t xml:space="preserve"> Omz. seksueel strafrecht, </w:t>
      </w:r>
      <w:r w:rsidRPr="00963830">
        <w:rPr>
          <w:i/>
        </w:rPr>
        <w:t>supra</w:t>
      </w:r>
      <w:r w:rsidRPr="00963830">
        <w:t xml:space="preserve"> vn. 79, 27; Vademecum bij Omz. seksueel strafrecht, </w:t>
      </w:r>
      <w:r w:rsidRPr="00963830">
        <w:rPr>
          <w:i/>
        </w:rPr>
        <w:t>supra</w:t>
      </w:r>
      <w:r w:rsidRPr="00963830">
        <w:t xml:space="preserve"> vn. 79, 51. Zie evenwel een kritische bedenking hieromtrent </w:t>
      </w:r>
      <w:r w:rsidRPr="00963830">
        <w:rPr>
          <w:i/>
        </w:rPr>
        <w:t xml:space="preserve">infra </w:t>
      </w:r>
      <w:r w:rsidRPr="00963830">
        <w:t>nr. 268.</w:t>
      </w:r>
    </w:p>
  </w:footnote>
  <w:footnote w:id="317">
    <w:p w14:paraId="1A76D40E" w14:textId="73A30F12" w:rsidR="00BA0376" w:rsidRPr="00963830" w:rsidRDefault="00BA0376" w:rsidP="00613E6B">
      <w:pPr>
        <w:pStyle w:val="NoSpacing"/>
      </w:pPr>
      <w:r w:rsidRPr="00963830">
        <w:rPr>
          <w:rStyle w:val="FootnoteReference"/>
        </w:rPr>
        <w:footnoteRef/>
      </w:r>
      <w:r w:rsidRPr="00963830">
        <w:t xml:space="preserve"> Vademecum bij Omz. seksueel strafrecht, </w:t>
      </w:r>
      <w:r w:rsidRPr="00963830">
        <w:rPr>
          <w:i/>
        </w:rPr>
        <w:t>supra</w:t>
      </w:r>
      <w:r w:rsidRPr="00963830">
        <w:t xml:space="preserve"> vn. 79, 51.</w:t>
      </w:r>
    </w:p>
  </w:footnote>
  <w:footnote w:id="318">
    <w:p w14:paraId="39C0FD4C" w14:textId="191B3620"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112.</w:t>
      </w:r>
    </w:p>
  </w:footnote>
  <w:footnote w:id="319">
    <w:p w14:paraId="42A2DF12" w14:textId="5DBC70F7" w:rsidR="00BA0376" w:rsidRPr="00963830" w:rsidRDefault="00BA0376" w:rsidP="00123514">
      <w:pPr>
        <w:pStyle w:val="NoSpacing"/>
      </w:pPr>
      <w:r w:rsidRPr="00963830">
        <w:rPr>
          <w:rStyle w:val="FootnoteReference"/>
        </w:rPr>
        <w:footnoteRef/>
      </w:r>
      <w:r w:rsidRPr="00963830">
        <w:t xml:space="preserve"> </w:t>
      </w:r>
      <w:r w:rsidRPr="00963830">
        <w:rPr>
          <w:i/>
        </w:rPr>
        <w:t xml:space="preserve">Supra </w:t>
      </w:r>
      <w:r w:rsidRPr="00963830">
        <w:t>nr. 113.</w:t>
      </w:r>
    </w:p>
  </w:footnote>
  <w:footnote w:id="320">
    <w:p w14:paraId="514B3756" w14:textId="2695385F"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27-28; A. KARCHER en O. BASTYNS, “L’atteinte à l’intégrité sexuelle et le viol” in A. RIZZO (ed.), </w:t>
      </w:r>
      <w:r w:rsidRPr="00963830">
        <w:rPr>
          <w:i/>
        </w:rPr>
        <w:t>Le nouveau droit pénal sexuel</w:t>
      </w:r>
      <w:r w:rsidRPr="00963830">
        <w:t xml:space="preserve">, Brussel, Larcier, 2022, (109) 119; B. SPRIET e.a. (eds.), “Actualia seksueel strafrecht”, </w:t>
      </w:r>
      <w:r w:rsidRPr="00963830">
        <w:rPr>
          <w:i/>
        </w:rPr>
        <w:t>supra</w:t>
      </w:r>
      <w:r w:rsidRPr="00963830">
        <w:t xml:space="preserve"> vn. 48, 20-21; M. COP en T. HENRION, </w:t>
      </w:r>
      <w:r w:rsidRPr="00963830">
        <w:rPr>
          <w:i/>
        </w:rPr>
        <w:t>Het nieuwe seksueel strafrecht. Artikelsgewijze bespreking van de hervorming anno 2022,</w:t>
      </w:r>
      <w:r w:rsidRPr="00963830">
        <w:t xml:space="preserve"> Leuven, LeA Uitgevers, 2022, 24-25.</w:t>
      </w:r>
    </w:p>
  </w:footnote>
  <w:footnote w:id="321">
    <w:p w14:paraId="10AA786C" w14:textId="5295F662" w:rsidR="00BA0376" w:rsidRPr="00963830" w:rsidRDefault="00BA0376" w:rsidP="00613E6B">
      <w:pPr>
        <w:pStyle w:val="NoSpacing"/>
      </w:pPr>
      <w:r w:rsidRPr="00963830">
        <w:rPr>
          <w:rStyle w:val="FootnoteReference"/>
        </w:rPr>
        <w:footnoteRef/>
      </w:r>
      <w:r w:rsidRPr="00963830">
        <w:t xml:space="preserve"> </w:t>
      </w:r>
      <w:r w:rsidRPr="00963830">
        <w:rPr>
          <w:i/>
        </w:rPr>
        <w:t>Ibid</w:t>
      </w:r>
      <w:r w:rsidRPr="00963830">
        <w:t>.</w:t>
      </w:r>
    </w:p>
  </w:footnote>
  <w:footnote w:id="322">
    <w:p w14:paraId="3995969C" w14:textId="56A5F24A" w:rsidR="00BA0376" w:rsidRPr="009C29A6" w:rsidRDefault="00BA0376" w:rsidP="006D0D2A">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Supra</w:t>
      </w:r>
      <w:r w:rsidRPr="009C29A6">
        <w:rPr>
          <w:color w:val="000000" w:themeColor="text1"/>
          <w:lang w:val="en-GB"/>
        </w:rPr>
        <w:t xml:space="preserve"> nr. 58 e.v.</w:t>
      </w:r>
    </w:p>
  </w:footnote>
  <w:footnote w:id="323">
    <w:p w14:paraId="1FD57EFD" w14:textId="5AEA60A1"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color w:val="000000" w:themeColor="text1"/>
          <w:lang w:val="en-GB"/>
        </w:rPr>
        <w:t xml:space="preserve">Cass. 23 april 2007, AR P.07.0726.F; </w:t>
      </w:r>
      <w:r w:rsidRPr="009C29A6">
        <w:rPr>
          <w:lang w:val="en-GB"/>
        </w:rPr>
        <w:t>Cass. 17 oktober 2007, AR P.07.0726.F.</w:t>
      </w:r>
    </w:p>
  </w:footnote>
  <w:footnote w:id="324">
    <w:p w14:paraId="2389B3AF" w14:textId="061A6E10" w:rsidR="00BA0376" w:rsidRPr="00963830" w:rsidRDefault="00BA0376" w:rsidP="006D0D2A">
      <w:pPr>
        <w:pStyle w:val="NoSpacing"/>
      </w:pPr>
      <w:r w:rsidRPr="00963830">
        <w:rPr>
          <w:rStyle w:val="FootnoteReference"/>
        </w:rPr>
        <w:footnoteRef/>
      </w:r>
      <w:r w:rsidRPr="00963830">
        <w:t xml:space="preserve"> </w:t>
      </w:r>
      <w:r w:rsidRPr="00963830">
        <w:rPr>
          <w:i/>
        </w:rPr>
        <w:t>Supra</w:t>
      </w:r>
      <w:r w:rsidRPr="00963830">
        <w:t xml:space="preserve"> nr. 117.</w:t>
      </w:r>
    </w:p>
  </w:footnote>
  <w:footnote w:id="325">
    <w:p w14:paraId="1F1B9745" w14:textId="7AD7893E" w:rsidR="00BA0376" w:rsidRPr="00963830" w:rsidRDefault="00BA0376" w:rsidP="00613E6B">
      <w:pPr>
        <w:pStyle w:val="NoSpacing"/>
      </w:pPr>
      <w:r w:rsidRPr="00963830">
        <w:rPr>
          <w:rStyle w:val="FootnoteReference"/>
        </w:rPr>
        <w:footnoteRef/>
      </w:r>
      <w:r w:rsidRPr="00963830">
        <w:t xml:space="preserve"> Art. 417/5, eerste lid </w:t>
      </w:r>
      <w:r w:rsidRPr="00963830">
        <w:rPr>
          <w:i/>
        </w:rPr>
        <w:t>in fine</w:t>
      </w:r>
      <w:r w:rsidRPr="00963830">
        <w:t xml:space="preserve"> Sw. Dit houdt tevens verband met het feit dat een gedraging die bestaat of mede bestaat uit een seksuele penetratie voortaan als verkrachting wordt beschouwd (</w:t>
      </w:r>
      <w:r w:rsidRPr="00963830">
        <w:rPr>
          <w:i/>
        </w:rPr>
        <w:t>supra</w:t>
      </w:r>
      <w:r w:rsidRPr="00963830">
        <w:t xml:space="preserve"> nr. 137).</w:t>
      </w:r>
    </w:p>
  </w:footnote>
  <w:footnote w:id="326">
    <w:p w14:paraId="25E52436" w14:textId="0DB81551"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180-181. </w:t>
      </w:r>
    </w:p>
  </w:footnote>
  <w:footnote w:id="327">
    <w:p w14:paraId="205DA13F" w14:textId="512885EA" w:rsidR="00BA0376" w:rsidRPr="00963830" w:rsidRDefault="00BA0376" w:rsidP="00613E6B">
      <w:pPr>
        <w:pStyle w:val="NoSpacing"/>
      </w:pPr>
      <w:r w:rsidRPr="00963830">
        <w:rPr>
          <w:rStyle w:val="FootnoteReference"/>
        </w:rPr>
        <w:footnoteRef/>
      </w:r>
      <w:r w:rsidRPr="00963830">
        <w:t xml:space="preserve"> Zie oud art. 375 Sw. enerzijds en art. 417/11 Sw. anderzijds. </w:t>
      </w:r>
    </w:p>
  </w:footnote>
  <w:footnote w:id="328">
    <w:p w14:paraId="42FFA063" w14:textId="7C95187B" w:rsidR="00BA0376" w:rsidRPr="00963830" w:rsidRDefault="00BA0376" w:rsidP="00613E6B">
      <w:pPr>
        <w:pStyle w:val="NoSpacing"/>
      </w:pPr>
      <w:r w:rsidRPr="00963830">
        <w:rPr>
          <w:rStyle w:val="FootnoteReference"/>
        </w:rPr>
        <w:footnoteRef/>
      </w:r>
      <w:r w:rsidRPr="00963830">
        <w:t xml:space="preserve"> J. ROZIE e.a., </w:t>
      </w:r>
      <w:r w:rsidRPr="00963830">
        <w:rPr>
          <w:i/>
        </w:rPr>
        <w:t>Naar een nieuw Strafwetboek? Het voorstel van de Commissie tot Hervorming van het Strafrecht</w:t>
      </w:r>
      <w:r w:rsidRPr="00963830">
        <w:t xml:space="preserve">, Brugge, die Keure, 2019, 250-251; J. ROZIE en J. DE HERDT, “overgangsrecht seksueel strafrecht”, </w:t>
      </w:r>
      <w:r w:rsidRPr="00963830">
        <w:rPr>
          <w:i/>
        </w:rPr>
        <w:t>supra</w:t>
      </w:r>
      <w:r w:rsidRPr="00963830">
        <w:t xml:space="preserve"> vn. 7, 178.</w:t>
      </w:r>
    </w:p>
  </w:footnote>
  <w:footnote w:id="329">
    <w:p w14:paraId="48E25F7E" w14:textId="6B6AE792" w:rsidR="00BA0376" w:rsidRPr="00963830" w:rsidRDefault="00BA0376" w:rsidP="00576C4B">
      <w:pPr>
        <w:pStyle w:val="NoSpacing"/>
      </w:pPr>
      <w:r w:rsidRPr="00963830">
        <w:rPr>
          <w:rStyle w:val="FootnoteReference"/>
        </w:rPr>
        <w:footnoteRef/>
      </w:r>
      <w:r w:rsidRPr="00963830">
        <w:t xml:space="preserve"> </w:t>
      </w:r>
      <w:r w:rsidRPr="00963830">
        <w:rPr>
          <w:color w:val="000000" w:themeColor="text1"/>
        </w:rPr>
        <w:t>sommigen waren namelijk niet vertrouwd met het begrip en lazen hierin - foutief - een zwaardere bewijslast</w:t>
      </w:r>
      <w:r w:rsidRPr="00963830">
        <w:rPr>
          <w:i/>
        </w:rPr>
        <w:t xml:space="preserve">. </w:t>
      </w:r>
      <w:r w:rsidRPr="00963830">
        <w:t xml:space="preserve">Zie: </w:t>
      </w:r>
      <w:r w:rsidRPr="00963830">
        <w:rPr>
          <w:i/>
        </w:rPr>
        <w:t>Hand</w:t>
      </w:r>
      <w:r w:rsidRPr="00963830">
        <w:t xml:space="preserve">. Kamer commissie voor justitie 2020-21, 23 december 2021, nr. 55-2141/006, 41; J. ROZIE en J. DE HERDT, “overgangsrecht seksueel strafrecht”, </w:t>
      </w:r>
      <w:r w:rsidRPr="00963830">
        <w:rPr>
          <w:i/>
        </w:rPr>
        <w:t>supra</w:t>
      </w:r>
      <w:r w:rsidRPr="00963830">
        <w:t xml:space="preserve"> vn. 7, 178.</w:t>
      </w:r>
    </w:p>
  </w:footnote>
  <w:footnote w:id="330">
    <w:p w14:paraId="24142AE5" w14:textId="5E1691AD" w:rsidR="00BA0376" w:rsidRPr="00963830" w:rsidRDefault="00BA0376" w:rsidP="00E26397">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121.</w:t>
      </w:r>
    </w:p>
  </w:footnote>
  <w:footnote w:id="331">
    <w:p w14:paraId="467B8751" w14:textId="406E7A99"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178.</w:t>
      </w:r>
    </w:p>
  </w:footnote>
  <w:footnote w:id="332">
    <w:p w14:paraId="49CB5802" w14:textId="62638C20" w:rsidR="00BA0376" w:rsidRPr="009C29A6" w:rsidRDefault="00BA0376" w:rsidP="006D0D2A">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nrs. 120 e.v.</w:t>
      </w:r>
    </w:p>
  </w:footnote>
  <w:footnote w:id="333">
    <w:p w14:paraId="222EDD8E" w14:textId="77777777" w:rsidR="00BA0376" w:rsidRPr="009C29A6" w:rsidRDefault="00BA0376" w:rsidP="00BA727D">
      <w:pPr>
        <w:pStyle w:val="NoSpacing"/>
        <w:rPr>
          <w:lang w:val="en-GB"/>
        </w:rPr>
      </w:pPr>
      <w:r w:rsidRPr="00963830">
        <w:rPr>
          <w:rStyle w:val="FootnoteReference"/>
        </w:rPr>
        <w:footnoteRef/>
      </w:r>
      <w:r w:rsidRPr="009C29A6">
        <w:rPr>
          <w:i/>
          <w:color w:val="000000" w:themeColor="text1"/>
          <w:lang w:val="en-GB"/>
        </w:rPr>
        <w:t xml:space="preserve"> Supra </w:t>
      </w:r>
      <w:r w:rsidRPr="009C29A6">
        <w:rPr>
          <w:color w:val="000000" w:themeColor="text1"/>
          <w:lang w:val="en-GB"/>
        </w:rPr>
        <w:t>nr. 4.</w:t>
      </w:r>
    </w:p>
  </w:footnote>
  <w:footnote w:id="334">
    <w:p w14:paraId="04C42128" w14:textId="457E0E94" w:rsidR="00BA0376" w:rsidRPr="009C29A6" w:rsidRDefault="00BA0376" w:rsidP="00C453DC">
      <w:pPr>
        <w:pStyle w:val="NoSpacing"/>
        <w:rPr>
          <w:lang w:val="en-GB"/>
        </w:rPr>
      </w:pPr>
      <w:r w:rsidRPr="00963830">
        <w:rPr>
          <w:rStyle w:val="FootnoteReference"/>
        </w:rPr>
        <w:footnoteRef/>
      </w:r>
      <w:r w:rsidRPr="009C29A6">
        <w:rPr>
          <w:i/>
          <w:color w:val="000000" w:themeColor="text1"/>
          <w:lang w:val="en-GB"/>
        </w:rPr>
        <w:t xml:space="preserve"> Ibid.</w:t>
      </w:r>
    </w:p>
  </w:footnote>
  <w:footnote w:id="335">
    <w:p w14:paraId="421DAD48" w14:textId="13A78368" w:rsidR="00BA0376" w:rsidRPr="00963830" w:rsidRDefault="00BA0376" w:rsidP="002C0C3B">
      <w:pPr>
        <w:pStyle w:val="NoSpacing"/>
      </w:pPr>
      <w:r w:rsidRPr="00963830">
        <w:rPr>
          <w:rStyle w:val="FootnoteReference"/>
        </w:rPr>
        <w:footnoteRef/>
      </w:r>
      <w:r w:rsidRPr="00963830">
        <w:t xml:space="preserve"> </w:t>
      </w:r>
      <w:r w:rsidRPr="00963830">
        <w:rPr>
          <w:color w:val="000000" w:themeColor="text1"/>
        </w:rPr>
        <w:t xml:space="preserve">De basisprincipes inzake de temporele werking van de strafwet werden </w:t>
      </w:r>
      <w:r w:rsidRPr="00963830">
        <w:t>reeds uiteengezet</w:t>
      </w:r>
      <w:r w:rsidRPr="00963830">
        <w:rPr>
          <w:i/>
        </w:rPr>
        <w:t>. Supra</w:t>
      </w:r>
      <w:r w:rsidRPr="00963830">
        <w:t xml:space="preserve"> nrs. 72 e.v.</w:t>
      </w:r>
    </w:p>
  </w:footnote>
  <w:footnote w:id="336">
    <w:p w14:paraId="7338B2C0" w14:textId="35110671" w:rsidR="00BA0376" w:rsidRPr="00963830" w:rsidRDefault="00BA0376" w:rsidP="00C453DC">
      <w:pPr>
        <w:pStyle w:val="NoSpacing"/>
      </w:pPr>
      <w:r w:rsidRPr="00963830">
        <w:rPr>
          <w:rStyle w:val="FootnoteReference"/>
        </w:rPr>
        <w:footnoteRef/>
      </w:r>
      <w:r w:rsidRPr="00963830">
        <w:t xml:space="preserve"> Aangezien deze masterscriptie focust op de delictstypiciteit en niet op de bestraffing, zal in wat volgt niet worden ingegaan op de mogelijke temporele werking van de bestraffing voorzien in de nieuwe wet. Toch heeft dit geenszins tot gevolg dat enkel de bespreking van de temporele werking van de constitutieve bestanddelen van het misdrijf nutteloos zou zijn (</w:t>
      </w:r>
      <w:r w:rsidRPr="00963830">
        <w:rPr>
          <w:i/>
        </w:rPr>
        <w:t xml:space="preserve">infra </w:t>
      </w:r>
      <w:r w:rsidRPr="00963830">
        <w:t>nr. 76).</w:t>
      </w:r>
    </w:p>
  </w:footnote>
  <w:footnote w:id="337">
    <w:p w14:paraId="77F814FC" w14:textId="74114EEB"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 xml:space="preserve">nr. 137 en 144. </w:t>
      </w:r>
      <w:r w:rsidRPr="00963830">
        <w:t xml:space="preserve">J. ROZIE en J. DE HERDT, “overgangsrecht seksueel strafrecht”, </w:t>
      </w:r>
      <w:r w:rsidRPr="00963830">
        <w:rPr>
          <w:i/>
        </w:rPr>
        <w:t>supra</w:t>
      </w:r>
      <w:r w:rsidRPr="00963830">
        <w:t xml:space="preserve"> vn. 7, 183; M. COP en T. HENRION, </w:t>
      </w:r>
      <w:r w:rsidRPr="00963830">
        <w:rPr>
          <w:i/>
        </w:rPr>
        <w:t>Het nieuwe seksueel strafrecht. Artikelsgewijze bespreking van de hervorming anno 2022,</w:t>
      </w:r>
      <w:r w:rsidRPr="00963830">
        <w:t xml:space="preserve"> Leuven, LeA Uitgevers, 2022, 8; T. HENRION, </w:t>
      </w:r>
      <w:r w:rsidRPr="00963830">
        <w:rPr>
          <w:i/>
        </w:rPr>
        <w:t>La réforme du droit pénal sexuel</w:t>
      </w:r>
      <w:r w:rsidRPr="00963830">
        <w:t>, Limal, Anthemis, 2022, 19.</w:t>
      </w:r>
    </w:p>
  </w:footnote>
  <w:footnote w:id="338">
    <w:p w14:paraId="27FCED60" w14:textId="6620604C" w:rsidR="00BA0376" w:rsidRPr="00963830" w:rsidRDefault="00BA0376" w:rsidP="00B0463B">
      <w:pPr>
        <w:pStyle w:val="NoSpacing"/>
      </w:pPr>
      <w:r w:rsidRPr="00963830">
        <w:rPr>
          <w:rStyle w:val="FootnoteReference"/>
        </w:rPr>
        <w:footnoteRef/>
      </w:r>
      <w:r w:rsidRPr="00963830">
        <w:t xml:space="preserve"> Evenals naar mijn mening (</w:t>
      </w:r>
      <w:r w:rsidRPr="00963830">
        <w:rPr>
          <w:i/>
        </w:rPr>
        <w:t xml:space="preserve">supra </w:t>
      </w:r>
      <w:r w:rsidRPr="00963830">
        <w:t xml:space="preserve">nr. 117). </w:t>
      </w:r>
    </w:p>
  </w:footnote>
  <w:footnote w:id="339">
    <w:p w14:paraId="52FE6C66" w14:textId="4135F20F" w:rsidR="00BA0376" w:rsidRPr="00963830" w:rsidRDefault="00BA0376" w:rsidP="00640711">
      <w:pPr>
        <w:pStyle w:val="NoSpacing"/>
      </w:pPr>
      <w:r w:rsidRPr="00963830">
        <w:rPr>
          <w:rStyle w:val="FootnoteReference"/>
        </w:rPr>
        <w:footnoteRef/>
      </w:r>
      <w:r w:rsidRPr="00963830">
        <w:t xml:space="preserve"> Zie in die zin: B. SPRIET e.a. (eds.), “Actualia seksueel strafrecht”, </w:t>
      </w:r>
      <w:r w:rsidRPr="00963830">
        <w:rPr>
          <w:i/>
        </w:rPr>
        <w:t>supra</w:t>
      </w:r>
      <w:r w:rsidRPr="00963830">
        <w:t xml:space="preserve"> vn. 48, 22. </w:t>
      </w:r>
    </w:p>
  </w:footnote>
  <w:footnote w:id="340">
    <w:p w14:paraId="79E42FE8" w14:textId="3F1105BC" w:rsidR="00BA0376" w:rsidRPr="00963830" w:rsidRDefault="00BA0376" w:rsidP="00613E6B">
      <w:pPr>
        <w:pStyle w:val="NoSpacing"/>
      </w:pPr>
      <w:r w:rsidRPr="00963830">
        <w:rPr>
          <w:rStyle w:val="FootnoteReference"/>
        </w:rPr>
        <w:footnoteRef/>
      </w:r>
      <w:r w:rsidRPr="00963830">
        <w:t xml:space="preserve"> Zie in die zin: J. ROZIE en J. DE HERDT, “overgangsrecht seksueel strafrecht”, </w:t>
      </w:r>
      <w:r w:rsidRPr="00963830">
        <w:rPr>
          <w:i/>
        </w:rPr>
        <w:t>supra</w:t>
      </w:r>
      <w:r w:rsidRPr="00963830">
        <w:t xml:space="preserve"> vn. 7, 183-184.</w:t>
      </w:r>
    </w:p>
  </w:footnote>
  <w:footnote w:id="341">
    <w:p w14:paraId="173C7C27" w14:textId="0D42EBF8"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nrs. 140-142.</w:t>
      </w:r>
    </w:p>
  </w:footnote>
  <w:footnote w:id="342">
    <w:p w14:paraId="7EE4808A" w14:textId="31BFBD88" w:rsidR="00BA0376" w:rsidRPr="00963830" w:rsidRDefault="00BA0376" w:rsidP="00613E6B">
      <w:pPr>
        <w:pStyle w:val="NoSpacing"/>
      </w:pPr>
      <w:r w:rsidRPr="00963830">
        <w:rPr>
          <w:rStyle w:val="FootnoteReference"/>
        </w:rPr>
        <w:footnoteRef/>
      </w:r>
      <w:r w:rsidRPr="00963830">
        <w:t xml:space="preserve"> MvT, </w:t>
      </w:r>
      <w:r w:rsidRPr="00963830">
        <w:rPr>
          <w:i/>
        </w:rPr>
        <w:t>Parl.St</w:t>
      </w:r>
      <w:r w:rsidRPr="00963830">
        <w:t xml:space="preserve">. Kamer 2020-21, nr. 55-2141/001, 27-28; A. KARCHER en O. BASTYNS, “L’atteinte à l’intégrité sexuelle et le viol” in A. RIZZO (ed.), </w:t>
      </w:r>
      <w:r w:rsidRPr="00963830">
        <w:rPr>
          <w:i/>
        </w:rPr>
        <w:t>Le nouveau droit pénal sexuel</w:t>
      </w:r>
      <w:r w:rsidRPr="00963830">
        <w:t xml:space="preserve">, Brussel, Larcier, 2022, (109) 119; B. SPRIET e.a. (eds.), “Actualia seksueel strafrecht”, </w:t>
      </w:r>
      <w:r w:rsidRPr="00963830">
        <w:rPr>
          <w:i/>
        </w:rPr>
        <w:t>supra</w:t>
      </w:r>
      <w:r w:rsidRPr="00963830">
        <w:t xml:space="preserve"> vn. 48, 20-21; M. COP en T. HENRION, </w:t>
      </w:r>
      <w:r w:rsidRPr="00963830">
        <w:rPr>
          <w:i/>
        </w:rPr>
        <w:t>Het nieuwe seksueel strafrecht. Artikelsgewijze bespreking van de hervorming anno 2022,</w:t>
      </w:r>
      <w:r w:rsidRPr="00963830">
        <w:t xml:space="preserve"> Leuven, LeA Uitgevers, 2022, 24-25.</w:t>
      </w:r>
    </w:p>
  </w:footnote>
  <w:footnote w:id="343">
    <w:p w14:paraId="1D21789F" w14:textId="31E9631B" w:rsidR="00BA0376" w:rsidRPr="00963830" w:rsidRDefault="00BA0376" w:rsidP="00D7595D">
      <w:pPr>
        <w:pStyle w:val="NoSpacing"/>
      </w:pPr>
      <w:r w:rsidRPr="00963830">
        <w:rPr>
          <w:rStyle w:val="FootnoteReference"/>
        </w:rPr>
        <w:footnoteRef/>
      </w:r>
      <w:r w:rsidRPr="00963830">
        <w:t xml:space="preserve"> Alsook mijn persoonlijke visie (</w:t>
      </w:r>
      <w:r w:rsidRPr="00963830">
        <w:rPr>
          <w:i/>
        </w:rPr>
        <w:t xml:space="preserve">supra </w:t>
      </w:r>
      <w:r w:rsidRPr="00963830">
        <w:t xml:space="preserve">nr. 114). </w:t>
      </w:r>
    </w:p>
  </w:footnote>
  <w:footnote w:id="344">
    <w:p w14:paraId="07299CF1" w14:textId="0ABA1B18" w:rsidR="00BA0376" w:rsidRPr="00963830" w:rsidRDefault="00BA0376" w:rsidP="005F7615">
      <w:pPr>
        <w:pStyle w:val="NoSpacing"/>
      </w:pPr>
      <w:r w:rsidRPr="00963830">
        <w:rPr>
          <w:rStyle w:val="FootnoteReference"/>
        </w:rPr>
        <w:footnoteRef/>
      </w:r>
      <w:r w:rsidRPr="00963830">
        <w:t xml:space="preserve"> B. SPRIET, “Bestraffing van verkrachting vóór en na de wet van 21 maart 2022”, (noot onder Cass. 21 april 2020), </w:t>
      </w:r>
      <w:r w:rsidRPr="00963830">
        <w:rPr>
          <w:i/>
        </w:rPr>
        <w:t>RW</w:t>
      </w:r>
      <w:r w:rsidRPr="00963830">
        <w:t xml:space="preserve"> 2022-23, (948) 952; B. SPRIET e.a. (eds.), “Actualia seksueel strafrecht”, </w:t>
      </w:r>
      <w:r w:rsidRPr="00963830">
        <w:rPr>
          <w:i/>
        </w:rPr>
        <w:t>supra</w:t>
      </w:r>
      <w:r w:rsidRPr="00963830">
        <w:t xml:space="preserve"> vn. 48, 23; M. COP en T. HENRION, </w:t>
      </w:r>
      <w:r w:rsidRPr="00963830">
        <w:rPr>
          <w:i/>
        </w:rPr>
        <w:t>Het nieuwe seksueel strafrecht. Artikelsgewijze bespreking van de hervorming anno 2022,</w:t>
      </w:r>
      <w:r w:rsidRPr="00963830">
        <w:t xml:space="preserve"> Leuven, LeA Uitgevers, 2022, 25.</w:t>
      </w:r>
    </w:p>
  </w:footnote>
  <w:footnote w:id="345">
    <w:p w14:paraId="709FF495" w14:textId="05CB3979" w:rsidR="00BA0376" w:rsidRPr="00963830" w:rsidRDefault="00BA0376" w:rsidP="00613E6B">
      <w:pPr>
        <w:pStyle w:val="NoSpacing"/>
      </w:pPr>
      <w:r w:rsidRPr="00963830">
        <w:rPr>
          <w:rStyle w:val="FootnoteReference"/>
        </w:rPr>
        <w:footnoteRef/>
      </w:r>
      <w:r w:rsidRPr="00963830">
        <w:t xml:space="preserve"> M. COP en T. HENRION, </w:t>
      </w:r>
      <w:r w:rsidRPr="00963830">
        <w:rPr>
          <w:i/>
        </w:rPr>
        <w:t>Het nieuwe seksueel strafrecht. Artikelsgewijze bespreking van de hervorming anno 2022,</w:t>
      </w:r>
      <w:r w:rsidRPr="00963830">
        <w:t xml:space="preserve"> Leuven, LeA Uitgevers, 2022, 25. </w:t>
      </w:r>
      <w:r w:rsidRPr="00963830">
        <w:rPr>
          <w:i/>
          <w:color w:val="000000" w:themeColor="text1"/>
        </w:rPr>
        <w:t>Supra</w:t>
      </w:r>
      <w:r w:rsidRPr="00963830">
        <w:rPr>
          <w:color w:val="000000" w:themeColor="text1"/>
        </w:rPr>
        <w:t xml:space="preserve"> nrs. 75 en 77.</w:t>
      </w:r>
    </w:p>
  </w:footnote>
  <w:footnote w:id="346">
    <w:p w14:paraId="6B2C3820" w14:textId="5F1954D3" w:rsidR="00BA0376" w:rsidRPr="00963830" w:rsidRDefault="00BA0376" w:rsidP="00613E6B">
      <w:pPr>
        <w:pStyle w:val="NoSpacing"/>
      </w:pPr>
      <w:r w:rsidRPr="00963830">
        <w:rPr>
          <w:rStyle w:val="FootnoteReference"/>
        </w:rPr>
        <w:footnoteRef/>
      </w:r>
      <w:r w:rsidRPr="00963830">
        <w:t xml:space="preserve"> Zie in die zin: J. ROZIE en J. DE HERDT, “overgangsrecht seksueel strafrecht”, </w:t>
      </w:r>
      <w:r w:rsidRPr="00963830">
        <w:rPr>
          <w:i/>
        </w:rPr>
        <w:t>supra</w:t>
      </w:r>
      <w:r w:rsidRPr="00963830">
        <w:t xml:space="preserve"> vn. 7, 183-184.</w:t>
      </w:r>
    </w:p>
  </w:footnote>
  <w:footnote w:id="347">
    <w:p w14:paraId="17D3C673" w14:textId="13F4920B" w:rsidR="00BA0376" w:rsidRPr="00963830" w:rsidRDefault="00BA0376" w:rsidP="00953C26">
      <w:pPr>
        <w:pStyle w:val="NoSpacing"/>
      </w:pPr>
      <w:r w:rsidRPr="00963830">
        <w:rPr>
          <w:rStyle w:val="FootnoteReference"/>
        </w:rPr>
        <w:footnoteRef/>
      </w:r>
      <w:r w:rsidRPr="00963830">
        <w:t xml:space="preserve"> </w:t>
      </w:r>
      <w:r w:rsidRPr="00963830">
        <w:rPr>
          <w:color w:val="000000" w:themeColor="text1"/>
        </w:rPr>
        <w:t>Oud art. 375, zesde lid Sw.</w:t>
      </w:r>
    </w:p>
  </w:footnote>
  <w:footnote w:id="348">
    <w:p w14:paraId="59EFB8A6" w14:textId="7A43F9CA" w:rsidR="00BA0376" w:rsidRPr="00963830" w:rsidRDefault="00BA0376" w:rsidP="00953C26">
      <w:pPr>
        <w:pStyle w:val="NoSpacing"/>
      </w:pPr>
      <w:r w:rsidRPr="00963830">
        <w:rPr>
          <w:rStyle w:val="FootnoteReference"/>
        </w:rPr>
        <w:footnoteRef/>
      </w:r>
      <w:r w:rsidRPr="00963830">
        <w:t xml:space="preserve"> </w:t>
      </w:r>
      <w:r w:rsidRPr="00963830">
        <w:rPr>
          <w:color w:val="000000" w:themeColor="text1"/>
        </w:rPr>
        <w:t>Oud art. 375, tweede lid Sw.</w:t>
      </w:r>
    </w:p>
  </w:footnote>
  <w:footnote w:id="349">
    <w:p w14:paraId="78A6EE38" w14:textId="3B0A6E90" w:rsidR="00BA0376" w:rsidRPr="00963830" w:rsidRDefault="00BA0376" w:rsidP="00953C26">
      <w:pPr>
        <w:pStyle w:val="NoSpacing"/>
      </w:pPr>
      <w:r w:rsidRPr="00963830">
        <w:rPr>
          <w:rStyle w:val="FootnoteReference"/>
        </w:rPr>
        <w:footnoteRef/>
      </w:r>
      <w:r w:rsidRPr="00963830">
        <w:t xml:space="preserve"> </w:t>
      </w:r>
      <w:r w:rsidRPr="00963830">
        <w:rPr>
          <w:bCs/>
          <w:color w:val="000000" w:themeColor="text1"/>
        </w:rPr>
        <w:t>Art. 417/6 Sw.</w:t>
      </w:r>
    </w:p>
  </w:footnote>
  <w:footnote w:id="350">
    <w:p w14:paraId="5CEACA70" w14:textId="2318FEF6" w:rsidR="00BA0376" w:rsidRPr="00963830" w:rsidRDefault="00BA0376" w:rsidP="00953C26">
      <w:pPr>
        <w:pStyle w:val="NoSpacing"/>
      </w:pPr>
      <w:r w:rsidRPr="00963830">
        <w:rPr>
          <w:rStyle w:val="FootnoteReference"/>
        </w:rPr>
        <w:footnoteRef/>
      </w:r>
      <w:r w:rsidRPr="00963830">
        <w:t xml:space="preserve"> </w:t>
      </w:r>
      <w:r w:rsidRPr="00963830">
        <w:rPr>
          <w:bCs/>
          <w:color w:val="000000" w:themeColor="text1"/>
        </w:rPr>
        <w:t xml:space="preserve">Art. </w:t>
      </w:r>
      <w:r w:rsidRPr="00963830">
        <w:rPr>
          <w:color w:val="000000" w:themeColor="text1"/>
        </w:rPr>
        <w:t>417/5, derde lid Sw.</w:t>
      </w:r>
    </w:p>
  </w:footnote>
  <w:footnote w:id="351">
    <w:p w14:paraId="40A36739" w14:textId="5C0A2A42" w:rsidR="00BA0376" w:rsidRPr="00963830" w:rsidRDefault="00BA0376" w:rsidP="00953C26">
      <w:pPr>
        <w:pStyle w:val="NoSpacing"/>
      </w:pPr>
      <w:r w:rsidRPr="00963830">
        <w:rPr>
          <w:rStyle w:val="FootnoteReference"/>
        </w:rPr>
        <w:footnoteRef/>
      </w:r>
      <w:r w:rsidRPr="00963830">
        <w:t xml:space="preserve"> </w:t>
      </w:r>
      <w:r w:rsidRPr="00963830">
        <w:rPr>
          <w:bCs/>
          <w:color w:val="000000" w:themeColor="text1"/>
        </w:rPr>
        <w:t xml:space="preserve">Art. </w:t>
      </w:r>
      <w:r w:rsidRPr="00963830">
        <w:rPr>
          <w:color w:val="000000" w:themeColor="text1"/>
        </w:rPr>
        <w:t>417/5, vierde lid Sw.</w:t>
      </w:r>
    </w:p>
  </w:footnote>
  <w:footnote w:id="352">
    <w:p w14:paraId="66FA4C19" w14:textId="334B5339" w:rsidR="00BA0376" w:rsidRPr="00963830" w:rsidRDefault="00BA0376" w:rsidP="00953C26">
      <w:pPr>
        <w:pStyle w:val="NoSpacing"/>
      </w:pPr>
      <w:r w:rsidRPr="00963830">
        <w:rPr>
          <w:rStyle w:val="FootnoteReference"/>
        </w:rPr>
        <w:footnoteRef/>
      </w:r>
      <w:r w:rsidRPr="00963830">
        <w:t xml:space="preserve"> </w:t>
      </w:r>
      <w:r w:rsidRPr="00963830">
        <w:rPr>
          <w:color w:val="000000" w:themeColor="text1"/>
        </w:rPr>
        <w:t>Art. 417/5, tweede lid Sw.</w:t>
      </w:r>
    </w:p>
  </w:footnote>
  <w:footnote w:id="353">
    <w:p w14:paraId="6936B10D" w14:textId="22C3E87C" w:rsidR="00BA0376" w:rsidRPr="00963830" w:rsidRDefault="00BA0376" w:rsidP="00A12D0E">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179-183.</w:t>
      </w:r>
    </w:p>
  </w:footnote>
  <w:footnote w:id="354">
    <w:p w14:paraId="410DE342" w14:textId="51410BA7" w:rsidR="00BA0376" w:rsidRPr="00963830" w:rsidRDefault="00BA0376" w:rsidP="002A6C8A">
      <w:pPr>
        <w:pStyle w:val="NoSpacing"/>
      </w:pPr>
      <w:r w:rsidRPr="00963830">
        <w:rPr>
          <w:rStyle w:val="FootnoteReference"/>
        </w:rPr>
        <w:footnoteRef/>
      </w:r>
      <w:r w:rsidRPr="00963830">
        <w:t xml:space="preserve"> </w:t>
      </w:r>
      <w:r w:rsidRPr="00963830">
        <w:rPr>
          <w:i/>
        </w:rPr>
        <w:t xml:space="preserve">Supra </w:t>
      </w:r>
      <w:r w:rsidRPr="00963830">
        <w:t>nr. 59.</w:t>
      </w:r>
    </w:p>
  </w:footnote>
  <w:footnote w:id="355">
    <w:p w14:paraId="4CD440BB" w14:textId="1F661E2C" w:rsidR="00BA0376" w:rsidRPr="00963830" w:rsidRDefault="00BA0376" w:rsidP="002A6C8A">
      <w:pPr>
        <w:pStyle w:val="NoSpacing"/>
      </w:pPr>
      <w:r w:rsidRPr="00963830">
        <w:rPr>
          <w:rStyle w:val="FootnoteReference"/>
        </w:rPr>
        <w:footnoteRef/>
      </w:r>
      <w:r w:rsidRPr="00963830">
        <w:t xml:space="preserve"> Omz. seksueel strafrecht, </w:t>
      </w:r>
      <w:r w:rsidRPr="00963830">
        <w:rPr>
          <w:i/>
        </w:rPr>
        <w:t>supra</w:t>
      </w:r>
      <w:r w:rsidRPr="00963830">
        <w:t xml:space="preserve"> vn. 79, 14; M. COP en T. HENRION, </w:t>
      </w:r>
      <w:r w:rsidRPr="00963830">
        <w:rPr>
          <w:i/>
        </w:rPr>
        <w:t>Het nieuwe seksueel strafrecht. Artikelsgewijze bespreking van de hervorming anno 2022,</w:t>
      </w:r>
      <w:r w:rsidRPr="00963830">
        <w:t xml:space="preserve"> Leuven, LeA Uitgevers, 2022, 7.</w:t>
      </w:r>
    </w:p>
  </w:footnote>
  <w:footnote w:id="356">
    <w:p w14:paraId="4E1B1696" w14:textId="14AAC929" w:rsidR="00BA0376" w:rsidRPr="00963830" w:rsidRDefault="00BA0376" w:rsidP="002A6C8A">
      <w:pPr>
        <w:pStyle w:val="NoSpacing"/>
      </w:pPr>
      <w:r w:rsidRPr="00963830">
        <w:rPr>
          <w:rStyle w:val="FootnoteReference"/>
        </w:rPr>
        <w:footnoteRef/>
      </w:r>
      <w:r w:rsidRPr="00963830">
        <w:t xml:space="preserve"> </w:t>
      </w:r>
      <w:r w:rsidRPr="00963830">
        <w:rPr>
          <w:i/>
        </w:rPr>
        <w:t xml:space="preserve">Supra </w:t>
      </w:r>
      <w:r w:rsidRPr="00963830">
        <w:t>nr. 116.</w:t>
      </w:r>
    </w:p>
  </w:footnote>
  <w:footnote w:id="357">
    <w:p w14:paraId="6C300085" w14:textId="536A0569"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117.</w:t>
      </w:r>
    </w:p>
  </w:footnote>
  <w:footnote w:id="358">
    <w:p w14:paraId="1395F113" w14:textId="79EF64B7" w:rsidR="00BA0376" w:rsidRPr="00963830" w:rsidRDefault="00BA0376" w:rsidP="00A12D0E">
      <w:pPr>
        <w:pStyle w:val="NoSpacing"/>
      </w:pPr>
      <w:r w:rsidRPr="00963830">
        <w:rPr>
          <w:rStyle w:val="FootnoteReference"/>
        </w:rPr>
        <w:footnoteRef/>
      </w:r>
      <w:r w:rsidRPr="00963830">
        <w:t xml:space="preserve"> Het feit dat voortaan intrekking van toestemming ook aanleiding kan geven tot een verkrachting, is immers e.z. te danken aan de definitie van toestemming, maar a.z. ook aan het feit dat voortaan de geviseerde strafbare gedraging ook kan “mede bestaan” uit een seksuele penetratie. </w:t>
      </w:r>
      <w:r w:rsidRPr="00963830">
        <w:rPr>
          <w:i/>
        </w:rPr>
        <w:t xml:space="preserve">Supra </w:t>
      </w:r>
      <w:r w:rsidRPr="00963830">
        <w:t>nrs. 150-152.</w:t>
      </w:r>
    </w:p>
  </w:footnote>
  <w:footnote w:id="359">
    <w:p w14:paraId="5FEFD60A" w14:textId="55F96BED"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nrs. 64 e.v. en 118 e.v.</w:t>
      </w:r>
    </w:p>
  </w:footnote>
  <w:footnote w:id="360">
    <w:p w14:paraId="78454B79" w14:textId="30992E72" w:rsidR="00BA0376" w:rsidRPr="00963830" w:rsidRDefault="00BA0376" w:rsidP="004446BF">
      <w:pPr>
        <w:pStyle w:val="NoSpacing"/>
      </w:pPr>
      <w:r w:rsidRPr="00963830">
        <w:rPr>
          <w:rStyle w:val="FootnoteReference"/>
        </w:rPr>
        <w:footnoteRef/>
      </w:r>
      <w:r w:rsidRPr="00963830">
        <w:t xml:space="preserve"> Inhoudelijk valt deze uitzondering, zoals reeds aangegeven (</w:t>
      </w:r>
      <w:r w:rsidRPr="00963830">
        <w:rPr>
          <w:i/>
        </w:rPr>
        <w:t xml:space="preserve">supra </w:t>
      </w:r>
      <w:r w:rsidRPr="00963830">
        <w:t>nr. 3), buiten het bestek van deze masterscriptie.</w:t>
      </w:r>
    </w:p>
  </w:footnote>
  <w:footnote w:id="361">
    <w:p w14:paraId="23015683" w14:textId="0CA671FE" w:rsidR="00BA0376" w:rsidRPr="00963830" w:rsidRDefault="00BA0376" w:rsidP="00613E6B">
      <w:pPr>
        <w:pStyle w:val="NoSpacing"/>
      </w:pPr>
      <w:r w:rsidRPr="00963830">
        <w:rPr>
          <w:rStyle w:val="FootnoteReference"/>
        </w:rPr>
        <w:footnoteRef/>
      </w:r>
      <w:r w:rsidRPr="00963830">
        <w:t xml:space="preserve"> </w:t>
      </w:r>
      <w:r w:rsidRPr="00963830">
        <w:rPr>
          <w:i/>
        </w:rPr>
        <w:t xml:space="preserve">Supra </w:t>
      </w:r>
      <w:r w:rsidRPr="00963830">
        <w:t>nrs. 23 e.v. en 91 e.v.</w:t>
      </w:r>
    </w:p>
  </w:footnote>
  <w:footnote w:id="362">
    <w:p w14:paraId="2D289A44" w14:textId="2232C03D" w:rsidR="00BA0376" w:rsidRPr="00963830" w:rsidRDefault="00BA0376" w:rsidP="00613E6B">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191.</w:t>
      </w:r>
    </w:p>
  </w:footnote>
  <w:footnote w:id="363">
    <w:p w14:paraId="334059B1" w14:textId="0B244F8F" w:rsidR="00BA0376" w:rsidRPr="00963830" w:rsidRDefault="00BA0376" w:rsidP="000B60C4">
      <w:pPr>
        <w:pStyle w:val="NoSpacing"/>
      </w:pPr>
      <w:r w:rsidRPr="00963830">
        <w:rPr>
          <w:rStyle w:val="FootnoteReference"/>
        </w:rPr>
        <w:footnoteRef/>
      </w:r>
      <w:r w:rsidRPr="00963830">
        <w:t xml:space="preserve"> </w:t>
      </w:r>
      <w:r w:rsidRPr="00963830">
        <w:rPr>
          <w:i/>
        </w:rPr>
        <w:t>Supra</w:t>
      </w:r>
      <w:r w:rsidRPr="00963830">
        <w:t xml:space="preserve"> nrs. 106 e.v.</w:t>
      </w:r>
    </w:p>
  </w:footnote>
  <w:footnote w:id="364">
    <w:p w14:paraId="79C3414C" w14:textId="02FE3523" w:rsidR="00BA0376" w:rsidRPr="00963830" w:rsidRDefault="00BA0376" w:rsidP="00613E6B">
      <w:pPr>
        <w:pStyle w:val="NoSpacing"/>
      </w:pPr>
      <w:r w:rsidRPr="00963830">
        <w:rPr>
          <w:rStyle w:val="FootnoteReference"/>
        </w:rPr>
        <w:footnoteRef/>
      </w:r>
      <w:r w:rsidRPr="00963830">
        <w:t xml:space="preserve"> A. </w:t>
      </w:r>
      <w:r w:rsidRPr="00963830">
        <w:rPr>
          <w:rFonts w:eastAsia="Verdana" w:cs="Verdana"/>
        </w:rPr>
        <w:t xml:space="preserve">DIERICKX, </w:t>
      </w:r>
      <w:r w:rsidRPr="00963830">
        <w:rPr>
          <w:rFonts w:eastAsia="Verdana" w:cs="Verdana"/>
          <w:i/>
        </w:rPr>
        <w:t>Toestemming en strafrecht</w:t>
      </w:r>
      <w:r w:rsidRPr="00963830">
        <w:rPr>
          <w:rFonts w:eastAsia="Verdana" w:cs="Verdana"/>
        </w:rPr>
        <w:t>, Antwerpen, Intersentia, 2006, 94-95 (f</w:t>
      </w:r>
      <w:r w:rsidRPr="00963830">
        <w:t>iguren III.3 en III.4)</w:t>
      </w:r>
      <w:r w:rsidRPr="00963830">
        <w:rPr>
          <w:rFonts w:eastAsia="Verdana" w:cs="Verdana"/>
        </w:rPr>
        <w:t xml:space="preserve">; </w:t>
      </w:r>
      <w:r w:rsidRPr="00963830">
        <w:t xml:space="preserve">A. DIERICKX, “Hoe ver reikt de bescherming van de strafbepalingen van aanranding van de eerbaarheid en verkrachting?”, </w:t>
      </w:r>
      <w:r w:rsidRPr="00963830">
        <w:rPr>
          <w:i/>
        </w:rPr>
        <w:t>NC</w:t>
      </w:r>
      <w:r w:rsidRPr="00963830">
        <w:t xml:space="preserve"> 2006, (95) 102;</w:t>
      </w:r>
      <w:r w:rsidRPr="00963830">
        <w:rPr>
          <w:rFonts w:eastAsia="Verdana" w:cs="Verdana"/>
        </w:rPr>
        <w:t xml:space="preserve"> </w:t>
      </w:r>
      <w:r w:rsidRPr="00963830">
        <w:t xml:space="preserve">D. MERCKX en I. DELBROUCK, “Verkrachting”, </w:t>
      </w:r>
      <w:r w:rsidRPr="00963830">
        <w:rPr>
          <w:i/>
        </w:rPr>
        <w:t>supra</w:t>
      </w:r>
      <w:r w:rsidRPr="00963830">
        <w:t xml:space="preserve"> vn. 37, 235-236.</w:t>
      </w:r>
    </w:p>
  </w:footnote>
  <w:footnote w:id="365">
    <w:p w14:paraId="6E9E8C29" w14:textId="5C74CF68" w:rsidR="00BA0376" w:rsidRPr="00963830" w:rsidRDefault="00BA0376" w:rsidP="00613E6B">
      <w:pPr>
        <w:pStyle w:val="NoSpacing"/>
      </w:pPr>
      <w:r w:rsidRPr="00963830">
        <w:rPr>
          <w:rStyle w:val="FootnoteReference"/>
        </w:rPr>
        <w:footnoteRef/>
      </w:r>
      <w:r w:rsidRPr="00963830">
        <w:t xml:space="preserve"> In deze tussenconclusie wordt niet opnieuw uitgebreid stilgestaan bij de verschillende visies binnen de doctrine hieromtrent. Deze werden reeds hoger uiteengezet (</w:t>
      </w:r>
      <w:r w:rsidRPr="00963830">
        <w:rPr>
          <w:i/>
        </w:rPr>
        <w:t xml:space="preserve">supra </w:t>
      </w:r>
      <w:r w:rsidRPr="00963830">
        <w:t>nr. 114).</w:t>
      </w:r>
    </w:p>
  </w:footnote>
  <w:footnote w:id="366">
    <w:p w14:paraId="219B552A" w14:textId="32FD7194" w:rsidR="00BA0376" w:rsidRPr="00963830" w:rsidRDefault="00BA0376" w:rsidP="00613E6B">
      <w:pPr>
        <w:pStyle w:val="NoSpacing"/>
      </w:pPr>
      <w:r w:rsidRPr="00963830">
        <w:rPr>
          <w:rStyle w:val="FootnoteReference"/>
        </w:rPr>
        <w:footnoteRef/>
      </w:r>
      <w:r w:rsidRPr="00963830">
        <w:t xml:space="preserve"> A. </w:t>
      </w:r>
      <w:r w:rsidRPr="00963830">
        <w:rPr>
          <w:rFonts w:eastAsia="Verdana" w:cs="Verdana"/>
        </w:rPr>
        <w:t xml:space="preserve">DIERICKX, </w:t>
      </w:r>
      <w:r w:rsidRPr="00963830">
        <w:rPr>
          <w:rFonts w:eastAsia="Verdana" w:cs="Verdana"/>
          <w:i/>
        </w:rPr>
        <w:t>Toestemming en strafrecht</w:t>
      </w:r>
      <w:r w:rsidRPr="00963830">
        <w:rPr>
          <w:rFonts w:eastAsia="Verdana" w:cs="Verdana"/>
        </w:rPr>
        <w:t>, Antwerpen, Intersentia, 2006, 94-95 (f</w:t>
      </w:r>
      <w:r w:rsidRPr="00963830">
        <w:t>iguren III.3 en III.4)</w:t>
      </w:r>
      <w:r w:rsidRPr="00963830">
        <w:rPr>
          <w:rFonts w:eastAsia="Verdana" w:cs="Verdana"/>
        </w:rPr>
        <w:t>.</w:t>
      </w:r>
    </w:p>
  </w:footnote>
  <w:footnote w:id="367">
    <w:p w14:paraId="2FCACEFF" w14:textId="00CFEF25" w:rsidR="00BA0376" w:rsidRPr="00963830" w:rsidRDefault="00BA0376" w:rsidP="00613E6B">
      <w:pPr>
        <w:pStyle w:val="NoSpacing"/>
      </w:pPr>
      <w:r w:rsidRPr="00963830">
        <w:rPr>
          <w:rStyle w:val="FootnoteReference"/>
        </w:rPr>
        <w:footnoteRef/>
      </w:r>
      <w:r w:rsidRPr="00963830">
        <w:t xml:space="preserve"> Het was tevens de bedoeling van de wetgever om alle niet-consensuele seksuele misdrijven meer met elkaar in overeenstemming te brengen. Zie: MvT, Parl.St. Kamer 2020-21, nr. 55-2141/001, 14.</w:t>
      </w:r>
    </w:p>
  </w:footnote>
  <w:footnote w:id="368">
    <w:p w14:paraId="18099656" w14:textId="1C5853C0" w:rsidR="00BA0376" w:rsidRPr="00963830" w:rsidRDefault="00BA0376" w:rsidP="000B60C4">
      <w:pPr>
        <w:pStyle w:val="NoSpacing"/>
      </w:pPr>
      <w:r w:rsidRPr="00963830">
        <w:rPr>
          <w:rStyle w:val="FootnoteReference"/>
        </w:rPr>
        <w:footnoteRef/>
      </w:r>
      <w:r w:rsidRPr="00963830">
        <w:t xml:space="preserve"> </w:t>
      </w:r>
      <w:r w:rsidRPr="00963830">
        <w:rPr>
          <w:i/>
        </w:rPr>
        <w:t xml:space="preserve">Supra </w:t>
      </w:r>
      <w:r w:rsidRPr="00963830">
        <w:t>nr. 137.</w:t>
      </w:r>
    </w:p>
  </w:footnote>
  <w:footnote w:id="369">
    <w:p w14:paraId="18DF8DAC" w14:textId="0E7E7DD4" w:rsidR="00BA0376" w:rsidRPr="00963830" w:rsidRDefault="00BA0376" w:rsidP="00267C35">
      <w:pPr>
        <w:pStyle w:val="NoSpacing"/>
      </w:pPr>
      <w:r w:rsidRPr="00963830">
        <w:rPr>
          <w:rStyle w:val="FootnoteReference"/>
        </w:rPr>
        <w:footnoteRef/>
      </w:r>
      <w:r w:rsidRPr="00963830">
        <w:t xml:space="preserve"> </w:t>
      </w:r>
      <w:r w:rsidRPr="00963830">
        <w:rPr>
          <w:i/>
        </w:rPr>
        <w:t xml:space="preserve">Supra </w:t>
      </w:r>
      <w:r w:rsidRPr="00963830">
        <w:t>nr. 52.</w:t>
      </w:r>
    </w:p>
  </w:footnote>
  <w:footnote w:id="370">
    <w:p w14:paraId="6A86BCC8" w14:textId="4222D662" w:rsidR="00BA0376" w:rsidRPr="00963830" w:rsidRDefault="00BA0376" w:rsidP="0086452D">
      <w:pPr>
        <w:pStyle w:val="NoSpacing"/>
      </w:pPr>
      <w:r w:rsidRPr="00963830">
        <w:rPr>
          <w:rStyle w:val="FootnoteReference"/>
        </w:rPr>
        <w:footnoteRef/>
      </w:r>
      <w:r w:rsidRPr="00963830">
        <w:t xml:space="preserve"> </w:t>
      </w:r>
      <w:r w:rsidRPr="00963830">
        <w:rPr>
          <w:i/>
        </w:rPr>
        <w:t xml:space="preserve">Supra </w:t>
      </w:r>
      <w:r w:rsidRPr="00963830">
        <w:t>nrs. 56 e.v.</w:t>
      </w:r>
    </w:p>
  </w:footnote>
  <w:footnote w:id="371">
    <w:p w14:paraId="7B29D297" w14:textId="1FAECFFB" w:rsidR="00BA0376" w:rsidRPr="00963830" w:rsidRDefault="00BA0376" w:rsidP="0086452D">
      <w:pPr>
        <w:pStyle w:val="NoSpacing"/>
      </w:pPr>
      <w:r w:rsidRPr="00963830">
        <w:rPr>
          <w:rStyle w:val="FootnoteReference"/>
        </w:rPr>
        <w:footnoteRef/>
      </w:r>
      <w:r w:rsidRPr="00963830">
        <w:t xml:space="preserve"> </w:t>
      </w:r>
      <w:r w:rsidRPr="00963830">
        <w:rPr>
          <w:i/>
        </w:rPr>
        <w:t xml:space="preserve">Supra </w:t>
      </w:r>
      <w:r w:rsidRPr="00963830">
        <w:t>nrs. 140 e.v.</w:t>
      </w:r>
    </w:p>
  </w:footnote>
  <w:footnote w:id="372">
    <w:p w14:paraId="4D96386B" w14:textId="1B7B4BFA" w:rsidR="00BA0376" w:rsidRPr="00963830" w:rsidRDefault="00BA0376" w:rsidP="003F5C1E">
      <w:pPr>
        <w:pStyle w:val="NoSpacing"/>
      </w:pPr>
      <w:r w:rsidRPr="00963830">
        <w:rPr>
          <w:rStyle w:val="FootnoteReference"/>
        </w:rPr>
        <w:footnoteRef/>
      </w:r>
      <w:r w:rsidRPr="00963830">
        <w:t xml:space="preserve"> Zie bijlagen 2 en 3 voor een bondige schematische weergave van de belangrijkste conclusies m.b.t. de temporele werking van beide strafbaarstellingen.</w:t>
      </w:r>
    </w:p>
  </w:footnote>
  <w:footnote w:id="373">
    <w:p w14:paraId="421B643F" w14:textId="00CE10D1" w:rsidR="00BA0376" w:rsidRPr="009C29A6" w:rsidRDefault="00BA0376" w:rsidP="00E17C29">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titels 1.1.3 en 1.2.3.</w:t>
      </w:r>
    </w:p>
  </w:footnote>
  <w:footnote w:id="374">
    <w:p w14:paraId="145F5A3C" w14:textId="5C840E52" w:rsidR="00BA0376" w:rsidRPr="009C29A6" w:rsidRDefault="00BA0376" w:rsidP="00E17C29">
      <w:pPr>
        <w:pStyle w:val="NoSpacing"/>
        <w:rPr>
          <w:lang w:val="fr-FR"/>
        </w:rPr>
      </w:pPr>
      <w:r w:rsidRPr="00963830">
        <w:rPr>
          <w:rStyle w:val="FootnoteReference"/>
        </w:rPr>
        <w:footnoteRef/>
      </w:r>
      <w:r w:rsidRPr="009C29A6">
        <w:rPr>
          <w:lang w:val="fr-FR"/>
        </w:rPr>
        <w:t xml:space="preserve"> </w:t>
      </w:r>
      <w:r w:rsidRPr="009C29A6">
        <w:rPr>
          <w:i/>
          <w:lang w:val="fr-FR"/>
        </w:rPr>
        <w:t>Supra</w:t>
      </w:r>
      <w:r w:rsidRPr="009C29A6">
        <w:rPr>
          <w:lang w:val="fr-FR"/>
        </w:rPr>
        <w:t xml:space="preserve"> nr. 76.</w:t>
      </w:r>
    </w:p>
  </w:footnote>
  <w:footnote w:id="375">
    <w:p w14:paraId="25C567B9" w14:textId="452650E4" w:rsidR="00BA0376" w:rsidRPr="00963830" w:rsidRDefault="00BA0376" w:rsidP="00EB5B63">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204.</w:t>
      </w:r>
    </w:p>
  </w:footnote>
  <w:footnote w:id="376">
    <w:p w14:paraId="6936E63D" w14:textId="77777777" w:rsidR="00BA0376" w:rsidRPr="00963830" w:rsidRDefault="00BA0376" w:rsidP="00EB5B63">
      <w:pPr>
        <w:pStyle w:val="NoSpacing"/>
      </w:pPr>
      <w:r w:rsidRPr="00963830">
        <w:rPr>
          <w:rStyle w:val="FootnoteReference"/>
        </w:rPr>
        <w:footnoteRef/>
      </w:r>
      <w:r w:rsidRPr="00963830">
        <w:t xml:space="preserve"> De strafrechter moet bovendien vermelden dat de gedraging zowel een strafbare gedraging uitmaakte op het moment waarop deze werd gesteld onder het oude recht als onder het nieuwe recht. Hierbij dienen de relevante bepalingen van de oude wet evenals van de nieuwe uitdrukkelijk te worden vermeld. Zie: Cass. 7 mei 2008, P.08.0176.F; Cass. 23 mei 2007, P.07.0405.F.</w:t>
      </w:r>
    </w:p>
  </w:footnote>
  <w:footnote w:id="377">
    <w:p w14:paraId="7A2B9E94" w14:textId="3FDD7C44" w:rsidR="00BA0376" w:rsidRPr="00963830" w:rsidRDefault="00BA0376" w:rsidP="00EB5B63">
      <w:pPr>
        <w:pStyle w:val="NoSpacing"/>
      </w:pPr>
      <w:r w:rsidRPr="00963830">
        <w:rPr>
          <w:rStyle w:val="FootnoteReference"/>
        </w:rPr>
        <w:footnoteRef/>
      </w:r>
      <w:r w:rsidRPr="00963830">
        <w:t xml:space="preserve"> De bespreking van de (temporele werking van de) straffen valt zoals reeds aangegeven buiten het bestek van deze masterscriptie. Hiervoor kan worden verwezen naar: </w:t>
      </w:r>
      <w:r w:rsidRPr="00963830">
        <w:rPr>
          <w:rFonts w:cs="Verdana"/>
        </w:rPr>
        <w:t xml:space="preserve">Omz. seksueel strafrecht, </w:t>
      </w:r>
      <w:r w:rsidRPr="00963830">
        <w:rPr>
          <w:rFonts w:cs="Verdana"/>
          <w:i/>
        </w:rPr>
        <w:t>supra</w:t>
      </w:r>
      <w:r w:rsidRPr="00963830">
        <w:rPr>
          <w:rFonts w:cs="Verdana"/>
        </w:rPr>
        <w:t xml:space="preserve"> vn. 79, 81-85; </w:t>
      </w:r>
      <w:r w:rsidRPr="00963830">
        <w:t xml:space="preserve">B. SPRIET, “Bestraffing van verkrachting vóór en na de wet van 21 maart 2022”, (noot onder Cass. 21 april 2020), </w:t>
      </w:r>
      <w:r w:rsidRPr="00963830">
        <w:rPr>
          <w:i/>
        </w:rPr>
        <w:t>RW</w:t>
      </w:r>
      <w:r w:rsidRPr="00963830">
        <w:t xml:space="preserve"> 2022-23, (948) 948-852.</w:t>
      </w:r>
    </w:p>
  </w:footnote>
  <w:footnote w:id="378">
    <w:p w14:paraId="578CBADB" w14:textId="5D014AF0" w:rsidR="00BA0376" w:rsidRPr="00963830" w:rsidRDefault="00BA0376" w:rsidP="00EB5B63">
      <w:pPr>
        <w:pStyle w:val="NoSpacing"/>
      </w:pPr>
      <w:r w:rsidRPr="00963830">
        <w:rPr>
          <w:rStyle w:val="FootnoteReference"/>
        </w:rPr>
        <w:footnoteRef/>
      </w:r>
      <w:r w:rsidRPr="00963830">
        <w:t xml:space="preserve"> </w:t>
      </w:r>
      <w:r w:rsidRPr="00963830">
        <w:rPr>
          <w:i/>
        </w:rPr>
        <w:t xml:space="preserve">Supra </w:t>
      </w:r>
      <w:r w:rsidRPr="00963830">
        <w:t>nrs. 72 e.v.</w:t>
      </w:r>
    </w:p>
  </w:footnote>
  <w:footnote w:id="379">
    <w:p w14:paraId="766F8D99" w14:textId="354B220F" w:rsidR="00BA0376" w:rsidRPr="00963830" w:rsidRDefault="00BA0376" w:rsidP="00EB5B63">
      <w:pPr>
        <w:pStyle w:val="NoSpacing"/>
      </w:pPr>
      <w:r w:rsidRPr="00963830">
        <w:rPr>
          <w:rStyle w:val="FootnoteReference"/>
        </w:rPr>
        <w:footnoteRef/>
      </w:r>
      <w:r w:rsidRPr="00963830">
        <w:t xml:space="preserve"> </w:t>
      </w:r>
      <w:r w:rsidRPr="00963830">
        <w:rPr>
          <w:rFonts w:cs="Verdana"/>
        </w:rPr>
        <w:t xml:space="preserve">Omz. seksueel strafrecht, </w:t>
      </w:r>
      <w:r w:rsidRPr="00963830">
        <w:rPr>
          <w:rFonts w:cs="Verdana"/>
          <w:i/>
        </w:rPr>
        <w:t>supra</w:t>
      </w:r>
      <w:r w:rsidRPr="00963830">
        <w:rPr>
          <w:rFonts w:cs="Verdana"/>
        </w:rPr>
        <w:t xml:space="preserve"> vn. 79, 80; </w:t>
      </w:r>
      <w:r w:rsidRPr="00963830">
        <w:t xml:space="preserve">Vademecum bij Omz. seksueel strafrecht, </w:t>
      </w:r>
      <w:r w:rsidRPr="00963830">
        <w:rPr>
          <w:i/>
        </w:rPr>
        <w:t>supra</w:t>
      </w:r>
      <w:r w:rsidRPr="00963830">
        <w:t xml:space="preserve"> vn. 79, 1-4</w:t>
      </w:r>
      <w:r w:rsidRPr="00963830">
        <w:rPr>
          <w:rFonts w:cs="Verdana"/>
        </w:rPr>
        <w:t xml:space="preserve">; </w:t>
      </w:r>
      <w:r w:rsidRPr="00963830">
        <w:t xml:space="preserve">J. ROZIE en J. DE HERDT, “overgangsrecht seksueel strafrecht”, </w:t>
      </w:r>
      <w:r w:rsidRPr="00963830">
        <w:rPr>
          <w:i/>
        </w:rPr>
        <w:t>supra</w:t>
      </w:r>
      <w:r w:rsidRPr="00963830">
        <w:t xml:space="preserve"> vn. 7, 176.</w:t>
      </w:r>
    </w:p>
  </w:footnote>
  <w:footnote w:id="380">
    <w:p w14:paraId="35D6CFFD" w14:textId="0F3F5F4B"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4.</w:t>
      </w:r>
    </w:p>
  </w:footnote>
  <w:footnote w:id="381">
    <w:p w14:paraId="40545905" w14:textId="53B88984" w:rsidR="00BA0376" w:rsidRPr="00963830" w:rsidRDefault="00BA0376" w:rsidP="00A006AB">
      <w:pPr>
        <w:pStyle w:val="NoSpacing"/>
      </w:pPr>
      <w:r w:rsidRPr="00963830">
        <w:rPr>
          <w:rStyle w:val="FootnoteReference"/>
        </w:rPr>
        <w:footnoteRef/>
      </w:r>
      <w:r w:rsidRPr="00963830">
        <w:t xml:space="preserve"> Gelet op het doel van de externe rechtsvergelijking (m.n. de huidige strafbaarstellingen naar Belgisch recht evalueren), gebeurt deze enkel met de huidige misdrijven naar Belgisch recht. </w:t>
      </w:r>
    </w:p>
  </w:footnote>
  <w:footnote w:id="382">
    <w:p w14:paraId="1C48F861" w14:textId="22FCA267"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Zogenaamde “</w:t>
      </w:r>
      <w:r w:rsidRPr="00963830">
        <w:rPr>
          <w:i/>
          <w:color w:val="000000" w:themeColor="text1"/>
        </w:rPr>
        <w:t>statutory offences”.</w:t>
      </w:r>
    </w:p>
  </w:footnote>
  <w:footnote w:id="383">
    <w:p w14:paraId="60F9FD6B" w14:textId="7AD7423F"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Zogenaamde “</w:t>
      </w:r>
      <w:r w:rsidRPr="00963830">
        <w:rPr>
          <w:i/>
          <w:color w:val="000000" w:themeColor="text1"/>
        </w:rPr>
        <w:t>common law offences”.</w:t>
      </w:r>
    </w:p>
  </w:footnote>
  <w:footnote w:id="384">
    <w:p w14:paraId="48057290" w14:textId="05CBCD40" w:rsidR="00BA0376" w:rsidRPr="009C29A6" w:rsidRDefault="00BA0376" w:rsidP="0006702C">
      <w:pPr>
        <w:rPr>
          <w:sz w:val="16"/>
          <w:szCs w:val="16"/>
          <w:lang w:val="en-GB"/>
        </w:rPr>
      </w:pPr>
      <w:r w:rsidRPr="00963830">
        <w:rPr>
          <w:rStyle w:val="FootnoteReference"/>
          <w:sz w:val="16"/>
          <w:szCs w:val="16"/>
        </w:rPr>
        <w:footnoteRef/>
      </w:r>
      <w:r w:rsidRPr="009C29A6">
        <w:rPr>
          <w:sz w:val="16"/>
          <w:szCs w:val="16"/>
          <w:lang w:val="en-GB"/>
        </w:rPr>
        <w:t xml:space="preserve"> D. ORMEROD en K. LAIRD, </w:t>
      </w:r>
      <w:r w:rsidRPr="009C29A6">
        <w:rPr>
          <w:i/>
          <w:sz w:val="16"/>
          <w:szCs w:val="16"/>
          <w:lang w:val="en-GB"/>
        </w:rPr>
        <w:t>Smith, Hogan, &amp; Ormerod’s Criminal Law</w:t>
      </w:r>
      <w:r w:rsidRPr="009C29A6">
        <w:rPr>
          <w:sz w:val="16"/>
          <w:szCs w:val="16"/>
          <w:lang w:val="en-GB"/>
        </w:rPr>
        <w:t>, Oxford (VK), Oxford University Press, 2021, 16-18; LEGISLATION.GOV.UK, “Understanding legislation”, www.legislation.gov.uk/understanding-legislation (consultatie 15 oktober 2022).</w:t>
      </w:r>
    </w:p>
  </w:footnote>
  <w:footnote w:id="385">
    <w:p w14:paraId="29CE270B" w14:textId="6516EB5E" w:rsidR="00BA0376" w:rsidRPr="00963830" w:rsidRDefault="00BA0376" w:rsidP="00613E6B">
      <w:pPr>
        <w:pStyle w:val="NoSpacing"/>
      </w:pPr>
      <w:r w:rsidRPr="00963830">
        <w:rPr>
          <w:rStyle w:val="FootnoteReference"/>
        </w:rPr>
        <w:footnoteRef/>
      </w:r>
      <w:r w:rsidRPr="00963830">
        <w:t xml:space="preserve"> In de SOA worden andere begrippen gehanteerd dan de in België gangbare begrippen van bijvoorbeeld artikel, lid en paragraaf. De SOA hanteert namelijk de begrippen “</w:t>
      </w:r>
      <w:r w:rsidRPr="00963830">
        <w:rPr>
          <w:i/>
        </w:rPr>
        <w:t>section</w:t>
      </w:r>
      <w:r w:rsidRPr="00963830">
        <w:t>” (vergelijkbaar met de in België gangbare term “artikel”) en “</w:t>
      </w:r>
      <w:r w:rsidRPr="00963830">
        <w:rPr>
          <w:i/>
        </w:rPr>
        <w:t>subsection</w:t>
      </w:r>
      <w:r w:rsidRPr="00963830">
        <w:t xml:space="preserve">” (vergelijkbaar met de in België gangbare term “paragraaf”). In wat volgt zal deze Engelstalige terminologie gehanteerd worden. </w:t>
      </w:r>
    </w:p>
  </w:footnote>
  <w:footnote w:id="386">
    <w:p w14:paraId="2008F1C4" w14:textId="3FB8DDD1" w:rsidR="00BA0376" w:rsidRPr="00963830" w:rsidRDefault="00BA0376" w:rsidP="00613E6B">
      <w:pPr>
        <w:pStyle w:val="NoSpacing"/>
      </w:pPr>
      <w:r w:rsidRPr="00963830">
        <w:rPr>
          <w:rStyle w:val="FootnoteReference"/>
        </w:rPr>
        <w:footnoteRef/>
      </w:r>
      <w:r w:rsidRPr="00963830">
        <w:t xml:space="preserve"> Zoals dat ook in het deel over het Belgisch recht gebeurde, zal eerst worden ingegaan op het misdrijf aantasting van de seksuele integriteit (of meer precies, de daarmee vergelijkbare misdrijven naar Brits recht) en vervolgens op het misdrijf verkrachting (met dezelfde kanttekening). </w:t>
      </w:r>
      <w:r w:rsidRPr="00963830">
        <w:rPr>
          <w:color w:val="000000" w:themeColor="text1"/>
        </w:rPr>
        <w:t>Dit impliceert dat in deze masterscriptie niet dezelfde volgorde kan worden gevolgd zoals in de SOA zelf. Hoewel dit idealiter wel het geval zou zijn, zal met het oog op het bekomen van een duidelijke externe rechtsvergelijking toch dezelfde structuur als in het Belgische deel worden aangehouden.</w:t>
      </w:r>
    </w:p>
  </w:footnote>
  <w:footnote w:id="387">
    <w:p w14:paraId="3DD8C082" w14:textId="099872A2"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titel 1.3.1.</w:t>
      </w:r>
    </w:p>
  </w:footnote>
  <w:footnote w:id="388">
    <w:p w14:paraId="42B3A5AC" w14:textId="6D505C7B" w:rsidR="00BA0376" w:rsidRPr="00963830" w:rsidRDefault="00BA0376" w:rsidP="00F16DFD">
      <w:pPr>
        <w:rPr>
          <w:sz w:val="16"/>
          <w:szCs w:val="16"/>
        </w:rPr>
      </w:pPr>
      <w:r w:rsidRPr="00963830">
        <w:rPr>
          <w:rStyle w:val="FootnoteReference"/>
          <w:sz w:val="16"/>
          <w:szCs w:val="16"/>
        </w:rPr>
        <w:footnoteRef/>
      </w:r>
      <w:r w:rsidRPr="00963830">
        <w:rPr>
          <w:sz w:val="16"/>
          <w:szCs w:val="16"/>
        </w:rPr>
        <w:t xml:space="preserve"> De in deze masterscriptie besproken </w:t>
      </w:r>
      <w:r w:rsidRPr="00963830">
        <w:rPr>
          <w:i/>
          <w:sz w:val="16"/>
          <w:szCs w:val="16"/>
        </w:rPr>
        <w:t>sections</w:t>
      </w:r>
      <w:r w:rsidRPr="00963830">
        <w:rPr>
          <w:sz w:val="16"/>
          <w:szCs w:val="16"/>
        </w:rPr>
        <w:t xml:space="preserve"> van de SOA werden duidelijkheidshalve opgenomen in bijlage 4.</w:t>
      </w:r>
    </w:p>
  </w:footnote>
  <w:footnote w:id="389">
    <w:p w14:paraId="4E27097B" w14:textId="4104A1F6"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3, (1), (a) SOA; C. TAYLOR, </w:t>
      </w:r>
      <w:r w:rsidRPr="009C29A6">
        <w:rPr>
          <w:i/>
          <w:lang w:val="en-GB"/>
        </w:rPr>
        <w:t>Criminal Law</w:t>
      </w:r>
      <w:r w:rsidRPr="009C29A6">
        <w:rPr>
          <w:lang w:val="en-GB"/>
        </w:rPr>
        <w:t xml:space="preserve">, London (VK), Thomson Reuters, 2018, 508; D. ORMEROD en K. LAIRD, </w:t>
      </w:r>
      <w:r w:rsidRPr="009C29A6">
        <w:rPr>
          <w:i/>
          <w:lang w:val="en-GB"/>
        </w:rPr>
        <w:t>Smith, Hogan, &amp; Ormerod’s Criminal Law</w:t>
      </w:r>
      <w:r w:rsidRPr="009C29A6">
        <w:rPr>
          <w:lang w:val="en-GB"/>
        </w:rPr>
        <w:t xml:space="preserve">, Oxford (VK), Oxford University Press, 2021, 829; M.J. ALLEN en I. EDWARDS, </w:t>
      </w:r>
      <w:r w:rsidRPr="009C29A6">
        <w:rPr>
          <w:i/>
          <w:lang w:val="en-GB"/>
        </w:rPr>
        <w:t>Criminal Law</w:t>
      </w:r>
      <w:r w:rsidRPr="009C29A6">
        <w:rPr>
          <w:lang w:val="en-GB"/>
        </w:rPr>
        <w:t>, Oxford (VK), Oxford University Press, 2021, 498.</w:t>
      </w:r>
    </w:p>
  </w:footnote>
  <w:footnote w:id="390">
    <w:p w14:paraId="1DE26CE3" w14:textId="4A4F97C0" w:rsidR="00BA0376" w:rsidRPr="009C29A6" w:rsidRDefault="00BA0376" w:rsidP="00613E6B">
      <w:pPr>
        <w:pStyle w:val="NoSpacing"/>
        <w:rPr>
          <w:lang w:val="en-GB"/>
        </w:rPr>
      </w:pPr>
      <w:r w:rsidRPr="00963830">
        <w:rPr>
          <w:rStyle w:val="FootnoteReference"/>
        </w:rPr>
        <w:footnoteRef/>
      </w:r>
      <w:r w:rsidRPr="009C29A6">
        <w:rPr>
          <w:lang w:val="en-GB"/>
        </w:rPr>
        <w:t xml:space="preserve"> Court of Appeal (VK) 19 november 2009, R. v. Ayeva, </w:t>
      </w:r>
      <w:r w:rsidRPr="009C29A6">
        <w:rPr>
          <w:i/>
          <w:iCs/>
          <w:lang w:val="en-GB"/>
        </w:rPr>
        <w:t>EWCA Crim</w:t>
      </w:r>
      <w:r w:rsidRPr="009C29A6">
        <w:rPr>
          <w:lang w:val="en-GB"/>
        </w:rPr>
        <w:t xml:space="preserve">, 2640. </w:t>
      </w:r>
      <w:r w:rsidRPr="009C29A6">
        <w:rPr>
          <w:i/>
          <w:color w:val="000000" w:themeColor="text1"/>
          <w:lang w:val="en-GB"/>
        </w:rPr>
        <w:t xml:space="preserve">Infra </w:t>
      </w:r>
      <w:r w:rsidRPr="009C29A6">
        <w:rPr>
          <w:color w:val="000000" w:themeColor="text1"/>
          <w:lang w:val="en-GB"/>
        </w:rPr>
        <w:t>nrs. 190 e.v.</w:t>
      </w:r>
    </w:p>
  </w:footnote>
  <w:footnote w:id="391">
    <w:p w14:paraId="4884C484" w14:textId="0B24D322"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79, (8) SOA luidt als volgt: : “</w:t>
      </w:r>
      <w:r w:rsidRPr="009C29A6">
        <w:rPr>
          <w:i/>
          <w:lang w:val="en-GB"/>
        </w:rPr>
        <w:t>Touching includes touching - (a) with any part of the body, (b) with anything else, (c) through anything -</w:t>
      </w:r>
      <w:r w:rsidRPr="009C29A6">
        <w:rPr>
          <w:lang w:val="en-GB"/>
        </w:rPr>
        <w:t xml:space="preserve"> </w:t>
      </w:r>
      <w:r w:rsidRPr="009C29A6">
        <w:rPr>
          <w:i/>
          <w:lang w:val="en-GB"/>
        </w:rPr>
        <w:t>and in particular includes touching amounting to penetration</w:t>
      </w:r>
      <w:r w:rsidRPr="009C29A6">
        <w:rPr>
          <w:lang w:val="en-GB"/>
        </w:rPr>
        <w:t>.”</w:t>
      </w:r>
    </w:p>
  </w:footnote>
  <w:footnote w:id="392">
    <w:p w14:paraId="2D6AA9B6" w14:textId="6A0E6D73" w:rsidR="00BA0376" w:rsidRPr="009C29A6" w:rsidRDefault="00BA0376" w:rsidP="00613E6B">
      <w:pPr>
        <w:pStyle w:val="NoSpacing"/>
        <w:rPr>
          <w:color w:val="000000" w:themeColor="text1"/>
          <w:lang w:val="en-GB"/>
        </w:rPr>
      </w:pPr>
      <w:r w:rsidRPr="00963830">
        <w:rPr>
          <w:rStyle w:val="FootnoteReference"/>
          <w:color w:val="000000" w:themeColor="text1"/>
        </w:rPr>
        <w:footnoteRef/>
      </w:r>
      <w:r w:rsidRPr="009C29A6">
        <w:rPr>
          <w:color w:val="000000" w:themeColor="text1"/>
          <w:lang w:val="en-GB"/>
        </w:rPr>
        <w:t xml:space="preserve"> Court of Appeal (VK) 3 oktober 2006, R. v. Swinscoe, </w:t>
      </w:r>
      <w:r w:rsidRPr="009C29A6">
        <w:rPr>
          <w:i/>
          <w:color w:val="000000" w:themeColor="text1"/>
          <w:lang w:val="en-GB"/>
        </w:rPr>
        <w:t>EWCA Crim</w:t>
      </w:r>
      <w:r w:rsidRPr="009C29A6">
        <w:rPr>
          <w:color w:val="000000" w:themeColor="text1"/>
          <w:lang w:val="en-GB"/>
        </w:rPr>
        <w:t xml:space="preserve">, 2412; D. ORMEROD en K. LAIRD, </w:t>
      </w:r>
      <w:r w:rsidRPr="009C29A6">
        <w:rPr>
          <w:i/>
          <w:color w:val="000000" w:themeColor="text1"/>
          <w:lang w:val="en-GB"/>
        </w:rPr>
        <w:t>Smith, Hogan, &amp; Ormerod’s Criminal Law</w:t>
      </w:r>
      <w:r w:rsidRPr="009C29A6">
        <w:rPr>
          <w:color w:val="000000" w:themeColor="text1"/>
          <w:lang w:val="en-GB"/>
        </w:rPr>
        <w:t xml:space="preserve">, Oxford (VK), Oxford University Press, 2021, 818-819; J. HORDER, </w:t>
      </w:r>
      <w:r w:rsidRPr="009C29A6">
        <w:rPr>
          <w:i/>
          <w:color w:val="000000" w:themeColor="text1"/>
          <w:lang w:val="en-GB"/>
        </w:rPr>
        <w:t>Ashworth’s Principles of Criminal Law</w:t>
      </w:r>
      <w:r w:rsidRPr="009C29A6">
        <w:rPr>
          <w:color w:val="000000" w:themeColor="text1"/>
          <w:lang w:val="en-GB"/>
        </w:rPr>
        <w:t xml:space="preserve">, Oxford (VK), Oxford University Press, 2019, 350; M.J. ALLEN en I. EDWARDS, </w:t>
      </w:r>
      <w:r w:rsidRPr="009C29A6">
        <w:rPr>
          <w:i/>
          <w:color w:val="000000" w:themeColor="text1"/>
          <w:lang w:val="en-GB"/>
        </w:rPr>
        <w:t>Criminal Law</w:t>
      </w:r>
      <w:r w:rsidRPr="009C29A6">
        <w:rPr>
          <w:color w:val="000000" w:themeColor="text1"/>
          <w:lang w:val="en-GB"/>
        </w:rPr>
        <w:t>, Oxford (VK), Oxford University Press, 2021, 498.</w:t>
      </w:r>
    </w:p>
  </w:footnote>
  <w:footnote w:id="393">
    <w:p w14:paraId="6FFD6675" w14:textId="2D49FA8F" w:rsidR="00BA0376" w:rsidRPr="009C29A6" w:rsidRDefault="00BA0376" w:rsidP="00613E6B">
      <w:pPr>
        <w:pStyle w:val="NoSpacing"/>
        <w:rPr>
          <w:lang w:val="en-GB"/>
        </w:rPr>
      </w:pPr>
      <w:r w:rsidRPr="00963830">
        <w:rPr>
          <w:rStyle w:val="FootnoteReference"/>
        </w:rPr>
        <w:footnoteRef/>
      </w:r>
      <w:r w:rsidRPr="009C29A6">
        <w:rPr>
          <w:lang w:val="en-GB"/>
        </w:rPr>
        <w:t xml:space="preserve"> Bv. ook het ejaculeren op het slachtoffer (</w:t>
      </w:r>
      <w:r w:rsidRPr="009C29A6">
        <w:rPr>
          <w:color w:val="000000" w:themeColor="text1"/>
          <w:lang w:val="en-GB"/>
        </w:rPr>
        <w:t xml:space="preserve">Court of Appeal (VK), 14 december 2006, R. v. Farrar, </w:t>
      </w:r>
      <w:r w:rsidRPr="009C29A6">
        <w:rPr>
          <w:i/>
          <w:color w:val="000000" w:themeColor="text1"/>
          <w:lang w:val="en-GB"/>
        </w:rPr>
        <w:t>EWCA Crim,</w:t>
      </w:r>
      <w:r w:rsidRPr="009C29A6">
        <w:rPr>
          <w:color w:val="000000" w:themeColor="text1"/>
          <w:lang w:val="en-GB"/>
        </w:rPr>
        <w:t xml:space="preserve"> 3261</w:t>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819; J. HORDER, </w:t>
      </w:r>
      <w:r w:rsidRPr="009C29A6">
        <w:rPr>
          <w:i/>
          <w:lang w:val="en-GB"/>
        </w:rPr>
        <w:t>Ashworth’s Principles of Criminal Law</w:t>
      </w:r>
      <w:r w:rsidRPr="009C29A6">
        <w:rPr>
          <w:lang w:val="en-GB"/>
        </w:rPr>
        <w:t>, Oxford (VK), Oxford University Press, 2019, 350.</w:t>
      </w:r>
    </w:p>
  </w:footnote>
  <w:footnote w:id="394">
    <w:p w14:paraId="3DE044C6" w14:textId="46E263DC" w:rsidR="00BA0376" w:rsidRPr="009C29A6" w:rsidRDefault="00BA0376" w:rsidP="00613E6B">
      <w:pPr>
        <w:pStyle w:val="NoSpacing"/>
        <w:rPr>
          <w:lang w:val="en-GB"/>
        </w:rPr>
      </w:pPr>
      <w:r w:rsidRPr="00963830">
        <w:rPr>
          <w:rStyle w:val="FootnoteReference"/>
        </w:rPr>
        <w:footnoteRef/>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816-818; J. HORDER, </w:t>
      </w:r>
      <w:r w:rsidRPr="009C29A6">
        <w:rPr>
          <w:i/>
          <w:lang w:val="en-GB"/>
        </w:rPr>
        <w:t>Ashworth’s Principles of Criminal Law</w:t>
      </w:r>
      <w:r w:rsidRPr="009C29A6">
        <w:rPr>
          <w:lang w:val="en-GB"/>
        </w:rPr>
        <w:t>, Oxford (VK), Oxford University Press, 2019, 351.</w:t>
      </w:r>
    </w:p>
  </w:footnote>
  <w:footnote w:id="395">
    <w:p w14:paraId="48E1B19F" w14:textId="3F9F4E41" w:rsidR="00BA0376" w:rsidRPr="009C29A6" w:rsidRDefault="00BA0376" w:rsidP="00613E6B">
      <w:pPr>
        <w:pStyle w:val="NoSpacing"/>
        <w:rPr>
          <w:lang w:val="en-GB"/>
        </w:rPr>
      </w:pPr>
      <w:r w:rsidRPr="00963830">
        <w:rPr>
          <w:rStyle w:val="FootnoteReference"/>
        </w:rPr>
        <w:footnoteRef/>
      </w:r>
      <w:r w:rsidRPr="009C29A6">
        <w:rPr>
          <w:lang w:val="en-GB"/>
        </w:rPr>
        <w:t xml:space="preserve"> Court of Appeal (VK) 1 februari 2005, R. v. H, </w:t>
      </w:r>
      <w:r w:rsidRPr="009C29A6">
        <w:rPr>
          <w:i/>
          <w:lang w:val="en-GB"/>
        </w:rPr>
        <w:t>EWCA Crim</w:t>
      </w:r>
      <w:r w:rsidRPr="009C29A6">
        <w:rPr>
          <w:lang w:val="en-GB"/>
        </w:rPr>
        <w:t xml:space="preserve">, 732; D. ORMEROD en K. LAIRD, </w:t>
      </w:r>
      <w:r w:rsidRPr="009C29A6">
        <w:rPr>
          <w:i/>
          <w:lang w:val="en-GB"/>
        </w:rPr>
        <w:t>Smith, Hogan, &amp; Ormerod’s Criminal Law</w:t>
      </w:r>
      <w:r w:rsidRPr="009C29A6">
        <w:rPr>
          <w:lang w:val="en-GB"/>
        </w:rPr>
        <w:t xml:space="preserve">, Oxford (VK), Oxford University Press, 2021, 816-818; J. HORDER, </w:t>
      </w:r>
      <w:r w:rsidRPr="009C29A6">
        <w:rPr>
          <w:i/>
          <w:lang w:val="en-GB"/>
        </w:rPr>
        <w:t>Ashworth’s Principles of Criminal Law</w:t>
      </w:r>
      <w:r w:rsidRPr="009C29A6">
        <w:rPr>
          <w:lang w:val="en-GB"/>
        </w:rPr>
        <w:t>, Oxford (VK), Oxford University Press, 2019, 352.</w:t>
      </w:r>
    </w:p>
  </w:footnote>
  <w:footnote w:id="396">
    <w:p w14:paraId="1542F208" w14:textId="0E56391A"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Voor het antwoord op de eerste vraag wordt enkel gekeken naar de desbetreffende handeling. Hierbij wordt abstractie gemaakt van bijvoorbeeld de omstandigheden en het doel van de handeling. Indien het antwoord op de eerste vraag positief is, wordt overgegaan naar de volgende vraag. Is het antwoord negatief, dan zal deze handeling hoe dan ook als niet seksueel worden opgevat. Het antwoord op de tweede vraag zal positief zijn wanneer de handeling van nature en dus in ieder geval seksueel is. Daarnaast kan het antwoord ook positief zijn indien de handeling seksueel is “geworden” omwille van de omstandigheden of o.g.v. het doel ervan. Zie: </w:t>
      </w:r>
      <w:r w:rsidRPr="00963830">
        <w:t xml:space="preserve">Court of Appeal (VK) 1 februari 2005, R. v. H (Karl Anthony), </w:t>
      </w:r>
      <w:r w:rsidRPr="00963830">
        <w:rPr>
          <w:i/>
        </w:rPr>
        <w:t>EWCA Crim</w:t>
      </w:r>
      <w:r w:rsidRPr="00963830">
        <w:t xml:space="preserve">, 732; D. ORMEROD en K. LAIRD, </w:t>
      </w:r>
      <w:r w:rsidRPr="00963830">
        <w:rPr>
          <w:i/>
        </w:rPr>
        <w:t>Smith, Hogan, &amp; Ormerod’s Criminal Law</w:t>
      </w:r>
      <w:r w:rsidRPr="00963830">
        <w:t xml:space="preserve">, Oxford (VK), Oxford University Press, 2021, 816-818; J. HORDER, </w:t>
      </w:r>
      <w:r w:rsidRPr="00963830">
        <w:rPr>
          <w:i/>
        </w:rPr>
        <w:t>Ashworth’s Principles of Criminal Law</w:t>
      </w:r>
      <w:r w:rsidRPr="00963830">
        <w:t xml:space="preserve">, Oxford (VK), Oxford University Press, 2019, 351-352; M.J. ALLEN en I. EDWARDS, </w:t>
      </w:r>
      <w:r w:rsidRPr="00963830">
        <w:rPr>
          <w:i/>
        </w:rPr>
        <w:t>Criminal Law</w:t>
      </w:r>
      <w:r w:rsidRPr="00963830">
        <w:t>, Oxford (VK), Oxford University Press, 2021, 500.</w:t>
      </w:r>
    </w:p>
  </w:footnote>
  <w:footnote w:id="397">
    <w:p w14:paraId="7E2B6537" w14:textId="0AF9EBF1" w:rsidR="00BA0376" w:rsidRPr="009C29A6" w:rsidRDefault="00BA0376" w:rsidP="00963830">
      <w:pPr>
        <w:rPr>
          <w:sz w:val="16"/>
          <w:szCs w:val="16"/>
          <w:lang w:val="en-GB"/>
        </w:rPr>
      </w:pPr>
      <w:r w:rsidRPr="00963830">
        <w:rPr>
          <w:rStyle w:val="FootnoteReference"/>
          <w:sz w:val="16"/>
          <w:szCs w:val="16"/>
        </w:rPr>
        <w:footnoteRef/>
      </w:r>
      <w:r w:rsidRPr="00963830">
        <w:rPr>
          <w:sz w:val="16"/>
          <w:szCs w:val="16"/>
        </w:rPr>
        <w:t xml:space="preserve"> </w:t>
      </w:r>
      <w:r w:rsidRPr="00963830">
        <w:rPr>
          <w:color w:val="000000" w:themeColor="text1"/>
          <w:sz w:val="16"/>
          <w:szCs w:val="16"/>
        </w:rPr>
        <w:t xml:space="preserve">In de doctrine wordt bijvoorbeeld gewezen op de toepassing van deze voorwaarde i.g.v. een </w:t>
      </w:r>
      <w:r w:rsidRPr="00963830">
        <w:rPr>
          <w:i/>
          <w:color w:val="000000" w:themeColor="text1"/>
          <w:sz w:val="16"/>
          <w:szCs w:val="16"/>
        </w:rPr>
        <w:t xml:space="preserve">fetisj </w:t>
      </w:r>
      <w:r w:rsidRPr="00963830">
        <w:rPr>
          <w:color w:val="000000" w:themeColor="text1"/>
          <w:sz w:val="16"/>
          <w:szCs w:val="16"/>
        </w:rPr>
        <w:t xml:space="preserve">van de dader. Hoe minder een bepaalde gedraging openlijk seksueel is, hoe minder de kans dat dit als seksueel zal worden beschouwd in de zin de SOA. </w:t>
      </w:r>
      <w:r w:rsidRPr="00963830">
        <w:rPr>
          <w:sz w:val="16"/>
          <w:szCs w:val="16"/>
        </w:rPr>
        <w:t xml:space="preserve">Bijvoorbeeld i.g.v. een schoenenfetisj, zal het uitdoen van iemands schoen wellicht een gedraging zijn die door een redelijk persoon geacht wordt niet seksueel te kunnen zijn. </w:t>
      </w:r>
      <w:r w:rsidRPr="009C29A6">
        <w:rPr>
          <w:sz w:val="16"/>
          <w:szCs w:val="16"/>
          <w:lang w:val="en-GB"/>
        </w:rPr>
        <w:t xml:space="preserve">D. ORMEROD en K. LAIRD, </w:t>
      </w:r>
      <w:r w:rsidRPr="009C29A6">
        <w:rPr>
          <w:i/>
          <w:sz w:val="16"/>
          <w:szCs w:val="16"/>
          <w:lang w:val="en-GB"/>
        </w:rPr>
        <w:t>Smith, Hogan, &amp; Ormerod’s Criminal Law</w:t>
      </w:r>
      <w:r w:rsidRPr="009C29A6">
        <w:rPr>
          <w:sz w:val="16"/>
          <w:szCs w:val="16"/>
          <w:lang w:val="en-GB"/>
        </w:rPr>
        <w:t>, Oxford (VK), Oxford University Press, 2021, 818; CROWN PROSECUTION SERVICE (CPS), “Rape and Sexual Offences - Overview and index of 2021 updated guidance”, www.cps.gov.uk/legal-guidance/rape-and-sexual-offences-overview-and-index-2021-updated-guidance, chapter 7 (consultatie 17 april 2023).</w:t>
      </w:r>
    </w:p>
  </w:footnote>
  <w:footnote w:id="398">
    <w:p w14:paraId="4E89EBB7" w14:textId="3B532549" w:rsidR="00BA0376" w:rsidRPr="009C29A6" w:rsidRDefault="00BA0376" w:rsidP="00613E6B">
      <w:pPr>
        <w:pStyle w:val="NoSpacing"/>
        <w:rPr>
          <w:color w:val="000000" w:themeColor="text1"/>
          <w:lang w:val="en-GB"/>
        </w:rPr>
      </w:pPr>
      <w:r w:rsidRPr="00963830">
        <w:rPr>
          <w:rStyle w:val="FootnoteReference"/>
          <w:color w:val="000000" w:themeColor="text1"/>
        </w:rPr>
        <w:footnoteRef/>
      </w:r>
      <w:r w:rsidRPr="00963830">
        <w:rPr>
          <w:color w:val="000000" w:themeColor="text1"/>
        </w:rPr>
        <w:t xml:space="preserve"> Zo werd bv. geoordeeld dat de gedragingen van de dader die met een gewelddadige eerder dan seksuele insteek het slachtoffer had vastgebonden en waarvan de onderbroek “gevallen” was, seksueel waren (Court of Appeal (VK) 2006, R. v. AJ, </w:t>
      </w:r>
      <w:r w:rsidRPr="00963830">
        <w:rPr>
          <w:i/>
          <w:color w:val="000000" w:themeColor="text1"/>
        </w:rPr>
        <w:t>EWCA Crim</w:t>
      </w:r>
      <w:r w:rsidRPr="00963830">
        <w:rPr>
          <w:color w:val="000000" w:themeColor="text1"/>
        </w:rPr>
        <w:t xml:space="preserve">, 2956). In een andere zaak had een man op gewelddadige wijze diens vinger ingebracht in de vagina van een vrouw, ook dit werd aanzien als seksueel (Court of Appeal (VK) 18 oktober 2006, R. v. Hill, </w:t>
      </w:r>
      <w:r w:rsidRPr="00963830">
        <w:rPr>
          <w:i/>
          <w:color w:val="000000" w:themeColor="text1"/>
        </w:rPr>
        <w:t>EWCA Crim</w:t>
      </w:r>
      <w:r w:rsidRPr="00963830">
        <w:rPr>
          <w:color w:val="000000" w:themeColor="text1"/>
        </w:rPr>
        <w:t xml:space="preserve">, 2575). </w:t>
      </w:r>
      <w:r w:rsidRPr="009C29A6">
        <w:rPr>
          <w:color w:val="000000" w:themeColor="text1"/>
          <w:lang w:val="en-GB"/>
        </w:rPr>
        <w:t>Zie ook:</w:t>
      </w:r>
      <w:r w:rsidRPr="009C29A6">
        <w:rPr>
          <w:lang w:val="en-GB"/>
        </w:rPr>
        <w:t xml:space="preserve"> D. ORMEROD en K. LAIRD, </w:t>
      </w:r>
      <w:r w:rsidRPr="009C29A6">
        <w:rPr>
          <w:i/>
          <w:lang w:val="en-GB"/>
        </w:rPr>
        <w:t>Smith, Hogan, &amp; Ormerod’s Criminal Law</w:t>
      </w:r>
      <w:r w:rsidRPr="009C29A6">
        <w:rPr>
          <w:lang w:val="en-GB"/>
        </w:rPr>
        <w:t>, Oxford (VK), Oxford University Press, 2021, 816-818.</w:t>
      </w:r>
    </w:p>
  </w:footnote>
  <w:footnote w:id="399">
    <w:p w14:paraId="5A6C907F" w14:textId="2CC69B5E" w:rsidR="00BA0376" w:rsidRPr="009C29A6" w:rsidRDefault="00BA0376" w:rsidP="00613E6B">
      <w:pPr>
        <w:pStyle w:val="NoSpacing"/>
        <w:rPr>
          <w:lang w:val="en-GB"/>
        </w:rPr>
      </w:pPr>
      <w:r w:rsidRPr="00963830">
        <w:rPr>
          <w:rStyle w:val="FootnoteReference"/>
        </w:rPr>
        <w:footnoteRef/>
      </w:r>
      <w:r w:rsidRPr="009C29A6">
        <w:rPr>
          <w:lang w:val="en-GB"/>
        </w:rPr>
        <w:t xml:space="preserve"> D. ORMEROD en K. LAIRD, </w:t>
      </w:r>
      <w:r w:rsidRPr="009C29A6">
        <w:rPr>
          <w:i/>
          <w:lang w:val="en-GB"/>
        </w:rPr>
        <w:t>Smith, Hogan, &amp; Ormerod’s Criminal Law</w:t>
      </w:r>
      <w:r w:rsidRPr="009C29A6">
        <w:rPr>
          <w:lang w:val="en-GB"/>
        </w:rPr>
        <w:t>, Oxford (VK), Oxford University Press, 2021, 829-830.</w:t>
      </w:r>
    </w:p>
  </w:footnote>
  <w:footnote w:id="400">
    <w:p w14:paraId="22E8700C" w14:textId="09B6483B" w:rsidR="00BA0376" w:rsidRPr="009C29A6" w:rsidRDefault="00BA0376" w:rsidP="00613E6B">
      <w:pPr>
        <w:pStyle w:val="NoSpacing"/>
        <w:rPr>
          <w:lang w:val="en-GB"/>
        </w:rPr>
      </w:pPr>
      <w:r w:rsidRPr="00963830">
        <w:rPr>
          <w:rStyle w:val="FootnoteReference"/>
        </w:rPr>
        <w:footnoteRef/>
      </w:r>
      <w:r w:rsidRPr="009C29A6">
        <w:rPr>
          <w:lang w:val="en-GB"/>
        </w:rPr>
        <w:t xml:space="preserve"> Court of Appeal (VK) 11 mei 2000, R. v. Tabassum, </w:t>
      </w:r>
      <w:r w:rsidRPr="009C29A6">
        <w:rPr>
          <w:i/>
          <w:iCs/>
          <w:lang w:val="en-GB"/>
        </w:rPr>
        <w:t>Crim LR</w:t>
      </w:r>
      <w:r w:rsidRPr="009C29A6">
        <w:rPr>
          <w:lang w:val="en-GB"/>
        </w:rPr>
        <w:t>, 686.</w:t>
      </w:r>
    </w:p>
  </w:footnote>
  <w:footnote w:id="401">
    <w:p w14:paraId="4A1F43B1" w14:textId="0FE22507" w:rsidR="00BA0376" w:rsidRPr="009C29A6" w:rsidRDefault="00BA0376" w:rsidP="00613E6B">
      <w:pPr>
        <w:pStyle w:val="NoSpacing"/>
        <w:rPr>
          <w:lang w:val="en-GB"/>
        </w:rPr>
      </w:pPr>
      <w:r w:rsidRPr="00963830">
        <w:rPr>
          <w:rStyle w:val="FootnoteReference"/>
        </w:rPr>
        <w:footnoteRef/>
      </w:r>
      <w:r w:rsidRPr="009C29A6">
        <w:rPr>
          <w:lang w:val="en-GB"/>
        </w:rPr>
        <w:t xml:space="preserve"> Court of Appeal (VK) 12 februari 2007, R. v. Heard, </w:t>
      </w:r>
      <w:r w:rsidRPr="009C29A6">
        <w:rPr>
          <w:i/>
          <w:lang w:val="en-GB"/>
        </w:rPr>
        <w:t>EWCA Crim</w:t>
      </w:r>
      <w:r w:rsidRPr="009C29A6">
        <w:rPr>
          <w:lang w:val="en-GB"/>
        </w:rPr>
        <w:t>, 125.</w:t>
      </w:r>
    </w:p>
  </w:footnote>
  <w:footnote w:id="402">
    <w:p w14:paraId="49B2FDF2" w14:textId="2E9DBE18"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Het gebrek aan toestemming in hoofde van het slachtoffer staat centraal bij elk van de vier seksuele misdrijven naar Brits recht die in deze masterscriptie zullen worden toegelicht, zoals hieronder nog zal blijken. Hetgeen over (het gebrek aan) toestemming wordt uiteengezet onder het misdrijf van </w:t>
      </w:r>
      <w:r w:rsidRPr="00963830">
        <w:rPr>
          <w:i/>
          <w:color w:val="000000" w:themeColor="text1"/>
        </w:rPr>
        <w:t>sexual assault</w:t>
      </w:r>
      <w:r w:rsidRPr="00963830">
        <w:rPr>
          <w:color w:val="000000" w:themeColor="text1"/>
        </w:rPr>
        <w:t xml:space="preserve"> gaat dus ook op voor de andere drie misdrijven.</w:t>
      </w:r>
    </w:p>
  </w:footnote>
  <w:footnote w:id="403">
    <w:p w14:paraId="3A125F93" w14:textId="2AF51D25"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3, (1), (c) SOA. </w:t>
      </w:r>
    </w:p>
  </w:footnote>
  <w:footnote w:id="404">
    <w:p w14:paraId="28346A39" w14:textId="4C4D2799"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74 SOA.</w:t>
      </w:r>
    </w:p>
  </w:footnote>
  <w:footnote w:id="405">
    <w:p w14:paraId="1D50BEC9" w14:textId="6574F11D" w:rsidR="00BA0376" w:rsidRPr="00963830" w:rsidRDefault="00BA0376" w:rsidP="00613E6B">
      <w:pPr>
        <w:pStyle w:val="NoSpacing"/>
      </w:pPr>
      <w:r w:rsidRPr="00963830">
        <w:rPr>
          <w:rStyle w:val="FootnoteReference"/>
        </w:rPr>
        <w:footnoteRef/>
      </w:r>
      <w:r w:rsidRPr="009C29A6">
        <w:rPr>
          <w:lang w:val="en-GB"/>
        </w:rPr>
        <w:t xml:space="preserve"> Zogenaamde “evidential presumptions”. </w:t>
      </w:r>
      <w:r w:rsidRPr="00963830">
        <w:t xml:space="preserve">Zie </w:t>
      </w:r>
      <w:r w:rsidRPr="00963830">
        <w:rPr>
          <w:i/>
        </w:rPr>
        <w:t>section</w:t>
      </w:r>
      <w:r w:rsidRPr="00963830">
        <w:t xml:space="preserve"> 75 SOA. </w:t>
      </w:r>
    </w:p>
  </w:footnote>
  <w:footnote w:id="406">
    <w:p w14:paraId="15FC07CE" w14:textId="2140B168" w:rsidR="00BA0376" w:rsidRPr="00963830" w:rsidRDefault="00BA0376" w:rsidP="00613E6B">
      <w:pPr>
        <w:pStyle w:val="NoSpacing"/>
      </w:pPr>
      <w:r w:rsidRPr="00963830">
        <w:rPr>
          <w:rStyle w:val="FootnoteReference"/>
        </w:rPr>
        <w:footnoteRef/>
      </w:r>
      <w:r w:rsidRPr="00963830">
        <w:t xml:space="preserve"> Zogenaamde “conclusive presumptions”. Zie </w:t>
      </w:r>
      <w:r w:rsidRPr="00963830">
        <w:rPr>
          <w:i/>
        </w:rPr>
        <w:t>section</w:t>
      </w:r>
      <w:r w:rsidRPr="00963830">
        <w:t xml:space="preserve"> 76 SOA.</w:t>
      </w:r>
    </w:p>
  </w:footnote>
  <w:footnote w:id="407">
    <w:p w14:paraId="19D9B3BF" w14:textId="01EDE42F"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rFonts w:eastAsia="Times New Roman" w:cs="Times New Roman"/>
          <w:color w:val="000000"/>
          <w:lang w:val="en-GB" w:eastAsia="nl-NL"/>
        </w:rPr>
        <w:t xml:space="preserve">Court of Appeal (VK) 11 juli 2007, R. v. Jheeta, </w:t>
      </w:r>
      <w:r w:rsidRPr="009C29A6">
        <w:rPr>
          <w:rFonts w:eastAsia="Times New Roman" w:cs="Times New Roman"/>
          <w:i/>
          <w:iCs/>
          <w:color w:val="000000"/>
          <w:lang w:val="en-GB" w:eastAsia="nl-NL"/>
        </w:rPr>
        <w:t>EWCA Crim,</w:t>
      </w:r>
      <w:r w:rsidRPr="009C29A6">
        <w:rPr>
          <w:rFonts w:eastAsia="Times New Roman" w:cs="Times New Roman"/>
          <w:color w:val="000000"/>
          <w:lang w:val="en-GB" w:eastAsia="nl-NL"/>
        </w:rPr>
        <w:t xml:space="preserve"> 1699</w:t>
      </w:r>
      <w:r w:rsidRPr="009C29A6">
        <w:rPr>
          <w:lang w:val="en-GB"/>
        </w:rPr>
        <w:t xml:space="preserve">; </w:t>
      </w:r>
      <w:r w:rsidRPr="009C29A6">
        <w:rPr>
          <w:rFonts w:eastAsia="Times New Roman" w:cs="Times New Roman"/>
          <w:color w:val="000000"/>
          <w:lang w:val="en-GB" w:eastAsia="nl-NL"/>
        </w:rPr>
        <w:t>gh Court of Justice</w:t>
      </w:r>
      <w:r w:rsidRPr="009C29A6">
        <w:rPr>
          <w:color w:val="000000"/>
          <w:lang w:val="en-GB"/>
        </w:rPr>
        <w:t xml:space="preserve"> </w:t>
      </w:r>
      <w:r w:rsidRPr="009C29A6">
        <w:rPr>
          <w:rFonts w:eastAsia="Times New Roman" w:cs="Times New Roman"/>
          <w:color w:val="000000"/>
          <w:lang w:val="en-GB" w:eastAsia="nl-NL"/>
        </w:rPr>
        <w:t xml:space="preserve">(VK) 2 november 2011, Assange v Swedish Prosecution Authority, </w:t>
      </w:r>
      <w:r w:rsidRPr="009C29A6">
        <w:rPr>
          <w:rFonts w:eastAsia="Times New Roman" w:cs="Times New Roman"/>
          <w:i/>
          <w:iCs/>
          <w:color w:val="000000"/>
          <w:lang w:val="en-GB" w:eastAsia="nl-NL"/>
        </w:rPr>
        <w:t>EWHC,</w:t>
      </w:r>
      <w:r w:rsidRPr="009C29A6">
        <w:rPr>
          <w:rFonts w:eastAsia="Times New Roman" w:cs="Times New Roman"/>
          <w:color w:val="000000"/>
          <w:lang w:val="en-GB" w:eastAsia="nl-NL"/>
        </w:rPr>
        <w:t xml:space="preserve"> 2849</w:t>
      </w:r>
      <w:r w:rsidRPr="009C29A6">
        <w:rPr>
          <w:lang w:val="en-GB"/>
        </w:rPr>
        <w:t xml:space="preserve">; I. GLENDINNING., “Should mistaken consent still be consent? In defence of an incremental understanding of consent in the Sexual Offences Act 2003”, </w:t>
      </w:r>
      <w:r w:rsidRPr="009C29A6">
        <w:rPr>
          <w:i/>
          <w:lang w:val="en-GB"/>
        </w:rPr>
        <w:t xml:space="preserve">Journal of Criminal Law </w:t>
      </w:r>
      <w:r w:rsidRPr="009C29A6">
        <w:rPr>
          <w:lang w:val="en-GB"/>
        </w:rPr>
        <w:t xml:space="preserve">2021, afl. 85(3), (223) 226; J. HORDER, </w:t>
      </w:r>
      <w:r w:rsidRPr="009C29A6">
        <w:rPr>
          <w:i/>
          <w:lang w:val="en-GB"/>
        </w:rPr>
        <w:t>Ashworth’s Principles of Criminal Law</w:t>
      </w:r>
      <w:r w:rsidRPr="009C29A6">
        <w:rPr>
          <w:lang w:val="en-GB"/>
        </w:rPr>
        <w:t>, Oxford (VK), Oxford University Press, 2019, 353-365.</w:t>
      </w:r>
    </w:p>
  </w:footnote>
  <w:footnote w:id="408">
    <w:p w14:paraId="6563A227" w14:textId="1F000F86"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rFonts w:eastAsia="Times New Roman" w:cs="Times New Roman"/>
          <w:color w:val="000000"/>
          <w:lang w:val="en-GB" w:eastAsia="nl-NL"/>
        </w:rPr>
        <w:t>High Court of Justice</w:t>
      </w:r>
      <w:r w:rsidRPr="009C29A6">
        <w:rPr>
          <w:color w:val="000000"/>
          <w:lang w:val="en-GB"/>
        </w:rPr>
        <w:t xml:space="preserve"> </w:t>
      </w:r>
      <w:r w:rsidRPr="009C29A6">
        <w:rPr>
          <w:rFonts w:eastAsia="Times New Roman" w:cs="Times New Roman"/>
          <w:color w:val="000000"/>
          <w:lang w:val="en-GB" w:eastAsia="nl-NL"/>
        </w:rPr>
        <w:t xml:space="preserve">(VK) 2 november 2011, Assange v Swedish Prosecution Authority, </w:t>
      </w:r>
      <w:r w:rsidRPr="009C29A6">
        <w:rPr>
          <w:rFonts w:eastAsia="Times New Roman" w:cs="Times New Roman"/>
          <w:i/>
          <w:iCs/>
          <w:color w:val="000000"/>
          <w:lang w:val="en-GB" w:eastAsia="nl-NL"/>
        </w:rPr>
        <w:t>EWHC,</w:t>
      </w:r>
      <w:r w:rsidRPr="009C29A6">
        <w:rPr>
          <w:rFonts w:eastAsia="Times New Roman" w:cs="Times New Roman"/>
          <w:color w:val="000000"/>
          <w:lang w:val="en-GB" w:eastAsia="nl-NL"/>
        </w:rPr>
        <w:t xml:space="preserve"> 2849; Court of Appeal (VK) 11 juli 2007, R. v. Jheeta, </w:t>
      </w:r>
      <w:r w:rsidRPr="009C29A6">
        <w:rPr>
          <w:rFonts w:eastAsia="Times New Roman" w:cs="Times New Roman"/>
          <w:i/>
          <w:iCs/>
          <w:color w:val="000000"/>
          <w:lang w:val="en-GB" w:eastAsia="nl-NL"/>
        </w:rPr>
        <w:t>EWCA Crim,</w:t>
      </w:r>
      <w:r w:rsidRPr="009C29A6">
        <w:rPr>
          <w:rFonts w:eastAsia="Times New Roman" w:cs="Times New Roman"/>
          <w:color w:val="000000"/>
          <w:lang w:val="en-GB" w:eastAsia="nl-NL"/>
        </w:rPr>
        <w:t xml:space="preserve"> 1699</w:t>
      </w:r>
      <w:r w:rsidRPr="009C29A6">
        <w:rPr>
          <w:lang w:val="en-GB"/>
        </w:rPr>
        <w:t xml:space="preserve">; J. HORDER, </w:t>
      </w:r>
      <w:r w:rsidRPr="009C29A6">
        <w:rPr>
          <w:i/>
          <w:lang w:val="en-GB"/>
        </w:rPr>
        <w:t>Ashworth’s Principles of Criminal Law</w:t>
      </w:r>
      <w:r w:rsidRPr="009C29A6">
        <w:rPr>
          <w:lang w:val="en-GB"/>
        </w:rPr>
        <w:t xml:space="preserve">, Oxford (VK), Oxford University Press, 2019, 354; M.J. ALLEN en I. EDWARDS, </w:t>
      </w:r>
      <w:r w:rsidRPr="009C29A6">
        <w:rPr>
          <w:i/>
          <w:lang w:val="en-GB"/>
        </w:rPr>
        <w:t>Criminal Law</w:t>
      </w:r>
      <w:r w:rsidRPr="009C29A6">
        <w:rPr>
          <w:lang w:val="en-GB"/>
        </w:rPr>
        <w:t>, Oxford (VK), Oxford University Press, 2021, 485-486.</w:t>
      </w:r>
    </w:p>
  </w:footnote>
  <w:footnote w:id="409">
    <w:p w14:paraId="3A509E97" w14:textId="56793CB3"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76, (2), (a) en (b) SOA; C. TAYLOR, </w:t>
      </w:r>
      <w:r w:rsidRPr="009C29A6">
        <w:rPr>
          <w:i/>
          <w:lang w:val="en-GB"/>
        </w:rPr>
        <w:t>Criminal Law</w:t>
      </w:r>
      <w:r w:rsidRPr="009C29A6">
        <w:rPr>
          <w:lang w:val="en-GB"/>
        </w:rPr>
        <w:t xml:space="preserve">, London (VK), Thomson Reuters, 2018, 500; M.J. ALLEN en I. EDWARDS, </w:t>
      </w:r>
      <w:r w:rsidRPr="009C29A6">
        <w:rPr>
          <w:i/>
          <w:lang w:val="en-GB"/>
        </w:rPr>
        <w:t>Criminal Law</w:t>
      </w:r>
      <w:r w:rsidRPr="009C29A6">
        <w:rPr>
          <w:lang w:val="en-GB"/>
        </w:rPr>
        <w:t>, Oxford (VK), Oxford University Press, 2021, 485.</w:t>
      </w:r>
    </w:p>
  </w:footnote>
  <w:footnote w:id="410">
    <w:p w14:paraId="0A5A71C9" w14:textId="7D6079C2" w:rsidR="00BA0376" w:rsidRPr="009C29A6" w:rsidRDefault="00BA0376" w:rsidP="00613E6B">
      <w:pPr>
        <w:pStyle w:val="NoSpacing"/>
        <w:rPr>
          <w:lang w:val="en-GB"/>
        </w:rPr>
      </w:pPr>
      <w:r w:rsidRPr="00963830">
        <w:rPr>
          <w:rStyle w:val="FootnoteReference"/>
        </w:rPr>
        <w:footnoteRef/>
      </w:r>
      <w:r w:rsidRPr="00963830">
        <w:t xml:space="preserve"> Met de relevante gedraging wordt verwezen naar alle constitutieve bestanddelen van het misdrijf, behalve de afwezigheid van toestemming. </w:t>
      </w:r>
      <w:r w:rsidRPr="009C29A6">
        <w:rPr>
          <w:lang w:val="en-GB"/>
        </w:rPr>
        <w:t xml:space="preserve">Dit blijkt uit </w:t>
      </w:r>
      <w:r w:rsidRPr="009C29A6">
        <w:rPr>
          <w:i/>
          <w:lang w:val="en-GB"/>
        </w:rPr>
        <w:t>section</w:t>
      </w:r>
      <w:r w:rsidRPr="009C29A6">
        <w:rPr>
          <w:lang w:val="en-GB"/>
        </w:rPr>
        <w:t xml:space="preserve"> 77 SOA.</w:t>
      </w:r>
    </w:p>
  </w:footnote>
  <w:footnote w:id="411">
    <w:p w14:paraId="3A2B3505" w14:textId="626C6DAE" w:rsidR="00BA0376" w:rsidRPr="009C29A6" w:rsidRDefault="00BA0376" w:rsidP="00613E6B">
      <w:pPr>
        <w:pStyle w:val="NoSpacing"/>
        <w:rPr>
          <w:color w:val="000000" w:themeColor="text1"/>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76, (2), (a) SOA luidt als volgt: </w:t>
      </w:r>
      <w:r w:rsidRPr="009C29A6">
        <w:rPr>
          <w:i/>
          <w:color w:val="000000" w:themeColor="text1"/>
          <w:lang w:val="en-GB"/>
        </w:rPr>
        <w:t>“(…) the defendant intentionally deceived the complainant as to the nature or purpose of the relevant act”</w:t>
      </w:r>
      <w:r w:rsidRPr="009C29A6">
        <w:rPr>
          <w:color w:val="000000" w:themeColor="text1"/>
          <w:lang w:val="en-GB"/>
        </w:rPr>
        <w:t>.</w:t>
      </w:r>
    </w:p>
  </w:footnote>
  <w:footnote w:id="412">
    <w:p w14:paraId="31799456" w14:textId="671D9B73" w:rsidR="00BA0376" w:rsidRPr="009C29A6" w:rsidRDefault="00BA0376" w:rsidP="00F16DFD">
      <w:pPr>
        <w:jc w:val="left"/>
        <w:rPr>
          <w:sz w:val="16"/>
          <w:szCs w:val="16"/>
          <w:lang w:val="en-GB"/>
        </w:rPr>
      </w:pPr>
      <w:r w:rsidRPr="00963830">
        <w:rPr>
          <w:rStyle w:val="FootnoteReference"/>
          <w:sz w:val="16"/>
          <w:szCs w:val="16"/>
        </w:rPr>
        <w:footnoteRef/>
      </w:r>
      <w:r w:rsidRPr="00963830">
        <w:rPr>
          <w:sz w:val="16"/>
          <w:szCs w:val="16"/>
        </w:rPr>
        <w:t xml:space="preserve"> </w:t>
      </w:r>
      <w:r w:rsidRPr="00963830">
        <w:rPr>
          <w:color w:val="000000" w:themeColor="text1"/>
          <w:sz w:val="16"/>
          <w:szCs w:val="16"/>
        </w:rPr>
        <w:t>Wanneer de dader het slachtoffer bijvoorbeeld voorhield dat bepaalde aanrakingen gebeurden met het oog op het bekomen van de nodige lichamelijke afmetingen voor een mogelijkse modellencarrière - terwijl deze aanrakingen in wezen gebeurden voor de seksuele bevrediging van de dader – werd het slachtoffer misleid m.b.t. het doel van de relevante gedraging (</w:t>
      </w:r>
      <w:r w:rsidRPr="00963830">
        <w:rPr>
          <w:sz w:val="16"/>
          <w:szCs w:val="16"/>
        </w:rPr>
        <w:t xml:space="preserve">Court of Appeal (VK), 3 augustus 2007, R. v. Piper, </w:t>
      </w:r>
      <w:r w:rsidRPr="00963830">
        <w:rPr>
          <w:i/>
          <w:iCs/>
          <w:color w:val="000000"/>
          <w:sz w:val="16"/>
          <w:szCs w:val="16"/>
        </w:rPr>
        <w:t>EWCA Crim,</w:t>
      </w:r>
      <w:r w:rsidRPr="00963830">
        <w:rPr>
          <w:color w:val="000000"/>
          <w:sz w:val="16"/>
          <w:szCs w:val="16"/>
        </w:rPr>
        <w:t xml:space="preserve"> 2151)</w:t>
      </w:r>
      <w:r w:rsidRPr="00963830">
        <w:rPr>
          <w:sz w:val="16"/>
          <w:szCs w:val="16"/>
        </w:rPr>
        <w:t xml:space="preserve">. </w:t>
      </w:r>
      <w:r w:rsidRPr="009C29A6">
        <w:rPr>
          <w:sz w:val="16"/>
          <w:szCs w:val="16"/>
          <w:lang w:val="en-GB"/>
        </w:rPr>
        <w:t xml:space="preserve">Zie ook: J. HORDER, </w:t>
      </w:r>
      <w:r w:rsidRPr="009C29A6">
        <w:rPr>
          <w:i/>
          <w:sz w:val="16"/>
          <w:szCs w:val="16"/>
          <w:lang w:val="en-GB"/>
        </w:rPr>
        <w:t>Ashworth’s Principles of Criminal Law</w:t>
      </w:r>
      <w:r w:rsidRPr="009C29A6">
        <w:rPr>
          <w:sz w:val="16"/>
          <w:szCs w:val="16"/>
          <w:lang w:val="en-GB"/>
        </w:rPr>
        <w:t>, Oxford (VK), Oxford University Press, 2019, 354.</w:t>
      </w:r>
    </w:p>
  </w:footnote>
  <w:footnote w:id="413">
    <w:p w14:paraId="41B78BDD" w14:textId="716089A8" w:rsidR="00BA0376" w:rsidRPr="009C29A6" w:rsidRDefault="00BA0376" w:rsidP="00613E6B">
      <w:pPr>
        <w:pStyle w:val="NoSpacing"/>
        <w:rPr>
          <w:lang w:val="en-GB"/>
        </w:rPr>
      </w:pPr>
      <w:r w:rsidRPr="00963830">
        <w:rPr>
          <w:rStyle w:val="FootnoteReference"/>
        </w:rPr>
        <w:footnoteRef/>
      </w:r>
      <w:r w:rsidRPr="009C29A6">
        <w:rPr>
          <w:lang w:val="en-GB"/>
        </w:rPr>
        <w:t xml:space="preserve"> C. TAYLOR, </w:t>
      </w:r>
      <w:r w:rsidRPr="009C29A6">
        <w:rPr>
          <w:i/>
          <w:lang w:val="en-GB"/>
        </w:rPr>
        <w:t>Criminal Law</w:t>
      </w:r>
      <w:r w:rsidRPr="009C29A6">
        <w:rPr>
          <w:lang w:val="en-GB"/>
        </w:rPr>
        <w:t xml:space="preserve">, London (VK), Thomson Reuters, 2018, 500-594; D. ORMEROD en K. LAIRD, </w:t>
      </w:r>
      <w:r w:rsidRPr="009C29A6">
        <w:rPr>
          <w:i/>
          <w:lang w:val="en-GB"/>
        </w:rPr>
        <w:t>Smith, Hogan, &amp; Ormerod’s Criminal Law,</w:t>
      </w:r>
      <w:r w:rsidRPr="009C29A6">
        <w:rPr>
          <w:lang w:val="en-GB"/>
        </w:rPr>
        <w:t xml:space="preserve"> Oxford (VK), Oxford University Press, 2021, 808-815; M.J. ALLEN en I. EDWARDS, </w:t>
      </w:r>
      <w:r w:rsidRPr="009C29A6">
        <w:rPr>
          <w:i/>
          <w:lang w:val="en-GB"/>
        </w:rPr>
        <w:t>Criminal Law</w:t>
      </w:r>
      <w:r w:rsidRPr="009C29A6">
        <w:rPr>
          <w:lang w:val="en-GB"/>
        </w:rPr>
        <w:t>, Oxford (VK), Oxford University Press, 2021, 486.</w:t>
      </w:r>
    </w:p>
  </w:footnote>
  <w:footnote w:id="414">
    <w:p w14:paraId="7076F126" w14:textId="67E2B942" w:rsidR="00BA0376" w:rsidRPr="00963830" w:rsidRDefault="00BA0376" w:rsidP="00613E6B">
      <w:pPr>
        <w:pStyle w:val="ListParagraph"/>
        <w:ind w:left="0"/>
        <w:rPr>
          <w:color w:val="000000" w:themeColor="text1"/>
          <w:sz w:val="16"/>
          <w:szCs w:val="16"/>
          <w:lang w:val="nl-NL"/>
        </w:rPr>
      </w:pPr>
      <w:r w:rsidRPr="00963830">
        <w:rPr>
          <w:rStyle w:val="FootnoteReference"/>
          <w:sz w:val="16"/>
          <w:szCs w:val="16"/>
        </w:rPr>
        <w:footnoteRef/>
      </w:r>
      <w:r w:rsidRPr="00963830">
        <w:rPr>
          <w:sz w:val="16"/>
          <w:szCs w:val="16"/>
        </w:rPr>
        <w:t xml:space="preserve"> Dit is met name het geval sinds </w:t>
      </w:r>
      <w:r w:rsidRPr="00963830">
        <w:rPr>
          <w:i/>
          <w:sz w:val="16"/>
          <w:szCs w:val="16"/>
        </w:rPr>
        <w:t xml:space="preserve">Monica </w:t>
      </w:r>
      <w:r w:rsidRPr="00963830">
        <w:rPr>
          <w:sz w:val="16"/>
          <w:szCs w:val="16"/>
        </w:rPr>
        <w:t xml:space="preserve">en </w:t>
      </w:r>
      <w:r w:rsidRPr="00963830">
        <w:rPr>
          <w:i/>
          <w:sz w:val="16"/>
          <w:szCs w:val="16"/>
        </w:rPr>
        <w:t xml:space="preserve">Lawrance </w:t>
      </w:r>
      <w:r w:rsidRPr="00963830">
        <w:rPr>
          <w:sz w:val="16"/>
          <w:szCs w:val="16"/>
        </w:rPr>
        <w:t xml:space="preserve">waarin werd gesteld dat misleidingen die niet vallen onder het onweerlegbaar vermoeden van </w:t>
      </w:r>
      <w:r w:rsidRPr="00963830">
        <w:rPr>
          <w:i/>
          <w:sz w:val="16"/>
          <w:szCs w:val="16"/>
        </w:rPr>
        <w:t>section</w:t>
      </w:r>
      <w:r w:rsidRPr="00963830">
        <w:rPr>
          <w:sz w:val="16"/>
          <w:szCs w:val="16"/>
        </w:rPr>
        <w:t xml:space="preserve"> 76 en dus moeten worden beoordeeld o.g.v. de definitie van toestemming in </w:t>
      </w:r>
      <w:r w:rsidRPr="00963830">
        <w:rPr>
          <w:i/>
          <w:sz w:val="16"/>
          <w:szCs w:val="16"/>
        </w:rPr>
        <w:t>section</w:t>
      </w:r>
      <w:r w:rsidRPr="00963830">
        <w:rPr>
          <w:sz w:val="16"/>
          <w:szCs w:val="16"/>
        </w:rPr>
        <w:t xml:space="preserve"> 74, ook betrekking moeten hebben op de aard of het doel van de gedraging of daar dichtbij moeten aanleunen. </w:t>
      </w:r>
      <w:r w:rsidRPr="009C29A6">
        <w:rPr>
          <w:sz w:val="16"/>
          <w:szCs w:val="16"/>
          <w:lang w:val="en-GB"/>
        </w:rPr>
        <w:t xml:space="preserve">Zie: </w:t>
      </w:r>
      <w:r w:rsidRPr="009C29A6">
        <w:rPr>
          <w:color w:val="000000"/>
          <w:sz w:val="16"/>
          <w:szCs w:val="16"/>
          <w:lang w:val="en-GB"/>
        </w:rPr>
        <w:t xml:space="preserve">High Court of Justice (VK) 14 december 2018, </w:t>
      </w:r>
      <w:r w:rsidRPr="009C29A6">
        <w:rPr>
          <w:sz w:val="16"/>
          <w:szCs w:val="16"/>
          <w:lang w:val="en-GB"/>
        </w:rPr>
        <w:t xml:space="preserve">R (on the application of Monica) v DPP (2018), </w:t>
      </w:r>
      <w:r w:rsidRPr="009C29A6">
        <w:rPr>
          <w:i/>
          <w:sz w:val="16"/>
          <w:szCs w:val="16"/>
          <w:lang w:val="en-GB"/>
        </w:rPr>
        <w:t>EWHC</w:t>
      </w:r>
      <w:r w:rsidRPr="009C29A6">
        <w:rPr>
          <w:sz w:val="16"/>
          <w:szCs w:val="16"/>
          <w:lang w:val="en-GB"/>
        </w:rPr>
        <w:t xml:space="preserve"> 3508; </w:t>
      </w:r>
      <w:r w:rsidRPr="009C29A6">
        <w:rPr>
          <w:color w:val="000000"/>
          <w:sz w:val="16"/>
          <w:szCs w:val="16"/>
          <w:lang w:val="en-GB"/>
        </w:rPr>
        <w:t xml:space="preserve">Court of Appeal (VK) 23 juli 2020, R. v. Lawrance, </w:t>
      </w:r>
      <w:r w:rsidRPr="009C29A6">
        <w:rPr>
          <w:i/>
          <w:iCs/>
          <w:color w:val="000000"/>
          <w:sz w:val="16"/>
          <w:szCs w:val="16"/>
          <w:lang w:val="en-GB"/>
        </w:rPr>
        <w:t>EWCA Crim,</w:t>
      </w:r>
      <w:r w:rsidRPr="009C29A6">
        <w:rPr>
          <w:color w:val="000000"/>
          <w:sz w:val="16"/>
          <w:szCs w:val="16"/>
          <w:lang w:val="en-GB"/>
        </w:rPr>
        <w:t xml:space="preserve"> 971; </w:t>
      </w:r>
      <w:r w:rsidRPr="009C29A6">
        <w:rPr>
          <w:sz w:val="16"/>
          <w:szCs w:val="16"/>
          <w:lang w:val="en-GB"/>
        </w:rPr>
        <w:t xml:space="preserve">D. ORMEROD en K. LAIRD, </w:t>
      </w:r>
      <w:r w:rsidRPr="009C29A6">
        <w:rPr>
          <w:i/>
          <w:sz w:val="16"/>
          <w:szCs w:val="16"/>
          <w:lang w:val="en-GB"/>
        </w:rPr>
        <w:t>Smith, Hogan, &amp; Ormerod’s Criminal Law,</w:t>
      </w:r>
      <w:r w:rsidRPr="009C29A6">
        <w:rPr>
          <w:sz w:val="16"/>
          <w:szCs w:val="16"/>
          <w:lang w:val="en-GB"/>
        </w:rPr>
        <w:t xml:space="preserve"> Oxford (VK), Oxford University Press, 2021, 811. </w:t>
      </w:r>
      <w:r w:rsidRPr="00963830">
        <w:rPr>
          <w:color w:val="000000" w:themeColor="text1"/>
          <w:sz w:val="16"/>
          <w:szCs w:val="16"/>
        </w:rPr>
        <w:t xml:space="preserve">Voornoemde rechtspraak wordt bekritiseerd omdat dit volgens sommigen zou impliceren dat wanneer de misleiding niet valt onder het onweerlegbaar vermoeden, de misleiding evenmin o.g.v. </w:t>
      </w:r>
      <w:r w:rsidRPr="00963830">
        <w:rPr>
          <w:i/>
          <w:color w:val="000000" w:themeColor="text1"/>
          <w:sz w:val="16"/>
          <w:szCs w:val="16"/>
        </w:rPr>
        <w:t>section</w:t>
      </w:r>
      <w:r w:rsidRPr="00963830">
        <w:rPr>
          <w:color w:val="000000" w:themeColor="text1"/>
          <w:sz w:val="16"/>
          <w:szCs w:val="16"/>
        </w:rPr>
        <w:t xml:space="preserve"> 74 zal kunnen betekenen dat er geen geldige toestemming in hoofde van het slachtoffer was. Dit zou ingaan tegen gevestigde rechtspraak sinds </w:t>
      </w:r>
      <w:r w:rsidRPr="00963830">
        <w:rPr>
          <w:i/>
          <w:color w:val="000000" w:themeColor="text1"/>
          <w:sz w:val="16"/>
          <w:szCs w:val="16"/>
        </w:rPr>
        <w:t xml:space="preserve">Jheeta </w:t>
      </w:r>
      <w:r w:rsidRPr="00963830">
        <w:rPr>
          <w:color w:val="000000" w:themeColor="text1"/>
          <w:sz w:val="16"/>
          <w:szCs w:val="16"/>
        </w:rPr>
        <w:t xml:space="preserve">(zie: I. GLENDINNING., “Should mistaken consent still be consent? </w:t>
      </w:r>
      <w:r w:rsidRPr="009C29A6">
        <w:rPr>
          <w:color w:val="000000" w:themeColor="text1"/>
          <w:sz w:val="16"/>
          <w:szCs w:val="16"/>
          <w:lang w:val="en-GB"/>
        </w:rPr>
        <w:t xml:space="preserve">In defence of an incremental understanding of consent in the Sexual Offences Act 2003”, </w:t>
      </w:r>
      <w:r w:rsidRPr="009C29A6">
        <w:rPr>
          <w:i/>
          <w:color w:val="000000" w:themeColor="text1"/>
          <w:sz w:val="16"/>
          <w:szCs w:val="16"/>
          <w:lang w:val="en-GB"/>
        </w:rPr>
        <w:t xml:space="preserve">Journal of Criminal Law </w:t>
      </w:r>
      <w:r w:rsidRPr="009C29A6">
        <w:rPr>
          <w:color w:val="000000" w:themeColor="text1"/>
          <w:sz w:val="16"/>
          <w:szCs w:val="16"/>
          <w:lang w:val="en-GB"/>
        </w:rPr>
        <w:t xml:space="preserve">2021, afl. 85(3), (223) 226-227). </w:t>
      </w:r>
      <w:r w:rsidRPr="00963830">
        <w:rPr>
          <w:color w:val="000000" w:themeColor="text1"/>
          <w:sz w:val="16"/>
          <w:szCs w:val="16"/>
        </w:rPr>
        <w:t xml:space="preserve">Andere auteurs wijzen erop dat de implicaties van de arresten </w:t>
      </w:r>
      <w:r w:rsidRPr="00963830">
        <w:rPr>
          <w:i/>
          <w:color w:val="000000" w:themeColor="text1"/>
          <w:sz w:val="16"/>
          <w:szCs w:val="16"/>
        </w:rPr>
        <w:t>Monica</w:t>
      </w:r>
      <w:r w:rsidRPr="00963830">
        <w:rPr>
          <w:color w:val="000000" w:themeColor="text1"/>
          <w:sz w:val="16"/>
          <w:szCs w:val="16"/>
        </w:rPr>
        <w:t xml:space="preserve"> en </w:t>
      </w:r>
      <w:r w:rsidRPr="00963830">
        <w:rPr>
          <w:i/>
          <w:color w:val="000000" w:themeColor="text1"/>
          <w:sz w:val="16"/>
          <w:szCs w:val="16"/>
        </w:rPr>
        <w:t>Lawrence</w:t>
      </w:r>
      <w:r w:rsidRPr="00963830">
        <w:rPr>
          <w:color w:val="000000" w:themeColor="text1"/>
          <w:sz w:val="16"/>
          <w:szCs w:val="16"/>
        </w:rPr>
        <w:t xml:space="preserve"> minstens onduidelijk zijn (zie M.J. ALLEN en I. EDWARDS, </w:t>
      </w:r>
      <w:r w:rsidRPr="00963830">
        <w:rPr>
          <w:i/>
          <w:color w:val="000000" w:themeColor="text1"/>
          <w:sz w:val="16"/>
          <w:szCs w:val="16"/>
        </w:rPr>
        <w:t>Criminal Law</w:t>
      </w:r>
      <w:r w:rsidRPr="00963830">
        <w:rPr>
          <w:color w:val="000000" w:themeColor="text1"/>
          <w:sz w:val="16"/>
          <w:szCs w:val="16"/>
        </w:rPr>
        <w:t>, Oxford (VK), Oxford University Press, 2021, 473- 480).</w:t>
      </w:r>
    </w:p>
  </w:footnote>
  <w:footnote w:id="415">
    <w:p w14:paraId="73CE651B" w14:textId="45A79847" w:rsidR="00BA0376" w:rsidRPr="009C29A6" w:rsidRDefault="00BA0376" w:rsidP="00613E6B">
      <w:pPr>
        <w:pStyle w:val="NoSpacing"/>
        <w:rPr>
          <w:lang w:val="en-GB"/>
        </w:rPr>
      </w:pPr>
      <w:r w:rsidRPr="00963830">
        <w:rPr>
          <w:rStyle w:val="FootnoteReference"/>
        </w:rPr>
        <w:footnoteRef/>
      </w:r>
      <w:r w:rsidRPr="009C29A6">
        <w:rPr>
          <w:lang w:val="en-GB"/>
        </w:rPr>
        <w:t xml:space="preserve"> C. TAYLOR, </w:t>
      </w:r>
      <w:r w:rsidRPr="009C29A6">
        <w:rPr>
          <w:i/>
          <w:lang w:val="en-GB"/>
        </w:rPr>
        <w:t>Criminal Law</w:t>
      </w:r>
      <w:r w:rsidRPr="009C29A6">
        <w:rPr>
          <w:lang w:val="en-GB"/>
        </w:rPr>
        <w:t xml:space="preserve">, London (VK), Thomson Reuters, 2018, 500-594; D. ORMEROD en K. LAIRD, </w:t>
      </w:r>
      <w:r w:rsidRPr="009C29A6">
        <w:rPr>
          <w:i/>
          <w:lang w:val="en-GB"/>
        </w:rPr>
        <w:t>Smith, Hogan, &amp; Ormerod’s Criminal Law,</w:t>
      </w:r>
      <w:r w:rsidRPr="009C29A6">
        <w:rPr>
          <w:lang w:val="en-GB"/>
        </w:rPr>
        <w:t xml:space="preserve"> Oxford (VK), Oxford University Press, 2021, 808-815; M.J. ALLEN en I. EDWARDS, </w:t>
      </w:r>
      <w:r w:rsidRPr="009C29A6">
        <w:rPr>
          <w:i/>
          <w:lang w:val="en-GB"/>
        </w:rPr>
        <w:t>Criminal Law</w:t>
      </w:r>
      <w:r w:rsidRPr="009C29A6">
        <w:rPr>
          <w:lang w:val="en-GB"/>
        </w:rPr>
        <w:t>, Oxford (VK), Oxford University Press, 2021, 486.</w:t>
      </w:r>
    </w:p>
  </w:footnote>
  <w:footnote w:id="416">
    <w:p w14:paraId="39552FDA" w14:textId="6CC790D8"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76, (2), (b) SOA luidt als volgt: </w:t>
      </w:r>
      <w:r w:rsidRPr="009C29A6">
        <w:rPr>
          <w:i/>
          <w:lang w:val="en-GB"/>
        </w:rPr>
        <w:t>“the defendant intentionally induced the complainant to consent to the relevant act by impersonating a person known personally to the complainant”</w:t>
      </w:r>
      <w:r w:rsidRPr="009C29A6">
        <w:rPr>
          <w:lang w:val="en-GB"/>
        </w:rPr>
        <w:t>.</w:t>
      </w:r>
    </w:p>
  </w:footnote>
  <w:footnote w:id="417">
    <w:p w14:paraId="68C0D7A1" w14:textId="6E01F067" w:rsidR="00BA0376" w:rsidRPr="009C29A6" w:rsidRDefault="00BA0376" w:rsidP="00613E6B">
      <w:pPr>
        <w:pStyle w:val="NoSpacing"/>
        <w:rPr>
          <w:lang w:val="en-GB"/>
        </w:rPr>
      </w:pPr>
      <w:r w:rsidRPr="00963830">
        <w:rPr>
          <w:rStyle w:val="FootnoteReference"/>
        </w:rPr>
        <w:footnoteRef/>
      </w:r>
      <w:r w:rsidRPr="009C29A6">
        <w:rPr>
          <w:lang w:val="en-GB"/>
        </w:rPr>
        <w:t xml:space="preserve"> C. TAYLOR, </w:t>
      </w:r>
      <w:r w:rsidRPr="009C29A6">
        <w:rPr>
          <w:i/>
          <w:lang w:val="en-GB"/>
        </w:rPr>
        <w:t>Criminal Law</w:t>
      </w:r>
      <w:r w:rsidRPr="009C29A6">
        <w:rPr>
          <w:lang w:val="en-GB"/>
        </w:rPr>
        <w:t xml:space="preserve">, London (VK), Thomson Reuters, 2018, 501-502; J. HORDER, </w:t>
      </w:r>
      <w:r w:rsidRPr="009C29A6">
        <w:rPr>
          <w:i/>
          <w:lang w:val="en-GB"/>
        </w:rPr>
        <w:t>Ashworth’s Principles of Criminal Law</w:t>
      </w:r>
      <w:r w:rsidRPr="009C29A6">
        <w:rPr>
          <w:lang w:val="en-GB"/>
        </w:rPr>
        <w:t xml:space="preserve">, Oxford (VK), Oxford University Press, 2019, 357-358; M.J. ALLEN en I. EDWARDS, </w:t>
      </w:r>
      <w:r w:rsidRPr="009C29A6">
        <w:rPr>
          <w:i/>
          <w:lang w:val="en-GB"/>
        </w:rPr>
        <w:t>Criminal Law</w:t>
      </w:r>
      <w:r w:rsidRPr="009C29A6">
        <w:rPr>
          <w:lang w:val="en-GB"/>
        </w:rPr>
        <w:t>, Oxford (VK), Oxford University Press, 2021, 486-487.</w:t>
      </w:r>
    </w:p>
  </w:footnote>
  <w:footnote w:id="418">
    <w:p w14:paraId="5540C2EF" w14:textId="04E2DD17" w:rsidR="00BA0376" w:rsidRPr="009C29A6" w:rsidRDefault="00BA0376" w:rsidP="00613E6B">
      <w:pPr>
        <w:pStyle w:val="NoSpacing"/>
        <w:rPr>
          <w:lang w:val="en-GB"/>
        </w:rPr>
      </w:pPr>
      <w:r w:rsidRPr="00963830">
        <w:rPr>
          <w:rStyle w:val="FootnoteReference"/>
        </w:rPr>
        <w:footnoteRef/>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815-816; J. HORDER, </w:t>
      </w:r>
      <w:r w:rsidRPr="009C29A6">
        <w:rPr>
          <w:i/>
          <w:lang w:val="en-GB"/>
        </w:rPr>
        <w:t>Ashworth’s Principles of Criminal Law</w:t>
      </w:r>
      <w:r w:rsidRPr="009C29A6">
        <w:rPr>
          <w:lang w:val="en-GB"/>
        </w:rPr>
        <w:t xml:space="preserve">, Oxford (VK), Oxford University Press, 2019, 355-356; M.J. ALLEN en I. EDWARDS, </w:t>
      </w:r>
      <w:r w:rsidRPr="009C29A6">
        <w:rPr>
          <w:i/>
          <w:lang w:val="en-GB"/>
        </w:rPr>
        <w:t>Criminal Law</w:t>
      </w:r>
      <w:r w:rsidRPr="009C29A6">
        <w:rPr>
          <w:lang w:val="en-GB"/>
        </w:rPr>
        <w:t xml:space="preserve">, Oxford (VK), Oxford University Press, 2021, 486-487. </w:t>
      </w:r>
      <w:r w:rsidRPr="00963830">
        <w:rPr>
          <w:color w:val="000000" w:themeColor="text1"/>
        </w:rPr>
        <w:t>Een voorbeeld van iemand die niet persoonlijk gekend is door het slachtoffer is de persoon met wie het slachtoffer gelijkaardige normen en waarden heeft, maar die het slachtoffer voorts niet kent</w:t>
      </w:r>
      <w:r w:rsidRPr="00963830">
        <w:rPr>
          <w:rFonts w:eastAsia="Times New Roman" w:cs="Times New Roman"/>
          <w:color w:val="000000"/>
          <w:lang w:val="nl-BE" w:eastAsia="nl-NL"/>
        </w:rPr>
        <w:t xml:space="preserve">. </w:t>
      </w:r>
      <w:r w:rsidRPr="009C29A6">
        <w:rPr>
          <w:rFonts w:eastAsia="Times New Roman" w:cs="Times New Roman"/>
          <w:color w:val="000000"/>
          <w:lang w:val="en-GB" w:eastAsia="nl-NL"/>
        </w:rPr>
        <w:t>Zie: High Court of Justice</w:t>
      </w:r>
      <w:r w:rsidRPr="009C29A6">
        <w:rPr>
          <w:color w:val="000000"/>
          <w:lang w:val="en-GB"/>
        </w:rPr>
        <w:t xml:space="preserve"> </w:t>
      </w:r>
      <w:r w:rsidRPr="009C29A6">
        <w:rPr>
          <w:rFonts w:eastAsia="Times New Roman" w:cs="Times New Roman"/>
          <w:color w:val="000000"/>
          <w:lang w:val="en-GB" w:eastAsia="nl-NL"/>
        </w:rPr>
        <w:t xml:space="preserve">(VK) 14 december 2018, </w:t>
      </w:r>
      <w:r w:rsidRPr="009C29A6">
        <w:rPr>
          <w:rFonts w:eastAsia="Times New Roman" w:cs="Times New Roman"/>
          <w:lang w:val="en-GB" w:eastAsia="nl-NL"/>
        </w:rPr>
        <w:t xml:space="preserve">R (on the application of Monica) v DPP (2018), </w:t>
      </w:r>
      <w:r w:rsidRPr="009C29A6">
        <w:rPr>
          <w:rFonts w:eastAsia="Times New Roman" w:cs="Times New Roman"/>
          <w:i/>
          <w:lang w:val="en-GB" w:eastAsia="nl-NL"/>
        </w:rPr>
        <w:t>EWHC</w:t>
      </w:r>
      <w:r w:rsidRPr="009C29A6">
        <w:rPr>
          <w:rFonts w:eastAsia="Times New Roman" w:cs="Times New Roman"/>
          <w:lang w:val="en-GB" w:eastAsia="nl-NL"/>
        </w:rPr>
        <w:t xml:space="preserve"> 3508. </w:t>
      </w:r>
    </w:p>
  </w:footnote>
  <w:footnote w:id="419">
    <w:p w14:paraId="4577EDE1" w14:textId="15AD9EC2" w:rsidR="00BA0376" w:rsidRPr="009C29A6" w:rsidRDefault="00BA0376" w:rsidP="00613E6B">
      <w:pPr>
        <w:pStyle w:val="NoSpacing"/>
        <w:rPr>
          <w:lang w:val="en-GB"/>
        </w:rPr>
      </w:pPr>
      <w:r w:rsidRPr="00963830">
        <w:rPr>
          <w:rStyle w:val="FootnoteReference"/>
        </w:rPr>
        <w:footnoteRef/>
      </w:r>
      <w:r w:rsidRPr="009C29A6">
        <w:rPr>
          <w:lang w:val="en-GB"/>
        </w:rPr>
        <w:t xml:space="preserve"> J. HORDER, </w:t>
      </w:r>
      <w:r w:rsidRPr="009C29A6">
        <w:rPr>
          <w:i/>
          <w:lang w:val="en-GB"/>
        </w:rPr>
        <w:t>Ashworth’s Principles of Criminal Law</w:t>
      </w:r>
      <w:r w:rsidRPr="009C29A6">
        <w:rPr>
          <w:lang w:val="en-GB"/>
        </w:rPr>
        <w:t xml:space="preserve">, Oxford (VK), Oxford University Press, 2019, 355-356; M.J. ALLEN en I. EDWARDS, </w:t>
      </w:r>
      <w:r w:rsidRPr="009C29A6">
        <w:rPr>
          <w:i/>
          <w:lang w:val="en-GB"/>
        </w:rPr>
        <w:t>Criminal Law</w:t>
      </w:r>
      <w:r w:rsidRPr="009C29A6">
        <w:rPr>
          <w:lang w:val="en-GB"/>
        </w:rPr>
        <w:t>, Oxford (VK), Oxford University Press, 2021, 487.</w:t>
      </w:r>
    </w:p>
  </w:footnote>
  <w:footnote w:id="420">
    <w:p w14:paraId="3C6B7797" w14:textId="36AD2E2D"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75, (2), (a) en (b) SOA; D. ORMEROD en K. LAIRD, </w:t>
      </w:r>
      <w:r w:rsidRPr="009C29A6">
        <w:rPr>
          <w:i/>
          <w:lang w:val="en-GB"/>
        </w:rPr>
        <w:t>Smith, Hogan, &amp; Ormerod’s Criminal Law,</w:t>
      </w:r>
      <w:r w:rsidRPr="009C29A6">
        <w:rPr>
          <w:lang w:val="en-GB"/>
        </w:rPr>
        <w:t xml:space="preserve"> Oxford (VK), Oxford University Press, 2021, 805-807; J. HORDER, </w:t>
      </w:r>
      <w:r w:rsidRPr="009C29A6">
        <w:rPr>
          <w:i/>
          <w:lang w:val="en-GB"/>
        </w:rPr>
        <w:t>Ashworth’s Principles of Criminal Law</w:t>
      </w:r>
      <w:r w:rsidRPr="009C29A6">
        <w:rPr>
          <w:lang w:val="en-GB"/>
        </w:rPr>
        <w:t>, Oxford (VK), Oxford University Press, 2019, 361.</w:t>
      </w:r>
    </w:p>
  </w:footnote>
  <w:footnote w:id="421">
    <w:p w14:paraId="0DC6E65A" w14:textId="4CB99115"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75, (2), (c) SOA; D. ORMEROD en K. LAIRD, </w:t>
      </w:r>
      <w:r w:rsidRPr="009C29A6">
        <w:rPr>
          <w:i/>
          <w:lang w:val="en-GB"/>
        </w:rPr>
        <w:t>Smith, Hogan, &amp; Ormerod’s Criminal Law,</w:t>
      </w:r>
      <w:r w:rsidRPr="009C29A6">
        <w:rPr>
          <w:lang w:val="en-GB"/>
        </w:rPr>
        <w:t xml:space="preserve"> Oxford (VK), Oxford University Press, 2021, 807; J. HORDER, </w:t>
      </w:r>
      <w:r w:rsidRPr="009C29A6">
        <w:rPr>
          <w:i/>
          <w:lang w:val="en-GB"/>
        </w:rPr>
        <w:t>Ashworth’s Principles of Criminal Law</w:t>
      </w:r>
      <w:r w:rsidRPr="009C29A6">
        <w:rPr>
          <w:lang w:val="en-GB"/>
        </w:rPr>
        <w:t>, Oxford (VK), Oxford University Press, 2019, 361.</w:t>
      </w:r>
    </w:p>
  </w:footnote>
  <w:footnote w:id="422">
    <w:p w14:paraId="40D0F950" w14:textId="0521F309"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75, (2), (d) SOA; D. ORMEROD en K. LAIRD, </w:t>
      </w:r>
      <w:r w:rsidRPr="009C29A6">
        <w:rPr>
          <w:i/>
          <w:lang w:val="en-GB"/>
        </w:rPr>
        <w:t>Smith, Hogan, &amp; Ormerod’s Criminal Law,</w:t>
      </w:r>
      <w:r w:rsidRPr="009C29A6">
        <w:rPr>
          <w:lang w:val="en-GB"/>
        </w:rPr>
        <w:t xml:space="preserve"> Oxford (VK), Oxford University Press, 2021, 807; J. HORDER, </w:t>
      </w:r>
      <w:r w:rsidRPr="009C29A6">
        <w:rPr>
          <w:i/>
          <w:lang w:val="en-GB"/>
        </w:rPr>
        <w:t>Ashworth’s Principles of Criminal Law</w:t>
      </w:r>
      <w:r w:rsidRPr="009C29A6">
        <w:rPr>
          <w:lang w:val="en-GB"/>
        </w:rPr>
        <w:t>, Oxford (VK), Oxford University Press, 2019, 361.</w:t>
      </w:r>
    </w:p>
  </w:footnote>
  <w:footnote w:id="423">
    <w:p w14:paraId="5B7CB2BC" w14:textId="10371DF2"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75, (2), (e) SOA; D. ORMEROD en K. LAIRD, </w:t>
      </w:r>
      <w:r w:rsidRPr="009C29A6">
        <w:rPr>
          <w:i/>
          <w:lang w:val="en-GB"/>
        </w:rPr>
        <w:t>Smith, Hogan, &amp; Ormerod’s Criminal Law,</w:t>
      </w:r>
      <w:r w:rsidRPr="009C29A6">
        <w:rPr>
          <w:lang w:val="en-GB"/>
        </w:rPr>
        <w:t xml:space="preserve"> Oxford (VK), Oxford University Press, 2021, 807-808; J. HORDER, </w:t>
      </w:r>
      <w:r w:rsidRPr="009C29A6">
        <w:rPr>
          <w:i/>
          <w:lang w:val="en-GB"/>
        </w:rPr>
        <w:t>Ashworth’s Principles of Criminal Law</w:t>
      </w:r>
      <w:r w:rsidRPr="009C29A6">
        <w:rPr>
          <w:lang w:val="en-GB"/>
        </w:rPr>
        <w:t>, Oxford (VK), Oxford University Press, 2019, 361.</w:t>
      </w:r>
    </w:p>
  </w:footnote>
  <w:footnote w:id="424">
    <w:p w14:paraId="52AFE37A" w14:textId="4FF085FB" w:rsidR="00BA0376" w:rsidRPr="009C29A6" w:rsidRDefault="00BA0376" w:rsidP="00613E6B">
      <w:pPr>
        <w:pStyle w:val="NoSpacing"/>
        <w:rPr>
          <w:lang w:val="en-GB"/>
        </w:rPr>
      </w:pPr>
      <w:r w:rsidRPr="00963830">
        <w:rPr>
          <w:rStyle w:val="FootnoteReference"/>
        </w:rPr>
        <w:footnoteRef/>
      </w:r>
      <w:r w:rsidRPr="00963830">
        <w:t xml:space="preserve"> Let wel: de SOA bevat ook specifieke strafbaarstellingen indien het slachtoffer een persoon is met een mentale handicap (waarop in deze masterscriptie niet verder zal worden ingegaan). </w:t>
      </w:r>
      <w:r w:rsidRPr="009C29A6">
        <w:rPr>
          <w:lang w:val="en-GB"/>
        </w:rPr>
        <w:t xml:space="preserve">Zie: J. HORDER, </w:t>
      </w:r>
      <w:r w:rsidRPr="009C29A6">
        <w:rPr>
          <w:i/>
          <w:lang w:val="en-GB"/>
        </w:rPr>
        <w:t>Ashworth’s Principles of Criminal Law</w:t>
      </w:r>
      <w:r w:rsidRPr="009C29A6">
        <w:rPr>
          <w:lang w:val="en-GB"/>
        </w:rPr>
        <w:t>, Oxford (VK), Oxford University Press, 2019, 361.</w:t>
      </w:r>
    </w:p>
  </w:footnote>
  <w:footnote w:id="425">
    <w:p w14:paraId="0C13BDA1" w14:textId="1F6B20EC" w:rsidR="00BA0376" w:rsidRPr="00963830" w:rsidRDefault="00BA0376" w:rsidP="00613E6B">
      <w:pPr>
        <w:pStyle w:val="NoSpacing"/>
      </w:pPr>
      <w:r w:rsidRPr="00963830">
        <w:rPr>
          <w:rStyle w:val="FootnoteReference"/>
        </w:rPr>
        <w:footnoteRef/>
      </w:r>
      <w:r w:rsidRPr="00963830">
        <w:t xml:space="preserve"> M.n. een substantie die het slachtoffer op het tijdstip van de handeling kan bedwelmen of overmeesteren.</w:t>
      </w:r>
    </w:p>
  </w:footnote>
  <w:footnote w:id="426">
    <w:p w14:paraId="18D0F964" w14:textId="000C75C9"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75, (2), (f) SOA; D. ORMEROD en K. LAIRD, </w:t>
      </w:r>
      <w:r w:rsidRPr="009C29A6">
        <w:rPr>
          <w:i/>
          <w:lang w:val="en-GB"/>
        </w:rPr>
        <w:t>Smith, Hogan, &amp; Ormerod’s Criminal Law,</w:t>
      </w:r>
      <w:r w:rsidRPr="009C29A6">
        <w:rPr>
          <w:lang w:val="en-GB"/>
        </w:rPr>
        <w:t xml:space="preserve"> Oxford (VK), Oxford University Press, 2021, 808; J. HORDER, </w:t>
      </w:r>
      <w:r w:rsidRPr="009C29A6">
        <w:rPr>
          <w:i/>
          <w:lang w:val="en-GB"/>
        </w:rPr>
        <w:t>Ashworth’s Principles of Criminal Law</w:t>
      </w:r>
      <w:r w:rsidRPr="009C29A6">
        <w:rPr>
          <w:lang w:val="en-GB"/>
        </w:rPr>
        <w:t>, Oxford (VK), Oxford University Press, 2019, 361-362.</w:t>
      </w:r>
    </w:p>
  </w:footnote>
  <w:footnote w:id="427">
    <w:p w14:paraId="7232735A" w14:textId="4EE3B824" w:rsidR="00BA0376" w:rsidRPr="00963830" w:rsidRDefault="00BA0376" w:rsidP="00613E6B">
      <w:pPr>
        <w:pStyle w:val="NoSpacing"/>
      </w:pPr>
      <w:r w:rsidRPr="00963830">
        <w:rPr>
          <w:rStyle w:val="FootnoteReference"/>
        </w:rPr>
        <w:footnoteRef/>
      </w:r>
      <w:r w:rsidRPr="00963830">
        <w:t xml:space="preserve"> </w:t>
      </w:r>
      <w:r w:rsidRPr="00963830">
        <w:rPr>
          <w:i/>
        </w:rPr>
        <w:t>Section</w:t>
      </w:r>
      <w:r w:rsidRPr="00963830">
        <w:t xml:space="preserve"> 74 SOA.</w:t>
      </w:r>
    </w:p>
  </w:footnote>
  <w:footnote w:id="428">
    <w:p w14:paraId="7161941D" w14:textId="093F63FB" w:rsidR="00BA0376" w:rsidRPr="009C29A6" w:rsidRDefault="00BA0376" w:rsidP="00613E6B">
      <w:pPr>
        <w:pStyle w:val="NoSpacing"/>
        <w:rPr>
          <w:lang w:val="en-GB"/>
        </w:rPr>
      </w:pPr>
      <w:r w:rsidRPr="00963830">
        <w:rPr>
          <w:rStyle w:val="FootnoteReference"/>
        </w:rPr>
        <w:footnoteRef/>
      </w:r>
      <w:r w:rsidRPr="00963830">
        <w:t xml:space="preserve"> Reeds hoger werd de problematiek toegelicht m.b.t. het moeilijk onderscheid tussen misleidingen die e.z. onder het onweerlegbaar vermoeden uit </w:t>
      </w:r>
      <w:r w:rsidRPr="00963830">
        <w:rPr>
          <w:i/>
        </w:rPr>
        <w:t>section</w:t>
      </w:r>
      <w:r w:rsidRPr="00963830">
        <w:t xml:space="preserve"> 76 vallen en anderzijds die moeten worden behandeld o.g.v. </w:t>
      </w:r>
      <w:r w:rsidRPr="00963830">
        <w:rPr>
          <w:i/>
        </w:rPr>
        <w:t>section</w:t>
      </w:r>
      <w:r w:rsidRPr="00963830">
        <w:t xml:space="preserve"> 74 (</w:t>
      </w:r>
      <w:r w:rsidRPr="00963830">
        <w:rPr>
          <w:i/>
        </w:rPr>
        <w:t xml:space="preserve">supra </w:t>
      </w:r>
      <w:r w:rsidRPr="00963830">
        <w:t xml:space="preserve">nr. 181). Voorbeelden van zaken die o.g.v. </w:t>
      </w:r>
      <w:r w:rsidRPr="00963830">
        <w:rPr>
          <w:i/>
        </w:rPr>
        <w:t>section</w:t>
      </w:r>
      <w:r w:rsidRPr="00963830">
        <w:t xml:space="preserve"> 74 werden geacht te leiden tot afwezigheid van toestemming: de valse belofte dat niet in het lichaam van het slachtoffer zou worden geëjaculeerd (</w:t>
      </w:r>
      <w:r w:rsidRPr="00963830">
        <w:rPr>
          <w:rFonts w:eastAsia="Times New Roman" w:cs="Times New Roman"/>
          <w:color w:val="000000"/>
          <w:lang w:val="nl-BE" w:eastAsia="nl-NL"/>
        </w:rPr>
        <w:t>High Court of Justice</w:t>
      </w:r>
      <w:r w:rsidRPr="00963830">
        <w:rPr>
          <w:color w:val="000000"/>
        </w:rPr>
        <w:t xml:space="preserve"> </w:t>
      </w:r>
      <w:r w:rsidRPr="00963830">
        <w:rPr>
          <w:rFonts w:eastAsia="Times New Roman" w:cs="Times New Roman"/>
          <w:color w:val="000000"/>
          <w:lang w:val="nl-BE" w:eastAsia="nl-NL"/>
        </w:rPr>
        <w:t xml:space="preserve">(VK) 24 april 2013, </w:t>
      </w:r>
      <w:r w:rsidRPr="00963830">
        <w:rPr>
          <w:rFonts w:eastAsia="Times New Roman" w:cs="Times New Roman"/>
          <w:lang w:val="nl-BE" w:eastAsia="nl-NL"/>
        </w:rPr>
        <w:t xml:space="preserve">R (on the application of F) v DPP, </w:t>
      </w:r>
      <w:r w:rsidRPr="00963830">
        <w:rPr>
          <w:rFonts w:eastAsia="Times New Roman" w:cs="Times New Roman"/>
          <w:i/>
          <w:lang w:val="nl-BE" w:eastAsia="nl-NL"/>
        </w:rPr>
        <w:t>EWHC</w:t>
      </w:r>
      <w:r w:rsidRPr="00963830">
        <w:rPr>
          <w:rFonts w:eastAsia="Times New Roman" w:cs="Times New Roman"/>
          <w:lang w:val="nl-BE" w:eastAsia="nl-NL"/>
        </w:rPr>
        <w:t xml:space="preserve"> 945), misleiding m.b.t. het biologische geslacht (</w:t>
      </w:r>
      <w:r w:rsidRPr="00963830">
        <w:rPr>
          <w:rFonts w:eastAsia="Times New Roman" w:cs="Times New Roman"/>
          <w:color w:val="000000"/>
          <w:lang w:val="nl-BE" w:eastAsia="nl-NL"/>
        </w:rPr>
        <w:t xml:space="preserve">Court of Appeal (VK) 27 juni 2013, R. v. McNally, </w:t>
      </w:r>
      <w:r w:rsidRPr="00963830">
        <w:rPr>
          <w:rFonts w:eastAsia="Times New Roman" w:cs="Times New Roman"/>
          <w:i/>
          <w:iCs/>
          <w:color w:val="000000"/>
          <w:lang w:val="nl-BE" w:eastAsia="nl-NL"/>
        </w:rPr>
        <w:t>EWCA Crim,</w:t>
      </w:r>
      <w:r w:rsidRPr="00963830">
        <w:rPr>
          <w:rFonts w:eastAsia="Times New Roman" w:cs="Times New Roman"/>
          <w:color w:val="000000"/>
          <w:lang w:val="nl-BE" w:eastAsia="nl-NL"/>
        </w:rPr>
        <w:t xml:space="preserve"> 1051), valselijk stellen een condoom te zullen gebruiken (High Court of Justice</w:t>
      </w:r>
      <w:r w:rsidRPr="00963830">
        <w:rPr>
          <w:color w:val="000000"/>
        </w:rPr>
        <w:t xml:space="preserve"> </w:t>
      </w:r>
      <w:r w:rsidRPr="00963830">
        <w:rPr>
          <w:rFonts w:eastAsia="Times New Roman" w:cs="Times New Roman"/>
          <w:color w:val="000000"/>
          <w:lang w:val="nl-BE" w:eastAsia="nl-NL"/>
        </w:rPr>
        <w:t xml:space="preserve">(VK) 2 november 2011, Assange v Swedish Prosecution Authority, </w:t>
      </w:r>
      <w:r w:rsidRPr="00963830">
        <w:rPr>
          <w:rFonts w:eastAsia="Times New Roman" w:cs="Times New Roman"/>
          <w:i/>
          <w:iCs/>
          <w:color w:val="000000"/>
          <w:lang w:val="nl-BE" w:eastAsia="nl-NL"/>
        </w:rPr>
        <w:t>EWHC,</w:t>
      </w:r>
      <w:r w:rsidRPr="00963830">
        <w:rPr>
          <w:rFonts w:eastAsia="Times New Roman" w:cs="Times New Roman"/>
          <w:color w:val="000000"/>
          <w:lang w:val="nl-BE" w:eastAsia="nl-NL"/>
        </w:rPr>
        <w:t xml:space="preserve"> 2849).</w:t>
      </w:r>
      <w:r w:rsidRPr="00963830">
        <w:t xml:space="preserve"> Voorbeelden die daarentegen niet leidden tot de afwezigheid van toestemming: niet-meedelen door dader dat deze hiv-positief was (</w:t>
      </w:r>
      <w:r w:rsidRPr="00963830">
        <w:rPr>
          <w:rFonts w:eastAsia="Times New Roman" w:cs="Times New Roman"/>
          <w:color w:val="000000"/>
          <w:lang w:val="nl-BE" w:eastAsia="nl-NL"/>
        </w:rPr>
        <w:t xml:space="preserve">Court of Appeal (VK) 16 oktober 2006, R. v. EB, </w:t>
      </w:r>
      <w:r w:rsidRPr="00963830">
        <w:rPr>
          <w:rFonts w:eastAsia="Times New Roman" w:cs="Times New Roman"/>
          <w:i/>
          <w:iCs/>
          <w:color w:val="000000"/>
          <w:lang w:val="nl-BE" w:eastAsia="nl-NL"/>
        </w:rPr>
        <w:t>EWCA Crim,</w:t>
      </w:r>
      <w:r w:rsidRPr="00963830">
        <w:rPr>
          <w:rFonts w:eastAsia="Times New Roman" w:cs="Times New Roman"/>
          <w:color w:val="000000"/>
          <w:lang w:val="nl-BE" w:eastAsia="nl-NL"/>
        </w:rPr>
        <w:t xml:space="preserve"> 2945), misleidingen over gedeelde waarden met het slachtoffer (High Court of Justice</w:t>
      </w:r>
      <w:r w:rsidRPr="00963830">
        <w:rPr>
          <w:color w:val="000000"/>
        </w:rPr>
        <w:t xml:space="preserve"> </w:t>
      </w:r>
      <w:r w:rsidRPr="00963830">
        <w:rPr>
          <w:rFonts w:eastAsia="Times New Roman" w:cs="Times New Roman"/>
          <w:color w:val="000000"/>
          <w:lang w:val="nl-BE" w:eastAsia="nl-NL"/>
        </w:rPr>
        <w:t xml:space="preserve">(VK) 14 december 2018, </w:t>
      </w:r>
      <w:r w:rsidRPr="00963830">
        <w:rPr>
          <w:rFonts w:eastAsia="Times New Roman" w:cs="Times New Roman"/>
          <w:lang w:val="nl-BE" w:eastAsia="nl-NL"/>
        </w:rPr>
        <w:t xml:space="preserve">R (on the application of Monica) v DPP, </w:t>
      </w:r>
      <w:r w:rsidRPr="00963830">
        <w:rPr>
          <w:rFonts w:eastAsia="Times New Roman" w:cs="Times New Roman"/>
          <w:i/>
          <w:lang w:val="nl-BE" w:eastAsia="nl-NL"/>
        </w:rPr>
        <w:t>EWHC</w:t>
      </w:r>
      <w:r w:rsidRPr="00963830">
        <w:rPr>
          <w:rFonts w:eastAsia="Times New Roman" w:cs="Times New Roman"/>
          <w:lang w:val="nl-BE" w:eastAsia="nl-NL"/>
        </w:rPr>
        <w:t xml:space="preserve"> 3508), valselijk stellen te zijn gesteriliseerd (</w:t>
      </w:r>
      <w:r w:rsidRPr="00963830">
        <w:rPr>
          <w:rFonts w:eastAsia="Times New Roman" w:cs="Times New Roman"/>
          <w:color w:val="000000"/>
          <w:lang w:val="nl-BE" w:eastAsia="nl-NL"/>
        </w:rPr>
        <w:t xml:space="preserve">Court of Appeal (VK) 23 juli 2020, R. v. Lawrance, </w:t>
      </w:r>
      <w:r w:rsidRPr="00963830">
        <w:rPr>
          <w:rFonts w:eastAsia="Times New Roman" w:cs="Times New Roman"/>
          <w:i/>
          <w:iCs/>
          <w:color w:val="000000"/>
          <w:lang w:val="nl-BE" w:eastAsia="nl-NL"/>
        </w:rPr>
        <w:t xml:space="preserve">EWCA Crim, </w:t>
      </w:r>
      <w:r w:rsidRPr="00963830">
        <w:rPr>
          <w:rFonts w:eastAsia="Times New Roman" w:cs="Times New Roman"/>
          <w:iCs/>
          <w:color w:val="000000"/>
          <w:lang w:val="nl-BE" w:eastAsia="nl-NL"/>
        </w:rPr>
        <w:t>971).</w:t>
      </w:r>
      <w:r w:rsidRPr="00963830">
        <w:rPr>
          <w:rFonts w:eastAsia="Times New Roman" w:cs="Times New Roman"/>
          <w:lang w:val="nl-BE" w:eastAsia="nl-NL"/>
        </w:rPr>
        <w:t xml:space="preserve"> </w:t>
      </w:r>
      <w:r w:rsidRPr="00963830">
        <w:t xml:space="preserve">Aldus lijkt hierin moeilijk een lijn te trekken. In de doctrine gaan dan ook stemmen op die de wetgever dan wel de Supreme Court verzoeken om verduidelijking. </w:t>
      </w:r>
      <w:r w:rsidRPr="009C29A6">
        <w:rPr>
          <w:lang w:val="en-GB"/>
        </w:rPr>
        <w:t xml:space="preserve">Zie: D. ORMEROD en K. LAIRD, </w:t>
      </w:r>
      <w:r w:rsidRPr="009C29A6">
        <w:rPr>
          <w:i/>
          <w:lang w:val="en-GB"/>
        </w:rPr>
        <w:t>Smith, Hogan, &amp; Ormerod’s Criminal Law,</w:t>
      </w:r>
      <w:r w:rsidRPr="009C29A6">
        <w:rPr>
          <w:lang w:val="en-GB"/>
        </w:rPr>
        <w:t xml:space="preserve"> Oxford (VK), Oxford University Press, 2021, 797- 803.</w:t>
      </w:r>
    </w:p>
  </w:footnote>
  <w:footnote w:id="429">
    <w:p w14:paraId="4CFC3EBF" w14:textId="3FF511B2"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rFonts w:eastAsia="Times New Roman" w:cs="Times New Roman"/>
          <w:color w:val="000000"/>
          <w:lang w:val="en-GB" w:eastAsia="nl-NL"/>
        </w:rPr>
        <w:t xml:space="preserve">Court of Appeal (VK) 26 maart 2007, R. v. Bree, </w:t>
      </w:r>
      <w:r w:rsidRPr="009C29A6">
        <w:rPr>
          <w:rFonts w:eastAsia="Times New Roman" w:cs="Times New Roman"/>
          <w:i/>
          <w:iCs/>
          <w:color w:val="000000"/>
          <w:lang w:val="en-GB" w:eastAsia="nl-NL"/>
        </w:rPr>
        <w:t>EWCA Crim,</w:t>
      </w:r>
      <w:r w:rsidRPr="009C29A6">
        <w:rPr>
          <w:rFonts w:eastAsia="Times New Roman" w:cs="Times New Roman"/>
          <w:color w:val="000000"/>
          <w:lang w:val="en-GB" w:eastAsia="nl-NL"/>
        </w:rPr>
        <w:t xml:space="preserve"> 804; Court of Appeal (VK) 10 juli 2007, R. v. Hysa, </w:t>
      </w:r>
      <w:r w:rsidRPr="009C29A6">
        <w:rPr>
          <w:rFonts w:eastAsia="Times New Roman" w:cs="Times New Roman"/>
          <w:i/>
          <w:iCs/>
          <w:color w:val="000000"/>
          <w:lang w:val="en-GB" w:eastAsia="nl-NL"/>
        </w:rPr>
        <w:t>EWCA Crim,</w:t>
      </w:r>
      <w:r w:rsidRPr="009C29A6">
        <w:rPr>
          <w:rFonts w:eastAsia="Times New Roman" w:cs="Times New Roman"/>
          <w:color w:val="000000"/>
          <w:lang w:val="en-GB" w:eastAsia="nl-NL"/>
        </w:rPr>
        <w:t xml:space="preserve"> 2056; Court of Appeal (VK) 29 november 2013, R. v. Kamki, </w:t>
      </w:r>
      <w:r w:rsidRPr="009C29A6">
        <w:rPr>
          <w:rFonts w:eastAsia="Times New Roman" w:cs="Times New Roman"/>
          <w:i/>
          <w:iCs/>
          <w:color w:val="000000"/>
          <w:lang w:val="en-GB" w:eastAsia="nl-NL"/>
        </w:rPr>
        <w:t>EWCA Crim,</w:t>
      </w:r>
      <w:r w:rsidRPr="009C29A6">
        <w:rPr>
          <w:rFonts w:eastAsia="Times New Roman" w:cs="Times New Roman"/>
          <w:color w:val="000000"/>
          <w:lang w:val="en-GB" w:eastAsia="nl-NL"/>
        </w:rPr>
        <w:t xml:space="preserve"> 2335; </w:t>
      </w:r>
      <w:r w:rsidRPr="009C29A6">
        <w:rPr>
          <w:lang w:val="en-GB"/>
        </w:rPr>
        <w:t xml:space="preserve">D. ORMEROD en K. LAIRD, </w:t>
      </w:r>
      <w:r w:rsidRPr="009C29A6">
        <w:rPr>
          <w:i/>
          <w:lang w:val="en-GB"/>
        </w:rPr>
        <w:t>Smith, Hogan, &amp; Ormerod’s Criminal Law,</w:t>
      </w:r>
      <w:r w:rsidRPr="009C29A6">
        <w:rPr>
          <w:lang w:val="en-GB"/>
        </w:rPr>
        <w:t xml:space="preserve"> Oxford (VK), Oxford University Press, 2021, 795-797.</w:t>
      </w:r>
    </w:p>
  </w:footnote>
  <w:footnote w:id="430">
    <w:p w14:paraId="11462995" w14:textId="1AEE1ECA" w:rsidR="00BA0376" w:rsidRPr="009C29A6" w:rsidRDefault="00BA0376" w:rsidP="00963830">
      <w:pPr>
        <w:rPr>
          <w:sz w:val="16"/>
          <w:szCs w:val="16"/>
          <w:lang w:val="en-GB"/>
        </w:rPr>
      </w:pPr>
      <w:r w:rsidRPr="00963830">
        <w:rPr>
          <w:rStyle w:val="FootnoteReference"/>
          <w:sz w:val="16"/>
          <w:szCs w:val="16"/>
        </w:rPr>
        <w:footnoteRef/>
      </w:r>
      <w:r w:rsidRPr="009C29A6">
        <w:rPr>
          <w:sz w:val="16"/>
          <w:szCs w:val="16"/>
          <w:lang w:val="en-GB"/>
        </w:rPr>
        <w:t xml:space="preserve"> </w:t>
      </w:r>
      <w:r w:rsidRPr="009C29A6">
        <w:rPr>
          <w:color w:val="000000"/>
          <w:sz w:val="16"/>
          <w:szCs w:val="16"/>
          <w:lang w:val="en-GB"/>
        </w:rPr>
        <w:t xml:space="preserve">Court of Appeal (VK) 17 juli 2015, R. v. Ali, </w:t>
      </w:r>
      <w:r w:rsidRPr="009C29A6">
        <w:rPr>
          <w:i/>
          <w:iCs/>
          <w:color w:val="000000"/>
          <w:sz w:val="16"/>
          <w:szCs w:val="16"/>
          <w:lang w:val="en-GB"/>
        </w:rPr>
        <w:t>EWCA Crim,</w:t>
      </w:r>
      <w:r w:rsidRPr="009C29A6">
        <w:rPr>
          <w:color w:val="000000"/>
          <w:sz w:val="16"/>
          <w:szCs w:val="16"/>
          <w:lang w:val="en-GB"/>
        </w:rPr>
        <w:t xml:space="preserve"> 1279; Court of Appeal (VK) 23 maart 2011, R. v. Robinson, </w:t>
      </w:r>
      <w:r w:rsidRPr="009C29A6">
        <w:rPr>
          <w:i/>
          <w:iCs/>
          <w:color w:val="000000"/>
          <w:sz w:val="16"/>
          <w:szCs w:val="16"/>
          <w:lang w:val="en-GB"/>
        </w:rPr>
        <w:t>EWCA Crim,</w:t>
      </w:r>
      <w:r w:rsidRPr="009C29A6">
        <w:rPr>
          <w:color w:val="000000"/>
          <w:sz w:val="16"/>
          <w:szCs w:val="16"/>
          <w:lang w:val="en-GB"/>
        </w:rPr>
        <w:t xml:space="preserve"> 916; Court of Appeal (VK) 22 januari 2010, R. v. Doyle, </w:t>
      </w:r>
      <w:r w:rsidRPr="009C29A6">
        <w:rPr>
          <w:i/>
          <w:iCs/>
          <w:color w:val="000000"/>
          <w:sz w:val="16"/>
          <w:szCs w:val="16"/>
          <w:lang w:val="en-GB"/>
        </w:rPr>
        <w:t>EWCA Crim,</w:t>
      </w:r>
      <w:r w:rsidRPr="009C29A6">
        <w:rPr>
          <w:color w:val="000000"/>
          <w:sz w:val="16"/>
          <w:szCs w:val="16"/>
          <w:lang w:val="en-GB"/>
        </w:rPr>
        <w:t xml:space="preserve"> 119; </w:t>
      </w:r>
      <w:r w:rsidRPr="009C29A6">
        <w:rPr>
          <w:sz w:val="16"/>
          <w:szCs w:val="16"/>
          <w:lang w:val="en-GB"/>
        </w:rPr>
        <w:t xml:space="preserve">Court of Appeal (VK) 1 mei 1998, R. v. Malone, </w:t>
      </w:r>
      <w:r w:rsidRPr="009C29A6">
        <w:rPr>
          <w:i/>
          <w:sz w:val="16"/>
          <w:szCs w:val="16"/>
          <w:lang w:val="en-GB"/>
        </w:rPr>
        <w:t>EWCA Crim</w:t>
      </w:r>
      <w:r w:rsidRPr="009C29A6">
        <w:rPr>
          <w:sz w:val="16"/>
          <w:szCs w:val="16"/>
          <w:lang w:val="en-GB"/>
        </w:rPr>
        <w:t>, 1462;</w:t>
      </w:r>
      <w:r w:rsidRPr="009C29A6">
        <w:rPr>
          <w:color w:val="000000"/>
          <w:sz w:val="16"/>
          <w:szCs w:val="16"/>
          <w:lang w:val="en-GB"/>
        </w:rPr>
        <w:t xml:space="preserve"> </w:t>
      </w:r>
      <w:r w:rsidRPr="009C29A6">
        <w:rPr>
          <w:sz w:val="16"/>
          <w:szCs w:val="16"/>
          <w:lang w:val="en-GB"/>
        </w:rPr>
        <w:t xml:space="preserve">D. ORMEROD en K. LAIRD, </w:t>
      </w:r>
      <w:r w:rsidRPr="009C29A6">
        <w:rPr>
          <w:i/>
          <w:sz w:val="16"/>
          <w:szCs w:val="16"/>
          <w:lang w:val="en-GB"/>
        </w:rPr>
        <w:t>Smith, Hogan, &amp; Ormerod’s Criminal Law,</w:t>
      </w:r>
      <w:r w:rsidRPr="009C29A6">
        <w:rPr>
          <w:sz w:val="16"/>
          <w:szCs w:val="16"/>
          <w:lang w:val="en-GB"/>
        </w:rPr>
        <w:t xml:space="preserve"> Oxford (VK), Oxford University Press, 2021, 791-793; CROWN PROSECUTION SERVICE (CPS), “Rape and Sexual Offences - Overview and index of 2021 updated guidance”, www.cps.gov.uk/legal-guidance/rape-and-sexual-offences-overview-and-index-2021-updated-guidance, chapter 6 (consultatie 17 april 2023).</w:t>
      </w:r>
    </w:p>
  </w:footnote>
  <w:footnote w:id="431">
    <w:p w14:paraId="3B3600A1" w14:textId="4D93424E"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Sections</w:t>
      </w:r>
      <w:r w:rsidRPr="009C29A6">
        <w:rPr>
          <w:lang w:val="en-GB"/>
        </w:rPr>
        <w:t xml:space="preserve"> 5 t.e.m. 8 SOA. </w:t>
      </w:r>
      <w:r w:rsidRPr="00963830">
        <w:t xml:space="preserve">Deze misdrijven zijn zeer gelijkaardig aan de misdrijven uit </w:t>
      </w:r>
      <w:r w:rsidRPr="00963830">
        <w:rPr>
          <w:i/>
        </w:rPr>
        <w:t>sections</w:t>
      </w:r>
      <w:r w:rsidRPr="00963830">
        <w:t xml:space="preserve"> 1-4 die in deze masterscriptie uiteengezet worden. Het verschil tussen beide groepen bestaat erin dat voor eerstgenoemde misdrijven de afwezigheid van toestemming geen constitutief bestanddeel van het misdrijf is, maar wel de welbepaalde minderjarige leeftijd (m.n. dertien jaar) van het slachtoffer. </w:t>
      </w:r>
      <w:r w:rsidRPr="009C29A6">
        <w:rPr>
          <w:lang w:val="en-GB"/>
        </w:rPr>
        <w:t xml:space="preserve">Zie ook: D. ORMEROD en K. LAIRD, </w:t>
      </w:r>
      <w:r w:rsidRPr="009C29A6">
        <w:rPr>
          <w:i/>
          <w:lang w:val="en-GB"/>
        </w:rPr>
        <w:t>Smith, Hogan, &amp; Ormerod’s Criminal Law,</w:t>
      </w:r>
      <w:r w:rsidRPr="009C29A6">
        <w:rPr>
          <w:lang w:val="en-GB"/>
        </w:rPr>
        <w:t xml:space="preserve"> Oxford (VK), Oxford University Press, 2021, 831-834.</w:t>
      </w:r>
    </w:p>
  </w:footnote>
  <w:footnote w:id="432">
    <w:p w14:paraId="0EF325AB" w14:textId="239F7974" w:rsidR="00BA0376" w:rsidRPr="00963830" w:rsidRDefault="00BA0376" w:rsidP="00613E6B">
      <w:pPr>
        <w:pStyle w:val="NoSpacing"/>
      </w:pPr>
      <w:r w:rsidRPr="00963830">
        <w:rPr>
          <w:rStyle w:val="FootnoteReference"/>
        </w:rPr>
        <w:footnoteRef/>
      </w:r>
      <w:r w:rsidRPr="00963830">
        <w:t xml:space="preserve"> Aldus wordt m.b.t. de minzestienjarige leeftijd (ouder dan dertien jaar) van het slachtoffer een verschillend moreel bestanddeel vereist dan voor de andere constitutieve bestanddelen, m.n. onachtzaamheid (</w:t>
      </w:r>
      <w:r w:rsidRPr="00963830">
        <w:rPr>
          <w:i/>
        </w:rPr>
        <w:t xml:space="preserve">infra </w:t>
      </w:r>
      <w:r w:rsidRPr="00963830">
        <w:t xml:space="preserve">nr. 185). Wanneer het daarentegen gaat om een mindertienjarig slachtoffer, voorziet de SOA niet in de mogelijkheid om het vermoeden te weerleggen. M.b.t. de mindertienjarige leeftijd van het slachtoffer wordt een </w:t>
      </w:r>
      <w:r w:rsidRPr="00963830">
        <w:rPr>
          <w:i/>
        </w:rPr>
        <w:t xml:space="preserve">strict liability </w:t>
      </w:r>
      <w:r w:rsidRPr="00963830">
        <w:t xml:space="preserve">gecreëerd, d.w.z. (delen van) strafbaarstellingen waarvoor geen moreel bestanddeel vereist is. </w:t>
      </w:r>
      <w:r w:rsidRPr="009C29A6">
        <w:rPr>
          <w:lang w:val="en-GB"/>
        </w:rPr>
        <w:t xml:space="preserve">Zie: </w:t>
      </w:r>
      <w:r w:rsidRPr="009C29A6">
        <w:rPr>
          <w:color w:val="000000"/>
          <w:lang w:val="en-GB"/>
        </w:rPr>
        <w:t xml:space="preserve">Opinions of the Lords of Appeal (VK) 18 juni 2008, R. v. G, </w:t>
      </w:r>
      <w:r w:rsidRPr="009C29A6">
        <w:rPr>
          <w:i/>
          <w:iCs/>
          <w:color w:val="000000"/>
          <w:lang w:val="en-GB"/>
        </w:rPr>
        <w:t>UKHL,</w:t>
      </w:r>
      <w:r w:rsidRPr="009C29A6">
        <w:rPr>
          <w:color w:val="000000"/>
          <w:lang w:val="en-GB"/>
        </w:rPr>
        <w:t xml:space="preserve"> 37; United Kingdom Supreme Court (VK) 26 juni 2013, R. v. Brown, </w:t>
      </w:r>
      <w:r w:rsidRPr="009C29A6">
        <w:rPr>
          <w:i/>
          <w:iCs/>
          <w:color w:val="000000"/>
          <w:lang w:val="en-GB"/>
        </w:rPr>
        <w:t>UKSC,</w:t>
      </w:r>
      <w:r w:rsidRPr="009C29A6">
        <w:rPr>
          <w:color w:val="000000"/>
          <w:lang w:val="en-GB"/>
        </w:rPr>
        <w:t xml:space="preserve"> 43</w:t>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835. </w:t>
      </w:r>
      <w:r w:rsidRPr="00963830">
        <w:t xml:space="preserve">Deze vorm van </w:t>
      </w:r>
      <w:r w:rsidRPr="00963830">
        <w:rPr>
          <w:i/>
        </w:rPr>
        <w:t>strict liability</w:t>
      </w:r>
      <w:r w:rsidRPr="00963830">
        <w:t xml:space="preserve"> (m.a.w. de afwezigheid van een vereist moreel bestanddeel m.b.t. de mindertienjarige leeftijd)</w:t>
      </w:r>
      <w:r w:rsidRPr="00963830">
        <w:rPr>
          <w:i/>
        </w:rPr>
        <w:t xml:space="preserve"> </w:t>
      </w:r>
      <w:r w:rsidRPr="00963830">
        <w:t xml:space="preserve">wordt evenwel sterk bekritiseerd binnen de rechtsleer, zie hierover: D. ORMEROD en K. LAIRD, </w:t>
      </w:r>
      <w:r w:rsidRPr="00963830">
        <w:rPr>
          <w:i/>
        </w:rPr>
        <w:t>Smith, Hogan, &amp; Ormerod’s Criminal Law,</w:t>
      </w:r>
      <w:r w:rsidRPr="00963830">
        <w:t xml:space="preserve"> Oxford (VK), Oxford University Press, 2021, 859.</w:t>
      </w:r>
    </w:p>
  </w:footnote>
  <w:footnote w:id="433">
    <w:p w14:paraId="050D9711" w14:textId="1354BC14"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Sections</w:t>
      </w:r>
      <w:r w:rsidRPr="009C29A6">
        <w:rPr>
          <w:lang w:val="en-GB"/>
        </w:rPr>
        <w:t xml:space="preserve"> 9 t.e.m. 15 SOA. </w:t>
      </w:r>
    </w:p>
  </w:footnote>
  <w:footnote w:id="434">
    <w:p w14:paraId="29380E96" w14:textId="1CA79460" w:rsidR="00BA0376" w:rsidRPr="009C29A6" w:rsidRDefault="00BA0376" w:rsidP="00613E6B">
      <w:pPr>
        <w:pStyle w:val="NoSpacing"/>
        <w:rPr>
          <w:lang w:val="en-GB"/>
        </w:rPr>
      </w:pPr>
      <w:r w:rsidRPr="00963830">
        <w:rPr>
          <w:rStyle w:val="FootnoteReference"/>
        </w:rPr>
        <w:footnoteRef/>
      </w:r>
      <w:r w:rsidRPr="00963830">
        <w:t xml:space="preserve"> De handeling zal niet strafbaar zijn als de dader er redelijkerwijze kon geloven dat het slachtoffer ouder dan achttien jaar was. T.a.v. deze leeftijd wordt bijgevolg eveneens als moreel bestanddeel onachtzaamheid vereist. Wanneer het slachtoffer evenwel een mindertienjarige was, zal er in ieder geval sprake zijn van het misdrijf, zodat t.a.v. de mindertienjarige leeftijd i.g.v. specifieke daderhoedanigheid opnieuw een </w:t>
      </w:r>
      <w:r w:rsidRPr="00963830">
        <w:rPr>
          <w:i/>
        </w:rPr>
        <w:t xml:space="preserve">strict liability </w:t>
      </w:r>
      <w:r w:rsidRPr="00963830">
        <w:t xml:space="preserve">wordt toegepast en bijgevolg geen moreel bestanddeel vereist is ten aanzien hiervan. </w:t>
      </w:r>
      <w:r w:rsidRPr="009C29A6">
        <w:rPr>
          <w:lang w:val="en-GB"/>
        </w:rPr>
        <w:t xml:space="preserve">Zie: D. ORMEROD en K. LAIRD, </w:t>
      </w:r>
      <w:r w:rsidRPr="009C29A6">
        <w:rPr>
          <w:i/>
          <w:lang w:val="en-GB"/>
        </w:rPr>
        <w:t>Smith, Hogan, &amp; Ormerod’s Criminal Law,</w:t>
      </w:r>
      <w:r w:rsidRPr="009C29A6">
        <w:rPr>
          <w:lang w:val="en-GB"/>
        </w:rPr>
        <w:t xml:space="preserve"> Oxford (VK), Oxford University Press, 2021, 839.</w:t>
      </w:r>
    </w:p>
  </w:footnote>
  <w:footnote w:id="435">
    <w:p w14:paraId="78DDA701" w14:textId="4412C0C8"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Sections</w:t>
      </w:r>
      <w:r w:rsidRPr="009C29A6">
        <w:rPr>
          <w:lang w:val="en-GB"/>
        </w:rPr>
        <w:t xml:space="preserve"> 16 t.e.m. 18 en </w:t>
      </w:r>
      <w:r w:rsidRPr="009C29A6">
        <w:rPr>
          <w:i/>
          <w:lang w:val="en-GB"/>
        </w:rPr>
        <w:t>sections</w:t>
      </w:r>
      <w:r w:rsidRPr="009C29A6">
        <w:rPr>
          <w:lang w:val="en-GB"/>
        </w:rPr>
        <w:t xml:space="preserve"> 25 t.e.m. 26 van de SOA.</w:t>
      </w:r>
    </w:p>
  </w:footnote>
  <w:footnote w:id="436">
    <w:p w14:paraId="6B3DB811" w14:textId="552C5234" w:rsidR="00BA0376" w:rsidRPr="009C29A6" w:rsidRDefault="00BA0376" w:rsidP="00613E6B">
      <w:pPr>
        <w:pStyle w:val="NoSpacing"/>
        <w:rPr>
          <w:lang w:val="en-GB"/>
        </w:rPr>
      </w:pPr>
      <w:r w:rsidRPr="00963830">
        <w:rPr>
          <w:rStyle w:val="FootnoteReference"/>
        </w:rPr>
        <w:footnoteRef/>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838; T. THOMAS, </w:t>
      </w:r>
      <w:r w:rsidRPr="009C29A6">
        <w:rPr>
          <w:i/>
          <w:lang w:val="en-GB"/>
        </w:rPr>
        <w:t>Sex Crime. Sex offending and society</w:t>
      </w:r>
      <w:r w:rsidRPr="009C29A6">
        <w:rPr>
          <w:lang w:val="en-GB"/>
        </w:rPr>
        <w:t>, Cullompton (VK), Willan Publishing, 2005, 9-10.</w:t>
      </w:r>
    </w:p>
  </w:footnote>
  <w:footnote w:id="437">
    <w:p w14:paraId="688ED54B" w14:textId="6836BB82"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3, (1), (a) SOA: “</w:t>
      </w:r>
      <w:r w:rsidRPr="009C29A6">
        <w:rPr>
          <w:i/>
          <w:lang w:val="en-GB"/>
        </w:rPr>
        <w:t>intentionally</w:t>
      </w:r>
      <w:r w:rsidRPr="009C29A6">
        <w:rPr>
          <w:lang w:val="en-GB"/>
        </w:rPr>
        <w:t xml:space="preserve">”; </w:t>
      </w:r>
      <w:r w:rsidRPr="009C29A6">
        <w:rPr>
          <w:rFonts w:eastAsia="Times New Roman" w:cs="Times New Roman"/>
          <w:color w:val="000000"/>
          <w:lang w:val="en-GB" w:eastAsia="nl-NL"/>
        </w:rPr>
        <w:t xml:space="preserve">Court of Appeal (VK) 12 februari 2007, R. v. Heard, </w:t>
      </w:r>
      <w:r w:rsidRPr="009C29A6">
        <w:rPr>
          <w:rFonts w:eastAsia="Times New Roman" w:cs="Times New Roman"/>
          <w:i/>
          <w:iCs/>
          <w:color w:val="000000"/>
          <w:lang w:val="en-GB" w:eastAsia="nl-NL"/>
        </w:rPr>
        <w:t>EWCA Crim,</w:t>
      </w:r>
      <w:r w:rsidRPr="009C29A6">
        <w:rPr>
          <w:rFonts w:eastAsia="Times New Roman" w:cs="Times New Roman"/>
          <w:color w:val="000000"/>
          <w:lang w:val="en-GB" w:eastAsia="nl-NL"/>
        </w:rPr>
        <w:t xml:space="preserve"> 125; </w:t>
      </w:r>
      <w:r w:rsidRPr="009C29A6">
        <w:rPr>
          <w:lang w:val="en-GB"/>
        </w:rPr>
        <w:t xml:space="preserve">D. ORMEROD en K. LAIRD, </w:t>
      </w:r>
      <w:r w:rsidRPr="009C29A6">
        <w:rPr>
          <w:i/>
          <w:lang w:val="en-GB"/>
        </w:rPr>
        <w:t>Smith, Hogan, &amp; Ormerod’s Criminal Law,</w:t>
      </w:r>
      <w:r w:rsidRPr="009C29A6">
        <w:rPr>
          <w:lang w:val="en-GB"/>
        </w:rPr>
        <w:t xml:space="preserve"> Oxford (VK), Oxford University Press, 2021, 830.</w:t>
      </w:r>
      <w:r w:rsidRPr="009C29A6">
        <w:rPr>
          <w:rFonts w:eastAsia="Times New Roman" w:cs="Times New Roman"/>
          <w:color w:val="000000"/>
          <w:lang w:val="en-GB" w:eastAsia="nl-NL"/>
        </w:rPr>
        <w:t xml:space="preserve"> </w:t>
      </w:r>
    </w:p>
  </w:footnote>
  <w:footnote w:id="438">
    <w:p w14:paraId="22DC3732" w14:textId="437ECF99" w:rsidR="00BA0376" w:rsidRPr="009C29A6" w:rsidRDefault="00BA0376" w:rsidP="00613E6B">
      <w:pPr>
        <w:pStyle w:val="NoSpacing"/>
        <w:rPr>
          <w:lang w:val="en-GB"/>
        </w:rPr>
      </w:pPr>
      <w:r w:rsidRPr="00963830">
        <w:rPr>
          <w:rStyle w:val="FootnoteReference"/>
        </w:rPr>
        <w:footnoteRef/>
      </w:r>
      <w:r w:rsidRPr="00963830">
        <w:t xml:space="preserve"> </w:t>
      </w:r>
      <w:r w:rsidRPr="00963830">
        <w:rPr>
          <w:color w:val="000000" w:themeColor="text1"/>
        </w:rPr>
        <w:t xml:space="preserve">Dit laatste kan wel relevant zijn als het gaat om een gedraging die niet van nature seksueel </w:t>
      </w:r>
      <w:r w:rsidRPr="00963830">
        <w:rPr>
          <w:i/>
          <w:color w:val="000000" w:themeColor="text1"/>
        </w:rPr>
        <w:t>is</w:t>
      </w:r>
      <w:r w:rsidRPr="00963830">
        <w:rPr>
          <w:color w:val="000000" w:themeColor="text1"/>
        </w:rPr>
        <w:t xml:space="preserve">, maar dit wel </w:t>
      </w:r>
      <w:r w:rsidRPr="00963830">
        <w:rPr>
          <w:i/>
          <w:color w:val="000000" w:themeColor="text1"/>
        </w:rPr>
        <w:t>kan</w:t>
      </w:r>
      <w:r w:rsidRPr="00963830">
        <w:rPr>
          <w:color w:val="000000" w:themeColor="text1"/>
        </w:rPr>
        <w:t xml:space="preserve"> zijn. In zulke gevallen zullen immers de omstandigheden en/of het doel bepalend zijn voor het al dan niet seksueel karakter van de aanrakingen (</w:t>
      </w:r>
      <w:r w:rsidRPr="00963830">
        <w:rPr>
          <w:i/>
          <w:color w:val="000000" w:themeColor="text1"/>
        </w:rPr>
        <w:t>supra</w:t>
      </w:r>
      <w:r w:rsidRPr="00963830">
        <w:rPr>
          <w:color w:val="000000" w:themeColor="text1"/>
        </w:rPr>
        <w:t xml:space="preserve"> nr. 176). </w:t>
      </w:r>
      <w:r w:rsidRPr="009C29A6">
        <w:rPr>
          <w:color w:val="000000" w:themeColor="text1"/>
          <w:lang w:val="en-GB"/>
        </w:rPr>
        <w:t xml:space="preserve">Zie ook: </w:t>
      </w:r>
      <w:r w:rsidRPr="009C29A6">
        <w:rPr>
          <w:lang w:val="en-GB"/>
        </w:rPr>
        <w:t xml:space="preserve">J. HORDER, </w:t>
      </w:r>
      <w:r w:rsidRPr="009C29A6">
        <w:rPr>
          <w:i/>
          <w:lang w:val="en-GB"/>
        </w:rPr>
        <w:t>Ashworth’s Principles of Criminal Law</w:t>
      </w:r>
      <w:r w:rsidRPr="009C29A6">
        <w:rPr>
          <w:lang w:val="en-GB"/>
        </w:rPr>
        <w:t xml:space="preserve">, Oxford (VK), Oxford University Press, 2019, 352; M.J. ALLEN en I. EDWARDS, </w:t>
      </w:r>
      <w:r w:rsidRPr="009C29A6">
        <w:rPr>
          <w:i/>
          <w:lang w:val="en-GB"/>
        </w:rPr>
        <w:t>Criminal Law</w:t>
      </w:r>
      <w:r w:rsidRPr="009C29A6">
        <w:rPr>
          <w:lang w:val="en-GB"/>
        </w:rPr>
        <w:t>, Oxford (VK), Oxford University Press, 2021, 500.</w:t>
      </w:r>
    </w:p>
  </w:footnote>
  <w:footnote w:id="439">
    <w:p w14:paraId="3565CBB0" w14:textId="372F691E" w:rsidR="00BA0376" w:rsidRPr="009C29A6" w:rsidRDefault="00BA0376" w:rsidP="00613E6B">
      <w:pPr>
        <w:pStyle w:val="NoSpacing"/>
        <w:rPr>
          <w:lang w:val="en-GB"/>
        </w:rPr>
      </w:pPr>
      <w:r w:rsidRPr="00963830">
        <w:rPr>
          <w:rStyle w:val="FootnoteReference"/>
        </w:rPr>
        <w:footnoteRef/>
      </w:r>
      <w:r w:rsidRPr="009C29A6">
        <w:rPr>
          <w:lang w:val="en-GB"/>
        </w:rPr>
        <w:t xml:space="preserve"> Attorney General’s Reference (No. 1 of 2020), </w:t>
      </w:r>
      <w:r w:rsidRPr="009C29A6">
        <w:rPr>
          <w:i/>
          <w:lang w:val="en-GB"/>
        </w:rPr>
        <w:t xml:space="preserve">EWCA Crim, </w:t>
      </w:r>
      <w:r w:rsidRPr="009C29A6">
        <w:rPr>
          <w:lang w:val="en-GB"/>
        </w:rPr>
        <w:t>1665</w:t>
      </w:r>
      <w:r w:rsidRPr="009C29A6">
        <w:rPr>
          <w:rFonts w:eastAsia="Times New Roman" w:cs="Times New Roman"/>
          <w:color w:val="000000"/>
          <w:lang w:val="en-GB" w:eastAsia="nl-NL"/>
        </w:rPr>
        <w:t>;</w:t>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830; J. HORDER, </w:t>
      </w:r>
      <w:r w:rsidRPr="009C29A6">
        <w:rPr>
          <w:i/>
          <w:lang w:val="en-GB"/>
        </w:rPr>
        <w:t>Ashworth’s Principles of Criminal Law</w:t>
      </w:r>
      <w:r w:rsidRPr="009C29A6">
        <w:rPr>
          <w:lang w:val="en-GB"/>
        </w:rPr>
        <w:t>, Oxford (VK), Oxford University Press, 2019, 352.</w:t>
      </w:r>
    </w:p>
  </w:footnote>
  <w:footnote w:id="440">
    <w:p w14:paraId="5A136EAA" w14:textId="1D64CAA1" w:rsidR="00BA0376" w:rsidRPr="00963830" w:rsidRDefault="00BA0376" w:rsidP="00613E6B">
      <w:pPr>
        <w:pStyle w:val="NoSpacing"/>
      </w:pPr>
      <w:r w:rsidRPr="00963830">
        <w:rPr>
          <w:rStyle w:val="FootnoteReference"/>
        </w:rPr>
        <w:footnoteRef/>
      </w:r>
      <w:r w:rsidRPr="00963830">
        <w:t xml:space="preserve"> </w:t>
      </w:r>
      <w:r w:rsidRPr="00963830">
        <w:rPr>
          <w:i/>
        </w:rPr>
        <w:t>Section</w:t>
      </w:r>
      <w:r w:rsidRPr="00963830">
        <w:t xml:space="preserve"> 3, (1), (d) SOA.</w:t>
      </w:r>
    </w:p>
  </w:footnote>
  <w:footnote w:id="441">
    <w:p w14:paraId="14719FB3" w14:textId="28C7117A" w:rsidR="00BA0376" w:rsidRPr="009C29A6" w:rsidRDefault="00BA0376" w:rsidP="00963830">
      <w:pPr>
        <w:rPr>
          <w:sz w:val="16"/>
          <w:szCs w:val="16"/>
          <w:lang w:val="en-GB"/>
        </w:rPr>
      </w:pPr>
      <w:r w:rsidRPr="00963830">
        <w:rPr>
          <w:rStyle w:val="FootnoteReference"/>
          <w:sz w:val="16"/>
          <w:szCs w:val="16"/>
        </w:rPr>
        <w:footnoteRef/>
      </w:r>
      <w:r w:rsidRPr="00963830">
        <w:rPr>
          <w:sz w:val="16"/>
          <w:szCs w:val="16"/>
        </w:rPr>
        <w:t xml:space="preserve"> Hiermee stelt de SOA een einde aan de mogelijkheid om een zgn. “</w:t>
      </w:r>
      <w:r w:rsidRPr="00963830">
        <w:rPr>
          <w:i/>
          <w:sz w:val="16"/>
          <w:szCs w:val="16"/>
        </w:rPr>
        <w:t>Morgan</w:t>
      </w:r>
      <w:r w:rsidRPr="00963830">
        <w:rPr>
          <w:sz w:val="16"/>
          <w:szCs w:val="16"/>
        </w:rPr>
        <w:t xml:space="preserve">-defence” te voeren. In 1975 stelde de </w:t>
      </w:r>
      <w:r w:rsidRPr="00963830">
        <w:rPr>
          <w:i/>
          <w:sz w:val="16"/>
          <w:szCs w:val="16"/>
        </w:rPr>
        <w:t xml:space="preserve">House of Lords </w:t>
      </w:r>
      <w:r w:rsidRPr="00963830">
        <w:rPr>
          <w:sz w:val="16"/>
          <w:szCs w:val="16"/>
        </w:rPr>
        <w:t xml:space="preserve">immers in de zaak </w:t>
      </w:r>
      <w:r w:rsidRPr="00963830">
        <w:rPr>
          <w:i/>
          <w:sz w:val="16"/>
          <w:szCs w:val="16"/>
        </w:rPr>
        <w:t xml:space="preserve">Morgan </w:t>
      </w:r>
      <w:r w:rsidRPr="00963830">
        <w:rPr>
          <w:sz w:val="16"/>
          <w:szCs w:val="16"/>
        </w:rPr>
        <w:t xml:space="preserve">dat indien de dader oprecht geloofde dat het slachtoffer toestemde, deze niet kon worden veroordeeld voor </w:t>
      </w:r>
      <w:r w:rsidRPr="00963830">
        <w:rPr>
          <w:i/>
          <w:sz w:val="16"/>
          <w:szCs w:val="16"/>
        </w:rPr>
        <w:t>rape.</w:t>
      </w:r>
      <w:r w:rsidRPr="00963830">
        <w:rPr>
          <w:sz w:val="16"/>
          <w:szCs w:val="16"/>
        </w:rPr>
        <w:t xml:space="preserve"> Onder het oud Brits recht was dus een algemeen opzet vereist t.a.v. het ontbreken van de toestemming in hoofde van het slachtoffer: de dader moest weten dat het slachtoffer niet instemde of dat er een mogelijkheid bestond dat het slachtoffer niet instemde. Er werd dus enkel gekeken naar de subjectieve opvatting van de dader. Sinds de invoering van de SOA in 2003 gaat een dergelijke verdediging niet meer op, aangezien het geloof - hoe oprecht ook - daarenboven redelijk dient te zijn. Hierdoor wordt niet alleen gekeken naar de subjectieve opvatting van de dader (geloofde deze dat het slachtoffer instemde?), maar wordt deze test enigszins geobjectiveerd (was dit geloof redelijk?). </w:t>
      </w:r>
      <w:r w:rsidRPr="009C29A6">
        <w:rPr>
          <w:sz w:val="16"/>
          <w:szCs w:val="16"/>
          <w:lang w:val="en-GB"/>
        </w:rPr>
        <w:t xml:space="preserve">Zie: House of Lords (VK), 30 april 1975, DPP v Morgan, </w:t>
      </w:r>
      <w:r w:rsidRPr="009C29A6">
        <w:rPr>
          <w:i/>
          <w:sz w:val="16"/>
          <w:szCs w:val="16"/>
          <w:lang w:val="en-GB"/>
        </w:rPr>
        <w:t>UKHL</w:t>
      </w:r>
      <w:r w:rsidRPr="009C29A6">
        <w:rPr>
          <w:sz w:val="16"/>
          <w:szCs w:val="16"/>
          <w:lang w:val="en-GB"/>
        </w:rPr>
        <w:t xml:space="preserve"> 3; Court of Appeal (VK) 1984, R. v. Taylor, </w:t>
      </w:r>
      <w:r w:rsidRPr="009C29A6">
        <w:rPr>
          <w:i/>
          <w:sz w:val="16"/>
          <w:szCs w:val="16"/>
          <w:lang w:val="en-GB"/>
        </w:rPr>
        <w:t>80 Cr App R</w:t>
      </w:r>
      <w:r w:rsidRPr="009C29A6">
        <w:rPr>
          <w:sz w:val="16"/>
          <w:szCs w:val="16"/>
          <w:lang w:val="en-GB"/>
        </w:rPr>
        <w:t xml:space="preserve">, 327; Court of Appeal (VK) 1985, R. v. Haughian, 80 </w:t>
      </w:r>
      <w:r w:rsidRPr="009C29A6">
        <w:rPr>
          <w:i/>
          <w:sz w:val="16"/>
          <w:szCs w:val="16"/>
          <w:lang w:val="en-GB"/>
        </w:rPr>
        <w:t>Cr App R</w:t>
      </w:r>
      <w:r w:rsidRPr="009C29A6">
        <w:rPr>
          <w:sz w:val="16"/>
          <w:szCs w:val="16"/>
          <w:lang w:val="en-GB"/>
        </w:rPr>
        <w:t xml:space="preserve">, 334; D. ORMEROD en K. LAIRD, </w:t>
      </w:r>
      <w:r w:rsidRPr="009C29A6">
        <w:rPr>
          <w:i/>
          <w:sz w:val="16"/>
          <w:szCs w:val="16"/>
          <w:lang w:val="en-GB"/>
        </w:rPr>
        <w:t>Smith, Hogan, &amp; Ormerod’s Criminal Law,</w:t>
      </w:r>
      <w:r w:rsidRPr="009C29A6">
        <w:rPr>
          <w:sz w:val="16"/>
          <w:szCs w:val="16"/>
          <w:lang w:val="en-GB"/>
        </w:rPr>
        <w:t xml:space="preserve"> Oxford (VK), Oxford University Press, 2021 823-827; CROWN PROSECUTION SERVICE (CPS), “Rape and Sexual Offences - Overview and index of 2021 updated guidance”, www.cps.gov.uk/legal-guidance/rape-and-sexual-offences-overview-and-index-2021-updated-guidance, chapter 6 (consultatie 17 april 2023).</w:t>
      </w:r>
    </w:p>
  </w:footnote>
  <w:footnote w:id="442">
    <w:p w14:paraId="3EBE8C13" w14:textId="1B18DA10" w:rsidR="00BA0376" w:rsidRPr="009C29A6" w:rsidRDefault="00BA0376" w:rsidP="00613E6B">
      <w:pPr>
        <w:pStyle w:val="NoSpacing"/>
        <w:rPr>
          <w:lang w:val="en-GB"/>
        </w:rPr>
      </w:pPr>
      <w:r w:rsidRPr="00963830">
        <w:rPr>
          <w:rStyle w:val="FootnoteReference"/>
        </w:rPr>
        <w:footnoteRef/>
      </w:r>
      <w:r w:rsidRPr="00963830">
        <w:t xml:space="preserve"> Binnen de rechtsleer wordt deze toevoeging bekritiseerd omdat dit de objectiviteit van deze voorwaarde vermindert. O.g.v. deze bepaling is het immers niet duidelijk in welke mate rekening dient te worden gehouden met het “overtuigingssysteem” van de dader. Dit werd dan ook verder uiteengezet in de rechtspraak. Zo werd in </w:t>
      </w:r>
      <w:r w:rsidRPr="00963830">
        <w:rPr>
          <w:i/>
        </w:rPr>
        <w:t>B</w:t>
      </w:r>
      <w:r w:rsidRPr="00963830">
        <w:t xml:space="preserve"> geoordeeld dat de opvatting die de dader had o.w.v. diens psychische ziekte of persoonlijkheidsstoornis, niet als redelijk konden worden beschouwd. Mildere stoornissen van de dader die kunnen leiden tot misinterpretaties van subtiele sociale signalen, zouden daarentegen wel aan kunnen tonen dat de dader inderdaad redelijkerwijze kon geloven dat het slachtoffer instemde. </w:t>
      </w:r>
      <w:r w:rsidRPr="009C29A6">
        <w:rPr>
          <w:lang w:val="en-GB"/>
        </w:rPr>
        <w:t xml:space="preserve">Zie: Court of Appeal (VK) 31 januari 2013, R. v. B, </w:t>
      </w:r>
      <w:r w:rsidRPr="009C29A6">
        <w:rPr>
          <w:i/>
          <w:lang w:val="en-GB"/>
        </w:rPr>
        <w:t>EWCA Crim</w:t>
      </w:r>
      <w:r w:rsidRPr="009C29A6">
        <w:rPr>
          <w:lang w:val="en-GB"/>
        </w:rPr>
        <w:t xml:space="preserve">, 3; D. ORMEROD en K. LAIRD, </w:t>
      </w:r>
      <w:r w:rsidRPr="009C29A6">
        <w:rPr>
          <w:i/>
          <w:lang w:val="en-GB"/>
        </w:rPr>
        <w:t>Smith, Hogan, &amp; Ormerod’s Criminal Law,</w:t>
      </w:r>
      <w:r w:rsidRPr="009C29A6">
        <w:rPr>
          <w:lang w:val="en-GB"/>
        </w:rPr>
        <w:t xml:space="preserve"> Oxford (VK), Oxford University Press, 2021, 825; J. HORDER, </w:t>
      </w:r>
      <w:r w:rsidRPr="009C29A6">
        <w:rPr>
          <w:i/>
          <w:lang w:val="en-GB"/>
        </w:rPr>
        <w:t>Ashworth’s Principles of Criminal Law</w:t>
      </w:r>
      <w:r w:rsidRPr="009C29A6">
        <w:rPr>
          <w:lang w:val="en-GB"/>
        </w:rPr>
        <w:t xml:space="preserve">, Oxford (VK), Oxford University Press, 2019, 366. </w:t>
      </w:r>
    </w:p>
  </w:footnote>
  <w:footnote w:id="443">
    <w:p w14:paraId="2F10815E" w14:textId="3C7D9671"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3, (2) SOA; B. BREWIS en T. STOREY, “The meaning of "reasonable belief in consent" under the Sexual Offences Act 2003 and the admissibility of bad character evidence under the Criminal Justice Act 2003”, </w:t>
      </w:r>
      <w:r w:rsidRPr="009C29A6">
        <w:rPr>
          <w:i/>
          <w:lang w:val="en-GB"/>
        </w:rPr>
        <w:t>Journal of Criminal Law</w:t>
      </w:r>
      <w:r w:rsidRPr="009C29A6">
        <w:rPr>
          <w:lang w:val="en-GB"/>
        </w:rPr>
        <w:t xml:space="preserve"> 2020, 84(5), (508) 510; J. HORDER, </w:t>
      </w:r>
      <w:r w:rsidRPr="009C29A6">
        <w:rPr>
          <w:i/>
          <w:lang w:val="en-GB"/>
        </w:rPr>
        <w:t>Ashworth’s Principles of Criminal Law</w:t>
      </w:r>
      <w:r w:rsidRPr="009C29A6">
        <w:rPr>
          <w:lang w:val="en-GB"/>
        </w:rPr>
        <w:t>, Oxford (VK), Oxford University Press, 2019, 365.</w:t>
      </w:r>
    </w:p>
  </w:footnote>
  <w:footnote w:id="444">
    <w:p w14:paraId="2B804D4C" w14:textId="58C66296" w:rsidR="00BA0376" w:rsidRPr="00963830" w:rsidRDefault="00BA0376" w:rsidP="00613E6B">
      <w:pPr>
        <w:pStyle w:val="NoSpacing"/>
      </w:pPr>
      <w:r w:rsidRPr="00963830">
        <w:rPr>
          <w:rStyle w:val="FootnoteReference"/>
        </w:rPr>
        <w:footnoteRef/>
      </w:r>
      <w:r w:rsidRPr="00963830">
        <w:t xml:space="preserve"> Een onachtzame dader is immers een dader die zich niet als een normaal, voorzichtig en redelijk persoon (hierna: NVR-persoon) in dezelfde omstandigheden gedroeg. Zie: R. VERSTRAETEN en F. VERBRUGGEN, </w:t>
      </w:r>
      <w:r w:rsidRPr="00963830">
        <w:rPr>
          <w:i/>
        </w:rPr>
        <w:t>Strafrecht en strafprocesrecht voor bachelors</w:t>
      </w:r>
      <w:r w:rsidRPr="00963830">
        <w:t>, Antwerpen, Intersentia, 2022, 51-52.</w:t>
      </w:r>
    </w:p>
  </w:footnote>
  <w:footnote w:id="445">
    <w:p w14:paraId="684F1249" w14:textId="02AA37C0" w:rsidR="00BA0376" w:rsidRPr="009C29A6" w:rsidRDefault="00BA0376" w:rsidP="00613E6B">
      <w:pPr>
        <w:pStyle w:val="NoSpacing"/>
        <w:rPr>
          <w:lang w:val="en-GB"/>
        </w:rPr>
      </w:pPr>
      <w:r w:rsidRPr="00963830">
        <w:rPr>
          <w:rStyle w:val="FootnoteReference"/>
        </w:rPr>
        <w:footnoteRef/>
      </w:r>
      <w:r w:rsidRPr="009C29A6">
        <w:rPr>
          <w:lang w:val="en-GB"/>
        </w:rPr>
        <w:t xml:space="preserve"> J. HORDER, </w:t>
      </w:r>
      <w:r w:rsidRPr="009C29A6">
        <w:rPr>
          <w:i/>
          <w:lang w:val="en-GB"/>
        </w:rPr>
        <w:t>Ashworth’s Principles of Criminal Law</w:t>
      </w:r>
      <w:r w:rsidRPr="009C29A6">
        <w:rPr>
          <w:lang w:val="en-GB"/>
        </w:rPr>
        <w:t>, Oxford (VK), Oxford University Press, 2019, 365.</w:t>
      </w:r>
    </w:p>
  </w:footnote>
  <w:footnote w:id="446">
    <w:p w14:paraId="564D0D1D" w14:textId="3381CB62" w:rsidR="00BA0376" w:rsidRPr="009C29A6" w:rsidRDefault="00BA0376" w:rsidP="00613E6B">
      <w:pPr>
        <w:pStyle w:val="NoSpacing"/>
        <w:rPr>
          <w:lang w:val="en-GB"/>
        </w:rPr>
      </w:pPr>
      <w:r w:rsidRPr="00963830">
        <w:rPr>
          <w:rStyle w:val="FootnoteReference"/>
        </w:rPr>
        <w:footnoteRef/>
      </w:r>
      <w:r w:rsidRPr="00963830">
        <w:t xml:space="preserve"> </w:t>
      </w:r>
      <w:r w:rsidRPr="00963830">
        <w:rPr>
          <w:color w:val="000000" w:themeColor="text1"/>
        </w:rPr>
        <w:t>Wanneer deze bestaat uit een welbepaalde penetratie (</w:t>
      </w:r>
      <w:r w:rsidRPr="00963830">
        <w:rPr>
          <w:i/>
          <w:color w:val="000000" w:themeColor="text1"/>
        </w:rPr>
        <w:t>subsection</w:t>
      </w:r>
      <w:r w:rsidRPr="00963830">
        <w:rPr>
          <w:color w:val="000000" w:themeColor="text1"/>
        </w:rPr>
        <w:t xml:space="preserve"> 4), staat hier een zwaardere straf op dan wanneer geen penetratie voorhanden is</w:t>
      </w:r>
      <w:r w:rsidRPr="00963830">
        <w:t xml:space="preserve">. </w:t>
      </w:r>
      <w:r w:rsidRPr="009C29A6">
        <w:rPr>
          <w:lang w:val="en-GB"/>
        </w:rPr>
        <w:t xml:space="preserve">Vergelijk </w:t>
      </w:r>
      <w:r w:rsidRPr="009C29A6">
        <w:rPr>
          <w:i/>
          <w:lang w:val="en-GB"/>
        </w:rPr>
        <w:t>subsection</w:t>
      </w:r>
      <w:r w:rsidRPr="009C29A6">
        <w:rPr>
          <w:lang w:val="en-GB"/>
        </w:rPr>
        <w:t xml:space="preserve"> 4 </w:t>
      </w:r>
      <w:r w:rsidRPr="009C29A6">
        <w:rPr>
          <w:i/>
          <w:lang w:val="en-GB"/>
        </w:rPr>
        <w:t>in fine</w:t>
      </w:r>
      <w:r w:rsidRPr="009C29A6">
        <w:rPr>
          <w:lang w:val="en-GB"/>
        </w:rPr>
        <w:t xml:space="preserve"> met </w:t>
      </w:r>
      <w:r w:rsidRPr="009C29A6">
        <w:rPr>
          <w:i/>
          <w:lang w:val="en-GB"/>
        </w:rPr>
        <w:t>subsection</w:t>
      </w:r>
      <w:r w:rsidRPr="009C29A6">
        <w:rPr>
          <w:lang w:val="en-GB"/>
        </w:rPr>
        <w:t xml:space="preserve"> 5 SOA.</w:t>
      </w:r>
    </w:p>
  </w:footnote>
  <w:footnote w:id="447">
    <w:p w14:paraId="1B09FBF3" w14:textId="751DAC44" w:rsidR="00BA0376" w:rsidRPr="009C29A6" w:rsidRDefault="00BA0376" w:rsidP="00613E6B">
      <w:pPr>
        <w:pStyle w:val="NoSpacing"/>
        <w:rPr>
          <w:lang w:val="en-GB"/>
        </w:rPr>
      </w:pPr>
      <w:r w:rsidRPr="00963830">
        <w:rPr>
          <w:rStyle w:val="FootnoteReference"/>
        </w:rPr>
        <w:footnoteRef/>
      </w:r>
      <w:r w:rsidRPr="009C29A6">
        <w:rPr>
          <w:lang w:val="en-GB"/>
        </w:rPr>
        <w:t xml:space="preserve"> House of Lords (VK) 1 maart 1984, R. v. Courtie, </w:t>
      </w:r>
      <w:r w:rsidRPr="009C29A6">
        <w:rPr>
          <w:i/>
          <w:lang w:val="en-GB"/>
        </w:rPr>
        <w:t>AC</w:t>
      </w:r>
      <w:r w:rsidRPr="009C29A6">
        <w:rPr>
          <w:lang w:val="en-GB"/>
        </w:rPr>
        <w:t>, 463.</w:t>
      </w:r>
    </w:p>
  </w:footnote>
  <w:footnote w:id="448">
    <w:p w14:paraId="19875C86" w14:textId="69633695" w:rsidR="00BA0376" w:rsidRPr="009C29A6" w:rsidRDefault="00BA0376" w:rsidP="00613E6B">
      <w:pPr>
        <w:pStyle w:val="NoSpacing"/>
        <w:rPr>
          <w:lang w:val="en-GB"/>
        </w:rPr>
      </w:pPr>
      <w:r w:rsidRPr="00963830">
        <w:rPr>
          <w:rStyle w:val="FootnoteReference"/>
        </w:rPr>
        <w:footnoteRef/>
      </w:r>
      <w:r w:rsidRPr="009C29A6">
        <w:rPr>
          <w:lang w:val="en-GB"/>
        </w:rPr>
        <w:t xml:space="preserve"> C. TAYLOR, </w:t>
      </w:r>
      <w:r w:rsidRPr="009C29A6">
        <w:rPr>
          <w:i/>
          <w:lang w:val="en-GB"/>
        </w:rPr>
        <w:t>Criminal Law</w:t>
      </w:r>
      <w:r w:rsidRPr="009C29A6">
        <w:rPr>
          <w:lang w:val="en-GB"/>
        </w:rPr>
        <w:t xml:space="preserve">, London (VK), Thomson Reuters, 2018, 508-509; D. ORMEROD en K. LAIRD, </w:t>
      </w:r>
      <w:r w:rsidRPr="009C29A6">
        <w:rPr>
          <w:i/>
          <w:lang w:val="en-GB"/>
        </w:rPr>
        <w:t>Smith, Hogan, &amp; Ormerod’s Criminal Law,</w:t>
      </w:r>
      <w:r w:rsidRPr="009C29A6">
        <w:rPr>
          <w:lang w:val="en-GB"/>
        </w:rPr>
        <w:t xml:space="preserve"> Oxford (VK), Oxford University Press, 2021, 830; J. HORDER, </w:t>
      </w:r>
      <w:r w:rsidRPr="009C29A6">
        <w:rPr>
          <w:i/>
          <w:lang w:val="en-GB"/>
        </w:rPr>
        <w:t>Ashworth’s Principles of Criminal Law</w:t>
      </w:r>
      <w:r w:rsidRPr="009C29A6">
        <w:rPr>
          <w:lang w:val="en-GB"/>
        </w:rPr>
        <w:t>, Oxford (VK), Oxford University Press, 2019, 353; M.J. ALLEN en I. EDWARDS, Criminal Law, Oxford (VK), Oxford University Press, 2021, 500-502.</w:t>
      </w:r>
    </w:p>
  </w:footnote>
  <w:footnote w:id="449">
    <w:p w14:paraId="61DCBF19" w14:textId="3F86E85B" w:rsidR="00BA0376" w:rsidRPr="00963830" w:rsidRDefault="00BA0376" w:rsidP="00613E6B">
      <w:pPr>
        <w:pStyle w:val="NoSpacing"/>
      </w:pPr>
      <w:r w:rsidRPr="00963830">
        <w:rPr>
          <w:rStyle w:val="FootnoteReference"/>
        </w:rPr>
        <w:footnoteRef/>
      </w:r>
      <w:r w:rsidRPr="00963830">
        <w:t xml:space="preserve"> Gelet op het voorheen geïdentificeerde criterium des onderscheids (penetratie, </w:t>
      </w:r>
      <w:r w:rsidRPr="00963830">
        <w:rPr>
          <w:i/>
        </w:rPr>
        <w:t xml:space="preserve">supra </w:t>
      </w:r>
      <w:r w:rsidRPr="00963830">
        <w:t xml:space="preserve">titel 1.3.1) tussen de Belgische misdrijven aantasting van de seksuele integriteit en verkrachting, is </w:t>
      </w:r>
      <w:r w:rsidRPr="00963830">
        <w:rPr>
          <w:color w:val="000000" w:themeColor="text1"/>
        </w:rPr>
        <w:t>CESA met penetratie eerder vergelijkbaar met het Belgische misdrijf van verkrachting en CESA zonder penetratie eerder met aantasting van de seksuele integriteit. Om die reden zullen deze misdrijven dan ook onder deze respectievelijke titels worden besproken. C</w:t>
      </w:r>
      <w:r w:rsidRPr="00963830">
        <w:t>ESA met penetratie komt dan ook later aan bod (</w:t>
      </w:r>
      <w:r w:rsidRPr="00963830">
        <w:rPr>
          <w:i/>
        </w:rPr>
        <w:t xml:space="preserve">infra </w:t>
      </w:r>
      <w:r w:rsidRPr="00963830">
        <w:t>nrs. 205 e.v.).</w:t>
      </w:r>
    </w:p>
  </w:footnote>
  <w:footnote w:id="450">
    <w:p w14:paraId="61F1889C" w14:textId="4C3C142E" w:rsidR="00BA0376" w:rsidRPr="009C29A6" w:rsidRDefault="00BA0376" w:rsidP="006D0D2A">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Supra</w:t>
      </w:r>
      <w:r w:rsidRPr="009C29A6">
        <w:rPr>
          <w:color w:val="000000" w:themeColor="text1"/>
          <w:lang w:val="en-GB"/>
        </w:rPr>
        <w:t xml:space="preserve"> nr. 176.</w:t>
      </w:r>
    </w:p>
  </w:footnote>
  <w:footnote w:id="451">
    <w:p w14:paraId="2B071AAF" w14:textId="24BB2F6E" w:rsidR="00BA0376" w:rsidRPr="009C29A6" w:rsidRDefault="00BA0376" w:rsidP="00613E6B">
      <w:pPr>
        <w:pStyle w:val="NoSpacing"/>
        <w:rPr>
          <w:lang w:val="en-GB"/>
        </w:rPr>
      </w:pPr>
      <w:r w:rsidRPr="00963830">
        <w:rPr>
          <w:rStyle w:val="FootnoteReference"/>
        </w:rPr>
        <w:footnoteRef/>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831; J. HORDER, </w:t>
      </w:r>
      <w:r w:rsidRPr="009C29A6">
        <w:rPr>
          <w:i/>
          <w:lang w:val="en-GB"/>
        </w:rPr>
        <w:t>Ashworth’s Principles of Criminal Law</w:t>
      </w:r>
      <w:r w:rsidRPr="009C29A6">
        <w:rPr>
          <w:lang w:val="en-GB"/>
        </w:rPr>
        <w:t>, Oxford (VK), Oxford University Press, 2019, 353.</w:t>
      </w:r>
    </w:p>
  </w:footnote>
  <w:footnote w:id="452">
    <w:p w14:paraId="427F0F56" w14:textId="7C39C7F7" w:rsidR="00BA0376" w:rsidRPr="009C29A6" w:rsidRDefault="00BA0376" w:rsidP="00613E6B">
      <w:pPr>
        <w:pStyle w:val="NoSpacing"/>
        <w:rPr>
          <w:lang w:val="en-GB"/>
        </w:rPr>
      </w:pPr>
      <w:r w:rsidRPr="00963830">
        <w:rPr>
          <w:rStyle w:val="FootnoteReference"/>
        </w:rPr>
        <w:footnoteRef/>
      </w:r>
      <w:r w:rsidRPr="00963830">
        <w:t xml:space="preserve"> Seksuele aanrakingen door de dader van het slachtoffer zullen eerder als </w:t>
      </w:r>
      <w:r w:rsidRPr="00963830">
        <w:rPr>
          <w:i/>
        </w:rPr>
        <w:t xml:space="preserve">sexual assault </w:t>
      </w:r>
      <w:r w:rsidRPr="00963830">
        <w:t>worden gekwalificeerd (</w:t>
      </w:r>
      <w:r w:rsidRPr="00963830">
        <w:rPr>
          <w:i/>
        </w:rPr>
        <w:t xml:space="preserve">supra </w:t>
      </w:r>
      <w:r w:rsidRPr="00963830">
        <w:t xml:space="preserve">nr. 175). </w:t>
      </w:r>
      <w:r w:rsidRPr="009C29A6">
        <w:rPr>
          <w:lang w:val="en-GB"/>
        </w:rPr>
        <w:t xml:space="preserve">Zie: D. ORMEROD en K. LAIRD, </w:t>
      </w:r>
      <w:r w:rsidRPr="009C29A6">
        <w:rPr>
          <w:i/>
          <w:lang w:val="en-GB"/>
        </w:rPr>
        <w:t>Smith, Hogan, &amp; Ormerod’s Criminal Law,</w:t>
      </w:r>
      <w:r w:rsidRPr="009C29A6">
        <w:rPr>
          <w:lang w:val="en-GB"/>
        </w:rPr>
        <w:t xml:space="preserve"> Oxford (VK), Oxford University Press, 2021, 831; J. HORDER, </w:t>
      </w:r>
      <w:r w:rsidRPr="009C29A6">
        <w:rPr>
          <w:i/>
          <w:lang w:val="en-GB"/>
        </w:rPr>
        <w:t>Ashworth’s Principles of Criminal Law</w:t>
      </w:r>
      <w:r w:rsidRPr="009C29A6">
        <w:rPr>
          <w:lang w:val="en-GB"/>
        </w:rPr>
        <w:t xml:space="preserve">, Oxford (VK), Oxford University Press, 2019, 830; I. GLENDINNING., “Should mistaken consent still be consent? In defence of an incremental understanding of consent in the Sexual Offences Act 2003”, </w:t>
      </w:r>
      <w:r w:rsidRPr="009C29A6">
        <w:rPr>
          <w:i/>
          <w:lang w:val="en-GB"/>
        </w:rPr>
        <w:t xml:space="preserve">Journal of Criminal Law </w:t>
      </w:r>
      <w:r w:rsidRPr="009C29A6">
        <w:rPr>
          <w:lang w:val="en-GB"/>
        </w:rPr>
        <w:t>2021, afl. 85(3), (223) 230</w:t>
      </w:r>
    </w:p>
  </w:footnote>
  <w:footnote w:id="453">
    <w:p w14:paraId="699E8E46" w14:textId="101E9ED5" w:rsidR="00BA0376" w:rsidRPr="009C29A6" w:rsidRDefault="00BA0376" w:rsidP="00613E6B">
      <w:pPr>
        <w:pStyle w:val="NoSpacing"/>
        <w:rPr>
          <w:lang w:val="en-GB"/>
        </w:rPr>
      </w:pPr>
      <w:r w:rsidRPr="00963830">
        <w:rPr>
          <w:rStyle w:val="FootnoteReference"/>
        </w:rPr>
        <w:footnoteRef/>
      </w:r>
      <w:r w:rsidRPr="009C29A6">
        <w:rPr>
          <w:lang w:val="en-GB"/>
        </w:rPr>
        <w:t xml:space="preserve"> Court of Appeal (VK) 18 februari 2008, R. v. SD, </w:t>
      </w:r>
      <w:r w:rsidRPr="009C29A6">
        <w:rPr>
          <w:i/>
          <w:lang w:val="en-GB"/>
        </w:rPr>
        <w:t>EWCA Crim</w:t>
      </w:r>
      <w:r w:rsidRPr="009C29A6">
        <w:rPr>
          <w:lang w:val="en-GB"/>
        </w:rPr>
        <w:t>, 527.</w:t>
      </w:r>
    </w:p>
  </w:footnote>
  <w:footnote w:id="454">
    <w:p w14:paraId="02C4F836" w14:textId="400B25C6" w:rsidR="00BA0376" w:rsidRPr="009C29A6" w:rsidRDefault="00BA0376" w:rsidP="00613E6B">
      <w:pPr>
        <w:pStyle w:val="NoSpacing"/>
        <w:rPr>
          <w:lang w:val="en-GB"/>
        </w:rPr>
      </w:pPr>
      <w:r w:rsidRPr="00963830">
        <w:rPr>
          <w:rStyle w:val="FootnoteReference"/>
        </w:rPr>
        <w:footnoteRef/>
      </w:r>
      <w:r w:rsidRPr="009C29A6">
        <w:rPr>
          <w:lang w:val="en-GB"/>
        </w:rPr>
        <w:t xml:space="preserve"> Court of Appeal (VK) 10 september 2008, R. v. Basherdost, </w:t>
      </w:r>
      <w:r w:rsidRPr="009C29A6">
        <w:rPr>
          <w:i/>
          <w:lang w:val="en-GB"/>
        </w:rPr>
        <w:t xml:space="preserve">EWCA Crim, </w:t>
      </w:r>
      <w:r w:rsidRPr="009C29A6">
        <w:rPr>
          <w:lang w:val="en-GB"/>
        </w:rPr>
        <w:t>2883.</w:t>
      </w:r>
    </w:p>
  </w:footnote>
  <w:footnote w:id="455">
    <w:p w14:paraId="79F62407" w14:textId="6477CE41" w:rsidR="00BA0376" w:rsidRPr="009C29A6" w:rsidRDefault="00BA0376" w:rsidP="00613E6B">
      <w:pPr>
        <w:pStyle w:val="NoSpacing"/>
        <w:rPr>
          <w:lang w:val="en-GB"/>
        </w:rPr>
      </w:pPr>
      <w:r w:rsidRPr="00963830">
        <w:rPr>
          <w:rStyle w:val="FootnoteReference"/>
        </w:rPr>
        <w:footnoteRef/>
      </w:r>
      <w:r w:rsidRPr="009C29A6">
        <w:rPr>
          <w:lang w:val="en-GB"/>
        </w:rPr>
        <w:t xml:space="preserve"> Court of Appeal (VK) 19 november 2009, R. v. Ayeva, </w:t>
      </w:r>
      <w:r w:rsidRPr="009C29A6">
        <w:rPr>
          <w:i/>
          <w:iCs/>
          <w:lang w:val="en-GB"/>
        </w:rPr>
        <w:t>EWCA Crim</w:t>
      </w:r>
      <w:r w:rsidRPr="009C29A6">
        <w:rPr>
          <w:lang w:val="en-GB"/>
        </w:rPr>
        <w:t>, 2640.</w:t>
      </w:r>
    </w:p>
  </w:footnote>
  <w:footnote w:id="456">
    <w:p w14:paraId="5972EEDB" w14:textId="2CFEB9B1" w:rsidR="00BA0376" w:rsidRPr="009C29A6" w:rsidRDefault="00BA0376" w:rsidP="00613E6B">
      <w:pPr>
        <w:pStyle w:val="NoSpacing"/>
        <w:rPr>
          <w:lang w:val="en-GB"/>
        </w:rPr>
      </w:pPr>
      <w:r w:rsidRPr="00963830">
        <w:rPr>
          <w:rStyle w:val="FootnoteReference"/>
        </w:rPr>
        <w:footnoteRef/>
      </w:r>
      <w:r w:rsidRPr="009C29A6">
        <w:rPr>
          <w:lang w:val="en-GB"/>
        </w:rPr>
        <w:t xml:space="preserve"> D. ORMEROD en K. LAIRD, </w:t>
      </w:r>
      <w:r w:rsidRPr="009C29A6">
        <w:rPr>
          <w:i/>
          <w:lang w:val="en-GB"/>
        </w:rPr>
        <w:t>Smith, Hogan, &amp; Ormerod’s Criminal Law,</w:t>
      </w:r>
      <w:r w:rsidRPr="009C29A6">
        <w:rPr>
          <w:lang w:val="en-GB"/>
        </w:rPr>
        <w:t xml:space="preserve"> Oxford (VK), Oxford University Press, 2021, 831; I. GLENDINNING., “Should mistaken consent still be consent? In defence of an incremental understanding of consent in the Sexual Offences Act 2003”, </w:t>
      </w:r>
      <w:r w:rsidRPr="009C29A6">
        <w:rPr>
          <w:i/>
          <w:lang w:val="en-GB"/>
        </w:rPr>
        <w:t xml:space="preserve">Journal of Criminal Law </w:t>
      </w:r>
      <w:r w:rsidRPr="009C29A6">
        <w:rPr>
          <w:lang w:val="en-GB"/>
        </w:rPr>
        <w:t>2021, afl. 85(3), (223) 230</w:t>
      </w:r>
    </w:p>
  </w:footnote>
  <w:footnote w:id="457">
    <w:p w14:paraId="2CC6A1E3" w14:textId="45A2DFCD" w:rsidR="00BA0376" w:rsidRPr="009C29A6" w:rsidRDefault="00BA0376" w:rsidP="006D0D2A">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Supra</w:t>
      </w:r>
      <w:r w:rsidRPr="009C29A6">
        <w:rPr>
          <w:color w:val="000000" w:themeColor="text1"/>
          <w:lang w:val="en-GB"/>
        </w:rPr>
        <w:t xml:space="preserve"> nrs. 178 e.v.</w:t>
      </w:r>
    </w:p>
  </w:footnote>
  <w:footnote w:id="458">
    <w:p w14:paraId="66957B0A" w14:textId="01BBE111"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4, (1), (a) SOA: “</w:t>
      </w:r>
      <w:r w:rsidRPr="009C29A6">
        <w:rPr>
          <w:i/>
          <w:lang w:val="en-GB"/>
        </w:rPr>
        <w:t>intentionally</w:t>
      </w:r>
      <w:r w:rsidRPr="009C29A6">
        <w:rPr>
          <w:lang w:val="en-GB"/>
        </w:rPr>
        <w:t>”.</w:t>
      </w:r>
    </w:p>
  </w:footnote>
  <w:footnote w:id="459">
    <w:p w14:paraId="0F9E1B5B" w14:textId="20CA9C73" w:rsidR="00BA0376" w:rsidRPr="009C29A6" w:rsidRDefault="00BA0376" w:rsidP="00613E6B">
      <w:pPr>
        <w:pStyle w:val="NoSpacing"/>
        <w:rPr>
          <w:lang w:val="fr-FR"/>
        </w:rPr>
      </w:pPr>
      <w:r w:rsidRPr="00963830">
        <w:rPr>
          <w:rStyle w:val="FootnoteReference"/>
        </w:rPr>
        <w:footnoteRef/>
      </w:r>
      <w:r w:rsidRPr="009C29A6">
        <w:rPr>
          <w:lang w:val="fr-FR"/>
        </w:rPr>
        <w:t xml:space="preserve"> </w:t>
      </w:r>
      <w:r w:rsidRPr="009C29A6">
        <w:rPr>
          <w:i/>
          <w:lang w:val="fr-FR"/>
        </w:rPr>
        <w:t>Section</w:t>
      </w:r>
      <w:r w:rsidRPr="009C29A6">
        <w:rPr>
          <w:lang w:val="fr-FR"/>
        </w:rPr>
        <w:t xml:space="preserve"> 4, (1), (d) en (2) SOA.</w:t>
      </w:r>
    </w:p>
  </w:footnote>
  <w:footnote w:id="460">
    <w:p w14:paraId="627DAF14" w14:textId="782D62B7" w:rsidR="00BA0376" w:rsidRPr="009C29A6" w:rsidRDefault="00BA0376" w:rsidP="006D0D2A">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nrs. 186 e.v.</w:t>
      </w:r>
    </w:p>
  </w:footnote>
  <w:footnote w:id="461">
    <w:p w14:paraId="0DD4D32A" w14:textId="0690E2A1"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Infra </w:t>
      </w:r>
      <w:r w:rsidRPr="00963830">
        <w:rPr>
          <w:color w:val="000000" w:themeColor="text1"/>
        </w:rPr>
        <w:t>nr. 198.</w:t>
      </w:r>
    </w:p>
  </w:footnote>
  <w:footnote w:id="462">
    <w:p w14:paraId="6BEB63BF" w14:textId="1071C281" w:rsidR="00BA0376" w:rsidRPr="00963830" w:rsidRDefault="00BA0376" w:rsidP="00613E6B">
      <w:pPr>
        <w:pStyle w:val="NoSpacing"/>
      </w:pPr>
      <w:r w:rsidRPr="00963830">
        <w:rPr>
          <w:rStyle w:val="FootnoteReference"/>
        </w:rPr>
        <w:footnoteRef/>
      </w:r>
      <w:r w:rsidRPr="00963830">
        <w:t xml:space="preserve"> </w:t>
      </w:r>
      <w:r w:rsidRPr="00963830">
        <w:rPr>
          <w:color w:val="000000" w:themeColor="text1"/>
        </w:rPr>
        <w:t xml:space="preserve">Vagina wordt als volgt gedefinieerd in </w:t>
      </w:r>
      <w:r w:rsidRPr="00963830">
        <w:rPr>
          <w:i/>
          <w:color w:val="000000" w:themeColor="text1"/>
        </w:rPr>
        <w:t>section</w:t>
      </w:r>
      <w:r w:rsidRPr="00963830">
        <w:rPr>
          <w:color w:val="000000" w:themeColor="text1"/>
        </w:rPr>
        <w:t xml:space="preserve"> 79, (9) van de SOA; </w:t>
      </w:r>
      <w:r w:rsidRPr="00963830">
        <w:t>“</w:t>
      </w:r>
      <w:r w:rsidRPr="00963830">
        <w:rPr>
          <w:i/>
        </w:rPr>
        <w:t>“Vagina” includes vulva</w:t>
      </w:r>
      <w:r w:rsidRPr="00963830">
        <w:t xml:space="preserve">.” Hieruit </w:t>
      </w:r>
      <w:r w:rsidRPr="00963830">
        <w:rPr>
          <w:color w:val="000000" w:themeColor="text1"/>
        </w:rPr>
        <w:t xml:space="preserve">kan worden afgeleid dat de minste vorm van penetratie voldoende is om onder de strafbaarstelling te vallen. Zie: </w:t>
      </w:r>
      <w:r w:rsidRPr="00963830">
        <w:t xml:space="preserve">M.J., ALLEN en I. EDWARDS, </w:t>
      </w:r>
      <w:r w:rsidRPr="00963830">
        <w:rPr>
          <w:i/>
        </w:rPr>
        <w:t>Criminal Law</w:t>
      </w:r>
      <w:r w:rsidRPr="00963830">
        <w:t xml:space="preserve">, Oxford (VK), Oxford University Press, 2021, 470. Daarnaast verduidelijkt </w:t>
      </w:r>
      <w:r w:rsidRPr="00963830">
        <w:rPr>
          <w:i/>
        </w:rPr>
        <w:t>section</w:t>
      </w:r>
      <w:r w:rsidRPr="00963830">
        <w:t xml:space="preserve"> 79, (3) van de SOA dat ook chirurgisch gereconstrueerde vagina’s hieronder vallen.</w:t>
      </w:r>
    </w:p>
  </w:footnote>
  <w:footnote w:id="463">
    <w:p w14:paraId="77148E75" w14:textId="39BD5309" w:rsidR="00BA0376" w:rsidRPr="009C29A6" w:rsidRDefault="00BA0376" w:rsidP="00613E6B">
      <w:pPr>
        <w:pStyle w:val="NoSpacing"/>
        <w:rPr>
          <w:lang w:val="en-GB"/>
        </w:rPr>
      </w:pPr>
      <w:r w:rsidRPr="00963830">
        <w:rPr>
          <w:rStyle w:val="FootnoteReference"/>
        </w:rPr>
        <w:footnoteRef/>
      </w:r>
      <w:r w:rsidRPr="009C29A6">
        <w:rPr>
          <w:lang w:val="en-GB"/>
        </w:rPr>
        <w:t xml:space="preserve"> M.J., ALLEN en I. EDWARDS, </w:t>
      </w:r>
      <w:r w:rsidRPr="009C29A6">
        <w:rPr>
          <w:i/>
          <w:lang w:val="en-GB"/>
        </w:rPr>
        <w:t>Criminal Law</w:t>
      </w:r>
      <w:r w:rsidRPr="009C29A6">
        <w:rPr>
          <w:lang w:val="en-GB"/>
        </w:rPr>
        <w:t>, Oxford (VK), Oxford University Press, 2021, 469.</w:t>
      </w:r>
    </w:p>
  </w:footnote>
  <w:footnote w:id="464">
    <w:p w14:paraId="5FCA332D" w14:textId="14904C26" w:rsidR="00BA0376" w:rsidRPr="009C29A6" w:rsidRDefault="00BA0376" w:rsidP="00613E6B">
      <w:pPr>
        <w:pStyle w:val="NoSpacing"/>
        <w:rPr>
          <w:lang w:val="en-GB"/>
        </w:rPr>
      </w:pPr>
      <w:r w:rsidRPr="00963830">
        <w:rPr>
          <w:rStyle w:val="FootnoteReference"/>
        </w:rPr>
        <w:footnoteRef/>
      </w:r>
      <w:r w:rsidRPr="00963830">
        <w:t xml:space="preserve"> Uit </w:t>
      </w:r>
      <w:r w:rsidRPr="00963830">
        <w:rPr>
          <w:i/>
        </w:rPr>
        <w:t>section</w:t>
      </w:r>
      <w:r w:rsidRPr="00963830">
        <w:t xml:space="preserve"> 79 (3) volgt evenwel dat hieronder ook de lichaamsdelen worden begrepen die door middel van chirurgie tot stand werden gebracht, zodat ook transgenders dader kunnen zijn van een verkrachting. </w:t>
      </w:r>
      <w:r w:rsidRPr="009C29A6">
        <w:rPr>
          <w:lang w:val="en-GB"/>
        </w:rPr>
        <w:t xml:space="preserve">Zie M.J., ALLEN en I. EDWARDS, </w:t>
      </w:r>
      <w:r w:rsidRPr="009C29A6">
        <w:rPr>
          <w:i/>
          <w:lang w:val="en-GB"/>
        </w:rPr>
        <w:t>Criminal Law</w:t>
      </w:r>
      <w:r w:rsidRPr="009C29A6">
        <w:rPr>
          <w:lang w:val="en-GB"/>
        </w:rPr>
        <w:t>, Oxford (VK), Oxford University Press, 2021, 469-471.</w:t>
      </w:r>
    </w:p>
  </w:footnote>
  <w:footnote w:id="465">
    <w:p w14:paraId="3D3AB04B" w14:textId="137C6478" w:rsidR="00BA0376" w:rsidRPr="009C29A6" w:rsidRDefault="00BA0376" w:rsidP="00963830">
      <w:pPr>
        <w:rPr>
          <w:sz w:val="16"/>
          <w:szCs w:val="16"/>
          <w:lang w:val="en-GB"/>
        </w:rPr>
      </w:pPr>
      <w:r w:rsidRPr="00963830">
        <w:rPr>
          <w:rStyle w:val="FootnoteReference"/>
          <w:sz w:val="16"/>
          <w:szCs w:val="16"/>
        </w:rPr>
        <w:footnoteRef/>
      </w:r>
      <w:r w:rsidRPr="009C29A6">
        <w:rPr>
          <w:sz w:val="16"/>
          <w:szCs w:val="16"/>
          <w:lang w:val="en-GB"/>
        </w:rPr>
        <w:t xml:space="preserve"> HOME OFFICE, “Setting the Boundaries. Reforming the law on sex offences.”, https://lawbore.net/articles/setting-the-boundaries.pdf, (consultatie 20 februari 2023) 15; D. ORMEROD en K. LAIRD, </w:t>
      </w:r>
      <w:r w:rsidRPr="009C29A6">
        <w:rPr>
          <w:i/>
          <w:sz w:val="16"/>
          <w:szCs w:val="16"/>
          <w:lang w:val="en-GB"/>
        </w:rPr>
        <w:t>Smith, Hogan, &amp; Ormerod’s Criminal Law,</w:t>
      </w:r>
      <w:r w:rsidRPr="009C29A6">
        <w:rPr>
          <w:sz w:val="16"/>
          <w:szCs w:val="16"/>
          <w:lang w:val="en-GB"/>
        </w:rPr>
        <w:t xml:space="preserve"> Oxford (VK), Oxford University Press, 2021, 821; M.J., ALLEN en I. EDWARDS, </w:t>
      </w:r>
      <w:r w:rsidRPr="009C29A6">
        <w:rPr>
          <w:i/>
          <w:sz w:val="16"/>
          <w:szCs w:val="16"/>
          <w:lang w:val="en-GB"/>
        </w:rPr>
        <w:t>Criminal Law</w:t>
      </w:r>
      <w:r w:rsidRPr="009C29A6">
        <w:rPr>
          <w:sz w:val="16"/>
          <w:szCs w:val="16"/>
          <w:lang w:val="en-GB"/>
        </w:rPr>
        <w:t xml:space="preserve">, Oxford (VK), Oxford University Press, 2021, 469. </w:t>
      </w:r>
    </w:p>
  </w:footnote>
  <w:footnote w:id="466">
    <w:p w14:paraId="478F1299" w14:textId="53E98C8E" w:rsidR="00BA0376" w:rsidRPr="009C29A6" w:rsidRDefault="00BA0376" w:rsidP="008B5EC8">
      <w:pPr>
        <w:pStyle w:val="NoSpacing"/>
        <w:rPr>
          <w:color w:val="000000" w:themeColor="text1"/>
          <w:lang w:val="en-GB"/>
        </w:rPr>
      </w:pPr>
      <w:r w:rsidRPr="00963830">
        <w:rPr>
          <w:rStyle w:val="FootnoteReference"/>
        </w:rPr>
        <w:footnoteRef/>
      </w:r>
      <w:r w:rsidRPr="009C29A6">
        <w:rPr>
          <w:lang w:val="en-GB"/>
        </w:rPr>
        <w:t xml:space="preserve"> </w:t>
      </w:r>
      <w:r w:rsidRPr="009C29A6">
        <w:rPr>
          <w:i/>
          <w:color w:val="000000" w:themeColor="text1"/>
          <w:lang w:val="en-GB"/>
        </w:rPr>
        <w:t>Section</w:t>
      </w:r>
      <w:r w:rsidRPr="009C29A6">
        <w:rPr>
          <w:color w:val="000000" w:themeColor="text1"/>
          <w:lang w:val="en-GB"/>
        </w:rPr>
        <w:t xml:space="preserve"> 79, (2) SOA; Court of Appeal (VK) 1 mei 1984, </w:t>
      </w:r>
      <w:r w:rsidRPr="009C29A6">
        <w:rPr>
          <w:lang w:val="en-GB"/>
        </w:rPr>
        <w:t xml:space="preserve">R. v. Kaitamaki, UKPC 15; Court of Appeal (VK) 1994, Cooper and Schaub, </w:t>
      </w:r>
      <w:r w:rsidRPr="009C29A6">
        <w:rPr>
          <w:i/>
          <w:lang w:val="en-GB"/>
        </w:rPr>
        <w:t xml:space="preserve">Crim LR, </w:t>
      </w:r>
      <w:r w:rsidRPr="009C29A6">
        <w:rPr>
          <w:lang w:val="en-GB"/>
        </w:rPr>
        <w:t>531.</w:t>
      </w:r>
    </w:p>
  </w:footnote>
  <w:footnote w:id="467">
    <w:p w14:paraId="56C96221" w14:textId="48D69F45" w:rsidR="00BA0376" w:rsidRPr="009C29A6" w:rsidRDefault="00BA0376" w:rsidP="008B5EC8">
      <w:pPr>
        <w:pStyle w:val="NoSpacing"/>
        <w:rPr>
          <w:lang w:val="en-GB"/>
        </w:rPr>
      </w:pPr>
      <w:r w:rsidRPr="00963830">
        <w:rPr>
          <w:rStyle w:val="FootnoteReference"/>
        </w:rPr>
        <w:footnoteRef/>
      </w:r>
      <w:r w:rsidRPr="009C29A6">
        <w:rPr>
          <w:lang w:val="en-GB"/>
        </w:rPr>
        <w:t xml:space="preserve"> </w:t>
      </w:r>
      <w:r w:rsidRPr="009C29A6">
        <w:rPr>
          <w:color w:val="000000" w:themeColor="text1"/>
          <w:lang w:val="en-GB"/>
        </w:rPr>
        <w:t xml:space="preserve">Court of Appeal (VK) 10 november 2006, R. v. Leaver, </w:t>
      </w:r>
      <w:r w:rsidRPr="009C29A6">
        <w:rPr>
          <w:i/>
          <w:color w:val="000000" w:themeColor="text1"/>
          <w:lang w:val="en-GB"/>
        </w:rPr>
        <w:t>EWCA Crim</w:t>
      </w:r>
      <w:r w:rsidRPr="009C29A6">
        <w:rPr>
          <w:color w:val="000000" w:themeColor="text1"/>
          <w:lang w:val="en-GB"/>
        </w:rPr>
        <w:t xml:space="preserve">, 2988; </w:t>
      </w:r>
      <w:r w:rsidRPr="009C29A6">
        <w:rPr>
          <w:lang w:val="en-GB"/>
        </w:rPr>
        <w:t xml:space="preserve">D. ORMEROD en K. LAIRD, </w:t>
      </w:r>
      <w:r w:rsidRPr="009C29A6">
        <w:rPr>
          <w:i/>
          <w:lang w:val="en-GB"/>
        </w:rPr>
        <w:t>Smith, Hogan, &amp; Ormerod’s Criminal Law,</w:t>
      </w:r>
      <w:r w:rsidRPr="009C29A6">
        <w:rPr>
          <w:lang w:val="en-GB"/>
        </w:rPr>
        <w:t xml:space="preserve"> Oxford (VK), Oxford University Press, 2021, 822; M.J., ALLEN en I. EDWARDS, </w:t>
      </w:r>
      <w:r w:rsidRPr="009C29A6">
        <w:rPr>
          <w:i/>
          <w:lang w:val="en-GB"/>
        </w:rPr>
        <w:t>Criminal Law</w:t>
      </w:r>
      <w:r w:rsidRPr="009C29A6">
        <w:rPr>
          <w:lang w:val="en-GB"/>
        </w:rPr>
        <w:t>, Oxford (VK), Oxford University Press, 2021, 470.</w:t>
      </w:r>
    </w:p>
  </w:footnote>
  <w:footnote w:id="468">
    <w:p w14:paraId="06C67112" w14:textId="2B36FF36" w:rsidR="00BA0376" w:rsidRPr="009C29A6" w:rsidRDefault="00BA0376" w:rsidP="008B5EC8">
      <w:pPr>
        <w:pStyle w:val="NoSpacing"/>
        <w:rPr>
          <w:lang w:val="en-GB"/>
        </w:rPr>
      </w:pPr>
      <w:r w:rsidRPr="00963830">
        <w:rPr>
          <w:rStyle w:val="FootnoteReference"/>
        </w:rPr>
        <w:footnoteRef/>
      </w:r>
      <w:r w:rsidRPr="009C29A6">
        <w:rPr>
          <w:lang w:val="en-GB"/>
        </w:rPr>
        <w:t xml:space="preserve"> Court of Appeal (VK) 20 december 2019, R. v. Gabbai, </w:t>
      </w:r>
      <w:r w:rsidRPr="009C29A6">
        <w:rPr>
          <w:i/>
          <w:lang w:val="en-GB"/>
        </w:rPr>
        <w:t>EWCA Crim,</w:t>
      </w:r>
      <w:r w:rsidRPr="009C29A6">
        <w:rPr>
          <w:lang w:val="en-GB"/>
        </w:rPr>
        <w:t xml:space="preserve"> 2287.</w:t>
      </w:r>
    </w:p>
  </w:footnote>
  <w:footnote w:id="469">
    <w:p w14:paraId="4B563460" w14:textId="77777777" w:rsidR="00BA0376" w:rsidRPr="009C29A6" w:rsidRDefault="00BA0376" w:rsidP="00032E03">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Supra</w:t>
      </w:r>
      <w:r w:rsidRPr="009C29A6">
        <w:rPr>
          <w:color w:val="000000" w:themeColor="text1"/>
          <w:lang w:val="en-GB"/>
        </w:rPr>
        <w:t xml:space="preserve"> nrs. 178 e.v.</w:t>
      </w:r>
    </w:p>
  </w:footnote>
  <w:footnote w:id="470">
    <w:p w14:paraId="0E5F2FA9" w14:textId="7952572A"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1, (1), (a) SOA: “</w:t>
      </w:r>
      <w:r w:rsidRPr="009C29A6">
        <w:rPr>
          <w:i/>
          <w:lang w:val="en-GB"/>
        </w:rPr>
        <w:t>intentionally</w:t>
      </w:r>
      <w:r w:rsidRPr="009C29A6">
        <w:rPr>
          <w:lang w:val="en-GB"/>
        </w:rPr>
        <w:t>”.</w:t>
      </w:r>
    </w:p>
  </w:footnote>
  <w:footnote w:id="471">
    <w:p w14:paraId="2AB33302" w14:textId="365DE88D" w:rsidR="00BA0376" w:rsidRPr="009C29A6" w:rsidRDefault="00BA0376" w:rsidP="00613E6B">
      <w:pPr>
        <w:pStyle w:val="NoSpacing"/>
        <w:rPr>
          <w:lang w:val="fr-FR"/>
        </w:rPr>
      </w:pPr>
      <w:r w:rsidRPr="00963830">
        <w:rPr>
          <w:rStyle w:val="FootnoteReference"/>
        </w:rPr>
        <w:footnoteRef/>
      </w:r>
      <w:r w:rsidRPr="009C29A6">
        <w:rPr>
          <w:lang w:val="fr-FR"/>
        </w:rPr>
        <w:t xml:space="preserve"> </w:t>
      </w:r>
      <w:r w:rsidRPr="009C29A6">
        <w:rPr>
          <w:i/>
          <w:lang w:val="fr-FR"/>
        </w:rPr>
        <w:t>Section</w:t>
      </w:r>
      <w:r w:rsidRPr="009C29A6">
        <w:rPr>
          <w:lang w:val="fr-FR"/>
        </w:rPr>
        <w:t xml:space="preserve"> 1, (1), (d) en (2) SOA.</w:t>
      </w:r>
    </w:p>
  </w:footnote>
  <w:footnote w:id="472">
    <w:p w14:paraId="52CAB84E" w14:textId="4D0CD0FB" w:rsidR="00BA0376" w:rsidRPr="009C29A6" w:rsidRDefault="00BA0376" w:rsidP="006D0D2A">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nrs. 186 e.v.</w:t>
      </w:r>
    </w:p>
  </w:footnote>
  <w:footnote w:id="473">
    <w:p w14:paraId="7B3D6859" w14:textId="3113499F" w:rsidR="00BA0376" w:rsidRPr="00963830" w:rsidRDefault="00BA0376" w:rsidP="00613E6B">
      <w:pPr>
        <w:pStyle w:val="NoSpacing"/>
      </w:pPr>
      <w:r w:rsidRPr="00963830">
        <w:rPr>
          <w:rStyle w:val="FootnoteReference"/>
        </w:rPr>
        <w:footnoteRef/>
      </w:r>
      <w:r w:rsidRPr="00963830">
        <w:t xml:space="preserve"> Dit begrip werd reeds hoger toegelicht (</w:t>
      </w:r>
      <w:r w:rsidRPr="00963830">
        <w:rPr>
          <w:i/>
        </w:rPr>
        <w:t xml:space="preserve">supra </w:t>
      </w:r>
      <w:r w:rsidRPr="00963830">
        <w:t>nr. 176).</w:t>
      </w:r>
    </w:p>
  </w:footnote>
  <w:footnote w:id="474">
    <w:p w14:paraId="358D5403" w14:textId="7E483C7F" w:rsidR="00BA0376" w:rsidRPr="00963830" w:rsidRDefault="00BA0376" w:rsidP="00613E6B">
      <w:pPr>
        <w:pStyle w:val="NoSpacing"/>
      </w:pPr>
      <w:r w:rsidRPr="00963830">
        <w:rPr>
          <w:rStyle w:val="FootnoteReference"/>
        </w:rPr>
        <w:footnoteRef/>
      </w:r>
      <w:r w:rsidRPr="00963830">
        <w:t xml:space="preserve"> Dit begrip werd eveneens reeds eerder uiteengezet (</w:t>
      </w:r>
      <w:r w:rsidRPr="00963830">
        <w:rPr>
          <w:i/>
        </w:rPr>
        <w:t xml:space="preserve">supra </w:t>
      </w:r>
      <w:r w:rsidRPr="00963830">
        <w:t>nr. 198).</w:t>
      </w:r>
    </w:p>
  </w:footnote>
  <w:footnote w:id="475">
    <w:p w14:paraId="153DC255" w14:textId="77777777"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2, (1), (b) SOA.</w:t>
      </w:r>
    </w:p>
  </w:footnote>
  <w:footnote w:id="476">
    <w:p w14:paraId="187DC3A1" w14:textId="6B52A0A1"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 xml:space="preserve">Supra </w:t>
      </w:r>
      <w:r w:rsidRPr="009C29A6">
        <w:rPr>
          <w:lang w:val="en-GB"/>
        </w:rPr>
        <w:t>voetnoot 472.</w:t>
      </w:r>
    </w:p>
  </w:footnote>
  <w:footnote w:id="477">
    <w:p w14:paraId="7DD286E3" w14:textId="0CDEBFD0" w:rsidR="00BA0376" w:rsidRPr="009C29A6" w:rsidRDefault="00BA0376" w:rsidP="00613E6B">
      <w:pPr>
        <w:pStyle w:val="NoSpacing"/>
        <w:rPr>
          <w:lang w:val="en-GB"/>
        </w:rPr>
      </w:pPr>
      <w:r w:rsidRPr="00963830">
        <w:rPr>
          <w:rStyle w:val="FootnoteReference"/>
        </w:rPr>
        <w:footnoteRef/>
      </w:r>
      <w:r w:rsidRPr="00963830">
        <w:t xml:space="preserve"> Ook penetraties waarvan het slachtoffer niet weet waarmee deze gebeurden, kunnen hieronder vallen. </w:t>
      </w:r>
      <w:r w:rsidRPr="009C29A6">
        <w:rPr>
          <w:lang w:val="en-GB"/>
        </w:rPr>
        <w:t xml:space="preserve">Zie: Court of Appeal (VK) 25 oktober 2004, R. v. Minshull, </w:t>
      </w:r>
      <w:r w:rsidRPr="009C29A6">
        <w:rPr>
          <w:i/>
          <w:lang w:val="en-GB"/>
        </w:rPr>
        <w:t>EWCA Crim</w:t>
      </w:r>
      <w:r w:rsidRPr="009C29A6">
        <w:rPr>
          <w:lang w:val="en-GB"/>
        </w:rPr>
        <w:t xml:space="preserve">, 2673; Court of Appeal (VK) 3 februari 2006, R. v. Lyddaman, </w:t>
      </w:r>
      <w:r w:rsidRPr="009C29A6">
        <w:rPr>
          <w:i/>
          <w:lang w:val="en-GB"/>
        </w:rPr>
        <w:t xml:space="preserve">EWCA Crim, </w:t>
      </w:r>
      <w:r w:rsidRPr="009C29A6">
        <w:rPr>
          <w:lang w:val="en-GB"/>
        </w:rPr>
        <w:t xml:space="preserve">383; D. ORMEROD en K. LAIRD, </w:t>
      </w:r>
      <w:r w:rsidRPr="009C29A6">
        <w:rPr>
          <w:i/>
          <w:lang w:val="en-GB"/>
        </w:rPr>
        <w:t>Smith, Hogan, &amp; Ormerod’s Criminal Law,</w:t>
      </w:r>
      <w:r w:rsidRPr="009C29A6">
        <w:rPr>
          <w:lang w:val="en-GB"/>
        </w:rPr>
        <w:t xml:space="preserve"> Oxford (VK), Oxford University Press, 2021, 828.</w:t>
      </w:r>
    </w:p>
  </w:footnote>
  <w:footnote w:id="478">
    <w:p w14:paraId="4D077821" w14:textId="34BA7D7D" w:rsidR="00BA0376" w:rsidRPr="009C29A6" w:rsidRDefault="00BA0376" w:rsidP="00963830">
      <w:pPr>
        <w:rPr>
          <w:sz w:val="16"/>
          <w:szCs w:val="16"/>
          <w:lang w:val="en-GB"/>
        </w:rPr>
      </w:pPr>
      <w:r w:rsidRPr="00963830">
        <w:rPr>
          <w:rStyle w:val="FootnoteReference"/>
          <w:sz w:val="16"/>
          <w:szCs w:val="16"/>
        </w:rPr>
        <w:footnoteRef/>
      </w:r>
      <w:r w:rsidRPr="00963830">
        <w:rPr>
          <w:sz w:val="16"/>
          <w:szCs w:val="16"/>
        </w:rPr>
        <w:t xml:space="preserve"> Indien dit een penis is, moet worden vervolgd o.g.v. </w:t>
      </w:r>
      <w:r w:rsidRPr="00963830">
        <w:rPr>
          <w:i/>
          <w:sz w:val="16"/>
          <w:szCs w:val="16"/>
        </w:rPr>
        <w:t>section</w:t>
      </w:r>
      <w:r w:rsidRPr="00963830">
        <w:rPr>
          <w:sz w:val="16"/>
          <w:szCs w:val="16"/>
        </w:rPr>
        <w:t xml:space="preserve"> 1 SOA (</w:t>
      </w:r>
      <w:r w:rsidRPr="00963830">
        <w:rPr>
          <w:i/>
          <w:sz w:val="16"/>
          <w:szCs w:val="16"/>
        </w:rPr>
        <w:t>rape)</w:t>
      </w:r>
      <w:r w:rsidRPr="00963830">
        <w:rPr>
          <w:sz w:val="16"/>
          <w:szCs w:val="16"/>
        </w:rPr>
        <w:t xml:space="preserve">. </w:t>
      </w:r>
      <w:r w:rsidRPr="009C29A6">
        <w:rPr>
          <w:sz w:val="16"/>
          <w:szCs w:val="16"/>
          <w:lang w:val="en-GB"/>
        </w:rPr>
        <w:t xml:space="preserve">Zie: D. ORMEROD en K. LAIRD, </w:t>
      </w:r>
      <w:r w:rsidRPr="009C29A6">
        <w:rPr>
          <w:i/>
          <w:sz w:val="16"/>
          <w:szCs w:val="16"/>
          <w:lang w:val="en-GB"/>
        </w:rPr>
        <w:t>Smith, Hogan, &amp; Ormerod’s Criminal Law,</w:t>
      </w:r>
      <w:r w:rsidRPr="009C29A6">
        <w:rPr>
          <w:sz w:val="16"/>
          <w:szCs w:val="16"/>
          <w:lang w:val="en-GB"/>
        </w:rPr>
        <w:t xml:space="preserve"> Oxford (VK), Oxford University Press, 2021, 828; CROWN PROSECUTION SERVICE (CPS), “Rape and Sexual Offences - Overview and index of 2021 updated guidance”, www.cps.gov.uk/legal-guidance/rape-and-sexual-offences-overview-and-index-2021-updated-guidance, chapter 7 (consultatie 17 april 2023).</w:t>
      </w:r>
    </w:p>
  </w:footnote>
  <w:footnote w:id="479">
    <w:p w14:paraId="3235D9EB" w14:textId="6F2083D5"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2, (1), (a) SOA. </w:t>
      </w:r>
    </w:p>
  </w:footnote>
  <w:footnote w:id="480">
    <w:p w14:paraId="0EB3287E" w14:textId="77777777" w:rsidR="00BA0376" w:rsidRPr="009C29A6" w:rsidRDefault="00BA0376" w:rsidP="00032E03">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Supra</w:t>
      </w:r>
      <w:r w:rsidRPr="009C29A6">
        <w:rPr>
          <w:color w:val="000000" w:themeColor="text1"/>
          <w:lang w:val="en-GB"/>
        </w:rPr>
        <w:t xml:space="preserve"> nrs. 178 e.v.</w:t>
      </w:r>
    </w:p>
  </w:footnote>
  <w:footnote w:id="481">
    <w:p w14:paraId="202BDCD1" w14:textId="39255C83"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2, (1), (a) SOA: “</w:t>
      </w:r>
      <w:r w:rsidRPr="009C29A6">
        <w:rPr>
          <w:i/>
          <w:lang w:val="en-GB"/>
        </w:rPr>
        <w:t>intentionally</w:t>
      </w:r>
      <w:r w:rsidRPr="009C29A6">
        <w:rPr>
          <w:lang w:val="en-GB"/>
        </w:rPr>
        <w:t>”.</w:t>
      </w:r>
    </w:p>
  </w:footnote>
  <w:footnote w:id="482">
    <w:p w14:paraId="4DC30256" w14:textId="5E39A678" w:rsidR="00BA0376" w:rsidRPr="009C29A6" w:rsidRDefault="00BA0376" w:rsidP="00613E6B">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2, (1), (d) en (2) SOA.</w:t>
      </w:r>
    </w:p>
  </w:footnote>
  <w:footnote w:id="483">
    <w:p w14:paraId="13B0132D" w14:textId="578430EF" w:rsidR="00BA0376" w:rsidRPr="009C29A6" w:rsidRDefault="00BA0376" w:rsidP="006D0D2A">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nrs. 186 e.v.</w:t>
      </w:r>
    </w:p>
  </w:footnote>
  <w:footnote w:id="484">
    <w:p w14:paraId="0B087179" w14:textId="1C4AD3DB" w:rsidR="00BA0376" w:rsidRPr="009C29A6" w:rsidRDefault="00BA0376" w:rsidP="00032E03">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nr. 190.</w:t>
      </w:r>
    </w:p>
  </w:footnote>
  <w:footnote w:id="485">
    <w:p w14:paraId="55FAB0DC" w14:textId="3DAD4FFD" w:rsidR="00BA0376" w:rsidRPr="00963830" w:rsidRDefault="00BA0376" w:rsidP="008B5EC8">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nrs. 191 e.v.</w:t>
      </w:r>
    </w:p>
  </w:footnote>
  <w:footnote w:id="486">
    <w:p w14:paraId="0D5FDA44" w14:textId="600819A7" w:rsidR="00BA0376" w:rsidRPr="00963830" w:rsidRDefault="00BA0376" w:rsidP="008B5EC8">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198.</w:t>
      </w:r>
    </w:p>
  </w:footnote>
  <w:footnote w:id="487">
    <w:p w14:paraId="31451D39" w14:textId="77777777" w:rsidR="00BA0376" w:rsidRPr="00963830" w:rsidRDefault="00BA0376" w:rsidP="008B5EC8">
      <w:pPr>
        <w:pStyle w:val="NoSpacing"/>
      </w:pPr>
      <w:r w:rsidRPr="00963830">
        <w:rPr>
          <w:rStyle w:val="FootnoteReference"/>
        </w:rPr>
        <w:footnoteRef/>
      </w:r>
      <w:r w:rsidRPr="00963830">
        <w:t xml:space="preserve"> </w:t>
      </w:r>
      <w:r w:rsidRPr="00963830">
        <w:rPr>
          <w:i/>
        </w:rPr>
        <w:t>Section</w:t>
      </w:r>
      <w:r w:rsidRPr="00963830">
        <w:t xml:space="preserve"> 4, (4) SOA viseert specifiek de situaties van penetratie van de: </w:t>
      </w:r>
      <w:r w:rsidRPr="00963830">
        <w:rPr>
          <w:color w:val="000000" w:themeColor="text1"/>
        </w:rPr>
        <w:t xml:space="preserve">anus of vagina van het slachtoffer; mond van het slachtoffer met de penis van een persoon; anus of vagina van een persoon met een lichaamsdeel van het slachtoffer of met eender welk ander voorwerp door het slachtoffer; mond van een persoon door middel van de penis van het slachtoffer. </w:t>
      </w:r>
    </w:p>
  </w:footnote>
  <w:footnote w:id="488">
    <w:p w14:paraId="437EE83A" w14:textId="77777777" w:rsidR="00BA0376" w:rsidRPr="009C29A6" w:rsidRDefault="00BA0376" w:rsidP="008B5EC8">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4, (4), (a) SOA.</w:t>
      </w:r>
    </w:p>
  </w:footnote>
  <w:footnote w:id="489">
    <w:p w14:paraId="769FCEB6" w14:textId="77777777" w:rsidR="00BA0376" w:rsidRPr="009C29A6" w:rsidRDefault="00BA0376" w:rsidP="008B5EC8">
      <w:pPr>
        <w:pStyle w:val="NoSpacing"/>
        <w:rPr>
          <w:lang w:val="en-GB"/>
        </w:rPr>
      </w:pPr>
      <w:r w:rsidRPr="00963830">
        <w:rPr>
          <w:rStyle w:val="FootnoteReference"/>
        </w:rPr>
        <w:footnoteRef/>
      </w:r>
      <w:r w:rsidRPr="009C29A6">
        <w:rPr>
          <w:lang w:val="en-GB"/>
        </w:rPr>
        <w:t xml:space="preserve"> </w:t>
      </w:r>
      <w:r w:rsidRPr="009C29A6">
        <w:rPr>
          <w:i/>
          <w:lang w:val="en-GB"/>
        </w:rPr>
        <w:t>Section</w:t>
      </w:r>
      <w:r w:rsidRPr="009C29A6">
        <w:rPr>
          <w:lang w:val="en-GB"/>
        </w:rPr>
        <w:t xml:space="preserve"> 4, (4), (b) SOA.</w:t>
      </w:r>
    </w:p>
  </w:footnote>
  <w:footnote w:id="490">
    <w:p w14:paraId="6BCA0D8E" w14:textId="77777777" w:rsidR="00BA0376" w:rsidRPr="00963830" w:rsidRDefault="00BA0376" w:rsidP="008B5EC8">
      <w:pPr>
        <w:pStyle w:val="NoSpacing"/>
      </w:pPr>
      <w:r w:rsidRPr="00963830">
        <w:rPr>
          <w:rStyle w:val="FootnoteReference"/>
        </w:rPr>
        <w:footnoteRef/>
      </w:r>
      <w:r w:rsidRPr="00963830">
        <w:t xml:space="preserve"> </w:t>
      </w:r>
      <w:r w:rsidRPr="00963830">
        <w:rPr>
          <w:i/>
        </w:rPr>
        <w:t>Section</w:t>
      </w:r>
      <w:r w:rsidRPr="00963830">
        <w:t xml:space="preserve"> 4, (4), (c) SOA.</w:t>
      </w:r>
    </w:p>
  </w:footnote>
  <w:footnote w:id="491">
    <w:p w14:paraId="41770117" w14:textId="77777777" w:rsidR="00BA0376" w:rsidRPr="00963830" w:rsidRDefault="00BA0376" w:rsidP="008B5EC8">
      <w:pPr>
        <w:pStyle w:val="NoSpacing"/>
      </w:pPr>
      <w:r w:rsidRPr="00963830">
        <w:rPr>
          <w:rStyle w:val="FootnoteReference"/>
        </w:rPr>
        <w:footnoteRef/>
      </w:r>
      <w:r w:rsidRPr="00963830">
        <w:t xml:space="preserve"> </w:t>
      </w:r>
      <w:r w:rsidRPr="00963830">
        <w:rPr>
          <w:i/>
        </w:rPr>
        <w:t>Section</w:t>
      </w:r>
      <w:r w:rsidRPr="00963830">
        <w:t xml:space="preserve"> 4, (4), (d) SOA.</w:t>
      </w:r>
    </w:p>
  </w:footnote>
  <w:footnote w:id="492">
    <w:p w14:paraId="7AA606CA" w14:textId="24A9EE4F"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4.</w:t>
      </w:r>
    </w:p>
  </w:footnote>
  <w:footnote w:id="493">
    <w:p w14:paraId="6AA65305" w14:textId="77777777" w:rsidR="00BA0376" w:rsidRPr="00963830" w:rsidRDefault="00BA0376" w:rsidP="00365D74">
      <w:pPr>
        <w:pStyle w:val="NoSpacing"/>
      </w:pPr>
      <w:r w:rsidRPr="00963830">
        <w:rPr>
          <w:rStyle w:val="FootnoteReference"/>
          <w:rFonts w:eastAsiaTheme="majorEastAsia"/>
        </w:rPr>
        <w:footnoteRef/>
      </w:r>
      <w:r w:rsidRPr="00963830">
        <w:t xml:space="preserve"> L. KESTEMONT e.a. (eds.),</w:t>
      </w:r>
      <w:r w:rsidRPr="00963830">
        <w:rPr>
          <w:i/>
        </w:rPr>
        <w:t>Rechtswetenschappelijk schrijven</w:t>
      </w:r>
      <w:r w:rsidRPr="00963830">
        <w:t>, Leuven, Acco, 2021</w:t>
      </w:r>
      <w:r w:rsidRPr="00963830">
        <w:rPr>
          <w:i/>
        </w:rPr>
        <w:t xml:space="preserve">, </w:t>
      </w:r>
      <w:r w:rsidRPr="00963830">
        <w:t>60.</w:t>
      </w:r>
    </w:p>
  </w:footnote>
  <w:footnote w:id="494">
    <w:p w14:paraId="440E73D3" w14:textId="77777777" w:rsidR="00BA0376" w:rsidRPr="00963830" w:rsidRDefault="00BA0376" w:rsidP="00940CD7">
      <w:pPr>
        <w:pStyle w:val="FootnoteText"/>
        <w:rPr>
          <w:sz w:val="16"/>
          <w:szCs w:val="16"/>
        </w:rPr>
      </w:pPr>
      <w:r w:rsidRPr="00963830">
        <w:rPr>
          <w:rStyle w:val="FootnoteReference"/>
          <w:sz w:val="16"/>
          <w:szCs w:val="16"/>
        </w:rPr>
        <w:footnoteRef/>
      </w:r>
      <w:r w:rsidRPr="00963830">
        <w:rPr>
          <w:sz w:val="16"/>
          <w:szCs w:val="16"/>
        </w:rPr>
        <w:t xml:space="preserve"> Daartoe verplicht door dader.</w:t>
      </w:r>
    </w:p>
  </w:footnote>
  <w:footnote w:id="495">
    <w:p w14:paraId="797E4974" w14:textId="77777777" w:rsidR="00BA0376" w:rsidRPr="00963830" w:rsidRDefault="00BA0376" w:rsidP="00940CD7">
      <w:pPr>
        <w:pStyle w:val="FootnoteText"/>
        <w:rPr>
          <w:sz w:val="16"/>
          <w:szCs w:val="16"/>
        </w:rPr>
      </w:pPr>
      <w:r w:rsidRPr="00963830">
        <w:rPr>
          <w:rStyle w:val="FootnoteReference"/>
          <w:sz w:val="16"/>
          <w:szCs w:val="16"/>
        </w:rPr>
        <w:footnoteRef/>
      </w:r>
      <w:r w:rsidRPr="00963830">
        <w:rPr>
          <w:sz w:val="16"/>
          <w:szCs w:val="16"/>
        </w:rPr>
        <w:t xml:space="preserve"> </w:t>
      </w:r>
      <w:r w:rsidRPr="00963830">
        <w:rPr>
          <w:i/>
          <w:sz w:val="16"/>
          <w:szCs w:val="16"/>
        </w:rPr>
        <w:t>Ibid.</w:t>
      </w:r>
    </w:p>
  </w:footnote>
  <w:footnote w:id="496">
    <w:p w14:paraId="7CD4E53E" w14:textId="77777777" w:rsidR="00BA0376" w:rsidRPr="009C29A6" w:rsidRDefault="00BA0376" w:rsidP="00940CD7">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497">
    <w:p w14:paraId="0E6B7057" w14:textId="77777777" w:rsidR="00BA0376" w:rsidRPr="009C29A6" w:rsidRDefault="00BA0376" w:rsidP="00940CD7">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498">
    <w:p w14:paraId="4AC173F9" w14:textId="156CCF77" w:rsidR="00BA0376" w:rsidRPr="009C29A6" w:rsidRDefault="00BA0376" w:rsidP="00940CD7">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499">
    <w:p w14:paraId="7A8B0466" w14:textId="77777777" w:rsidR="00BA0376" w:rsidRPr="009C29A6" w:rsidRDefault="00BA0376" w:rsidP="00940CD7">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500">
    <w:p w14:paraId="4234C14E" w14:textId="77777777" w:rsidR="00BA0376" w:rsidRPr="009C29A6" w:rsidRDefault="00BA0376" w:rsidP="00940CD7">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501">
    <w:p w14:paraId="7CE897BD" w14:textId="77777777" w:rsidR="00BA0376" w:rsidRPr="00963830" w:rsidRDefault="00BA0376" w:rsidP="00940CD7">
      <w:pPr>
        <w:pStyle w:val="FootnoteText"/>
        <w:rPr>
          <w:sz w:val="16"/>
          <w:szCs w:val="16"/>
        </w:rPr>
      </w:pPr>
      <w:r w:rsidRPr="00963830">
        <w:rPr>
          <w:rStyle w:val="FootnoteReference"/>
          <w:sz w:val="16"/>
          <w:szCs w:val="16"/>
        </w:rPr>
        <w:footnoteRef/>
      </w:r>
      <w:r w:rsidRPr="00963830">
        <w:rPr>
          <w:sz w:val="16"/>
          <w:szCs w:val="16"/>
        </w:rPr>
        <w:t xml:space="preserve"> </w:t>
      </w:r>
      <w:r w:rsidRPr="00963830">
        <w:rPr>
          <w:i/>
          <w:sz w:val="16"/>
          <w:szCs w:val="16"/>
        </w:rPr>
        <w:t>Ibid</w:t>
      </w:r>
      <w:r w:rsidRPr="00963830">
        <w:rPr>
          <w:sz w:val="16"/>
          <w:szCs w:val="16"/>
        </w:rPr>
        <w:t>.</w:t>
      </w:r>
    </w:p>
  </w:footnote>
  <w:footnote w:id="502">
    <w:p w14:paraId="6FB1068E" w14:textId="77777777" w:rsidR="00BA0376" w:rsidRPr="00963830" w:rsidRDefault="00BA0376" w:rsidP="00A96CD4">
      <w:pPr>
        <w:pStyle w:val="FootnoteText"/>
        <w:rPr>
          <w:sz w:val="16"/>
          <w:szCs w:val="16"/>
        </w:rPr>
      </w:pPr>
      <w:r w:rsidRPr="00963830">
        <w:rPr>
          <w:rStyle w:val="FootnoteReference"/>
          <w:sz w:val="16"/>
          <w:szCs w:val="16"/>
        </w:rPr>
        <w:footnoteRef/>
      </w:r>
      <w:r w:rsidRPr="00963830">
        <w:rPr>
          <w:sz w:val="16"/>
          <w:szCs w:val="16"/>
        </w:rPr>
        <w:t xml:space="preserve"> Daartoe verplicht door dader.</w:t>
      </w:r>
    </w:p>
  </w:footnote>
  <w:footnote w:id="503">
    <w:p w14:paraId="75557629" w14:textId="77777777" w:rsidR="00BA0376" w:rsidRPr="009C29A6" w:rsidRDefault="00BA0376" w:rsidP="00A96CD4">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504">
    <w:p w14:paraId="6AA2F768" w14:textId="77777777" w:rsidR="00BA0376" w:rsidRPr="009C29A6" w:rsidRDefault="00BA0376" w:rsidP="00A96CD4">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505">
    <w:p w14:paraId="08FA3C02" w14:textId="77777777" w:rsidR="00BA0376" w:rsidRPr="009C29A6" w:rsidRDefault="00BA0376" w:rsidP="00A96CD4">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506">
    <w:p w14:paraId="02DCC96F" w14:textId="5B3D134D" w:rsidR="00BA0376" w:rsidRPr="009C29A6" w:rsidRDefault="00BA0376" w:rsidP="00A96CD4">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507">
    <w:p w14:paraId="6B285D58" w14:textId="77777777" w:rsidR="00BA0376" w:rsidRPr="009C29A6" w:rsidRDefault="00BA0376" w:rsidP="00A96CD4">
      <w:pPr>
        <w:pStyle w:val="FootnoteText"/>
        <w:rPr>
          <w:sz w:val="16"/>
          <w:szCs w:val="16"/>
          <w:lang w:val="en-GB"/>
        </w:rPr>
      </w:pPr>
      <w:r w:rsidRPr="00963830">
        <w:rPr>
          <w:rStyle w:val="FootnoteReference"/>
          <w:sz w:val="16"/>
          <w:szCs w:val="16"/>
        </w:rPr>
        <w:footnoteRef/>
      </w:r>
      <w:r w:rsidRPr="009C29A6">
        <w:rPr>
          <w:sz w:val="16"/>
          <w:szCs w:val="16"/>
          <w:lang w:val="en-GB"/>
        </w:rPr>
        <w:t xml:space="preserve"> </w:t>
      </w:r>
      <w:r w:rsidRPr="009C29A6">
        <w:rPr>
          <w:i/>
          <w:sz w:val="16"/>
          <w:szCs w:val="16"/>
          <w:lang w:val="en-GB"/>
        </w:rPr>
        <w:t>Ibid.</w:t>
      </w:r>
    </w:p>
  </w:footnote>
  <w:footnote w:id="508">
    <w:p w14:paraId="0691F7C1" w14:textId="77777777" w:rsidR="00BA0376" w:rsidRPr="00963830" w:rsidRDefault="00BA0376" w:rsidP="00A96CD4">
      <w:pPr>
        <w:pStyle w:val="FootnoteText"/>
        <w:rPr>
          <w:sz w:val="16"/>
          <w:szCs w:val="16"/>
        </w:rPr>
      </w:pPr>
      <w:r w:rsidRPr="00963830">
        <w:rPr>
          <w:rStyle w:val="FootnoteReference"/>
          <w:sz w:val="16"/>
          <w:szCs w:val="16"/>
        </w:rPr>
        <w:footnoteRef/>
      </w:r>
      <w:r w:rsidRPr="00963830">
        <w:rPr>
          <w:sz w:val="16"/>
          <w:szCs w:val="16"/>
        </w:rPr>
        <w:t xml:space="preserve"> </w:t>
      </w:r>
      <w:r w:rsidRPr="00963830">
        <w:rPr>
          <w:i/>
          <w:sz w:val="16"/>
          <w:szCs w:val="16"/>
        </w:rPr>
        <w:t>Ibid.</w:t>
      </w:r>
    </w:p>
  </w:footnote>
  <w:footnote w:id="509">
    <w:p w14:paraId="28DA5831" w14:textId="77777777" w:rsidR="00BA0376" w:rsidRPr="00963830" w:rsidRDefault="00BA0376" w:rsidP="00A96CD4">
      <w:pPr>
        <w:pStyle w:val="FootnoteText"/>
        <w:rPr>
          <w:sz w:val="16"/>
          <w:szCs w:val="16"/>
        </w:rPr>
      </w:pPr>
      <w:r w:rsidRPr="00963830">
        <w:rPr>
          <w:rStyle w:val="FootnoteReference"/>
          <w:sz w:val="16"/>
          <w:szCs w:val="16"/>
        </w:rPr>
        <w:footnoteRef/>
      </w:r>
      <w:r w:rsidRPr="00963830">
        <w:rPr>
          <w:sz w:val="16"/>
          <w:szCs w:val="16"/>
        </w:rPr>
        <w:t xml:space="preserve"> </w:t>
      </w:r>
      <w:r w:rsidRPr="00963830">
        <w:rPr>
          <w:i/>
          <w:sz w:val="16"/>
          <w:szCs w:val="16"/>
        </w:rPr>
        <w:t>Ibid</w:t>
      </w:r>
      <w:r w:rsidRPr="00963830">
        <w:rPr>
          <w:sz w:val="16"/>
          <w:szCs w:val="16"/>
        </w:rPr>
        <w:t>.</w:t>
      </w:r>
    </w:p>
  </w:footnote>
  <w:footnote w:id="510">
    <w:p w14:paraId="3091FC14" w14:textId="77F9360E" w:rsidR="00BA0376" w:rsidRPr="00963830" w:rsidRDefault="00BA0376" w:rsidP="009D06C6">
      <w:pPr>
        <w:pStyle w:val="NoSpacing"/>
      </w:pPr>
      <w:r w:rsidRPr="00963830">
        <w:rPr>
          <w:rStyle w:val="FootnoteReference"/>
        </w:rPr>
        <w:footnoteRef/>
      </w:r>
      <w:r w:rsidRPr="00963830">
        <w:t xml:space="preserve"> De zinsnede “op dit ogenblik reeds” peilt naar de temporele werking van de huidige strafbaarstellingen. Deze werd hoger reeds uiteengezet (</w:t>
      </w:r>
      <w:r w:rsidRPr="00963830">
        <w:rPr>
          <w:i/>
        </w:rPr>
        <w:t xml:space="preserve">supra </w:t>
      </w:r>
      <w:r w:rsidRPr="00963830">
        <w:t>titels 1.1.3 en 1.2.3) en samengevat (</w:t>
      </w:r>
      <w:r w:rsidRPr="00963830">
        <w:rPr>
          <w:i/>
        </w:rPr>
        <w:t xml:space="preserve">supra </w:t>
      </w:r>
      <w:r w:rsidRPr="00963830">
        <w:t>titel 1.3.2). In dit deel van de masterscriptie wordt hier dan ook niet opnieuw op ingegaan. In de conclusie volgt uiteraard wel een samenvattend antwoord op deze centrale onderzoeksvraag.</w:t>
      </w:r>
    </w:p>
  </w:footnote>
  <w:footnote w:id="511">
    <w:p w14:paraId="2E1030E4" w14:textId="481391E2" w:rsidR="00BA0376" w:rsidRPr="009C29A6" w:rsidRDefault="00BA0376" w:rsidP="00DD6B2E">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titels 1.1.1.5 en 1.2.1.5.</w:t>
      </w:r>
    </w:p>
  </w:footnote>
  <w:footnote w:id="512">
    <w:p w14:paraId="2A2B7A68" w14:textId="1E589C45" w:rsidR="00BA0376" w:rsidRPr="009C29A6" w:rsidRDefault="00BA0376" w:rsidP="00DD6B2E">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nrs. 208-209.</w:t>
      </w:r>
    </w:p>
  </w:footnote>
  <w:footnote w:id="513">
    <w:p w14:paraId="164779CE" w14:textId="14F29468" w:rsidR="00BA0376" w:rsidRPr="00963830" w:rsidRDefault="00BA0376" w:rsidP="008872EF">
      <w:pPr>
        <w:pStyle w:val="NoSpacing"/>
      </w:pPr>
      <w:r w:rsidRPr="00963830">
        <w:rPr>
          <w:rStyle w:val="FootnoteReference"/>
          <w:color w:val="000000" w:themeColor="text1"/>
        </w:rPr>
        <w:footnoteRef/>
      </w:r>
      <w:r w:rsidRPr="00963830">
        <w:t xml:space="preserve"> </w:t>
      </w:r>
      <w:r w:rsidRPr="00963830">
        <w:rPr>
          <w:color w:val="000000" w:themeColor="text1"/>
        </w:rPr>
        <w:t xml:space="preserve">Cass. 25 november 1997, </w:t>
      </w:r>
      <w:r w:rsidRPr="00963830">
        <w:rPr>
          <w:i/>
          <w:color w:val="000000" w:themeColor="text1"/>
        </w:rPr>
        <w:t>Arr.Cass</w:t>
      </w:r>
      <w:r w:rsidRPr="00963830">
        <w:rPr>
          <w:color w:val="000000" w:themeColor="text1"/>
        </w:rPr>
        <w:t xml:space="preserve">. 1997, 504; </w:t>
      </w:r>
      <w:r w:rsidRPr="00963830">
        <w:t xml:space="preserve">J. ROZIE, "Beklaagde alwetend. Over het criterium van de redelijke voorzienbaarheid als maatstaf van het lex certa-principe in strafzaken", </w:t>
      </w:r>
      <w:r w:rsidRPr="00963830">
        <w:rPr>
          <w:i/>
        </w:rPr>
        <w:t>RW</w:t>
      </w:r>
      <w:r w:rsidRPr="00963830">
        <w:t xml:space="preserve"> 2012-13, 802-817; </w:t>
      </w:r>
      <w:r w:rsidRPr="00963830">
        <w:rPr>
          <w:color w:val="000000" w:themeColor="text1"/>
        </w:rPr>
        <w:t xml:space="preserve">J. THEUNIS, </w:t>
      </w:r>
      <w:r w:rsidRPr="00963830">
        <w:rPr>
          <w:i/>
          <w:color w:val="000000" w:themeColor="text1"/>
        </w:rPr>
        <w:t>De exceptie van onwettigheid</w:t>
      </w:r>
      <w:r w:rsidRPr="00963830">
        <w:rPr>
          <w:color w:val="000000" w:themeColor="text1"/>
        </w:rPr>
        <w:t xml:space="preserve">, onuitg. doctoraatsthesis rechten KU Leuven, 2011, </w:t>
      </w:r>
      <w:r w:rsidRPr="001B3B38">
        <w:t>https://lirias.kuleuven.be/retrieve/152319</w:t>
      </w:r>
      <w:r w:rsidRPr="00963830">
        <w:rPr>
          <w:rFonts w:eastAsia="Verdana" w:cs="Verdana"/>
        </w:rPr>
        <w:t>,</w:t>
      </w:r>
      <w:r w:rsidRPr="00963830">
        <w:rPr>
          <w:color w:val="000000" w:themeColor="text1"/>
        </w:rPr>
        <w:t xml:space="preserve"> 30-53; R. VERSTRAETEN en F. VERBRUGGEN, </w:t>
      </w:r>
      <w:r w:rsidRPr="00963830">
        <w:rPr>
          <w:i/>
          <w:color w:val="000000" w:themeColor="text1"/>
        </w:rPr>
        <w:t>Inleiding tot het Belgische strafrecht en strafprocesrecht</w:t>
      </w:r>
      <w:r w:rsidRPr="00963830">
        <w:rPr>
          <w:color w:val="000000" w:themeColor="text1"/>
        </w:rPr>
        <w:t>, Antwerpen, Intersentia, 2023, 29 en 40-41.</w:t>
      </w:r>
    </w:p>
  </w:footnote>
  <w:footnote w:id="514">
    <w:p w14:paraId="501031A7" w14:textId="1E7CFCAD" w:rsidR="00BA0376" w:rsidRPr="00963830" w:rsidRDefault="00BA0376" w:rsidP="007510BC">
      <w:pPr>
        <w:pStyle w:val="NoSpacing"/>
      </w:pPr>
      <w:r w:rsidRPr="00963830">
        <w:rPr>
          <w:rStyle w:val="FootnoteReference"/>
        </w:rPr>
        <w:footnoteRef/>
      </w:r>
      <w:r w:rsidRPr="00963830">
        <w:t xml:space="preserve"> </w:t>
      </w:r>
      <w:r w:rsidRPr="00963830">
        <w:rPr>
          <w:color w:val="000000" w:themeColor="text1"/>
        </w:rPr>
        <w:t xml:space="preserve">Dit dient evenwel te worden genuanceerd. Er zijn immers verschillen op te merken tussen de benaderingen van elk van deze rechtscolleges, maar gelet op de doeleinden van deze masterscriptie kan hier niet nader op worden ingegaan. Dit zou onderhavig onderzoek, gelet op de opgedragen omvang ervan, immers te ver leiden. Zie hierover: </w:t>
      </w:r>
      <w:r w:rsidRPr="00963830">
        <w:t xml:space="preserve">J. ROZIE, "Beklaagde alwetend. Over het criterium van de redelijke voorzienbaarheid als maatstaf van het lex certa-principe in strafzaken", </w:t>
      </w:r>
      <w:r w:rsidRPr="00963830">
        <w:rPr>
          <w:i/>
        </w:rPr>
        <w:t>RW</w:t>
      </w:r>
      <w:r w:rsidRPr="00963830">
        <w:t xml:space="preserve"> 2012-13, 802-817; </w:t>
      </w:r>
      <w:r w:rsidRPr="00963830">
        <w:rPr>
          <w:color w:val="000000" w:themeColor="text1"/>
        </w:rPr>
        <w:t xml:space="preserve">J. THEUNIS, </w:t>
      </w:r>
      <w:r w:rsidRPr="00963830">
        <w:rPr>
          <w:i/>
          <w:color w:val="000000" w:themeColor="text1"/>
        </w:rPr>
        <w:t>De exceptie van onwettigheid</w:t>
      </w:r>
      <w:r w:rsidRPr="00963830">
        <w:rPr>
          <w:color w:val="000000" w:themeColor="text1"/>
        </w:rPr>
        <w:t xml:space="preserve">, onuitg. doctoraatsthesis rechten KU Leuven, 2011, </w:t>
      </w:r>
      <w:r w:rsidRPr="001B3B38">
        <w:t>https://lirias.kuleuven.be/retrieve/152319</w:t>
      </w:r>
      <w:r w:rsidRPr="00963830">
        <w:rPr>
          <w:rFonts w:eastAsia="Verdana" w:cs="Verdana"/>
        </w:rPr>
        <w:t xml:space="preserve">, </w:t>
      </w:r>
      <w:r w:rsidRPr="00963830">
        <w:rPr>
          <w:color w:val="000000" w:themeColor="text1"/>
        </w:rPr>
        <w:t xml:space="preserve">30-53; R. VERSTRAETEN en F. VERBRUGGEN, </w:t>
      </w:r>
      <w:r w:rsidRPr="00963830">
        <w:rPr>
          <w:i/>
          <w:color w:val="000000" w:themeColor="text1"/>
        </w:rPr>
        <w:t>Inleiding tot het Belgische strafrecht en strafprocesrecht</w:t>
      </w:r>
      <w:r w:rsidRPr="00963830">
        <w:rPr>
          <w:color w:val="000000" w:themeColor="text1"/>
        </w:rPr>
        <w:t>, Antwerpen, Intersentia, 2023, 29 en 40-41.</w:t>
      </w:r>
    </w:p>
  </w:footnote>
  <w:footnote w:id="515">
    <w:p w14:paraId="4DD38F56" w14:textId="77777777" w:rsidR="00BA0376" w:rsidRPr="00963830" w:rsidRDefault="00BA0376" w:rsidP="008872EF">
      <w:pPr>
        <w:pStyle w:val="NoSpacing"/>
      </w:pPr>
      <w:r w:rsidRPr="00963830">
        <w:rPr>
          <w:rStyle w:val="FootnoteReference"/>
        </w:rPr>
        <w:footnoteRef/>
      </w:r>
      <w:r w:rsidRPr="00963830">
        <w:t xml:space="preserve"> Cass. 29 november 2011, AR P.10.1766.N; Concl. TIMPERMAN bij Cass. 29 november 2011, AR P.10.1766.N, ECLI:BE:CASS:2011:CONC.20111129.1; J. ROZIE, "Beklaagde alwetend. Over het criterium van de redelijke voorzienbaarheid als maatstaf van het lex certa-principe in strafzaken", </w:t>
      </w:r>
      <w:r w:rsidRPr="00963830">
        <w:rPr>
          <w:i/>
        </w:rPr>
        <w:t>RW</w:t>
      </w:r>
      <w:r w:rsidRPr="00963830">
        <w:t xml:space="preserve"> 2012-13, 802-817.</w:t>
      </w:r>
    </w:p>
  </w:footnote>
  <w:footnote w:id="516">
    <w:p w14:paraId="7C2EC5BD" w14:textId="10CE4F19" w:rsidR="00BA0376" w:rsidRPr="00963830" w:rsidRDefault="00BA0376" w:rsidP="00DD6B2E">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7.</w:t>
      </w:r>
    </w:p>
  </w:footnote>
  <w:footnote w:id="517">
    <w:p w14:paraId="2F9AC882" w14:textId="684FE43F" w:rsidR="00BA0376" w:rsidRPr="00963830" w:rsidRDefault="00BA0376" w:rsidP="00C015F5">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177.</w:t>
      </w:r>
    </w:p>
  </w:footnote>
  <w:footnote w:id="518">
    <w:p w14:paraId="7BD630FC" w14:textId="19109F23"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HOGE RAAD VOOR DE JUSTITIE, Advies voorontwerp van Strafwetboek - Boek II (goedgekeurd door de Algemene Vergadering van de Hoge Raad voor de Justitie op 19 december 2018),</w:t>
      </w:r>
      <w:r>
        <w:t xml:space="preserve"> </w:t>
      </w:r>
      <w:r w:rsidRPr="001B3B38">
        <w:rPr>
          <w:sz w:val="16"/>
          <w:szCs w:val="16"/>
        </w:rPr>
        <w:t>https://hrj.be/admin/storage/hrj/advies-strafwetboekii.pd</w:t>
      </w:r>
      <w:r>
        <w:rPr>
          <w:sz w:val="16"/>
          <w:szCs w:val="16"/>
        </w:rPr>
        <w:t>f</w:t>
      </w:r>
      <w:r w:rsidRPr="00963830">
        <w:rPr>
          <w:sz w:val="16"/>
          <w:szCs w:val="16"/>
        </w:rPr>
        <w:t>, 8.</w:t>
      </w:r>
    </w:p>
  </w:footnote>
  <w:footnote w:id="519">
    <w:p w14:paraId="4293CA6C" w14:textId="5D87617B" w:rsidR="00BA0376" w:rsidRPr="00963830" w:rsidRDefault="00BA0376" w:rsidP="001A6266">
      <w:pPr>
        <w:pStyle w:val="NoSpacing"/>
      </w:pPr>
      <w:r w:rsidRPr="00963830">
        <w:rPr>
          <w:rStyle w:val="FootnoteReference"/>
        </w:rPr>
        <w:footnoteRef/>
      </w:r>
      <w:r w:rsidRPr="00963830">
        <w:t xml:space="preserve"> </w:t>
      </w:r>
      <w:r w:rsidRPr="00963830">
        <w:rPr>
          <w:i/>
        </w:rPr>
        <w:t xml:space="preserve">Supra </w:t>
      </w:r>
      <w:r w:rsidRPr="00963830">
        <w:t xml:space="preserve">nrs. 56 e.v. en 95 e.v. en </w:t>
      </w:r>
      <w:r w:rsidRPr="00963830">
        <w:rPr>
          <w:i/>
        </w:rPr>
        <w:t xml:space="preserve">infra </w:t>
      </w:r>
      <w:r w:rsidRPr="00963830">
        <w:t>nr. 255.</w:t>
      </w:r>
    </w:p>
  </w:footnote>
  <w:footnote w:id="520">
    <w:p w14:paraId="20262941" w14:textId="52FB1CDB" w:rsidR="00BA0376" w:rsidRPr="00963830" w:rsidRDefault="00BA0376" w:rsidP="001A6266">
      <w:pPr>
        <w:pStyle w:val="NoSpacing"/>
      </w:pPr>
      <w:r w:rsidRPr="00963830">
        <w:rPr>
          <w:rStyle w:val="FootnoteReference"/>
        </w:rPr>
        <w:footnoteRef/>
      </w:r>
      <w:r w:rsidRPr="00963830">
        <w:rPr>
          <w:color w:val="000000" w:themeColor="text1"/>
        </w:rPr>
        <w:t xml:space="preserve"> </w:t>
      </w:r>
      <w:r w:rsidRPr="00963830">
        <w:t>Deze definitie is</w:t>
      </w:r>
      <w:r w:rsidRPr="00963830">
        <w:rPr>
          <w:color w:val="000000" w:themeColor="text1"/>
        </w:rPr>
        <w:t xml:space="preserve"> m.a.w. zowel van toepassing op (o.a.) aantasting van de seksuele integriteit als op verkrachting.</w:t>
      </w:r>
    </w:p>
  </w:footnote>
  <w:footnote w:id="521">
    <w:p w14:paraId="4EF0D9DF" w14:textId="0C66C6A7" w:rsidR="00BA0376" w:rsidRPr="00963830" w:rsidRDefault="00BA0376" w:rsidP="00DD7C9B">
      <w:pPr>
        <w:pStyle w:val="NoSpacing"/>
      </w:pPr>
      <w:r w:rsidRPr="00963830">
        <w:rPr>
          <w:rStyle w:val="FootnoteReference"/>
        </w:rPr>
        <w:footnoteRef/>
      </w:r>
      <w:r w:rsidRPr="00963830">
        <w:t xml:space="preserve"> MvT, Parl.St. Kamer 2020-21, nr. 55-2141/001, 14.</w:t>
      </w:r>
    </w:p>
  </w:footnote>
  <w:footnote w:id="522">
    <w:p w14:paraId="06162540" w14:textId="037DEE6C" w:rsidR="00BA0376" w:rsidRPr="009C29A6" w:rsidRDefault="00BA0376" w:rsidP="00F267F0">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nrs. 208-209.</w:t>
      </w:r>
    </w:p>
  </w:footnote>
  <w:footnote w:id="523">
    <w:p w14:paraId="1A9FCD09" w14:textId="31086901" w:rsidR="00BA0376" w:rsidRPr="00963830" w:rsidRDefault="00BA0376" w:rsidP="00F267F0">
      <w:pPr>
        <w:pStyle w:val="NoSpacing"/>
      </w:pPr>
      <w:r w:rsidRPr="00963830">
        <w:rPr>
          <w:rStyle w:val="FootnoteReference"/>
        </w:rPr>
        <w:footnoteRef/>
      </w:r>
      <w:r w:rsidRPr="009C29A6">
        <w:rPr>
          <w:lang w:val="en-GB"/>
        </w:rPr>
        <w:t xml:space="preserve"> C. TAYLOR, </w:t>
      </w:r>
      <w:r w:rsidRPr="009C29A6">
        <w:rPr>
          <w:i/>
          <w:lang w:val="en-GB"/>
        </w:rPr>
        <w:t>Criminal Law</w:t>
      </w:r>
      <w:r w:rsidRPr="009C29A6">
        <w:rPr>
          <w:lang w:val="en-GB"/>
        </w:rPr>
        <w:t xml:space="preserve">, London (VK), Thomson Reuters, 2018, 494-504; D. ORMEROD en K. LAIRD, </w:t>
      </w:r>
      <w:r w:rsidRPr="009C29A6">
        <w:rPr>
          <w:i/>
          <w:lang w:val="en-GB"/>
        </w:rPr>
        <w:t>Smith, Hogan, &amp; Ormerod’s Criminal Law</w:t>
      </w:r>
      <w:r w:rsidRPr="009C29A6">
        <w:rPr>
          <w:lang w:val="en-GB"/>
        </w:rPr>
        <w:t xml:space="preserve">, Oxford (VK), Oxford University Press, 2021, 788; M.J. ALLEN en I. EDWARDS, </w:t>
      </w:r>
      <w:r w:rsidRPr="009C29A6">
        <w:rPr>
          <w:i/>
          <w:lang w:val="en-GB"/>
        </w:rPr>
        <w:t>Criminal Law</w:t>
      </w:r>
      <w:r w:rsidRPr="009C29A6">
        <w:rPr>
          <w:lang w:val="en-GB"/>
        </w:rPr>
        <w:t xml:space="preserve">, Oxford (VK), Oxford University Press, 2021, 470-489. </w:t>
      </w:r>
      <w:r w:rsidRPr="00963830">
        <w:rPr>
          <w:i/>
          <w:color w:val="000000" w:themeColor="text1"/>
        </w:rPr>
        <w:t xml:space="preserve">Supra </w:t>
      </w:r>
      <w:r w:rsidRPr="00963830">
        <w:rPr>
          <w:color w:val="000000" w:themeColor="text1"/>
        </w:rPr>
        <w:t>nr. 178 e.v.</w:t>
      </w:r>
    </w:p>
  </w:footnote>
  <w:footnote w:id="524">
    <w:p w14:paraId="3ABD07F2" w14:textId="3C0950E0"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59.</w:t>
      </w:r>
    </w:p>
  </w:footnote>
  <w:footnote w:id="525">
    <w:p w14:paraId="0F712835" w14:textId="2B44778A" w:rsidR="00BA0376" w:rsidRPr="00963830" w:rsidRDefault="00BA0376" w:rsidP="00532213">
      <w:pPr>
        <w:pStyle w:val="NoSpacing"/>
      </w:pPr>
      <w:r w:rsidRPr="00963830">
        <w:rPr>
          <w:rStyle w:val="FootnoteReference"/>
        </w:rPr>
        <w:footnoteRef/>
      </w:r>
      <w:r w:rsidRPr="00963830">
        <w:t xml:space="preserve"> </w:t>
      </w:r>
      <w:r w:rsidRPr="00963830">
        <w:rPr>
          <w:color w:val="000000" w:themeColor="text1"/>
        </w:rPr>
        <w:t>Gelet op de discussie omtrent de vraag of de loutere ontstentenis van toestemming voldoende was om te kunnen spreken van het oude misdrijf aanranding van de eerbaarheid (</w:t>
      </w:r>
      <w:r w:rsidRPr="00963830">
        <w:rPr>
          <w:i/>
          <w:color w:val="000000" w:themeColor="text1"/>
        </w:rPr>
        <w:t xml:space="preserve">supra </w:t>
      </w:r>
      <w:r w:rsidRPr="00963830">
        <w:rPr>
          <w:color w:val="000000" w:themeColor="text1"/>
        </w:rPr>
        <w:t>nr. 27 e.v.).</w:t>
      </w:r>
    </w:p>
  </w:footnote>
  <w:footnote w:id="526">
    <w:p w14:paraId="2CEA3E65" w14:textId="4F235814" w:rsidR="00BA0376" w:rsidRPr="00963830" w:rsidRDefault="00BA0376" w:rsidP="005A0323">
      <w:pPr>
        <w:pStyle w:val="NoSpacing"/>
      </w:pPr>
      <w:r w:rsidRPr="00963830">
        <w:rPr>
          <w:rStyle w:val="FootnoteReference"/>
        </w:rPr>
        <w:footnoteRef/>
      </w:r>
      <w:r w:rsidRPr="00963830">
        <w:t xml:space="preserve"> </w:t>
      </w:r>
      <w:r w:rsidRPr="00963830">
        <w:rPr>
          <w:i/>
        </w:rPr>
        <w:t xml:space="preserve">Supra </w:t>
      </w:r>
      <w:r w:rsidRPr="00963830">
        <w:t>nr. 159.</w:t>
      </w:r>
    </w:p>
  </w:footnote>
  <w:footnote w:id="527">
    <w:p w14:paraId="109C1951" w14:textId="431A0B67" w:rsidR="00BA0376" w:rsidRPr="00963830" w:rsidRDefault="00BA0376" w:rsidP="002A6C8A">
      <w:pPr>
        <w:pStyle w:val="NoSpacing"/>
      </w:pPr>
      <w:r w:rsidRPr="00963830">
        <w:rPr>
          <w:rStyle w:val="FootnoteReference"/>
        </w:rPr>
        <w:footnoteRef/>
      </w:r>
      <w:r w:rsidRPr="00963830">
        <w:t xml:space="preserve"> Het EHRM stelt dat op de verdragsstaten een positieve verplichting rust o.g.v. artikel 3 en 9 van het EVRM om iedere niet-consensuele seksuele gedraging strafbaar te stellen en te vervolgen, ook wanneer het slachtoffer zich niet fysiek heeft verzet tegen deze seksuele gedraging, zie: EHRM 4 december 2003, </w:t>
      </w:r>
      <w:r w:rsidRPr="00963830">
        <w:rPr>
          <w:i/>
        </w:rPr>
        <w:t>M.C./Bulgarije,</w:t>
      </w:r>
      <w:r w:rsidRPr="00963830">
        <w:t xml:space="preserve"> 39727/98, §166; J. ROZIE en J. DE HERDT, “overgangsrecht seksueel strafrecht”, </w:t>
      </w:r>
      <w:r w:rsidRPr="00963830">
        <w:rPr>
          <w:i/>
        </w:rPr>
        <w:t>supra</w:t>
      </w:r>
      <w:r w:rsidRPr="00963830">
        <w:t xml:space="preserve"> vn. 7, 180; M. COP en T. HENRION, </w:t>
      </w:r>
      <w:r w:rsidRPr="00963830">
        <w:rPr>
          <w:i/>
        </w:rPr>
        <w:t>Het nieuwe seksueel strafrecht. Artikelsgewijze bespreking van de hervorming anno 2022,</w:t>
      </w:r>
      <w:r w:rsidRPr="00963830">
        <w:t xml:space="preserve"> Leuven, LeA Uitgevers, 2022, 7.</w:t>
      </w:r>
    </w:p>
  </w:footnote>
  <w:footnote w:id="528">
    <w:p w14:paraId="2E0B4016" w14:textId="426513DD" w:rsidR="00BA0376" w:rsidRPr="00963830" w:rsidRDefault="00BA0376" w:rsidP="004406B1">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 xml:space="preserve">nr. 117. </w:t>
      </w:r>
      <w:r w:rsidRPr="00963830">
        <w:t>Hierop wordt nader ingegaan bij de evaluatie van de huidige strafbaarstelling van verkrachting zelf (</w:t>
      </w:r>
      <w:r w:rsidRPr="00963830">
        <w:rPr>
          <w:i/>
        </w:rPr>
        <w:t xml:space="preserve">infra </w:t>
      </w:r>
      <w:r w:rsidRPr="00963830">
        <w:t xml:space="preserve">nrs. 271 en 277). </w:t>
      </w:r>
    </w:p>
  </w:footnote>
  <w:footnote w:id="529">
    <w:p w14:paraId="3828DEFD" w14:textId="05B27632" w:rsidR="00BA0376" w:rsidRPr="00963830" w:rsidRDefault="00BA0376" w:rsidP="00413AA1">
      <w:pPr>
        <w:pStyle w:val="NoSpacing"/>
      </w:pPr>
      <w:r w:rsidRPr="00963830">
        <w:rPr>
          <w:rStyle w:val="FootnoteReference"/>
          <w:color w:val="000000" w:themeColor="text1"/>
        </w:rPr>
        <w:footnoteRef/>
      </w:r>
      <w:r w:rsidRPr="00963830">
        <w:rPr>
          <w:color w:val="000000" w:themeColor="text1"/>
        </w:rPr>
        <w:t xml:space="preserve"> </w:t>
      </w:r>
      <w:r w:rsidRPr="00963830">
        <w:t xml:space="preserve">Art. 3 en 8 EVRM; </w:t>
      </w:r>
      <w:r w:rsidRPr="00963830">
        <w:rPr>
          <w:color w:val="000000" w:themeColor="text1"/>
        </w:rPr>
        <w:t xml:space="preserve">art. 36.1.b </w:t>
      </w:r>
      <w:r w:rsidRPr="00963830">
        <w:t xml:space="preserve">Verdrag van Istanbul; art. 36.1, b) Wet 1 maart 2016 houdende instemming met het Verdrag van de Raad van Europa inzake het voorkomen en bestrijden van geweld tegen vrouwen en huiselijk geweld, gedaan te Istanbul op 11 mei 2011, </w:t>
      </w:r>
      <w:r w:rsidRPr="00963830">
        <w:rPr>
          <w:i/>
        </w:rPr>
        <w:t>BS</w:t>
      </w:r>
      <w:r w:rsidRPr="00963830">
        <w:t xml:space="preserve"> 9 juni 2016; Aanbeveling Rec (2002) 5 van 30 april 2002 inzake de bescherming van vrouwen tegen geweld, Raad van Europa (comité van Ministers), §35; MvT, Parl.St. Kamer 2020-21, nr. 55-2141/001, 15-16; </w:t>
      </w:r>
      <w:r w:rsidRPr="00963830">
        <w:rPr>
          <w:color w:val="000000" w:themeColor="text1"/>
        </w:rPr>
        <w:t>EHRM 4 december 2003, M.C./Bulgarije, 39727/98, §</w:t>
      </w:r>
      <w:r w:rsidRPr="00963830">
        <w:rPr>
          <w:rFonts w:cs="Arial"/>
          <w:color w:val="000000" w:themeColor="text1"/>
          <w:spacing w:val="3"/>
          <w:shd w:val="clear" w:color="auto" w:fill="FFFFFF"/>
        </w:rPr>
        <w:t>165-166 en 180-181.</w:t>
      </w:r>
    </w:p>
  </w:footnote>
  <w:footnote w:id="530">
    <w:p w14:paraId="7B77A57B" w14:textId="122F5162" w:rsidR="00BA0376" w:rsidRPr="009C29A6" w:rsidRDefault="00BA0376" w:rsidP="007E07D0">
      <w:pPr>
        <w:pStyle w:val="NoSpacing"/>
        <w:rPr>
          <w:lang w:val="fr-FR"/>
        </w:rPr>
      </w:pPr>
      <w:r w:rsidRPr="00963830">
        <w:rPr>
          <w:rStyle w:val="FootnoteReference"/>
        </w:rPr>
        <w:footnoteRef/>
      </w:r>
      <w:r w:rsidRPr="009C29A6">
        <w:rPr>
          <w:lang w:val="fr-FR"/>
        </w:rPr>
        <w:t xml:space="preserve"> Zie in diezelfde zin: A. KARCHER en O. BASTYNS, “L’atteinte à l’intégrité sexuelle et le viol” in A. RIZZO (ed.), </w:t>
      </w:r>
      <w:r w:rsidRPr="009C29A6">
        <w:rPr>
          <w:i/>
          <w:lang w:val="fr-FR"/>
        </w:rPr>
        <w:t>Le nouveau droit pénal sexuel</w:t>
      </w:r>
      <w:r w:rsidRPr="009C29A6">
        <w:rPr>
          <w:lang w:val="fr-FR"/>
        </w:rPr>
        <w:t xml:space="preserve">, Brussel, Larcier, 2022, (109) 124-125; M. ALIÉ, “La notion de consentement dans le nouveau Code pénal sexuel : fil d’Ariane ou future pierre d’achoppement?” in A. RIZZO (ed.), </w:t>
      </w:r>
      <w:r w:rsidRPr="009C29A6">
        <w:rPr>
          <w:i/>
          <w:lang w:val="fr-FR"/>
        </w:rPr>
        <w:t>Le nouveau droit pénal sexuel</w:t>
      </w:r>
      <w:r w:rsidRPr="009C29A6">
        <w:rPr>
          <w:lang w:val="fr-FR"/>
        </w:rPr>
        <w:t>, Brussel, Larcier, 2022, (79) 86-87.</w:t>
      </w:r>
    </w:p>
  </w:footnote>
  <w:footnote w:id="531">
    <w:p w14:paraId="0E3BC26E" w14:textId="04181EAB" w:rsidR="00BA0376" w:rsidRPr="00963830" w:rsidRDefault="00BA0376" w:rsidP="00FB5469">
      <w:pPr>
        <w:pStyle w:val="NoSpacing"/>
      </w:pPr>
      <w:r w:rsidRPr="00963830">
        <w:rPr>
          <w:rStyle w:val="FootnoteReference"/>
        </w:rPr>
        <w:footnoteRef/>
      </w:r>
      <w:r w:rsidRPr="00963830">
        <w:t xml:space="preserve"> </w:t>
      </w:r>
      <w:r w:rsidRPr="00963830">
        <w:rPr>
          <w:i/>
        </w:rPr>
        <w:t>“Toestemming veronderstelt dat deze uit vrije wil is gegeven. Dit wordt beoordeeld in het licht van de omstandigheden van de zaak. Het gebrek aan verweer van het slachtoffer impliceert niet noodzakelijk toestemming. De toestemming kan worden ingetrokken op elk ogenblik voor of tijdens de seksuele handeling”.</w:t>
      </w:r>
      <w:r w:rsidRPr="00963830">
        <w:t xml:space="preserve"> Zie: J. ROZIE, D. VANDERMEERSCH, J. DE HERDT, M. DEBAUCHE en M. TAEYMANS, Naar een nieuw Strafwetboek? Het voorstel van de Commissie tot Hervorming van het Strafrecht, Brugge, die Keure, 2019, 246.</w:t>
      </w:r>
    </w:p>
  </w:footnote>
  <w:footnote w:id="532">
    <w:p w14:paraId="4B281A99" w14:textId="434F59F9" w:rsidR="00BA0376" w:rsidRPr="00963830" w:rsidRDefault="00BA0376" w:rsidP="005D3458">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181.</w:t>
      </w:r>
    </w:p>
  </w:footnote>
  <w:footnote w:id="533">
    <w:p w14:paraId="15B09870" w14:textId="188D6B7F" w:rsidR="00BA0376" w:rsidRPr="00963830" w:rsidRDefault="00BA0376" w:rsidP="00AF562B">
      <w:pPr>
        <w:pStyle w:val="NoSpacing"/>
      </w:pPr>
      <w:r w:rsidRPr="00963830">
        <w:rPr>
          <w:rStyle w:val="FootnoteReference"/>
        </w:rPr>
        <w:footnoteRef/>
      </w:r>
      <w:r w:rsidRPr="00963830">
        <w:t xml:space="preserve"> Niet: “</w:t>
      </w:r>
      <w:r w:rsidRPr="00963830">
        <w:rPr>
          <w:i/>
          <w:color w:val="000000" w:themeColor="text1"/>
        </w:rPr>
        <w:t>indien de seksuele handeling het gevolg is van (…) enig andere strafbare gedraging”</w:t>
      </w:r>
      <w:r w:rsidRPr="00963830">
        <w:t xml:space="preserve"> (</w:t>
      </w:r>
      <w:r w:rsidRPr="00963830">
        <w:rPr>
          <w:i/>
        </w:rPr>
        <w:t>infra</w:t>
      </w:r>
      <w:r w:rsidRPr="00963830">
        <w:t xml:space="preserve"> nr. 218).</w:t>
      </w:r>
    </w:p>
  </w:footnote>
  <w:footnote w:id="534">
    <w:p w14:paraId="15B0E7C0" w14:textId="34AC01CA" w:rsidR="00BA0376" w:rsidRPr="00963830" w:rsidRDefault="00BA0376" w:rsidP="005D3458">
      <w:pPr>
        <w:pStyle w:val="NoSpacing"/>
      </w:pPr>
      <w:r w:rsidRPr="00963830">
        <w:rPr>
          <w:rStyle w:val="FootnoteReference"/>
        </w:rPr>
        <w:footnoteRef/>
      </w:r>
      <w:r w:rsidRPr="00963830">
        <w:t xml:space="preserve"> Omz. seksueel strafrecht, </w:t>
      </w:r>
      <w:r w:rsidRPr="00963830">
        <w:rPr>
          <w:i/>
        </w:rPr>
        <w:t>supra</w:t>
      </w:r>
      <w:r w:rsidRPr="00963830">
        <w:t xml:space="preserve"> vn. 79, 8.</w:t>
      </w:r>
    </w:p>
  </w:footnote>
  <w:footnote w:id="535">
    <w:p w14:paraId="6FA20CC5" w14:textId="71061C0D" w:rsidR="00BA0376" w:rsidRPr="00963830" w:rsidRDefault="00BA0376" w:rsidP="00AB42CF">
      <w:pPr>
        <w:pStyle w:val="NoSpacing"/>
        <w:rPr>
          <w:color w:val="000000" w:themeColor="text1"/>
        </w:rPr>
      </w:pPr>
      <w:r w:rsidRPr="00963830">
        <w:rPr>
          <w:rStyle w:val="FootnoteReference"/>
          <w:color w:val="000000" w:themeColor="text1"/>
        </w:rPr>
        <w:footnoteRef/>
      </w:r>
      <w:r w:rsidRPr="00963830">
        <w:rPr>
          <w:color w:val="000000" w:themeColor="text1"/>
        </w:rPr>
        <w:t xml:space="preserve"> Zoals reeds eerder aangegeven, is het voor het legaliteitsbeginsel immers noodzakelijk maar voldoende wanneer een rechtsonderhorige kan bepalen of een welbepaalde gedraging al dan niet strafbaar is, desgevallend met de nodige interpretatieve hulp van de rechtscolleges (</w:t>
      </w:r>
      <w:r w:rsidRPr="00963830">
        <w:rPr>
          <w:i/>
        </w:rPr>
        <w:t>supra</w:t>
      </w:r>
      <w:r w:rsidRPr="00963830">
        <w:t xml:space="preserve"> nr. 211</w:t>
      </w:r>
      <w:r w:rsidRPr="00963830">
        <w:rPr>
          <w:color w:val="000000" w:themeColor="text1"/>
        </w:rPr>
        <w:t>).</w:t>
      </w:r>
    </w:p>
  </w:footnote>
  <w:footnote w:id="536">
    <w:p w14:paraId="7D513610" w14:textId="27D67BD4" w:rsidR="00BA0376" w:rsidRPr="009C29A6" w:rsidRDefault="00BA0376" w:rsidP="007E07D0">
      <w:pPr>
        <w:pStyle w:val="NoSpacing"/>
        <w:rPr>
          <w:lang w:val="fr-FR"/>
        </w:rPr>
      </w:pPr>
      <w:r w:rsidRPr="00963830">
        <w:rPr>
          <w:rStyle w:val="FootnoteReference"/>
        </w:rPr>
        <w:footnoteRef/>
      </w:r>
      <w:r w:rsidRPr="009C29A6">
        <w:rPr>
          <w:lang w:val="fr-FR"/>
        </w:rPr>
        <w:t xml:space="preserve"> Zie in diezelfde zin: A. KARCHER en O. BASTYNS, “L’atteinte à l’intégrité sexuelle et le viol” in A. RIZZO (ed.), </w:t>
      </w:r>
      <w:r w:rsidRPr="009C29A6">
        <w:rPr>
          <w:i/>
          <w:lang w:val="fr-FR"/>
        </w:rPr>
        <w:t>Le nouveau droit pénal sexuel</w:t>
      </w:r>
      <w:r w:rsidRPr="009C29A6">
        <w:rPr>
          <w:lang w:val="fr-FR"/>
        </w:rPr>
        <w:t xml:space="preserve">, Brussel, Larcier, 2022, (109) 124-125; M. ALIÉ, “La notion de consentement dans le nouveau Code pénal sexuel : fil d’Ariane ou future pierre d’achoppement?” in A. RIZZO (ed.), </w:t>
      </w:r>
      <w:r w:rsidRPr="009C29A6">
        <w:rPr>
          <w:i/>
          <w:lang w:val="fr-FR"/>
        </w:rPr>
        <w:t>Le nouveau droit pénal sexuel</w:t>
      </w:r>
      <w:r w:rsidRPr="009C29A6">
        <w:rPr>
          <w:lang w:val="fr-FR"/>
        </w:rPr>
        <w:t>, Brussel, Larcier, 2022, (79) 86-87.</w:t>
      </w:r>
    </w:p>
  </w:footnote>
  <w:footnote w:id="537">
    <w:p w14:paraId="36436A62" w14:textId="50C24AF9" w:rsidR="00BA0376" w:rsidRPr="00963830" w:rsidRDefault="00BA0376" w:rsidP="001B7EAD">
      <w:pPr>
        <w:pStyle w:val="NoSpacing"/>
      </w:pPr>
      <w:r w:rsidRPr="00963830">
        <w:rPr>
          <w:rStyle w:val="FootnoteReference"/>
        </w:rPr>
        <w:footnoteRef/>
      </w:r>
      <w:r w:rsidRPr="00963830">
        <w:t xml:space="preserve"> J. ROZIE, D. VANDERMEERSCH, J. DE HERDT, M. DEBAUCHE en M. TAEYMANS, Naar een nieuw Strafwetboek? Het voorstel van de Commissie tot Hervorming van het Strafrecht, Brugge, die Keure, 2019, 246.</w:t>
      </w:r>
    </w:p>
  </w:footnote>
  <w:footnote w:id="538">
    <w:p w14:paraId="42F9F92C" w14:textId="1A38345A" w:rsidR="00BA0376" w:rsidRPr="00963830" w:rsidRDefault="00BA0376" w:rsidP="00E40626">
      <w:pPr>
        <w:pStyle w:val="NoSpacing"/>
      </w:pPr>
      <w:r w:rsidRPr="00963830">
        <w:rPr>
          <w:rStyle w:val="FootnoteReference"/>
        </w:rPr>
        <w:footnoteRef/>
      </w:r>
      <w:r w:rsidRPr="00963830">
        <w:t xml:space="preserve"> MvT, Parl.St. Kamer 2020-21, nr. 55-2141/001, 18.</w:t>
      </w:r>
    </w:p>
  </w:footnote>
  <w:footnote w:id="539">
    <w:p w14:paraId="606F13D3" w14:textId="128EED4C" w:rsidR="00BA0376" w:rsidRPr="00963830" w:rsidRDefault="00BA0376" w:rsidP="004B6E9C">
      <w:pPr>
        <w:pStyle w:val="NoSpacing"/>
      </w:pPr>
      <w:r w:rsidRPr="00963830">
        <w:rPr>
          <w:rStyle w:val="FootnoteReference"/>
        </w:rPr>
        <w:footnoteRef/>
      </w:r>
      <w:r w:rsidRPr="00963830">
        <w:t xml:space="preserve"> </w:t>
      </w:r>
      <w:r w:rsidRPr="00963830">
        <w:rPr>
          <w:i/>
        </w:rPr>
        <w:t xml:space="preserve">Supra </w:t>
      </w:r>
      <w:r w:rsidRPr="00963830">
        <w:t>nr. 183.</w:t>
      </w:r>
    </w:p>
  </w:footnote>
  <w:footnote w:id="540">
    <w:p w14:paraId="4B04ED85" w14:textId="5414F668" w:rsidR="00BA0376" w:rsidRPr="00963830" w:rsidRDefault="00BA0376" w:rsidP="00DC7D45">
      <w:pPr>
        <w:pStyle w:val="NoSpacing"/>
      </w:pPr>
      <w:r w:rsidRPr="00963830">
        <w:rPr>
          <w:rStyle w:val="FootnoteReference"/>
        </w:rPr>
        <w:footnoteRef/>
      </w:r>
      <w:r w:rsidRPr="00963830">
        <w:t xml:space="preserve"> </w:t>
      </w:r>
      <w:r w:rsidRPr="00963830">
        <w:rPr>
          <w:i/>
        </w:rPr>
        <w:t xml:space="preserve">Supra </w:t>
      </w:r>
      <w:r w:rsidRPr="00963830">
        <w:t>nr. 185.</w:t>
      </w:r>
    </w:p>
  </w:footnote>
  <w:footnote w:id="541">
    <w:p w14:paraId="6BA3198F" w14:textId="3D288F52" w:rsidR="00BA0376" w:rsidRPr="00963830" w:rsidRDefault="00BA0376" w:rsidP="00167100">
      <w:pPr>
        <w:pStyle w:val="NoSpacing"/>
      </w:pPr>
      <w:r w:rsidRPr="00963830">
        <w:rPr>
          <w:rStyle w:val="FootnoteReference"/>
        </w:rPr>
        <w:footnoteRef/>
      </w:r>
      <w:r w:rsidRPr="00963830">
        <w:t xml:space="preserve"> Dit m.i. i.t.t. wat het geval is onder het huidig Belgisch recht.</w:t>
      </w:r>
    </w:p>
  </w:footnote>
  <w:footnote w:id="542">
    <w:p w14:paraId="7C9FE651" w14:textId="40C3987C" w:rsidR="00BA0376" w:rsidRPr="00963830" w:rsidRDefault="00BA0376" w:rsidP="00F55BCA">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181.</w:t>
      </w:r>
    </w:p>
  </w:footnote>
  <w:footnote w:id="543">
    <w:p w14:paraId="129DF116" w14:textId="77777777" w:rsidR="00BA0376" w:rsidRPr="00963830" w:rsidRDefault="00BA0376" w:rsidP="00F55BCA">
      <w:pPr>
        <w:pStyle w:val="NoSpacing"/>
      </w:pPr>
      <w:r w:rsidRPr="00963830">
        <w:rPr>
          <w:rStyle w:val="FootnoteReference"/>
        </w:rPr>
        <w:footnoteRef/>
      </w:r>
      <w:r w:rsidRPr="00963830">
        <w:t xml:space="preserve"> F. VERBRUGGEN, “Voorwoord. De moeilijkste taak van het strafrecht” in M. COP en T. HENRION, </w:t>
      </w:r>
      <w:r w:rsidRPr="00963830">
        <w:rPr>
          <w:i/>
        </w:rPr>
        <w:t>Het nieuwe seksueel strafrecht. Artikelsgewijze bespreking van de hervorming anno 2022,</w:t>
      </w:r>
      <w:r w:rsidRPr="00963830">
        <w:t xml:space="preserve"> Leuven, LeA Uitgevers, 2022, (v) vii.</w:t>
      </w:r>
    </w:p>
  </w:footnote>
  <w:footnote w:id="544">
    <w:p w14:paraId="13D96A5E" w14:textId="7568BC4B" w:rsidR="00BA0376" w:rsidRPr="009C29A6" w:rsidRDefault="00BA0376" w:rsidP="008560A3">
      <w:pPr>
        <w:pStyle w:val="NoSpacing"/>
        <w:rPr>
          <w:lang w:val="fr-FR"/>
        </w:rPr>
      </w:pPr>
      <w:r w:rsidRPr="00963830">
        <w:rPr>
          <w:rStyle w:val="FootnoteReference"/>
        </w:rPr>
        <w:footnoteRef/>
      </w:r>
      <w:r w:rsidRPr="009C29A6">
        <w:rPr>
          <w:lang w:val="fr-FR"/>
        </w:rPr>
        <w:t xml:space="preserve"> Omz. seksueel strafrecht, </w:t>
      </w:r>
      <w:r w:rsidRPr="009C29A6">
        <w:rPr>
          <w:i/>
          <w:lang w:val="fr-FR"/>
        </w:rPr>
        <w:t>supra</w:t>
      </w:r>
      <w:r w:rsidRPr="009C29A6">
        <w:rPr>
          <w:lang w:val="fr-FR"/>
        </w:rPr>
        <w:t xml:space="preserve"> vn. 79, 8; A. KARCHER en O. BASTYNS, “L’atteinte à l’intégrité sexuelle et le viol” in A. RIZZO (ed.), </w:t>
      </w:r>
      <w:r w:rsidRPr="009C29A6">
        <w:rPr>
          <w:i/>
          <w:lang w:val="fr-FR"/>
        </w:rPr>
        <w:t>Le nouveau droit pénal sexuel</w:t>
      </w:r>
      <w:r w:rsidRPr="009C29A6">
        <w:rPr>
          <w:lang w:val="fr-FR"/>
        </w:rPr>
        <w:t xml:space="preserve">, Brussel, Larcier, 2022, (109) 121; M. ALIÉ, “La notion de consentement dans le nouveau Code pénal sexuel : fil d’Ariane ou future pierre d’achoppement?” in A. RIZZO (ed.), </w:t>
      </w:r>
      <w:r w:rsidRPr="009C29A6">
        <w:rPr>
          <w:i/>
          <w:lang w:val="fr-FR"/>
        </w:rPr>
        <w:t>Le nouveau droit pénal sexuel</w:t>
      </w:r>
      <w:r w:rsidRPr="009C29A6">
        <w:rPr>
          <w:lang w:val="fr-FR"/>
        </w:rPr>
        <w:t>, Brussel, Larcier, 2022, (79) 86-87.</w:t>
      </w:r>
    </w:p>
  </w:footnote>
  <w:footnote w:id="545">
    <w:p w14:paraId="3D36C5AD" w14:textId="0CBCE979" w:rsidR="00BA0376" w:rsidRPr="00963830" w:rsidRDefault="00BA0376" w:rsidP="006D0D2A">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184.</w:t>
      </w:r>
    </w:p>
  </w:footnote>
  <w:footnote w:id="546">
    <w:p w14:paraId="339F13F0" w14:textId="68F49D18" w:rsidR="00BA0376" w:rsidRPr="00963830" w:rsidRDefault="00BA0376" w:rsidP="00DB5F46">
      <w:pPr>
        <w:pStyle w:val="NoSpacing"/>
      </w:pPr>
      <w:r w:rsidRPr="00963830">
        <w:rPr>
          <w:rStyle w:val="FootnoteReference"/>
        </w:rPr>
        <w:footnoteRef/>
      </w:r>
      <w:r w:rsidRPr="00963830">
        <w:t xml:space="preserve"> Hier wordt toestemming immers gedefinieerd als de “vrijwillig gegeven toestemming, die voortspruit uit de vrije wil van het slachtoffer, beoordeeld tegen de achtergrond van de begeleidende omstandigheden”. Zie: art. 36.2 Verdrag van Istanbul; Art. 36.2 Wet 1 maart 2016 houdende instemming met het Verdrag van de Raad van Europa inzake het voorkomen en bestrijden van geweld tegen vrouwen en huiselijk geweld, gedaan te Istanbul op 11 mei 2011, </w:t>
      </w:r>
      <w:r w:rsidRPr="00963830">
        <w:rPr>
          <w:i/>
        </w:rPr>
        <w:t>BS</w:t>
      </w:r>
      <w:r w:rsidRPr="00963830">
        <w:t xml:space="preserve"> 9 juni 2016; Internationaal Straftribunaal voor ex-Joegoslavië 22 februari 2002, Kunarac, Kovač en Vuković, §461; J. ROZIE, D. VANDERMEERSCH, J. DE HERDT, M. DEBAUCHE en M. TAEYMANS, Naar een nieuw Strafwetboek? Het voorstel van de Commissie tot Hervorming van het Strafrecht, Brugge, die Keure, 2019, 246.</w:t>
      </w:r>
    </w:p>
  </w:footnote>
  <w:footnote w:id="547">
    <w:p w14:paraId="4B3B8136" w14:textId="77777777" w:rsidR="00BA0376" w:rsidRPr="00963830" w:rsidRDefault="00BA0376" w:rsidP="00464EAA">
      <w:pPr>
        <w:pStyle w:val="NoSpacing"/>
      </w:pPr>
      <w:r w:rsidRPr="00963830">
        <w:rPr>
          <w:rStyle w:val="FootnoteReference"/>
        </w:rPr>
        <w:footnoteRef/>
      </w:r>
      <w:r w:rsidRPr="00963830">
        <w:t xml:space="preserve"> Oud art. 375, zesde lid Sw.</w:t>
      </w:r>
    </w:p>
  </w:footnote>
  <w:footnote w:id="548">
    <w:p w14:paraId="44D8C9E3" w14:textId="77777777" w:rsidR="00BA0376" w:rsidRPr="00963830" w:rsidRDefault="00BA0376" w:rsidP="00464EAA">
      <w:pPr>
        <w:pStyle w:val="NoSpacing"/>
      </w:pPr>
      <w:r w:rsidRPr="00963830">
        <w:rPr>
          <w:rStyle w:val="FootnoteReference"/>
        </w:rPr>
        <w:footnoteRef/>
      </w:r>
      <w:r w:rsidRPr="00963830">
        <w:t xml:space="preserve"> Oud art. 372, eerste lid Sw.</w:t>
      </w:r>
    </w:p>
  </w:footnote>
  <w:footnote w:id="549">
    <w:p w14:paraId="4BC5D810" w14:textId="2A6085F2" w:rsidR="00BA0376" w:rsidRPr="00963830" w:rsidRDefault="00BA0376" w:rsidP="00464EAA">
      <w:pPr>
        <w:pStyle w:val="NoSpacing"/>
      </w:pPr>
      <w:r w:rsidRPr="00963830">
        <w:rPr>
          <w:rStyle w:val="FootnoteReference"/>
        </w:rPr>
        <w:footnoteRef/>
      </w:r>
      <w:r w:rsidRPr="00963830">
        <w:t xml:space="preserve"> </w:t>
      </w:r>
      <w:r w:rsidRPr="00963830">
        <w:rPr>
          <w:color w:val="000000" w:themeColor="text1"/>
        </w:rPr>
        <w:t xml:space="preserve">GwH 4 juni 2009, nr. 93/2009, 9, overw. B.6; GwH 29 oktober 2009, nr. 167/2009, 11, overw. </w:t>
      </w:r>
      <w:r w:rsidRPr="009C29A6">
        <w:rPr>
          <w:color w:val="000000" w:themeColor="text1"/>
          <w:lang w:val="fr-FR"/>
        </w:rPr>
        <w:t xml:space="preserve">B.6; B. KETELS en G. VERMEULEN, “Grondwettelijk Hof verfijnt onderscheid leeftijdsgrens verkrachting en aanranding”, </w:t>
      </w:r>
      <w:r w:rsidRPr="009C29A6">
        <w:rPr>
          <w:i/>
          <w:color w:val="000000" w:themeColor="text1"/>
          <w:lang w:val="fr-FR"/>
        </w:rPr>
        <w:t>Juristenkrant</w:t>
      </w:r>
      <w:r w:rsidRPr="009C29A6">
        <w:rPr>
          <w:color w:val="000000" w:themeColor="text1"/>
          <w:lang w:val="fr-FR"/>
        </w:rPr>
        <w:t xml:space="preserve"> 2010, afl. 201, (4) 4-5; D. MERCKX en I. DELBROUCK, “Verkrachting”, </w:t>
      </w:r>
      <w:r w:rsidRPr="009C29A6">
        <w:rPr>
          <w:i/>
          <w:color w:val="000000" w:themeColor="text1"/>
          <w:lang w:val="fr-FR"/>
        </w:rPr>
        <w:t>supra</w:t>
      </w:r>
      <w:r w:rsidRPr="009C29A6">
        <w:rPr>
          <w:color w:val="000000" w:themeColor="text1"/>
          <w:lang w:val="fr-FR"/>
        </w:rPr>
        <w:t xml:space="preserve"> vn. 37, 237; I. </w:t>
      </w:r>
      <w:r w:rsidRPr="009C29A6">
        <w:rPr>
          <w:color w:val="000000"/>
          <w:shd w:val="clear" w:color="auto" w:fill="FFFFFF"/>
          <w:lang w:val="fr-FR"/>
        </w:rPr>
        <w:t xml:space="preserve">WATTIER, “De la constitutionnalité à la contrefactualité des catégories pénales de viol et de l’attentat à la pudeur commis sans violences ni menaces sur un mineur de moins de seize ans” (noot onder GwH 29 oktober 2009), </w:t>
      </w:r>
      <w:r w:rsidRPr="009C29A6">
        <w:rPr>
          <w:i/>
          <w:iCs/>
          <w:color w:val="000000"/>
          <w:shd w:val="clear" w:color="auto" w:fill="FFFFFF"/>
          <w:lang w:val="fr-FR"/>
        </w:rPr>
        <w:t>RDPC</w:t>
      </w:r>
      <w:r w:rsidRPr="009C29A6">
        <w:rPr>
          <w:color w:val="000000"/>
          <w:shd w:val="clear" w:color="auto" w:fill="FFFFFF"/>
          <w:lang w:val="fr-FR"/>
        </w:rPr>
        <w:t xml:space="preserve"> 2010, 344. </w:t>
      </w:r>
      <w:r w:rsidRPr="00963830">
        <w:rPr>
          <w:i/>
          <w:color w:val="000000" w:themeColor="text1"/>
        </w:rPr>
        <w:t xml:space="preserve">Supra </w:t>
      </w:r>
      <w:r w:rsidRPr="00963830">
        <w:rPr>
          <w:color w:val="000000" w:themeColor="text1"/>
        </w:rPr>
        <w:t>nr. 119.</w:t>
      </w:r>
    </w:p>
  </w:footnote>
  <w:footnote w:id="550">
    <w:p w14:paraId="28582B55" w14:textId="3579BE91" w:rsidR="00BA0376" w:rsidRPr="00963830" w:rsidRDefault="00BA0376" w:rsidP="00323CFD">
      <w:pPr>
        <w:pStyle w:val="NoSpacing"/>
      </w:pPr>
      <w:r w:rsidRPr="00963830">
        <w:rPr>
          <w:rStyle w:val="FootnoteReference"/>
        </w:rPr>
        <w:footnoteRef/>
      </w:r>
      <w:r w:rsidRPr="00963830">
        <w:t xml:space="preserve"> Zie in diezelfde zin: MvT, Parl.St. Kamer 2020-21, nr. 55-2141/001, 11; M. COP en T. HENRION, Het nieuwe seksueel strafrecht. Artikelsgewijze bespreking van de hervorming anno 2022, Leuven, LeA Uitgevers, 2022, 105.</w:t>
      </w:r>
    </w:p>
  </w:footnote>
  <w:footnote w:id="551">
    <w:p w14:paraId="227BEA45" w14:textId="4C6A1154" w:rsidR="00BA0376" w:rsidRPr="00963830" w:rsidRDefault="00BA0376" w:rsidP="008653D9">
      <w:pPr>
        <w:pStyle w:val="NoSpacing"/>
      </w:pPr>
      <w:r w:rsidRPr="00963830">
        <w:rPr>
          <w:rStyle w:val="FootnoteReference"/>
        </w:rPr>
        <w:footnoteRef/>
      </w:r>
      <w:r w:rsidRPr="00963830">
        <w:t xml:space="preserve"> </w:t>
      </w:r>
      <w:r w:rsidRPr="00963830">
        <w:rPr>
          <w:color w:val="000000" w:themeColor="text1"/>
        </w:rPr>
        <w:t>Uniform in de zin dat deze geldt voor alle niet-consensuele seksuele misdrijven, waaronder aantasting van de seksuele integriteit en verkrachting.</w:t>
      </w:r>
    </w:p>
  </w:footnote>
  <w:footnote w:id="552">
    <w:p w14:paraId="3093F3FE" w14:textId="5789C984" w:rsidR="00BA0376" w:rsidRPr="009C29A6" w:rsidRDefault="00BA0376" w:rsidP="005142BB">
      <w:pPr>
        <w:pStyle w:val="NoSpacing"/>
        <w:rPr>
          <w:lang w:val="en-GB"/>
        </w:rPr>
      </w:pPr>
      <w:r w:rsidRPr="00963830">
        <w:rPr>
          <w:rStyle w:val="FootnoteReference"/>
        </w:rPr>
        <w:footnoteRef/>
      </w:r>
      <w:r w:rsidRPr="009C29A6">
        <w:rPr>
          <w:lang w:val="en-GB"/>
        </w:rPr>
        <w:t xml:space="preserve"> </w:t>
      </w:r>
      <w:r w:rsidRPr="009C29A6">
        <w:rPr>
          <w:color w:val="000000" w:themeColor="text1"/>
          <w:lang w:val="en-GB"/>
        </w:rPr>
        <w:t>Art. 417/6 Sw.</w:t>
      </w:r>
    </w:p>
  </w:footnote>
  <w:footnote w:id="553">
    <w:p w14:paraId="73869A8B" w14:textId="0DA31B40" w:rsidR="00BA0376" w:rsidRPr="009C29A6" w:rsidRDefault="00BA0376" w:rsidP="006D0D2A">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nr. 133.</w:t>
      </w:r>
    </w:p>
  </w:footnote>
  <w:footnote w:id="554">
    <w:p w14:paraId="46B96FB1" w14:textId="77777777" w:rsidR="00BA0376" w:rsidRPr="00963830" w:rsidRDefault="00BA0376" w:rsidP="00007EEB">
      <w:pPr>
        <w:pStyle w:val="NoSpacing"/>
      </w:pPr>
      <w:r w:rsidRPr="00963830">
        <w:rPr>
          <w:rStyle w:val="FootnoteReference"/>
        </w:rPr>
        <w:footnoteRef/>
      </w:r>
      <w:r w:rsidRPr="009C29A6">
        <w:rPr>
          <w:lang w:val="en-GB"/>
        </w:rPr>
        <w:t xml:space="preserve"> </w:t>
      </w:r>
      <w:r w:rsidRPr="009C29A6">
        <w:rPr>
          <w:i/>
          <w:lang w:val="en-GB"/>
        </w:rPr>
        <w:t>Hand</w:t>
      </w:r>
      <w:r w:rsidRPr="009C29A6">
        <w:rPr>
          <w:lang w:val="en-GB"/>
        </w:rPr>
        <w:t xml:space="preserve">. </w:t>
      </w:r>
      <w:r w:rsidRPr="00963830">
        <w:t xml:space="preserve">Kamer commissie voor justitie 2020-21, 23 december 2021, nr. 55-2141/006, 11 e.v.. </w:t>
      </w:r>
    </w:p>
  </w:footnote>
  <w:footnote w:id="555">
    <w:p w14:paraId="70D52771" w14:textId="77777777" w:rsidR="00BA0376" w:rsidRPr="00963830" w:rsidRDefault="00BA0376" w:rsidP="00007EEB">
      <w:pPr>
        <w:pStyle w:val="NoSpacing"/>
      </w:pPr>
      <w:r w:rsidRPr="00963830">
        <w:rPr>
          <w:rStyle w:val="FootnoteReference"/>
        </w:rPr>
        <w:footnoteRef/>
      </w:r>
      <w:r w:rsidRPr="00963830">
        <w:t xml:space="preserve"> Art. 417/6, §1 Sw.</w:t>
      </w:r>
    </w:p>
  </w:footnote>
  <w:footnote w:id="556">
    <w:p w14:paraId="73675EE4" w14:textId="4F50C7CE" w:rsidR="00BA0376" w:rsidRPr="00963830" w:rsidRDefault="00BA0376" w:rsidP="00665964">
      <w:pPr>
        <w:pStyle w:val="NoSpacing"/>
      </w:pPr>
      <w:r w:rsidRPr="00963830">
        <w:rPr>
          <w:rStyle w:val="FootnoteReference"/>
        </w:rPr>
        <w:footnoteRef/>
      </w:r>
      <w:r w:rsidRPr="00963830">
        <w:t xml:space="preserve"> De uitzonderingen </w:t>
      </w:r>
      <w:r w:rsidRPr="00963830">
        <w:rPr>
          <w:color w:val="000000" w:themeColor="text1"/>
        </w:rPr>
        <w:t>die een hogere leeftijdsgrens invoeren (art. 417/6, §3 Sw.)</w:t>
      </w:r>
      <w:r w:rsidRPr="00963830">
        <w:t>, vielen buiten het bestek van deze masterscriptie (</w:t>
      </w:r>
      <w:r w:rsidRPr="00963830">
        <w:rPr>
          <w:i/>
        </w:rPr>
        <w:t xml:space="preserve">supra </w:t>
      </w:r>
      <w:r w:rsidRPr="00963830">
        <w:t xml:space="preserve">nr. 3). De evaluatie zal hier dan ook niet nader op ingaan. Zie hierover bv.: J. ROZIE en J. DE HERDT, “overgangsrecht seksueel strafrecht”, </w:t>
      </w:r>
      <w:r w:rsidRPr="00963830">
        <w:rPr>
          <w:i/>
        </w:rPr>
        <w:t>supra</w:t>
      </w:r>
      <w:r w:rsidRPr="00963830">
        <w:t xml:space="preserve"> vn. 7, 189-190. Daarnaast is ook in het VK een hogere leeftijdsgrens ingevoerd indien het seksueel misdrijf gepleegd wordt door een welbepaalde dader</w:t>
      </w:r>
      <w:r w:rsidRPr="00963830">
        <w:rPr>
          <w:color w:val="000000" w:themeColor="text1"/>
        </w:rPr>
        <w:t xml:space="preserve"> (</w:t>
      </w:r>
      <w:r w:rsidRPr="00963830">
        <w:rPr>
          <w:i/>
          <w:color w:val="000000" w:themeColor="text1"/>
        </w:rPr>
        <w:t xml:space="preserve">supra </w:t>
      </w:r>
      <w:r w:rsidRPr="00963830">
        <w:rPr>
          <w:color w:val="000000" w:themeColor="text1"/>
        </w:rPr>
        <w:t>nr. 185).</w:t>
      </w:r>
    </w:p>
  </w:footnote>
  <w:footnote w:id="557">
    <w:p w14:paraId="7AAEFBBF" w14:textId="69C6AF8E" w:rsidR="00BA0376" w:rsidRPr="009C29A6" w:rsidRDefault="00BA0376" w:rsidP="006D0D2A">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nrs. 64 e.v.</w:t>
      </w:r>
    </w:p>
  </w:footnote>
  <w:footnote w:id="558">
    <w:p w14:paraId="7E0510C6" w14:textId="27C8999D" w:rsidR="00BA0376" w:rsidRPr="009C29A6" w:rsidRDefault="00BA0376" w:rsidP="004D74F9">
      <w:pPr>
        <w:pStyle w:val="NoSpacing"/>
        <w:rPr>
          <w:lang w:val="en-GB"/>
        </w:rPr>
      </w:pPr>
      <w:r w:rsidRPr="00963830">
        <w:rPr>
          <w:rStyle w:val="FootnoteReference"/>
        </w:rPr>
        <w:footnoteRef/>
      </w:r>
      <w:r w:rsidRPr="009C29A6">
        <w:rPr>
          <w:lang w:val="en-GB"/>
        </w:rPr>
        <w:t xml:space="preserve"> </w:t>
      </w:r>
      <w:r w:rsidRPr="009C29A6">
        <w:rPr>
          <w:color w:val="000000" w:themeColor="text1"/>
          <w:lang w:val="en-GB"/>
        </w:rPr>
        <w:t>Art. 417/6, §2 Sw.</w:t>
      </w:r>
    </w:p>
  </w:footnote>
  <w:footnote w:id="559">
    <w:p w14:paraId="150BBEA3" w14:textId="77777777" w:rsidR="00BA0376" w:rsidRPr="00963830" w:rsidRDefault="00BA0376" w:rsidP="00E5381B">
      <w:pPr>
        <w:pStyle w:val="NoSpacing"/>
        <w:rPr>
          <w:color w:val="000000" w:themeColor="text1"/>
        </w:rPr>
      </w:pPr>
      <w:r w:rsidRPr="00963830">
        <w:rPr>
          <w:rStyle w:val="FootnoteReference"/>
          <w:color w:val="000000" w:themeColor="text1"/>
        </w:rPr>
        <w:footnoteRef/>
      </w:r>
      <w:r w:rsidRPr="00963830">
        <w:rPr>
          <w:color w:val="000000" w:themeColor="text1"/>
        </w:rPr>
        <w:t xml:space="preserve"> J. ROZIE en J. DE HERDT, “overgangsrecht seksueel strafrecht”, </w:t>
      </w:r>
      <w:r w:rsidRPr="00963830">
        <w:rPr>
          <w:i/>
          <w:color w:val="000000" w:themeColor="text1"/>
        </w:rPr>
        <w:t>supra</w:t>
      </w:r>
      <w:r w:rsidRPr="00963830">
        <w:rPr>
          <w:color w:val="000000" w:themeColor="text1"/>
        </w:rPr>
        <w:t xml:space="preserve"> vn. 7, 190.</w:t>
      </w:r>
    </w:p>
  </w:footnote>
  <w:footnote w:id="560">
    <w:p w14:paraId="4DD1D7A4" w14:textId="77777777" w:rsidR="00BA0376" w:rsidRPr="00963830" w:rsidRDefault="00BA0376" w:rsidP="007F317E">
      <w:pPr>
        <w:pStyle w:val="NoSpacing"/>
      </w:pPr>
      <w:r w:rsidRPr="00963830">
        <w:rPr>
          <w:rStyle w:val="FootnoteReference"/>
        </w:rPr>
        <w:footnoteRef/>
      </w:r>
      <w:r w:rsidRPr="00963830">
        <w:t xml:space="preserve"> MvT, </w:t>
      </w:r>
      <w:r w:rsidRPr="00963830">
        <w:rPr>
          <w:i/>
        </w:rPr>
        <w:t>Parl.St.</w:t>
      </w:r>
      <w:r w:rsidRPr="00963830">
        <w:t xml:space="preserve"> Kamer 2020-21, nr. 55-2141/001, 12; J. ROZIE en D. VANDERMEERSCH, “De aanpak van seksuele delinquentie in het licht van de publieke opinie en de voorstellen van de Commissie tot hervorming van het strafrecht”, </w:t>
      </w:r>
      <w:r w:rsidRPr="00963830">
        <w:rPr>
          <w:i/>
        </w:rPr>
        <w:t>RW</w:t>
      </w:r>
      <w:r w:rsidRPr="00963830">
        <w:t xml:space="preserve"> 2019-20, (483) 493.</w:t>
      </w:r>
    </w:p>
  </w:footnote>
  <w:footnote w:id="561">
    <w:p w14:paraId="064A9589" w14:textId="77777777" w:rsidR="00BA0376" w:rsidRPr="00963830" w:rsidRDefault="00BA0376" w:rsidP="007F317E">
      <w:pPr>
        <w:pStyle w:val="NoSpacing"/>
      </w:pPr>
      <w:r w:rsidRPr="00963830">
        <w:rPr>
          <w:rStyle w:val="FootnoteReference"/>
        </w:rPr>
        <w:footnoteRef/>
      </w:r>
      <w:r w:rsidRPr="00963830">
        <w:t xml:space="preserve"> Richtlijn 2011/93/EU van het Europees Parlement en de Raad van 13 december 2011 ter bestrijding van seksueel misbruik en seksuele uitbuiting van kinderen en kinderpornografie, en ter vervanging van Kaderbesluit 2004/68/JBZ van de Raad; MvT, </w:t>
      </w:r>
      <w:r w:rsidRPr="00963830">
        <w:rPr>
          <w:i/>
        </w:rPr>
        <w:t>Parl.St.</w:t>
      </w:r>
      <w:r w:rsidRPr="00963830">
        <w:t xml:space="preserve"> Kamer 2020-21, nr. 55-2141/001, 14; EHRM 22 oktober 1981, nr. 7525/76, Dudgeon t. Verenigd Koninkrijk.</w:t>
      </w:r>
    </w:p>
  </w:footnote>
  <w:footnote w:id="562">
    <w:p w14:paraId="5531C504" w14:textId="77777777" w:rsidR="00BA0376" w:rsidRPr="00963830" w:rsidRDefault="00BA0376" w:rsidP="008D7015">
      <w:pPr>
        <w:pStyle w:val="NoSpacing"/>
      </w:pPr>
      <w:r w:rsidRPr="00963830">
        <w:rPr>
          <w:rStyle w:val="FootnoteReference"/>
        </w:rPr>
        <w:footnoteRef/>
      </w:r>
      <w:r w:rsidRPr="00963830">
        <w:t xml:space="preserve"> Adv.RvS afdeling Wetgeving van 25 mei 2021 over een voorontwerp van wet ‘houdende wijzigingen aan het Strafwetboek met betrekking tot het seksueel strafrecht’, nr. 69.204/3, 7.</w:t>
      </w:r>
    </w:p>
  </w:footnote>
  <w:footnote w:id="563">
    <w:p w14:paraId="74CBE9A3" w14:textId="77777777" w:rsidR="00BA0376" w:rsidRPr="00963830" w:rsidRDefault="00BA0376" w:rsidP="000B388A">
      <w:pPr>
        <w:pStyle w:val="NoSpacing"/>
      </w:pPr>
      <w:r w:rsidRPr="00963830">
        <w:rPr>
          <w:rStyle w:val="FootnoteReference"/>
        </w:rPr>
        <w:footnoteRef/>
      </w:r>
      <w:r w:rsidRPr="00963830">
        <w:t xml:space="preserve"> MvT, </w:t>
      </w:r>
      <w:r w:rsidRPr="00963830">
        <w:rPr>
          <w:i/>
        </w:rPr>
        <w:t>Parl.St.</w:t>
      </w:r>
      <w:r w:rsidRPr="00963830">
        <w:t xml:space="preserve"> Kamer 2020-21, nr. 55-2141/001, 14.</w:t>
      </w:r>
    </w:p>
  </w:footnote>
  <w:footnote w:id="564">
    <w:p w14:paraId="5EF65185" w14:textId="1907C818" w:rsidR="00BA0376" w:rsidRPr="00963830" w:rsidRDefault="00BA0376" w:rsidP="000B388A">
      <w:pPr>
        <w:pStyle w:val="NoSpacing"/>
      </w:pPr>
      <w:r w:rsidRPr="00963830">
        <w:rPr>
          <w:rStyle w:val="FootnoteReference"/>
        </w:rPr>
        <w:footnoteRef/>
      </w:r>
      <w:r w:rsidRPr="00963830">
        <w:t xml:space="preserve"> In diezelfde zin: Adv.RvS afdeling Wetgeving van 25 mei 2021 over een voorontwerp van wet ‘houdende wijzigingen aan het Strafwetboek met betrekking tot het seksueel strafrecht’, nr. 69.204/3, 7.</w:t>
      </w:r>
    </w:p>
  </w:footnote>
  <w:footnote w:id="565">
    <w:p w14:paraId="169ED8D2" w14:textId="77777777" w:rsidR="00BA0376" w:rsidRPr="00963830" w:rsidRDefault="00BA0376" w:rsidP="000B388A">
      <w:pPr>
        <w:pStyle w:val="NoSpacing"/>
      </w:pPr>
      <w:r w:rsidRPr="00963830">
        <w:rPr>
          <w:rStyle w:val="FootnoteReference"/>
        </w:rPr>
        <w:footnoteRef/>
      </w:r>
      <w:r w:rsidRPr="00963830">
        <w:t xml:space="preserve"> B. MEEUSEN en L. FRANÇOIS, “De ene toets is de andere niet. Variërende toetsingsintensiteit in de rechtspraak van het Grondwettelijk Hof”, </w:t>
      </w:r>
      <w:r w:rsidRPr="00963830">
        <w:rPr>
          <w:i/>
        </w:rPr>
        <w:t>RW</w:t>
      </w:r>
      <w:r w:rsidRPr="00963830">
        <w:t xml:space="preserve"> 2020-21, (363) 363-373; S. SOTTIAUX, Grondwettelijk recht, Antwerpen, Intersentia, 2021, 319-337.</w:t>
      </w:r>
    </w:p>
  </w:footnote>
  <w:footnote w:id="566">
    <w:p w14:paraId="360A304E" w14:textId="2FAD85D4" w:rsidR="00BA0376" w:rsidRPr="00963830" w:rsidRDefault="00BA0376" w:rsidP="00B74CCD">
      <w:pPr>
        <w:pStyle w:val="NoSpacing"/>
      </w:pPr>
      <w:r w:rsidRPr="00963830">
        <w:rPr>
          <w:rStyle w:val="FootnoteReference"/>
        </w:rPr>
        <w:footnoteRef/>
      </w:r>
      <w:r w:rsidRPr="00963830">
        <w:t xml:space="preserve"> MvT, </w:t>
      </w:r>
      <w:r w:rsidRPr="00963830">
        <w:rPr>
          <w:i/>
        </w:rPr>
        <w:t>Parl.St.</w:t>
      </w:r>
      <w:r w:rsidRPr="00963830">
        <w:t xml:space="preserve"> Kamer 2020-21, nr. 55-2141/001, 11.</w:t>
      </w:r>
    </w:p>
  </w:footnote>
  <w:footnote w:id="567">
    <w:p w14:paraId="3A1FB6AF" w14:textId="18DAE0CA" w:rsidR="00BA0376" w:rsidRPr="00963830" w:rsidRDefault="00BA0376" w:rsidP="00331DB2">
      <w:pPr>
        <w:pStyle w:val="NoSpacing"/>
      </w:pPr>
      <w:r w:rsidRPr="00963830">
        <w:rPr>
          <w:rStyle w:val="FootnoteReference"/>
        </w:rPr>
        <w:footnoteRef/>
      </w:r>
      <w:r w:rsidRPr="00963830">
        <w:t xml:space="preserve"> VANDERMEERSCH gaf aan dat deze discussie enigszins verrassend was, aangezien het gaat om begrippen die door de hoogste rechtscolleges worden toegepast. Zie: </w:t>
      </w:r>
      <w:r w:rsidRPr="00963830">
        <w:rPr>
          <w:color w:val="000000"/>
        </w:rPr>
        <w:t xml:space="preserve">Verslag van de eerste lezing bij het wetsontwerp houdende wijzigingen aan het Strafwetboek met betrekking tot het seksueel strafrecht e.a., </w:t>
      </w:r>
      <w:r w:rsidRPr="00963830">
        <w:rPr>
          <w:i/>
          <w:iCs/>
          <w:color w:val="000000"/>
        </w:rPr>
        <w:t>Parl.St. 2021-22</w:t>
      </w:r>
      <w:r w:rsidRPr="00963830">
        <w:rPr>
          <w:color w:val="000000"/>
        </w:rPr>
        <w:t xml:space="preserve">, nr. 55-2141/006, 346. Zie ook: </w:t>
      </w:r>
      <w:r w:rsidRPr="00963830">
        <w:rPr>
          <w:i/>
        </w:rPr>
        <w:t>Hand</w:t>
      </w:r>
      <w:r w:rsidRPr="00963830">
        <w:t>. Kamer commissie voor justitie 2020-21, 23 december 2021, nr. 55-2141/006, 41;</w:t>
      </w:r>
      <w:r w:rsidRPr="00963830">
        <w:rPr>
          <w:color w:val="000000"/>
        </w:rPr>
        <w:t xml:space="preserve"> </w:t>
      </w:r>
      <w:r w:rsidRPr="00963830">
        <w:t xml:space="preserve">J. ROZIE e.a., </w:t>
      </w:r>
      <w:r w:rsidRPr="00963830">
        <w:rPr>
          <w:i/>
        </w:rPr>
        <w:t>Naar een nieuw Strafwetboek? Het voorstel van de Commissie tot Hervorming van het Strafrecht</w:t>
      </w:r>
      <w:r w:rsidRPr="00963830">
        <w:t xml:space="preserve">, Brugge, die Keure, 2019, 250-251; J. ROZIE en J. DE HERDT, “overgangsrecht seksueel strafrecht”, </w:t>
      </w:r>
      <w:r w:rsidRPr="00963830">
        <w:rPr>
          <w:i/>
        </w:rPr>
        <w:t>supra</w:t>
      </w:r>
      <w:r w:rsidRPr="00963830">
        <w:t xml:space="preserve"> vn. 7, 178.</w:t>
      </w:r>
    </w:p>
  </w:footnote>
  <w:footnote w:id="568">
    <w:p w14:paraId="6FC61D4C" w14:textId="764E8311" w:rsidR="00BA0376" w:rsidRPr="00963830" w:rsidRDefault="00BA0376" w:rsidP="00D91279">
      <w:pPr>
        <w:pStyle w:val="NoSpacing"/>
      </w:pPr>
      <w:r w:rsidRPr="00963830">
        <w:rPr>
          <w:rStyle w:val="FootnoteReference"/>
        </w:rPr>
        <w:footnoteRef/>
      </w:r>
      <w:r w:rsidRPr="00963830">
        <w:t xml:space="preserve"> </w:t>
      </w:r>
      <w:r w:rsidRPr="00963830">
        <w:rPr>
          <w:color w:val="000000" w:themeColor="text1"/>
        </w:rPr>
        <w:t>Lees: Commissie tot hervorming van het strafrecht.</w:t>
      </w:r>
    </w:p>
  </w:footnote>
  <w:footnote w:id="569">
    <w:p w14:paraId="0DE768AE" w14:textId="193ABA69" w:rsidR="00BA0376" w:rsidRPr="00963830" w:rsidRDefault="00BA0376" w:rsidP="001566AF">
      <w:pPr>
        <w:pStyle w:val="NoSpacing"/>
      </w:pPr>
      <w:r w:rsidRPr="00963830">
        <w:rPr>
          <w:rStyle w:val="FootnoteReference"/>
        </w:rPr>
        <w:footnoteRef/>
      </w:r>
      <w:r w:rsidRPr="00963830">
        <w:t xml:space="preserve"> J. ROZIE en J. DE HERDT, “overgangsrecht seksueel strafrecht”, </w:t>
      </w:r>
      <w:r w:rsidRPr="00963830">
        <w:rPr>
          <w:i/>
        </w:rPr>
        <w:t>supra</w:t>
      </w:r>
      <w:r w:rsidRPr="00963830">
        <w:t xml:space="preserve"> vn. 7, 178.</w:t>
      </w:r>
    </w:p>
  </w:footnote>
  <w:footnote w:id="570">
    <w:p w14:paraId="093E6F7C" w14:textId="7C72D6E0" w:rsidR="00BA0376" w:rsidRPr="009C29A6" w:rsidRDefault="00BA0376" w:rsidP="006D0D2A">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 31.</w:t>
      </w:r>
    </w:p>
  </w:footnote>
  <w:footnote w:id="571">
    <w:p w14:paraId="18D1EF34" w14:textId="5984A6FA" w:rsidR="00BA0376" w:rsidRPr="009C29A6" w:rsidRDefault="00BA0376" w:rsidP="006D0D2A">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nrs. 44 en 134.</w:t>
      </w:r>
    </w:p>
  </w:footnote>
  <w:footnote w:id="572">
    <w:p w14:paraId="04BBA733" w14:textId="7AF40FB0" w:rsidR="00BA0376" w:rsidRPr="009C29A6" w:rsidRDefault="00BA0376" w:rsidP="00BD52B0">
      <w:pPr>
        <w:pStyle w:val="NoSpacing"/>
        <w:rPr>
          <w:lang w:val="en-GB"/>
        </w:rPr>
      </w:pPr>
      <w:r w:rsidRPr="00963830">
        <w:rPr>
          <w:rStyle w:val="FootnoteReference"/>
        </w:rPr>
        <w:footnoteRef/>
      </w:r>
      <w:r w:rsidRPr="009C29A6">
        <w:rPr>
          <w:lang w:val="en-GB"/>
        </w:rPr>
        <w:t xml:space="preserve"> </w:t>
      </w:r>
      <w:r w:rsidRPr="009C29A6">
        <w:rPr>
          <w:color w:val="000000" w:themeColor="text1"/>
          <w:lang w:val="en-GB"/>
        </w:rPr>
        <w:t xml:space="preserve">Cass. 12 mei 1987, </w:t>
      </w:r>
      <w:r w:rsidRPr="009C29A6">
        <w:rPr>
          <w:i/>
          <w:color w:val="000000" w:themeColor="text1"/>
          <w:lang w:val="en-GB"/>
        </w:rPr>
        <w:t>RW</w:t>
      </w:r>
      <w:r w:rsidRPr="009C29A6">
        <w:rPr>
          <w:color w:val="000000" w:themeColor="text1"/>
          <w:lang w:val="en-GB"/>
        </w:rPr>
        <w:t xml:space="preserve"> 1987-88, 538. </w:t>
      </w:r>
    </w:p>
  </w:footnote>
  <w:footnote w:id="573">
    <w:p w14:paraId="544A473B" w14:textId="663C2EB9" w:rsidR="00BA0376" w:rsidRPr="00963830" w:rsidRDefault="00BA0376" w:rsidP="00A20446">
      <w:pPr>
        <w:pStyle w:val="NoSpacing"/>
      </w:pPr>
      <w:r w:rsidRPr="00963830">
        <w:rPr>
          <w:rStyle w:val="FootnoteReference"/>
        </w:rPr>
        <w:footnoteRef/>
      </w:r>
      <w:r w:rsidRPr="009C29A6">
        <w:rPr>
          <w:lang w:val="en-GB"/>
        </w:rPr>
        <w:t xml:space="preserve"> </w:t>
      </w:r>
      <w:r w:rsidRPr="009C29A6">
        <w:rPr>
          <w:color w:val="000000" w:themeColor="text1"/>
          <w:lang w:val="en-GB"/>
        </w:rPr>
        <w:t xml:space="preserve">Cass. 8 april 2008, AR P.08.0006.N., Arr.Cass. 2008, 866; Cass. 24 februari 2014, Arr.Cass. 2014, 513. </w:t>
      </w:r>
      <w:r w:rsidRPr="00963830">
        <w:rPr>
          <w:i/>
          <w:color w:val="000000" w:themeColor="text1"/>
        </w:rPr>
        <w:t>(supra</w:t>
      </w:r>
      <w:r w:rsidRPr="00963830">
        <w:rPr>
          <w:color w:val="000000" w:themeColor="text1"/>
        </w:rPr>
        <w:t xml:space="preserve"> voetnoot nr. 103).</w:t>
      </w:r>
    </w:p>
  </w:footnote>
  <w:footnote w:id="574">
    <w:p w14:paraId="409B73BB" w14:textId="77777777" w:rsidR="00BA0376" w:rsidRPr="00963830" w:rsidRDefault="00BA0376" w:rsidP="00A20446">
      <w:pPr>
        <w:pStyle w:val="NoSpacing"/>
      </w:pPr>
      <w:r w:rsidRPr="00963830">
        <w:rPr>
          <w:rStyle w:val="FootnoteReference"/>
        </w:rPr>
        <w:footnoteRef/>
      </w:r>
      <w:r w:rsidRPr="00963830">
        <w:t xml:space="preserve"> Bekeken vanuit de bewijslast die rust op het Openbaar Ministerie.</w:t>
      </w:r>
    </w:p>
  </w:footnote>
  <w:footnote w:id="575">
    <w:p w14:paraId="76703363" w14:textId="5BFD4C1E" w:rsidR="00BA0376" w:rsidRPr="00963830" w:rsidRDefault="00BA0376" w:rsidP="00FA0B36">
      <w:pPr>
        <w:pStyle w:val="NoSpacing"/>
      </w:pPr>
      <w:r w:rsidRPr="00963830">
        <w:rPr>
          <w:rStyle w:val="FootnoteReference"/>
        </w:rPr>
        <w:footnoteRef/>
      </w:r>
      <w:r w:rsidRPr="00963830">
        <w:t xml:space="preserve"> Dit wordt hieronder nog genuanceerd (</w:t>
      </w:r>
      <w:r w:rsidRPr="00963830">
        <w:rPr>
          <w:i/>
        </w:rPr>
        <w:t xml:space="preserve">infra </w:t>
      </w:r>
      <w:r w:rsidRPr="00963830">
        <w:t>nrs. 232 e.v.). Dit is bovendien in overeenstemming met het Verdrag van Istanbul, waarin vereist wordt dat de gedragingen die vallen onder artikel 36 van het verdrag, “</w:t>
      </w:r>
      <w:r w:rsidRPr="00963830">
        <w:rPr>
          <w:i/>
        </w:rPr>
        <w:t>intentional</w:t>
      </w:r>
      <w:r w:rsidRPr="00963830">
        <w:t xml:space="preserve">” moeten worden gepleegd. De nadere invulling hiervan komt toe aan de lidstaten en heeft betrekking op alle onderdelen van de gedraging. Zie: </w:t>
      </w:r>
      <w:r w:rsidRPr="00963830">
        <w:rPr>
          <w:i/>
        </w:rPr>
        <w:t>Explanatory Report</w:t>
      </w:r>
      <w:r w:rsidRPr="00963830">
        <w:t xml:space="preserve"> bij het Verdrag van de Raad van Europa inzake het voorkomen en bestrijden van geweld tegen vrouwen en huiselijk geweld, </w:t>
      </w:r>
      <w:r w:rsidRPr="00963830">
        <w:rPr>
          <w:i/>
        </w:rPr>
        <w:t>CETS</w:t>
      </w:r>
      <w:r w:rsidRPr="00963830">
        <w:t xml:space="preserve"> 11 mei 2011, nr. 210 (“Verdrag van Istanbul”), §189.</w:t>
      </w:r>
    </w:p>
  </w:footnote>
  <w:footnote w:id="576">
    <w:p w14:paraId="6F59ECA7" w14:textId="31940D3A" w:rsidR="00BA0376" w:rsidRPr="009C29A6" w:rsidRDefault="00BA0376" w:rsidP="00246FF6">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 36 en 126.</w:t>
      </w:r>
    </w:p>
  </w:footnote>
  <w:footnote w:id="577">
    <w:p w14:paraId="63986B32" w14:textId="2455135D" w:rsidR="00BA0376" w:rsidRPr="009C29A6" w:rsidRDefault="00BA0376" w:rsidP="00246FF6">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nrs 208-209.</w:t>
      </w:r>
    </w:p>
  </w:footnote>
  <w:footnote w:id="578">
    <w:p w14:paraId="099BBC5A" w14:textId="6D3C8764" w:rsidR="00BA0376" w:rsidRPr="00963830" w:rsidRDefault="00BA0376" w:rsidP="00323EEC">
      <w:pPr>
        <w:pStyle w:val="NoSpacing"/>
      </w:pPr>
      <w:r w:rsidRPr="00963830">
        <w:rPr>
          <w:rStyle w:val="FootnoteReference"/>
        </w:rPr>
        <w:footnoteRef/>
      </w:r>
      <w:r w:rsidRPr="00963830">
        <w:t xml:space="preserve"> De misdrijven t.a.v. een minachttienjarige gepleegd door iemand met een welbepaalde daderhoedanigheid niet te na gesproken (</w:t>
      </w:r>
      <w:r w:rsidRPr="00963830">
        <w:rPr>
          <w:i/>
        </w:rPr>
        <w:t xml:space="preserve">supra </w:t>
      </w:r>
      <w:r w:rsidRPr="00963830">
        <w:t xml:space="preserve">nr. 185); vereist de </w:t>
      </w:r>
      <w:r w:rsidRPr="00963830">
        <w:rPr>
          <w:color w:val="000000" w:themeColor="text1"/>
        </w:rPr>
        <w:t xml:space="preserve">Britse wetgever géén moreel bestanddeel indien het een mindertienjarig slachtoffer betreft, maar onachtzaamheid t.a.v. de minderjarige leeftijd indien het slachtoffer tussen de dertien en zestien jaar oud is. Aangezien louter materiële inbreuken, zijnde misdrijven waarvoor geen moreel bestanddeel vervuld zou moeten zijn, naar Belgisch recht niet bestaan (Cass. 12 mei 1987, </w:t>
      </w:r>
      <w:r w:rsidRPr="00963830">
        <w:rPr>
          <w:i/>
          <w:color w:val="000000" w:themeColor="text1"/>
        </w:rPr>
        <w:t>RW</w:t>
      </w:r>
      <w:r w:rsidRPr="00963830">
        <w:rPr>
          <w:color w:val="000000" w:themeColor="text1"/>
        </w:rPr>
        <w:t xml:space="preserve"> 1987-88, 538), kan hieraan geen voorbeeld worden genomen.</w:t>
      </w:r>
    </w:p>
  </w:footnote>
  <w:footnote w:id="579">
    <w:p w14:paraId="7D1EC1E5" w14:textId="49C86C85" w:rsidR="00BA0376" w:rsidRPr="00963830" w:rsidRDefault="00BA0376" w:rsidP="001054FF">
      <w:pPr>
        <w:pStyle w:val="NoSpacing"/>
      </w:pPr>
      <w:r w:rsidRPr="00963830">
        <w:rPr>
          <w:rStyle w:val="FootnoteReference"/>
        </w:rPr>
        <w:footnoteRef/>
      </w:r>
      <w:r w:rsidRPr="00963830">
        <w:t xml:space="preserve"> </w:t>
      </w:r>
      <w:r w:rsidRPr="00963830">
        <w:rPr>
          <w:i/>
        </w:rPr>
        <w:t>Supra</w:t>
      </w:r>
      <w:r w:rsidRPr="00963830">
        <w:t xml:space="preserve"> nr. 231.</w:t>
      </w:r>
    </w:p>
  </w:footnote>
  <w:footnote w:id="580">
    <w:p w14:paraId="35A0C437" w14:textId="561A4133" w:rsidR="00BA0376" w:rsidRPr="00963830" w:rsidRDefault="00BA0376" w:rsidP="00425A26">
      <w:pPr>
        <w:pStyle w:val="NoSpacing"/>
      </w:pPr>
      <w:r w:rsidRPr="00963830">
        <w:rPr>
          <w:rStyle w:val="FootnoteReference"/>
        </w:rPr>
        <w:footnoteRef/>
      </w:r>
      <w:r w:rsidRPr="00963830">
        <w:t xml:space="preserve"> Dit is m.i. bovendien in overeenstemming met het Verdrag van Istanbul, waarin vereist wordt dat de gedragingen die vallen onder artikel 36 van het verdrag, “intentional” moeten worden gepleegd. De nadere invulling hiervan komt toe aan de lidstaten en heeft betrekking op alle onderdelen van de gedraging. Artikel 36 heeft het over niet-consensuele seksuele misdrijven in het algemeen, zonder daarbij toe te spitsen om de minderjarige leeftijd van het slachtoffer dat een constitutief bestanddeel van het misdrijf zou kunnen uitmaken in de verdragsstaten. Aldus lijkt het Verdrag van Istanbul zich niet te verzetten tegen de aanbeveling. Zie: </w:t>
      </w:r>
      <w:r w:rsidRPr="00963830">
        <w:rPr>
          <w:i/>
        </w:rPr>
        <w:t>Explanatory</w:t>
      </w:r>
      <w:r w:rsidRPr="00963830">
        <w:t xml:space="preserve"> </w:t>
      </w:r>
      <w:r w:rsidRPr="00963830">
        <w:rPr>
          <w:i/>
        </w:rPr>
        <w:t>Report</w:t>
      </w:r>
      <w:r w:rsidRPr="00963830">
        <w:t xml:space="preserve"> bij het Verdrag van de Raad van Europa inzake het voorkomen en bestrijden van geweld tegen vrouwen en huiselijk geweld, </w:t>
      </w:r>
      <w:r w:rsidRPr="00963830">
        <w:rPr>
          <w:i/>
        </w:rPr>
        <w:t>CETS</w:t>
      </w:r>
      <w:r w:rsidRPr="00963830">
        <w:t xml:space="preserve"> 11 mei 2011, nr. 210 (“Verdrag van Istanbul”), §189.</w:t>
      </w:r>
    </w:p>
  </w:footnote>
  <w:footnote w:id="581">
    <w:p w14:paraId="30D9F633" w14:textId="44D7144A" w:rsidR="00BA0376" w:rsidRPr="009C29A6" w:rsidRDefault="00BA0376" w:rsidP="0079007B">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32.</w:t>
      </w:r>
    </w:p>
  </w:footnote>
  <w:footnote w:id="582">
    <w:p w14:paraId="07A3BB02" w14:textId="2787E071" w:rsidR="00BA0376" w:rsidRPr="009C29A6" w:rsidRDefault="00BA0376" w:rsidP="00EF1101">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108-111 en 122.</w:t>
      </w:r>
    </w:p>
  </w:footnote>
  <w:footnote w:id="583">
    <w:p w14:paraId="5AEC46E7" w14:textId="7D560227" w:rsidR="00BA0376" w:rsidRPr="00963830" w:rsidRDefault="00BA0376" w:rsidP="003722D5">
      <w:pPr>
        <w:pStyle w:val="NoSpacing"/>
        <w:tabs>
          <w:tab w:val="left" w:pos="695"/>
        </w:tabs>
      </w:pPr>
      <w:r w:rsidRPr="00963830">
        <w:rPr>
          <w:rStyle w:val="FootnoteReference"/>
        </w:rPr>
        <w:footnoteRef/>
      </w:r>
      <w:r w:rsidRPr="00963830">
        <w:t xml:space="preserve"> R. VERSTRAETEN en F. VERBRUGGEN, </w:t>
      </w:r>
      <w:r w:rsidRPr="00963830">
        <w:rPr>
          <w:i/>
        </w:rPr>
        <w:t>Inleiding tot het Belgische strafrecht en strafprocesrecht</w:t>
      </w:r>
      <w:r w:rsidRPr="00963830">
        <w:t>, Antwerpen, Intersentia, 2023, 64.</w:t>
      </w:r>
      <w:r w:rsidRPr="00963830">
        <w:tab/>
      </w:r>
    </w:p>
  </w:footnote>
  <w:footnote w:id="584">
    <w:p w14:paraId="48AF24B0" w14:textId="236225FB" w:rsidR="00BA0376" w:rsidRPr="009C29A6" w:rsidRDefault="00BA0376" w:rsidP="00E2622B">
      <w:pPr>
        <w:pStyle w:val="NoSpacing"/>
        <w:rPr>
          <w:color w:val="000000" w:themeColor="text1"/>
          <w:lang w:val="fr-FR"/>
        </w:rPr>
      </w:pPr>
      <w:r w:rsidRPr="00963830">
        <w:rPr>
          <w:rStyle w:val="FootnoteReference"/>
          <w:color w:val="000000" w:themeColor="text1"/>
        </w:rPr>
        <w:footnoteRef/>
      </w:r>
      <w:r w:rsidRPr="00963830">
        <w:rPr>
          <w:color w:val="000000" w:themeColor="text1"/>
        </w:rPr>
        <w:t xml:space="preserve"> Zie in diezelfde zin, maar dan m.b.t. de oude strafbaarstelling van verkrachting: L. STEVENS, </w:t>
      </w:r>
      <w:r w:rsidRPr="00963830">
        <w:rPr>
          <w:i/>
          <w:color w:val="000000" w:themeColor="text1"/>
        </w:rPr>
        <w:t>Strafrecht en seksualiteit</w:t>
      </w:r>
      <w:r w:rsidRPr="00963830">
        <w:rPr>
          <w:color w:val="000000" w:themeColor="text1"/>
        </w:rPr>
        <w:t xml:space="preserve">, Antwerpen, Intersentia, 2002, 464-465; O. BASTYNS, “Le viol” in X, Droit pénal et procédure pénale, Mechelen, Wolters Kluwer, losbl., (59) 63. </w:t>
      </w:r>
      <w:r w:rsidRPr="009C29A6">
        <w:rPr>
          <w:i/>
          <w:color w:val="000000" w:themeColor="text1"/>
          <w:lang w:val="fr-FR"/>
        </w:rPr>
        <w:t xml:space="preserve">Supra </w:t>
      </w:r>
      <w:r w:rsidRPr="009C29A6">
        <w:rPr>
          <w:color w:val="000000" w:themeColor="text1"/>
          <w:lang w:val="fr-FR"/>
        </w:rPr>
        <w:t>nr. 110.</w:t>
      </w:r>
    </w:p>
  </w:footnote>
  <w:footnote w:id="585">
    <w:p w14:paraId="29F7032A" w14:textId="39B7E843" w:rsidR="00BA0376" w:rsidRPr="009C29A6" w:rsidRDefault="00BA0376" w:rsidP="00ED2F75">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 xml:space="preserve">nrs. 44 en 134.  </w:t>
      </w:r>
    </w:p>
  </w:footnote>
  <w:footnote w:id="586">
    <w:p w14:paraId="644C1FE3" w14:textId="63C3BF70" w:rsidR="00BA0376" w:rsidRPr="009C29A6" w:rsidRDefault="00BA0376" w:rsidP="004375E2">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nrs. 232 en 235.</w:t>
      </w:r>
    </w:p>
  </w:footnote>
  <w:footnote w:id="587">
    <w:p w14:paraId="48F8A2F0" w14:textId="4DB2D64C" w:rsidR="00BA0376" w:rsidRPr="009C29A6" w:rsidRDefault="00BA0376" w:rsidP="00464BF9">
      <w:pPr>
        <w:pStyle w:val="NoSpacing"/>
        <w:rPr>
          <w:lang w:val="fr-FR"/>
        </w:rPr>
      </w:pPr>
      <w:r w:rsidRPr="00963830">
        <w:rPr>
          <w:rStyle w:val="FootnoteReference"/>
        </w:rPr>
        <w:footnoteRef/>
      </w:r>
      <w:r w:rsidRPr="009C29A6">
        <w:rPr>
          <w:lang w:val="fr-FR"/>
        </w:rPr>
        <w:t xml:space="preserve"> </w:t>
      </w:r>
      <w:r w:rsidRPr="009C29A6">
        <w:rPr>
          <w:i/>
          <w:lang w:val="fr-FR"/>
        </w:rPr>
        <w:t xml:space="preserve">Infra </w:t>
      </w:r>
      <w:r w:rsidRPr="009C29A6">
        <w:rPr>
          <w:lang w:val="fr-FR"/>
        </w:rPr>
        <w:t>nrs. 246 en 263.</w:t>
      </w:r>
    </w:p>
  </w:footnote>
  <w:footnote w:id="588">
    <w:p w14:paraId="6EF0AC2B" w14:textId="4E249EFC" w:rsidR="00BA0376" w:rsidRPr="009C29A6" w:rsidRDefault="00BA0376" w:rsidP="00963830">
      <w:pPr>
        <w:rPr>
          <w:sz w:val="16"/>
          <w:szCs w:val="16"/>
          <w:lang w:val="en-GB"/>
        </w:rPr>
      </w:pPr>
      <w:r w:rsidRPr="00963830">
        <w:rPr>
          <w:rStyle w:val="FootnoteReference"/>
          <w:color w:val="000000" w:themeColor="text1"/>
          <w:sz w:val="16"/>
          <w:szCs w:val="16"/>
        </w:rPr>
        <w:footnoteRef/>
      </w:r>
      <w:r w:rsidRPr="009C29A6">
        <w:rPr>
          <w:color w:val="000000" w:themeColor="text1"/>
          <w:sz w:val="16"/>
          <w:szCs w:val="16"/>
          <w:lang w:val="en-GB"/>
        </w:rPr>
        <w:t xml:space="preserve"> </w:t>
      </w:r>
      <w:r w:rsidRPr="009C29A6">
        <w:rPr>
          <w:sz w:val="16"/>
          <w:szCs w:val="16"/>
          <w:lang w:val="en-GB"/>
        </w:rPr>
        <w:t>Raad van Europa, Comité van ministers, Aanbeveling nr. 5 (2002) van 30 april 2002 inzake de bescherming van vrouwen tegen geweld, §34;</w:t>
      </w:r>
      <w:r w:rsidRPr="009C29A6">
        <w:rPr>
          <w:color w:val="000000" w:themeColor="text1"/>
          <w:sz w:val="16"/>
          <w:szCs w:val="16"/>
          <w:lang w:val="en-GB"/>
        </w:rPr>
        <w:t xml:space="preserve"> </w:t>
      </w:r>
      <w:r w:rsidRPr="009C29A6">
        <w:rPr>
          <w:sz w:val="16"/>
          <w:szCs w:val="16"/>
          <w:lang w:val="en-GB"/>
        </w:rPr>
        <w:t xml:space="preserve">MvT, </w:t>
      </w:r>
      <w:r w:rsidRPr="009C29A6">
        <w:rPr>
          <w:i/>
          <w:sz w:val="16"/>
          <w:szCs w:val="16"/>
          <w:lang w:val="en-GB"/>
        </w:rPr>
        <w:t>Parl.St.</w:t>
      </w:r>
      <w:r w:rsidRPr="009C29A6">
        <w:rPr>
          <w:sz w:val="16"/>
          <w:szCs w:val="16"/>
          <w:lang w:val="en-GB"/>
        </w:rPr>
        <w:t xml:space="preserve"> Kamer 2020-21, nr. 55-2141/001, 9; UNITED NATIONS ENTITY FOR GENDER EQUALITY AND THE EMPOWERMENT OF WOMEN (UN WOMEN), “Handbook for legislation on violence against women”, www.unwomen.org/sites/default/files/Headquarters/Attachments/Sections/Library/Publications/2012/12/UNW_Legislation-Handbook%20pdf.pdf (consultatie 25 april 2023), 24; GROUP OF EXPERTS ON ACTION AGAINST VIOLENCE AGAINST WOMEN AND DOMESTIC VIOLENCE (GREVIO), “GREVIO’s Baseline Evaluation Report Belgium”, 26 juni 2020, https://rm.coe.int/grevio-report-on-belgium/16809f9a2c (consultatie 25 april 2023), 47 en 72. </w:t>
      </w:r>
    </w:p>
  </w:footnote>
  <w:footnote w:id="589">
    <w:p w14:paraId="2AC9D4A7" w14:textId="308FD6E3" w:rsidR="00BA0376" w:rsidRPr="00963830" w:rsidRDefault="00BA0376" w:rsidP="00DE71ED">
      <w:pPr>
        <w:pStyle w:val="NoSpacing"/>
      </w:pPr>
      <w:r w:rsidRPr="00963830">
        <w:rPr>
          <w:rStyle w:val="FootnoteReference"/>
        </w:rPr>
        <w:footnoteRef/>
      </w:r>
      <w:r w:rsidRPr="00963830">
        <w:t xml:space="preserve"> MvT, </w:t>
      </w:r>
      <w:r w:rsidRPr="00963830">
        <w:rPr>
          <w:i/>
        </w:rPr>
        <w:t>Parl.St.</w:t>
      </w:r>
      <w:r w:rsidRPr="00963830">
        <w:t xml:space="preserve"> Kamer 2020-21, nr. 55-2141/001, 24.</w:t>
      </w:r>
    </w:p>
  </w:footnote>
  <w:footnote w:id="590">
    <w:p w14:paraId="081548CF" w14:textId="01DCDD49" w:rsidR="00BA0376" w:rsidRPr="00963830" w:rsidRDefault="00BA0376" w:rsidP="00340483">
      <w:pPr>
        <w:pStyle w:val="NoSpacing"/>
      </w:pPr>
      <w:r w:rsidRPr="00963830">
        <w:rPr>
          <w:rStyle w:val="FootnoteReference"/>
        </w:rPr>
        <w:footnoteRef/>
      </w:r>
      <w:r w:rsidRPr="00963830">
        <w:t xml:space="preserve"> De wetgever beoogt immers nog steeds dezelfde strafbare gedragingen te viseren als onder het oude recht, zie: MvT, </w:t>
      </w:r>
      <w:r w:rsidRPr="00963830">
        <w:rPr>
          <w:i/>
        </w:rPr>
        <w:t>Parl.St.</w:t>
      </w:r>
      <w:r w:rsidRPr="00963830">
        <w:t xml:space="preserve"> Kamer 2020-21, nr. 55-2141/001, 24-25.</w:t>
      </w:r>
    </w:p>
  </w:footnote>
  <w:footnote w:id="591">
    <w:p w14:paraId="643365E2" w14:textId="0CA7AECA" w:rsidR="00BA0376" w:rsidRPr="00963830" w:rsidRDefault="00BA0376" w:rsidP="00246FF6">
      <w:pPr>
        <w:pStyle w:val="NoSpacing"/>
      </w:pPr>
      <w:r w:rsidRPr="00963830">
        <w:rPr>
          <w:rStyle w:val="FootnoteReference"/>
        </w:rPr>
        <w:footnoteRef/>
      </w:r>
      <w:r w:rsidRPr="00963830">
        <w:t xml:space="preserve"> </w:t>
      </w:r>
      <w:r w:rsidRPr="00963830">
        <w:rPr>
          <w:i/>
          <w:color w:val="000000" w:themeColor="text1"/>
        </w:rPr>
        <w:t xml:space="preserve">Infra </w:t>
      </w:r>
      <w:r w:rsidRPr="00963830">
        <w:rPr>
          <w:color w:val="000000" w:themeColor="text1"/>
        </w:rPr>
        <w:t>nr. 244.</w:t>
      </w:r>
    </w:p>
  </w:footnote>
  <w:footnote w:id="592">
    <w:p w14:paraId="42ED05B5" w14:textId="77777777" w:rsidR="00BA0376" w:rsidRPr="00963830" w:rsidRDefault="00BA0376" w:rsidP="00903B8D">
      <w:pPr>
        <w:pStyle w:val="NoSpacing"/>
      </w:pPr>
      <w:r w:rsidRPr="00963830">
        <w:rPr>
          <w:rStyle w:val="FootnoteReference"/>
        </w:rPr>
        <w:footnoteRef/>
      </w:r>
      <w:r w:rsidRPr="00963830">
        <w:t xml:space="preserve"> </w:t>
      </w:r>
      <w:r w:rsidRPr="00963830">
        <w:rPr>
          <w:i/>
        </w:rPr>
        <w:t xml:space="preserve">Supra </w:t>
      </w:r>
      <w:r w:rsidRPr="00963830">
        <w:t>nrs. 38</w:t>
      </w:r>
      <w:r w:rsidRPr="00963830">
        <w:rPr>
          <w:vertAlign w:val="superscript"/>
        </w:rPr>
        <w:t xml:space="preserve"> </w:t>
      </w:r>
      <w:r w:rsidRPr="00963830">
        <w:t>e.v. Inhoudelijk was er discussie m.b.t. de vraag of de ontstentenis van toestemming in hoofde van het slachtoffer een constitutief bestanddeel van het misdrijf uitmaakte (</w:t>
      </w:r>
      <w:r w:rsidRPr="00963830">
        <w:rPr>
          <w:i/>
        </w:rPr>
        <w:t xml:space="preserve">supra </w:t>
      </w:r>
      <w:r w:rsidRPr="00963830">
        <w:t xml:space="preserve">nr. 39 en </w:t>
      </w:r>
      <w:r w:rsidRPr="00963830">
        <w:rPr>
          <w:i/>
        </w:rPr>
        <w:t xml:space="preserve">infra </w:t>
      </w:r>
      <w:r w:rsidRPr="00963830">
        <w:t>nr. 255). Daarnaast werd het collectief bewustzijn als beoordelingscriterium (</w:t>
      </w:r>
      <w:r w:rsidRPr="00963830">
        <w:rPr>
          <w:i/>
        </w:rPr>
        <w:t xml:space="preserve">supra </w:t>
      </w:r>
      <w:r w:rsidRPr="00963830">
        <w:t xml:space="preserve">nr. 40 en </w:t>
      </w:r>
      <w:r w:rsidRPr="00963830">
        <w:rPr>
          <w:i/>
        </w:rPr>
        <w:t xml:space="preserve">infra </w:t>
      </w:r>
      <w:r w:rsidRPr="00963830">
        <w:t>nrs. 243 e.v.) en de vereiste van ernst (</w:t>
      </w:r>
      <w:r w:rsidRPr="00963830">
        <w:rPr>
          <w:i/>
        </w:rPr>
        <w:t xml:space="preserve">supra </w:t>
      </w:r>
      <w:r w:rsidRPr="00963830">
        <w:t>nr. 41 en 50) bekritiseerd.</w:t>
      </w:r>
    </w:p>
  </w:footnote>
  <w:footnote w:id="593">
    <w:p w14:paraId="7FB53758" w14:textId="77777777" w:rsidR="00BA0376" w:rsidRPr="00963830" w:rsidRDefault="00BA0376" w:rsidP="008F4AA5">
      <w:pPr>
        <w:pStyle w:val="NoSpacing"/>
      </w:pPr>
      <w:r w:rsidRPr="00963830">
        <w:rPr>
          <w:rStyle w:val="FootnoteReference"/>
        </w:rPr>
        <w:footnoteRef/>
      </w:r>
      <w:r w:rsidRPr="00963830">
        <w:t xml:space="preserve"> MvT, </w:t>
      </w:r>
      <w:r w:rsidRPr="00963830">
        <w:rPr>
          <w:i/>
        </w:rPr>
        <w:t>Parl.St.</w:t>
      </w:r>
      <w:r w:rsidRPr="00963830">
        <w:t xml:space="preserve"> Kamer 2020-21, nr. 55-2141/001, 22.</w:t>
      </w:r>
    </w:p>
  </w:footnote>
  <w:footnote w:id="594">
    <w:p w14:paraId="661923C0" w14:textId="77777777" w:rsidR="00BA0376" w:rsidRPr="00963830" w:rsidRDefault="00BA0376" w:rsidP="008F4AA5">
      <w:pPr>
        <w:pStyle w:val="NoSpacing"/>
      </w:pPr>
      <w:r w:rsidRPr="00963830">
        <w:rPr>
          <w:rStyle w:val="FootnoteReference"/>
        </w:rPr>
        <w:footnoteRef/>
      </w:r>
      <w:r w:rsidRPr="00963830">
        <w:t xml:space="preserve"> Inhoudelijk zal dit wellicht geen merkbare veranderingen teweegbrengen, mede gelet op de bedoeling van de wetgever om nog steeds dezelfde strafbare gestelde gedragingen te viseren met het misdrijf aantasting van de seksuele integriteit als het geval was onder aanranding van de eerbaarheid. Zie: MvT, </w:t>
      </w:r>
      <w:r w:rsidRPr="00963830">
        <w:rPr>
          <w:i/>
        </w:rPr>
        <w:t>Parl.St.</w:t>
      </w:r>
      <w:r w:rsidRPr="00963830">
        <w:t xml:space="preserve"> Kamer 2020-21, nr. 55-2141/001, 24-25.</w:t>
      </w:r>
    </w:p>
  </w:footnote>
  <w:footnote w:id="595">
    <w:p w14:paraId="6D7D7575" w14:textId="5B47F39F" w:rsidR="00BA0376" w:rsidRPr="00963830" w:rsidRDefault="00BA0376" w:rsidP="008F4AA5">
      <w:pPr>
        <w:pStyle w:val="NoSpacing"/>
      </w:pPr>
      <w:r w:rsidRPr="00963830">
        <w:rPr>
          <w:rStyle w:val="FootnoteReference"/>
        </w:rPr>
        <w:footnoteRef/>
      </w:r>
      <w:r w:rsidRPr="00963830">
        <w:rPr>
          <w:i/>
          <w:color w:val="000000" w:themeColor="text1"/>
        </w:rPr>
        <w:t xml:space="preserve"> Supra</w:t>
      </w:r>
      <w:r w:rsidRPr="00963830">
        <w:rPr>
          <w:color w:val="000000" w:themeColor="text1"/>
        </w:rPr>
        <w:t xml:space="preserve"> nrs. 13 en 38-39.</w:t>
      </w:r>
    </w:p>
  </w:footnote>
  <w:footnote w:id="596">
    <w:p w14:paraId="010FFB40" w14:textId="3600B3E9" w:rsidR="00BA0376" w:rsidRPr="009C29A6" w:rsidRDefault="00BA0376" w:rsidP="00963830">
      <w:pPr>
        <w:rPr>
          <w:sz w:val="16"/>
          <w:szCs w:val="16"/>
          <w:lang w:val="en-GB"/>
        </w:rPr>
      </w:pPr>
      <w:r w:rsidRPr="00963830">
        <w:rPr>
          <w:rStyle w:val="FootnoteReference"/>
          <w:sz w:val="16"/>
          <w:szCs w:val="16"/>
        </w:rPr>
        <w:footnoteRef/>
      </w:r>
      <w:r w:rsidRPr="00963830">
        <w:rPr>
          <w:sz w:val="16"/>
          <w:szCs w:val="16"/>
        </w:rPr>
        <w:t xml:space="preserve"> Hier zou in theorie kunnen tegenin worden gebracht dat het Verdrag van Istanbul evenzeer het begrip “seksueel” gebruikt, zonder dit nader te definiëren. Toch lijkt dit m.i. geen sterk argument te zijn aangezien het om een verdrag gaat met zo’n 40 verdragspartijen (37 ratificaties/toetredingen en 8 ondertekeningen die niet werden gevolgd door een ratificatie). Het verdrag vormt immers een gemeenschappelijk kader voor deze verdragspartijen en laat de nadere invulling over aan de verdragspartijen, voor zover deze het toepassingsgebied van het verdrag uiteraard niet beperkt. </w:t>
      </w:r>
      <w:r w:rsidRPr="009C29A6">
        <w:rPr>
          <w:sz w:val="16"/>
          <w:szCs w:val="16"/>
          <w:lang w:val="en-GB"/>
        </w:rPr>
        <w:t xml:space="preserve">Zie: COUNCIL OF EUROPE, “Chart of signatures and ratifications of Treaty 210”, www.coe.int/en/web/conventions/full-list?module=signatures-by-treaty&amp;treatynum=210 (consultatie 25 maart 2023). </w:t>
      </w:r>
    </w:p>
  </w:footnote>
  <w:footnote w:id="597">
    <w:p w14:paraId="5D266F89" w14:textId="367A7B20" w:rsidR="00BA0376" w:rsidRPr="00963830" w:rsidRDefault="00BA0376" w:rsidP="008F4AA5">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176.</w:t>
      </w:r>
    </w:p>
  </w:footnote>
  <w:footnote w:id="598">
    <w:p w14:paraId="2691B7D5" w14:textId="36C46EE1" w:rsidR="00BA0376" w:rsidRPr="00963830" w:rsidRDefault="00BA0376" w:rsidP="008F4AA5">
      <w:pPr>
        <w:pStyle w:val="NoSpacing"/>
      </w:pPr>
      <w:r w:rsidRPr="00963830">
        <w:rPr>
          <w:rStyle w:val="FootnoteReference"/>
        </w:rPr>
        <w:footnoteRef/>
      </w:r>
      <w:r w:rsidRPr="00963830">
        <w:t xml:space="preserve"> </w:t>
      </w:r>
      <w:r w:rsidRPr="00963830">
        <w:rPr>
          <w:i/>
        </w:rPr>
        <w:t xml:space="preserve">Supra </w:t>
      </w:r>
      <w:r w:rsidRPr="00963830">
        <w:t>nr. 242.</w:t>
      </w:r>
    </w:p>
  </w:footnote>
  <w:footnote w:id="599">
    <w:p w14:paraId="3F463C3F" w14:textId="77777777" w:rsidR="00BA0376" w:rsidRPr="00963830" w:rsidRDefault="00BA0376" w:rsidP="008F4AA5">
      <w:pPr>
        <w:pStyle w:val="NoSpacing"/>
      </w:pPr>
      <w:r w:rsidRPr="00963830">
        <w:rPr>
          <w:rStyle w:val="FootnoteReference"/>
        </w:rPr>
        <w:footnoteRef/>
      </w:r>
      <w:r w:rsidRPr="00963830">
        <w:t xml:space="preserve"> Een bijzonder opzet vereist immers meer dan het louter wetens en willens plegen van het misdrijf (algemeen opzet). Het vereist daarnaast immers een bijzondere beweegreden van de dader. Zie: R. VERSTRAETEN en F. VERBRUGGEN, </w:t>
      </w:r>
      <w:r w:rsidRPr="00963830">
        <w:rPr>
          <w:i/>
        </w:rPr>
        <w:t>Inleiding tot het Belgische strafrecht en strafprocesrecht</w:t>
      </w:r>
      <w:r w:rsidRPr="00963830">
        <w:t>, Antwerpen, Intersentia, 2023, 64.</w:t>
      </w:r>
    </w:p>
  </w:footnote>
  <w:footnote w:id="600">
    <w:p w14:paraId="04821CE0" w14:textId="77777777" w:rsidR="00BA0376" w:rsidRPr="00963830" w:rsidRDefault="00BA0376" w:rsidP="008F4AA5">
      <w:pPr>
        <w:pStyle w:val="NoSpacing"/>
      </w:pPr>
      <w:r w:rsidRPr="00963830">
        <w:rPr>
          <w:rStyle w:val="FootnoteReference"/>
        </w:rPr>
        <w:footnoteRef/>
      </w:r>
      <w:r w:rsidRPr="00963830">
        <w:t xml:space="preserve"> Aangeraden, maar wellicht niet verplicht o.g.v. het </w:t>
      </w:r>
      <w:r w:rsidRPr="00963830">
        <w:rPr>
          <w:i/>
          <w:color w:val="000000" w:themeColor="text1"/>
        </w:rPr>
        <w:t>lex certa-</w:t>
      </w:r>
      <w:r w:rsidRPr="00963830">
        <w:rPr>
          <w:color w:val="000000" w:themeColor="text1"/>
        </w:rPr>
        <w:t>beginsel, gelet op de soepele toepassing ervan in de rechtspraak. Het is m.i. aangeraden omdat dit de rechtsonzekerheid kan doen afnemen</w:t>
      </w:r>
    </w:p>
  </w:footnote>
  <w:footnote w:id="601">
    <w:p w14:paraId="0E9A64A4" w14:textId="5D226ACC" w:rsidR="00BA0376" w:rsidRPr="009C29A6" w:rsidRDefault="00BA0376" w:rsidP="008F4AA5">
      <w:pPr>
        <w:pStyle w:val="NoSpacing"/>
        <w:rPr>
          <w:lang w:val="fr-FR"/>
        </w:rPr>
      </w:pPr>
      <w:r w:rsidRPr="00963830">
        <w:rPr>
          <w:rStyle w:val="FootnoteReference"/>
        </w:rPr>
        <w:footnoteRef/>
      </w:r>
      <w:r w:rsidRPr="00963830">
        <w:t xml:space="preserve"> Meer bepaald naar het voorbeeld van </w:t>
      </w:r>
      <w:r w:rsidRPr="00963830">
        <w:rPr>
          <w:i/>
        </w:rPr>
        <w:t xml:space="preserve">section </w:t>
      </w:r>
      <w:r w:rsidRPr="00963830">
        <w:t xml:space="preserve">78. </w:t>
      </w:r>
      <w:r w:rsidRPr="009C29A6">
        <w:rPr>
          <w:i/>
          <w:lang w:val="fr-FR"/>
        </w:rPr>
        <w:t xml:space="preserve">Supra </w:t>
      </w:r>
      <w:r w:rsidRPr="009C29A6">
        <w:rPr>
          <w:lang w:val="fr-FR"/>
        </w:rPr>
        <w:t>nr. 176.</w:t>
      </w:r>
    </w:p>
  </w:footnote>
  <w:footnote w:id="602">
    <w:p w14:paraId="5413A1F2" w14:textId="64CDA403" w:rsidR="00BA0376" w:rsidRPr="009C29A6" w:rsidRDefault="00BA0376" w:rsidP="008F4AA5">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44 en 238.</w:t>
      </w:r>
    </w:p>
  </w:footnote>
  <w:footnote w:id="603">
    <w:p w14:paraId="6E637F80" w14:textId="22C5641C" w:rsidR="00BA0376" w:rsidRPr="009C29A6" w:rsidRDefault="00BA0376" w:rsidP="00C2151A">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17 en 51.</w:t>
      </w:r>
    </w:p>
  </w:footnote>
  <w:footnote w:id="604">
    <w:p w14:paraId="49285CA0" w14:textId="15504DEA" w:rsidR="00BA0376" w:rsidRPr="009C29A6" w:rsidRDefault="00BA0376" w:rsidP="00D41D47">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 17.</w:t>
      </w:r>
    </w:p>
  </w:footnote>
  <w:footnote w:id="605">
    <w:p w14:paraId="1CCCB0DF" w14:textId="1EC44EAE" w:rsidR="00BA0376" w:rsidRPr="009C29A6" w:rsidRDefault="00BA0376" w:rsidP="00FD3CB5">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 211.</w:t>
      </w:r>
    </w:p>
  </w:footnote>
  <w:footnote w:id="606">
    <w:p w14:paraId="7C74AD05" w14:textId="706D5BDE" w:rsidR="00BA0376" w:rsidRPr="009C29A6" w:rsidRDefault="00BA0376" w:rsidP="00C2151A">
      <w:pPr>
        <w:pStyle w:val="NoSpacing"/>
        <w:rPr>
          <w:lang w:val="fr-FR"/>
        </w:rPr>
      </w:pPr>
      <w:r w:rsidRPr="00963830">
        <w:rPr>
          <w:rStyle w:val="FootnoteReference"/>
        </w:rPr>
        <w:footnoteRef/>
      </w:r>
      <w:r w:rsidRPr="009C29A6">
        <w:rPr>
          <w:lang w:val="fr-FR"/>
        </w:rPr>
        <w:t xml:space="preserve"> S</w:t>
      </w:r>
      <w:r w:rsidRPr="009C29A6">
        <w:rPr>
          <w:i/>
          <w:lang w:val="fr-FR"/>
        </w:rPr>
        <w:t>upra</w:t>
      </w:r>
      <w:r w:rsidRPr="009C29A6">
        <w:rPr>
          <w:lang w:val="fr-FR"/>
        </w:rPr>
        <w:t xml:space="preserve"> nr. 50. Zie MvT, </w:t>
      </w:r>
      <w:r w:rsidRPr="009C29A6">
        <w:rPr>
          <w:i/>
          <w:lang w:val="fr-FR"/>
        </w:rPr>
        <w:t>Parl.St.</w:t>
      </w:r>
      <w:r w:rsidRPr="009C29A6">
        <w:rPr>
          <w:lang w:val="fr-FR"/>
        </w:rPr>
        <w:t xml:space="preserve"> Kamer 2020-21, nr. 55-2141/001, 24-25; A. KARCHER en O. BASTYNS, “L’atteinte à l’intégrité sexuelle et le viol” in A. RIZZO (ed.), </w:t>
      </w:r>
      <w:r w:rsidRPr="009C29A6">
        <w:rPr>
          <w:i/>
          <w:lang w:val="fr-FR"/>
        </w:rPr>
        <w:t>Le nouveau droit pénal sexuel</w:t>
      </w:r>
      <w:r w:rsidRPr="009C29A6">
        <w:rPr>
          <w:lang w:val="fr-FR"/>
        </w:rPr>
        <w:t>, Brussel, Larcier, 2022, (109) 115.</w:t>
      </w:r>
    </w:p>
  </w:footnote>
  <w:footnote w:id="607">
    <w:p w14:paraId="1D12B87C" w14:textId="355B0A08" w:rsidR="00BA0376" w:rsidRPr="009C29A6" w:rsidRDefault="00BA0376" w:rsidP="006D29BD">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nrs. 41 en 50.</w:t>
      </w:r>
    </w:p>
  </w:footnote>
  <w:footnote w:id="608">
    <w:p w14:paraId="329BF3B2" w14:textId="5EEE2027" w:rsidR="00BA0376" w:rsidRPr="009C29A6" w:rsidRDefault="00BA0376" w:rsidP="002A2996">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208.</w:t>
      </w:r>
    </w:p>
  </w:footnote>
  <w:footnote w:id="609">
    <w:p w14:paraId="5290AD8E" w14:textId="7C27B01F" w:rsidR="00BA0376" w:rsidRPr="00963830" w:rsidRDefault="00BA0376" w:rsidP="00C9178D">
      <w:pPr>
        <w:pStyle w:val="NoSpacing"/>
      </w:pPr>
      <w:r w:rsidRPr="00963830">
        <w:rPr>
          <w:rStyle w:val="FootnoteReference"/>
        </w:rPr>
        <w:footnoteRef/>
      </w:r>
      <w:r w:rsidRPr="00963830">
        <w:t xml:space="preserve"> MvT, </w:t>
      </w:r>
      <w:r w:rsidRPr="00963830">
        <w:rPr>
          <w:i/>
        </w:rPr>
        <w:t>Parl.St.</w:t>
      </w:r>
      <w:r w:rsidRPr="00963830">
        <w:t xml:space="preserve"> Kamer 2020-21, nr. 55-2141/001, 26.</w:t>
      </w:r>
    </w:p>
  </w:footnote>
  <w:footnote w:id="610">
    <w:p w14:paraId="0321C121" w14:textId="7674F761" w:rsidR="00BA0376" w:rsidRPr="00963830" w:rsidRDefault="00BA0376" w:rsidP="00755320">
      <w:pPr>
        <w:pStyle w:val="NoSpacing"/>
      </w:pPr>
      <w:r w:rsidRPr="00963830">
        <w:rPr>
          <w:rStyle w:val="FootnoteReference"/>
        </w:rPr>
        <w:footnoteRef/>
      </w:r>
      <w:r w:rsidRPr="00963830">
        <w:t xml:space="preserve"> </w:t>
      </w:r>
      <w:r w:rsidRPr="00963830">
        <w:rPr>
          <w:i/>
        </w:rPr>
        <w:t xml:space="preserve">Supra </w:t>
      </w:r>
      <w:r w:rsidRPr="00963830">
        <w:t xml:space="preserve">nr. 246. </w:t>
      </w:r>
    </w:p>
  </w:footnote>
  <w:footnote w:id="611">
    <w:p w14:paraId="02B59CEA" w14:textId="1000A3AA" w:rsidR="00BA0376" w:rsidRPr="00963830" w:rsidRDefault="00BA0376" w:rsidP="005512D1">
      <w:pPr>
        <w:pStyle w:val="NoSpacing"/>
      </w:pPr>
      <w:r w:rsidRPr="00963830">
        <w:rPr>
          <w:rStyle w:val="FootnoteReference"/>
        </w:rPr>
        <w:footnoteRef/>
      </w:r>
      <w:r w:rsidRPr="00963830">
        <w:t xml:space="preserve"> Art. 417/7, eerste lid, eerste zin Sw.</w:t>
      </w:r>
    </w:p>
  </w:footnote>
  <w:footnote w:id="612">
    <w:p w14:paraId="5387CF9A" w14:textId="77777777" w:rsidR="00BA0376" w:rsidRPr="00963830" w:rsidRDefault="00BA0376" w:rsidP="00E4513E">
      <w:pPr>
        <w:pStyle w:val="NoSpacing"/>
      </w:pPr>
      <w:r w:rsidRPr="00963830">
        <w:rPr>
          <w:rStyle w:val="FootnoteReference"/>
        </w:rPr>
        <w:footnoteRef/>
      </w:r>
      <w:r w:rsidRPr="00963830">
        <w:t xml:space="preserve"> In die zin dat de derde er door de dader toe verplicht wordt </w:t>
      </w:r>
      <w:r w:rsidRPr="00963830">
        <w:rPr>
          <w:color w:val="000000" w:themeColor="text1"/>
        </w:rPr>
        <w:t>om bepaalde seksuele handelingen te stellen t.a.v. het slachtoffer, zonder de instemming van deze derde en van het slachtoffer.</w:t>
      </w:r>
    </w:p>
  </w:footnote>
  <w:footnote w:id="613">
    <w:p w14:paraId="775021A8" w14:textId="5CCCCDEE" w:rsidR="00BA0376" w:rsidRPr="00963830" w:rsidRDefault="00BA0376" w:rsidP="009E67CD">
      <w:pPr>
        <w:pStyle w:val="NoSpacing"/>
      </w:pPr>
      <w:r w:rsidRPr="00963830">
        <w:rPr>
          <w:rStyle w:val="FootnoteReference"/>
        </w:rPr>
        <w:footnoteRef/>
      </w:r>
      <w:r w:rsidRPr="00963830">
        <w:t xml:space="preserve"> </w:t>
      </w:r>
      <w:r w:rsidRPr="00963830">
        <w:rPr>
          <w:color w:val="000000" w:themeColor="text1"/>
        </w:rPr>
        <w:t>D.i. de situatie waarin het slachtoffer verplicht wordt om zelf bepaalde seksuele handelingen te stellen zonder dat het slachtoffer daartoe instemt.</w:t>
      </w:r>
    </w:p>
  </w:footnote>
  <w:footnote w:id="614">
    <w:p w14:paraId="054AACA6" w14:textId="3174EEFC" w:rsidR="00BA0376" w:rsidRPr="00963830" w:rsidRDefault="00BA0376" w:rsidP="004D7267">
      <w:pPr>
        <w:pStyle w:val="NoSpacing"/>
      </w:pPr>
      <w:r w:rsidRPr="00963830">
        <w:rPr>
          <w:rStyle w:val="FootnoteReference"/>
        </w:rPr>
        <w:footnoteRef/>
      </w:r>
      <w:r w:rsidRPr="00963830">
        <w:t xml:space="preserve"> De derde die betrokken wordt bij het misdrijf zou immers ook zonder die toevoeging niet strafbaar zijn, o.g.v. de algemene regels van het strafrecht. </w:t>
      </w:r>
      <w:r w:rsidRPr="00963830">
        <w:rPr>
          <w:color w:val="000000" w:themeColor="text1"/>
        </w:rPr>
        <w:t>Dit aangezien de “</w:t>
      </w:r>
      <w:r w:rsidRPr="00963830">
        <w:rPr>
          <w:i/>
          <w:color w:val="000000" w:themeColor="text1"/>
        </w:rPr>
        <w:t xml:space="preserve">definitie van daderschap ook deze situatie” </w:t>
      </w:r>
      <w:r w:rsidRPr="00963830">
        <w:rPr>
          <w:color w:val="000000" w:themeColor="text1"/>
        </w:rPr>
        <w:t>zou omvatten</w:t>
      </w:r>
      <w:r w:rsidRPr="00963830">
        <w:t xml:space="preserve">, zie: J. ROZIE e.a., </w:t>
      </w:r>
      <w:r w:rsidRPr="00963830">
        <w:rPr>
          <w:i/>
        </w:rPr>
        <w:t>Naar een nieuw Strafwetboek? Het voorstel van de Commissie tot Hervorming van het Strafrecht</w:t>
      </w:r>
      <w:r w:rsidRPr="00963830">
        <w:t>, Brugge, die Keure, 2019, 251.</w:t>
      </w:r>
    </w:p>
  </w:footnote>
  <w:footnote w:id="615">
    <w:p w14:paraId="6B8B5E70" w14:textId="5AC663F2" w:rsidR="00BA0376" w:rsidRPr="00963830" w:rsidRDefault="00BA0376" w:rsidP="003007EA">
      <w:pPr>
        <w:pStyle w:val="NoSpacing"/>
      </w:pPr>
      <w:r w:rsidRPr="00963830">
        <w:rPr>
          <w:rStyle w:val="FootnoteReference"/>
        </w:rPr>
        <w:footnoteRef/>
      </w:r>
      <w:r w:rsidRPr="00963830">
        <w:t xml:space="preserve"> J. ROZIE e.a., </w:t>
      </w:r>
      <w:r w:rsidRPr="00963830">
        <w:rPr>
          <w:i/>
        </w:rPr>
        <w:t>Naar een nieuw Strafwetboek? Het voorstel van de Commissie tot Hervorming van het Strafrecht</w:t>
      </w:r>
      <w:r w:rsidRPr="00963830">
        <w:t>, Brugge, die Keure, 2019, 251.</w:t>
      </w:r>
    </w:p>
  </w:footnote>
  <w:footnote w:id="616">
    <w:p w14:paraId="7F79365A" w14:textId="6F66255F" w:rsidR="00BA0376" w:rsidRPr="00963830" w:rsidRDefault="00BA0376" w:rsidP="001C2F72">
      <w:pPr>
        <w:pStyle w:val="NoSpacing"/>
      </w:pPr>
      <w:r w:rsidRPr="00963830">
        <w:rPr>
          <w:rStyle w:val="FootnoteReference"/>
        </w:rPr>
        <w:footnoteRef/>
      </w:r>
      <w:r w:rsidRPr="00963830">
        <w:t xml:space="preserve"> MvT, </w:t>
      </w:r>
      <w:r w:rsidRPr="00963830">
        <w:rPr>
          <w:i/>
        </w:rPr>
        <w:t>Parl.St.</w:t>
      </w:r>
      <w:r w:rsidRPr="00963830">
        <w:t xml:space="preserve"> Kamer 2020-21, nr. 55-2141/001, 21.</w:t>
      </w:r>
    </w:p>
  </w:footnote>
  <w:footnote w:id="617">
    <w:p w14:paraId="70F1420C" w14:textId="4F4FF190" w:rsidR="00BA0376" w:rsidRPr="00963830" w:rsidRDefault="00BA0376" w:rsidP="000D44D0">
      <w:pPr>
        <w:pStyle w:val="NoSpacing"/>
      </w:pPr>
      <w:r w:rsidRPr="00963830">
        <w:rPr>
          <w:rStyle w:val="FootnoteReference"/>
        </w:rPr>
        <w:footnoteRef/>
      </w:r>
      <w:r w:rsidRPr="00963830">
        <w:t xml:space="preserve"> Zo stelt de memorie van toelichting expliciet: </w:t>
      </w:r>
      <w:r w:rsidRPr="00963830">
        <w:rPr>
          <w:i/>
        </w:rPr>
        <w:t>“Wanneer de omschrijving “met behulp van een persoon” wordt gehanteerd, betekent dit – net zoals bij de vooropgestelde wijziging bij verkrachting – dat het slachtoffer als instrument door de dader wordt gebruikt”</w:t>
      </w:r>
      <w:r w:rsidRPr="00963830">
        <w:t xml:space="preserve">, zie: MvT, </w:t>
      </w:r>
      <w:r w:rsidRPr="00963830">
        <w:rPr>
          <w:i/>
        </w:rPr>
        <w:t>Parl.St.</w:t>
      </w:r>
      <w:r w:rsidRPr="00963830">
        <w:t xml:space="preserve"> Kamer 2020-21, nr. 55-2141/001, 26; </w:t>
      </w:r>
      <w:r w:rsidRPr="00963830">
        <w:rPr>
          <w:rFonts w:cs="Verdana"/>
        </w:rPr>
        <w:t xml:space="preserve">Omz. seksueel strafrecht, </w:t>
      </w:r>
      <w:r w:rsidRPr="00963830">
        <w:rPr>
          <w:rFonts w:cs="Verdana"/>
          <w:i/>
        </w:rPr>
        <w:t>supra</w:t>
      </w:r>
      <w:r w:rsidRPr="00963830">
        <w:rPr>
          <w:rFonts w:cs="Verdana"/>
        </w:rPr>
        <w:t xml:space="preserve"> vn. 79, 22.</w:t>
      </w:r>
    </w:p>
  </w:footnote>
  <w:footnote w:id="618">
    <w:p w14:paraId="39277355" w14:textId="1F3B98CF" w:rsidR="00BA0376" w:rsidRPr="00963830" w:rsidRDefault="00BA0376" w:rsidP="00CE2A5F">
      <w:pPr>
        <w:pStyle w:val="NoSpacing"/>
      </w:pPr>
      <w:r w:rsidRPr="00963830">
        <w:rPr>
          <w:rStyle w:val="FootnoteReference"/>
        </w:rPr>
        <w:footnoteRef/>
      </w:r>
      <w:r w:rsidRPr="00963830">
        <w:t xml:space="preserve"> </w:t>
      </w:r>
      <w:r w:rsidRPr="00963830">
        <w:rPr>
          <w:color w:val="000000" w:themeColor="text1"/>
        </w:rPr>
        <w:t>Oud art. 372 en 373 Sw. (</w:t>
      </w:r>
      <w:r w:rsidRPr="00963830">
        <w:rPr>
          <w:i/>
          <w:color w:val="000000" w:themeColor="text1"/>
        </w:rPr>
        <w:t xml:space="preserve">supra </w:t>
      </w:r>
      <w:r w:rsidRPr="00963830">
        <w:rPr>
          <w:color w:val="000000" w:themeColor="text1"/>
        </w:rPr>
        <w:t>nr. 20).</w:t>
      </w:r>
    </w:p>
  </w:footnote>
  <w:footnote w:id="619">
    <w:p w14:paraId="08E69550" w14:textId="1AE97835" w:rsidR="00BA0376" w:rsidRPr="009C29A6" w:rsidRDefault="00BA0376" w:rsidP="00CE2A5F">
      <w:pPr>
        <w:pStyle w:val="NoSpacing"/>
        <w:rPr>
          <w:i/>
          <w:lang w:val="en-GB"/>
        </w:rPr>
      </w:pPr>
      <w:r w:rsidRPr="00963830">
        <w:rPr>
          <w:rStyle w:val="FootnoteReference"/>
        </w:rPr>
        <w:footnoteRef/>
      </w:r>
      <w:r w:rsidRPr="009C29A6">
        <w:rPr>
          <w:lang w:val="en-GB"/>
        </w:rPr>
        <w:t xml:space="preserve"> </w:t>
      </w:r>
      <w:r w:rsidRPr="009C29A6">
        <w:rPr>
          <w:color w:val="000000" w:themeColor="text1"/>
          <w:lang w:val="en-GB"/>
        </w:rPr>
        <w:t>Nieuw art. 417/11 Sw. (</w:t>
      </w:r>
      <w:r w:rsidRPr="009C29A6">
        <w:rPr>
          <w:i/>
          <w:color w:val="000000" w:themeColor="text1"/>
          <w:lang w:val="en-GB"/>
        </w:rPr>
        <w:t xml:space="preserve">supra </w:t>
      </w:r>
      <w:r w:rsidRPr="009C29A6">
        <w:rPr>
          <w:color w:val="000000" w:themeColor="text1"/>
          <w:lang w:val="en-GB"/>
        </w:rPr>
        <w:t>nrs. 141-142).</w:t>
      </w:r>
    </w:p>
  </w:footnote>
  <w:footnote w:id="620">
    <w:p w14:paraId="16E6A78D" w14:textId="77777777" w:rsidR="00BA0376" w:rsidRPr="00963830" w:rsidRDefault="00BA0376" w:rsidP="00E7708A">
      <w:pPr>
        <w:pStyle w:val="NoSpacing"/>
      </w:pPr>
      <w:r w:rsidRPr="00963830">
        <w:rPr>
          <w:rStyle w:val="FootnoteReference"/>
        </w:rPr>
        <w:footnoteRef/>
      </w:r>
      <w:r w:rsidRPr="00963830">
        <w:t xml:space="preserve"> </w:t>
      </w:r>
      <w:r w:rsidRPr="00963830">
        <w:rPr>
          <w:color w:val="000000" w:themeColor="text1"/>
        </w:rPr>
        <w:t>Bovendien staat er in deze strafbaarstelling “al dan niet met behulp van”, terwijl in de andere hiervoor genoemde strafbaarstellingen de woorden “of met behulp van” gebruikt worden. “Of” betekent dat beide situaties strafbaar zijn. Al dan niet betekent dat het voor de strafbaarheid van de eerstgenoemde gedraging (“op …”) irrelevant is of dit gepaard gaat met dat wat achter de woorden volgt. Voor de strafbaarheid van de aantasting van de seksuele integriteit die plaatsvindt op een persoon, is het inderdaad irrelevant of dit al dan niet gepaard gaat met behulp van een derde persoon.</w:t>
      </w:r>
    </w:p>
  </w:footnote>
  <w:footnote w:id="621">
    <w:p w14:paraId="738CE3F7" w14:textId="77777777" w:rsidR="00BA0376" w:rsidRPr="00963830" w:rsidRDefault="00BA0376" w:rsidP="00303869">
      <w:pPr>
        <w:pStyle w:val="NoSpacing"/>
      </w:pPr>
      <w:r w:rsidRPr="00963830">
        <w:rPr>
          <w:rStyle w:val="FootnoteReference"/>
        </w:rPr>
        <w:footnoteRef/>
      </w:r>
      <w:r w:rsidRPr="00963830">
        <w:t xml:space="preserve"> Zowel in de visie van de wetgever in de memorie van toelichting, als de hier uiteengezette eigen visie, vallen beide situaties (slachtoffer als instrument en dader die derde bij het misdrijf betrekt) onder de strafbaarstelling van aantasting van de seksuele integriteit. </w:t>
      </w:r>
    </w:p>
  </w:footnote>
  <w:footnote w:id="622">
    <w:p w14:paraId="737647C7" w14:textId="0843CAFB" w:rsidR="00BA0376" w:rsidRPr="00963830" w:rsidRDefault="00BA0376" w:rsidP="00A93044">
      <w:pPr>
        <w:pStyle w:val="NoSpacing"/>
      </w:pPr>
      <w:r w:rsidRPr="00963830">
        <w:rPr>
          <w:rStyle w:val="FootnoteReference"/>
        </w:rPr>
        <w:footnoteRef/>
      </w:r>
      <w:r w:rsidRPr="00963830">
        <w:t xml:space="preserve"> Hiermee worden de vetgedrukte zinsneden bedoeld (</w:t>
      </w:r>
      <w:r w:rsidRPr="00963830">
        <w:rPr>
          <w:i/>
        </w:rPr>
        <w:t xml:space="preserve">supra </w:t>
      </w:r>
      <w:r w:rsidRPr="00963830">
        <w:t>nr. 249).</w:t>
      </w:r>
    </w:p>
  </w:footnote>
  <w:footnote w:id="623">
    <w:p w14:paraId="58ADB6FA" w14:textId="12F0CE7F" w:rsidR="00BA0376" w:rsidRPr="00963830" w:rsidRDefault="00BA0376" w:rsidP="00963830">
      <w:pPr>
        <w:rPr>
          <w:sz w:val="16"/>
          <w:szCs w:val="16"/>
        </w:rPr>
      </w:pPr>
      <w:r w:rsidRPr="00963830">
        <w:rPr>
          <w:rStyle w:val="FootnoteReference"/>
          <w:sz w:val="16"/>
          <w:szCs w:val="16"/>
        </w:rPr>
        <w:footnoteRef/>
      </w:r>
      <w:r w:rsidRPr="00963830">
        <w:rPr>
          <w:sz w:val="16"/>
          <w:szCs w:val="16"/>
        </w:rPr>
        <w:t xml:space="preserve"> Zo wordt immers de rol van het slachtoffer als constitutief bestanddeel (</w:t>
      </w:r>
      <w:r w:rsidRPr="00963830">
        <w:rPr>
          <w:i/>
          <w:sz w:val="16"/>
          <w:szCs w:val="16"/>
        </w:rPr>
        <w:t xml:space="preserve">infra </w:t>
      </w:r>
      <w:r w:rsidRPr="00963830">
        <w:rPr>
          <w:sz w:val="16"/>
          <w:szCs w:val="16"/>
        </w:rPr>
        <w:t xml:space="preserve">titels 1.1.2.2 en 1.2.2.2) op eenzelfde manier omschreven. Dit sluit o.m. aan bij de taaltips die werden geformuleerd door de Hoge Raad voor de Justitie om dezelfde bewoordingen te blijven gebruiken voor eenzelfde begrip, zie: HOGE RAAD VOOR DE JUSTITIE, Advies voorontwerp van Strafwetboek - Boek II (goedgekeurd door de Algemene Vergadering van de Hoge Raad voor de Justitie op 19 december 2018), </w:t>
      </w:r>
      <w:r w:rsidRPr="001B3B38">
        <w:rPr>
          <w:sz w:val="16"/>
          <w:szCs w:val="16"/>
        </w:rPr>
        <w:t>https://hrj.be/admin/storage/hrj/advies-strafwetboekii.pdf</w:t>
      </w:r>
      <w:r w:rsidRPr="00963830">
        <w:rPr>
          <w:sz w:val="16"/>
          <w:szCs w:val="16"/>
        </w:rPr>
        <w:t>, 19.</w:t>
      </w:r>
    </w:p>
  </w:footnote>
  <w:footnote w:id="624">
    <w:p w14:paraId="25BB1E2E" w14:textId="77777777" w:rsidR="00BA0376" w:rsidRPr="00963830" w:rsidRDefault="00BA0376" w:rsidP="0007087C">
      <w:pPr>
        <w:pStyle w:val="NoSpacing"/>
      </w:pPr>
      <w:r w:rsidRPr="00963830">
        <w:rPr>
          <w:rStyle w:val="FootnoteReference"/>
        </w:rPr>
        <w:footnoteRef/>
      </w:r>
      <w:r w:rsidRPr="00963830">
        <w:t xml:space="preserve"> Art. 417/7 Sw. heeft het over “een persoon”.</w:t>
      </w:r>
    </w:p>
  </w:footnote>
  <w:footnote w:id="625">
    <w:p w14:paraId="16818023" w14:textId="77777777" w:rsidR="00BA0376" w:rsidRPr="009C29A6" w:rsidRDefault="00BA0376" w:rsidP="0007087C">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Supra</w:t>
      </w:r>
      <w:r w:rsidRPr="009C29A6">
        <w:rPr>
          <w:color w:val="000000" w:themeColor="text1"/>
          <w:lang w:val="fr-FR"/>
        </w:rPr>
        <w:t xml:space="preserve"> nrs. 21 en 43.</w:t>
      </w:r>
    </w:p>
  </w:footnote>
  <w:footnote w:id="626">
    <w:p w14:paraId="589598E2" w14:textId="1DE0AAD6" w:rsidR="00BA0376" w:rsidRPr="009C29A6" w:rsidRDefault="00BA0376" w:rsidP="00246FF6">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Supra</w:t>
      </w:r>
      <w:r w:rsidRPr="009C29A6">
        <w:rPr>
          <w:color w:val="000000" w:themeColor="text1"/>
          <w:lang w:val="fr-FR"/>
        </w:rPr>
        <w:t xml:space="preserve"> nr. 29.</w:t>
      </w:r>
    </w:p>
  </w:footnote>
  <w:footnote w:id="627">
    <w:p w14:paraId="266AFB88" w14:textId="31C6E295" w:rsidR="00BA0376" w:rsidRPr="00963830" w:rsidRDefault="00BA0376" w:rsidP="00F02786">
      <w:pPr>
        <w:pStyle w:val="NoSpacing"/>
      </w:pPr>
      <w:r w:rsidRPr="00963830">
        <w:rPr>
          <w:rStyle w:val="FootnoteReference"/>
        </w:rPr>
        <w:footnoteRef/>
      </w:r>
      <w:r w:rsidRPr="00963830">
        <w:t xml:space="preserve"> Tezamen met het feit dat deze strafbaarstelling een restcategorie vormt, zodat geen niet-consensuele seksuele handelingen aan het Belgisch strafrecht ontsnappen (</w:t>
      </w:r>
      <w:r w:rsidRPr="00963830">
        <w:rPr>
          <w:i/>
        </w:rPr>
        <w:t xml:space="preserve">infra </w:t>
      </w:r>
      <w:r w:rsidRPr="00963830">
        <w:t>nr. 256).</w:t>
      </w:r>
    </w:p>
  </w:footnote>
  <w:footnote w:id="628">
    <w:p w14:paraId="4766F09D" w14:textId="739F8779" w:rsidR="00BA0376" w:rsidRPr="00963830" w:rsidRDefault="00BA0376" w:rsidP="005A4781">
      <w:pPr>
        <w:pStyle w:val="NoSpacing"/>
      </w:pPr>
      <w:r w:rsidRPr="00963830">
        <w:rPr>
          <w:rStyle w:val="FootnoteReference"/>
          <w:color w:val="000000" w:themeColor="text1"/>
        </w:rPr>
        <w:footnoteRef/>
      </w:r>
      <w:r w:rsidRPr="00963830">
        <w:rPr>
          <w:color w:val="000000" w:themeColor="text1"/>
        </w:rPr>
        <w:t xml:space="preserve"> </w:t>
      </w:r>
      <w:r w:rsidRPr="00963830">
        <w:t xml:space="preserve">Art. 3 en 8 EVRM; </w:t>
      </w:r>
      <w:r w:rsidRPr="00963830">
        <w:rPr>
          <w:color w:val="000000" w:themeColor="text1"/>
        </w:rPr>
        <w:t xml:space="preserve">art. 36.1, b </w:t>
      </w:r>
      <w:r w:rsidRPr="00963830">
        <w:t xml:space="preserve">Verdrag van Istanbul; art. 36.1, b) Wet 1 maart 2016 houdende instemming met het Verdrag van de Raad van Europa inzake het voorkomen en bestrijden van geweld tegen vrouwen en huiselijk geweld, gedaan te Istanbul op 11 mei 2011, </w:t>
      </w:r>
      <w:r w:rsidRPr="00963830">
        <w:rPr>
          <w:i/>
        </w:rPr>
        <w:t>BS</w:t>
      </w:r>
      <w:r w:rsidRPr="00963830">
        <w:t xml:space="preserve"> 9 juni 2016; Aanbeveling Rec (2002) 5 van 30 april 2002 inzake de bescherming van vrouwen tegen geweld, Raad van Europa (comité van Ministers), §35; MvT, Parl.St. Kamer 2020-21, nr. 55-2141/001, 15-16; </w:t>
      </w:r>
      <w:r w:rsidRPr="00963830">
        <w:rPr>
          <w:color w:val="000000" w:themeColor="text1"/>
        </w:rPr>
        <w:t>EHRM 4 december 2003, M.C./Bulgarije, 39727/98, §</w:t>
      </w:r>
      <w:r w:rsidRPr="00963830">
        <w:rPr>
          <w:rFonts w:cs="Arial"/>
          <w:color w:val="000000" w:themeColor="text1"/>
          <w:spacing w:val="3"/>
          <w:shd w:val="clear" w:color="auto" w:fill="FFFFFF"/>
        </w:rPr>
        <w:t>165-166 en 180-181.</w:t>
      </w:r>
    </w:p>
  </w:footnote>
  <w:footnote w:id="629">
    <w:p w14:paraId="780FCBC7" w14:textId="09A13D77" w:rsidR="00BA0376" w:rsidRPr="00963830" w:rsidRDefault="00BA0376" w:rsidP="00246FF6">
      <w:pPr>
        <w:pStyle w:val="NoSpacing"/>
      </w:pPr>
      <w:r w:rsidRPr="00963830">
        <w:rPr>
          <w:rStyle w:val="FootnoteReference"/>
        </w:rPr>
        <w:footnoteRef/>
      </w:r>
      <w:r w:rsidRPr="00963830">
        <w:t xml:space="preserve"> </w:t>
      </w:r>
      <w:r w:rsidRPr="00963830">
        <w:rPr>
          <w:color w:val="000000" w:themeColor="text1"/>
        </w:rPr>
        <w:t>S</w:t>
      </w:r>
      <w:r w:rsidRPr="00963830">
        <w:rPr>
          <w:i/>
          <w:color w:val="000000" w:themeColor="text1"/>
        </w:rPr>
        <w:t xml:space="preserve">upra </w:t>
      </w:r>
      <w:r w:rsidRPr="00963830">
        <w:rPr>
          <w:color w:val="000000" w:themeColor="text1"/>
        </w:rPr>
        <w:t>nr. 52.</w:t>
      </w:r>
    </w:p>
  </w:footnote>
  <w:footnote w:id="630">
    <w:p w14:paraId="58A58612" w14:textId="63419B52" w:rsidR="00BA0376" w:rsidRPr="00963830" w:rsidRDefault="00BA0376" w:rsidP="005A4781">
      <w:pPr>
        <w:pStyle w:val="NoSpacing"/>
      </w:pPr>
      <w:r w:rsidRPr="00963830">
        <w:rPr>
          <w:rStyle w:val="FootnoteReference"/>
          <w:color w:val="000000" w:themeColor="text1"/>
        </w:rPr>
        <w:footnoteRef/>
      </w:r>
      <w:r w:rsidRPr="00963830">
        <w:rPr>
          <w:color w:val="000000" w:themeColor="text1"/>
        </w:rPr>
        <w:t xml:space="preserve"> </w:t>
      </w:r>
      <w:r w:rsidRPr="00963830">
        <w:t xml:space="preserve">Art. 3 en 8 EVRM; </w:t>
      </w:r>
      <w:r w:rsidRPr="00963830">
        <w:rPr>
          <w:color w:val="000000" w:themeColor="text1"/>
        </w:rPr>
        <w:t xml:space="preserve">art. 36.1.b </w:t>
      </w:r>
      <w:r w:rsidRPr="00963830">
        <w:t xml:space="preserve">Verdrag van Istanbul; art. 36.1, b) Wet 1 maart 2016 houdende instemming met het Verdrag van de Raad van Europa inzake het voorkomen en bestrijden van geweld tegen vrouwen en huiselijk geweld, gedaan te Istanbul op 11 mei 2011, </w:t>
      </w:r>
      <w:r w:rsidRPr="00963830">
        <w:rPr>
          <w:i/>
        </w:rPr>
        <w:t>BS</w:t>
      </w:r>
      <w:r w:rsidRPr="00963830">
        <w:t xml:space="preserve"> 9 juni 2016; Aanbeveling Rec (2002) 5 van 30 april 2002 inzake de bescherming van vrouwen tegen geweld, Raad van Europa (comité van Ministers), §35; MvT, Parl.St. Kamer 2020-21, nr. 55-2141/001, 15-16; </w:t>
      </w:r>
      <w:r w:rsidRPr="00963830">
        <w:rPr>
          <w:color w:val="000000" w:themeColor="text1"/>
        </w:rPr>
        <w:t>EHRM 4 december 2003, M.C./Bulgarije, 39727/98, §</w:t>
      </w:r>
      <w:r w:rsidRPr="00963830">
        <w:rPr>
          <w:rFonts w:cs="Arial"/>
          <w:color w:val="000000" w:themeColor="text1"/>
          <w:spacing w:val="3"/>
          <w:shd w:val="clear" w:color="auto" w:fill="FFFFFF"/>
        </w:rPr>
        <w:t>165-166 en 180-181.</w:t>
      </w:r>
    </w:p>
  </w:footnote>
  <w:footnote w:id="631">
    <w:p w14:paraId="5991F301" w14:textId="60F71E8C" w:rsidR="00BA0376" w:rsidRPr="00963830" w:rsidRDefault="00BA0376" w:rsidP="00466F90">
      <w:pPr>
        <w:pStyle w:val="NoSpacing"/>
      </w:pPr>
      <w:r w:rsidRPr="00963830">
        <w:rPr>
          <w:rStyle w:val="FootnoteReference"/>
        </w:rPr>
        <w:footnoteRef/>
      </w:r>
      <w:r w:rsidRPr="00963830">
        <w:t xml:space="preserve"> </w:t>
      </w:r>
      <w:r w:rsidRPr="00963830">
        <w:rPr>
          <w:color w:val="000000" w:themeColor="text1"/>
        </w:rPr>
        <w:t xml:space="preserve">Daar waar </w:t>
      </w:r>
      <w:r w:rsidRPr="00963830">
        <w:rPr>
          <w:i/>
          <w:color w:val="000000" w:themeColor="text1"/>
        </w:rPr>
        <w:t xml:space="preserve">sexual assault </w:t>
      </w:r>
      <w:r w:rsidRPr="00963830">
        <w:rPr>
          <w:color w:val="000000" w:themeColor="text1"/>
        </w:rPr>
        <w:t xml:space="preserve">eerder te vergelijken is met het misdrijf aantasting van de seksuele integriteit dat werd gepleegd door de dader op het slachtoffer zelf, is </w:t>
      </w:r>
      <w:r w:rsidRPr="00963830">
        <w:rPr>
          <w:i/>
          <w:color w:val="000000" w:themeColor="text1"/>
        </w:rPr>
        <w:t>CESA zonder penetratie</w:t>
      </w:r>
      <w:r w:rsidRPr="00963830">
        <w:rPr>
          <w:color w:val="000000" w:themeColor="text1"/>
        </w:rPr>
        <w:t xml:space="preserve"> eerder te vergelijken met aantasting van de seksuele integriteit waarbij de dader het slachtoffer als instrument gebruikt. Dit blijkt ook duidelijk uit het vergelijkend schema (</w:t>
      </w:r>
      <w:r w:rsidRPr="00963830">
        <w:rPr>
          <w:i/>
          <w:color w:val="000000" w:themeColor="text1"/>
        </w:rPr>
        <w:t xml:space="preserve">supra </w:t>
      </w:r>
      <w:r w:rsidRPr="00963830">
        <w:rPr>
          <w:color w:val="000000" w:themeColor="text1"/>
        </w:rPr>
        <w:t>nr. 208).</w:t>
      </w:r>
    </w:p>
  </w:footnote>
  <w:footnote w:id="632">
    <w:p w14:paraId="7F6DF9AD" w14:textId="79C483E5" w:rsidR="00BA0376" w:rsidRPr="009C29A6" w:rsidRDefault="00BA0376" w:rsidP="00466F90">
      <w:pPr>
        <w:pStyle w:val="NoSpacing"/>
        <w:rPr>
          <w:lang w:val="en-GB"/>
        </w:rPr>
      </w:pPr>
      <w:r w:rsidRPr="00963830">
        <w:rPr>
          <w:rStyle w:val="FootnoteReference"/>
        </w:rPr>
        <w:footnoteRef/>
      </w:r>
      <w:r w:rsidRPr="009C29A6">
        <w:rPr>
          <w:lang w:val="en-GB"/>
        </w:rPr>
        <w:t xml:space="preserve"> Court of Appeal (VK) 1 maart 2011, R. v. Grout, </w:t>
      </w:r>
      <w:r w:rsidRPr="009C29A6">
        <w:rPr>
          <w:i/>
          <w:lang w:val="en-GB"/>
        </w:rPr>
        <w:t>EWCA Crim</w:t>
      </w:r>
      <w:r w:rsidRPr="009C29A6">
        <w:rPr>
          <w:lang w:val="en-GB"/>
        </w:rPr>
        <w:t xml:space="preserve">, 299; D. ORMEROD en K. LAIRD, </w:t>
      </w:r>
      <w:r w:rsidRPr="009C29A6">
        <w:rPr>
          <w:i/>
          <w:lang w:val="en-GB"/>
        </w:rPr>
        <w:t>Smith, Hogan, &amp; Ormerod’s Criminal Law</w:t>
      </w:r>
      <w:r w:rsidRPr="009C29A6">
        <w:rPr>
          <w:lang w:val="en-GB"/>
        </w:rPr>
        <w:t>, Oxford (VK), Oxford University Press, 2021, 857.</w:t>
      </w:r>
    </w:p>
  </w:footnote>
  <w:footnote w:id="633">
    <w:p w14:paraId="7C5DA86B" w14:textId="0C870B0B" w:rsidR="00BA0376" w:rsidRPr="009C29A6" w:rsidRDefault="00BA0376" w:rsidP="00F57D25">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nrs. 208-209.</w:t>
      </w:r>
    </w:p>
  </w:footnote>
  <w:footnote w:id="634">
    <w:p w14:paraId="753A0EB1" w14:textId="460371E9" w:rsidR="00BA0376" w:rsidRPr="009C29A6" w:rsidRDefault="00BA0376" w:rsidP="00246FF6">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 xml:space="preserve">Supra </w:t>
      </w:r>
      <w:r w:rsidRPr="009C29A6">
        <w:rPr>
          <w:color w:val="000000" w:themeColor="text1"/>
          <w:lang w:val="en-GB"/>
        </w:rPr>
        <w:t>titel 3.1.</w:t>
      </w:r>
    </w:p>
  </w:footnote>
  <w:footnote w:id="635">
    <w:p w14:paraId="61A065DD" w14:textId="62E86E9A" w:rsidR="00BA0376" w:rsidRPr="009C29A6" w:rsidRDefault="00BA0376" w:rsidP="00A41847">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Supra</w:t>
      </w:r>
      <w:r w:rsidRPr="009C29A6">
        <w:rPr>
          <w:color w:val="000000" w:themeColor="text1"/>
          <w:lang w:val="en-GB"/>
        </w:rPr>
        <w:t xml:space="preserve"> nrs. 128</w:t>
      </w:r>
      <w:r w:rsidRPr="009C29A6">
        <w:rPr>
          <w:color w:val="000000" w:themeColor="text1"/>
          <w:vertAlign w:val="superscript"/>
          <w:lang w:val="en-GB"/>
        </w:rPr>
        <w:t xml:space="preserve"> </w:t>
      </w:r>
      <w:r w:rsidRPr="009C29A6">
        <w:rPr>
          <w:color w:val="000000" w:themeColor="text1"/>
          <w:lang w:val="en-GB"/>
        </w:rPr>
        <w:t>e.v.</w:t>
      </w:r>
    </w:p>
  </w:footnote>
  <w:footnote w:id="636">
    <w:p w14:paraId="6170A946" w14:textId="77777777" w:rsidR="00BA0376" w:rsidRPr="009C29A6" w:rsidRDefault="00BA0376" w:rsidP="00A41847">
      <w:pPr>
        <w:pStyle w:val="NoSpacing"/>
        <w:rPr>
          <w:i/>
          <w:lang w:val="en-GB"/>
        </w:rPr>
      </w:pPr>
      <w:r w:rsidRPr="00963830">
        <w:rPr>
          <w:rStyle w:val="FootnoteReference"/>
        </w:rPr>
        <w:footnoteRef/>
      </w:r>
      <w:r w:rsidRPr="009C29A6">
        <w:rPr>
          <w:lang w:val="en-GB"/>
        </w:rPr>
        <w:t xml:space="preserve"> MvT, </w:t>
      </w:r>
      <w:r w:rsidRPr="009C29A6">
        <w:rPr>
          <w:i/>
          <w:lang w:val="en-GB"/>
        </w:rPr>
        <w:t>Parl.St.</w:t>
      </w:r>
      <w:r w:rsidRPr="009C29A6">
        <w:rPr>
          <w:lang w:val="en-GB"/>
        </w:rPr>
        <w:t xml:space="preserve"> Kamer 2020-21, nr. 55-2141/001, 29.</w:t>
      </w:r>
    </w:p>
  </w:footnote>
  <w:footnote w:id="637">
    <w:p w14:paraId="3A1AC20A" w14:textId="4314D5E3" w:rsidR="00BA0376" w:rsidRPr="00963830" w:rsidRDefault="00BA0376" w:rsidP="00A41847">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176.</w:t>
      </w:r>
    </w:p>
  </w:footnote>
  <w:footnote w:id="638">
    <w:p w14:paraId="2F92CAC8" w14:textId="72393BE8" w:rsidR="00BA0376" w:rsidRPr="009C29A6" w:rsidRDefault="00BA0376" w:rsidP="00963830">
      <w:pPr>
        <w:rPr>
          <w:sz w:val="16"/>
          <w:szCs w:val="16"/>
          <w:lang w:val="en-GB"/>
        </w:rPr>
      </w:pPr>
      <w:r w:rsidRPr="00963830">
        <w:rPr>
          <w:rStyle w:val="FootnoteReference"/>
          <w:sz w:val="16"/>
          <w:szCs w:val="16"/>
        </w:rPr>
        <w:footnoteRef/>
      </w:r>
      <w:r w:rsidRPr="00963830">
        <w:rPr>
          <w:sz w:val="16"/>
          <w:szCs w:val="16"/>
        </w:rPr>
        <w:t xml:space="preserve"> Hier zou in theorie kunnen tegenin worden gebracht dat het Verdrag van Istanbul evenzeer het begrip “seksueel” gebruikt, zonder dit nader te definiëren. Toch lijkt dit m.i. geen sterk argument te zijn aangezien het om een verdrag gaat met zo’n 40 verdragspartijen (37 ratificaties/toetredingen en 8 ondertekeningen die niet werden gevolgd door een ratificatie). Het verdrag vormt immers een gemeenschappelijk kader voor deze verdragspartijen en laat de nadere invulling over aan de verdragspartijen, voor zover deze het toepassingsgebied van het verdrag uiteraard niet beperkt. </w:t>
      </w:r>
      <w:r w:rsidRPr="009C29A6">
        <w:rPr>
          <w:sz w:val="16"/>
          <w:szCs w:val="16"/>
          <w:lang w:val="en-GB"/>
        </w:rPr>
        <w:t xml:space="preserve">Zie: COUNCIL OF EUROPE, “Chart of signatures and ratifications of Treaty 210”, www.coe.int/en/web/conventions/full-list?module=signatures-by-treaty&amp;treatynum=210 (consultatie 25 maart 2023). </w:t>
      </w:r>
    </w:p>
  </w:footnote>
  <w:footnote w:id="639">
    <w:p w14:paraId="2D7A29A2" w14:textId="77777777" w:rsidR="00BA0376" w:rsidRPr="00963830" w:rsidRDefault="00BA0376" w:rsidP="00A41847">
      <w:pPr>
        <w:pStyle w:val="NoSpacing"/>
      </w:pPr>
      <w:r w:rsidRPr="00963830">
        <w:rPr>
          <w:rStyle w:val="FootnoteReference"/>
        </w:rPr>
        <w:footnoteRef/>
      </w:r>
      <w:r w:rsidRPr="00963830">
        <w:t xml:space="preserve"> Aangeraden, maar wellicht niet verplicht o.g.v. het </w:t>
      </w:r>
      <w:r w:rsidRPr="00963830">
        <w:rPr>
          <w:i/>
          <w:color w:val="000000" w:themeColor="text1"/>
        </w:rPr>
        <w:t>lex certa-</w:t>
      </w:r>
      <w:r w:rsidRPr="00963830">
        <w:rPr>
          <w:color w:val="000000" w:themeColor="text1"/>
        </w:rPr>
        <w:t>beginsel, gelet op de soepele toepassing ervan in de rechtspraak. Het is m.i. aangeraden omdat dit de rechtsonzekerheid kan doen afnemen</w:t>
      </w:r>
    </w:p>
  </w:footnote>
  <w:footnote w:id="640">
    <w:p w14:paraId="257D23FF" w14:textId="77777777" w:rsidR="00BA0376" w:rsidRPr="00963830" w:rsidRDefault="00BA0376" w:rsidP="007E7C53">
      <w:pPr>
        <w:pStyle w:val="NoSpacing"/>
      </w:pPr>
      <w:r w:rsidRPr="00963830">
        <w:rPr>
          <w:rStyle w:val="FootnoteReference"/>
        </w:rPr>
        <w:footnoteRef/>
      </w:r>
      <w:r w:rsidRPr="00963830">
        <w:t xml:space="preserve"> Meer bepaald naar het voorbeeld van </w:t>
      </w:r>
      <w:r w:rsidRPr="00963830">
        <w:rPr>
          <w:i/>
        </w:rPr>
        <w:t xml:space="preserve">section </w:t>
      </w:r>
      <w:r w:rsidRPr="00963830">
        <w:t xml:space="preserve">78. </w:t>
      </w:r>
      <w:r w:rsidRPr="00963830">
        <w:rPr>
          <w:i/>
        </w:rPr>
        <w:t xml:space="preserve">Supra </w:t>
      </w:r>
      <w:r w:rsidRPr="00963830">
        <w:t>nr. 176.</w:t>
      </w:r>
    </w:p>
  </w:footnote>
  <w:footnote w:id="641">
    <w:p w14:paraId="0D070CAF" w14:textId="223D322C" w:rsidR="00BA0376" w:rsidRPr="00963830" w:rsidRDefault="00BA0376" w:rsidP="00A41847">
      <w:pPr>
        <w:pStyle w:val="NoSpacing"/>
      </w:pPr>
      <w:r w:rsidRPr="00963830">
        <w:rPr>
          <w:rStyle w:val="FootnoteReference"/>
        </w:rPr>
        <w:footnoteRef/>
      </w:r>
      <w:r w:rsidRPr="00963830">
        <w:t xml:space="preserve"> </w:t>
      </w:r>
      <w:r w:rsidRPr="00963830">
        <w:rPr>
          <w:i/>
        </w:rPr>
        <w:t xml:space="preserve">Supra </w:t>
      </w:r>
      <w:r w:rsidRPr="00963830">
        <w:t xml:space="preserve">nrs. 128 e.v. </w:t>
      </w:r>
    </w:p>
  </w:footnote>
  <w:footnote w:id="642">
    <w:p w14:paraId="627E46F3" w14:textId="45CBEE6B" w:rsidR="00BA0376" w:rsidRPr="00963830" w:rsidRDefault="00BA0376" w:rsidP="00A41847">
      <w:pPr>
        <w:pStyle w:val="NoSpacing"/>
      </w:pPr>
      <w:r w:rsidRPr="00963830">
        <w:rPr>
          <w:rStyle w:val="FootnoteReference"/>
        </w:rPr>
        <w:footnoteRef/>
      </w:r>
      <w:r w:rsidRPr="00963830">
        <w:t xml:space="preserve"> </w:t>
      </w:r>
      <w:r w:rsidRPr="00963830">
        <w:rPr>
          <w:i/>
        </w:rPr>
        <w:t xml:space="preserve">Supra </w:t>
      </w:r>
      <w:r w:rsidRPr="00963830">
        <w:t xml:space="preserve">nrs. 260 e.v. </w:t>
      </w:r>
    </w:p>
  </w:footnote>
  <w:footnote w:id="643">
    <w:p w14:paraId="2174CD05" w14:textId="2AFEFD17" w:rsidR="00BA0376" w:rsidRPr="00963830" w:rsidRDefault="00BA0376" w:rsidP="00A41847">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130.</w:t>
      </w:r>
    </w:p>
  </w:footnote>
  <w:footnote w:id="644">
    <w:p w14:paraId="18E9EC25" w14:textId="05F5DA12" w:rsidR="00BA0376" w:rsidRPr="00963830" w:rsidRDefault="00BA0376" w:rsidP="00A41847">
      <w:pPr>
        <w:pStyle w:val="NoSpacing"/>
      </w:pPr>
      <w:r w:rsidRPr="00963830">
        <w:rPr>
          <w:rStyle w:val="FootnoteReference"/>
        </w:rPr>
        <w:footnoteRef/>
      </w:r>
      <w:r w:rsidRPr="00963830">
        <w:t xml:space="preserve"> </w:t>
      </w:r>
      <w:r w:rsidRPr="00963830">
        <w:rPr>
          <w:color w:val="000000" w:themeColor="text1"/>
        </w:rPr>
        <w:t xml:space="preserve">D. MERCKX en I. DELBROUCK, “Verkrachting”, </w:t>
      </w:r>
      <w:r w:rsidRPr="00963830">
        <w:rPr>
          <w:i/>
          <w:color w:val="000000" w:themeColor="text1"/>
        </w:rPr>
        <w:t>supra</w:t>
      </w:r>
      <w:r w:rsidRPr="00963830">
        <w:rPr>
          <w:color w:val="000000" w:themeColor="text1"/>
        </w:rPr>
        <w:t xml:space="preserve"> vn. 37, 255-256; L. STEVENS, Strafrecht en seksualiteit, Antwerpen, Intersentia, 2002, 454.</w:t>
      </w:r>
    </w:p>
  </w:footnote>
  <w:footnote w:id="645">
    <w:p w14:paraId="61150B2D" w14:textId="23606DEB" w:rsidR="00BA0376" w:rsidRPr="00963830" w:rsidRDefault="00BA0376" w:rsidP="00A41847">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209.</w:t>
      </w:r>
    </w:p>
  </w:footnote>
  <w:footnote w:id="646">
    <w:p w14:paraId="7F5A9EFA" w14:textId="28E24AC4" w:rsidR="00BA0376" w:rsidRPr="00963830" w:rsidRDefault="00BA0376" w:rsidP="00A41847">
      <w:pPr>
        <w:pStyle w:val="NoSpacing"/>
      </w:pPr>
      <w:r w:rsidRPr="00963830">
        <w:rPr>
          <w:rStyle w:val="FootnoteReference"/>
        </w:rPr>
        <w:footnoteRef/>
      </w:r>
      <w:r w:rsidRPr="00963830">
        <w:t xml:space="preserve"> </w:t>
      </w:r>
      <w:r w:rsidRPr="00963830">
        <w:rPr>
          <w:i/>
        </w:rPr>
        <w:t xml:space="preserve">Supra </w:t>
      </w:r>
      <w:r w:rsidRPr="00963830">
        <w:t>nr. 211.</w:t>
      </w:r>
    </w:p>
  </w:footnote>
  <w:footnote w:id="647">
    <w:p w14:paraId="5291D0A9" w14:textId="77777777" w:rsidR="00BA0376" w:rsidRPr="00963830" w:rsidRDefault="00BA0376" w:rsidP="00A41847">
      <w:pPr>
        <w:pStyle w:val="NoSpacing"/>
      </w:pPr>
      <w:r w:rsidRPr="00963830">
        <w:rPr>
          <w:rStyle w:val="FootnoteReference"/>
        </w:rPr>
        <w:footnoteRef/>
      </w:r>
      <w:r w:rsidRPr="00963830">
        <w:t xml:space="preserve"> MvT, Parl.St. Kamer 2020-21, nr. 55-2141/001, 29.</w:t>
      </w:r>
    </w:p>
  </w:footnote>
  <w:footnote w:id="648">
    <w:p w14:paraId="3EFEB657" w14:textId="77777777" w:rsidR="00BA0376" w:rsidRPr="00963830" w:rsidRDefault="00BA0376" w:rsidP="00A41847">
      <w:pPr>
        <w:pStyle w:val="NoSpacing"/>
      </w:pPr>
      <w:r w:rsidRPr="00963830">
        <w:rPr>
          <w:rStyle w:val="FootnoteReference"/>
        </w:rPr>
        <w:footnoteRef/>
      </w:r>
      <w:r w:rsidRPr="00963830">
        <w:t xml:space="preserve"> Art. 36.1, a Verdrag van Istanbul; MvT, Parl.St. Kamer 2020-21, nr. 55-2141/001, 29; Art. 36.1, a) Wet 1 maart 2016 houdende instemming met het Verdrag van de Raad van Europa inzake het voorkomen en bestrijden van geweld tegen vrouwen en huiselijk geweld, gedaan te Istanbul op 11 mei 2011, </w:t>
      </w:r>
      <w:r w:rsidRPr="00963830">
        <w:rPr>
          <w:i/>
        </w:rPr>
        <w:t>BS</w:t>
      </w:r>
      <w:r w:rsidRPr="00963830">
        <w:t xml:space="preserve"> 9 juni 2016.</w:t>
      </w:r>
    </w:p>
  </w:footnote>
  <w:footnote w:id="649">
    <w:p w14:paraId="4CA6045E" w14:textId="1CC39CD2" w:rsidR="00BA0376" w:rsidRPr="00963830" w:rsidRDefault="00BA0376" w:rsidP="00A41847">
      <w:pPr>
        <w:pStyle w:val="NoSpacing"/>
      </w:pPr>
      <w:r w:rsidRPr="00963830">
        <w:rPr>
          <w:rStyle w:val="FootnoteReference"/>
        </w:rPr>
        <w:footnoteRef/>
      </w:r>
      <w:r w:rsidRPr="00963830">
        <w:t xml:space="preserve"> Minder unaniem aanvaard, maar wel reeds als verkrachting gekwalificeerd onder het oude recht is de seksuele penetratie van de mond van het slachtoffer middels de borst van de vrouwelijke dader (</w:t>
      </w:r>
      <w:r w:rsidRPr="00963830">
        <w:rPr>
          <w:i/>
        </w:rPr>
        <w:t xml:space="preserve">supra </w:t>
      </w:r>
      <w:r w:rsidRPr="00963830">
        <w:t>nr. 112). Evenmin unaniem aanvaard, is de tongzoen. Het College van procureurs-generaal is van mening dat dit wel als verkrachting kan worden gekwalificeerd (</w:t>
      </w:r>
      <w:r w:rsidRPr="00963830">
        <w:rPr>
          <w:i/>
        </w:rPr>
        <w:t xml:space="preserve">supra </w:t>
      </w:r>
      <w:r w:rsidRPr="00963830">
        <w:t>nr. 138).</w:t>
      </w:r>
    </w:p>
  </w:footnote>
  <w:footnote w:id="650">
    <w:p w14:paraId="18025F0C" w14:textId="2370F7AF" w:rsidR="00BA0376" w:rsidRPr="00963830" w:rsidRDefault="00BA0376" w:rsidP="00A41847">
      <w:pPr>
        <w:pStyle w:val="NoSpacing"/>
      </w:pPr>
      <w:r w:rsidRPr="00963830">
        <w:rPr>
          <w:rStyle w:val="FootnoteReference"/>
        </w:rPr>
        <w:footnoteRef/>
      </w:r>
      <w:r w:rsidRPr="00963830">
        <w:t xml:space="preserve"> </w:t>
      </w:r>
      <w:r w:rsidRPr="00963830">
        <w:rPr>
          <w:i/>
        </w:rPr>
        <w:t xml:space="preserve">Supra </w:t>
      </w:r>
      <w:r w:rsidRPr="00963830">
        <w:t>nr. 112.</w:t>
      </w:r>
    </w:p>
  </w:footnote>
  <w:footnote w:id="651">
    <w:p w14:paraId="2E04FB1E" w14:textId="77777777" w:rsidR="00BA0376" w:rsidRPr="00963830" w:rsidRDefault="00BA0376" w:rsidP="00A41847">
      <w:pPr>
        <w:pStyle w:val="NoSpacing"/>
      </w:pPr>
      <w:r w:rsidRPr="00963830">
        <w:rPr>
          <w:rStyle w:val="FootnoteReference"/>
        </w:rPr>
        <w:footnoteRef/>
      </w:r>
      <w:r w:rsidRPr="00963830">
        <w:t xml:space="preserve"> </w:t>
      </w:r>
      <w:r w:rsidRPr="00963830">
        <w:rPr>
          <w:color w:val="000000" w:themeColor="text1"/>
        </w:rPr>
        <w:t xml:space="preserve">M.i. kan ook voldaan worden aan de vereisten van het Verdrag van Istanbul indien bepaalde penetraties zouden ressorteren onder de strafbaarstelling van aantasting van de seksuele integriteit. Dit kan m.i. worden afgeleid uit het </w:t>
      </w:r>
      <w:r w:rsidRPr="00963830">
        <w:rPr>
          <w:i/>
          <w:color w:val="000000" w:themeColor="text1"/>
        </w:rPr>
        <w:t xml:space="preserve">Explanatory Report </w:t>
      </w:r>
      <w:r w:rsidRPr="00963830">
        <w:rPr>
          <w:color w:val="000000" w:themeColor="text1"/>
        </w:rPr>
        <w:t xml:space="preserve">bij het Verdrag van de Raad van Europa inzake het voorkomen en bestrijden van geweld tegen vrouwen en huiselijk geweld, </w:t>
      </w:r>
      <w:r w:rsidRPr="00963830">
        <w:rPr>
          <w:i/>
          <w:color w:val="000000" w:themeColor="text1"/>
        </w:rPr>
        <w:t>CETS</w:t>
      </w:r>
      <w:r w:rsidRPr="00963830">
        <w:rPr>
          <w:color w:val="000000" w:themeColor="text1"/>
        </w:rPr>
        <w:t xml:space="preserve"> 11 mei 2011, nr. 210 (“Verdrag van Istanbul”), §189-194. Zie hierover ook volgende bijdrage in de Nederlandse rechtsleer: K. LINDENBERG, “Verkrachting, aanranding en de bescherming van de seksuele integriteit: moet Nederland ook naar een ‘Nein heißt Nein’?” in E. GRITTER, (ed.), </w:t>
      </w:r>
      <w:r w:rsidRPr="00963830">
        <w:rPr>
          <w:i/>
          <w:color w:val="000000" w:themeColor="text1"/>
        </w:rPr>
        <w:t>Modern Strafrecht</w:t>
      </w:r>
      <w:r w:rsidRPr="00963830">
        <w:rPr>
          <w:color w:val="000000" w:themeColor="text1"/>
        </w:rPr>
        <w:t xml:space="preserve">, Deventer, Wolters Kluwer, 2019, (1) 23-28. Voorgaande zou meteen ook in lijn zijn met de </w:t>
      </w:r>
      <w:r w:rsidRPr="00963830">
        <w:rPr>
          <w:i/>
          <w:color w:val="000000" w:themeColor="text1"/>
        </w:rPr>
        <w:t>ratio legis</w:t>
      </w:r>
      <w:r w:rsidRPr="00963830">
        <w:rPr>
          <w:color w:val="000000" w:themeColor="text1"/>
        </w:rPr>
        <w:t xml:space="preserve"> achter het maken tot restcategorie van de strafbaarstelling van aantasting van de seksuele integriteit: wanneer niet-consensuele seksuele gedragingen niet vallen onder de strafbaarstelling van verkrachting (noch onder voyeurisme, noch onder niet-consensuele verspreiding van seksueel getinte inhoud), zal de gedraging een aantasting van de seksuele integriteit uitmaken.</w:t>
      </w:r>
    </w:p>
  </w:footnote>
  <w:footnote w:id="652">
    <w:p w14:paraId="4BDBEF56" w14:textId="77777777" w:rsidR="00BA0376" w:rsidRPr="00963830" w:rsidRDefault="00BA0376" w:rsidP="00722224">
      <w:pPr>
        <w:pStyle w:val="NoSpacing"/>
      </w:pPr>
      <w:r w:rsidRPr="00963830">
        <w:rPr>
          <w:rStyle w:val="FootnoteReference"/>
        </w:rPr>
        <w:footnoteRef/>
      </w:r>
      <w:r w:rsidRPr="00963830">
        <w:t xml:space="preserve"> MvT, Parl.St. Kamer 2020-21, nr. 55-2141/001, 28-29. </w:t>
      </w:r>
      <w:r w:rsidRPr="00963830">
        <w:rPr>
          <w:color w:val="000000" w:themeColor="text1"/>
        </w:rPr>
        <w:t>Hoger werd reeds gewezen op de andersluidende opvatting hierover van het College van procureurs-generaal (</w:t>
      </w:r>
      <w:r w:rsidRPr="00963830">
        <w:rPr>
          <w:i/>
          <w:color w:val="000000" w:themeColor="text1"/>
        </w:rPr>
        <w:t>supra</w:t>
      </w:r>
      <w:r w:rsidRPr="00963830">
        <w:rPr>
          <w:color w:val="000000" w:themeColor="text1"/>
        </w:rPr>
        <w:t xml:space="preserve"> nr. 138). Gelet op de discussie die zich hieromtrent nu reeds stelt, kan de vraag worden gesteld of de wetgever de strafbaarstelling van verkrachting niet beter duidelijker had afgebakend.</w:t>
      </w:r>
    </w:p>
  </w:footnote>
  <w:footnote w:id="653">
    <w:p w14:paraId="18312A29" w14:textId="77777777" w:rsidR="00BA0376" w:rsidRPr="00963830" w:rsidRDefault="00BA0376" w:rsidP="00A41847">
      <w:pPr>
        <w:pStyle w:val="NoSpacing"/>
      </w:pPr>
      <w:r w:rsidRPr="00963830">
        <w:rPr>
          <w:rStyle w:val="FootnoteReference"/>
        </w:rPr>
        <w:footnoteRef/>
      </w:r>
      <w:r w:rsidRPr="00963830">
        <w:t xml:space="preserve"> Onder het oude recht haalde de memorie van toelichting immers als reden hiervoor aan het ontbreken van het seksueel karakter. Deze redenering werd terecht bekritiseerd.</w:t>
      </w:r>
    </w:p>
  </w:footnote>
  <w:footnote w:id="654">
    <w:p w14:paraId="312B34E5" w14:textId="03673DCC" w:rsidR="00BA0376" w:rsidRPr="00963830" w:rsidRDefault="00BA0376" w:rsidP="00A41847">
      <w:pPr>
        <w:pStyle w:val="NoSpacing"/>
      </w:pPr>
      <w:r w:rsidRPr="00963830">
        <w:rPr>
          <w:rStyle w:val="FootnoteReference"/>
        </w:rPr>
        <w:footnoteRef/>
      </w:r>
      <w:r w:rsidRPr="00963830">
        <w:t xml:space="preserve"> O.b.v. de huidige wettekst.</w:t>
      </w:r>
    </w:p>
  </w:footnote>
  <w:footnote w:id="655">
    <w:p w14:paraId="61991267" w14:textId="66C00400" w:rsidR="00BA0376" w:rsidRPr="00963830" w:rsidRDefault="00BA0376" w:rsidP="00A41847">
      <w:pPr>
        <w:pStyle w:val="NoSpacing"/>
      </w:pPr>
      <w:r w:rsidRPr="00963830">
        <w:rPr>
          <w:rStyle w:val="FootnoteReference"/>
        </w:rPr>
        <w:footnoteRef/>
      </w:r>
      <w:r w:rsidRPr="00963830">
        <w:t xml:space="preserve"> Zie in diezelfde zin, maar m.b.t. deze redenering in de oude memorie van toelichting: </w:t>
      </w:r>
      <w:r w:rsidRPr="00963830">
        <w:rPr>
          <w:i/>
        </w:rPr>
        <w:t xml:space="preserve">supra </w:t>
      </w:r>
      <w:r w:rsidRPr="00963830">
        <w:t>nr. 130.</w:t>
      </w:r>
    </w:p>
  </w:footnote>
  <w:footnote w:id="656">
    <w:p w14:paraId="4863D1C2" w14:textId="1F4D1E71" w:rsidR="00BA0376" w:rsidRPr="00963830" w:rsidRDefault="00BA0376" w:rsidP="00A41847">
      <w:pPr>
        <w:pStyle w:val="NoSpacing"/>
      </w:pPr>
      <w:r w:rsidRPr="00963830">
        <w:rPr>
          <w:rStyle w:val="FootnoteReference"/>
        </w:rPr>
        <w:footnoteRef/>
      </w:r>
      <w:r w:rsidRPr="00963830">
        <w:t xml:space="preserve"> </w:t>
      </w:r>
      <w:r w:rsidRPr="00963830">
        <w:rPr>
          <w:i/>
        </w:rPr>
        <w:t xml:space="preserve">Supra </w:t>
      </w:r>
      <w:r w:rsidRPr="00963830">
        <w:t>nr. 138.</w:t>
      </w:r>
    </w:p>
  </w:footnote>
  <w:footnote w:id="657">
    <w:p w14:paraId="3872DF3C" w14:textId="77777777" w:rsidR="00BA0376" w:rsidRPr="00963830" w:rsidRDefault="00BA0376" w:rsidP="00A41847">
      <w:pPr>
        <w:pStyle w:val="NoSpacing"/>
      </w:pPr>
      <w:r w:rsidRPr="00963830">
        <w:rPr>
          <w:rStyle w:val="FootnoteReference"/>
        </w:rPr>
        <w:footnoteRef/>
      </w:r>
      <w:r w:rsidRPr="00963830">
        <w:t xml:space="preserve"> Ook het legaliteitsbeginsel in strafzaken biedt geen verduidelijking. De laatste jaren bestaat immers een tendens binnen de hogere rechtscolleges waarin zeer soepel wordt omgesprongen met voornoemd beginsel. Daar waar het Hof van Cassatie vroeger stelde dat een </w:t>
      </w:r>
      <w:r w:rsidRPr="00963830">
        <w:rPr>
          <w:i/>
        </w:rPr>
        <w:t xml:space="preserve">ratio legis </w:t>
      </w:r>
      <w:r w:rsidRPr="00963830">
        <w:t xml:space="preserve">niet kan ingaan tegen een duidelijke wettelijke bepaling, is het Hof daar intussen van afgestapt en heeft het o.m. beide criteria op gelijke voet gesteld om uit te kunnen maken of het strafbaar karakter van een bepaalde gedraging al dan niet redelijk voorzienbaar was op het moment van de feiten. Zie: J. ROZIE, "Beklaagde alwetend. Over het criterium van de redelijke voorzienbaarheid als maatstaf van het lex certa-principe in strafzaken", </w:t>
      </w:r>
      <w:r w:rsidRPr="00963830">
        <w:rPr>
          <w:i/>
        </w:rPr>
        <w:t>RW</w:t>
      </w:r>
      <w:r w:rsidRPr="00963830">
        <w:t xml:space="preserve"> 2012-13, 802-817.</w:t>
      </w:r>
    </w:p>
  </w:footnote>
  <w:footnote w:id="658">
    <w:p w14:paraId="29EADFE2" w14:textId="65ABA583" w:rsidR="00BA0376" w:rsidRPr="00963830" w:rsidRDefault="00BA0376" w:rsidP="00A41847">
      <w:pPr>
        <w:pStyle w:val="NoSpacing"/>
      </w:pPr>
      <w:r w:rsidRPr="00963830">
        <w:rPr>
          <w:rStyle w:val="FootnoteReference"/>
        </w:rPr>
        <w:footnoteRef/>
      </w:r>
      <w:r w:rsidRPr="00963830">
        <w:t xml:space="preserve"> In het eigen wetsvoorstel (</w:t>
      </w:r>
      <w:r w:rsidRPr="00963830">
        <w:rPr>
          <w:i/>
        </w:rPr>
        <w:t xml:space="preserve">infra </w:t>
      </w:r>
      <w:r w:rsidRPr="00963830">
        <w:t>nr. 281) wordt dan ook uitgegaan van de huidige keuze van de wetgever om voor de ruime strafbaarstelling te gaan. Hier zou m.i. de tongzoen wel onder kunnen ressorteren.</w:t>
      </w:r>
    </w:p>
  </w:footnote>
  <w:footnote w:id="659">
    <w:p w14:paraId="7275606E" w14:textId="2BD5656C" w:rsidR="00BA0376" w:rsidRPr="00963830" w:rsidRDefault="00BA0376" w:rsidP="008918C0">
      <w:pPr>
        <w:pStyle w:val="NoSpacing"/>
      </w:pPr>
      <w:r w:rsidRPr="00963830">
        <w:rPr>
          <w:rStyle w:val="FootnoteReference"/>
        </w:rPr>
        <w:footnoteRef/>
      </w:r>
      <w:r w:rsidRPr="00963830">
        <w:t xml:space="preserve"> Meer specifiek na het seksueel binnendringen van het lichaam, maar tijdens het seksueel “binnenblijven”. </w:t>
      </w:r>
    </w:p>
  </w:footnote>
  <w:footnote w:id="660">
    <w:p w14:paraId="1A631EE9" w14:textId="6941F032" w:rsidR="00BA0376" w:rsidRPr="00963830" w:rsidRDefault="00BA0376" w:rsidP="007E32DF">
      <w:pPr>
        <w:pStyle w:val="NoSpacing"/>
      </w:pPr>
      <w:r w:rsidRPr="00963830">
        <w:rPr>
          <w:rStyle w:val="FootnoteReference"/>
        </w:rPr>
        <w:footnoteRef/>
      </w:r>
      <w:r w:rsidRPr="00963830">
        <w:t xml:space="preserve"> </w:t>
      </w:r>
      <w:r w:rsidRPr="00963830">
        <w:rPr>
          <w:i/>
        </w:rPr>
        <w:t xml:space="preserve">Supra </w:t>
      </w:r>
      <w:r w:rsidRPr="00963830">
        <w:t>nr. 117.</w:t>
      </w:r>
    </w:p>
  </w:footnote>
  <w:footnote w:id="661">
    <w:p w14:paraId="72ED8A85" w14:textId="70E207CC" w:rsidR="00BA0376" w:rsidRPr="00963830" w:rsidRDefault="00BA0376" w:rsidP="007E32DF">
      <w:pPr>
        <w:pStyle w:val="NoSpacing"/>
      </w:pPr>
      <w:r w:rsidRPr="00963830">
        <w:rPr>
          <w:rStyle w:val="FootnoteReference"/>
        </w:rPr>
        <w:footnoteRef/>
      </w:r>
      <w:r w:rsidRPr="00963830">
        <w:t xml:space="preserve"> </w:t>
      </w:r>
      <w:r w:rsidRPr="00963830">
        <w:rPr>
          <w:i/>
        </w:rPr>
        <w:t xml:space="preserve">Supra </w:t>
      </w:r>
      <w:r w:rsidRPr="00963830">
        <w:t xml:space="preserve">nr. 132. </w:t>
      </w:r>
    </w:p>
  </w:footnote>
  <w:footnote w:id="662">
    <w:p w14:paraId="77E04FCB" w14:textId="4F4F8170" w:rsidR="00BA0376" w:rsidRPr="00963830" w:rsidRDefault="00BA0376" w:rsidP="002D589F">
      <w:pPr>
        <w:pStyle w:val="NoSpacing"/>
      </w:pPr>
      <w:r w:rsidRPr="00963830">
        <w:rPr>
          <w:rStyle w:val="FootnoteReference"/>
        </w:rPr>
        <w:footnoteRef/>
      </w:r>
      <w:r w:rsidRPr="00963830">
        <w:t xml:space="preserve"> Hieraan werd tevens verholpen door in de definitie van toestemming expliciet te bepalen dat toestemming op elk ogenblik kan worden ingetrokken (art. 417/5, eerste lid Sw). </w:t>
      </w:r>
      <w:r w:rsidRPr="00963830">
        <w:rPr>
          <w:i/>
        </w:rPr>
        <w:t xml:space="preserve">Infra </w:t>
      </w:r>
      <w:r w:rsidRPr="00963830">
        <w:t>nr. 277.</w:t>
      </w:r>
    </w:p>
  </w:footnote>
  <w:footnote w:id="663">
    <w:p w14:paraId="693D3870" w14:textId="392CA62A" w:rsidR="00BA0376" w:rsidRPr="00963830" w:rsidRDefault="00BA0376" w:rsidP="00A017F9">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 131.</w:t>
      </w:r>
    </w:p>
  </w:footnote>
  <w:footnote w:id="664">
    <w:p w14:paraId="4CFE7F7A" w14:textId="7D9AF327" w:rsidR="00BA0376" w:rsidRPr="00963830" w:rsidRDefault="00BA0376" w:rsidP="00963153">
      <w:pPr>
        <w:pStyle w:val="NoSpacing"/>
      </w:pPr>
      <w:r w:rsidRPr="00963830">
        <w:rPr>
          <w:rStyle w:val="FootnoteReference"/>
        </w:rPr>
        <w:footnoteRef/>
      </w:r>
      <w:r w:rsidRPr="00963830">
        <w:t xml:space="preserve"> Zij het wel met de nodige nuance dat hiervoor volgens de meerderheidsvisie een van de wilsuitsluitende factoren voorhanden zou moeten geweest zijn. </w:t>
      </w:r>
      <w:r w:rsidRPr="00963830">
        <w:rPr>
          <w:i/>
        </w:rPr>
        <w:t xml:space="preserve">Supra </w:t>
      </w:r>
      <w:r w:rsidRPr="00963830">
        <w:t>nr. 29.</w:t>
      </w:r>
    </w:p>
  </w:footnote>
  <w:footnote w:id="665">
    <w:p w14:paraId="73BDC510" w14:textId="2E1CF307" w:rsidR="00BA0376" w:rsidRPr="00963830" w:rsidRDefault="00BA0376" w:rsidP="00246FF6">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nrs. 140-142.</w:t>
      </w:r>
    </w:p>
  </w:footnote>
  <w:footnote w:id="666">
    <w:p w14:paraId="794A84B8" w14:textId="668BEE24" w:rsidR="00BA0376" w:rsidRPr="00963830" w:rsidRDefault="00BA0376" w:rsidP="0062450F">
      <w:pPr>
        <w:pStyle w:val="NoSpacing"/>
      </w:pPr>
      <w:r w:rsidRPr="00963830">
        <w:rPr>
          <w:rStyle w:val="FootnoteReference"/>
        </w:rPr>
        <w:footnoteRef/>
      </w:r>
      <w:r w:rsidRPr="00963830">
        <w:t xml:space="preserve"> Of de strafbaarstelling van aanranding van de eerbaarheid hiertoe eveneens had kunnen volstaan, kan niet met dezelfde zekerheid worden gesteld. Dit gelet op de discussie m.b.t. de vraag of de afwezigheid van toestemming in hoofde van het slachtoffer voldoende was om te kunnen spreken van aanranding van de eerbaarheid. M.i. zou de oude strafbaarstelling van aanranding van de eerbaarheid hiertoe niet volstaan (</w:t>
      </w:r>
      <w:r w:rsidRPr="00963830">
        <w:rPr>
          <w:i/>
        </w:rPr>
        <w:t xml:space="preserve">supra </w:t>
      </w:r>
      <w:r w:rsidRPr="00963830">
        <w:t xml:space="preserve">nr. 29). Het Verdrag van Istanbul verplicht immers om iedere niet-consensuele seksuele gedraging strafbaar te stellen. </w:t>
      </w:r>
      <w:r w:rsidRPr="00963830">
        <w:rPr>
          <w:i/>
        </w:rPr>
        <w:t xml:space="preserve">Supra </w:t>
      </w:r>
      <w:r w:rsidRPr="00963830">
        <w:t>nr. 255.</w:t>
      </w:r>
    </w:p>
  </w:footnote>
  <w:footnote w:id="667">
    <w:p w14:paraId="4620B83C" w14:textId="497DE689" w:rsidR="00BA0376" w:rsidRPr="009C29A6" w:rsidRDefault="00BA0376" w:rsidP="00963830">
      <w:pPr>
        <w:rPr>
          <w:sz w:val="16"/>
          <w:szCs w:val="16"/>
          <w:lang w:val="en-GB"/>
        </w:rPr>
      </w:pPr>
      <w:r w:rsidRPr="00963830">
        <w:rPr>
          <w:rStyle w:val="FootnoteReference"/>
          <w:sz w:val="16"/>
          <w:szCs w:val="16"/>
        </w:rPr>
        <w:footnoteRef/>
      </w:r>
      <w:r w:rsidRPr="00963830">
        <w:rPr>
          <w:sz w:val="16"/>
          <w:szCs w:val="16"/>
        </w:rPr>
        <w:t xml:space="preserve"> Dit argument vindt m.i. bovendien steun in het rapport van GREGIO waarin wordt gesteld dat de oude strafbaarstelling van verkrachting (oud art. 375 Sw.) beantwoordt aan de vereisten gesteld door artikel 36 van het Verdrag van Istanbul. </w:t>
      </w:r>
      <w:r w:rsidRPr="009C29A6">
        <w:rPr>
          <w:sz w:val="16"/>
          <w:szCs w:val="16"/>
          <w:lang w:val="en-GB"/>
        </w:rPr>
        <w:t>Zie: GROUP OF EXPERTS ON ACTION AGAINST VIOLENCE AGAINST WOMEN AND DOMESTIC VIOLENCE (GREVIO), “GREVIO’s Baseline Evaluation Report Belgium”, 26 juni 2020, https://rm.coe.int/grevio-report-on-belgium/16809f9a2c (consultatie 25 april 2023), 46.</w:t>
      </w:r>
    </w:p>
  </w:footnote>
  <w:footnote w:id="668">
    <w:p w14:paraId="6F7C5A40" w14:textId="5D59EE1B" w:rsidR="00BA0376" w:rsidRPr="009C29A6" w:rsidRDefault="00BA0376" w:rsidP="0062450F">
      <w:pPr>
        <w:pStyle w:val="NoSpacing"/>
        <w:rPr>
          <w:lang w:val="en-GB"/>
        </w:rPr>
      </w:pPr>
      <w:r w:rsidRPr="00963830">
        <w:rPr>
          <w:rStyle w:val="FootnoteReference"/>
        </w:rPr>
        <w:footnoteRef/>
      </w:r>
      <w:r w:rsidRPr="009C29A6">
        <w:rPr>
          <w:lang w:val="en-GB"/>
        </w:rPr>
        <w:t xml:space="preserve"> </w:t>
      </w:r>
      <w:r w:rsidRPr="009C29A6">
        <w:rPr>
          <w:i/>
          <w:lang w:val="en-GB"/>
        </w:rPr>
        <w:t xml:space="preserve">Supra </w:t>
      </w:r>
      <w:r w:rsidRPr="009C29A6">
        <w:rPr>
          <w:lang w:val="en-GB"/>
        </w:rPr>
        <w:t>nrs. 166 e.v.</w:t>
      </w:r>
    </w:p>
  </w:footnote>
  <w:footnote w:id="669">
    <w:p w14:paraId="1C5D96E3" w14:textId="3E24EF13" w:rsidR="00BA0376" w:rsidRPr="009C29A6" w:rsidRDefault="00BA0376" w:rsidP="007B5AF0">
      <w:pPr>
        <w:pStyle w:val="NoSpacing"/>
        <w:rPr>
          <w:lang w:val="en-GB"/>
        </w:rPr>
      </w:pPr>
      <w:r w:rsidRPr="00963830">
        <w:rPr>
          <w:rStyle w:val="FootnoteReference"/>
        </w:rPr>
        <w:footnoteRef/>
      </w:r>
      <w:r w:rsidRPr="009C29A6">
        <w:rPr>
          <w:lang w:val="en-GB"/>
        </w:rPr>
        <w:t xml:space="preserve"> </w:t>
      </w:r>
      <w:r w:rsidRPr="009C29A6">
        <w:rPr>
          <w:i/>
          <w:lang w:val="en-GB"/>
        </w:rPr>
        <w:t xml:space="preserve">Supra </w:t>
      </w:r>
      <w:r w:rsidRPr="009C29A6">
        <w:rPr>
          <w:lang w:val="en-GB"/>
        </w:rPr>
        <w:t>nrs. 205 e.v.</w:t>
      </w:r>
    </w:p>
  </w:footnote>
  <w:footnote w:id="670">
    <w:p w14:paraId="779D2BE8" w14:textId="410BD7AA" w:rsidR="00BA0376" w:rsidRPr="009C29A6" w:rsidRDefault="00BA0376" w:rsidP="00246FF6">
      <w:pPr>
        <w:pStyle w:val="NoSpacing"/>
        <w:rPr>
          <w:lang w:val="en-GB"/>
        </w:rPr>
      </w:pPr>
      <w:r w:rsidRPr="00963830">
        <w:rPr>
          <w:rStyle w:val="FootnoteReference"/>
        </w:rPr>
        <w:footnoteRef/>
      </w:r>
      <w:r w:rsidRPr="009C29A6">
        <w:rPr>
          <w:lang w:val="en-GB"/>
        </w:rPr>
        <w:t xml:space="preserve"> </w:t>
      </w:r>
      <w:r w:rsidRPr="009C29A6">
        <w:rPr>
          <w:i/>
          <w:color w:val="000000" w:themeColor="text1"/>
          <w:lang w:val="en-GB"/>
        </w:rPr>
        <w:t>Supra</w:t>
      </w:r>
      <w:r w:rsidRPr="009C29A6">
        <w:rPr>
          <w:color w:val="000000" w:themeColor="text1"/>
          <w:lang w:val="en-GB"/>
        </w:rPr>
        <w:t xml:space="preserve"> nr. 117.</w:t>
      </w:r>
    </w:p>
  </w:footnote>
  <w:footnote w:id="671">
    <w:p w14:paraId="0B742424" w14:textId="77777777" w:rsidR="00BA0376" w:rsidRPr="009C29A6" w:rsidRDefault="00BA0376" w:rsidP="00C65352">
      <w:pPr>
        <w:pStyle w:val="NoSpacing"/>
        <w:rPr>
          <w:lang w:val="en-GB"/>
        </w:rPr>
      </w:pPr>
      <w:r w:rsidRPr="00963830">
        <w:rPr>
          <w:rStyle w:val="FootnoteReference"/>
        </w:rPr>
        <w:footnoteRef/>
      </w:r>
      <w:r w:rsidRPr="009C29A6">
        <w:rPr>
          <w:lang w:val="en-GB"/>
        </w:rPr>
        <w:t xml:space="preserve"> Art. 417/11, eerste lid Sw. </w:t>
      </w:r>
    </w:p>
  </w:footnote>
  <w:footnote w:id="672">
    <w:p w14:paraId="5FAD99D7" w14:textId="5BBB1751" w:rsidR="00BA0376" w:rsidRPr="00963830" w:rsidRDefault="00BA0376" w:rsidP="00246FF6">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137 en 271.</w:t>
      </w:r>
    </w:p>
  </w:footnote>
  <w:footnote w:id="673">
    <w:p w14:paraId="019B3B65" w14:textId="77777777" w:rsidR="00BA0376" w:rsidRPr="00963830" w:rsidRDefault="00BA0376" w:rsidP="00C65352">
      <w:pPr>
        <w:pStyle w:val="NoSpacing"/>
      </w:pPr>
      <w:r w:rsidRPr="00963830">
        <w:rPr>
          <w:rStyle w:val="FootnoteReference"/>
        </w:rPr>
        <w:footnoteRef/>
      </w:r>
      <w:r w:rsidRPr="00963830">
        <w:t xml:space="preserve"> Art. 417/5, eerste lid </w:t>
      </w:r>
      <w:r w:rsidRPr="00963830">
        <w:rPr>
          <w:i/>
        </w:rPr>
        <w:t xml:space="preserve">in fine </w:t>
      </w:r>
      <w:r w:rsidRPr="00963830">
        <w:t>Sw.</w:t>
      </w:r>
    </w:p>
  </w:footnote>
  <w:footnote w:id="674">
    <w:p w14:paraId="275F1ABD" w14:textId="7D60FBB9" w:rsidR="00BA0376" w:rsidRPr="00963830" w:rsidRDefault="00BA0376" w:rsidP="00246FF6">
      <w:pPr>
        <w:pStyle w:val="NoSpacing"/>
      </w:pPr>
      <w:r w:rsidRPr="00963830">
        <w:rPr>
          <w:rStyle w:val="FootnoteReference"/>
        </w:rPr>
        <w:footnoteRef/>
      </w:r>
      <w:r w:rsidRPr="00963830">
        <w:t xml:space="preserve"> </w:t>
      </w:r>
      <w:r w:rsidRPr="00963830">
        <w:rPr>
          <w:i/>
          <w:color w:val="000000" w:themeColor="text1"/>
        </w:rPr>
        <w:t>Supra</w:t>
      </w:r>
      <w:r w:rsidRPr="00963830">
        <w:rPr>
          <w:color w:val="000000" w:themeColor="text1"/>
        </w:rPr>
        <w:t xml:space="preserve"> nrs. 144 en 215.</w:t>
      </w:r>
    </w:p>
  </w:footnote>
  <w:footnote w:id="675">
    <w:p w14:paraId="03951CAA" w14:textId="5D8098AD" w:rsidR="00BA0376" w:rsidRPr="00963830" w:rsidRDefault="00BA0376" w:rsidP="00864C21">
      <w:pPr>
        <w:pStyle w:val="NoSpacing"/>
      </w:pPr>
      <w:r w:rsidRPr="00963830">
        <w:rPr>
          <w:rStyle w:val="FootnoteReference"/>
        </w:rPr>
        <w:footnoteRef/>
      </w:r>
      <w:r w:rsidRPr="00963830">
        <w:t xml:space="preserve"> Met (nog steeds) als opschrift: “Definitie van toestemming met betrekking tot het seksueel zelfbeschikkingsrecht”.</w:t>
      </w:r>
    </w:p>
  </w:footnote>
  <w:footnote w:id="676">
    <w:p w14:paraId="25590C5C" w14:textId="09FA48A6" w:rsidR="00BA0376" w:rsidRPr="00963830" w:rsidRDefault="00BA0376" w:rsidP="00864C21">
      <w:pPr>
        <w:pStyle w:val="NoSpacing"/>
      </w:pPr>
      <w:r w:rsidRPr="00963830">
        <w:rPr>
          <w:rStyle w:val="FootnoteReference"/>
        </w:rPr>
        <w:footnoteRef/>
      </w:r>
      <w:r w:rsidRPr="00963830">
        <w:t xml:space="preserve"> Met (nog steeds) als opschrift: “Aantasting van de seksuele integriteit”.</w:t>
      </w:r>
    </w:p>
  </w:footnote>
  <w:footnote w:id="677">
    <w:p w14:paraId="4D9EBDE5" w14:textId="5B722A06" w:rsidR="00BA0376" w:rsidRPr="00963830" w:rsidRDefault="00BA0376" w:rsidP="000F38E4">
      <w:pPr>
        <w:pStyle w:val="NoSpacing"/>
      </w:pPr>
      <w:r w:rsidRPr="00963830">
        <w:rPr>
          <w:rStyle w:val="FootnoteReference"/>
        </w:rPr>
        <w:footnoteRef/>
      </w:r>
      <w:r w:rsidRPr="00963830">
        <w:t xml:space="preserve"> De rest van het artikel luidt momenteel als volgt: “Dit misdrijf wordt bestraft met gevangenisstraf van zes maanden tot vijf jaar. Wordt met aantasting van de seksuele integriteit gelijkgesteld het bewerkstelligen dat een persoon die daarmee niet instemt, getuige is van seksuele handelingen, of van seksueel misbruik, ook zonder dat deze daaraan hoeft deel te nemen. Aantasting bestaat zodra er een begin van uitvoering is.” Inhoudelijk viel dit deel van het artikel evenwel buiten het bestek van deze masterscriptie, zodat hierover dan ook geen aanbevelingen worden geformuleerd.</w:t>
      </w:r>
    </w:p>
  </w:footnote>
  <w:footnote w:id="678">
    <w:p w14:paraId="67FF7596" w14:textId="581D6518" w:rsidR="00BA0376" w:rsidRPr="00963830" w:rsidRDefault="00BA0376" w:rsidP="00864C21">
      <w:pPr>
        <w:pStyle w:val="NoSpacing"/>
      </w:pPr>
      <w:r w:rsidRPr="00963830">
        <w:rPr>
          <w:rStyle w:val="FootnoteReference"/>
        </w:rPr>
        <w:footnoteRef/>
      </w:r>
      <w:r w:rsidRPr="00963830">
        <w:t xml:space="preserve"> Met (nog steeds) als opschrift: “Verkrachting”.</w:t>
      </w:r>
    </w:p>
  </w:footnote>
  <w:footnote w:id="679">
    <w:p w14:paraId="63DCAA8C" w14:textId="68E5E0CF" w:rsidR="00BA0376" w:rsidRPr="00963830" w:rsidRDefault="00BA0376" w:rsidP="000F38E4">
      <w:pPr>
        <w:pStyle w:val="NoSpacing"/>
      </w:pPr>
      <w:r w:rsidRPr="00963830">
        <w:rPr>
          <w:rStyle w:val="FootnoteReference"/>
        </w:rPr>
        <w:footnoteRef/>
      </w:r>
      <w:r w:rsidRPr="00963830">
        <w:t xml:space="preserve"> De rest van het artikel luidt momenteel als volgt: “Dit misdrijf wordt bestraft met opsluiting van tien jaar tot vijftien jaar.” Inhoudelijk viel dit deel van het artikel evenwel buiten het bestek van deze masterscriptie, zodat hierover dan ook geen aanbevelingen worden geformuleerd.</w:t>
      </w:r>
    </w:p>
  </w:footnote>
  <w:footnote w:id="680">
    <w:p w14:paraId="685E52CA" w14:textId="77777777" w:rsidR="00BA0376" w:rsidRPr="00963830" w:rsidRDefault="00BA0376" w:rsidP="00AC011B">
      <w:pPr>
        <w:pStyle w:val="NoSpacing"/>
      </w:pPr>
      <w:r w:rsidRPr="00963830">
        <w:rPr>
          <w:rStyle w:val="FootnoteReference"/>
        </w:rPr>
        <w:footnoteRef/>
      </w:r>
      <w:r w:rsidRPr="00963830">
        <w:t xml:space="preserve"> </w:t>
      </w:r>
      <w:r w:rsidRPr="00963830">
        <w:rPr>
          <w:i/>
        </w:rPr>
        <w:t xml:space="preserve">Supra </w:t>
      </w:r>
      <w:r w:rsidRPr="00963830">
        <w:t>nr. 1.</w:t>
      </w:r>
    </w:p>
  </w:footnote>
  <w:footnote w:id="681">
    <w:p w14:paraId="1B79B505" w14:textId="49AD1F3C" w:rsidR="00BA0376" w:rsidRPr="00963830" w:rsidRDefault="00BA0376" w:rsidP="001A7812">
      <w:pPr>
        <w:pStyle w:val="NoSpacing"/>
      </w:pPr>
      <w:r w:rsidRPr="00963830">
        <w:rPr>
          <w:rStyle w:val="FootnoteReference"/>
        </w:rPr>
        <w:footnoteRef/>
      </w:r>
      <w:r w:rsidRPr="00963830">
        <w:t xml:space="preserve"> </w:t>
      </w:r>
      <w:r w:rsidRPr="00963830">
        <w:rPr>
          <w:color w:val="000000" w:themeColor="text1"/>
        </w:rPr>
        <w:t xml:space="preserve">Duidelijkheidshalve werd aan elk constitutief bestanddeel een overkoepelende benaming gegeven, waardoor de onderlinge vergelijkbaarheid van de misdrijven verhoogd werd. Met name werden telkens en achtereenvolgens de volgende constitutieve bestanddelen uiteengezet: de materiële gedraging </w:t>
      </w:r>
      <w:r w:rsidRPr="00963830">
        <w:rPr>
          <w:i/>
          <w:color w:val="000000" w:themeColor="text1"/>
        </w:rPr>
        <w:t>sensu stricto</w:t>
      </w:r>
      <w:r w:rsidRPr="00963830">
        <w:rPr>
          <w:color w:val="000000" w:themeColor="text1"/>
        </w:rPr>
        <w:t>, de rol van het slachtoffer, het ontbreken van de geldige toestemming in hoofde van het slachtoffer en het moreel bestanddeel.</w:t>
      </w:r>
    </w:p>
  </w:footnote>
  <w:footnote w:id="682">
    <w:p w14:paraId="2938DF39" w14:textId="4626E8ED" w:rsidR="00BA0376" w:rsidRPr="00963830" w:rsidRDefault="00BA0376" w:rsidP="00DE7B08">
      <w:pPr>
        <w:pStyle w:val="NoSpacing"/>
      </w:pPr>
      <w:r w:rsidRPr="00963830">
        <w:rPr>
          <w:rStyle w:val="FootnoteReference"/>
        </w:rPr>
        <w:footnoteRef/>
      </w:r>
      <w:r w:rsidRPr="00963830">
        <w:t xml:space="preserve"> </w:t>
      </w:r>
      <w:r w:rsidRPr="00963830">
        <w:rPr>
          <w:i/>
        </w:rPr>
        <w:t xml:space="preserve">Supra </w:t>
      </w:r>
      <w:r w:rsidRPr="00963830">
        <w:rPr>
          <w:color w:val="000000" w:themeColor="text1"/>
        </w:rPr>
        <w:t>nrs. 44 en 134.</w:t>
      </w:r>
    </w:p>
  </w:footnote>
  <w:footnote w:id="683">
    <w:p w14:paraId="05D86946" w14:textId="77777777" w:rsidR="00BA0376" w:rsidRPr="00963830" w:rsidRDefault="00BA0376" w:rsidP="00DE7B08">
      <w:pPr>
        <w:pStyle w:val="NoSpacing"/>
      </w:pPr>
      <w:r w:rsidRPr="00963830">
        <w:rPr>
          <w:rStyle w:val="FootnoteReference"/>
        </w:rPr>
        <w:footnoteRef/>
      </w:r>
      <w:r w:rsidRPr="00963830">
        <w:t xml:space="preserve"> Bv. de naamsverandering of de verandering van het beoordelingscriterium van “collectief bewustzijn” naar de opvattingen van een redelijk persoon. </w:t>
      </w:r>
    </w:p>
  </w:footnote>
  <w:footnote w:id="684">
    <w:p w14:paraId="5A4B548E" w14:textId="237C8581"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nrs. 137, 144, 271 en 277.</w:t>
      </w:r>
    </w:p>
  </w:footnote>
  <w:footnote w:id="685">
    <w:p w14:paraId="16F7B949" w14:textId="7A272069"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color w:val="000000" w:themeColor="text1"/>
          <w:lang w:val="fr-FR"/>
        </w:rPr>
        <w:t xml:space="preserve">Supra </w:t>
      </w:r>
      <w:r w:rsidRPr="009C29A6">
        <w:rPr>
          <w:color w:val="000000" w:themeColor="text1"/>
          <w:lang w:val="fr-FR"/>
        </w:rPr>
        <w:t>nrs. 142 en 272 e.v.</w:t>
      </w:r>
    </w:p>
  </w:footnote>
  <w:footnote w:id="686">
    <w:p w14:paraId="726BF055" w14:textId="7ABAE495" w:rsidR="00BA0376" w:rsidRPr="00963830" w:rsidRDefault="00BA0376" w:rsidP="00187DF7">
      <w:pPr>
        <w:pStyle w:val="NoSpacing"/>
      </w:pPr>
      <w:r w:rsidRPr="00963830">
        <w:rPr>
          <w:rStyle w:val="FootnoteReference"/>
        </w:rPr>
        <w:footnoteRef/>
      </w:r>
      <w:r w:rsidRPr="00963830">
        <w:t xml:space="preserve"> Zie bijlagen 2 en 3 voor een schematische weergave van de conclusies m.b.t. de temporele werking van de strafbaarstellingen van aantasting van de seksuele integriteit en verkrachting.</w:t>
      </w:r>
    </w:p>
  </w:footnote>
  <w:footnote w:id="687">
    <w:p w14:paraId="388BD600" w14:textId="51E62ECD" w:rsidR="00BA0376" w:rsidRPr="00963830" w:rsidRDefault="00BA0376" w:rsidP="00DE7B08">
      <w:pPr>
        <w:pStyle w:val="NoSpacing"/>
      </w:pPr>
      <w:r w:rsidRPr="00963830">
        <w:rPr>
          <w:rStyle w:val="FootnoteReference"/>
        </w:rPr>
        <w:footnoteRef/>
      </w:r>
      <w:r w:rsidRPr="00963830">
        <w:t xml:space="preserve"> </w:t>
      </w:r>
      <w:r w:rsidRPr="00963830">
        <w:rPr>
          <w:i/>
          <w:color w:val="000000" w:themeColor="text1"/>
        </w:rPr>
        <w:t xml:space="preserve">Supra </w:t>
      </w:r>
      <w:r w:rsidRPr="00963830">
        <w:rPr>
          <w:color w:val="000000" w:themeColor="text1"/>
        </w:rPr>
        <w:t>nr. 166 e.v.</w:t>
      </w:r>
    </w:p>
  </w:footnote>
  <w:footnote w:id="688">
    <w:p w14:paraId="1BDFA358" w14:textId="1C35D9B5" w:rsidR="00BA0376" w:rsidRPr="00963830" w:rsidRDefault="00BA0376" w:rsidP="00881E41">
      <w:pPr>
        <w:pStyle w:val="NoSpacing"/>
      </w:pPr>
      <w:r w:rsidRPr="00963830">
        <w:rPr>
          <w:rStyle w:val="FootnoteReference"/>
        </w:rPr>
        <w:footnoteRef/>
      </w:r>
      <w:r w:rsidRPr="00963830">
        <w:t xml:space="preserve"> </w:t>
      </w:r>
      <w:r w:rsidRPr="00963830">
        <w:rPr>
          <w:i/>
        </w:rPr>
        <w:t xml:space="preserve">Supra </w:t>
      </w:r>
      <w:r w:rsidRPr="00963830">
        <w:t xml:space="preserve">nr. 205. </w:t>
      </w:r>
    </w:p>
  </w:footnote>
  <w:footnote w:id="689">
    <w:p w14:paraId="2B05D445" w14:textId="6E7D4A75" w:rsidR="00BA0376" w:rsidRPr="00963830" w:rsidRDefault="00BA0376" w:rsidP="00881E41">
      <w:pPr>
        <w:pStyle w:val="NoSpacing"/>
        <w:rPr>
          <w:color w:val="000000" w:themeColor="text1"/>
        </w:rPr>
      </w:pPr>
      <w:r w:rsidRPr="00963830">
        <w:rPr>
          <w:rStyle w:val="FootnoteReference"/>
          <w:color w:val="000000" w:themeColor="text1"/>
        </w:rPr>
        <w:footnoteRef/>
      </w:r>
      <w:r w:rsidRPr="00963830">
        <w:rPr>
          <w:color w:val="000000" w:themeColor="text1"/>
        </w:rPr>
        <w:t xml:space="preserve"> Dan ressorteert het onder de strafbaarstelling van </w:t>
      </w:r>
      <w:r w:rsidRPr="00963830">
        <w:rPr>
          <w:i/>
          <w:color w:val="000000" w:themeColor="text1"/>
        </w:rPr>
        <w:t xml:space="preserve">rape. </w:t>
      </w:r>
      <w:r w:rsidRPr="00963830">
        <w:rPr>
          <w:color w:val="000000" w:themeColor="text1"/>
        </w:rPr>
        <w:t xml:space="preserve">Hierin staat de peniele slachtofferpenetratie centraal zodat dit enkel kan worden gepleegd door een mannelijke dader. </w:t>
      </w:r>
      <w:r w:rsidRPr="00963830">
        <w:rPr>
          <w:i/>
          <w:color w:val="000000" w:themeColor="text1"/>
        </w:rPr>
        <w:t xml:space="preserve">Supra </w:t>
      </w:r>
      <w:r w:rsidRPr="00963830">
        <w:rPr>
          <w:color w:val="000000" w:themeColor="text1"/>
        </w:rPr>
        <w:t>nr. 209.</w:t>
      </w:r>
    </w:p>
  </w:footnote>
  <w:footnote w:id="690">
    <w:p w14:paraId="5BE6755A" w14:textId="22F9B083" w:rsidR="00BA0376" w:rsidRPr="00963830" w:rsidRDefault="00BA0376" w:rsidP="00881E41">
      <w:pPr>
        <w:pStyle w:val="NoSpacing"/>
        <w:rPr>
          <w:color w:val="000000" w:themeColor="text1"/>
        </w:rPr>
      </w:pPr>
      <w:r w:rsidRPr="00963830">
        <w:rPr>
          <w:rStyle w:val="FootnoteReference"/>
          <w:color w:val="000000" w:themeColor="text1"/>
        </w:rPr>
        <w:footnoteRef/>
      </w:r>
      <w:r w:rsidRPr="00963830">
        <w:rPr>
          <w:color w:val="000000" w:themeColor="text1"/>
        </w:rPr>
        <w:t xml:space="preserve"> Dan ressorteert het onder de strafbaarstelling van </w:t>
      </w:r>
      <w:r w:rsidRPr="00963830">
        <w:rPr>
          <w:i/>
          <w:color w:val="000000" w:themeColor="text1"/>
        </w:rPr>
        <w:t xml:space="preserve">assault by penetration. </w:t>
      </w:r>
      <w:r w:rsidRPr="00963830">
        <w:rPr>
          <w:color w:val="000000" w:themeColor="text1"/>
        </w:rPr>
        <w:t xml:space="preserve">Hierbij kan de penetratie ook plaatsvinden middels andere voorwerpen dan een penis, zodat dit wel door een vrouwelijke dader kan worden gepleegd. </w:t>
      </w:r>
      <w:r w:rsidRPr="00963830">
        <w:rPr>
          <w:i/>
          <w:color w:val="000000" w:themeColor="text1"/>
        </w:rPr>
        <w:t xml:space="preserve">Supra </w:t>
      </w:r>
      <w:r w:rsidRPr="00963830">
        <w:rPr>
          <w:color w:val="000000" w:themeColor="text1"/>
        </w:rPr>
        <w:t>nr. 209.</w:t>
      </w:r>
    </w:p>
  </w:footnote>
  <w:footnote w:id="691">
    <w:p w14:paraId="23AC9898" w14:textId="6055488D" w:rsidR="00BA0376" w:rsidRPr="00963830" w:rsidRDefault="00BA0376" w:rsidP="007D738C">
      <w:pPr>
        <w:pStyle w:val="NoSpacing"/>
      </w:pPr>
      <w:r w:rsidRPr="00963830">
        <w:rPr>
          <w:rStyle w:val="FootnoteReference"/>
        </w:rPr>
        <w:footnoteRef/>
      </w:r>
      <w:r w:rsidRPr="00963830">
        <w:t xml:space="preserve"> Zie bijlagen 4 en 5 voor een schematische weergave van de pijnpunten van de oude strafbaarstellingen in vergelijking met de huidige strafbaarstelling. </w:t>
      </w:r>
    </w:p>
  </w:footnote>
  <w:footnote w:id="692">
    <w:p w14:paraId="7CB02877" w14:textId="736B4D95"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214.</w:t>
      </w:r>
    </w:p>
  </w:footnote>
  <w:footnote w:id="693">
    <w:p w14:paraId="0D0D6920" w14:textId="1741933E"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216 e.v.</w:t>
      </w:r>
    </w:p>
  </w:footnote>
  <w:footnote w:id="694">
    <w:p w14:paraId="5686A8E5" w14:textId="4BACBF20"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220.</w:t>
      </w:r>
    </w:p>
  </w:footnote>
  <w:footnote w:id="695">
    <w:p w14:paraId="070A42D8" w14:textId="4791A82F"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222.</w:t>
      </w:r>
    </w:p>
  </w:footnote>
  <w:footnote w:id="696">
    <w:p w14:paraId="36391465" w14:textId="1A7FA501" w:rsidR="00BA0376" w:rsidRPr="009C29A6" w:rsidRDefault="00BA0376" w:rsidP="007A6EDE">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 xml:space="preserve">nrs. 44 en 134. </w:t>
      </w:r>
    </w:p>
  </w:footnote>
  <w:footnote w:id="697">
    <w:p w14:paraId="0384CD17" w14:textId="4AC7D32F"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228 e.v.</w:t>
      </w:r>
    </w:p>
  </w:footnote>
  <w:footnote w:id="698">
    <w:p w14:paraId="18BC958B" w14:textId="51521DDC"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nrs. 231 en 234.</w:t>
      </w:r>
    </w:p>
  </w:footnote>
  <w:footnote w:id="699">
    <w:p w14:paraId="15C1B317" w14:textId="52306A4D"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nrs. 240 e.v.</w:t>
      </w:r>
    </w:p>
  </w:footnote>
  <w:footnote w:id="700">
    <w:p w14:paraId="430038AC" w14:textId="40F1E876"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255.</w:t>
      </w:r>
    </w:p>
  </w:footnote>
  <w:footnote w:id="701">
    <w:p w14:paraId="7A8AE49D" w14:textId="68DD2EE1"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249 e.v.</w:t>
      </w:r>
    </w:p>
  </w:footnote>
  <w:footnote w:id="702">
    <w:p w14:paraId="3D715BD6" w14:textId="228ABF5C"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259 e.v.</w:t>
      </w:r>
    </w:p>
  </w:footnote>
  <w:footnote w:id="703">
    <w:p w14:paraId="40DD03DF" w14:textId="24D88891"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 272 e.v.</w:t>
      </w:r>
    </w:p>
  </w:footnote>
  <w:footnote w:id="704">
    <w:p w14:paraId="79EA67C3" w14:textId="37462316" w:rsidR="00BA0376" w:rsidRPr="009C29A6" w:rsidRDefault="00BA0376" w:rsidP="00DE7B08">
      <w:pPr>
        <w:pStyle w:val="NoSpacing"/>
        <w:rPr>
          <w:lang w:val="fr-FR"/>
        </w:rPr>
      </w:pPr>
      <w:r w:rsidRPr="00963830">
        <w:rPr>
          <w:rStyle w:val="FootnoteReference"/>
        </w:rPr>
        <w:footnoteRef/>
      </w:r>
      <w:r w:rsidRPr="009C29A6">
        <w:rPr>
          <w:lang w:val="fr-FR"/>
        </w:rPr>
        <w:t xml:space="preserve"> </w:t>
      </w:r>
      <w:r w:rsidRPr="009C29A6">
        <w:rPr>
          <w:i/>
          <w:lang w:val="fr-FR"/>
        </w:rPr>
        <w:t xml:space="preserve">Supra </w:t>
      </w:r>
      <w:r w:rsidRPr="009C29A6">
        <w:rPr>
          <w:lang w:val="fr-FR"/>
        </w:rPr>
        <w:t>nrs. 271 en 277.</w:t>
      </w:r>
    </w:p>
  </w:footnote>
  <w:footnote w:id="705">
    <w:p w14:paraId="2155E4EA" w14:textId="75381C00" w:rsidR="00BA0376" w:rsidRPr="00963830" w:rsidRDefault="00BA0376" w:rsidP="005568D4">
      <w:pPr>
        <w:pStyle w:val="NoSpacing"/>
      </w:pPr>
      <w:r w:rsidRPr="00963830">
        <w:rPr>
          <w:rStyle w:val="FootnoteReference"/>
        </w:rPr>
        <w:footnoteRef/>
      </w:r>
      <w:r w:rsidRPr="00963830">
        <w:t xml:space="preserve"> </w:t>
      </w:r>
      <w:r w:rsidRPr="00963830">
        <w:rPr>
          <w:i/>
        </w:rPr>
        <w:t xml:space="preserve">Supra </w:t>
      </w:r>
      <w:r w:rsidRPr="00963830">
        <w:t>nrs. 260 e.v.</w:t>
      </w:r>
    </w:p>
  </w:footnote>
  <w:footnote w:id="706">
    <w:p w14:paraId="76F641C8" w14:textId="2F35A1B5" w:rsidR="00BA0376" w:rsidRPr="00963830" w:rsidRDefault="00BA0376" w:rsidP="005568D4">
      <w:pPr>
        <w:pStyle w:val="NoSpacing"/>
      </w:pPr>
      <w:r w:rsidRPr="00963830">
        <w:rPr>
          <w:rStyle w:val="FootnoteReference"/>
        </w:rPr>
        <w:footnoteRef/>
      </w:r>
      <w:r w:rsidRPr="00963830">
        <w:t xml:space="preserve"> </w:t>
      </w:r>
      <w:r w:rsidRPr="00963830">
        <w:rPr>
          <w:i/>
        </w:rPr>
        <w:t xml:space="preserve">Supra </w:t>
      </w:r>
      <w:r w:rsidRPr="00963830">
        <w:t>nr. 263.</w:t>
      </w:r>
    </w:p>
  </w:footnote>
  <w:footnote w:id="707">
    <w:p w14:paraId="2BC622DD" w14:textId="2DBB89D2" w:rsidR="00BA0376" w:rsidRPr="00963830" w:rsidRDefault="00BA0376" w:rsidP="005568D4">
      <w:pPr>
        <w:pStyle w:val="NoSpacing"/>
      </w:pPr>
      <w:r w:rsidRPr="00963830">
        <w:rPr>
          <w:rStyle w:val="FootnoteReference"/>
        </w:rPr>
        <w:footnoteRef/>
      </w:r>
      <w:r w:rsidRPr="00963830">
        <w:t xml:space="preserve"> </w:t>
      </w:r>
      <w:r w:rsidRPr="00963830">
        <w:rPr>
          <w:i/>
        </w:rPr>
        <w:t xml:space="preserve">Supra </w:t>
      </w:r>
      <w:r w:rsidRPr="00963830">
        <w:t>nrs. 266 e.v.</w:t>
      </w:r>
    </w:p>
  </w:footnote>
  <w:footnote w:id="708">
    <w:p w14:paraId="77663933" w14:textId="57D42BA7" w:rsidR="00BA0376" w:rsidRPr="00963830" w:rsidRDefault="00BA0376" w:rsidP="005568D4">
      <w:pPr>
        <w:pStyle w:val="NoSpacing"/>
      </w:pPr>
      <w:r w:rsidRPr="00963830">
        <w:rPr>
          <w:rStyle w:val="FootnoteReference"/>
        </w:rPr>
        <w:footnoteRef/>
      </w:r>
      <w:r w:rsidRPr="00963830">
        <w:t xml:space="preserve"> </w:t>
      </w:r>
      <w:r w:rsidRPr="00963830">
        <w:rPr>
          <w:i/>
        </w:rPr>
        <w:t xml:space="preserve">Supra </w:t>
      </w:r>
      <w:r w:rsidRPr="00963830">
        <w:t>nr. 270.</w:t>
      </w:r>
    </w:p>
  </w:footnote>
  <w:footnote w:id="709">
    <w:p w14:paraId="60911915" w14:textId="77777777" w:rsidR="00BA0376" w:rsidRPr="00963830" w:rsidRDefault="00BA0376" w:rsidP="005568D4">
      <w:pPr>
        <w:pStyle w:val="NoSpacing"/>
      </w:pPr>
      <w:r w:rsidRPr="00963830">
        <w:rPr>
          <w:rStyle w:val="FootnoteReference"/>
        </w:rPr>
        <w:footnoteRef/>
      </w:r>
      <w:r w:rsidRPr="00963830">
        <w:t xml:space="preserve"> Zie bijlagen 2 en 3 voor een schematische weergave van de conclusies m.b.t. de temporele werking van de strafbaarstellingen van aantasting van de seksuele integriteit en verkrachting.</w:t>
      </w:r>
    </w:p>
  </w:footnote>
  <w:footnote w:id="710">
    <w:p w14:paraId="6F14E577" w14:textId="652EC22E" w:rsidR="00BA0376" w:rsidRPr="00963830" w:rsidRDefault="00BA0376" w:rsidP="00613E6B">
      <w:pPr>
        <w:pStyle w:val="NoSpacing"/>
      </w:pPr>
      <w:r w:rsidRPr="00963830">
        <w:rPr>
          <w:rStyle w:val="FootnoteReference"/>
        </w:rPr>
        <w:footnoteRef/>
      </w:r>
      <w:r w:rsidRPr="00963830">
        <w:t xml:space="preserve"> Mailadres sdaomp@just.fgov.be te vinden via www.om-mp.be/nl/colpg/college-van-procureurs-generaal-contact.</w:t>
      </w:r>
    </w:p>
  </w:footnote>
  <w:footnote w:id="711">
    <w:p w14:paraId="2F709729" w14:textId="6A613168" w:rsidR="00BA0376" w:rsidRPr="00963830" w:rsidRDefault="00BA0376" w:rsidP="001B7F07">
      <w:pPr>
        <w:pStyle w:val="NoSpacing"/>
      </w:pPr>
      <w:r w:rsidRPr="00963830">
        <w:rPr>
          <w:rStyle w:val="FootnoteReference"/>
        </w:rPr>
        <w:footnoteRef/>
      </w:r>
      <w:r w:rsidRPr="00963830">
        <w:t xml:space="preserve"> Hierbij werd abstractie gemaakt van de seksuele meerderjarigheidsgrens uit art. 417/6 Sw. Hieromtrent werd duidelijkheidshalve een apart schema opgesteld m.b.t. de temporele werking.</w:t>
      </w:r>
    </w:p>
  </w:footnote>
  <w:footnote w:id="712">
    <w:p w14:paraId="0D372EC4" w14:textId="35BE17EF" w:rsidR="00BA0376" w:rsidRPr="00963830" w:rsidRDefault="00BA0376" w:rsidP="00A67DE8">
      <w:pPr>
        <w:pStyle w:val="NoSpacing"/>
      </w:pPr>
      <w:r w:rsidRPr="00963830">
        <w:rPr>
          <w:rStyle w:val="FootnoteReference"/>
        </w:rPr>
        <w:footnoteRef/>
      </w:r>
      <w:r w:rsidRPr="00963830">
        <w:t xml:space="preserve"> Evenals naar mijn mening.  </w:t>
      </w:r>
    </w:p>
  </w:footnote>
  <w:footnote w:id="713">
    <w:p w14:paraId="4F4A15CE" w14:textId="272813E5" w:rsidR="00BA0376" w:rsidRPr="00963830" w:rsidRDefault="00BA0376" w:rsidP="00A67DE8">
      <w:pPr>
        <w:pStyle w:val="NoSpacing"/>
      </w:pPr>
      <w:r w:rsidRPr="00963830">
        <w:rPr>
          <w:rStyle w:val="FootnoteReference"/>
        </w:rPr>
        <w:footnoteRef/>
      </w:r>
      <w:r w:rsidRPr="00963830">
        <w:t xml:space="preserve"> </w:t>
      </w:r>
      <w:r w:rsidRPr="00963830">
        <w:rPr>
          <w:i/>
        </w:rPr>
        <w:t>Ibid</w:t>
      </w:r>
      <w:r w:rsidRPr="00963830">
        <w:t xml:space="preserve">.  </w:t>
      </w:r>
    </w:p>
  </w:footnote>
  <w:footnote w:id="714">
    <w:p w14:paraId="58D64D94" w14:textId="77777777" w:rsidR="00BA0376" w:rsidRPr="00963830" w:rsidRDefault="00BA0376" w:rsidP="00483E9D">
      <w:pPr>
        <w:pStyle w:val="NoSpacing"/>
      </w:pPr>
      <w:r w:rsidRPr="00963830">
        <w:rPr>
          <w:rStyle w:val="FootnoteReference"/>
        </w:rPr>
        <w:footnoteRef/>
      </w:r>
      <w:r w:rsidRPr="00963830">
        <w:t xml:space="preserve"> Evenals naar mijn mening.  </w:t>
      </w:r>
    </w:p>
  </w:footnote>
  <w:footnote w:id="715">
    <w:p w14:paraId="3B69C6CD" w14:textId="0E359860" w:rsidR="00BA0376" w:rsidRPr="00963830" w:rsidRDefault="00BA0376" w:rsidP="00483E9D">
      <w:pPr>
        <w:pStyle w:val="NoSpacing"/>
      </w:pPr>
      <w:r w:rsidRPr="00963830">
        <w:rPr>
          <w:rStyle w:val="FootnoteReference"/>
        </w:rPr>
        <w:footnoteRef/>
      </w:r>
      <w:r w:rsidRPr="00963830">
        <w:t xml:space="preserve"> </w:t>
      </w:r>
      <w:r w:rsidRPr="00963830">
        <w:rPr>
          <w:i/>
        </w:rPr>
        <w:t>Ibid.</w:t>
      </w:r>
      <w:r w:rsidRPr="00963830">
        <w:t xml:space="preserve">  </w:t>
      </w:r>
    </w:p>
  </w:footnote>
  <w:footnote w:id="716">
    <w:p w14:paraId="7975A8C0" w14:textId="77777777" w:rsidR="00BA0376" w:rsidRPr="00963830" w:rsidRDefault="00BA0376" w:rsidP="00D32213">
      <w:pPr>
        <w:pStyle w:val="NoSpacing"/>
      </w:pPr>
      <w:r w:rsidRPr="00963830">
        <w:rPr>
          <w:rStyle w:val="FootnoteReference"/>
        </w:rPr>
        <w:footnoteRef/>
      </w:r>
      <w:r w:rsidRPr="00963830">
        <w:t xml:space="preserve"> </w:t>
      </w:r>
      <w:r w:rsidRPr="00963830">
        <w:rPr>
          <w:i/>
        </w:rPr>
        <w:t>Ibid.</w:t>
      </w:r>
      <w:r w:rsidRPr="00963830">
        <w:t xml:space="preserve">  </w:t>
      </w:r>
    </w:p>
  </w:footnote>
  <w:footnote w:id="717">
    <w:p w14:paraId="21CD4158" w14:textId="77777777" w:rsidR="00BA0376" w:rsidRPr="00963830" w:rsidRDefault="00BA0376" w:rsidP="00D32213">
      <w:pPr>
        <w:pStyle w:val="NoSpacing"/>
      </w:pPr>
      <w:r w:rsidRPr="00963830">
        <w:rPr>
          <w:rStyle w:val="FootnoteReference"/>
        </w:rPr>
        <w:footnoteRef/>
      </w:r>
      <w:r w:rsidRPr="00963830">
        <w:t xml:space="preserve"> </w:t>
      </w:r>
      <w:r w:rsidRPr="00963830">
        <w:rPr>
          <w:i/>
        </w:rPr>
        <w:t>Ibid.</w:t>
      </w:r>
      <w:r w:rsidRPr="00963830">
        <w:t xml:space="preserve">  </w:t>
      </w:r>
    </w:p>
  </w:footnote>
  <w:footnote w:id="718">
    <w:p w14:paraId="4FF8023E" w14:textId="2FD877C8" w:rsidR="00BA0376" w:rsidRPr="00963830" w:rsidRDefault="00BA0376" w:rsidP="001B7F07">
      <w:pPr>
        <w:pStyle w:val="NoSpacing"/>
      </w:pPr>
      <w:r w:rsidRPr="00963830">
        <w:rPr>
          <w:rStyle w:val="FootnoteReference"/>
        </w:rPr>
        <w:footnoteRef/>
      </w:r>
      <w:r w:rsidRPr="00963830">
        <w:t xml:space="preserve"> Hierbij werd abstractie gemaakt van de seksuele meerderjarigheidsgrens uit art. 417/6 Sw. Hieromtrent werd duidelijkheidshalve een apart schema opgesteld m.b.t. de temporele werking.</w:t>
      </w:r>
    </w:p>
  </w:footnote>
  <w:footnote w:id="719">
    <w:p w14:paraId="12F1F73B" w14:textId="524D440F" w:rsidR="00BA0376" w:rsidRPr="00963830" w:rsidRDefault="00BA0376" w:rsidP="00F16DFD">
      <w:pPr>
        <w:pStyle w:val="NoSpacing"/>
      </w:pPr>
      <w:r w:rsidRPr="00963830">
        <w:rPr>
          <w:rStyle w:val="FootnoteReference"/>
        </w:rPr>
        <w:footnoteRef/>
      </w:r>
      <w:r w:rsidRPr="00963830">
        <w:t xml:space="preserve"> De in deze masterscriptie besproken </w:t>
      </w:r>
      <w:r w:rsidRPr="00963830">
        <w:rPr>
          <w:i/>
        </w:rPr>
        <w:t>sections</w:t>
      </w:r>
      <w:r w:rsidRPr="00963830">
        <w:t xml:space="preserve"> van de SOA worden duidelijkheidshalve als bijlage opgenomen. Hierbij worden evenwel enkel de relevante delen voor deze masterscriptie vermeld.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D28"/>
    <w:multiLevelType w:val="hybridMultilevel"/>
    <w:tmpl w:val="7BB676D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34CAB"/>
    <w:multiLevelType w:val="hybridMultilevel"/>
    <w:tmpl w:val="E38E78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2D537E"/>
    <w:multiLevelType w:val="hybridMultilevel"/>
    <w:tmpl w:val="93B8A8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71A23"/>
    <w:multiLevelType w:val="hybridMultilevel"/>
    <w:tmpl w:val="AC606C20"/>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abstractNum w:abstractNumId="4" w15:restartNumberingAfterBreak="0">
    <w:nsid w:val="1F611508"/>
    <w:multiLevelType w:val="hybridMultilevel"/>
    <w:tmpl w:val="337C7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F90436"/>
    <w:multiLevelType w:val="hybridMultilevel"/>
    <w:tmpl w:val="593237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C364BB"/>
    <w:multiLevelType w:val="hybridMultilevel"/>
    <w:tmpl w:val="6DB676F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5E794A"/>
    <w:multiLevelType w:val="hybridMultilevel"/>
    <w:tmpl w:val="7B5E65C6"/>
    <w:lvl w:ilvl="0" w:tplc="64CEC9F0">
      <w:start w:val="1"/>
      <w:numFmt w:val="decimal"/>
      <w:lvlText w:val="%1."/>
      <w:lvlJc w:val="left"/>
      <w:pPr>
        <w:ind w:left="360" w:hanging="360"/>
      </w:pPr>
      <w:rPr>
        <w:rFonts w:hint="default"/>
        <w:b w:val="0"/>
        <w:i w:val="0"/>
        <w:color w:val="000000" w:themeColor="text1"/>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5A3616"/>
    <w:multiLevelType w:val="hybridMultilevel"/>
    <w:tmpl w:val="A82C365C"/>
    <w:lvl w:ilvl="0" w:tplc="9E886AE6">
      <w:numFmt w:val="bullet"/>
      <w:lvlText w:val="-"/>
      <w:lvlJc w:val="left"/>
      <w:pPr>
        <w:ind w:left="720" w:hanging="360"/>
      </w:pPr>
      <w:rPr>
        <w:rFonts w:ascii="Calibri" w:eastAsiaTheme="minorHAnsi" w:hAnsi="Calibri" w:cs="Calibri" w:hint="default"/>
      </w:rPr>
    </w:lvl>
    <w:lvl w:ilvl="1" w:tplc="BBAAFE52">
      <w:start w:val="1"/>
      <w:numFmt w:val="bullet"/>
      <w:lvlText w:val="o"/>
      <w:lvlJc w:val="left"/>
      <w:pPr>
        <w:ind w:left="1440" w:hanging="360"/>
      </w:pPr>
      <w:rPr>
        <w:rFonts w:ascii="Courier New" w:hAnsi="Courier New" w:cs="Courier New" w:hint="default"/>
        <w:color w:val="000000" w:themeColor="text1"/>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207CD5"/>
    <w:multiLevelType w:val="hybridMultilevel"/>
    <w:tmpl w:val="9484328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F8A38E1"/>
    <w:multiLevelType w:val="hybridMultilevel"/>
    <w:tmpl w:val="6DB676F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EE135D"/>
    <w:multiLevelType w:val="hybridMultilevel"/>
    <w:tmpl w:val="22C8B774"/>
    <w:lvl w:ilvl="0" w:tplc="63D2E0EE">
      <w:start w:val="1"/>
      <w:numFmt w:val="decimal"/>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92536CD"/>
    <w:multiLevelType w:val="multilevel"/>
    <w:tmpl w:val="2C949A4E"/>
    <w:lvl w:ilvl="0">
      <w:start w:val="1"/>
      <w:numFmt w:val="decimal"/>
      <w:pStyle w:val="Heading2"/>
      <w:lvlText w:val="%1"/>
      <w:lvlJc w:val="left"/>
      <w:pPr>
        <w:ind w:left="432" w:hanging="432"/>
      </w:pPr>
      <w:rPr>
        <w:rFonts w:hint="default"/>
      </w:rPr>
    </w:lvl>
    <w:lvl w:ilvl="1">
      <w:start w:val="1"/>
      <w:numFmt w:val="decimal"/>
      <w:pStyle w:val="Heading3"/>
      <w:lvlText w:val="%1.%2"/>
      <w:lvlJc w:val="left"/>
      <w:pPr>
        <w:ind w:left="576" w:hanging="576"/>
      </w:pPr>
      <w:rPr>
        <w:rFonts w:hint="default"/>
      </w:rPr>
    </w:lvl>
    <w:lvl w:ilvl="2">
      <w:start w:val="1"/>
      <w:numFmt w:val="decimal"/>
      <w:pStyle w:val="Heading4"/>
      <w:lvlText w:val="%1.%2.%3"/>
      <w:lvlJc w:val="left"/>
      <w:pPr>
        <w:ind w:left="720" w:hanging="720"/>
      </w:pPr>
      <w:rPr>
        <w:rFonts w:hint="default"/>
      </w:rPr>
    </w:lvl>
    <w:lvl w:ilvl="3">
      <w:start w:val="1"/>
      <w:numFmt w:val="decimal"/>
      <w:pStyle w:val="Heading5"/>
      <w:lvlText w:val="%1.%2.%3.%4"/>
      <w:lvlJc w:val="left"/>
      <w:pPr>
        <w:ind w:left="864" w:hanging="864"/>
      </w:pPr>
      <w:rPr>
        <w:rFonts w:hint="default"/>
      </w:rPr>
    </w:lvl>
    <w:lvl w:ilvl="4">
      <w:start w:val="1"/>
      <w:numFmt w:val="decimal"/>
      <w:pStyle w:val="Heading6"/>
      <w:lvlText w:val="%1.%2.%3.%4.%5"/>
      <w:lvlJc w:val="left"/>
      <w:pPr>
        <w:ind w:left="1008" w:hanging="1008"/>
      </w:pPr>
      <w:rPr>
        <w:rFonts w:hint="default"/>
      </w:rPr>
    </w:lvl>
    <w:lvl w:ilvl="5">
      <w:start w:val="1"/>
      <w:numFmt w:val="decimal"/>
      <w:pStyle w:val="Heading7"/>
      <w:lvlText w:val="%1.%2.%3.%4.%5.%6"/>
      <w:lvlJc w:val="left"/>
      <w:pPr>
        <w:ind w:left="1152" w:hanging="1152"/>
      </w:pPr>
      <w:rPr>
        <w:rFonts w:hint="default"/>
      </w:rPr>
    </w:lvl>
    <w:lvl w:ilvl="6">
      <w:start w:val="1"/>
      <w:numFmt w:val="decimal"/>
      <w:pStyle w:val="Heading8"/>
      <w:lvlText w:val="%1.%2.%3.%4.%5.%6.%7"/>
      <w:lvlJc w:val="left"/>
      <w:pPr>
        <w:ind w:left="1296" w:hanging="1296"/>
      </w:pPr>
      <w:rPr>
        <w:rFonts w:hint="default"/>
      </w:rPr>
    </w:lvl>
    <w:lvl w:ilvl="7">
      <w:start w:val="1"/>
      <w:numFmt w:val="decimal"/>
      <w:pStyle w:val="Heading9"/>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5DF26A02"/>
    <w:multiLevelType w:val="hybridMultilevel"/>
    <w:tmpl w:val="FC70D78E"/>
    <w:lvl w:ilvl="0" w:tplc="E434602C">
      <w:start w:val="1"/>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1831D26"/>
    <w:multiLevelType w:val="hybridMultilevel"/>
    <w:tmpl w:val="D7321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3AF0297"/>
    <w:multiLevelType w:val="hybridMultilevel"/>
    <w:tmpl w:val="F468DE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64438C"/>
    <w:multiLevelType w:val="hybridMultilevel"/>
    <w:tmpl w:val="45A07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C493E"/>
    <w:multiLevelType w:val="hybridMultilevel"/>
    <w:tmpl w:val="26585280"/>
    <w:lvl w:ilvl="0" w:tplc="08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844ADC"/>
    <w:multiLevelType w:val="hybridMultilevel"/>
    <w:tmpl w:val="62329C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48729F6"/>
    <w:multiLevelType w:val="multilevel"/>
    <w:tmpl w:val="A100159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20" w15:restartNumberingAfterBreak="0">
    <w:nsid w:val="7E025991"/>
    <w:multiLevelType w:val="hybridMultilevel"/>
    <w:tmpl w:val="DE9824A0"/>
    <w:lvl w:ilvl="0" w:tplc="08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20"/>
  </w:num>
  <w:num w:numId="4">
    <w:abstractNumId w:val="11"/>
  </w:num>
  <w:num w:numId="5">
    <w:abstractNumId w:val="13"/>
  </w:num>
  <w:num w:numId="6">
    <w:abstractNumId w:val="16"/>
  </w:num>
  <w:num w:numId="7">
    <w:abstractNumId w:val="14"/>
  </w:num>
  <w:num w:numId="8">
    <w:abstractNumId w:val="4"/>
  </w:num>
  <w:num w:numId="9">
    <w:abstractNumId w:val="5"/>
  </w:num>
  <w:num w:numId="10">
    <w:abstractNumId w:val="9"/>
  </w:num>
  <w:num w:numId="11">
    <w:abstractNumId w:val="2"/>
  </w:num>
  <w:num w:numId="12">
    <w:abstractNumId w:val="3"/>
  </w:num>
  <w:num w:numId="13">
    <w:abstractNumId w:val="1"/>
  </w:num>
  <w:num w:numId="14">
    <w:abstractNumId w:val="18"/>
  </w:num>
  <w:num w:numId="15">
    <w:abstractNumId w:val="8"/>
  </w:num>
  <w:num w:numId="16">
    <w:abstractNumId w:val="0"/>
  </w:num>
  <w:num w:numId="17">
    <w:abstractNumId w:val="10"/>
  </w:num>
  <w:num w:numId="18">
    <w:abstractNumId w:val="6"/>
  </w:num>
  <w:num w:numId="19">
    <w:abstractNumId w:val="15"/>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4096" w:nlCheck="1" w:checkStyle="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622"/>
    <w:rsid w:val="000002D8"/>
    <w:rsid w:val="0000074C"/>
    <w:rsid w:val="00000B5D"/>
    <w:rsid w:val="0000128E"/>
    <w:rsid w:val="00001359"/>
    <w:rsid w:val="00001FD8"/>
    <w:rsid w:val="0000210D"/>
    <w:rsid w:val="000028D4"/>
    <w:rsid w:val="00003BA2"/>
    <w:rsid w:val="0000426C"/>
    <w:rsid w:val="00004973"/>
    <w:rsid w:val="00004D97"/>
    <w:rsid w:val="00004F07"/>
    <w:rsid w:val="00005721"/>
    <w:rsid w:val="00005736"/>
    <w:rsid w:val="00005820"/>
    <w:rsid w:val="00005D29"/>
    <w:rsid w:val="00005DED"/>
    <w:rsid w:val="00005F40"/>
    <w:rsid w:val="0000690D"/>
    <w:rsid w:val="00006C0C"/>
    <w:rsid w:val="00006C3C"/>
    <w:rsid w:val="00006D07"/>
    <w:rsid w:val="00006FCA"/>
    <w:rsid w:val="000070DC"/>
    <w:rsid w:val="00007B25"/>
    <w:rsid w:val="00007EEB"/>
    <w:rsid w:val="00010D6D"/>
    <w:rsid w:val="000112BC"/>
    <w:rsid w:val="00011779"/>
    <w:rsid w:val="00011B2D"/>
    <w:rsid w:val="000121B6"/>
    <w:rsid w:val="0001223D"/>
    <w:rsid w:val="000125B1"/>
    <w:rsid w:val="0001294C"/>
    <w:rsid w:val="00012B37"/>
    <w:rsid w:val="00012DE2"/>
    <w:rsid w:val="00012EDF"/>
    <w:rsid w:val="00012FDD"/>
    <w:rsid w:val="0001321F"/>
    <w:rsid w:val="00013533"/>
    <w:rsid w:val="0001359A"/>
    <w:rsid w:val="000138AE"/>
    <w:rsid w:val="00014033"/>
    <w:rsid w:val="000142C1"/>
    <w:rsid w:val="0001507D"/>
    <w:rsid w:val="00015444"/>
    <w:rsid w:val="00015CD3"/>
    <w:rsid w:val="000161F1"/>
    <w:rsid w:val="00016E20"/>
    <w:rsid w:val="000178B3"/>
    <w:rsid w:val="00017C01"/>
    <w:rsid w:val="00020B4A"/>
    <w:rsid w:val="00020F8A"/>
    <w:rsid w:val="00021780"/>
    <w:rsid w:val="00021BED"/>
    <w:rsid w:val="00021FED"/>
    <w:rsid w:val="00022475"/>
    <w:rsid w:val="000226F4"/>
    <w:rsid w:val="00022755"/>
    <w:rsid w:val="00022CA5"/>
    <w:rsid w:val="000230AC"/>
    <w:rsid w:val="00023590"/>
    <w:rsid w:val="00023813"/>
    <w:rsid w:val="0002393D"/>
    <w:rsid w:val="00023F8F"/>
    <w:rsid w:val="000244C9"/>
    <w:rsid w:val="00024972"/>
    <w:rsid w:val="00024B06"/>
    <w:rsid w:val="000250F5"/>
    <w:rsid w:val="000259C4"/>
    <w:rsid w:val="000259F2"/>
    <w:rsid w:val="000259FF"/>
    <w:rsid w:val="00025CC7"/>
    <w:rsid w:val="00025D4A"/>
    <w:rsid w:val="000263F6"/>
    <w:rsid w:val="000268D1"/>
    <w:rsid w:val="00026908"/>
    <w:rsid w:val="000269D7"/>
    <w:rsid w:val="00026A08"/>
    <w:rsid w:val="00026C91"/>
    <w:rsid w:val="00026CE4"/>
    <w:rsid w:val="00026E88"/>
    <w:rsid w:val="000270D6"/>
    <w:rsid w:val="0003029E"/>
    <w:rsid w:val="000304C9"/>
    <w:rsid w:val="00030530"/>
    <w:rsid w:val="00031659"/>
    <w:rsid w:val="000319D2"/>
    <w:rsid w:val="00031B0D"/>
    <w:rsid w:val="00032070"/>
    <w:rsid w:val="000324A0"/>
    <w:rsid w:val="00032BD9"/>
    <w:rsid w:val="00032E03"/>
    <w:rsid w:val="00033128"/>
    <w:rsid w:val="00033184"/>
    <w:rsid w:val="000332BD"/>
    <w:rsid w:val="00033415"/>
    <w:rsid w:val="0003345E"/>
    <w:rsid w:val="000335A2"/>
    <w:rsid w:val="00033648"/>
    <w:rsid w:val="0003391D"/>
    <w:rsid w:val="00033B1E"/>
    <w:rsid w:val="00033DFB"/>
    <w:rsid w:val="0003400A"/>
    <w:rsid w:val="0003407C"/>
    <w:rsid w:val="00034A79"/>
    <w:rsid w:val="00034B87"/>
    <w:rsid w:val="00034DE5"/>
    <w:rsid w:val="0003501E"/>
    <w:rsid w:val="000354BE"/>
    <w:rsid w:val="00035838"/>
    <w:rsid w:val="00035C2E"/>
    <w:rsid w:val="00035F88"/>
    <w:rsid w:val="000360C2"/>
    <w:rsid w:val="000366C3"/>
    <w:rsid w:val="00036A29"/>
    <w:rsid w:val="00036A2B"/>
    <w:rsid w:val="000403D2"/>
    <w:rsid w:val="0004149D"/>
    <w:rsid w:val="00041659"/>
    <w:rsid w:val="00041754"/>
    <w:rsid w:val="00042181"/>
    <w:rsid w:val="00042336"/>
    <w:rsid w:val="000427AB"/>
    <w:rsid w:val="000429A6"/>
    <w:rsid w:val="00043D95"/>
    <w:rsid w:val="00043F54"/>
    <w:rsid w:val="0004489A"/>
    <w:rsid w:val="000451DB"/>
    <w:rsid w:val="000456CF"/>
    <w:rsid w:val="000459D3"/>
    <w:rsid w:val="00046A03"/>
    <w:rsid w:val="00046CFB"/>
    <w:rsid w:val="00046F8A"/>
    <w:rsid w:val="0004725A"/>
    <w:rsid w:val="0004735E"/>
    <w:rsid w:val="00047401"/>
    <w:rsid w:val="00047AC4"/>
    <w:rsid w:val="00047B45"/>
    <w:rsid w:val="00047F15"/>
    <w:rsid w:val="000500D5"/>
    <w:rsid w:val="0005053C"/>
    <w:rsid w:val="00050574"/>
    <w:rsid w:val="000505EF"/>
    <w:rsid w:val="000509D2"/>
    <w:rsid w:val="00051371"/>
    <w:rsid w:val="00051835"/>
    <w:rsid w:val="000519D2"/>
    <w:rsid w:val="00051C0C"/>
    <w:rsid w:val="000521E6"/>
    <w:rsid w:val="000523F2"/>
    <w:rsid w:val="00053171"/>
    <w:rsid w:val="00053ACA"/>
    <w:rsid w:val="00053DF7"/>
    <w:rsid w:val="00054C92"/>
    <w:rsid w:val="00055427"/>
    <w:rsid w:val="0005545C"/>
    <w:rsid w:val="000555B7"/>
    <w:rsid w:val="000559C7"/>
    <w:rsid w:val="00055CBE"/>
    <w:rsid w:val="00056035"/>
    <w:rsid w:val="0005671A"/>
    <w:rsid w:val="000567EF"/>
    <w:rsid w:val="000568EA"/>
    <w:rsid w:val="00056C69"/>
    <w:rsid w:val="00056F7C"/>
    <w:rsid w:val="00057149"/>
    <w:rsid w:val="00057237"/>
    <w:rsid w:val="00057559"/>
    <w:rsid w:val="00057773"/>
    <w:rsid w:val="000577D9"/>
    <w:rsid w:val="00057F41"/>
    <w:rsid w:val="00060AD0"/>
    <w:rsid w:val="00060CAC"/>
    <w:rsid w:val="00061195"/>
    <w:rsid w:val="00061A80"/>
    <w:rsid w:val="00061CF5"/>
    <w:rsid w:val="0006277D"/>
    <w:rsid w:val="00062869"/>
    <w:rsid w:val="00062F1D"/>
    <w:rsid w:val="0006364A"/>
    <w:rsid w:val="00063E73"/>
    <w:rsid w:val="00063F89"/>
    <w:rsid w:val="00064D2D"/>
    <w:rsid w:val="00065691"/>
    <w:rsid w:val="0006605A"/>
    <w:rsid w:val="00066218"/>
    <w:rsid w:val="0006638F"/>
    <w:rsid w:val="00066501"/>
    <w:rsid w:val="00066B88"/>
    <w:rsid w:val="00066CA7"/>
    <w:rsid w:val="00066E9B"/>
    <w:rsid w:val="00066F32"/>
    <w:rsid w:val="0006702C"/>
    <w:rsid w:val="000675D4"/>
    <w:rsid w:val="0006778B"/>
    <w:rsid w:val="00067AF4"/>
    <w:rsid w:val="00067CD1"/>
    <w:rsid w:val="00067F8D"/>
    <w:rsid w:val="0007006C"/>
    <w:rsid w:val="00070872"/>
    <w:rsid w:val="0007087C"/>
    <w:rsid w:val="00070ADC"/>
    <w:rsid w:val="00070CCD"/>
    <w:rsid w:val="000715F6"/>
    <w:rsid w:val="00072B9F"/>
    <w:rsid w:val="00072BEB"/>
    <w:rsid w:val="00073865"/>
    <w:rsid w:val="000739E9"/>
    <w:rsid w:val="00073B57"/>
    <w:rsid w:val="00073D00"/>
    <w:rsid w:val="00074566"/>
    <w:rsid w:val="00075C48"/>
    <w:rsid w:val="00075D07"/>
    <w:rsid w:val="00076656"/>
    <w:rsid w:val="00077034"/>
    <w:rsid w:val="0007708E"/>
    <w:rsid w:val="000770FF"/>
    <w:rsid w:val="000775F9"/>
    <w:rsid w:val="00077866"/>
    <w:rsid w:val="00077FC2"/>
    <w:rsid w:val="000804CF"/>
    <w:rsid w:val="00080BBC"/>
    <w:rsid w:val="00080EE0"/>
    <w:rsid w:val="000810EE"/>
    <w:rsid w:val="0008209C"/>
    <w:rsid w:val="000820EA"/>
    <w:rsid w:val="000820F7"/>
    <w:rsid w:val="00082290"/>
    <w:rsid w:val="000822D8"/>
    <w:rsid w:val="00082807"/>
    <w:rsid w:val="000829C5"/>
    <w:rsid w:val="00082E02"/>
    <w:rsid w:val="00083440"/>
    <w:rsid w:val="00083697"/>
    <w:rsid w:val="00084939"/>
    <w:rsid w:val="00084A68"/>
    <w:rsid w:val="00084B1F"/>
    <w:rsid w:val="000853B3"/>
    <w:rsid w:val="00085A9F"/>
    <w:rsid w:val="00085F95"/>
    <w:rsid w:val="000862B9"/>
    <w:rsid w:val="000863FE"/>
    <w:rsid w:val="000864E9"/>
    <w:rsid w:val="000868D2"/>
    <w:rsid w:val="00086E4A"/>
    <w:rsid w:val="00087C26"/>
    <w:rsid w:val="00087CFA"/>
    <w:rsid w:val="0009007F"/>
    <w:rsid w:val="00090812"/>
    <w:rsid w:val="000909A3"/>
    <w:rsid w:val="00090B38"/>
    <w:rsid w:val="00090C04"/>
    <w:rsid w:val="00090CAC"/>
    <w:rsid w:val="00090E2D"/>
    <w:rsid w:val="000910B2"/>
    <w:rsid w:val="000913C0"/>
    <w:rsid w:val="000922AF"/>
    <w:rsid w:val="000929B5"/>
    <w:rsid w:val="00092A60"/>
    <w:rsid w:val="00092AE7"/>
    <w:rsid w:val="00092CCB"/>
    <w:rsid w:val="000935D6"/>
    <w:rsid w:val="00093A78"/>
    <w:rsid w:val="00093E91"/>
    <w:rsid w:val="0009420A"/>
    <w:rsid w:val="000944C8"/>
    <w:rsid w:val="0009476F"/>
    <w:rsid w:val="0009529F"/>
    <w:rsid w:val="00095538"/>
    <w:rsid w:val="000957DE"/>
    <w:rsid w:val="00095B6F"/>
    <w:rsid w:val="00096CA0"/>
    <w:rsid w:val="00096DD8"/>
    <w:rsid w:val="00097067"/>
    <w:rsid w:val="000976B5"/>
    <w:rsid w:val="0009794F"/>
    <w:rsid w:val="00097967"/>
    <w:rsid w:val="000979B8"/>
    <w:rsid w:val="00097CD9"/>
    <w:rsid w:val="000A0670"/>
    <w:rsid w:val="000A0A7F"/>
    <w:rsid w:val="000A0D20"/>
    <w:rsid w:val="000A1145"/>
    <w:rsid w:val="000A12F9"/>
    <w:rsid w:val="000A15A1"/>
    <w:rsid w:val="000A1C07"/>
    <w:rsid w:val="000A200E"/>
    <w:rsid w:val="000A2089"/>
    <w:rsid w:val="000A2568"/>
    <w:rsid w:val="000A269F"/>
    <w:rsid w:val="000A309A"/>
    <w:rsid w:val="000A3211"/>
    <w:rsid w:val="000A3311"/>
    <w:rsid w:val="000A3823"/>
    <w:rsid w:val="000A395E"/>
    <w:rsid w:val="000A3E24"/>
    <w:rsid w:val="000A40C6"/>
    <w:rsid w:val="000A411A"/>
    <w:rsid w:val="000A436E"/>
    <w:rsid w:val="000A469F"/>
    <w:rsid w:val="000A4834"/>
    <w:rsid w:val="000A48F3"/>
    <w:rsid w:val="000A52CB"/>
    <w:rsid w:val="000A5496"/>
    <w:rsid w:val="000A5598"/>
    <w:rsid w:val="000A59BA"/>
    <w:rsid w:val="000A61C6"/>
    <w:rsid w:val="000A6C36"/>
    <w:rsid w:val="000A71F4"/>
    <w:rsid w:val="000A781F"/>
    <w:rsid w:val="000B02D7"/>
    <w:rsid w:val="000B1094"/>
    <w:rsid w:val="000B12FE"/>
    <w:rsid w:val="000B1DEF"/>
    <w:rsid w:val="000B28A4"/>
    <w:rsid w:val="000B2FCF"/>
    <w:rsid w:val="000B36A0"/>
    <w:rsid w:val="000B3854"/>
    <w:rsid w:val="000B388A"/>
    <w:rsid w:val="000B4AB2"/>
    <w:rsid w:val="000B4B76"/>
    <w:rsid w:val="000B57D3"/>
    <w:rsid w:val="000B5A6C"/>
    <w:rsid w:val="000B5B97"/>
    <w:rsid w:val="000B60C4"/>
    <w:rsid w:val="000B69C4"/>
    <w:rsid w:val="000B7189"/>
    <w:rsid w:val="000B727E"/>
    <w:rsid w:val="000B7618"/>
    <w:rsid w:val="000B7D06"/>
    <w:rsid w:val="000C0CB3"/>
    <w:rsid w:val="000C19C1"/>
    <w:rsid w:val="000C249A"/>
    <w:rsid w:val="000C256E"/>
    <w:rsid w:val="000C27FE"/>
    <w:rsid w:val="000C2CA8"/>
    <w:rsid w:val="000C3183"/>
    <w:rsid w:val="000C3686"/>
    <w:rsid w:val="000C3CAA"/>
    <w:rsid w:val="000C3DC4"/>
    <w:rsid w:val="000C42F3"/>
    <w:rsid w:val="000C4387"/>
    <w:rsid w:val="000C43DE"/>
    <w:rsid w:val="000C4562"/>
    <w:rsid w:val="000C4B06"/>
    <w:rsid w:val="000C4E44"/>
    <w:rsid w:val="000C4F8F"/>
    <w:rsid w:val="000C50C3"/>
    <w:rsid w:val="000C6018"/>
    <w:rsid w:val="000C63F2"/>
    <w:rsid w:val="000C6704"/>
    <w:rsid w:val="000C6B2F"/>
    <w:rsid w:val="000C7094"/>
    <w:rsid w:val="000C7303"/>
    <w:rsid w:val="000C74E0"/>
    <w:rsid w:val="000C7764"/>
    <w:rsid w:val="000D0D11"/>
    <w:rsid w:val="000D12C0"/>
    <w:rsid w:val="000D1653"/>
    <w:rsid w:val="000D1A7D"/>
    <w:rsid w:val="000D1DA9"/>
    <w:rsid w:val="000D2577"/>
    <w:rsid w:val="000D259C"/>
    <w:rsid w:val="000D28CC"/>
    <w:rsid w:val="000D34E1"/>
    <w:rsid w:val="000D3A93"/>
    <w:rsid w:val="000D3A96"/>
    <w:rsid w:val="000D416E"/>
    <w:rsid w:val="000D44D0"/>
    <w:rsid w:val="000D45CE"/>
    <w:rsid w:val="000D46BC"/>
    <w:rsid w:val="000D46DD"/>
    <w:rsid w:val="000D48E9"/>
    <w:rsid w:val="000D4D75"/>
    <w:rsid w:val="000D518D"/>
    <w:rsid w:val="000D564D"/>
    <w:rsid w:val="000D589F"/>
    <w:rsid w:val="000D59BE"/>
    <w:rsid w:val="000D5F93"/>
    <w:rsid w:val="000D6D8F"/>
    <w:rsid w:val="000D7B23"/>
    <w:rsid w:val="000E0315"/>
    <w:rsid w:val="000E0420"/>
    <w:rsid w:val="000E0425"/>
    <w:rsid w:val="000E0BDA"/>
    <w:rsid w:val="000E0C53"/>
    <w:rsid w:val="000E0E45"/>
    <w:rsid w:val="000E0FA9"/>
    <w:rsid w:val="000E110D"/>
    <w:rsid w:val="000E1294"/>
    <w:rsid w:val="000E1575"/>
    <w:rsid w:val="000E1D60"/>
    <w:rsid w:val="000E1EB4"/>
    <w:rsid w:val="000E22B5"/>
    <w:rsid w:val="000E23AB"/>
    <w:rsid w:val="000E2B38"/>
    <w:rsid w:val="000E2C19"/>
    <w:rsid w:val="000E4103"/>
    <w:rsid w:val="000E4657"/>
    <w:rsid w:val="000E4D0A"/>
    <w:rsid w:val="000E4E4F"/>
    <w:rsid w:val="000E59DE"/>
    <w:rsid w:val="000E5A3D"/>
    <w:rsid w:val="000E5DC9"/>
    <w:rsid w:val="000E623D"/>
    <w:rsid w:val="000E705F"/>
    <w:rsid w:val="000E742B"/>
    <w:rsid w:val="000E74F0"/>
    <w:rsid w:val="000E75B8"/>
    <w:rsid w:val="000E77B5"/>
    <w:rsid w:val="000E79A3"/>
    <w:rsid w:val="000F01B5"/>
    <w:rsid w:val="000F1144"/>
    <w:rsid w:val="000F1984"/>
    <w:rsid w:val="000F1D43"/>
    <w:rsid w:val="000F21B7"/>
    <w:rsid w:val="000F2201"/>
    <w:rsid w:val="000F264B"/>
    <w:rsid w:val="000F2A16"/>
    <w:rsid w:val="000F2C49"/>
    <w:rsid w:val="000F35B9"/>
    <w:rsid w:val="000F37B4"/>
    <w:rsid w:val="000F38E4"/>
    <w:rsid w:val="000F3A80"/>
    <w:rsid w:val="000F3B21"/>
    <w:rsid w:val="000F3CB4"/>
    <w:rsid w:val="000F5C7D"/>
    <w:rsid w:val="000F6AE6"/>
    <w:rsid w:val="000F721D"/>
    <w:rsid w:val="000F79DF"/>
    <w:rsid w:val="000F7A01"/>
    <w:rsid w:val="000F7A24"/>
    <w:rsid w:val="00100123"/>
    <w:rsid w:val="001004B3"/>
    <w:rsid w:val="00100B1B"/>
    <w:rsid w:val="00100F2A"/>
    <w:rsid w:val="0010100B"/>
    <w:rsid w:val="00101247"/>
    <w:rsid w:val="001014C4"/>
    <w:rsid w:val="00101811"/>
    <w:rsid w:val="0010211B"/>
    <w:rsid w:val="001021A6"/>
    <w:rsid w:val="001025F5"/>
    <w:rsid w:val="00103416"/>
    <w:rsid w:val="0010348D"/>
    <w:rsid w:val="0010359C"/>
    <w:rsid w:val="00103CE7"/>
    <w:rsid w:val="00103E48"/>
    <w:rsid w:val="001041F9"/>
    <w:rsid w:val="001047E8"/>
    <w:rsid w:val="00104C83"/>
    <w:rsid w:val="00104D17"/>
    <w:rsid w:val="00104EB9"/>
    <w:rsid w:val="001054FF"/>
    <w:rsid w:val="00105C89"/>
    <w:rsid w:val="001060AF"/>
    <w:rsid w:val="00107676"/>
    <w:rsid w:val="001078A2"/>
    <w:rsid w:val="001100D6"/>
    <w:rsid w:val="00110521"/>
    <w:rsid w:val="001106D3"/>
    <w:rsid w:val="001108CF"/>
    <w:rsid w:val="00110EFA"/>
    <w:rsid w:val="00110FAA"/>
    <w:rsid w:val="00111631"/>
    <w:rsid w:val="001116EC"/>
    <w:rsid w:val="00111A03"/>
    <w:rsid w:val="00111FD5"/>
    <w:rsid w:val="001120AD"/>
    <w:rsid w:val="001121D1"/>
    <w:rsid w:val="0011230D"/>
    <w:rsid w:val="00112649"/>
    <w:rsid w:val="00112831"/>
    <w:rsid w:val="00112AFC"/>
    <w:rsid w:val="00112F04"/>
    <w:rsid w:val="00112F1C"/>
    <w:rsid w:val="00113B94"/>
    <w:rsid w:val="001144C7"/>
    <w:rsid w:val="001149F7"/>
    <w:rsid w:val="00114B49"/>
    <w:rsid w:val="00114C9F"/>
    <w:rsid w:val="00114E33"/>
    <w:rsid w:val="00115089"/>
    <w:rsid w:val="00115F79"/>
    <w:rsid w:val="001161D5"/>
    <w:rsid w:val="0011705B"/>
    <w:rsid w:val="00117D76"/>
    <w:rsid w:val="00117E20"/>
    <w:rsid w:val="00120191"/>
    <w:rsid w:val="0012032A"/>
    <w:rsid w:val="00120378"/>
    <w:rsid w:val="001205D1"/>
    <w:rsid w:val="001207D5"/>
    <w:rsid w:val="001209A1"/>
    <w:rsid w:val="00120B9D"/>
    <w:rsid w:val="00120F8B"/>
    <w:rsid w:val="0012121A"/>
    <w:rsid w:val="0012168E"/>
    <w:rsid w:val="00121762"/>
    <w:rsid w:val="00121BE6"/>
    <w:rsid w:val="00121F39"/>
    <w:rsid w:val="00122AF6"/>
    <w:rsid w:val="00122B94"/>
    <w:rsid w:val="00123514"/>
    <w:rsid w:val="001237E8"/>
    <w:rsid w:val="00124388"/>
    <w:rsid w:val="001243E4"/>
    <w:rsid w:val="00124551"/>
    <w:rsid w:val="0012502D"/>
    <w:rsid w:val="0012529F"/>
    <w:rsid w:val="00125536"/>
    <w:rsid w:val="00125638"/>
    <w:rsid w:val="00125967"/>
    <w:rsid w:val="00125AA9"/>
    <w:rsid w:val="00126F47"/>
    <w:rsid w:val="0012711F"/>
    <w:rsid w:val="00127288"/>
    <w:rsid w:val="001275DB"/>
    <w:rsid w:val="00127794"/>
    <w:rsid w:val="0012792E"/>
    <w:rsid w:val="00127BA9"/>
    <w:rsid w:val="0013082D"/>
    <w:rsid w:val="00130B95"/>
    <w:rsid w:val="001315C4"/>
    <w:rsid w:val="001321EF"/>
    <w:rsid w:val="00132612"/>
    <w:rsid w:val="00132EDE"/>
    <w:rsid w:val="00133453"/>
    <w:rsid w:val="001334A7"/>
    <w:rsid w:val="00133BD2"/>
    <w:rsid w:val="00133EB4"/>
    <w:rsid w:val="001344C4"/>
    <w:rsid w:val="001345CA"/>
    <w:rsid w:val="001345DB"/>
    <w:rsid w:val="001347CE"/>
    <w:rsid w:val="00134FB2"/>
    <w:rsid w:val="00135432"/>
    <w:rsid w:val="00135464"/>
    <w:rsid w:val="001355DB"/>
    <w:rsid w:val="0013599F"/>
    <w:rsid w:val="001359E8"/>
    <w:rsid w:val="00135D6A"/>
    <w:rsid w:val="00135EEB"/>
    <w:rsid w:val="0013634F"/>
    <w:rsid w:val="001368A4"/>
    <w:rsid w:val="00136951"/>
    <w:rsid w:val="00136B55"/>
    <w:rsid w:val="0013738C"/>
    <w:rsid w:val="00140158"/>
    <w:rsid w:val="00140405"/>
    <w:rsid w:val="001404C5"/>
    <w:rsid w:val="001409B7"/>
    <w:rsid w:val="001413F0"/>
    <w:rsid w:val="00141447"/>
    <w:rsid w:val="00141639"/>
    <w:rsid w:val="0014181D"/>
    <w:rsid w:val="001419A4"/>
    <w:rsid w:val="00141DB4"/>
    <w:rsid w:val="001424A7"/>
    <w:rsid w:val="00142580"/>
    <w:rsid w:val="00142E03"/>
    <w:rsid w:val="0014308B"/>
    <w:rsid w:val="001439CB"/>
    <w:rsid w:val="0014426B"/>
    <w:rsid w:val="00144AE3"/>
    <w:rsid w:val="00144BE4"/>
    <w:rsid w:val="00145685"/>
    <w:rsid w:val="00145B8F"/>
    <w:rsid w:val="00145D6F"/>
    <w:rsid w:val="001460A3"/>
    <w:rsid w:val="00146597"/>
    <w:rsid w:val="00147536"/>
    <w:rsid w:val="00147607"/>
    <w:rsid w:val="0014794A"/>
    <w:rsid w:val="00147BC8"/>
    <w:rsid w:val="00150E01"/>
    <w:rsid w:val="00150F6B"/>
    <w:rsid w:val="00151021"/>
    <w:rsid w:val="00151600"/>
    <w:rsid w:val="00151742"/>
    <w:rsid w:val="001519F2"/>
    <w:rsid w:val="00151B6B"/>
    <w:rsid w:val="0015230F"/>
    <w:rsid w:val="00152B59"/>
    <w:rsid w:val="00153906"/>
    <w:rsid w:val="00153B8C"/>
    <w:rsid w:val="00153CCA"/>
    <w:rsid w:val="001541D6"/>
    <w:rsid w:val="0015441B"/>
    <w:rsid w:val="001547B1"/>
    <w:rsid w:val="001550BE"/>
    <w:rsid w:val="00155343"/>
    <w:rsid w:val="00155E9A"/>
    <w:rsid w:val="0015604F"/>
    <w:rsid w:val="001560C6"/>
    <w:rsid w:val="00156299"/>
    <w:rsid w:val="00156390"/>
    <w:rsid w:val="001566AF"/>
    <w:rsid w:val="001566FF"/>
    <w:rsid w:val="00156BF8"/>
    <w:rsid w:val="00156D93"/>
    <w:rsid w:val="00156F44"/>
    <w:rsid w:val="00157068"/>
    <w:rsid w:val="001570EB"/>
    <w:rsid w:val="0015741E"/>
    <w:rsid w:val="001609AD"/>
    <w:rsid w:val="00160C92"/>
    <w:rsid w:val="00161433"/>
    <w:rsid w:val="00161D7D"/>
    <w:rsid w:val="001620F8"/>
    <w:rsid w:val="0016235E"/>
    <w:rsid w:val="00162533"/>
    <w:rsid w:val="001625A2"/>
    <w:rsid w:val="00162757"/>
    <w:rsid w:val="00162A22"/>
    <w:rsid w:val="00163386"/>
    <w:rsid w:val="001636B2"/>
    <w:rsid w:val="00164705"/>
    <w:rsid w:val="001649F5"/>
    <w:rsid w:val="00164A11"/>
    <w:rsid w:val="001650B3"/>
    <w:rsid w:val="001656BC"/>
    <w:rsid w:val="0016591E"/>
    <w:rsid w:val="00165C7A"/>
    <w:rsid w:val="00165F96"/>
    <w:rsid w:val="001660B9"/>
    <w:rsid w:val="00166578"/>
    <w:rsid w:val="00166765"/>
    <w:rsid w:val="001668FA"/>
    <w:rsid w:val="00167100"/>
    <w:rsid w:val="00167230"/>
    <w:rsid w:val="001673A3"/>
    <w:rsid w:val="001674B5"/>
    <w:rsid w:val="001675A0"/>
    <w:rsid w:val="00167A11"/>
    <w:rsid w:val="00167DD5"/>
    <w:rsid w:val="0017039F"/>
    <w:rsid w:val="001708C0"/>
    <w:rsid w:val="001709A2"/>
    <w:rsid w:val="00170EF3"/>
    <w:rsid w:val="0017107E"/>
    <w:rsid w:val="00171463"/>
    <w:rsid w:val="001714DD"/>
    <w:rsid w:val="0017196F"/>
    <w:rsid w:val="0017334F"/>
    <w:rsid w:val="001734E4"/>
    <w:rsid w:val="00173615"/>
    <w:rsid w:val="0017375E"/>
    <w:rsid w:val="00173D40"/>
    <w:rsid w:val="00174291"/>
    <w:rsid w:val="001745B7"/>
    <w:rsid w:val="00174609"/>
    <w:rsid w:val="001746D0"/>
    <w:rsid w:val="00174880"/>
    <w:rsid w:val="00174C12"/>
    <w:rsid w:val="00174D63"/>
    <w:rsid w:val="0017507B"/>
    <w:rsid w:val="001751D1"/>
    <w:rsid w:val="001756F9"/>
    <w:rsid w:val="00175E65"/>
    <w:rsid w:val="00175F67"/>
    <w:rsid w:val="00176010"/>
    <w:rsid w:val="0017646D"/>
    <w:rsid w:val="001766A6"/>
    <w:rsid w:val="00176C05"/>
    <w:rsid w:val="001776EF"/>
    <w:rsid w:val="00177977"/>
    <w:rsid w:val="00177AAB"/>
    <w:rsid w:val="00177E15"/>
    <w:rsid w:val="0018000A"/>
    <w:rsid w:val="0018068A"/>
    <w:rsid w:val="0018098B"/>
    <w:rsid w:val="00180A2B"/>
    <w:rsid w:val="00180C3B"/>
    <w:rsid w:val="001813BE"/>
    <w:rsid w:val="00181AAF"/>
    <w:rsid w:val="001822F4"/>
    <w:rsid w:val="00182921"/>
    <w:rsid w:val="0018298C"/>
    <w:rsid w:val="00182DE8"/>
    <w:rsid w:val="00183AE5"/>
    <w:rsid w:val="00183B43"/>
    <w:rsid w:val="00183C9D"/>
    <w:rsid w:val="00183CB0"/>
    <w:rsid w:val="00183FDC"/>
    <w:rsid w:val="00184748"/>
    <w:rsid w:val="001848F5"/>
    <w:rsid w:val="0018579C"/>
    <w:rsid w:val="0018592F"/>
    <w:rsid w:val="00186176"/>
    <w:rsid w:val="0018647C"/>
    <w:rsid w:val="00186490"/>
    <w:rsid w:val="00186B2F"/>
    <w:rsid w:val="00186CB9"/>
    <w:rsid w:val="001870CC"/>
    <w:rsid w:val="001875A0"/>
    <w:rsid w:val="0018772F"/>
    <w:rsid w:val="0018780F"/>
    <w:rsid w:val="00187891"/>
    <w:rsid w:val="00187D88"/>
    <w:rsid w:val="00187DF7"/>
    <w:rsid w:val="001903D3"/>
    <w:rsid w:val="0019113A"/>
    <w:rsid w:val="001911E1"/>
    <w:rsid w:val="00191BA1"/>
    <w:rsid w:val="00191DC8"/>
    <w:rsid w:val="00191E3C"/>
    <w:rsid w:val="0019226B"/>
    <w:rsid w:val="00192377"/>
    <w:rsid w:val="00192819"/>
    <w:rsid w:val="00192E9F"/>
    <w:rsid w:val="00193138"/>
    <w:rsid w:val="001934CA"/>
    <w:rsid w:val="0019371E"/>
    <w:rsid w:val="0019380F"/>
    <w:rsid w:val="0019395F"/>
    <w:rsid w:val="0019397F"/>
    <w:rsid w:val="00193F89"/>
    <w:rsid w:val="0019471A"/>
    <w:rsid w:val="0019502D"/>
    <w:rsid w:val="00195104"/>
    <w:rsid w:val="001951C6"/>
    <w:rsid w:val="0019545A"/>
    <w:rsid w:val="00195788"/>
    <w:rsid w:val="00195900"/>
    <w:rsid w:val="00195E43"/>
    <w:rsid w:val="001968E8"/>
    <w:rsid w:val="00196E4B"/>
    <w:rsid w:val="0019746D"/>
    <w:rsid w:val="00197E97"/>
    <w:rsid w:val="001A004E"/>
    <w:rsid w:val="001A01B5"/>
    <w:rsid w:val="001A0357"/>
    <w:rsid w:val="001A0A75"/>
    <w:rsid w:val="001A0ACD"/>
    <w:rsid w:val="001A161D"/>
    <w:rsid w:val="001A1C1D"/>
    <w:rsid w:val="001A287B"/>
    <w:rsid w:val="001A2D41"/>
    <w:rsid w:val="001A3B02"/>
    <w:rsid w:val="001A402C"/>
    <w:rsid w:val="001A45CB"/>
    <w:rsid w:val="001A4779"/>
    <w:rsid w:val="001A4957"/>
    <w:rsid w:val="001A560B"/>
    <w:rsid w:val="001A59C6"/>
    <w:rsid w:val="001A6266"/>
    <w:rsid w:val="001A6DB8"/>
    <w:rsid w:val="001A7812"/>
    <w:rsid w:val="001A7841"/>
    <w:rsid w:val="001A78CA"/>
    <w:rsid w:val="001A7B0F"/>
    <w:rsid w:val="001A7E08"/>
    <w:rsid w:val="001B0187"/>
    <w:rsid w:val="001B0BD3"/>
    <w:rsid w:val="001B12CB"/>
    <w:rsid w:val="001B13D5"/>
    <w:rsid w:val="001B19AB"/>
    <w:rsid w:val="001B1F1C"/>
    <w:rsid w:val="001B2C5A"/>
    <w:rsid w:val="001B2DDD"/>
    <w:rsid w:val="001B302B"/>
    <w:rsid w:val="001B4186"/>
    <w:rsid w:val="001B4545"/>
    <w:rsid w:val="001B51DC"/>
    <w:rsid w:val="001B53FF"/>
    <w:rsid w:val="001B5BAA"/>
    <w:rsid w:val="001B5C24"/>
    <w:rsid w:val="001B6094"/>
    <w:rsid w:val="001B6417"/>
    <w:rsid w:val="001B6B09"/>
    <w:rsid w:val="001B7456"/>
    <w:rsid w:val="001B7A2E"/>
    <w:rsid w:val="001B7B62"/>
    <w:rsid w:val="001B7BBD"/>
    <w:rsid w:val="001B7EAD"/>
    <w:rsid w:val="001B7F07"/>
    <w:rsid w:val="001C099E"/>
    <w:rsid w:val="001C0B77"/>
    <w:rsid w:val="001C100D"/>
    <w:rsid w:val="001C1108"/>
    <w:rsid w:val="001C1488"/>
    <w:rsid w:val="001C1968"/>
    <w:rsid w:val="001C1BEC"/>
    <w:rsid w:val="001C1D9D"/>
    <w:rsid w:val="001C2708"/>
    <w:rsid w:val="001C294F"/>
    <w:rsid w:val="001C29B2"/>
    <w:rsid w:val="001C2C6C"/>
    <w:rsid w:val="001C2F72"/>
    <w:rsid w:val="001C3264"/>
    <w:rsid w:val="001C34A5"/>
    <w:rsid w:val="001C38ED"/>
    <w:rsid w:val="001C3B2F"/>
    <w:rsid w:val="001C3F57"/>
    <w:rsid w:val="001C4196"/>
    <w:rsid w:val="001C4C82"/>
    <w:rsid w:val="001C4E6C"/>
    <w:rsid w:val="001C50D6"/>
    <w:rsid w:val="001C6284"/>
    <w:rsid w:val="001C664F"/>
    <w:rsid w:val="001C6B48"/>
    <w:rsid w:val="001C6EB7"/>
    <w:rsid w:val="001C731E"/>
    <w:rsid w:val="001C761B"/>
    <w:rsid w:val="001C7B51"/>
    <w:rsid w:val="001C7FE7"/>
    <w:rsid w:val="001D0B2D"/>
    <w:rsid w:val="001D0E0B"/>
    <w:rsid w:val="001D1997"/>
    <w:rsid w:val="001D2334"/>
    <w:rsid w:val="001D2803"/>
    <w:rsid w:val="001D294F"/>
    <w:rsid w:val="001D2E63"/>
    <w:rsid w:val="001D3892"/>
    <w:rsid w:val="001D3B79"/>
    <w:rsid w:val="001D3BC2"/>
    <w:rsid w:val="001D4071"/>
    <w:rsid w:val="001D4647"/>
    <w:rsid w:val="001D467E"/>
    <w:rsid w:val="001D46A4"/>
    <w:rsid w:val="001D52D0"/>
    <w:rsid w:val="001D54AA"/>
    <w:rsid w:val="001D5818"/>
    <w:rsid w:val="001D5A72"/>
    <w:rsid w:val="001D5BA0"/>
    <w:rsid w:val="001D5C4E"/>
    <w:rsid w:val="001D5CDE"/>
    <w:rsid w:val="001D61C7"/>
    <w:rsid w:val="001D61DC"/>
    <w:rsid w:val="001D705A"/>
    <w:rsid w:val="001D7353"/>
    <w:rsid w:val="001D7DCF"/>
    <w:rsid w:val="001E017E"/>
    <w:rsid w:val="001E1090"/>
    <w:rsid w:val="001E1D6B"/>
    <w:rsid w:val="001E20C6"/>
    <w:rsid w:val="001E2681"/>
    <w:rsid w:val="001E2A71"/>
    <w:rsid w:val="001E2C1D"/>
    <w:rsid w:val="001E31AB"/>
    <w:rsid w:val="001E3765"/>
    <w:rsid w:val="001E3AB1"/>
    <w:rsid w:val="001E3CCC"/>
    <w:rsid w:val="001E52D7"/>
    <w:rsid w:val="001E5427"/>
    <w:rsid w:val="001E5655"/>
    <w:rsid w:val="001E58AF"/>
    <w:rsid w:val="001E5CA9"/>
    <w:rsid w:val="001E60FB"/>
    <w:rsid w:val="001E62C1"/>
    <w:rsid w:val="001E63F0"/>
    <w:rsid w:val="001E65D0"/>
    <w:rsid w:val="001E6AA3"/>
    <w:rsid w:val="001E6F47"/>
    <w:rsid w:val="001E7E3C"/>
    <w:rsid w:val="001F0094"/>
    <w:rsid w:val="001F0DA0"/>
    <w:rsid w:val="001F0E25"/>
    <w:rsid w:val="001F115B"/>
    <w:rsid w:val="001F151C"/>
    <w:rsid w:val="001F1816"/>
    <w:rsid w:val="001F1F0F"/>
    <w:rsid w:val="001F24ED"/>
    <w:rsid w:val="001F25B4"/>
    <w:rsid w:val="001F2AFC"/>
    <w:rsid w:val="001F2D89"/>
    <w:rsid w:val="001F2E0D"/>
    <w:rsid w:val="001F3566"/>
    <w:rsid w:val="001F3FF4"/>
    <w:rsid w:val="001F479E"/>
    <w:rsid w:val="001F47FF"/>
    <w:rsid w:val="001F4AA8"/>
    <w:rsid w:val="001F54C3"/>
    <w:rsid w:val="001F5709"/>
    <w:rsid w:val="001F5844"/>
    <w:rsid w:val="001F5F68"/>
    <w:rsid w:val="001F63BD"/>
    <w:rsid w:val="001F70A4"/>
    <w:rsid w:val="001F740E"/>
    <w:rsid w:val="001F75E6"/>
    <w:rsid w:val="001F7A86"/>
    <w:rsid w:val="001F7AA8"/>
    <w:rsid w:val="001F7C0A"/>
    <w:rsid w:val="001F7FB2"/>
    <w:rsid w:val="0020006E"/>
    <w:rsid w:val="00200208"/>
    <w:rsid w:val="0020028F"/>
    <w:rsid w:val="0020078E"/>
    <w:rsid w:val="00201031"/>
    <w:rsid w:val="0020130F"/>
    <w:rsid w:val="00201609"/>
    <w:rsid w:val="00201CE8"/>
    <w:rsid w:val="00203800"/>
    <w:rsid w:val="00203FF4"/>
    <w:rsid w:val="002043DC"/>
    <w:rsid w:val="00204779"/>
    <w:rsid w:val="002048BA"/>
    <w:rsid w:val="00204D58"/>
    <w:rsid w:val="00204F38"/>
    <w:rsid w:val="002050A8"/>
    <w:rsid w:val="002059DA"/>
    <w:rsid w:val="002062E5"/>
    <w:rsid w:val="00207236"/>
    <w:rsid w:val="0020757C"/>
    <w:rsid w:val="002076BF"/>
    <w:rsid w:val="00210151"/>
    <w:rsid w:val="002102F7"/>
    <w:rsid w:val="00210373"/>
    <w:rsid w:val="002108A8"/>
    <w:rsid w:val="002109C3"/>
    <w:rsid w:val="00210D85"/>
    <w:rsid w:val="00210FD1"/>
    <w:rsid w:val="00211364"/>
    <w:rsid w:val="002115C5"/>
    <w:rsid w:val="00211FA1"/>
    <w:rsid w:val="00212248"/>
    <w:rsid w:val="00212CB9"/>
    <w:rsid w:val="00212D64"/>
    <w:rsid w:val="00212E30"/>
    <w:rsid w:val="00212E5A"/>
    <w:rsid w:val="00212FF9"/>
    <w:rsid w:val="002132AF"/>
    <w:rsid w:val="002134E9"/>
    <w:rsid w:val="00213C4F"/>
    <w:rsid w:val="00213E9C"/>
    <w:rsid w:val="00213EF7"/>
    <w:rsid w:val="002149CA"/>
    <w:rsid w:val="00215969"/>
    <w:rsid w:val="002165D5"/>
    <w:rsid w:val="0021664E"/>
    <w:rsid w:val="00216703"/>
    <w:rsid w:val="00216AD6"/>
    <w:rsid w:val="00216FBE"/>
    <w:rsid w:val="0021707B"/>
    <w:rsid w:val="00217122"/>
    <w:rsid w:val="00217478"/>
    <w:rsid w:val="002174C8"/>
    <w:rsid w:val="00217909"/>
    <w:rsid w:val="00217A5F"/>
    <w:rsid w:val="00217C6D"/>
    <w:rsid w:val="00217E7B"/>
    <w:rsid w:val="00217F19"/>
    <w:rsid w:val="00220060"/>
    <w:rsid w:val="00220822"/>
    <w:rsid w:val="0022108E"/>
    <w:rsid w:val="002212F0"/>
    <w:rsid w:val="00221614"/>
    <w:rsid w:val="00221897"/>
    <w:rsid w:val="00221A78"/>
    <w:rsid w:val="00221CF3"/>
    <w:rsid w:val="00221D5D"/>
    <w:rsid w:val="00222958"/>
    <w:rsid w:val="00222CF9"/>
    <w:rsid w:val="00222F7B"/>
    <w:rsid w:val="00223353"/>
    <w:rsid w:val="002233FB"/>
    <w:rsid w:val="0022357B"/>
    <w:rsid w:val="002239A7"/>
    <w:rsid w:val="00223A0B"/>
    <w:rsid w:val="00223CF1"/>
    <w:rsid w:val="00223E7D"/>
    <w:rsid w:val="002245D9"/>
    <w:rsid w:val="0022477E"/>
    <w:rsid w:val="00225695"/>
    <w:rsid w:val="00225867"/>
    <w:rsid w:val="00226303"/>
    <w:rsid w:val="002266F2"/>
    <w:rsid w:val="00226F6F"/>
    <w:rsid w:val="00227380"/>
    <w:rsid w:val="00227837"/>
    <w:rsid w:val="00227BA5"/>
    <w:rsid w:val="00227F34"/>
    <w:rsid w:val="00230488"/>
    <w:rsid w:val="00230639"/>
    <w:rsid w:val="002308EC"/>
    <w:rsid w:val="00230DB4"/>
    <w:rsid w:val="00232039"/>
    <w:rsid w:val="00232258"/>
    <w:rsid w:val="0023265E"/>
    <w:rsid w:val="002326E1"/>
    <w:rsid w:val="00232730"/>
    <w:rsid w:val="0023286D"/>
    <w:rsid w:val="00232C7D"/>
    <w:rsid w:val="00232CAA"/>
    <w:rsid w:val="00233E07"/>
    <w:rsid w:val="002341F9"/>
    <w:rsid w:val="002347D5"/>
    <w:rsid w:val="00234900"/>
    <w:rsid w:val="00234ED7"/>
    <w:rsid w:val="0023523D"/>
    <w:rsid w:val="00235E49"/>
    <w:rsid w:val="00235E76"/>
    <w:rsid w:val="002361C3"/>
    <w:rsid w:val="00236DE2"/>
    <w:rsid w:val="0023740F"/>
    <w:rsid w:val="00237443"/>
    <w:rsid w:val="0023748B"/>
    <w:rsid w:val="002375BC"/>
    <w:rsid w:val="00237D76"/>
    <w:rsid w:val="002402CF"/>
    <w:rsid w:val="002403F2"/>
    <w:rsid w:val="00240615"/>
    <w:rsid w:val="00240776"/>
    <w:rsid w:val="00240991"/>
    <w:rsid w:val="00240ABC"/>
    <w:rsid w:val="00240B90"/>
    <w:rsid w:val="00240BE9"/>
    <w:rsid w:val="00240F17"/>
    <w:rsid w:val="002417C8"/>
    <w:rsid w:val="00242D18"/>
    <w:rsid w:val="00243242"/>
    <w:rsid w:val="00243445"/>
    <w:rsid w:val="00243C86"/>
    <w:rsid w:val="00244067"/>
    <w:rsid w:val="002441AD"/>
    <w:rsid w:val="00244D66"/>
    <w:rsid w:val="0024526D"/>
    <w:rsid w:val="00245657"/>
    <w:rsid w:val="00245A35"/>
    <w:rsid w:val="00245B30"/>
    <w:rsid w:val="0024640D"/>
    <w:rsid w:val="00246986"/>
    <w:rsid w:val="00246E15"/>
    <w:rsid w:val="00246FCB"/>
    <w:rsid w:val="00246FF6"/>
    <w:rsid w:val="00247553"/>
    <w:rsid w:val="00247A8B"/>
    <w:rsid w:val="00250440"/>
    <w:rsid w:val="00251ED1"/>
    <w:rsid w:val="00251F94"/>
    <w:rsid w:val="00252C4C"/>
    <w:rsid w:val="00252E69"/>
    <w:rsid w:val="00253476"/>
    <w:rsid w:val="00253488"/>
    <w:rsid w:val="00253CFE"/>
    <w:rsid w:val="00253D00"/>
    <w:rsid w:val="00253D21"/>
    <w:rsid w:val="00253D5B"/>
    <w:rsid w:val="00253DFB"/>
    <w:rsid w:val="002541B1"/>
    <w:rsid w:val="002542D3"/>
    <w:rsid w:val="0025471D"/>
    <w:rsid w:val="0025479E"/>
    <w:rsid w:val="00254854"/>
    <w:rsid w:val="00254887"/>
    <w:rsid w:val="00254CDF"/>
    <w:rsid w:val="002551B7"/>
    <w:rsid w:val="002553D3"/>
    <w:rsid w:val="002554EB"/>
    <w:rsid w:val="002556B7"/>
    <w:rsid w:val="002558C4"/>
    <w:rsid w:val="00255CB1"/>
    <w:rsid w:val="00255CB3"/>
    <w:rsid w:val="00256091"/>
    <w:rsid w:val="0025652D"/>
    <w:rsid w:val="002569D2"/>
    <w:rsid w:val="002570EE"/>
    <w:rsid w:val="00257170"/>
    <w:rsid w:val="00257199"/>
    <w:rsid w:val="00257282"/>
    <w:rsid w:val="00257F56"/>
    <w:rsid w:val="00257F57"/>
    <w:rsid w:val="0026011B"/>
    <w:rsid w:val="00260D6B"/>
    <w:rsid w:val="00260F11"/>
    <w:rsid w:val="00261296"/>
    <w:rsid w:val="0026140F"/>
    <w:rsid w:val="0026166F"/>
    <w:rsid w:val="0026277A"/>
    <w:rsid w:val="00262BB9"/>
    <w:rsid w:val="00263A2D"/>
    <w:rsid w:val="00263B0E"/>
    <w:rsid w:val="0026404D"/>
    <w:rsid w:val="00264ECC"/>
    <w:rsid w:val="00265257"/>
    <w:rsid w:val="0026528C"/>
    <w:rsid w:val="00265636"/>
    <w:rsid w:val="002657E3"/>
    <w:rsid w:val="0026606D"/>
    <w:rsid w:val="00266126"/>
    <w:rsid w:val="0026659A"/>
    <w:rsid w:val="00266AB6"/>
    <w:rsid w:val="00267645"/>
    <w:rsid w:val="00267709"/>
    <w:rsid w:val="00267C35"/>
    <w:rsid w:val="00267E07"/>
    <w:rsid w:val="002701D6"/>
    <w:rsid w:val="0027021F"/>
    <w:rsid w:val="00270476"/>
    <w:rsid w:val="002707F3"/>
    <w:rsid w:val="0027093C"/>
    <w:rsid w:val="00272234"/>
    <w:rsid w:val="002725BB"/>
    <w:rsid w:val="00272B44"/>
    <w:rsid w:val="00272FC9"/>
    <w:rsid w:val="00273140"/>
    <w:rsid w:val="00274100"/>
    <w:rsid w:val="00274230"/>
    <w:rsid w:val="002744A3"/>
    <w:rsid w:val="002748F4"/>
    <w:rsid w:val="00274CD1"/>
    <w:rsid w:val="002750A4"/>
    <w:rsid w:val="002756FD"/>
    <w:rsid w:val="00275927"/>
    <w:rsid w:val="002759EB"/>
    <w:rsid w:val="00276184"/>
    <w:rsid w:val="002765E7"/>
    <w:rsid w:val="00276942"/>
    <w:rsid w:val="00276A5C"/>
    <w:rsid w:val="00276D6E"/>
    <w:rsid w:val="00277161"/>
    <w:rsid w:val="002771D3"/>
    <w:rsid w:val="0027781A"/>
    <w:rsid w:val="00277C09"/>
    <w:rsid w:val="00277D84"/>
    <w:rsid w:val="00280DB8"/>
    <w:rsid w:val="002816EB"/>
    <w:rsid w:val="00281B8C"/>
    <w:rsid w:val="00282199"/>
    <w:rsid w:val="00282C83"/>
    <w:rsid w:val="00282D70"/>
    <w:rsid w:val="002837C5"/>
    <w:rsid w:val="00283F4B"/>
    <w:rsid w:val="00283FBC"/>
    <w:rsid w:val="00284AB2"/>
    <w:rsid w:val="0028579E"/>
    <w:rsid w:val="002857C7"/>
    <w:rsid w:val="002869D1"/>
    <w:rsid w:val="00286A0A"/>
    <w:rsid w:val="00287B3C"/>
    <w:rsid w:val="002900E1"/>
    <w:rsid w:val="00290AB6"/>
    <w:rsid w:val="00290DB4"/>
    <w:rsid w:val="00290F6A"/>
    <w:rsid w:val="0029153D"/>
    <w:rsid w:val="00291729"/>
    <w:rsid w:val="002920F4"/>
    <w:rsid w:val="00292390"/>
    <w:rsid w:val="002923FB"/>
    <w:rsid w:val="002929DD"/>
    <w:rsid w:val="00292AD5"/>
    <w:rsid w:val="002931BE"/>
    <w:rsid w:val="0029339D"/>
    <w:rsid w:val="002936E2"/>
    <w:rsid w:val="00294510"/>
    <w:rsid w:val="00294641"/>
    <w:rsid w:val="0029488F"/>
    <w:rsid w:val="00294D8F"/>
    <w:rsid w:val="00294FD4"/>
    <w:rsid w:val="00295266"/>
    <w:rsid w:val="00295521"/>
    <w:rsid w:val="002957CB"/>
    <w:rsid w:val="00295FDD"/>
    <w:rsid w:val="00296607"/>
    <w:rsid w:val="00296BED"/>
    <w:rsid w:val="00297102"/>
    <w:rsid w:val="002971CC"/>
    <w:rsid w:val="00297B16"/>
    <w:rsid w:val="00297B80"/>
    <w:rsid w:val="00297F4D"/>
    <w:rsid w:val="002A06DC"/>
    <w:rsid w:val="002A133A"/>
    <w:rsid w:val="002A1631"/>
    <w:rsid w:val="002A1683"/>
    <w:rsid w:val="002A1D73"/>
    <w:rsid w:val="002A2167"/>
    <w:rsid w:val="002A2360"/>
    <w:rsid w:val="002A2996"/>
    <w:rsid w:val="002A2F96"/>
    <w:rsid w:val="002A31CE"/>
    <w:rsid w:val="002A373C"/>
    <w:rsid w:val="002A37E5"/>
    <w:rsid w:val="002A38F2"/>
    <w:rsid w:val="002A3B33"/>
    <w:rsid w:val="002A4524"/>
    <w:rsid w:val="002A4F4F"/>
    <w:rsid w:val="002A4FB5"/>
    <w:rsid w:val="002A5D31"/>
    <w:rsid w:val="002A613C"/>
    <w:rsid w:val="002A614A"/>
    <w:rsid w:val="002A67FB"/>
    <w:rsid w:val="002A6BF5"/>
    <w:rsid w:val="002A6C8A"/>
    <w:rsid w:val="002A7413"/>
    <w:rsid w:val="002A771C"/>
    <w:rsid w:val="002A78C2"/>
    <w:rsid w:val="002A7B4D"/>
    <w:rsid w:val="002B02C4"/>
    <w:rsid w:val="002B0F13"/>
    <w:rsid w:val="002B13D3"/>
    <w:rsid w:val="002B1C3F"/>
    <w:rsid w:val="002B2355"/>
    <w:rsid w:val="002B2371"/>
    <w:rsid w:val="002B3209"/>
    <w:rsid w:val="002B39AD"/>
    <w:rsid w:val="002B4465"/>
    <w:rsid w:val="002B4998"/>
    <w:rsid w:val="002B49AE"/>
    <w:rsid w:val="002B568E"/>
    <w:rsid w:val="002B5912"/>
    <w:rsid w:val="002B5CFB"/>
    <w:rsid w:val="002B64CD"/>
    <w:rsid w:val="002B65AC"/>
    <w:rsid w:val="002B6E92"/>
    <w:rsid w:val="002B70DA"/>
    <w:rsid w:val="002C0354"/>
    <w:rsid w:val="002C0791"/>
    <w:rsid w:val="002C0C3B"/>
    <w:rsid w:val="002C0C65"/>
    <w:rsid w:val="002C195C"/>
    <w:rsid w:val="002C2236"/>
    <w:rsid w:val="002C223F"/>
    <w:rsid w:val="002C227F"/>
    <w:rsid w:val="002C23E7"/>
    <w:rsid w:val="002C2477"/>
    <w:rsid w:val="002C30EA"/>
    <w:rsid w:val="002C31E7"/>
    <w:rsid w:val="002C3226"/>
    <w:rsid w:val="002C33CE"/>
    <w:rsid w:val="002C36F5"/>
    <w:rsid w:val="002C42FD"/>
    <w:rsid w:val="002C4E9D"/>
    <w:rsid w:val="002C53A3"/>
    <w:rsid w:val="002C5674"/>
    <w:rsid w:val="002C5687"/>
    <w:rsid w:val="002C5AFF"/>
    <w:rsid w:val="002C60F2"/>
    <w:rsid w:val="002C6302"/>
    <w:rsid w:val="002C7364"/>
    <w:rsid w:val="002C76E3"/>
    <w:rsid w:val="002C7707"/>
    <w:rsid w:val="002C7F83"/>
    <w:rsid w:val="002D025C"/>
    <w:rsid w:val="002D09C0"/>
    <w:rsid w:val="002D0CE4"/>
    <w:rsid w:val="002D1140"/>
    <w:rsid w:val="002D1822"/>
    <w:rsid w:val="002D1929"/>
    <w:rsid w:val="002D1B5D"/>
    <w:rsid w:val="002D1F82"/>
    <w:rsid w:val="002D2238"/>
    <w:rsid w:val="002D256A"/>
    <w:rsid w:val="002D2628"/>
    <w:rsid w:val="002D2667"/>
    <w:rsid w:val="002D2692"/>
    <w:rsid w:val="002D2741"/>
    <w:rsid w:val="002D3588"/>
    <w:rsid w:val="002D3A19"/>
    <w:rsid w:val="002D4F9F"/>
    <w:rsid w:val="002D568E"/>
    <w:rsid w:val="002D589F"/>
    <w:rsid w:val="002D6012"/>
    <w:rsid w:val="002D6358"/>
    <w:rsid w:val="002D6BB7"/>
    <w:rsid w:val="002D7988"/>
    <w:rsid w:val="002D79D5"/>
    <w:rsid w:val="002E0AD3"/>
    <w:rsid w:val="002E115A"/>
    <w:rsid w:val="002E142E"/>
    <w:rsid w:val="002E1670"/>
    <w:rsid w:val="002E19AE"/>
    <w:rsid w:val="002E24FD"/>
    <w:rsid w:val="002E2F80"/>
    <w:rsid w:val="002E37CE"/>
    <w:rsid w:val="002E3C69"/>
    <w:rsid w:val="002E40E0"/>
    <w:rsid w:val="002E45D6"/>
    <w:rsid w:val="002E47E7"/>
    <w:rsid w:val="002E485F"/>
    <w:rsid w:val="002E4D54"/>
    <w:rsid w:val="002E4FBB"/>
    <w:rsid w:val="002E585E"/>
    <w:rsid w:val="002E58ED"/>
    <w:rsid w:val="002E5F83"/>
    <w:rsid w:val="002E6738"/>
    <w:rsid w:val="002E6EE7"/>
    <w:rsid w:val="002E73E5"/>
    <w:rsid w:val="002E7BFC"/>
    <w:rsid w:val="002F03CA"/>
    <w:rsid w:val="002F0708"/>
    <w:rsid w:val="002F127C"/>
    <w:rsid w:val="002F1357"/>
    <w:rsid w:val="002F13C5"/>
    <w:rsid w:val="002F1B5F"/>
    <w:rsid w:val="002F2135"/>
    <w:rsid w:val="002F21E4"/>
    <w:rsid w:val="002F27B6"/>
    <w:rsid w:val="002F29EA"/>
    <w:rsid w:val="002F2BE2"/>
    <w:rsid w:val="002F2D67"/>
    <w:rsid w:val="002F30FA"/>
    <w:rsid w:val="002F317C"/>
    <w:rsid w:val="002F382A"/>
    <w:rsid w:val="002F39D5"/>
    <w:rsid w:val="002F409C"/>
    <w:rsid w:val="002F4FE3"/>
    <w:rsid w:val="002F4FF8"/>
    <w:rsid w:val="002F552C"/>
    <w:rsid w:val="002F6681"/>
    <w:rsid w:val="002F66C6"/>
    <w:rsid w:val="002F69EA"/>
    <w:rsid w:val="002F7147"/>
    <w:rsid w:val="002F72B6"/>
    <w:rsid w:val="002F7EC7"/>
    <w:rsid w:val="003000B6"/>
    <w:rsid w:val="003007EA"/>
    <w:rsid w:val="00300F15"/>
    <w:rsid w:val="003011AC"/>
    <w:rsid w:val="00301263"/>
    <w:rsid w:val="003012FE"/>
    <w:rsid w:val="003015FC"/>
    <w:rsid w:val="00301788"/>
    <w:rsid w:val="00302457"/>
    <w:rsid w:val="003030A6"/>
    <w:rsid w:val="003032BB"/>
    <w:rsid w:val="00303863"/>
    <w:rsid w:val="00303869"/>
    <w:rsid w:val="00304129"/>
    <w:rsid w:val="0030423D"/>
    <w:rsid w:val="003042FA"/>
    <w:rsid w:val="003046CE"/>
    <w:rsid w:val="00304A77"/>
    <w:rsid w:val="00304BA1"/>
    <w:rsid w:val="00305562"/>
    <w:rsid w:val="0030559D"/>
    <w:rsid w:val="003058E7"/>
    <w:rsid w:val="00305A9F"/>
    <w:rsid w:val="00305B1F"/>
    <w:rsid w:val="00305BB3"/>
    <w:rsid w:val="00305D49"/>
    <w:rsid w:val="00305EFE"/>
    <w:rsid w:val="00305FAC"/>
    <w:rsid w:val="00306279"/>
    <w:rsid w:val="0030738D"/>
    <w:rsid w:val="00307547"/>
    <w:rsid w:val="003075A9"/>
    <w:rsid w:val="003102B0"/>
    <w:rsid w:val="00310476"/>
    <w:rsid w:val="00310EA3"/>
    <w:rsid w:val="00311131"/>
    <w:rsid w:val="00311685"/>
    <w:rsid w:val="00311BEB"/>
    <w:rsid w:val="00312049"/>
    <w:rsid w:val="0031207C"/>
    <w:rsid w:val="0031211C"/>
    <w:rsid w:val="003121EC"/>
    <w:rsid w:val="003124CF"/>
    <w:rsid w:val="0031293C"/>
    <w:rsid w:val="00312B56"/>
    <w:rsid w:val="00312B87"/>
    <w:rsid w:val="00312E3C"/>
    <w:rsid w:val="00312F3F"/>
    <w:rsid w:val="00312F95"/>
    <w:rsid w:val="0031319B"/>
    <w:rsid w:val="003135F3"/>
    <w:rsid w:val="00313CFF"/>
    <w:rsid w:val="00313D98"/>
    <w:rsid w:val="0031439C"/>
    <w:rsid w:val="00314806"/>
    <w:rsid w:val="003148BF"/>
    <w:rsid w:val="00314917"/>
    <w:rsid w:val="003149CE"/>
    <w:rsid w:val="00315357"/>
    <w:rsid w:val="00315922"/>
    <w:rsid w:val="00315BCC"/>
    <w:rsid w:val="00315D4C"/>
    <w:rsid w:val="00315FBA"/>
    <w:rsid w:val="0031631D"/>
    <w:rsid w:val="00316E90"/>
    <w:rsid w:val="003172F2"/>
    <w:rsid w:val="0031733E"/>
    <w:rsid w:val="00317E82"/>
    <w:rsid w:val="00320051"/>
    <w:rsid w:val="0032027B"/>
    <w:rsid w:val="00320288"/>
    <w:rsid w:val="0032073D"/>
    <w:rsid w:val="00320783"/>
    <w:rsid w:val="00320D70"/>
    <w:rsid w:val="00321BAA"/>
    <w:rsid w:val="0032237C"/>
    <w:rsid w:val="003228B2"/>
    <w:rsid w:val="00322CEA"/>
    <w:rsid w:val="00322E80"/>
    <w:rsid w:val="0032304E"/>
    <w:rsid w:val="00323ABF"/>
    <w:rsid w:val="00323CFD"/>
    <w:rsid w:val="00323EEC"/>
    <w:rsid w:val="00324557"/>
    <w:rsid w:val="003245F4"/>
    <w:rsid w:val="00325258"/>
    <w:rsid w:val="003252A0"/>
    <w:rsid w:val="003255E0"/>
    <w:rsid w:val="00325B30"/>
    <w:rsid w:val="00325CCC"/>
    <w:rsid w:val="00325FBA"/>
    <w:rsid w:val="003268D2"/>
    <w:rsid w:val="00326E61"/>
    <w:rsid w:val="003270FA"/>
    <w:rsid w:val="00327377"/>
    <w:rsid w:val="003278DB"/>
    <w:rsid w:val="00327B66"/>
    <w:rsid w:val="00327EC0"/>
    <w:rsid w:val="00327F9D"/>
    <w:rsid w:val="0033005C"/>
    <w:rsid w:val="00330622"/>
    <w:rsid w:val="0033114C"/>
    <w:rsid w:val="00331479"/>
    <w:rsid w:val="003318EE"/>
    <w:rsid w:val="00331CC0"/>
    <w:rsid w:val="00331DB2"/>
    <w:rsid w:val="0033204C"/>
    <w:rsid w:val="003321A5"/>
    <w:rsid w:val="00333087"/>
    <w:rsid w:val="00333B39"/>
    <w:rsid w:val="00334348"/>
    <w:rsid w:val="0033445D"/>
    <w:rsid w:val="00334D55"/>
    <w:rsid w:val="003352BB"/>
    <w:rsid w:val="003355F3"/>
    <w:rsid w:val="0033584D"/>
    <w:rsid w:val="0033587B"/>
    <w:rsid w:val="00335CAD"/>
    <w:rsid w:val="0033616C"/>
    <w:rsid w:val="00336270"/>
    <w:rsid w:val="0033657A"/>
    <w:rsid w:val="003365EE"/>
    <w:rsid w:val="003367D0"/>
    <w:rsid w:val="00336835"/>
    <w:rsid w:val="003369AB"/>
    <w:rsid w:val="00336DBC"/>
    <w:rsid w:val="00337013"/>
    <w:rsid w:val="00337378"/>
    <w:rsid w:val="00337707"/>
    <w:rsid w:val="0033771B"/>
    <w:rsid w:val="003378FA"/>
    <w:rsid w:val="00337D20"/>
    <w:rsid w:val="00337EA9"/>
    <w:rsid w:val="00340483"/>
    <w:rsid w:val="0034089F"/>
    <w:rsid w:val="003415F6"/>
    <w:rsid w:val="00341F46"/>
    <w:rsid w:val="00342C32"/>
    <w:rsid w:val="00342F73"/>
    <w:rsid w:val="00343391"/>
    <w:rsid w:val="00343513"/>
    <w:rsid w:val="0034356B"/>
    <w:rsid w:val="003437E7"/>
    <w:rsid w:val="00343899"/>
    <w:rsid w:val="003438A8"/>
    <w:rsid w:val="00343A29"/>
    <w:rsid w:val="00343D2D"/>
    <w:rsid w:val="00343F43"/>
    <w:rsid w:val="003444DC"/>
    <w:rsid w:val="003448E0"/>
    <w:rsid w:val="00344A12"/>
    <w:rsid w:val="00346107"/>
    <w:rsid w:val="003468F2"/>
    <w:rsid w:val="00346B83"/>
    <w:rsid w:val="00346E04"/>
    <w:rsid w:val="00347614"/>
    <w:rsid w:val="0034787E"/>
    <w:rsid w:val="00347979"/>
    <w:rsid w:val="00350095"/>
    <w:rsid w:val="0035033E"/>
    <w:rsid w:val="00350583"/>
    <w:rsid w:val="00350A69"/>
    <w:rsid w:val="003513AD"/>
    <w:rsid w:val="0035203B"/>
    <w:rsid w:val="0035215F"/>
    <w:rsid w:val="003522FD"/>
    <w:rsid w:val="0035272C"/>
    <w:rsid w:val="0035288A"/>
    <w:rsid w:val="00352E9F"/>
    <w:rsid w:val="0035312F"/>
    <w:rsid w:val="00353BA3"/>
    <w:rsid w:val="00354CC8"/>
    <w:rsid w:val="00354F63"/>
    <w:rsid w:val="0035521F"/>
    <w:rsid w:val="00355704"/>
    <w:rsid w:val="00355B8C"/>
    <w:rsid w:val="00355F01"/>
    <w:rsid w:val="00356553"/>
    <w:rsid w:val="00356C6B"/>
    <w:rsid w:val="00356FAB"/>
    <w:rsid w:val="00357479"/>
    <w:rsid w:val="003575DA"/>
    <w:rsid w:val="00357B38"/>
    <w:rsid w:val="00357C52"/>
    <w:rsid w:val="0036037A"/>
    <w:rsid w:val="00360B1C"/>
    <w:rsid w:val="00360B62"/>
    <w:rsid w:val="00360E00"/>
    <w:rsid w:val="00360E83"/>
    <w:rsid w:val="0036178E"/>
    <w:rsid w:val="00361A21"/>
    <w:rsid w:val="00361B25"/>
    <w:rsid w:val="00361E5C"/>
    <w:rsid w:val="00361F55"/>
    <w:rsid w:val="00362346"/>
    <w:rsid w:val="003623CA"/>
    <w:rsid w:val="003627A4"/>
    <w:rsid w:val="003628A8"/>
    <w:rsid w:val="00362C32"/>
    <w:rsid w:val="00363128"/>
    <w:rsid w:val="003635A4"/>
    <w:rsid w:val="003635F0"/>
    <w:rsid w:val="00364E34"/>
    <w:rsid w:val="00365184"/>
    <w:rsid w:val="0036590C"/>
    <w:rsid w:val="00365A73"/>
    <w:rsid w:val="00365D74"/>
    <w:rsid w:val="0036679E"/>
    <w:rsid w:val="00366AF6"/>
    <w:rsid w:val="003670A6"/>
    <w:rsid w:val="0036784D"/>
    <w:rsid w:val="00367EAE"/>
    <w:rsid w:val="0037083A"/>
    <w:rsid w:val="00370BD4"/>
    <w:rsid w:val="00370C05"/>
    <w:rsid w:val="00371998"/>
    <w:rsid w:val="003721DC"/>
    <w:rsid w:val="003722D5"/>
    <w:rsid w:val="00373826"/>
    <w:rsid w:val="0037385A"/>
    <w:rsid w:val="00373F98"/>
    <w:rsid w:val="003747B5"/>
    <w:rsid w:val="0037494F"/>
    <w:rsid w:val="003752B8"/>
    <w:rsid w:val="00375595"/>
    <w:rsid w:val="00375911"/>
    <w:rsid w:val="00375A57"/>
    <w:rsid w:val="00375B7D"/>
    <w:rsid w:val="00375C47"/>
    <w:rsid w:val="00375DC2"/>
    <w:rsid w:val="00375F09"/>
    <w:rsid w:val="0037617B"/>
    <w:rsid w:val="00376186"/>
    <w:rsid w:val="003768A2"/>
    <w:rsid w:val="00376916"/>
    <w:rsid w:val="0037699B"/>
    <w:rsid w:val="00376C61"/>
    <w:rsid w:val="00377698"/>
    <w:rsid w:val="0038007F"/>
    <w:rsid w:val="00380274"/>
    <w:rsid w:val="00380458"/>
    <w:rsid w:val="0038156C"/>
    <w:rsid w:val="0038196E"/>
    <w:rsid w:val="00382629"/>
    <w:rsid w:val="003826BF"/>
    <w:rsid w:val="003827C2"/>
    <w:rsid w:val="003829E8"/>
    <w:rsid w:val="00382B20"/>
    <w:rsid w:val="00383506"/>
    <w:rsid w:val="0038386F"/>
    <w:rsid w:val="00383932"/>
    <w:rsid w:val="00383D5C"/>
    <w:rsid w:val="00384327"/>
    <w:rsid w:val="00384367"/>
    <w:rsid w:val="00385577"/>
    <w:rsid w:val="0038585B"/>
    <w:rsid w:val="00385BC2"/>
    <w:rsid w:val="00385CB8"/>
    <w:rsid w:val="00385E5B"/>
    <w:rsid w:val="00385EAA"/>
    <w:rsid w:val="00385EAD"/>
    <w:rsid w:val="00385F84"/>
    <w:rsid w:val="00386025"/>
    <w:rsid w:val="0038609D"/>
    <w:rsid w:val="003863E7"/>
    <w:rsid w:val="003866D8"/>
    <w:rsid w:val="0038685B"/>
    <w:rsid w:val="003869CE"/>
    <w:rsid w:val="00386E2D"/>
    <w:rsid w:val="00386F71"/>
    <w:rsid w:val="003901A4"/>
    <w:rsid w:val="00390AB6"/>
    <w:rsid w:val="00390C5E"/>
    <w:rsid w:val="00390FD9"/>
    <w:rsid w:val="003917BB"/>
    <w:rsid w:val="0039189E"/>
    <w:rsid w:val="00391A3E"/>
    <w:rsid w:val="0039329C"/>
    <w:rsid w:val="00393BCD"/>
    <w:rsid w:val="00393D51"/>
    <w:rsid w:val="00393D7F"/>
    <w:rsid w:val="00394850"/>
    <w:rsid w:val="0039493B"/>
    <w:rsid w:val="00394D77"/>
    <w:rsid w:val="00394EA7"/>
    <w:rsid w:val="0039538F"/>
    <w:rsid w:val="00395ECD"/>
    <w:rsid w:val="00395F09"/>
    <w:rsid w:val="00395F8B"/>
    <w:rsid w:val="0039622E"/>
    <w:rsid w:val="003967BB"/>
    <w:rsid w:val="003967CC"/>
    <w:rsid w:val="003978A1"/>
    <w:rsid w:val="00397A35"/>
    <w:rsid w:val="00397CE0"/>
    <w:rsid w:val="00397D55"/>
    <w:rsid w:val="003A051F"/>
    <w:rsid w:val="003A0AC5"/>
    <w:rsid w:val="003A0BB2"/>
    <w:rsid w:val="003A0E10"/>
    <w:rsid w:val="003A1668"/>
    <w:rsid w:val="003A1807"/>
    <w:rsid w:val="003A1868"/>
    <w:rsid w:val="003A1B5F"/>
    <w:rsid w:val="003A26EC"/>
    <w:rsid w:val="003A2B52"/>
    <w:rsid w:val="003A3187"/>
    <w:rsid w:val="003A3C84"/>
    <w:rsid w:val="003A3CF4"/>
    <w:rsid w:val="003A3F8C"/>
    <w:rsid w:val="003A4078"/>
    <w:rsid w:val="003A4824"/>
    <w:rsid w:val="003A53AF"/>
    <w:rsid w:val="003A53FB"/>
    <w:rsid w:val="003A5608"/>
    <w:rsid w:val="003A5D33"/>
    <w:rsid w:val="003A5E10"/>
    <w:rsid w:val="003A636C"/>
    <w:rsid w:val="003A6CBA"/>
    <w:rsid w:val="003A6D59"/>
    <w:rsid w:val="003A70FD"/>
    <w:rsid w:val="003A7283"/>
    <w:rsid w:val="003A7865"/>
    <w:rsid w:val="003A78F8"/>
    <w:rsid w:val="003A7A66"/>
    <w:rsid w:val="003B0473"/>
    <w:rsid w:val="003B05E6"/>
    <w:rsid w:val="003B166E"/>
    <w:rsid w:val="003B17E3"/>
    <w:rsid w:val="003B1AE8"/>
    <w:rsid w:val="003B1C5A"/>
    <w:rsid w:val="003B23D4"/>
    <w:rsid w:val="003B25AA"/>
    <w:rsid w:val="003B2B94"/>
    <w:rsid w:val="003B2D9C"/>
    <w:rsid w:val="003B2F27"/>
    <w:rsid w:val="003B3107"/>
    <w:rsid w:val="003B3A46"/>
    <w:rsid w:val="003B3CAF"/>
    <w:rsid w:val="003B44A4"/>
    <w:rsid w:val="003B4812"/>
    <w:rsid w:val="003B4E36"/>
    <w:rsid w:val="003B4F1B"/>
    <w:rsid w:val="003B5631"/>
    <w:rsid w:val="003B56D6"/>
    <w:rsid w:val="003B5E26"/>
    <w:rsid w:val="003B5E49"/>
    <w:rsid w:val="003B6CD4"/>
    <w:rsid w:val="003B7781"/>
    <w:rsid w:val="003B7BC8"/>
    <w:rsid w:val="003C0010"/>
    <w:rsid w:val="003C0206"/>
    <w:rsid w:val="003C047B"/>
    <w:rsid w:val="003C0605"/>
    <w:rsid w:val="003C08F8"/>
    <w:rsid w:val="003C0B08"/>
    <w:rsid w:val="003C0C91"/>
    <w:rsid w:val="003C10E8"/>
    <w:rsid w:val="003C10FB"/>
    <w:rsid w:val="003C1F0F"/>
    <w:rsid w:val="003C2255"/>
    <w:rsid w:val="003C3337"/>
    <w:rsid w:val="003C3663"/>
    <w:rsid w:val="003C39ED"/>
    <w:rsid w:val="003C3EC8"/>
    <w:rsid w:val="003C4043"/>
    <w:rsid w:val="003C4855"/>
    <w:rsid w:val="003C4ADE"/>
    <w:rsid w:val="003C4C3E"/>
    <w:rsid w:val="003C4C99"/>
    <w:rsid w:val="003C4E20"/>
    <w:rsid w:val="003C4ED7"/>
    <w:rsid w:val="003C53D3"/>
    <w:rsid w:val="003C5549"/>
    <w:rsid w:val="003C5565"/>
    <w:rsid w:val="003C566D"/>
    <w:rsid w:val="003C5850"/>
    <w:rsid w:val="003C5952"/>
    <w:rsid w:val="003C5BA5"/>
    <w:rsid w:val="003C5FE2"/>
    <w:rsid w:val="003C650D"/>
    <w:rsid w:val="003C682D"/>
    <w:rsid w:val="003C6AFA"/>
    <w:rsid w:val="003C6BBA"/>
    <w:rsid w:val="003C6C34"/>
    <w:rsid w:val="003C6E86"/>
    <w:rsid w:val="003C6F1C"/>
    <w:rsid w:val="003C7375"/>
    <w:rsid w:val="003C76FE"/>
    <w:rsid w:val="003C7AC9"/>
    <w:rsid w:val="003C7D8F"/>
    <w:rsid w:val="003D044B"/>
    <w:rsid w:val="003D06DE"/>
    <w:rsid w:val="003D0748"/>
    <w:rsid w:val="003D0A8F"/>
    <w:rsid w:val="003D10E5"/>
    <w:rsid w:val="003D11B4"/>
    <w:rsid w:val="003D1215"/>
    <w:rsid w:val="003D1417"/>
    <w:rsid w:val="003D1982"/>
    <w:rsid w:val="003D2155"/>
    <w:rsid w:val="003D22C8"/>
    <w:rsid w:val="003D2519"/>
    <w:rsid w:val="003D2CE9"/>
    <w:rsid w:val="003D2D46"/>
    <w:rsid w:val="003D377B"/>
    <w:rsid w:val="003D3ECD"/>
    <w:rsid w:val="003D4022"/>
    <w:rsid w:val="003D47C4"/>
    <w:rsid w:val="003D4876"/>
    <w:rsid w:val="003D4997"/>
    <w:rsid w:val="003D4D59"/>
    <w:rsid w:val="003D4DAD"/>
    <w:rsid w:val="003D51EA"/>
    <w:rsid w:val="003D62E0"/>
    <w:rsid w:val="003D66A1"/>
    <w:rsid w:val="003D6748"/>
    <w:rsid w:val="003D6902"/>
    <w:rsid w:val="003D6AD2"/>
    <w:rsid w:val="003D6DFE"/>
    <w:rsid w:val="003D7188"/>
    <w:rsid w:val="003D7387"/>
    <w:rsid w:val="003D7480"/>
    <w:rsid w:val="003D77AF"/>
    <w:rsid w:val="003D7B54"/>
    <w:rsid w:val="003D7B5D"/>
    <w:rsid w:val="003D7BB7"/>
    <w:rsid w:val="003D7C1C"/>
    <w:rsid w:val="003E06B8"/>
    <w:rsid w:val="003E0881"/>
    <w:rsid w:val="003E29A6"/>
    <w:rsid w:val="003E3140"/>
    <w:rsid w:val="003E35BF"/>
    <w:rsid w:val="003E44EF"/>
    <w:rsid w:val="003E4555"/>
    <w:rsid w:val="003E4A25"/>
    <w:rsid w:val="003E4D64"/>
    <w:rsid w:val="003E524F"/>
    <w:rsid w:val="003E57B3"/>
    <w:rsid w:val="003E5C40"/>
    <w:rsid w:val="003E60B7"/>
    <w:rsid w:val="003E61F4"/>
    <w:rsid w:val="003E6501"/>
    <w:rsid w:val="003E6747"/>
    <w:rsid w:val="003E69EA"/>
    <w:rsid w:val="003E6C07"/>
    <w:rsid w:val="003E7683"/>
    <w:rsid w:val="003F0287"/>
    <w:rsid w:val="003F03DE"/>
    <w:rsid w:val="003F0A0A"/>
    <w:rsid w:val="003F131F"/>
    <w:rsid w:val="003F1C21"/>
    <w:rsid w:val="003F1CA7"/>
    <w:rsid w:val="003F1D6C"/>
    <w:rsid w:val="003F1E27"/>
    <w:rsid w:val="003F1E8A"/>
    <w:rsid w:val="003F2042"/>
    <w:rsid w:val="003F2618"/>
    <w:rsid w:val="003F2F7B"/>
    <w:rsid w:val="003F318D"/>
    <w:rsid w:val="003F335E"/>
    <w:rsid w:val="003F46AC"/>
    <w:rsid w:val="003F4715"/>
    <w:rsid w:val="003F4F92"/>
    <w:rsid w:val="003F5566"/>
    <w:rsid w:val="003F5586"/>
    <w:rsid w:val="003F57C1"/>
    <w:rsid w:val="003F59B0"/>
    <w:rsid w:val="003F5C1E"/>
    <w:rsid w:val="003F6231"/>
    <w:rsid w:val="003F62F0"/>
    <w:rsid w:val="003F6AE7"/>
    <w:rsid w:val="003F723E"/>
    <w:rsid w:val="003F7463"/>
    <w:rsid w:val="003F7AA3"/>
    <w:rsid w:val="003F7B12"/>
    <w:rsid w:val="003F7C9A"/>
    <w:rsid w:val="00400552"/>
    <w:rsid w:val="004011DA"/>
    <w:rsid w:val="00401E06"/>
    <w:rsid w:val="0040220E"/>
    <w:rsid w:val="00402782"/>
    <w:rsid w:val="004028F2"/>
    <w:rsid w:val="00402A70"/>
    <w:rsid w:val="00403369"/>
    <w:rsid w:val="00403823"/>
    <w:rsid w:val="00403C5F"/>
    <w:rsid w:val="004047E8"/>
    <w:rsid w:val="00404D52"/>
    <w:rsid w:val="00404E81"/>
    <w:rsid w:val="00404F31"/>
    <w:rsid w:val="0040519E"/>
    <w:rsid w:val="004051E5"/>
    <w:rsid w:val="00405298"/>
    <w:rsid w:val="004053DF"/>
    <w:rsid w:val="00405986"/>
    <w:rsid w:val="00405DA5"/>
    <w:rsid w:val="00406018"/>
    <w:rsid w:val="004063C8"/>
    <w:rsid w:val="00407087"/>
    <w:rsid w:val="004071C2"/>
    <w:rsid w:val="004072EB"/>
    <w:rsid w:val="004073EE"/>
    <w:rsid w:val="0040782A"/>
    <w:rsid w:val="004104FC"/>
    <w:rsid w:val="004106D3"/>
    <w:rsid w:val="004108D3"/>
    <w:rsid w:val="00410D87"/>
    <w:rsid w:val="00411C03"/>
    <w:rsid w:val="00411F4C"/>
    <w:rsid w:val="0041300B"/>
    <w:rsid w:val="00413AA1"/>
    <w:rsid w:val="00413DE5"/>
    <w:rsid w:val="00413FC3"/>
    <w:rsid w:val="00413FD8"/>
    <w:rsid w:val="00415E7B"/>
    <w:rsid w:val="0041634E"/>
    <w:rsid w:val="004163A3"/>
    <w:rsid w:val="004172C5"/>
    <w:rsid w:val="00417530"/>
    <w:rsid w:val="00417B3B"/>
    <w:rsid w:val="00417F58"/>
    <w:rsid w:val="00420801"/>
    <w:rsid w:val="004210B0"/>
    <w:rsid w:val="00421BC4"/>
    <w:rsid w:val="004224D9"/>
    <w:rsid w:val="00422E1E"/>
    <w:rsid w:val="00423135"/>
    <w:rsid w:val="0042331F"/>
    <w:rsid w:val="00423548"/>
    <w:rsid w:val="004236CC"/>
    <w:rsid w:val="004236F3"/>
    <w:rsid w:val="004239FC"/>
    <w:rsid w:val="00423A35"/>
    <w:rsid w:val="00423ABB"/>
    <w:rsid w:val="0042487A"/>
    <w:rsid w:val="004254ED"/>
    <w:rsid w:val="00425A26"/>
    <w:rsid w:val="00425B83"/>
    <w:rsid w:val="00425CB4"/>
    <w:rsid w:val="004261CF"/>
    <w:rsid w:val="00426267"/>
    <w:rsid w:val="00426A55"/>
    <w:rsid w:val="00427310"/>
    <w:rsid w:val="00427BAF"/>
    <w:rsid w:val="00430E7B"/>
    <w:rsid w:val="00431300"/>
    <w:rsid w:val="00431800"/>
    <w:rsid w:val="00431DC2"/>
    <w:rsid w:val="00431DC7"/>
    <w:rsid w:val="0043211D"/>
    <w:rsid w:val="00432E8E"/>
    <w:rsid w:val="00432FBC"/>
    <w:rsid w:val="0043329B"/>
    <w:rsid w:val="004338CA"/>
    <w:rsid w:val="00434085"/>
    <w:rsid w:val="004345E5"/>
    <w:rsid w:val="0043461B"/>
    <w:rsid w:val="00434F11"/>
    <w:rsid w:val="0043571C"/>
    <w:rsid w:val="004358FA"/>
    <w:rsid w:val="00435CCC"/>
    <w:rsid w:val="00435D1D"/>
    <w:rsid w:val="00436107"/>
    <w:rsid w:val="00436809"/>
    <w:rsid w:val="004369DC"/>
    <w:rsid w:val="004375E2"/>
    <w:rsid w:val="00437C6C"/>
    <w:rsid w:val="00440155"/>
    <w:rsid w:val="00440475"/>
    <w:rsid w:val="004406B1"/>
    <w:rsid w:val="00440A82"/>
    <w:rsid w:val="00440E3E"/>
    <w:rsid w:val="004411F3"/>
    <w:rsid w:val="00441509"/>
    <w:rsid w:val="00441C17"/>
    <w:rsid w:val="00441D88"/>
    <w:rsid w:val="00441F6C"/>
    <w:rsid w:val="004426C9"/>
    <w:rsid w:val="00442EFF"/>
    <w:rsid w:val="00443130"/>
    <w:rsid w:val="00443A8E"/>
    <w:rsid w:val="00443B82"/>
    <w:rsid w:val="0044428C"/>
    <w:rsid w:val="00444466"/>
    <w:rsid w:val="004446BF"/>
    <w:rsid w:val="004447B3"/>
    <w:rsid w:val="004447BC"/>
    <w:rsid w:val="00445223"/>
    <w:rsid w:val="004458B0"/>
    <w:rsid w:val="00445901"/>
    <w:rsid w:val="00445AD8"/>
    <w:rsid w:val="00445B61"/>
    <w:rsid w:val="00446669"/>
    <w:rsid w:val="004466F0"/>
    <w:rsid w:val="004467CD"/>
    <w:rsid w:val="0044691B"/>
    <w:rsid w:val="00446959"/>
    <w:rsid w:val="00446A8D"/>
    <w:rsid w:val="0044727D"/>
    <w:rsid w:val="004475E6"/>
    <w:rsid w:val="004479FA"/>
    <w:rsid w:val="00450892"/>
    <w:rsid w:val="004508E1"/>
    <w:rsid w:val="004508E6"/>
    <w:rsid w:val="00450F24"/>
    <w:rsid w:val="00451557"/>
    <w:rsid w:val="00451CF9"/>
    <w:rsid w:val="00451E2C"/>
    <w:rsid w:val="00452B13"/>
    <w:rsid w:val="00452FA0"/>
    <w:rsid w:val="00453128"/>
    <w:rsid w:val="004532E2"/>
    <w:rsid w:val="004533D1"/>
    <w:rsid w:val="0045349B"/>
    <w:rsid w:val="004535D2"/>
    <w:rsid w:val="004539CC"/>
    <w:rsid w:val="00453A26"/>
    <w:rsid w:val="00454431"/>
    <w:rsid w:val="00454662"/>
    <w:rsid w:val="00454C9B"/>
    <w:rsid w:val="00454CB8"/>
    <w:rsid w:val="00455199"/>
    <w:rsid w:val="004553AD"/>
    <w:rsid w:val="00456C5B"/>
    <w:rsid w:val="00456E2A"/>
    <w:rsid w:val="0045708F"/>
    <w:rsid w:val="00457482"/>
    <w:rsid w:val="00457714"/>
    <w:rsid w:val="00457883"/>
    <w:rsid w:val="00457F74"/>
    <w:rsid w:val="00460302"/>
    <w:rsid w:val="00460578"/>
    <w:rsid w:val="00460896"/>
    <w:rsid w:val="0046092C"/>
    <w:rsid w:val="00460C20"/>
    <w:rsid w:val="00461273"/>
    <w:rsid w:val="00461325"/>
    <w:rsid w:val="004614E2"/>
    <w:rsid w:val="0046153F"/>
    <w:rsid w:val="004617E6"/>
    <w:rsid w:val="00461B08"/>
    <w:rsid w:val="00461C64"/>
    <w:rsid w:val="004622B0"/>
    <w:rsid w:val="004625D7"/>
    <w:rsid w:val="00462E21"/>
    <w:rsid w:val="004637E4"/>
    <w:rsid w:val="004642A8"/>
    <w:rsid w:val="004644CC"/>
    <w:rsid w:val="004645CA"/>
    <w:rsid w:val="0046495C"/>
    <w:rsid w:val="00464AD5"/>
    <w:rsid w:val="00464BF9"/>
    <w:rsid w:val="00464EAA"/>
    <w:rsid w:val="004651B2"/>
    <w:rsid w:val="00465372"/>
    <w:rsid w:val="00465440"/>
    <w:rsid w:val="004654D1"/>
    <w:rsid w:val="0046591C"/>
    <w:rsid w:val="00465D9E"/>
    <w:rsid w:val="00465E6B"/>
    <w:rsid w:val="0046603E"/>
    <w:rsid w:val="004664EB"/>
    <w:rsid w:val="004668C4"/>
    <w:rsid w:val="00466D5C"/>
    <w:rsid w:val="00466F90"/>
    <w:rsid w:val="004674FC"/>
    <w:rsid w:val="004674FD"/>
    <w:rsid w:val="00467717"/>
    <w:rsid w:val="0046785C"/>
    <w:rsid w:val="004702B6"/>
    <w:rsid w:val="004705F2"/>
    <w:rsid w:val="0047065C"/>
    <w:rsid w:val="0047067E"/>
    <w:rsid w:val="00470DAB"/>
    <w:rsid w:val="00471208"/>
    <w:rsid w:val="00471470"/>
    <w:rsid w:val="00471560"/>
    <w:rsid w:val="00472000"/>
    <w:rsid w:val="00473A2F"/>
    <w:rsid w:val="00474EC9"/>
    <w:rsid w:val="00474EFB"/>
    <w:rsid w:val="0047509B"/>
    <w:rsid w:val="004751B6"/>
    <w:rsid w:val="00475253"/>
    <w:rsid w:val="00475CCB"/>
    <w:rsid w:val="00476186"/>
    <w:rsid w:val="00476641"/>
    <w:rsid w:val="004767EA"/>
    <w:rsid w:val="004768E0"/>
    <w:rsid w:val="00476C8B"/>
    <w:rsid w:val="00476EC7"/>
    <w:rsid w:val="00476ED5"/>
    <w:rsid w:val="00476F78"/>
    <w:rsid w:val="004770D0"/>
    <w:rsid w:val="0048019B"/>
    <w:rsid w:val="004804BC"/>
    <w:rsid w:val="004807AE"/>
    <w:rsid w:val="00480C0C"/>
    <w:rsid w:val="00480FC5"/>
    <w:rsid w:val="00481614"/>
    <w:rsid w:val="00481850"/>
    <w:rsid w:val="00481BF8"/>
    <w:rsid w:val="00481D04"/>
    <w:rsid w:val="0048229C"/>
    <w:rsid w:val="004827CB"/>
    <w:rsid w:val="00483388"/>
    <w:rsid w:val="00483E9D"/>
    <w:rsid w:val="00483EB4"/>
    <w:rsid w:val="0048408F"/>
    <w:rsid w:val="00484188"/>
    <w:rsid w:val="00484559"/>
    <w:rsid w:val="0048488E"/>
    <w:rsid w:val="00484911"/>
    <w:rsid w:val="00484BCC"/>
    <w:rsid w:val="00485340"/>
    <w:rsid w:val="004853A4"/>
    <w:rsid w:val="00486BAF"/>
    <w:rsid w:val="00486BF1"/>
    <w:rsid w:val="0048742F"/>
    <w:rsid w:val="0048783E"/>
    <w:rsid w:val="004878BB"/>
    <w:rsid w:val="0048797B"/>
    <w:rsid w:val="00487BF8"/>
    <w:rsid w:val="004904F1"/>
    <w:rsid w:val="00490991"/>
    <w:rsid w:val="00490FBF"/>
    <w:rsid w:val="0049112C"/>
    <w:rsid w:val="00491862"/>
    <w:rsid w:val="00491D7E"/>
    <w:rsid w:val="0049207B"/>
    <w:rsid w:val="0049280E"/>
    <w:rsid w:val="00493139"/>
    <w:rsid w:val="004932DC"/>
    <w:rsid w:val="004935BF"/>
    <w:rsid w:val="00493990"/>
    <w:rsid w:val="00493BF9"/>
    <w:rsid w:val="00493EB1"/>
    <w:rsid w:val="00493F6F"/>
    <w:rsid w:val="00494052"/>
    <w:rsid w:val="00494253"/>
    <w:rsid w:val="00494259"/>
    <w:rsid w:val="0049493D"/>
    <w:rsid w:val="00494A9D"/>
    <w:rsid w:val="00494D7E"/>
    <w:rsid w:val="004953D4"/>
    <w:rsid w:val="00495400"/>
    <w:rsid w:val="0049541E"/>
    <w:rsid w:val="0049542F"/>
    <w:rsid w:val="004957D8"/>
    <w:rsid w:val="0049657A"/>
    <w:rsid w:val="00497248"/>
    <w:rsid w:val="0049725F"/>
    <w:rsid w:val="00497DB8"/>
    <w:rsid w:val="00497F78"/>
    <w:rsid w:val="004A05D3"/>
    <w:rsid w:val="004A0634"/>
    <w:rsid w:val="004A08A2"/>
    <w:rsid w:val="004A0997"/>
    <w:rsid w:val="004A09A3"/>
    <w:rsid w:val="004A0D6D"/>
    <w:rsid w:val="004A11F3"/>
    <w:rsid w:val="004A1356"/>
    <w:rsid w:val="004A1430"/>
    <w:rsid w:val="004A1A52"/>
    <w:rsid w:val="004A33C5"/>
    <w:rsid w:val="004A351A"/>
    <w:rsid w:val="004A35EC"/>
    <w:rsid w:val="004A3F59"/>
    <w:rsid w:val="004A41BC"/>
    <w:rsid w:val="004A45C8"/>
    <w:rsid w:val="004A4D0D"/>
    <w:rsid w:val="004A51D5"/>
    <w:rsid w:val="004A552A"/>
    <w:rsid w:val="004A5A35"/>
    <w:rsid w:val="004A6532"/>
    <w:rsid w:val="004A6AFD"/>
    <w:rsid w:val="004A6C03"/>
    <w:rsid w:val="004A73BE"/>
    <w:rsid w:val="004A78E4"/>
    <w:rsid w:val="004B01D6"/>
    <w:rsid w:val="004B0D8A"/>
    <w:rsid w:val="004B233B"/>
    <w:rsid w:val="004B25D8"/>
    <w:rsid w:val="004B2C14"/>
    <w:rsid w:val="004B2C8B"/>
    <w:rsid w:val="004B331D"/>
    <w:rsid w:val="004B3605"/>
    <w:rsid w:val="004B3BC9"/>
    <w:rsid w:val="004B457A"/>
    <w:rsid w:val="004B46BB"/>
    <w:rsid w:val="004B49AC"/>
    <w:rsid w:val="004B4BCB"/>
    <w:rsid w:val="004B5284"/>
    <w:rsid w:val="004B535A"/>
    <w:rsid w:val="004B54FC"/>
    <w:rsid w:val="004B5980"/>
    <w:rsid w:val="004B598B"/>
    <w:rsid w:val="004B59C0"/>
    <w:rsid w:val="004B5BCC"/>
    <w:rsid w:val="004B5C05"/>
    <w:rsid w:val="004B5D9A"/>
    <w:rsid w:val="004B606F"/>
    <w:rsid w:val="004B6623"/>
    <w:rsid w:val="004B6E9C"/>
    <w:rsid w:val="004B6FED"/>
    <w:rsid w:val="004B7FE1"/>
    <w:rsid w:val="004C076D"/>
    <w:rsid w:val="004C0B87"/>
    <w:rsid w:val="004C0F6D"/>
    <w:rsid w:val="004C0FA7"/>
    <w:rsid w:val="004C211E"/>
    <w:rsid w:val="004C25A7"/>
    <w:rsid w:val="004C3355"/>
    <w:rsid w:val="004C3C34"/>
    <w:rsid w:val="004C3CD5"/>
    <w:rsid w:val="004C3F9E"/>
    <w:rsid w:val="004C41C9"/>
    <w:rsid w:val="004C4617"/>
    <w:rsid w:val="004C4632"/>
    <w:rsid w:val="004C4787"/>
    <w:rsid w:val="004C4AF0"/>
    <w:rsid w:val="004C4B25"/>
    <w:rsid w:val="004C53C6"/>
    <w:rsid w:val="004C5410"/>
    <w:rsid w:val="004C5D77"/>
    <w:rsid w:val="004C60BB"/>
    <w:rsid w:val="004C6D57"/>
    <w:rsid w:val="004C77D8"/>
    <w:rsid w:val="004C7834"/>
    <w:rsid w:val="004C7C72"/>
    <w:rsid w:val="004D01FC"/>
    <w:rsid w:val="004D050C"/>
    <w:rsid w:val="004D0529"/>
    <w:rsid w:val="004D06E2"/>
    <w:rsid w:val="004D09D0"/>
    <w:rsid w:val="004D0D06"/>
    <w:rsid w:val="004D0D1E"/>
    <w:rsid w:val="004D0E0D"/>
    <w:rsid w:val="004D11D8"/>
    <w:rsid w:val="004D1E83"/>
    <w:rsid w:val="004D299C"/>
    <w:rsid w:val="004D2CED"/>
    <w:rsid w:val="004D2F5C"/>
    <w:rsid w:val="004D32CB"/>
    <w:rsid w:val="004D3785"/>
    <w:rsid w:val="004D38AF"/>
    <w:rsid w:val="004D3955"/>
    <w:rsid w:val="004D417D"/>
    <w:rsid w:val="004D46E0"/>
    <w:rsid w:val="004D4B78"/>
    <w:rsid w:val="004D4C9A"/>
    <w:rsid w:val="004D5D47"/>
    <w:rsid w:val="004D5DA0"/>
    <w:rsid w:val="004D5F6C"/>
    <w:rsid w:val="004D60C5"/>
    <w:rsid w:val="004D6327"/>
    <w:rsid w:val="004D6437"/>
    <w:rsid w:val="004D6B0E"/>
    <w:rsid w:val="004D7267"/>
    <w:rsid w:val="004D74F9"/>
    <w:rsid w:val="004D77C4"/>
    <w:rsid w:val="004E0B36"/>
    <w:rsid w:val="004E0F9F"/>
    <w:rsid w:val="004E174D"/>
    <w:rsid w:val="004E1ACC"/>
    <w:rsid w:val="004E2F28"/>
    <w:rsid w:val="004E32EE"/>
    <w:rsid w:val="004E3A08"/>
    <w:rsid w:val="004E3FC4"/>
    <w:rsid w:val="004E4249"/>
    <w:rsid w:val="004E4795"/>
    <w:rsid w:val="004E61E0"/>
    <w:rsid w:val="004E69F1"/>
    <w:rsid w:val="004E6B78"/>
    <w:rsid w:val="004E6BD9"/>
    <w:rsid w:val="004E6E4E"/>
    <w:rsid w:val="004E6E50"/>
    <w:rsid w:val="004E6FAA"/>
    <w:rsid w:val="004E7532"/>
    <w:rsid w:val="004E7A40"/>
    <w:rsid w:val="004E7A9B"/>
    <w:rsid w:val="004E7EB9"/>
    <w:rsid w:val="004F008A"/>
    <w:rsid w:val="004F02EF"/>
    <w:rsid w:val="004F030D"/>
    <w:rsid w:val="004F046F"/>
    <w:rsid w:val="004F0BAA"/>
    <w:rsid w:val="004F11A6"/>
    <w:rsid w:val="004F19A3"/>
    <w:rsid w:val="004F1DBB"/>
    <w:rsid w:val="004F2261"/>
    <w:rsid w:val="004F238A"/>
    <w:rsid w:val="004F273C"/>
    <w:rsid w:val="004F2921"/>
    <w:rsid w:val="004F2B4A"/>
    <w:rsid w:val="004F2E6B"/>
    <w:rsid w:val="004F311F"/>
    <w:rsid w:val="004F3A49"/>
    <w:rsid w:val="004F3BDF"/>
    <w:rsid w:val="004F43D5"/>
    <w:rsid w:val="004F46E0"/>
    <w:rsid w:val="004F48D1"/>
    <w:rsid w:val="004F4BDE"/>
    <w:rsid w:val="004F541C"/>
    <w:rsid w:val="004F5480"/>
    <w:rsid w:val="004F5D4E"/>
    <w:rsid w:val="004F633B"/>
    <w:rsid w:val="004F6810"/>
    <w:rsid w:val="004F6868"/>
    <w:rsid w:val="004F695A"/>
    <w:rsid w:val="004F6AC9"/>
    <w:rsid w:val="004F6E65"/>
    <w:rsid w:val="004F6F55"/>
    <w:rsid w:val="004F748B"/>
    <w:rsid w:val="004F78C3"/>
    <w:rsid w:val="004F7920"/>
    <w:rsid w:val="004F7B09"/>
    <w:rsid w:val="004F7EDD"/>
    <w:rsid w:val="0050012A"/>
    <w:rsid w:val="0050083C"/>
    <w:rsid w:val="0050099B"/>
    <w:rsid w:val="0050181F"/>
    <w:rsid w:val="00501D83"/>
    <w:rsid w:val="00502868"/>
    <w:rsid w:val="00502C1E"/>
    <w:rsid w:val="00503279"/>
    <w:rsid w:val="00504348"/>
    <w:rsid w:val="00507CAE"/>
    <w:rsid w:val="005101F4"/>
    <w:rsid w:val="00510CA0"/>
    <w:rsid w:val="00511BA5"/>
    <w:rsid w:val="00511C38"/>
    <w:rsid w:val="00511C6E"/>
    <w:rsid w:val="00511CF8"/>
    <w:rsid w:val="00511E74"/>
    <w:rsid w:val="005125E1"/>
    <w:rsid w:val="00512671"/>
    <w:rsid w:val="005126AC"/>
    <w:rsid w:val="00512949"/>
    <w:rsid w:val="00513089"/>
    <w:rsid w:val="0051372E"/>
    <w:rsid w:val="00513DCF"/>
    <w:rsid w:val="00513EEA"/>
    <w:rsid w:val="00513F17"/>
    <w:rsid w:val="00513FAD"/>
    <w:rsid w:val="00514151"/>
    <w:rsid w:val="005142BB"/>
    <w:rsid w:val="005143CE"/>
    <w:rsid w:val="0051483D"/>
    <w:rsid w:val="00514B0E"/>
    <w:rsid w:val="00515BCF"/>
    <w:rsid w:val="00516705"/>
    <w:rsid w:val="00516EA7"/>
    <w:rsid w:val="00517029"/>
    <w:rsid w:val="00517843"/>
    <w:rsid w:val="005202FA"/>
    <w:rsid w:val="005206C3"/>
    <w:rsid w:val="00520C9D"/>
    <w:rsid w:val="005215DD"/>
    <w:rsid w:val="0052203A"/>
    <w:rsid w:val="00522CEF"/>
    <w:rsid w:val="0052347E"/>
    <w:rsid w:val="005238DF"/>
    <w:rsid w:val="0052429C"/>
    <w:rsid w:val="00524CB9"/>
    <w:rsid w:val="00525B61"/>
    <w:rsid w:val="00526173"/>
    <w:rsid w:val="0052653A"/>
    <w:rsid w:val="00527170"/>
    <w:rsid w:val="00527418"/>
    <w:rsid w:val="005278DB"/>
    <w:rsid w:val="0052793E"/>
    <w:rsid w:val="00530F46"/>
    <w:rsid w:val="00531082"/>
    <w:rsid w:val="005313B6"/>
    <w:rsid w:val="0053160E"/>
    <w:rsid w:val="0053188D"/>
    <w:rsid w:val="00531A1A"/>
    <w:rsid w:val="00532213"/>
    <w:rsid w:val="00532687"/>
    <w:rsid w:val="00532725"/>
    <w:rsid w:val="00533318"/>
    <w:rsid w:val="00533350"/>
    <w:rsid w:val="00533927"/>
    <w:rsid w:val="00533DE7"/>
    <w:rsid w:val="00533E2D"/>
    <w:rsid w:val="0053420F"/>
    <w:rsid w:val="00534952"/>
    <w:rsid w:val="00534C30"/>
    <w:rsid w:val="00535706"/>
    <w:rsid w:val="005357CF"/>
    <w:rsid w:val="0053594D"/>
    <w:rsid w:val="00535FFC"/>
    <w:rsid w:val="00536093"/>
    <w:rsid w:val="00536454"/>
    <w:rsid w:val="0053677C"/>
    <w:rsid w:val="00536F00"/>
    <w:rsid w:val="00537666"/>
    <w:rsid w:val="00537DCE"/>
    <w:rsid w:val="00537FC1"/>
    <w:rsid w:val="00540454"/>
    <w:rsid w:val="00540F48"/>
    <w:rsid w:val="00541E69"/>
    <w:rsid w:val="00541F02"/>
    <w:rsid w:val="00542B2B"/>
    <w:rsid w:val="005435EE"/>
    <w:rsid w:val="005437AB"/>
    <w:rsid w:val="0054410A"/>
    <w:rsid w:val="00544F8D"/>
    <w:rsid w:val="00544FA4"/>
    <w:rsid w:val="00545192"/>
    <w:rsid w:val="00545406"/>
    <w:rsid w:val="005457DE"/>
    <w:rsid w:val="00545937"/>
    <w:rsid w:val="00545A93"/>
    <w:rsid w:val="00545B8C"/>
    <w:rsid w:val="005462C2"/>
    <w:rsid w:val="00546B3E"/>
    <w:rsid w:val="00546DCF"/>
    <w:rsid w:val="00547081"/>
    <w:rsid w:val="00547F9E"/>
    <w:rsid w:val="005500BF"/>
    <w:rsid w:val="0055025B"/>
    <w:rsid w:val="00550FE2"/>
    <w:rsid w:val="005512D1"/>
    <w:rsid w:val="005519D1"/>
    <w:rsid w:val="00551C5D"/>
    <w:rsid w:val="00552818"/>
    <w:rsid w:val="00552A59"/>
    <w:rsid w:val="00552BEB"/>
    <w:rsid w:val="00552DA3"/>
    <w:rsid w:val="00552DF9"/>
    <w:rsid w:val="0055331C"/>
    <w:rsid w:val="00553861"/>
    <w:rsid w:val="0055460A"/>
    <w:rsid w:val="00555192"/>
    <w:rsid w:val="00555300"/>
    <w:rsid w:val="005559EE"/>
    <w:rsid w:val="00555B63"/>
    <w:rsid w:val="00556468"/>
    <w:rsid w:val="005566E4"/>
    <w:rsid w:val="0055672B"/>
    <w:rsid w:val="005568D4"/>
    <w:rsid w:val="0055691B"/>
    <w:rsid w:val="00556B4E"/>
    <w:rsid w:val="00556E20"/>
    <w:rsid w:val="00557064"/>
    <w:rsid w:val="005570A4"/>
    <w:rsid w:val="0055717B"/>
    <w:rsid w:val="005572BD"/>
    <w:rsid w:val="0055731F"/>
    <w:rsid w:val="00557630"/>
    <w:rsid w:val="00557756"/>
    <w:rsid w:val="0055789D"/>
    <w:rsid w:val="00557904"/>
    <w:rsid w:val="00557A33"/>
    <w:rsid w:val="00557BAB"/>
    <w:rsid w:val="005605B1"/>
    <w:rsid w:val="00561023"/>
    <w:rsid w:val="00561518"/>
    <w:rsid w:val="00561554"/>
    <w:rsid w:val="005616A4"/>
    <w:rsid w:val="00561CBD"/>
    <w:rsid w:val="0056205B"/>
    <w:rsid w:val="00562767"/>
    <w:rsid w:val="0056281D"/>
    <w:rsid w:val="00562B2E"/>
    <w:rsid w:val="00563096"/>
    <w:rsid w:val="005631A3"/>
    <w:rsid w:val="005632A9"/>
    <w:rsid w:val="0056386F"/>
    <w:rsid w:val="00563C91"/>
    <w:rsid w:val="00563D09"/>
    <w:rsid w:val="00563ED9"/>
    <w:rsid w:val="005643D6"/>
    <w:rsid w:val="00564861"/>
    <w:rsid w:val="005648CB"/>
    <w:rsid w:val="005649D1"/>
    <w:rsid w:val="005651D2"/>
    <w:rsid w:val="00565218"/>
    <w:rsid w:val="00565269"/>
    <w:rsid w:val="00565301"/>
    <w:rsid w:val="005654D8"/>
    <w:rsid w:val="00565B16"/>
    <w:rsid w:val="00566777"/>
    <w:rsid w:val="00567EC9"/>
    <w:rsid w:val="00570776"/>
    <w:rsid w:val="00570901"/>
    <w:rsid w:val="00571595"/>
    <w:rsid w:val="00571787"/>
    <w:rsid w:val="00571995"/>
    <w:rsid w:val="00571EAB"/>
    <w:rsid w:val="00571FEF"/>
    <w:rsid w:val="005724D5"/>
    <w:rsid w:val="005726A7"/>
    <w:rsid w:val="0057284B"/>
    <w:rsid w:val="00572876"/>
    <w:rsid w:val="0057289A"/>
    <w:rsid w:val="00573D3F"/>
    <w:rsid w:val="00573F84"/>
    <w:rsid w:val="005740C7"/>
    <w:rsid w:val="00574232"/>
    <w:rsid w:val="00574292"/>
    <w:rsid w:val="0057464B"/>
    <w:rsid w:val="00574C03"/>
    <w:rsid w:val="00574DF8"/>
    <w:rsid w:val="005753A1"/>
    <w:rsid w:val="00576364"/>
    <w:rsid w:val="00576C4B"/>
    <w:rsid w:val="00576F9D"/>
    <w:rsid w:val="00577864"/>
    <w:rsid w:val="00577A83"/>
    <w:rsid w:val="00577BF0"/>
    <w:rsid w:val="00577D46"/>
    <w:rsid w:val="00580188"/>
    <w:rsid w:val="0058076F"/>
    <w:rsid w:val="00580884"/>
    <w:rsid w:val="005809D9"/>
    <w:rsid w:val="005814CB"/>
    <w:rsid w:val="0058154E"/>
    <w:rsid w:val="005816A6"/>
    <w:rsid w:val="0058198C"/>
    <w:rsid w:val="00581F07"/>
    <w:rsid w:val="00582004"/>
    <w:rsid w:val="00582CF5"/>
    <w:rsid w:val="00583FEB"/>
    <w:rsid w:val="00584181"/>
    <w:rsid w:val="00584511"/>
    <w:rsid w:val="005848CA"/>
    <w:rsid w:val="0058503E"/>
    <w:rsid w:val="005853B7"/>
    <w:rsid w:val="00585404"/>
    <w:rsid w:val="00585765"/>
    <w:rsid w:val="0058594D"/>
    <w:rsid w:val="00585D23"/>
    <w:rsid w:val="00585F56"/>
    <w:rsid w:val="0058646D"/>
    <w:rsid w:val="00586B03"/>
    <w:rsid w:val="00586BD5"/>
    <w:rsid w:val="0058752D"/>
    <w:rsid w:val="00587769"/>
    <w:rsid w:val="00587B9A"/>
    <w:rsid w:val="00587D3E"/>
    <w:rsid w:val="00587D62"/>
    <w:rsid w:val="005901B0"/>
    <w:rsid w:val="005901D9"/>
    <w:rsid w:val="0059058E"/>
    <w:rsid w:val="0059097D"/>
    <w:rsid w:val="00590FE3"/>
    <w:rsid w:val="005911D7"/>
    <w:rsid w:val="005915E0"/>
    <w:rsid w:val="00591A18"/>
    <w:rsid w:val="00592059"/>
    <w:rsid w:val="005924FB"/>
    <w:rsid w:val="0059263B"/>
    <w:rsid w:val="00592C35"/>
    <w:rsid w:val="005939D3"/>
    <w:rsid w:val="00593AC2"/>
    <w:rsid w:val="00593AC4"/>
    <w:rsid w:val="00593CD4"/>
    <w:rsid w:val="0059471C"/>
    <w:rsid w:val="005948A7"/>
    <w:rsid w:val="005948E8"/>
    <w:rsid w:val="00594A21"/>
    <w:rsid w:val="00595C6D"/>
    <w:rsid w:val="00596102"/>
    <w:rsid w:val="005967D1"/>
    <w:rsid w:val="005969EC"/>
    <w:rsid w:val="005978E8"/>
    <w:rsid w:val="005A027D"/>
    <w:rsid w:val="005A0323"/>
    <w:rsid w:val="005A03C1"/>
    <w:rsid w:val="005A04F6"/>
    <w:rsid w:val="005A0547"/>
    <w:rsid w:val="005A097A"/>
    <w:rsid w:val="005A0A9B"/>
    <w:rsid w:val="005A1319"/>
    <w:rsid w:val="005A16A4"/>
    <w:rsid w:val="005A1B29"/>
    <w:rsid w:val="005A1F73"/>
    <w:rsid w:val="005A242F"/>
    <w:rsid w:val="005A2A43"/>
    <w:rsid w:val="005A3335"/>
    <w:rsid w:val="005A3BE1"/>
    <w:rsid w:val="005A4464"/>
    <w:rsid w:val="005A45BE"/>
    <w:rsid w:val="005A4781"/>
    <w:rsid w:val="005A4AA2"/>
    <w:rsid w:val="005A4DDE"/>
    <w:rsid w:val="005A52D2"/>
    <w:rsid w:val="005A5E3C"/>
    <w:rsid w:val="005A647D"/>
    <w:rsid w:val="005A64B5"/>
    <w:rsid w:val="005A6616"/>
    <w:rsid w:val="005A67AC"/>
    <w:rsid w:val="005A6855"/>
    <w:rsid w:val="005A6BF5"/>
    <w:rsid w:val="005A6D83"/>
    <w:rsid w:val="005A6F3B"/>
    <w:rsid w:val="005A7763"/>
    <w:rsid w:val="005A7F08"/>
    <w:rsid w:val="005A7F96"/>
    <w:rsid w:val="005B002D"/>
    <w:rsid w:val="005B02AB"/>
    <w:rsid w:val="005B0438"/>
    <w:rsid w:val="005B076B"/>
    <w:rsid w:val="005B083B"/>
    <w:rsid w:val="005B0989"/>
    <w:rsid w:val="005B0CE2"/>
    <w:rsid w:val="005B0EE0"/>
    <w:rsid w:val="005B0FD9"/>
    <w:rsid w:val="005B11EE"/>
    <w:rsid w:val="005B1246"/>
    <w:rsid w:val="005B1626"/>
    <w:rsid w:val="005B17B2"/>
    <w:rsid w:val="005B19B1"/>
    <w:rsid w:val="005B1D29"/>
    <w:rsid w:val="005B1D4E"/>
    <w:rsid w:val="005B1EA8"/>
    <w:rsid w:val="005B20A6"/>
    <w:rsid w:val="005B2F1B"/>
    <w:rsid w:val="005B3051"/>
    <w:rsid w:val="005B36DC"/>
    <w:rsid w:val="005B37F0"/>
    <w:rsid w:val="005B3BE8"/>
    <w:rsid w:val="005B4050"/>
    <w:rsid w:val="005B42F0"/>
    <w:rsid w:val="005B5E59"/>
    <w:rsid w:val="005B63F8"/>
    <w:rsid w:val="005B6502"/>
    <w:rsid w:val="005B6CE3"/>
    <w:rsid w:val="005B6D28"/>
    <w:rsid w:val="005B6EC8"/>
    <w:rsid w:val="005B6EEC"/>
    <w:rsid w:val="005B7540"/>
    <w:rsid w:val="005B75B7"/>
    <w:rsid w:val="005B764A"/>
    <w:rsid w:val="005B76EC"/>
    <w:rsid w:val="005B77BE"/>
    <w:rsid w:val="005B79B3"/>
    <w:rsid w:val="005C058F"/>
    <w:rsid w:val="005C07C9"/>
    <w:rsid w:val="005C0B3C"/>
    <w:rsid w:val="005C0CDD"/>
    <w:rsid w:val="005C1036"/>
    <w:rsid w:val="005C1967"/>
    <w:rsid w:val="005C1A7C"/>
    <w:rsid w:val="005C1B41"/>
    <w:rsid w:val="005C1E8A"/>
    <w:rsid w:val="005C2087"/>
    <w:rsid w:val="005C22B7"/>
    <w:rsid w:val="005C2658"/>
    <w:rsid w:val="005C2799"/>
    <w:rsid w:val="005C3096"/>
    <w:rsid w:val="005C34D3"/>
    <w:rsid w:val="005C3ACE"/>
    <w:rsid w:val="005C3C3D"/>
    <w:rsid w:val="005C3D36"/>
    <w:rsid w:val="005C4447"/>
    <w:rsid w:val="005C4D81"/>
    <w:rsid w:val="005C576B"/>
    <w:rsid w:val="005C5D21"/>
    <w:rsid w:val="005C5DFC"/>
    <w:rsid w:val="005C5E68"/>
    <w:rsid w:val="005C659E"/>
    <w:rsid w:val="005C6E1D"/>
    <w:rsid w:val="005D03C8"/>
    <w:rsid w:val="005D0A88"/>
    <w:rsid w:val="005D0EF9"/>
    <w:rsid w:val="005D0FCA"/>
    <w:rsid w:val="005D1DAC"/>
    <w:rsid w:val="005D2392"/>
    <w:rsid w:val="005D2592"/>
    <w:rsid w:val="005D2A23"/>
    <w:rsid w:val="005D3325"/>
    <w:rsid w:val="005D342B"/>
    <w:rsid w:val="005D3458"/>
    <w:rsid w:val="005D35CA"/>
    <w:rsid w:val="005D362C"/>
    <w:rsid w:val="005D391C"/>
    <w:rsid w:val="005D39AD"/>
    <w:rsid w:val="005D46CB"/>
    <w:rsid w:val="005D48A9"/>
    <w:rsid w:val="005D53B9"/>
    <w:rsid w:val="005D5882"/>
    <w:rsid w:val="005D59A9"/>
    <w:rsid w:val="005D5A89"/>
    <w:rsid w:val="005D5FA7"/>
    <w:rsid w:val="005D6470"/>
    <w:rsid w:val="005D6BCC"/>
    <w:rsid w:val="005D6C6B"/>
    <w:rsid w:val="005D6FEB"/>
    <w:rsid w:val="005D7306"/>
    <w:rsid w:val="005D75F1"/>
    <w:rsid w:val="005D7615"/>
    <w:rsid w:val="005D79C3"/>
    <w:rsid w:val="005D7C4C"/>
    <w:rsid w:val="005D7DAC"/>
    <w:rsid w:val="005E039B"/>
    <w:rsid w:val="005E08B6"/>
    <w:rsid w:val="005E0BB9"/>
    <w:rsid w:val="005E0DEB"/>
    <w:rsid w:val="005E0F7A"/>
    <w:rsid w:val="005E1088"/>
    <w:rsid w:val="005E1626"/>
    <w:rsid w:val="005E184B"/>
    <w:rsid w:val="005E2427"/>
    <w:rsid w:val="005E343F"/>
    <w:rsid w:val="005E35A1"/>
    <w:rsid w:val="005E3B62"/>
    <w:rsid w:val="005E41DB"/>
    <w:rsid w:val="005E425D"/>
    <w:rsid w:val="005E495C"/>
    <w:rsid w:val="005E4D1B"/>
    <w:rsid w:val="005E5979"/>
    <w:rsid w:val="005E5D29"/>
    <w:rsid w:val="005E6ADD"/>
    <w:rsid w:val="005E6B85"/>
    <w:rsid w:val="005E70E8"/>
    <w:rsid w:val="005E72B0"/>
    <w:rsid w:val="005E7F28"/>
    <w:rsid w:val="005F01FF"/>
    <w:rsid w:val="005F0201"/>
    <w:rsid w:val="005F1129"/>
    <w:rsid w:val="005F1429"/>
    <w:rsid w:val="005F1A3E"/>
    <w:rsid w:val="005F1E06"/>
    <w:rsid w:val="005F22E4"/>
    <w:rsid w:val="005F2990"/>
    <w:rsid w:val="005F2B17"/>
    <w:rsid w:val="005F32FB"/>
    <w:rsid w:val="005F344A"/>
    <w:rsid w:val="005F3617"/>
    <w:rsid w:val="005F3910"/>
    <w:rsid w:val="005F39C7"/>
    <w:rsid w:val="005F3BB5"/>
    <w:rsid w:val="005F3C7B"/>
    <w:rsid w:val="005F3E59"/>
    <w:rsid w:val="005F3F04"/>
    <w:rsid w:val="005F4165"/>
    <w:rsid w:val="005F472A"/>
    <w:rsid w:val="005F49A1"/>
    <w:rsid w:val="005F5109"/>
    <w:rsid w:val="005F521E"/>
    <w:rsid w:val="005F5CCE"/>
    <w:rsid w:val="005F60FC"/>
    <w:rsid w:val="005F648E"/>
    <w:rsid w:val="005F74F3"/>
    <w:rsid w:val="005F7615"/>
    <w:rsid w:val="005F7DD8"/>
    <w:rsid w:val="0060040F"/>
    <w:rsid w:val="0060046E"/>
    <w:rsid w:val="00600926"/>
    <w:rsid w:val="00600AFB"/>
    <w:rsid w:val="00601758"/>
    <w:rsid w:val="00601C61"/>
    <w:rsid w:val="006022A6"/>
    <w:rsid w:val="006025DF"/>
    <w:rsid w:val="00602D7C"/>
    <w:rsid w:val="00602E02"/>
    <w:rsid w:val="00602FBE"/>
    <w:rsid w:val="00602FEB"/>
    <w:rsid w:val="006030B6"/>
    <w:rsid w:val="0060316D"/>
    <w:rsid w:val="00603D86"/>
    <w:rsid w:val="006045AD"/>
    <w:rsid w:val="006045B4"/>
    <w:rsid w:val="006047F7"/>
    <w:rsid w:val="006049AB"/>
    <w:rsid w:val="006052CB"/>
    <w:rsid w:val="0060559F"/>
    <w:rsid w:val="006056B4"/>
    <w:rsid w:val="00605B20"/>
    <w:rsid w:val="0060673F"/>
    <w:rsid w:val="00606AAD"/>
    <w:rsid w:val="00606E24"/>
    <w:rsid w:val="00606E56"/>
    <w:rsid w:val="00607569"/>
    <w:rsid w:val="00607ABC"/>
    <w:rsid w:val="00607BFC"/>
    <w:rsid w:val="00607C0A"/>
    <w:rsid w:val="00610049"/>
    <w:rsid w:val="006100CD"/>
    <w:rsid w:val="00610194"/>
    <w:rsid w:val="006104F4"/>
    <w:rsid w:val="0061055E"/>
    <w:rsid w:val="00610B3D"/>
    <w:rsid w:val="00610B51"/>
    <w:rsid w:val="00610C64"/>
    <w:rsid w:val="00611014"/>
    <w:rsid w:val="006110C8"/>
    <w:rsid w:val="006118B3"/>
    <w:rsid w:val="00611ED0"/>
    <w:rsid w:val="00611F4E"/>
    <w:rsid w:val="00612294"/>
    <w:rsid w:val="00612353"/>
    <w:rsid w:val="006125B5"/>
    <w:rsid w:val="00612AB7"/>
    <w:rsid w:val="00612AEE"/>
    <w:rsid w:val="00612BF5"/>
    <w:rsid w:val="00613241"/>
    <w:rsid w:val="00613A08"/>
    <w:rsid w:val="00613E6B"/>
    <w:rsid w:val="00614055"/>
    <w:rsid w:val="006140B6"/>
    <w:rsid w:val="006140E1"/>
    <w:rsid w:val="006143BE"/>
    <w:rsid w:val="00614456"/>
    <w:rsid w:val="0061503C"/>
    <w:rsid w:val="006151BC"/>
    <w:rsid w:val="0061526E"/>
    <w:rsid w:val="006152E0"/>
    <w:rsid w:val="00615FFD"/>
    <w:rsid w:val="006161A1"/>
    <w:rsid w:val="0061652A"/>
    <w:rsid w:val="0061671C"/>
    <w:rsid w:val="00617022"/>
    <w:rsid w:val="006177AB"/>
    <w:rsid w:val="00617E75"/>
    <w:rsid w:val="00617F06"/>
    <w:rsid w:val="00620380"/>
    <w:rsid w:val="00620A61"/>
    <w:rsid w:val="00620E04"/>
    <w:rsid w:val="00620FE9"/>
    <w:rsid w:val="006210C8"/>
    <w:rsid w:val="0062119B"/>
    <w:rsid w:val="006216A2"/>
    <w:rsid w:val="00621CEC"/>
    <w:rsid w:val="00621D09"/>
    <w:rsid w:val="0062200B"/>
    <w:rsid w:val="006233ED"/>
    <w:rsid w:val="0062357F"/>
    <w:rsid w:val="0062389B"/>
    <w:rsid w:val="00623937"/>
    <w:rsid w:val="00623DCA"/>
    <w:rsid w:val="006241E0"/>
    <w:rsid w:val="006242AE"/>
    <w:rsid w:val="0062450F"/>
    <w:rsid w:val="00624558"/>
    <w:rsid w:val="006245B2"/>
    <w:rsid w:val="006246D4"/>
    <w:rsid w:val="0062473B"/>
    <w:rsid w:val="006249DB"/>
    <w:rsid w:val="00624FB2"/>
    <w:rsid w:val="00625037"/>
    <w:rsid w:val="00625891"/>
    <w:rsid w:val="0062599B"/>
    <w:rsid w:val="00625ADD"/>
    <w:rsid w:val="00625BA9"/>
    <w:rsid w:val="00626489"/>
    <w:rsid w:val="00626557"/>
    <w:rsid w:val="006271C7"/>
    <w:rsid w:val="00627C30"/>
    <w:rsid w:val="00627C81"/>
    <w:rsid w:val="0063073C"/>
    <w:rsid w:val="0063089E"/>
    <w:rsid w:val="00631430"/>
    <w:rsid w:val="0063179E"/>
    <w:rsid w:val="00631AE0"/>
    <w:rsid w:val="00631BD6"/>
    <w:rsid w:val="006323EF"/>
    <w:rsid w:val="00632806"/>
    <w:rsid w:val="00632E19"/>
    <w:rsid w:val="0063433B"/>
    <w:rsid w:val="00634642"/>
    <w:rsid w:val="00634A12"/>
    <w:rsid w:val="00634B4F"/>
    <w:rsid w:val="00634D35"/>
    <w:rsid w:val="00634D64"/>
    <w:rsid w:val="00634DD1"/>
    <w:rsid w:val="00635052"/>
    <w:rsid w:val="00635291"/>
    <w:rsid w:val="006352C2"/>
    <w:rsid w:val="0063585A"/>
    <w:rsid w:val="0063713F"/>
    <w:rsid w:val="00637A41"/>
    <w:rsid w:val="006403D0"/>
    <w:rsid w:val="00640711"/>
    <w:rsid w:val="006408AF"/>
    <w:rsid w:val="00640F2A"/>
    <w:rsid w:val="006410D8"/>
    <w:rsid w:val="006414AF"/>
    <w:rsid w:val="006415AF"/>
    <w:rsid w:val="00641A7D"/>
    <w:rsid w:val="006423C9"/>
    <w:rsid w:val="00642775"/>
    <w:rsid w:val="00643140"/>
    <w:rsid w:val="0064325F"/>
    <w:rsid w:val="00643371"/>
    <w:rsid w:val="006435AF"/>
    <w:rsid w:val="00644084"/>
    <w:rsid w:val="0064422D"/>
    <w:rsid w:val="0064492A"/>
    <w:rsid w:val="00645195"/>
    <w:rsid w:val="006451BC"/>
    <w:rsid w:val="00645335"/>
    <w:rsid w:val="00645DCA"/>
    <w:rsid w:val="0064715A"/>
    <w:rsid w:val="00647E97"/>
    <w:rsid w:val="00647FEB"/>
    <w:rsid w:val="006503F0"/>
    <w:rsid w:val="0065040E"/>
    <w:rsid w:val="00650C00"/>
    <w:rsid w:val="00650C97"/>
    <w:rsid w:val="00651052"/>
    <w:rsid w:val="006511BB"/>
    <w:rsid w:val="00651232"/>
    <w:rsid w:val="00651380"/>
    <w:rsid w:val="0065139B"/>
    <w:rsid w:val="0065141A"/>
    <w:rsid w:val="0065148B"/>
    <w:rsid w:val="006517CB"/>
    <w:rsid w:val="00651B1D"/>
    <w:rsid w:val="00651BDC"/>
    <w:rsid w:val="006520E6"/>
    <w:rsid w:val="00652DE9"/>
    <w:rsid w:val="00654085"/>
    <w:rsid w:val="006541C1"/>
    <w:rsid w:val="00654526"/>
    <w:rsid w:val="00654577"/>
    <w:rsid w:val="00654C78"/>
    <w:rsid w:val="00654DB9"/>
    <w:rsid w:val="0065557D"/>
    <w:rsid w:val="0065583E"/>
    <w:rsid w:val="00655A81"/>
    <w:rsid w:val="00655D80"/>
    <w:rsid w:val="00655DA6"/>
    <w:rsid w:val="00655DF3"/>
    <w:rsid w:val="00655E77"/>
    <w:rsid w:val="00656305"/>
    <w:rsid w:val="006565EE"/>
    <w:rsid w:val="00656902"/>
    <w:rsid w:val="0065755C"/>
    <w:rsid w:val="006575CD"/>
    <w:rsid w:val="006575F5"/>
    <w:rsid w:val="0066034E"/>
    <w:rsid w:val="00660379"/>
    <w:rsid w:val="006604D4"/>
    <w:rsid w:val="00660CDE"/>
    <w:rsid w:val="00661380"/>
    <w:rsid w:val="00661A00"/>
    <w:rsid w:val="00661E4B"/>
    <w:rsid w:val="00662511"/>
    <w:rsid w:val="00662AFF"/>
    <w:rsid w:val="00662C47"/>
    <w:rsid w:val="00662ECE"/>
    <w:rsid w:val="00663237"/>
    <w:rsid w:val="00663DEF"/>
    <w:rsid w:val="00663E6D"/>
    <w:rsid w:val="00664603"/>
    <w:rsid w:val="00664C97"/>
    <w:rsid w:val="00664F7A"/>
    <w:rsid w:val="006656C6"/>
    <w:rsid w:val="00665964"/>
    <w:rsid w:val="00665A5D"/>
    <w:rsid w:val="00665B58"/>
    <w:rsid w:val="00665B92"/>
    <w:rsid w:val="00667459"/>
    <w:rsid w:val="00670A9F"/>
    <w:rsid w:val="006711B2"/>
    <w:rsid w:val="006711C7"/>
    <w:rsid w:val="0067146A"/>
    <w:rsid w:val="00671619"/>
    <w:rsid w:val="0067189F"/>
    <w:rsid w:val="00671B18"/>
    <w:rsid w:val="00671F7D"/>
    <w:rsid w:val="00672CE7"/>
    <w:rsid w:val="006730E3"/>
    <w:rsid w:val="00673173"/>
    <w:rsid w:val="0067324B"/>
    <w:rsid w:val="006736CC"/>
    <w:rsid w:val="00673896"/>
    <w:rsid w:val="00673D20"/>
    <w:rsid w:val="00673DA7"/>
    <w:rsid w:val="00674069"/>
    <w:rsid w:val="00674586"/>
    <w:rsid w:val="006746F2"/>
    <w:rsid w:val="006752E8"/>
    <w:rsid w:val="006752EF"/>
    <w:rsid w:val="00675C5A"/>
    <w:rsid w:val="00675D7C"/>
    <w:rsid w:val="00675DA7"/>
    <w:rsid w:val="00676F95"/>
    <w:rsid w:val="00677457"/>
    <w:rsid w:val="006806FC"/>
    <w:rsid w:val="00680A5B"/>
    <w:rsid w:val="00680BA7"/>
    <w:rsid w:val="00681456"/>
    <w:rsid w:val="006818AF"/>
    <w:rsid w:val="0068269E"/>
    <w:rsid w:val="006827E8"/>
    <w:rsid w:val="006832A7"/>
    <w:rsid w:val="0068367F"/>
    <w:rsid w:val="00683C65"/>
    <w:rsid w:val="006841D8"/>
    <w:rsid w:val="00684B4D"/>
    <w:rsid w:val="00684E58"/>
    <w:rsid w:val="00684EC4"/>
    <w:rsid w:val="006853D3"/>
    <w:rsid w:val="006855FB"/>
    <w:rsid w:val="0068568C"/>
    <w:rsid w:val="006857D3"/>
    <w:rsid w:val="00686102"/>
    <w:rsid w:val="00686177"/>
    <w:rsid w:val="006861C4"/>
    <w:rsid w:val="00686F64"/>
    <w:rsid w:val="00686FB5"/>
    <w:rsid w:val="0068732E"/>
    <w:rsid w:val="00687385"/>
    <w:rsid w:val="00690052"/>
    <w:rsid w:val="00690D62"/>
    <w:rsid w:val="00690F1A"/>
    <w:rsid w:val="00690F31"/>
    <w:rsid w:val="006912E8"/>
    <w:rsid w:val="00691608"/>
    <w:rsid w:val="00691672"/>
    <w:rsid w:val="006917FC"/>
    <w:rsid w:val="006920A7"/>
    <w:rsid w:val="00692A38"/>
    <w:rsid w:val="00692CED"/>
    <w:rsid w:val="00692D07"/>
    <w:rsid w:val="00693032"/>
    <w:rsid w:val="006930CD"/>
    <w:rsid w:val="0069369F"/>
    <w:rsid w:val="00693D50"/>
    <w:rsid w:val="00693E4B"/>
    <w:rsid w:val="00693F23"/>
    <w:rsid w:val="00694203"/>
    <w:rsid w:val="00694384"/>
    <w:rsid w:val="006945CA"/>
    <w:rsid w:val="006947A0"/>
    <w:rsid w:val="00695171"/>
    <w:rsid w:val="006954ED"/>
    <w:rsid w:val="00695ECF"/>
    <w:rsid w:val="00696658"/>
    <w:rsid w:val="006977E9"/>
    <w:rsid w:val="00697A36"/>
    <w:rsid w:val="00697D55"/>
    <w:rsid w:val="00697EC7"/>
    <w:rsid w:val="006A0646"/>
    <w:rsid w:val="006A07C5"/>
    <w:rsid w:val="006A0B73"/>
    <w:rsid w:val="006A0B98"/>
    <w:rsid w:val="006A0FC5"/>
    <w:rsid w:val="006A1688"/>
    <w:rsid w:val="006A1966"/>
    <w:rsid w:val="006A1C73"/>
    <w:rsid w:val="006A1CD7"/>
    <w:rsid w:val="006A1FEF"/>
    <w:rsid w:val="006A2A4E"/>
    <w:rsid w:val="006A2A8C"/>
    <w:rsid w:val="006A2E37"/>
    <w:rsid w:val="006A326E"/>
    <w:rsid w:val="006A359C"/>
    <w:rsid w:val="006A383B"/>
    <w:rsid w:val="006A38AF"/>
    <w:rsid w:val="006A38ED"/>
    <w:rsid w:val="006A3DDE"/>
    <w:rsid w:val="006A3EFA"/>
    <w:rsid w:val="006A3F92"/>
    <w:rsid w:val="006A41CC"/>
    <w:rsid w:val="006A453B"/>
    <w:rsid w:val="006A4646"/>
    <w:rsid w:val="006A4942"/>
    <w:rsid w:val="006A59CE"/>
    <w:rsid w:val="006A5C40"/>
    <w:rsid w:val="006A604A"/>
    <w:rsid w:val="006A62D2"/>
    <w:rsid w:val="006A7109"/>
    <w:rsid w:val="006A7B32"/>
    <w:rsid w:val="006B07F5"/>
    <w:rsid w:val="006B1E2A"/>
    <w:rsid w:val="006B1FDA"/>
    <w:rsid w:val="006B20D5"/>
    <w:rsid w:val="006B21D9"/>
    <w:rsid w:val="006B220E"/>
    <w:rsid w:val="006B245F"/>
    <w:rsid w:val="006B248A"/>
    <w:rsid w:val="006B26C2"/>
    <w:rsid w:val="006B27CC"/>
    <w:rsid w:val="006B29B0"/>
    <w:rsid w:val="006B2ECD"/>
    <w:rsid w:val="006B379A"/>
    <w:rsid w:val="006B3A7F"/>
    <w:rsid w:val="006B3DFB"/>
    <w:rsid w:val="006B40AA"/>
    <w:rsid w:val="006B418A"/>
    <w:rsid w:val="006B4803"/>
    <w:rsid w:val="006B4A5A"/>
    <w:rsid w:val="006B4C33"/>
    <w:rsid w:val="006B4DA9"/>
    <w:rsid w:val="006B4E90"/>
    <w:rsid w:val="006B5062"/>
    <w:rsid w:val="006B585C"/>
    <w:rsid w:val="006B5B82"/>
    <w:rsid w:val="006B5F9D"/>
    <w:rsid w:val="006B61B8"/>
    <w:rsid w:val="006B63A2"/>
    <w:rsid w:val="006B6430"/>
    <w:rsid w:val="006B7220"/>
    <w:rsid w:val="006B75C1"/>
    <w:rsid w:val="006B7842"/>
    <w:rsid w:val="006B7CCC"/>
    <w:rsid w:val="006B7D49"/>
    <w:rsid w:val="006C0083"/>
    <w:rsid w:val="006C0213"/>
    <w:rsid w:val="006C04A0"/>
    <w:rsid w:val="006C06BF"/>
    <w:rsid w:val="006C1170"/>
    <w:rsid w:val="006C13B9"/>
    <w:rsid w:val="006C16B2"/>
    <w:rsid w:val="006C1860"/>
    <w:rsid w:val="006C191A"/>
    <w:rsid w:val="006C2091"/>
    <w:rsid w:val="006C282E"/>
    <w:rsid w:val="006C29DC"/>
    <w:rsid w:val="006C32E3"/>
    <w:rsid w:val="006C35D4"/>
    <w:rsid w:val="006C39BF"/>
    <w:rsid w:val="006C3BB9"/>
    <w:rsid w:val="006C40BC"/>
    <w:rsid w:val="006C4F58"/>
    <w:rsid w:val="006C5145"/>
    <w:rsid w:val="006C526B"/>
    <w:rsid w:val="006C5706"/>
    <w:rsid w:val="006C64A5"/>
    <w:rsid w:val="006C68C1"/>
    <w:rsid w:val="006C7514"/>
    <w:rsid w:val="006C7604"/>
    <w:rsid w:val="006C79CF"/>
    <w:rsid w:val="006D006F"/>
    <w:rsid w:val="006D0678"/>
    <w:rsid w:val="006D07A3"/>
    <w:rsid w:val="006D0A25"/>
    <w:rsid w:val="006D0CDB"/>
    <w:rsid w:val="006D0D2A"/>
    <w:rsid w:val="006D183B"/>
    <w:rsid w:val="006D1D33"/>
    <w:rsid w:val="006D221E"/>
    <w:rsid w:val="006D2515"/>
    <w:rsid w:val="006D29BD"/>
    <w:rsid w:val="006D2D00"/>
    <w:rsid w:val="006D3688"/>
    <w:rsid w:val="006D36FE"/>
    <w:rsid w:val="006D3991"/>
    <w:rsid w:val="006D3BB3"/>
    <w:rsid w:val="006D4A90"/>
    <w:rsid w:val="006D57DA"/>
    <w:rsid w:val="006D5996"/>
    <w:rsid w:val="006D65BA"/>
    <w:rsid w:val="006D67E1"/>
    <w:rsid w:val="006D6C45"/>
    <w:rsid w:val="006D713E"/>
    <w:rsid w:val="006D7990"/>
    <w:rsid w:val="006D7CEE"/>
    <w:rsid w:val="006D7DD6"/>
    <w:rsid w:val="006E1009"/>
    <w:rsid w:val="006E10D4"/>
    <w:rsid w:val="006E16FD"/>
    <w:rsid w:val="006E173C"/>
    <w:rsid w:val="006E1790"/>
    <w:rsid w:val="006E199E"/>
    <w:rsid w:val="006E1AE2"/>
    <w:rsid w:val="006E1DA0"/>
    <w:rsid w:val="006E1E64"/>
    <w:rsid w:val="006E23FB"/>
    <w:rsid w:val="006E25A3"/>
    <w:rsid w:val="006E2820"/>
    <w:rsid w:val="006E2868"/>
    <w:rsid w:val="006E2AA6"/>
    <w:rsid w:val="006E32AE"/>
    <w:rsid w:val="006E32E7"/>
    <w:rsid w:val="006E3F53"/>
    <w:rsid w:val="006E4047"/>
    <w:rsid w:val="006E40BC"/>
    <w:rsid w:val="006E4217"/>
    <w:rsid w:val="006E4254"/>
    <w:rsid w:val="006E4362"/>
    <w:rsid w:val="006E470B"/>
    <w:rsid w:val="006E52E0"/>
    <w:rsid w:val="006E52FE"/>
    <w:rsid w:val="006E57DF"/>
    <w:rsid w:val="006E5A78"/>
    <w:rsid w:val="006E5B56"/>
    <w:rsid w:val="006E5B70"/>
    <w:rsid w:val="006E5F6C"/>
    <w:rsid w:val="006E6BD4"/>
    <w:rsid w:val="006E6FDE"/>
    <w:rsid w:val="006E7417"/>
    <w:rsid w:val="006E7951"/>
    <w:rsid w:val="006E7AA8"/>
    <w:rsid w:val="006F019B"/>
    <w:rsid w:val="006F0BBB"/>
    <w:rsid w:val="006F0D64"/>
    <w:rsid w:val="006F1287"/>
    <w:rsid w:val="006F13E6"/>
    <w:rsid w:val="006F1FDE"/>
    <w:rsid w:val="006F23B1"/>
    <w:rsid w:val="006F24BF"/>
    <w:rsid w:val="006F25FF"/>
    <w:rsid w:val="006F3341"/>
    <w:rsid w:val="006F3E13"/>
    <w:rsid w:val="006F4136"/>
    <w:rsid w:val="006F4177"/>
    <w:rsid w:val="006F41E1"/>
    <w:rsid w:val="006F5B10"/>
    <w:rsid w:val="006F6DFF"/>
    <w:rsid w:val="006F74AB"/>
    <w:rsid w:val="006F74E1"/>
    <w:rsid w:val="006F7D59"/>
    <w:rsid w:val="00700019"/>
    <w:rsid w:val="007002E1"/>
    <w:rsid w:val="007005F1"/>
    <w:rsid w:val="00700CA6"/>
    <w:rsid w:val="00700EE2"/>
    <w:rsid w:val="007015E7"/>
    <w:rsid w:val="00701696"/>
    <w:rsid w:val="007020C5"/>
    <w:rsid w:val="007020E9"/>
    <w:rsid w:val="007026AB"/>
    <w:rsid w:val="0070284D"/>
    <w:rsid w:val="00704547"/>
    <w:rsid w:val="0070489B"/>
    <w:rsid w:val="00704AA9"/>
    <w:rsid w:val="00704B3F"/>
    <w:rsid w:val="00704D51"/>
    <w:rsid w:val="00705B2D"/>
    <w:rsid w:val="00705D8C"/>
    <w:rsid w:val="00705EB2"/>
    <w:rsid w:val="007060E1"/>
    <w:rsid w:val="00706992"/>
    <w:rsid w:val="007078D5"/>
    <w:rsid w:val="00707A95"/>
    <w:rsid w:val="00710489"/>
    <w:rsid w:val="00710557"/>
    <w:rsid w:val="007109BF"/>
    <w:rsid w:val="00710F34"/>
    <w:rsid w:val="007115B9"/>
    <w:rsid w:val="00711BDA"/>
    <w:rsid w:val="00711DD1"/>
    <w:rsid w:val="0071209F"/>
    <w:rsid w:val="0071226C"/>
    <w:rsid w:val="00712554"/>
    <w:rsid w:val="00712707"/>
    <w:rsid w:val="007127AB"/>
    <w:rsid w:val="00712B9D"/>
    <w:rsid w:val="00712E09"/>
    <w:rsid w:val="00713C77"/>
    <w:rsid w:val="00713D35"/>
    <w:rsid w:val="00714F0E"/>
    <w:rsid w:val="00714F31"/>
    <w:rsid w:val="00715080"/>
    <w:rsid w:val="007150A0"/>
    <w:rsid w:val="007150CE"/>
    <w:rsid w:val="0071576B"/>
    <w:rsid w:val="00715B7A"/>
    <w:rsid w:val="00716614"/>
    <w:rsid w:val="007177C8"/>
    <w:rsid w:val="00717D86"/>
    <w:rsid w:val="00720624"/>
    <w:rsid w:val="0072106B"/>
    <w:rsid w:val="007211DD"/>
    <w:rsid w:val="00721408"/>
    <w:rsid w:val="00721E74"/>
    <w:rsid w:val="00722084"/>
    <w:rsid w:val="00722224"/>
    <w:rsid w:val="00722687"/>
    <w:rsid w:val="00722F6D"/>
    <w:rsid w:val="00722F81"/>
    <w:rsid w:val="00723535"/>
    <w:rsid w:val="00723790"/>
    <w:rsid w:val="0072395D"/>
    <w:rsid w:val="0072413B"/>
    <w:rsid w:val="00724317"/>
    <w:rsid w:val="00724574"/>
    <w:rsid w:val="00724CA3"/>
    <w:rsid w:val="00724CE3"/>
    <w:rsid w:val="00725634"/>
    <w:rsid w:val="00725ACE"/>
    <w:rsid w:val="00725BF0"/>
    <w:rsid w:val="0072624F"/>
    <w:rsid w:val="00726B99"/>
    <w:rsid w:val="00726BC2"/>
    <w:rsid w:val="00726C73"/>
    <w:rsid w:val="0072700C"/>
    <w:rsid w:val="007274CA"/>
    <w:rsid w:val="00727A99"/>
    <w:rsid w:val="00727AE9"/>
    <w:rsid w:val="00727DBA"/>
    <w:rsid w:val="0073047E"/>
    <w:rsid w:val="00730567"/>
    <w:rsid w:val="00730593"/>
    <w:rsid w:val="007305AB"/>
    <w:rsid w:val="00730609"/>
    <w:rsid w:val="00730683"/>
    <w:rsid w:val="00730EDA"/>
    <w:rsid w:val="00731050"/>
    <w:rsid w:val="00731D22"/>
    <w:rsid w:val="00731D3D"/>
    <w:rsid w:val="00731EBF"/>
    <w:rsid w:val="007325AA"/>
    <w:rsid w:val="00732925"/>
    <w:rsid w:val="007334D7"/>
    <w:rsid w:val="00734EFE"/>
    <w:rsid w:val="00735205"/>
    <w:rsid w:val="007354FF"/>
    <w:rsid w:val="0073597B"/>
    <w:rsid w:val="00735D10"/>
    <w:rsid w:val="00735E2A"/>
    <w:rsid w:val="007360C2"/>
    <w:rsid w:val="00737244"/>
    <w:rsid w:val="007376CA"/>
    <w:rsid w:val="007379E9"/>
    <w:rsid w:val="0074072C"/>
    <w:rsid w:val="00741244"/>
    <w:rsid w:val="00741FE1"/>
    <w:rsid w:val="00742141"/>
    <w:rsid w:val="00742D1B"/>
    <w:rsid w:val="0074366C"/>
    <w:rsid w:val="00743A17"/>
    <w:rsid w:val="00743D4F"/>
    <w:rsid w:val="0074445B"/>
    <w:rsid w:val="007448B2"/>
    <w:rsid w:val="007449AD"/>
    <w:rsid w:val="007450DA"/>
    <w:rsid w:val="007456C0"/>
    <w:rsid w:val="00745B47"/>
    <w:rsid w:val="00746530"/>
    <w:rsid w:val="007467D5"/>
    <w:rsid w:val="0074721C"/>
    <w:rsid w:val="00747527"/>
    <w:rsid w:val="00747ADC"/>
    <w:rsid w:val="007500F6"/>
    <w:rsid w:val="00750149"/>
    <w:rsid w:val="0075054D"/>
    <w:rsid w:val="00750690"/>
    <w:rsid w:val="007506C3"/>
    <w:rsid w:val="00751095"/>
    <w:rsid w:val="007510BC"/>
    <w:rsid w:val="0075137B"/>
    <w:rsid w:val="00751738"/>
    <w:rsid w:val="00751C2A"/>
    <w:rsid w:val="007520EE"/>
    <w:rsid w:val="00752488"/>
    <w:rsid w:val="00752645"/>
    <w:rsid w:val="0075275C"/>
    <w:rsid w:val="00752935"/>
    <w:rsid w:val="00752BE9"/>
    <w:rsid w:val="00752CB4"/>
    <w:rsid w:val="00752DAF"/>
    <w:rsid w:val="00752F0B"/>
    <w:rsid w:val="00752F6E"/>
    <w:rsid w:val="00753336"/>
    <w:rsid w:val="007535D5"/>
    <w:rsid w:val="00754584"/>
    <w:rsid w:val="007548DB"/>
    <w:rsid w:val="00754AE9"/>
    <w:rsid w:val="00754CEC"/>
    <w:rsid w:val="00754EFE"/>
    <w:rsid w:val="00755320"/>
    <w:rsid w:val="00755CC3"/>
    <w:rsid w:val="00756D19"/>
    <w:rsid w:val="00757112"/>
    <w:rsid w:val="007574D3"/>
    <w:rsid w:val="00757616"/>
    <w:rsid w:val="00757EBE"/>
    <w:rsid w:val="007605D5"/>
    <w:rsid w:val="00760B5B"/>
    <w:rsid w:val="00760E0B"/>
    <w:rsid w:val="0076110D"/>
    <w:rsid w:val="00761DA5"/>
    <w:rsid w:val="00762010"/>
    <w:rsid w:val="007621FC"/>
    <w:rsid w:val="00762447"/>
    <w:rsid w:val="00762695"/>
    <w:rsid w:val="00763348"/>
    <w:rsid w:val="00763478"/>
    <w:rsid w:val="0076373A"/>
    <w:rsid w:val="00763F26"/>
    <w:rsid w:val="007643B1"/>
    <w:rsid w:val="007645BA"/>
    <w:rsid w:val="00764DE4"/>
    <w:rsid w:val="00764F30"/>
    <w:rsid w:val="00765167"/>
    <w:rsid w:val="007653BC"/>
    <w:rsid w:val="00765466"/>
    <w:rsid w:val="00765789"/>
    <w:rsid w:val="007657F0"/>
    <w:rsid w:val="00765A5F"/>
    <w:rsid w:val="00765DFF"/>
    <w:rsid w:val="00765E25"/>
    <w:rsid w:val="00765FC0"/>
    <w:rsid w:val="00766329"/>
    <w:rsid w:val="00766417"/>
    <w:rsid w:val="00766B85"/>
    <w:rsid w:val="00766C64"/>
    <w:rsid w:val="00766D85"/>
    <w:rsid w:val="00766F56"/>
    <w:rsid w:val="00767161"/>
    <w:rsid w:val="007674A4"/>
    <w:rsid w:val="00770044"/>
    <w:rsid w:val="007704B8"/>
    <w:rsid w:val="00771810"/>
    <w:rsid w:val="00771B21"/>
    <w:rsid w:val="00772461"/>
    <w:rsid w:val="007726FD"/>
    <w:rsid w:val="007734DF"/>
    <w:rsid w:val="0077355F"/>
    <w:rsid w:val="00773D94"/>
    <w:rsid w:val="00774061"/>
    <w:rsid w:val="00774182"/>
    <w:rsid w:val="007750AD"/>
    <w:rsid w:val="007754CF"/>
    <w:rsid w:val="00775CF0"/>
    <w:rsid w:val="00775F65"/>
    <w:rsid w:val="00776A3E"/>
    <w:rsid w:val="007800AD"/>
    <w:rsid w:val="0078023B"/>
    <w:rsid w:val="00780747"/>
    <w:rsid w:val="00781568"/>
    <w:rsid w:val="00781B90"/>
    <w:rsid w:val="00781DE8"/>
    <w:rsid w:val="0078236D"/>
    <w:rsid w:val="00783014"/>
    <w:rsid w:val="007838C1"/>
    <w:rsid w:val="007838D8"/>
    <w:rsid w:val="00783E74"/>
    <w:rsid w:val="00783F7D"/>
    <w:rsid w:val="0078477E"/>
    <w:rsid w:val="00784A2F"/>
    <w:rsid w:val="00784A9B"/>
    <w:rsid w:val="007853A6"/>
    <w:rsid w:val="007853F4"/>
    <w:rsid w:val="0078547B"/>
    <w:rsid w:val="0078574A"/>
    <w:rsid w:val="00785B20"/>
    <w:rsid w:val="00785E9E"/>
    <w:rsid w:val="00786491"/>
    <w:rsid w:val="00786604"/>
    <w:rsid w:val="007866C1"/>
    <w:rsid w:val="00786985"/>
    <w:rsid w:val="00786B92"/>
    <w:rsid w:val="00786B98"/>
    <w:rsid w:val="00787294"/>
    <w:rsid w:val="0079007B"/>
    <w:rsid w:val="00790AE2"/>
    <w:rsid w:val="00790B7D"/>
    <w:rsid w:val="00790D45"/>
    <w:rsid w:val="007917A4"/>
    <w:rsid w:val="0079231D"/>
    <w:rsid w:val="00792B09"/>
    <w:rsid w:val="00792B92"/>
    <w:rsid w:val="00793166"/>
    <w:rsid w:val="0079348C"/>
    <w:rsid w:val="007934DD"/>
    <w:rsid w:val="0079353B"/>
    <w:rsid w:val="0079391A"/>
    <w:rsid w:val="00793CC9"/>
    <w:rsid w:val="00794206"/>
    <w:rsid w:val="007953A3"/>
    <w:rsid w:val="00796090"/>
    <w:rsid w:val="007964BB"/>
    <w:rsid w:val="007969F2"/>
    <w:rsid w:val="00796AF4"/>
    <w:rsid w:val="00797839"/>
    <w:rsid w:val="007A029D"/>
    <w:rsid w:val="007A0FB5"/>
    <w:rsid w:val="007A1113"/>
    <w:rsid w:val="007A147C"/>
    <w:rsid w:val="007A17C0"/>
    <w:rsid w:val="007A194F"/>
    <w:rsid w:val="007A251F"/>
    <w:rsid w:val="007A3709"/>
    <w:rsid w:val="007A37BD"/>
    <w:rsid w:val="007A3A85"/>
    <w:rsid w:val="007A4528"/>
    <w:rsid w:val="007A4598"/>
    <w:rsid w:val="007A4764"/>
    <w:rsid w:val="007A55B1"/>
    <w:rsid w:val="007A5E22"/>
    <w:rsid w:val="007A618E"/>
    <w:rsid w:val="007A650E"/>
    <w:rsid w:val="007A6551"/>
    <w:rsid w:val="007A6EDE"/>
    <w:rsid w:val="007A761C"/>
    <w:rsid w:val="007B08D1"/>
    <w:rsid w:val="007B0CBC"/>
    <w:rsid w:val="007B123C"/>
    <w:rsid w:val="007B1411"/>
    <w:rsid w:val="007B1669"/>
    <w:rsid w:val="007B1CC4"/>
    <w:rsid w:val="007B27F4"/>
    <w:rsid w:val="007B29D4"/>
    <w:rsid w:val="007B2BB5"/>
    <w:rsid w:val="007B2CBF"/>
    <w:rsid w:val="007B38CF"/>
    <w:rsid w:val="007B3BFB"/>
    <w:rsid w:val="007B43F4"/>
    <w:rsid w:val="007B4518"/>
    <w:rsid w:val="007B57BA"/>
    <w:rsid w:val="007B5AF0"/>
    <w:rsid w:val="007B5BDF"/>
    <w:rsid w:val="007B5CA2"/>
    <w:rsid w:val="007B5CCE"/>
    <w:rsid w:val="007B6FC7"/>
    <w:rsid w:val="007B7027"/>
    <w:rsid w:val="007B750D"/>
    <w:rsid w:val="007B767F"/>
    <w:rsid w:val="007B7807"/>
    <w:rsid w:val="007B7BD3"/>
    <w:rsid w:val="007C04F1"/>
    <w:rsid w:val="007C0E00"/>
    <w:rsid w:val="007C1819"/>
    <w:rsid w:val="007C1932"/>
    <w:rsid w:val="007C1FEA"/>
    <w:rsid w:val="007C21DC"/>
    <w:rsid w:val="007C2742"/>
    <w:rsid w:val="007C2829"/>
    <w:rsid w:val="007C2B06"/>
    <w:rsid w:val="007C3D93"/>
    <w:rsid w:val="007C4254"/>
    <w:rsid w:val="007C461E"/>
    <w:rsid w:val="007C4CAE"/>
    <w:rsid w:val="007C4DB9"/>
    <w:rsid w:val="007C4E71"/>
    <w:rsid w:val="007C5236"/>
    <w:rsid w:val="007C532D"/>
    <w:rsid w:val="007C5B6B"/>
    <w:rsid w:val="007C6384"/>
    <w:rsid w:val="007C66F5"/>
    <w:rsid w:val="007C6E84"/>
    <w:rsid w:val="007C70FB"/>
    <w:rsid w:val="007C7AE3"/>
    <w:rsid w:val="007D05D9"/>
    <w:rsid w:val="007D0B39"/>
    <w:rsid w:val="007D0C9A"/>
    <w:rsid w:val="007D0E19"/>
    <w:rsid w:val="007D0FED"/>
    <w:rsid w:val="007D11FB"/>
    <w:rsid w:val="007D16AA"/>
    <w:rsid w:val="007D22FC"/>
    <w:rsid w:val="007D27CF"/>
    <w:rsid w:val="007D2A18"/>
    <w:rsid w:val="007D2BC4"/>
    <w:rsid w:val="007D3033"/>
    <w:rsid w:val="007D309C"/>
    <w:rsid w:val="007D327F"/>
    <w:rsid w:val="007D39A3"/>
    <w:rsid w:val="007D3B51"/>
    <w:rsid w:val="007D4315"/>
    <w:rsid w:val="007D4C47"/>
    <w:rsid w:val="007D4C4C"/>
    <w:rsid w:val="007D5B70"/>
    <w:rsid w:val="007D5DF4"/>
    <w:rsid w:val="007D6379"/>
    <w:rsid w:val="007D6CCA"/>
    <w:rsid w:val="007D7379"/>
    <w:rsid w:val="007D738C"/>
    <w:rsid w:val="007D7C48"/>
    <w:rsid w:val="007D7EE4"/>
    <w:rsid w:val="007D7F08"/>
    <w:rsid w:val="007E018D"/>
    <w:rsid w:val="007E0214"/>
    <w:rsid w:val="007E060C"/>
    <w:rsid w:val="007E07D0"/>
    <w:rsid w:val="007E07F5"/>
    <w:rsid w:val="007E0AE4"/>
    <w:rsid w:val="007E0B88"/>
    <w:rsid w:val="007E0CAC"/>
    <w:rsid w:val="007E1365"/>
    <w:rsid w:val="007E14B0"/>
    <w:rsid w:val="007E2932"/>
    <w:rsid w:val="007E2D42"/>
    <w:rsid w:val="007E327A"/>
    <w:rsid w:val="007E32DF"/>
    <w:rsid w:val="007E3571"/>
    <w:rsid w:val="007E3630"/>
    <w:rsid w:val="007E37A2"/>
    <w:rsid w:val="007E3ADF"/>
    <w:rsid w:val="007E3C5B"/>
    <w:rsid w:val="007E454C"/>
    <w:rsid w:val="007E45F0"/>
    <w:rsid w:val="007E4ECE"/>
    <w:rsid w:val="007E5012"/>
    <w:rsid w:val="007E5070"/>
    <w:rsid w:val="007E52F8"/>
    <w:rsid w:val="007E5491"/>
    <w:rsid w:val="007E5777"/>
    <w:rsid w:val="007E5E85"/>
    <w:rsid w:val="007E5FB4"/>
    <w:rsid w:val="007E6499"/>
    <w:rsid w:val="007E6B6B"/>
    <w:rsid w:val="007E6D22"/>
    <w:rsid w:val="007E6F3C"/>
    <w:rsid w:val="007E757B"/>
    <w:rsid w:val="007E7636"/>
    <w:rsid w:val="007E7C53"/>
    <w:rsid w:val="007F0160"/>
    <w:rsid w:val="007F0344"/>
    <w:rsid w:val="007F0560"/>
    <w:rsid w:val="007F0612"/>
    <w:rsid w:val="007F08F5"/>
    <w:rsid w:val="007F0BFE"/>
    <w:rsid w:val="007F1121"/>
    <w:rsid w:val="007F28E6"/>
    <w:rsid w:val="007F2C09"/>
    <w:rsid w:val="007F2CBF"/>
    <w:rsid w:val="007F2DAD"/>
    <w:rsid w:val="007F2DD0"/>
    <w:rsid w:val="007F317E"/>
    <w:rsid w:val="007F3386"/>
    <w:rsid w:val="007F352B"/>
    <w:rsid w:val="007F3DC4"/>
    <w:rsid w:val="007F3E41"/>
    <w:rsid w:val="007F4A98"/>
    <w:rsid w:val="007F4C7D"/>
    <w:rsid w:val="007F5385"/>
    <w:rsid w:val="007F53AE"/>
    <w:rsid w:val="007F56F1"/>
    <w:rsid w:val="007F5BF6"/>
    <w:rsid w:val="007F5E9B"/>
    <w:rsid w:val="007F6AF9"/>
    <w:rsid w:val="007F7F78"/>
    <w:rsid w:val="008005CC"/>
    <w:rsid w:val="008006DA"/>
    <w:rsid w:val="00800E65"/>
    <w:rsid w:val="00801494"/>
    <w:rsid w:val="0080188A"/>
    <w:rsid w:val="00801A0F"/>
    <w:rsid w:val="00801C98"/>
    <w:rsid w:val="00802899"/>
    <w:rsid w:val="00802AC6"/>
    <w:rsid w:val="00803222"/>
    <w:rsid w:val="00803928"/>
    <w:rsid w:val="00803E47"/>
    <w:rsid w:val="00804669"/>
    <w:rsid w:val="00804B86"/>
    <w:rsid w:val="008052ED"/>
    <w:rsid w:val="008054D7"/>
    <w:rsid w:val="008077A1"/>
    <w:rsid w:val="008079F2"/>
    <w:rsid w:val="00807D38"/>
    <w:rsid w:val="00807D83"/>
    <w:rsid w:val="00807F04"/>
    <w:rsid w:val="00810238"/>
    <w:rsid w:val="0081064A"/>
    <w:rsid w:val="00810897"/>
    <w:rsid w:val="00810D48"/>
    <w:rsid w:val="00811355"/>
    <w:rsid w:val="008116DE"/>
    <w:rsid w:val="00811BC5"/>
    <w:rsid w:val="008126E4"/>
    <w:rsid w:val="008131BE"/>
    <w:rsid w:val="0081341B"/>
    <w:rsid w:val="008136B7"/>
    <w:rsid w:val="0081499B"/>
    <w:rsid w:val="00814E5F"/>
    <w:rsid w:val="0081533E"/>
    <w:rsid w:val="008153C7"/>
    <w:rsid w:val="0081584B"/>
    <w:rsid w:val="00815F32"/>
    <w:rsid w:val="00815FDD"/>
    <w:rsid w:val="00816265"/>
    <w:rsid w:val="0081685E"/>
    <w:rsid w:val="00816B33"/>
    <w:rsid w:val="00817084"/>
    <w:rsid w:val="008170A1"/>
    <w:rsid w:val="008172C2"/>
    <w:rsid w:val="008173F2"/>
    <w:rsid w:val="0081745D"/>
    <w:rsid w:val="008176CA"/>
    <w:rsid w:val="00820098"/>
    <w:rsid w:val="00820304"/>
    <w:rsid w:val="00820CAB"/>
    <w:rsid w:val="0082169C"/>
    <w:rsid w:val="008217DD"/>
    <w:rsid w:val="00821E7E"/>
    <w:rsid w:val="00822058"/>
    <w:rsid w:val="008223F1"/>
    <w:rsid w:val="0082269E"/>
    <w:rsid w:val="00822719"/>
    <w:rsid w:val="0082380D"/>
    <w:rsid w:val="00823939"/>
    <w:rsid w:val="00823A14"/>
    <w:rsid w:val="00823C60"/>
    <w:rsid w:val="00823F53"/>
    <w:rsid w:val="008245B2"/>
    <w:rsid w:val="00824AFD"/>
    <w:rsid w:val="00824D37"/>
    <w:rsid w:val="00824FB8"/>
    <w:rsid w:val="00825297"/>
    <w:rsid w:val="008253AF"/>
    <w:rsid w:val="00825995"/>
    <w:rsid w:val="00826178"/>
    <w:rsid w:val="00826BBA"/>
    <w:rsid w:val="008279F2"/>
    <w:rsid w:val="00827A4E"/>
    <w:rsid w:val="0083001F"/>
    <w:rsid w:val="008306A2"/>
    <w:rsid w:val="00830DF0"/>
    <w:rsid w:val="00830FDD"/>
    <w:rsid w:val="00831B26"/>
    <w:rsid w:val="00831D17"/>
    <w:rsid w:val="0083207B"/>
    <w:rsid w:val="008321C4"/>
    <w:rsid w:val="00832AB3"/>
    <w:rsid w:val="00832B60"/>
    <w:rsid w:val="00832DD1"/>
    <w:rsid w:val="008330B2"/>
    <w:rsid w:val="00833146"/>
    <w:rsid w:val="00833640"/>
    <w:rsid w:val="00833779"/>
    <w:rsid w:val="00833920"/>
    <w:rsid w:val="00834580"/>
    <w:rsid w:val="00834BBA"/>
    <w:rsid w:val="00834D60"/>
    <w:rsid w:val="00834EE7"/>
    <w:rsid w:val="0083564F"/>
    <w:rsid w:val="00835AEC"/>
    <w:rsid w:val="008360C7"/>
    <w:rsid w:val="008361E4"/>
    <w:rsid w:val="00836224"/>
    <w:rsid w:val="008362DB"/>
    <w:rsid w:val="0083673F"/>
    <w:rsid w:val="00836C93"/>
    <w:rsid w:val="0083735F"/>
    <w:rsid w:val="00837396"/>
    <w:rsid w:val="008376DE"/>
    <w:rsid w:val="00837AE8"/>
    <w:rsid w:val="00837CA8"/>
    <w:rsid w:val="0084010C"/>
    <w:rsid w:val="00841201"/>
    <w:rsid w:val="0084123C"/>
    <w:rsid w:val="008415A6"/>
    <w:rsid w:val="00841752"/>
    <w:rsid w:val="00841AB3"/>
    <w:rsid w:val="00842799"/>
    <w:rsid w:val="00842802"/>
    <w:rsid w:val="00842A24"/>
    <w:rsid w:val="00843049"/>
    <w:rsid w:val="0084311B"/>
    <w:rsid w:val="00843CD8"/>
    <w:rsid w:val="008442C9"/>
    <w:rsid w:val="00844809"/>
    <w:rsid w:val="00844AB7"/>
    <w:rsid w:val="00844F4D"/>
    <w:rsid w:val="00845143"/>
    <w:rsid w:val="00845CBA"/>
    <w:rsid w:val="00845E06"/>
    <w:rsid w:val="00846280"/>
    <w:rsid w:val="00846802"/>
    <w:rsid w:val="00846A33"/>
    <w:rsid w:val="00846B77"/>
    <w:rsid w:val="00847308"/>
    <w:rsid w:val="0084735F"/>
    <w:rsid w:val="008473C8"/>
    <w:rsid w:val="0084773C"/>
    <w:rsid w:val="00847870"/>
    <w:rsid w:val="008479F7"/>
    <w:rsid w:val="00850004"/>
    <w:rsid w:val="008507D7"/>
    <w:rsid w:val="00851358"/>
    <w:rsid w:val="00851389"/>
    <w:rsid w:val="008513B1"/>
    <w:rsid w:val="00851531"/>
    <w:rsid w:val="008518BC"/>
    <w:rsid w:val="00851AE9"/>
    <w:rsid w:val="00852371"/>
    <w:rsid w:val="0085241F"/>
    <w:rsid w:val="00852467"/>
    <w:rsid w:val="00852A66"/>
    <w:rsid w:val="00852A89"/>
    <w:rsid w:val="00852D0B"/>
    <w:rsid w:val="00853BF4"/>
    <w:rsid w:val="00853D63"/>
    <w:rsid w:val="00853F85"/>
    <w:rsid w:val="008540F1"/>
    <w:rsid w:val="0085412B"/>
    <w:rsid w:val="0085427F"/>
    <w:rsid w:val="00854727"/>
    <w:rsid w:val="00854BFD"/>
    <w:rsid w:val="00854C5C"/>
    <w:rsid w:val="00855A7D"/>
    <w:rsid w:val="00855DAB"/>
    <w:rsid w:val="00855DE4"/>
    <w:rsid w:val="00855E23"/>
    <w:rsid w:val="008560A3"/>
    <w:rsid w:val="008563CC"/>
    <w:rsid w:val="008565A2"/>
    <w:rsid w:val="00856A25"/>
    <w:rsid w:val="00856E14"/>
    <w:rsid w:val="00857215"/>
    <w:rsid w:val="00857786"/>
    <w:rsid w:val="00860254"/>
    <w:rsid w:val="00860508"/>
    <w:rsid w:val="008608B5"/>
    <w:rsid w:val="00860C4F"/>
    <w:rsid w:val="0086165A"/>
    <w:rsid w:val="0086172B"/>
    <w:rsid w:val="00861B7A"/>
    <w:rsid w:val="00861E0F"/>
    <w:rsid w:val="00862615"/>
    <w:rsid w:val="008628E2"/>
    <w:rsid w:val="00862CC1"/>
    <w:rsid w:val="00863320"/>
    <w:rsid w:val="0086374D"/>
    <w:rsid w:val="0086385A"/>
    <w:rsid w:val="0086409B"/>
    <w:rsid w:val="008640AF"/>
    <w:rsid w:val="0086415A"/>
    <w:rsid w:val="00864208"/>
    <w:rsid w:val="0086452D"/>
    <w:rsid w:val="0086458B"/>
    <w:rsid w:val="00864C21"/>
    <w:rsid w:val="00864D1B"/>
    <w:rsid w:val="00864D65"/>
    <w:rsid w:val="00864E3D"/>
    <w:rsid w:val="008653D9"/>
    <w:rsid w:val="00865C2A"/>
    <w:rsid w:val="008667E6"/>
    <w:rsid w:val="00866C35"/>
    <w:rsid w:val="00866C3C"/>
    <w:rsid w:val="00866DA9"/>
    <w:rsid w:val="00866EE6"/>
    <w:rsid w:val="00867B89"/>
    <w:rsid w:val="00867BAF"/>
    <w:rsid w:val="00867E37"/>
    <w:rsid w:val="00870460"/>
    <w:rsid w:val="00870547"/>
    <w:rsid w:val="008719EF"/>
    <w:rsid w:val="00872701"/>
    <w:rsid w:val="00872889"/>
    <w:rsid w:val="008729AB"/>
    <w:rsid w:val="00872FC8"/>
    <w:rsid w:val="0087300E"/>
    <w:rsid w:val="008733E7"/>
    <w:rsid w:val="00873CCD"/>
    <w:rsid w:val="00873D66"/>
    <w:rsid w:val="008742C1"/>
    <w:rsid w:val="00874EF1"/>
    <w:rsid w:val="0087526A"/>
    <w:rsid w:val="008755C5"/>
    <w:rsid w:val="008757FB"/>
    <w:rsid w:val="00875908"/>
    <w:rsid w:val="00876098"/>
    <w:rsid w:val="0087626F"/>
    <w:rsid w:val="00876534"/>
    <w:rsid w:val="008767FE"/>
    <w:rsid w:val="00876804"/>
    <w:rsid w:val="00880278"/>
    <w:rsid w:val="0088029A"/>
    <w:rsid w:val="008803A9"/>
    <w:rsid w:val="008807AA"/>
    <w:rsid w:val="008807E7"/>
    <w:rsid w:val="00880C5A"/>
    <w:rsid w:val="00881362"/>
    <w:rsid w:val="008815E9"/>
    <w:rsid w:val="008816F2"/>
    <w:rsid w:val="008819C3"/>
    <w:rsid w:val="00881A10"/>
    <w:rsid w:val="00881E41"/>
    <w:rsid w:val="00882309"/>
    <w:rsid w:val="00882B29"/>
    <w:rsid w:val="00882C0E"/>
    <w:rsid w:val="0088305F"/>
    <w:rsid w:val="008831F6"/>
    <w:rsid w:val="0088325F"/>
    <w:rsid w:val="00883C2B"/>
    <w:rsid w:val="00883F9C"/>
    <w:rsid w:val="00884063"/>
    <w:rsid w:val="008842B9"/>
    <w:rsid w:val="00884568"/>
    <w:rsid w:val="00884E0A"/>
    <w:rsid w:val="00885006"/>
    <w:rsid w:val="00885200"/>
    <w:rsid w:val="00885231"/>
    <w:rsid w:val="0088543C"/>
    <w:rsid w:val="00885857"/>
    <w:rsid w:val="00885FF3"/>
    <w:rsid w:val="0088627A"/>
    <w:rsid w:val="0088720D"/>
    <w:rsid w:val="0088726F"/>
    <w:rsid w:val="008872EF"/>
    <w:rsid w:val="008878C8"/>
    <w:rsid w:val="008879E8"/>
    <w:rsid w:val="00887E44"/>
    <w:rsid w:val="00890908"/>
    <w:rsid w:val="00890B3C"/>
    <w:rsid w:val="008918C0"/>
    <w:rsid w:val="00891A25"/>
    <w:rsid w:val="00891B1D"/>
    <w:rsid w:val="008921B9"/>
    <w:rsid w:val="008923CE"/>
    <w:rsid w:val="00892880"/>
    <w:rsid w:val="00892BCC"/>
    <w:rsid w:val="00893089"/>
    <w:rsid w:val="008936BE"/>
    <w:rsid w:val="008937DE"/>
    <w:rsid w:val="00893BC8"/>
    <w:rsid w:val="00893CCC"/>
    <w:rsid w:val="00893D26"/>
    <w:rsid w:val="0089411A"/>
    <w:rsid w:val="0089426E"/>
    <w:rsid w:val="008942F9"/>
    <w:rsid w:val="00894630"/>
    <w:rsid w:val="00894815"/>
    <w:rsid w:val="00894B4B"/>
    <w:rsid w:val="00894F15"/>
    <w:rsid w:val="00894F93"/>
    <w:rsid w:val="008950AF"/>
    <w:rsid w:val="00895DED"/>
    <w:rsid w:val="00896094"/>
    <w:rsid w:val="0089630D"/>
    <w:rsid w:val="0089637D"/>
    <w:rsid w:val="008964C6"/>
    <w:rsid w:val="00896E64"/>
    <w:rsid w:val="00897497"/>
    <w:rsid w:val="00897D98"/>
    <w:rsid w:val="00897DC1"/>
    <w:rsid w:val="00897E0A"/>
    <w:rsid w:val="00897E89"/>
    <w:rsid w:val="00897FE1"/>
    <w:rsid w:val="008A03BF"/>
    <w:rsid w:val="008A0671"/>
    <w:rsid w:val="008A06FC"/>
    <w:rsid w:val="008A1497"/>
    <w:rsid w:val="008A193C"/>
    <w:rsid w:val="008A1E8C"/>
    <w:rsid w:val="008A2290"/>
    <w:rsid w:val="008A29D6"/>
    <w:rsid w:val="008A2A19"/>
    <w:rsid w:val="008A2F6A"/>
    <w:rsid w:val="008A2FEC"/>
    <w:rsid w:val="008A30F3"/>
    <w:rsid w:val="008A3520"/>
    <w:rsid w:val="008A3BBD"/>
    <w:rsid w:val="008A3D43"/>
    <w:rsid w:val="008A3ECB"/>
    <w:rsid w:val="008A4626"/>
    <w:rsid w:val="008A50B6"/>
    <w:rsid w:val="008A51D4"/>
    <w:rsid w:val="008A5422"/>
    <w:rsid w:val="008A558F"/>
    <w:rsid w:val="008A5879"/>
    <w:rsid w:val="008A58F8"/>
    <w:rsid w:val="008A5956"/>
    <w:rsid w:val="008A5B9F"/>
    <w:rsid w:val="008A5C13"/>
    <w:rsid w:val="008A62AF"/>
    <w:rsid w:val="008A6447"/>
    <w:rsid w:val="008A68E5"/>
    <w:rsid w:val="008A69B0"/>
    <w:rsid w:val="008A790B"/>
    <w:rsid w:val="008A7E47"/>
    <w:rsid w:val="008B01B1"/>
    <w:rsid w:val="008B0EE1"/>
    <w:rsid w:val="008B113A"/>
    <w:rsid w:val="008B13EF"/>
    <w:rsid w:val="008B1510"/>
    <w:rsid w:val="008B1BB3"/>
    <w:rsid w:val="008B1CBA"/>
    <w:rsid w:val="008B2216"/>
    <w:rsid w:val="008B2496"/>
    <w:rsid w:val="008B296B"/>
    <w:rsid w:val="008B31BE"/>
    <w:rsid w:val="008B3A21"/>
    <w:rsid w:val="008B4024"/>
    <w:rsid w:val="008B44CF"/>
    <w:rsid w:val="008B4828"/>
    <w:rsid w:val="008B49C6"/>
    <w:rsid w:val="008B4BDA"/>
    <w:rsid w:val="008B532E"/>
    <w:rsid w:val="008B54F4"/>
    <w:rsid w:val="008B5CEA"/>
    <w:rsid w:val="008B5DB4"/>
    <w:rsid w:val="008B5EC8"/>
    <w:rsid w:val="008B6541"/>
    <w:rsid w:val="008B67FE"/>
    <w:rsid w:val="008B6A5B"/>
    <w:rsid w:val="008B73E4"/>
    <w:rsid w:val="008C0343"/>
    <w:rsid w:val="008C050F"/>
    <w:rsid w:val="008C0685"/>
    <w:rsid w:val="008C0795"/>
    <w:rsid w:val="008C0BE1"/>
    <w:rsid w:val="008C19FD"/>
    <w:rsid w:val="008C21B5"/>
    <w:rsid w:val="008C220A"/>
    <w:rsid w:val="008C2247"/>
    <w:rsid w:val="008C3090"/>
    <w:rsid w:val="008C3176"/>
    <w:rsid w:val="008C3243"/>
    <w:rsid w:val="008C35C7"/>
    <w:rsid w:val="008C36B3"/>
    <w:rsid w:val="008C3CFB"/>
    <w:rsid w:val="008C40AF"/>
    <w:rsid w:val="008C4E86"/>
    <w:rsid w:val="008C52B2"/>
    <w:rsid w:val="008C5398"/>
    <w:rsid w:val="008C5D25"/>
    <w:rsid w:val="008C6308"/>
    <w:rsid w:val="008C6615"/>
    <w:rsid w:val="008C6A62"/>
    <w:rsid w:val="008C6D27"/>
    <w:rsid w:val="008C7511"/>
    <w:rsid w:val="008C7556"/>
    <w:rsid w:val="008C7691"/>
    <w:rsid w:val="008C7CA1"/>
    <w:rsid w:val="008D038F"/>
    <w:rsid w:val="008D04EB"/>
    <w:rsid w:val="008D0AAD"/>
    <w:rsid w:val="008D0AFD"/>
    <w:rsid w:val="008D1B01"/>
    <w:rsid w:val="008D1BAB"/>
    <w:rsid w:val="008D25DD"/>
    <w:rsid w:val="008D2750"/>
    <w:rsid w:val="008D295D"/>
    <w:rsid w:val="008D39C0"/>
    <w:rsid w:val="008D3F60"/>
    <w:rsid w:val="008D44BD"/>
    <w:rsid w:val="008D4B31"/>
    <w:rsid w:val="008D50FF"/>
    <w:rsid w:val="008D5308"/>
    <w:rsid w:val="008D554D"/>
    <w:rsid w:val="008D5BC7"/>
    <w:rsid w:val="008D6194"/>
    <w:rsid w:val="008D6233"/>
    <w:rsid w:val="008D685D"/>
    <w:rsid w:val="008D7015"/>
    <w:rsid w:val="008D711E"/>
    <w:rsid w:val="008D7230"/>
    <w:rsid w:val="008D7416"/>
    <w:rsid w:val="008D767F"/>
    <w:rsid w:val="008D7958"/>
    <w:rsid w:val="008D7B56"/>
    <w:rsid w:val="008E0045"/>
    <w:rsid w:val="008E034E"/>
    <w:rsid w:val="008E09F9"/>
    <w:rsid w:val="008E0C45"/>
    <w:rsid w:val="008E1122"/>
    <w:rsid w:val="008E135E"/>
    <w:rsid w:val="008E14FE"/>
    <w:rsid w:val="008E164B"/>
    <w:rsid w:val="008E17E0"/>
    <w:rsid w:val="008E191A"/>
    <w:rsid w:val="008E1A26"/>
    <w:rsid w:val="008E21B9"/>
    <w:rsid w:val="008E2420"/>
    <w:rsid w:val="008E2662"/>
    <w:rsid w:val="008E27BB"/>
    <w:rsid w:val="008E2914"/>
    <w:rsid w:val="008E2AED"/>
    <w:rsid w:val="008E3206"/>
    <w:rsid w:val="008E3394"/>
    <w:rsid w:val="008E3B39"/>
    <w:rsid w:val="008E422A"/>
    <w:rsid w:val="008E47E1"/>
    <w:rsid w:val="008E481A"/>
    <w:rsid w:val="008E4F5A"/>
    <w:rsid w:val="008E4FD7"/>
    <w:rsid w:val="008E560C"/>
    <w:rsid w:val="008E583B"/>
    <w:rsid w:val="008E59A7"/>
    <w:rsid w:val="008E59E3"/>
    <w:rsid w:val="008E5F79"/>
    <w:rsid w:val="008E5FE7"/>
    <w:rsid w:val="008E6090"/>
    <w:rsid w:val="008E60F9"/>
    <w:rsid w:val="008E6438"/>
    <w:rsid w:val="008E66EC"/>
    <w:rsid w:val="008E6A38"/>
    <w:rsid w:val="008E7985"/>
    <w:rsid w:val="008E7C6A"/>
    <w:rsid w:val="008E7FA3"/>
    <w:rsid w:val="008F01AA"/>
    <w:rsid w:val="008F0CE3"/>
    <w:rsid w:val="008F0EF0"/>
    <w:rsid w:val="008F12A6"/>
    <w:rsid w:val="008F13D7"/>
    <w:rsid w:val="008F14C5"/>
    <w:rsid w:val="008F1689"/>
    <w:rsid w:val="008F196A"/>
    <w:rsid w:val="008F22B3"/>
    <w:rsid w:val="008F2A5F"/>
    <w:rsid w:val="008F3288"/>
    <w:rsid w:val="008F3ACE"/>
    <w:rsid w:val="008F3C70"/>
    <w:rsid w:val="008F3C9E"/>
    <w:rsid w:val="008F436A"/>
    <w:rsid w:val="008F438E"/>
    <w:rsid w:val="008F44FF"/>
    <w:rsid w:val="008F486B"/>
    <w:rsid w:val="008F4AA5"/>
    <w:rsid w:val="008F50EC"/>
    <w:rsid w:val="008F5610"/>
    <w:rsid w:val="008F5817"/>
    <w:rsid w:val="008F5997"/>
    <w:rsid w:val="008F5AC2"/>
    <w:rsid w:val="008F6218"/>
    <w:rsid w:val="008F640A"/>
    <w:rsid w:val="008F649A"/>
    <w:rsid w:val="008F682A"/>
    <w:rsid w:val="008F6952"/>
    <w:rsid w:val="008F6A99"/>
    <w:rsid w:val="008F7275"/>
    <w:rsid w:val="008F7337"/>
    <w:rsid w:val="008F785C"/>
    <w:rsid w:val="008F7AF2"/>
    <w:rsid w:val="008F7CB4"/>
    <w:rsid w:val="008F7F40"/>
    <w:rsid w:val="00900863"/>
    <w:rsid w:val="00901250"/>
    <w:rsid w:val="0090136C"/>
    <w:rsid w:val="00902182"/>
    <w:rsid w:val="0090232B"/>
    <w:rsid w:val="009023BA"/>
    <w:rsid w:val="009028C5"/>
    <w:rsid w:val="00902BBE"/>
    <w:rsid w:val="00902E04"/>
    <w:rsid w:val="00903146"/>
    <w:rsid w:val="009031B0"/>
    <w:rsid w:val="009038D4"/>
    <w:rsid w:val="009038E6"/>
    <w:rsid w:val="009039C1"/>
    <w:rsid w:val="00903B8D"/>
    <w:rsid w:val="00903DC2"/>
    <w:rsid w:val="00903DDD"/>
    <w:rsid w:val="00904610"/>
    <w:rsid w:val="0090483F"/>
    <w:rsid w:val="00904A51"/>
    <w:rsid w:val="0090508B"/>
    <w:rsid w:val="009051AD"/>
    <w:rsid w:val="00905569"/>
    <w:rsid w:val="00905FD7"/>
    <w:rsid w:val="009062FC"/>
    <w:rsid w:val="0090792A"/>
    <w:rsid w:val="00910056"/>
    <w:rsid w:val="00910106"/>
    <w:rsid w:val="009109A9"/>
    <w:rsid w:val="009122BA"/>
    <w:rsid w:val="009123F6"/>
    <w:rsid w:val="00912ED4"/>
    <w:rsid w:val="009130B1"/>
    <w:rsid w:val="009135C9"/>
    <w:rsid w:val="009136E5"/>
    <w:rsid w:val="00913D43"/>
    <w:rsid w:val="0091415E"/>
    <w:rsid w:val="00914426"/>
    <w:rsid w:val="00914738"/>
    <w:rsid w:val="00915236"/>
    <w:rsid w:val="00915398"/>
    <w:rsid w:val="00915BB2"/>
    <w:rsid w:val="00915E8F"/>
    <w:rsid w:val="009160EE"/>
    <w:rsid w:val="00916503"/>
    <w:rsid w:val="00916952"/>
    <w:rsid w:val="00916E7A"/>
    <w:rsid w:val="00916EAF"/>
    <w:rsid w:val="0091757A"/>
    <w:rsid w:val="009177C2"/>
    <w:rsid w:val="0091782B"/>
    <w:rsid w:val="00917A8D"/>
    <w:rsid w:val="00920B2E"/>
    <w:rsid w:val="00920BD9"/>
    <w:rsid w:val="00920CBA"/>
    <w:rsid w:val="00921153"/>
    <w:rsid w:val="00921B33"/>
    <w:rsid w:val="00921D6E"/>
    <w:rsid w:val="00921DB2"/>
    <w:rsid w:val="00921F9B"/>
    <w:rsid w:val="009220F8"/>
    <w:rsid w:val="009223B9"/>
    <w:rsid w:val="00922C77"/>
    <w:rsid w:val="00923043"/>
    <w:rsid w:val="009232EA"/>
    <w:rsid w:val="00923654"/>
    <w:rsid w:val="00923A01"/>
    <w:rsid w:val="00923CE5"/>
    <w:rsid w:val="00924600"/>
    <w:rsid w:val="00924A24"/>
    <w:rsid w:val="00925874"/>
    <w:rsid w:val="00925A16"/>
    <w:rsid w:val="00925AE5"/>
    <w:rsid w:val="0092629B"/>
    <w:rsid w:val="00926D0E"/>
    <w:rsid w:val="009273DF"/>
    <w:rsid w:val="009278FF"/>
    <w:rsid w:val="0093018A"/>
    <w:rsid w:val="00930445"/>
    <w:rsid w:val="009304B3"/>
    <w:rsid w:val="0093090B"/>
    <w:rsid w:val="00930DB3"/>
    <w:rsid w:val="00931562"/>
    <w:rsid w:val="009315DC"/>
    <w:rsid w:val="00932001"/>
    <w:rsid w:val="009324ED"/>
    <w:rsid w:val="0093268D"/>
    <w:rsid w:val="00932F60"/>
    <w:rsid w:val="009336B0"/>
    <w:rsid w:val="009338A3"/>
    <w:rsid w:val="00933ADC"/>
    <w:rsid w:val="00933D6D"/>
    <w:rsid w:val="00934030"/>
    <w:rsid w:val="00934646"/>
    <w:rsid w:val="009347AD"/>
    <w:rsid w:val="009347C8"/>
    <w:rsid w:val="00934F84"/>
    <w:rsid w:val="00934FE7"/>
    <w:rsid w:val="00935678"/>
    <w:rsid w:val="00935B1C"/>
    <w:rsid w:val="009360AF"/>
    <w:rsid w:val="009360BB"/>
    <w:rsid w:val="00936588"/>
    <w:rsid w:val="00936D88"/>
    <w:rsid w:val="0093747A"/>
    <w:rsid w:val="00937695"/>
    <w:rsid w:val="00937869"/>
    <w:rsid w:val="009379EB"/>
    <w:rsid w:val="0094007A"/>
    <w:rsid w:val="009401E3"/>
    <w:rsid w:val="00940A65"/>
    <w:rsid w:val="00940CD7"/>
    <w:rsid w:val="00940DCD"/>
    <w:rsid w:val="0094159E"/>
    <w:rsid w:val="00942807"/>
    <w:rsid w:val="009431B7"/>
    <w:rsid w:val="00943242"/>
    <w:rsid w:val="00943BDA"/>
    <w:rsid w:val="00944517"/>
    <w:rsid w:val="0094474D"/>
    <w:rsid w:val="0094494A"/>
    <w:rsid w:val="00944F7A"/>
    <w:rsid w:val="009457F5"/>
    <w:rsid w:val="009458FB"/>
    <w:rsid w:val="00945B00"/>
    <w:rsid w:val="009465C8"/>
    <w:rsid w:val="00946659"/>
    <w:rsid w:val="00946833"/>
    <w:rsid w:val="00946DB4"/>
    <w:rsid w:val="009472A7"/>
    <w:rsid w:val="009476F6"/>
    <w:rsid w:val="009477FF"/>
    <w:rsid w:val="00947F48"/>
    <w:rsid w:val="00950326"/>
    <w:rsid w:val="009504D9"/>
    <w:rsid w:val="009506AC"/>
    <w:rsid w:val="009509AD"/>
    <w:rsid w:val="00950DC7"/>
    <w:rsid w:val="00951CED"/>
    <w:rsid w:val="00951F51"/>
    <w:rsid w:val="0095229B"/>
    <w:rsid w:val="0095242E"/>
    <w:rsid w:val="00952682"/>
    <w:rsid w:val="009530DD"/>
    <w:rsid w:val="009530F3"/>
    <w:rsid w:val="00953777"/>
    <w:rsid w:val="00953837"/>
    <w:rsid w:val="00953C26"/>
    <w:rsid w:val="00953C82"/>
    <w:rsid w:val="00953F0E"/>
    <w:rsid w:val="00953FC3"/>
    <w:rsid w:val="00954EE9"/>
    <w:rsid w:val="009555AC"/>
    <w:rsid w:val="00955E07"/>
    <w:rsid w:val="009560E5"/>
    <w:rsid w:val="009562BB"/>
    <w:rsid w:val="00956431"/>
    <w:rsid w:val="00956813"/>
    <w:rsid w:val="00956E54"/>
    <w:rsid w:val="00956FFA"/>
    <w:rsid w:val="00957197"/>
    <w:rsid w:val="00957675"/>
    <w:rsid w:val="00960F5A"/>
    <w:rsid w:val="00961642"/>
    <w:rsid w:val="009619C1"/>
    <w:rsid w:val="009622AD"/>
    <w:rsid w:val="009624E6"/>
    <w:rsid w:val="00962674"/>
    <w:rsid w:val="00962960"/>
    <w:rsid w:val="00962C2E"/>
    <w:rsid w:val="009630FE"/>
    <w:rsid w:val="00963153"/>
    <w:rsid w:val="00963480"/>
    <w:rsid w:val="00963830"/>
    <w:rsid w:val="0096411D"/>
    <w:rsid w:val="0096461E"/>
    <w:rsid w:val="00964B4B"/>
    <w:rsid w:val="0096514D"/>
    <w:rsid w:val="00965449"/>
    <w:rsid w:val="00966C1C"/>
    <w:rsid w:val="00966C9E"/>
    <w:rsid w:val="00966F35"/>
    <w:rsid w:val="00967C4E"/>
    <w:rsid w:val="009706F7"/>
    <w:rsid w:val="00970AB4"/>
    <w:rsid w:val="009711D3"/>
    <w:rsid w:val="00971ACC"/>
    <w:rsid w:val="00971FA7"/>
    <w:rsid w:val="009725CF"/>
    <w:rsid w:val="009734A6"/>
    <w:rsid w:val="00973772"/>
    <w:rsid w:val="00973B9C"/>
    <w:rsid w:val="00973C52"/>
    <w:rsid w:val="00973CD4"/>
    <w:rsid w:val="00973D87"/>
    <w:rsid w:val="0097409C"/>
    <w:rsid w:val="009741C7"/>
    <w:rsid w:val="0097452C"/>
    <w:rsid w:val="00974655"/>
    <w:rsid w:val="00974798"/>
    <w:rsid w:val="00974AD0"/>
    <w:rsid w:val="00974CED"/>
    <w:rsid w:val="0097503B"/>
    <w:rsid w:val="00975265"/>
    <w:rsid w:val="00975A22"/>
    <w:rsid w:val="00976EFE"/>
    <w:rsid w:val="00977710"/>
    <w:rsid w:val="009803B7"/>
    <w:rsid w:val="00980EEB"/>
    <w:rsid w:val="009822F6"/>
    <w:rsid w:val="00982577"/>
    <w:rsid w:val="0098283C"/>
    <w:rsid w:val="0098338A"/>
    <w:rsid w:val="00983CA8"/>
    <w:rsid w:val="0098407E"/>
    <w:rsid w:val="00984A1E"/>
    <w:rsid w:val="00984D83"/>
    <w:rsid w:val="00985211"/>
    <w:rsid w:val="00985701"/>
    <w:rsid w:val="00986159"/>
    <w:rsid w:val="00986D6C"/>
    <w:rsid w:val="0098703F"/>
    <w:rsid w:val="00987068"/>
    <w:rsid w:val="00987204"/>
    <w:rsid w:val="00987307"/>
    <w:rsid w:val="00990274"/>
    <w:rsid w:val="009908A2"/>
    <w:rsid w:val="00990910"/>
    <w:rsid w:val="00990C01"/>
    <w:rsid w:val="00990CD0"/>
    <w:rsid w:val="00991A92"/>
    <w:rsid w:val="00992539"/>
    <w:rsid w:val="00992D72"/>
    <w:rsid w:val="00993813"/>
    <w:rsid w:val="00993965"/>
    <w:rsid w:val="009944DF"/>
    <w:rsid w:val="009949CE"/>
    <w:rsid w:val="0099533A"/>
    <w:rsid w:val="0099537A"/>
    <w:rsid w:val="0099572E"/>
    <w:rsid w:val="0099636A"/>
    <w:rsid w:val="009964D5"/>
    <w:rsid w:val="009966E0"/>
    <w:rsid w:val="009967BA"/>
    <w:rsid w:val="00996D9A"/>
    <w:rsid w:val="009972AE"/>
    <w:rsid w:val="00997731"/>
    <w:rsid w:val="009978AA"/>
    <w:rsid w:val="0099796A"/>
    <w:rsid w:val="00997BB0"/>
    <w:rsid w:val="009A0031"/>
    <w:rsid w:val="009A0314"/>
    <w:rsid w:val="009A0364"/>
    <w:rsid w:val="009A0E1B"/>
    <w:rsid w:val="009A0F32"/>
    <w:rsid w:val="009A140B"/>
    <w:rsid w:val="009A15BB"/>
    <w:rsid w:val="009A15C6"/>
    <w:rsid w:val="009A1B89"/>
    <w:rsid w:val="009A2615"/>
    <w:rsid w:val="009A2693"/>
    <w:rsid w:val="009A2C28"/>
    <w:rsid w:val="009A2E74"/>
    <w:rsid w:val="009A377F"/>
    <w:rsid w:val="009A3834"/>
    <w:rsid w:val="009A3B43"/>
    <w:rsid w:val="009A3F0A"/>
    <w:rsid w:val="009A4000"/>
    <w:rsid w:val="009A422A"/>
    <w:rsid w:val="009A461E"/>
    <w:rsid w:val="009A473F"/>
    <w:rsid w:val="009A4A7D"/>
    <w:rsid w:val="009A4D68"/>
    <w:rsid w:val="009A4DB1"/>
    <w:rsid w:val="009A54B5"/>
    <w:rsid w:val="009A551F"/>
    <w:rsid w:val="009A5668"/>
    <w:rsid w:val="009A5720"/>
    <w:rsid w:val="009A621B"/>
    <w:rsid w:val="009A62C0"/>
    <w:rsid w:val="009A73E9"/>
    <w:rsid w:val="009A7C13"/>
    <w:rsid w:val="009A7DFF"/>
    <w:rsid w:val="009A7E74"/>
    <w:rsid w:val="009A7FBF"/>
    <w:rsid w:val="009B037C"/>
    <w:rsid w:val="009B0459"/>
    <w:rsid w:val="009B095C"/>
    <w:rsid w:val="009B13AF"/>
    <w:rsid w:val="009B16E9"/>
    <w:rsid w:val="009B18CF"/>
    <w:rsid w:val="009B214F"/>
    <w:rsid w:val="009B22E7"/>
    <w:rsid w:val="009B2E14"/>
    <w:rsid w:val="009B305D"/>
    <w:rsid w:val="009B3164"/>
    <w:rsid w:val="009B3652"/>
    <w:rsid w:val="009B38E3"/>
    <w:rsid w:val="009B3EA8"/>
    <w:rsid w:val="009B3FEA"/>
    <w:rsid w:val="009B46B2"/>
    <w:rsid w:val="009B4BA1"/>
    <w:rsid w:val="009B640D"/>
    <w:rsid w:val="009B6ED2"/>
    <w:rsid w:val="009B6F70"/>
    <w:rsid w:val="009C08F6"/>
    <w:rsid w:val="009C0E9D"/>
    <w:rsid w:val="009C10AC"/>
    <w:rsid w:val="009C17C7"/>
    <w:rsid w:val="009C29A6"/>
    <w:rsid w:val="009C3197"/>
    <w:rsid w:val="009C3782"/>
    <w:rsid w:val="009C3A1F"/>
    <w:rsid w:val="009C4B43"/>
    <w:rsid w:val="009C4C3F"/>
    <w:rsid w:val="009C4C72"/>
    <w:rsid w:val="009C50AC"/>
    <w:rsid w:val="009C55E2"/>
    <w:rsid w:val="009C56F5"/>
    <w:rsid w:val="009C58D9"/>
    <w:rsid w:val="009C5A92"/>
    <w:rsid w:val="009C5AC7"/>
    <w:rsid w:val="009C5BE3"/>
    <w:rsid w:val="009C5F7D"/>
    <w:rsid w:val="009C629D"/>
    <w:rsid w:val="009C6313"/>
    <w:rsid w:val="009C6541"/>
    <w:rsid w:val="009C65BC"/>
    <w:rsid w:val="009C6AD1"/>
    <w:rsid w:val="009C6AE2"/>
    <w:rsid w:val="009C6BCD"/>
    <w:rsid w:val="009C7009"/>
    <w:rsid w:val="009C78E5"/>
    <w:rsid w:val="009C7EA6"/>
    <w:rsid w:val="009D0210"/>
    <w:rsid w:val="009D06C6"/>
    <w:rsid w:val="009D0B0A"/>
    <w:rsid w:val="009D0BB6"/>
    <w:rsid w:val="009D0FB3"/>
    <w:rsid w:val="009D1037"/>
    <w:rsid w:val="009D1DE9"/>
    <w:rsid w:val="009D21FA"/>
    <w:rsid w:val="009D23AF"/>
    <w:rsid w:val="009D271A"/>
    <w:rsid w:val="009D288B"/>
    <w:rsid w:val="009D304E"/>
    <w:rsid w:val="009D3143"/>
    <w:rsid w:val="009D3932"/>
    <w:rsid w:val="009D3F83"/>
    <w:rsid w:val="009D4556"/>
    <w:rsid w:val="009D5239"/>
    <w:rsid w:val="009D6069"/>
    <w:rsid w:val="009D6144"/>
    <w:rsid w:val="009D6404"/>
    <w:rsid w:val="009D678A"/>
    <w:rsid w:val="009D687E"/>
    <w:rsid w:val="009D72E9"/>
    <w:rsid w:val="009D795E"/>
    <w:rsid w:val="009E06A4"/>
    <w:rsid w:val="009E076E"/>
    <w:rsid w:val="009E079E"/>
    <w:rsid w:val="009E1077"/>
    <w:rsid w:val="009E1C71"/>
    <w:rsid w:val="009E1D50"/>
    <w:rsid w:val="009E1D77"/>
    <w:rsid w:val="009E230D"/>
    <w:rsid w:val="009E2C64"/>
    <w:rsid w:val="009E2D07"/>
    <w:rsid w:val="009E2EA4"/>
    <w:rsid w:val="009E4695"/>
    <w:rsid w:val="009E4790"/>
    <w:rsid w:val="009E4AC1"/>
    <w:rsid w:val="009E4D7E"/>
    <w:rsid w:val="009E5088"/>
    <w:rsid w:val="009E5439"/>
    <w:rsid w:val="009E5706"/>
    <w:rsid w:val="009E5770"/>
    <w:rsid w:val="009E6219"/>
    <w:rsid w:val="009E64BB"/>
    <w:rsid w:val="009E64BD"/>
    <w:rsid w:val="009E66C0"/>
    <w:rsid w:val="009E67A5"/>
    <w:rsid w:val="009E67CD"/>
    <w:rsid w:val="009E694E"/>
    <w:rsid w:val="009E72C1"/>
    <w:rsid w:val="009E72DE"/>
    <w:rsid w:val="009E7347"/>
    <w:rsid w:val="009E75AB"/>
    <w:rsid w:val="009E77AE"/>
    <w:rsid w:val="009E7DCC"/>
    <w:rsid w:val="009F026D"/>
    <w:rsid w:val="009F0285"/>
    <w:rsid w:val="009F06AD"/>
    <w:rsid w:val="009F0912"/>
    <w:rsid w:val="009F0979"/>
    <w:rsid w:val="009F0AAB"/>
    <w:rsid w:val="009F0AC5"/>
    <w:rsid w:val="009F0B9D"/>
    <w:rsid w:val="009F13AA"/>
    <w:rsid w:val="009F1597"/>
    <w:rsid w:val="009F15B6"/>
    <w:rsid w:val="009F19A1"/>
    <w:rsid w:val="009F1C5F"/>
    <w:rsid w:val="009F26E6"/>
    <w:rsid w:val="009F2767"/>
    <w:rsid w:val="009F436C"/>
    <w:rsid w:val="009F47AB"/>
    <w:rsid w:val="009F5025"/>
    <w:rsid w:val="009F5738"/>
    <w:rsid w:val="009F59E5"/>
    <w:rsid w:val="009F5C52"/>
    <w:rsid w:val="009F616D"/>
    <w:rsid w:val="009F64C9"/>
    <w:rsid w:val="009F6AFC"/>
    <w:rsid w:val="009F6BBB"/>
    <w:rsid w:val="009F6D15"/>
    <w:rsid w:val="009F7553"/>
    <w:rsid w:val="00A005D1"/>
    <w:rsid w:val="00A006AB"/>
    <w:rsid w:val="00A0094F"/>
    <w:rsid w:val="00A01380"/>
    <w:rsid w:val="00A0167E"/>
    <w:rsid w:val="00A0178A"/>
    <w:rsid w:val="00A017F9"/>
    <w:rsid w:val="00A0194D"/>
    <w:rsid w:val="00A01D6F"/>
    <w:rsid w:val="00A02098"/>
    <w:rsid w:val="00A02185"/>
    <w:rsid w:val="00A0261D"/>
    <w:rsid w:val="00A0290E"/>
    <w:rsid w:val="00A02AF3"/>
    <w:rsid w:val="00A02D70"/>
    <w:rsid w:val="00A03285"/>
    <w:rsid w:val="00A034A3"/>
    <w:rsid w:val="00A03CFE"/>
    <w:rsid w:val="00A03FFA"/>
    <w:rsid w:val="00A04122"/>
    <w:rsid w:val="00A04AE1"/>
    <w:rsid w:val="00A04B37"/>
    <w:rsid w:val="00A054CA"/>
    <w:rsid w:val="00A0571B"/>
    <w:rsid w:val="00A058FC"/>
    <w:rsid w:val="00A061D6"/>
    <w:rsid w:val="00A06657"/>
    <w:rsid w:val="00A06810"/>
    <w:rsid w:val="00A0745A"/>
    <w:rsid w:val="00A0759D"/>
    <w:rsid w:val="00A07BF6"/>
    <w:rsid w:val="00A07DD2"/>
    <w:rsid w:val="00A1035E"/>
    <w:rsid w:val="00A10A6D"/>
    <w:rsid w:val="00A10D6D"/>
    <w:rsid w:val="00A10E3D"/>
    <w:rsid w:val="00A11CAD"/>
    <w:rsid w:val="00A120B9"/>
    <w:rsid w:val="00A12375"/>
    <w:rsid w:val="00A12D0E"/>
    <w:rsid w:val="00A12D93"/>
    <w:rsid w:val="00A136F6"/>
    <w:rsid w:val="00A13F7D"/>
    <w:rsid w:val="00A1443D"/>
    <w:rsid w:val="00A14893"/>
    <w:rsid w:val="00A14CDE"/>
    <w:rsid w:val="00A14CE6"/>
    <w:rsid w:val="00A14D05"/>
    <w:rsid w:val="00A14E6C"/>
    <w:rsid w:val="00A1523E"/>
    <w:rsid w:val="00A15C6A"/>
    <w:rsid w:val="00A15F1E"/>
    <w:rsid w:val="00A16AF9"/>
    <w:rsid w:val="00A16C49"/>
    <w:rsid w:val="00A16E37"/>
    <w:rsid w:val="00A16F16"/>
    <w:rsid w:val="00A17622"/>
    <w:rsid w:val="00A178A1"/>
    <w:rsid w:val="00A200DD"/>
    <w:rsid w:val="00A20446"/>
    <w:rsid w:val="00A20704"/>
    <w:rsid w:val="00A20A97"/>
    <w:rsid w:val="00A20B6B"/>
    <w:rsid w:val="00A20D7F"/>
    <w:rsid w:val="00A20D8F"/>
    <w:rsid w:val="00A21118"/>
    <w:rsid w:val="00A211F8"/>
    <w:rsid w:val="00A217B9"/>
    <w:rsid w:val="00A224E2"/>
    <w:rsid w:val="00A22582"/>
    <w:rsid w:val="00A239DD"/>
    <w:rsid w:val="00A23DC2"/>
    <w:rsid w:val="00A242AA"/>
    <w:rsid w:val="00A251AF"/>
    <w:rsid w:val="00A25380"/>
    <w:rsid w:val="00A258A4"/>
    <w:rsid w:val="00A25CD8"/>
    <w:rsid w:val="00A26183"/>
    <w:rsid w:val="00A2618C"/>
    <w:rsid w:val="00A266E3"/>
    <w:rsid w:val="00A267D5"/>
    <w:rsid w:val="00A26C5C"/>
    <w:rsid w:val="00A26D67"/>
    <w:rsid w:val="00A272DD"/>
    <w:rsid w:val="00A2733C"/>
    <w:rsid w:val="00A2751F"/>
    <w:rsid w:val="00A27783"/>
    <w:rsid w:val="00A278B4"/>
    <w:rsid w:val="00A27B87"/>
    <w:rsid w:val="00A27BBF"/>
    <w:rsid w:val="00A27D07"/>
    <w:rsid w:val="00A27EEA"/>
    <w:rsid w:val="00A3006A"/>
    <w:rsid w:val="00A301CD"/>
    <w:rsid w:val="00A3078E"/>
    <w:rsid w:val="00A3095C"/>
    <w:rsid w:val="00A30A91"/>
    <w:rsid w:val="00A30E10"/>
    <w:rsid w:val="00A3101A"/>
    <w:rsid w:val="00A311CE"/>
    <w:rsid w:val="00A31978"/>
    <w:rsid w:val="00A31C3D"/>
    <w:rsid w:val="00A31DAA"/>
    <w:rsid w:val="00A31DB7"/>
    <w:rsid w:val="00A32686"/>
    <w:rsid w:val="00A32742"/>
    <w:rsid w:val="00A32AA4"/>
    <w:rsid w:val="00A32D3A"/>
    <w:rsid w:val="00A33E79"/>
    <w:rsid w:val="00A341CE"/>
    <w:rsid w:val="00A3439E"/>
    <w:rsid w:val="00A34447"/>
    <w:rsid w:val="00A345AC"/>
    <w:rsid w:val="00A34790"/>
    <w:rsid w:val="00A347B4"/>
    <w:rsid w:val="00A34AAF"/>
    <w:rsid w:val="00A34DC7"/>
    <w:rsid w:val="00A3588C"/>
    <w:rsid w:val="00A3595B"/>
    <w:rsid w:val="00A36342"/>
    <w:rsid w:val="00A3665E"/>
    <w:rsid w:val="00A36A09"/>
    <w:rsid w:val="00A36D0C"/>
    <w:rsid w:val="00A378CA"/>
    <w:rsid w:val="00A378DC"/>
    <w:rsid w:val="00A378E0"/>
    <w:rsid w:val="00A37963"/>
    <w:rsid w:val="00A37C16"/>
    <w:rsid w:val="00A4030E"/>
    <w:rsid w:val="00A4080F"/>
    <w:rsid w:val="00A408E4"/>
    <w:rsid w:val="00A40BB0"/>
    <w:rsid w:val="00A40CDB"/>
    <w:rsid w:val="00A415FE"/>
    <w:rsid w:val="00A41847"/>
    <w:rsid w:val="00A41B36"/>
    <w:rsid w:val="00A42080"/>
    <w:rsid w:val="00A4298A"/>
    <w:rsid w:val="00A42A65"/>
    <w:rsid w:val="00A42F52"/>
    <w:rsid w:val="00A43509"/>
    <w:rsid w:val="00A43592"/>
    <w:rsid w:val="00A43B6D"/>
    <w:rsid w:val="00A43BB0"/>
    <w:rsid w:val="00A43C9E"/>
    <w:rsid w:val="00A43E90"/>
    <w:rsid w:val="00A43FDB"/>
    <w:rsid w:val="00A45ACE"/>
    <w:rsid w:val="00A45FA2"/>
    <w:rsid w:val="00A465C6"/>
    <w:rsid w:val="00A46720"/>
    <w:rsid w:val="00A46774"/>
    <w:rsid w:val="00A46A23"/>
    <w:rsid w:val="00A46F1D"/>
    <w:rsid w:val="00A46F40"/>
    <w:rsid w:val="00A46FEC"/>
    <w:rsid w:val="00A47198"/>
    <w:rsid w:val="00A472FC"/>
    <w:rsid w:val="00A475CF"/>
    <w:rsid w:val="00A47F0D"/>
    <w:rsid w:val="00A47FC1"/>
    <w:rsid w:val="00A5021C"/>
    <w:rsid w:val="00A508C2"/>
    <w:rsid w:val="00A50EC9"/>
    <w:rsid w:val="00A51025"/>
    <w:rsid w:val="00A5164A"/>
    <w:rsid w:val="00A524E1"/>
    <w:rsid w:val="00A528F6"/>
    <w:rsid w:val="00A52A7D"/>
    <w:rsid w:val="00A52A9B"/>
    <w:rsid w:val="00A53DEE"/>
    <w:rsid w:val="00A54A79"/>
    <w:rsid w:val="00A54C0D"/>
    <w:rsid w:val="00A55DD7"/>
    <w:rsid w:val="00A55F06"/>
    <w:rsid w:val="00A55FD1"/>
    <w:rsid w:val="00A56193"/>
    <w:rsid w:val="00A57112"/>
    <w:rsid w:val="00A5726B"/>
    <w:rsid w:val="00A57782"/>
    <w:rsid w:val="00A57D75"/>
    <w:rsid w:val="00A6008C"/>
    <w:rsid w:val="00A601BA"/>
    <w:rsid w:val="00A607EE"/>
    <w:rsid w:val="00A609B3"/>
    <w:rsid w:val="00A60DF0"/>
    <w:rsid w:val="00A619BC"/>
    <w:rsid w:val="00A61EDA"/>
    <w:rsid w:val="00A62806"/>
    <w:rsid w:val="00A635A5"/>
    <w:rsid w:val="00A6404C"/>
    <w:rsid w:val="00A643CF"/>
    <w:rsid w:val="00A64661"/>
    <w:rsid w:val="00A649E1"/>
    <w:rsid w:val="00A64B3A"/>
    <w:rsid w:val="00A65367"/>
    <w:rsid w:val="00A658A8"/>
    <w:rsid w:val="00A6591A"/>
    <w:rsid w:val="00A659D2"/>
    <w:rsid w:val="00A65AD8"/>
    <w:rsid w:val="00A661C6"/>
    <w:rsid w:val="00A66548"/>
    <w:rsid w:val="00A665A7"/>
    <w:rsid w:val="00A66FCC"/>
    <w:rsid w:val="00A6750D"/>
    <w:rsid w:val="00A676EA"/>
    <w:rsid w:val="00A67D15"/>
    <w:rsid w:val="00A67D1D"/>
    <w:rsid w:val="00A67DE8"/>
    <w:rsid w:val="00A70BD1"/>
    <w:rsid w:val="00A70ECE"/>
    <w:rsid w:val="00A70F8C"/>
    <w:rsid w:val="00A70FE6"/>
    <w:rsid w:val="00A71470"/>
    <w:rsid w:val="00A717C4"/>
    <w:rsid w:val="00A719AE"/>
    <w:rsid w:val="00A71B87"/>
    <w:rsid w:val="00A71BB4"/>
    <w:rsid w:val="00A71D92"/>
    <w:rsid w:val="00A722DB"/>
    <w:rsid w:val="00A729C0"/>
    <w:rsid w:val="00A72DA7"/>
    <w:rsid w:val="00A72E4D"/>
    <w:rsid w:val="00A73BEF"/>
    <w:rsid w:val="00A73C0B"/>
    <w:rsid w:val="00A73E36"/>
    <w:rsid w:val="00A74065"/>
    <w:rsid w:val="00A742FD"/>
    <w:rsid w:val="00A74564"/>
    <w:rsid w:val="00A74A67"/>
    <w:rsid w:val="00A754E1"/>
    <w:rsid w:val="00A75952"/>
    <w:rsid w:val="00A760C9"/>
    <w:rsid w:val="00A7646F"/>
    <w:rsid w:val="00A76583"/>
    <w:rsid w:val="00A767B2"/>
    <w:rsid w:val="00A768CD"/>
    <w:rsid w:val="00A7696A"/>
    <w:rsid w:val="00A76C4B"/>
    <w:rsid w:val="00A7712D"/>
    <w:rsid w:val="00A77758"/>
    <w:rsid w:val="00A77DF3"/>
    <w:rsid w:val="00A77F24"/>
    <w:rsid w:val="00A77F4D"/>
    <w:rsid w:val="00A80129"/>
    <w:rsid w:val="00A80208"/>
    <w:rsid w:val="00A8035C"/>
    <w:rsid w:val="00A816B1"/>
    <w:rsid w:val="00A81CCA"/>
    <w:rsid w:val="00A81FBE"/>
    <w:rsid w:val="00A820C5"/>
    <w:rsid w:val="00A8246F"/>
    <w:rsid w:val="00A82831"/>
    <w:rsid w:val="00A82B46"/>
    <w:rsid w:val="00A83655"/>
    <w:rsid w:val="00A83A7F"/>
    <w:rsid w:val="00A83B84"/>
    <w:rsid w:val="00A83B9E"/>
    <w:rsid w:val="00A8443E"/>
    <w:rsid w:val="00A847E1"/>
    <w:rsid w:val="00A84817"/>
    <w:rsid w:val="00A84DB8"/>
    <w:rsid w:val="00A85132"/>
    <w:rsid w:val="00A85397"/>
    <w:rsid w:val="00A8597A"/>
    <w:rsid w:val="00A863CB"/>
    <w:rsid w:val="00A8690D"/>
    <w:rsid w:val="00A87204"/>
    <w:rsid w:val="00A8740D"/>
    <w:rsid w:val="00A87510"/>
    <w:rsid w:val="00A879D2"/>
    <w:rsid w:val="00A9047A"/>
    <w:rsid w:val="00A904E2"/>
    <w:rsid w:val="00A90514"/>
    <w:rsid w:val="00A90EE8"/>
    <w:rsid w:val="00A9131C"/>
    <w:rsid w:val="00A9134D"/>
    <w:rsid w:val="00A91418"/>
    <w:rsid w:val="00A914C1"/>
    <w:rsid w:val="00A91608"/>
    <w:rsid w:val="00A9183F"/>
    <w:rsid w:val="00A919EA"/>
    <w:rsid w:val="00A92138"/>
    <w:rsid w:val="00A9213E"/>
    <w:rsid w:val="00A924B5"/>
    <w:rsid w:val="00A9273F"/>
    <w:rsid w:val="00A927D0"/>
    <w:rsid w:val="00A9299E"/>
    <w:rsid w:val="00A929E3"/>
    <w:rsid w:val="00A92DD9"/>
    <w:rsid w:val="00A9302B"/>
    <w:rsid w:val="00A93044"/>
    <w:rsid w:val="00A93D45"/>
    <w:rsid w:val="00A94B6D"/>
    <w:rsid w:val="00A94DC9"/>
    <w:rsid w:val="00A96A14"/>
    <w:rsid w:val="00A96CD4"/>
    <w:rsid w:val="00A97819"/>
    <w:rsid w:val="00A979F6"/>
    <w:rsid w:val="00A97BAA"/>
    <w:rsid w:val="00A97E0E"/>
    <w:rsid w:val="00A97E98"/>
    <w:rsid w:val="00AA0206"/>
    <w:rsid w:val="00AA0294"/>
    <w:rsid w:val="00AA0AA9"/>
    <w:rsid w:val="00AA0C2A"/>
    <w:rsid w:val="00AA14EB"/>
    <w:rsid w:val="00AA177B"/>
    <w:rsid w:val="00AA17E0"/>
    <w:rsid w:val="00AA1857"/>
    <w:rsid w:val="00AA186B"/>
    <w:rsid w:val="00AA2022"/>
    <w:rsid w:val="00AA2059"/>
    <w:rsid w:val="00AA2065"/>
    <w:rsid w:val="00AA21EB"/>
    <w:rsid w:val="00AA2423"/>
    <w:rsid w:val="00AA25BC"/>
    <w:rsid w:val="00AA2EA9"/>
    <w:rsid w:val="00AA2ECD"/>
    <w:rsid w:val="00AA3B48"/>
    <w:rsid w:val="00AA3BF7"/>
    <w:rsid w:val="00AA402D"/>
    <w:rsid w:val="00AA4154"/>
    <w:rsid w:val="00AA42F6"/>
    <w:rsid w:val="00AA4E83"/>
    <w:rsid w:val="00AA50A9"/>
    <w:rsid w:val="00AA546A"/>
    <w:rsid w:val="00AA5CDF"/>
    <w:rsid w:val="00AA5DC7"/>
    <w:rsid w:val="00AA6F5A"/>
    <w:rsid w:val="00AA77AC"/>
    <w:rsid w:val="00AA7961"/>
    <w:rsid w:val="00AA79DA"/>
    <w:rsid w:val="00AA7CAA"/>
    <w:rsid w:val="00AA7CD8"/>
    <w:rsid w:val="00AB020A"/>
    <w:rsid w:val="00AB0C98"/>
    <w:rsid w:val="00AB15AD"/>
    <w:rsid w:val="00AB1621"/>
    <w:rsid w:val="00AB1CB5"/>
    <w:rsid w:val="00AB1CEB"/>
    <w:rsid w:val="00AB200E"/>
    <w:rsid w:val="00AB2778"/>
    <w:rsid w:val="00AB2CC0"/>
    <w:rsid w:val="00AB3E42"/>
    <w:rsid w:val="00AB42CF"/>
    <w:rsid w:val="00AB488D"/>
    <w:rsid w:val="00AB4A95"/>
    <w:rsid w:val="00AB59A8"/>
    <w:rsid w:val="00AB5C93"/>
    <w:rsid w:val="00AB5F52"/>
    <w:rsid w:val="00AB5FCB"/>
    <w:rsid w:val="00AB61B8"/>
    <w:rsid w:val="00AB65C2"/>
    <w:rsid w:val="00AB6749"/>
    <w:rsid w:val="00AB687A"/>
    <w:rsid w:val="00AB6CAC"/>
    <w:rsid w:val="00AB6E3C"/>
    <w:rsid w:val="00AB703B"/>
    <w:rsid w:val="00AB72F6"/>
    <w:rsid w:val="00AB74A6"/>
    <w:rsid w:val="00AB7967"/>
    <w:rsid w:val="00AB7D88"/>
    <w:rsid w:val="00AC011B"/>
    <w:rsid w:val="00AC198A"/>
    <w:rsid w:val="00AC2295"/>
    <w:rsid w:val="00AC2734"/>
    <w:rsid w:val="00AC29A5"/>
    <w:rsid w:val="00AC2A90"/>
    <w:rsid w:val="00AC2C28"/>
    <w:rsid w:val="00AC2CC7"/>
    <w:rsid w:val="00AC2CFF"/>
    <w:rsid w:val="00AC2E59"/>
    <w:rsid w:val="00AC342C"/>
    <w:rsid w:val="00AC55EA"/>
    <w:rsid w:val="00AC5D76"/>
    <w:rsid w:val="00AC5F66"/>
    <w:rsid w:val="00AC6277"/>
    <w:rsid w:val="00AC6514"/>
    <w:rsid w:val="00AC65FC"/>
    <w:rsid w:val="00AC6960"/>
    <w:rsid w:val="00AC6CF9"/>
    <w:rsid w:val="00AC6EC4"/>
    <w:rsid w:val="00AC735A"/>
    <w:rsid w:val="00AC7425"/>
    <w:rsid w:val="00AC7912"/>
    <w:rsid w:val="00AD0405"/>
    <w:rsid w:val="00AD051A"/>
    <w:rsid w:val="00AD0698"/>
    <w:rsid w:val="00AD0BF4"/>
    <w:rsid w:val="00AD106E"/>
    <w:rsid w:val="00AD131E"/>
    <w:rsid w:val="00AD1D1C"/>
    <w:rsid w:val="00AD1E4C"/>
    <w:rsid w:val="00AD2B1E"/>
    <w:rsid w:val="00AD2DCC"/>
    <w:rsid w:val="00AD3154"/>
    <w:rsid w:val="00AD32F2"/>
    <w:rsid w:val="00AD3B6A"/>
    <w:rsid w:val="00AD3B8E"/>
    <w:rsid w:val="00AD439C"/>
    <w:rsid w:val="00AD48D6"/>
    <w:rsid w:val="00AD51B7"/>
    <w:rsid w:val="00AD5889"/>
    <w:rsid w:val="00AD5A11"/>
    <w:rsid w:val="00AD6464"/>
    <w:rsid w:val="00AD66A9"/>
    <w:rsid w:val="00AD6742"/>
    <w:rsid w:val="00AD67A4"/>
    <w:rsid w:val="00AD6C3E"/>
    <w:rsid w:val="00AD6C8F"/>
    <w:rsid w:val="00AD76AD"/>
    <w:rsid w:val="00AD7BC1"/>
    <w:rsid w:val="00AD7F63"/>
    <w:rsid w:val="00AE0592"/>
    <w:rsid w:val="00AE0787"/>
    <w:rsid w:val="00AE1157"/>
    <w:rsid w:val="00AE155D"/>
    <w:rsid w:val="00AE1D27"/>
    <w:rsid w:val="00AE219B"/>
    <w:rsid w:val="00AE2261"/>
    <w:rsid w:val="00AE2465"/>
    <w:rsid w:val="00AE3AEA"/>
    <w:rsid w:val="00AE3E64"/>
    <w:rsid w:val="00AE40BD"/>
    <w:rsid w:val="00AE44F8"/>
    <w:rsid w:val="00AE4B27"/>
    <w:rsid w:val="00AE50E0"/>
    <w:rsid w:val="00AE51FE"/>
    <w:rsid w:val="00AE5260"/>
    <w:rsid w:val="00AE5923"/>
    <w:rsid w:val="00AE5CEF"/>
    <w:rsid w:val="00AE6038"/>
    <w:rsid w:val="00AE6123"/>
    <w:rsid w:val="00AE62A6"/>
    <w:rsid w:val="00AE68C1"/>
    <w:rsid w:val="00AE6B06"/>
    <w:rsid w:val="00AE6C8E"/>
    <w:rsid w:val="00AE6D59"/>
    <w:rsid w:val="00AE6F3B"/>
    <w:rsid w:val="00AE6F93"/>
    <w:rsid w:val="00AE726D"/>
    <w:rsid w:val="00AE788F"/>
    <w:rsid w:val="00AE7FDA"/>
    <w:rsid w:val="00AF0514"/>
    <w:rsid w:val="00AF0D30"/>
    <w:rsid w:val="00AF1B27"/>
    <w:rsid w:val="00AF1D4C"/>
    <w:rsid w:val="00AF1D7B"/>
    <w:rsid w:val="00AF238D"/>
    <w:rsid w:val="00AF257F"/>
    <w:rsid w:val="00AF2614"/>
    <w:rsid w:val="00AF2EFB"/>
    <w:rsid w:val="00AF3354"/>
    <w:rsid w:val="00AF3936"/>
    <w:rsid w:val="00AF3AE1"/>
    <w:rsid w:val="00AF3E6C"/>
    <w:rsid w:val="00AF40B7"/>
    <w:rsid w:val="00AF4B43"/>
    <w:rsid w:val="00AF4C0A"/>
    <w:rsid w:val="00AF4FA3"/>
    <w:rsid w:val="00AF5035"/>
    <w:rsid w:val="00AF562B"/>
    <w:rsid w:val="00AF5775"/>
    <w:rsid w:val="00AF5973"/>
    <w:rsid w:val="00AF60E9"/>
    <w:rsid w:val="00AF60F5"/>
    <w:rsid w:val="00AF67A3"/>
    <w:rsid w:val="00AF68A0"/>
    <w:rsid w:val="00AF70DD"/>
    <w:rsid w:val="00AF7B07"/>
    <w:rsid w:val="00AF7C12"/>
    <w:rsid w:val="00AF7C64"/>
    <w:rsid w:val="00AF7E09"/>
    <w:rsid w:val="00B0031A"/>
    <w:rsid w:val="00B00AE2"/>
    <w:rsid w:val="00B00F69"/>
    <w:rsid w:val="00B0100D"/>
    <w:rsid w:val="00B01439"/>
    <w:rsid w:val="00B01992"/>
    <w:rsid w:val="00B01E52"/>
    <w:rsid w:val="00B020A6"/>
    <w:rsid w:val="00B024C6"/>
    <w:rsid w:val="00B02732"/>
    <w:rsid w:val="00B02B72"/>
    <w:rsid w:val="00B0305C"/>
    <w:rsid w:val="00B03315"/>
    <w:rsid w:val="00B03845"/>
    <w:rsid w:val="00B03B85"/>
    <w:rsid w:val="00B03D25"/>
    <w:rsid w:val="00B04548"/>
    <w:rsid w:val="00B045C4"/>
    <w:rsid w:val="00B0463B"/>
    <w:rsid w:val="00B047DD"/>
    <w:rsid w:val="00B04AFE"/>
    <w:rsid w:val="00B04D34"/>
    <w:rsid w:val="00B05057"/>
    <w:rsid w:val="00B0516F"/>
    <w:rsid w:val="00B0524E"/>
    <w:rsid w:val="00B059CE"/>
    <w:rsid w:val="00B06F86"/>
    <w:rsid w:val="00B072A7"/>
    <w:rsid w:val="00B0750F"/>
    <w:rsid w:val="00B0753F"/>
    <w:rsid w:val="00B07883"/>
    <w:rsid w:val="00B07942"/>
    <w:rsid w:val="00B07952"/>
    <w:rsid w:val="00B07F02"/>
    <w:rsid w:val="00B07FC4"/>
    <w:rsid w:val="00B10296"/>
    <w:rsid w:val="00B10463"/>
    <w:rsid w:val="00B10834"/>
    <w:rsid w:val="00B1085C"/>
    <w:rsid w:val="00B10AAD"/>
    <w:rsid w:val="00B10BD1"/>
    <w:rsid w:val="00B11576"/>
    <w:rsid w:val="00B118CC"/>
    <w:rsid w:val="00B11F11"/>
    <w:rsid w:val="00B12046"/>
    <w:rsid w:val="00B122AF"/>
    <w:rsid w:val="00B123B3"/>
    <w:rsid w:val="00B12453"/>
    <w:rsid w:val="00B12849"/>
    <w:rsid w:val="00B12C93"/>
    <w:rsid w:val="00B131F2"/>
    <w:rsid w:val="00B13548"/>
    <w:rsid w:val="00B13BB9"/>
    <w:rsid w:val="00B14024"/>
    <w:rsid w:val="00B1452A"/>
    <w:rsid w:val="00B14688"/>
    <w:rsid w:val="00B14A57"/>
    <w:rsid w:val="00B14ACB"/>
    <w:rsid w:val="00B15613"/>
    <w:rsid w:val="00B15B01"/>
    <w:rsid w:val="00B15E65"/>
    <w:rsid w:val="00B16B85"/>
    <w:rsid w:val="00B16E79"/>
    <w:rsid w:val="00B1717C"/>
    <w:rsid w:val="00B1739F"/>
    <w:rsid w:val="00B173AD"/>
    <w:rsid w:val="00B178E0"/>
    <w:rsid w:val="00B20094"/>
    <w:rsid w:val="00B206B1"/>
    <w:rsid w:val="00B208C3"/>
    <w:rsid w:val="00B20C12"/>
    <w:rsid w:val="00B2163D"/>
    <w:rsid w:val="00B222C8"/>
    <w:rsid w:val="00B22820"/>
    <w:rsid w:val="00B22A01"/>
    <w:rsid w:val="00B22EAE"/>
    <w:rsid w:val="00B22EC6"/>
    <w:rsid w:val="00B23366"/>
    <w:rsid w:val="00B2392F"/>
    <w:rsid w:val="00B23C3B"/>
    <w:rsid w:val="00B2400F"/>
    <w:rsid w:val="00B2484D"/>
    <w:rsid w:val="00B248C3"/>
    <w:rsid w:val="00B25188"/>
    <w:rsid w:val="00B258E8"/>
    <w:rsid w:val="00B259F0"/>
    <w:rsid w:val="00B25D19"/>
    <w:rsid w:val="00B26090"/>
    <w:rsid w:val="00B26329"/>
    <w:rsid w:val="00B26BA4"/>
    <w:rsid w:val="00B272C6"/>
    <w:rsid w:val="00B2770D"/>
    <w:rsid w:val="00B279B5"/>
    <w:rsid w:val="00B27A3E"/>
    <w:rsid w:val="00B27EAA"/>
    <w:rsid w:val="00B27F9E"/>
    <w:rsid w:val="00B300C7"/>
    <w:rsid w:val="00B30129"/>
    <w:rsid w:val="00B3065A"/>
    <w:rsid w:val="00B30BA1"/>
    <w:rsid w:val="00B312C6"/>
    <w:rsid w:val="00B314EF"/>
    <w:rsid w:val="00B314FE"/>
    <w:rsid w:val="00B31FF4"/>
    <w:rsid w:val="00B32A59"/>
    <w:rsid w:val="00B32AF0"/>
    <w:rsid w:val="00B32DD5"/>
    <w:rsid w:val="00B32E08"/>
    <w:rsid w:val="00B32E0A"/>
    <w:rsid w:val="00B33469"/>
    <w:rsid w:val="00B338DA"/>
    <w:rsid w:val="00B33A4F"/>
    <w:rsid w:val="00B33D5C"/>
    <w:rsid w:val="00B343CC"/>
    <w:rsid w:val="00B35170"/>
    <w:rsid w:val="00B355C9"/>
    <w:rsid w:val="00B356BD"/>
    <w:rsid w:val="00B35AC0"/>
    <w:rsid w:val="00B36294"/>
    <w:rsid w:val="00B362A7"/>
    <w:rsid w:val="00B36A4F"/>
    <w:rsid w:val="00B373BE"/>
    <w:rsid w:val="00B375F6"/>
    <w:rsid w:val="00B37B99"/>
    <w:rsid w:val="00B400F0"/>
    <w:rsid w:val="00B406CA"/>
    <w:rsid w:val="00B40D4F"/>
    <w:rsid w:val="00B411D3"/>
    <w:rsid w:val="00B41A4F"/>
    <w:rsid w:val="00B422B1"/>
    <w:rsid w:val="00B42C86"/>
    <w:rsid w:val="00B434B2"/>
    <w:rsid w:val="00B43D21"/>
    <w:rsid w:val="00B43D91"/>
    <w:rsid w:val="00B43F55"/>
    <w:rsid w:val="00B44080"/>
    <w:rsid w:val="00B44814"/>
    <w:rsid w:val="00B45133"/>
    <w:rsid w:val="00B4539C"/>
    <w:rsid w:val="00B46AF1"/>
    <w:rsid w:val="00B471CF"/>
    <w:rsid w:val="00B47214"/>
    <w:rsid w:val="00B47370"/>
    <w:rsid w:val="00B4782F"/>
    <w:rsid w:val="00B47A0F"/>
    <w:rsid w:val="00B47B4A"/>
    <w:rsid w:val="00B47BC3"/>
    <w:rsid w:val="00B47D63"/>
    <w:rsid w:val="00B47E51"/>
    <w:rsid w:val="00B47FE7"/>
    <w:rsid w:val="00B5063E"/>
    <w:rsid w:val="00B50D95"/>
    <w:rsid w:val="00B50FF1"/>
    <w:rsid w:val="00B51054"/>
    <w:rsid w:val="00B51F90"/>
    <w:rsid w:val="00B523CD"/>
    <w:rsid w:val="00B524B9"/>
    <w:rsid w:val="00B52C48"/>
    <w:rsid w:val="00B52FE0"/>
    <w:rsid w:val="00B531D5"/>
    <w:rsid w:val="00B53E60"/>
    <w:rsid w:val="00B54AC3"/>
    <w:rsid w:val="00B54DE0"/>
    <w:rsid w:val="00B54EC3"/>
    <w:rsid w:val="00B557B1"/>
    <w:rsid w:val="00B558A5"/>
    <w:rsid w:val="00B558C6"/>
    <w:rsid w:val="00B55AD6"/>
    <w:rsid w:val="00B55D8C"/>
    <w:rsid w:val="00B55FF7"/>
    <w:rsid w:val="00B56AEC"/>
    <w:rsid w:val="00B56C56"/>
    <w:rsid w:val="00B57537"/>
    <w:rsid w:val="00B57E31"/>
    <w:rsid w:val="00B57FCF"/>
    <w:rsid w:val="00B6005B"/>
    <w:rsid w:val="00B6006C"/>
    <w:rsid w:val="00B6036E"/>
    <w:rsid w:val="00B60455"/>
    <w:rsid w:val="00B610E4"/>
    <w:rsid w:val="00B6169B"/>
    <w:rsid w:val="00B61961"/>
    <w:rsid w:val="00B61F77"/>
    <w:rsid w:val="00B630EA"/>
    <w:rsid w:val="00B6324F"/>
    <w:rsid w:val="00B63985"/>
    <w:rsid w:val="00B63ADB"/>
    <w:rsid w:val="00B63B36"/>
    <w:rsid w:val="00B63B81"/>
    <w:rsid w:val="00B63F7C"/>
    <w:rsid w:val="00B64231"/>
    <w:rsid w:val="00B654EC"/>
    <w:rsid w:val="00B6562C"/>
    <w:rsid w:val="00B661BC"/>
    <w:rsid w:val="00B66302"/>
    <w:rsid w:val="00B66D3B"/>
    <w:rsid w:val="00B67784"/>
    <w:rsid w:val="00B70A67"/>
    <w:rsid w:val="00B70C7E"/>
    <w:rsid w:val="00B70EA4"/>
    <w:rsid w:val="00B70F30"/>
    <w:rsid w:val="00B72179"/>
    <w:rsid w:val="00B72289"/>
    <w:rsid w:val="00B72566"/>
    <w:rsid w:val="00B72598"/>
    <w:rsid w:val="00B72A55"/>
    <w:rsid w:val="00B730BF"/>
    <w:rsid w:val="00B7356F"/>
    <w:rsid w:val="00B73918"/>
    <w:rsid w:val="00B73950"/>
    <w:rsid w:val="00B73B9A"/>
    <w:rsid w:val="00B741EC"/>
    <w:rsid w:val="00B74766"/>
    <w:rsid w:val="00B749EF"/>
    <w:rsid w:val="00B74A41"/>
    <w:rsid w:val="00B74B04"/>
    <w:rsid w:val="00B74CCD"/>
    <w:rsid w:val="00B74D8A"/>
    <w:rsid w:val="00B756BC"/>
    <w:rsid w:val="00B75F5F"/>
    <w:rsid w:val="00B76047"/>
    <w:rsid w:val="00B760BC"/>
    <w:rsid w:val="00B7615B"/>
    <w:rsid w:val="00B763A5"/>
    <w:rsid w:val="00B7646D"/>
    <w:rsid w:val="00B765BE"/>
    <w:rsid w:val="00B76A91"/>
    <w:rsid w:val="00B772A6"/>
    <w:rsid w:val="00B773DD"/>
    <w:rsid w:val="00B774DC"/>
    <w:rsid w:val="00B77CFC"/>
    <w:rsid w:val="00B8081C"/>
    <w:rsid w:val="00B80B51"/>
    <w:rsid w:val="00B8167E"/>
    <w:rsid w:val="00B82AB9"/>
    <w:rsid w:val="00B82D50"/>
    <w:rsid w:val="00B8332C"/>
    <w:rsid w:val="00B83501"/>
    <w:rsid w:val="00B836AA"/>
    <w:rsid w:val="00B838C3"/>
    <w:rsid w:val="00B8416B"/>
    <w:rsid w:val="00B8425A"/>
    <w:rsid w:val="00B8430D"/>
    <w:rsid w:val="00B84560"/>
    <w:rsid w:val="00B8469E"/>
    <w:rsid w:val="00B84A5A"/>
    <w:rsid w:val="00B85BEE"/>
    <w:rsid w:val="00B85ED6"/>
    <w:rsid w:val="00B85F2C"/>
    <w:rsid w:val="00B8645E"/>
    <w:rsid w:val="00B866C1"/>
    <w:rsid w:val="00B8721E"/>
    <w:rsid w:val="00B872EC"/>
    <w:rsid w:val="00B87AF3"/>
    <w:rsid w:val="00B87F15"/>
    <w:rsid w:val="00B90B81"/>
    <w:rsid w:val="00B90D7D"/>
    <w:rsid w:val="00B915CE"/>
    <w:rsid w:val="00B91E16"/>
    <w:rsid w:val="00B91FFF"/>
    <w:rsid w:val="00B92113"/>
    <w:rsid w:val="00B92614"/>
    <w:rsid w:val="00B9264E"/>
    <w:rsid w:val="00B92A56"/>
    <w:rsid w:val="00B92C21"/>
    <w:rsid w:val="00B93FC8"/>
    <w:rsid w:val="00B94FA8"/>
    <w:rsid w:val="00B95165"/>
    <w:rsid w:val="00B95C79"/>
    <w:rsid w:val="00B96140"/>
    <w:rsid w:val="00B96BFC"/>
    <w:rsid w:val="00B96C88"/>
    <w:rsid w:val="00B970BB"/>
    <w:rsid w:val="00B97E18"/>
    <w:rsid w:val="00BA0376"/>
    <w:rsid w:val="00BA0968"/>
    <w:rsid w:val="00BA0F52"/>
    <w:rsid w:val="00BA1010"/>
    <w:rsid w:val="00BA13C0"/>
    <w:rsid w:val="00BA2047"/>
    <w:rsid w:val="00BA2073"/>
    <w:rsid w:val="00BA22FD"/>
    <w:rsid w:val="00BA2330"/>
    <w:rsid w:val="00BA2683"/>
    <w:rsid w:val="00BA2C5A"/>
    <w:rsid w:val="00BA3812"/>
    <w:rsid w:val="00BA381B"/>
    <w:rsid w:val="00BA39BE"/>
    <w:rsid w:val="00BA4EB3"/>
    <w:rsid w:val="00BA5455"/>
    <w:rsid w:val="00BA5BF8"/>
    <w:rsid w:val="00BA5C50"/>
    <w:rsid w:val="00BA66F9"/>
    <w:rsid w:val="00BA69D1"/>
    <w:rsid w:val="00BA6B1D"/>
    <w:rsid w:val="00BA6B68"/>
    <w:rsid w:val="00BA6B9E"/>
    <w:rsid w:val="00BA6C07"/>
    <w:rsid w:val="00BA727D"/>
    <w:rsid w:val="00BA7311"/>
    <w:rsid w:val="00BA776B"/>
    <w:rsid w:val="00BB0105"/>
    <w:rsid w:val="00BB0BAA"/>
    <w:rsid w:val="00BB0EA2"/>
    <w:rsid w:val="00BB14C4"/>
    <w:rsid w:val="00BB1931"/>
    <w:rsid w:val="00BB1C7E"/>
    <w:rsid w:val="00BB276B"/>
    <w:rsid w:val="00BB2C10"/>
    <w:rsid w:val="00BB2F50"/>
    <w:rsid w:val="00BB3975"/>
    <w:rsid w:val="00BB3C2D"/>
    <w:rsid w:val="00BB4907"/>
    <w:rsid w:val="00BB4E73"/>
    <w:rsid w:val="00BB535E"/>
    <w:rsid w:val="00BB5477"/>
    <w:rsid w:val="00BB573B"/>
    <w:rsid w:val="00BB659F"/>
    <w:rsid w:val="00BB6AC9"/>
    <w:rsid w:val="00BB6ACA"/>
    <w:rsid w:val="00BB6CBD"/>
    <w:rsid w:val="00BB723E"/>
    <w:rsid w:val="00BB72EB"/>
    <w:rsid w:val="00BB7A76"/>
    <w:rsid w:val="00BB7B54"/>
    <w:rsid w:val="00BB7D6A"/>
    <w:rsid w:val="00BC04F3"/>
    <w:rsid w:val="00BC1D69"/>
    <w:rsid w:val="00BC2368"/>
    <w:rsid w:val="00BC2DFA"/>
    <w:rsid w:val="00BC2E8F"/>
    <w:rsid w:val="00BC3134"/>
    <w:rsid w:val="00BC316B"/>
    <w:rsid w:val="00BC3395"/>
    <w:rsid w:val="00BC3836"/>
    <w:rsid w:val="00BC3B53"/>
    <w:rsid w:val="00BC3EEA"/>
    <w:rsid w:val="00BC4993"/>
    <w:rsid w:val="00BC4AD8"/>
    <w:rsid w:val="00BC4F6F"/>
    <w:rsid w:val="00BC5052"/>
    <w:rsid w:val="00BC5C4B"/>
    <w:rsid w:val="00BC686D"/>
    <w:rsid w:val="00BC79D4"/>
    <w:rsid w:val="00BC79E6"/>
    <w:rsid w:val="00BC7D76"/>
    <w:rsid w:val="00BC7E69"/>
    <w:rsid w:val="00BC7F7C"/>
    <w:rsid w:val="00BD0599"/>
    <w:rsid w:val="00BD065A"/>
    <w:rsid w:val="00BD137F"/>
    <w:rsid w:val="00BD17B1"/>
    <w:rsid w:val="00BD24BD"/>
    <w:rsid w:val="00BD2BC7"/>
    <w:rsid w:val="00BD2FC3"/>
    <w:rsid w:val="00BD3D7B"/>
    <w:rsid w:val="00BD41D9"/>
    <w:rsid w:val="00BD44D1"/>
    <w:rsid w:val="00BD47D4"/>
    <w:rsid w:val="00BD4A2B"/>
    <w:rsid w:val="00BD4AF5"/>
    <w:rsid w:val="00BD4C83"/>
    <w:rsid w:val="00BD5108"/>
    <w:rsid w:val="00BD52B0"/>
    <w:rsid w:val="00BD66CB"/>
    <w:rsid w:val="00BD6B44"/>
    <w:rsid w:val="00BD77C7"/>
    <w:rsid w:val="00BD7970"/>
    <w:rsid w:val="00BD7A17"/>
    <w:rsid w:val="00BE06E8"/>
    <w:rsid w:val="00BE082A"/>
    <w:rsid w:val="00BE0E73"/>
    <w:rsid w:val="00BE1678"/>
    <w:rsid w:val="00BE24CE"/>
    <w:rsid w:val="00BE2545"/>
    <w:rsid w:val="00BE3103"/>
    <w:rsid w:val="00BE3B99"/>
    <w:rsid w:val="00BE3C8C"/>
    <w:rsid w:val="00BE4B92"/>
    <w:rsid w:val="00BE5038"/>
    <w:rsid w:val="00BE57EA"/>
    <w:rsid w:val="00BE5B9C"/>
    <w:rsid w:val="00BE5E22"/>
    <w:rsid w:val="00BE5FF2"/>
    <w:rsid w:val="00BE6717"/>
    <w:rsid w:val="00BE725B"/>
    <w:rsid w:val="00BF0869"/>
    <w:rsid w:val="00BF0E18"/>
    <w:rsid w:val="00BF117E"/>
    <w:rsid w:val="00BF1A47"/>
    <w:rsid w:val="00BF1E9A"/>
    <w:rsid w:val="00BF2127"/>
    <w:rsid w:val="00BF2C59"/>
    <w:rsid w:val="00BF2FA3"/>
    <w:rsid w:val="00BF33D6"/>
    <w:rsid w:val="00BF3ED2"/>
    <w:rsid w:val="00BF45FC"/>
    <w:rsid w:val="00BF46C3"/>
    <w:rsid w:val="00BF46CA"/>
    <w:rsid w:val="00BF4B5B"/>
    <w:rsid w:val="00BF4D7E"/>
    <w:rsid w:val="00BF52DD"/>
    <w:rsid w:val="00BF5394"/>
    <w:rsid w:val="00BF53A0"/>
    <w:rsid w:val="00BF53B5"/>
    <w:rsid w:val="00BF5898"/>
    <w:rsid w:val="00BF6435"/>
    <w:rsid w:val="00BF6725"/>
    <w:rsid w:val="00BF673B"/>
    <w:rsid w:val="00BF6C79"/>
    <w:rsid w:val="00BF710F"/>
    <w:rsid w:val="00BF7890"/>
    <w:rsid w:val="00BF7EEC"/>
    <w:rsid w:val="00C012F4"/>
    <w:rsid w:val="00C015F5"/>
    <w:rsid w:val="00C01933"/>
    <w:rsid w:val="00C01CAC"/>
    <w:rsid w:val="00C01EAE"/>
    <w:rsid w:val="00C02181"/>
    <w:rsid w:val="00C021D6"/>
    <w:rsid w:val="00C02273"/>
    <w:rsid w:val="00C027A3"/>
    <w:rsid w:val="00C02B2A"/>
    <w:rsid w:val="00C02C4C"/>
    <w:rsid w:val="00C02E27"/>
    <w:rsid w:val="00C03114"/>
    <w:rsid w:val="00C03259"/>
    <w:rsid w:val="00C03413"/>
    <w:rsid w:val="00C03790"/>
    <w:rsid w:val="00C04265"/>
    <w:rsid w:val="00C04C31"/>
    <w:rsid w:val="00C04DC0"/>
    <w:rsid w:val="00C04FA3"/>
    <w:rsid w:val="00C05342"/>
    <w:rsid w:val="00C05F30"/>
    <w:rsid w:val="00C069EF"/>
    <w:rsid w:val="00C06AF4"/>
    <w:rsid w:val="00C06BBC"/>
    <w:rsid w:val="00C06F56"/>
    <w:rsid w:val="00C06FA2"/>
    <w:rsid w:val="00C07309"/>
    <w:rsid w:val="00C0740D"/>
    <w:rsid w:val="00C10387"/>
    <w:rsid w:val="00C10A7D"/>
    <w:rsid w:val="00C11843"/>
    <w:rsid w:val="00C14240"/>
    <w:rsid w:val="00C14997"/>
    <w:rsid w:val="00C1565F"/>
    <w:rsid w:val="00C168A9"/>
    <w:rsid w:val="00C214AD"/>
    <w:rsid w:val="00C2151A"/>
    <w:rsid w:val="00C21601"/>
    <w:rsid w:val="00C21C61"/>
    <w:rsid w:val="00C220F2"/>
    <w:rsid w:val="00C2221A"/>
    <w:rsid w:val="00C22C19"/>
    <w:rsid w:val="00C23068"/>
    <w:rsid w:val="00C230E3"/>
    <w:rsid w:val="00C23EFD"/>
    <w:rsid w:val="00C2414F"/>
    <w:rsid w:val="00C24238"/>
    <w:rsid w:val="00C24A14"/>
    <w:rsid w:val="00C24CF4"/>
    <w:rsid w:val="00C24F87"/>
    <w:rsid w:val="00C25633"/>
    <w:rsid w:val="00C25BC1"/>
    <w:rsid w:val="00C26CD3"/>
    <w:rsid w:val="00C26EBA"/>
    <w:rsid w:val="00C275C0"/>
    <w:rsid w:val="00C27B83"/>
    <w:rsid w:val="00C30450"/>
    <w:rsid w:val="00C30724"/>
    <w:rsid w:val="00C30841"/>
    <w:rsid w:val="00C31084"/>
    <w:rsid w:val="00C3143A"/>
    <w:rsid w:val="00C31611"/>
    <w:rsid w:val="00C319AE"/>
    <w:rsid w:val="00C325DB"/>
    <w:rsid w:val="00C32699"/>
    <w:rsid w:val="00C32CB1"/>
    <w:rsid w:val="00C32DAC"/>
    <w:rsid w:val="00C32EC4"/>
    <w:rsid w:val="00C3338B"/>
    <w:rsid w:val="00C33667"/>
    <w:rsid w:val="00C33E4C"/>
    <w:rsid w:val="00C344E3"/>
    <w:rsid w:val="00C345FC"/>
    <w:rsid w:val="00C34849"/>
    <w:rsid w:val="00C34B99"/>
    <w:rsid w:val="00C34BDF"/>
    <w:rsid w:val="00C3551C"/>
    <w:rsid w:val="00C358B5"/>
    <w:rsid w:val="00C35BD8"/>
    <w:rsid w:val="00C36355"/>
    <w:rsid w:val="00C366E1"/>
    <w:rsid w:val="00C36AAF"/>
    <w:rsid w:val="00C36ACB"/>
    <w:rsid w:val="00C37AF5"/>
    <w:rsid w:val="00C37CB4"/>
    <w:rsid w:val="00C4040F"/>
    <w:rsid w:val="00C40EE3"/>
    <w:rsid w:val="00C410C9"/>
    <w:rsid w:val="00C41432"/>
    <w:rsid w:val="00C42302"/>
    <w:rsid w:val="00C42B65"/>
    <w:rsid w:val="00C433BB"/>
    <w:rsid w:val="00C435B0"/>
    <w:rsid w:val="00C44A11"/>
    <w:rsid w:val="00C44D68"/>
    <w:rsid w:val="00C453D0"/>
    <w:rsid w:val="00C453DC"/>
    <w:rsid w:val="00C45A99"/>
    <w:rsid w:val="00C45E29"/>
    <w:rsid w:val="00C46010"/>
    <w:rsid w:val="00C465F1"/>
    <w:rsid w:val="00C4678A"/>
    <w:rsid w:val="00C4684A"/>
    <w:rsid w:val="00C46CA1"/>
    <w:rsid w:val="00C47C53"/>
    <w:rsid w:val="00C50149"/>
    <w:rsid w:val="00C501ED"/>
    <w:rsid w:val="00C5065D"/>
    <w:rsid w:val="00C50858"/>
    <w:rsid w:val="00C50F21"/>
    <w:rsid w:val="00C51167"/>
    <w:rsid w:val="00C513A6"/>
    <w:rsid w:val="00C521DC"/>
    <w:rsid w:val="00C5283F"/>
    <w:rsid w:val="00C52888"/>
    <w:rsid w:val="00C529DF"/>
    <w:rsid w:val="00C52C82"/>
    <w:rsid w:val="00C53352"/>
    <w:rsid w:val="00C54418"/>
    <w:rsid w:val="00C546F8"/>
    <w:rsid w:val="00C54B75"/>
    <w:rsid w:val="00C55062"/>
    <w:rsid w:val="00C55510"/>
    <w:rsid w:val="00C55F3C"/>
    <w:rsid w:val="00C55FEB"/>
    <w:rsid w:val="00C56AD8"/>
    <w:rsid w:val="00C56E63"/>
    <w:rsid w:val="00C574B6"/>
    <w:rsid w:val="00C575EE"/>
    <w:rsid w:val="00C5785E"/>
    <w:rsid w:val="00C60003"/>
    <w:rsid w:val="00C60F72"/>
    <w:rsid w:val="00C61600"/>
    <w:rsid w:val="00C617E1"/>
    <w:rsid w:val="00C61A88"/>
    <w:rsid w:val="00C61C3A"/>
    <w:rsid w:val="00C62224"/>
    <w:rsid w:val="00C628F0"/>
    <w:rsid w:val="00C63505"/>
    <w:rsid w:val="00C63967"/>
    <w:rsid w:val="00C63B25"/>
    <w:rsid w:val="00C6408D"/>
    <w:rsid w:val="00C642E8"/>
    <w:rsid w:val="00C64387"/>
    <w:rsid w:val="00C6478F"/>
    <w:rsid w:val="00C65352"/>
    <w:rsid w:val="00C65C01"/>
    <w:rsid w:val="00C66195"/>
    <w:rsid w:val="00C661DF"/>
    <w:rsid w:val="00C67643"/>
    <w:rsid w:val="00C679EB"/>
    <w:rsid w:val="00C67B8E"/>
    <w:rsid w:val="00C700AA"/>
    <w:rsid w:val="00C701AA"/>
    <w:rsid w:val="00C70234"/>
    <w:rsid w:val="00C709AF"/>
    <w:rsid w:val="00C70B60"/>
    <w:rsid w:val="00C71754"/>
    <w:rsid w:val="00C71889"/>
    <w:rsid w:val="00C71EA4"/>
    <w:rsid w:val="00C71F01"/>
    <w:rsid w:val="00C722A6"/>
    <w:rsid w:val="00C72A6E"/>
    <w:rsid w:val="00C72D63"/>
    <w:rsid w:val="00C734B6"/>
    <w:rsid w:val="00C734D8"/>
    <w:rsid w:val="00C73BF5"/>
    <w:rsid w:val="00C73CC7"/>
    <w:rsid w:val="00C74668"/>
    <w:rsid w:val="00C753D1"/>
    <w:rsid w:val="00C75A0C"/>
    <w:rsid w:val="00C75CCF"/>
    <w:rsid w:val="00C76082"/>
    <w:rsid w:val="00C766F8"/>
    <w:rsid w:val="00C76EBE"/>
    <w:rsid w:val="00C77051"/>
    <w:rsid w:val="00C77647"/>
    <w:rsid w:val="00C777A7"/>
    <w:rsid w:val="00C77F81"/>
    <w:rsid w:val="00C8010E"/>
    <w:rsid w:val="00C802BE"/>
    <w:rsid w:val="00C80C14"/>
    <w:rsid w:val="00C8132C"/>
    <w:rsid w:val="00C81425"/>
    <w:rsid w:val="00C8186A"/>
    <w:rsid w:val="00C81BBB"/>
    <w:rsid w:val="00C81EE7"/>
    <w:rsid w:val="00C8270B"/>
    <w:rsid w:val="00C82A0A"/>
    <w:rsid w:val="00C82DAD"/>
    <w:rsid w:val="00C82FCC"/>
    <w:rsid w:val="00C83874"/>
    <w:rsid w:val="00C83BDD"/>
    <w:rsid w:val="00C83FFF"/>
    <w:rsid w:val="00C8405E"/>
    <w:rsid w:val="00C8410D"/>
    <w:rsid w:val="00C84B62"/>
    <w:rsid w:val="00C84C18"/>
    <w:rsid w:val="00C84C7D"/>
    <w:rsid w:val="00C84E99"/>
    <w:rsid w:val="00C8502E"/>
    <w:rsid w:val="00C85127"/>
    <w:rsid w:val="00C854BA"/>
    <w:rsid w:val="00C8552E"/>
    <w:rsid w:val="00C856AB"/>
    <w:rsid w:val="00C859B6"/>
    <w:rsid w:val="00C85C70"/>
    <w:rsid w:val="00C860CD"/>
    <w:rsid w:val="00C861D4"/>
    <w:rsid w:val="00C8631B"/>
    <w:rsid w:val="00C864C7"/>
    <w:rsid w:val="00C86802"/>
    <w:rsid w:val="00C86A69"/>
    <w:rsid w:val="00C86BE9"/>
    <w:rsid w:val="00C86F4B"/>
    <w:rsid w:val="00C872A2"/>
    <w:rsid w:val="00C8734E"/>
    <w:rsid w:val="00C877E2"/>
    <w:rsid w:val="00C87EBF"/>
    <w:rsid w:val="00C902E0"/>
    <w:rsid w:val="00C903AC"/>
    <w:rsid w:val="00C9040E"/>
    <w:rsid w:val="00C90957"/>
    <w:rsid w:val="00C90EED"/>
    <w:rsid w:val="00C916F9"/>
    <w:rsid w:val="00C9178D"/>
    <w:rsid w:val="00C92142"/>
    <w:rsid w:val="00C928ED"/>
    <w:rsid w:val="00C929DF"/>
    <w:rsid w:val="00C92DFD"/>
    <w:rsid w:val="00C92EF2"/>
    <w:rsid w:val="00C9318D"/>
    <w:rsid w:val="00C93C71"/>
    <w:rsid w:val="00C93D4A"/>
    <w:rsid w:val="00C940E0"/>
    <w:rsid w:val="00C942A6"/>
    <w:rsid w:val="00C947B7"/>
    <w:rsid w:val="00C94A18"/>
    <w:rsid w:val="00C94CE6"/>
    <w:rsid w:val="00C94D88"/>
    <w:rsid w:val="00C94DEA"/>
    <w:rsid w:val="00C94EF3"/>
    <w:rsid w:val="00C95723"/>
    <w:rsid w:val="00C95876"/>
    <w:rsid w:val="00C95D9B"/>
    <w:rsid w:val="00C97073"/>
    <w:rsid w:val="00C9745A"/>
    <w:rsid w:val="00C97608"/>
    <w:rsid w:val="00C97925"/>
    <w:rsid w:val="00C97B53"/>
    <w:rsid w:val="00C97D56"/>
    <w:rsid w:val="00CA0A9A"/>
    <w:rsid w:val="00CA0CCA"/>
    <w:rsid w:val="00CA1216"/>
    <w:rsid w:val="00CA1286"/>
    <w:rsid w:val="00CA1F29"/>
    <w:rsid w:val="00CA2870"/>
    <w:rsid w:val="00CA2A04"/>
    <w:rsid w:val="00CA2A75"/>
    <w:rsid w:val="00CA2A80"/>
    <w:rsid w:val="00CA2EAF"/>
    <w:rsid w:val="00CA33E5"/>
    <w:rsid w:val="00CA371F"/>
    <w:rsid w:val="00CA3814"/>
    <w:rsid w:val="00CA3BC1"/>
    <w:rsid w:val="00CA40CD"/>
    <w:rsid w:val="00CA44FE"/>
    <w:rsid w:val="00CA4DA0"/>
    <w:rsid w:val="00CA509C"/>
    <w:rsid w:val="00CA54F4"/>
    <w:rsid w:val="00CA585E"/>
    <w:rsid w:val="00CA642F"/>
    <w:rsid w:val="00CA69E3"/>
    <w:rsid w:val="00CA6CF6"/>
    <w:rsid w:val="00CA7158"/>
    <w:rsid w:val="00CA766A"/>
    <w:rsid w:val="00CA77C7"/>
    <w:rsid w:val="00CA7DBE"/>
    <w:rsid w:val="00CA7E4D"/>
    <w:rsid w:val="00CA7F6E"/>
    <w:rsid w:val="00CB0068"/>
    <w:rsid w:val="00CB04FB"/>
    <w:rsid w:val="00CB05DB"/>
    <w:rsid w:val="00CB0B05"/>
    <w:rsid w:val="00CB0B15"/>
    <w:rsid w:val="00CB1A47"/>
    <w:rsid w:val="00CB1A7D"/>
    <w:rsid w:val="00CB1C4B"/>
    <w:rsid w:val="00CB2C4A"/>
    <w:rsid w:val="00CB3063"/>
    <w:rsid w:val="00CB34B3"/>
    <w:rsid w:val="00CB3A72"/>
    <w:rsid w:val="00CB3F5B"/>
    <w:rsid w:val="00CB449B"/>
    <w:rsid w:val="00CB457D"/>
    <w:rsid w:val="00CB4877"/>
    <w:rsid w:val="00CB4D93"/>
    <w:rsid w:val="00CB50B8"/>
    <w:rsid w:val="00CB5202"/>
    <w:rsid w:val="00CB581C"/>
    <w:rsid w:val="00CB5A33"/>
    <w:rsid w:val="00CB5CFC"/>
    <w:rsid w:val="00CB6178"/>
    <w:rsid w:val="00CB66A1"/>
    <w:rsid w:val="00CB69DF"/>
    <w:rsid w:val="00CB733D"/>
    <w:rsid w:val="00CB752D"/>
    <w:rsid w:val="00CB788A"/>
    <w:rsid w:val="00CB7B47"/>
    <w:rsid w:val="00CB7B52"/>
    <w:rsid w:val="00CB7E8B"/>
    <w:rsid w:val="00CB7FC7"/>
    <w:rsid w:val="00CC0389"/>
    <w:rsid w:val="00CC0404"/>
    <w:rsid w:val="00CC05A9"/>
    <w:rsid w:val="00CC0DF5"/>
    <w:rsid w:val="00CC0FE0"/>
    <w:rsid w:val="00CC11CD"/>
    <w:rsid w:val="00CC150F"/>
    <w:rsid w:val="00CC16A2"/>
    <w:rsid w:val="00CC1DF3"/>
    <w:rsid w:val="00CC23AC"/>
    <w:rsid w:val="00CC24C0"/>
    <w:rsid w:val="00CC2859"/>
    <w:rsid w:val="00CC2877"/>
    <w:rsid w:val="00CC2DCB"/>
    <w:rsid w:val="00CC2E04"/>
    <w:rsid w:val="00CC33DE"/>
    <w:rsid w:val="00CC42D8"/>
    <w:rsid w:val="00CC496E"/>
    <w:rsid w:val="00CC4A4E"/>
    <w:rsid w:val="00CC4D63"/>
    <w:rsid w:val="00CC57C6"/>
    <w:rsid w:val="00CC662F"/>
    <w:rsid w:val="00CC6C5E"/>
    <w:rsid w:val="00CC6E90"/>
    <w:rsid w:val="00CC73C2"/>
    <w:rsid w:val="00CC767B"/>
    <w:rsid w:val="00CC7BD1"/>
    <w:rsid w:val="00CD0445"/>
    <w:rsid w:val="00CD04AD"/>
    <w:rsid w:val="00CD0557"/>
    <w:rsid w:val="00CD093B"/>
    <w:rsid w:val="00CD0B91"/>
    <w:rsid w:val="00CD11CA"/>
    <w:rsid w:val="00CD1EB0"/>
    <w:rsid w:val="00CD2224"/>
    <w:rsid w:val="00CD225B"/>
    <w:rsid w:val="00CD278E"/>
    <w:rsid w:val="00CD3515"/>
    <w:rsid w:val="00CD3A61"/>
    <w:rsid w:val="00CD3FB7"/>
    <w:rsid w:val="00CD42D0"/>
    <w:rsid w:val="00CD4335"/>
    <w:rsid w:val="00CD43C2"/>
    <w:rsid w:val="00CD4FF3"/>
    <w:rsid w:val="00CD56DB"/>
    <w:rsid w:val="00CD5FF4"/>
    <w:rsid w:val="00CD69C3"/>
    <w:rsid w:val="00CD7BFC"/>
    <w:rsid w:val="00CD7E1B"/>
    <w:rsid w:val="00CE024C"/>
    <w:rsid w:val="00CE0637"/>
    <w:rsid w:val="00CE0AE0"/>
    <w:rsid w:val="00CE0BF4"/>
    <w:rsid w:val="00CE1136"/>
    <w:rsid w:val="00CE1325"/>
    <w:rsid w:val="00CE1720"/>
    <w:rsid w:val="00CE1BA6"/>
    <w:rsid w:val="00CE2362"/>
    <w:rsid w:val="00CE247C"/>
    <w:rsid w:val="00CE2664"/>
    <w:rsid w:val="00CE2A5F"/>
    <w:rsid w:val="00CE2AB7"/>
    <w:rsid w:val="00CE2DB0"/>
    <w:rsid w:val="00CE2F7F"/>
    <w:rsid w:val="00CE3135"/>
    <w:rsid w:val="00CE3503"/>
    <w:rsid w:val="00CE361B"/>
    <w:rsid w:val="00CE3D2A"/>
    <w:rsid w:val="00CE4339"/>
    <w:rsid w:val="00CE4357"/>
    <w:rsid w:val="00CE4BB3"/>
    <w:rsid w:val="00CE52AE"/>
    <w:rsid w:val="00CE53E1"/>
    <w:rsid w:val="00CE5845"/>
    <w:rsid w:val="00CE5AD3"/>
    <w:rsid w:val="00CE5F3D"/>
    <w:rsid w:val="00CE60F7"/>
    <w:rsid w:val="00CE70FE"/>
    <w:rsid w:val="00CE774D"/>
    <w:rsid w:val="00CE77D6"/>
    <w:rsid w:val="00CE7A86"/>
    <w:rsid w:val="00CF00CA"/>
    <w:rsid w:val="00CF03BE"/>
    <w:rsid w:val="00CF0A36"/>
    <w:rsid w:val="00CF10D3"/>
    <w:rsid w:val="00CF1559"/>
    <w:rsid w:val="00CF1592"/>
    <w:rsid w:val="00CF1E4C"/>
    <w:rsid w:val="00CF1FA0"/>
    <w:rsid w:val="00CF22F1"/>
    <w:rsid w:val="00CF281A"/>
    <w:rsid w:val="00CF2AD5"/>
    <w:rsid w:val="00CF3141"/>
    <w:rsid w:val="00CF3C4E"/>
    <w:rsid w:val="00CF4078"/>
    <w:rsid w:val="00CF452A"/>
    <w:rsid w:val="00CF45F3"/>
    <w:rsid w:val="00CF48CC"/>
    <w:rsid w:val="00CF4F98"/>
    <w:rsid w:val="00CF565A"/>
    <w:rsid w:val="00CF5A20"/>
    <w:rsid w:val="00CF5D86"/>
    <w:rsid w:val="00CF5EEC"/>
    <w:rsid w:val="00CF6CA7"/>
    <w:rsid w:val="00CF7CB5"/>
    <w:rsid w:val="00D0086D"/>
    <w:rsid w:val="00D009BF"/>
    <w:rsid w:val="00D00EA2"/>
    <w:rsid w:val="00D00FA6"/>
    <w:rsid w:val="00D0176B"/>
    <w:rsid w:val="00D01BEE"/>
    <w:rsid w:val="00D02887"/>
    <w:rsid w:val="00D029E9"/>
    <w:rsid w:val="00D02B73"/>
    <w:rsid w:val="00D0366F"/>
    <w:rsid w:val="00D03708"/>
    <w:rsid w:val="00D03F1B"/>
    <w:rsid w:val="00D041BE"/>
    <w:rsid w:val="00D04231"/>
    <w:rsid w:val="00D04791"/>
    <w:rsid w:val="00D04913"/>
    <w:rsid w:val="00D05068"/>
    <w:rsid w:val="00D05080"/>
    <w:rsid w:val="00D05D78"/>
    <w:rsid w:val="00D063BC"/>
    <w:rsid w:val="00D064EB"/>
    <w:rsid w:val="00D065C7"/>
    <w:rsid w:val="00D07417"/>
    <w:rsid w:val="00D0781F"/>
    <w:rsid w:val="00D07F91"/>
    <w:rsid w:val="00D10231"/>
    <w:rsid w:val="00D10352"/>
    <w:rsid w:val="00D11001"/>
    <w:rsid w:val="00D11477"/>
    <w:rsid w:val="00D117BC"/>
    <w:rsid w:val="00D11E6D"/>
    <w:rsid w:val="00D122DB"/>
    <w:rsid w:val="00D125EB"/>
    <w:rsid w:val="00D126A6"/>
    <w:rsid w:val="00D132B4"/>
    <w:rsid w:val="00D136B0"/>
    <w:rsid w:val="00D13725"/>
    <w:rsid w:val="00D13B65"/>
    <w:rsid w:val="00D14867"/>
    <w:rsid w:val="00D14946"/>
    <w:rsid w:val="00D14AB3"/>
    <w:rsid w:val="00D150F3"/>
    <w:rsid w:val="00D151DC"/>
    <w:rsid w:val="00D15825"/>
    <w:rsid w:val="00D1590A"/>
    <w:rsid w:val="00D1590F"/>
    <w:rsid w:val="00D15F62"/>
    <w:rsid w:val="00D1610C"/>
    <w:rsid w:val="00D1647A"/>
    <w:rsid w:val="00D16776"/>
    <w:rsid w:val="00D177B7"/>
    <w:rsid w:val="00D17E64"/>
    <w:rsid w:val="00D203FE"/>
    <w:rsid w:val="00D20494"/>
    <w:rsid w:val="00D211F5"/>
    <w:rsid w:val="00D21482"/>
    <w:rsid w:val="00D2157A"/>
    <w:rsid w:val="00D217AA"/>
    <w:rsid w:val="00D21819"/>
    <w:rsid w:val="00D2183E"/>
    <w:rsid w:val="00D21C89"/>
    <w:rsid w:val="00D21D7F"/>
    <w:rsid w:val="00D21F64"/>
    <w:rsid w:val="00D22219"/>
    <w:rsid w:val="00D22705"/>
    <w:rsid w:val="00D23300"/>
    <w:rsid w:val="00D23696"/>
    <w:rsid w:val="00D2390C"/>
    <w:rsid w:val="00D23AE4"/>
    <w:rsid w:val="00D23B5B"/>
    <w:rsid w:val="00D241F0"/>
    <w:rsid w:val="00D2436C"/>
    <w:rsid w:val="00D245A8"/>
    <w:rsid w:val="00D246AA"/>
    <w:rsid w:val="00D247D0"/>
    <w:rsid w:val="00D248D6"/>
    <w:rsid w:val="00D24F92"/>
    <w:rsid w:val="00D25388"/>
    <w:rsid w:val="00D25532"/>
    <w:rsid w:val="00D256E0"/>
    <w:rsid w:val="00D25E82"/>
    <w:rsid w:val="00D2608D"/>
    <w:rsid w:val="00D260B1"/>
    <w:rsid w:val="00D26269"/>
    <w:rsid w:val="00D26403"/>
    <w:rsid w:val="00D26624"/>
    <w:rsid w:val="00D26900"/>
    <w:rsid w:val="00D26A73"/>
    <w:rsid w:val="00D26D90"/>
    <w:rsid w:val="00D26E08"/>
    <w:rsid w:val="00D26E3D"/>
    <w:rsid w:val="00D272BE"/>
    <w:rsid w:val="00D2771E"/>
    <w:rsid w:val="00D27F05"/>
    <w:rsid w:val="00D30313"/>
    <w:rsid w:val="00D308D8"/>
    <w:rsid w:val="00D31B96"/>
    <w:rsid w:val="00D31F52"/>
    <w:rsid w:val="00D32114"/>
    <w:rsid w:val="00D32213"/>
    <w:rsid w:val="00D339B0"/>
    <w:rsid w:val="00D33F76"/>
    <w:rsid w:val="00D3427B"/>
    <w:rsid w:val="00D355A4"/>
    <w:rsid w:val="00D35858"/>
    <w:rsid w:val="00D36150"/>
    <w:rsid w:val="00D367C7"/>
    <w:rsid w:val="00D369DA"/>
    <w:rsid w:val="00D36CBA"/>
    <w:rsid w:val="00D36FC5"/>
    <w:rsid w:val="00D37002"/>
    <w:rsid w:val="00D3714F"/>
    <w:rsid w:val="00D3777D"/>
    <w:rsid w:val="00D37864"/>
    <w:rsid w:val="00D37B51"/>
    <w:rsid w:val="00D40342"/>
    <w:rsid w:val="00D40E5A"/>
    <w:rsid w:val="00D40E9E"/>
    <w:rsid w:val="00D412D6"/>
    <w:rsid w:val="00D4178E"/>
    <w:rsid w:val="00D418B5"/>
    <w:rsid w:val="00D41D47"/>
    <w:rsid w:val="00D420CC"/>
    <w:rsid w:val="00D4233F"/>
    <w:rsid w:val="00D42A62"/>
    <w:rsid w:val="00D42E39"/>
    <w:rsid w:val="00D43460"/>
    <w:rsid w:val="00D4371D"/>
    <w:rsid w:val="00D43855"/>
    <w:rsid w:val="00D43D4A"/>
    <w:rsid w:val="00D43D83"/>
    <w:rsid w:val="00D440CB"/>
    <w:rsid w:val="00D442E9"/>
    <w:rsid w:val="00D44493"/>
    <w:rsid w:val="00D445A0"/>
    <w:rsid w:val="00D44E2F"/>
    <w:rsid w:val="00D45CDA"/>
    <w:rsid w:val="00D45E45"/>
    <w:rsid w:val="00D46697"/>
    <w:rsid w:val="00D47549"/>
    <w:rsid w:val="00D479AF"/>
    <w:rsid w:val="00D47ADE"/>
    <w:rsid w:val="00D47BB4"/>
    <w:rsid w:val="00D47D97"/>
    <w:rsid w:val="00D47E99"/>
    <w:rsid w:val="00D50ED5"/>
    <w:rsid w:val="00D51013"/>
    <w:rsid w:val="00D51634"/>
    <w:rsid w:val="00D51E65"/>
    <w:rsid w:val="00D51FF5"/>
    <w:rsid w:val="00D52224"/>
    <w:rsid w:val="00D52438"/>
    <w:rsid w:val="00D52B9C"/>
    <w:rsid w:val="00D53298"/>
    <w:rsid w:val="00D53595"/>
    <w:rsid w:val="00D53624"/>
    <w:rsid w:val="00D5395E"/>
    <w:rsid w:val="00D53BFC"/>
    <w:rsid w:val="00D53F07"/>
    <w:rsid w:val="00D541DB"/>
    <w:rsid w:val="00D54405"/>
    <w:rsid w:val="00D54624"/>
    <w:rsid w:val="00D547A5"/>
    <w:rsid w:val="00D54982"/>
    <w:rsid w:val="00D549B0"/>
    <w:rsid w:val="00D549BA"/>
    <w:rsid w:val="00D55010"/>
    <w:rsid w:val="00D55427"/>
    <w:rsid w:val="00D55577"/>
    <w:rsid w:val="00D562DD"/>
    <w:rsid w:val="00D5640C"/>
    <w:rsid w:val="00D56452"/>
    <w:rsid w:val="00D56B04"/>
    <w:rsid w:val="00D56E44"/>
    <w:rsid w:val="00D56E58"/>
    <w:rsid w:val="00D57698"/>
    <w:rsid w:val="00D60279"/>
    <w:rsid w:val="00D61364"/>
    <w:rsid w:val="00D615DC"/>
    <w:rsid w:val="00D61D3D"/>
    <w:rsid w:val="00D61F73"/>
    <w:rsid w:val="00D62BCC"/>
    <w:rsid w:val="00D62DE9"/>
    <w:rsid w:val="00D6327D"/>
    <w:rsid w:val="00D64858"/>
    <w:rsid w:val="00D64BB6"/>
    <w:rsid w:val="00D64BD4"/>
    <w:rsid w:val="00D64D49"/>
    <w:rsid w:val="00D6592C"/>
    <w:rsid w:val="00D65976"/>
    <w:rsid w:val="00D65A59"/>
    <w:rsid w:val="00D65E59"/>
    <w:rsid w:val="00D663C5"/>
    <w:rsid w:val="00D663EE"/>
    <w:rsid w:val="00D67AE4"/>
    <w:rsid w:val="00D67C31"/>
    <w:rsid w:val="00D67C4F"/>
    <w:rsid w:val="00D700D1"/>
    <w:rsid w:val="00D7071C"/>
    <w:rsid w:val="00D714F9"/>
    <w:rsid w:val="00D71A83"/>
    <w:rsid w:val="00D71D06"/>
    <w:rsid w:val="00D71E2A"/>
    <w:rsid w:val="00D720D2"/>
    <w:rsid w:val="00D7285A"/>
    <w:rsid w:val="00D72B47"/>
    <w:rsid w:val="00D72CAB"/>
    <w:rsid w:val="00D72CDA"/>
    <w:rsid w:val="00D73471"/>
    <w:rsid w:val="00D73484"/>
    <w:rsid w:val="00D73AD1"/>
    <w:rsid w:val="00D73C96"/>
    <w:rsid w:val="00D73D37"/>
    <w:rsid w:val="00D754A5"/>
    <w:rsid w:val="00D7567E"/>
    <w:rsid w:val="00D7595D"/>
    <w:rsid w:val="00D767BB"/>
    <w:rsid w:val="00D76B88"/>
    <w:rsid w:val="00D76C7C"/>
    <w:rsid w:val="00D778EA"/>
    <w:rsid w:val="00D77FF1"/>
    <w:rsid w:val="00D8194A"/>
    <w:rsid w:val="00D81E4C"/>
    <w:rsid w:val="00D8267A"/>
    <w:rsid w:val="00D82F54"/>
    <w:rsid w:val="00D83920"/>
    <w:rsid w:val="00D83D84"/>
    <w:rsid w:val="00D8426C"/>
    <w:rsid w:val="00D843D3"/>
    <w:rsid w:val="00D8449E"/>
    <w:rsid w:val="00D844F6"/>
    <w:rsid w:val="00D846CE"/>
    <w:rsid w:val="00D8474E"/>
    <w:rsid w:val="00D84C8D"/>
    <w:rsid w:val="00D84C95"/>
    <w:rsid w:val="00D84E82"/>
    <w:rsid w:val="00D85028"/>
    <w:rsid w:val="00D857AD"/>
    <w:rsid w:val="00D85C85"/>
    <w:rsid w:val="00D861B9"/>
    <w:rsid w:val="00D862E2"/>
    <w:rsid w:val="00D8661D"/>
    <w:rsid w:val="00D86637"/>
    <w:rsid w:val="00D866BF"/>
    <w:rsid w:val="00D869AE"/>
    <w:rsid w:val="00D875F3"/>
    <w:rsid w:val="00D877E6"/>
    <w:rsid w:val="00D8781F"/>
    <w:rsid w:val="00D87D41"/>
    <w:rsid w:val="00D9065B"/>
    <w:rsid w:val="00D90DEC"/>
    <w:rsid w:val="00D91279"/>
    <w:rsid w:val="00D91415"/>
    <w:rsid w:val="00D91571"/>
    <w:rsid w:val="00D915C7"/>
    <w:rsid w:val="00D9166F"/>
    <w:rsid w:val="00D9170C"/>
    <w:rsid w:val="00D91824"/>
    <w:rsid w:val="00D91A4B"/>
    <w:rsid w:val="00D9275E"/>
    <w:rsid w:val="00D92769"/>
    <w:rsid w:val="00D92951"/>
    <w:rsid w:val="00D9371C"/>
    <w:rsid w:val="00D94143"/>
    <w:rsid w:val="00D94233"/>
    <w:rsid w:val="00D9506F"/>
    <w:rsid w:val="00D95615"/>
    <w:rsid w:val="00D95650"/>
    <w:rsid w:val="00D9569A"/>
    <w:rsid w:val="00D958DA"/>
    <w:rsid w:val="00D96606"/>
    <w:rsid w:val="00D969E0"/>
    <w:rsid w:val="00D96DE7"/>
    <w:rsid w:val="00D96F8C"/>
    <w:rsid w:val="00D974E4"/>
    <w:rsid w:val="00D97D0F"/>
    <w:rsid w:val="00D97DE4"/>
    <w:rsid w:val="00D97EC3"/>
    <w:rsid w:val="00DA0113"/>
    <w:rsid w:val="00DA0163"/>
    <w:rsid w:val="00DA0EDB"/>
    <w:rsid w:val="00DA1217"/>
    <w:rsid w:val="00DA188A"/>
    <w:rsid w:val="00DA1D01"/>
    <w:rsid w:val="00DA30C2"/>
    <w:rsid w:val="00DA3157"/>
    <w:rsid w:val="00DA359C"/>
    <w:rsid w:val="00DA413E"/>
    <w:rsid w:val="00DA4342"/>
    <w:rsid w:val="00DA4DFD"/>
    <w:rsid w:val="00DA5219"/>
    <w:rsid w:val="00DA556B"/>
    <w:rsid w:val="00DA58AE"/>
    <w:rsid w:val="00DA5A8B"/>
    <w:rsid w:val="00DA5AD1"/>
    <w:rsid w:val="00DA5BE3"/>
    <w:rsid w:val="00DA634C"/>
    <w:rsid w:val="00DA6980"/>
    <w:rsid w:val="00DA6AEB"/>
    <w:rsid w:val="00DA6CE2"/>
    <w:rsid w:val="00DA720A"/>
    <w:rsid w:val="00DA7DA7"/>
    <w:rsid w:val="00DB01E6"/>
    <w:rsid w:val="00DB050E"/>
    <w:rsid w:val="00DB1219"/>
    <w:rsid w:val="00DB1C3B"/>
    <w:rsid w:val="00DB1C91"/>
    <w:rsid w:val="00DB25DE"/>
    <w:rsid w:val="00DB25F9"/>
    <w:rsid w:val="00DB27C1"/>
    <w:rsid w:val="00DB31E3"/>
    <w:rsid w:val="00DB33B3"/>
    <w:rsid w:val="00DB3EBB"/>
    <w:rsid w:val="00DB4B63"/>
    <w:rsid w:val="00DB50E4"/>
    <w:rsid w:val="00DB536F"/>
    <w:rsid w:val="00DB5480"/>
    <w:rsid w:val="00DB55B2"/>
    <w:rsid w:val="00DB5F46"/>
    <w:rsid w:val="00DB72D2"/>
    <w:rsid w:val="00DB7818"/>
    <w:rsid w:val="00DB7B9E"/>
    <w:rsid w:val="00DB7FAD"/>
    <w:rsid w:val="00DC033B"/>
    <w:rsid w:val="00DC03C3"/>
    <w:rsid w:val="00DC0497"/>
    <w:rsid w:val="00DC0B2F"/>
    <w:rsid w:val="00DC120D"/>
    <w:rsid w:val="00DC1604"/>
    <w:rsid w:val="00DC1D75"/>
    <w:rsid w:val="00DC1E67"/>
    <w:rsid w:val="00DC23AD"/>
    <w:rsid w:val="00DC2510"/>
    <w:rsid w:val="00DC267C"/>
    <w:rsid w:val="00DC27F4"/>
    <w:rsid w:val="00DC3149"/>
    <w:rsid w:val="00DC33A1"/>
    <w:rsid w:val="00DC3AEE"/>
    <w:rsid w:val="00DC47B9"/>
    <w:rsid w:val="00DC510A"/>
    <w:rsid w:val="00DC5B16"/>
    <w:rsid w:val="00DC6206"/>
    <w:rsid w:val="00DC6644"/>
    <w:rsid w:val="00DC69F3"/>
    <w:rsid w:val="00DC6E3E"/>
    <w:rsid w:val="00DC71DA"/>
    <w:rsid w:val="00DC738F"/>
    <w:rsid w:val="00DC7903"/>
    <w:rsid w:val="00DC7A03"/>
    <w:rsid w:val="00DC7D45"/>
    <w:rsid w:val="00DD0141"/>
    <w:rsid w:val="00DD037D"/>
    <w:rsid w:val="00DD1035"/>
    <w:rsid w:val="00DD1428"/>
    <w:rsid w:val="00DD1595"/>
    <w:rsid w:val="00DD1CDE"/>
    <w:rsid w:val="00DD2120"/>
    <w:rsid w:val="00DD22D1"/>
    <w:rsid w:val="00DD3106"/>
    <w:rsid w:val="00DD36CA"/>
    <w:rsid w:val="00DD3F6A"/>
    <w:rsid w:val="00DD4667"/>
    <w:rsid w:val="00DD4FAE"/>
    <w:rsid w:val="00DD5430"/>
    <w:rsid w:val="00DD59D6"/>
    <w:rsid w:val="00DD5B85"/>
    <w:rsid w:val="00DD68C5"/>
    <w:rsid w:val="00DD6B2E"/>
    <w:rsid w:val="00DD6B95"/>
    <w:rsid w:val="00DD72EE"/>
    <w:rsid w:val="00DD792C"/>
    <w:rsid w:val="00DD7C9B"/>
    <w:rsid w:val="00DD7DC9"/>
    <w:rsid w:val="00DE038C"/>
    <w:rsid w:val="00DE080C"/>
    <w:rsid w:val="00DE0CE9"/>
    <w:rsid w:val="00DE0F6E"/>
    <w:rsid w:val="00DE200A"/>
    <w:rsid w:val="00DE2039"/>
    <w:rsid w:val="00DE2061"/>
    <w:rsid w:val="00DE2232"/>
    <w:rsid w:val="00DE24A2"/>
    <w:rsid w:val="00DE24F0"/>
    <w:rsid w:val="00DE2679"/>
    <w:rsid w:val="00DE27A1"/>
    <w:rsid w:val="00DE31F6"/>
    <w:rsid w:val="00DE320D"/>
    <w:rsid w:val="00DE38B3"/>
    <w:rsid w:val="00DE3A97"/>
    <w:rsid w:val="00DE406A"/>
    <w:rsid w:val="00DE48B6"/>
    <w:rsid w:val="00DE48E8"/>
    <w:rsid w:val="00DE4E25"/>
    <w:rsid w:val="00DE5500"/>
    <w:rsid w:val="00DE6C0E"/>
    <w:rsid w:val="00DE6D72"/>
    <w:rsid w:val="00DE6ED3"/>
    <w:rsid w:val="00DE71ED"/>
    <w:rsid w:val="00DE7B08"/>
    <w:rsid w:val="00DE7D54"/>
    <w:rsid w:val="00DE7F09"/>
    <w:rsid w:val="00DF0004"/>
    <w:rsid w:val="00DF02FB"/>
    <w:rsid w:val="00DF06EB"/>
    <w:rsid w:val="00DF0E74"/>
    <w:rsid w:val="00DF0F45"/>
    <w:rsid w:val="00DF1E36"/>
    <w:rsid w:val="00DF1E49"/>
    <w:rsid w:val="00DF2759"/>
    <w:rsid w:val="00DF27B8"/>
    <w:rsid w:val="00DF2BAA"/>
    <w:rsid w:val="00DF2D82"/>
    <w:rsid w:val="00DF349E"/>
    <w:rsid w:val="00DF36C6"/>
    <w:rsid w:val="00DF3B97"/>
    <w:rsid w:val="00DF42B1"/>
    <w:rsid w:val="00DF47CE"/>
    <w:rsid w:val="00DF4AB4"/>
    <w:rsid w:val="00DF5361"/>
    <w:rsid w:val="00DF5400"/>
    <w:rsid w:val="00DF54F6"/>
    <w:rsid w:val="00DF55C8"/>
    <w:rsid w:val="00DF5814"/>
    <w:rsid w:val="00DF5B70"/>
    <w:rsid w:val="00DF5BEB"/>
    <w:rsid w:val="00DF6707"/>
    <w:rsid w:val="00DF6B2B"/>
    <w:rsid w:val="00DF6B50"/>
    <w:rsid w:val="00DF6DBC"/>
    <w:rsid w:val="00DF712E"/>
    <w:rsid w:val="00DF7556"/>
    <w:rsid w:val="00DF76BD"/>
    <w:rsid w:val="00DF78E9"/>
    <w:rsid w:val="00DF7AA7"/>
    <w:rsid w:val="00DF7DAD"/>
    <w:rsid w:val="00DF7E96"/>
    <w:rsid w:val="00DF7EE7"/>
    <w:rsid w:val="00E00084"/>
    <w:rsid w:val="00E003B3"/>
    <w:rsid w:val="00E00CD0"/>
    <w:rsid w:val="00E012CA"/>
    <w:rsid w:val="00E016D6"/>
    <w:rsid w:val="00E01B45"/>
    <w:rsid w:val="00E01BA1"/>
    <w:rsid w:val="00E01EEC"/>
    <w:rsid w:val="00E01EF8"/>
    <w:rsid w:val="00E02836"/>
    <w:rsid w:val="00E02A08"/>
    <w:rsid w:val="00E02CD6"/>
    <w:rsid w:val="00E02CEC"/>
    <w:rsid w:val="00E02D44"/>
    <w:rsid w:val="00E0368C"/>
    <w:rsid w:val="00E03ABE"/>
    <w:rsid w:val="00E04341"/>
    <w:rsid w:val="00E04435"/>
    <w:rsid w:val="00E04BA4"/>
    <w:rsid w:val="00E05365"/>
    <w:rsid w:val="00E0589E"/>
    <w:rsid w:val="00E05A25"/>
    <w:rsid w:val="00E0607C"/>
    <w:rsid w:val="00E060D6"/>
    <w:rsid w:val="00E06575"/>
    <w:rsid w:val="00E067F4"/>
    <w:rsid w:val="00E069B0"/>
    <w:rsid w:val="00E06BDB"/>
    <w:rsid w:val="00E06DF6"/>
    <w:rsid w:val="00E0715D"/>
    <w:rsid w:val="00E071AC"/>
    <w:rsid w:val="00E073C5"/>
    <w:rsid w:val="00E07510"/>
    <w:rsid w:val="00E101B7"/>
    <w:rsid w:val="00E1052A"/>
    <w:rsid w:val="00E1059F"/>
    <w:rsid w:val="00E11585"/>
    <w:rsid w:val="00E11D0B"/>
    <w:rsid w:val="00E1202E"/>
    <w:rsid w:val="00E12354"/>
    <w:rsid w:val="00E12860"/>
    <w:rsid w:val="00E12EDA"/>
    <w:rsid w:val="00E12FCE"/>
    <w:rsid w:val="00E134C4"/>
    <w:rsid w:val="00E13AC7"/>
    <w:rsid w:val="00E14580"/>
    <w:rsid w:val="00E14E63"/>
    <w:rsid w:val="00E14F1C"/>
    <w:rsid w:val="00E14F5F"/>
    <w:rsid w:val="00E15183"/>
    <w:rsid w:val="00E16316"/>
    <w:rsid w:val="00E16778"/>
    <w:rsid w:val="00E1685D"/>
    <w:rsid w:val="00E168E7"/>
    <w:rsid w:val="00E16B9C"/>
    <w:rsid w:val="00E17C29"/>
    <w:rsid w:val="00E2008C"/>
    <w:rsid w:val="00E204BF"/>
    <w:rsid w:val="00E20ADB"/>
    <w:rsid w:val="00E21E9C"/>
    <w:rsid w:val="00E22377"/>
    <w:rsid w:val="00E22382"/>
    <w:rsid w:val="00E22B52"/>
    <w:rsid w:val="00E22D3F"/>
    <w:rsid w:val="00E234F9"/>
    <w:rsid w:val="00E236E7"/>
    <w:rsid w:val="00E23721"/>
    <w:rsid w:val="00E23904"/>
    <w:rsid w:val="00E23BDA"/>
    <w:rsid w:val="00E23F92"/>
    <w:rsid w:val="00E2406A"/>
    <w:rsid w:val="00E2455D"/>
    <w:rsid w:val="00E2485A"/>
    <w:rsid w:val="00E2489B"/>
    <w:rsid w:val="00E254C3"/>
    <w:rsid w:val="00E259DC"/>
    <w:rsid w:val="00E25B40"/>
    <w:rsid w:val="00E25CAE"/>
    <w:rsid w:val="00E2622B"/>
    <w:rsid w:val="00E26397"/>
    <w:rsid w:val="00E26C88"/>
    <w:rsid w:val="00E26F88"/>
    <w:rsid w:val="00E27132"/>
    <w:rsid w:val="00E27A65"/>
    <w:rsid w:val="00E27CBC"/>
    <w:rsid w:val="00E27D4B"/>
    <w:rsid w:val="00E27D7C"/>
    <w:rsid w:val="00E3002C"/>
    <w:rsid w:val="00E305A4"/>
    <w:rsid w:val="00E30C1E"/>
    <w:rsid w:val="00E326B5"/>
    <w:rsid w:val="00E32857"/>
    <w:rsid w:val="00E33133"/>
    <w:rsid w:val="00E3374E"/>
    <w:rsid w:val="00E339AF"/>
    <w:rsid w:val="00E33C8D"/>
    <w:rsid w:val="00E34075"/>
    <w:rsid w:val="00E346D4"/>
    <w:rsid w:val="00E35327"/>
    <w:rsid w:val="00E3574A"/>
    <w:rsid w:val="00E35A62"/>
    <w:rsid w:val="00E35D40"/>
    <w:rsid w:val="00E3645A"/>
    <w:rsid w:val="00E368FF"/>
    <w:rsid w:val="00E36C6A"/>
    <w:rsid w:val="00E37131"/>
    <w:rsid w:val="00E37472"/>
    <w:rsid w:val="00E37F40"/>
    <w:rsid w:val="00E40626"/>
    <w:rsid w:val="00E4085C"/>
    <w:rsid w:val="00E40866"/>
    <w:rsid w:val="00E40957"/>
    <w:rsid w:val="00E40AE8"/>
    <w:rsid w:val="00E40AED"/>
    <w:rsid w:val="00E411AF"/>
    <w:rsid w:val="00E412AB"/>
    <w:rsid w:val="00E41554"/>
    <w:rsid w:val="00E415EF"/>
    <w:rsid w:val="00E41711"/>
    <w:rsid w:val="00E42359"/>
    <w:rsid w:val="00E425D2"/>
    <w:rsid w:val="00E432B5"/>
    <w:rsid w:val="00E43476"/>
    <w:rsid w:val="00E4396D"/>
    <w:rsid w:val="00E43B9D"/>
    <w:rsid w:val="00E43FD2"/>
    <w:rsid w:val="00E44265"/>
    <w:rsid w:val="00E44A0B"/>
    <w:rsid w:val="00E44AAE"/>
    <w:rsid w:val="00E44CB1"/>
    <w:rsid w:val="00E4513E"/>
    <w:rsid w:val="00E451CA"/>
    <w:rsid w:val="00E46089"/>
    <w:rsid w:val="00E46252"/>
    <w:rsid w:val="00E4646C"/>
    <w:rsid w:val="00E470F5"/>
    <w:rsid w:val="00E47326"/>
    <w:rsid w:val="00E4750D"/>
    <w:rsid w:val="00E478D0"/>
    <w:rsid w:val="00E47DA1"/>
    <w:rsid w:val="00E5018D"/>
    <w:rsid w:val="00E501E4"/>
    <w:rsid w:val="00E50417"/>
    <w:rsid w:val="00E504E3"/>
    <w:rsid w:val="00E50961"/>
    <w:rsid w:val="00E50B60"/>
    <w:rsid w:val="00E510F1"/>
    <w:rsid w:val="00E514C9"/>
    <w:rsid w:val="00E51605"/>
    <w:rsid w:val="00E518E8"/>
    <w:rsid w:val="00E51D0F"/>
    <w:rsid w:val="00E51D99"/>
    <w:rsid w:val="00E52045"/>
    <w:rsid w:val="00E52524"/>
    <w:rsid w:val="00E52879"/>
    <w:rsid w:val="00E52D09"/>
    <w:rsid w:val="00E5368B"/>
    <w:rsid w:val="00E5381B"/>
    <w:rsid w:val="00E5449F"/>
    <w:rsid w:val="00E5477B"/>
    <w:rsid w:val="00E54AD8"/>
    <w:rsid w:val="00E54D8E"/>
    <w:rsid w:val="00E54F11"/>
    <w:rsid w:val="00E54FC3"/>
    <w:rsid w:val="00E55050"/>
    <w:rsid w:val="00E551C4"/>
    <w:rsid w:val="00E55B97"/>
    <w:rsid w:val="00E55BD8"/>
    <w:rsid w:val="00E56408"/>
    <w:rsid w:val="00E56F1E"/>
    <w:rsid w:val="00E57154"/>
    <w:rsid w:val="00E5758F"/>
    <w:rsid w:val="00E57BF8"/>
    <w:rsid w:val="00E57BFC"/>
    <w:rsid w:val="00E57D9E"/>
    <w:rsid w:val="00E57FFD"/>
    <w:rsid w:val="00E60640"/>
    <w:rsid w:val="00E60D33"/>
    <w:rsid w:val="00E61139"/>
    <w:rsid w:val="00E62C3B"/>
    <w:rsid w:val="00E62F84"/>
    <w:rsid w:val="00E63083"/>
    <w:rsid w:val="00E638FD"/>
    <w:rsid w:val="00E63A42"/>
    <w:rsid w:val="00E641D9"/>
    <w:rsid w:val="00E649C0"/>
    <w:rsid w:val="00E65397"/>
    <w:rsid w:val="00E656C3"/>
    <w:rsid w:val="00E65D1F"/>
    <w:rsid w:val="00E667A2"/>
    <w:rsid w:val="00E66ADC"/>
    <w:rsid w:val="00E66B2E"/>
    <w:rsid w:val="00E674F1"/>
    <w:rsid w:val="00E67882"/>
    <w:rsid w:val="00E67892"/>
    <w:rsid w:val="00E67FC7"/>
    <w:rsid w:val="00E716A0"/>
    <w:rsid w:val="00E717E3"/>
    <w:rsid w:val="00E71A17"/>
    <w:rsid w:val="00E727B7"/>
    <w:rsid w:val="00E7313A"/>
    <w:rsid w:val="00E73664"/>
    <w:rsid w:val="00E7395B"/>
    <w:rsid w:val="00E73BB1"/>
    <w:rsid w:val="00E73D8E"/>
    <w:rsid w:val="00E73EE0"/>
    <w:rsid w:val="00E740E2"/>
    <w:rsid w:val="00E7411F"/>
    <w:rsid w:val="00E7429B"/>
    <w:rsid w:val="00E74F14"/>
    <w:rsid w:val="00E7547D"/>
    <w:rsid w:val="00E76270"/>
    <w:rsid w:val="00E76320"/>
    <w:rsid w:val="00E76CBC"/>
    <w:rsid w:val="00E76E5A"/>
    <w:rsid w:val="00E7708A"/>
    <w:rsid w:val="00E770EE"/>
    <w:rsid w:val="00E771BC"/>
    <w:rsid w:val="00E772DB"/>
    <w:rsid w:val="00E77B74"/>
    <w:rsid w:val="00E80451"/>
    <w:rsid w:val="00E8063E"/>
    <w:rsid w:val="00E807A8"/>
    <w:rsid w:val="00E807D0"/>
    <w:rsid w:val="00E807E1"/>
    <w:rsid w:val="00E80A6F"/>
    <w:rsid w:val="00E8167A"/>
    <w:rsid w:val="00E8199A"/>
    <w:rsid w:val="00E819F8"/>
    <w:rsid w:val="00E81BCC"/>
    <w:rsid w:val="00E826E3"/>
    <w:rsid w:val="00E82FCE"/>
    <w:rsid w:val="00E83527"/>
    <w:rsid w:val="00E83A94"/>
    <w:rsid w:val="00E840AC"/>
    <w:rsid w:val="00E8486A"/>
    <w:rsid w:val="00E8488C"/>
    <w:rsid w:val="00E8512E"/>
    <w:rsid w:val="00E851C6"/>
    <w:rsid w:val="00E8546B"/>
    <w:rsid w:val="00E85B96"/>
    <w:rsid w:val="00E862FE"/>
    <w:rsid w:val="00E86B13"/>
    <w:rsid w:val="00E86E7F"/>
    <w:rsid w:val="00E87944"/>
    <w:rsid w:val="00E9003D"/>
    <w:rsid w:val="00E900B9"/>
    <w:rsid w:val="00E905E0"/>
    <w:rsid w:val="00E90860"/>
    <w:rsid w:val="00E90B1F"/>
    <w:rsid w:val="00E91320"/>
    <w:rsid w:val="00E913E7"/>
    <w:rsid w:val="00E9153F"/>
    <w:rsid w:val="00E92C92"/>
    <w:rsid w:val="00E93F3E"/>
    <w:rsid w:val="00E94CE8"/>
    <w:rsid w:val="00E94E7B"/>
    <w:rsid w:val="00E95607"/>
    <w:rsid w:val="00E95A5D"/>
    <w:rsid w:val="00E96229"/>
    <w:rsid w:val="00E972F9"/>
    <w:rsid w:val="00E97329"/>
    <w:rsid w:val="00E9770C"/>
    <w:rsid w:val="00E97AE1"/>
    <w:rsid w:val="00EA006B"/>
    <w:rsid w:val="00EA01E4"/>
    <w:rsid w:val="00EA07FE"/>
    <w:rsid w:val="00EA090B"/>
    <w:rsid w:val="00EA0913"/>
    <w:rsid w:val="00EA095E"/>
    <w:rsid w:val="00EA0A55"/>
    <w:rsid w:val="00EA16F6"/>
    <w:rsid w:val="00EA1AF4"/>
    <w:rsid w:val="00EA2D30"/>
    <w:rsid w:val="00EA3224"/>
    <w:rsid w:val="00EA3AF1"/>
    <w:rsid w:val="00EA3D7C"/>
    <w:rsid w:val="00EA41BD"/>
    <w:rsid w:val="00EA457E"/>
    <w:rsid w:val="00EA45D9"/>
    <w:rsid w:val="00EA4666"/>
    <w:rsid w:val="00EA488D"/>
    <w:rsid w:val="00EA4A8A"/>
    <w:rsid w:val="00EA4DD8"/>
    <w:rsid w:val="00EA50C0"/>
    <w:rsid w:val="00EA51B5"/>
    <w:rsid w:val="00EA5AC6"/>
    <w:rsid w:val="00EA715B"/>
    <w:rsid w:val="00EA776D"/>
    <w:rsid w:val="00EA7C9E"/>
    <w:rsid w:val="00EB024F"/>
    <w:rsid w:val="00EB04DC"/>
    <w:rsid w:val="00EB0829"/>
    <w:rsid w:val="00EB0906"/>
    <w:rsid w:val="00EB11C2"/>
    <w:rsid w:val="00EB217D"/>
    <w:rsid w:val="00EB2433"/>
    <w:rsid w:val="00EB263D"/>
    <w:rsid w:val="00EB2C6A"/>
    <w:rsid w:val="00EB30A8"/>
    <w:rsid w:val="00EB3244"/>
    <w:rsid w:val="00EB3B9B"/>
    <w:rsid w:val="00EB43F8"/>
    <w:rsid w:val="00EB4556"/>
    <w:rsid w:val="00EB490D"/>
    <w:rsid w:val="00EB4AA5"/>
    <w:rsid w:val="00EB5088"/>
    <w:rsid w:val="00EB528C"/>
    <w:rsid w:val="00EB5B63"/>
    <w:rsid w:val="00EB6470"/>
    <w:rsid w:val="00EB64A5"/>
    <w:rsid w:val="00EB70D5"/>
    <w:rsid w:val="00EB71CC"/>
    <w:rsid w:val="00EB7242"/>
    <w:rsid w:val="00EB74CE"/>
    <w:rsid w:val="00EB75E1"/>
    <w:rsid w:val="00EB76B7"/>
    <w:rsid w:val="00EC01A4"/>
    <w:rsid w:val="00EC01C5"/>
    <w:rsid w:val="00EC03A5"/>
    <w:rsid w:val="00EC073C"/>
    <w:rsid w:val="00EC086C"/>
    <w:rsid w:val="00EC098C"/>
    <w:rsid w:val="00EC0C59"/>
    <w:rsid w:val="00EC11FF"/>
    <w:rsid w:val="00EC127D"/>
    <w:rsid w:val="00EC13BC"/>
    <w:rsid w:val="00EC17F9"/>
    <w:rsid w:val="00EC1A7C"/>
    <w:rsid w:val="00EC1E58"/>
    <w:rsid w:val="00EC24F1"/>
    <w:rsid w:val="00EC2E51"/>
    <w:rsid w:val="00EC2F1C"/>
    <w:rsid w:val="00EC313E"/>
    <w:rsid w:val="00EC31AF"/>
    <w:rsid w:val="00EC3631"/>
    <w:rsid w:val="00EC373F"/>
    <w:rsid w:val="00EC38A3"/>
    <w:rsid w:val="00EC39BB"/>
    <w:rsid w:val="00EC3A54"/>
    <w:rsid w:val="00EC3A5F"/>
    <w:rsid w:val="00EC3CFE"/>
    <w:rsid w:val="00EC4418"/>
    <w:rsid w:val="00EC4B26"/>
    <w:rsid w:val="00EC5074"/>
    <w:rsid w:val="00EC513E"/>
    <w:rsid w:val="00EC52D8"/>
    <w:rsid w:val="00EC5A17"/>
    <w:rsid w:val="00EC5F35"/>
    <w:rsid w:val="00EC671D"/>
    <w:rsid w:val="00EC6C71"/>
    <w:rsid w:val="00EC7BDB"/>
    <w:rsid w:val="00ED026A"/>
    <w:rsid w:val="00ED0510"/>
    <w:rsid w:val="00ED0844"/>
    <w:rsid w:val="00ED0C0B"/>
    <w:rsid w:val="00ED1712"/>
    <w:rsid w:val="00ED18F3"/>
    <w:rsid w:val="00ED1FE0"/>
    <w:rsid w:val="00ED24FB"/>
    <w:rsid w:val="00ED2F75"/>
    <w:rsid w:val="00ED31D3"/>
    <w:rsid w:val="00ED340D"/>
    <w:rsid w:val="00ED34CE"/>
    <w:rsid w:val="00ED3C25"/>
    <w:rsid w:val="00ED3F47"/>
    <w:rsid w:val="00ED41BF"/>
    <w:rsid w:val="00ED47E3"/>
    <w:rsid w:val="00ED4ECB"/>
    <w:rsid w:val="00ED4FD0"/>
    <w:rsid w:val="00ED513A"/>
    <w:rsid w:val="00ED5294"/>
    <w:rsid w:val="00ED58F4"/>
    <w:rsid w:val="00ED5DF9"/>
    <w:rsid w:val="00ED628E"/>
    <w:rsid w:val="00ED6555"/>
    <w:rsid w:val="00ED68FC"/>
    <w:rsid w:val="00ED6A9C"/>
    <w:rsid w:val="00ED6DE9"/>
    <w:rsid w:val="00ED70EB"/>
    <w:rsid w:val="00ED718D"/>
    <w:rsid w:val="00ED7487"/>
    <w:rsid w:val="00ED74FC"/>
    <w:rsid w:val="00ED79A0"/>
    <w:rsid w:val="00EE0364"/>
    <w:rsid w:val="00EE04BF"/>
    <w:rsid w:val="00EE0F7F"/>
    <w:rsid w:val="00EE0FE2"/>
    <w:rsid w:val="00EE128E"/>
    <w:rsid w:val="00EE1494"/>
    <w:rsid w:val="00EE1824"/>
    <w:rsid w:val="00EE22CE"/>
    <w:rsid w:val="00EE2569"/>
    <w:rsid w:val="00EE2AD7"/>
    <w:rsid w:val="00EE2D2D"/>
    <w:rsid w:val="00EE3233"/>
    <w:rsid w:val="00EE3863"/>
    <w:rsid w:val="00EE3AB3"/>
    <w:rsid w:val="00EE3C87"/>
    <w:rsid w:val="00EE41F4"/>
    <w:rsid w:val="00EE4312"/>
    <w:rsid w:val="00EE4B97"/>
    <w:rsid w:val="00EE520C"/>
    <w:rsid w:val="00EE52E6"/>
    <w:rsid w:val="00EE5528"/>
    <w:rsid w:val="00EE59D5"/>
    <w:rsid w:val="00EE5BBA"/>
    <w:rsid w:val="00EE654E"/>
    <w:rsid w:val="00EE6851"/>
    <w:rsid w:val="00EE6C1B"/>
    <w:rsid w:val="00EE6E1F"/>
    <w:rsid w:val="00EE70A7"/>
    <w:rsid w:val="00EE7223"/>
    <w:rsid w:val="00EE746B"/>
    <w:rsid w:val="00EE7517"/>
    <w:rsid w:val="00EF016B"/>
    <w:rsid w:val="00EF06AC"/>
    <w:rsid w:val="00EF1101"/>
    <w:rsid w:val="00EF1123"/>
    <w:rsid w:val="00EF11F3"/>
    <w:rsid w:val="00EF121D"/>
    <w:rsid w:val="00EF15EE"/>
    <w:rsid w:val="00EF19FE"/>
    <w:rsid w:val="00EF1AF3"/>
    <w:rsid w:val="00EF364E"/>
    <w:rsid w:val="00EF3779"/>
    <w:rsid w:val="00EF392D"/>
    <w:rsid w:val="00EF3C26"/>
    <w:rsid w:val="00EF40B0"/>
    <w:rsid w:val="00EF48C6"/>
    <w:rsid w:val="00EF4A18"/>
    <w:rsid w:val="00EF4B98"/>
    <w:rsid w:val="00EF4E0E"/>
    <w:rsid w:val="00EF5036"/>
    <w:rsid w:val="00EF58ED"/>
    <w:rsid w:val="00EF6808"/>
    <w:rsid w:val="00EF68B3"/>
    <w:rsid w:val="00EF6FA5"/>
    <w:rsid w:val="00F009C9"/>
    <w:rsid w:val="00F00ECB"/>
    <w:rsid w:val="00F00FD1"/>
    <w:rsid w:val="00F013C0"/>
    <w:rsid w:val="00F01620"/>
    <w:rsid w:val="00F01767"/>
    <w:rsid w:val="00F01948"/>
    <w:rsid w:val="00F01CF0"/>
    <w:rsid w:val="00F02213"/>
    <w:rsid w:val="00F02679"/>
    <w:rsid w:val="00F02786"/>
    <w:rsid w:val="00F02B60"/>
    <w:rsid w:val="00F02CB2"/>
    <w:rsid w:val="00F02EFA"/>
    <w:rsid w:val="00F0300B"/>
    <w:rsid w:val="00F03E0D"/>
    <w:rsid w:val="00F03F09"/>
    <w:rsid w:val="00F041D3"/>
    <w:rsid w:val="00F04BD4"/>
    <w:rsid w:val="00F04D5C"/>
    <w:rsid w:val="00F04E4E"/>
    <w:rsid w:val="00F0502F"/>
    <w:rsid w:val="00F0575F"/>
    <w:rsid w:val="00F05C47"/>
    <w:rsid w:val="00F0629A"/>
    <w:rsid w:val="00F062D7"/>
    <w:rsid w:val="00F06B87"/>
    <w:rsid w:val="00F06E14"/>
    <w:rsid w:val="00F1005C"/>
    <w:rsid w:val="00F10792"/>
    <w:rsid w:val="00F10820"/>
    <w:rsid w:val="00F1161F"/>
    <w:rsid w:val="00F118F2"/>
    <w:rsid w:val="00F1254E"/>
    <w:rsid w:val="00F12C60"/>
    <w:rsid w:val="00F12CA9"/>
    <w:rsid w:val="00F12F8C"/>
    <w:rsid w:val="00F1433E"/>
    <w:rsid w:val="00F143D5"/>
    <w:rsid w:val="00F1441C"/>
    <w:rsid w:val="00F145AF"/>
    <w:rsid w:val="00F1488E"/>
    <w:rsid w:val="00F157C3"/>
    <w:rsid w:val="00F1588C"/>
    <w:rsid w:val="00F15E3B"/>
    <w:rsid w:val="00F16DFD"/>
    <w:rsid w:val="00F1704C"/>
    <w:rsid w:val="00F170BF"/>
    <w:rsid w:val="00F17C57"/>
    <w:rsid w:val="00F2028E"/>
    <w:rsid w:val="00F20F51"/>
    <w:rsid w:val="00F21344"/>
    <w:rsid w:val="00F21867"/>
    <w:rsid w:val="00F219B8"/>
    <w:rsid w:val="00F21A22"/>
    <w:rsid w:val="00F21C74"/>
    <w:rsid w:val="00F22A19"/>
    <w:rsid w:val="00F22A97"/>
    <w:rsid w:val="00F23766"/>
    <w:rsid w:val="00F24A9D"/>
    <w:rsid w:val="00F256F2"/>
    <w:rsid w:val="00F25A04"/>
    <w:rsid w:val="00F26041"/>
    <w:rsid w:val="00F265B0"/>
    <w:rsid w:val="00F267F0"/>
    <w:rsid w:val="00F26866"/>
    <w:rsid w:val="00F2690C"/>
    <w:rsid w:val="00F26B00"/>
    <w:rsid w:val="00F26C0F"/>
    <w:rsid w:val="00F26D63"/>
    <w:rsid w:val="00F27AE0"/>
    <w:rsid w:val="00F30552"/>
    <w:rsid w:val="00F30E20"/>
    <w:rsid w:val="00F310BF"/>
    <w:rsid w:val="00F31107"/>
    <w:rsid w:val="00F31399"/>
    <w:rsid w:val="00F31D66"/>
    <w:rsid w:val="00F31E1D"/>
    <w:rsid w:val="00F3226C"/>
    <w:rsid w:val="00F3249A"/>
    <w:rsid w:val="00F32709"/>
    <w:rsid w:val="00F32BCC"/>
    <w:rsid w:val="00F332DF"/>
    <w:rsid w:val="00F335CA"/>
    <w:rsid w:val="00F33E38"/>
    <w:rsid w:val="00F344F9"/>
    <w:rsid w:val="00F34582"/>
    <w:rsid w:val="00F347F2"/>
    <w:rsid w:val="00F34A20"/>
    <w:rsid w:val="00F34AC5"/>
    <w:rsid w:val="00F34BF7"/>
    <w:rsid w:val="00F3504F"/>
    <w:rsid w:val="00F36F66"/>
    <w:rsid w:val="00F36FA9"/>
    <w:rsid w:val="00F376F9"/>
    <w:rsid w:val="00F37B2E"/>
    <w:rsid w:val="00F37D8E"/>
    <w:rsid w:val="00F403F6"/>
    <w:rsid w:val="00F407A1"/>
    <w:rsid w:val="00F40829"/>
    <w:rsid w:val="00F40AA5"/>
    <w:rsid w:val="00F40F21"/>
    <w:rsid w:val="00F42022"/>
    <w:rsid w:val="00F4202C"/>
    <w:rsid w:val="00F42857"/>
    <w:rsid w:val="00F42929"/>
    <w:rsid w:val="00F42A6B"/>
    <w:rsid w:val="00F42CE3"/>
    <w:rsid w:val="00F436E0"/>
    <w:rsid w:val="00F43D7E"/>
    <w:rsid w:val="00F443A5"/>
    <w:rsid w:val="00F45267"/>
    <w:rsid w:val="00F4540F"/>
    <w:rsid w:val="00F45AFD"/>
    <w:rsid w:val="00F4653C"/>
    <w:rsid w:val="00F46D31"/>
    <w:rsid w:val="00F474E7"/>
    <w:rsid w:val="00F47D25"/>
    <w:rsid w:val="00F5024E"/>
    <w:rsid w:val="00F504F7"/>
    <w:rsid w:val="00F5063A"/>
    <w:rsid w:val="00F5074E"/>
    <w:rsid w:val="00F50A0A"/>
    <w:rsid w:val="00F511E1"/>
    <w:rsid w:val="00F515E9"/>
    <w:rsid w:val="00F52322"/>
    <w:rsid w:val="00F52D10"/>
    <w:rsid w:val="00F52D29"/>
    <w:rsid w:val="00F5356C"/>
    <w:rsid w:val="00F53770"/>
    <w:rsid w:val="00F53781"/>
    <w:rsid w:val="00F53E28"/>
    <w:rsid w:val="00F5406C"/>
    <w:rsid w:val="00F54434"/>
    <w:rsid w:val="00F549D3"/>
    <w:rsid w:val="00F54F20"/>
    <w:rsid w:val="00F559F4"/>
    <w:rsid w:val="00F55BCA"/>
    <w:rsid w:val="00F56280"/>
    <w:rsid w:val="00F56736"/>
    <w:rsid w:val="00F57338"/>
    <w:rsid w:val="00F573AA"/>
    <w:rsid w:val="00F575AA"/>
    <w:rsid w:val="00F575CD"/>
    <w:rsid w:val="00F577A6"/>
    <w:rsid w:val="00F577E4"/>
    <w:rsid w:val="00F57D25"/>
    <w:rsid w:val="00F6089C"/>
    <w:rsid w:val="00F60AE9"/>
    <w:rsid w:val="00F60C7F"/>
    <w:rsid w:val="00F60F84"/>
    <w:rsid w:val="00F611A2"/>
    <w:rsid w:val="00F61262"/>
    <w:rsid w:val="00F612BC"/>
    <w:rsid w:val="00F6195A"/>
    <w:rsid w:val="00F61A14"/>
    <w:rsid w:val="00F61A94"/>
    <w:rsid w:val="00F621F0"/>
    <w:rsid w:val="00F624F1"/>
    <w:rsid w:val="00F627C8"/>
    <w:rsid w:val="00F628F2"/>
    <w:rsid w:val="00F62FDE"/>
    <w:rsid w:val="00F63000"/>
    <w:rsid w:val="00F632ED"/>
    <w:rsid w:val="00F63A15"/>
    <w:rsid w:val="00F640C1"/>
    <w:rsid w:val="00F6414E"/>
    <w:rsid w:val="00F64F91"/>
    <w:rsid w:val="00F65288"/>
    <w:rsid w:val="00F65690"/>
    <w:rsid w:val="00F657CE"/>
    <w:rsid w:val="00F6588E"/>
    <w:rsid w:val="00F65902"/>
    <w:rsid w:val="00F66562"/>
    <w:rsid w:val="00F66CFE"/>
    <w:rsid w:val="00F66D7F"/>
    <w:rsid w:val="00F66E71"/>
    <w:rsid w:val="00F677AA"/>
    <w:rsid w:val="00F678B3"/>
    <w:rsid w:val="00F67954"/>
    <w:rsid w:val="00F67CF1"/>
    <w:rsid w:val="00F70427"/>
    <w:rsid w:val="00F71074"/>
    <w:rsid w:val="00F71ABF"/>
    <w:rsid w:val="00F71E1D"/>
    <w:rsid w:val="00F72196"/>
    <w:rsid w:val="00F72BEC"/>
    <w:rsid w:val="00F72CB5"/>
    <w:rsid w:val="00F7301F"/>
    <w:rsid w:val="00F73124"/>
    <w:rsid w:val="00F737CC"/>
    <w:rsid w:val="00F746C1"/>
    <w:rsid w:val="00F74732"/>
    <w:rsid w:val="00F752ED"/>
    <w:rsid w:val="00F756DF"/>
    <w:rsid w:val="00F7578C"/>
    <w:rsid w:val="00F75F50"/>
    <w:rsid w:val="00F7669A"/>
    <w:rsid w:val="00F767A6"/>
    <w:rsid w:val="00F76BF8"/>
    <w:rsid w:val="00F77190"/>
    <w:rsid w:val="00F772BF"/>
    <w:rsid w:val="00F7749E"/>
    <w:rsid w:val="00F774BF"/>
    <w:rsid w:val="00F7770A"/>
    <w:rsid w:val="00F777C5"/>
    <w:rsid w:val="00F77958"/>
    <w:rsid w:val="00F77D5C"/>
    <w:rsid w:val="00F77E3F"/>
    <w:rsid w:val="00F80419"/>
    <w:rsid w:val="00F80856"/>
    <w:rsid w:val="00F80BDA"/>
    <w:rsid w:val="00F80C35"/>
    <w:rsid w:val="00F80D19"/>
    <w:rsid w:val="00F80D8E"/>
    <w:rsid w:val="00F81803"/>
    <w:rsid w:val="00F81C99"/>
    <w:rsid w:val="00F82611"/>
    <w:rsid w:val="00F83485"/>
    <w:rsid w:val="00F8353D"/>
    <w:rsid w:val="00F8357A"/>
    <w:rsid w:val="00F840DF"/>
    <w:rsid w:val="00F841D2"/>
    <w:rsid w:val="00F849A2"/>
    <w:rsid w:val="00F84BDC"/>
    <w:rsid w:val="00F84E8C"/>
    <w:rsid w:val="00F85B1D"/>
    <w:rsid w:val="00F85BB8"/>
    <w:rsid w:val="00F86510"/>
    <w:rsid w:val="00F86D8C"/>
    <w:rsid w:val="00F8718C"/>
    <w:rsid w:val="00F87581"/>
    <w:rsid w:val="00F87A2F"/>
    <w:rsid w:val="00F87B19"/>
    <w:rsid w:val="00F87D81"/>
    <w:rsid w:val="00F900AB"/>
    <w:rsid w:val="00F901B1"/>
    <w:rsid w:val="00F9064A"/>
    <w:rsid w:val="00F90717"/>
    <w:rsid w:val="00F90C48"/>
    <w:rsid w:val="00F91136"/>
    <w:rsid w:val="00F91181"/>
    <w:rsid w:val="00F917E1"/>
    <w:rsid w:val="00F91829"/>
    <w:rsid w:val="00F918C8"/>
    <w:rsid w:val="00F919B1"/>
    <w:rsid w:val="00F91F12"/>
    <w:rsid w:val="00F91F15"/>
    <w:rsid w:val="00F926E9"/>
    <w:rsid w:val="00F92871"/>
    <w:rsid w:val="00F93665"/>
    <w:rsid w:val="00F93FD3"/>
    <w:rsid w:val="00F940C3"/>
    <w:rsid w:val="00F94614"/>
    <w:rsid w:val="00F947DB"/>
    <w:rsid w:val="00F950F9"/>
    <w:rsid w:val="00F9528C"/>
    <w:rsid w:val="00F953B5"/>
    <w:rsid w:val="00F955C8"/>
    <w:rsid w:val="00F95FF3"/>
    <w:rsid w:val="00F960E2"/>
    <w:rsid w:val="00F96E98"/>
    <w:rsid w:val="00F96F00"/>
    <w:rsid w:val="00F96FF3"/>
    <w:rsid w:val="00F9721A"/>
    <w:rsid w:val="00F97639"/>
    <w:rsid w:val="00F97FA2"/>
    <w:rsid w:val="00FA066B"/>
    <w:rsid w:val="00FA0B36"/>
    <w:rsid w:val="00FA0CC7"/>
    <w:rsid w:val="00FA0D16"/>
    <w:rsid w:val="00FA1467"/>
    <w:rsid w:val="00FA1943"/>
    <w:rsid w:val="00FA237F"/>
    <w:rsid w:val="00FA3232"/>
    <w:rsid w:val="00FA35EA"/>
    <w:rsid w:val="00FA37CF"/>
    <w:rsid w:val="00FA3D72"/>
    <w:rsid w:val="00FA3D97"/>
    <w:rsid w:val="00FA41FC"/>
    <w:rsid w:val="00FA4414"/>
    <w:rsid w:val="00FA465B"/>
    <w:rsid w:val="00FA4A10"/>
    <w:rsid w:val="00FA4C2A"/>
    <w:rsid w:val="00FA4D03"/>
    <w:rsid w:val="00FA5251"/>
    <w:rsid w:val="00FA5EEB"/>
    <w:rsid w:val="00FA5F35"/>
    <w:rsid w:val="00FA64DA"/>
    <w:rsid w:val="00FA6A31"/>
    <w:rsid w:val="00FA6AF5"/>
    <w:rsid w:val="00FA7886"/>
    <w:rsid w:val="00FA7B4C"/>
    <w:rsid w:val="00FA7BD4"/>
    <w:rsid w:val="00FB01ED"/>
    <w:rsid w:val="00FB06F5"/>
    <w:rsid w:val="00FB11CC"/>
    <w:rsid w:val="00FB146F"/>
    <w:rsid w:val="00FB1B1D"/>
    <w:rsid w:val="00FB1BA7"/>
    <w:rsid w:val="00FB1CA2"/>
    <w:rsid w:val="00FB2167"/>
    <w:rsid w:val="00FB25B4"/>
    <w:rsid w:val="00FB2CF0"/>
    <w:rsid w:val="00FB2E81"/>
    <w:rsid w:val="00FB3106"/>
    <w:rsid w:val="00FB32D5"/>
    <w:rsid w:val="00FB3B7D"/>
    <w:rsid w:val="00FB3C8E"/>
    <w:rsid w:val="00FB3F45"/>
    <w:rsid w:val="00FB3FFF"/>
    <w:rsid w:val="00FB41A6"/>
    <w:rsid w:val="00FB439A"/>
    <w:rsid w:val="00FB47D7"/>
    <w:rsid w:val="00FB4BCF"/>
    <w:rsid w:val="00FB5027"/>
    <w:rsid w:val="00FB5180"/>
    <w:rsid w:val="00FB532F"/>
    <w:rsid w:val="00FB53B4"/>
    <w:rsid w:val="00FB5469"/>
    <w:rsid w:val="00FB54F3"/>
    <w:rsid w:val="00FB55A8"/>
    <w:rsid w:val="00FB5801"/>
    <w:rsid w:val="00FB6906"/>
    <w:rsid w:val="00FB70D8"/>
    <w:rsid w:val="00FB724C"/>
    <w:rsid w:val="00FB755B"/>
    <w:rsid w:val="00FC0576"/>
    <w:rsid w:val="00FC0654"/>
    <w:rsid w:val="00FC07C8"/>
    <w:rsid w:val="00FC1124"/>
    <w:rsid w:val="00FC1368"/>
    <w:rsid w:val="00FC1E2B"/>
    <w:rsid w:val="00FC1EC0"/>
    <w:rsid w:val="00FC22B6"/>
    <w:rsid w:val="00FC247C"/>
    <w:rsid w:val="00FC2AD8"/>
    <w:rsid w:val="00FC3285"/>
    <w:rsid w:val="00FC3DAA"/>
    <w:rsid w:val="00FC4059"/>
    <w:rsid w:val="00FC4182"/>
    <w:rsid w:val="00FC43BB"/>
    <w:rsid w:val="00FC43EC"/>
    <w:rsid w:val="00FC468F"/>
    <w:rsid w:val="00FC4C50"/>
    <w:rsid w:val="00FC4E95"/>
    <w:rsid w:val="00FC53D2"/>
    <w:rsid w:val="00FC5496"/>
    <w:rsid w:val="00FC55EF"/>
    <w:rsid w:val="00FC5606"/>
    <w:rsid w:val="00FC5DD2"/>
    <w:rsid w:val="00FC5F0C"/>
    <w:rsid w:val="00FC6051"/>
    <w:rsid w:val="00FC608B"/>
    <w:rsid w:val="00FC6574"/>
    <w:rsid w:val="00FC6718"/>
    <w:rsid w:val="00FC7039"/>
    <w:rsid w:val="00FC708E"/>
    <w:rsid w:val="00FC76C0"/>
    <w:rsid w:val="00FC7907"/>
    <w:rsid w:val="00FC7A9E"/>
    <w:rsid w:val="00FD01F5"/>
    <w:rsid w:val="00FD0806"/>
    <w:rsid w:val="00FD12D8"/>
    <w:rsid w:val="00FD1616"/>
    <w:rsid w:val="00FD2018"/>
    <w:rsid w:val="00FD21CE"/>
    <w:rsid w:val="00FD2449"/>
    <w:rsid w:val="00FD27FB"/>
    <w:rsid w:val="00FD2B20"/>
    <w:rsid w:val="00FD3752"/>
    <w:rsid w:val="00FD3CB5"/>
    <w:rsid w:val="00FD3CBB"/>
    <w:rsid w:val="00FD3F6E"/>
    <w:rsid w:val="00FD405F"/>
    <w:rsid w:val="00FD40D2"/>
    <w:rsid w:val="00FD47E2"/>
    <w:rsid w:val="00FD4F96"/>
    <w:rsid w:val="00FD513D"/>
    <w:rsid w:val="00FD51BE"/>
    <w:rsid w:val="00FD523D"/>
    <w:rsid w:val="00FD651A"/>
    <w:rsid w:val="00FD6918"/>
    <w:rsid w:val="00FD6A2E"/>
    <w:rsid w:val="00FD76CD"/>
    <w:rsid w:val="00FD7959"/>
    <w:rsid w:val="00FD7B89"/>
    <w:rsid w:val="00FD7C3A"/>
    <w:rsid w:val="00FD7D77"/>
    <w:rsid w:val="00FE009B"/>
    <w:rsid w:val="00FE02A5"/>
    <w:rsid w:val="00FE0D51"/>
    <w:rsid w:val="00FE0F4A"/>
    <w:rsid w:val="00FE0FB8"/>
    <w:rsid w:val="00FE1262"/>
    <w:rsid w:val="00FE18F6"/>
    <w:rsid w:val="00FE2068"/>
    <w:rsid w:val="00FE2360"/>
    <w:rsid w:val="00FE2553"/>
    <w:rsid w:val="00FE2595"/>
    <w:rsid w:val="00FE25B3"/>
    <w:rsid w:val="00FE32F0"/>
    <w:rsid w:val="00FE3434"/>
    <w:rsid w:val="00FE372D"/>
    <w:rsid w:val="00FE3CCD"/>
    <w:rsid w:val="00FE4C3A"/>
    <w:rsid w:val="00FE525A"/>
    <w:rsid w:val="00FE55AD"/>
    <w:rsid w:val="00FE59A7"/>
    <w:rsid w:val="00FE5BBC"/>
    <w:rsid w:val="00FE604D"/>
    <w:rsid w:val="00FE6071"/>
    <w:rsid w:val="00FE6695"/>
    <w:rsid w:val="00FE71FF"/>
    <w:rsid w:val="00FE76EC"/>
    <w:rsid w:val="00FE78F8"/>
    <w:rsid w:val="00FE7AD9"/>
    <w:rsid w:val="00FE7EC2"/>
    <w:rsid w:val="00FE7FE2"/>
    <w:rsid w:val="00FF18CE"/>
    <w:rsid w:val="00FF1A7C"/>
    <w:rsid w:val="00FF1D31"/>
    <w:rsid w:val="00FF213E"/>
    <w:rsid w:val="00FF222D"/>
    <w:rsid w:val="00FF2286"/>
    <w:rsid w:val="00FF22E6"/>
    <w:rsid w:val="00FF24B4"/>
    <w:rsid w:val="00FF2565"/>
    <w:rsid w:val="00FF289B"/>
    <w:rsid w:val="00FF2C57"/>
    <w:rsid w:val="00FF3434"/>
    <w:rsid w:val="00FF3494"/>
    <w:rsid w:val="00FF3ED8"/>
    <w:rsid w:val="00FF424E"/>
    <w:rsid w:val="00FF5378"/>
    <w:rsid w:val="00FF54BD"/>
    <w:rsid w:val="00FF58CF"/>
    <w:rsid w:val="00FF5A69"/>
    <w:rsid w:val="00FF660A"/>
    <w:rsid w:val="00FF6D40"/>
    <w:rsid w:val="00FF6D9B"/>
    <w:rsid w:val="00FF73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23A134"/>
  <w14:defaultImageDpi w14:val="32767"/>
  <w15:chartTrackingRefBased/>
  <w15:docId w15:val="{AC08C524-4740-CB44-8412-AE326636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Thesis"/>
    <w:qFormat/>
    <w:rsid w:val="004A4D0D"/>
    <w:pPr>
      <w:jc w:val="both"/>
    </w:pPr>
    <w:rPr>
      <w:rFonts w:ascii="Verdana" w:eastAsia="Times New Roman" w:hAnsi="Verdana" w:cs="Times New Roman"/>
      <w:sz w:val="18"/>
      <w:lang w:val="nl-BE" w:eastAsia="nl-NL"/>
    </w:rPr>
  </w:style>
  <w:style w:type="paragraph" w:styleId="Heading1">
    <w:name w:val="heading 1"/>
    <w:basedOn w:val="Normal"/>
    <w:next w:val="Normal"/>
    <w:link w:val="Heading1Char"/>
    <w:uiPriority w:val="9"/>
    <w:qFormat/>
    <w:rsid w:val="0081064A"/>
    <w:pPr>
      <w:pageBreakBefore/>
      <w:spacing w:line="360" w:lineRule="auto"/>
      <w:outlineLvl w:val="0"/>
    </w:pPr>
    <w:rPr>
      <w:b/>
      <w:color w:val="000000" w:themeColor="text1"/>
      <w:szCs w:val="18"/>
    </w:rPr>
  </w:style>
  <w:style w:type="paragraph" w:styleId="Heading2">
    <w:name w:val="heading 2"/>
    <w:basedOn w:val="Normal"/>
    <w:next w:val="Normal"/>
    <w:link w:val="Heading2Char"/>
    <w:uiPriority w:val="9"/>
    <w:unhideWhenUsed/>
    <w:qFormat/>
    <w:rsid w:val="0081064A"/>
    <w:pPr>
      <w:keepNext/>
      <w:keepLines/>
      <w:pageBreakBefore/>
      <w:numPr>
        <w:numId w:val="2"/>
      </w:numPr>
      <w:spacing w:before="40"/>
      <w:ind w:left="431" w:hanging="431"/>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B03D25"/>
    <w:pPr>
      <w:keepNext/>
      <w:keepLines/>
      <w:numPr>
        <w:ilvl w:val="1"/>
        <w:numId w:val="2"/>
      </w:numPr>
      <w:spacing w:before="40"/>
      <w:ind w:left="578" w:hanging="578"/>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81064A"/>
    <w:pPr>
      <w:keepNext/>
      <w:keepLines/>
      <w:numPr>
        <w:ilvl w:val="2"/>
        <w:numId w:val="2"/>
      </w:numPr>
      <w:spacing w:before="40"/>
      <w:outlineLvl w:val="3"/>
    </w:pPr>
    <w:rPr>
      <w:rFonts w:eastAsiaTheme="majorEastAsia" w:cstheme="majorBidi"/>
      <w:b/>
      <w:iCs/>
      <w:color w:val="000000" w:themeColor="text1"/>
    </w:rPr>
  </w:style>
  <w:style w:type="paragraph" w:styleId="Heading5">
    <w:name w:val="heading 5"/>
    <w:basedOn w:val="Normal"/>
    <w:next w:val="Normal"/>
    <w:link w:val="Heading5Char"/>
    <w:uiPriority w:val="9"/>
    <w:unhideWhenUsed/>
    <w:qFormat/>
    <w:rsid w:val="0081064A"/>
    <w:pPr>
      <w:keepNext/>
      <w:keepLines/>
      <w:numPr>
        <w:ilvl w:val="3"/>
        <w:numId w:val="2"/>
      </w:numPr>
      <w:spacing w:before="40"/>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qFormat/>
    <w:rsid w:val="004F3BDF"/>
    <w:pPr>
      <w:keepNext/>
      <w:keepLines/>
      <w:numPr>
        <w:ilvl w:val="4"/>
        <w:numId w:val="2"/>
      </w:numPr>
      <w:spacing w:before="40"/>
      <w:outlineLvl w:val="5"/>
    </w:pPr>
    <w:rPr>
      <w:rFonts w:eastAsiaTheme="majorEastAsia" w:cstheme="majorBidi"/>
      <w:b/>
      <w:color w:val="000000" w:themeColor="text1"/>
    </w:rPr>
  </w:style>
  <w:style w:type="paragraph" w:styleId="Heading7">
    <w:name w:val="heading 7"/>
    <w:basedOn w:val="Normal"/>
    <w:next w:val="Normal"/>
    <w:link w:val="Heading7Char"/>
    <w:uiPriority w:val="9"/>
    <w:semiHidden/>
    <w:unhideWhenUsed/>
    <w:qFormat/>
    <w:rsid w:val="00001FD8"/>
    <w:pPr>
      <w:keepNext/>
      <w:keepLines/>
      <w:numPr>
        <w:ilvl w:val="5"/>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01FD8"/>
    <w:pPr>
      <w:keepNext/>
      <w:keepLines/>
      <w:numPr>
        <w:ilvl w:val="6"/>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01FD8"/>
    <w:pPr>
      <w:keepNext/>
      <w:keepLines/>
      <w:numPr>
        <w:ilvl w:val="7"/>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622"/>
    <w:pPr>
      <w:ind w:left="720"/>
      <w:contextualSpacing/>
    </w:pPr>
  </w:style>
  <w:style w:type="character" w:customStyle="1" w:styleId="Heading1Char">
    <w:name w:val="Heading 1 Char"/>
    <w:basedOn w:val="DefaultParagraphFont"/>
    <w:link w:val="Heading1"/>
    <w:uiPriority w:val="9"/>
    <w:rsid w:val="0081064A"/>
    <w:rPr>
      <w:rFonts w:ascii="Verdana" w:eastAsia="Times New Roman" w:hAnsi="Verdana" w:cs="Times New Roman"/>
      <w:b/>
      <w:color w:val="000000" w:themeColor="text1"/>
      <w:sz w:val="18"/>
      <w:szCs w:val="18"/>
      <w:lang w:val="nl-BE" w:eastAsia="nl-NL"/>
    </w:rPr>
  </w:style>
  <w:style w:type="character" w:customStyle="1" w:styleId="Heading2Char">
    <w:name w:val="Heading 2 Char"/>
    <w:basedOn w:val="DefaultParagraphFont"/>
    <w:link w:val="Heading2"/>
    <w:uiPriority w:val="9"/>
    <w:rsid w:val="0081064A"/>
    <w:rPr>
      <w:rFonts w:ascii="Verdana" w:eastAsiaTheme="majorEastAsia" w:hAnsi="Verdana" w:cstheme="majorBidi"/>
      <w:b/>
      <w:color w:val="000000" w:themeColor="text1"/>
      <w:sz w:val="18"/>
      <w:szCs w:val="26"/>
      <w:lang w:val="nl-BE" w:eastAsia="nl-NL"/>
    </w:rPr>
  </w:style>
  <w:style w:type="character" w:customStyle="1" w:styleId="Heading3Char">
    <w:name w:val="Heading 3 Char"/>
    <w:basedOn w:val="DefaultParagraphFont"/>
    <w:link w:val="Heading3"/>
    <w:uiPriority w:val="9"/>
    <w:rsid w:val="00B03D25"/>
    <w:rPr>
      <w:rFonts w:ascii="Verdana" w:eastAsiaTheme="majorEastAsia" w:hAnsi="Verdana" w:cstheme="majorBidi"/>
      <w:b/>
      <w:color w:val="000000" w:themeColor="text1"/>
      <w:sz w:val="18"/>
      <w:lang w:val="nl-BE" w:eastAsia="nl-NL"/>
    </w:rPr>
  </w:style>
  <w:style w:type="character" w:customStyle="1" w:styleId="Heading4Char">
    <w:name w:val="Heading 4 Char"/>
    <w:basedOn w:val="DefaultParagraphFont"/>
    <w:link w:val="Heading4"/>
    <w:uiPriority w:val="9"/>
    <w:rsid w:val="0081064A"/>
    <w:rPr>
      <w:rFonts w:ascii="Verdana" w:eastAsiaTheme="majorEastAsia" w:hAnsi="Verdana" w:cstheme="majorBidi"/>
      <w:b/>
      <w:iCs/>
      <w:color w:val="000000" w:themeColor="text1"/>
      <w:sz w:val="18"/>
      <w:lang w:val="nl-BE" w:eastAsia="nl-NL"/>
    </w:rPr>
  </w:style>
  <w:style w:type="character" w:customStyle="1" w:styleId="Heading5Char">
    <w:name w:val="Heading 5 Char"/>
    <w:basedOn w:val="DefaultParagraphFont"/>
    <w:link w:val="Heading5"/>
    <w:uiPriority w:val="9"/>
    <w:rsid w:val="0081064A"/>
    <w:rPr>
      <w:rFonts w:ascii="Verdana" w:eastAsiaTheme="majorEastAsia" w:hAnsi="Verdana" w:cstheme="majorBidi"/>
      <w:b/>
      <w:color w:val="000000" w:themeColor="text1"/>
      <w:sz w:val="18"/>
      <w:lang w:val="nl-BE" w:eastAsia="nl-NL"/>
    </w:rPr>
  </w:style>
  <w:style w:type="character" w:customStyle="1" w:styleId="Heading6Char">
    <w:name w:val="Heading 6 Char"/>
    <w:basedOn w:val="DefaultParagraphFont"/>
    <w:link w:val="Heading6"/>
    <w:uiPriority w:val="9"/>
    <w:rsid w:val="004F3BDF"/>
    <w:rPr>
      <w:rFonts w:ascii="Verdana" w:eastAsiaTheme="majorEastAsia" w:hAnsi="Verdana" w:cstheme="majorBidi"/>
      <w:b/>
      <w:color w:val="000000" w:themeColor="text1"/>
      <w:sz w:val="18"/>
      <w:lang w:val="nl-BE" w:eastAsia="nl-NL"/>
    </w:rPr>
  </w:style>
  <w:style w:type="character" w:customStyle="1" w:styleId="Heading7Char">
    <w:name w:val="Heading 7 Char"/>
    <w:basedOn w:val="DefaultParagraphFont"/>
    <w:link w:val="Heading7"/>
    <w:uiPriority w:val="9"/>
    <w:semiHidden/>
    <w:rsid w:val="00001FD8"/>
    <w:rPr>
      <w:rFonts w:asciiTheme="majorHAnsi" w:eastAsiaTheme="majorEastAsia" w:hAnsiTheme="majorHAnsi" w:cstheme="majorBidi"/>
      <w:i/>
      <w:iCs/>
      <w:color w:val="1F3763" w:themeColor="accent1" w:themeShade="7F"/>
      <w:sz w:val="18"/>
      <w:lang w:val="nl-BE" w:eastAsia="nl-NL"/>
    </w:rPr>
  </w:style>
  <w:style w:type="character" w:customStyle="1" w:styleId="Heading8Char">
    <w:name w:val="Heading 8 Char"/>
    <w:basedOn w:val="DefaultParagraphFont"/>
    <w:link w:val="Heading8"/>
    <w:uiPriority w:val="9"/>
    <w:semiHidden/>
    <w:rsid w:val="00001FD8"/>
    <w:rPr>
      <w:rFonts w:asciiTheme="majorHAnsi" w:eastAsiaTheme="majorEastAsia" w:hAnsiTheme="majorHAnsi" w:cstheme="majorBidi"/>
      <w:color w:val="272727" w:themeColor="text1" w:themeTint="D8"/>
      <w:sz w:val="21"/>
      <w:szCs w:val="21"/>
      <w:lang w:val="nl-BE" w:eastAsia="nl-NL"/>
    </w:rPr>
  </w:style>
  <w:style w:type="character" w:customStyle="1" w:styleId="Heading9Char">
    <w:name w:val="Heading 9 Char"/>
    <w:basedOn w:val="DefaultParagraphFont"/>
    <w:link w:val="Heading9"/>
    <w:uiPriority w:val="9"/>
    <w:semiHidden/>
    <w:rsid w:val="00001FD8"/>
    <w:rPr>
      <w:rFonts w:asciiTheme="majorHAnsi" w:eastAsiaTheme="majorEastAsia" w:hAnsiTheme="majorHAnsi" w:cstheme="majorBidi"/>
      <w:i/>
      <w:iCs/>
      <w:color w:val="272727" w:themeColor="text1" w:themeTint="D8"/>
      <w:sz w:val="21"/>
      <w:szCs w:val="21"/>
      <w:lang w:val="nl-BE" w:eastAsia="nl-NL"/>
    </w:rPr>
  </w:style>
  <w:style w:type="paragraph" w:styleId="TOCHeading">
    <w:name w:val="TOC Heading"/>
    <w:basedOn w:val="Heading1"/>
    <w:next w:val="Normal"/>
    <w:uiPriority w:val="39"/>
    <w:unhideWhenUsed/>
    <w:qFormat/>
    <w:rsid w:val="00882309"/>
    <w:pPr>
      <w:keepNext/>
      <w:keepLines/>
      <w:spacing w:before="480" w:line="276" w:lineRule="auto"/>
      <w:jc w:val="left"/>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BA776B"/>
    <w:pPr>
      <w:tabs>
        <w:tab w:val="right" w:leader="dot" w:pos="9062"/>
      </w:tabs>
      <w:spacing w:before="120" w:after="120" w:line="360" w:lineRule="auto"/>
    </w:pPr>
    <w:rPr>
      <w:rFonts w:cs="Times New Roman (Hoofdtekst CS)"/>
      <w:bCs/>
      <w:szCs w:val="20"/>
    </w:rPr>
  </w:style>
  <w:style w:type="paragraph" w:styleId="TOC2">
    <w:name w:val="toc 2"/>
    <w:basedOn w:val="Normal"/>
    <w:next w:val="Normal"/>
    <w:autoRedefine/>
    <w:uiPriority w:val="39"/>
    <w:unhideWhenUsed/>
    <w:rsid w:val="004654D1"/>
    <w:pPr>
      <w:ind w:left="180"/>
    </w:pPr>
    <w:rPr>
      <w:rFonts w:cs="Times New Roman (Hoofdtekst CS)"/>
      <w:szCs w:val="20"/>
    </w:rPr>
  </w:style>
  <w:style w:type="paragraph" w:styleId="TOC3">
    <w:name w:val="toc 3"/>
    <w:basedOn w:val="Normal"/>
    <w:next w:val="Normal"/>
    <w:autoRedefine/>
    <w:uiPriority w:val="39"/>
    <w:unhideWhenUsed/>
    <w:rsid w:val="00882309"/>
    <w:pPr>
      <w:ind w:left="360"/>
    </w:pPr>
    <w:rPr>
      <w:iCs/>
      <w:szCs w:val="20"/>
    </w:rPr>
  </w:style>
  <w:style w:type="character" w:styleId="Hyperlink">
    <w:name w:val="Hyperlink"/>
    <w:basedOn w:val="DefaultParagraphFont"/>
    <w:uiPriority w:val="99"/>
    <w:unhideWhenUsed/>
    <w:rsid w:val="00882309"/>
    <w:rPr>
      <w:color w:val="0563C1" w:themeColor="hyperlink"/>
      <w:u w:val="single"/>
    </w:rPr>
  </w:style>
  <w:style w:type="paragraph" w:styleId="TOC4">
    <w:name w:val="toc 4"/>
    <w:basedOn w:val="Normal"/>
    <w:next w:val="Normal"/>
    <w:autoRedefine/>
    <w:uiPriority w:val="39"/>
    <w:unhideWhenUsed/>
    <w:rsid w:val="00882309"/>
    <w:pPr>
      <w:ind w:left="540"/>
    </w:pPr>
    <w:rPr>
      <w:szCs w:val="18"/>
    </w:rPr>
  </w:style>
  <w:style w:type="paragraph" w:styleId="TOC5">
    <w:name w:val="toc 5"/>
    <w:basedOn w:val="Normal"/>
    <w:next w:val="Normal"/>
    <w:autoRedefine/>
    <w:uiPriority w:val="39"/>
    <w:unhideWhenUsed/>
    <w:rsid w:val="00882309"/>
    <w:pPr>
      <w:ind w:left="720"/>
    </w:pPr>
    <w:rPr>
      <w:szCs w:val="18"/>
    </w:rPr>
  </w:style>
  <w:style w:type="paragraph" w:styleId="TOC6">
    <w:name w:val="toc 6"/>
    <w:basedOn w:val="Normal"/>
    <w:next w:val="Normal"/>
    <w:autoRedefine/>
    <w:uiPriority w:val="39"/>
    <w:unhideWhenUsed/>
    <w:rsid w:val="00882309"/>
    <w:pPr>
      <w:ind w:left="900"/>
    </w:pPr>
    <w:rPr>
      <w:szCs w:val="18"/>
    </w:rPr>
  </w:style>
  <w:style w:type="paragraph" w:styleId="TOC7">
    <w:name w:val="toc 7"/>
    <w:basedOn w:val="Normal"/>
    <w:next w:val="Normal"/>
    <w:autoRedefine/>
    <w:uiPriority w:val="39"/>
    <w:unhideWhenUsed/>
    <w:rsid w:val="00882309"/>
    <w:pPr>
      <w:ind w:left="1080"/>
    </w:pPr>
    <w:rPr>
      <w:szCs w:val="18"/>
    </w:rPr>
  </w:style>
  <w:style w:type="paragraph" w:styleId="TOC8">
    <w:name w:val="toc 8"/>
    <w:basedOn w:val="Normal"/>
    <w:next w:val="Normal"/>
    <w:autoRedefine/>
    <w:uiPriority w:val="39"/>
    <w:unhideWhenUsed/>
    <w:rsid w:val="00882309"/>
    <w:pPr>
      <w:ind w:left="1260"/>
    </w:pPr>
    <w:rPr>
      <w:rFonts w:asciiTheme="minorHAnsi" w:hAnsiTheme="minorHAnsi"/>
      <w:szCs w:val="18"/>
    </w:rPr>
  </w:style>
  <w:style w:type="paragraph" w:styleId="TOC9">
    <w:name w:val="toc 9"/>
    <w:basedOn w:val="Normal"/>
    <w:next w:val="Normal"/>
    <w:autoRedefine/>
    <w:uiPriority w:val="39"/>
    <w:unhideWhenUsed/>
    <w:rsid w:val="00882309"/>
    <w:pPr>
      <w:ind w:left="1440"/>
    </w:pPr>
    <w:rPr>
      <w:rFonts w:asciiTheme="minorHAnsi" w:hAnsiTheme="minorHAnsi"/>
      <w:szCs w:val="18"/>
    </w:rPr>
  </w:style>
  <w:style w:type="character" w:styleId="FootnoteReference">
    <w:name w:val="footnote reference"/>
    <w:basedOn w:val="DefaultParagraphFont"/>
    <w:uiPriority w:val="99"/>
    <w:semiHidden/>
    <w:unhideWhenUsed/>
    <w:rsid w:val="00380458"/>
    <w:rPr>
      <w:vertAlign w:val="superscript"/>
    </w:rPr>
  </w:style>
  <w:style w:type="paragraph" w:styleId="NoSpacing">
    <w:name w:val="No Spacing"/>
    <w:aliases w:val="voetnoten thesis"/>
    <w:uiPriority w:val="1"/>
    <w:qFormat/>
    <w:rsid w:val="00380458"/>
    <w:pPr>
      <w:jc w:val="both"/>
    </w:pPr>
    <w:rPr>
      <w:rFonts w:ascii="Verdana" w:hAnsi="Verdana"/>
      <w:sz w:val="16"/>
      <w:szCs w:val="16"/>
    </w:rPr>
  </w:style>
  <w:style w:type="character" w:styleId="CommentReference">
    <w:name w:val="annotation reference"/>
    <w:basedOn w:val="DefaultParagraphFont"/>
    <w:uiPriority w:val="99"/>
    <w:semiHidden/>
    <w:unhideWhenUsed/>
    <w:rsid w:val="00F919B1"/>
    <w:rPr>
      <w:sz w:val="16"/>
      <w:szCs w:val="16"/>
    </w:rPr>
  </w:style>
  <w:style w:type="paragraph" w:styleId="CommentText">
    <w:name w:val="annotation text"/>
    <w:basedOn w:val="Normal"/>
    <w:link w:val="CommentTextChar"/>
    <w:uiPriority w:val="99"/>
    <w:unhideWhenUsed/>
    <w:rsid w:val="00F919B1"/>
    <w:rPr>
      <w:sz w:val="20"/>
      <w:szCs w:val="20"/>
    </w:rPr>
  </w:style>
  <w:style w:type="character" w:customStyle="1" w:styleId="CommentTextChar">
    <w:name w:val="Comment Text Char"/>
    <w:basedOn w:val="DefaultParagraphFont"/>
    <w:link w:val="CommentText"/>
    <w:uiPriority w:val="99"/>
    <w:rsid w:val="00F919B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919B1"/>
    <w:rPr>
      <w:b/>
      <w:bCs/>
    </w:rPr>
  </w:style>
  <w:style w:type="character" w:customStyle="1" w:styleId="CommentSubjectChar">
    <w:name w:val="Comment Subject Char"/>
    <w:basedOn w:val="CommentTextChar"/>
    <w:link w:val="CommentSubject"/>
    <w:uiPriority w:val="99"/>
    <w:semiHidden/>
    <w:rsid w:val="00F919B1"/>
    <w:rPr>
      <w:rFonts w:ascii="Verdana" w:hAnsi="Verdana"/>
      <w:b/>
      <w:bCs/>
      <w:sz w:val="20"/>
      <w:szCs w:val="20"/>
    </w:rPr>
  </w:style>
  <w:style w:type="paragraph" w:styleId="BalloonText">
    <w:name w:val="Balloon Text"/>
    <w:basedOn w:val="Normal"/>
    <w:link w:val="BalloonTextChar"/>
    <w:uiPriority w:val="99"/>
    <w:semiHidden/>
    <w:unhideWhenUsed/>
    <w:rsid w:val="00F919B1"/>
    <w:rPr>
      <w:szCs w:val="18"/>
    </w:rPr>
  </w:style>
  <w:style w:type="character" w:customStyle="1" w:styleId="BalloonTextChar">
    <w:name w:val="Balloon Text Char"/>
    <w:basedOn w:val="DefaultParagraphFont"/>
    <w:link w:val="BalloonText"/>
    <w:uiPriority w:val="99"/>
    <w:semiHidden/>
    <w:rsid w:val="00F919B1"/>
    <w:rPr>
      <w:rFonts w:ascii="Times New Roman" w:hAnsi="Times New Roman"/>
      <w:sz w:val="18"/>
      <w:szCs w:val="18"/>
    </w:rPr>
  </w:style>
  <w:style w:type="paragraph" w:styleId="FootnoteText">
    <w:name w:val="footnote text"/>
    <w:basedOn w:val="Normal"/>
    <w:link w:val="FootnoteTextChar"/>
    <w:uiPriority w:val="99"/>
    <w:unhideWhenUsed/>
    <w:rsid w:val="00F6414E"/>
    <w:rPr>
      <w:sz w:val="20"/>
      <w:szCs w:val="20"/>
    </w:rPr>
  </w:style>
  <w:style w:type="character" w:customStyle="1" w:styleId="FootnoteTextChar">
    <w:name w:val="Footnote Text Char"/>
    <w:basedOn w:val="DefaultParagraphFont"/>
    <w:link w:val="FootnoteText"/>
    <w:uiPriority w:val="99"/>
    <w:rsid w:val="00F6414E"/>
    <w:rPr>
      <w:rFonts w:ascii="Verdana" w:hAnsi="Verdana"/>
      <w:sz w:val="20"/>
      <w:szCs w:val="20"/>
      <w:lang w:val="nl-BE"/>
    </w:rPr>
  </w:style>
  <w:style w:type="table" w:styleId="TableGrid">
    <w:name w:val="Table Grid"/>
    <w:basedOn w:val="TableNormal"/>
    <w:uiPriority w:val="39"/>
    <w:rsid w:val="00D546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5462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940A65"/>
    <w:pPr>
      <w:tabs>
        <w:tab w:val="center" w:pos="4536"/>
        <w:tab w:val="right" w:pos="9072"/>
      </w:tabs>
    </w:pPr>
  </w:style>
  <w:style w:type="character" w:customStyle="1" w:styleId="HeaderChar">
    <w:name w:val="Header Char"/>
    <w:basedOn w:val="DefaultParagraphFont"/>
    <w:link w:val="Header"/>
    <w:uiPriority w:val="99"/>
    <w:rsid w:val="00940A65"/>
    <w:rPr>
      <w:rFonts w:ascii="Verdana" w:hAnsi="Verdana"/>
      <w:sz w:val="18"/>
    </w:rPr>
  </w:style>
  <w:style w:type="paragraph" w:styleId="Footer">
    <w:name w:val="footer"/>
    <w:basedOn w:val="Normal"/>
    <w:link w:val="FooterChar"/>
    <w:uiPriority w:val="99"/>
    <w:unhideWhenUsed/>
    <w:rsid w:val="00940A65"/>
    <w:pPr>
      <w:tabs>
        <w:tab w:val="center" w:pos="4536"/>
        <w:tab w:val="right" w:pos="9072"/>
      </w:tabs>
    </w:pPr>
  </w:style>
  <w:style w:type="character" w:customStyle="1" w:styleId="FooterChar">
    <w:name w:val="Footer Char"/>
    <w:basedOn w:val="DefaultParagraphFont"/>
    <w:link w:val="Footer"/>
    <w:uiPriority w:val="99"/>
    <w:rsid w:val="00940A65"/>
    <w:rPr>
      <w:rFonts w:ascii="Verdana" w:hAnsi="Verdana"/>
      <w:sz w:val="18"/>
    </w:rPr>
  </w:style>
  <w:style w:type="paragraph" w:styleId="NormalWeb">
    <w:name w:val="Normal (Web)"/>
    <w:basedOn w:val="Normal"/>
    <w:uiPriority w:val="99"/>
    <w:unhideWhenUsed/>
    <w:rsid w:val="00AA79DA"/>
    <w:pPr>
      <w:spacing w:before="100" w:beforeAutospacing="1" w:after="100" w:afterAutospacing="1"/>
    </w:pPr>
  </w:style>
  <w:style w:type="character" w:styleId="UnresolvedMention">
    <w:name w:val="Unresolved Mention"/>
    <w:basedOn w:val="DefaultParagraphFont"/>
    <w:uiPriority w:val="99"/>
    <w:rsid w:val="00A76583"/>
    <w:rPr>
      <w:color w:val="605E5C"/>
      <w:shd w:val="clear" w:color="auto" w:fill="E1DFDD"/>
    </w:rPr>
  </w:style>
  <w:style w:type="table" w:styleId="GridTable5Dark-Accent3">
    <w:name w:val="Grid Table 5 Dark Accent 3"/>
    <w:basedOn w:val="TableNormal"/>
    <w:uiPriority w:val="50"/>
    <w:rsid w:val="001430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6C32E3"/>
    <w:rPr>
      <w:color w:val="954F72" w:themeColor="followedHyperlink"/>
      <w:u w:val="single"/>
    </w:rPr>
  </w:style>
  <w:style w:type="character" w:styleId="PageNumber">
    <w:name w:val="page number"/>
    <w:basedOn w:val="DefaultParagraphFont"/>
    <w:uiPriority w:val="99"/>
    <w:semiHidden/>
    <w:unhideWhenUsed/>
    <w:rsid w:val="001714DD"/>
  </w:style>
  <w:style w:type="paragraph" w:styleId="Revision">
    <w:name w:val="Revision"/>
    <w:hidden/>
    <w:uiPriority w:val="99"/>
    <w:semiHidden/>
    <w:rsid w:val="00721408"/>
    <w:rPr>
      <w:rFonts w:ascii="Verdana" w:eastAsia="Times New Roman" w:hAnsi="Verdana" w:cs="Times New Roman"/>
      <w:sz w:val="18"/>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3895">
      <w:bodyDiv w:val="1"/>
      <w:marLeft w:val="0"/>
      <w:marRight w:val="0"/>
      <w:marTop w:val="0"/>
      <w:marBottom w:val="0"/>
      <w:divBdr>
        <w:top w:val="none" w:sz="0" w:space="0" w:color="auto"/>
        <w:left w:val="none" w:sz="0" w:space="0" w:color="auto"/>
        <w:bottom w:val="none" w:sz="0" w:space="0" w:color="auto"/>
        <w:right w:val="none" w:sz="0" w:space="0" w:color="auto"/>
      </w:divBdr>
      <w:divsChild>
        <w:div w:id="2093698577">
          <w:marLeft w:val="0"/>
          <w:marRight w:val="0"/>
          <w:marTop w:val="0"/>
          <w:marBottom w:val="0"/>
          <w:divBdr>
            <w:top w:val="none" w:sz="0" w:space="0" w:color="auto"/>
            <w:left w:val="none" w:sz="0" w:space="0" w:color="auto"/>
            <w:bottom w:val="none" w:sz="0" w:space="0" w:color="auto"/>
            <w:right w:val="none" w:sz="0" w:space="0" w:color="auto"/>
          </w:divBdr>
          <w:divsChild>
            <w:div w:id="1493179290">
              <w:marLeft w:val="0"/>
              <w:marRight w:val="0"/>
              <w:marTop w:val="0"/>
              <w:marBottom w:val="0"/>
              <w:divBdr>
                <w:top w:val="none" w:sz="0" w:space="0" w:color="auto"/>
                <w:left w:val="none" w:sz="0" w:space="0" w:color="auto"/>
                <w:bottom w:val="none" w:sz="0" w:space="0" w:color="auto"/>
                <w:right w:val="none" w:sz="0" w:space="0" w:color="auto"/>
              </w:divBdr>
              <w:divsChild>
                <w:div w:id="1005085742">
                  <w:marLeft w:val="0"/>
                  <w:marRight w:val="0"/>
                  <w:marTop w:val="0"/>
                  <w:marBottom w:val="0"/>
                  <w:divBdr>
                    <w:top w:val="none" w:sz="0" w:space="0" w:color="auto"/>
                    <w:left w:val="none" w:sz="0" w:space="0" w:color="auto"/>
                    <w:bottom w:val="none" w:sz="0" w:space="0" w:color="auto"/>
                    <w:right w:val="none" w:sz="0" w:space="0" w:color="auto"/>
                  </w:divBdr>
                  <w:divsChild>
                    <w:div w:id="81121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00790">
      <w:bodyDiv w:val="1"/>
      <w:marLeft w:val="0"/>
      <w:marRight w:val="0"/>
      <w:marTop w:val="0"/>
      <w:marBottom w:val="0"/>
      <w:divBdr>
        <w:top w:val="none" w:sz="0" w:space="0" w:color="auto"/>
        <w:left w:val="none" w:sz="0" w:space="0" w:color="auto"/>
        <w:bottom w:val="none" w:sz="0" w:space="0" w:color="auto"/>
        <w:right w:val="none" w:sz="0" w:space="0" w:color="auto"/>
      </w:divBdr>
    </w:div>
    <w:div w:id="114758418">
      <w:bodyDiv w:val="1"/>
      <w:marLeft w:val="0"/>
      <w:marRight w:val="0"/>
      <w:marTop w:val="0"/>
      <w:marBottom w:val="0"/>
      <w:divBdr>
        <w:top w:val="none" w:sz="0" w:space="0" w:color="auto"/>
        <w:left w:val="none" w:sz="0" w:space="0" w:color="auto"/>
        <w:bottom w:val="none" w:sz="0" w:space="0" w:color="auto"/>
        <w:right w:val="none" w:sz="0" w:space="0" w:color="auto"/>
      </w:divBdr>
    </w:div>
    <w:div w:id="188835890">
      <w:bodyDiv w:val="1"/>
      <w:marLeft w:val="0"/>
      <w:marRight w:val="0"/>
      <w:marTop w:val="0"/>
      <w:marBottom w:val="0"/>
      <w:divBdr>
        <w:top w:val="none" w:sz="0" w:space="0" w:color="auto"/>
        <w:left w:val="none" w:sz="0" w:space="0" w:color="auto"/>
        <w:bottom w:val="none" w:sz="0" w:space="0" w:color="auto"/>
        <w:right w:val="none" w:sz="0" w:space="0" w:color="auto"/>
      </w:divBdr>
    </w:div>
    <w:div w:id="204564317">
      <w:bodyDiv w:val="1"/>
      <w:marLeft w:val="0"/>
      <w:marRight w:val="0"/>
      <w:marTop w:val="0"/>
      <w:marBottom w:val="0"/>
      <w:divBdr>
        <w:top w:val="none" w:sz="0" w:space="0" w:color="auto"/>
        <w:left w:val="none" w:sz="0" w:space="0" w:color="auto"/>
        <w:bottom w:val="none" w:sz="0" w:space="0" w:color="auto"/>
        <w:right w:val="none" w:sz="0" w:space="0" w:color="auto"/>
      </w:divBdr>
    </w:div>
    <w:div w:id="220211145">
      <w:bodyDiv w:val="1"/>
      <w:marLeft w:val="0"/>
      <w:marRight w:val="0"/>
      <w:marTop w:val="0"/>
      <w:marBottom w:val="0"/>
      <w:divBdr>
        <w:top w:val="none" w:sz="0" w:space="0" w:color="auto"/>
        <w:left w:val="none" w:sz="0" w:space="0" w:color="auto"/>
        <w:bottom w:val="none" w:sz="0" w:space="0" w:color="auto"/>
        <w:right w:val="none" w:sz="0" w:space="0" w:color="auto"/>
      </w:divBdr>
    </w:div>
    <w:div w:id="223028218">
      <w:bodyDiv w:val="1"/>
      <w:marLeft w:val="0"/>
      <w:marRight w:val="0"/>
      <w:marTop w:val="0"/>
      <w:marBottom w:val="0"/>
      <w:divBdr>
        <w:top w:val="none" w:sz="0" w:space="0" w:color="auto"/>
        <w:left w:val="none" w:sz="0" w:space="0" w:color="auto"/>
        <w:bottom w:val="none" w:sz="0" w:space="0" w:color="auto"/>
        <w:right w:val="none" w:sz="0" w:space="0" w:color="auto"/>
      </w:divBdr>
    </w:div>
    <w:div w:id="297227961">
      <w:bodyDiv w:val="1"/>
      <w:marLeft w:val="0"/>
      <w:marRight w:val="0"/>
      <w:marTop w:val="0"/>
      <w:marBottom w:val="0"/>
      <w:divBdr>
        <w:top w:val="none" w:sz="0" w:space="0" w:color="auto"/>
        <w:left w:val="none" w:sz="0" w:space="0" w:color="auto"/>
        <w:bottom w:val="none" w:sz="0" w:space="0" w:color="auto"/>
        <w:right w:val="none" w:sz="0" w:space="0" w:color="auto"/>
      </w:divBdr>
    </w:div>
    <w:div w:id="306906231">
      <w:bodyDiv w:val="1"/>
      <w:marLeft w:val="0"/>
      <w:marRight w:val="0"/>
      <w:marTop w:val="0"/>
      <w:marBottom w:val="0"/>
      <w:divBdr>
        <w:top w:val="none" w:sz="0" w:space="0" w:color="auto"/>
        <w:left w:val="none" w:sz="0" w:space="0" w:color="auto"/>
        <w:bottom w:val="none" w:sz="0" w:space="0" w:color="auto"/>
        <w:right w:val="none" w:sz="0" w:space="0" w:color="auto"/>
      </w:divBdr>
      <w:divsChild>
        <w:div w:id="99683796">
          <w:marLeft w:val="0"/>
          <w:marRight w:val="0"/>
          <w:marTop w:val="0"/>
          <w:marBottom w:val="0"/>
          <w:divBdr>
            <w:top w:val="none" w:sz="0" w:space="0" w:color="auto"/>
            <w:left w:val="none" w:sz="0" w:space="0" w:color="auto"/>
            <w:bottom w:val="none" w:sz="0" w:space="0" w:color="auto"/>
            <w:right w:val="none" w:sz="0" w:space="0" w:color="auto"/>
          </w:divBdr>
          <w:divsChild>
            <w:div w:id="1532110317">
              <w:marLeft w:val="0"/>
              <w:marRight w:val="0"/>
              <w:marTop w:val="0"/>
              <w:marBottom w:val="0"/>
              <w:divBdr>
                <w:top w:val="none" w:sz="0" w:space="0" w:color="auto"/>
                <w:left w:val="none" w:sz="0" w:space="0" w:color="auto"/>
                <w:bottom w:val="none" w:sz="0" w:space="0" w:color="auto"/>
                <w:right w:val="none" w:sz="0" w:space="0" w:color="auto"/>
              </w:divBdr>
              <w:divsChild>
                <w:div w:id="108156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289927">
      <w:bodyDiv w:val="1"/>
      <w:marLeft w:val="0"/>
      <w:marRight w:val="0"/>
      <w:marTop w:val="0"/>
      <w:marBottom w:val="0"/>
      <w:divBdr>
        <w:top w:val="none" w:sz="0" w:space="0" w:color="auto"/>
        <w:left w:val="none" w:sz="0" w:space="0" w:color="auto"/>
        <w:bottom w:val="none" w:sz="0" w:space="0" w:color="auto"/>
        <w:right w:val="none" w:sz="0" w:space="0" w:color="auto"/>
      </w:divBdr>
    </w:div>
    <w:div w:id="357048705">
      <w:bodyDiv w:val="1"/>
      <w:marLeft w:val="0"/>
      <w:marRight w:val="0"/>
      <w:marTop w:val="0"/>
      <w:marBottom w:val="0"/>
      <w:divBdr>
        <w:top w:val="none" w:sz="0" w:space="0" w:color="auto"/>
        <w:left w:val="none" w:sz="0" w:space="0" w:color="auto"/>
        <w:bottom w:val="none" w:sz="0" w:space="0" w:color="auto"/>
        <w:right w:val="none" w:sz="0" w:space="0" w:color="auto"/>
      </w:divBdr>
      <w:divsChild>
        <w:div w:id="532229714">
          <w:marLeft w:val="0"/>
          <w:marRight w:val="0"/>
          <w:marTop w:val="0"/>
          <w:marBottom w:val="0"/>
          <w:divBdr>
            <w:top w:val="none" w:sz="0" w:space="0" w:color="auto"/>
            <w:left w:val="none" w:sz="0" w:space="0" w:color="auto"/>
            <w:bottom w:val="none" w:sz="0" w:space="0" w:color="auto"/>
            <w:right w:val="none" w:sz="0" w:space="0" w:color="auto"/>
          </w:divBdr>
          <w:divsChild>
            <w:div w:id="2085763610">
              <w:marLeft w:val="0"/>
              <w:marRight w:val="0"/>
              <w:marTop w:val="0"/>
              <w:marBottom w:val="0"/>
              <w:divBdr>
                <w:top w:val="none" w:sz="0" w:space="0" w:color="auto"/>
                <w:left w:val="none" w:sz="0" w:space="0" w:color="auto"/>
                <w:bottom w:val="none" w:sz="0" w:space="0" w:color="auto"/>
                <w:right w:val="none" w:sz="0" w:space="0" w:color="auto"/>
              </w:divBdr>
              <w:divsChild>
                <w:div w:id="195979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721601">
      <w:bodyDiv w:val="1"/>
      <w:marLeft w:val="0"/>
      <w:marRight w:val="0"/>
      <w:marTop w:val="0"/>
      <w:marBottom w:val="0"/>
      <w:divBdr>
        <w:top w:val="none" w:sz="0" w:space="0" w:color="auto"/>
        <w:left w:val="none" w:sz="0" w:space="0" w:color="auto"/>
        <w:bottom w:val="none" w:sz="0" w:space="0" w:color="auto"/>
        <w:right w:val="none" w:sz="0" w:space="0" w:color="auto"/>
      </w:divBdr>
      <w:divsChild>
        <w:div w:id="627930207">
          <w:marLeft w:val="0"/>
          <w:marRight w:val="0"/>
          <w:marTop w:val="0"/>
          <w:marBottom w:val="0"/>
          <w:divBdr>
            <w:top w:val="none" w:sz="0" w:space="0" w:color="auto"/>
            <w:left w:val="none" w:sz="0" w:space="0" w:color="auto"/>
            <w:bottom w:val="none" w:sz="0" w:space="0" w:color="auto"/>
            <w:right w:val="none" w:sz="0" w:space="0" w:color="auto"/>
          </w:divBdr>
          <w:divsChild>
            <w:div w:id="1996687498">
              <w:marLeft w:val="0"/>
              <w:marRight w:val="0"/>
              <w:marTop w:val="0"/>
              <w:marBottom w:val="0"/>
              <w:divBdr>
                <w:top w:val="none" w:sz="0" w:space="0" w:color="auto"/>
                <w:left w:val="none" w:sz="0" w:space="0" w:color="auto"/>
                <w:bottom w:val="none" w:sz="0" w:space="0" w:color="auto"/>
                <w:right w:val="none" w:sz="0" w:space="0" w:color="auto"/>
              </w:divBdr>
              <w:divsChild>
                <w:div w:id="3408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56629">
      <w:bodyDiv w:val="1"/>
      <w:marLeft w:val="0"/>
      <w:marRight w:val="0"/>
      <w:marTop w:val="0"/>
      <w:marBottom w:val="0"/>
      <w:divBdr>
        <w:top w:val="none" w:sz="0" w:space="0" w:color="auto"/>
        <w:left w:val="none" w:sz="0" w:space="0" w:color="auto"/>
        <w:bottom w:val="none" w:sz="0" w:space="0" w:color="auto"/>
        <w:right w:val="none" w:sz="0" w:space="0" w:color="auto"/>
      </w:divBdr>
    </w:div>
    <w:div w:id="427435037">
      <w:bodyDiv w:val="1"/>
      <w:marLeft w:val="0"/>
      <w:marRight w:val="0"/>
      <w:marTop w:val="0"/>
      <w:marBottom w:val="0"/>
      <w:divBdr>
        <w:top w:val="none" w:sz="0" w:space="0" w:color="auto"/>
        <w:left w:val="none" w:sz="0" w:space="0" w:color="auto"/>
        <w:bottom w:val="none" w:sz="0" w:space="0" w:color="auto"/>
        <w:right w:val="none" w:sz="0" w:space="0" w:color="auto"/>
      </w:divBdr>
    </w:div>
    <w:div w:id="456606315">
      <w:bodyDiv w:val="1"/>
      <w:marLeft w:val="0"/>
      <w:marRight w:val="0"/>
      <w:marTop w:val="0"/>
      <w:marBottom w:val="0"/>
      <w:divBdr>
        <w:top w:val="none" w:sz="0" w:space="0" w:color="auto"/>
        <w:left w:val="none" w:sz="0" w:space="0" w:color="auto"/>
        <w:bottom w:val="none" w:sz="0" w:space="0" w:color="auto"/>
        <w:right w:val="none" w:sz="0" w:space="0" w:color="auto"/>
      </w:divBdr>
    </w:div>
    <w:div w:id="461386984">
      <w:bodyDiv w:val="1"/>
      <w:marLeft w:val="0"/>
      <w:marRight w:val="0"/>
      <w:marTop w:val="0"/>
      <w:marBottom w:val="0"/>
      <w:divBdr>
        <w:top w:val="none" w:sz="0" w:space="0" w:color="auto"/>
        <w:left w:val="none" w:sz="0" w:space="0" w:color="auto"/>
        <w:bottom w:val="none" w:sz="0" w:space="0" w:color="auto"/>
        <w:right w:val="none" w:sz="0" w:space="0" w:color="auto"/>
      </w:divBdr>
    </w:div>
    <w:div w:id="518085656">
      <w:bodyDiv w:val="1"/>
      <w:marLeft w:val="0"/>
      <w:marRight w:val="0"/>
      <w:marTop w:val="0"/>
      <w:marBottom w:val="0"/>
      <w:divBdr>
        <w:top w:val="none" w:sz="0" w:space="0" w:color="auto"/>
        <w:left w:val="none" w:sz="0" w:space="0" w:color="auto"/>
        <w:bottom w:val="none" w:sz="0" w:space="0" w:color="auto"/>
        <w:right w:val="none" w:sz="0" w:space="0" w:color="auto"/>
      </w:divBdr>
      <w:divsChild>
        <w:div w:id="284695741">
          <w:marLeft w:val="0"/>
          <w:marRight w:val="0"/>
          <w:marTop w:val="0"/>
          <w:marBottom w:val="0"/>
          <w:divBdr>
            <w:top w:val="none" w:sz="0" w:space="0" w:color="auto"/>
            <w:left w:val="none" w:sz="0" w:space="0" w:color="auto"/>
            <w:bottom w:val="none" w:sz="0" w:space="0" w:color="auto"/>
            <w:right w:val="none" w:sz="0" w:space="0" w:color="auto"/>
          </w:divBdr>
          <w:divsChild>
            <w:div w:id="2117749969">
              <w:marLeft w:val="0"/>
              <w:marRight w:val="0"/>
              <w:marTop w:val="0"/>
              <w:marBottom w:val="0"/>
              <w:divBdr>
                <w:top w:val="none" w:sz="0" w:space="0" w:color="auto"/>
                <w:left w:val="none" w:sz="0" w:space="0" w:color="auto"/>
                <w:bottom w:val="none" w:sz="0" w:space="0" w:color="auto"/>
                <w:right w:val="none" w:sz="0" w:space="0" w:color="auto"/>
              </w:divBdr>
              <w:divsChild>
                <w:div w:id="142908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964356">
      <w:bodyDiv w:val="1"/>
      <w:marLeft w:val="0"/>
      <w:marRight w:val="0"/>
      <w:marTop w:val="0"/>
      <w:marBottom w:val="0"/>
      <w:divBdr>
        <w:top w:val="none" w:sz="0" w:space="0" w:color="auto"/>
        <w:left w:val="none" w:sz="0" w:space="0" w:color="auto"/>
        <w:bottom w:val="none" w:sz="0" w:space="0" w:color="auto"/>
        <w:right w:val="none" w:sz="0" w:space="0" w:color="auto"/>
      </w:divBdr>
    </w:div>
    <w:div w:id="538974357">
      <w:bodyDiv w:val="1"/>
      <w:marLeft w:val="0"/>
      <w:marRight w:val="0"/>
      <w:marTop w:val="0"/>
      <w:marBottom w:val="0"/>
      <w:divBdr>
        <w:top w:val="none" w:sz="0" w:space="0" w:color="auto"/>
        <w:left w:val="none" w:sz="0" w:space="0" w:color="auto"/>
        <w:bottom w:val="none" w:sz="0" w:space="0" w:color="auto"/>
        <w:right w:val="none" w:sz="0" w:space="0" w:color="auto"/>
      </w:divBdr>
      <w:divsChild>
        <w:div w:id="1152716802">
          <w:marLeft w:val="0"/>
          <w:marRight w:val="0"/>
          <w:marTop w:val="0"/>
          <w:marBottom w:val="0"/>
          <w:divBdr>
            <w:top w:val="none" w:sz="0" w:space="0" w:color="auto"/>
            <w:left w:val="none" w:sz="0" w:space="0" w:color="auto"/>
            <w:bottom w:val="none" w:sz="0" w:space="0" w:color="auto"/>
            <w:right w:val="none" w:sz="0" w:space="0" w:color="auto"/>
          </w:divBdr>
          <w:divsChild>
            <w:div w:id="1544174755">
              <w:marLeft w:val="0"/>
              <w:marRight w:val="0"/>
              <w:marTop w:val="0"/>
              <w:marBottom w:val="0"/>
              <w:divBdr>
                <w:top w:val="none" w:sz="0" w:space="0" w:color="auto"/>
                <w:left w:val="none" w:sz="0" w:space="0" w:color="auto"/>
                <w:bottom w:val="none" w:sz="0" w:space="0" w:color="auto"/>
                <w:right w:val="none" w:sz="0" w:space="0" w:color="auto"/>
              </w:divBdr>
              <w:divsChild>
                <w:div w:id="638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456">
      <w:bodyDiv w:val="1"/>
      <w:marLeft w:val="0"/>
      <w:marRight w:val="0"/>
      <w:marTop w:val="0"/>
      <w:marBottom w:val="0"/>
      <w:divBdr>
        <w:top w:val="none" w:sz="0" w:space="0" w:color="auto"/>
        <w:left w:val="none" w:sz="0" w:space="0" w:color="auto"/>
        <w:bottom w:val="none" w:sz="0" w:space="0" w:color="auto"/>
        <w:right w:val="none" w:sz="0" w:space="0" w:color="auto"/>
      </w:divBdr>
    </w:div>
    <w:div w:id="577788921">
      <w:bodyDiv w:val="1"/>
      <w:marLeft w:val="0"/>
      <w:marRight w:val="0"/>
      <w:marTop w:val="0"/>
      <w:marBottom w:val="0"/>
      <w:divBdr>
        <w:top w:val="none" w:sz="0" w:space="0" w:color="auto"/>
        <w:left w:val="none" w:sz="0" w:space="0" w:color="auto"/>
        <w:bottom w:val="none" w:sz="0" w:space="0" w:color="auto"/>
        <w:right w:val="none" w:sz="0" w:space="0" w:color="auto"/>
      </w:divBdr>
    </w:div>
    <w:div w:id="603269507">
      <w:bodyDiv w:val="1"/>
      <w:marLeft w:val="0"/>
      <w:marRight w:val="0"/>
      <w:marTop w:val="0"/>
      <w:marBottom w:val="0"/>
      <w:divBdr>
        <w:top w:val="none" w:sz="0" w:space="0" w:color="auto"/>
        <w:left w:val="none" w:sz="0" w:space="0" w:color="auto"/>
        <w:bottom w:val="none" w:sz="0" w:space="0" w:color="auto"/>
        <w:right w:val="none" w:sz="0" w:space="0" w:color="auto"/>
      </w:divBdr>
    </w:div>
    <w:div w:id="636226900">
      <w:bodyDiv w:val="1"/>
      <w:marLeft w:val="0"/>
      <w:marRight w:val="0"/>
      <w:marTop w:val="0"/>
      <w:marBottom w:val="0"/>
      <w:divBdr>
        <w:top w:val="none" w:sz="0" w:space="0" w:color="auto"/>
        <w:left w:val="none" w:sz="0" w:space="0" w:color="auto"/>
        <w:bottom w:val="none" w:sz="0" w:space="0" w:color="auto"/>
        <w:right w:val="none" w:sz="0" w:space="0" w:color="auto"/>
      </w:divBdr>
    </w:div>
    <w:div w:id="637150836">
      <w:bodyDiv w:val="1"/>
      <w:marLeft w:val="0"/>
      <w:marRight w:val="0"/>
      <w:marTop w:val="0"/>
      <w:marBottom w:val="0"/>
      <w:divBdr>
        <w:top w:val="none" w:sz="0" w:space="0" w:color="auto"/>
        <w:left w:val="none" w:sz="0" w:space="0" w:color="auto"/>
        <w:bottom w:val="none" w:sz="0" w:space="0" w:color="auto"/>
        <w:right w:val="none" w:sz="0" w:space="0" w:color="auto"/>
      </w:divBdr>
    </w:div>
    <w:div w:id="669328352">
      <w:bodyDiv w:val="1"/>
      <w:marLeft w:val="0"/>
      <w:marRight w:val="0"/>
      <w:marTop w:val="0"/>
      <w:marBottom w:val="0"/>
      <w:divBdr>
        <w:top w:val="none" w:sz="0" w:space="0" w:color="auto"/>
        <w:left w:val="none" w:sz="0" w:space="0" w:color="auto"/>
        <w:bottom w:val="none" w:sz="0" w:space="0" w:color="auto"/>
        <w:right w:val="none" w:sz="0" w:space="0" w:color="auto"/>
      </w:divBdr>
    </w:div>
    <w:div w:id="677734989">
      <w:bodyDiv w:val="1"/>
      <w:marLeft w:val="0"/>
      <w:marRight w:val="0"/>
      <w:marTop w:val="0"/>
      <w:marBottom w:val="0"/>
      <w:divBdr>
        <w:top w:val="none" w:sz="0" w:space="0" w:color="auto"/>
        <w:left w:val="none" w:sz="0" w:space="0" w:color="auto"/>
        <w:bottom w:val="none" w:sz="0" w:space="0" w:color="auto"/>
        <w:right w:val="none" w:sz="0" w:space="0" w:color="auto"/>
      </w:divBdr>
    </w:div>
    <w:div w:id="682442490">
      <w:bodyDiv w:val="1"/>
      <w:marLeft w:val="0"/>
      <w:marRight w:val="0"/>
      <w:marTop w:val="0"/>
      <w:marBottom w:val="0"/>
      <w:divBdr>
        <w:top w:val="none" w:sz="0" w:space="0" w:color="auto"/>
        <w:left w:val="none" w:sz="0" w:space="0" w:color="auto"/>
        <w:bottom w:val="none" w:sz="0" w:space="0" w:color="auto"/>
        <w:right w:val="none" w:sz="0" w:space="0" w:color="auto"/>
      </w:divBdr>
    </w:div>
    <w:div w:id="686905044">
      <w:bodyDiv w:val="1"/>
      <w:marLeft w:val="0"/>
      <w:marRight w:val="0"/>
      <w:marTop w:val="0"/>
      <w:marBottom w:val="0"/>
      <w:divBdr>
        <w:top w:val="none" w:sz="0" w:space="0" w:color="auto"/>
        <w:left w:val="none" w:sz="0" w:space="0" w:color="auto"/>
        <w:bottom w:val="none" w:sz="0" w:space="0" w:color="auto"/>
        <w:right w:val="none" w:sz="0" w:space="0" w:color="auto"/>
      </w:divBdr>
    </w:div>
    <w:div w:id="722213669">
      <w:bodyDiv w:val="1"/>
      <w:marLeft w:val="0"/>
      <w:marRight w:val="0"/>
      <w:marTop w:val="0"/>
      <w:marBottom w:val="0"/>
      <w:divBdr>
        <w:top w:val="none" w:sz="0" w:space="0" w:color="auto"/>
        <w:left w:val="none" w:sz="0" w:space="0" w:color="auto"/>
        <w:bottom w:val="none" w:sz="0" w:space="0" w:color="auto"/>
        <w:right w:val="none" w:sz="0" w:space="0" w:color="auto"/>
      </w:divBdr>
    </w:div>
    <w:div w:id="723868839">
      <w:bodyDiv w:val="1"/>
      <w:marLeft w:val="0"/>
      <w:marRight w:val="0"/>
      <w:marTop w:val="0"/>
      <w:marBottom w:val="0"/>
      <w:divBdr>
        <w:top w:val="none" w:sz="0" w:space="0" w:color="auto"/>
        <w:left w:val="none" w:sz="0" w:space="0" w:color="auto"/>
        <w:bottom w:val="none" w:sz="0" w:space="0" w:color="auto"/>
        <w:right w:val="none" w:sz="0" w:space="0" w:color="auto"/>
      </w:divBdr>
    </w:div>
    <w:div w:id="725878221">
      <w:bodyDiv w:val="1"/>
      <w:marLeft w:val="0"/>
      <w:marRight w:val="0"/>
      <w:marTop w:val="0"/>
      <w:marBottom w:val="0"/>
      <w:divBdr>
        <w:top w:val="none" w:sz="0" w:space="0" w:color="auto"/>
        <w:left w:val="none" w:sz="0" w:space="0" w:color="auto"/>
        <w:bottom w:val="none" w:sz="0" w:space="0" w:color="auto"/>
        <w:right w:val="none" w:sz="0" w:space="0" w:color="auto"/>
      </w:divBdr>
    </w:div>
    <w:div w:id="729886583">
      <w:bodyDiv w:val="1"/>
      <w:marLeft w:val="0"/>
      <w:marRight w:val="0"/>
      <w:marTop w:val="0"/>
      <w:marBottom w:val="0"/>
      <w:divBdr>
        <w:top w:val="none" w:sz="0" w:space="0" w:color="auto"/>
        <w:left w:val="none" w:sz="0" w:space="0" w:color="auto"/>
        <w:bottom w:val="none" w:sz="0" w:space="0" w:color="auto"/>
        <w:right w:val="none" w:sz="0" w:space="0" w:color="auto"/>
      </w:divBdr>
      <w:divsChild>
        <w:div w:id="564755993">
          <w:marLeft w:val="0"/>
          <w:marRight w:val="0"/>
          <w:marTop w:val="0"/>
          <w:marBottom w:val="0"/>
          <w:divBdr>
            <w:top w:val="none" w:sz="0" w:space="0" w:color="auto"/>
            <w:left w:val="none" w:sz="0" w:space="0" w:color="auto"/>
            <w:bottom w:val="none" w:sz="0" w:space="0" w:color="auto"/>
            <w:right w:val="none" w:sz="0" w:space="0" w:color="auto"/>
          </w:divBdr>
        </w:div>
      </w:divsChild>
    </w:div>
    <w:div w:id="733354137">
      <w:bodyDiv w:val="1"/>
      <w:marLeft w:val="0"/>
      <w:marRight w:val="0"/>
      <w:marTop w:val="0"/>
      <w:marBottom w:val="0"/>
      <w:divBdr>
        <w:top w:val="none" w:sz="0" w:space="0" w:color="auto"/>
        <w:left w:val="none" w:sz="0" w:space="0" w:color="auto"/>
        <w:bottom w:val="none" w:sz="0" w:space="0" w:color="auto"/>
        <w:right w:val="none" w:sz="0" w:space="0" w:color="auto"/>
      </w:divBdr>
    </w:div>
    <w:div w:id="750808527">
      <w:bodyDiv w:val="1"/>
      <w:marLeft w:val="0"/>
      <w:marRight w:val="0"/>
      <w:marTop w:val="0"/>
      <w:marBottom w:val="0"/>
      <w:divBdr>
        <w:top w:val="none" w:sz="0" w:space="0" w:color="auto"/>
        <w:left w:val="none" w:sz="0" w:space="0" w:color="auto"/>
        <w:bottom w:val="none" w:sz="0" w:space="0" w:color="auto"/>
        <w:right w:val="none" w:sz="0" w:space="0" w:color="auto"/>
      </w:divBdr>
    </w:div>
    <w:div w:id="791440712">
      <w:bodyDiv w:val="1"/>
      <w:marLeft w:val="0"/>
      <w:marRight w:val="0"/>
      <w:marTop w:val="0"/>
      <w:marBottom w:val="0"/>
      <w:divBdr>
        <w:top w:val="none" w:sz="0" w:space="0" w:color="auto"/>
        <w:left w:val="none" w:sz="0" w:space="0" w:color="auto"/>
        <w:bottom w:val="none" w:sz="0" w:space="0" w:color="auto"/>
        <w:right w:val="none" w:sz="0" w:space="0" w:color="auto"/>
      </w:divBdr>
    </w:div>
    <w:div w:id="802575012">
      <w:bodyDiv w:val="1"/>
      <w:marLeft w:val="0"/>
      <w:marRight w:val="0"/>
      <w:marTop w:val="0"/>
      <w:marBottom w:val="0"/>
      <w:divBdr>
        <w:top w:val="none" w:sz="0" w:space="0" w:color="auto"/>
        <w:left w:val="none" w:sz="0" w:space="0" w:color="auto"/>
        <w:bottom w:val="none" w:sz="0" w:space="0" w:color="auto"/>
        <w:right w:val="none" w:sz="0" w:space="0" w:color="auto"/>
      </w:divBdr>
    </w:div>
    <w:div w:id="812064361">
      <w:bodyDiv w:val="1"/>
      <w:marLeft w:val="0"/>
      <w:marRight w:val="0"/>
      <w:marTop w:val="0"/>
      <w:marBottom w:val="0"/>
      <w:divBdr>
        <w:top w:val="none" w:sz="0" w:space="0" w:color="auto"/>
        <w:left w:val="none" w:sz="0" w:space="0" w:color="auto"/>
        <w:bottom w:val="none" w:sz="0" w:space="0" w:color="auto"/>
        <w:right w:val="none" w:sz="0" w:space="0" w:color="auto"/>
      </w:divBdr>
    </w:div>
    <w:div w:id="821388862">
      <w:bodyDiv w:val="1"/>
      <w:marLeft w:val="0"/>
      <w:marRight w:val="0"/>
      <w:marTop w:val="0"/>
      <w:marBottom w:val="0"/>
      <w:divBdr>
        <w:top w:val="none" w:sz="0" w:space="0" w:color="auto"/>
        <w:left w:val="none" w:sz="0" w:space="0" w:color="auto"/>
        <w:bottom w:val="none" w:sz="0" w:space="0" w:color="auto"/>
        <w:right w:val="none" w:sz="0" w:space="0" w:color="auto"/>
      </w:divBdr>
    </w:div>
    <w:div w:id="842741807">
      <w:bodyDiv w:val="1"/>
      <w:marLeft w:val="0"/>
      <w:marRight w:val="0"/>
      <w:marTop w:val="0"/>
      <w:marBottom w:val="0"/>
      <w:divBdr>
        <w:top w:val="none" w:sz="0" w:space="0" w:color="auto"/>
        <w:left w:val="none" w:sz="0" w:space="0" w:color="auto"/>
        <w:bottom w:val="none" w:sz="0" w:space="0" w:color="auto"/>
        <w:right w:val="none" w:sz="0" w:space="0" w:color="auto"/>
      </w:divBdr>
    </w:div>
    <w:div w:id="862405297">
      <w:bodyDiv w:val="1"/>
      <w:marLeft w:val="0"/>
      <w:marRight w:val="0"/>
      <w:marTop w:val="0"/>
      <w:marBottom w:val="0"/>
      <w:divBdr>
        <w:top w:val="none" w:sz="0" w:space="0" w:color="auto"/>
        <w:left w:val="none" w:sz="0" w:space="0" w:color="auto"/>
        <w:bottom w:val="none" w:sz="0" w:space="0" w:color="auto"/>
        <w:right w:val="none" w:sz="0" w:space="0" w:color="auto"/>
      </w:divBdr>
    </w:div>
    <w:div w:id="917599067">
      <w:bodyDiv w:val="1"/>
      <w:marLeft w:val="0"/>
      <w:marRight w:val="0"/>
      <w:marTop w:val="0"/>
      <w:marBottom w:val="0"/>
      <w:divBdr>
        <w:top w:val="none" w:sz="0" w:space="0" w:color="auto"/>
        <w:left w:val="none" w:sz="0" w:space="0" w:color="auto"/>
        <w:bottom w:val="none" w:sz="0" w:space="0" w:color="auto"/>
        <w:right w:val="none" w:sz="0" w:space="0" w:color="auto"/>
      </w:divBdr>
    </w:div>
    <w:div w:id="938835039">
      <w:bodyDiv w:val="1"/>
      <w:marLeft w:val="0"/>
      <w:marRight w:val="0"/>
      <w:marTop w:val="0"/>
      <w:marBottom w:val="0"/>
      <w:divBdr>
        <w:top w:val="none" w:sz="0" w:space="0" w:color="auto"/>
        <w:left w:val="none" w:sz="0" w:space="0" w:color="auto"/>
        <w:bottom w:val="none" w:sz="0" w:space="0" w:color="auto"/>
        <w:right w:val="none" w:sz="0" w:space="0" w:color="auto"/>
      </w:divBdr>
      <w:divsChild>
        <w:div w:id="647057358">
          <w:marLeft w:val="0"/>
          <w:marRight w:val="0"/>
          <w:marTop w:val="0"/>
          <w:marBottom w:val="0"/>
          <w:divBdr>
            <w:top w:val="none" w:sz="0" w:space="0" w:color="auto"/>
            <w:left w:val="none" w:sz="0" w:space="0" w:color="auto"/>
            <w:bottom w:val="none" w:sz="0" w:space="0" w:color="auto"/>
            <w:right w:val="none" w:sz="0" w:space="0" w:color="auto"/>
          </w:divBdr>
          <w:divsChild>
            <w:div w:id="815949909">
              <w:marLeft w:val="0"/>
              <w:marRight w:val="0"/>
              <w:marTop w:val="0"/>
              <w:marBottom w:val="0"/>
              <w:divBdr>
                <w:top w:val="none" w:sz="0" w:space="0" w:color="auto"/>
                <w:left w:val="none" w:sz="0" w:space="0" w:color="auto"/>
                <w:bottom w:val="none" w:sz="0" w:space="0" w:color="auto"/>
                <w:right w:val="none" w:sz="0" w:space="0" w:color="auto"/>
              </w:divBdr>
              <w:divsChild>
                <w:div w:id="600649592">
                  <w:marLeft w:val="0"/>
                  <w:marRight w:val="0"/>
                  <w:marTop w:val="0"/>
                  <w:marBottom w:val="0"/>
                  <w:divBdr>
                    <w:top w:val="none" w:sz="0" w:space="0" w:color="auto"/>
                    <w:left w:val="none" w:sz="0" w:space="0" w:color="auto"/>
                    <w:bottom w:val="none" w:sz="0" w:space="0" w:color="auto"/>
                    <w:right w:val="none" w:sz="0" w:space="0" w:color="auto"/>
                  </w:divBdr>
                  <w:divsChild>
                    <w:div w:id="146034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68641">
      <w:bodyDiv w:val="1"/>
      <w:marLeft w:val="0"/>
      <w:marRight w:val="0"/>
      <w:marTop w:val="0"/>
      <w:marBottom w:val="0"/>
      <w:divBdr>
        <w:top w:val="none" w:sz="0" w:space="0" w:color="auto"/>
        <w:left w:val="none" w:sz="0" w:space="0" w:color="auto"/>
        <w:bottom w:val="none" w:sz="0" w:space="0" w:color="auto"/>
        <w:right w:val="none" w:sz="0" w:space="0" w:color="auto"/>
      </w:divBdr>
    </w:div>
    <w:div w:id="965309750">
      <w:bodyDiv w:val="1"/>
      <w:marLeft w:val="0"/>
      <w:marRight w:val="0"/>
      <w:marTop w:val="0"/>
      <w:marBottom w:val="0"/>
      <w:divBdr>
        <w:top w:val="none" w:sz="0" w:space="0" w:color="auto"/>
        <w:left w:val="none" w:sz="0" w:space="0" w:color="auto"/>
        <w:bottom w:val="none" w:sz="0" w:space="0" w:color="auto"/>
        <w:right w:val="none" w:sz="0" w:space="0" w:color="auto"/>
      </w:divBdr>
    </w:div>
    <w:div w:id="974870746">
      <w:bodyDiv w:val="1"/>
      <w:marLeft w:val="0"/>
      <w:marRight w:val="0"/>
      <w:marTop w:val="0"/>
      <w:marBottom w:val="0"/>
      <w:divBdr>
        <w:top w:val="none" w:sz="0" w:space="0" w:color="auto"/>
        <w:left w:val="none" w:sz="0" w:space="0" w:color="auto"/>
        <w:bottom w:val="none" w:sz="0" w:space="0" w:color="auto"/>
        <w:right w:val="none" w:sz="0" w:space="0" w:color="auto"/>
      </w:divBdr>
      <w:divsChild>
        <w:div w:id="2038577688">
          <w:marLeft w:val="0"/>
          <w:marRight w:val="0"/>
          <w:marTop w:val="0"/>
          <w:marBottom w:val="0"/>
          <w:divBdr>
            <w:top w:val="none" w:sz="0" w:space="0" w:color="auto"/>
            <w:left w:val="none" w:sz="0" w:space="0" w:color="auto"/>
            <w:bottom w:val="none" w:sz="0" w:space="0" w:color="auto"/>
            <w:right w:val="none" w:sz="0" w:space="0" w:color="auto"/>
          </w:divBdr>
          <w:divsChild>
            <w:div w:id="210659165">
              <w:marLeft w:val="0"/>
              <w:marRight w:val="0"/>
              <w:marTop w:val="0"/>
              <w:marBottom w:val="0"/>
              <w:divBdr>
                <w:top w:val="none" w:sz="0" w:space="0" w:color="auto"/>
                <w:left w:val="none" w:sz="0" w:space="0" w:color="auto"/>
                <w:bottom w:val="none" w:sz="0" w:space="0" w:color="auto"/>
                <w:right w:val="none" w:sz="0" w:space="0" w:color="auto"/>
              </w:divBdr>
              <w:divsChild>
                <w:div w:id="22388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359523">
      <w:bodyDiv w:val="1"/>
      <w:marLeft w:val="0"/>
      <w:marRight w:val="0"/>
      <w:marTop w:val="0"/>
      <w:marBottom w:val="0"/>
      <w:divBdr>
        <w:top w:val="none" w:sz="0" w:space="0" w:color="auto"/>
        <w:left w:val="none" w:sz="0" w:space="0" w:color="auto"/>
        <w:bottom w:val="none" w:sz="0" w:space="0" w:color="auto"/>
        <w:right w:val="none" w:sz="0" w:space="0" w:color="auto"/>
      </w:divBdr>
      <w:divsChild>
        <w:div w:id="708072976">
          <w:marLeft w:val="0"/>
          <w:marRight w:val="0"/>
          <w:marTop w:val="0"/>
          <w:marBottom w:val="0"/>
          <w:divBdr>
            <w:top w:val="none" w:sz="0" w:space="0" w:color="auto"/>
            <w:left w:val="none" w:sz="0" w:space="0" w:color="auto"/>
            <w:bottom w:val="none" w:sz="0" w:space="0" w:color="auto"/>
            <w:right w:val="none" w:sz="0" w:space="0" w:color="auto"/>
          </w:divBdr>
          <w:divsChild>
            <w:div w:id="1008751736">
              <w:marLeft w:val="0"/>
              <w:marRight w:val="0"/>
              <w:marTop w:val="0"/>
              <w:marBottom w:val="0"/>
              <w:divBdr>
                <w:top w:val="none" w:sz="0" w:space="0" w:color="auto"/>
                <w:left w:val="none" w:sz="0" w:space="0" w:color="auto"/>
                <w:bottom w:val="none" w:sz="0" w:space="0" w:color="auto"/>
                <w:right w:val="none" w:sz="0" w:space="0" w:color="auto"/>
              </w:divBdr>
              <w:divsChild>
                <w:div w:id="196164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85483">
      <w:bodyDiv w:val="1"/>
      <w:marLeft w:val="0"/>
      <w:marRight w:val="0"/>
      <w:marTop w:val="0"/>
      <w:marBottom w:val="0"/>
      <w:divBdr>
        <w:top w:val="none" w:sz="0" w:space="0" w:color="auto"/>
        <w:left w:val="none" w:sz="0" w:space="0" w:color="auto"/>
        <w:bottom w:val="none" w:sz="0" w:space="0" w:color="auto"/>
        <w:right w:val="none" w:sz="0" w:space="0" w:color="auto"/>
      </w:divBdr>
    </w:div>
    <w:div w:id="1037050105">
      <w:bodyDiv w:val="1"/>
      <w:marLeft w:val="0"/>
      <w:marRight w:val="0"/>
      <w:marTop w:val="0"/>
      <w:marBottom w:val="0"/>
      <w:divBdr>
        <w:top w:val="none" w:sz="0" w:space="0" w:color="auto"/>
        <w:left w:val="none" w:sz="0" w:space="0" w:color="auto"/>
        <w:bottom w:val="none" w:sz="0" w:space="0" w:color="auto"/>
        <w:right w:val="none" w:sz="0" w:space="0" w:color="auto"/>
      </w:divBdr>
      <w:divsChild>
        <w:div w:id="1593079621">
          <w:marLeft w:val="0"/>
          <w:marRight w:val="0"/>
          <w:marTop w:val="0"/>
          <w:marBottom w:val="0"/>
          <w:divBdr>
            <w:top w:val="none" w:sz="0" w:space="0" w:color="auto"/>
            <w:left w:val="none" w:sz="0" w:space="0" w:color="auto"/>
            <w:bottom w:val="none" w:sz="0" w:space="0" w:color="auto"/>
            <w:right w:val="none" w:sz="0" w:space="0" w:color="auto"/>
          </w:divBdr>
          <w:divsChild>
            <w:div w:id="1466002162">
              <w:marLeft w:val="0"/>
              <w:marRight w:val="0"/>
              <w:marTop w:val="0"/>
              <w:marBottom w:val="0"/>
              <w:divBdr>
                <w:top w:val="none" w:sz="0" w:space="0" w:color="auto"/>
                <w:left w:val="none" w:sz="0" w:space="0" w:color="auto"/>
                <w:bottom w:val="none" w:sz="0" w:space="0" w:color="auto"/>
                <w:right w:val="none" w:sz="0" w:space="0" w:color="auto"/>
              </w:divBdr>
              <w:divsChild>
                <w:div w:id="1759986034">
                  <w:marLeft w:val="0"/>
                  <w:marRight w:val="0"/>
                  <w:marTop w:val="0"/>
                  <w:marBottom w:val="0"/>
                  <w:divBdr>
                    <w:top w:val="none" w:sz="0" w:space="0" w:color="auto"/>
                    <w:left w:val="none" w:sz="0" w:space="0" w:color="auto"/>
                    <w:bottom w:val="none" w:sz="0" w:space="0" w:color="auto"/>
                    <w:right w:val="none" w:sz="0" w:space="0" w:color="auto"/>
                  </w:divBdr>
                  <w:divsChild>
                    <w:div w:id="27317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877419">
      <w:bodyDiv w:val="1"/>
      <w:marLeft w:val="0"/>
      <w:marRight w:val="0"/>
      <w:marTop w:val="0"/>
      <w:marBottom w:val="0"/>
      <w:divBdr>
        <w:top w:val="none" w:sz="0" w:space="0" w:color="auto"/>
        <w:left w:val="none" w:sz="0" w:space="0" w:color="auto"/>
        <w:bottom w:val="none" w:sz="0" w:space="0" w:color="auto"/>
        <w:right w:val="none" w:sz="0" w:space="0" w:color="auto"/>
      </w:divBdr>
    </w:div>
    <w:div w:id="1089695966">
      <w:bodyDiv w:val="1"/>
      <w:marLeft w:val="0"/>
      <w:marRight w:val="0"/>
      <w:marTop w:val="0"/>
      <w:marBottom w:val="0"/>
      <w:divBdr>
        <w:top w:val="none" w:sz="0" w:space="0" w:color="auto"/>
        <w:left w:val="none" w:sz="0" w:space="0" w:color="auto"/>
        <w:bottom w:val="none" w:sz="0" w:space="0" w:color="auto"/>
        <w:right w:val="none" w:sz="0" w:space="0" w:color="auto"/>
      </w:divBdr>
    </w:div>
    <w:div w:id="1109197678">
      <w:bodyDiv w:val="1"/>
      <w:marLeft w:val="0"/>
      <w:marRight w:val="0"/>
      <w:marTop w:val="0"/>
      <w:marBottom w:val="0"/>
      <w:divBdr>
        <w:top w:val="none" w:sz="0" w:space="0" w:color="auto"/>
        <w:left w:val="none" w:sz="0" w:space="0" w:color="auto"/>
        <w:bottom w:val="none" w:sz="0" w:space="0" w:color="auto"/>
        <w:right w:val="none" w:sz="0" w:space="0" w:color="auto"/>
      </w:divBdr>
    </w:div>
    <w:div w:id="1131092262">
      <w:bodyDiv w:val="1"/>
      <w:marLeft w:val="0"/>
      <w:marRight w:val="0"/>
      <w:marTop w:val="0"/>
      <w:marBottom w:val="0"/>
      <w:divBdr>
        <w:top w:val="none" w:sz="0" w:space="0" w:color="auto"/>
        <w:left w:val="none" w:sz="0" w:space="0" w:color="auto"/>
        <w:bottom w:val="none" w:sz="0" w:space="0" w:color="auto"/>
        <w:right w:val="none" w:sz="0" w:space="0" w:color="auto"/>
      </w:divBdr>
    </w:div>
    <w:div w:id="1139417795">
      <w:bodyDiv w:val="1"/>
      <w:marLeft w:val="0"/>
      <w:marRight w:val="0"/>
      <w:marTop w:val="0"/>
      <w:marBottom w:val="0"/>
      <w:divBdr>
        <w:top w:val="none" w:sz="0" w:space="0" w:color="auto"/>
        <w:left w:val="none" w:sz="0" w:space="0" w:color="auto"/>
        <w:bottom w:val="none" w:sz="0" w:space="0" w:color="auto"/>
        <w:right w:val="none" w:sz="0" w:space="0" w:color="auto"/>
      </w:divBdr>
    </w:div>
    <w:div w:id="1154831923">
      <w:bodyDiv w:val="1"/>
      <w:marLeft w:val="0"/>
      <w:marRight w:val="0"/>
      <w:marTop w:val="0"/>
      <w:marBottom w:val="0"/>
      <w:divBdr>
        <w:top w:val="none" w:sz="0" w:space="0" w:color="auto"/>
        <w:left w:val="none" w:sz="0" w:space="0" w:color="auto"/>
        <w:bottom w:val="none" w:sz="0" w:space="0" w:color="auto"/>
        <w:right w:val="none" w:sz="0" w:space="0" w:color="auto"/>
      </w:divBdr>
    </w:div>
    <w:div w:id="1177428442">
      <w:bodyDiv w:val="1"/>
      <w:marLeft w:val="0"/>
      <w:marRight w:val="0"/>
      <w:marTop w:val="0"/>
      <w:marBottom w:val="0"/>
      <w:divBdr>
        <w:top w:val="none" w:sz="0" w:space="0" w:color="auto"/>
        <w:left w:val="none" w:sz="0" w:space="0" w:color="auto"/>
        <w:bottom w:val="none" w:sz="0" w:space="0" w:color="auto"/>
        <w:right w:val="none" w:sz="0" w:space="0" w:color="auto"/>
      </w:divBdr>
    </w:div>
    <w:div w:id="1179662014">
      <w:bodyDiv w:val="1"/>
      <w:marLeft w:val="0"/>
      <w:marRight w:val="0"/>
      <w:marTop w:val="0"/>
      <w:marBottom w:val="0"/>
      <w:divBdr>
        <w:top w:val="none" w:sz="0" w:space="0" w:color="auto"/>
        <w:left w:val="none" w:sz="0" w:space="0" w:color="auto"/>
        <w:bottom w:val="none" w:sz="0" w:space="0" w:color="auto"/>
        <w:right w:val="none" w:sz="0" w:space="0" w:color="auto"/>
      </w:divBdr>
    </w:div>
    <w:div w:id="1224873339">
      <w:bodyDiv w:val="1"/>
      <w:marLeft w:val="0"/>
      <w:marRight w:val="0"/>
      <w:marTop w:val="0"/>
      <w:marBottom w:val="0"/>
      <w:divBdr>
        <w:top w:val="none" w:sz="0" w:space="0" w:color="auto"/>
        <w:left w:val="none" w:sz="0" w:space="0" w:color="auto"/>
        <w:bottom w:val="none" w:sz="0" w:space="0" w:color="auto"/>
        <w:right w:val="none" w:sz="0" w:space="0" w:color="auto"/>
      </w:divBdr>
    </w:div>
    <w:div w:id="1259605485">
      <w:bodyDiv w:val="1"/>
      <w:marLeft w:val="0"/>
      <w:marRight w:val="0"/>
      <w:marTop w:val="0"/>
      <w:marBottom w:val="0"/>
      <w:divBdr>
        <w:top w:val="none" w:sz="0" w:space="0" w:color="auto"/>
        <w:left w:val="none" w:sz="0" w:space="0" w:color="auto"/>
        <w:bottom w:val="none" w:sz="0" w:space="0" w:color="auto"/>
        <w:right w:val="none" w:sz="0" w:space="0" w:color="auto"/>
      </w:divBdr>
    </w:div>
    <w:div w:id="1331175879">
      <w:bodyDiv w:val="1"/>
      <w:marLeft w:val="0"/>
      <w:marRight w:val="0"/>
      <w:marTop w:val="0"/>
      <w:marBottom w:val="0"/>
      <w:divBdr>
        <w:top w:val="none" w:sz="0" w:space="0" w:color="auto"/>
        <w:left w:val="none" w:sz="0" w:space="0" w:color="auto"/>
        <w:bottom w:val="none" w:sz="0" w:space="0" w:color="auto"/>
        <w:right w:val="none" w:sz="0" w:space="0" w:color="auto"/>
      </w:divBdr>
    </w:div>
    <w:div w:id="1347319190">
      <w:bodyDiv w:val="1"/>
      <w:marLeft w:val="0"/>
      <w:marRight w:val="0"/>
      <w:marTop w:val="0"/>
      <w:marBottom w:val="0"/>
      <w:divBdr>
        <w:top w:val="none" w:sz="0" w:space="0" w:color="auto"/>
        <w:left w:val="none" w:sz="0" w:space="0" w:color="auto"/>
        <w:bottom w:val="none" w:sz="0" w:space="0" w:color="auto"/>
        <w:right w:val="none" w:sz="0" w:space="0" w:color="auto"/>
      </w:divBdr>
    </w:div>
    <w:div w:id="1362246124">
      <w:bodyDiv w:val="1"/>
      <w:marLeft w:val="0"/>
      <w:marRight w:val="0"/>
      <w:marTop w:val="0"/>
      <w:marBottom w:val="0"/>
      <w:divBdr>
        <w:top w:val="none" w:sz="0" w:space="0" w:color="auto"/>
        <w:left w:val="none" w:sz="0" w:space="0" w:color="auto"/>
        <w:bottom w:val="none" w:sz="0" w:space="0" w:color="auto"/>
        <w:right w:val="none" w:sz="0" w:space="0" w:color="auto"/>
      </w:divBdr>
    </w:div>
    <w:div w:id="1366759359">
      <w:bodyDiv w:val="1"/>
      <w:marLeft w:val="0"/>
      <w:marRight w:val="0"/>
      <w:marTop w:val="0"/>
      <w:marBottom w:val="0"/>
      <w:divBdr>
        <w:top w:val="none" w:sz="0" w:space="0" w:color="auto"/>
        <w:left w:val="none" w:sz="0" w:space="0" w:color="auto"/>
        <w:bottom w:val="none" w:sz="0" w:space="0" w:color="auto"/>
        <w:right w:val="none" w:sz="0" w:space="0" w:color="auto"/>
      </w:divBdr>
      <w:divsChild>
        <w:div w:id="1246919297">
          <w:marLeft w:val="0"/>
          <w:marRight w:val="0"/>
          <w:marTop w:val="0"/>
          <w:marBottom w:val="0"/>
          <w:divBdr>
            <w:top w:val="none" w:sz="0" w:space="0" w:color="auto"/>
            <w:left w:val="none" w:sz="0" w:space="0" w:color="auto"/>
            <w:bottom w:val="none" w:sz="0" w:space="0" w:color="auto"/>
            <w:right w:val="none" w:sz="0" w:space="0" w:color="auto"/>
          </w:divBdr>
          <w:divsChild>
            <w:div w:id="575365365">
              <w:marLeft w:val="0"/>
              <w:marRight w:val="0"/>
              <w:marTop w:val="0"/>
              <w:marBottom w:val="0"/>
              <w:divBdr>
                <w:top w:val="none" w:sz="0" w:space="0" w:color="auto"/>
                <w:left w:val="none" w:sz="0" w:space="0" w:color="auto"/>
                <w:bottom w:val="none" w:sz="0" w:space="0" w:color="auto"/>
                <w:right w:val="none" w:sz="0" w:space="0" w:color="auto"/>
              </w:divBdr>
              <w:divsChild>
                <w:div w:id="5778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821265">
      <w:bodyDiv w:val="1"/>
      <w:marLeft w:val="0"/>
      <w:marRight w:val="0"/>
      <w:marTop w:val="0"/>
      <w:marBottom w:val="0"/>
      <w:divBdr>
        <w:top w:val="none" w:sz="0" w:space="0" w:color="auto"/>
        <w:left w:val="none" w:sz="0" w:space="0" w:color="auto"/>
        <w:bottom w:val="none" w:sz="0" w:space="0" w:color="auto"/>
        <w:right w:val="none" w:sz="0" w:space="0" w:color="auto"/>
      </w:divBdr>
    </w:div>
    <w:div w:id="1396005870">
      <w:bodyDiv w:val="1"/>
      <w:marLeft w:val="0"/>
      <w:marRight w:val="0"/>
      <w:marTop w:val="0"/>
      <w:marBottom w:val="0"/>
      <w:divBdr>
        <w:top w:val="none" w:sz="0" w:space="0" w:color="auto"/>
        <w:left w:val="none" w:sz="0" w:space="0" w:color="auto"/>
        <w:bottom w:val="none" w:sz="0" w:space="0" w:color="auto"/>
        <w:right w:val="none" w:sz="0" w:space="0" w:color="auto"/>
      </w:divBdr>
    </w:div>
    <w:div w:id="1420175548">
      <w:bodyDiv w:val="1"/>
      <w:marLeft w:val="0"/>
      <w:marRight w:val="0"/>
      <w:marTop w:val="0"/>
      <w:marBottom w:val="0"/>
      <w:divBdr>
        <w:top w:val="none" w:sz="0" w:space="0" w:color="auto"/>
        <w:left w:val="none" w:sz="0" w:space="0" w:color="auto"/>
        <w:bottom w:val="none" w:sz="0" w:space="0" w:color="auto"/>
        <w:right w:val="none" w:sz="0" w:space="0" w:color="auto"/>
      </w:divBdr>
      <w:divsChild>
        <w:div w:id="199784215">
          <w:marLeft w:val="0"/>
          <w:marRight w:val="0"/>
          <w:marTop w:val="0"/>
          <w:marBottom w:val="0"/>
          <w:divBdr>
            <w:top w:val="none" w:sz="0" w:space="0" w:color="auto"/>
            <w:left w:val="none" w:sz="0" w:space="0" w:color="auto"/>
            <w:bottom w:val="none" w:sz="0" w:space="0" w:color="auto"/>
            <w:right w:val="none" w:sz="0" w:space="0" w:color="auto"/>
          </w:divBdr>
          <w:divsChild>
            <w:div w:id="644628368">
              <w:marLeft w:val="0"/>
              <w:marRight w:val="0"/>
              <w:marTop w:val="0"/>
              <w:marBottom w:val="0"/>
              <w:divBdr>
                <w:top w:val="none" w:sz="0" w:space="0" w:color="auto"/>
                <w:left w:val="none" w:sz="0" w:space="0" w:color="auto"/>
                <w:bottom w:val="none" w:sz="0" w:space="0" w:color="auto"/>
                <w:right w:val="none" w:sz="0" w:space="0" w:color="auto"/>
              </w:divBdr>
              <w:divsChild>
                <w:div w:id="1212620503">
                  <w:marLeft w:val="0"/>
                  <w:marRight w:val="0"/>
                  <w:marTop w:val="0"/>
                  <w:marBottom w:val="0"/>
                  <w:divBdr>
                    <w:top w:val="none" w:sz="0" w:space="0" w:color="auto"/>
                    <w:left w:val="none" w:sz="0" w:space="0" w:color="auto"/>
                    <w:bottom w:val="none" w:sz="0" w:space="0" w:color="auto"/>
                    <w:right w:val="none" w:sz="0" w:space="0" w:color="auto"/>
                  </w:divBdr>
                  <w:divsChild>
                    <w:div w:id="1390228826">
                      <w:marLeft w:val="0"/>
                      <w:marRight w:val="0"/>
                      <w:marTop w:val="0"/>
                      <w:marBottom w:val="0"/>
                      <w:divBdr>
                        <w:top w:val="none" w:sz="0" w:space="0" w:color="auto"/>
                        <w:left w:val="none" w:sz="0" w:space="0" w:color="auto"/>
                        <w:bottom w:val="none" w:sz="0" w:space="0" w:color="auto"/>
                        <w:right w:val="none" w:sz="0" w:space="0" w:color="auto"/>
                      </w:divBdr>
                    </w:div>
                  </w:divsChild>
                </w:div>
                <w:div w:id="6489648">
                  <w:marLeft w:val="0"/>
                  <w:marRight w:val="0"/>
                  <w:marTop w:val="0"/>
                  <w:marBottom w:val="0"/>
                  <w:divBdr>
                    <w:top w:val="none" w:sz="0" w:space="0" w:color="auto"/>
                    <w:left w:val="none" w:sz="0" w:space="0" w:color="auto"/>
                    <w:bottom w:val="none" w:sz="0" w:space="0" w:color="auto"/>
                    <w:right w:val="none" w:sz="0" w:space="0" w:color="auto"/>
                  </w:divBdr>
                  <w:divsChild>
                    <w:div w:id="597375597">
                      <w:marLeft w:val="0"/>
                      <w:marRight w:val="0"/>
                      <w:marTop w:val="0"/>
                      <w:marBottom w:val="0"/>
                      <w:divBdr>
                        <w:top w:val="none" w:sz="0" w:space="0" w:color="auto"/>
                        <w:left w:val="none" w:sz="0" w:space="0" w:color="auto"/>
                        <w:bottom w:val="none" w:sz="0" w:space="0" w:color="auto"/>
                        <w:right w:val="none" w:sz="0" w:space="0" w:color="auto"/>
                      </w:divBdr>
                    </w:div>
                  </w:divsChild>
                </w:div>
                <w:div w:id="2083869550">
                  <w:marLeft w:val="0"/>
                  <w:marRight w:val="0"/>
                  <w:marTop w:val="0"/>
                  <w:marBottom w:val="0"/>
                  <w:divBdr>
                    <w:top w:val="none" w:sz="0" w:space="0" w:color="auto"/>
                    <w:left w:val="none" w:sz="0" w:space="0" w:color="auto"/>
                    <w:bottom w:val="none" w:sz="0" w:space="0" w:color="auto"/>
                    <w:right w:val="none" w:sz="0" w:space="0" w:color="auto"/>
                  </w:divBdr>
                  <w:divsChild>
                    <w:div w:id="1499348516">
                      <w:marLeft w:val="0"/>
                      <w:marRight w:val="0"/>
                      <w:marTop w:val="0"/>
                      <w:marBottom w:val="0"/>
                      <w:divBdr>
                        <w:top w:val="none" w:sz="0" w:space="0" w:color="auto"/>
                        <w:left w:val="none" w:sz="0" w:space="0" w:color="auto"/>
                        <w:bottom w:val="none" w:sz="0" w:space="0" w:color="auto"/>
                        <w:right w:val="none" w:sz="0" w:space="0" w:color="auto"/>
                      </w:divBdr>
                    </w:div>
                  </w:divsChild>
                </w:div>
                <w:div w:id="1536843200">
                  <w:marLeft w:val="0"/>
                  <w:marRight w:val="0"/>
                  <w:marTop w:val="0"/>
                  <w:marBottom w:val="0"/>
                  <w:divBdr>
                    <w:top w:val="none" w:sz="0" w:space="0" w:color="auto"/>
                    <w:left w:val="none" w:sz="0" w:space="0" w:color="auto"/>
                    <w:bottom w:val="none" w:sz="0" w:space="0" w:color="auto"/>
                    <w:right w:val="none" w:sz="0" w:space="0" w:color="auto"/>
                  </w:divBdr>
                  <w:divsChild>
                    <w:div w:id="86718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010316">
      <w:bodyDiv w:val="1"/>
      <w:marLeft w:val="0"/>
      <w:marRight w:val="0"/>
      <w:marTop w:val="0"/>
      <w:marBottom w:val="0"/>
      <w:divBdr>
        <w:top w:val="none" w:sz="0" w:space="0" w:color="auto"/>
        <w:left w:val="none" w:sz="0" w:space="0" w:color="auto"/>
        <w:bottom w:val="none" w:sz="0" w:space="0" w:color="auto"/>
        <w:right w:val="none" w:sz="0" w:space="0" w:color="auto"/>
      </w:divBdr>
      <w:divsChild>
        <w:div w:id="1053236592">
          <w:marLeft w:val="0"/>
          <w:marRight w:val="0"/>
          <w:marTop w:val="0"/>
          <w:marBottom w:val="0"/>
          <w:divBdr>
            <w:top w:val="none" w:sz="0" w:space="0" w:color="auto"/>
            <w:left w:val="none" w:sz="0" w:space="0" w:color="auto"/>
            <w:bottom w:val="none" w:sz="0" w:space="0" w:color="auto"/>
            <w:right w:val="none" w:sz="0" w:space="0" w:color="auto"/>
          </w:divBdr>
          <w:divsChild>
            <w:div w:id="2025280189">
              <w:marLeft w:val="0"/>
              <w:marRight w:val="0"/>
              <w:marTop w:val="0"/>
              <w:marBottom w:val="0"/>
              <w:divBdr>
                <w:top w:val="none" w:sz="0" w:space="0" w:color="auto"/>
                <w:left w:val="none" w:sz="0" w:space="0" w:color="auto"/>
                <w:bottom w:val="none" w:sz="0" w:space="0" w:color="auto"/>
                <w:right w:val="none" w:sz="0" w:space="0" w:color="auto"/>
              </w:divBdr>
              <w:divsChild>
                <w:div w:id="11870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758985">
      <w:bodyDiv w:val="1"/>
      <w:marLeft w:val="0"/>
      <w:marRight w:val="0"/>
      <w:marTop w:val="0"/>
      <w:marBottom w:val="0"/>
      <w:divBdr>
        <w:top w:val="none" w:sz="0" w:space="0" w:color="auto"/>
        <w:left w:val="none" w:sz="0" w:space="0" w:color="auto"/>
        <w:bottom w:val="none" w:sz="0" w:space="0" w:color="auto"/>
        <w:right w:val="none" w:sz="0" w:space="0" w:color="auto"/>
      </w:divBdr>
    </w:div>
    <w:div w:id="1523930395">
      <w:bodyDiv w:val="1"/>
      <w:marLeft w:val="0"/>
      <w:marRight w:val="0"/>
      <w:marTop w:val="0"/>
      <w:marBottom w:val="0"/>
      <w:divBdr>
        <w:top w:val="none" w:sz="0" w:space="0" w:color="auto"/>
        <w:left w:val="none" w:sz="0" w:space="0" w:color="auto"/>
        <w:bottom w:val="none" w:sz="0" w:space="0" w:color="auto"/>
        <w:right w:val="none" w:sz="0" w:space="0" w:color="auto"/>
      </w:divBdr>
    </w:div>
    <w:div w:id="1574196102">
      <w:bodyDiv w:val="1"/>
      <w:marLeft w:val="0"/>
      <w:marRight w:val="0"/>
      <w:marTop w:val="0"/>
      <w:marBottom w:val="0"/>
      <w:divBdr>
        <w:top w:val="none" w:sz="0" w:space="0" w:color="auto"/>
        <w:left w:val="none" w:sz="0" w:space="0" w:color="auto"/>
        <w:bottom w:val="none" w:sz="0" w:space="0" w:color="auto"/>
        <w:right w:val="none" w:sz="0" w:space="0" w:color="auto"/>
      </w:divBdr>
      <w:divsChild>
        <w:div w:id="1138762877">
          <w:marLeft w:val="0"/>
          <w:marRight w:val="0"/>
          <w:marTop w:val="0"/>
          <w:marBottom w:val="0"/>
          <w:divBdr>
            <w:top w:val="none" w:sz="0" w:space="0" w:color="auto"/>
            <w:left w:val="none" w:sz="0" w:space="0" w:color="auto"/>
            <w:bottom w:val="none" w:sz="0" w:space="0" w:color="auto"/>
            <w:right w:val="none" w:sz="0" w:space="0" w:color="auto"/>
          </w:divBdr>
          <w:divsChild>
            <w:div w:id="700085868">
              <w:marLeft w:val="0"/>
              <w:marRight w:val="0"/>
              <w:marTop w:val="0"/>
              <w:marBottom w:val="0"/>
              <w:divBdr>
                <w:top w:val="none" w:sz="0" w:space="0" w:color="auto"/>
                <w:left w:val="none" w:sz="0" w:space="0" w:color="auto"/>
                <w:bottom w:val="none" w:sz="0" w:space="0" w:color="auto"/>
                <w:right w:val="none" w:sz="0" w:space="0" w:color="auto"/>
              </w:divBdr>
              <w:divsChild>
                <w:div w:id="1785271922">
                  <w:marLeft w:val="0"/>
                  <w:marRight w:val="0"/>
                  <w:marTop w:val="0"/>
                  <w:marBottom w:val="0"/>
                  <w:divBdr>
                    <w:top w:val="none" w:sz="0" w:space="0" w:color="auto"/>
                    <w:left w:val="none" w:sz="0" w:space="0" w:color="auto"/>
                    <w:bottom w:val="none" w:sz="0" w:space="0" w:color="auto"/>
                    <w:right w:val="none" w:sz="0" w:space="0" w:color="auto"/>
                  </w:divBdr>
                  <w:divsChild>
                    <w:div w:id="154324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054560">
      <w:bodyDiv w:val="1"/>
      <w:marLeft w:val="0"/>
      <w:marRight w:val="0"/>
      <w:marTop w:val="0"/>
      <w:marBottom w:val="0"/>
      <w:divBdr>
        <w:top w:val="none" w:sz="0" w:space="0" w:color="auto"/>
        <w:left w:val="none" w:sz="0" w:space="0" w:color="auto"/>
        <w:bottom w:val="none" w:sz="0" w:space="0" w:color="auto"/>
        <w:right w:val="none" w:sz="0" w:space="0" w:color="auto"/>
      </w:divBdr>
    </w:div>
    <w:div w:id="1630282444">
      <w:bodyDiv w:val="1"/>
      <w:marLeft w:val="0"/>
      <w:marRight w:val="0"/>
      <w:marTop w:val="0"/>
      <w:marBottom w:val="0"/>
      <w:divBdr>
        <w:top w:val="none" w:sz="0" w:space="0" w:color="auto"/>
        <w:left w:val="none" w:sz="0" w:space="0" w:color="auto"/>
        <w:bottom w:val="none" w:sz="0" w:space="0" w:color="auto"/>
        <w:right w:val="none" w:sz="0" w:space="0" w:color="auto"/>
      </w:divBdr>
    </w:div>
    <w:div w:id="1670061213">
      <w:bodyDiv w:val="1"/>
      <w:marLeft w:val="0"/>
      <w:marRight w:val="0"/>
      <w:marTop w:val="0"/>
      <w:marBottom w:val="0"/>
      <w:divBdr>
        <w:top w:val="none" w:sz="0" w:space="0" w:color="auto"/>
        <w:left w:val="none" w:sz="0" w:space="0" w:color="auto"/>
        <w:bottom w:val="none" w:sz="0" w:space="0" w:color="auto"/>
        <w:right w:val="none" w:sz="0" w:space="0" w:color="auto"/>
      </w:divBdr>
    </w:div>
    <w:div w:id="1684549541">
      <w:bodyDiv w:val="1"/>
      <w:marLeft w:val="0"/>
      <w:marRight w:val="0"/>
      <w:marTop w:val="0"/>
      <w:marBottom w:val="0"/>
      <w:divBdr>
        <w:top w:val="none" w:sz="0" w:space="0" w:color="auto"/>
        <w:left w:val="none" w:sz="0" w:space="0" w:color="auto"/>
        <w:bottom w:val="none" w:sz="0" w:space="0" w:color="auto"/>
        <w:right w:val="none" w:sz="0" w:space="0" w:color="auto"/>
      </w:divBdr>
    </w:div>
    <w:div w:id="1690566898">
      <w:bodyDiv w:val="1"/>
      <w:marLeft w:val="0"/>
      <w:marRight w:val="0"/>
      <w:marTop w:val="0"/>
      <w:marBottom w:val="0"/>
      <w:divBdr>
        <w:top w:val="none" w:sz="0" w:space="0" w:color="auto"/>
        <w:left w:val="none" w:sz="0" w:space="0" w:color="auto"/>
        <w:bottom w:val="none" w:sz="0" w:space="0" w:color="auto"/>
        <w:right w:val="none" w:sz="0" w:space="0" w:color="auto"/>
      </w:divBdr>
    </w:div>
    <w:div w:id="1779829849">
      <w:bodyDiv w:val="1"/>
      <w:marLeft w:val="0"/>
      <w:marRight w:val="0"/>
      <w:marTop w:val="0"/>
      <w:marBottom w:val="0"/>
      <w:divBdr>
        <w:top w:val="none" w:sz="0" w:space="0" w:color="auto"/>
        <w:left w:val="none" w:sz="0" w:space="0" w:color="auto"/>
        <w:bottom w:val="none" w:sz="0" w:space="0" w:color="auto"/>
        <w:right w:val="none" w:sz="0" w:space="0" w:color="auto"/>
      </w:divBdr>
    </w:div>
    <w:div w:id="1801604673">
      <w:bodyDiv w:val="1"/>
      <w:marLeft w:val="0"/>
      <w:marRight w:val="0"/>
      <w:marTop w:val="0"/>
      <w:marBottom w:val="0"/>
      <w:divBdr>
        <w:top w:val="none" w:sz="0" w:space="0" w:color="auto"/>
        <w:left w:val="none" w:sz="0" w:space="0" w:color="auto"/>
        <w:bottom w:val="none" w:sz="0" w:space="0" w:color="auto"/>
        <w:right w:val="none" w:sz="0" w:space="0" w:color="auto"/>
      </w:divBdr>
    </w:div>
    <w:div w:id="1904411437">
      <w:bodyDiv w:val="1"/>
      <w:marLeft w:val="0"/>
      <w:marRight w:val="0"/>
      <w:marTop w:val="0"/>
      <w:marBottom w:val="0"/>
      <w:divBdr>
        <w:top w:val="none" w:sz="0" w:space="0" w:color="auto"/>
        <w:left w:val="none" w:sz="0" w:space="0" w:color="auto"/>
        <w:bottom w:val="none" w:sz="0" w:space="0" w:color="auto"/>
        <w:right w:val="none" w:sz="0" w:space="0" w:color="auto"/>
      </w:divBdr>
    </w:div>
    <w:div w:id="1954045857">
      <w:bodyDiv w:val="1"/>
      <w:marLeft w:val="0"/>
      <w:marRight w:val="0"/>
      <w:marTop w:val="0"/>
      <w:marBottom w:val="0"/>
      <w:divBdr>
        <w:top w:val="none" w:sz="0" w:space="0" w:color="auto"/>
        <w:left w:val="none" w:sz="0" w:space="0" w:color="auto"/>
        <w:bottom w:val="none" w:sz="0" w:space="0" w:color="auto"/>
        <w:right w:val="none" w:sz="0" w:space="0" w:color="auto"/>
      </w:divBdr>
    </w:div>
    <w:div w:id="2051569641">
      <w:bodyDiv w:val="1"/>
      <w:marLeft w:val="0"/>
      <w:marRight w:val="0"/>
      <w:marTop w:val="0"/>
      <w:marBottom w:val="0"/>
      <w:divBdr>
        <w:top w:val="none" w:sz="0" w:space="0" w:color="auto"/>
        <w:left w:val="none" w:sz="0" w:space="0" w:color="auto"/>
        <w:bottom w:val="none" w:sz="0" w:space="0" w:color="auto"/>
        <w:right w:val="none" w:sz="0" w:space="0" w:color="auto"/>
      </w:divBdr>
    </w:div>
    <w:div w:id="2062947536">
      <w:bodyDiv w:val="1"/>
      <w:marLeft w:val="0"/>
      <w:marRight w:val="0"/>
      <w:marTop w:val="0"/>
      <w:marBottom w:val="0"/>
      <w:divBdr>
        <w:top w:val="none" w:sz="0" w:space="0" w:color="auto"/>
        <w:left w:val="none" w:sz="0" w:space="0" w:color="auto"/>
        <w:bottom w:val="none" w:sz="0" w:space="0" w:color="auto"/>
        <w:right w:val="none" w:sz="0" w:space="0" w:color="auto"/>
      </w:divBdr>
      <w:divsChild>
        <w:div w:id="1089156787">
          <w:marLeft w:val="0"/>
          <w:marRight w:val="0"/>
          <w:marTop w:val="0"/>
          <w:marBottom w:val="0"/>
          <w:divBdr>
            <w:top w:val="none" w:sz="0" w:space="0" w:color="auto"/>
            <w:left w:val="none" w:sz="0" w:space="0" w:color="auto"/>
            <w:bottom w:val="none" w:sz="0" w:space="0" w:color="auto"/>
            <w:right w:val="none" w:sz="0" w:space="0" w:color="auto"/>
          </w:divBdr>
          <w:divsChild>
            <w:div w:id="1785346667">
              <w:marLeft w:val="0"/>
              <w:marRight w:val="0"/>
              <w:marTop w:val="0"/>
              <w:marBottom w:val="0"/>
              <w:divBdr>
                <w:top w:val="none" w:sz="0" w:space="0" w:color="auto"/>
                <w:left w:val="none" w:sz="0" w:space="0" w:color="auto"/>
                <w:bottom w:val="none" w:sz="0" w:space="0" w:color="auto"/>
                <w:right w:val="none" w:sz="0" w:space="0" w:color="auto"/>
              </w:divBdr>
              <w:divsChild>
                <w:div w:id="1678269613">
                  <w:marLeft w:val="0"/>
                  <w:marRight w:val="0"/>
                  <w:marTop w:val="0"/>
                  <w:marBottom w:val="0"/>
                  <w:divBdr>
                    <w:top w:val="none" w:sz="0" w:space="0" w:color="auto"/>
                    <w:left w:val="none" w:sz="0" w:space="0" w:color="auto"/>
                    <w:bottom w:val="none" w:sz="0" w:space="0" w:color="auto"/>
                    <w:right w:val="none" w:sz="0" w:space="0" w:color="auto"/>
                  </w:divBdr>
                  <w:divsChild>
                    <w:div w:id="257561544">
                      <w:marLeft w:val="0"/>
                      <w:marRight w:val="0"/>
                      <w:marTop w:val="0"/>
                      <w:marBottom w:val="0"/>
                      <w:divBdr>
                        <w:top w:val="none" w:sz="0" w:space="0" w:color="auto"/>
                        <w:left w:val="none" w:sz="0" w:space="0" w:color="auto"/>
                        <w:bottom w:val="none" w:sz="0" w:space="0" w:color="auto"/>
                        <w:right w:val="none" w:sz="0" w:space="0" w:color="auto"/>
                      </w:divBdr>
                    </w:div>
                  </w:divsChild>
                </w:div>
                <w:div w:id="315647466">
                  <w:marLeft w:val="0"/>
                  <w:marRight w:val="0"/>
                  <w:marTop w:val="0"/>
                  <w:marBottom w:val="0"/>
                  <w:divBdr>
                    <w:top w:val="none" w:sz="0" w:space="0" w:color="auto"/>
                    <w:left w:val="none" w:sz="0" w:space="0" w:color="auto"/>
                    <w:bottom w:val="none" w:sz="0" w:space="0" w:color="auto"/>
                    <w:right w:val="none" w:sz="0" w:space="0" w:color="auto"/>
                  </w:divBdr>
                  <w:divsChild>
                    <w:div w:id="198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6048017">
      <w:bodyDiv w:val="1"/>
      <w:marLeft w:val="0"/>
      <w:marRight w:val="0"/>
      <w:marTop w:val="0"/>
      <w:marBottom w:val="0"/>
      <w:divBdr>
        <w:top w:val="none" w:sz="0" w:space="0" w:color="auto"/>
        <w:left w:val="none" w:sz="0" w:space="0" w:color="auto"/>
        <w:bottom w:val="none" w:sz="0" w:space="0" w:color="auto"/>
        <w:right w:val="none" w:sz="0" w:space="0" w:color="auto"/>
      </w:divBdr>
    </w:div>
    <w:div w:id="2096588755">
      <w:bodyDiv w:val="1"/>
      <w:marLeft w:val="0"/>
      <w:marRight w:val="0"/>
      <w:marTop w:val="0"/>
      <w:marBottom w:val="0"/>
      <w:divBdr>
        <w:top w:val="none" w:sz="0" w:space="0" w:color="auto"/>
        <w:left w:val="none" w:sz="0" w:space="0" w:color="auto"/>
        <w:bottom w:val="none" w:sz="0" w:space="0" w:color="auto"/>
        <w:right w:val="none" w:sz="0" w:space="0" w:color="auto"/>
      </w:divBdr>
    </w:div>
    <w:div w:id="2097435333">
      <w:bodyDiv w:val="1"/>
      <w:marLeft w:val="0"/>
      <w:marRight w:val="0"/>
      <w:marTop w:val="0"/>
      <w:marBottom w:val="0"/>
      <w:divBdr>
        <w:top w:val="none" w:sz="0" w:space="0" w:color="auto"/>
        <w:left w:val="none" w:sz="0" w:space="0" w:color="auto"/>
        <w:bottom w:val="none" w:sz="0" w:space="0" w:color="auto"/>
        <w:right w:val="none" w:sz="0" w:space="0" w:color="auto"/>
      </w:divBdr>
    </w:div>
    <w:div w:id="2099792838">
      <w:bodyDiv w:val="1"/>
      <w:marLeft w:val="0"/>
      <w:marRight w:val="0"/>
      <w:marTop w:val="0"/>
      <w:marBottom w:val="0"/>
      <w:divBdr>
        <w:top w:val="none" w:sz="0" w:space="0" w:color="auto"/>
        <w:left w:val="none" w:sz="0" w:space="0" w:color="auto"/>
        <w:bottom w:val="none" w:sz="0" w:space="0" w:color="auto"/>
        <w:right w:val="none" w:sz="0" w:space="0" w:color="auto"/>
      </w:divBdr>
    </w:div>
    <w:div w:id="2105419210">
      <w:bodyDiv w:val="1"/>
      <w:marLeft w:val="0"/>
      <w:marRight w:val="0"/>
      <w:marTop w:val="0"/>
      <w:marBottom w:val="0"/>
      <w:divBdr>
        <w:top w:val="none" w:sz="0" w:space="0" w:color="auto"/>
        <w:left w:val="none" w:sz="0" w:space="0" w:color="auto"/>
        <w:bottom w:val="none" w:sz="0" w:space="0" w:color="auto"/>
        <w:right w:val="none" w:sz="0" w:space="0" w:color="auto"/>
      </w:divBdr>
    </w:div>
    <w:div w:id="2107336559">
      <w:bodyDiv w:val="1"/>
      <w:marLeft w:val="0"/>
      <w:marRight w:val="0"/>
      <w:marTop w:val="0"/>
      <w:marBottom w:val="0"/>
      <w:divBdr>
        <w:top w:val="none" w:sz="0" w:space="0" w:color="auto"/>
        <w:left w:val="none" w:sz="0" w:space="0" w:color="auto"/>
        <w:bottom w:val="none" w:sz="0" w:space="0" w:color="auto"/>
        <w:right w:val="none" w:sz="0" w:space="0" w:color="auto"/>
      </w:divBdr>
    </w:div>
    <w:div w:id="2119980372">
      <w:bodyDiv w:val="1"/>
      <w:marLeft w:val="0"/>
      <w:marRight w:val="0"/>
      <w:marTop w:val="0"/>
      <w:marBottom w:val="0"/>
      <w:divBdr>
        <w:top w:val="none" w:sz="0" w:space="0" w:color="auto"/>
        <w:left w:val="none" w:sz="0" w:space="0" w:color="auto"/>
        <w:bottom w:val="none" w:sz="0" w:space="0" w:color="auto"/>
        <w:right w:val="none" w:sz="0" w:space="0" w:color="auto"/>
      </w:divBdr>
    </w:div>
    <w:div w:id="2126003154">
      <w:bodyDiv w:val="1"/>
      <w:marLeft w:val="0"/>
      <w:marRight w:val="0"/>
      <w:marTop w:val="0"/>
      <w:marBottom w:val="0"/>
      <w:divBdr>
        <w:top w:val="none" w:sz="0" w:space="0" w:color="auto"/>
        <w:left w:val="none" w:sz="0" w:space="0" w:color="auto"/>
        <w:bottom w:val="none" w:sz="0" w:space="0" w:color="auto"/>
        <w:right w:val="none" w:sz="0" w:space="0" w:color="auto"/>
      </w:divBdr>
      <w:divsChild>
        <w:div w:id="1343895873">
          <w:marLeft w:val="0"/>
          <w:marRight w:val="0"/>
          <w:marTop w:val="0"/>
          <w:marBottom w:val="0"/>
          <w:divBdr>
            <w:top w:val="none" w:sz="0" w:space="0" w:color="auto"/>
            <w:left w:val="none" w:sz="0" w:space="0" w:color="auto"/>
            <w:bottom w:val="none" w:sz="0" w:space="0" w:color="auto"/>
            <w:right w:val="none" w:sz="0" w:space="0" w:color="auto"/>
          </w:divBdr>
          <w:divsChild>
            <w:div w:id="1875268849">
              <w:marLeft w:val="0"/>
              <w:marRight w:val="0"/>
              <w:marTop w:val="0"/>
              <w:marBottom w:val="0"/>
              <w:divBdr>
                <w:top w:val="none" w:sz="0" w:space="0" w:color="auto"/>
                <w:left w:val="none" w:sz="0" w:space="0" w:color="auto"/>
                <w:bottom w:val="none" w:sz="0" w:space="0" w:color="auto"/>
                <w:right w:val="none" w:sz="0" w:space="0" w:color="auto"/>
              </w:divBdr>
              <w:divsChild>
                <w:div w:id="452478864">
                  <w:marLeft w:val="0"/>
                  <w:marRight w:val="0"/>
                  <w:marTop w:val="0"/>
                  <w:marBottom w:val="0"/>
                  <w:divBdr>
                    <w:top w:val="none" w:sz="0" w:space="0" w:color="auto"/>
                    <w:left w:val="none" w:sz="0" w:space="0" w:color="auto"/>
                    <w:bottom w:val="none" w:sz="0" w:space="0" w:color="auto"/>
                    <w:right w:val="none" w:sz="0" w:space="0" w:color="auto"/>
                  </w:divBdr>
                  <w:divsChild>
                    <w:div w:id="113383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5.xml"/><Relationship Id="rId33" Type="http://schemas.openxmlformats.org/officeDocument/2006/relationships/hyperlink" Target="http://www.legislation.gov.uk" TargetMode="Externa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image" Target="media/image3.png"/><Relationship Id="rId29" Type="http://schemas.openxmlformats.org/officeDocument/2006/relationships/hyperlink" Target="http://www.dekamer.be/doc/FLWB/pdf/55/1580/55K15800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4.xml"/><Relationship Id="rId32" Type="http://schemas.openxmlformats.org/officeDocument/2006/relationships/hyperlink" Target="http://www.teamjustitie.be/2022/11/06/een-nieuw-strafwetboek-aangepast-aan-de-21e-eeuw/"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2.png"/><Relationship Id="rId31" Type="http://schemas.openxmlformats.org/officeDocument/2006/relationships/hyperlink" Target="http://www.stat.policefederale.be/assets/pdf/crimestat/nationaal/rapport_2021_trim4_nat_belgie_nl.pdf?fbclid=IwAR0p4Hl285KEgcWxBQJ5WezjRhUXiTa-bMur7uFo3pAtvhxu9pVlzt-_4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hyperlink" Target="http://www.standaard.be/cnt/dmf20211112_97668733" TargetMode="External"/><Relationship Id="rId35" Type="http://schemas.openxmlformats.org/officeDocument/2006/relationships/footer" Target="footer19.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D2AC6-4B12-174A-AC10-B1073AFE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16011</TotalTime>
  <Pages>151</Pages>
  <Words>40322</Words>
  <Characters>221773</Characters>
  <Application>Microsoft Office Word</Application>
  <DocSecurity>0</DocSecurity>
  <Lines>1848</Lines>
  <Paragraphs>523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 Stiers</dc:creator>
  <cp:keywords/>
  <dc:description/>
  <cp:lastModifiedBy>STIERS Mariet</cp:lastModifiedBy>
  <cp:revision>6615</cp:revision>
  <cp:lastPrinted>2023-05-15T11:14:00Z</cp:lastPrinted>
  <dcterms:created xsi:type="dcterms:W3CDTF">2023-01-03T11:13:00Z</dcterms:created>
  <dcterms:modified xsi:type="dcterms:W3CDTF">2023-09-30T07:19:00Z</dcterms:modified>
</cp:coreProperties>
</file>