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84E0F" w14:textId="4E0AD9B5" w:rsidR="00317854" w:rsidRDefault="00317854">
      <w:pPr>
        <w:rPr>
          <w:rFonts w:ascii="Arial" w:hAnsi="Arial" w:cs="Arial"/>
          <w:b/>
          <w:bCs/>
        </w:rPr>
      </w:pPr>
    </w:p>
    <w:p w14:paraId="297C6E60" w14:textId="77777777" w:rsidR="009127F0" w:rsidRDefault="009127F0">
      <w:pPr>
        <w:rPr>
          <w:rFonts w:ascii="Arial" w:hAnsi="Arial" w:cs="Arial"/>
          <w:b/>
          <w:bCs/>
        </w:rPr>
      </w:pPr>
    </w:p>
    <w:p w14:paraId="7E0BE89C" w14:textId="77777777" w:rsidR="009127F0" w:rsidRDefault="009127F0">
      <w:pPr>
        <w:rPr>
          <w:rFonts w:ascii="Arial" w:hAnsi="Arial" w:cs="Arial"/>
          <w:b/>
          <w:bCs/>
        </w:rPr>
      </w:pPr>
    </w:p>
    <w:p w14:paraId="411D977E" w14:textId="77777777" w:rsidR="00D0135B" w:rsidRDefault="00D0135B">
      <w:pPr>
        <w:rPr>
          <w:rFonts w:ascii="Arial" w:hAnsi="Arial" w:cs="Arial"/>
          <w:b/>
          <w:bCs/>
        </w:rPr>
      </w:pPr>
    </w:p>
    <w:p w14:paraId="4BC2469D" w14:textId="77777777" w:rsidR="00D0135B" w:rsidRDefault="00D0135B">
      <w:pPr>
        <w:rPr>
          <w:rFonts w:ascii="Arial" w:hAnsi="Arial" w:cs="Arial"/>
          <w:b/>
          <w:bCs/>
        </w:rPr>
      </w:pPr>
    </w:p>
    <w:p w14:paraId="02044BBB" w14:textId="77777777" w:rsidR="00D0135B" w:rsidRDefault="00D0135B">
      <w:pPr>
        <w:rPr>
          <w:rFonts w:ascii="Arial" w:hAnsi="Arial" w:cs="Arial"/>
          <w:b/>
          <w:bCs/>
        </w:rPr>
      </w:pPr>
    </w:p>
    <w:p w14:paraId="36FE8E48" w14:textId="77777777" w:rsidR="009127F0" w:rsidRDefault="009127F0">
      <w:pPr>
        <w:rPr>
          <w:rFonts w:ascii="Arial" w:hAnsi="Arial" w:cs="Arial"/>
          <w:b/>
          <w:bCs/>
        </w:rPr>
      </w:pPr>
    </w:p>
    <w:p w14:paraId="7C53176E" w14:textId="77777777" w:rsidR="009127F0" w:rsidRDefault="009127F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Naam: Kimberly Bhikharie </w:t>
      </w:r>
    </w:p>
    <w:p w14:paraId="6D3B4D48" w14:textId="77777777" w:rsidR="00FC102F" w:rsidRDefault="009127F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Vak: </w:t>
      </w:r>
      <w:r w:rsidR="00FC102F">
        <w:rPr>
          <w:rFonts w:ascii="Arial" w:hAnsi="Arial" w:cs="Arial"/>
          <w:b/>
          <w:bCs/>
        </w:rPr>
        <w:t xml:space="preserve">Journalistiek </w:t>
      </w:r>
    </w:p>
    <w:p w14:paraId="114ECB73" w14:textId="4AB06C65" w:rsidR="00317854" w:rsidRDefault="003178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5995FA6" w14:textId="5C3DF53C" w:rsidR="009127F0" w:rsidRDefault="0001344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Titel</w:t>
      </w:r>
    </w:p>
    <w:p w14:paraId="252B9AE6" w14:textId="52D104FF" w:rsidR="0001344A" w:rsidRDefault="000134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“TechnoSoft’s Strijd Tegen </w:t>
      </w:r>
      <w:r w:rsidR="00DA6A41">
        <w:rPr>
          <w:rFonts w:ascii="Arial" w:hAnsi="Arial" w:cs="Arial"/>
        </w:rPr>
        <w:t xml:space="preserve">Digitale Bedreigingen: Risicomanagement </w:t>
      </w:r>
      <w:r w:rsidR="00D351FC">
        <w:rPr>
          <w:rFonts w:ascii="Arial" w:hAnsi="Arial" w:cs="Arial"/>
        </w:rPr>
        <w:t>in de Gezondheidszorg.</w:t>
      </w:r>
    </w:p>
    <w:p w14:paraId="644420AB" w14:textId="77777777" w:rsidR="00D351FC" w:rsidRDefault="00D351FC">
      <w:pPr>
        <w:rPr>
          <w:rFonts w:ascii="Arial" w:hAnsi="Arial" w:cs="Arial"/>
        </w:rPr>
      </w:pPr>
    </w:p>
    <w:p w14:paraId="188E66DF" w14:textId="40043E8E" w:rsidR="00D351FC" w:rsidRDefault="00D351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Inleiding: </w:t>
      </w:r>
    </w:p>
    <w:p w14:paraId="2FDFA29F" w14:textId="5720E385" w:rsidR="00D351FC" w:rsidRDefault="00D351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TechnoSoft, </w:t>
      </w:r>
      <w:r w:rsidR="009A72C0">
        <w:rPr>
          <w:rFonts w:ascii="Arial" w:hAnsi="Arial" w:cs="Arial"/>
        </w:rPr>
        <w:t xml:space="preserve">een groeiend softwarebedrijf dat cloud oplossingen ontwikkelt </w:t>
      </w:r>
      <w:r w:rsidR="00F40247">
        <w:rPr>
          <w:rFonts w:ascii="Arial" w:hAnsi="Arial" w:cs="Arial"/>
        </w:rPr>
        <w:t xml:space="preserve">voor de gezondheidszorg, staat voor grote uitdagingen. </w:t>
      </w:r>
      <w:r w:rsidR="00E85AB1">
        <w:rPr>
          <w:rFonts w:ascii="Arial" w:hAnsi="Arial" w:cs="Arial"/>
        </w:rPr>
        <w:t xml:space="preserve">Met innovatieve technologieën en een </w:t>
      </w:r>
      <w:r w:rsidR="00EE5E43">
        <w:rPr>
          <w:rFonts w:ascii="Arial" w:hAnsi="Arial" w:cs="Arial"/>
        </w:rPr>
        <w:t xml:space="preserve">marktgericht uitbreidingsplan, probeert </w:t>
      </w:r>
      <w:r w:rsidR="00CC63F3">
        <w:rPr>
          <w:rFonts w:ascii="Arial" w:hAnsi="Arial" w:cs="Arial"/>
        </w:rPr>
        <w:t xml:space="preserve">TechnoSoft zowel binnenlandse als internationale markten </w:t>
      </w:r>
      <w:r w:rsidR="00986F2E">
        <w:rPr>
          <w:rFonts w:ascii="Arial" w:hAnsi="Arial" w:cs="Arial"/>
        </w:rPr>
        <w:t xml:space="preserve">te veroveren. Toch brengt die ambitie aanzienlijke </w:t>
      </w:r>
      <w:r w:rsidR="00976D79">
        <w:rPr>
          <w:rFonts w:ascii="Arial" w:hAnsi="Arial" w:cs="Arial"/>
        </w:rPr>
        <w:t>risico’s met zich mee</w:t>
      </w:r>
      <w:r w:rsidR="00D33135">
        <w:rPr>
          <w:rFonts w:ascii="Arial" w:hAnsi="Arial" w:cs="Arial"/>
        </w:rPr>
        <w:t xml:space="preserve">, variërend van technologische </w:t>
      </w:r>
      <w:r w:rsidR="00FF3371">
        <w:rPr>
          <w:rFonts w:ascii="Arial" w:hAnsi="Arial" w:cs="Arial"/>
        </w:rPr>
        <w:t>kwetsbaarheden tot datapr</w:t>
      </w:r>
      <w:r w:rsidR="00A22B78">
        <w:rPr>
          <w:rFonts w:ascii="Arial" w:hAnsi="Arial" w:cs="Arial"/>
        </w:rPr>
        <w:t xml:space="preserve">ivacy vraagstukken. Hoe wapent TechnoSoft </w:t>
      </w:r>
      <w:r w:rsidR="005E1285">
        <w:rPr>
          <w:rFonts w:ascii="Arial" w:hAnsi="Arial" w:cs="Arial"/>
        </w:rPr>
        <w:t xml:space="preserve">zich tegen deze dreigingen, en welke rol speelt risicomanagement </w:t>
      </w:r>
      <w:r w:rsidR="00995894">
        <w:rPr>
          <w:rFonts w:ascii="Arial" w:hAnsi="Arial" w:cs="Arial"/>
        </w:rPr>
        <w:t xml:space="preserve">in hun strategie? </w:t>
      </w:r>
    </w:p>
    <w:p w14:paraId="60A4983F" w14:textId="77777777" w:rsidR="00995894" w:rsidRDefault="00995894">
      <w:pPr>
        <w:rPr>
          <w:rFonts w:ascii="Arial" w:hAnsi="Arial" w:cs="Arial"/>
        </w:rPr>
      </w:pPr>
    </w:p>
    <w:p w14:paraId="0FB67F7A" w14:textId="6691B39E" w:rsidR="00995894" w:rsidRDefault="00FD7F3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 Groeiende </w:t>
      </w:r>
      <w:r w:rsidR="00E7219C">
        <w:rPr>
          <w:rFonts w:ascii="Arial" w:hAnsi="Arial" w:cs="Arial"/>
          <w:b/>
          <w:bCs/>
        </w:rPr>
        <w:t>Dreiging van IT-falen</w:t>
      </w:r>
    </w:p>
    <w:p w14:paraId="0F219016" w14:textId="4E006BCE" w:rsidR="00E7219C" w:rsidRDefault="00E721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Een </w:t>
      </w:r>
      <w:r w:rsidR="00BC3368">
        <w:rPr>
          <w:rFonts w:ascii="Arial" w:hAnsi="Arial" w:cs="Arial"/>
        </w:rPr>
        <w:t xml:space="preserve">van de </w:t>
      </w:r>
      <w:r>
        <w:rPr>
          <w:rFonts w:ascii="Arial" w:hAnsi="Arial" w:cs="Arial"/>
        </w:rPr>
        <w:t xml:space="preserve">grootste </w:t>
      </w:r>
      <w:r w:rsidR="00BC3368">
        <w:rPr>
          <w:rFonts w:ascii="Arial" w:hAnsi="Arial" w:cs="Arial"/>
        </w:rPr>
        <w:t xml:space="preserve">risico’s waar TechnoSoft mee te maken </w:t>
      </w:r>
      <w:r w:rsidR="0058535E">
        <w:rPr>
          <w:rFonts w:ascii="Arial" w:hAnsi="Arial" w:cs="Arial"/>
        </w:rPr>
        <w:t xml:space="preserve">heeft, is een mogelijke IT-storing. </w:t>
      </w:r>
      <w:r w:rsidR="00002221">
        <w:rPr>
          <w:rFonts w:ascii="Arial" w:hAnsi="Arial" w:cs="Arial"/>
        </w:rPr>
        <w:t>Eén enkele technische fout kan niet alleen de bedrijf</w:t>
      </w:r>
      <w:r w:rsidR="009E5FAA">
        <w:rPr>
          <w:rFonts w:ascii="Arial" w:hAnsi="Arial" w:cs="Arial"/>
        </w:rPr>
        <w:t xml:space="preserve">scontinuiteit in gevaar brengen, </w:t>
      </w:r>
      <w:r w:rsidR="00F11B4A">
        <w:rPr>
          <w:rFonts w:ascii="Arial" w:hAnsi="Arial" w:cs="Arial"/>
        </w:rPr>
        <w:t xml:space="preserve">maar ook aanzienlijke financiële en reputatieschade veroorzaken. </w:t>
      </w:r>
      <w:r w:rsidR="004D0878">
        <w:rPr>
          <w:rFonts w:ascii="Arial" w:hAnsi="Arial" w:cs="Arial"/>
        </w:rPr>
        <w:t xml:space="preserve">Vooral in de gezondheidszorg, waar TechnoSoft zich op richt, kan een IT-storing </w:t>
      </w:r>
      <w:r w:rsidR="00CC191E">
        <w:rPr>
          <w:rFonts w:ascii="Arial" w:hAnsi="Arial" w:cs="Arial"/>
        </w:rPr>
        <w:t>ernstige gevolgen hebben voor de dataveiligheid van patiënten.</w:t>
      </w:r>
    </w:p>
    <w:p w14:paraId="5B3287EE" w14:textId="77777777" w:rsidR="00CC191E" w:rsidRDefault="00CC191E">
      <w:pPr>
        <w:rPr>
          <w:rFonts w:ascii="Arial" w:hAnsi="Arial" w:cs="Arial"/>
        </w:rPr>
      </w:pPr>
    </w:p>
    <w:p w14:paraId="52D50105" w14:textId="77777777" w:rsidR="00CC191E" w:rsidRDefault="00CC191E">
      <w:pPr>
        <w:rPr>
          <w:rFonts w:ascii="Arial" w:hAnsi="Arial" w:cs="Arial"/>
        </w:rPr>
      </w:pPr>
    </w:p>
    <w:p w14:paraId="4B6FDC90" w14:textId="7460544A" w:rsidR="00D0135B" w:rsidRDefault="00D0135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Bescherming </w:t>
      </w:r>
      <w:r w:rsidR="00961D05">
        <w:rPr>
          <w:rFonts w:ascii="Arial" w:hAnsi="Arial" w:cs="Arial"/>
          <w:b/>
          <w:bCs/>
        </w:rPr>
        <w:t xml:space="preserve">van Gevoelige Data: </w:t>
      </w:r>
    </w:p>
    <w:p w14:paraId="2EA71AC3" w14:textId="144C816F" w:rsidR="00961D05" w:rsidRDefault="00961D0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GDPR en </w:t>
      </w:r>
      <w:r w:rsidR="00A00C67">
        <w:rPr>
          <w:rFonts w:ascii="Arial" w:hAnsi="Arial" w:cs="Arial"/>
          <w:b/>
          <w:bCs/>
        </w:rPr>
        <w:t xml:space="preserve">Privacy kwesties </w:t>
      </w:r>
    </w:p>
    <w:p w14:paraId="7869A388" w14:textId="7D060145" w:rsidR="00A00C67" w:rsidRDefault="00A00C67">
      <w:pPr>
        <w:rPr>
          <w:rFonts w:ascii="Arial" w:hAnsi="Arial" w:cs="Arial"/>
        </w:rPr>
      </w:pPr>
      <w:r>
        <w:rPr>
          <w:rFonts w:ascii="Arial" w:hAnsi="Arial" w:cs="Arial"/>
        </w:rPr>
        <w:t>De invoering van de GDPR (</w:t>
      </w:r>
      <w:r w:rsidR="00AF151D">
        <w:rPr>
          <w:rFonts w:ascii="Arial" w:hAnsi="Arial" w:cs="Arial"/>
        </w:rPr>
        <w:t xml:space="preserve">AVG in het Nederlands) bracht in 2018 </w:t>
      </w:r>
      <w:r w:rsidR="00A156AD">
        <w:rPr>
          <w:rFonts w:ascii="Arial" w:hAnsi="Arial" w:cs="Arial"/>
        </w:rPr>
        <w:t xml:space="preserve">strengere eisen voor de verwerking van persoonlijke gegevens. </w:t>
      </w:r>
      <w:r w:rsidR="00427650">
        <w:rPr>
          <w:rFonts w:ascii="Arial" w:hAnsi="Arial" w:cs="Arial"/>
        </w:rPr>
        <w:t>TechnoSoft heeft te maken met gevoelige patiëntendata</w:t>
      </w:r>
      <w:r w:rsidR="00D15FDE">
        <w:rPr>
          <w:rFonts w:ascii="Arial" w:hAnsi="Arial" w:cs="Arial"/>
        </w:rPr>
        <w:t xml:space="preserve">, wat betekent dat zelfs kleine fouten in gegevensbescherming </w:t>
      </w:r>
      <w:r w:rsidR="008318AE">
        <w:rPr>
          <w:rFonts w:ascii="Arial" w:hAnsi="Arial" w:cs="Arial"/>
        </w:rPr>
        <w:t xml:space="preserve">ernstige juridische gevolgen kunnen hebben. Om te voldoen </w:t>
      </w:r>
      <w:r w:rsidR="00380D90">
        <w:rPr>
          <w:rFonts w:ascii="Arial" w:hAnsi="Arial" w:cs="Arial"/>
        </w:rPr>
        <w:t xml:space="preserve">aan deze regelgeving, investeert het bedrijf in continue </w:t>
      </w:r>
      <w:r w:rsidR="00987B53">
        <w:rPr>
          <w:rFonts w:ascii="Arial" w:hAnsi="Arial" w:cs="Arial"/>
        </w:rPr>
        <w:t xml:space="preserve">training voor medewerkers en strikte controle mechanismen </w:t>
      </w:r>
      <w:r w:rsidR="009848B6">
        <w:rPr>
          <w:rFonts w:ascii="Arial" w:hAnsi="Arial" w:cs="Arial"/>
        </w:rPr>
        <w:t>om datalekken te voorkomen.</w:t>
      </w:r>
    </w:p>
    <w:p w14:paraId="42AFF8A3" w14:textId="77777777" w:rsidR="009848B6" w:rsidRDefault="009848B6">
      <w:pPr>
        <w:rPr>
          <w:rFonts w:ascii="Arial" w:hAnsi="Arial" w:cs="Arial"/>
        </w:rPr>
      </w:pPr>
    </w:p>
    <w:p w14:paraId="50C3F278" w14:textId="77777777" w:rsidR="009848B6" w:rsidRDefault="009848B6">
      <w:pPr>
        <w:rPr>
          <w:rFonts w:ascii="Arial" w:hAnsi="Arial" w:cs="Arial"/>
        </w:rPr>
      </w:pPr>
    </w:p>
    <w:p w14:paraId="2C4F0188" w14:textId="77777777" w:rsidR="009848B6" w:rsidRDefault="009848B6">
      <w:pPr>
        <w:rPr>
          <w:rFonts w:ascii="Arial" w:hAnsi="Arial" w:cs="Arial"/>
        </w:rPr>
      </w:pPr>
    </w:p>
    <w:p w14:paraId="3CD5B26E" w14:textId="77777777" w:rsidR="009848B6" w:rsidRDefault="009848B6">
      <w:pPr>
        <w:rPr>
          <w:rFonts w:ascii="Arial" w:hAnsi="Arial" w:cs="Arial"/>
        </w:rPr>
      </w:pPr>
    </w:p>
    <w:p w14:paraId="2229153D" w14:textId="77777777" w:rsidR="009848B6" w:rsidRDefault="009848B6">
      <w:pPr>
        <w:rPr>
          <w:rFonts w:ascii="Arial" w:hAnsi="Arial" w:cs="Arial"/>
        </w:rPr>
      </w:pPr>
    </w:p>
    <w:p w14:paraId="40864CCB" w14:textId="4114972B" w:rsidR="009848B6" w:rsidRDefault="001173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Personeelstekorten en Innovatie </w:t>
      </w:r>
      <w:r w:rsidR="00AA08FB">
        <w:rPr>
          <w:rFonts w:ascii="Arial" w:hAnsi="Arial" w:cs="Arial"/>
          <w:b/>
          <w:bCs/>
        </w:rPr>
        <w:t xml:space="preserve">vermogen </w:t>
      </w:r>
    </w:p>
    <w:p w14:paraId="45FEF67C" w14:textId="510B0ADE" w:rsidR="00AA08FB" w:rsidRDefault="00AA08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Een andere uitdaging voor TechnoSoft is het </w:t>
      </w:r>
      <w:r w:rsidR="00383FF0">
        <w:rPr>
          <w:rFonts w:ascii="Arial" w:hAnsi="Arial" w:cs="Arial"/>
        </w:rPr>
        <w:t xml:space="preserve">aantrekken en behouden van getalenteerd personeel. </w:t>
      </w:r>
      <w:r w:rsidR="005D270D">
        <w:rPr>
          <w:rFonts w:ascii="Arial" w:hAnsi="Arial" w:cs="Arial"/>
        </w:rPr>
        <w:t>Innovatie is een kernwaarde van het bedrijf</w:t>
      </w:r>
      <w:r w:rsidR="00276668">
        <w:rPr>
          <w:rFonts w:ascii="Arial" w:hAnsi="Arial" w:cs="Arial"/>
        </w:rPr>
        <w:t xml:space="preserve">, maar dit is afhankelijk van de beschikbaarheid </w:t>
      </w:r>
      <w:r w:rsidR="00623304">
        <w:rPr>
          <w:rFonts w:ascii="Arial" w:hAnsi="Arial" w:cs="Arial"/>
        </w:rPr>
        <w:t xml:space="preserve">van gekwalificeerde IT-professionals. De krapte op de arbeidsmarkt </w:t>
      </w:r>
      <w:r w:rsidR="005823BB">
        <w:rPr>
          <w:rFonts w:ascii="Arial" w:hAnsi="Arial" w:cs="Arial"/>
        </w:rPr>
        <w:t xml:space="preserve">dwingt TechnoSoft om nieuwe strategieën te ontwikkelen om werknemers </w:t>
      </w:r>
      <w:r w:rsidR="00124840">
        <w:rPr>
          <w:rFonts w:ascii="Arial" w:hAnsi="Arial" w:cs="Arial"/>
        </w:rPr>
        <w:t>te werven en betrokken te houden.</w:t>
      </w:r>
    </w:p>
    <w:p w14:paraId="14FC0392" w14:textId="77777777" w:rsidR="00124840" w:rsidRDefault="00124840">
      <w:pPr>
        <w:rPr>
          <w:rFonts w:ascii="Arial" w:hAnsi="Arial" w:cs="Arial"/>
        </w:rPr>
      </w:pPr>
    </w:p>
    <w:p w14:paraId="60A63721" w14:textId="6FD7D0B7" w:rsidR="00124840" w:rsidRDefault="008C183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Conclusie:Vooruit kijken met Risicomanagement </w:t>
      </w:r>
    </w:p>
    <w:p w14:paraId="4D735C3C" w14:textId="64F65B7E" w:rsidR="008C183B" w:rsidRDefault="004A3D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Het Risicomanagement van TechnoSoft richt zich op het identificeren </w:t>
      </w:r>
      <w:r w:rsidR="00D0232C">
        <w:rPr>
          <w:rFonts w:ascii="Arial" w:hAnsi="Arial" w:cs="Arial"/>
        </w:rPr>
        <w:t xml:space="preserve">en beheersen van risico’s om zo de bedrijfsdoelen </w:t>
      </w:r>
      <w:r w:rsidR="00D73DE2">
        <w:rPr>
          <w:rFonts w:ascii="Arial" w:hAnsi="Arial" w:cs="Arial"/>
        </w:rPr>
        <w:t xml:space="preserve">veilig te stellen. Door risico’s als IT-falen, </w:t>
      </w:r>
      <w:r w:rsidR="00312A28">
        <w:rPr>
          <w:rFonts w:ascii="Arial" w:hAnsi="Arial" w:cs="Arial"/>
        </w:rPr>
        <w:t xml:space="preserve">dataprivacy en personeelstekorten proactief </w:t>
      </w:r>
      <w:r w:rsidR="0071175D">
        <w:rPr>
          <w:rFonts w:ascii="Arial" w:hAnsi="Arial" w:cs="Arial"/>
        </w:rPr>
        <w:t xml:space="preserve">aan te pakken, kan TechnoSoft haar positie versterken </w:t>
      </w:r>
      <w:r w:rsidR="006544CA">
        <w:rPr>
          <w:rFonts w:ascii="Arial" w:hAnsi="Arial" w:cs="Arial"/>
        </w:rPr>
        <w:t xml:space="preserve">in de competitieve </w:t>
      </w:r>
      <w:r w:rsidR="00F87C67">
        <w:rPr>
          <w:rFonts w:ascii="Arial" w:hAnsi="Arial" w:cs="Arial"/>
        </w:rPr>
        <w:t xml:space="preserve">markt van gezondheidszorg software. Voor bedrijven </w:t>
      </w:r>
      <w:r w:rsidR="00F86041">
        <w:rPr>
          <w:rFonts w:ascii="Arial" w:hAnsi="Arial" w:cs="Arial"/>
        </w:rPr>
        <w:t xml:space="preserve">die willen groeien en innoveren, is risicomanagement </w:t>
      </w:r>
      <w:r w:rsidR="0060746A">
        <w:rPr>
          <w:rFonts w:ascii="Arial" w:hAnsi="Arial" w:cs="Arial"/>
        </w:rPr>
        <w:t>geen overbodige luxe, maar een strategische noodzaak.</w:t>
      </w:r>
    </w:p>
    <w:p w14:paraId="38D2C625" w14:textId="77777777" w:rsidR="0060746A" w:rsidRDefault="0060746A">
      <w:pPr>
        <w:rPr>
          <w:rFonts w:ascii="Arial" w:hAnsi="Arial" w:cs="Arial"/>
        </w:rPr>
      </w:pPr>
    </w:p>
    <w:p w14:paraId="1EE8A8E9" w14:textId="5DC98451" w:rsidR="0060746A" w:rsidRDefault="0004477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Afbeeldingen en Grafieken </w:t>
      </w:r>
    </w:p>
    <w:p w14:paraId="101D5B97" w14:textId="6EF1284E" w:rsidR="00044778" w:rsidRPr="00044778" w:rsidRDefault="000447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Illustraties zoals een grafiek </w:t>
      </w:r>
      <w:r w:rsidR="00550EDE">
        <w:rPr>
          <w:rFonts w:ascii="Arial" w:hAnsi="Arial" w:cs="Arial"/>
        </w:rPr>
        <w:t xml:space="preserve">van IT- uitvalfrequentie, een diagram </w:t>
      </w:r>
      <w:r w:rsidR="00B10E0A">
        <w:rPr>
          <w:rFonts w:ascii="Arial" w:hAnsi="Arial" w:cs="Arial"/>
        </w:rPr>
        <w:t xml:space="preserve">van gegevens beveiligingsprocessen </w:t>
      </w:r>
      <w:r w:rsidR="00E16FEF">
        <w:rPr>
          <w:rFonts w:ascii="Arial" w:hAnsi="Arial" w:cs="Arial"/>
        </w:rPr>
        <w:t xml:space="preserve">of een infographic van </w:t>
      </w:r>
      <w:r w:rsidR="00420183">
        <w:rPr>
          <w:rFonts w:ascii="Arial" w:hAnsi="Arial" w:cs="Arial"/>
        </w:rPr>
        <w:t xml:space="preserve">personeelstekorten in de IT-sector zouden dit artikel </w:t>
      </w:r>
      <w:r w:rsidR="006A2512">
        <w:rPr>
          <w:rFonts w:ascii="Arial" w:hAnsi="Arial" w:cs="Arial"/>
        </w:rPr>
        <w:t xml:space="preserve">visueel kunnen versterken </w:t>
      </w:r>
    </w:p>
    <w:p w14:paraId="0567F005" w14:textId="77777777" w:rsidR="00D0135B" w:rsidRDefault="00D0135B">
      <w:pPr>
        <w:rPr>
          <w:rFonts w:ascii="Arial" w:hAnsi="Arial" w:cs="Arial"/>
        </w:rPr>
      </w:pPr>
    </w:p>
    <w:p w14:paraId="776296BA" w14:textId="77777777" w:rsidR="00D0135B" w:rsidRDefault="00D0135B">
      <w:pPr>
        <w:rPr>
          <w:rFonts w:ascii="Arial" w:hAnsi="Arial" w:cs="Arial"/>
        </w:rPr>
      </w:pPr>
    </w:p>
    <w:p w14:paraId="78FE49C7" w14:textId="77777777" w:rsidR="00D0135B" w:rsidRDefault="00D0135B">
      <w:pPr>
        <w:rPr>
          <w:rFonts w:ascii="Arial" w:hAnsi="Arial" w:cs="Arial"/>
        </w:rPr>
      </w:pPr>
    </w:p>
    <w:p w14:paraId="05F3A57F" w14:textId="77777777" w:rsidR="00D0135B" w:rsidRDefault="00D0135B">
      <w:pPr>
        <w:rPr>
          <w:rFonts w:ascii="Arial" w:hAnsi="Arial" w:cs="Arial"/>
        </w:rPr>
      </w:pPr>
    </w:p>
    <w:p w14:paraId="52A7BEEC" w14:textId="77777777" w:rsidR="00D0135B" w:rsidRDefault="00D0135B">
      <w:pPr>
        <w:rPr>
          <w:rFonts w:ascii="Arial" w:hAnsi="Arial" w:cs="Arial"/>
        </w:rPr>
      </w:pPr>
    </w:p>
    <w:p w14:paraId="25886285" w14:textId="77777777" w:rsidR="00D0135B" w:rsidRDefault="00D0135B">
      <w:pPr>
        <w:rPr>
          <w:rFonts w:ascii="Arial" w:hAnsi="Arial" w:cs="Arial"/>
        </w:rPr>
      </w:pPr>
    </w:p>
    <w:p w14:paraId="18D2B8F3" w14:textId="77777777" w:rsidR="00D0135B" w:rsidRDefault="00D0135B">
      <w:pPr>
        <w:rPr>
          <w:rFonts w:ascii="Arial" w:hAnsi="Arial" w:cs="Arial"/>
        </w:rPr>
      </w:pPr>
    </w:p>
    <w:p w14:paraId="1EF2AF45" w14:textId="77777777" w:rsidR="00D0135B" w:rsidRDefault="00D0135B">
      <w:pPr>
        <w:rPr>
          <w:rFonts w:ascii="Arial" w:hAnsi="Arial" w:cs="Arial"/>
        </w:rPr>
      </w:pPr>
    </w:p>
    <w:p w14:paraId="674A68B3" w14:textId="77777777" w:rsidR="00D0135B" w:rsidRDefault="00D0135B">
      <w:pPr>
        <w:rPr>
          <w:rFonts w:ascii="Arial" w:hAnsi="Arial" w:cs="Arial"/>
        </w:rPr>
      </w:pPr>
    </w:p>
    <w:p w14:paraId="7FDF9173" w14:textId="77777777" w:rsidR="00D0135B" w:rsidRDefault="00D0135B">
      <w:pPr>
        <w:rPr>
          <w:rFonts w:ascii="Arial" w:hAnsi="Arial" w:cs="Arial"/>
        </w:rPr>
      </w:pPr>
    </w:p>
    <w:p w14:paraId="15C4F417" w14:textId="77777777" w:rsidR="00D0135B" w:rsidRDefault="00D0135B">
      <w:pPr>
        <w:rPr>
          <w:rFonts w:ascii="Arial" w:hAnsi="Arial" w:cs="Arial"/>
        </w:rPr>
      </w:pPr>
    </w:p>
    <w:p w14:paraId="60332EDA" w14:textId="77777777" w:rsidR="00D0135B" w:rsidRDefault="00D0135B">
      <w:pPr>
        <w:rPr>
          <w:rFonts w:ascii="Arial" w:hAnsi="Arial" w:cs="Arial"/>
        </w:rPr>
      </w:pPr>
    </w:p>
    <w:p w14:paraId="630F90AF" w14:textId="77777777" w:rsidR="00D0135B" w:rsidRDefault="00D0135B">
      <w:pPr>
        <w:rPr>
          <w:rFonts w:ascii="Arial" w:hAnsi="Arial" w:cs="Arial"/>
        </w:rPr>
      </w:pPr>
    </w:p>
    <w:p w14:paraId="7DCD5B74" w14:textId="77777777" w:rsidR="00D0135B" w:rsidRPr="00E7219C" w:rsidRDefault="00D0135B">
      <w:pPr>
        <w:rPr>
          <w:rFonts w:ascii="Arial" w:hAnsi="Arial" w:cs="Arial"/>
        </w:rPr>
      </w:pPr>
    </w:p>
    <w:p w14:paraId="0FE6892A" w14:textId="77777777" w:rsidR="009127F0" w:rsidRDefault="009127F0">
      <w:pPr>
        <w:rPr>
          <w:rFonts w:ascii="Arial" w:hAnsi="Arial" w:cs="Arial"/>
          <w:b/>
          <w:bCs/>
        </w:rPr>
      </w:pPr>
    </w:p>
    <w:p w14:paraId="7FE6A312" w14:textId="77777777" w:rsidR="00317854" w:rsidRPr="00317854" w:rsidRDefault="00317854">
      <w:pPr>
        <w:rPr>
          <w:rFonts w:ascii="Arial" w:hAnsi="Arial" w:cs="Arial"/>
          <w:b/>
          <w:bCs/>
        </w:rPr>
      </w:pPr>
    </w:p>
    <w:sectPr w:rsidR="00317854" w:rsidRPr="00317854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6642A" w14:textId="77777777" w:rsidR="00C35C9E" w:rsidRDefault="00C35C9E" w:rsidP="009127F0">
      <w:pPr>
        <w:spacing w:after="0" w:line="240" w:lineRule="auto"/>
      </w:pPr>
      <w:r>
        <w:separator/>
      </w:r>
    </w:p>
  </w:endnote>
  <w:endnote w:type="continuationSeparator" w:id="0">
    <w:p w14:paraId="56C18BF6" w14:textId="77777777" w:rsidR="00C35C9E" w:rsidRDefault="00C35C9E" w:rsidP="00912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-1996477907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A5BBA4E" w14:textId="1A463FB3" w:rsidR="009127F0" w:rsidRDefault="009127F0" w:rsidP="00FE640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A8C3826" w14:textId="77777777" w:rsidR="009127F0" w:rsidRDefault="009127F0" w:rsidP="009127F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inanummer"/>
      </w:rPr>
      <w:id w:val="-1653285244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B9F03F4" w14:textId="4B560E02" w:rsidR="009127F0" w:rsidRDefault="009127F0" w:rsidP="00FE640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55A3B1BE" w14:textId="77777777" w:rsidR="009127F0" w:rsidRDefault="009127F0" w:rsidP="009127F0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B2600" w14:textId="77777777" w:rsidR="00C35C9E" w:rsidRDefault="00C35C9E" w:rsidP="009127F0">
      <w:pPr>
        <w:spacing w:after="0" w:line="240" w:lineRule="auto"/>
      </w:pPr>
      <w:r>
        <w:separator/>
      </w:r>
    </w:p>
  </w:footnote>
  <w:footnote w:type="continuationSeparator" w:id="0">
    <w:p w14:paraId="3C171A65" w14:textId="77777777" w:rsidR="00C35C9E" w:rsidRDefault="00C35C9E" w:rsidP="009127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54"/>
    <w:rsid w:val="00002221"/>
    <w:rsid w:val="0001344A"/>
    <w:rsid w:val="00044778"/>
    <w:rsid w:val="001173F6"/>
    <w:rsid w:val="00124840"/>
    <w:rsid w:val="0025569D"/>
    <w:rsid w:val="00276668"/>
    <w:rsid w:val="00312A28"/>
    <w:rsid w:val="00317854"/>
    <w:rsid w:val="00380D90"/>
    <w:rsid w:val="00383FF0"/>
    <w:rsid w:val="00420183"/>
    <w:rsid w:val="00427650"/>
    <w:rsid w:val="004A3D60"/>
    <w:rsid w:val="004D0878"/>
    <w:rsid w:val="00550EDE"/>
    <w:rsid w:val="005823BB"/>
    <w:rsid w:val="0058535E"/>
    <w:rsid w:val="005D270D"/>
    <w:rsid w:val="005E1285"/>
    <w:rsid w:val="0060746A"/>
    <w:rsid w:val="00623304"/>
    <w:rsid w:val="006544CA"/>
    <w:rsid w:val="006A2512"/>
    <w:rsid w:val="0071175D"/>
    <w:rsid w:val="008318AE"/>
    <w:rsid w:val="008C183B"/>
    <w:rsid w:val="009127F0"/>
    <w:rsid w:val="00961D05"/>
    <w:rsid w:val="00976D79"/>
    <w:rsid w:val="009848B6"/>
    <w:rsid w:val="00986F2E"/>
    <w:rsid w:val="00987B53"/>
    <w:rsid w:val="00995894"/>
    <w:rsid w:val="009A72C0"/>
    <w:rsid w:val="009E5FAA"/>
    <w:rsid w:val="00A00C67"/>
    <w:rsid w:val="00A156AD"/>
    <w:rsid w:val="00A22B78"/>
    <w:rsid w:val="00A261F5"/>
    <w:rsid w:val="00AA08FB"/>
    <w:rsid w:val="00AF151D"/>
    <w:rsid w:val="00B10E0A"/>
    <w:rsid w:val="00BC3368"/>
    <w:rsid w:val="00C35C9E"/>
    <w:rsid w:val="00CC191E"/>
    <w:rsid w:val="00CC63F3"/>
    <w:rsid w:val="00D0135B"/>
    <w:rsid w:val="00D0232C"/>
    <w:rsid w:val="00D15FDE"/>
    <w:rsid w:val="00D33135"/>
    <w:rsid w:val="00D351FC"/>
    <w:rsid w:val="00D73DE2"/>
    <w:rsid w:val="00DA6A41"/>
    <w:rsid w:val="00E16FEF"/>
    <w:rsid w:val="00E7219C"/>
    <w:rsid w:val="00E85AB1"/>
    <w:rsid w:val="00EE5E43"/>
    <w:rsid w:val="00F11B4A"/>
    <w:rsid w:val="00F40247"/>
    <w:rsid w:val="00F5309E"/>
    <w:rsid w:val="00F86041"/>
    <w:rsid w:val="00F87C67"/>
    <w:rsid w:val="00FC102F"/>
    <w:rsid w:val="00FD7F33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3CC9391"/>
  <w15:chartTrackingRefBased/>
  <w15:docId w15:val="{CC85C72F-6FEE-C145-8C66-EAAA43E7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US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7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7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7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7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7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7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7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7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7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7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7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7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785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785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785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785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785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78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7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7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7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7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17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78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178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1785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7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785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785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12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27F0"/>
  </w:style>
  <w:style w:type="paragraph" w:styleId="Voettekst">
    <w:name w:val="footer"/>
    <w:basedOn w:val="Standaard"/>
    <w:link w:val="VoettekstChar"/>
    <w:uiPriority w:val="99"/>
    <w:unhideWhenUsed/>
    <w:rsid w:val="009127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27F0"/>
  </w:style>
  <w:style w:type="character" w:styleId="Paginanummer">
    <w:name w:val="page number"/>
    <w:basedOn w:val="Standaardalinea-lettertype"/>
    <w:uiPriority w:val="99"/>
    <w:semiHidden/>
    <w:unhideWhenUsed/>
    <w:rsid w:val="00912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bhikharie</dc:creator>
  <cp:keywords/>
  <dc:description/>
  <cp:lastModifiedBy>kimberly bhikharie</cp:lastModifiedBy>
  <cp:revision>2</cp:revision>
  <dcterms:created xsi:type="dcterms:W3CDTF">2024-11-09T17:52:00Z</dcterms:created>
  <dcterms:modified xsi:type="dcterms:W3CDTF">2024-11-09T17:52:00Z</dcterms:modified>
</cp:coreProperties>
</file>