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1EF06" w14:textId="77777777" w:rsidR="00A47803" w:rsidRPr="00C96D5C" w:rsidRDefault="00A47803" w:rsidP="00A47803">
      <w:pPr>
        <w:pStyle w:val="Academiejaar"/>
      </w:pPr>
      <w:r w:rsidRPr="00C96D5C">
        <w:rPr>
          <w:rStyle w:val="Zwaar"/>
        </w:rPr>
        <w:t>Academiejaar</w:t>
      </w:r>
    </w:p>
    <w:p w14:paraId="0F9BAC46" w14:textId="0CBB2F67" w:rsidR="00A47803" w:rsidRPr="00C96D5C" w:rsidRDefault="00A47803" w:rsidP="00A47803">
      <w:pPr>
        <w:pStyle w:val="Jaartallen"/>
        <w:rPr>
          <w:lang w:val="nl-BE"/>
        </w:rPr>
      </w:pPr>
      <w:r w:rsidRPr="00C96D5C">
        <w:rPr>
          <w:lang w:val="nl-BE"/>
        </w:rPr>
        <w:t>202</w:t>
      </w:r>
      <w:r w:rsidR="0084599B">
        <w:rPr>
          <w:lang w:val="nl-BE"/>
        </w:rPr>
        <w:t>4</w:t>
      </w:r>
      <w:r w:rsidRPr="00C96D5C">
        <w:rPr>
          <w:lang w:val="nl-BE"/>
        </w:rPr>
        <w:t xml:space="preserve"> - 202</w:t>
      </w:r>
      <w:r w:rsidR="0084599B">
        <w:rPr>
          <w:lang w:val="nl-BE"/>
        </w:rPr>
        <w:t>5</w:t>
      </w:r>
    </w:p>
    <w:p w14:paraId="7BF8313A" w14:textId="58DDEA0C" w:rsidR="00B81599" w:rsidRPr="00C96D5C" w:rsidRDefault="00B81599" w:rsidP="00B81599">
      <w:pPr>
        <w:suppressAutoHyphens/>
        <w:rPr>
          <w:rFonts w:ascii="Calibri" w:eastAsia="Calibri" w:hAnsi="Calibri" w:cs="Times New Roman"/>
          <w:sz w:val="36"/>
          <w:szCs w:val="36"/>
          <w:lang w:val="nl-BE"/>
        </w:rPr>
      </w:pPr>
    </w:p>
    <w:p w14:paraId="5468B59C" w14:textId="77777777" w:rsidR="00D55BF0" w:rsidRPr="00C96D5C" w:rsidRDefault="00D55BF0" w:rsidP="00B81599">
      <w:pPr>
        <w:suppressAutoHyphens/>
        <w:rPr>
          <w:rFonts w:ascii="Calibri" w:eastAsia="Calibri" w:hAnsi="Calibri" w:cs="Times New Roman"/>
          <w:sz w:val="36"/>
          <w:szCs w:val="36"/>
          <w:lang w:val="nl-BE"/>
        </w:rPr>
      </w:pPr>
    </w:p>
    <w:p w14:paraId="2847C3D0" w14:textId="05736669" w:rsidR="00D55BF0" w:rsidRPr="0084599B" w:rsidRDefault="0084599B" w:rsidP="0084599B">
      <w:pPr>
        <w:pStyle w:val="TitelmetfaculteitskleurBold"/>
        <w:rPr>
          <w:sz w:val="52"/>
          <w:szCs w:val="52"/>
          <w:lang w:val="nl-BE"/>
        </w:rPr>
      </w:pPr>
      <w:r w:rsidRPr="0084599B">
        <w:rPr>
          <w:sz w:val="52"/>
          <w:szCs w:val="52"/>
          <w:lang w:val="nl-BE"/>
        </w:rPr>
        <w:t xml:space="preserve">De </w:t>
      </w:r>
      <w:r w:rsidRPr="00BF4875">
        <w:rPr>
          <w:sz w:val="52"/>
          <w:szCs w:val="52"/>
          <w:lang w:val="nl-NL"/>
        </w:rPr>
        <w:t>vergunning</w:t>
      </w:r>
      <w:r w:rsidRPr="0084599B">
        <w:rPr>
          <w:sz w:val="52"/>
          <w:szCs w:val="52"/>
          <w:lang w:val="nl-BE"/>
        </w:rPr>
        <w:t xml:space="preserve"> van projecten voor hernieuwbare energie: omgevings- en klimaatrecht als elkaars concurrenten?</w:t>
      </w:r>
    </w:p>
    <w:p w14:paraId="2676CA4E" w14:textId="77777777" w:rsidR="003264E8" w:rsidRPr="00C96D5C" w:rsidRDefault="003264E8" w:rsidP="003264E8">
      <w:pPr>
        <w:pStyle w:val="Geenafstand"/>
      </w:pPr>
    </w:p>
    <w:p w14:paraId="574E7132" w14:textId="07528EF7" w:rsidR="00D55BF0" w:rsidRPr="00C96D5C" w:rsidRDefault="0084599B" w:rsidP="007E7E29">
      <w:pPr>
        <w:pStyle w:val="Naamstudent"/>
      </w:pPr>
      <w:r>
        <w:t>Thomas Piot</w:t>
      </w:r>
    </w:p>
    <w:p w14:paraId="1578E5E1" w14:textId="77777777" w:rsidR="00B81599" w:rsidRPr="00C96D5C" w:rsidRDefault="00B81599" w:rsidP="00B81599">
      <w:pPr>
        <w:suppressAutoHyphens/>
        <w:spacing w:after="160"/>
        <w:rPr>
          <w:rFonts w:ascii="Calibri" w:eastAsia="Calibri" w:hAnsi="Calibri" w:cs="Times New Roman"/>
          <w:lang w:val="nl-BE"/>
        </w:rPr>
      </w:pPr>
    </w:p>
    <w:p w14:paraId="5A17A50E" w14:textId="77777777" w:rsidR="00B81599" w:rsidRPr="00C96D5C" w:rsidRDefault="00B81599" w:rsidP="00B81599">
      <w:pPr>
        <w:suppressAutoHyphens/>
        <w:spacing w:after="160"/>
        <w:rPr>
          <w:rFonts w:ascii="Calibri" w:eastAsia="Calibri" w:hAnsi="Calibri" w:cs="Times New Roman"/>
          <w:lang w:val="nl-BE"/>
        </w:rPr>
      </w:pPr>
    </w:p>
    <w:p w14:paraId="65303899" w14:textId="77777777" w:rsidR="00B81599" w:rsidRPr="00C96D5C" w:rsidRDefault="00B81599" w:rsidP="00B81599">
      <w:pPr>
        <w:suppressAutoHyphens/>
        <w:spacing w:after="160"/>
        <w:rPr>
          <w:rFonts w:ascii="Calibri" w:eastAsia="Calibri" w:hAnsi="Calibri" w:cs="Times New Roman"/>
          <w:lang w:val="nl-BE"/>
        </w:rPr>
      </w:pPr>
    </w:p>
    <w:p w14:paraId="05F83E4C" w14:textId="77777777" w:rsidR="00B81599" w:rsidRPr="00C96D5C" w:rsidRDefault="00B81599" w:rsidP="00B81599">
      <w:pPr>
        <w:suppressAutoHyphens/>
        <w:rPr>
          <w:rFonts w:ascii="Calibri" w:eastAsia="Calibri" w:hAnsi="Calibri" w:cs="Times New Roman"/>
          <w:sz w:val="36"/>
          <w:szCs w:val="36"/>
          <w:lang w:val="nl-BE"/>
        </w:rPr>
      </w:pPr>
    </w:p>
    <w:sdt>
      <w:sdtPr>
        <w:rPr>
          <w:lang w:val="nl-BE"/>
        </w:rPr>
        <w:id w:val="1782754835"/>
        <w:placeholder>
          <w:docPart w:val="DefaultPlaceholder_-1854013438"/>
        </w:placeholder>
        <w:dropDownList>
          <w:listItem w:displayText="[Kies Master]" w:value="[Kies Master]"/>
          <w:listItem w:displayText="Master in de rechten" w:value="Master in de rechten"/>
          <w:listItem w:displayText="Master in de rechten: fiscaal recht" w:value="Master in de rechten: fiscaal recht"/>
          <w:listItem w:displayText="Master-na-master Fiscaal recht" w:value="Master-na-master Fiscaal recht"/>
          <w:listItem w:displayText="Master-na-master Fiscaal recht: Douane en Accijnzen" w:value="Master-na-master Fiscaal recht: Douane en Accijnzen"/>
        </w:dropDownList>
      </w:sdtPr>
      <w:sdtContent>
        <w:p w14:paraId="1F7A8EA0" w14:textId="490A07AB" w:rsidR="00B81599" w:rsidRPr="00C96D5C" w:rsidRDefault="00BF4875" w:rsidP="00E00046">
          <w:pPr>
            <w:pStyle w:val="NaamDepartement"/>
            <w:rPr>
              <w:lang w:val="nl-BE"/>
            </w:rPr>
          </w:pPr>
          <w:r>
            <w:rPr>
              <w:lang w:val="nl-BE"/>
            </w:rPr>
            <w:t>Master in de rechten</w:t>
          </w:r>
        </w:p>
      </w:sdtContent>
    </w:sdt>
    <w:p w14:paraId="3BBE5FA0" w14:textId="5834B6EF" w:rsidR="00B81599" w:rsidRPr="00C96D5C" w:rsidRDefault="00874C49" w:rsidP="00B81599">
      <w:pPr>
        <w:suppressAutoHyphens/>
        <w:spacing w:after="0"/>
        <w:rPr>
          <w:rFonts w:ascii="Calibri" w:eastAsia="Calibri" w:hAnsi="Calibri" w:cs="Times New Roman"/>
          <w:color w:val="auto"/>
          <w:sz w:val="24"/>
          <w:szCs w:val="24"/>
          <w:lang w:val="nl-BE"/>
        </w:rPr>
      </w:pPr>
      <w:r w:rsidRPr="00C96D5C">
        <w:rPr>
          <w:rFonts w:ascii="Calibri" w:eastAsia="Calibri" w:hAnsi="Calibri" w:cs="Times New Roman"/>
          <w:color w:val="auto"/>
          <w:sz w:val="24"/>
          <w:szCs w:val="24"/>
          <w:lang w:val="nl-BE"/>
        </w:rPr>
        <w:t>Meesterproef Thesis</w:t>
      </w:r>
    </w:p>
    <w:p w14:paraId="11674C41" w14:textId="65E3721B" w:rsidR="00B81599" w:rsidRPr="00C96D5C" w:rsidRDefault="00874C49" w:rsidP="00B81599">
      <w:pPr>
        <w:suppressAutoHyphens/>
        <w:spacing w:after="0"/>
        <w:rPr>
          <w:rFonts w:ascii="Calibri" w:eastAsia="Calibri" w:hAnsi="Calibri" w:cs="Times New Roman"/>
          <w:b/>
          <w:bCs/>
          <w:color w:val="auto"/>
          <w:sz w:val="24"/>
          <w:szCs w:val="24"/>
          <w:lang w:val="nl-BE"/>
        </w:rPr>
      </w:pPr>
      <w:r w:rsidRPr="00C96D5C">
        <w:rPr>
          <w:rFonts w:ascii="Calibri" w:eastAsia="Calibri" w:hAnsi="Calibri" w:cs="Times New Roman"/>
          <w:color w:val="auto"/>
          <w:sz w:val="24"/>
          <w:szCs w:val="24"/>
          <w:lang w:val="nl-BE"/>
        </w:rPr>
        <w:t>Module</w:t>
      </w:r>
      <w:r w:rsidR="00B81599" w:rsidRPr="00C96D5C">
        <w:rPr>
          <w:rFonts w:ascii="Calibri" w:eastAsia="Calibri" w:hAnsi="Calibri" w:cs="Times New Roman"/>
          <w:color w:val="auto"/>
          <w:sz w:val="24"/>
          <w:szCs w:val="24"/>
          <w:lang w:val="nl-BE"/>
        </w:rPr>
        <w:t xml:space="preserve"> </w:t>
      </w:r>
      <w:r w:rsidR="0084599B">
        <w:rPr>
          <w:rFonts w:ascii="Calibri" w:eastAsia="Calibri" w:hAnsi="Calibri" w:cs="Times New Roman"/>
          <w:b/>
          <w:bCs/>
          <w:color w:val="auto"/>
          <w:sz w:val="24"/>
          <w:szCs w:val="24"/>
          <w:lang w:val="nl-BE"/>
        </w:rPr>
        <w:t>Publiekrecht</w:t>
      </w:r>
    </w:p>
    <w:p w14:paraId="42E505E5" w14:textId="77777777" w:rsidR="00B81599" w:rsidRPr="00C96D5C" w:rsidRDefault="00B81599" w:rsidP="00B81599">
      <w:pPr>
        <w:suppressAutoHyphens/>
        <w:spacing w:after="160"/>
        <w:rPr>
          <w:rFonts w:ascii="Calibri" w:eastAsia="Calibri" w:hAnsi="Calibri" w:cs="Times New Roman"/>
          <w:color w:val="auto"/>
          <w:lang w:val="nl-BE"/>
        </w:rPr>
      </w:pPr>
    </w:p>
    <w:p w14:paraId="67200971" w14:textId="77777777" w:rsidR="00B81599" w:rsidRPr="00C96D5C" w:rsidRDefault="00B81599" w:rsidP="00B81599">
      <w:pPr>
        <w:suppressAutoHyphens/>
        <w:spacing w:after="160"/>
        <w:rPr>
          <w:rFonts w:ascii="Calibri" w:eastAsia="Calibri" w:hAnsi="Calibri" w:cs="Times New Roman"/>
          <w:color w:val="auto"/>
          <w:lang w:val="nl-BE"/>
        </w:rPr>
      </w:pPr>
    </w:p>
    <w:p w14:paraId="5317196E" w14:textId="13C3A33A" w:rsidR="00B81599" w:rsidRPr="00C96D5C" w:rsidRDefault="00B81599" w:rsidP="00B81599">
      <w:pPr>
        <w:suppressAutoHyphens/>
        <w:spacing w:after="0"/>
        <w:rPr>
          <w:rFonts w:ascii="Calibri" w:eastAsia="Calibri" w:hAnsi="Calibri" w:cs="Times New Roman"/>
          <w:color w:val="auto"/>
          <w:sz w:val="24"/>
          <w:szCs w:val="24"/>
          <w:lang w:val="nl-BE"/>
        </w:rPr>
      </w:pPr>
      <w:r w:rsidRPr="00C96D5C">
        <w:rPr>
          <w:rFonts w:ascii="Calibri" w:eastAsia="Calibri" w:hAnsi="Calibri" w:cs="Times New Roman"/>
          <w:color w:val="auto"/>
          <w:sz w:val="24"/>
          <w:szCs w:val="24"/>
          <w:lang w:val="nl-BE"/>
        </w:rPr>
        <w:t>Promotor</w:t>
      </w:r>
    </w:p>
    <w:p w14:paraId="38376196" w14:textId="67C308AB" w:rsidR="00B81599" w:rsidRPr="00E9012B" w:rsidRDefault="00B81599" w:rsidP="00E00046">
      <w:pPr>
        <w:pStyle w:val="Naampromotorenenco"/>
        <w:rPr>
          <w:lang w:val="en-US"/>
        </w:rPr>
      </w:pPr>
      <w:r w:rsidRPr="00C96D5C">
        <w:t xml:space="preserve">Prof. dr. </w:t>
      </w:r>
      <w:r w:rsidR="0084599B" w:rsidRPr="00E9012B">
        <w:rPr>
          <w:lang w:val="en-US"/>
        </w:rPr>
        <w:t>Stéphanie De Somer</w:t>
      </w:r>
    </w:p>
    <w:p w14:paraId="3FA77C0D" w14:textId="77777777" w:rsidR="00B81599" w:rsidRPr="00E9012B" w:rsidRDefault="00B81599" w:rsidP="00B81599">
      <w:pPr>
        <w:suppressAutoHyphens/>
        <w:spacing w:after="0" w:line="240" w:lineRule="auto"/>
        <w:rPr>
          <w:rFonts w:ascii="Calibri" w:eastAsia="Calibri" w:hAnsi="Calibri" w:cs="Times New Roman"/>
          <w:b/>
          <w:bCs/>
          <w:color w:val="auto"/>
          <w:sz w:val="24"/>
          <w:szCs w:val="24"/>
        </w:rPr>
      </w:pPr>
    </w:p>
    <w:p w14:paraId="174EE048" w14:textId="255F6A81" w:rsidR="00B81599" w:rsidRPr="00E9012B" w:rsidRDefault="00447DB5" w:rsidP="00B81599">
      <w:pPr>
        <w:suppressAutoHyphens/>
        <w:spacing w:after="0"/>
        <w:rPr>
          <w:rFonts w:ascii="Calibri" w:eastAsia="Calibri" w:hAnsi="Calibri" w:cs="Times New Roman"/>
          <w:color w:val="auto"/>
          <w:sz w:val="24"/>
          <w:szCs w:val="24"/>
        </w:rPr>
      </w:pPr>
      <w:r w:rsidRPr="00E9012B">
        <w:rPr>
          <w:rFonts w:ascii="Calibri" w:eastAsia="Calibri" w:hAnsi="Calibri" w:cs="Times New Roman"/>
          <w:color w:val="auto"/>
          <w:sz w:val="24"/>
          <w:szCs w:val="24"/>
        </w:rPr>
        <w:t>A</w:t>
      </w:r>
      <w:r w:rsidR="00CE632C" w:rsidRPr="00E9012B">
        <w:rPr>
          <w:rFonts w:ascii="Calibri" w:eastAsia="Calibri" w:hAnsi="Calibri" w:cs="Times New Roman"/>
          <w:color w:val="auto"/>
          <w:sz w:val="24"/>
          <w:szCs w:val="24"/>
        </w:rPr>
        <w:t>ssessor</w:t>
      </w:r>
    </w:p>
    <w:p w14:paraId="31042258" w14:textId="682DF634" w:rsidR="00C61F7F" w:rsidRPr="00E9012B" w:rsidRDefault="00321C8C" w:rsidP="00D55BF0">
      <w:pPr>
        <w:pStyle w:val="Naampromotorenenco"/>
        <w:rPr>
          <w:color w:val="000000"/>
          <w:lang w:val="en-US"/>
        </w:rPr>
      </w:pPr>
      <w:r w:rsidRPr="00E9012B">
        <w:rPr>
          <w:color w:val="000000"/>
          <w:lang w:val="en-US"/>
        </w:rPr>
        <w:t>Mr.</w:t>
      </w:r>
      <w:r w:rsidR="00447DB5" w:rsidRPr="00E9012B">
        <w:rPr>
          <w:color w:val="000000"/>
          <w:lang w:val="en-US"/>
        </w:rPr>
        <w:t xml:space="preserve"> Cédric Martens</w:t>
      </w:r>
    </w:p>
    <w:p w14:paraId="13B23689" w14:textId="36E2CF5B" w:rsidR="00CE632C" w:rsidRPr="00E9012B" w:rsidRDefault="00CE632C" w:rsidP="00D55BF0">
      <w:pPr>
        <w:pStyle w:val="Naampromotorenenco"/>
        <w:rPr>
          <w:lang w:val="en-US"/>
        </w:rPr>
      </w:pPr>
    </w:p>
    <w:p w14:paraId="0770724C" w14:textId="7FDD8F65" w:rsidR="00C9776E" w:rsidRPr="00E9012B" w:rsidRDefault="00C9776E" w:rsidP="00CE632C">
      <w:pPr>
        <w:pStyle w:val="Naampromotorenenco"/>
        <w:rPr>
          <w:lang w:val="en-US"/>
        </w:rPr>
      </w:pPr>
    </w:p>
    <w:p w14:paraId="349C682A" w14:textId="77777777" w:rsidR="000F05EA" w:rsidRPr="00E9012B" w:rsidRDefault="000F05EA" w:rsidP="00CE632C">
      <w:pPr>
        <w:pStyle w:val="Naampromotorenenco"/>
        <w:rPr>
          <w:lang w:val="en-US"/>
        </w:rPr>
      </w:pPr>
    </w:p>
    <w:p w14:paraId="412484E6" w14:textId="316AF8BE" w:rsidR="00C9776E" w:rsidRPr="00C96D5C" w:rsidRDefault="00494468" w:rsidP="00C9776E">
      <w:pPr>
        <w:suppressAutoHyphens/>
        <w:spacing w:after="0"/>
        <w:rPr>
          <w:rFonts w:ascii="Calibri" w:eastAsia="Calibri" w:hAnsi="Calibri" w:cs="Times New Roman"/>
          <w:color w:val="auto"/>
          <w:sz w:val="24"/>
          <w:szCs w:val="24"/>
          <w:lang w:val="nl-BE"/>
        </w:rPr>
      </w:pPr>
      <w:r w:rsidRPr="00684BE6">
        <w:rPr>
          <w:rFonts w:ascii="Calibri" w:eastAsia="Calibri" w:hAnsi="Calibri" w:cs="Times New Roman"/>
          <w:color w:val="000000"/>
          <w:sz w:val="24"/>
          <w:szCs w:val="24"/>
          <w:lang w:val="nl-BE"/>
        </w:rPr>
        <w:t>157.</w:t>
      </w:r>
      <w:r w:rsidR="00684BE6" w:rsidRPr="00684BE6">
        <w:rPr>
          <w:rFonts w:ascii="Calibri" w:eastAsia="Calibri" w:hAnsi="Calibri" w:cs="Times New Roman"/>
          <w:color w:val="000000"/>
          <w:sz w:val="24"/>
          <w:szCs w:val="24"/>
          <w:lang w:val="nl-BE"/>
        </w:rPr>
        <w:t>2</w:t>
      </w:r>
      <w:r w:rsidR="009E67EF">
        <w:rPr>
          <w:rFonts w:ascii="Calibri" w:eastAsia="Calibri" w:hAnsi="Calibri" w:cs="Times New Roman"/>
          <w:color w:val="000000"/>
          <w:sz w:val="24"/>
          <w:szCs w:val="24"/>
          <w:lang w:val="nl-BE"/>
        </w:rPr>
        <w:t>82</w:t>
      </w:r>
      <w:r w:rsidR="00C9776E" w:rsidRPr="00AD7AF1">
        <w:rPr>
          <w:rFonts w:ascii="Calibri" w:eastAsia="Calibri" w:hAnsi="Calibri" w:cs="Times New Roman"/>
          <w:color w:val="FF0000"/>
          <w:sz w:val="24"/>
          <w:szCs w:val="24"/>
          <w:lang w:val="nl-BE"/>
        </w:rPr>
        <w:t xml:space="preserve"> </w:t>
      </w:r>
      <w:r w:rsidR="00C9776E" w:rsidRPr="00C96D5C">
        <w:rPr>
          <w:rFonts w:ascii="Calibri" w:eastAsia="Calibri" w:hAnsi="Calibri" w:cs="Times New Roman"/>
          <w:color w:val="auto"/>
          <w:sz w:val="24"/>
          <w:szCs w:val="24"/>
          <w:lang w:val="nl-BE"/>
        </w:rPr>
        <w:t>tekens</w:t>
      </w:r>
    </w:p>
    <w:p w14:paraId="3639A8A1" w14:textId="29A32438" w:rsidR="00CE632C" w:rsidRPr="00C96D5C" w:rsidRDefault="00C9776E" w:rsidP="00D55BF0">
      <w:pPr>
        <w:pStyle w:val="Naampromotorenenco"/>
      </w:pPr>
      <w:r w:rsidRPr="00C96D5C">
        <w:t>___</w:t>
      </w:r>
    </w:p>
    <w:p w14:paraId="1ACB26A6" w14:textId="4F6B792B" w:rsidR="00C61F7F" w:rsidRPr="00C96D5C" w:rsidRDefault="00C61F7F" w:rsidP="00281364">
      <w:pPr>
        <w:rPr>
          <w:b/>
          <w:bCs/>
          <w:color w:val="002E65" w:themeColor="text1"/>
          <w:sz w:val="32"/>
          <w:szCs w:val="32"/>
          <w:lang w:val="nl-BE"/>
        </w:rPr>
      </w:pPr>
      <w:r w:rsidRPr="00C96D5C">
        <w:rPr>
          <w:lang w:val="nl-BE"/>
        </w:rPr>
        <w:br w:type="page"/>
      </w:r>
    </w:p>
    <w:p w14:paraId="1165B33E" w14:textId="7FAFADAC" w:rsidR="00766E14" w:rsidRPr="008B5232" w:rsidRDefault="00421992" w:rsidP="00CD64D7">
      <w:pPr>
        <w:pStyle w:val="Kopvaninhoudsopgave"/>
        <w:rPr>
          <w:rFonts w:asciiTheme="minorHAnsi" w:eastAsiaTheme="minorHAnsi" w:hAnsiTheme="minorHAnsi" w:cstheme="minorBidi"/>
          <w:color w:val="002E65" w:themeColor="text2"/>
          <w:szCs w:val="40"/>
        </w:rPr>
      </w:pPr>
      <w:bookmarkStart w:id="0" w:name="_Toc65077128"/>
      <w:r>
        <w:rPr>
          <w:rFonts w:asciiTheme="minorHAnsi" w:eastAsiaTheme="minorHAnsi" w:hAnsiTheme="minorHAnsi" w:cstheme="minorBidi"/>
          <w:color w:val="002E65" w:themeColor="text2"/>
          <w:szCs w:val="40"/>
        </w:rPr>
        <w:lastRenderedPageBreak/>
        <w:t>Woord vooraf</w:t>
      </w:r>
    </w:p>
    <w:p w14:paraId="73A77882" w14:textId="1A870201" w:rsidR="008B5232" w:rsidRPr="008B5232" w:rsidRDefault="008B5232" w:rsidP="008B5232">
      <w:pPr>
        <w:pStyle w:val="Body"/>
      </w:pPr>
      <w:r w:rsidRPr="008B5232">
        <w:rPr>
          <w:i/>
          <w:iCs/>
        </w:rPr>
        <w:t>Fabula acta est</w:t>
      </w:r>
      <w:r>
        <w:t xml:space="preserve">. </w:t>
      </w:r>
      <w:r w:rsidRPr="008B5232">
        <w:t>Het tot stand brengen van dit werkstuk was allerminst </w:t>
      </w:r>
      <w:r w:rsidRPr="008B5232">
        <w:rPr>
          <w:i/>
          <w:iCs/>
        </w:rPr>
        <w:t>a walk in the park</w:t>
      </w:r>
      <w:r w:rsidRPr="008B5232">
        <w:t>. De combinatie van warrige regelgeving en uiterst technische materie zorgde meermaals voor momenten van twijfel en frustratie, waarbij de moed soms ver te zoeken was. Toch bleven twee elementen mij steeds vooruitduwen: de onmiskenbare maatschappelijke relevantie van het onderwerp en mijn persoonlijke interesse in de complexe juridische kaders die de energietransitie vormgeven. Deze drijfveren hielpen mij om de vele obstakels te overwinnen en hebben uiteindelijk geleid tot een werkstuk waar ik met enige trots op kan terugkijken.</w:t>
      </w:r>
    </w:p>
    <w:p w14:paraId="7AC6FAC6" w14:textId="3EFC80D5" w:rsidR="008B5232" w:rsidRPr="008B5232" w:rsidRDefault="008B5232" w:rsidP="008B5232">
      <w:pPr>
        <w:pStyle w:val="Body"/>
      </w:pPr>
      <w:r w:rsidRPr="008B5232">
        <w:t>Dit resultaat had ik nooit kunnen be</w:t>
      </w:r>
      <w:r w:rsidR="0059135F">
        <w:t>hal</w:t>
      </w:r>
      <w:r w:rsidRPr="008B5232">
        <w:t>en zonder de waardevolle begeleiding en deskundige inzichten van mijn promotor, prof</w:t>
      </w:r>
      <w:r w:rsidR="008E372B">
        <w:t>. dr.</w:t>
      </w:r>
      <w:r w:rsidRPr="008B5232">
        <w:t xml:space="preserve"> Stéphanie De Somer. Haar steun en kritische blik waren van onschatbare waarde doorheen dit proces. Voor haar geduld</w:t>
      </w:r>
      <w:r>
        <w:t xml:space="preserve"> en</w:t>
      </w:r>
      <w:r w:rsidRPr="008B5232">
        <w:t xml:space="preserve"> constructieve feedback ben ik dan ook bijzonder dankbaar.</w:t>
      </w:r>
    </w:p>
    <w:p w14:paraId="3E8F7F55" w14:textId="71C8D4F7" w:rsidR="008B5232" w:rsidRPr="008B5232" w:rsidRDefault="008B5232" w:rsidP="008B5232">
      <w:pPr>
        <w:pStyle w:val="Body"/>
      </w:pPr>
      <w:r w:rsidRPr="008B5232">
        <w:t xml:space="preserve">Het is mijn oprechte hoop dat dit werkstuk bijdraagt aan een helder en omvattend inzicht in de actuele problematiek rond de vergunningverlening van hernieuwbare energieprojecten, in het bijzonder </w:t>
      </w:r>
      <w:r w:rsidR="0059135F">
        <w:t xml:space="preserve">van </w:t>
      </w:r>
      <w:r w:rsidRPr="008B5232">
        <w:t>windturbines. Mocht het lezers aanzetten tot verdere reflectie of discussie, dan beschouw ik deze inspanning als meer dan geslaagd.</w:t>
      </w:r>
    </w:p>
    <w:p w14:paraId="00F54038" w14:textId="77777777" w:rsidR="00766E14" w:rsidRPr="008B5232" w:rsidRDefault="00766E14" w:rsidP="00CD64D7">
      <w:pPr>
        <w:pStyle w:val="Kopvaninhoudsopgave"/>
        <w:rPr>
          <w:rFonts w:asciiTheme="minorHAnsi" w:eastAsiaTheme="minorHAnsi" w:hAnsiTheme="minorHAnsi" w:cstheme="minorBidi"/>
          <w:b w:val="0"/>
          <w:bCs/>
          <w:color w:val="323232"/>
          <w:sz w:val="20"/>
          <w:szCs w:val="22"/>
        </w:rPr>
      </w:pPr>
    </w:p>
    <w:p w14:paraId="23C14875" w14:textId="77777777" w:rsidR="00766E14" w:rsidRPr="008B5232" w:rsidRDefault="00766E14" w:rsidP="00CD64D7">
      <w:pPr>
        <w:pStyle w:val="Kopvaninhoudsopgave"/>
        <w:rPr>
          <w:rFonts w:asciiTheme="minorHAnsi" w:eastAsiaTheme="minorHAnsi" w:hAnsiTheme="minorHAnsi" w:cstheme="minorBidi"/>
          <w:b w:val="0"/>
          <w:bCs/>
          <w:color w:val="323232"/>
          <w:sz w:val="20"/>
          <w:szCs w:val="22"/>
        </w:rPr>
      </w:pPr>
    </w:p>
    <w:p w14:paraId="6FED5970" w14:textId="77777777" w:rsidR="00766E14" w:rsidRPr="008B5232" w:rsidRDefault="00766E14" w:rsidP="00CD64D7">
      <w:pPr>
        <w:pStyle w:val="Kopvaninhoudsopgave"/>
        <w:rPr>
          <w:rFonts w:asciiTheme="minorHAnsi" w:eastAsiaTheme="minorHAnsi" w:hAnsiTheme="minorHAnsi" w:cstheme="minorBidi"/>
          <w:b w:val="0"/>
          <w:bCs/>
          <w:color w:val="323232"/>
          <w:sz w:val="20"/>
          <w:szCs w:val="22"/>
        </w:rPr>
      </w:pPr>
    </w:p>
    <w:p w14:paraId="61E35B0B" w14:textId="77777777" w:rsidR="00766E14" w:rsidRPr="008B5232" w:rsidRDefault="00766E14" w:rsidP="00CD64D7">
      <w:pPr>
        <w:pStyle w:val="Kopvaninhoudsopgave"/>
        <w:rPr>
          <w:rFonts w:asciiTheme="minorHAnsi" w:eastAsiaTheme="minorHAnsi" w:hAnsiTheme="minorHAnsi" w:cstheme="minorBidi"/>
          <w:b w:val="0"/>
          <w:bCs/>
          <w:color w:val="323232"/>
          <w:sz w:val="20"/>
          <w:szCs w:val="22"/>
        </w:rPr>
      </w:pPr>
    </w:p>
    <w:p w14:paraId="31023928" w14:textId="77777777" w:rsidR="00766E14" w:rsidRPr="008B5232" w:rsidRDefault="00766E14" w:rsidP="00CD64D7">
      <w:pPr>
        <w:pStyle w:val="Kopvaninhoudsopgave"/>
        <w:rPr>
          <w:rFonts w:asciiTheme="minorHAnsi" w:eastAsiaTheme="minorHAnsi" w:hAnsiTheme="minorHAnsi" w:cstheme="minorBidi"/>
          <w:b w:val="0"/>
          <w:bCs/>
          <w:color w:val="323232"/>
          <w:sz w:val="20"/>
          <w:szCs w:val="22"/>
        </w:rPr>
      </w:pPr>
    </w:p>
    <w:p w14:paraId="51A5750C" w14:textId="77777777" w:rsidR="00766E14" w:rsidRDefault="00766E14" w:rsidP="00CD64D7">
      <w:pPr>
        <w:pStyle w:val="Kopvaninhoudsopgave"/>
        <w:rPr>
          <w:rFonts w:asciiTheme="minorHAnsi" w:eastAsiaTheme="minorHAnsi" w:hAnsiTheme="minorHAnsi" w:cstheme="minorBidi"/>
          <w:b w:val="0"/>
          <w:bCs/>
          <w:color w:val="323232"/>
          <w:sz w:val="20"/>
          <w:szCs w:val="22"/>
        </w:rPr>
      </w:pPr>
    </w:p>
    <w:p w14:paraId="71C078D8" w14:textId="77777777" w:rsidR="008B5232" w:rsidRDefault="008B5232" w:rsidP="008B5232">
      <w:pPr>
        <w:rPr>
          <w:lang w:val="nl-BE"/>
        </w:rPr>
      </w:pPr>
    </w:p>
    <w:p w14:paraId="234F8412" w14:textId="77777777" w:rsidR="008B5232" w:rsidRDefault="008B5232" w:rsidP="008B5232">
      <w:pPr>
        <w:rPr>
          <w:lang w:val="nl-BE"/>
        </w:rPr>
      </w:pPr>
    </w:p>
    <w:p w14:paraId="236414DA" w14:textId="77777777" w:rsidR="008B5232" w:rsidRPr="008B5232" w:rsidRDefault="008B5232" w:rsidP="008B5232">
      <w:pPr>
        <w:rPr>
          <w:lang w:val="nl-BE"/>
        </w:rPr>
      </w:pPr>
    </w:p>
    <w:sdt>
      <w:sdtPr>
        <w:rPr>
          <w:rFonts w:asciiTheme="minorHAnsi" w:eastAsiaTheme="minorHAnsi" w:hAnsiTheme="minorHAnsi" w:cstheme="minorBidi"/>
          <w:b w:val="0"/>
          <w:bCs/>
          <w:color w:val="323232"/>
          <w:sz w:val="20"/>
          <w:szCs w:val="22"/>
          <w:lang w:val="en-US"/>
        </w:rPr>
        <w:id w:val="2022503958"/>
        <w:docPartObj>
          <w:docPartGallery w:val="Table of Contents"/>
          <w:docPartUnique/>
        </w:docPartObj>
      </w:sdtPr>
      <w:sdtEndPr>
        <w:rPr>
          <w:bCs w:val="0"/>
          <w:sz w:val="24"/>
          <w:szCs w:val="32"/>
        </w:rPr>
      </w:sdtEndPr>
      <w:sdtContent>
        <w:p w14:paraId="477FDE35" w14:textId="441562D9" w:rsidR="00B04C91" w:rsidRPr="00ED363F" w:rsidRDefault="00B04C91" w:rsidP="00CD64D7">
          <w:pPr>
            <w:pStyle w:val="Kopvaninhoudsopgave"/>
            <w:rPr>
              <w:sz w:val="44"/>
              <w:szCs w:val="44"/>
            </w:rPr>
          </w:pPr>
          <w:r w:rsidRPr="00ED363F">
            <w:rPr>
              <w:sz w:val="44"/>
              <w:szCs w:val="44"/>
            </w:rPr>
            <w:t>Inhouds</w:t>
          </w:r>
          <w:r w:rsidR="00ED363F">
            <w:rPr>
              <w:sz w:val="44"/>
              <w:szCs w:val="44"/>
            </w:rPr>
            <w:t>tafel</w:t>
          </w:r>
        </w:p>
        <w:p w14:paraId="325CF174" w14:textId="157AAC75" w:rsidR="00365753" w:rsidRDefault="00766E14">
          <w:pPr>
            <w:pStyle w:val="Inhopg1"/>
            <w:tabs>
              <w:tab w:val="left" w:pos="400"/>
              <w:tab w:val="right" w:leader="dot" w:pos="9060"/>
            </w:tabs>
            <w:rPr>
              <w:rFonts w:eastAsiaTheme="minorEastAsia" w:cstheme="minorBidi"/>
              <w:b w:val="0"/>
              <w:bCs w:val="0"/>
              <w:noProof/>
              <w:color w:val="auto"/>
              <w:kern w:val="2"/>
              <w:sz w:val="24"/>
              <w:szCs w:val="24"/>
              <w:lang w:val="nl-BE" w:eastAsia="nl-NL"/>
              <w14:ligatures w14:val="standardContextual"/>
            </w:rPr>
          </w:pPr>
          <w:r w:rsidRPr="00ED363F">
            <w:rPr>
              <w:i/>
              <w:iCs/>
              <w:sz w:val="24"/>
              <w:szCs w:val="24"/>
              <w:lang w:val="nl-BE"/>
            </w:rPr>
            <w:fldChar w:fldCharType="begin"/>
          </w:r>
          <w:r w:rsidRPr="00ED363F">
            <w:rPr>
              <w:i/>
              <w:iCs/>
              <w:sz w:val="24"/>
              <w:szCs w:val="24"/>
              <w:lang w:val="nl-BE"/>
            </w:rPr>
            <w:instrText xml:space="preserve"> TOC \o "1-3" \h \z \u </w:instrText>
          </w:r>
          <w:r w:rsidRPr="00ED363F">
            <w:rPr>
              <w:i/>
              <w:iCs/>
              <w:sz w:val="24"/>
              <w:szCs w:val="24"/>
              <w:lang w:val="nl-BE"/>
            </w:rPr>
            <w:fldChar w:fldCharType="separate"/>
          </w:r>
          <w:hyperlink w:anchor="_Toc193312394" w:history="1">
            <w:r w:rsidR="00365753" w:rsidRPr="00BC5E1D">
              <w:rPr>
                <w:rStyle w:val="Hyperlink"/>
                <w:noProof/>
              </w:rPr>
              <w:t>1</w:t>
            </w:r>
            <w:r w:rsidR="00365753">
              <w:rPr>
                <w:rFonts w:eastAsiaTheme="minorEastAsia" w:cstheme="minorBidi"/>
                <w:b w:val="0"/>
                <w:bCs w:val="0"/>
                <w:noProof/>
                <w:color w:val="auto"/>
                <w:kern w:val="2"/>
                <w:sz w:val="24"/>
                <w:szCs w:val="24"/>
                <w:lang w:val="nl-BE" w:eastAsia="nl-NL"/>
                <w14:ligatures w14:val="standardContextual"/>
              </w:rPr>
              <w:tab/>
            </w:r>
            <w:r w:rsidR="00365753" w:rsidRPr="00BC5E1D">
              <w:rPr>
                <w:rStyle w:val="Hyperlink"/>
                <w:noProof/>
              </w:rPr>
              <w:t>Inleiding</w:t>
            </w:r>
            <w:r w:rsidR="00365753">
              <w:rPr>
                <w:noProof/>
                <w:webHidden/>
              </w:rPr>
              <w:tab/>
            </w:r>
            <w:r w:rsidR="00365753">
              <w:rPr>
                <w:noProof/>
                <w:webHidden/>
              </w:rPr>
              <w:fldChar w:fldCharType="begin"/>
            </w:r>
            <w:r w:rsidR="00365753">
              <w:rPr>
                <w:noProof/>
                <w:webHidden/>
              </w:rPr>
              <w:instrText xml:space="preserve"> PAGEREF _Toc193312394 \h </w:instrText>
            </w:r>
            <w:r w:rsidR="00365753">
              <w:rPr>
                <w:noProof/>
                <w:webHidden/>
              </w:rPr>
            </w:r>
            <w:r w:rsidR="00365753">
              <w:rPr>
                <w:noProof/>
                <w:webHidden/>
              </w:rPr>
              <w:fldChar w:fldCharType="separate"/>
            </w:r>
            <w:r w:rsidR="00365753">
              <w:rPr>
                <w:noProof/>
                <w:webHidden/>
              </w:rPr>
              <w:t>4</w:t>
            </w:r>
            <w:r w:rsidR="00365753">
              <w:rPr>
                <w:noProof/>
                <w:webHidden/>
              </w:rPr>
              <w:fldChar w:fldCharType="end"/>
            </w:r>
          </w:hyperlink>
        </w:p>
        <w:p w14:paraId="32A7B37A" w14:textId="7601C8E5" w:rsidR="00365753" w:rsidRDefault="00365753">
          <w:pPr>
            <w:pStyle w:val="Inhopg1"/>
            <w:tabs>
              <w:tab w:val="left" w:pos="400"/>
              <w:tab w:val="right" w:leader="dot" w:pos="9060"/>
            </w:tabs>
            <w:rPr>
              <w:rFonts w:eastAsiaTheme="minorEastAsia" w:cstheme="minorBidi"/>
              <w:b w:val="0"/>
              <w:bCs w:val="0"/>
              <w:noProof/>
              <w:color w:val="auto"/>
              <w:kern w:val="2"/>
              <w:sz w:val="24"/>
              <w:szCs w:val="24"/>
              <w:lang w:val="nl-BE" w:eastAsia="nl-NL"/>
              <w14:ligatures w14:val="standardContextual"/>
            </w:rPr>
          </w:pPr>
          <w:hyperlink w:anchor="_Toc193312395" w:history="1">
            <w:r w:rsidRPr="00BC5E1D">
              <w:rPr>
                <w:rStyle w:val="Hyperlink"/>
                <w:noProof/>
              </w:rPr>
              <w:t>2</w:t>
            </w:r>
            <w:r>
              <w:rPr>
                <w:rFonts w:eastAsiaTheme="minorEastAsia" w:cstheme="minorBidi"/>
                <w:b w:val="0"/>
                <w:bCs w:val="0"/>
                <w:noProof/>
                <w:color w:val="auto"/>
                <w:kern w:val="2"/>
                <w:sz w:val="24"/>
                <w:szCs w:val="24"/>
                <w:lang w:val="nl-BE" w:eastAsia="nl-NL"/>
                <w14:ligatures w14:val="standardContextual"/>
              </w:rPr>
              <w:tab/>
            </w:r>
            <w:r w:rsidRPr="00BC5E1D">
              <w:rPr>
                <w:rStyle w:val="Hyperlink"/>
                <w:noProof/>
              </w:rPr>
              <w:t>De vergunningverlening van windturbines in Vlaanderen</w:t>
            </w:r>
            <w:r>
              <w:rPr>
                <w:noProof/>
                <w:webHidden/>
              </w:rPr>
              <w:tab/>
            </w:r>
            <w:r>
              <w:rPr>
                <w:noProof/>
                <w:webHidden/>
              </w:rPr>
              <w:fldChar w:fldCharType="begin"/>
            </w:r>
            <w:r>
              <w:rPr>
                <w:noProof/>
                <w:webHidden/>
              </w:rPr>
              <w:instrText xml:space="preserve"> PAGEREF _Toc193312395 \h </w:instrText>
            </w:r>
            <w:r>
              <w:rPr>
                <w:noProof/>
                <w:webHidden/>
              </w:rPr>
            </w:r>
            <w:r>
              <w:rPr>
                <w:noProof/>
                <w:webHidden/>
              </w:rPr>
              <w:fldChar w:fldCharType="separate"/>
            </w:r>
            <w:r>
              <w:rPr>
                <w:noProof/>
                <w:webHidden/>
              </w:rPr>
              <w:t>9</w:t>
            </w:r>
            <w:r>
              <w:rPr>
                <w:noProof/>
                <w:webHidden/>
              </w:rPr>
              <w:fldChar w:fldCharType="end"/>
            </w:r>
          </w:hyperlink>
        </w:p>
        <w:p w14:paraId="669D1BF8" w14:textId="1E2CD5CF" w:rsidR="00365753" w:rsidRDefault="00365753">
          <w:pPr>
            <w:pStyle w:val="Inhopg2"/>
            <w:tabs>
              <w:tab w:val="left" w:pos="800"/>
              <w:tab w:val="right" w:leader="dot" w:pos="9060"/>
            </w:tabs>
            <w:rPr>
              <w:rFonts w:eastAsiaTheme="minorEastAsia" w:cstheme="minorBidi"/>
              <w:i w:val="0"/>
              <w:iCs w:val="0"/>
              <w:noProof/>
              <w:color w:val="auto"/>
              <w:kern w:val="2"/>
              <w:sz w:val="24"/>
              <w:szCs w:val="24"/>
              <w:lang w:val="nl-BE" w:eastAsia="nl-NL"/>
              <w14:ligatures w14:val="standardContextual"/>
            </w:rPr>
          </w:pPr>
          <w:hyperlink w:anchor="_Toc193312396" w:history="1">
            <w:r w:rsidRPr="00BC5E1D">
              <w:rPr>
                <w:rStyle w:val="Hyperlink"/>
                <w:noProof/>
                <w:lang w:val="nl-BE"/>
              </w:rPr>
              <w:t>2.1</w:t>
            </w:r>
            <w:r>
              <w:rPr>
                <w:rFonts w:eastAsiaTheme="minorEastAsia" w:cstheme="minorBidi"/>
                <w:i w:val="0"/>
                <w:iCs w:val="0"/>
                <w:noProof/>
                <w:color w:val="auto"/>
                <w:kern w:val="2"/>
                <w:sz w:val="24"/>
                <w:szCs w:val="24"/>
                <w:lang w:val="nl-BE" w:eastAsia="nl-NL"/>
                <w14:ligatures w14:val="standardContextual"/>
              </w:rPr>
              <w:tab/>
            </w:r>
            <w:r w:rsidRPr="00BC5E1D">
              <w:rPr>
                <w:rStyle w:val="Hyperlink"/>
                <w:noProof/>
                <w:lang w:val="nl-BE"/>
              </w:rPr>
              <w:t>Ten geleide</w:t>
            </w:r>
            <w:r>
              <w:rPr>
                <w:noProof/>
                <w:webHidden/>
              </w:rPr>
              <w:tab/>
            </w:r>
            <w:r>
              <w:rPr>
                <w:noProof/>
                <w:webHidden/>
              </w:rPr>
              <w:fldChar w:fldCharType="begin"/>
            </w:r>
            <w:r>
              <w:rPr>
                <w:noProof/>
                <w:webHidden/>
              </w:rPr>
              <w:instrText xml:space="preserve"> PAGEREF _Toc193312396 \h </w:instrText>
            </w:r>
            <w:r>
              <w:rPr>
                <w:noProof/>
                <w:webHidden/>
              </w:rPr>
            </w:r>
            <w:r>
              <w:rPr>
                <w:noProof/>
                <w:webHidden/>
              </w:rPr>
              <w:fldChar w:fldCharType="separate"/>
            </w:r>
            <w:r>
              <w:rPr>
                <w:noProof/>
                <w:webHidden/>
              </w:rPr>
              <w:t>9</w:t>
            </w:r>
            <w:r>
              <w:rPr>
                <w:noProof/>
                <w:webHidden/>
              </w:rPr>
              <w:fldChar w:fldCharType="end"/>
            </w:r>
          </w:hyperlink>
        </w:p>
        <w:p w14:paraId="3446F254" w14:textId="7C022FDC" w:rsidR="00365753" w:rsidRDefault="00365753">
          <w:pPr>
            <w:pStyle w:val="Inhopg2"/>
            <w:tabs>
              <w:tab w:val="left" w:pos="800"/>
              <w:tab w:val="right" w:leader="dot" w:pos="9060"/>
            </w:tabs>
            <w:rPr>
              <w:rFonts w:eastAsiaTheme="minorEastAsia" w:cstheme="minorBidi"/>
              <w:i w:val="0"/>
              <w:iCs w:val="0"/>
              <w:noProof/>
              <w:color w:val="auto"/>
              <w:kern w:val="2"/>
              <w:sz w:val="24"/>
              <w:szCs w:val="24"/>
              <w:lang w:val="nl-BE" w:eastAsia="nl-NL"/>
              <w14:ligatures w14:val="standardContextual"/>
            </w:rPr>
          </w:pPr>
          <w:hyperlink w:anchor="_Toc193312397" w:history="1">
            <w:r w:rsidRPr="00BC5E1D">
              <w:rPr>
                <w:rStyle w:val="Hyperlink"/>
                <w:noProof/>
              </w:rPr>
              <w:t>2.2</w:t>
            </w:r>
            <w:r>
              <w:rPr>
                <w:rFonts w:eastAsiaTheme="minorEastAsia" w:cstheme="minorBidi"/>
                <w:i w:val="0"/>
                <w:iCs w:val="0"/>
                <w:noProof/>
                <w:color w:val="auto"/>
                <w:kern w:val="2"/>
                <w:sz w:val="24"/>
                <w:szCs w:val="24"/>
                <w:lang w:val="nl-BE" w:eastAsia="nl-NL"/>
                <w14:ligatures w14:val="standardContextual"/>
              </w:rPr>
              <w:tab/>
            </w:r>
            <w:r w:rsidRPr="00BC5E1D">
              <w:rPr>
                <w:rStyle w:val="Hyperlink"/>
                <w:noProof/>
              </w:rPr>
              <w:t>Bevoegdheidsverdeling voor 1 september 2022</w:t>
            </w:r>
            <w:r>
              <w:rPr>
                <w:noProof/>
                <w:webHidden/>
              </w:rPr>
              <w:tab/>
            </w:r>
            <w:r>
              <w:rPr>
                <w:noProof/>
                <w:webHidden/>
              </w:rPr>
              <w:fldChar w:fldCharType="begin"/>
            </w:r>
            <w:r>
              <w:rPr>
                <w:noProof/>
                <w:webHidden/>
              </w:rPr>
              <w:instrText xml:space="preserve"> PAGEREF _Toc193312397 \h </w:instrText>
            </w:r>
            <w:r>
              <w:rPr>
                <w:noProof/>
                <w:webHidden/>
              </w:rPr>
            </w:r>
            <w:r>
              <w:rPr>
                <w:noProof/>
                <w:webHidden/>
              </w:rPr>
              <w:fldChar w:fldCharType="separate"/>
            </w:r>
            <w:r>
              <w:rPr>
                <w:noProof/>
                <w:webHidden/>
              </w:rPr>
              <w:t>9</w:t>
            </w:r>
            <w:r>
              <w:rPr>
                <w:noProof/>
                <w:webHidden/>
              </w:rPr>
              <w:fldChar w:fldCharType="end"/>
            </w:r>
          </w:hyperlink>
        </w:p>
        <w:p w14:paraId="20CB5650" w14:textId="75E4518C" w:rsidR="00365753" w:rsidRDefault="00365753">
          <w:pPr>
            <w:pStyle w:val="Inhopg3"/>
            <w:tabs>
              <w:tab w:val="left" w:pos="1200"/>
              <w:tab w:val="right" w:leader="dot" w:pos="9060"/>
            </w:tabs>
            <w:rPr>
              <w:rFonts w:eastAsiaTheme="minorEastAsia" w:cstheme="minorBidi"/>
              <w:noProof/>
              <w:color w:val="auto"/>
              <w:kern w:val="2"/>
              <w:sz w:val="24"/>
              <w:szCs w:val="24"/>
              <w:lang w:val="nl-BE" w:eastAsia="nl-NL"/>
              <w14:ligatures w14:val="standardContextual"/>
            </w:rPr>
          </w:pPr>
          <w:hyperlink w:anchor="_Toc193312398" w:history="1">
            <w:r w:rsidRPr="00BC5E1D">
              <w:rPr>
                <w:rStyle w:val="Hyperlink"/>
                <w:noProof/>
                <w:lang w:val="nl-BE"/>
              </w:rPr>
              <w:t>2.2.1</w:t>
            </w:r>
            <w:r>
              <w:rPr>
                <w:rFonts w:eastAsiaTheme="minorEastAsia" w:cstheme="minorBidi"/>
                <w:noProof/>
                <w:color w:val="auto"/>
                <w:kern w:val="2"/>
                <w:sz w:val="24"/>
                <w:szCs w:val="24"/>
                <w:lang w:val="nl-BE" w:eastAsia="nl-NL"/>
                <w14:ligatures w14:val="standardContextual"/>
              </w:rPr>
              <w:tab/>
            </w:r>
            <w:r w:rsidRPr="00BC5E1D">
              <w:rPr>
                <w:rStyle w:val="Hyperlink"/>
                <w:noProof/>
                <w:lang w:val="nl-BE"/>
              </w:rPr>
              <w:t>Bevoegdheid in eerste bestuurlijke aanleg</w:t>
            </w:r>
            <w:r>
              <w:rPr>
                <w:noProof/>
                <w:webHidden/>
              </w:rPr>
              <w:tab/>
            </w:r>
            <w:r>
              <w:rPr>
                <w:noProof/>
                <w:webHidden/>
              </w:rPr>
              <w:fldChar w:fldCharType="begin"/>
            </w:r>
            <w:r>
              <w:rPr>
                <w:noProof/>
                <w:webHidden/>
              </w:rPr>
              <w:instrText xml:space="preserve"> PAGEREF _Toc193312398 \h </w:instrText>
            </w:r>
            <w:r>
              <w:rPr>
                <w:noProof/>
                <w:webHidden/>
              </w:rPr>
            </w:r>
            <w:r>
              <w:rPr>
                <w:noProof/>
                <w:webHidden/>
              </w:rPr>
              <w:fldChar w:fldCharType="separate"/>
            </w:r>
            <w:r>
              <w:rPr>
                <w:noProof/>
                <w:webHidden/>
              </w:rPr>
              <w:t>9</w:t>
            </w:r>
            <w:r>
              <w:rPr>
                <w:noProof/>
                <w:webHidden/>
              </w:rPr>
              <w:fldChar w:fldCharType="end"/>
            </w:r>
          </w:hyperlink>
        </w:p>
        <w:p w14:paraId="33BAEDB7" w14:textId="5ADFF7A6" w:rsidR="00365753" w:rsidRDefault="00365753">
          <w:pPr>
            <w:pStyle w:val="Inhopg3"/>
            <w:tabs>
              <w:tab w:val="left" w:pos="1200"/>
              <w:tab w:val="right" w:leader="dot" w:pos="9060"/>
            </w:tabs>
            <w:rPr>
              <w:rFonts w:eastAsiaTheme="minorEastAsia" w:cstheme="minorBidi"/>
              <w:noProof/>
              <w:color w:val="auto"/>
              <w:kern w:val="2"/>
              <w:sz w:val="24"/>
              <w:szCs w:val="24"/>
              <w:lang w:val="nl-BE" w:eastAsia="nl-NL"/>
              <w14:ligatures w14:val="standardContextual"/>
            </w:rPr>
          </w:pPr>
          <w:hyperlink w:anchor="_Toc193312399" w:history="1">
            <w:r w:rsidRPr="00BC5E1D">
              <w:rPr>
                <w:rStyle w:val="Hyperlink"/>
                <w:noProof/>
                <w:lang w:val="nl-BE"/>
              </w:rPr>
              <w:t>2.2.2</w:t>
            </w:r>
            <w:r>
              <w:rPr>
                <w:rFonts w:eastAsiaTheme="minorEastAsia" w:cstheme="minorBidi"/>
                <w:noProof/>
                <w:color w:val="auto"/>
                <w:kern w:val="2"/>
                <w:sz w:val="24"/>
                <w:szCs w:val="24"/>
                <w:lang w:val="nl-BE" w:eastAsia="nl-NL"/>
                <w14:ligatures w14:val="standardContextual"/>
              </w:rPr>
              <w:tab/>
            </w:r>
            <w:r w:rsidRPr="00BC5E1D">
              <w:rPr>
                <w:rStyle w:val="Hyperlink"/>
                <w:noProof/>
                <w:lang w:val="nl-BE"/>
              </w:rPr>
              <w:t>Synthese van de oude bevoegdheidsverdeling in eerste bestuurlijke aanleg</w:t>
            </w:r>
            <w:r>
              <w:rPr>
                <w:noProof/>
                <w:webHidden/>
              </w:rPr>
              <w:tab/>
            </w:r>
            <w:r>
              <w:rPr>
                <w:noProof/>
                <w:webHidden/>
              </w:rPr>
              <w:fldChar w:fldCharType="begin"/>
            </w:r>
            <w:r>
              <w:rPr>
                <w:noProof/>
                <w:webHidden/>
              </w:rPr>
              <w:instrText xml:space="preserve"> PAGEREF _Toc193312399 \h </w:instrText>
            </w:r>
            <w:r>
              <w:rPr>
                <w:noProof/>
                <w:webHidden/>
              </w:rPr>
            </w:r>
            <w:r>
              <w:rPr>
                <w:noProof/>
                <w:webHidden/>
              </w:rPr>
              <w:fldChar w:fldCharType="separate"/>
            </w:r>
            <w:r>
              <w:rPr>
                <w:noProof/>
                <w:webHidden/>
              </w:rPr>
              <w:t>12</w:t>
            </w:r>
            <w:r>
              <w:rPr>
                <w:noProof/>
                <w:webHidden/>
              </w:rPr>
              <w:fldChar w:fldCharType="end"/>
            </w:r>
          </w:hyperlink>
        </w:p>
        <w:p w14:paraId="253E573B" w14:textId="4DCB1B57" w:rsidR="00365753" w:rsidRDefault="00365753">
          <w:pPr>
            <w:pStyle w:val="Inhopg3"/>
            <w:tabs>
              <w:tab w:val="left" w:pos="1200"/>
              <w:tab w:val="right" w:leader="dot" w:pos="9060"/>
            </w:tabs>
            <w:rPr>
              <w:rFonts w:eastAsiaTheme="minorEastAsia" w:cstheme="minorBidi"/>
              <w:noProof/>
              <w:color w:val="auto"/>
              <w:kern w:val="2"/>
              <w:sz w:val="24"/>
              <w:szCs w:val="24"/>
              <w:lang w:val="nl-BE" w:eastAsia="nl-NL"/>
              <w14:ligatures w14:val="standardContextual"/>
            </w:rPr>
          </w:pPr>
          <w:hyperlink w:anchor="_Toc193312400" w:history="1">
            <w:r w:rsidRPr="00BC5E1D">
              <w:rPr>
                <w:rStyle w:val="Hyperlink"/>
                <w:noProof/>
                <w:lang w:val="nl-BE"/>
              </w:rPr>
              <w:t>2.2.3</w:t>
            </w:r>
            <w:r>
              <w:rPr>
                <w:rFonts w:eastAsiaTheme="minorEastAsia" w:cstheme="minorBidi"/>
                <w:noProof/>
                <w:color w:val="auto"/>
                <w:kern w:val="2"/>
                <w:sz w:val="24"/>
                <w:szCs w:val="24"/>
                <w:lang w:val="nl-BE" w:eastAsia="nl-NL"/>
                <w14:ligatures w14:val="standardContextual"/>
              </w:rPr>
              <w:tab/>
            </w:r>
            <w:r w:rsidRPr="00BC5E1D">
              <w:rPr>
                <w:rStyle w:val="Hyperlink"/>
                <w:noProof/>
                <w:lang w:val="nl-BE"/>
              </w:rPr>
              <w:t>Bevoegdheid in tweede bestuurlijke aanleg</w:t>
            </w:r>
            <w:r>
              <w:rPr>
                <w:noProof/>
                <w:webHidden/>
              </w:rPr>
              <w:tab/>
            </w:r>
            <w:r>
              <w:rPr>
                <w:noProof/>
                <w:webHidden/>
              </w:rPr>
              <w:fldChar w:fldCharType="begin"/>
            </w:r>
            <w:r>
              <w:rPr>
                <w:noProof/>
                <w:webHidden/>
              </w:rPr>
              <w:instrText xml:space="preserve"> PAGEREF _Toc193312400 \h </w:instrText>
            </w:r>
            <w:r>
              <w:rPr>
                <w:noProof/>
                <w:webHidden/>
              </w:rPr>
            </w:r>
            <w:r>
              <w:rPr>
                <w:noProof/>
                <w:webHidden/>
              </w:rPr>
              <w:fldChar w:fldCharType="separate"/>
            </w:r>
            <w:r>
              <w:rPr>
                <w:noProof/>
                <w:webHidden/>
              </w:rPr>
              <w:t>14</w:t>
            </w:r>
            <w:r>
              <w:rPr>
                <w:noProof/>
                <w:webHidden/>
              </w:rPr>
              <w:fldChar w:fldCharType="end"/>
            </w:r>
          </w:hyperlink>
        </w:p>
        <w:p w14:paraId="63A52C6D" w14:textId="10BB7662" w:rsidR="00365753" w:rsidRDefault="00365753">
          <w:pPr>
            <w:pStyle w:val="Inhopg2"/>
            <w:tabs>
              <w:tab w:val="left" w:pos="800"/>
              <w:tab w:val="right" w:leader="dot" w:pos="9060"/>
            </w:tabs>
            <w:rPr>
              <w:rFonts w:eastAsiaTheme="minorEastAsia" w:cstheme="minorBidi"/>
              <w:i w:val="0"/>
              <w:iCs w:val="0"/>
              <w:noProof/>
              <w:color w:val="auto"/>
              <w:kern w:val="2"/>
              <w:sz w:val="24"/>
              <w:szCs w:val="24"/>
              <w:lang w:val="nl-BE" w:eastAsia="nl-NL"/>
              <w14:ligatures w14:val="standardContextual"/>
            </w:rPr>
          </w:pPr>
          <w:hyperlink w:anchor="_Toc193312401" w:history="1">
            <w:r w:rsidRPr="00BC5E1D">
              <w:rPr>
                <w:rStyle w:val="Hyperlink"/>
                <w:noProof/>
              </w:rPr>
              <w:t>2.3</w:t>
            </w:r>
            <w:r>
              <w:rPr>
                <w:rFonts w:eastAsiaTheme="minorEastAsia" w:cstheme="minorBidi"/>
                <w:i w:val="0"/>
                <w:iCs w:val="0"/>
                <w:noProof/>
                <w:color w:val="auto"/>
                <w:kern w:val="2"/>
                <w:sz w:val="24"/>
                <w:szCs w:val="24"/>
                <w:lang w:val="nl-BE" w:eastAsia="nl-NL"/>
                <w14:ligatures w14:val="standardContextual"/>
              </w:rPr>
              <w:tab/>
            </w:r>
            <w:r w:rsidRPr="00BC5E1D">
              <w:rPr>
                <w:rStyle w:val="Hyperlink"/>
                <w:noProof/>
              </w:rPr>
              <w:t>Bevoegdheidsverdeling na 1 september 2022</w:t>
            </w:r>
            <w:r>
              <w:rPr>
                <w:noProof/>
                <w:webHidden/>
              </w:rPr>
              <w:tab/>
            </w:r>
            <w:r>
              <w:rPr>
                <w:noProof/>
                <w:webHidden/>
              </w:rPr>
              <w:fldChar w:fldCharType="begin"/>
            </w:r>
            <w:r>
              <w:rPr>
                <w:noProof/>
                <w:webHidden/>
              </w:rPr>
              <w:instrText xml:space="preserve"> PAGEREF _Toc193312401 \h </w:instrText>
            </w:r>
            <w:r>
              <w:rPr>
                <w:noProof/>
                <w:webHidden/>
              </w:rPr>
            </w:r>
            <w:r>
              <w:rPr>
                <w:noProof/>
                <w:webHidden/>
              </w:rPr>
              <w:fldChar w:fldCharType="separate"/>
            </w:r>
            <w:r>
              <w:rPr>
                <w:noProof/>
                <w:webHidden/>
              </w:rPr>
              <w:t>14</w:t>
            </w:r>
            <w:r>
              <w:rPr>
                <w:noProof/>
                <w:webHidden/>
              </w:rPr>
              <w:fldChar w:fldCharType="end"/>
            </w:r>
          </w:hyperlink>
        </w:p>
        <w:p w14:paraId="52A64210" w14:textId="1AD82874" w:rsidR="00365753" w:rsidRDefault="00365753">
          <w:pPr>
            <w:pStyle w:val="Inhopg1"/>
            <w:tabs>
              <w:tab w:val="left" w:pos="400"/>
              <w:tab w:val="right" w:leader="dot" w:pos="9060"/>
            </w:tabs>
            <w:rPr>
              <w:rFonts w:eastAsiaTheme="minorEastAsia" w:cstheme="minorBidi"/>
              <w:b w:val="0"/>
              <w:bCs w:val="0"/>
              <w:noProof/>
              <w:color w:val="auto"/>
              <w:kern w:val="2"/>
              <w:sz w:val="24"/>
              <w:szCs w:val="24"/>
              <w:lang w:val="nl-BE" w:eastAsia="nl-NL"/>
              <w14:ligatures w14:val="standardContextual"/>
            </w:rPr>
          </w:pPr>
          <w:hyperlink w:anchor="_Toc193312402" w:history="1">
            <w:r w:rsidRPr="00BC5E1D">
              <w:rPr>
                <w:rStyle w:val="Hyperlink"/>
                <w:noProof/>
              </w:rPr>
              <w:t>3</w:t>
            </w:r>
            <w:r>
              <w:rPr>
                <w:rFonts w:eastAsiaTheme="minorEastAsia" w:cstheme="minorBidi"/>
                <w:b w:val="0"/>
                <w:bCs w:val="0"/>
                <w:noProof/>
                <w:color w:val="auto"/>
                <w:kern w:val="2"/>
                <w:sz w:val="24"/>
                <w:szCs w:val="24"/>
                <w:lang w:val="nl-BE" w:eastAsia="nl-NL"/>
                <w14:ligatures w14:val="standardContextual"/>
              </w:rPr>
              <w:tab/>
            </w:r>
            <w:r w:rsidRPr="00BC5E1D">
              <w:rPr>
                <w:rStyle w:val="Hyperlink"/>
                <w:noProof/>
              </w:rPr>
              <w:t>De spreidstand tussen milieu- en klimaatdoelen met betrekking tot de vergunning van hernieuwbare energieprojecten</w:t>
            </w:r>
            <w:r>
              <w:rPr>
                <w:noProof/>
                <w:webHidden/>
              </w:rPr>
              <w:tab/>
            </w:r>
            <w:r>
              <w:rPr>
                <w:noProof/>
                <w:webHidden/>
              </w:rPr>
              <w:fldChar w:fldCharType="begin"/>
            </w:r>
            <w:r>
              <w:rPr>
                <w:noProof/>
                <w:webHidden/>
              </w:rPr>
              <w:instrText xml:space="preserve"> PAGEREF _Toc193312402 \h </w:instrText>
            </w:r>
            <w:r>
              <w:rPr>
                <w:noProof/>
                <w:webHidden/>
              </w:rPr>
            </w:r>
            <w:r>
              <w:rPr>
                <w:noProof/>
                <w:webHidden/>
              </w:rPr>
              <w:fldChar w:fldCharType="separate"/>
            </w:r>
            <w:r>
              <w:rPr>
                <w:noProof/>
                <w:webHidden/>
              </w:rPr>
              <w:t>16</w:t>
            </w:r>
            <w:r>
              <w:rPr>
                <w:noProof/>
                <w:webHidden/>
              </w:rPr>
              <w:fldChar w:fldCharType="end"/>
            </w:r>
          </w:hyperlink>
        </w:p>
        <w:p w14:paraId="4F41524D" w14:textId="065D55D5" w:rsidR="00365753" w:rsidRDefault="00365753">
          <w:pPr>
            <w:pStyle w:val="Inhopg2"/>
            <w:tabs>
              <w:tab w:val="left" w:pos="800"/>
              <w:tab w:val="right" w:leader="dot" w:pos="9060"/>
            </w:tabs>
            <w:rPr>
              <w:rFonts w:eastAsiaTheme="minorEastAsia" w:cstheme="minorBidi"/>
              <w:i w:val="0"/>
              <w:iCs w:val="0"/>
              <w:noProof/>
              <w:color w:val="auto"/>
              <w:kern w:val="2"/>
              <w:sz w:val="24"/>
              <w:szCs w:val="24"/>
              <w:lang w:val="nl-BE" w:eastAsia="nl-NL"/>
              <w14:ligatures w14:val="standardContextual"/>
            </w:rPr>
          </w:pPr>
          <w:hyperlink w:anchor="_Toc193312403" w:history="1">
            <w:r w:rsidRPr="00BC5E1D">
              <w:rPr>
                <w:rStyle w:val="Hyperlink"/>
                <w:noProof/>
                <w:lang w:val="nl-BE"/>
              </w:rPr>
              <w:t>3.1</w:t>
            </w:r>
            <w:r>
              <w:rPr>
                <w:rFonts w:eastAsiaTheme="minorEastAsia" w:cstheme="minorBidi"/>
                <w:i w:val="0"/>
                <w:iCs w:val="0"/>
                <w:noProof/>
                <w:color w:val="auto"/>
                <w:kern w:val="2"/>
                <w:sz w:val="24"/>
                <w:szCs w:val="24"/>
                <w:lang w:val="nl-BE" w:eastAsia="nl-NL"/>
                <w14:ligatures w14:val="standardContextual"/>
              </w:rPr>
              <w:tab/>
            </w:r>
            <w:r w:rsidRPr="00BC5E1D">
              <w:rPr>
                <w:rStyle w:val="Hyperlink"/>
                <w:noProof/>
                <w:lang w:val="nl-BE"/>
              </w:rPr>
              <w:t>De regelgeving inzake natuur- en soortenbescherming en -behoud</w:t>
            </w:r>
            <w:r>
              <w:rPr>
                <w:noProof/>
                <w:webHidden/>
              </w:rPr>
              <w:tab/>
            </w:r>
            <w:r>
              <w:rPr>
                <w:noProof/>
                <w:webHidden/>
              </w:rPr>
              <w:fldChar w:fldCharType="begin"/>
            </w:r>
            <w:r>
              <w:rPr>
                <w:noProof/>
                <w:webHidden/>
              </w:rPr>
              <w:instrText xml:space="preserve"> PAGEREF _Toc193312403 \h </w:instrText>
            </w:r>
            <w:r>
              <w:rPr>
                <w:noProof/>
                <w:webHidden/>
              </w:rPr>
            </w:r>
            <w:r>
              <w:rPr>
                <w:noProof/>
                <w:webHidden/>
              </w:rPr>
              <w:fldChar w:fldCharType="separate"/>
            </w:r>
            <w:r>
              <w:rPr>
                <w:noProof/>
                <w:webHidden/>
              </w:rPr>
              <w:t>17</w:t>
            </w:r>
            <w:r>
              <w:rPr>
                <w:noProof/>
                <w:webHidden/>
              </w:rPr>
              <w:fldChar w:fldCharType="end"/>
            </w:r>
          </w:hyperlink>
        </w:p>
        <w:p w14:paraId="17FF42CB" w14:textId="5590C412" w:rsidR="00365753" w:rsidRDefault="00365753">
          <w:pPr>
            <w:pStyle w:val="Inhopg2"/>
            <w:tabs>
              <w:tab w:val="left" w:pos="800"/>
              <w:tab w:val="right" w:leader="dot" w:pos="9060"/>
            </w:tabs>
            <w:rPr>
              <w:rFonts w:eastAsiaTheme="minorEastAsia" w:cstheme="minorBidi"/>
              <w:i w:val="0"/>
              <w:iCs w:val="0"/>
              <w:noProof/>
              <w:color w:val="auto"/>
              <w:kern w:val="2"/>
              <w:sz w:val="24"/>
              <w:szCs w:val="24"/>
              <w:lang w:val="nl-BE" w:eastAsia="nl-NL"/>
              <w14:ligatures w14:val="standardContextual"/>
            </w:rPr>
          </w:pPr>
          <w:hyperlink w:anchor="_Toc193312404" w:history="1">
            <w:r w:rsidRPr="00BC5E1D">
              <w:rPr>
                <w:rStyle w:val="Hyperlink"/>
                <w:noProof/>
              </w:rPr>
              <w:t>3.2</w:t>
            </w:r>
            <w:r>
              <w:rPr>
                <w:rFonts w:eastAsiaTheme="minorEastAsia" w:cstheme="minorBidi"/>
                <w:i w:val="0"/>
                <w:iCs w:val="0"/>
                <w:noProof/>
                <w:color w:val="auto"/>
                <w:kern w:val="2"/>
                <w:sz w:val="24"/>
                <w:szCs w:val="24"/>
                <w:lang w:val="nl-BE" w:eastAsia="nl-NL"/>
                <w14:ligatures w14:val="standardContextual"/>
              </w:rPr>
              <w:tab/>
            </w:r>
            <w:r w:rsidRPr="00BC5E1D">
              <w:rPr>
                <w:rStyle w:val="Hyperlink"/>
                <w:noProof/>
              </w:rPr>
              <w:t>MER-regelgeving</w:t>
            </w:r>
            <w:r>
              <w:rPr>
                <w:noProof/>
                <w:webHidden/>
              </w:rPr>
              <w:tab/>
            </w:r>
            <w:r>
              <w:rPr>
                <w:noProof/>
                <w:webHidden/>
              </w:rPr>
              <w:fldChar w:fldCharType="begin"/>
            </w:r>
            <w:r>
              <w:rPr>
                <w:noProof/>
                <w:webHidden/>
              </w:rPr>
              <w:instrText xml:space="preserve"> PAGEREF _Toc193312404 \h </w:instrText>
            </w:r>
            <w:r>
              <w:rPr>
                <w:noProof/>
                <w:webHidden/>
              </w:rPr>
            </w:r>
            <w:r>
              <w:rPr>
                <w:noProof/>
                <w:webHidden/>
              </w:rPr>
              <w:fldChar w:fldCharType="separate"/>
            </w:r>
            <w:r>
              <w:rPr>
                <w:noProof/>
                <w:webHidden/>
              </w:rPr>
              <w:t>28</w:t>
            </w:r>
            <w:r>
              <w:rPr>
                <w:noProof/>
                <w:webHidden/>
              </w:rPr>
              <w:fldChar w:fldCharType="end"/>
            </w:r>
          </w:hyperlink>
        </w:p>
        <w:p w14:paraId="36B23206" w14:textId="56750522" w:rsidR="00365753" w:rsidRDefault="00365753">
          <w:pPr>
            <w:pStyle w:val="Inhopg2"/>
            <w:tabs>
              <w:tab w:val="left" w:pos="800"/>
              <w:tab w:val="right" w:leader="dot" w:pos="9060"/>
            </w:tabs>
            <w:rPr>
              <w:rFonts w:eastAsiaTheme="minorEastAsia" w:cstheme="minorBidi"/>
              <w:i w:val="0"/>
              <w:iCs w:val="0"/>
              <w:noProof/>
              <w:color w:val="auto"/>
              <w:kern w:val="2"/>
              <w:sz w:val="24"/>
              <w:szCs w:val="24"/>
              <w:lang w:val="nl-BE" w:eastAsia="nl-NL"/>
              <w14:ligatures w14:val="standardContextual"/>
            </w:rPr>
          </w:pPr>
          <w:hyperlink w:anchor="_Toc193312405" w:history="1">
            <w:r w:rsidRPr="00BC5E1D">
              <w:rPr>
                <w:rStyle w:val="Hyperlink"/>
                <w:noProof/>
              </w:rPr>
              <w:t>3.3</w:t>
            </w:r>
            <w:r>
              <w:rPr>
                <w:rFonts w:eastAsiaTheme="minorEastAsia" w:cstheme="minorBidi"/>
                <w:i w:val="0"/>
                <w:iCs w:val="0"/>
                <w:noProof/>
                <w:color w:val="auto"/>
                <w:kern w:val="2"/>
                <w:sz w:val="24"/>
                <w:szCs w:val="24"/>
                <w:lang w:val="nl-BE" w:eastAsia="nl-NL"/>
                <w14:ligatures w14:val="standardContextual"/>
              </w:rPr>
              <w:tab/>
            </w:r>
            <w:r w:rsidRPr="00BC5E1D">
              <w:rPr>
                <w:rStyle w:val="Hyperlink"/>
                <w:noProof/>
              </w:rPr>
              <w:t>Het Verdrag van Aarhus</w:t>
            </w:r>
            <w:r>
              <w:rPr>
                <w:noProof/>
                <w:webHidden/>
              </w:rPr>
              <w:tab/>
            </w:r>
            <w:r>
              <w:rPr>
                <w:noProof/>
                <w:webHidden/>
              </w:rPr>
              <w:fldChar w:fldCharType="begin"/>
            </w:r>
            <w:r>
              <w:rPr>
                <w:noProof/>
                <w:webHidden/>
              </w:rPr>
              <w:instrText xml:space="preserve"> PAGEREF _Toc193312405 \h </w:instrText>
            </w:r>
            <w:r>
              <w:rPr>
                <w:noProof/>
                <w:webHidden/>
              </w:rPr>
            </w:r>
            <w:r>
              <w:rPr>
                <w:noProof/>
                <w:webHidden/>
              </w:rPr>
              <w:fldChar w:fldCharType="separate"/>
            </w:r>
            <w:r>
              <w:rPr>
                <w:noProof/>
                <w:webHidden/>
              </w:rPr>
              <w:t>36</w:t>
            </w:r>
            <w:r>
              <w:rPr>
                <w:noProof/>
                <w:webHidden/>
              </w:rPr>
              <w:fldChar w:fldCharType="end"/>
            </w:r>
          </w:hyperlink>
        </w:p>
        <w:p w14:paraId="6D35E692" w14:textId="0E4C21C5" w:rsidR="00365753" w:rsidRDefault="00365753">
          <w:pPr>
            <w:pStyle w:val="Inhopg2"/>
            <w:tabs>
              <w:tab w:val="left" w:pos="800"/>
              <w:tab w:val="right" w:leader="dot" w:pos="9060"/>
            </w:tabs>
            <w:rPr>
              <w:rFonts w:eastAsiaTheme="minorEastAsia" w:cstheme="minorBidi"/>
              <w:i w:val="0"/>
              <w:iCs w:val="0"/>
              <w:noProof/>
              <w:color w:val="auto"/>
              <w:kern w:val="2"/>
              <w:sz w:val="24"/>
              <w:szCs w:val="24"/>
              <w:lang w:val="nl-BE" w:eastAsia="nl-NL"/>
              <w14:ligatures w14:val="standardContextual"/>
            </w:rPr>
          </w:pPr>
          <w:hyperlink w:anchor="_Toc193312406" w:history="1">
            <w:r w:rsidRPr="00BC5E1D">
              <w:rPr>
                <w:rStyle w:val="Hyperlink"/>
                <w:noProof/>
                <w:lang w:val="nl-BE"/>
              </w:rPr>
              <w:t>3.4</w:t>
            </w:r>
            <w:r>
              <w:rPr>
                <w:rFonts w:eastAsiaTheme="minorEastAsia" w:cstheme="minorBidi"/>
                <w:i w:val="0"/>
                <w:iCs w:val="0"/>
                <w:noProof/>
                <w:color w:val="auto"/>
                <w:kern w:val="2"/>
                <w:sz w:val="24"/>
                <w:szCs w:val="24"/>
                <w:lang w:val="nl-BE" w:eastAsia="nl-NL"/>
                <w14:ligatures w14:val="standardContextual"/>
              </w:rPr>
              <w:tab/>
            </w:r>
            <w:r w:rsidRPr="00BC5E1D">
              <w:rPr>
                <w:rStyle w:val="Hyperlink"/>
                <w:noProof/>
                <w:lang w:val="nl-BE"/>
              </w:rPr>
              <w:t>De bescherming van cultureel erfgoed en landschapswaarden</w:t>
            </w:r>
            <w:r>
              <w:rPr>
                <w:noProof/>
                <w:webHidden/>
              </w:rPr>
              <w:tab/>
            </w:r>
            <w:r>
              <w:rPr>
                <w:noProof/>
                <w:webHidden/>
              </w:rPr>
              <w:fldChar w:fldCharType="begin"/>
            </w:r>
            <w:r>
              <w:rPr>
                <w:noProof/>
                <w:webHidden/>
              </w:rPr>
              <w:instrText xml:space="preserve"> PAGEREF _Toc193312406 \h </w:instrText>
            </w:r>
            <w:r>
              <w:rPr>
                <w:noProof/>
                <w:webHidden/>
              </w:rPr>
            </w:r>
            <w:r>
              <w:rPr>
                <w:noProof/>
                <w:webHidden/>
              </w:rPr>
              <w:fldChar w:fldCharType="separate"/>
            </w:r>
            <w:r>
              <w:rPr>
                <w:noProof/>
                <w:webHidden/>
              </w:rPr>
              <w:t>41</w:t>
            </w:r>
            <w:r>
              <w:rPr>
                <w:noProof/>
                <w:webHidden/>
              </w:rPr>
              <w:fldChar w:fldCharType="end"/>
            </w:r>
          </w:hyperlink>
        </w:p>
        <w:p w14:paraId="47DB5970" w14:textId="00DE8593" w:rsidR="00365753" w:rsidRDefault="00365753">
          <w:pPr>
            <w:pStyle w:val="Inhopg2"/>
            <w:tabs>
              <w:tab w:val="left" w:pos="800"/>
              <w:tab w:val="right" w:leader="dot" w:pos="9060"/>
            </w:tabs>
            <w:rPr>
              <w:rFonts w:eastAsiaTheme="minorEastAsia" w:cstheme="minorBidi"/>
              <w:i w:val="0"/>
              <w:iCs w:val="0"/>
              <w:noProof/>
              <w:color w:val="auto"/>
              <w:kern w:val="2"/>
              <w:sz w:val="24"/>
              <w:szCs w:val="24"/>
              <w:lang w:val="nl-BE" w:eastAsia="nl-NL"/>
              <w14:ligatures w14:val="standardContextual"/>
            </w:rPr>
          </w:pPr>
          <w:hyperlink w:anchor="_Toc193312407" w:history="1">
            <w:r w:rsidRPr="00BC5E1D">
              <w:rPr>
                <w:rStyle w:val="Hyperlink"/>
                <w:noProof/>
                <w:lang w:val="nl-BE"/>
              </w:rPr>
              <w:t>3.5</w:t>
            </w:r>
            <w:r>
              <w:rPr>
                <w:rFonts w:eastAsiaTheme="minorEastAsia" w:cstheme="minorBidi"/>
                <w:i w:val="0"/>
                <w:iCs w:val="0"/>
                <w:noProof/>
                <w:color w:val="auto"/>
                <w:kern w:val="2"/>
                <w:sz w:val="24"/>
                <w:szCs w:val="24"/>
                <w:lang w:val="nl-BE" w:eastAsia="nl-NL"/>
                <w14:ligatures w14:val="standardContextual"/>
              </w:rPr>
              <w:tab/>
            </w:r>
            <w:r w:rsidRPr="00BC5E1D">
              <w:rPr>
                <w:rStyle w:val="Hyperlink"/>
                <w:noProof/>
                <w:lang w:val="nl-BE"/>
              </w:rPr>
              <w:t>Schema: naar een concrete inventaris van de voornaamste omgevingsrechtelijke obstakels</w:t>
            </w:r>
            <w:r>
              <w:rPr>
                <w:noProof/>
                <w:webHidden/>
              </w:rPr>
              <w:tab/>
            </w:r>
            <w:r>
              <w:rPr>
                <w:noProof/>
                <w:webHidden/>
              </w:rPr>
              <w:fldChar w:fldCharType="begin"/>
            </w:r>
            <w:r>
              <w:rPr>
                <w:noProof/>
                <w:webHidden/>
              </w:rPr>
              <w:instrText xml:space="preserve"> PAGEREF _Toc193312407 \h </w:instrText>
            </w:r>
            <w:r>
              <w:rPr>
                <w:noProof/>
                <w:webHidden/>
              </w:rPr>
            </w:r>
            <w:r>
              <w:rPr>
                <w:noProof/>
                <w:webHidden/>
              </w:rPr>
              <w:fldChar w:fldCharType="separate"/>
            </w:r>
            <w:r>
              <w:rPr>
                <w:noProof/>
                <w:webHidden/>
              </w:rPr>
              <w:t>45</w:t>
            </w:r>
            <w:r>
              <w:rPr>
                <w:noProof/>
                <w:webHidden/>
              </w:rPr>
              <w:fldChar w:fldCharType="end"/>
            </w:r>
          </w:hyperlink>
        </w:p>
        <w:p w14:paraId="4502F4D4" w14:textId="0FE0CB6D" w:rsidR="00365753" w:rsidRDefault="00365753">
          <w:pPr>
            <w:pStyle w:val="Inhopg1"/>
            <w:tabs>
              <w:tab w:val="left" w:pos="400"/>
              <w:tab w:val="right" w:leader="dot" w:pos="9060"/>
            </w:tabs>
            <w:rPr>
              <w:rFonts w:eastAsiaTheme="minorEastAsia" w:cstheme="minorBidi"/>
              <w:b w:val="0"/>
              <w:bCs w:val="0"/>
              <w:noProof/>
              <w:color w:val="auto"/>
              <w:kern w:val="2"/>
              <w:sz w:val="24"/>
              <w:szCs w:val="24"/>
              <w:lang w:val="nl-BE" w:eastAsia="nl-NL"/>
              <w14:ligatures w14:val="standardContextual"/>
            </w:rPr>
          </w:pPr>
          <w:hyperlink w:anchor="_Toc193312408" w:history="1">
            <w:r w:rsidRPr="00BC5E1D">
              <w:rPr>
                <w:rStyle w:val="Hyperlink"/>
                <w:noProof/>
              </w:rPr>
              <w:t>4</w:t>
            </w:r>
            <w:r>
              <w:rPr>
                <w:rFonts w:eastAsiaTheme="minorEastAsia" w:cstheme="minorBidi"/>
                <w:b w:val="0"/>
                <w:bCs w:val="0"/>
                <w:noProof/>
                <w:color w:val="auto"/>
                <w:kern w:val="2"/>
                <w:sz w:val="24"/>
                <w:szCs w:val="24"/>
                <w:lang w:val="nl-BE" w:eastAsia="nl-NL"/>
                <w14:ligatures w14:val="standardContextual"/>
              </w:rPr>
              <w:tab/>
            </w:r>
            <w:r w:rsidRPr="00BC5E1D">
              <w:rPr>
                <w:rStyle w:val="Hyperlink"/>
                <w:noProof/>
              </w:rPr>
              <w:t>Antwoorden op de spreidstand tussen milieu- en klimaatdoelen van de EU-, Vlaamse en Duitse regelgever</w:t>
            </w:r>
            <w:r>
              <w:rPr>
                <w:noProof/>
                <w:webHidden/>
              </w:rPr>
              <w:tab/>
            </w:r>
            <w:r>
              <w:rPr>
                <w:noProof/>
                <w:webHidden/>
              </w:rPr>
              <w:fldChar w:fldCharType="begin"/>
            </w:r>
            <w:r>
              <w:rPr>
                <w:noProof/>
                <w:webHidden/>
              </w:rPr>
              <w:instrText xml:space="preserve"> PAGEREF _Toc193312408 \h </w:instrText>
            </w:r>
            <w:r>
              <w:rPr>
                <w:noProof/>
                <w:webHidden/>
              </w:rPr>
            </w:r>
            <w:r>
              <w:rPr>
                <w:noProof/>
                <w:webHidden/>
              </w:rPr>
              <w:fldChar w:fldCharType="separate"/>
            </w:r>
            <w:r>
              <w:rPr>
                <w:noProof/>
                <w:webHidden/>
              </w:rPr>
              <w:t>46</w:t>
            </w:r>
            <w:r>
              <w:rPr>
                <w:noProof/>
                <w:webHidden/>
              </w:rPr>
              <w:fldChar w:fldCharType="end"/>
            </w:r>
          </w:hyperlink>
        </w:p>
        <w:p w14:paraId="1D774C5F" w14:textId="7C5C766E" w:rsidR="00365753" w:rsidRDefault="00365753">
          <w:pPr>
            <w:pStyle w:val="Inhopg1"/>
            <w:tabs>
              <w:tab w:val="left" w:pos="400"/>
              <w:tab w:val="right" w:leader="dot" w:pos="9060"/>
            </w:tabs>
            <w:rPr>
              <w:rFonts w:eastAsiaTheme="minorEastAsia" w:cstheme="minorBidi"/>
              <w:b w:val="0"/>
              <w:bCs w:val="0"/>
              <w:noProof/>
              <w:color w:val="auto"/>
              <w:kern w:val="2"/>
              <w:sz w:val="24"/>
              <w:szCs w:val="24"/>
              <w:lang w:val="nl-BE" w:eastAsia="nl-NL"/>
              <w14:ligatures w14:val="standardContextual"/>
            </w:rPr>
          </w:pPr>
          <w:hyperlink w:anchor="_Toc193312409" w:history="1">
            <w:r w:rsidRPr="00BC5E1D">
              <w:rPr>
                <w:rStyle w:val="Hyperlink"/>
                <w:noProof/>
              </w:rPr>
              <w:t>5</w:t>
            </w:r>
            <w:r>
              <w:rPr>
                <w:rFonts w:eastAsiaTheme="minorEastAsia" w:cstheme="minorBidi"/>
                <w:b w:val="0"/>
                <w:bCs w:val="0"/>
                <w:noProof/>
                <w:color w:val="auto"/>
                <w:kern w:val="2"/>
                <w:sz w:val="24"/>
                <w:szCs w:val="24"/>
                <w:lang w:val="nl-BE" w:eastAsia="nl-NL"/>
                <w14:ligatures w14:val="standardContextual"/>
              </w:rPr>
              <w:tab/>
            </w:r>
            <w:r w:rsidRPr="00BC5E1D">
              <w:rPr>
                <w:rStyle w:val="Hyperlink"/>
                <w:noProof/>
              </w:rPr>
              <w:t>Toekomstperspectieven en voorstellen voor een efficiënt, rechtszeker en toekomstbestendig vergunningsbeleid van windturbineprojecten</w:t>
            </w:r>
            <w:r>
              <w:rPr>
                <w:noProof/>
                <w:webHidden/>
              </w:rPr>
              <w:tab/>
            </w:r>
            <w:r>
              <w:rPr>
                <w:noProof/>
                <w:webHidden/>
              </w:rPr>
              <w:fldChar w:fldCharType="begin"/>
            </w:r>
            <w:r>
              <w:rPr>
                <w:noProof/>
                <w:webHidden/>
              </w:rPr>
              <w:instrText xml:space="preserve"> PAGEREF _Toc193312409 \h </w:instrText>
            </w:r>
            <w:r>
              <w:rPr>
                <w:noProof/>
                <w:webHidden/>
              </w:rPr>
            </w:r>
            <w:r>
              <w:rPr>
                <w:noProof/>
                <w:webHidden/>
              </w:rPr>
              <w:fldChar w:fldCharType="separate"/>
            </w:r>
            <w:r>
              <w:rPr>
                <w:noProof/>
                <w:webHidden/>
              </w:rPr>
              <w:t>56</w:t>
            </w:r>
            <w:r>
              <w:rPr>
                <w:noProof/>
                <w:webHidden/>
              </w:rPr>
              <w:fldChar w:fldCharType="end"/>
            </w:r>
          </w:hyperlink>
        </w:p>
        <w:p w14:paraId="04B9ACCF" w14:textId="32BA16DF" w:rsidR="00365753" w:rsidRDefault="00365753">
          <w:pPr>
            <w:pStyle w:val="Inhopg1"/>
            <w:tabs>
              <w:tab w:val="left" w:pos="400"/>
              <w:tab w:val="right" w:leader="dot" w:pos="9060"/>
            </w:tabs>
            <w:rPr>
              <w:rFonts w:eastAsiaTheme="minorEastAsia" w:cstheme="minorBidi"/>
              <w:b w:val="0"/>
              <w:bCs w:val="0"/>
              <w:noProof/>
              <w:color w:val="auto"/>
              <w:kern w:val="2"/>
              <w:sz w:val="24"/>
              <w:szCs w:val="24"/>
              <w:lang w:val="nl-BE" w:eastAsia="nl-NL"/>
              <w14:ligatures w14:val="standardContextual"/>
            </w:rPr>
          </w:pPr>
          <w:hyperlink w:anchor="_Toc193312410" w:history="1">
            <w:r w:rsidRPr="00BC5E1D">
              <w:rPr>
                <w:rStyle w:val="Hyperlink"/>
                <w:noProof/>
              </w:rPr>
              <w:t>6</w:t>
            </w:r>
            <w:r>
              <w:rPr>
                <w:rFonts w:eastAsiaTheme="minorEastAsia" w:cstheme="minorBidi"/>
                <w:b w:val="0"/>
                <w:bCs w:val="0"/>
                <w:noProof/>
                <w:color w:val="auto"/>
                <w:kern w:val="2"/>
                <w:sz w:val="24"/>
                <w:szCs w:val="24"/>
                <w:lang w:val="nl-BE" w:eastAsia="nl-NL"/>
                <w14:ligatures w14:val="standardContextual"/>
              </w:rPr>
              <w:tab/>
            </w:r>
            <w:r w:rsidRPr="00BC5E1D">
              <w:rPr>
                <w:rStyle w:val="Hyperlink"/>
                <w:noProof/>
              </w:rPr>
              <w:t>Besluit</w:t>
            </w:r>
            <w:r>
              <w:rPr>
                <w:noProof/>
                <w:webHidden/>
              </w:rPr>
              <w:tab/>
            </w:r>
            <w:r>
              <w:rPr>
                <w:noProof/>
                <w:webHidden/>
              </w:rPr>
              <w:fldChar w:fldCharType="begin"/>
            </w:r>
            <w:r>
              <w:rPr>
                <w:noProof/>
                <w:webHidden/>
              </w:rPr>
              <w:instrText xml:space="preserve"> PAGEREF _Toc193312410 \h </w:instrText>
            </w:r>
            <w:r>
              <w:rPr>
                <w:noProof/>
                <w:webHidden/>
              </w:rPr>
            </w:r>
            <w:r>
              <w:rPr>
                <w:noProof/>
                <w:webHidden/>
              </w:rPr>
              <w:fldChar w:fldCharType="separate"/>
            </w:r>
            <w:r>
              <w:rPr>
                <w:noProof/>
                <w:webHidden/>
              </w:rPr>
              <w:t>67</w:t>
            </w:r>
            <w:r>
              <w:rPr>
                <w:noProof/>
                <w:webHidden/>
              </w:rPr>
              <w:fldChar w:fldCharType="end"/>
            </w:r>
          </w:hyperlink>
        </w:p>
        <w:p w14:paraId="622741EF" w14:textId="797BFD35" w:rsidR="00365753" w:rsidRDefault="00365753">
          <w:pPr>
            <w:pStyle w:val="Inhopg1"/>
            <w:tabs>
              <w:tab w:val="right" w:leader="dot" w:pos="9060"/>
            </w:tabs>
            <w:rPr>
              <w:rFonts w:eastAsiaTheme="minorEastAsia" w:cstheme="minorBidi"/>
              <w:b w:val="0"/>
              <w:bCs w:val="0"/>
              <w:noProof/>
              <w:color w:val="auto"/>
              <w:kern w:val="2"/>
              <w:sz w:val="24"/>
              <w:szCs w:val="24"/>
              <w:lang w:val="nl-BE" w:eastAsia="nl-NL"/>
              <w14:ligatures w14:val="standardContextual"/>
            </w:rPr>
          </w:pPr>
          <w:hyperlink w:anchor="_Toc193312411" w:history="1">
            <w:r w:rsidRPr="00BC5E1D">
              <w:rPr>
                <w:rStyle w:val="Hyperlink"/>
                <w:noProof/>
              </w:rPr>
              <w:t>Bijlage 1: Bibliografie</w:t>
            </w:r>
            <w:r>
              <w:rPr>
                <w:noProof/>
                <w:webHidden/>
              </w:rPr>
              <w:tab/>
            </w:r>
            <w:r>
              <w:rPr>
                <w:noProof/>
                <w:webHidden/>
              </w:rPr>
              <w:fldChar w:fldCharType="begin"/>
            </w:r>
            <w:r>
              <w:rPr>
                <w:noProof/>
                <w:webHidden/>
              </w:rPr>
              <w:instrText xml:space="preserve"> PAGEREF _Toc193312411 \h </w:instrText>
            </w:r>
            <w:r>
              <w:rPr>
                <w:noProof/>
                <w:webHidden/>
              </w:rPr>
            </w:r>
            <w:r>
              <w:rPr>
                <w:noProof/>
                <w:webHidden/>
              </w:rPr>
              <w:fldChar w:fldCharType="separate"/>
            </w:r>
            <w:r>
              <w:rPr>
                <w:noProof/>
                <w:webHidden/>
              </w:rPr>
              <w:t>a</w:t>
            </w:r>
            <w:r>
              <w:rPr>
                <w:noProof/>
                <w:webHidden/>
              </w:rPr>
              <w:fldChar w:fldCharType="end"/>
            </w:r>
          </w:hyperlink>
        </w:p>
        <w:p w14:paraId="17196BA2" w14:textId="08673C6A" w:rsidR="00365753" w:rsidRDefault="00365753">
          <w:pPr>
            <w:pStyle w:val="Inhopg1"/>
            <w:tabs>
              <w:tab w:val="right" w:leader="dot" w:pos="9060"/>
            </w:tabs>
            <w:rPr>
              <w:rFonts w:eastAsiaTheme="minorEastAsia" w:cstheme="minorBidi"/>
              <w:b w:val="0"/>
              <w:bCs w:val="0"/>
              <w:noProof/>
              <w:color w:val="auto"/>
              <w:kern w:val="2"/>
              <w:sz w:val="24"/>
              <w:szCs w:val="24"/>
              <w:lang w:val="nl-BE" w:eastAsia="nl-NL"/>
              <w14:ligatures w14:val="standardContextual"/>
            </w:rPr>
          </w:pPr>
          <w:hyperlink w:anchor="_Toc193312412" w:history="1">
            <w:r w:rsidRPr="00BC5E1D">
              <w:rPr>
                <w:rStyle w:val="Hyperlink"/>
                <w:noProof/>
              </w:rPr>
              <w:t>Bijlage 2: beknopte samenvatting van de thesis</w:t>
            </w:r>
            <w:r>
              <w:rPr>
                <w:noProof/>
                <w:webHidden/>
              </w:rPr>
              <w:tab/>
            </w:r>
            <w:r>
              <w:rPr>
                <w:noProof/>
                <w:webHidden/>
              </w:rPr>
              <w:fldChar w:fldCharType="begin"/>
            </w:r>
            <w:r>
              <w:rPr>
                <w:noProof/>
                <w:webHidden/>
              </w:rPr>
              <w:instrText xml:space="preserve"> PAGEREF _Toc193312412 \h </w:instrText>
            </w:r>
            <w:r>
              <w:rPr>
                <w:noProof/>
                <w:webHidden/>
              </w:rPr>
            </w:r>
            <w:r>
              <w:rPr>
                <w:noProof/>
                <w:webHidden/>
              </w:rPr>
              <w:fldChar w:fldCharType="separate"/>
            </w:r>
            <w:r>
              <w:rPr>
                <w:noProof/>
                <w:webHidden/>
              </w:rPr>
              <w:t>i</w:t>
            </w:r>
            <w:r>
              <w:rPr>
                <w:noProof/>
                <w:webHidden/>
              </w:rPr>
              <w:fldChar w:fldCharType="end"/>
            </w:r>
          </w:hyperlink>
        </w:p>
        <w:p w14:paraId="358702CF" w14:textId="4542D85A" w:rsidR="00EA6BD8" w:rsidRPr="00ED363F" w:rsidRDefault="00766E14" w:rsidP="00766E14">
          <w:pPr>
            <w:rPr>
              <w:sz w:val="24"/>
              <w:szCs w:val="32"/>
              <w:lang w:val="nl-BE"/>
            </w:rPr>
          </w:pPr>
          <w:r w:rsidRPr="00ED363F">
            <w:rPr>
              <w:rFonts w:cstheme="minorHAnsi"/>
              <w:i/>
              <w:iCs/>
              <w:sz w:val="24"/>
              <w:szCs w:val="24"/>
              <w:lang w:val="nl-BE"/>
            </w:rPr>
            <w:fldChar w:fldCharType="end"/>
          </w:r>
        </w:p>
      </w:sdtContent>
    </w:sdt>
    <w:bookmarkEnd w:id="0"/>
    <w:p w14:paraId="5FA2D03C" w14:textId="77777777" w:rsidR="00094E19" w:rsidRDefault="00094E19" w:rsidP="00094E19">
      <w:pPr>
        <w:pStyle w:val="Kop1"/>
        <w:numPr>
          <w:ilvl w:val="0"/>
          <w:numId w:val="0"/>
        </w:numPr>
        <w:ind w:left="340" w:hanging="340"/>
      </w:pPr>
    </w:p>
    <w:p w14:paraId="65068923" w14:textId="77777777" w:rsidR="00094E19" w:rsidRDefault="00094E19" w:rsidP="00094E19">
      <w:pPr>
        <w:rPr>
          <w:lang w:val="nl-BE"/>
        </w:rPr>
      </w:pPr>
    </w:p>
    <w:p w14:paraId="0FB0B153" w14:textId="77777777" w:rsidR="00094E19" w:rsidRDefault="00094E19" w:rsidP="00094E19">
      <w:pPr>
        <w:rPr>
          <w:lang w:val="nl-BE"/>
        </w:rPr>
      </w:pPr>
    </w:p>
    <w:p w14:paraId="013429ED" w14:textId="77777777" w:rsidR="00094E19" w:rsidRDefault="00094E19" w:rsidP="00094E19">
      <w:pPr>
        <w:rPr>
          <w:lang w:val="nl-BE"/>
        </w:rPr>
      </w:pPr>
    </w:p>
    <w:p w14:paraId="0C5817F9" w14:textId="77777777" w:rsidR="00094E19" w:rsidRPr="00094E19" w:rsidRDefault="00094E19" w:rsidP="00094E19">
      <w:pPr>
        <w:rPr>
          <w:lang w:val="nl-BE"/>
        </w:rPr>
      </w:pPr>
    </w:p>
    <w:p w14:paraId="24030CFB" w14:textId="54306516" w:rsidR="00AC5C18" w:rsidRPr="00C96D5C" w:rsidRDefault="00AC5C18" w:rsidP="007E7E29">
      <w:pPr>
        <w:pStyle w:val="Kop1"/>
      </w:pPr>
      <w:bookmarkStart w:id="1" w:name="_Toc193312394"/>
      <w:r w:rsidRPr="00C96D5C">
        <w:lastRenderedPageBreak/>
        <w:t>Inleiding</w:t>
      </w:r>
      <w:bookmarkEnd w:id="1"/>
    </w:p>
    <w:p w14:paraId="5E675D17" w14:textId="28C2E789" w:rsidR="002F64D3" w:rsidRDefault="0084599B" w:rsidP="00A10CA5">
      <w:pPr>
        <w:pStyle w:val="Body"/>
        <w:numPr>
          <w:ilvl w:val="0"/>
          <w:numId w:val="15"/>
        </w:numPr>
        <w:ind w:left="0" w:hanging="11"/>
      </w:pPr>
      <w:r>
        <w:t>“</w:t>
      </w:r>
      <w:r w:rsidRPr="00BF7A3D">
        <w:rPr>
          <w:i/>
          <w:iCs/>
        </w:rPr>
        <w:t>Alles draait om energie, het is de bron van leven en van succes.</w:t>
      </w:r>
      <w:r>
        <w:t>”</w:t>
      </w:r>
      <w:r>
        <w:rPr>
          <w:rStyle w:val="Voetnootmarkering"/>
          <w:lang w:val="nl-NL"/>
        </w:rPr>
        <w:footnoteReference w:id="1"/>
      </w:r>
      <w:r>
        <w:t xml:space="preserve"> </w:t>
      </w:r>
      <w:r w:rsidR="00AC4465">
        <w:t>Dit</w:t>
      </w:r>
      <w:r w:rsidR="00211CAD">
        <w:t xml:space="preserve"> citaat van </w:t>
      </w:r>
      <w:r w:rsidR="0059135F">
        <w:t>e</w:t>
      </w:r>
      <w:r w:rsidR="00211CAD">
        <w:t xml:space="preserve">conoom Geert Noels dateert van 2008, maar geldt tot op heden onverkort. </w:t>
      </w:r>
      <w:r>
        <w:t xml:space="preserve">Sinds het begin der </w:t>
      </w:r>
      <w:r w:rsidR="00A047C6">
        <w:t xml:space="preserve">tijden </w:t>
      </w:r>
      <w:r>
        <w:t xml:space="preserve">zijn we bezig met het opwekken, opslaan en gebruiken van energie. Wat begon met de ontdekking van het vuur in de oertijd leidde tot het aanplanten van bossen </w:t>
      </w:r>
      <w:r w:rsidR="0064671A">
        <w:t>voor</w:t>
      </w:r>
      <w:r>
        <w:t xml:space="preserve"> de nodige houtvoorziening. Een </w:t>
      </w:r>
      <w:r w:rsidRPr="00C318A6">
        <w:rPr>
          <w:i/>
          <w:iCs/>
        </w:rPr>
        <w:t>fast forward</w:t>
      </w:r>
      <w:r>
        <w:t xml:space="preserve"> in de tijd brengt ons vervolgens bij de industriële revolutie waarbij vanaf 1750 de omslag van houtbevoorrading naar het opslaan van fossiele brandstoffen centraal stond. Deze nieuwe energiebevoorrading was een </w:t>
      </w:r>
      <w:r w:rsidR="00B31850">
        <w:t>waardevolle erfenis</w:t>
      </w:r>
      <w:r>
        <w:t xml:space="preserve"> uit het verleden. Het opslaan en transporteren van fossiele brandstoffen zoals steenkool, aardolie en gas was eenvoudig, en daarnaast hadden ze een hogere energetische inhoud dan hout. Pas na de eerste olieschok in de jaren ’70 drong de bittere waarheid tot de mens door: de energiebronnen waarvan we vandaag afhankelijk zijn, </w:t>
      </w:r>
      <w:r w:rsidR="00C1054C">
        <w:t>hebben</w:t>
      </w:r>
      <w:r>
        <w:t xml:space="preserve"> een eindig karakter.</w:t>
      </w:r>
    </w:p>
    <w:p w14:paraId="67F39A8D" w14:textId="411A1745" w:rsidR="00C83696" w:rsidRDefault="00C83696" w:rsidP="002F64D3">
      <w:pPr>
        <w:pStyle w:val="Body"/>
        <w:ind w:firstLine="708"/>
      </w:pPr>
      <w:r>
        <w:t xml:space="preserve">Zo stelde Joseph Tainter in zijn baanbrekende werk </w:t>
      </w:r>
      <w:r w:rsidRPr="00C83696">
        <w:rPr>
          <w:i/>
          <w:iCs/>
        </w:rPr>
        <w:t>The Collapse of Complex Societies</w:t>
      </w:r>
      <w:r>
        <w:t xml:space="preserve"> dat het uitputten van vitale grondstoffen door menselijk gebruik één van de elf redenen vormt waar</w:t>
      </w:r>
      <w:r w:rsidR="00625DA3">
        <w:t>door</w:t>
      </w:r>
      <w:r>
        <w:t xml:space="preserve"> een complexe samenleving verdwijnt.</w:t>
      </w:r>
      <w:r>
        <w:rPr>
          <w:rStyle w:val="Voetnootmarkering"/>
        </w:rPr>
        <w:footnoteReference w:id="2"/>
      </w:r>
      <w:r>
        <w:t xml:space="preserve"> </w:t>
      </w:r>
      <w:r w:rsidR="005263D4" w:rsidRPr="005263D4">
        <w:t>Als we er niet in slagen om deze essentiële grondstoffen te vervangen door hernieuwbare energiebronnen, riskeren we hetzelfde lot als de Polynesische cultuur. Tussen 900 en 1600 n.C. kende deze samenleving een bloeiperiode dankzij haar overvloed aan grondstoffen, wat leidde tot een sterke bevolkingsgroei. Uiteindelijk ging ze ten onder door de uitputting van haar natuurlijke rijkdommen, veroorzaakt door diezelfde bevolkingsgroei en het onvermogen om op een duurzame manier in haar grondstoffenbehoefte te voorzien.</w:t>
      </w:r>
      <w:r w:rsidR="005263D4">
        <w:rPr>
          <w:rStyle w:val="Voetnootmarkering"/>
        </w:rPr>
        <w:footnoteReference w:id="3"/>
      </w:r>
    </w:p>
    <w:p w14:paraId="518540AB" w14:textId="26F43526" w:rsidR="00211CAD" w:rsidRPr="00211CAD" w:rsidRDefault="0084599B" w:rsidP="005263D4">
      <w:pPr>
        <w:pStyle w:val="Body"/>
        <w:ind w:firstLine="708"/>
      </w:pPr>
      <w:r>
        <w:t xml:space="preserve">Door </w:t>
      </w:r>
      <w:r w:rsidR="00D17221">
        <w:t>deze kenmerkende schaarste</w:t>
      </w:r>
      <w:r>
        <w:t xml:space="preserve"> kunnen we aan Noels’ citaat toevoegen dat ook macht samengaat met energie. De energiecrisis die ons land teisterde onder de regering De Croo vormt hier een goed voorbeeld van. </w:t>
      </w:r>
      <w:r w:rsidR="00620116">
        <w:t>Toen de Russische gaskraan werd dichtgedraaid als</w:t>
      </w:r>
      <w:r>
        <w:t xml:space="preserve"> gevolg van geopolitieke spanningen, verl</w:t>
      </w:r>
      <w:r w:rsidR="00620116">
        <w:t>or</w:t>
      </w:r>
      <w:r>
        <w:t xml:space="preserve">en tal van westerse landen hun </w:t>
      </w:r>
      <w:r>
        <w:lastRenderedPageBreak/>
        <w:t>bevoorradingszekerheid.</w:t>
      </w:r>
      <w:r>
        <w:rPr>
          <w:rStyle w:val="Voetnootmarkering"/>
          <w:lang w:val="nl-NL"/>
        </w:rPr>
        <w:footnoteReference w:id="4"/>
      </w:r>
      <w:r>
        <w:t xml:space="preserve"> Deze afhankelijkheid van andere landen voor de bevoorrading van fossiele brandstoffen is vandaag meer dan ooit waarneembaar, en vormt daarom een eerste drijfveer richting hernieuwbare energieproductie. Tot dusver een korte schets van de geschiedenis achter energieproductie en bevoorradingszekerheid.</w:t>
      </w:r>
    </w:p>
    <w:p w14:paraId="7AC0D325" w14:textId="7C317FBD" w:rsidR="0084599B" w:rsidRDefault="0084599B" w:rsidP="00A10CA5">
      <w:pPr>
        <w:pStyle w:val="Body"/>
        <w:numPr>
          <w:ilvl w:val="0"/>
          <w:numId w:val="15"/>
        </w:numPr>
        <w:ind w:left="0" w:hanging="11"/>
      </w:pPr>
      <w:r>
        <w:t>Naast dit historisch luik vormen ook klimatologische argumenten een drijfveer om als moderne samenleving steeds meer richting hernieuwbare energiebevoorrading te evolueren. Dit is evident, daar de verbranding van fossiele brandstoffen een belangrijke factor blijft inzake de klimaatopwarming. Naast het breder bekende koolstofdioxide (CO</w:t>
      </w:r>
      <w:r w:rsidRPr="00B16533">
        <w:rPr>
          <w:vertAlign w:val="subscript"/>
        </w:rPr>
        <w:t>2</w:t>
      </w:r>
      <w:r>
        <w:t>, de voornaamste bron van klimaatopwarming) komen ook andere verontreinigende stoffen (zoals zwaveldioxide (SO</w:t>
      </w:r>
      <w:r w:rsidRPr="00B16533">
        <w:rPr>
          <w:vertAlign w:val="subscript"/>
        </w:rPr>
        <w:t>2</w:t>
      </w:r>
      <w:r>
        <w:t>), stikstofdioxide (NO</w:t>
      </w:r>
      <w:r w:rsidRPr="00B16533">
        <w:rPr>
          <w:vertAlign w:val="subscript"/>
        </w:rPr>
        <w:t>x</w:t>
      </w:r>
      <w:r>
        <w:t>), fijnstof (PM2.5) en roetdeeltjes (</w:t>
      </w:r>
      <w:r w:rsidRPr="00B16533">
        <w:rPr>
          <w:i/>
          <w:iCs/>
        </w:rPr>
        <w:t>Black Carbon</w:t>
      </w:r>
      <w:r>
        <w:t xml:space="preserve"> of BC, na koolstofdioxide de voornaamste bron van klimaatopwarming)) vrij bij het gebruik van fossiele brandstoffen.</w:t>
      </w:r>
      <w:r>
        <w:rPr>
          <w:rStyle w:val="Voetnootmarkering"/>
          <w:lang w:val="nl-NL"/>
        </w:rPr>
        <w:footnoteReference w:id="5"/>
      </w:r>
      <w:r>
        <w:t xml:space="preserve"> De link tussen het gebruik van fossiele brandstoffen en de klimaatopwarming werd reeds in 1900 gelegd. Nobelprijswinnaar Svante Arrhenius documenteerde dat een antropogene klimaatopwarming bestaat.</w:t>
      </w:r>
      <w:r>
        <w:rPr>
          <w:rStyle w:val="Voetnootmarkering"/>
          <w:lang w:val="nl-NL"/>
        </w:rPr>
        <w:footnoteReference w:id="6"/>
      </w:r>
      <w:r>
        <w:t xml:space="preserve"> Vandaag geldt de menselijke bijdrage aan de klimaatopwarming als een feit. Dat vormt, aansluitend op de problematiek inzake bevoorradingszekerheid, een duidelijk motief om in te zetten op hernieuwbare energieproductie.</w:t>
      </w:r>
    </w:p>
    <w:p w14:paraId="2CD2918D" w14:textId="20FB822B" w:rsidR="0084599B" w:rsidRDefault="0084599B" w:rsidP="00A10CA5">
      <w:pPr>
        <w:pStyle w:val="Body"/>
        <w:numPr>
          <w:ilvl w:val="0"/>
          <w:numId w:val="15"/>
        </w:numPr>
        <w:ind w:left="0" w:hanging="11"/>
      </w:pPr>
      <w:r>
        <w:t>Nu vaststaat dat het aandeel hernieuwbare energie binnen de energievoorziening noodzakelijk moet uitbreiden</w:t>
      </w:r>
      <w:r w:rsidR="00F12458">
        <w:t>, is het zinvol</w:t>
      </w:r>
      <w:r>
        <w:t xml:space="preserve"> om het </w:t>
      </w:r>
      <w:r w:rsidR="00F12458">
        <w:t>‘</w:t>
      </w:r>
      <w:r>
        <w:t>hernieuwbare</w:t>
      </w:r>
      <w:r w:rsidR="00F12458">
        <w:t>’</w:t>
      </w:r>
      <w:r>
        <w:t xml:space="preserve"> karakter kort te belichten. </w:t>
      </w:r>
      <w:r w:rsidR="00AF1426">
        <w:t>Welke</w:t>
      </w:r>
      <w:r>
        <w:t xml:space="preserve"> vormen van energieproductie als hernieuwbaar worden gekwalificeerd is van groot belang. In eerste instantie denkt men vaak aan de traditionele energiebronnen zoals windturbines en fotovoltaïsche panelen. Naast deze gekende constructies bestaan ook tal van andere processen waarbij energie wordt opgewekt </w:t>
      </w:r>
      <w:r w:rsidR="00AF1426">
        <w:t>binnen een hernieuwbaar proces</w:t>
      </w:r>
      <w:r>
        <w:t xml:space="preserve">. Zo </w:t>
      </w:r>
      <w:r>
        <w:lastRenderedPageBreak/>
        <w:t>worden ook warmtenetten</w:t>
      </w:r>
      <w:r>
        <w:rPr>
          <w:rStyle w:val="Voetnootmarkering"/>
          <w:lang w:val="nl-NL"/>
        </w:rPr>
        <w:footnoteReference w:id="7"/>
      </w:r>
      <w:r>
        <w:t>, hydraulisch opgewekte energie</w:t>
      </w:r>
      <w:r>
        <w:rPr>
          <w:rStyle w:val="Voetnootmarkering"/>
          <w:lang w:val="nl-NL"/>
        </w:rPr>
        <w:footnoteReference w:id="8"/>
      </w:r>
      <w:r>
        <w:t>, geothermie</w:t>
      </w:r>
      <w:r>
        <w:rPr>
          <w:rStyle w:val="Voetnootmarkering"/>
          <w:lang w:val="nl-NL"/>
        </w:rPr>
        <w:footnoteReference w:id="9"/>
      </w:r>
      <w:r>
        <w:t xml:space="preserve"> en energie uit biomassa</w:t>
      </w:r>
      <w:r>
        <w:rPr>
          <w:rStyle w:val="Voetnootmarkering"/>
          <w:lang w:val="nl-NL"/>
        </w:rPr>
        <w:footnoteReference w:id="10"/>
      </w:r>
      <w:r>
        <w:t xml:space="preserve"> tot de categorie van hernieuwbare energiebronnen gerekend. Kernenergie wordt vaak onder dezelfde noemer geplaatst. Toch hoort kernenergie niet thuis in het lijstje van hernieuwbare energiebronnen, aa</w:t>
      </w:r>
      <w:r w:rsidR="00F12458">
        <w:t>ngezien energie</w:t>
      </w:r>
      <w:r>
        <w:t xml:space="preserve"> momenteel enkel </w:t>
      </w:r>
      <w:r w:rsidR="00F12458">
        <w:t xml:space="preserve">via </w:t>
      </w:r>
      <w:r>
        <w:t xml:space="preserve">kernsplijting wordt </w:t>
      </w:r>
      <w:r w:rsidR="00F12458">
        <w:t>opgewekt</w:t>
      </w:r>
      <w:r>
        <w:t xml:space="preserve">. Deze vorm van energieopwekking is daarom niet hernieuwbaar, aangezien steeds nieuwe aanvoer van uraniumatomen vereist is. Wel wordt kernenergie tot de categorie van </w:t>
      </w:r>
      <w:r w:rsidRPr="00AF1426">
        <w:rPr>
          <w:i/>
          <w:iCs/>
        </w:rPr>
        <w:t>duurzame</w:t>
      </w:r>
      <w:r>
        <w:t xml:space="preserve"> energiebevoorrading gerekend, aangezien nauwelijks sprake is van vervuilende emissies tijdens dit proces. In die zin bestaat bij </w:t>
      </w:r>
      <w:r w:rsidR="00AF1426">
        <w:t xml:space="preserve">de </w:t>
      </w:r>
      <w:r>
        <w:t xml:space="preserve">afwezigheid van </w:t>
      </w:r>
      <w:r w:rsidR="00AF1426">
        <w:t xml:space="preserve">een </w:t>
      </w:r>
      <w:r>
        <w:t>zuiver hernieuwbare energie</w:t>
      </w:r>
      <w:r w:rsidR="00AF1426">
        <w:t>bevoorrading</w:t>
      </w:r>
      <w:r>
        <w:t xml:space="preserve"> ook de noodzaak aan kernenergie in het bevoorradingspakket. </w:t>
      </w:r>
    </w:p>
    <w:p w14:paraId="57047FBE" w14:textId="275D821F" w:rsidR="0084599B" w:rsidRDefault="0084599B" w:rsidP="00077162">
      <w:pPr>
        <w:pStyle w:val="Body"/>
        <w:ind w:firstLine="708"/>
      </w:pPr>
      <w:r>
        <w:t xml:space="preserve">Het aanbod aan hernieuwbare energiebronnen is </w:t>
      </w:r>
      <w:r w:rsidR="0054409D">
        <w:t>bovendien continu</w:t>
      </w:r>
      <w:r>
        <w:t xml:space="preserve"> onderhevig aan evolutie. Zo wordt </w:t>
      </w:r>
      <w:r w:rsidR="0054409D">
        <w:t xml:space="preserve">vandaag de dag </w:t>
      </w:r>
      <w:r>
        <w:t>via innovatieve processen energie gewonnen uit riolering, waarbij de extractie van warmte uit afvalwater de centrale factor vormt bij het verwarmen en verkoelen van woningen.</w:t>
      </w:r>
      <w:r>
        <w:rPr>
          <w:rStyle w:val="Voetnootmarkering"/>
          <w:lang w:val="nl-NL"/>
        </w:rPr>
        <w:footnoteReference w:id="11"/>
      </w:r>
      <w:r>
        <w:t xml:space="preserve"> Hierbij moet een belangrijke nuance gemaakt worden, aangezien deze vorm van energiewinning momenteel </w:t>
      </w:r>
      <w:r w:rsidR="00034823">
        <w:t xml:space="preserve">zich </w:t>
      </w:r>
      <w:r>
        <w:t xml:space="preserve">nog in </w:t>
      </w:r>
      <w:r w:rsidR="00034823">
        <w:t>de beginfase bevindt</w:t>
      </w:r>
      <w:r>
        <w:t>. Dergelijke innovatieve processen staan nog niet op punt</w:t>
      </w:r>
      <w:r w:rsidR="00793BF9">
        <w:t xml:space="preserve"> gesteld</w:t>
      </w:r>
      <w:r>
        <w:t>, maar in recente wetgeving van de Vlaamse decreetgever zien we wel een erkenning van het potentieel van deze nieuwe technologie.</w:t>
      </w:r>
      <w:r>
        <w:rPr>
          <w:rStyle w:val="Voetnootmarkering"/>
          <w:lang w:val="nl-NL"/>
        </w:rPr>
        <w:footnoteReference w:id="12"/>
      </w:r>
      <w:r>
        <w:t xml:space="preserve"> Het aanbod </w:t>
      </w:r>
      <w:r w:rsidR="00793BF9">
        <w:t>v</w:t>
      </w:r>
      <w:r>
        <w:t xml:space="preserve">an hernieuwbare energiebronnen is </w:t>
      </w:r>
      <w:r w:rsidR="00793BF9">
        <w:t xml:space="preserve">momenteel </w:t>
      </w:r>
      <w:r>
        <w:t>reeds uitgebreid. Onder invloed van voor</w:t>
      </w:r>
      <w:r w:rsidR="00E9012B">
        <w:t>n</w:t>
      </w:r>
      <w:r>
        <w:t xml:space="preserve">oemde technologische innovaties zal dit aanbod in de toekomst verder </w:t>
      </w:r>
      <w:r w:rsidR="00793BF9">
        <w:t>toenemen</w:t>
      </w:r>
      <w:r>
        <w:t>.</w:t>
      </w:r>
    </w:p>
    <w:p w14:paraId="01D26383" w14:textId="002F932E" w:rsidR="0084599B" w:rsidRDefault="0084599B" w:rsidP="00A10CA5">
      <w:pPr>
        <w:pStyle w:val="Body"/>
        <w:numPr>
          <w:ilvl w:val="0"/>
          <w:numId w:val="15"/>
        </w:numPr>
        <w:ind w:left="0" w:hanging="11"/>
      </w:pPr>
      <w:r>
        <w:t xml:space="preserve">De noodzaak van hernieuwbare energie blijft brandend actueel, het argument inzake bevoorradingszekerheid in combinatie met de klimatologische argumentatie </w:t>
      </w:r>
      <w:r w:rsidRPr="009006C4">
        <w:rPr>
          <w:i/>
          <w:iCs/>
        </w:rPr>
        <w:t>contra</w:t>
      </w:r>
      <w:r>
        <w:t xml:space="preserve"> fossiele </w:t>
      </w:r>
      <w:r>
        <w:lastRenderedPageBreak/>
        <w:t xml:space="preserve">brandstoffen getuigen hiervan. Om uiteindelijk hernieuwbare energieproductie mogelijk te maken zijn projecten van hernieuwbare energie vereist. </w:t>
      </w:r>
      <w:r w:rsidR="00DA1108">
        <w:t>Toch</w:t>
      </w:r>
      <w:r>
        <w:t xml:space="preserve"> zien we dat tal van hernieuwbare energieprojecten op </w:t>
      </w:r>
      <w:r w:rsidR="00581858">
        <w:t xml:space="preserve">juridische obstakels </w:t>
      </w:r>
      <w:r>
        <w:t xml:space="preserve">uit het omgevingsrecht stoten, </w:t>
      </w:r>
      <w:r w:rsidR="00581858">
        <w:t>vaak</w:t>
      </w:r>
      <w:r>
        <w:t xml:space="preserve"> onder invloed van Europese wetgeving. Zo </w:t>
      </w:r>
      <w:r w:rsidR="00314E03">
        <w:t xml:space="preserve">wordt </w:t>
      </w:r>
      <w:r>
        <w:t xml:space="preserve">de bouw van windturbines </w:t>
      </w:r>
      <w:r w:rsidR="00314E03">
        <w:t xml:space="preserve">nog steeds </w:t>
      </w:r>
      <w:r>
        <w:t xml:space="preserve">tegengehouden door tal van omgevingsrechtelijke bezwaren, die de vergunningverlening verlengen en bemoeilijken. De </w:t>
      </w:r>
      <w:r w:rsidR="00BF4875">
        <w:t>indruk</w:t>
      </w:r>
      <w:r>
        <w:t xml:space="preserve"> dat omgevingsrecht vandaag subversief werkt tegenover het klimaatrecht tekent zich door dergelijke </w:t>
      </w:r>
      <w:r w:rsidR="00314E03">
        <w:t>zaken</w:t>
      </w:r>
      <w:r>
        <w:t xml:space="preserve"> duidelijk af. </w:t>
      </w:r>
    </w:p>
    <w:p w14:paraId="5FA4C601" w14:textId="255B6B48" w:rsidR="0084599B" w:rsidRDefault="00355396" w:rsidP="00A10CA5">
      <w:pPr>
        <w:pStyle w:val="Body"/>
        <w:numPr>
          <w:ilvl w:val="0"/>
          <w:numId w:val="15"/>
        </w:numPr>
        <w:ind w:left="0" w:hanging="11"/>
      </w:pPr>
      <w:r>
        <w:t>Concreet wil dit werkstuk een antwoord bieden op drie concrete onderzoeksvragen. Ten eerste wordt onderzocht w</w:t>
      </w:r>
      <w:r w:rsidR="004202DD">
        <w:t>at</w:t>
      </w:r>
      <w:r>
        <w:t xml:space="preserve"> de specifieke redenen </w:t>
      </w:r>
      <w:r w:rsidR="00AF1426">
        <w:t xml:space="preserve">(en hun frequentie) zijn </w:t>
      </w:r>
      <w:r>
        <w:t>waardoor vergunning v</w:t>
      </w:r>
      <w:r w:rsidR="004202DD">
        <w:t>oor</w:t>
      </w:r>
      <w:r>
        <w:t xml:space="preserve"> hernieuwbare energieprojecten vaak vastlopen op milieuregelgeving. In tweede instantie vormt ook de omgang van de rechtspraak met deze specifieke inhoudelijke en procedurele </w:t>
      </w:r>
      <w:r w:rsidR="007439E1">
        <w:t xml:space="preserve">obstakels </w:t>
      </w:r>
      <w:r>
        <w:t xml:space="preserve">de kern van dit werkstuk. Ten slotte zal ook worden gekeken naar de aanpak van deze problematiek op het Europese en Vlaamse niveau, waarbij ook wordt </w:t>
      </w:r>
      <w:r w:rsidR="003A46E3">
        <w:t xml:space="preserve">onderzocht </w:t>
      </w:r>
      <w:r>
        <w:t xml:space="preserve">hoe relevante buitenlandse juridische en wetgevende </w:t>
      </w:r>
      <w:r w:rsidR="001E7A5D">
        <w:t>benaderingen kunnen bijdragen</w:t>
      </w:r>
      <w:r>
        <w:t xml:space="preserve"> tot oplossingen</w:t>
      </w:r>
      <w:r w:rsidR="00AF1426">
        <w:t xml:space="preserve"> en toekomstperspectieven</w:t>
      </w:r>
      <w:r>
        <w:t>.</w:t>
      </w:r>
    </w:p>
    <w:p w14:paraId="6B78AC3E" w14:textId="25889F3D" w:rsidR="00C4682D" w:rsidRPr="00C4682D" w:rsidRDefault="00C4682D" w:rsidP="00A10CA5">
      <w:pPr>
        <w:pStyle w:val="Body"/>
        <w:numPr>
          <w:ilvl w:val="0"/>
          <w:numId w:val="15"/>
        </w:numPr>
        <w:ind w:left="0" w:hanging="11"/>
      </w:pPr>
      <w:r w:rsidRPr="00C4682D">
        <w:t>Voor deze thesis wordt een combinatie van de klassiek juridische methode en de rechtsvergelijkende methode gehanteerd. Deze keuze vloeit voort uit de aard van de onderzoeksvragen en het beoogde doel om een diepgaande analyse en inventarisatie te maken van inhoudelijke en procedurele obstakels binnen het Vlaamse omgevingsrecht, specifiek met betrekking tot de vergunningverlening van projecten voor hernieuwbare energie.</w:t>
      </w:r>
      <w:r>
        <w:t xml:space="preserve"> </w:t>
      </w:r>
      <w:r w:rsidRPr="00C4682D">
        <w:t xml:space="preserve">De klassiek juridische methode vormt de basis voor het analyseren van de geldende regelgeving en rechtspraak binnen het </w:t>
      </w:r>
      <w:r w:rsidRPr="00013B22">
        <w:t>Vlaamse</w:t>
      </w:r>
      <w:r w:rsidRPr="00C4682D">
        <w:t xml:space="preserve"> omgevingsrecht. Deze methode maakt het mogelijk om de juridische </w:t>
      </w:r>
      <w:r w:rsidR="00006ABC">
        <w:t>obstakels</w:t>
      </w:r>
      <w:r w:rsidR="00006ABC" w:rsidRPr="00C4682D">
        <w:t xml:space="preserve"> </w:t>
      </w:r>
      <w:r w:rsidRPr="00C4682D">
        <w:t>die momenteel van toepassing zijn, te distilleren en te evalueren. De focus ligt hierbij zowel op inhoudelijke als procedurele aspecten, wat essentieel is voor het verkrijgen van een volledig beeld van de juridische context.</w:t>
      </w:r>
      <w:r>
        <w:t xml:space="preserve"> </w:t>
      </w:r>
      <w:r w:rsidRPr="00C4682D">
        <w:t xml:space="preserve">Daarnaast wordt de rechtsvergelijkende methode toegepast om relevante inspiratie en inzichten uit andere rechtsstelsels te verwerven. In het bijzonder worden het Europese en Duitse recht betrokken in deze vergelijking. Deze keuze is gebaseerd op het feit dat deze rechtsstelsels eveneens te maken hebben met uitdagingen rond de vergunningverlening voor hernieuwbare </w:t>
      </w:r>
      <w:r w:rsidRPr="00C4682D">
        <w:lastRenderedPageBreak/>
        <w:t>energieprojecten</w:t>
      </w:r>
      <w:r>
        <w:t>, zoals onder</w:t>
      </w:r>
      <w:r w:rsidR="001E7A5D">
        <w:t xml:space="preserve"> </w:t>
      </w:r>
      <w:r>
        <w:t xml:space="preserve">meer kan worden afgeleid uit de Duitse </w:t>
      </w:r>
      <w:r w:rsidRPr="00C4682D">
        <w:rPr>
          <w:i/>
          <w:iCs/>
        </w:rPr>
        <w:t>Energiewende</w:t>
      </w:r>
      <w:r>
        <w:rPr>
          <w:rStyle w:val="Voetnootmarkering"/>
        </w:rPr>
        <w:footnoteReference w:id="13"/>
      </w:r>
      <w:r w:rsidRPr="00C4682D">
        <w:t>. Door de regelgeving en rechtspraak van deze systemen in vergelijkend perspectief te plaatsen met Vlaanderen, wordt het mogelijk om zowel knelpunten als potentiële oplossingsrichtingen te identificeren.</w:t>
      </w:r>
    </w:p>
    <w:p w14:paraId="0F74C96D" w14:textId="7B8EAA98" w:rsidR="00C4682D" w:rsidRPr="00AF1426" w:rsidRDefault="00BF4875" w:rsidP="00747D34">
      <w:pPr>
        <w:pStyle w:val="Body"/>
        <w:numPr>
          <w:ilvl w:val="0"/>
          <w:numId w:val="15"/>
        </w:numPr>
        <w:ind w:left="0" w:hanging="11"/>
        <w:rPr>
          <w:rFonts w:ascii="-webkit-standard" w:hAnsi="-webkit-standard"/>
          <w:color w:val="000000"/>
          <w:sz w:val="27"/>
          <w:szCs w:val="27"/>
        </w:rPr>
      </w:pPr>
      <w:r>
        <w:t xml:space="preserve">Vanwege </w:t>
      </w:r>
      <w:r w:rsidR="00C4682D" w:rsidRPr="00C4682D">
        <w:t>haalbaarheid</w:t>
      </w:r>
      <w:r w:rsidR="008B5F0D">
        <w:t>soverwegingen</w:t>
      </w:r>
      <w:r w:rsidR="00C4682D" w:rsidRPr="00C4682D">
        <w:t xml:space="preserve"> </w:t>
      </w:r>
      <w:r w:rsidR="00AE28C6">
        <w:t>heb ik</w:t>
      </w:r>
      <w:r w:rsidR="00C4682D" w:rsidRPr="00C4682D">
        <w:t xml:space="preserve"> ervoor gekozen de focus te beperken tot de vergunningverlening van </w:t>
      </w:r>
      <w:r w:rsidR="00AE28C6">
        <w:t>onshore</w:t>
      </w:r>
      <w:r w:rsidR="00AE28C6">
        <w:rPr>
          <w:rStyle w:val="Voetnootmarkering"/>
        </w:rPr>
        <w:footnoteReference w:id="14"/>
      </w:r>
      <w:r w:rsidR="00AE28C6">
        <w:t xml:space="preserve"> </w:t>
      </w:r>
      <w:r w:rsidR="00C4682D" w:rsidRPr="00C4682D">
        <w:t>windturbines. Hoewel andere projecten voor hernieuwbare energie, zoals warmtenetten</w:t>
      </w:r>
      <w:r w:rsidR="00AF1426">
        <w:t xml:space="preserve"> en fotovoltaïsche installaties</w:t>
      </w:r>
      <w:r w:rsidR="00C4682D" w:rsidRPr="00C4682D">
        <w:t xml:space="preserve">, eveneens relevant zijn, zou een uitgebreide behandeling hiervan de scope van deze thesis overschrijden. </w:t>
      </w:r>
      <w:r w:rsidR="00AF1426" w:rsidRPr="00AF1426">
        <w:t>In die zin valt ook iets te zeggen voor de meest geschikte hernieuwbare energiebronnen per regio, waarbij in Vlaanderen vooral gekeken moet worden naar windenergie.</w:t>
      </w:r>
      <w:r w:rsidR="00922DD2">
        <w:rPr>
          <w:rStyle w:val="Voetnootmarkering"/>
        </w:rPr>
        <w:footnoteReference w:id="15"/>
      </w:r>
      <w:r w:rsidR="00AF1426" w:rsidRPr="00AF1426">
        <w:t xml:space="preserve"> De noordelijke contreien van onze federale staat kenmerken zich door een klimaat dat uitgesproken meer op windkracht kan rekenen dan op bijvoorbeeld een overvloed aan zonuren. Vlaanderen ontvangt gemiddeld slechts 1500-1800 zonuren per jaar</w:t>
      </w:r>
      <w:r w:rsidR="00AF1426">
        <w:t xml:space="preserve"> (waarvan het grootste deel tijdens de zomermaanden, wanneer de energievraag aanzienlijk lager ligt dan doorheen de wintermaanden)</w:t>
      </w:r>
      <w:r w:rsidR="00AF1426">
        <w:rPr>
          <w:rStyle w:val="Voetnootmarkering"/>
        </w:rPr>
        <w:footnoteReference w:id="16"/>
      </w:r>
      <w:r w:rsidR="00AF1426" w:rsidRPr="00AF1426">
        <w:t>, wat zonne-energie minder consistent maakt in vergelijking met windenergie, d</w:t>
      </w:r>
      <w:r w:rsidR="00C2579B">
        <w:t>ie</w:t>
      </w:r>
      <w:r w:rsidR="00AF1426" w:rsidRPr="00AF1426">
        <w:t xml:space="preserve"> vooral in kust- en havengebieden een hoog en voorspelbaar rendement biedt.</w:t>
      </w:r>
      <w:r w:rsidR="00AF1426" w:rsidRPr="00AF1426">
        <w:rPr>
          <w:rStyle w:val="Voetnootmarkering"/>
        </w:rPr>
        <w:footnoteReference w:id="17"/>
      </w:r>
      <w:r w:rsidR="00AF1426" w:rsidRPr="00AF1426">
        <w:t xml:space="preserve"> </w:t>
      </w:r>
      <w:r w:rsidR="0015323A">
        <w:t xml:space="preserve">Daarom moeten </w:t>
      </w:r>
      <w:r>
        <w:t>w</w:t>
      </w:r>
      <w:r w:rsidR="00AF1426" w:rsidRPr="00AF1426">
        <w:t xml:space="preserve">indturbines </w:t>
      </w:r>
      <w:r w:rsidR="0015323A">
        <w:t>m</w:t>
      </w:r>
      <w:r w:rsidR="002A0F10">
        <w:t>ijns inziens</w:t>
      </w:r>
      <w:r w:rsidR="00AF1426" w:rsidRPr="00AF1426">
        <w:t xml:space="preserve"> een kernonderdeel </w:t>
      </w:r>
      <w:r w:rsidR="002A0F10">
        <w:t>vormen</w:t>
      </w:r>
      <w:r w:rsidR="002A0F10" w:rsidRPr="00AF1426">
        <w:t xml:space="preserve"> </w:t>
      </w:r>
      <w:r w:rsidR="00AF1426" w:rsidRPr="00AF1426">
        <w:t>van de Vlaamse energietransitie, al moet worden benadrukt dat energie uit zonne-installaties ook een plaats hoort te krijgen binnen een evenwichtige hernieuwbare energiebevoorrading.</w:t>
      </w:r>
      <w:r w:rsidR="00AF1426" w:rsidRPr="00AF1426">
        <w:rPr>
          <w:rStyle w:val="Voetnootmarkering"/>
        </w:rPr>
        <w:footnoteReference w:id="18"/>
      </w:r>
      <w:r w:rsidR="00AF1426" w:rsidRPr="00AF1426">
        <w:t xml:space="preserve"> </w:t>
      </w:r>
      <w:r w:rsidR="00F96707">
        <w:t>Het</w:t>
      </w:r>
      <w:r w:rsidR="00AF1426" w:rsidRPr="00AF1426">
        <w:t xml:space="preserve"> g</w:t>
      </w:r>
      <w:r w:rsidR="00C477BD">
        <w:t>rot</w:t>
      </w:r>
      <w:r w:rsidR="00AF1426" w:rsidRPr="00AF1426">
        <w:t>ere potentieel tijdens de wintermaanden</w:t>
      </w:r>
      <w:r w:rsidR="00C477BD">
        <w:t>,</w:t>
      </w:r>
      <w:r w:rsidR="00AF1426" w:rsidRPr="00AF1426">
        <w:t xml:space="preserve"> wanneer de vraag naar energie piekt, maakt windenergie tot een logische prioriteit voor Vlaanderen. </w:t>
      </w:r>
      <w:r w:rsidR="00F96707" w:rsidRPr="00F96707">
        <w:t xml:space="preserve">Door de duidelijke ruimtelijke impact </w:t>
      </w:r>
      <w:r w:rsidR="00F96707" w:rsidRPr="00F96707">
        <w:lastRenderedPageBreak/>
        <w:t>van windenergie, de beperkte mogelijkheden voor meervoudig ruimtegebruik en het reeds jaren bestaande specifieke ruimtelijk beleid, biedt een onderzoek naar de vergunning van windturbines een bijzonder representatieve casus voor het onderzoeksdoel van deze thesis. In die zin lijkt de implementatie van windenergie een exemplarisch voorbeeld – of zelfs een symptomatische weergave – van hoe het ruimtelijk en milieubeleid met hernieuwbare energiebronnen omgaat.</w:t>
      </w:r>
    </w:p>
    <w:p w14:paraId="79B02493" w14:textId="13462D9F" w:rsidR="00B07C70" w:rsidRPr="00C96D5C" w:rsidRDefault="00C4682D" w:rsidP="00747D34">
      <w:pPr>
        <w:pStyle w:val="Body"/>
        <w:numPr>
          <w:ilvl w:val="0"/>
          <w:numId w:val="15"/>
        </w:numPr>
        <w:ind w:left="0" w:hanging="11"/>
      </w:pPr>
      <w:r w:rsidRPr="00C4682D">
        <w:t xml:space="preserve">Door deze combinatie van methodes en een gerichte afbakening van het onderzoek, beoogt deze thesis niet alleen een grondige juridische </w:t>
      </w:r>
      <w:r w:rsidRPr="00013B22">
        <w:t>analyse</w:t>
      </w:r>
      <w:r w:rsidRPr="00C4682D">
        <w:t xml:space="preserve"> te bieden, maar ook bruikbare inzichten aan te reiken voor beleidsmakers en juristen die betrokken zijn bij het verbeteren van het regelgevend kader voor </w:t>
      </w:r>
      <w:r w:rsidR="00747D34">
        <w:t xml:space="preserve">de </w:t>
      </w:r>
      <w:r w:rsidRPr="00C4682D">
        <w:t>hernieuwbare energie</w:t>
      </w:r>
      <w:r w:rsidR="00747D34">
        <w:t>transitie</w:t>
      </w:r>
      <w:r w:rsidRPr="00C4682D">
        <w:t xml:space="preserve"> in Vlaanderen.</w:t>
      </w:r>
      <w:r w:rsidR="0081785E" w:rsidRPr="0081785E">
        <w:t xml:space="preserve"> </w:t>
      </w:r>
    </w:p>
    <w:p w14:paraId="3176D30E" w14:textId="69B8638E" w:rsidR="007E7E29" w:rsidRPr="00C96D5C" w:rsidRDefault="00B07C70" w:rsidP="007E7E29">
      <w:pPr>
        <w:pStyle w:val="Kop1"/>
      </w:pPr>
      <w:bookmarkStart w:id="2" w:name="_Toc193312395"/>
      <w:r>
        <w:t xml:space="preserve">De vergunningverlening </w:t>
      </w:r>
      <w:r w:rsidR="003C1C66">
        <w:t>van</w:t>
      </w:r>
      <w:r>
        <w:t xml:space="preserve"> windturbines in </w:t>
      </w:r>
      <w:r w:rsidR="00F75C23">
        <w:t>Vlaanderen</w:t>
      </w:r>
      <w:bookmarkEnd w:id="2"/>
    </w:p>
    <w:p w14:paraId="60185617" w14:textId="77777777" w:rsidR="00783DFB" w:rsidRDefault="00783DFB" w:rsidP="00783DFB">
      <w:pPr>
        <w:pStyle w:val="Kop2"/>
        <w:rPr>
          <w:lang w:val="nl-BE"/>
        </w:rPr>
      </w:pPr>
      <w:bookmarkStart w:id="3" w:name="_Toc193312396"/>
      <w:bookmarkStart w:id="4" w:name="_Toc65077129"/>
      <w:r>
        <w:rPr>
          <w:lang w:val="nl-BE"/>
        </w:rPr>
        <w:t>Ten geleide</w:t>
      </w:r>
      <w:bookmarkEnd w:id="3"/>
    </w:p>
    <w:p w14:paraId="5E489E00" w14:textId="7945CF06" w:rsidR="0081785E" w:rsidRDefault="0081785E" w:rsidP="0081785E">
      <w:pPr>
        <w:pStyle w:val="Body"/>
        <w:numPr>
          <w:ilvl w:val="0"/>
          <w:numId w:val="15"/>
        </w:numPr>
        <w:ind w:left="0" w:hanging="11"/>
      </w:pPr>
      <w:r>
        <w:t xml:space="preserve">In dit tweede hoofdstuk zal de bevoegdheidsverdeling </w:t>
      </w:r>
      <w:r w:rsidR="002A0F10">
        <w:t xml:space="preserve">inzake </w:t>
      </w:r>
      <w:r>
        <w:t>de vergunning</w:t>
      </w:r>
      <w:r w:rsidR="003A7AD1">
        <w:t>verlening</w:t>
      </w:r>
      <w:r>
        <w:t xml:space="preserve"> van windturbines toegelicht worden. </w:t>
      </w:r>
      <w:r w:rsidR="003A7AD1">
        <w:t xml:space="preserve">Dit </w:t>
      </w:r>
      <w:r>
        <w:t xml:space="preserve">is wenselijk, aangezien </w:t>
      </w:r>
      <w:r w:rsidR="003A7AD1">
        <w:t>het recente</w:t>
      </w:r>
      <w:r>
        <w:t xml:space="preserve"> sleutelwerk aan deze bevoegdheidsverdeling impliciet</w:t>
      </w:r>
      <w:r w:rsidR="003A7AD1">
        <w:t xml:space="preserve"> </w:t>
      </w:r>
      <w:r>
        <w:t>e</w:t>
      </w:r>
      <w:r w:rsidR="003A7AD1">
        <w:t>nkele</w:t>
      </w:r>
      <w:r>
        <w:t xml:space="preserve"> moeilijkheden inzake de vergunning</w:t>
      </w:r>
      <w:r w:rsidR="003A7AD1">
        <w:t>verlening</w:t>
      </w:r>
      <w:r>
        <w:t xml:space="preserve"> van windturbines in Vlaanderen</w:t>
      </w:r>
      <w:r w:rsidR="003A7AD1">
        <w:t xml:space="preserve"> erkende</w:t>
      </w:r>
      <w:r>
        <w:t>.</w:t>
      </w:r>
      <w:r w:rsidR="0022549E">
        <w:rPr>
          <w:rStyle w:val="Voetnootmarkering"/>
        </w:rPr>
        <w:footnoteReference w:id="19"/>
      </w:r>
      <w:r w:rsidR="00A976D3">
        <w:t xml:space="preserve"> Daarom wordt eerst de oude regeling die voor 1 september 2022 gold</w:t>
      </w:r>
      <w:r w:rsidR="006D1010">
        <w:t xml:space="preserve"> besproken</w:t>
      </w:r>
      <w:r w:rsidR="00A976D3">
        <w:t xml:space="preserve">, met overgang </w:t>
      </w:r>
      <w:r w:rsidR="009E67EF">
        <w:t>naar</w:t>
      </w:r>
      <w:r w:rsidR="00A976D3">
        <w:t xml:space="preserve"> de nieuwe regeling die </w:t>
      </w:r>
      <w:r w:rsidR="009E67EF">
        <w:t>vandaag</w:t>
      </w:r>
      <w:r w:rsidR="00A976D3">
        <w:t xml:space="preserve"> van toepassing is.</w:t>
      </w:r>
    </w:p>
    <w:p w14:paraId="1A053611" w14:textId="1CEAB54A" w:rsidR="00A976D3" w:rsidRDefault="00A976D3" w:rsidP="00A976D3">
      <w:pPr>
        <w:pStyle w:val="Kop2"/>
      </w:pPr>
      <w:bookmarkStart w:id="5" w:name="_Toc193312397"/>
      <w:r>
        <w:t>Bevoegdheidsverdeling voor 1 september 2022</w:t>
      </w:r>
      <w:bookmarkEnd w:id="5"/>
    </w:p>
    <w:p w14:paraId="324F6411" w14:textId="1E23422A" w:rsidR="00D06043" w:rsidRPr="00D06043" w:rsidRDefault="00D06043" w:rsidP="00D06043">
      <w:pPr>
        <w:pStyle w:val="Kop3"/>
        <w:rPr>
          <w:lang w:val="nl-BE"/>
        </w:rPr>
      </w:pPr>
      <w:bookmarkStart w:id="6" w:name="_Toc193312398"/>
      <w:r w:rsidRPr="00D06043">
        <w:rPr>
          <w:lang w:val="nl-BE"/>
        </w:rPr>
        <w:t xml:space="preserve">Bevoegdheid in eerste bestuurlijke </w:t>
      </w:r>
      <w:r>
        <w:rPr>
          <w:lang w:val="nl-BE"/>
        </w:rPr>
        <w:t>aanleg</w:t>
      </w:r>
      <w:bookmarkEnd w:id="6"/>
    </w:p>
    <w:p w14:paraId="52367779" w14:textId="4ECD928E" w:rsidR="006C3116" w:rsidRDefault="00BE7A7D" w:rsidP="006C3116">
      <w:pPr>
        <w:pStyle w:val="Body"/>
        <w:numPr>
          <w:ilvl w:val="0"/>
          <w:numId w:val="15"/>
        </w:numPr>
        <w:ind w:left="0" w:hanging="11"/>
      </w:pPr>
      <w:r w:rsidRPr="00BE7A7D">
        <w:t xml:space="preserve">De </w:t>
      </w:r>
      <w:r>
        <w:t>bevoegdheidsverdeling</w:t>
      </w:r>
      <w:r w:rsidRPr="00BE7A7D">
        <w:t xml:space="preserve"> voor </w:t>
      </w:r>
      <w:r>
        <w:t xml:space="preserve">de vergunning van </w:t>
      </w:r>
      <w:r w:rsidRPr="00BE7A7D">
        <w:t xml:space="preserve">windturbines, zoals die tot 1 september 2022 van kracht was, </w:t>
      </w:r>
      <w:r w:rsidR="009E67EF">
        <w:t>is</w:t>
      </w:r>
      <w:r w:rsidRPr="00BE7A7D">
        <w:t xml:space="preserve"> vrij complex. De </w:t>
      </w:r>
      <w:r>
        <w:t>bevoegde</w:t>
      </w:r>
      <w:r w:rsidRPr="00BE7A7D">
        <w:t xml:space="preserve"> </w:t>
      </w:r>
      <w:r>
        <w:t>vergunningverlenende</w:t>
      </w:r>
      <w:r w:rsidRPr="00BE7A7D">
        <w:t xml:space="preserve"> overheid </w:t>
      </w:r>
      <w:r>
        <w:t>in eerste aanleg</w:t>
      </w:r>
      <w:r w:rsidR="009E67EF">
        <w:rPr>
          <w:rStyle w:val="Voetnootmarkering"/>
        </w:rPr>
        <w:footnoteReference w:id="20"/>
      </w:r>
      <w:r>
        <w:t xml:space="preserve"> </w:t>
      </w:r>
      <w:r w:rsidRPr="00BE7A7D">
        <w:t xml:space="preserve">werd </w:t>
      </w:r>
      <w:r>
        <w:t>aangewezen</w:t>
      </w:r>
      <w:r w:rsidRPr="00BE7A7D">
        <w:t xml:space="preserve"> op basis van de aard en omvang van het aangevraagde </w:t>
      </w:r>
      <w:r w:rsidRPr="00BE7A7D">
        <w:lastRenderedPageBreak/>
        <w:t>windturbineproject.</w:t>
      </w:r>
      <w:r>
        <w:rPr>
          <w:rStyle w:val="Voetnootmarkering"/>
        </w:rPr>
        <w:footnoteReference w:id="21"/>
      </w:r>
      <w:r w:rsidRPr="00BE7A7D">
        <w:t xml:space="preserve"> Eerder speelde ook de hoogte van de installatie een rol bij de bevoegdheidsverdeling, maar met het</w:t>
      </w:r>
      <w:r w:rsidR="00210679">
        <w:t xml:space="preserve"> </w:t>
      </w:r>
      <w:r w:rsidRPr="00BE7A7D">
        <w:t>Omgevingsvergunningsdecreet werd dit vereenvoudigd door enkel nog naar het vermogen</w:t>
      </w:r>
      <w:r w:rsidR="009E67EF">
        <w:t xml:space="preserve"> van een voorgenomen project</w:t>
      </w:r>
      <w:r w:rsidRPr="00BE7A7D">
        <w:t xml:space="preserve"> te verwijzen om de vergunningverlenende overheid te bepalen.</w:t>
      </w:r>
      <w:r w:rsidR="00152BDB">
        <w:rPr>
          <w:rStyle w:val="Voetnootmarkering"/>
        </w:rPr>
        <w:footnoteReference w:id="22"/>
      </w:r>
      <w:r w:rsidR="006C3116">
        <w:t xml:space="preserve"> </w:t>
      </w:r>
    </w:p>
    <w:p w14:paraId="1695562E" w14:textId="21A1D12F" w:rsidR="009C6F7D" w:rsidRDefault="009C6F7D" w:rsidP="006976DA">
      <w:pPr>
        <w:pStyle w:val="Body"/>
        <w:numPr>
          <w:ilvl w:val="0"/>
          <w:numId w:val="15"/>
        </w:numPr>
        <w:ind w:left="0" w:hanging="11"/>
      </w:pPr>
      <w:r w:rsidRPr="009C6F7D">
        <w:t xml:space="preserve">Concreet </w:t>
      </w:r>
      <w:r w:rsidR="009E67EF">
        <w:t>gebeurde</w:t>
      </w:r>
      <w:r w:rsidRPr="009C6F7D">
        <w:t xml:space="preserve"> de toewijzing aan de bevoegde overheid op basis van een drie</w:t>
      </w:r>
      <w:r w:rsidR="009E67EF">
        <w:t>l</w:t>
      </w:r>
      <w:r w:rsidRPr="009C6F7D">
        <w:t>e</w:t>
      </w:r>
      <w:r w:rsidR="009E67EF">
        <w:t>d</w:t>
      </w:r>
      <w:r w:rsidRPr="009C6F7D">
        <w:t>ige structuur.</w:t>
      </w:r>
      <w:r>
        <w:rPr>
          <w:rStyle w:val="Voetnootmarkering"/>
        </w:rPr>
        <w:footnoteReference w:id="23"/>
      </w:r>
      <w:r w:rsidRPr="009C6F7D">
        <w:t xml:space="preserve"> Allereerst werden aanvragen voor specifiek omschreven projecten, vastgelegd </w:t>
      </w:r>
      <w:r w:rsidR="009E67EF">
        <w:t>in</w:t>
      </w:r>
      <w:r w:rsidRPr="009C6F7D">
        <w:t xml:space="preserve"> limitatieve lijsten door de Vlaamse Regering, expliciet toegewezen aan een bepaald bestuursniveau. Daarnaast bestond een lijst die bepaalde onder welke categorie een project viel, waarbij de behandeling van aanvragen per categorie aan een specifiek bestuursniveau werd toebedeeld. Tot slot werd ook de locatie van het project in aanmerking genomen bij het bepalen van de vergunningverlenende overheid.</w:t>
      </w:r>
      <w:r w:rsidR="009F5499">
        <w:t xml:space="preserve"> In de volgende tussentitels wordt verduidelijkt welke drie overheden </w:t>
      </w:r>
      <w:r w:rsidR="009E67EF">
        <w:t>bevoegdheid droegen in de</w:t>
      </w:r>
      <w:r w:rsidR="009F5499">
        <w:t xml:space="preserve"> oude regeling.</w:t>
      </w:r>
    </w:p>
    <w:p w14:paraId="4A88DF79" w14:textId="0FA06B8D" w:rsidR="00AF33B0" w:rsidRDefault="005A17D5" w:rsidP="00D06043">
      <w:pPr>
        <w:pStyle w:val="Kop4"/>
      </w:pPr>
      <w:r>
        <w:t>De Vlaamse Regering</w:t>
      </w:r>
    </w:p>
    <w:p w14:paraId="4CE74E3B" w14:textId="2AD18F95" w:rsidR="005A17D5" w:rsidRDefault="005A17D5" w:rsidP="00557DE5">
      <w:pPr>
        <w:pStyle w:val="Body"/>
        <w:numPr>
          <w:ilvl w:val="0"/>
          <w:numId w:val="15"/>
        </w:numPr>
        <w:ind w:left="0" w:hanging="11"/>
      </w:pPr>
      <w:bookmarkStart w:id="7" w:name="_Hlk185002159"/>
      <w:r>
        <w:t xml:space="preserve">Krachtens de </w:t>
      </w:r>
      <w:r w:rsidR="00254431">
        <w:t>destijds</w:t>
      </w:r>
      <w:r>
        <w:t xml:space="preserve"> geldende bepalingen </w:t>
      </w:r>
      <w:r w:rsidR="00254431">
        <w:t xml:space="preserve">van </w:t>
      </w:r>
      <w:r>
        <w:t>het Omgevingsvergunningsdecreet (OVD)</w:t>
      </w:r>
      <w:r>
        <w:rPr>
          <w:rStyle w:val="Voetnootmarkering"/>
        </w:rPr>
        <w:footnoteReference w:id="24"/>
      </w:r>
      <w:r>
        <w:t xml:space="preserve"> was de Vlaamse Regering bevoegd voor de beoordeling in eerste aanleg van aanvragen over:</w:t>
      </w:r>
    </w:p>
    <w:bookmarkEnd w:id="7"/>
    <w:p w14:paraId="3332BFE5" w14:textId="00819956" w:rsidR="005A17D5" w:rsidRDefault="00535485" w:rsidP="00557DE5">
      <w:pPr>
        <w:pStyle w:val="Body"/>
        <w:numPr>
          <w:ilvl w:val="0"/>
          <w:numId w:val="20"/>
        </w:numPr>
        <w:ind w:left="284" w:hanging="295"/>
      </w:pPr>
      <w:r>
        <w:t>d</w:t>
      </w:r>
      <w:r w:rsidR="005A17D5">
        <w:t xml:space="preserve">e zogenaamde ‘Vlaamse’ projecten (i.e. </w:t>
      </w:r>
      <w:r>
        <w:t>windturbineparken met een vermogen</w:t>
      </w:r>
      <w:r w:rsidR="00D06043">
        <w:t xml:space="preserve"> per turbine</w:t>
      </w:r>
      <w:r>
        <w:t xml:space="preserve"> van 1</w:t>
      </w:r>
      <w:r w:rsidR="00B772DF">
        <w:t>.</w:t>
      </w:r>
      <w:r>
        <w:t>500 kW of meer binnen de grenzen van de zeehavengebieden zoals afgebakend in een ruimtelijk uitvoeringsplan, alsook windturbineparken</w:t>
      </w:r>
      <w:r w:rsidR="00D06043">
        <w:t xml:space="preserve"> bestaande uit vijf of meer turbines</w:t>
      </w:r>
      <w:r>
        <w:t xml:space="preserve"> met een </w:t>
      </w:r>
      <w:r w:rsidR="00D06043">
        <w:t xml:space="preserve">individueel </w:t>
      </w:r>
      <w:r>
        <w:t>vermogen van 1</w:t>
      </w:r>
      <w:r w:rsidR="00B772DF">
        <w:t>.</w:t>
      </w:r>
      <w:r>
        <w:t>500 kW of meer)</w:t>
      </w:r>
      <w:r>
        <w:rPr>
          <w:rStyle w:val="Voetnootmarkering"/>
        </w:rPr>
        <w:footnoteReference w:id="25"/>
      </w:r>
      <w:r w:rsidR="005A17D5">
        <w:t>;</w:t>
      </w:r>
    </w:p>
    <w:p w14:paraId="38480B28" w14:textId="4946549B" w:rsidR="005A17D5" w:rsidRDefault="00535485" w:rsidP="00557DE5">
      <w:pPr>
        <w:pStyle w:val="Body"/>
        <w:numPr>
          <w:ilvl w:val="0"/>
          <w:numId w:val="20"/>
        </w:numPr>
        <w:ind w:left="284" w:hanging="295"/>
      </w:pPr>
      <w:r>
        <w:lastRenderedPageBreak/>
        <w:t>d</w:t>
      </w:r>
      <w:r w:rsidR="005A17D5">
        <w:t>e projecten die uitsluitend mobiele of verplaatsbare inrichtingen of activiteiten omvatten zoals vermeld in artikel 5.1.1, 10° DABM over twee of meer provincies;</w:t>
      </w:r>
    </w:p>
    <w:p w14:paraId="46BB0A12" w14:textId="72227E52" w:rsidR="005A17D5" w:rsidRDefault="00535485" w:rsidP="00557DE5">
      <w:pPr>
        <w:pStyle w:val="Body"/>
        <w:numPr>
          <w:ilvl w:val="0"/>
          <w:numId w:val="20"/>
        </w:numPr>
        <w:ind w:left="284" w:hanging="295"/>
      </w:pPr>
      <w:r>
        <w:t>d</w:t>
      </w:r>
      <w:r w:rsidR="005A17D5">
        <w:t>e projecten waarvoor normaal gezien het college van burgemeester en schepenen dan wel de deputatie bevoegd zijn, maar die gelegen zijn op het grondgebied van twee of meer provincies; en</w:t>
      </w:r>
    </w:p>
    <w:p w14:paraId="2F0511D6" w14:textId="00F240A3" w:rsidR="005A17D5" w:rsidRDefault="00535485" w:rsidP="00557DE5">
      <w:pPr>
        <w:pStyle w:val="Body"/>
        <w:numPr>
          <w:ilvl w:val="0"/>
          <w:numId w:val="20"/>
        </w:numPr>
        <w:ind w:left="284" w:hanging="295"/>
      </w:pPr>
      <w:r>
        <w:t>d</w:t>
      </w:r>
      <w:r w:rsidR="005A17D5">
        <w:t>e projecten waarvoor normaal gezien de deputatie bevoegd is, maar die onderworpen zijn aan de verplichting tot het opstellen van een milieueffectenrapport waarvoor geen ontheffing van de rapportageverplichting is verkregen en waar</w:t>
      </w:r>
      <w:r w:rsidR="00C22AD1">
        <w:t>bij</w:t>
      </w:r>
      <w:r w:rsidR="005A17D5">
        <w:t xml:space="preserve"> de deputatie tevens de initiatiefnemer en aanvrager is.</w:t>
      </w:r>
    </w:p>
    <w:p w14:paraId="1418480F" w14:textId="2910C690" w:rsidR="005A17D5" w:rsidRDefault="00535485" w:rsidP="00D06043">
      <w:pPr>
        <w:pStyle w:val="Kop4"/>
      </w:pPr>
      <w:r>
        <w:t>De deputatie</w:t>
      </w:r>
    </w:p>
    <w:p w14:paraId="02B17F4F" w14:textId="1C27870E" w:rsidR="00AF33B0" w:rsidRDefault="00535485" w:rsidP="00557DE5">
      <w:pPr>
        <w:pStyle w:val="Body"/>
        <w:numPr>
          <w:ilvl w:val="0"/>
          <w:numId w:val="15"/>
        </w:numPr>
        <w:ind w:left="0" w:hanging="11"/>
      </w:pPr>
      <w:bookmarkStart w:id="9" w:name="_Hlk185003009"/>
      <w:r w:rsidRPr="00535485">
        <w:t xml:space="preserve">Krachtens de op dat moment geldende bepalingen uit het Omgevingsvergunningsdecreet (OVD) </w:t>
      </w:r>
      <w:r>
        <w:rPr>
          <w:rStyle w:val="Voetnootmarkering"/>
        </w:rPr>
        <w:footnoteReference w:id="26"/>
      </w:r>
      <w:r>
        <w:t xml:space="preserve"> </w:t>
      </w:r>
      <w:r w:rsidRPr="00535485">
        <w:t xml:space="preserve">was de </w:t>
      </w:r>
      <w:r w:rsidR="00C66EDA">
        <w:t>deputatie</w:t>
      </w:r>
      <w:r w:rsidRPr="00535485">
        <w:t xml:space="preserve"> bevoegd voor de beoordeling in eerste aanleg van aanvragen over:</w:t>
      </w:r>
    </w:p>
    <w:bookmarkEnd w:id="9"/>
    <w:p w14:paraId="3661F1E0" w14:textId="06E416D1" w:rsidR="00535485" w:rsidRDefault="00535485" w:rsidP="00557DE5">
      <w:pPr>
        <w:pStyle w:val="Body"/>
        <w:numPr>
          <w:ilvl w:val="0"/>
          <w:numId w:val="20"/>
        </w:numPr>
        <w:ind w:left="426" w:hanging="426"/>
      </w:pPr>
      <w:r>
        <w:t xml:space="preserve">De </w:t>
      </w:r>
      <w:r w:rsidR="00D06043">
        <w:t>‘</w:t>
      </w:r>
      <w:r>
        <w:t>provinciale</w:t>
      </w:r>
      <w:r w:rsidR="00D06043">
        <w:t>’</w:t>
      </w:r>
      <w:r>
        <w:t xml:space="preserve"> projecten</w:t>
      </w:r>
      <w:r w:rsidR="00D06043">
        <w:t xml:space="preserve"> (i.e. windturbineparken bestaande uit maximaal vier turbines met een individueel vermogen van 1</w:t>
      </w:r>
      <w:r w:rsidR="00B772DF">
        <w:t>.</w:t>
      </w:r>
      <w:r w:rsidR="00D06043">
        <w:t>500 kW of meer, buiten de grenzen van de zeehavengebieden zoals afgebakend in een ruimtelijk uitvoeringsplan)</w:t>
      </w:r>
      <w:r w:rsidR="00D06043">
        <w:rPr>
          <w:rStyle w:val="Voetnootmarkering"/>
        </w:rPr>
        <w:footnoteReference w:id="27"/>
      </w:r>
      <w:r>
        <w:t>;</w:t>
      </w:r>
    </w:p>
    <w:p w14:paraId="08AA90D7" w14:textId="3F5B8D06" w:rsidR="00535485" w:rsidRDefault="00535485" w:rsidP="00557DE5">
      <w:pPr>
        <w:pStyle w:val="Body"/>
        <w:numPr>
          <w:ilvl w:val="0"/>
          <w:numId w:val="20"/>
        </w:numPr>
        <w:ind w:left="426" w:hanging="426"/>
      </w:pPr>
      <w:r>
        <w:t>De projecten die uitsluitend mobiele of verplaatsbare inrichtingen of activiteiten omvatten zoals vermeld in artikel 5.1.1, 10° DABM over twee of meer gemeenten in hun provincie</w:t>
      </w:r>
      <w:r w:rsidR="00D06043">
        <w:t>;</w:t>
      </w:r>
    </w:p>
    <w:p w14:paraId="00D4FA05" w14:textId="260F15D0" w:rsidR="00D06043" w:rsidRDefault="00D06043" w:rsidP="00557DE5">
      <w:pPr>
        <w:pStyle w:val="Body"/>
        <w:numPr>
          <w:ilvl w:val="0"/>
          <w:numId w:val="20"/>
        </w:numPr>
        <w:ind w:left="426" w:hanging="426"/>
      </w:pPr>
      <w:r>
        <w:lastRenderedPageBreak/>
        <w:t>De projecten die in de eerste klasse ingedeelde inrichtingen of activiteiten omvatten die een Vlaams noch een gemeentelijk project of een onderdeel van een van beide zijn;</w:t>
      </w:r>
    </w:p>
    <w:p w14:paraId="2D70A5CC" w14:textId="19839D3B" w:rsidR="00D06043" w:rsidRDefault="00D06043" w:rsidP="00557DE5">
      <w:pPr>
        <w:pStyle w:val="Body"/>
        <w:numPr>
          <w:ilvl w:val="0"/>
          <w:numId w:val="20"/>
        </w:numPr>
        <w:ind w:left="426" w:hanging="426"/>
      </w:pPr>
      <w:r>
        <w:t>De projecten waarvoor normaal gezien het college van burgemeester en schepenen bevoegd is, maar die onderworpen zijn aan de verplichting tot het opstellen van een milieueffectenrapport waarvoor geen ontheffing van de rapportageverplichting is verkregen, en waarvan het college tevens de initiatiefnemer en aanvrager is; en</w:t>
      </w:r>
    </w:p>
    <w:p w14:paraId="7C8FCE5D" w14:textId="579CCF63" w:rsidR="00D06043" w:rsidRDefault="00D06043" w:rsidP="00557DE5">
      <w:pPr>
        <w:pStyle w:val="Body"/>
        <w:numPr>
          <w:ilvl w:val="0"/>
          <w:numId w:val="20"/>
        </w:numPr>
        <w:ind w:left="426" w:hanging="426"/>
      </w:pPr>
      <w:r>
        <w:t>De projecten waarvoor normaal</w:t>
      </w:r>
      <w:r w:rsidR="00C22AD1">
        <w:t xml:space="preserve"> </w:t>
      </w:r>
      <w:r>
        <w:t>gezien het college van burgemeester en schepenen bevoegd is, maar die gelegen zijn op het grondgebied van twee of meer gemeenten.</w:t>
      </w:r>
    </w:p>
    <w:p w14:paraId="3809F9DF" w14:textId="279BB0E1" w:rsidR="00C66EDA" w:rsidRDefault="00C66EDA" w:rsidP="00C66EDA">
      <w:pPr>
        <w:pStyle w:val="Kop4"/>
      </w:pPr>
      <w:r>
        <w:t>Het colleg</w:t>
      </w:r>
      <w:r w:rsidR="00557DE5">
        <w:t>e</w:t>
      </w:r>
      <w:r>
        <w:t xml:space="preserve"> van burgemeester en schepenen</w:t>
      </w:r>
    </w:p>
    <w:p w14:paraId="54182E89" w14:textId="02AA06C9" w:rsidR="00C66EDA" w:rsidRDefault="00C66EDA" w:rsidP="00557DE5">
      <w:pPr>
        <w:pStyle w:val="Body"/>
        <w:numPr>
          <w:ilvl w:val="0"/>
          <w:numId w:val="15"/>
        </w:numPr>
        <w:ind w:left="0" w:hanging="11"/>
      </w:pPr>
      <w:r w:rsidRPr="00C66EDA">
        <w:t>Krachtens de op dat moment geldende bepalingen uit het Omgevingsvergunningsdecreet (OVD)</w:t>
      </w:r>
      <w:r>
        <w:rPr>
          <w:rStyle w:val="Voetnootmarkering"/>
        </w:rPr>
        <w:footnoteReference w:id="28"/>
      </w:r>
      <w:r w:rsidRPr="00C66EDA">
        <w:t xml:space="preserve"> was </w:t>
      </w:r>
      <w:r>
        <w:t>het college van burgemeester en schepenen</w:t>
      </w:r>
      <w:r w:rsidRPr="00C66EDA">
        <w:t xml:space="preserve"> bevoegd voor de beoordeling in eerste aanleg van aanvragen over:</w:t>
      </w:r>
    </w:p>
    <w:p w14:paraId="3682B9E3" w14:textId="042797FA" w:rsidR="00C66EDA" w:rsidRDefault="00C66EDA" w:rsidP="00557DE5">
      <w:pPr>
        <w:pStyle w:val="Body"/>
        <w:numPr>
          <w:ilvl w:val="0"/>
          <w:numId w:val="20"/>
        </w:numPr>
        <w:ind w:left="426" w:hanging="426"/>
      </w:pPr>
      <w:r>
        <w:t>De ‘gemeentelijke’ projecten (maar deze categorie bleef door het ontbreken van een lijst inzake bevoegdheid voor gemeentelijke projecten zonder inhoud)</w:t>
      </w:r>
      <w:r>
        <w:rPr>
          <w:rStyle w:val="Voetnootmarkering"/>
        </w:rPr>
        <w:footnoteReference w:id="29"/>
      </w:r>
      <w:r>
        <w:t>; en</w:t>
      </w:r>
    </w:p>
    <w:p w14:paraId="06526D59" w14:textId="316B982F" w:rsidR="00C66EDA" w:rsidRDefault="00C66EDA" w:rsidP="00557DE5">
      <w:pPr>
        <w:pStyle w:val="Body"/>
        <w:numPr>
          <w:ilvl w:val="0"/>
          <w:numId w:val="20"/>
        </w:numPr>
        <w:ind w:left="426" w:hanging="426"/>
      </w:pPr>
      <w:r>
        <w:t>Andere gevallen dan die waarvoor de Vlaamse Regering of de deputatie bevoegd is.</w:t>
      </w:r>
    </w:p>
    <w:p w14:paraId="4E6D662E" w14:textId="21153479" w:rsidR="00557DE5" w:rsidRDefault="00557DE5" w:rsidP="00557DE5">
      <w:pPr>
        <w:pStyle w:val="Kop3"/>
        <w:rPr>
          <w:lang w:val="nl-BE"/>
        </w:rPr>
      </w:pPr>
      <w:bookmarkStart w:id="10" w:name="_Toc193312399"/>
      <w:r>
        <w:rPr>
          <w:lang w:val="nl-BE"/>
        </w:rPr>
        <w:t>Synthese</w:t>
      </w:r>
      <w:r w:rsidRPr="00557DE5">
        <w:rPr>
          <w:lang w:val="nl-BE"/>
        </w:rPr>
        <w:t xml:space="preserve"> van de oude be</w:t>
      </w:r>
      <w:r>
        <w:rPr>
          <w:lang w:val="nl-BE"/>
        </w:rPr>
        <w:t>voegdheidsverdeling</w:t>
      </w:r>
      <w:r w:rsidR="00955D77">
        <w:rPr>
          <w:lang w:val="nl-BE"/>
        </w:rPr>
        <w:t xml:space="preserve"> in eerste bestuurlijke aanleg</w:t>
      </w:r>
      <w:bookmarkEnd w:id="10"/>
    </w:p>
    <w:p w14:paraId="546F69FA" w14:textId="30F56E34" w:rsidR="00C0694D" w:rsidRDefault="002828EE" w:rsidP="00101F52">
      <w:pPr>
        <w:pStyle w:val="Body"/>
        <w:numPr>
          <w:ilvl w:val="0"/>
          <w:numId w:val="15"/>
        </w:numPr>
        <w:ind w:left="0" w:hanging="11"/>
      </w:pPr>
      <w:r>
        <w:t>Gezien bovenstaande bevoegdheidsverdelende regels enigszins complex zijn</w:t>
      </w:r>
      <w:r w:rsidR="009E67EF">
        <w:t>,</w:t>
      </w:r>
      <w:r>
        <w:t xml:space="preserve"> lijkt het aangewezen om de lezer van dit werkstuk een allesomvattende doch begrijp</w:t>
      </w:r>
      <w:r w:rsidR="000265B1">
        <w:t xml:space="preserve">elijke </w:t>
      </w:r>
      <w:r>
        <w:t>synthese te bieden. Daarom zal uit</w:t>
      </w:r>
      <w:r w:rsidR="00C0694D">
        <w:t xml:space="preserve"> bovenstaande bepalingen inzake de bevoegdheidverdeling voor 1 september 2022 volgende synthese </w:t>
      </w:r>
      <w:r w:rsidR="00C0694D" w:rsidRPr="00C0694D">
        <w:t>worden afgeleid.</w:t>
      </w:r>
    </w:p>
    <w:p w14:paraId="69A284D2" w14:textId="774C0798" w:rsidR="00101F52" w:rsidRDefault="00101F52" w:rsidP="00077162">
      <w:pPr>
        <w:pStyle w:val="Body"/>
        <w:ind w:firstLine="708"/>
      </w:pPr>
      <w:r w:rsidRPr="00101F52">
        <w:lastRenderedPageBreak/>
        <w:t xml:space="preserve">De </w:t>
      </w:r>
      <w:r w:rsidRPr="00101F52">
        <w:rPr>
          <w:b/>
          <w:bCs/>
        </w:rPr>
        <w:t>Vlaamse Regering</w:t>
      </w:r>
      <w:r w:rsidRPr="00101F52">
        <w:t xml:space="preserve"> </w:t>
      </w:r>
      <w:r>
        <w:t>was</w:t>
      </w:r>
      <w:r w:rsidRPr="00101F52">
        <w:t xml:space="preserve"> bevoegd voor grootschalige, interprovinciale en complexe projecten. Dit omvat aanvragen voor grote windturbineparken met minstens vijf turbines van elk minimaal 1</w:t>
      </w:r>
      <w:r w:rsidR="00B772DF">
        <w:t>.</w:t>
      </w:r>
      <w:r w:rsidRPr="00101F52">
        <w:t xml:space="preserve">500 kW, of voor turbines van hetzelfde vermogen, ongeacht het aantal, als deze zich in zeehavengebied bevinden. Daarnaast </w:t>
      </w:r>
      <w:r>
        <w:t>viel</w:t>
      </w:r>
      <w:r w:rsidRPr="00101F52">
        <w:t xml:space="preserve"> ook de behandeling van mobiele projecten over meerdere provincies en projecten waarvoor de deputatie initiatiefnemer is en een milieueffectenrapport vereist is onder haar bevoegdheid.</w:t>
      </w:r>
    </w:p>
    <w:p w14:paraId="24DC0638" w14:textId="76C64918" w:rsidR="00101F52" w:rsidRPr="00101F52" w:rsidRDefault="00101F52" w:rsidP="00077162">
      <w:pPr>
        <w:pStyle w:val="Body"/>
        <w:ind w:firstLine="708"/>
      </w:pPr>
      <w:r w:rsidRPr="00101F52">
        <w:t xml:space="preserve">De </w:t>
      </w:r>
      <w:r w:rsidRPr="00101F52">
        <w:rPr>
          <w:b/>
          <w:bCs/>
        </w:rPr>
        <w:t>deputatie</w:t>
      </w:r>
      <w:r w:rsidRPr="00101F52">
        <w:t xml:space="preserve"> </w:t>
      </w:r>
      <w:r>
        <w:t>daarentegen was</w:t>
      </w:r>
      <w:r w:rsidRPr="00101F52">
        <w:t xml:space="preserve"> verantwoordelijk voor middelgrote, provinciale projecten. Dit omvat windturbineparken met maximaal vier turbines </w:t>
      </w:r>
      <w:r w:rsidR="00B772DF">
        <w:t xml:space="preserve">met een individueel vermogen gelijk aan of hoger dan 1.500 kW </w:t>
      </w:r>
      <w:r w:rsidRPr="00101F52">
        <w:t>buiten zeehavengebieden, mobiele projecten die meerdere gemeenten binnen een provincie bestrijken, en andere eerste klasse-inrichtingen die niet als Vlaams of gemeentelijk project worden aangemerkt.</w:t>
      </w:r>
    </w:p>
    <w:p w14:paraId="2D847C3C" w14:textId="254674B8" w:rsidR="00101F52" w:rsidRDefault="00101F52" w:rsidP="00077162">
      <w:pPr>
        <w:pStyle w:val="Body"/>
        <w:ind w:firstLine="708"/>
      </w:pPr>
      <w:r>
        <w:t xml:space="preserve">Ten slotte beschikte het </w:t>
      </w:r>
      <w:r w:rsidRPr="00A2613A">
        <w:rPr>
          <w:b/>
          <w:bCs/>
        </w:rPr>
        <w:t>college van burgemeester</w:t>
      </w:r>
      <w:r>
        <w:t xml:space="preserve"> en schepenen over de residuaire bevoegdheid voor alle projecten die niet onder de bevoegdheid van de andere bestuursniveaus vallen.</w:t>
      </w:r>
      <w:r w:rsidR="00A2613A">
        <w:rPr>
          <w:rStyle w:val="Voetnootmarkering"/>
        </w:rPr>
        <w:footnoteReference w:id="30"/>
      </w:r>
      <w:r>
        <w:t xml:space="preserve"> </w:t>
      </w:r>
      <w:r w:rsidR="00A2613A">
        <w:t xml:space="preserve">Anders dan de Vlaamse en de provinciale lijsten van voorbehouden projecten werd geen invulling gegeven aan de gemeentelijke projecten. Daarom werd de bevoegdheid van het college niet uitgebreid door </w:t>
      </w:r>
      <w:r w:rsidR="009E67EF">
        <w:t>een</w:t>
      </w:r>
      <w:r w:rsidR="00A2613A">
        <w:t xml:space="preserve"> limitatief samengestelde lijst zoals dat wel het geval was voor de Vlaamse Regering en de deputatie.</w:t>
      </w:r>
    </w:p>
    <w:p w14:paraId="0E75BB71" w14:textId="765343F4" w:rsidR="00A2613A" w:rsidRPr="00101F52" w:rsidRDefault="00A2613A" w:rsidP="002828EE">
      <w:pPr>
        <w:pStyle w:val="Body"/>
        <w:numPr>
          <w:ilvl w:val="0"/>
          <w:numId w:val="15"/>
        </w:numPr>
        <w:ind w:left="0" w:hanging="11"/>
      </w:pPr>
      <w:r>
        <w:t>Gezien de nood aan een grootschalige transitie naar duurzame energieproductie zullen de grote en middelgrote windturbineprojecten waarvan het individuele vermogen per turbine gelijk of groter dan 1</w:t>
      </w:r>
      <w:r w:rsidR="00B772DF">
        <w:t>.</w:t>
      </w:r>
      <w:r>
        <w:t>500 kW de meeste belangstelling genieten in deze thesis.</w:t>
      </w:r>
      <w:r w:rsidR="0079721C">
        <w:t xml:space="preserve"> Voor wat de oude bevoegdheidsverdeling betreft gaat het aldus over de projecten die tot de bevoeg</w:t>
      </w:r>
      <w:r w:rsidR="000265B1">
        <w:t>d</w:t>
      </w:r>
      <w:r w:rsidR="0079721C">
        <w:t xml:space="preserve">heid van de Vlaamse Regering dan wel de deputatie behoorden. Net door de nood aan dergelijke omvangrijke projecten </w:t>
      </w:r>
      <w:r w:rsidR="000265B1">
        <w:t xml:space="preserve">besloot </w:t>
      </w:r>
      <w:r w:rsidR="0079721C">
        <w:t xml:space="preserve">de Vlaamse decreetgever </w:t>
      </w:r>
      <w:r w:rsidR="00C477BD">
        <w:t>over te gaan tot</w:t>
      </w:r>
      <w:r w:rsidR="0079721C">
        <w:t xml:space="preserve"> een nieuwe bevoegdheidsverdeling, die in een volgende titel besproken zal worden.</w:t>
      </w:r>
    </w:p>
    <w:p w14:paraId="51F88279" w14:textId="385D5456" w:rsidR="00B772DF" w:rsidRPr="00B772DF" w:rsidRDefault="00557DE5" w:rsidP="00B772DF">
      <w:pPr>
        <w:pStyle w:val="Kop3"/>
        <w:rPr>
          <w:lang w:val="nl-BE"/>
        </w:rPr>
      </w:pPr>
      <w:bookmarkStart w:id="11" w:name="_Toc193312400"/>
      <w:r>
        <w:rPr>
          <w:lang w:val="nl-BE"/>
        </w:rPr>
        <w:lastRenderedPageBreak/>
        <w:t xml:space="preserve">Bevoegdheid in tweede </w:t>
      </w:r>
      <w:r w:rsidR="00B772DF">
        <w:rPr>
          <w:lang w:val="nl-BE"/>
        </w:rPr>
        <w:t xml:space="preserve">bestuurlijke </w:t>
      </w:r>
      <w:r>
        <w:rPr>
          <w:lang w:val="nl-BE"/>
        </w:rPr>
        <w:t>aanleg</w:t>
      </w:r>
      <w:bookmarkEnd w:id="11"/>
    </w:p>
    <w:p w14:paraId="4CAA2C61" w14:textId="0DB610AA" w:rsidR="001E268A" w:rsidRDefault="00955D77" w:rsidP="006976DA">
      <w:pPr>
        <w:pStyle w:val="Body"/>
        <w:numPr>
          <w:ilvl w:val="0"/>
          <w:numId w:val="15"/>
        </w:numPr>
        <w:ind w:left="0" w:hanging="11"/>
      </w:pPr>
      <w:r>
        <w:t>Voorgaande randnummers betroffen</w:t>
      </w:r>
      <w:r w:rsidR="00A15ED7">
        <w:t xml:space="preserve"> de bevoegdheidsverdeling in </w:t>
      </w:r>
      <w:r w:rsidR="00C477BD">
        <w:t>de</w:t>
      </w:r>
      <w:r w:rsidR="00A15ED7">
        <w:t xml:space="preserve"> eerste</w:t>
      </w:r>
      <w:r>
        <w:t xml:space="preserve"> bestuurlijke</w:t>
      </w:r>
      <w:r w:rsidR="00A15ED7">
        <w:t xml:space="preserve"> aanleg. Dit heeft tot gevolg dat ook rekening gehouden </w:t>
      </w:r>
      <w:r>
        <w:t>moet</w:t>
      </w:r>
      <w:r w:rsidR="00A15ED7">
        <w:t xml:space="preserve"> worden met de mogelijkheid van een bestuurlijk beroep tegen de verlening van de omgevingsvergunning. Om de bevoegde beroepsinstantie aan te </w:t>
      </w:r>
      <w:r w:rsidR="00A15ED7" w:rsidRPr="00A15ED7">
        <w:t xml:space="preserve">duiden </w:t>
      </w:r>
      <w:r>
        <w:t>wordt</w:t>
      </w:r>
      <w:r w:rsidR="00A15ED7" w:rsidRPr="00A15ED7">
        <w:t xml:space="preserve"> gekeken naar de overheid die één bestuursniveau hoger staat. </w:t>
      </w:r>
      <w:r>
        <w:t>Dit houdt in dat binnen de oude bevo</w:t>
      </w:r>
      <w:r w:rsidR="000265B1">
        <w:t>e</w:t>
      </w:r>
      <w:r>
        <w:t xml:space="preserve">gdheidsverdeling de deputatie bevoegd was voor de behandeling van het bestuurlijk beroep, en bijgevolg de beoordeling van de betreffende vergunningsaanvraag, tegen de beslissing van het college van burgemeester en schepenen. Wanneer het bestuurlijk beroep gericht was tegen de vergunningsbeslissing van de deputatie, was het de Vlaamse Regering die zich opnieuw over het vergunningsdossier moest buigen. </w:t>
      </w:r>
    </w:p>
    <w:p w14:paraId="2E1B9E8A" w14:textId="2BEE8126" w:rsidR="00955D77" w:rsidRDefault="00955D77" w:rsidP="006976DA">
      <w:pPr>
        <w:pStyle w:val="Body"/>
        <w:numPr>
          <w:ilvl w:val="0"/>
          <w:numId w:val="15"/>
        </w:numPr>
        <w:ind w:left="0" w:hanging="11"/>
      </w:pPr>
      <w:r>
        <w:t>Enkel in het geval van een vergunningsbeslis</w:t>
      </w:r>
      <w:r w:rsidR="00A843CD">
        <w:t>s</w:t>
      </w:r>
      <w:r>
        <w:t xml:space="preserve">ing door de Vlaamse Regering in eerste bestuurlijke aanleg bestond </w:t>
      </w:r>
      <w:r w:rsidR="00A843CD">
        <w:t xml:space="preserve">er </w:t>
      </w:r>
      <w:r>
        <w:t xml:space="preserve">geen mogelijkheid tot het instellen van een bestuurlijk beroep. </w:t>
      </w:r>
      <w:r w:rsidR="00494468">
        <w:t>Immers, e</w:t>
      </w:r>
      <w:r>
        <w:t>r bevindt zich geen hoger bestuursniveau boven de Vlaamse Regering op vlak van de omgevings</w:t>
      </w:r>
      <w:r w:rsidR="009E67EF">
        <w:t xml:space="preserve">rechtelijke </w:t>
      </w:r>
      <w:r>
        <w:t xml:space="preserve">bevoegdheid. </w:t>
      </w:r>
      <w:r w:rsidR="001E268A">
        <w:t>Een jurisdictioneel beroep voor de Raad voor Vergunningsbetwistingen vorm</w:t>
      </w:r>
      <w:r w:rsidR="009E67EF">
        <w:t>de</w:t>
      </w:r>
      <w:r w:rsidR="001E268A">
        <w:t xml:space="preserve"> desgevallend de enige mogelijkheid om een vergunningsbeslissing van de Vlaamse Regering aan te vechten.</w:t>
      </w:r>
    </w:p>
    <w:p w14:paraId="060E0E3D" w14:textId="3A611345" w:rsidR="006976DA" w:rsidRDefault="006976DA" w:rsidP="006976DA">
      <w:pPr>
        <w:pStyle w:val="Kop2"/>
      </w:pPr>
      <w:bookmarkStart w:id="12" w:name="_Toc193312401"/>
      <w:r>
        <w:t>Bevoegdheidsverdeling na 1 september 2022</w:t>
      </w:r>
      <w:bookmarkEnd w:id="12"/>
    </w:p>
    <w:p w14:paraId="0BA32050" w14:textId="34108C06" w:rsidR="00B7700B" w:rsidRPr="00B7700B" w:rsidRDefault="006976DA" w:rsidP="006C6D60">
      <w:pPr>
        <w:pStyle w:val="Body"/>
        <w:numPr>
          <w:ilvl w:val="0"/>
          <w:numId w:val="15"/>
        </w:numPr>
        <w:ind w:left="0" w:hanging="11"/>
      </w:pPr>
      <w:r>
        <w:t>Met haar besluit van 10 juni 2022</w:t>
      </w:r>
      <w:r>
        <w:rPr>
          <w:rStyle w:val="Voetnootmarkering"/>
        </w:rPr>
        <w:footnoteReference w:id="31"/>
      </w:r>
      <w:r>
        <w:t xml:space="preserve"> wijzigde de Vlaamse </w:t>
      </w:r>
      <w:r w:rsidR="00B36736">
        <w:t>R</w:t>
      </w:r>
      <w:r>
        <w:t>egering voor</w:t>
      </w:r>
      <w:r w:rsidR="00E9012B">
        <w:t>n</w:t>
      </w:r>
      <w:r>
        <w:t xml:space="preserve">oemde bevoegdheidsverdeling. </w:t>
      </w:r>
      <w:r w:rsidR="00B7700B">
        <w:t>Zo wordt het</w:t>
      </w:r>
      <w:r w:rsidR="00B7700B" w:rsidRPr="00B7700B">
        <w:t xml:space="preserve"> onderscheid dat tot op heden werd gemaakt op basis van de ligging in het zeehavengebied of het aantal windturbines</w:t>
      </w:r>
      <w:r w:rsidR="00B7700B">
        <w:t xml:space="preserve"> </w:t>
      </w:r>
      <w:r w:rsidR="00B7700B" w:rsidRPr="00B7700B">
        <w:t>afgeschaft. Voortaan zullen alle aanvragen voor omgevingsvergunningen voor windturbines met een vermogen van meer dan 1.500 kW worden beoordeeld door het Vlaamse Gewest.</w:t>
      </w:r>
      <w:r w:rsidR="00B7700B">
        <w:t xml:space="preserve"> De deputatie draagt bijgevolg geen bevoegdheid meer inzake de omgevingsvergunning van windturbines</w:t>
      </w:r>
      <w:r w:rsidR="00B772DF">
        <w:t xml:space="preserve"> (althans niet in eerste bestuurlijke aanleg)</w:t>
      </w:r>
      <w:r w:rsidR="00B7700B">
        <w:t xml:space="preserve">. </w:t>
      </w:r>
      <w:r w:rsidR="00B7700B" w:rsidRPr="00B7700B">
        <w:t xml:space="preserve">Het bevoegdheidsniveau voor kleinere windturbines, met een </w:t>
      </w:r>
      <w:r w:rsidR="00B7700B" w:rsidRPr="00B7700B">
        <w:lastRenderedPageBreak/>
        <w:t>vermogen van minder dan 1.500 kW, blijft daarentegen ongewijzigd: hier blijft het college van burgemeester en schepenen verantwoordelijk voor de vergunningsprocedure.</w:t>
      </w:r>
    </w:p>
    <w:p w14:paraId="22D83855" w14:textId="772AB013" w:rsidR="00037F82" w:rsidRDefault="00037F82" w:rsidP="000D1DA2">
      <w:pPr>
        <w:pStyle w:val="Body"/>
        <w:numPr>
          <w:ilvl w:val="0"/>
          <w:numId w:val="15"/>
        </w:numPr>
        <w:ind w:left="0" w:hanging="11"/>
      </w:pPr>
      <w:r w:rsidRPr="00037F82">
        <w:t xml:space="preserve">De beslissing om de behandeling van vergunningen voor grootschalige windturbineparken volledig naar het Vlaamse niveau over te hevelen, is opvallend en roept vragen op over de </w:t>
      </w:r>
      <w:r>
        <w:t>consistentie</w:t>
      </w:r>
      <w:r w:rsidRPr="00037F82">
        <w:t xml:space="preserve"> </w:t>
      </w:r>
      <w:r>
        <w:t>van</w:t>
      </w:r>
      <w:r w:rsidRPr="00037F82">
        <w:t xml:space="preserve"> het beleid. In het Vlaams regeerakkoord 2019</w:t>
      </w:r>
      <w:r w:rsidR="004414DC">
        <w:t>-</w:t>
      </w:r>
      <w:r w:rsidRPr="00037F82">
        <w:t>2024 werd expliciet gestreefd naar meer autonomie en beslissingsmacht voor lokale besturen in dergelijke kwesties.</w:t>
      </w:r>
      <w:r w:rsidR="00206A5D">
        <w:rPr>
          <w:rStyle w:val="Voetnootmarkering"/>
        </w:rPr>
        <w:footnoteReference w:id="32"/>
      </w:r>
      <w:r w:rsidRPr="00037F82">
        <w:t xml:space="preserve"> De hervorming van de bevoegdheidsverdeling lijkt in strijd met deze ambitie, omdat ze een beweging naar centralisatie weerspiegelt, wat indruist tegen de beloofde decentralisatie.</w:t>
      </w:r>
      <w:r w:rsidR="00874362">
        <w:t xml:space="preserve"> </w:t>
      </w:r>
      <w:r w:rsidRPr="00037F82">
        <w:t>Deze keuze wijst erop dat de Vlaamse</w:t>
      </w:r>
      <w:r>
        <w:t xml:space="preserve"> Regering en de decreetgever</w:t>
      </w:r>
      <w:r w:rsidRPr="00037F82">
        <w:t xml:space="preserve"> de voordelen van uniformiteit en schaalvergroting in vergunningverleningsprocessen zwaarder laat wegen dan de beleidsvrijheid van lokale overheden. </w:t>
      </w:r>
      <w:r w:rsidR="00206A5D">
        <w:t>De</w:t>
      </w:r>
      <w:r>
        <w:t xml:space="preserve"> </w:t>
      </w:r>
      <w:r w:rsidR="00206A5D">
        <w:t>omslag die de Vlaamse Regering hiermee maakt beantwoord</w:t>
      </w:r>
      <w:r w:rsidR="00B36736">
        <w:t>t</w:t>
      </w:r>
      <w:r w:rsidR="00206A5D">
        <w:t xml:space="preserve"> de kritische stemmen uit de rechtsleer die stelden dat de geplande overheveling naar het lokale niveau vreemd en ondoordacht was.</w:t>
      </w:r>
      <w:r w:rsidR="00206A5D">
        <w:rPr>
          <w:rStyle w:val="Voetnootmarkering"/>
        </w:rPr>
        <w:footnoteReference w:id="33"/>
      </w:r>
      <w:r w:rsidR="00206A5D">
        <w:t xml:space="preserve"> </w:t>
      </w:r>
      <w:r w:rsidR="00206A5D" w:rsidRPr="00206A5D">
        <w:t>Ik deel deze opvatting, omdat de huidige aanpak een meer objectieve en rationele energietransitie bevordert. Lokaal verzet tegen windturbineprojecten blijkt vaak bijzonder hardnekkig, en de implementatie van de geplande decentralisatie zou deze hindernissen voor de dergelijke projecten ongetwijfeld verder hebben vergroot.</w:t>
      </w:r>
      <w:r w:rsidRPr="00037F82">
        <w:t xml:space="preserve"> Lokale actoren, zoals gemeentebesturen en buurtbewoners, hebben de neiging om juridische procedures in te zetten om deze initiatieven te blokkeren</w:t>
      </w:r>
      <w:r w:rsidR="00D43651">
        <w:rPr>
          <w:rStyle w:val="Voetnootmarkering"/>
        </w:rPr>
        <w:footnoteReference w:id="34"/>
      </w:r>
      <w:r w:rsidRPr="00037F82">
        <w:t xml:space="preserve">, wat de realisatie van </w:t>
      </w:r>
      <w:r>
        <w:t xml:space="preserve">een doorgedreven energietransitie en bijgevolg het behalen van </w:t>
      </w:r>
      <w:r w:rsidRPr="00037F82">
        <w:t>klimaatdoelstellingen vertraagt.</w:t>
      </w:r>
      <w:r w:rsidR="00D43651">
        <w:t xml:space="preserve"> </w:t>
      </w:r>
    </w:p>
    <w:p w14:paraId="74905720" w14:textId="24CDA7BC" w:rsidR="00874362" w:rsidRPr="00037F82" w:rsidRDefault="00CF0269" w:rsidP="00617846">
      <w:pPr>
        <w:pStyle w:val="Body"/>
        <w:numPr>
          <w:ilvl w:val="0"/>
          <w:numId w:val="15"/>
        </w:numPr>
        <w:ind w:left="0" w:hanging="11"/>
      </w:pPr>
      <w:r w:rsidRPr="00CF0269">
        <w:t>De beslissing om de vergunningsbevoegdheid voor alle windturbineprojecten met een vermogen van meer dan 1.500 kW van het provinciale naar het Vlaamse niveau over te hevelen, werd door de Vlaamse Regering gemotiveerd door het streven naar meer duidelijkheid, eenvormigheid en een versnelde besluitvorming.</w:t>
      </w:r>
      <w:r>
        <w:rPr>
          <w:rStyle w:val="Voetnootmarkering"/>
        </w:rPr>
        <w:footnoteReference w:id="35"/>
      </w:r>
      <w:r w:rsidRPr="00CF0269">
        <w:t xml:space="preserve"> </w:t>
      </w:r>
      <w:r>
        <w:t xml:space="preserve">Toenmalig </w:t>
      </w:r>
      <w:r w:rsidRPr="00CF0269">
        <w:t xml:space="preserve">Vlaams minister </w:t>
      </w:r>
      <w:r w:rsidRPr="00CF0269">
        <w:lastRenderedPageBreak/>
        <w:t>van Omgeving en Energie Zuhal Demir benadrukte dat deze hervorming kan leiden tot een tijdswinst van zes tot negen maanden voor hernieuwbare energieprojecten.</w:t>
      </w:r>
      <w:r w:rsidR="00617846">
        <w:t xml:space="preserve"> </w:t>
      </w:r>
      <w:r w:rsidR="00617846" w:rsidRPr="00617846">
        <w:t>Ik ben van mening dat</w:t>
      </w:r>
      <w:r w:rsidR="00A562F2">
        <w:t xml:space="preserve"> het</w:t>
      </w:r>
      <w:r w:rsidR="00617846" w:rsidRPr="00617846">
        <w:t xml:space="preserve"> lokaal verzet eveneens een belangrijke factor was in deze omgekeerde overheveling. Het provinciale niveau bevindt zich dichter bij lokale gemeenschappen en hun specifieke belangen, waardoor besluitvorming op dat niveau sterker onderhevig kan zijn aan lokale gevoeligheden. Het lijkt dan ook aannemelijk dat de Vlaamse Regering bij haar besluit van 10 juni 2022 rekening hield met deze afhankelijkheid van provinciale bestuurders en het daaruit voortvloeiende verzet vanuit de deputaties.</w:t>
      </w:r>
    </w:p>
    <w:p w14:paraId="31DAEBF4" w14:textId="03317CA9" w:rsidR="00197FA8" w:rsidRDefault="00874362" w:rsidP="006C6D60">
      <w:pPr>
        <w:pStyle w:val="Body"/>
        <w:numPr>
          <w:ilvl w:val="0"/>
          <w:numId w:val="15"/>
        </w:numPr>
        <w:ind w:left="0" w:hanging="11"/>
      </w:pPr>
      <w:r>
        <w:t xml:space="preserve">De drijfveer van deze bevoegdheidshertekening en </w:t>
      </w:r>
      <w:r w:rsidR="00B36736">
        <w:t xml:space="preserve">het </w:t>
      </w:r>
      <w:r>
        <w:t>voornoemde</w:t>
      </w:r>
      <w:r w:rsidR="00037F82" w:rsidRPr="00037F82">
        <w:t xml:space="preserve"> lokale verzet </w:t>
      </w:r>
      <w:r>
        <w:t>tonen</w:t>
      </w:r>
      <w:r w:rsidR="00037F82" w:rsidRPr="00037F82">
        <w:t xml:space="preserve"> </w:t>
      </w:r>
      <w:r w:rsidR="00037F82">
        <w:t xml:space="preserve">nogmaals </w:t>
      </w:r>
      <w:r w:rsidR="00037F82" w:rsidRPr="00037F82">
        <w:t xml:space="preserve">aan dat de huidige regelgeving binnen het omgevingsrecht kan botsen met de doelstellingen van het klimaatrecht. Terwijl klimaatrecht gericht is op het behalen van duurzame energie- en emissiereductiedoelstellingen, stelt het omgevingsrecht lokale actoren in staat om projecten te vertragen of zelfs te voorkomen, vaak op basis van plaatselijke belangen. Hoewel uniformiteit op Vlaams niveau voordelen kan bieden voor de implementatie van grote klimaatprojecten, blijft </w:t>
      </w:r>
      <w:r w:rsidR="00037F82">
        <w:t xml:space="preserve">het daarnaast een belangrijke </w:t>
      </w:r>
      <w:r w:rsidR="00037F82" w:rsidRPr="00037F82">
        <w:t>vraag of een dergelijke centralisering de kloof tussen lokale gemeenschappen en klimaatbeleid niet vergroot.</w:t>
      </w:r>
      <w:r w:rsidR="00037F82">
        <w:t xml:space="preserve"> Deze beschouwing </w:t>
      </w:r>
      <w:r w:rsidR="00D43651">
        <w:t xml:space="preserve">raakt de vraag of en hoe we vandaag steeds meer in een tendens van </w:t>
      </w:r>
      <w:r w:rsidR="00B36736">
        <w:t>‘</w:t>
      </w:r>
      <w:r w:rsidR="00D43651">
        <w:t>duurzaamheidsmoeheid</w:t>
      </w:r>
      <w:r w:rsidR="00B36736">
        <w:t>’</w:t>
      </w:r>
      <w:r w:rsidR="00D43651">
        <w:t xml:space="preserve"> terechtkomen, die wordt aangedreven door een steeds ver</w:t>
      </w:r>
      <w:r w:rsidR="00B36736">
        <w:t>d</w:t>
      </w:r>
      <w:r w:rsidR="00D43651">
        <w:t>e</w:t>
      </w:r>
      <w:r w:rsidR="00B36736">
        <w:t>r</w:t>
      </w:r>
      <w:r w:rsidR="00D43651">
        <w:t>gaande juridisering van klimaatdoelstellingen.</w:t>
      </w:r>
      <w:r w:rsidR="00D43651">
        <w:rPr>
          <w:rStyle w:val="Voetnootmarkering"/>
        </w:rPr>
        <w:footnoteReference w:id="36"/>
      </w:r>
      <w:bookmarkEnd w:id="4"/>
    </w:p>
    <w:p w14:paraId="219C1EC0" w14:textId="596967B4" w:rsidR="00AE05C6" w:rsidRDefault="00AE05C6" w:rsidP="00BE5BD8">
      <w:pPr>
        <w:pStyle w:val="Kop1"/>
      </w:pPr>
      <w:bookmarkStart w:id="13" w:name="_Toc193312402"/>
      <w:r>
        <w:t>De spreidstand tussen milieu- en klimaatdoelen met betrekking tot de vergunning van hernieuwbare energieprojecten</w:t>
      </w:r>
      <w:bookmarkEnd w:id="13"/>
    </w:p>
    <w:p w14:paraId="565A39E2" w14:textId="1253FF7B" w:rsidR="00494468" w:rsidRPr="00494468" w:rsidRDefault="00494468" w:rsidP="00494468">
      <w:pPr>
        <w:pStyle w:val="Body"/>
        <w:numPr>
          <w:ilvl w:val="0"/>
          <w:numId w:val="15"/>
        </w:numPr>
      </w:pPr>
      <w:r>
        <w:t>Onder dit hoofdstuk komen de concrete obstakels die voortvloeien uit regels van omgevingsrecht aan bod. Daarbij ligt de focus op de voornaamste obstakels, mede vanuit haalbaarheidsoverwegingen van het onderzoek. Zoals de volgende ondertitels vermelden zullen deze obstakels zich steeds binnen één van de vier algemene omgevingrechtelijke thema’s situeren.</w:t>
      </w:r>
    </w:p>
    <w:p w14:paraId="56E205FC" w14:textId="17962255" w:rsidR="006F47D2" w:rsidRPr="006F47D2" w:rsidRDefault="006F47D2" w:rsidP="006F47D2">
      <w:pPr>
        <w:pStyle w:val="Kop2"/>
        <w:rPr>
          <w:lang w:val="nl-BE"/>
        </w:rPr>
      </w:pPr>
      <w:bookmarkStart w:id="14" w:name="_Toc193312403"/>
      <w:r>
        <w:rPr>
          <w:lang w:val="nl-BE"/>
        </w:rPr>
        <w:lastRenderedPageBreak/>
        <w:t>De regelgeving inzake natuur- en soortenbescherming en -behoud</w:t>
      </w:r>
      <w:bookmarkEnd w:id="14"/>
    </w:p>
    <w:p w14:paraId="02ED6673" w14:textId="6E1CA465" w:rsidR="006F47D2" w:rsidRPr="00405F15" w:rsidRDefault="006F47D2" w:rsidP="006F47D2">
      <w:pPr>
        <w:pStyle w:val="Body"/>
        <w:numPr>
          <w:ilvl w:val="0"/>
          <w:numId w:val="15"/>
        </w:numPr>
        <w:ind w:left="0" w:hanging="11"/>
      </w:pPr>
      <w:r w:rsidRPr="0024237B">
        <w:t>De Europese Unie speelt een cruciale rol in het waarborgen van biodiversiteit en het beschermen van flora en fauna. De Vogelrichtlijn</w:t>
      </w:r>
      <w:r w:rsidRPr="00405F15">
        <w:rPr>
          <w:rStyle w:val="Voetnootmarkering"/>
          <w:rFonts w:ascii="Calibri" w:hAnsi="Calibri" w:cs="Calibri"/>
        </w:rPr>
        <w:footnoteReference w:id="37"/>
      </w:r>
      <w:r w:rsidRPr="0024237B">
        <w:t xml:space="preserve"> en de Habitatrichtlijn</w:t>
      </w:r>
      <w:r w:rsidRPr="00405F15">
        <w:rPr>
          <w:rStyle w:val="Voetnootmarkering"/>
          <w:rFonts w:ascii="Calibri" w:hAnsi="Calibri" w:cs="Calibri"/>
        </w:rPr>
        <w:footnoteReference w:id="38"/>
      </w:r>
      <w:r w:rsidRPr="0024237B">
        <w:t xml:space="preserve"> vormen samen de pijlers van het Europese beleid inzake natuurbehoud.</w:t>
      </w:r>
      <w:r w:rsidRPr="00405F15">
        <w:rPr>
          <w:rStyle w:val="Voetnootmarkering"/>
          <w:rFonts w:ascii="Calibri" w:hAnsi="Calibri" w:cs="Calibri"/>
        </w:rPr>
        <w:footnoteReference w:id="39"/>
      </w:r>
      <w:r w:rsidRPr="0024237B">
        <w:t xml:space="preserve"> De Vogelrichtlijn heeft tot doel alle in het wild levende vogelsoorten en hun habitats in de EU te beschermen</w:t>
      </w:r>
      <w:r w:rsidRPr="00405F15">
        <w:rPr>
          <w:rStyle w:val="Voetnootmarkering"/>
          <w:rFonts w:ascii="Calibri" w:hAnsi="Calibri" w:cs="Calibri"/>
        </w:rPr>
        <w:footnoteReference w:id="40"/>
      </w:r>
      <w:r w:rsidRPr="0024237B">
        <w:t>, terwijl de Habitatrichtlijn een breder spectrum bestrijkt, gericht op het behoud van natuurlijke habitats en wilde dier- en plantensoorten met een gemeenschapsbelang</w:t>
      </w:r>
      <w:r w:rsidRPr="00405F15">
        <w:rPr>
          <w:rStyle w:val="Voetnootmarkering"/>
          <w:rFonts w:ascii="Calibri" w:hAnsi="Calibri" w:cs="Calibri"/>
        </w:rPr>
        <w:footnoteReference w:id="41"/>
      </w:r>
      <w:r w:rsidRPr="0024237B">
        <w:t xml:space="preserve"> op het Europese grondgebied van de lidstaten.</w:t>
      </w:r>
      <w:r w:rsidRPr="00405F15">
        <w:rPr>
          <w:rStyle w:val="Voetnootmarkering"/>
          <w:rFonts w:ascii="Calibri" w:hAnsi="Calibri" w:cs="Calibri"/>
        </w:rPr>
        <w:footnoteReference w:id="42"/>
      </w:r>
      <w:r w:rsidRPr="0024237B">
        <w:t xml:space="preserve"> Beide richtlijnen zijn uitgewerkt in Natura 2000, een netwerk van beschermde gebieden binnen de EU. Deze richtlijnen worden verder geconcretiseerd in nationale wetgeving, waaronder het Vlaamse Soortenbesluit</w:t>
      </w:r>
      <w:r w:rsidRPr="00405F15">
        <w:rPr>
          <w:rStyle w:val="Voetnootmarkering"/>
          <w:rFonts w:ascii="Calibri" w:hAnsi="Calibri" w:cs="Calibri"/>
        </w:rPr>
        <w:footnoteReference w:id="43"/>
      </w:r>
      <w:r w:rsidRPr="0024237B">
        <w:t xml:space="preserve"> en het Natuurdecreet.</w:t>
      </w:r>
      <w:r w:rsidRPr="00405F15">
        <w:rPr>
          <w:rStyle w:val="Voetnootmarkering"/>
          <w:rFonts w:ascii="Calibri" w:hAnsi="Calibri" w:cs="Calibri"/>
        </w:rPr>
        <w:footnoteReference w:id="44"/>
      </w:r>
      <w:r w:rsidRPr="0024237B">
        <w:t xml:space="preserve"> Hoewel deze juridische kaders essentieel zijn voor natuurbehoud, brengen ze ook complexe uitdagingen met zich mee, vooral in het licht van de hernieuwbare energietransitie. </w:t>
      </w:r>
      <w:r w:rsidRPr="00405F15">
        <w:t>Rekening houdend met de omvang en overlapping van de beschermingszones, beslaan de Vogel-</w:t>
      </w:r>
      <w:r w:rsidRPr="00405F15">
        <w:rPr>
          <w:rStyle w:val="Voetnootmarkering"/>
          <w:rFonts w:ascii="Calibri" w:hAnsi="Calibri" w:cs="Calibri"/>
        </w:rPr>
        <w:footnoteReference w:id="45"/>
      </w:r>
      <w:r w:rsidRPr="00405F15">
        <w:t xml:space="preserve"> en Habitatrichtlijngebieden</w:t>
      </w:r>
      <w:r w:rsidRPr="00405F15">
        <w:rPr>
          <w:rStyle w:val="Voetnootmarkering"/>
          <w:rFonts w:ascii="Calibri" w:hAnsi="Calibri" w:cs="Calibri"/>
        </w:rPr>
        <w:footnoteReference w:id="46"/>
      </w:r>
      <w:r w:rsidRPr="00405F15">
        <w:t xml:space="preserve"> gezamenlijk 166.187 ha van het Vlaamse grondgebied.</w:t>
      </w:r>
      <w:r w:rsidRPr="00405F15">
        <w:rPr>
          <w:rStyle w:val="Voetnootmarkering"/>
          <w:rFonts w:ascii="Calibri" w:hAnsi="Calibri" w:cs="Calibri"/>
        </w:rPr>
        <w:footnoteReference w:id="47"/>
      </w:r>
      <w:r w:rsidRPr="00405F15">
        <w:t xml:space="preserve"> Dit impliceert dat verschillende windturbineprojecten onvermijdelijk onder</w:t>
      </w:r>
      <w:r w:rsidR="007069C6">
        <w:t>worpen</w:t>
      </w:r>
      <w:r w:rsidRPr="00405F15">
        <w:t xml:space="preserve"> zijn aan de beschermingsregels van deze gebieden</w:t>
      </w:r>
      <w:r>
        <w:t xml:space="preserve">, </w:t>
      </w:r>
      <w:r w:rsidR="0079761E" w:rsidRPr="0079761E">
        <w:rPr>
          <w:lang w:val="nl-NL"/>
        </w:rPr>
        <w:t>en dat er bijgevolg frequent obstakels opduiken binnen dit thema</w:t>
      </w:r>
      <w:r>
        <w:t>.</w:t>
      </w:r>
    </w:p>
    <w:p w14:paraId="68800126" w14:textId="5C8B70F7" w:rsidR="006F47D2" w:rsidRDefault="006F47D2" w:rsidP="006F47D2">
      <w:pPr>
        <w:pStyle w:val="Body"/>
        <w:numPr>
          <w:ilvl w:val="0"/>
          <w:numId w:val="15"/>
        </w:numPr>
        <w:ind w:left="0" w:hanging="11"/>
      </w:pPr>
      <w:r w:rsidRPr="00405F15">
        <w:lastRenderedPageBreak/>
        <w:t xml:space="preserve">In de eerste plaats merken we met de verplichting tot </w:t>
      </w:r>
      <w:r w:rsidR="007069C6">
        <w:t>‘</w:t>
      </w:r>
      <w:r w:rsidRPr="00405F15">
        <w:t>passende beoordeling</w:t>
      </w:r>
      <w:r w:rsidR="007069C6">
        <w:t>’</w:t>
      </w:r>
      <w:r w:rsidRPr="00405F15">
        <w:t xml:space="preserve"> een </w:t>
      </w:r>
      <w:r w:rsidRPr="00405F15">
        <w:rPr>
          <w:b/>
          <w:bCs/>
        </w:rPr>
        <w:t>procedure</w:t>
      </w:r>
      <w:r w:rsidR="0079761E">
        <w:rPr>
          <w:b/>
          <w:bCs/>
        </w:rPr>
        <w:t>el</w:t>
      </w:r>
      <w:r w:rsidRPr="00405F15">
        <w:rPr>
          <w:b/>
          <w:bCs/>
        </w:rPr>
        <w:t xml:space="preserve"> </w:t>
      </w:r>
      <w:r w:rsidR="0079761E">
        <w:rPr>
          <w:b/>
          <w:bCs/>
        </w:rPr>
        <w:t>obstakel</w:t>
      </w:r>
      <w:r w:rsidRPr="00405F15">
        <w:rPr>
          <w:b/>
          <w:bCs/>
        </w:rPr>
        <w:t xml:space="preserve"> </w:t>
      </w:r>
      <w:r w:rsidRPr="00405F15">
        <w:t>op. Projecten die mogelijk significante effecten op Natura 2000-gebieden hebben, moeten aan een dergelijke beoordeling onderworpen worden.</w:t>
      </w:r>
      <w:r w:rsidRPr="00405F15">
        <w:rPr>
          <w:rStyle w:val="Voetnootmarkering"/>
          <w:rFonts w:ascii="Calibri" w:hAnsi="Calibri" w:cs="Calibri"/>
        </w:rPr>
        <w:footnoteReference w:id="48"/>
      </w:r>
      <w:r w:rsidRPr="00405F15">
        <w:t xml:space="preserve"> Deze procedurele verplichting, voorafgaand aan de eigenlijke vergunningprocedure, geldt ongeacht of het project zich binnen of buiten beschermde zones bevindt.</w:t>
      </w:r>
      <w:r w:rsidRPr="00405F15">
        <w:rPr>
          <w:rStyle w:val="Voetnootmarkering"/>
          <w:rFonts w:ascii="Calibri" w:hAnsi="Calibri" w:cs="Calibri"/>
        </w:rPr>
        <w:footnoteReference w:id="49"/>
      </w:r>
      <w:r w:rsidRPr="00405F15">
        <w:t xml:space="preserve"> Bijkomend stelt de Raad voor Vergunningsbetwistingen dat ook de planologische bestemming van het gebied buiten beschouwing blijft.</w:t>
      </w:r>
      <w:r w:rsidRPr="00405F15">
        <w:rPr>
          <w:rStyle w:val="Voetnootmarkering"/>
          <w:rFonts w:ascii="Calibri" w:hAnsi="Calibri" w:cs="Calibri"/>
        </w:rPr>
        <w:footnoteReference w:id="50"/>
      </w:r>
      <w:r w:rsidRPr="00405F15">
        <w:t xml:space="preserve"> </w:t>
      </w:r>
      <w:r w:rsidRPr="00140BF7">
        <w:t xml:space="preserve">In verschillende arresten </w:t>
      </w:r>
      <w:r>
        <w:t>hebben de Raad van State en</w:t>
      </w:r>
      <w:r w:rsidRPr="00140BF7">
        <w:t xml:space="preserve"> de Raad voor Vergunningsbetwistingen verduidelijkt dat het loutere feit dat een project binnen of nabij een Natura 2000-gebied wordt </w:t>
      </w:r>
      <w:r>
        <w:t>aangevraagd</w:t>
      </w:r>
      <w:r w:rsidRPr="00140BF7">
        <w:t>, reeds volstaat om de verplichting tot een passende beoordeling te activeren</w:t>
      </w:r>
      <w:r>
        <w:rPr>
          <w:rStyle w:val="Voetnootmarkering"/>
        </w:rPr>
        <w:footnoteReference w:id="51"/>
      </w:r>
      <w:r w:rsidRPr="00140BF7">
        <w:t>, ongeacht de omvang of aard van de ingreep.</w:t>
      </w:r>
      <w:r>
        <w:rPr>
          <w:rStyle w:val="Voetnootmarkering"/>
        </w:rPr>
        <w:footnoteReference w:id="52"/>
      </w:r>
      <w:r w:rsidRPr="00140BF7">
        <w:t xml:space="preserve"> Dit heeft tot gevolg dat </w:t>
      </w:r>
      <w:r>
        <w:t>ook</w:t>
      </w:r>
      <w:r w:rsidRPr="00140BF7">
        <w:t xml:space="preserve"> kleinschalige projecten onderworpen kunnen worden aan een uitgebreide ecologische evaluatie, wat door initiatiefnemers en vergunningverlenende instanties als disproportioneel </w:t>
      </w:r>
      <w:r>
        <w:t>kan worden</w:t>
      </w:r>
      <w:r w:rsidRPr="00140BF7">
        <w:t xml:space="preserve"> ervaren. </w:t>
      </w:r>
      <w:r>
        <w:t xml:space="preserve">In die zin lijken de Raad van State en de Raad voor Vergunningsbetwistingen met hun rechtspraak </w:t>
      </w:r>
      <w:r w:rsidRPr="00140BF7">
        <w:t>vast</w:t>
      </w:r>
      <w:r>
        <w:t xml:space="preserve"> te </w:t>
      </w:r>
      <w:r w:rsidRPr="00140BF7">
        <w:t xml:space="preserve">houden aan het principe dat een lichte belasting op een ecosysteem cumulatief kan bijdragen aan significante effecten, waardoor ook kleinschalige projecten </w:t>
      </w:r>
      <w:r>
        <w:t>voor</w:t>
      </w:r>
      <w:r w:rsidRPr="00140BF7">
        <w:t xml:space="preserve"> het geheel van </w:t>
      </w:r>
      <w:r>
        <w:t xml:space="preserve">hun </w:t>
      </w:r>
      <w:r w:rsidRPr="00140BF7">
        <w:t>milieueffecten moeten worden beoordeeld.</w:t>
      </w:r>
    </w:p>
    <w:p w14:paraId="11B8F191" w14:textId="2A968EB5" w:rsidR="006F47D2" w:rsidRPr="00405F15" w:rsidRDefault="006F47D2" w:rsidP="006F47D2">
      <w:pPr>
        <w:pStyle w:val="Body"/>
        <w:numPr>
          <w:ilvl w:val="0"/>
          <w:numId w:val="15"/>
        </w:numPr>
        <w:ind w:left="0" w:hanging="11"/>
      </w:pPr>
      <w:r>
        <w:t>De rechtspraak heeft zich herhaaldelijk uitgesproken over de drempel voor de verplichting om een passende beoordeling uit te voeren. Met name geldt geen vaststaande drempelwaarde</w:t>
      </w:r>
      <w:r>
        <w:rPr>
          <w:rStyle w:val="Voetnootmarkering"/>
        </w:rPr>
        <w:footnoteReference w:id="53"/>
      </w:r>
      <w:r>
        <w:t>, maar geeft elke mogelijke nadelige impact op beschermd natuurgebied aanleiding tot een verplichte passende beoordeling.</w:t>
      </w:r>
      <w:r>
        <w:rPr>
          <w:rStyle w:val="Voetnootmarkering"/>
        </w:rPr>
        <w:footnoteReference w:id="54"/>
      </w:r>
      <w:r>
        <w:t xml:space="preserve"> </w:t>
      </w:r>
      <w:r w:rsidRPr="00140BF7">
        <w:t xml:space="preserve">De Raad voor Vergunningsbetwistingen </w:t>
      </w:r>
      <w:r>
        <w:t>hanteert</w:t>
      </w:r>
      <w:r w:rsidRPr="00140BF7">
        <w:t xml:space="preserve"> hierbij een strikte interpretatie, waarbij het voorzorgsprincipe een centrale rol </w:t>
      </w:r>
      <w:r w:rsidRPr="00140BF7">
        <w:lastRenderedPageBreak/>
        <w:t>speelt.</w:t>
      </w:r>
      <w:r>
        <w:rPr>
          <w:rStyle w:val="Voetnootmarkering"/>
        </w:rPr>
        <w:footnoteReference w:id="55"/>
      </w:r>
      <w:r w:rsidRPr="00140BF7">
        <w:t xml:space="preserve"> </w:t>
      </w:r>
      <w:r w:rsidRPr="0091122F">
        <w:t>Dit leidt ertoe dat een passende beoordeling niet enkel noodzakelijk is bij evidente en grootschalige milieueffecten, maar ook wanneer een geringere impact niet volledig kan worden uitgesloten.</w:t>
      </w:r>
      <w:r>
        <w:rPr>
          <w:rStyle w:val="Voetnootmarkering"/>
        </w:rPr>
        <w:footnoteReference w:id="56"/>
      </w:r>
      <w:r w:rsidRPr="0091122F">
        <w:t xml:space="preserve"> Hiermee bevestig</w:t>
      </w:r>
      <w:r>
        <w:t>t de</w:t>
      </w:r>
      <w:r w:rsidRPr="0091122F">
        <w:t xml:space="preserve"> rechtspraak van de voornoemde bestuursrechters </w:t>
      </w:r>
      <w:r>
        <w:t xml:space="preserve">dat </w:t>
      </w:r>
      <w:r w:rsidRPr="0091122F">
        <w:t>het principe </w:t>
      </w:r>
      <w:r w:rsidR="00961F6F">
        <w:t>‘</w:t>
      </w:r>
      <w:r w:rsidRPr="0091122F">
        <w:rPr>
          <w:i/>
          <w:iCs/>
        </w:rPr>
        <w:t>in dubio pro natura</w:t>
      </w:r>
      <w:r w:rsidR="00961F6F">
        <w:rPr>
          <w:i/>
          <w:iCs/>
        </w:rPr>
        <w:t>’</w:t>
      </w:r>
      <w:r w:rsidR="00ED1C50">
        <w:rPr>
          <w:i/>
          <w:iCs/>
        </w:rPr>
        <w:t xml:space="preserve"> </w:t>
      </w:r>
      <w:r w:rsidR="00ED1C50" w:rsidRPr="00093C81">
        <w:t>wordt toegepast</w:t>
      </w:r>
      <w:r w:rsidRPr="0091122F">
        <w:t xml:space="preserve">: in geval van twijfel moet het voordeel aan </w:t>
      </w:r>
      <w:r>
        <w:t>het</w:t>
      </w:r>
      <w:r w:rsidRPr="0091122F">
        <w:t xml:space="preserve"> natuur</w:t>
      </w:r>
      <w:r>
        <w:t>behoud</w:t>
      </w:r>
      <w:r w:rsidRPr="0091122F">
        <w:t xml:space="preserve"> worden gegeven en dient een passende beoordeling in de meest ruime zin te worden toegepast.</w:t>
      </w:r>
    </w:p>
    <w:p w14:paraId="7F17FB39" w14:textId="676B58E9" w:rsidR="006F47D2" w:rsidRDefault="006F47D2" w:rsidP="006F47D2">
      <w:pPr>
        <w:pStyle w:val="Body"/>
        <w:numPr>
          <w:ilvl w:val="0"/>
          <w:numId w:val="15"/>
        </w:numPr>
        <w:ind w:left="0" w:hanging="11"/>
      </w:pPr>
      <w:r w:rsidRPr="00405F15">
        <w:t>Het betreft hier geen loutere formaliteit</w:t>
      </w:r>
      <w:r w:rsidRPr="00405F15">
        <w:rPr>
          <w:rStyle w:val="Voetnootmarkering"/>
          <w:rFonts w:ascii="Calibri" w:hAnsi="Calibri" w:cs="Calibri"/>
        </w:rPr>
        <w:footnoteReference w:id="57"/>
      </w:r>
      <w:r w:rsidRPr="00405F15">
        <w:t>; uitgebreide studies zijn essentieel om, gebaseerd op de meest actuele wetenschappelijke inzichten</w:t>
      </w:r>
      <w:r w:rsidRPr="00405F15">
        <w:rPr>
          <w:rStyle w:val="Voetnootmarkering"/>
          <w:rFonts w:ascii="Calibri" w:hAnsi="Calibri" w:cs="Calibri"/>
        </w:rPr>
        <w:footnoteReference w:id="58"/>
      </w:r>
      <w:r w:rsidRPr="00405F15">
        <w:t>, alle potentiële negatieve invloeden en effecten grondig in kaart te brengen. Dit betekent dat er een formele en grondige analyse moet worden uitgevoerd van de potentiële impact, bijvoorbeeld op vogel- en vleermuispopulaties door verstoring via slagschaduw, trillingen en geluidsgolven.</w:t>
      </w:r>
      <w:r w:rsidRPr="00405F15">
        <w:rPr>
          <w:rStyle w:val="Voetnootmarkering"/>
          <w:rFonts w:ascii="Calibri" w:hAnsi="Calibri" w:cs="Calibri"/>
        </w:rPr>
        <w:footnoteReference w:id="59"/>
      </w:r>
      <w:r w:rsidRPr="00405F15">
        <w:t xml:space="preserve"> De uitvoering van deze beoordeling is een intensief proces dat tijd en uitgebreide wetenschappelijke studies vergt. </w:t>
      </w:r>
      <w:r>
        <w:t xml:space="preserve">Dit leidt </w:t>
      </w:r>
      <w:r w:rsidRPr="00405F15">
        <w:t xml:space="preserve">tot aanzienlijke vertragingen </w:t>
      </w:r>
      <w:r w:rsidR="007069C6">
        <w:t>in</w:t>
      </w:r>
      <w:r w:rsidRPr="00405F15">
        <w:t xml:space="preserve"> vergunningsaanvragen. Daarnaast bemoeilijken ook onzekerheden in ecologische impactmodellen en een gebrek aan uniforme criteria het beoordelingsproces</w:t>
      </w:r>
      <w:r w:rsidRPr="00405F15">
        <w:rPr>
          <w:rStyle w:val="Voetnootmarkering"/>
          <w:rFonts w:ascii="Calibri" w:hAnsi="Calibri" w:cs="Calibri"/>
        </w:rPr>
        <w:footnoteReference w:id="60"/>
      </w:r>
      <w:r w:rsidRPr="00405F15">
        <w:t>, wat kan leiden tot aanvullende onderzoeksrondes en verdere vertragingen. Ter illustratie kan hier verwezen worden naar zaakn</w:t>
      </w:r>
      <w:r w:rsidR="00876C3C">
        <w:t>umme</w:t>
      </w:r>
      <w:r w:rsidRPr="00405F15">
        <w:t>r A-2122-0714 voor de Raad voor Vergunningsbetwistingen. In deze zaak bleek dat door ontbrekende en onvoldoende nauwkeurige elementen tot driemaal toe een herziening van de passende beoordeling plaats moest vinden.</w:t>
      </w:r>
      <w:r w:rsidRPr="00405F15">
        <w:rPr>
          <w:rStyle w:val="Voetnootmarkering"/>
          <w:rFonts w:ascii="Calibri" w:hAnsi="Calibri" w:cs="Calibri"/>
        </w:rPr>
        <w:footnoteReference w:id="61"/>
      </w:r>
      <w:r w:rsidRPr="00405F15">
        <w:t xml:space="preserve"> Een onderzoek dat </w:t>
      </w:r>
      <w:r w:rsidR="002D7637">
        <w:t>op zichzelf</w:t>
      </w:r>
      <w:r w:rsidRPr="00405F15">
        <w:t xml:space="preserve"> </w:t>
      </w:r>
      <w:r w:rsidR="002D7637">
        <w:t>al</w:t>
      </w:r>
      <w:r w:rsidRPr="00405F15">
        <w:t xml:space="preserve"> een zwaarwichtige procedurele verplichting vormt moest in deze zaak </w:t>
      </w:r>
      <w:r w:rsidR="002D7637">
        <w:t>zelfs</w:t>
      </w:r>
      <w:r w:rsidR="002D7637" w:rsidRPr="00405F15">
        <w:t xml:space="preserve"> </w:t>
      </w:r>
      <w:r w:rsidRPr="00405F15">
        <w:t>in drie</w:t>
      </w:r>
      <w:r w:rsidR="002D7637">
        <w:t>maal worden uitgevoerd</w:t>
      </w:r>
      <w:r w:rsidRPr="00405F15">
        <w:t xml:space="preserve">. Dit voorbeeld toont zeer duidelijk aan in hoeverre de passende </w:t>
      </w:r>
      <w:r w:rsidRPr="00405F15">
        <w:lastRenderedPageBreak/>
        <w:t>beoordeling een hardnekkige hinderpaal (in dit opzicht procedureel van aard) vormt inzake de vergunning van windturbineprojecten.</w:t>
      </w:r>
    </w:p>
    <w:p w14:paraId="560DB8B6" w14:textId="4E719442" w:rsidR="006F47D2" w:rsidRDefault="006F47D2" w:rsidP="006F47D2">
      <w:pPr>
        <w:pStyle w:val="Body"/>
        <w:numPr>
          <w:ilvl w:val="0"/>
          <w:numId w:val="15"/>
        </w:numPr>
        <w:ind w:left="0" w:hanging="11"/>
      </w:pPr>
      <w:r>
        <w:t>De vergunningsplicht voor uitbreidingen of wijzigingen aan bestaande windturbineprojecten vormt een bijzonder relevant aspect binnen het bredere kader van de passende beoordeling. Projectontwikkelaars die een bestaand windturbineproject wensen uit te breiden, kunnen mogelijk in de veronderstelling verkeren dat zij hun uitbreiding kunnen laten steunen op de oorspronkelijke vergunning en de daarbij horende passende beoordeling. Dit blijkt een misvatting te zijn. De verplichting tot een nieuwe passende beoordeling bij uitbreidingen kan niet eenvoudigweg worden omzeild.</w:t>
      </w:r>
    </w:p>
    <w:p w14:paraId="6773F375" w14:textId="77777777" w:rsidR="006F47D2" w:rsidRDefault="006F47D2" w:rsidP="006F47D2">
      <w:pPr>
        <w:pStyle w:val="Body"/>
        <w:ind w:firstLine="708"/>
      </w:pPr>
      <w:r>
        <w:t>Ter illustratie kan verwezen worden naar zaak nr. A-1920-0875 van de Raad voor Vergunningsbetwistingen.</w:t>
      </w:r>
      <w:r>
        <w:rPr>
          <w:rStyle w:val="Voetnootmarkering"/>
        </w:rPr>
        <w:footnoteReference w:id="62"/>
      </w:r>
      <w:r>
        <w:t xml:space="preserve"> Hoewel deze zaak op het eerste gezicht betrekking heeft op een ander type project – namelijk de vergunning voor de opslag van mest en groenvoeders binnen de uitbreiding van een bestaand landbouwbedrijf – biedt zij een waardevolle analogie. De Raad oordeelde dat niet enkel de opslag op zich in aanmerking moest worden genomen, maar dat ook de gevolgen van het gebruik van de opgeslagen landbouwproducten binnen de bredere landbouwactiviteit moesten worden meegewogen. De achterliggende redenering is dat alle effecten die onlosmakelijk verbonden zijn met het aangevraagde project in aanmerking moeten worden genomen bij de beoordeling.</w:t>
      </w:r>
    </w:p>
    <w:p w14:paraId="664FCB6F" w14:textId="77CD35B3" w:rsidR="006F47D2" w:rsidRDefault="006F47D2" w:rsidP="006F47D2">
      <w:pPr>
        <w:pStyle w:val="Body"/>
        <w:ind w:firstLine="708"/>
      </w:pPr>
      <w:r>
        <w:t xml:space="preserve">Deze redenering kan rechtstreeks worden toegepast op uitbreidingen van windturbineprojecten. Net zoals in de aangehaalde zaak de bemestings- en teeltactiviteiten van het bestaande landbouwbedrijf cumulatieve effecten genereren die een bredere beoordeling vergen, geldt hetzelfde voor de toevoeging van nieuwe windturbines aan een bestaand project. De </w:t>
      </w:r>
      <w:r w:rsidR="0039734A">
        <w:t xml:space="preserve">toevoeging </w:t>
      </w:r>
      <w:r>
        <w:t xml:space="preserve">van één of meerdere windturbines creëert nieuwe, cumulatieve effecten die </w:t>
      </w:r>
      <w:r w:rsidR="0039734A">
        <w:t>on</w:t>
      </w:r>
      <w:r>
        <w:t>los</w:t>
      </w:r>
      <w:r w:rsidR="0039734A">
        <w:t>makend verbonden zijn</w:t>
      </w:r>
      <w:r>
        <w:t xml:space="preserve"> </w:t>
      </w:r>
      <w:r w:rsidR="0039734A">
        <w:t>met</w:t>
      </w:r>
      <w:r>
        <w:t xml:space="preserve"> de reeds aanwezige infrastructuur. Dit impliceert dat dergelijke uitbreidingen automatisch een nieuwe passende beoordeling vereisen. Dit volgt ook ondubbelzinnig uit een eerdere arrest van de Raad voor </w:t>
      </w:r>
      <w:r>
        <w:lastRenderedPageBreak/>
        <w:t>Vergunningsbetwistingen in 2016, waarbij de Raad oordeelde dat het niet onderzoeken en beoordelen van de cumulatieve effecten van een vergunde windturbine samen met drie overige (reeds vergunde) windturbines leidt tot een gebrekkige passende beoordeling.</w:t>
      </w:r>
      <w:r>
        <w:rPr>
          <w:rStyle w:val="Voetnootmarkering"/>
        </w:rPr>
        <w:footnoteReference w:id="63"/>
      </w:r>
    </w:p>
    <w:p w14:paraId="1E3C4BCD" w14:textId="554DB593" w:rsidR="006F47D2" w:rsidRDefault="006F47D2" w:rsidP="006F47D2">
      <w:pPr>
        <w:pStyle w:val="Body"/>
        <w:numPr>
          <w:ilvl w:val="0"/>
          <w:numId w:val="15"/>
        </w:numPr>
        <w:ind w:left="0" w:hanging="11"/>
      </w:pPr>
      <w:r>
        <w:t>De rechtspraak lijkt duidelijk te bevestigen dat de impact van een project niet als statisch kan worden beschouwd. Gewijzigde omstandigheden, nieuwe wetenschappelijke inzichten en het cumulatieve karakter van effecten maken het noodzakelijk om een hernieuwde beoordeling uit te voeren bij elke substantiële wijziging of uitbreiding. De kern van dit betoog is dan ook dat de rechterlijke instanties ondubbelzinnig oordelen dat uitbreidingen van bestaande windturbineprojecten niet kunnen ontsnappen aan de verplichting tot een passende beoordeling, ongeacht de omvang of aard van de uitbreiding.</w:t>
      </w:r>
    </w:p>
    <w:p w14:paraId="0A34AF39" w14:textId="2F573FB6" w:rsidR="006F47D2" w:rsidRPr="00405F15" w:rsidRDefault="006F47D2" w:rsidP="006F47D2">
      <w:pPr>
        <w:pStyle w:val="Body"/>
        <w:numPr>
          <w:ilvl w:val="0"/>
          <w:numId w:val="15"/>
        </w:numPr>
        <w:ind w:left="0" w:hanging="11"/>
      </w:pPr>
      <w:r>
        <w:t>We kunnen concluderen dat waar</w:t>
      </w:r>
      <w:r w:rsidRPr="00E539B2">
        <w:t xml:space="preserve"> sommige actoren de verplichting tot een passende beoordeling als een hinderpaal zien, dit door de rechterlijke instanties eerder </w:t>
      </w:r>
      <w:r>
        <w:t xml:space="preserve">wordt </w:t>
      </w:r>
      <w:r w:rsidRPr="00E539B2">
        <w:t>beschouwd als een noodzakelijk instrument ter bescherming van kwetsbare natuurgebieden.</w:t>
      </w:r>
      <w:r>
        <w:t xml:space="preserve"> </w:t>
      </w:r>
      <w:r w:rsidRPr="00A44668">
        <w:t>De rechtspraak laat er geen misverstand over bestaan: een passende beoordeling is geen formaliteit, maar een fundamentele verplichting binnen het vergunningsproces. </w:t>
      </w:r>
      <w:r w:rsidRPr="00A44668">
        <w:rPr>
          <w:i/>
          <w:iCs/>
        </w:rPr>
        <w:t>You can run, but you can’t hide</w:t>
      </w:r>
      <w:r w:rsidRPr="00A44668">
        <w:t xml:space="preserve"> – </w:t>
      </w:r>
      <w:r w:rsidR="002D7637">
        <w:t xml:space="preserve">het </w:t>
      </w:r>
      <w:r w:rsidRPr="00A44668">
        <w:t>ont</w:t>
      </w:r>
      <w:r w:rsidR="002D7637">
        <w:t>lopen</w:t>
      </w:r>
      <w:r w:rsidRPr="00A44668">
        <w:t xml:space="preserve"> of minimaliseren van deze verplichting wordt door de rechter steevast doorprikt.</w:t>
      </w:r>
    </w:p>
    <w:p w14:paraId="2232D694" w14:textId="4DDA1081" w:rsidR="006F47D2" w:rsidRPr="00405F15" w:rsidRDefault="006F47D2" w:rsidP="006F47D2">
      <w:pPr>
        <w:pStyle w:val="Body"/>
        <w:numPr>
          <w:ilvl w:val="0"/>
          <w:numId w:val="15"/>
        </w:numPr>
        <w:ind w:left="0" w:hanging="11"/>
      </w:pPr>
      <w:r w:rsidRPr="00405F15">
        <w:t xml:space="preserve">Naast deze procedurele impact is er de </w:t>
      </w:r>
      <w:r w:rsidRPr="00405F15">
        <w:rPr>
          <w:b/>
          <w:bCs/>
        </w:rPr>
        <w:t>inhoudelijke dimensie</w:t>
      </w:r>
      <w:r w:rsidRPr="00405F15">
        <w:t xml:space="preserve"> van de passende beoordeling, die zich uit in de striktheid waarmee deze wordt uitgevoerd en de gevolgen bij een negatieve uitkomst. De beoordeling mag niet louter een formaliteit zijn, maar moet steunen op de meest actuele wetenschappelijke inzichten. Dit sluit aan bij het voorzorgsbeginsel, dat als leidend </w:t>
      </w:r>
      <w:r w:rsidR="00ED1C50">
        <w:t xml:space="preserve">beginsel </w:t>
      </w:r>
      <w:r w:rsidRPr="00405F15">
        <w:t>geldt binnen het Europese milieubeleid.</w:t>
      </w:r>
      <w:r w:rsidRPr="00405F15">
        <w:rPr>
          <w:rStyle w:val="Voetnootmarkering"/>
          <w:rFonts w:ascii="Calibri" w:hAnsi="Calibri" w:cs="Calibri"/>
        </w:rPr>
        <w:footnoteReference w:id="64"/>
      </w:r>
      <w:r w:rsidRPr="00405F15">
        <w:t xml:space="preserve"> Dit beginsel vereist dat bij de minste twijfel over mogelijke schadelijke effecten op beschermingszones door een project niet mag worden overgegaan tot vergunning, of dat minstens een aantal voorwaarden worden geformuleerd om deze effecten tegen te gaan. Deze strenge toepassing van het voorzorgsbeginsel werd in de context van de Habitatrichtlijn </w:t>
      </w:r>
      <w:r w:rsidRPr="00405F15">
        <w:lastRenderedPageBreak/>
        <w:t>ook bevestigd door het Europese Hof van Justitie.</w:t>
      </w:r>
      <w:r w:rsidRPr="00405F15">
        <w:rPr>
          <w:rStyle w:val="Voetnootmarkering"/>
          <w:rFonts w:ascii="Calibri" w:hAnsi="Calibri" w:cs="Calibri"/>
        </w:rPr>
        <w:footnoteReference w:id="65"/>
      </w:r>
      <w:r w:rsidRPr="00405F15">
        <w:t xml:space="preserve"> Een gebrek aan volledige wetenschappelijke zekerheid kan er in die zin toe leiden dat een vergunning </w:t>
      </w:r>
      <w:r w:rsidR="006E02A1">
        <w:t>niet wordt verleend</w:t>
      </w:r>
      <w:r w:rsidRPr="00405F15">
        <w:t>.</w:t>
      </w:r>
    </w:p>
    <w:p w14:paraId="135EC070" w14:textId="1FB6B1FC" w:rsidR="006F47D2" w:rsidRPr="00405F15" w:rsidRDefault="006F47D2" w:rsidP="006F47D2">
      <w:pPr>
        <w:pStyle w:val="Body"/>
        <w:numPr>
          <w:ilvl w:val="0"/>
          <w:numId w:val="15"/>
        </w:numPr>
        <w:ind w:left="0" w:hanging="11"/>
      </w:pPr>
      <w:r w:rsidRPr="00405F15">
        <w:t>De Belgische Raad van State en de Vlaamse Raad voor Vergunningsbetwistingen hanteren een strikte interpretatie van de verplichting tot passende beoordeling. Enkel wanneer wetenschappelijk gezien en gesteund op objectieve gegevens redelijkerwijs geen twijfel bestaat over het uitblijven van schadelijke gevolgen, kan worden afgezien van een passende beoordeling.</w:t>
      </w:r>
      <w:r w:rsidRPr="00405F15">
        <w:rPr>
          <w:rStyle w:val="Voetnootmarkering"/>
          <w:rFonts w:ascii="Calibri" w:hAnsi="Calibri" w:cs="Calibri"/>
        </w:rPr>
        <w:footnoteReference w:id="66"/>
      </w:r>
      <w:r w:rsidRPr="00405F15">
        <w:t xml:space="preserve"> De Nederlandse Raad van State voegt hier</w:t>
      </w:r>
      <w:r w:rsidR="004C0091">
        <w:t>aan</w:t>
      </w:r>
      <w:r w:rsidRPr="00405F15">
        <w:t xml:space="preserve"> met </w:t>
      </w:r>
      <w:r w:rsidR="007C4B5D">
        <w:t>zijn</w:t>
      </w:r>
      <w:r w:rsidRPr="00405F15">
        <w:t xml:space="preserve"> rechtspraak toe dat per specifieke beschermingszone en -soort een afzonderlijke afweging moet plaatsvinden over de vraag of de beoordeling voldoende is uitgevoerd.</w:t>
      </w:r>
      <w:r w:rsidRPr="00405F15">
        <w:rPr>
          <w:rStyle w:val="Voetnootmarkering"/>
          <w:rFonts w:ascii="Calibri" w:hAnsi="Calibri" w:cs="Calibri"/>
        </w:rPr>
        <w:footnoteReference w:id="67"/>
      </w:r>
      <w:r w:rsidRPr="00405F15">
        <w:t xml:space="preserve"> Ook de Raad voor Vergunningsbetwistingen oordeelt dat het vergeten opnemen of onderschatten van een individuele (vogel)soort leidt tot een vormgebrek in de passende beoordeling.</w:t>
      </w:r>
      <w:r w:rsidRPr="00405F15">
        <w:rPr>
          <w:rStyle w:val="Voetnootmarkering"/>
          <w:rFonts w:ascii="Calibri" w:hAnsi="Calibri" w:cs="Calibri"/>
        </w:rPr>
        <w:footnoteReference w:id="68"/>
      </w:r>
      <w:r w:rsidRPr="00405F15">
        <w:t xml:space="preserve"> In hetzelfde arrest haalt de Raad ook aan dat niet enkel lokale populaties, maar bijvoorbeeld ook de trekroutes van migrerende vogelsoorten, een rol spelen inzake de passende beoordeling.</w:t>
      </w:r>
      <w:r w:rsidRPr="00405F15">
        <w:rPr>
          <w:rStyle w:val="Voetnootmarkering"/>
          <w:rFonts w:ascii="Calibri" w:hAnsi="Calibri" w:cs="Calibri"/>
        </w:rPr>
        <w:footnoteReference w:id="69"/>
      </w:r>
      <w:r w:rsidRPr="00405F15">
        <w:t xml:space="preserve"> </w:t>
      </w:r>
    </w:p>
    <w:p w14:paraId="350945E8" w14:textId="77A71EFF" w:rsidR="006F47D2" w:rsidRDefault="006F47D2" w:rsidP="006F47D2">
      <w:pPr>
        <w:pStyle w:val="Body"/>
        <w:numPr>
          <w:ilvl w:val="0"/>
          <w:numId w:val="15"/>
        </w:numPr>
        <w:ind w:left="0" w:hanging="11"/>
      </w:pPr>
      <w:r w:rsidRPr="00405F15">
        <w:t xml:space="preserve">Ook het </w:t>
      </w:r>
      <w:r>
        <w:t>vermijdbaar</w:t>
      </w:r>
      <w:r w:rsidRPr="00405F15">
        <w:t xml:space="preserve"> karakter van mogelijke schade wordt regelmatig aangehaald in deze context. Zo kan de </w:t>
      </w:r>
      <w:r w:rsidR="00745886">
        <w:t>plaatsing</w:t>
      </w:r>
      <w:r w:rsidR="00745886" w:rsidRPr="00405F15">
        <w:t xml:space="preserve"> </w:t>
      </w:r>
      <w:r w:rsidRPr="00405F15">
        <w:t>van windturbines bijvoorbeeld gepaard gaan met de ontbossing van bepaalde gebieden. Op die manier zal een dergelijk project mogelijk een impact hebben op naburige beschermingsgebieden. In dat geval moet ook de mate van vermijdbaarheid van de schade meegenomen worden in een passende beoordeling.</w:t>
      </w:r>
      <w:r w:rsidRPr="00405F15">
        <w:rPr>
          <w:rStyle w:val="Voetnootmarkering"/>
          <w:rFonts w:ascii="Calibri" w:hAnsi="Calibri" w:cs="Calibri"/>
        </w:rPr>
        <w:footnoteReference w:id="70"/>
      </w:r>
      <w:r w:rsidRPr="00405F15">
        <w:t xml:space="preserve"> Indien de schade door minieme aanpassingen van het project vermijdbaar blijkt te zijn, kan alsnog tot vergunningverlening worden overgegaan mits naleving van voorwaarden zoals ontbossingsbeperkingen. De Raad voor Vergunningsbetwistingen bevestigt in deze context de </w:t>
      </w:r>
      <w:r w:rsidRPr="00405F15">
        <w:lastRenderedPageBreak/>
        <w:t>plicht die ook gelezen kan worden in artikel 16, §1 van het Natuurdecreet.</w:t>
      </w:r>
      <w:r w:rsidRPr="00405F15">
        <w:rPr>
          <w:rStyle w:val="Voetnootmarkering"/>
          <w:rFonts w:ascii="Calibri" w:hAnsi="Calibri" w:cs="Calibri"/>
        </w:rPr>
        <w:footnoteReference w:id="71"/>
      </w:r>
      <w:r w:rsidRPr="00405F15">
        <w:t xml:space="preserve"> Zo oordeelde ook de Raad van State in haar reschtspraak dat, hoewel werd aangetoond dat de impact op avifauna niet significant was, de passende beoordeling en de daaropvolgende vergunningverlening van een windturbine geen rekening hield</w:t>
      </w:r>
      <w:r w:rsidR="002257E4">
        <w:t>en</w:t>
      </w:r>
      <w:r w:rsidRPr="00405F15">
        <w:t xml:space="preserve"> met mogelijke vermijdbare schade.</w:t>
      </w:r>
      <w:r w:rsidRPr="00405F15">
        <w:rPr>
          <w:rStyle w:val="Voetnootmarkering"/>
          <w:rFonts w:ascii="Calibri" w:hAnsi="Calibri" w:cs="Calibri"/>
        </w:rPr>
        <w:footnoteReference w:id="72"/>
      </w:r>
      <w:r w:rsidRPr="00405F15">
        <w:t xml:space="preserve"> </w:t>
      </w:r>
    </w:p>
    <w:p w14:paraId="3FCB981E" w14:textId="69867890" w:rsidR="006F47D2" w:rsidRDefault="006F47D2" w:rsidP="006F47D2">
      <w:pPr>
        <w:pStyle w:val="Body"/>
        <w:ind w:firstLine="708"/>
      </w:pPr>
      <w:r w:rsidRPr="00405F15">
        <w:t>De Raad benadrukt bovendien een fundamenteel aspect in deze context: Bij de natuurtoets – en ook bij de verplichting van de vergunningverlenende overheid om een vergunning te weigeren of deze aan voorwaarden te verbinden om vermijdbare schade uit te sluiten</w:t>
      </w:r>
      <w:r w:rsidRPr="00405F15">
        <w:rPr>
          <w:rStyle w:val="Voetnootmarkering"/>
          <w:rFonts w:ascii="Calibri" w:hAnsi="Calibri" w:cs="Calibri"/>
        </w:rPr>
        <w:footnoteReference w:id="73"/>
      </w:r>
      <w:r w:rsidRPr="00405F15">
        <w:t xml:space="preserve"> – geldt </w:t>
      </w:r>
      <w:r w:rsidR="002257E4">
        <w:t xml:space="preserve">er </w:t>
      </w:r>
      <w:r w:rsidRPr="00405F15">
        <w:t>geen schadedrempel.</w:t>
      </w:r>
      <w:r w:rsidRPr="00405F15">
        <w:rPr>
          <w:rStyle w:val="Voetnootmarkering"/>
          <w:rFonts w:ascii="Calibri" w:hAnsi="Calibri" w:cs="Calibri"/>
        </w:rPr>
        <w:footnoteReference w:id="74"/>
      </w:r>
      <w:r w:rsidRPr="00405F15">
        <w:t xml:space="preserve"> Dit betekent dat alle vormen van schade in aanmerking moeten worden genomen, zonder een ondergrens of drempelwaarde. De Raad maakt daarmee duidelijk dat het ontbreken van een schadedrempel niet alleen betrekking heeft op minimale verstoringen of onzekerheden over negatieve effecten, maar ook op vermijdbare schade. We moeten aldus besluiten dat ook de vermijdbaarheid van potentiële schade, en desgevallend ook de vereiste voorwaarden</w:t>
      </w:r>
      <w:r>
        <w:rPr>
          <w:rStyle w:val="Voetnootmarkering"/>
        </w:rPr>
        <w:footnoteReference w:id="75"/>
      </w:r>
      <w:r w:rsidRPr="00405F15">
        <w:t xml:space="preserve"> en/of aanpassingen van het in te pla</w:t>
      </w:r>
      <w:r w:rsidR="002257E4">
        <w:t>a</w:t>
      </w:r>
      <w:r w:rsidRPr="00405F15">
        <w:t>t</w:t>
      </w:r>
      <w:r w:rsidR="002257E4">
        <w:t>s</w:t>
      </w:r>
      <w:r w:rsidRPr="00405F15">
        <w:t>en project, onderdeel moet</w:t>
      </w:r>
      <w:r w:rsidR="00BC1C9B">
        <w:t>en</w:t>
      </w:r>
      <w:r w:rsidRPr="00405F15">
        <w:t xml:space="preserve"> uitmaken van de passende beoordeling en steeds in het achterhoofd moet worden gehouden door de vergunningev</w:t>
      </w:r>
      <w:r w:rsidR="002E626A">
        <w:t>e</w:t>
      </w:r>
      <w:r w:rsidRPr="00405F15">
        <w:t>rlenende overheid wanneer zij de vereiste voorwaarden uitwerkt. De overwegingen binnen voorgaande randnummers tonen alvast aan dat de inhoudelijke rigeur van de uit te voeren beoordelingen aanzienlijk is en eerder tot een negatieve dan een positieve uitkomst kan leiden, met als gevolg een weigeringsbeslissing door de vergunningverlenende overheid.</w:t>
      </w:r>
    </w:p>
    <w:p w14:paraId="009791A4" w14:textId="77777777" w:rsidR="006F47D2" w:rsidRPr="00D66B29" w:rsidRDefault="006F47D2" w:rsidP="006F47D2">
      <w:pPr>
        <w:pStyle w:val="Body"/>
        <w:numPr>
          <w:ilvl w:val="0"/>
          <w:numId w:val="15"/>
        </w:numPr>
        <w:ind w:left="0" w:hanging="11"/>
        <w:rPr>
          <w:lang w:eastAsia="nl-NL"/>
        </w:rPr>
      </w:pPr>
      <w:r w:rsidRPr="00D66B29">
        <w:rPr>
          <w:lang w:eastAsia="nl-NL"/>
        </w:rPr>
        <w:t xml:space="preserve">Ondanks de striktheid waarmee passende beoordelingen worden geëvalueerd, toont de rechtspraak ook een zekere flexibiliteit door het belang te erkennen van mitigerende en </w:t>
      </w:r>
      <w:r w:rsidRPr="00D66B29">
        <w:rPr>
          <w:lang w:eastAsia="nl-NL"/>
        </w:rPr>
        <w:lastRenderedPageBreak/>
        <w:t>compenserende maatregelen.</w:t>
      </w:r>
      <w:r>
        <w:rPr>
          <w:rStyle w:val="Voetnootmarkering"/>
          <w:lang w:eastAsia="nl-NL"/>
        </w:rPr>
        <w:footnoteReference w:id="76"/>
      </w:r>
      <w:r w:rsidRPr="00D66B29">
        <w:rPr>
          <w:lang w:eastAsia="nl-NL"/>
        </w:rPr>
        <w:t xml:space="preserve"> </w:t>
      </w:r>
      <w:r>
        <w:rPr>
          <w:lang w:eastAsia="nl-NL"/>
        </w:rPr>
        <w:t>We kunnen zelfs vaststellen dat een grote belangstelling bestaat voor deze maatregelen. Zo heeft d</w:t>
      </w:r>
      <w:r w:rsidRPr="00D66B29">
        <w:rPr>
          <w:lang w:eastAsia="nl-NL"/>
        </w:rPr>
        <w:t>e Raad voor Vergunningsbetwistingen geoordeeld dat het feit dat een vergunningsplichtige ingreep schade aan natuurwaarden kan veroorzaken, niet automatisch betekent dat de vergunning moet worden geweigerd.</w:t>
      </w:r>
      <w:r>
        <w:rPr>
          <w:rStyle w:val="Voetnootmarkering"/>
          <w:lang w:eastAsia="nl-NL"/>
        </w:rPr>
        <w:footnoteReference w:id="77"/>
      </w:r>
      <w:r w:rsidRPr="00D66B29">
        <w:rPr>
          <w:lang w:eastAsia="nl-NL"/>
        </w:rPr>
        <w:t xml:space="preserve"> De Raad van State stelt in dezelfde lijn dat een vergunning enkel dient te worden geweigerd wanneer het project vermijdbare schade veroorzaakt.</w:t>
      </w:r>
      <w:r>
        <w:rPr>
          <w:rStyle w:val="Voetnootmarkering"/>
          <w:lang w:eastAsia="nl-NL"/>
        </w:rPr>
        <w:footnoteReference w:id="78"/>
      </w:r>
      <w:r w:rsidRPr="00D66B29">
        <w:rPr>
          <w:lang w:eastAsia="nl-NL"/>
        </w:rPr>
        <w:t xml:space="preserve"> Dit impliceert dat de vergunningverlenende overheid niet per definitie een vergunning moet afwijzen bij het vaststellen van mogelijke natuurschade, maar kan opteren voor het opleggen van mitigerende of compenserende maatregelen om de impact te minimaliseren.</w:t>
      </w:r>
      <w:r>
        <w:rPr>
          <w:rStyle w:val="Voetnootmarkering"/>
          <w:lang w:eastAsia="nl-NL"/>
        </w:rPr>
        <w:footnoteReference w:id="79"/>
      </w:r>
      <w:r w:rsidRPr="001643EB">
        <w:rPr>
          <w:lang w:eastAsia="nl-NL"/>
        </w:rPr>
        <w:t xml:space="preserve"> </w:t>
      </w:r>
      <w:r w:rsidRPr="00D66B29">
        <w:rPr>
          <w:lang w:eastAsia="nl-NL"/>
        </w:rPr>
        <w:t>In eerste instantie lijkt dit een relativering van de strenge vereisten, maar bij nadere beschouwing blijkt dat ook deze maatregelen onderworpen zijn aan een rigoureuze toetsing.</w:t>
      </w:r>
    </w:p>
    <w:p w14:paraId="51BAF2C8" w14:textId="23C4C2CA" w:rsidR="006F47D2" w:rsidRPr="00D66B29" w:rsidRDefault="006F47D2" w:rsidP="006F47D2">
      <w:pPr>
        <w:pStyle w:val="Body"/>
        <w:numPr>
          <w:ilvl w:val="0"/>
          <w:numId w:val="15"/>
        </w:numPr>
        <w:ind w:left="0" w:hanging="11"/>
        <w:rPr>
          <w:lang w:eastAsia="nl-NL"/>
        </w:rPr>
      </w:pPr>
      <w:r w:rsidRPr="00D66B29">
        <w:rPr>
          <w:lang w:eastAsia="nl-NL"/>
        </w:rPr>
        <w:t xml:space="preserve">Belangrijk daarbij is dat de vergunningverlenende overheid over een ruime discretionaire bevoegdheid beschikt bij het </w:t>
      </w:r>
      <w:r>
        <w:rPr>
          <w:lang w:eastAsia="nl-NL"/>
        </w:rPr>
        <w:t xml:space="preserve">beoordelen en het </w:t>
      </w:r>
      <w:r w:rsidRPr="00D66B29">
        <w:rPr>
          <w:lang w:eastAsia="nl-NL"/>
        </w:rPr>
        <w:t>opleggen van dergelijke maatregelen.</w:t>
      </w:r>
      <w:r>
        <w:rPr>
          <w:rStyle w:val="Voetnootmarkering"/>
          <w:lang w:eastAsia="nl-NL"/>
        </w:rPr>
        <w:footnoteReference w:id="80"/>
      </w:r>
      <w:r w:rsidRPr="00D66B29">
        <w:rPr>
          <w:lang w:eastAsia="nl-NL"/>
        </w:rPr>
        <w:t xml:space="preserve"> Dit heeft geleid tot een uitgebreide rechtspraak over de toepassing ervan. Zo oordeelde de Raad van State dat het louter achteraf opleggen van monitoringsverplichtingen om schade te beperken – bijvoorbeeld het stilleggen van windturbines na het vaststellen van vogelsterfte – niet in overeenstemming is met het voorzorgsprincipe zoals vastgelegd in artikel 16 van het Natuurdecreet.</w:t>
      </w:r>
      <w:r>
        <w:rPr>
          <w:rStyle w:val="Voetnootmarkering"/>
          <w:lang w:eastAsia="nl-NL"/>
        </w:rPr>
        <w:footnoteReference w:id="81"/>
      </w:r>
      <w:r w:rsidRPr="00D66B29">
        <w:rPr>
          <w:lang w:eastAsia="nl-NL"/>
        </w:rPr>
        <w:t xml:space="preserve"> De Raad stelt </w:t>
      </w:r>
      <w:r>
        <w:rPr>
          <w:lang w:eastAsia="nl-NL"/>
        </w:rPr>
        <w:t xml:space="preserve">in haar arrest ook </w:t>
      </w:r>
      <w:r w:rsidRPr="00D66B29">
        <w:rPr>
          <w:lang w:eastAsia="nl-NL"/>
        </w:rPr>
        <w:t xml:space="preserve">dat mitigerende maatregelen vooraf moeten worden vastgelegd en niet afhankelijk mogen zijn van de exploitant of van het overschrijden van een bepaalde drempel. Ook de Raad voor Vergunningsbetwistingen heeft verduidelijkt dat, wanneer monitoring </w:t>
      </w:r>
      <w:r w:rsidR="00F100F3">
        <w:rPr>
          <w:lang w:eastAsia="nl-NL"/>
        </w:rPr>
        <w:t>daadwerkelijk</w:t>
      </w:r>
      <w:r w:rsidR="00F100F3" w:rsidRPr="00D66B29">
        <w:rPr>
          <w:lang w:eastAsia="nl-NL"/>
        </w:rPr>
        <w:t xml:space="preserve"> </w:t>
      </w:r>
      <w:r w:rsidRPr="00D66B29">
        <w:rPr>
          <w:lang w:eastAsia="nl-NL"/>
        </w:rPr>
        <w:t>een geschikt middel is om schade te voorkomen, de naleving van een monitoringplan expliciet als vergunningsvoorwaarde moet worden opgenomen.</w:t>
      </w:r>
      <w:r>
        <w:rPr>
          <w:rStyle w:val="Voetnootmarkering"/>
          <w:lang w:eastAsia="nl-NL"/>
        </w:rPr>
        <w:footnoteReference w:id="82"/>
      </w:r>
      <w:r w:rsidRPr="00D66B29">
        <w:rPr>
          <w:lang w:eastAsia="nl-NL"/>
        </w:rPr>
        <w:t xml:space="preserve"> Dit bevestigt dat de rechterlijke instanties de toepassing van mitigerende en compenserende maatregelen niet als een versoepeling beschouwen, maar </w:t>
      </w:r>
      <w:r w:rsidRPr="00D66B29">
        <w:rPr>
          <w:lang w:eastAsia="nl-NL"/>
        </w:rPr>
        <w:lastRenderedPageBreak/>
        <w:t>integendeel als een verplichting die met evenveel precisie en wetenschappelijke onderbouwing moet worden uitgewerkt als de passende beoordeling zelf.</w:t>
      </w:r>
    </w:p>
    <w:p w14:paraId="0C00B0F6" w14:textId="2390DE68" w:rsidR="006F47D2" w:rsidRPr="00405F15" w:rsidRDefault="006F47D2" w:rsidP="006F47D2">
      <w:pPr>
        <w:pStyle w:val="Body"/>
        <w:numPr>
          <w:ilvl w:val="0"/>
          <w:numId w:val="15"/>
        </w:numPr>
        <w:ind w:left="0" w:hanging="11"/>
        <w:rPr>
          <w:lang w:eastAsia="nl-NL"/>
        </w:rPr>
      </w:pPr>
      <w:r w:rsidRPr="00D66B29">
        <w:rPr>
          <w:lang w:eastAsia="nl-NL"/>
        </w:rPr>
        <w:t xml:space="preserve">Hoewel de mogelijkheid tot mitigerende en compenserende maatregelen in sommige gevallen een alternatief kan bieden voor een negatieve beoordeling, blijkt uit de rechtspraak dat de rigeur van de passende beoordeling hierdoor niet wordt afgezwakt. De strenge vereisten blijven onverkort van kracht, en rechterlijke instanties stellen hoge eisen aan zowel de beoordeling zelf als aan de maatregelen die een vergunningsplichtige kan treffen. Dit heeft als gevolg dat een negatieve passende beoordeling eerder de regel dan de uitzondering </w:t>
      </w:r>
      <w:r>
        <w:rPr>
          <w:lang w:eastAsia="nl-NL"/>
        </w:rPr>
        <w:t>zal zijn</w:t>
      </w:r>
      <w:r w:rsidRPr="00D66B29">
        <w:rPr>
          <w:lang w:eastAsia="nl-NL"/>
        </w:rPr>
        <w:t xml:space="preserve">, tenzij op overtuigende wijze </w:t>
      </w:r>
      <w:r>
        <w:rPr>
          <w:lang w:eastAsia="nl-NL"/>
        </w:rPr>
        <w:t xml:space="preserve">en op grond van objectieve gegevens </w:t>
      </w:r>
      <w:r w:rsidRPr="00D66B29">
        <w:rPr>
          <w:lang w:eastAsia="nl-NL"/>
        </w:rPr>
        <w:t>wordt aangetoond dat mitigerende of compenserende maatregelen effectief zijn.</w:t>
      </w:r>
    </w:p>
    <w:p w14:paraId="11918531" w14:textId="459B2E31" w:rsidR="006F47D2" w:rsidRPr="00405F15" w:rsidRDefault="006F47D2" w:rsidP="006F47D2">
      <w:pPr>
        <w:pStyle w:val="Body"/>
        <w:numPr>
          <w:ilvl w:val="0"/>
          <w:numId w:val="15"/>
        </w:numPr>
        <w:ind w:left="0" w:hanging="11"/>
      </w:pPr>
      <w:r w:rsidRPr="00405F15">
        <w:t>Een bijkomend obstakel binnen het materieel natuurbeschermingsrecht is het gebrek aan een duidelijke aanpak voor cumulatieve effecten. Windturbineparken worden vaak in clusters ontwikkeld</w:t>
      </w:r>
      <w:r w:rsidRPr="00405F15">
        <w:rPr>
          <w:rStyle w:val="Voetnootmarkering"/>
          <w:rFonts w:ascii="Calibri" w:hAnsi="Calibri" w:cs="Calibri"/>
        </w:rPr>
        <w:footnoteReference w:id="83"/>
      </w:r>
      <w:r w:rsidRPr="00405F15">
        <w:t>, waardoor de gezamenlijke impact op bepaalde soorten, zoals vleermuizen en vogels, aanzienlijk kan zijn. Indien beoordelingen deze cumulatieve effecten niet meenemen, bestaat het risico dat afzonderlijke projecten buiten de beoordelingsplicht vallen vanwege hun beperkte individuele impact, terwijl hun gezamenlijke effect significant is.</w:t>
      </w:r>
      <w:r w:rsidRPr="00405F15">
        <w:rPr>
          <w:rStyle w:val="Voetnootmarkering"/>
          <w:rFonts w:ascii="Calibri" w:hAnsi="Calibri" w:cs="Calibri"/>
        </w:rPr>
        <w:footnoteReference w:id="84"/>
      </w:r>
      <w:r w:rsidRPr="00405F15">
        <w:t xml:space="preserve"> De Habitatrichtlijn vereist daarom dat ook deze cumulatieve effecten worden meegenomen in de passende beoordeling.</w:t>
      </w:r>
      <w:r w:rsidRPr="00405F15">
        <w:rPr>
          <w:rStyle w:val="Voetnootmarkering"/>
          <w:rFonts w:ascii="Calibri" w:hAnsi="Calibri" w:cs="Calibri"/>
        </w:rPr>
        <w:footnoteReference w:id="85"/>
      </w:r>
      <w:r w:rsidRPr="00405F15">
        <w:t xml:space="preserve"> </w:t>
      </w:r>
      <w:r w:rsidRPr="00B5750E">
        <w:rPr>
          <w:szCs w:val="24"/>
        </w:rPr>
        <w:t xml:space="preserve">Het lijkt een logisch gevolg dat reeds bestaande windturbineprojecten het geografische toepassingsgebied van de regelgeving inzake natuur- en soortenbescherming verbreden, wat </w:t>
      </w:r>
      <w:r>
        <w:rPr>
          <w:szCs w:val="24"/>
        </w:rPr>
        <w:t xml:space="preserve">ook </w:t>
      </w:r>
      <w:r w:rsidRPr="00B5750E">
        <w:rPr>
          <w:szCs w:val="24"/>
        </w:rPr>
        <w:t>de frequentie van de daarmee gepaard gaande juridische obstakels vergroot.</w:t>
      </w:r>
      <w:r>
        <w:rPr>
          <w:szCs w:val="24"/>
        </w:rPr>
        <w:t xml:space="preserve"> </w:t>
      </w:r>
      <w:r>
        <w:t>B</w:t>
      </w:r>
      <w:r w:rsidRPr="00405F15">
        <w:t xml:space="preserve">ovenvermelde wetenschappelijke onzekerheden in </w:t>
      </w:r>
      <w:r w:rsidRPr="00405F15">
        <w:lastRenderedPageBreak/>
        <w:t>impactmodellen maken ook deze beoordeling extra complex.</w:t>
      </w:r>
      <w:r w:rsidRPr="00405F15">
        <w:rPr>
          <w:rStyle w:val="Voetnootmarkering"/>
          <w:rFonts w:ascii="Calibri" w:hAnsi="Calibri" w:cs="Calibri"/>
        </w:rPr>
        <w:footnoteReference w:id="86"/>
      </w:r>
      <w:r w:rsidRPr="00405F15">
        <w:t xml:space="preserve"> Daarbij moeten we vaststellen dat de rechtspraak van de Belgische Raad van State door de tijd heen een steeds strikter toezicht hanteert op uitgevoerde passende beoordelingen</w:t>
      </w:r>
      <w:r w:rsidR="00093C81">
        <w:t>. Z</w:t>
      </w:r>
      <w:r w:rsidRPr="00405F15">
        <w:t xml:space="preserve">o </w:t>
      </w:r>
      <w:r w:rsidR="006529A9">
        <w:t>o</w:t>
      </w:r>
      <w:r w:rsidRPr="00405F15">
        <w:t xml:space="preserve">ordeelt de Raad in </w:t>
      </w:r>
      <w:r w:rsidR="00A43AD5">
        <w:t>zijn</w:t>
      </w:r>
      <w:r w:rsidR="00A43AD5" w:rsidRPr="00405F15">
        <w:t xml:space="preserve"> </w:t>
      </w:r>
      <w:r w:rsidRPr="00405F15">
        <w:t xml:space="preserve">arrest van 24 januari 2011 dat er geen </w:t>
      </w:r>
      <w:r w:rsidRPr="00405F15">
        <w:rPr>
          <w:i/>
          <w:iCs/>
        </w:rPr>
        <w:t>ex-post</w:t>
      </w:r>
      <w:r w:rsidRPr="00405F15">
        <w:t xml:space="preserve"> correcties van de passende beoordeling mogen plaatsvinden.</w:t>
      </w:r>
      <w:r>
        <w:rPr>
          <w:rStyle w:val="Voetnootmarkering"/>
        </w:rPr>
        <w:footnoteReference w:id="87"/>
      </w:r>
      <w:r w:rsidRPr="00405F15">
        <w:t xml:space="preserve"> Ook inconsistenties tussen opgestelde rapporten en de uiteindelijke beleidsbeslissingen worden in dit arrest streng behandeld</w:t>
      </w:r>
      <w:r w:rsidRPr="00405F15">
        <w:rPr>
          <w:rStyle w:val="Voetnootmarkering"/>
          <w:rFonts w:ascii="Calibri" w:hAnsi="Calibri" w:cs="Calibri"/>
        </w:rPr>
        <w:footnoteReference w:id="88"/>
      </w:r>
      <w:r w:rsidRPr="00405F15">
        <w:t xml:space="preserve"> en de eventuele vergunningsvoorwaarden ter preventie van significante schade</w:t>
      </w:r>
      <w:r w:rsidRPr="00405F15">
        <w:rPr>
          <w:rStyle w:val="Voetnootmarkering"/>
          <w:rFonts w:ascii="Calibri" w:hAnsi="Calibri" w:cs="Calibri"/>
        </w:rPr>
        <w:footnoteReference w:id="89"/>
      </w:r>
      <w:r w:rsidRPr="00405F15">
        <w:t xml:space="preserve"> voor voorliggende natuurgebieden.</w:t>
      </w:r>
    </w:p>
    <w:p w14:paraId="16AF68A4" w14:textId="77777777" w:rsidR="006F47D2" w:rsidRDefault="006F47D2" w:rsidP="006F47D2">
      <w:pPr>
        <w:pStyle w:val="Body"/>
        <w:numPr>
          <w:ilvl w:val="0"/>
          <w:numId w:val="15"/>
        </w:numPr>
        <w:ind w:left="0" w:hanging="11"/>
      </w:pPr>
      <w:r w:rsidRPr="00405F15">
        <w:t>Naast de beperkingen die voortvloeien uit de Vogel- en Habitatrichtlijn, speelt ook de bescherming van het Vlaams Ecologisch Netwerk (VEN)</w:t>
      </w:r>
      <w:r>
        <w:rPr>
          <w:rStyle w:val="Voetnootmarkering"/>
        </w:rPr>
        <w:footnoteReference w:id="90"/>
      </w:r>
      <w:r w:rsidRPr="00405F15">
        <w:t xml:space="preserve"> een belangrijke rol in de vergunningverlening voor windturbineprojecten. De regelgeving rond VEN-gebieden vormt een duidelijk onderdeel van de Vlaamse natuurbehoudsregelgeving, waardoor een korte analyse van deze materie aangewezen is.</w:t>
      </w:r>
      <w:r>
        <w:t xml:space="preserve"> </w:t>
      </w:r>
      <w:r w:rsidRPr="00405F15">
        <w:t xml:space="preserve">Hoewel er een sterke inhoudelijke gelijkenis bestaat tussen beide beschermingsregimes – beide zijn gericht op het behoud van kwetsbare natuurwaarden en vereisen een strenge beoordeling van mogelijke negatieve effecten – is de VEN-regelgeving in bepaalde opzichten nog restrictiever. </w:t>
      </w:r>
    </w:p>
    <w:p w14:paraId="624E2C20" w14:textId="354B5E03" w:rsidR="006F47D2" w:rsidRDefault="006F47D2" w:rsidP="006F47D2">
      <w:pPr>
        <w:pStyle w:val="Body"/>
        <w:ind w:firstLine="708"/>
      </w:pPr>
      <w:r w:rsidRPr="0024237B">
        <w:t>Waar de Habitatrichtlijn onder strikte voorwaarden een uitzondering toestaat op het verbod op aantasting van beschermde gebieden bij dwingende redenen van hoger openbaar belang (zoals het geval is voor de constructie van windturbines)</w:t>
      </w:r>
      <w:r w:rsidR="00BD0A3C">
        <w:t>,</w:t>
      </w:r>
      <w:r w:rsidRPr="00405F15">
        <w:rPr>
          <w:rStyle w:val="Voetnootmarkering"/>
          <w:rFonts w:ascii="Calibri" w:hAnsi="Calibri" w:cs="Calibri"/>
        </w:rPr>
        <w:footnoteReference w:id="91"/>
      </w:r>
      <w:r w:rsidRPr="0024237B">
        <w:t xml:space="preserve"> ontbreekt een gelijkaardige exceptie in het VEN-kader. </w:t>
      </w:r>
      <w:r w:rsidRPr="00405F15">
        <w:t xml:space="preserve">Dit betekent dat de vergunningverlenende overheid binnen VEN-gebieden met een absolute verbodsregel wordt geconfronteerd: elke aantasting van de wezenlijke kenmerken en structuur van het gebied is principieel verboden, zonder </w:t>
      </w:r>
      <w:r w:rsidRPr="00405F15">
        <w:lastRenderedPageBreak/>
        <w:t>mogelijkheid tot afweging van economische of maatschappelijke belangen.</w:t>
      </w:r>
      <w:r w:rsidRPr="00405F15">
        <w:rPr>
          <w:rStyle w:val="Voetnootmarkering"/>
          <w:rFonts w:ascii="Calibri" w:hAnsi="Calibri" w:cs="Calibri"/>
        </w:rPr>
        <w:footnoteReference w:id="92"/>
      </w:r>
      <w:r w:rsidRPr="00405F15">
        <w:t xml:space="preserve"> Dit verschil maakt dat de passende beoordeling onder </w:t>
      </w:r>
      <w:r>
        <w:t>de Habitat- en Vogelrichtlijn</w:t>
      </w:r>
      <w:r w:rsidRPr="00405F15">
        <w:t xml:space="preserve"> weliswaar een procedurele en materiële hinderpaal vormt, maar dat het VEN-kader in bepaalde gevallen een onoverkomelijke juridische drempel kan betekenen voor windturbineprojecten.</w:t>
      </w:r>
      <w:r>
        <w:rPr>
          <w:rStyle w:val="Voetnootmarkering"/>
        </w:rPr>
        <w:footnoteReference w:id="93"/>
      </w:r>
    </w:p>
    <w:p w14:paraId="6BFFAB94" w14:textId="36B84CD1" w:rsidR="006F47D2" w:rsidRPr="00405F15" w:rsidRDefault="006F47D2" w:rsidP="000D1DA2">
      <w:pPr>
        <w:pStyle w:val="Body"/>
        <w:ind w:firstLine="708"/>
      </w:pPr>
      <w:r w:rsidRPr="00405F15">
        <w:t xml:space="preserve">De cumulatie van deze beschermingsregimes zorgt ervoor dat de vergunningverlening voor hernieuwbare energieprojecten in Vlaanderen in een bijzonder strak juridisch keurslijf zit, wat de spanningen tussen natuurbehoud en energietransitie verder vergroot. </w:t>
      </w:r>
      <w:r w:rsidRPr="00742E27">
        <w:t xml:space="preserve">Een illustratief voorbeeld hiervan is de vernietiging van de vergunningen voor vijf windturbines in Lommel-Maatheide. De Raad </w:t>
      </w:r>
      <w:r w:rsidRPr="00405F15">
        <w:t xml:space="preserve">van State oordeelde in deze zaak </w:t>
      </w:r>
      <w:r w:rsidRPr="00742E27">
        <w:t>dat vier</w:t>
      </w:r>
      <w:r w:rsidRPr="00405F15">
        <w:t xml:space="preserve"> </w:t>
      </w:r>
      <w:r w:rsidRPr="00742E27">
        <w:t xml:space="preserve">turbines vergund waren in strijd met de bestemmingsvoorschriften van het ontginningsgebied met nabestemming natuurgebied, </w:t>
      </w:r>
      <w:r w:rsidRPr="00405F15">
        <w:t>waarbij</w:t>
      </w:r>
      <w:r w:rsidRPr="00742E27">
        <w:t xml:space="preserve"> de strikte toepassing van de VEN-regelgeving</w:t>
      </w:r>
      <w:r w:rsidRPr="00405F15">
        <w:t xml:space="preserve"> concreet blijkt</w:t>
      </w:r>
      <w:r w:rsidRPr="00742E27">
        <w:t>.</w:t>
      </w:r>
      <w:r w:rsidRPr="00405F15">
        <w:rPr>
          <w:rStyle w:val="Voetnootmarkering"/>
          <w:rFonts w:ascii="Calibri" w:hAnsi="Calibri" w:cs="Calibri"/>
        </w:rPr>
        <w:footnoteReference w:id="94"/>
      </w:r>
      <w:r w:rsidRPr="00742E27">
        <w:t xml:space="preserve"> Bovendien stelt artikel 26bis van het Natuurdecreet dat een overheid geen toestemming of vergunning mag verlenen voor een activiteit die onvermijdbare én onherstelbare schade aan de natuur in een VEN-gebied veroorzaakt. </w:t>
      </w:r>
      <w:r w:rsidRPr="00405F15">
        <w:t xml:space="preserve">De Raad spreekt zelfs van een </w:t>
      </w:r>
      <w:r w:rsidR="000D1DA2">
        <w:t>‘</w:t>
      </w:r>
      <w:r w:rsidRPr="00405F15">
        <w:t>verstrengde natuurtoets</w:t>
      </w:r>
      <w:r w:rsidR="000D1DA2">
        <w:t>’</w:t>
      </w:r>
      <w:r w:rsidRPr="00405F15">
        <w:t>.</w:t>
      </w:r>
      <w:r w:rsidRPr="00405F15">
        <w:rPr>
          <w:rStyle w:val="Voetnootmarkering"/>
          <w:rFonts w:ascii="Calibri" w:hAnsi="Calibri" w:cs="Calibri"/>
        </w:rPr>
        <w:footnoteReference w:id="95"/>
      </w:r>
      <w:r w:rsidRPr="00405F15">
        <w:t xml:space="preserve"> Deze bewoording</w:t>
      </w:r>
      <w:r w:rsidRPr="00742E27">
        <w:t xml:space="preserve"> benadrukt</w:t>
      </w:r>
      <w:r w:rsidRPr="00405F15">
        <w:t xml:space="preserve"> des te meer</w:t>
      </w:r>
      <w:r w:rsidRPr="00742E27">
        <w:t xml:space="preserve"> de strengheid van de VEN-regelgeving en </w:t>
      </w:r>
      <w:r w:rsidRPr="00405F15">
        <w:t xml:space="preserve">belichaamt </w:t>
      </w:r>
      <w:r w:rsidRPr="00742E27">
        <w:t>het gebrek aan uitzonderingsmogelijkheden, in tegenstelling tot de Habitatrichtlijn.</w:t>
      </w:r>
    </w:p>
    <w:p w14:paraId="2036BFEC" w14:textId="566AB20B" w:rsidR="0089198E" w:rsidRDefault="006F47D2" w:rsidP="0089198E">
      <w:pPr>
        <w:pStyle w:val="Body"/>
        <w:numPr>
          <w:ilvl w:val="0"/>
          <w:numId w:val="15"/>
        </w:numPr>
        <w:ind w:left="0" w:hanging="11"/>
      </w:pPr>
      <w:r w:rsidRPr="00742648">
        <w:t xml:space="preserve">Uit de voorgaande randnummers inzake natuurbeschermingsregelgeving </w:t>
      </w:r>
      <w:r w:rsidR="000D1DA2">
        <w:t>b</w:t>
      </w:r>
      <w:r w:rsidRPr="00742648">
        <w:t xml:space="preserve">lijkt duidelijk een gebrek aan samenhang tussen energie- en natuurbeschermingsbeleid. </w:t>
      </w:r>
      <w:r w:rsidR="005B1CBD">
        <w:t>H</w:t>
      </w:r>
      <w:r w:rsidRPr="00742648">
        <w:t xml:space="preserve">et belang van een efficiënte en versnelde energietransitie </w:t>
      </w:r>
      <w:r w:rsidR="005B1CBD">
        <w:t xml:space="preserve">raakt </w:t>
      </w:r>
      <w:r w:rsidRPr="00742648">
        <w:t>uit het oog. Die energietransitie is op zichzelf een noodzakelijke vereiste om de antropogene natuurverstoring door verbranding van allerlei fossiele brandstoffen in de toekomst tegen te gaan. De conflicten waarbij natuurdoelen procedurele en inhoudelijke obstakels voortbrengen voor het uitrollen van duurzame energieprojecten raken de kern van deze thesis. De noodzaak van een evenwichtige benadering in deze context lijkt evident, waarbij zowel natuurbehoud en -</w:t>
      </w:r>
      <w:r w:rsidRPr="00742648">
        <w:lastRenderedPageBreak/>
        <w:t>bescherming als energietransitie worden gewaarborgd. Deze visie zal later in dit werkstuk hernomen worden.</w:t>
      </w:r>
    </w:p>
    <w:p w14:paraId="7DECE195" w14:textId="722CA013" w:rsidR="0089198E" w:rsidRDefault="0089198E" w:rsidP="0089198E">
      <w:pPr>
        <w:pStyle w:val="Kop2"/>
      </w:pPr>
      <w:bookmarkStart w:id="15" w:name="_Toc193312404"/>
      <w:r>
        <w:t>MER-regelgeving</w:t>
      </w:r>
      <w:bookmarkEnd w:id="15"/>
    </w:p>
    <w:p w14:paraId="2B08928A" w14:textId="2B8F9F12" w:rsidR="0089198E" w:rsidRDefault="0089198E" w:rsidP="0089198E">
      <w:pPr>
        <w:pStyle w:val="Body"/>
        <w:numPr>
          <w:ilvl w:val="0"/>
          <w:numId w:val="15"/>
        </w:numPr>
        <w:ind w:left="0" w:hanging="11"/>
      </w:pPr>
      <w:r w:rsidRPr="00CB15B7">
        <w:t xml:space="preserve">De verplichtingen die voortvloeien uit de </w:t>
      </w:r>
      <w:r>
        <w:t xml:space="preserve">regelgeving inzake </w:t>
      </w:r>
      <w:r w:rsidRPr="00CB15B7">
        <w:t xml:space="preserve">milieueffectrapportage (MER) vormen een ander belangrijk obstakel voor de vergunningverlening van windturbineprojecten. De </w:t>
      </w:r>
      <w:r>
        <w:t>verschillende MER-verplichtingen</w:t>
      </w:r>
      <w:r w:rsidRPr="00CB15B7">
        <w:t xml:space="preserve">, die in Europa </w:t>
      </w:r>
      <w:r w:rsidR="001572CD">
        <w:t xml:space="preserve">zijn </w:t>
      </w:r>
      <w:r w:rsidRPr="00CB15B7">
        <w:t>geregeld door Richtlijn 2011/92/EU</w:t>
      </w:r>
      <w:r>
        <w:rPr>
          <w:rStyle w:val="Voetnootmarkering"/>
        </w:rPr>
        <w:footnoteReference w:id="96"/>
      </w:r>
      <w:r w:rsidRPr="00CB15B7">
        <w:t xml:space="preserve"> en in </w:t>
      </w:r>
      <w:r>
        <w:t>Vlaanderen</w:t>
      </w:r>
      <w:r w:rsidRPr="00CB15B7">
        <w:t xml:space="preserve"> </w:t>
      </w:r>
      <w:r>
        <w:t>geïmplementeerd in het DABM</w:t>
      </w:r>
      <w:r>
        <w:rPr>
          <w:rStyle w:val="Voetnootmarkering"/>
        </w:rPr>
        <w:footnoteReference w:id="97"/>
      </w:r>
      <w:r w:rsidRPr="00CB15B7">
        <w:t xml:space="preserve">, </w:t>
      </w:r>
      <w:r>
        <w:t>hebben</w:t>
      </w:r>
      <w:r w:rsidRPr="00CB15B7">
        <w:t xml:space="preserve"> tot doel de milieueffecten van bepaalde projecten in kaart te brengen voordat ze worden vergund.</w:t>
      </w:r>
      <w:r w:rsidRPr="00CB439B">
        <w:t xml:space="preserve"> </w:t>
      </w:r>
      <w:r w:rsidRPr="00CB15B7">
        <w:t>Dit proces heeft tot doel om de mogelijke milieueffecten van een project in detail te onderzoeken, inclusief effecten op het milieu, de gezondheid van mensen, natuur, luchtkwaliteit, water en andere relevante ecologische elementen.</w:t>
      </w:r>
      <w:r w:rsidRPr="00A4462D">
        <w:rPr>
          <w:b/>
          <w:bCs/>
          <w:color w:val="000000"/>
          <w:sz w:val="20"/>
        </w:rPr>
        <w:t xml:space="preserve"> </w:t>
      </w:r>
      <w:r w:rsidRPr="00106532">
        <w:t xml:space="preserve">In het bijzonder </w:t>
      </w:r>
      <w:r w:rsidR="00AB0502">
        <w:t>kan</w:t>
      </w:r>
      <w:r w:rsidRPr="00106532">
        <w:t xml:space="preserve"> de impact van geluidsoverlast en slagschaduw, </w:t>
      </w:r>
      <w:r w:rsidR="001572CD">
        <w:t xml:space="preserve">die </w:t>
      </w:r>
      <w:r w:rsidRPr="00106532">
        <w:t xml:space="preserve">inherent </w:t>
      </w:r>
      <w:r w:rsidR="001572CD">
        <w:t xml:space="preserve">zijn </w:t>
      </w:r>
      <w:r w:rsidRPr="00106532">
        <w:t>aan windturbineprojecten</w:t>
      </w:r>
      <w:r w:rsidRPr="00106532">
        <w:rPr>
          <w:rStyle w:val="Voetnootmarkering"/>
        </w:rPr>
        <w:footnoteReference w:id="98"/>
      </w:r>
      <w:r w:rsidRPr="00106532">
        <w:t>, een rol spelen bij de MER-procedure. Geluidsoverlast van draaiende windturbines kan zowel overdag als ‘s nachts hinder veroorzaken voor omwonenden, terwijl slagschaduw – het flikkerende effect van bewegende rotorbladen – als storend wordt ervaren en onder bepaalde omstandigheden gezondheidsklachten kan veroorzaken.</w:t>
      </w:r>
    </w:p>
    <w:p w14:paraId="02EA7282" w14:textId="658A767A" w:rsidR="0089198E" w:rsidRDefault="0089198E" w:rsidP="0089198E">
      <w:pPr>
        <w:pStyle w:val="Body"/>
        <w:numPr>
          <w:ilvl w:val="0"/>
          <w:numId w:val="15"/>
        </w:numPr>
        <w:ind w:left="0" w:hanging="11"/>
        <w:rPr>
          <w:lang w:eastAsia="nl-NL"/>
        </w:rPr>
      </w:pPr>
      <w:r w:rsidRPr="00C51BCC">
        <w:rPr>
          <w:lang w:eastAsia="nl-NL"/>
        </w:rPr>
        <w:t>De Raad van State heeft in meerdere arresten beklemtoond dat de naleving van MER-verplichtingen een essentieel onderdeel is van het besluitvormingsproces en dat een gebrek aan voldoende motivering of het ontbreken van een degelijk onderzoek naar de milieueffecten kan leiden tot de schorsing of vernietiging van een vergunning.</w:t>
      </w:r>
      <w:r>
        <w:rPr>
          <w:rStyle w:val="Voetnootmarkering"/>
          <w:lang w:eastAsia="nl-NL"/>
        </w:rPr>
        <w:footnoteReference w:id="99"/>
      </w:r>
      <w:r w:rsidRPr="00C51BCC">
        <w:rPr>
          <w:lang w:eastAsia="nl-NL"/>
        </w:rPr>
        <w:t xml:space="preserve"> De </w:t>
      </w:r>
      <w:r>
        <w:rPr>
          <w:lang w:eastAsia="nl-NL"/>
        </w:rPr>
        <w:t>Raad</w:t>
      </w:r>
      <w:r w:rsidRPr="00C51BCC">
        <w:rPr>
          <w:lang w:eastAsia="nl-NL"/>
        </w:rPr>
        <w:t xml:space="preserve"> </w:t>
      </w:r>
      <w:r w:rsidRPr="00C51BCC">
        <w:rPr>
          <w:lang w:eastAsia="nl-NL"/>
        </w:rPr>
        <w:lastRenderedPageBreak/>
        <w:t>benadrukt</w:t>
      </w:r>
      <w:r>
        <w:rPr>
          <w:lang w:eastAsia="nl-NL"/>
        </w:rPr>
        <w:t xml:space="preserve"> in die zin</w:t>
      </w:r>
      <w:r w:rsidRPr="00C51BCC">
        <w:rPr>
          <w:lang w:eastAsia="nl-NL"/>
        </w:rPr>
        <w:t xml:space="preserve"> dat alvorens een vergunning </w:t>
      </w:r>
      <w:r>
        <w:rPr>
          <w:lang w:eastAsia="nl-NL"/>
        </w:rPr>
        <w:t>wordt toegekend</w:t>
      </w:r>
      <w:r w:rsidRPr="00C51BCC">
        <w:rPr>
          <w:lang w:eastAsia="nl-NL"/>
        </w:rPr>
        <w:t xml:space="preserve">, </w:t>
      </w:r>
      <w:r>
        <w:rPr>
          <w:lang w:eastAsia="nl-NL"/>
        </w:rPr>
        <w:t xml:space="preserve">eerst </w:t>
      </w:r>
      <w:r w:rsidRPr="00C51BCC">
        <w:rPr>
          <w:lang w:eastAsia="nl-NL"/>
        </w:rPr>
        <w:t xml:space="preserve">moet </w:t>
      </w:r>
      <w:r>
        <w:rPr>
          <w:lang w:eastAsia="nl-NL"/>
        </w:rPr>
        <w:t>worden aang</w:t>
      </w:r>
      <w:r w:rsidR="001572CD">
        <w:rPr>
          <w:lang w:eastAsia="nl-NL"/>
        </w:rPr>
        <w:t>e</w:t>
      </w:r>
      <w:r>
        <w:rPr>
          <w:lang w:eastAsia="nl-NL"/>
        </w:rPr>
        <w:t>toond</w:t>
      </w:r>
      <w:r w:rsidRPr="00C51BCC">
        <w:rPr>
          <w:lang w:eastAsia="nl-NL"/>
        </w:rPr>
        <w:t xml:space="preserve"> dat alle mogelijke significante milieueffecten adequaat in kaart zijn gebracht.</w:t>
      </w:r>
    </w:p>
    <w:p w14:paraId="77378571" w14:textId="3E1834DA" w:rsidR="0089198E" w:rsidRPr="00685545" w:rsidRDefault="0089198E" w:rsidP="0089198E">
      <w:pPr>
        <w:pStyle w:val="Body"/>
        <w:numPr>
          <w:ilvl w:val="0"/>
          <w:numId w:val="15"/>
        </w:numPr>
        <w:ind w:left="0" w:hanging="11"/>
      </w:pPr>
      <w:r>
        <w:t xml:space="preserve">Concreet zal de verplichting tot het uitvoeren van een volledige MER (de zogenaamde ‘project-MER’), dan wel een screening-MER afhangen van de specifieke aard van het windturbineproject. Zo zal een project-MER vereist zijn voor projecten bestaande uit </w:t>
      </w:r>
      <w:r w:rsidR="006875DF">
        <w:t xml:space="preserve">twintig </w:t>
      </w:r>
      <w:r>
        <w:t xml:space="preserve">of meer individuele windturbines. Indien het een project betreft van minstens </w:t>
      </w:r>
      <w:r w:rsidR="006875DF">
        <w:t>vier</w:t>
      </w:r>
      <w:r>
        <w:t xml:space="preserve"> windturbines waarbij een aanzienlijke invloed op beschermd natuurgebied zeker of mogelijk blijkt te zijn, is eveneens een volledige project-MER vereist.</w:t>
      </w:r>
      <w:r>
        <w:rPr>
          <w:rStyle w:val="Voetnootmarkering"/>
        </w:rPr>
        <w:footnoteReference w:id="100"/>
      </w:r>
      <w:r>
        <w:t xml:space="preserve"> Projecten van maximaal </w:t>
      </w:r>
      <w:r w:rsidR="006875DF">
        <w:t xml:space="preserve">negentien </w:t>
      </w:r>
      <w:r>
        <w:t xml:space="preserve">individuele turbines, dan wel maximaal </w:t>
      </w:r>
      <w:r w:rsidR="006875DF">
        <w:t>drie</w:t>
      </w:r>
      <w:r>
        <w:t xml:space="preserve"> individuele turbines indien het gaat om een project waarbij een aanzienlijke invloed op beschermd natuurgebied zeker of mogelijk blijkt te zijn, zijn onderworpen aan de verplichting tot een MER-screening</w:t>
      </w:r>
      <w:r>
        <w:rPr>
          <w:rStyle w:val="Voetnootmarkering"/>
        </w:rPr>
        <w:footnoteReference w:id="101"/>
      </w:r>
      <w:r>
        <w:t>, die eventueel kan leiden tot de vereiste een project-MER op te stellen</w:t>
      </w:r>
      <w:r>
        <w:rPr>
          <w:rStyle w:val="Voetnootmarkering"/>
        </w:rPr>
        <w:footnoteReference w:id="102"/>
      </w:r>
      <w:r>
        <w:t>.</w:t>
      </w:r>
      <w:r w:rsidRPr="00A4462D">
        <w:rPr>
          <w:b/>
          <w:bCs/>
          <w:color w:val="000000"/>
          <w:sz w:val="20"/>
        </w:rPr>
        <w:t xml:space="preserve"> </w:t>
      </w:r>
    </w:p>
    <w:p w14:paraId="2807444E" w14:textId="08233551" w:rsidR="0089198E" w:rsidRPr="00C51BCC" w:rsidRDefault="0089198E" w:rsidP="0089198E">
      <w:pPr>
        <w:pStyle w:val="Body"/>
        <w:ind w:firstLine="708"/>
        <w:rPr>
          <w:lang w:eastAsia="nl-NL"/>
        </w:rPr>
      </w:pPr>
      <w:r w:rsidRPr="00C51BCC">
        <w:rPr>
          <w:lang w:eastAsia="nl-NL"/>
        </w:rPr>
        <w:t xml:space="preserve">Uit rechtspraak blijkt dat de </w:t>
      </w:r>
      <w:r>
        <w:rPr>
          <w:lang w:eastAsia="nl-NL"/>
        </w:rPr>
        <w:t>Raad voor Vergunningsbetwistingen</w:t>
      </w:r>
      <w:r w:rsidRPr="00C51BCC">
        <w:rPr>
          <w:lang w:eastAsia="nl-NL"/>
        </w:rPr>
        <w:t xml:space="preserve"> strikte eisen stelt aan de inhoud en motivering van screeningsnota’s. Zo heeft de </w:t>
      </w:r>
      <w:r>
        <w:rPr>
          <w:lang w:eastAsia="nl-NL"/>
        </w:rPr>
        <w:t>Raad</w:t>
      </w:r>
      <w:r w:rsidRPr="00C51BCC">
        <w:rPr>
          <w:lang w:eastAsia="nl-NL"/>
        </w:rPr>
        <w:t xml:space="preserve"> geoordeeld dat een screeningsnota die enkel algemene garanties biedt over het beperken van geluidshinder en slagschaduw onvoldoende is om de vergunningverlenende overheid toe te laten te concluderen dat geen project-MER vereist is.</w:t>
      </w:r>
      <w:r>
        <w:rPr>
          <w:rStyle w:val="Voetnootmarkering"/>
          <w:lang w:eastAsia="nl-NL"/>
        </w:rPr>
        <w:footnoteReference w:id="103"/>
      </w:r>
      <w:r>
        <w:rPr>
          <w:lang w:eastAsia="nl-NL"/>
        </w:rPr>
        <w:t xml:space="preserve"> Blijkt aldus dat een vereiste project-MER niet werd uitgevoerd, dan is een schending van procedurele verplichtingen aan de orde en leidt zulks tot de vernietiging van de alsnog verleende vergunning.</w:t>
      </w:r>
      <w:r>
        <w:rPr>
          <w:rStyle w:val="Voetnootmarkering"/>
          <w:lang w:eastAsia="nl-NL"/>
        </w:rPr>
        <w:footnoteReference w:id="104"/>
      </w:r>
    </w:p>
    <w:p w14:paraId="39D41F4E" w14:textId="0BDBA9EB" w:rsidR="0089198E" w:rsidRDefault="0089198E" w:rsidP="0089198E">
      <w:pPr>
        <w:pStyle w:val="Body"/>
        <w:ind w:firstLine="708"/>
        <w:rPr>
          <w:lang w:eastAsia="nl-NL"/>
        </w:rPr>
      </w:pPr>
      <w:r>
        <w:rPr>
          <w:lang w:eastAsia="nl-NL"/>
        </w:rPr>
        <w:t>De Raad voor Vergunningsbetwistingen oordeelt bijkomend dat een</w:t>
      </w:r>
      <w:r w:rsidRPr="00685545">
        <w:rPr>
          <w:lang w:eastAsia="nl-NL"/>
        </w:rPr>
        <w:t xml:space="preserve"> screeningsnota die er zich toe beperkt te stellen dat “</w:t>
      </w:r>
      <w:r w:rsidRPr="005F59C6">
        <w:rPr>
          <w:i/>
          <w:iCs/>
          <w:lang w:eastAsia="nl-NL"/>
        </w:rPr>
        <w:t xml:space="preserve">de initiatiefnemers alles in het werk stellen om het </w:t>
      </w:r>
      <w:r w:rsidRPr="005F59C6">
        <w:rPr>
          <w:i/>
          <w:iCs/>
          <w:lang w:eastAsia="nl-NL"/>
        </w:rPr>
        <w:lastRenderedPageBreak/>
        <w:t>geluidsniveau en de impact van de slagschaduw te reduceren tot een niveau waarbij de hinder voor de omgeving zoveel mogelijk wordt vermeden</w:t>
      </w:r>
      <w:r w:rsidRPr="00685545">
        <w:rPr>
          <w:lang w:eastAsia="nl-NL"/>
        </w:rPr>
        <w:t>”, de vergunningverlenende overheid niet toe</w:t>
      </w:r>
      <w:r>
        <w:rPr>
          <w:lang w:eastAsia="nl-NL"/>
        </w:rPr>
        <w:t>laat</w:t>
      </w:r>
      <w:r w:rsidRPr="00685545">
        <w:rPr>
          <w:lang w:eastAsia="nl-NL"/>
        </w:rPr>
        <w:t xml:space="preserve"> te besluiten dat geen project-MER moet worden opgemaakt. </w:t>
      </w:r>
      <w:r w:rsidR="0090311E">
        <w:rPr>
          <w:lang w:eastAsia="nl-NL"/>
        </w:rPr>
        <w:t>Hieruit</w:t>
      </w:r>
      <w:r w:rsidRPr="00685545">
        <w:rPr>
          <w:lang w:eastAsia="nl-NL"/>
        </w:rPr>
        <w:t xml:space="preserve"> kan niet worden afgeleid dat de geluidshinder van het aangevraagde</w:t>
      </w:r>
      <w:r>
        <w:rPr>
          <w:lang w:eastAsia="nl-NL"/>
        </w:rPr>
        <w:t xml:space="preserve"> project</w:t>
      </w:r>
      <w:r w:rsidRPr="00685545">
        <w:rPr>
          <w:lang w:eastAsia="nl-NL"/>
        </w:rPr>
        <w:t xml:space="preserve"> geen aanzienlijke milieueffecten </w:t>
      </w:r>
      <w:r w:rsidR="0090311E">
        <w:rPr>
          <w:lang w:eastAsia="nl-NL"/>
        </w:rPr>
        <w:t>heeft</w:t>
      </w:r>
      <w:r>
        <w:rPr>
          <w:lang w:eastAsia="nl-NL"/>
        </w:rPr>
        <w:t>.</w:t>
      </w:r>
      <w:r>
        <w:rPr>
          <w:rStyle w:val="Voetnootmarkering"/>
        </w:rPr>
        <w:footnoteReference w:id="105"/>
      </w:r>
    </w:p>
    <w:p w14:paraId="19C1CB4E" w14:textId="77777777" w:rsidR="0089198E" w:rsidRDefault="0089198E" w:rsidP="0089198E">
      <w:pPr>
        <w:pStyle w:val="Body"/>
        <w:ind w:firstLine="708"/>
        <w:rPr>
          <w:lang w:eastAsia="nl-NL"/>
        </w:rPr>
      </w:pPr>
      <w:r>
        <w:rPr>
          <w:lang w:eastAsia="nl-NL"/>
        </w:rPr>
        <w:t>Ook een lezing van de rechtspraak van het Hof van Justitie wijst de duidelijke strengheid inzake de MER aan. Zo oordeelt het Hof dat men in het kader van de beoordeling van cumulatieve effecten naast gelijksoortige projecten ook rekening moet houden met projecten van een andere categorie die een bepaalde samenhang vertonen of een relevant cumulatief effect kunnen veroorzaken.</w:t>
      </w:r>
      <w:r>
        <w:rPr>
          <w:rStyle w:val="Voetnootmarkering"/>
          <w:lang w:eastAsia="nl-NL"/>
        </w:rPr>
        <w:footnoteReference w:id="106"/>
      </w:r>
      <w:r>
        <w:rPr>
          <w:lang w:eastAsia="nl-NL"/>
        </w:rPr>
        <w:t xml:space="preserve"> De complexiteit van cumulatieve effecten en de wetenschappelijk ingewikkelde aard van de beoordeling ervan werden reeds uitvoerig besproken in voorgaande hoofdstukken. Dat het Hof van Justitie een uitbreiding toevoegt aan de materiele werkingssfeer van de in rekening te nemen cumulatieve effecten, vormt op zichzelf een bewijs van de strengheid in het kader van de MER.</w:t>
      </w:r>
    </w:p>
    <w:p w14:paraId="3AA12C41" w14:textId="5DC5DF51" w:rsidR="0089198E" w:rsidRPr="00D44E59" w:rsidRDefault="0089198E" w:rsidP="0089198E">
      <w:pPr>
        <w:pStyle w:val="Body"/>
        <w:numPr>
          <w:ilvl w:val="0"/>
          <w:numId w:val="15"/>
        </w:numPr>
        <w:ind w:left="0" w:hanging="11"/>
        <w:rPr>
          <w:lang w:eastAsia="nl-NL"/>
        </w:rPr>
      </w:pPr>
      <w:r w:rsidRPr="00F017A6">
        <w:rPr>
          <w:lang w:eastAsia="nl-NL"/>
        </w:rPr>
        <w:t xml:space="preserve">Hoewel de MER-regelgeving strikt wordt toegepast, bestaan er uitzonderingsmogelijkheden die kunnen toelaten dat een MER wordt vermeden. Dit is bijvoorbeeld het geval wanneer een project onder de drempelwaarden valt zoals bepaald in de regelgeving, of wanneer uit de screeningsnota blijkt dat er geen significante milieueffecten te verwachten zijn. </w:t>
      </w:r>
      <w:r w:rsidRPr="00D44E59">
        <w:rPr>
          <w:lang w:eastAsia="nl-NL"/>
        </w:rPr>
        <w:t xml:space="preserve">De Raad van State zal een eerder strenge toets hanteren bij de toepassing van deze uitzonderingen. </w:t>
      </w:r>
      <w:r w:rsidR="00B566D5">
        <w:rPr>
          <w:lang w:eastAsia="nl-NL"/>
        </w:rPr>
        <w:t>Er moet een verband worden gelegd</w:t>
      </w:r>
      <w:r w:rsidRPr="00D44E59">
        <w:rPr>
          <w:lang w:eastAsia="nl-NL"/>
        </w:rPr>
        <w:t xml:space="preserve"> tussen deze thematiek en de overwegingen </w:t>
      </w:r>
      <w:r w:rsidR="00B566D5">
        <w:rPr>
          <w:lang w:eastAsia="nl-NL"/>
        </w:rPr>
        <w:t xml:space="preserve">in eerdere </w:t>
      </w:r>
      <w:r w:rsidRPr="00D44E59">
        <w:rPr>
          <w:lang w:eastAsia="nl-NL"/>
        </w:rPr>
        <w:t>randnummer</w:t>
      </w:r>
      <w:r>
        <w:rPr>
          <w:lang w:eastAsia="nl-NL"/>
        </w:rPr>
        <w:t>s</w:t>
      </w:r>
      <w:r w:rsidRPr="00D44E59">
        <w:rPr>
          <w:lang w:eastAsia="nl-NL"/>
        </w:rPr>
        <w:t xml:space="preserve"> </w:t>
      </w:r>
      <w:r w:rsidR="00B566D5">
        <w:rPr>
          <w:lang w:eastAsia="nl-NL"/>
        </w:rPr>
        <w:t>over</w:t>
      </w:r>
      <w:r>
        <w:rPr>
          <w:lang w:eastAsia="nl-NL"/>
        </w:rPr>
        <w:t xml:space="preserve"> de passende beoord</w:t>
      </w:r>
      <w:r w:rsidR="00B566D5">
        <w:rPr>
          <w:lang w:eastAsia="nl-NL"/>
        </w:rPr>
        <w:t>e</w:t>
      </w:r>
      <w:r>
        <w:rPr>
          <w:lang w:eastAsia="nl-NL"/>
        </w:rPr>
        <w:t>ling. Immers, de</w:t>
      </w:r>
      <w:r w:rsidRPr="00D44E59">
        <w:rPr>
          <w:lang w:eastAsia="nl-NL"/>
        </w:rPr>
        <w:t xml:space="preserve"> Raad verwachte </w:t>
      </w:r>
      <w:r>
        <w:rPr>
          <w:lang w:eastAsia="nl-NL"/>
        </w:rPr>
        <w:t>een strikte</w:t>
      </w:r>
      <w:r w:rsidRPr="00D44E59">
        <w:rPr>
          <w:lang w:eastAsia="nl-NL"/>
        </w:rPr>
        <w:t xml:space="preserve"> beoordeling van alle relevante milieueffecten </w:t>
      </w:r>
      <w:r>
        <w:rPr>
          <w:lang w:eastAsia="nl-NL"/>
        </w:rPr>
        <w:t xml:space="preserve">wat </w:t>
      </w:r>
      <w:r w:rsidRPr="00D44E59">
        <w:rPr>
          <w:lang w:eastAsia="nl-NL"/>
        </w:rPr>
        <w:t xml:space="preserve">ertoe zal leiden dat </w:t>
      </w:r>
      <w:r>
        <w:rPr>
          <w:lang w:eastAsia="nl-NL"/>
        </w:rPr>
        <w:t xml:space="preserve">de </w:t>
      </w:r>
      <w:r w:rsidRPr="00D44E59">
        <w:rPr>
          <w:lang w:eastAsia="nl-NL"/>
        </w:rPr>
        <w:t>MER-screening</w:t>
      </w:r>
      <w:r>
        <w:rPr>
          <w:lang w:eastAsia="nl-NL"/>
        </w:rPr>
        <w:t xml:space="preserve"> met een (voor de aanvrager van het project) positieve conclusie inzake de te verwacten milieueffecten</w:t>
      </w:r>
      <w:r w:rsidRPr="00D44E59">
        <w:rPr>
          <w:lang w:eastAsia="nl-NL"/>
        </w:rPr>
        <w:t xml:space="preserve">, </w:t>
      </w:r>
      <w:r>
        <w:rPr>
          <w:lang w:eastAsia="nl-NL"/>
        </w:rPr>
        <w:t>eerder</w:t>
      </w:r>
      <w:r w:rsidRPr="00D44E59">
        <w:rPr>
          <w:lang w:eastAsia="nl-NL"/>
        </w:rPr>
        <w:t xml:space="preserve"> negatief beoordeeld </w:t>
      </w:r>
      <w:r>
        <w:rPr>
          <w:lang w:eastAsia="nl-NL"/>
        </w:rPr>
        <w:t>zal</w:t>
      </w:r>
      <w:r w:rsidRPr="00D44E59">
        <w:rPr>
          <w:lang w:eastAsia="nl-NL"/>
        </w:rPr>
        <w:t xml:space="preserve"> worden.</w:t>
      </w:r>
    </w:p>
    <w:p w14:paraId="542B86F0" w14:textId="48DECB92" w:rsidR="0089198E" w:rsidRDefault="0089198E" w:rsidP="0089198E">
      <w:pPr>
        <w:pStyle w:val="Body"/>
        <w:numPr>
          <w:ilvl w:val="0"/>
          <w:numId w:val="15"/>
        </w:numPr>
        <w:ind w:left="0" w:hanging="11"/>
        <w:rPr>
          <w:lang w:eastAsia="nl-NL"/>
        </w:rPr>
      </w:pPr>
      <w:r>
        <w:rPr>
          <w:lang w:eastAsia="nl-NL"/>
        </w:rPr>
        <w:lastRenderedPageBreak/>
        <w:t>Eerder in</w:t>
      </w:r>
      <w:r w:rsidRPr="00383903">
        <w:rPr>
          <w:lang w:eastAsia="nl-NL"/>
        </w:rPr>
        <w:t xml:space="preserve"> dit werkstuk werd </w:t>
      </w:r>
      <w:r>
        <w:rPr>
          <w:lang w:eastAsia="nl-NL"/>
        </w:rPr>
        <w:t xml:space="preserve">onder de analyse van het natuurbehoudsrecht </w:t>
      </w:r>
      <w:r w:rsidRPr="00383903">
        <w:rPr>
          <w:lang w:eastAsia="nl-NL"/>
        </w:rPr>
        <w:t xml:space="preserve">al aangegeven dat aanvragers van windturbineprojecten vaak ontwijkend gedrag vertonen met betrekking tot de passende beoordeling. Ook in de context van de milieueffectrapportage (MER) zal de aanvrager proberen de verplichtingen te minimaliseren. Zo kan de aanvrager bijvoorbeeld proberen projecten op te splitsen in kleinere onderdelen (het zogenaamde </w:t>
      </w:r>
      <w:r w:rsidR="005325A6">
        <w:rPr>
          <w:lang w:eastAsia="nl-NL"/>
        </w:rPr>
        <w:t>‘</w:t>
      </w:r>
      <w:r w:rsidRPr="00383903">
        <w:rPr>
          <w:lang w:eastAsia="nl-NL"/>
        </w:rPr>
        <w:t>saucis</w:t>
      </w:r>
      <w:r>
        <w:rPr>
          <w:lang w:eastAsia="nl-NL"/>
        </w:rPr>
        <w:t>s</w:t>
      </w:r>
      <w:r w:rsidRPr="00383903">
        <w:rPr>
          <w:lang w:eastAsia="nl-NL"/>
        </w:rPr>
        <w:t>oneren</w:t>
      </w:r>
      <w:r w:rsidR="005325A6">
        <w:rPr>
          <w:lang w:eastAsia="nl-NL"/>
        </w:rPr>
        <w:t>’</w:t>
      </w:r>
      <w:r>
        <w:rPr>
          <w:rStyle w:val="Voetnootmarkering"/>
          <w:lang w:eastAsia="nl-NL"/>
        </w:rPr>
        <w:footnoteReference w:id="107"/>
      </w:r>
      <w:r w:rsidRPr="00383903">
        <w:rPr>
          <w:lang w:eastAsia="nl-NL"/>
        </w:rPr>
        <w:t>), zodat de omvang van de individuele projecten zodanig wordt ver</w:t>
      </w:r>
      <w:r w:rsidR="004569FC">
        <w:rPr>
          <w:lang w:eastAsia="nl-NL"/>
        </w:rPr>
        <w:t>kleind</w:t>
      </w:r>
      <w:r w:rsidRPr="00383903">
        <w:rPr>
          <w:lang w:eastAsia="nl-NL"/>
        </w:rPr>
        <w:t xml:space="preserve"> dat ze niet onder de verplichte MER vallen. Echter, de Raad van State</w:t>
      </w:r>
      <w:r>
        <w:rPr>
          <w:rStyle w:val="Voetnootmarkering"/>
          <w:lang w:eastAsia="nl-NL"/>
        </w:rPr>
        <w:footnoteReference w:id="108"/>
      </w:r>
      <w:r>
        <w:rPr>
          <w:lang w:eastAsia="nl-NL"/>
        </w:rPr>
        <w:t>, de Raad voor Vergunningsbetwistingen</w:t>
      </w:r>
      <w:r>
        <w:rPr>
          <w:rStyle w:val="Voetnootmarkering"/>
          <w:lang w:eastAsia="nl-NL"/>
        </w:rPr>
        <w:footnoteReference w:id="109"/>
      </w:r>
      <w:r w:rsidRPr="00383903">
        <w:rPr>
          <w:lang w:eastAsia="nl-NL"/>
        </w:rPr>
        <w:t xml:space="preserve"> </w:t>
      </w:r>
      <w:r>
        <w:rPr>
          <w:lang w:eastAsia="nl-NL"/>
        </w:rPr>
        <w:t>en</w:t>
      </w:r>
      <w:r w:rsidRPr="00383903">
        <w:rPr>
          <w:lang w:eastAsia="nl-NL"/>
        </w:rPr>
        <w:t xml:space="preserve"> het Hof van Justitie</w:t>
      </w:r>
      <w:r>
        <w:rPr>
          <w:rStyle w:val="Voetnootmarkering"/>
          <w:lang w:eastAsia="nl-NL"/>
        </w:rPr>
        <w:footnoteReference w:id="110"/>
      </w:r>
      <w:r w:rsidRPr="00383903">
        <w:rPr>
          <w:lang w:eastAsia="nl-NL"/>
        </w:rPr>
        <w:t xml:space="preserve"> doorprikken deze ontwijkingsmanoeuvre, en stellen dat het uitsplitsen van projecten met als doel de MER-verplichting te omzeilen niet is toegestaan. </w:t>
      </w:r>
      <w:r>
        <w:rPr>
          <w:lang w:eastAsia="nl-NL"/>
        </w:rPr>
        <w:t>De Raad voor Vergunningsbetwistingen voegt hieraan toe dat enkel sprake is van een rechtmatige uitsplitsing van projecten indien (i) de vergunningverlenende overheid in het kader van haar MER-screeningbeslisisng uitdrukkelijk verwijst naar een bij de aanvraag gevoegde MER-screeningsnota waarin de potentiële effecten van de aang</w:t>
      </w:r>
      <w:r w:rsidR="00A2410A">
        <w:rPr>
          <w:lang w:eastAsia="nl-NL"/>
        </w:rPr>
        <w:t>e</w:t>
      </w:r>
      <w:r>
        <w:rPr>
          <w:lang w:eastAsia="nl-NL"/>
        </w:rPr>
        <w:t>vraagde windturbines worden beschreven en daarnaast ook de aanwezigheid van (reeds vergunde) windturbines in de ruime en onmiddelijke omgeving van de geplande windturbine wordt toegelicht, en (ii) dat uit geen enkel concreet element blijkt dat er sprake is van een bewiste opsplitsing.</w:t>
      </w:r>
      <w:r>
        <w:rPr>
          <w:rStyle w:val="Voetnootmarkering"/>
          <w:lang w:eastAsia="nl-NL"/>
        </w:rPr>
        <w:footnoteReference w:id="111"/>
      </w:r>
    </w:p>
    <w:p w14:paraId="24E49069" w14:textId="0AF1A2B7" w:rsidR="0089198E" w:rsidRDefault="0089198E" w:rsidP="0089198E">
      <w:pPr>
        <w:pStyle w:val="Body"/>
        <w:ind w:firstLine="708"/>
        <w:rPr>
          <w:lang w:eastAsia="nl-NL"/>
        </w:rPr>
      </w:pPr>
      <w:r w:rsidRPr="00383903">
        <w:rPr>
          <w:lang w:eastAsia="nl-NL"/>
        </w:rPr>
        <w:t>De Raad voor Vergunningsbetwistingen oordeelt consistent dat de MER-screening zorgvuldig moet worden uitgevoerd. Deze zorgvuldigheid vereist de uitsluiting van ontwijkend gedrag door de aanvrager.</w:t>
      </w:r>
      <w:r>
        <w:rPr>
          <w:lang w:eastAsia="nl-NL"/>
        </w:rPr>
        <w:t xml:space="preserve"> </w:t>
      </w:r>
      <w:r w:rsidRPr="00383903">
        <w:rPr>
          <w:lang w:eastAsia="nl-NL"/>
        </w:rPr>
        <w:t>Ook met betrekking tot de MER-verplichtingen geldt de visie dat het moeilijk</w:t>
      </w:r>
      <w:r>
        <w:rPr>
          <w:lang w:eastAsia="nl-NL"/>
        </w:rPr>
        <w:t xml:space="preserve"> is</w:t>
      </w:r>
      <w:r w:rsidRPr="00383903">
        <w:rPr>
          <w:lang w:eastAsia="nl-NL"/>
        </w:rPr>
        <w:t>, zo niet onmogelijk, om aan de beoordelingsverplichtingen te ontsnappen.</w:t>
      </w:r>
    </w:p>
    <w:p w14:paraId="6F84E335" w14:textId="782D6566" w:rsidR="0089198E" w:rsidRDefault="0089198E" w:rsidP="0089198E">
      <w:pPr>
        <w:pStyle w:val="Body"/>
        <w:numPr>
          <w:ilvl w:val="0"/>
          <w:numId w:val="15"/>
        </w:numPr>
        <w:ind w:left="0" w:hanging="11"/>
        <w:rPr>
          <w:lang w:eastAsia="nl-NL"/>
        </w:rPr>
      </w:pPr>
      <w:r w:rsidRPr="006D3DD3">
        <w:rPr>
          <w:lang w:eastAsia="nl-NL"/>
        </w:rPr>
        <w:t xml:space="preserve">Als aanvulling op het vorige randnummer moet ook de rechtspraak van de Raad van State </w:t>
      </w:r>
      <w:r>
        <w:rPr>
          <w:lang w:eastAsia="nl-NL"/>
        </w:rPr>
        <w:t xml:space="preserve">en de Raad voor Vergunningsbetwistingen </w:t>
      </w:r>
      <w:r w:rsidRPr="006D3DD3">
        <w:rPr>
          <w:lang w:eastAsia="nl-NL"/>
        </w:rPr>
        <w:t xml:space="preserve">worden bekeken met betrekking tot de </w:t>
      </w:r>
      <w:r w:rsidRPr="006D3DD3">
        <w:rPr>
          <w:lang w:eastAsia="nl-NL"/>
        </w:rPr>
        <w:lastRenderedPageBreak/>
        <w:t xml:space="preserve">samenhang tussen projecten en de gevolgen daarvan. </w:t>
      </w:r>
      <w:r>
        <w:rPr>
          <w:lang w:eastAsia="nl-NL"/>
        </w:rPr>
        <w:t>Beide bestuursrechters</w:t>
      </w:r>
      <w:r w:rsidRPr="006D3DD3">
        <w:rPr>
          <w:lang w:eastAsia="nl-NL"/>
        </w:rPr>
        <w:t xml:space="preserve"> </w:t>
      </w:r>
      <w:r>
        <w:rPr>
          <w:lang w:eastAsia="nl-NL"/>
        </w:rPr>
        <w:t>oordelen</w:t>
      </w:r>
      <w:r w:rsidRPr="006D3DD3">
        <w:rPr>
          <w:lang w:eastAsia="nl-NL"/>
        </w:rPr>
        <w:t xml:space="preserve"> dat een dergelijke samenhang kan leiden tot een uitbreiding van de MER-verplichting, </w:t>
      </w:r>
      <w:r w:rsidR="00230EE2">
        <w:rPr>
          <w:lang w:eastAsia="nl-NL"/>
        </w:rPr>
        <w:t xml:space="preserve">waardoor </w:t>
      </w:r>
      <w:r w:rsidRPr="006D3DD3">
        <w:rPr>
          <w:lang w:eastAsia="nl-NL"/>
        </w:rPr>
        <w:t>deze ook bestaande projecten omvat die samen met de aangevraagde windturbines een zogenaamde ‘milieutechnische eenheid’ vormen.</w:t>
      </w:r>
      <w:r>
        <w:rPr>
          <w:rStyle w:val="Voetnootmarkering"/>
          <w:lang w:val="en-US" w:eastAsia="nl-NL"/>
        </w:rPr>
        <w:footnoteReference w:id="112"/>
      </w:r>
      <w:r w:rsidRPr="006D3DD3">
        <w:rPr>
          <w:lang w:eastAsia="nl-NL"/>
        </w:rPr>
        <w:t xml:space="preserve"> De Raad voor Vergunningsbetwistingen brengt hierbij een belangrijke nuance aan: de loutere geografische samenhang van projecten volstaat niet om de MER-verplichting automatisch uit te breiden.</w:t>
      </w:r>
      <w:r>
        <w:rPr>
          <w:rStyle w:val="Voetnootmarkering"/>
          <w:lang w:eastAsia="nl-NL"/>
        </w:rPr>
        <w:footnoteReference w:id="113"/>
      </w:r>
      <w:r w:rsidRPr="006D3DD3">
        <w:rPr>
          <w:lang w:eastAsia="nl-NL"/>
        </w:rPr>
        <w:t xml:space="preserve"> De Vlaamse bestuursrechter benadrukt dat het in deze context om een functionele samenhang</w:t>
      </w:r>
      <w:r w:rsidR="00FB3D90">
        <w:rPr>
          <w:lang w:eastAsia="nl-NL"/>
        </w:rPr>
        <w:t xml:space="preserve"> </w:t>
      </w:r>
      <w:r w:rsidR="00FB3D90" w:rsidRPr="006D3DD3">
        <w:rPr>
          <w:lang w:eastAsia="nl-NL"/>
        </w:rPr>
        <w:t>moet gaan</w:t>
      </w:r>
      <w:r w:rsidRPr="006D3DD3">
        <w:rPr>
          <w:lang w:eastAsia="nl-NL"/>
        </w:rPr>
        <w:t>.</w:t>
      </w:r>
      <w:r w:rsidRPr="005E0D9C">
        <w:rPr>
          <w:lang w:eastAsia="nl-NL"/>
        </w:rPr>
        <w:t xml:space="preserve"> </w:t>
      </w:r>
    </w:p>
    <w:p w14:paraId="580D6B01" w14:textId="57907BFF" w:rsidR="0089198E" w:rsidRDefault="00780372" w:rsidP="0089198E">
      <w:pPr>
        <w:pStyle w:val="Body"/>
        <w:numPr>
          <w:ilvl w:val="0"/>
          <w:numId w:val="15"/>
        </w:numPr>
        <w:ind w:left="0" w:hanging="11"/>
        <w:rPr>
          <w:lang w:eastAsia="nl-NL"/>
        </w:rPr>
      </w:pPr>
      <w:r>
        <w:rPr>
          <w:lang w:eastAsia="nl-NL"/>
        </w:rPr>
        <w:t xml:space="preserve">Laat </w:t>
      </w:r>
      <w:r w:rsidR="0089198E">
        <w:rPr>
          <w:lang w:eastAsia="nl-NL"/>
        </w:rPr>
        <w:t>de aanvrager alsnog na een afdoende rapportage uit te voeren, dan leidt het ontbreken van de MER tot een procedurele onregelmatigheid op grond waarvan de vergunning succesvol kan worden bestreden.</w:t>
      </w:r>
      <w:r w:rsidR="0089198E">
        <w:rPr>
          <w:rStyle w:val="Voetnootmarkering"/>
          <w:lang w:eastAsia="nl-NL"/>
        </w:rPr>
        <w:footnoteReference w:id="114"/>
      </w:r>
    </w:p>
    <w:p w14:paraId="15CEDDDB" w14:textId="613AC306" w:rsidR="0089198E" w:rsidRDefault="0089198E" w:rsidP="0089198E">
      <w:pPr>
        <w:pStyle w:val="Body"/>
        <w:ind w:firstLine="708"/>
        <w:rPr>
          <w:lang w:eastAsia="nl-NL"/>
        </w:rPr>
      </w:pPr>
      <w:r w:rsidRPr="005E0D9C">
        <w:rPr>
          <w:lang w:eastAsia="nl-NL"/>
        </w:rPr>
        <w:t xml:space="preserve">Uit deze rechterlijke </w:t>
      </w:r>
      <w:r>
        <w:rPr>
          <w:lang w:eastAsia="nl-NL"/>
        </w:rPr>
        <w:t>beoordeling</w:t>
      </w:r>
      <w:r w:rsidRPr="005E0D9C">
        <w:rPr>
          <w:lang w:eastAsia="nl-NL"/>
        </w:rPr>
        <w:t xml:space="preserve"> volgt dat een gelijke benadering vereist is </w:t>
      </w:r>
      <w:r w:rsidR="00780372">
        <w:rPr>
          <w:lang w:eastAsia="nl-NL"/>
        </w:rPr>
        <w:t>zo</w:t>
      </w:r>
      <w:r w:rsidRPr="005E0D9C">
        <w:rPr>
          <w:lang w:eastAsia="nl-NL"/>
        </w:rPr>
        <w:t xml:space="preserve">als bij de passende beoordeling binnen het natuur- en soortenbehoud. Pogingen om via </w:t>
      </w:r>
      <w:r>
        <w:rPr>
          <w:lang w:eastAsia="nl-NL"/>
        </w:rPr>
        <w:t>ontsnappingsroutes</w:t>
      </w:r>
      <w:r w:rsidRPr="005E0D9C">
        <w:rPr>
          <w:lang w:eastAsia="nl-NL"/>
        </w:rPr>
        <w:t xml:space="preserve"> een milieueffectrapportage te vermijden, worden steevast door de bestuursrechter doorprikt. Bovendien is de inhoudelijke strengheid binnen de uit te voeren rapportage des te groter, wat de grondigheid van de milieueffectbeoordeling verder versterkt.</w:t>
      </w:r>
    </w:p>
    <w:p w14:paraId="3C21E1E4" w14:textId="57A87A60" w:rsidR="0089198E" w:rsidRPr="00B5750E" w:rsidRDefault="0089198E" w:rsidP="0089198E">
      <w:pPr>
        <w:pStyle w:val="Body"/>
        <w:numPr>
          <w:ilvl w:val="0"/>
          <w:numId w:val="15"/>
        </w:numPr>
        <w:ind w:left="0" w:hanging="11"/>
        <w:rPr>
          <w:szCs w:val="24"/>
        </w:rPr>
      </w:pPr>
      <w:r w:rsidRPr="00B5750E">
        <w:rPr>
          <w:szCs w:val="24"/>
        </w:rPr>
        <w:t>Wat betreft de MER-verplichtingen moet een dubbele vaststelling worden gemaakt</w:t>
      </w:r>
      <w:r>
        <w:rPr>
          <w:szCs w:val="24"/>
        </w:rPr>
        <w:t xml:space="preserve"> met betrekking tot de frequentie van obstakels</w:t>
      </w:r>
      <w:r w:rsidRPr="00B5750E">
        <w:rPr>
          <w:szCs w:val="24"/>
        </w:rPr>
        <w:t>. Enerzijds is de drempel voor de verplichting tot een MER-screening of een project-MER strikt bepaald, terwijl de verplichting tot een passende beoordeling in het kader van natuur- en soortenbehoud een minder objectief criterium hanteert.</w:t>
      </w:r>
      <w:r w:rsidRPr="00B5750E">
        <w:rPr>
          <w:rStyle w:val="Voetnootmarkering"/>
          <w:rFonts w:ascii="Calibri" w:hAnsi="Calibri" w:cs="Calibri"/>
          <w:szCs w:val="24"/>
          <w:lang w:val="nl-NL"/>
        </w:rPr>
        <w:footnoteReference w:id="115"/>
      </w:r>
      <w:r w:rsidRPr="00B5750E">
        <w:rPr>
          <w:szCs w:val="24"/>
        </w:rPr>
        <w:t xml:space="preserve"> </w:t>
      </w:r>
      <w:r>
        <w:rPr>
          <w:szCs w:val="24"/>
        </w:rPr>
        <w:t xml:space="preserve">De </w:t>
      </w:r>
      <w:r w:rsidRPr="00B5750E">
        <w:rPr>
          <w:szCs w:val="24"/>
        </w:rPr>
        <w:t xml:space="preserve">noodzaak tot </w:t>
      </w:r>
      <w:r>
        <w:rPr>
          <w:szCs w:val="24"/>
        </w:rPr>
        <w:t>enige</w:t>
      </w:r>
      <w:r w:rsidRPr="00B5750E">
        <w:rPr>
          <w:szCs w:val="24"/>
        </w:rPr>
        <w:t xml:space="preserve"> milieueffectrapportage </w:t>
      </w:r>
      <w:r>
        <w:rPr>
          <w:szCs w:val="24"/>
        </w:rPr>
        <w:t xml:space="preserve">is bij windturbines </w:t>
      </w:r>
      <w:r w:rsidRPr="00B5750E">
        <w:rPr>
          <w:szCs w:val="24"/>
        </w:rPr>
        <w:t xml:space="preserve">afhankelijk van de specifieke </w:t>
      </w:r>
      <w:r>
        <w:rPr>
          <w:szCs w:val="24"/>
        </w:rPr>
        <w:t xml:space="preserve">aard en </w:t>
      </w:r>
      <w:r w:rsidRPr="00B5750E">
        <w:rPr>
          <w:szCs w:val="24"/>
        </w:rPr>
        <w:t xml:space="preserve">kenmerken van </w:t>
      </w:r>
      <w:r>
        <w:rPr>
          <w:szCs w:val="24"/>
        </w:rPr>
        <w:t>het</w:t>
      </w:r>
      <w:r w:rsidRPr="00B5750E">
        <w:rPr>
          <w:szCs w:val="24"/>
        </w:rPr>
        <w:t xml:space="preserve"> windturbineproject. Dit impliceert </w:t>
      </w:r>
      <w:r w:rsidRPr="00B5750E">
        <w:rPr>
          <w:szCs w:val="24"/>
        </w:rPr>
        <w:lastRenderedPageBreak/>
        <w:t>dat de frequentie van deze verplichting in grote mate voorspelbaar is, aangezien de omvang en locatie van het project direct aangeven in hoeverre een MER vereist zal zijn.</w:t>
      </w:r>
    </w:p>
    <w:p w14:paraId="7AE3BEAB" w14:textId="3C29F699" w:rsidR="0089198E" w:rsidRPr="00685545" w:rsidRDefault="0089198E" w:rsidP="0089198E">
      <w:pPr>
        <w:pStyle w:val="Body"/>
        <w:ind w:firstLine="708"/>
        <w:rPr>
          <w:rFonts w:ascii="Times New Roman" w:hAnsi="Times New Roman"/>
          <w:szCs w:val="24"/>
          <w:lang w:eastAsia="nl-NL"/>
        </w:rPr>
      </w:pPr>
      <w:r w:rsidRPr="00B5750E">
        <w:rPr>
          <w:szCs w:val="24"/>
        </w:rPr>
        <w:t xml:space="preserve">Anderzijds blijkt dat, zodra een MER-screening of project-MER noodzakelijk is, de interne frequentie van specifieke </w:t>
      </w:r>
      <w:r>
        <w:rPr>
          <w:szCs w:val="24"/>
        </w:rPr>
        <w:t>bezwaren</w:t>
      </w:r>
      <w:r w:rsidRPr="00B5750E">
        <w:rPr>
          <w:szCs w:val="24"/>
        </w:rPr>
        <w:t xml:space="preserve"> zoals geluidshinder en slagschaduw</w:t>
      </w:r>
      <w:r>
        <w:rPr>
          <w:rFonts w:ascii="Calibri" w:hAnsi="Calibri" w:cs="Calibri"/>
          <w:szCs w:val="24"/>
          <w:lang w:val="nl-NL"/>
        </w:rPr>
        <w:t xml:space="preserve"> </w:t>
      </w:r>
      <w:r w:rsidRPr="00B5750E">
        <w:rPr>
          <w:szCs w:val="24"/>
        </w:rPr>
        <w:t xml:space="preserve">moeilijk eenduidig te bepalen valt. Factoren zoals de lokale </w:t>
      </w:r>
      <w:r w:rsidR="00AB0502">
        <w:rPr>
          <w:szCs w:val="24"/>
        </w:rPr>
        <w:t>aanvaarding</w:t>
      </w:r>
      <w:r w:rsidRPr="00B5750E">
        <w:rPr>
          <w:szCs w:val="24"/>
        </w:rPr>
        <w:t xml:space="preserve"> en het mogelijke optreden van het NIMBY-syndroom spelen hierin een cruciale rol. De huidige maatschappelijke trend omtrent de acceptatie van grootschalige hernieuwbare energieprojecten wijst er op dat dergelijke </w:t>
      </w:r>
      <w:r>
        <w:rPr>
          <w:szCs w:val="24"/>
        </w:rPr>
        <w:t>bezwaren</w:t>
      </w:r>
      <w:r w:rsidRPr="00B5750E">
        <w:rPr>
          <w:szCs w:val="24"/>
        </w:rPr>
        <w:t xml:space="preserve"> zich frequent zullen voordoen.</w:t>
      </w:r>
    </w:p>
    <w:p w14:paraId="0E1693F8" w14:textId="37D967A2" w:rsidR="0089198E" w:rsidRPr="00E47A44" w:rsidRDefault="0089198E" w:rsidP="0089198E">
      <w:pPr>
        <w:pStyle w:val="Body"/>
        <w:numPr>
          <w:ilvl w:val="0"/>
          <w:numId w:val="15"/>
        </w:numPr>
        <w:ind w:left="0" w:hanging="11"/>
      </w:pPr>
      <w:r w:rsidRPr="00E47A44">
        <w:t>In de praktijk kunnen MER-procedures er ook toe leiden dat bijkomende maatregelen worden opgelegd om de impact van geluid en slagschaduw te beperken, zoals afstandsregels tot woongebieden, maximale geluidsnormen en stilstandsregelingen</w:t>
      </w:r>
      <w:r w:rsidRPr="00E47A44">
        <w:rPr>
          <w:rStyle w:val="Voetnootmarkering"/>
        </w:rPr>
        <w:footnoteReference w:id="116"/>
      </w:r>
      <w:r w:rsidRPr="00E47A44">
        <w:t xml:space="preserve"> voor turbines tijdens specifieke momenten van de dag. Deze vereisten kunnen niet alleen de haalbaarheid van een project beïnvloeden, maar ook aanleiding geven tot juridische betwistingen en zelfs een verdere daling van de invester</w:t>
      </w:r>
      <w:r w:rsidR="00460A79">
        <w:t>i</w:t>
      </w:r>
      <w:r w:rsidRPr="00E47A44">
        <w:t>n</w:t>
      </w:r>
      <w:r w:rsidR="00460A79">
        <w:t>gsbereidheid</w:t>
      </w:r>
      <w:r w:rsidRPr="00E47A44">
        <w:t xml:space="preserve"> in deze projecten, wat de vergunningverlening aanzienlijk doet wankelen. Daarbij moet uiteraard de nuance gemaakt worden dat in bepaalde gevallen wel degelijk de noodzaak van dergelijke milderende maatregelen bestaat, en de milieuoverwegingen duidelijk boven de klimaatoverwegingen geplaatst moeten worden. Het is bijgevolg duidelijk dat de noodzaak dan wel onwenselijkheid van deze maatregelen steeds in concreto moet worden beoordeeld.</w:t>
      </w:r>
    </w:p>
    <w:p w14:paraId="13374FA9" w14:textId="77777777" w:rsidR="0089198E" w:rsidRPr="005F59C6" w:rsidRDefault="0089198E" w:rsidP="0089198E">
      <w:pPr>
        <w:pStyle w:val="Body"/>
        <w:ind w:firstLine="708"/>
      </w:pPr>
      <w:r w:rsidRPr="005F59C6">
        <w:t>In die zin stel ik ook de delicate aard van dergelijke milderende maatregelen vast. Dit betreft zowel hun formulering als doorwerking. Er bestaan tal van arresten waarin de Raad van State overgaat tot schorsing en vernietiging wanneer onvoldoende rekening wordt gehouden met de resultaten van uitgevoerde milieueffectrapportage, en in het bijzonder de in het rapport opgenomen milderende maatregelen.</w:t>
      </w:r>
      <w:r w:rsidRPr="005F59C6">
        <w:rPr>
          <w:rStyle w:val="Voetnootmarkering"/>
        </w:rPr>
        <w:footnoteReference w:id="117"/>
      </w:r>
    </w:p>
    <w:p w14:paraId="4BF7D392" w14:textId="4AF93A92" w:rsidR="0089198E" w:rsidRDefault="0089198E" w:rsidP="0089198E">
      <w:pPr>
        <w:pStyle w:val="Body"/>
        <w:numPr>
          <w:ilvl w:val="0"/>
          <w:numId w:val="15"/>
        </w:numPr>
        <w:ind w:left="0" w:hanging="11"/>
      </w:pPr>
      <w:r>
        <w:lastRenderedPageBreak/>
        <w:t>Het lijkt aangewezen om kort het verschil met, maar tegelijkertijd ook de samenhang tussen de MER enerzijds en de passende beoordeling anderzijds te bespreken. Zowel de MER als de passende beoordeling beogen de impact, al dan niet significant, te bepalen die bepaalde projecten teweegbrengen voor het leefmilieu. De aandachtige lezer merkt op dat de passende beoordeling in het kader van de Habitat- en Vogelrichtlijn specifiek handelt over de potentiële impact op beschermd natuurgebied.</w:t>
      </w:r>
      <w:r>
        <w:rPr>
          <w:rStyle w:val="Voetnootmarkering"/>
        </w:rPr>
        <w:footnoteReference w:id="118"/>
      </w:r>
      <w:r>
        <w:t xml:space="preserve"> De MER heeft een ruimere doelstelling, namelijk de impact op de algemene milieutoestand in een bepaald gebied. Zo zal bij de MER rekening worden gehouden met geluid, luchtkwaliteit, landschap en elke andere factor die een invloed uitoefent op het voorliggende gebied. </w:t>
      </w:r>
      <w:r w:rsidRPr="00106532">
        <w:t xml:space="preserve">Dit betekent dat, naast ecologische overwegingen, ook aspecten zoals geluidsoverlast en slagschaduw een essentieel onderdeel vormen van de beoordeling. In sommige gevallen kunnen deze factoren doorslaggevend zijn bij de vraag of een project al dan niet vergund wordt, zeker wanneer de cumulatieve impact met andere nabijgelegen windturbines significant blijkt. </w:t>
      </w:r>
      <w:r>
        <w:t>Hieruit kan men ook concluderen dat het slechts zelden zal voorvallen dat bij projecten waarvoor reeds een MER-screening werd uitgevoerd die niet leidde tot de verplichting een project-MER op te stellen, vervolgens wel een passende beoordeling moet worden gemaakt.</w:t>
      </w:r>
      <w:r>
        <w:rPr>
          <w:rStyle w:val="Voetnootmarkering"/>
        </w:rPr>
        <w:footnoteReference w:id="119"/>
      </w:r>
      <w:r>
        <w:t xml:space="preserve"> De MER-screening kent, net zoals de passende beoordeling, een onderzoeksplicht zolang er enige onzekerheid bestaat over het significante karakter van de effecten.</w:t>
      </w:r>
      <w:r>
        <w:rPr>
          <w:rStyle w:val="Voetnootmarkering"/>
        </w:rPr>
        <w:footnoteReference w:id="120"/>
      </w:r>
      <w:r>
        <w:t xml:space="preserve"> </w:t>
      </w:r>
    </w:p>
    <w:p w14:paraId="40B997FD" w14:textId="6FF24CFE" w:rsidR="0089198E" w:rsidRDefault="0089198E" w:rsidP="0089198E">
      <w:pPr>
        <w:pStyle w:val="Body"/>
        <w:ind w:firstLine="708"/>
      </w:pPr>
      <w:r>
        <w:t>Om het verschil tussen de passende beoordeling en de MER verder te verduidelijken, schetst tabel 1 op kernachtige wijze de relevate verschilpunten.</w:t>
      </w:r>
    </w:p>
    <w:p w14:paraId="4C629B7D" w14:textId="205F2DDE" w:rsidR="00460A79" w:rsidRDefault="00460A79" w:rsidP="0089198E">
      <w:pPr>
        <w:pStyle w:val="Body"/>
        <w:ind w:firstLine="708"/>
      </w:pPr>
    </w:p>
    <w:p w14:paraId="7E6F734A" w14:textId="77777777" w:rsidR="00460A79" w:rsidRDefault="00460A79" w:rsidP="0089198E">
      <w:pPr>
        <w:pStyle w:val="Body"/>
        <w:ind w:firstLine="708"/>
      </w:pPr>
    </w:p>
    <w:tbl>
      <w:tblPr>
        <w:tblStyle w:val="Rastertabel5donker-Accent1"/>
        <w:tblW w:w="0" w:type="auto"/>
        <w:tblInd w:w="-5" w:type="dxa"/>
        <w:tblLook w:val="04A0" w:firstRow="1" w:lastRow="0" w:firstColumn="1" w:lastColumn="0" w:noHBand="0" w:noVBand="1"/>
      </w:tblPr>
      <w:tblGrid>
        <w:gridCol w:w="2409"/>
        <w:gridCol w:w="3122"/>
        <w:gridCol w:w="3534"/>
      </w:tblGrid>
      <w:tr w:rsidR="0089198E" w:rsidRPr="00C55513" w14:paraId="7EA3D9AF" w14:textId="77777777" w:rsidTr="000D1DA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9" w:type="dxa"/>
            <w:tcBorders>
              <w:right w:val="single" w:sz="4" w:space="0" w:color="FFFFFF"/>
            </w:tcBorders>
          </w:tcPr>
          <w:p w14:paraId="16E9ACF0" w14:textId="77777777" w:rsidR="0089198E" w:rsidRPr="00C55513" w:rsidRDefault="0089198E" w:rsidP="000D1DA2">
            <w:pPr>
              <w:pStyle w:val="Body"/>
              <w:rPr>
                <w:bCs w:val="0"/>
                <w:color w:val="FFFFFF" w:themeColor="background1"/>
              </w:rPr>
            </w:pPr>
            <w:r w:rsidRPr="00C55513">
              <w:rPr>
                <w:bCs w:val="0"/>
                <w:color w:val="FFFFFF" w:themeColor="background1"/>
              </w:rPr>
              <w:lastRenderedPageBreak/>
              <w:t>Kenmerk</w:t>
            </w:r>
          </w:p>
        </w:tc>
        <w:tc>
          <w:tcPr>
            <w:tcW w:w="3122" w:type="dxa"/>
            <w:tcBorders>
              <w:left w:val="single" w:sz="4" w:space="0" w:color="FFFFFF"/>
              <w:right w:val="single" w:sz="4" w:space="0" w:color="FFFFFF"/>
            </w:tcBorders>
          </w:tcPr>
          <w:p w14:paraId="1D9C29F7" w14:textId="77777777" w:rsidR="0089198E" w:rsidRPr="00C55513" w:rsidRDefault="0089198E" w:rsidP="000D1DA2">
            <w:pPr>
              <w:pStyle w:val="Body"/>
              <w:cnfStyle w:val="100000000000" w:firstRow="1" w:lastRow="0" w:firstColumn="0" w:lastColumn="0" w:oddVBand="0" w:evenVBand="0" w:oddHBand="0" w:evenHBand="0" w:firstRowFirstColumn="0" w:firstRowLastColumn="0" w:lastRowFirstColumn="0" w:lastRowLastColumn="0"/>
              <w:rPr>
                <w:color w:val="FFFFFF" w:themeColor="background1"/>
              </w:rPr>
            </w:pPr>
            <w:r w:rsidRPr="00C55513">
              <w:rPr>
                <w:color w:val="FFFFFF" w:themeColor="background1"/>
              </w:rPr>
              <w:t>Passende beoordeling (natuur- en soortenbehoud)</w:t>
            </w:r>
          </w:p>
        </w:tc>
        <w:tc>
          <w:tcPr>
            <w:tcW w:w="0" w:type="auto"/>
            <w:tcBorders>
              <w:left w:val="single" w:sz="4" w:space="0" w:color="FFFFFF"/>
            </w:tcBorders>
          </w:tcPr>
          <w:p w14:paraId="0B029F3F" w14:textId="77777777" w:rsidR="0089198E" w:rsidRPr="00C55513" w:rsidRDefault="0089198E" w:rsidP="000D1DA2">
            <w:pPr>
              <w:pStyle w:val="Body"/>
              <w:cnfStyle w:val="100000000000" w:firstRow="1" w:lastRow="0" w:firstColumn="0" w:lastColumn="0" w:oddVBand="0" w:evenVBand="0" w:oddHBand="0" w:evenHBand="0" w:firstRowFirstColumn="0" w:firstRowLastColumn="0" w:lastRowFirstColumn="0" w:lastRowLastColumn="0"/>
              <w:rPr>
                <w:color w:val="FFFFFF" w:themeColor="background1"/>
              </w:rPr>
            </w:pPr>
            <w:r w:rsidRPr="00C55513">
              <w:rPr>
                <w:color w:val="FFFFFF" w:themeColor="background1"/>
              </w:rPr>
              <w:t>Milieueffectenrapportage</w:t>
            </w:r>
          </w:p>
        </w:tc>
      </w:tr>
      <w:tr w:rsidR="0089198E" w:rsidRPr="009E67EF" w14:paraId="45D72899" w14:textId="77777777" w:rsidTr="000D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6EE3140E" w14:textId="77777777" w:rsidR="0089198E" w:rsidRPr="00C55513" w:rsidRDefault="0089198E" w:rsidP="000D1DA2">
            <w:pPr>
              <w:pStyle w:val="Body"/>
              <w:rPr>
                <w:b w:val="0"/>
                <w:bCs w:val="0"/>
                <w:color w:val="FFFFFF" w:themeColor="background1"/>
              </w:rPr>
            </w:pPr>
            <w:r w:rsidRPr="00C55513">
              <w:rPr>
                <w:color w:val="FFFFFF" w:themeColor="background1"/>
              </w:rPr>
              <w:t>Doel</w:t>
            </w:r>
          </w:p>
        </w:tc>
        <w:tc>
          <w:tcPr>
            <w:tcW w:w="3122" w:type="dxa"/>
            <w:shd w:val="clear" w:color="auto" w:fill="98C7FF" w:themeFill="text1" w:themeFillTint="40"/>
          </w:tcPr>
          <w:p w14:paraId="188560E3" w14:textId="77777777" w:rsidR="0089198E" w:rsidRPr="00C55513" w:rsidRDefault="0089198E" w:rsidP="000D1DA2">
            <w:pPr>
              <w:pStyle w:val="Body"/>
              <w:jc w:val="left"/>
              <w:cnfStyle w:val="000000100000" w:firstRow="0" w:lastRow="0" w:firstColumn="0" w:lastColumn="0" w:oddVBand="0" w:evenVBand="0" w:oddHBand="1" w:evenHBand="0" w:firstRowFirstColumn="0" w:firstRowLastColumn="0" w:lastRowFirstColumn="0" w:lastRowLastColumn="0"/>
              <w:rPr>
                <w:color w:val="000000"/>
              </w:rPr>
            </w:pPr>
            <w:r w:rsidRPr="00C55513">
              <w:rPr>
                <w:b/>
                <w:bCs/>
                <w:color w:val="000000"/>
              </w:rPr>
              <w:t>Voorkomen</w:t>
            </w:r>
            <w:r w:rsidRPr="00C55513">
              <w:rPr>
                <w:color w:val="000000"/>
              </w:rPr>
              <w:t xml:space="preserve"> van significante negatieve effecten op Natura 2000-gebieden</w:t>
            </w:r>
          </w:p>
        </w:tc>
        <w:tc>
          <w:tcPr>
            <w:tcW w:w="0" w:type="auto"/>
            <w:shd w:val="clear" w:color="auto" w:fill="98C7FF" w:themeFill="text1" w:themeFillTint="40"/>
          </w:tcPr>
          <w:p w14:paraId="4FE2AB6C" w14:textId="77777777" w:rsidR="0089198E" w:rsidRPr="00C55513" w:rsidRDefault="0089198E" w:rsidP="000D1DA2">
            <w:pPr>
              <w:pStyle w:val="Body"/>
              <w:jc w:val="left"/>
              <w:cnfStyle w:val="000000100000" w:firstRow="0" w:lastRow="0" w:firstColumn="0" w:lastColumn="0" w:oddVBand="0" w:evenVBand="0" w:oddHBand="1" w:evenHBand="0" w:firstRowFirstColumn="0" w:firstRowLastColumn="0" w:lastRowFirstColumn="0" w:lastRowLastColumn="0"/>
              <w:rPr>
                <w:color w:val="000000"/>
              </w:rPr>
            </w:pPr>
            <w:r w:rsidRPr="00C55513">
              <w:rPr>
                <w:b/>
                <w:bCs/>
                <w:color w:val="000000"/>
              </w:rPr>
              <w:t>Identificeren</w:t>
            </w:r>
            <w:r w:rsidRPr="00C55513">
              <w:rPr>
                <w:color w:val="000000"/>
              </w:rPr>
              <w:t xml:space="preserve"> en </w:t>
            </w:r>
            <w:r w:rsidRPr="00C55513">
              <w:rPr>
                <w:b/>
                <w:bCs/>
                <w:color w:val="000000"/>
              </w:rPr>
              <w:t>beoordelen</w:t>
            </w:r>
            <w:r w:rsidRPr="00C55513">
              <w:rPr>
                <w:color w:val="000000"/>
              </w:rPr>
              <w:t xml:space="preserve"> van milieueffecten van projecten en plannen</w:t>
            </w:r>
          </w:p>
        </w:tc>
      </w:tr>
      <w:tr w:rsidR="0089198E" w:rsidRPr="009E67EF" w14:paraId="38618ECB" w14:textId="77777777" w:rsidTr="000D1DA2">
        <w:trPr>
          <w:trHeight w:val="2315"/>
        </w:trPr>
        <w:tc>
          <w:tcPr>
            <w:cnfStyle w:val="001000000000" w:firstRow="0" w:lastRow="0" w:firstColumn="1" w:lastColumn="0" w:oddVBand="0" w:evenVBand="0" w:oddHBand="0" w:evenHBand="0" w:firstRowFirstColumn="0" w:firstRowLastColumn="0" w:lastRowFirstColumn="0" w:lastRowLastColumn="0"/>
            <w:tcW w:w="2409" w:type="dxa"/>
          </w:tcPr>
          <w:p w14:paraId="6A3D51AB" w14:textId="77777777" w:rsidR="0089198E" w:rsidRPr="00C55513" w:rsidRDefault="0089198E" w:rsidP="000D1DA2">
            <w:pPr>
              <w:pStyle w:val="Body"/>
              <w:rPr>
                <w:color w:val="FFFFFF" w:themeColor="background1"/>
              </w:rPr>
            </w:pPr>
            <w:r w:rsidRPr="00C55513">
              <w:rPr>
                <w:color w:val="FFFFFF" w:themeColor="background1"/>
              </w:rPr>
              <w:t>Drempelwaarde</w:t>
            </w:r>
          </w:p>
        </w:tc>
        <w:tc>
          <w:tcPr>
            <w:tcW w:w="3122" w:type="dxa"/>
            <w:shd w:val="clear" w:color="auto" w:fill="98C7FF" w:themeFill="text1" w:themeFillTint="40"/>
          </w:tcPr>
          <w:p w14:paraId="4D72F007" w14:textId="77777777" w:rsidR="0089198E" w:rsidRPr="00C55513" w:rsidRDefault="0089198E" w:rsidP="000D1DA2">
            <w:pPr>
              <w:pStyle w:val="Body"/>
              <w:jc w:val="left"/>
              <w:cnfStyle w:val="000000000000" w:firstRow="0" w:lastRow="0" w:firstColumn="0" w:lastColumn="0" w:oddVBand="0" w:evenVBand="0" w:oddHBand="0" w:evenHBand="0" w:firstRowFirstColumn="0" w:firstRowLastColumn="0" w:lastRowFirstColumn="0" w:lastRowLastColumn="0"/>
              <w:rPr>
                <w:color w:val="000000"/>
              </w:rPr>
            </w:pPr>
            <w:r w:rsidRPr="00C55513">
              <w:rPr>
                <w:b/>
                <w:bCs/>
                <w:color w:val="000000"/>
              </w:rPr>
              <w:t>Strenge toetsing</w:t>
            </w:r>
            <w:r w:rsidRPr="00C55513">
              <w:rPr>
                <w:color w:val="000000"/>
              </w:rPr>
              <w:t>: een project mag alleen doorgaan als wetenschappelijk zekerheid bestaat dat er geen significante impact is</w:t>
            </w:r>
          </w:p>
        </w:tc>
        <w:tc>
          <w:tcPr>
            <w:tcW w:w="0" w:type="auto"/>
            <w:shd w:val="clear" w:color="auto" w:fill="98C7FF" w:themeFill="text1" w:themeFillTint="40"/>
          </w:tcPr>
          <w:p w14:paraId="4D6F0D64" w14:textId="77777777" w:rsidR="0089198E" w:rsidRPr="00C55513" w:rsidRDefault="0089198E" w:rsidP="000D1DA2">
            <w:pPr>
              <w:pStyle w:val="Body"/>
              <w:jc w:val="left"/>
              <w:cnfStyle w:val="000000000000" w:firstRow="0" w:lastRow="0" w:firstColumn="0" w:lastColumn="0" w:oddVBand="0" w:evenVBand="0" w:oddHBand="0" w:evenHBand="0" w:firstRowFirstColumn="0" w:firstRowLastColumn="0" w:lastRowFirstColumn="0" w:lastRowLastColumn="0"/>
              <w:rPr>
                <w:color w:val="000000"/>
              </w:rPr>
            </w:pPr>
            <w:r w:rsidRPr="00C55513">
              <w:rPr>
                <w:b/>
                <w:bCs/>
                <w:color w:val="000000"/>
              </w:rPr>
              <w:t>Relatief soepel</w:t>
            </w:r>
            <w:r w:rsidRPr="00C55513">
              <w:rPr>
                <w:color w:val="000000"/>
              </w:rPr>
              <w:t>: negatieve milieueffecten moeten worden beoordeeld, maar kunnen worden afgewogen en gemitigeerd</w:t>
            </w:r>
          </w:p>
        </w:tc>
      </w:tr>
      <w:tr w:rsidR="0089198E" w:rsidRPr="009E67EF" w14:paraId="4A5048F5" w14:textId="77777777" w:rsidTr="000D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11AFD6F1" w14:textId="77777777" w:rsidR="0089198E" w:rsidRPr="00C55513" w:rsidRDefault="0089198E" w:rsidP="000D1DA2">
            <w:pPr>
              <w:pStyle w:val="Body"/>
              <w:rPr>
                <w:color w:val="FFFFFF" w:themeColor="background1"/>
              </w:rPr>
            </w:pPr>
            <w:r w:rsidRPr="00C55513">
              <w:rPr>
                <w:color w:val="FFFFFF" w:themeColor="background1"/>
              </w:rPr>
              <w:t>Bewijslast</w:t>
            </w:r>
          </w:p>
        </w:tc>
        <w:tc>
          <w:tcPr>
            <w:tcW w:w="3122" w:type="dxa"/>
            <w:shd w:val="clear" w:color="auto" w:fill="98C7FF" w:themeFill="text1" w:themeFillTint="40"/>
          </w:tcPr>
          <w:p w14:paraId="21D5A32F" w14:textId="77777777" w:rsidR="0089198E" w:rsidRPr="00C55513" w:rsidRDefault="0089198E" w:rsidP="000D1DA2">
            <w:pPr>
              <w:pStyle w:val="Body"/>
              <w:jc w:val="left"/>
              <w:cnfStyle w:val="000000100000" w:firstRow="0" w:lastRow="0" w:firstColumn="0" w:lastColumn="0" w:oddVBand="0" w:evenVBand="0" w:oddHBand="1" w:evenHBand="0" w:firstRowFirstColumn="0" w:firstRowLastColumn="0" w:lastRowFirstColumn="0" w:lastRowLastColumn="0"/>
              <w:rPr>
                <w:color w:val="000000"/>
              </w:rPr>
            </w:pPr>
            <w:r w:rsidRPr="00C55513">
              <w:rPr>
                <w:b/>
                <w:bCs/>
                <w:color w:val="000000"/>
              </w:rPr>
              <w:t>Omgekeerde bewijslast</w:t>
            </w:r>
            <w:r w:rsidRPr="00C55513">
              <w:rPr>
                <w:color w:val="000000"/>
              </w:rPr>
              <w:t>: initiatiefnemer moet aantonen dat er géén significante gevolgen zijn</w:t>
            </w:r>
          </w:p>
        </w:tc>
        <w:tc>
          <w:tcPr>
            <w:tcW w:w="0" w:type="auto"/>
            <w:shd w:val="clear" w:color="auto" w:fill="98C7FF" w:themeFill="text1" w:themeFillTint="40"/>
          </w:tcPr>
          <w:p w14:paraId="1BE20E6E" w14:textId="77777777" w:rsidR="0089198E" w:rsidRPr="00C55513" w:rsidRDefault="0089198E" w:rsidP="000D1DA2">
            <w:pPr>
              <w:pStyle w:val="Body"/>
              <w:jc w:val="left"/>
              <w:cnfStyle w:val="000000100000" w:firstRow="0" w:lastRow="0" w:firstColumn="0" w:lastColumn="0" w:oddVBand="0" w:evenVBand="0" w:oddHBand="1" w:evenHBand="0" w:firstRowFirstColumn="0" w:firstRowLastColumn="0" w:lastRowFirstColumn="0" w:lastRowLastColumn="0"/>
              <w:rPr>
                <w:color w:val="000000"/>
              </w:rPr>
            </w:pPr>
            <w:r w:rsidRPr="00C55513">
              <w:rPr>
                <w:color w:val="000000"/>
              </w:rPr>
              <w:t>Geen absolute verbodsregel; projectontwikkelaar moet milieueffecten onderzoeken en eventueel milderende maatregelen nemen</w:t>
            </w:r>
          </w:p>
        </w:tc>
      </w:tr>
      <w:tr w:rsidR="0089198E" w:rsidRPr="009E67EF" w14:paraId="3554997B" w14:textId="77777777" w:rsidTr="000D1DA2">
        <w:tc>
          <w:tcPr>
            <w:cnfStyle w:val="001000000000" w:firstRow="0" w:lastRow="0" w:firstColumn="1" w:lastColumn="0" w:oddVBand="0" w:evenVBand="0" w:oddHBand="0" w:evenHBand="0" w:firstRowFirstColumn="0" w:firstRowLastColumn="0" w:lastRowFirstColumn="0" w:lastRowLastColumn="0"/>
            <w:tcW w:w="2409" w:type="dxa"/>
          </w:tcPr>
          <w:p w14:paraId="050BC549" w14:textId="77777777" w:rsidR="0089198E" w:rsidRPr="00C55513" w:rsidRDefault="0089198E" w:rsidP="000D1DA2">
            <w:pPr>
              <w:pStyle w:val="Body"/>
              <w:rPr>
                <w:color w:val="FFFFFF" w:themeColor="background1"/>
              </w:rPr>
            </w:pPr>
            <w:r w:rsidRPr="00C55513">
              <w:rPr>
                <w:color w:val="FFFFFF" w:themeColor="background1"/>
              </w:rPr>
              <w:t>Wetenschappelijke onzekerheid</w:t>
            </w:r>
          </w:p>
        </w:tc>
        <w:tc>
          <w:tcPr>
            <w:tcW w:w="3122" w:type="dxa"/>
            <w:shd w:val="clear" w:color="auto" w:fill="98C7FF" w:themeFill="text1" w:themeFillTint="40"/>
          </w:tcPr>
          <w:p w14:paraId="2F9C32AC" w14:textId="77777777" w:rsidR="0089198E" w:rsidRPr="00C55513" w:rsidRDefault="0089198E" w:rsidP="000D1DA2">
            <w:pPr>
              <w:pStyle w:val="Body"/>
              <w:jc w:val="left"/>
              <w:cnfStyle w:val="000000000000" w:firstRow="0" w:lastRow="0" w:firstColumn="0" w:lastColumn="0" w:oddVBand="0" w:evenVBand="0" w:oddHBand="0" w:evenHBand="0" w:firstRowFirstColumn="0" w:firstRowLastColumn="0" w:lastRowFirstColumn="0" w:lastRowLastColumn="0"/>
              <w:rPr>
                <w:color w:val="000000"/>
              </w:rPr>
            </w:pPr>
            <w:r w:rsidRPr="00C55513">
              <w:rPr>
                <w:b/>
                <w:bCs/>
                <w:color w:val="000000"/>
              </w:rPr>
              <w:t>Strikte toepassing van het voorzorgsbeginsel</w:t>
            </w:r>
            <w:r w:rsidRPr="00C55513">
              <w:rPr>
                <w:color w:val="000000"/>
              </w:rPr>
              <w:t>: bij enige onzekerheid mag het project niet doorgaan</w:t>
            </w:r>
          </w:p>
        </w:tc>
        <w:tc>
          <w:tcPr>
            <w:tcW w:w="0" w:type="auto"/>
            <w:shd w:val="clear" w:color="auto" w:fill="98C7FF" w:themeFill="text1" w:themeFillTint="40"/>
          </w:tcPr>
          <w:p w14:paraId="1650D052" w14:textId="77777777" w:rsidR="0089198E" w:rsidRPr="00C55513" w:rsidRDefault="0089198E" w:rsidP="000D1DA2">
            <w:pPr>
              <w:pStyle w:val="Body"/>
              <w:jc w:val="left"/>
              <w:cnfStyle w:val="000000000000" w:firstRow="0" w:lastRow="0" w:firstColumn="0" w:lastColumn="0" w:oddVBand="0" w:evenVBand="0" w:oddHBand="0" w:evenHBand="0" w:firstRowFirstColumn="0" w:firstRowLastColumn="0" w:lastRowFirstColumn="0" w:lastRowLastColumn="0"/>
              <w:rPr>
                <w:color w:val="000000"/>
              </w:rPr>
            </w:pPr>
            <w:r w:rsidRPr="00C55513">
              <w:rPr>
                <w:color w:val="000000"/>
              </w:rPr>
              <w:t>Wetenschappelijke onzekerheid speelt een rol, maar blokkeert het project niet automatisch</w:t>
            </w:r>
          </w:p>
        </w:tc>
      </w:tr>
      <w:tr w:rsidR="0089198E" w:rsidRPr="009E67EF" w14:paraId="121B205D" w14:textId="77777777" w:rsidTr="000D1DA2">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2409" w:type="dxa"/>
          </w:tcPr>
          <w:p w14:paraId="0990C64C" w14:textId="77777777" w:rsidR="0089198E" w:rsidRPr="00C55513" w:rsidRDefault="0089198E" w:rsidP="000D1DA2">
            <w:pPr>
              <w:pStyle w:val="Body"/>
              <w:rPr>
                <w:color w:val="FFFFFF" w:themeColor="background1"/>
              </w:rPr>
            </w:pPr>
            <w:r w:rsidRPr="00C55513">
              <w:rPr>
                <w:color w:val="FFFFFF" w:themeColor="background1"/>
              </w:rPr>
              <w:t>Cumulatieve effecten</w:t>
            </w:r>
          </w:p>
        </w:tc>
        <w:tc>
          <w:tcPr>
            <w:tcW w:w="3122" w:type="dxa"/>
            <w:shd w:val="clear" w:color="auto" w:fill="98C7FF" w:themeFill="text1" w:themeFillTint="40"/>
          </w:tcPr>
          <w:p w14:paraId="12141772" w14:textId="77777777" w:rsidR="0089198E" w:rsidRPr="00C55513" w:rsidRDefault="0089198E" w:rsidP="000D1DA2">
            <w:pPr>
              <w:pStyle w:val="Body"/>
              <w:jc w:val="left"/>
              <w:cnfStyle w:val="000000100000" w:firstRow="0" w:lastRow="0" w:firstColumn="0" w:lastColumn="0" w:oddVBand="0" w:evenVBand="0" w:oddHBand="1" w:evenHBand="0" w:firstRowFirstColumn="0" w:firstRowLastColumn="0" w:lastRowFirstColumn="0" w:lastRowLastColumn="0"/>
              <w:rPr>
                <w:color w:val="000000"/>
              </w:rPr>
            </w:pPr>
            <w:r w:rsidRPr="00C55513">
              <w:rPr>
                <w:color w:val="000000"/>
              </w:rPr>
              <w:t>Moeten expliciet worden beoordeelden</w:t>
            </w:r>
            <w:r>
              <w:rPr>
                <w:color w:val="000000"/>
              </w:rPr>
              <w:t xml:space="preserve"> en</w:t>
            </w:r>
            <w:r w:rsidRPr="00C55513">
              <w:rPr>
                <w:color w:val="000000"/>
              </w:rPr>
              <w:t xml:space="preserve"> kunnen een doorslaggevend obstakel vormen</w:t>
            </w:r>
          </w:p>
        </w:tc>
        <w:tc>
          <w:tcPr>
            <w:tcW w:w="0" w:type="auto"/>
            <w:shd w:val="clear" w:color="auto" w:fill="98C7FF" w:themeFill="text1" w:themeFillTint="40"/>
          </w:tcPr>
          <w:p w14:paraId="27D42EFB" w14:textId="77777777" w:rsidR="0089198E" w:rsidRPr="00C55513" w:rsidRDefault="0089198E" w:rsidP="000D1DA2">
            <w:pPr>
              <w:pStyle w:val="Body"/>
              <w:keepNext/>
              <w:jc w:val="left"/>
              <w:cnfStyle w:val="000000100000" w:firstRow="0" w:lastRow="0" w:firstColumn="0" w:lastColumn="0" w:oddVBand="0" w:evenVBand="0" w:oddHBand="1" w:evenHBand="0" w:firstRowFirstColumn="0" w:firstRowLastColumn="0" w:lastRowFirstColumn="0" w:lastRowLastColumn="0"/>
              <w:rPr>
                <w:color w:val="000000"/>
              </w:rPr>
            </w:pPr>
            <w:r w:rsidRPr="00C55513">
              <w:rPr>
                <w:color w:val="000000"/>
              </w:rPr>
              <w:t>Moeten in rekening worden gebracht, maar minder stringent</w:t>
            </w:r>
          </w:p>
        </w:tc>
      </w:tr>
    </w:tbl>
    <w:p w14:paraId="35B546B5" w14:textId="77777777" w:rsidR="0089198E" w:rsidRDefault="0089198E" w:rsidP="0089198E">
      <w:pPr>
        <w:pStyle w:val="Bijschrift"/>
        <w:rPr>
          <w:lang w:val="nl-BE"/>
        </w:rPr>
      </w:pPr>
      <w:r w:rsidRPr="0089198E">
        <w:rPr>
          <w:lang w:val="nl-BE"/>
        </w:rPr>
        <w:t xml:space="preserve">Tabel </w:t>
      </w:r>
      <w:r>
        <w:fldChar w:fldCharType="begin"/>
      </w:r>
      <w:r w:rsidRPr="0089198E">
        <w:rPr>
          <w:lang w:val="nl-BE"/>
        </w:rPr>
        <w:instrText xml:space="preserve"> SEQ Tabel \* ARABIC </w:instrText>
      </w:r>
      <w:r>
        <w:fldChar w:fldCharType="separate"/>
      </w:r>
      <w:r w:rsidRPr="0089198E">
        <w:rPr>
          <w:noProof/>
          <w:lang w:val="nl-BE"/>
        </w:rPr>
        <w:t>1</w:t>
      </w:r>
      <w:r>
        <w:fldChar w:fldCharType="end"/>
      </w:r>
      <w:r w:rsidRPr="0089198E">
        <w:rPr>
          <w:lang w:val="nl-BE"/>
        </w:rPr>
        <w:t>: de fundamentele verschillen tussen de passende beoordeling en de millieueffectrapportage.</w:t>
      </w:r>
    </w:p>
    <w:p w14:paraId="6F622D51" w14:textId="77777777" w:rsidR="0089198E" w:rsidRPr="0089198E" w:rsidRDefault="0089198E" w:rsidP="0089198E">
      <w:pPr>
        <w:rPr>
          <w:lang w:val="nl-BE"/>
        </w:rPr>
      </w:pPr>
    </w:p>
    <w:p w14:paraId="65E118F2" w14:textId="4091B765" w:rsidR="0089198E" w:rsidRDefault="0089198E" w:rsidP="0089198E">
      <w:pPr>
        <w:pStyle w:val="Body"/>
        <w:numPr>
          <w:ilvl w:val="0"/>
          <w:numId w:val="15"/>
        </w:numPr>
        <w:ind w:left="0" w:hanging="11"/>
      </w:pPr>
      <w:r>
        <w:t xml:space="preserve">Een logisch gevolg dat voortvloeit uit de beschouwingen </w:t>
      </w:r>
      <w:r w:rsidR="00460A79">
        <w:t xml:space="preserve">in </w:t>
      </w:r>
      <w:r>
        <w:t xml:space="preserve">het vorige randnummer, is de aanwezigheid van een </w:t>
      </w:r>
      <w:r w:rsidR="00460A79">
        <w:t>ver</w:t>
      </w:r>
      <w:r>
        <w:t>gelijk</w:t>
      </w:r>
      <w:r w:rsidR="00460A79">
        <w:t>baar</w:t>
      </w:r>
      <w:r>
        <w:t xml:space="preserve"> obstakel inzake de onzekerheid in wetenschappelijke impactmodellen zo</w:t>
      </w:r>
      <w:r w:rsidRPr="00CB15B7">
        <w:t>als bij de passende beoordeling</w:t>
      </w:r>
      <w:r>
        <w:t xml:space="preserve">. </w:t>
      </w:r>
    </w:p>
    <w:p w14:paraId="144E210A" w14:textId="74679FBB" w:rsidR="0089198E" w:rsidRDefault="0089198E" w:rsidP="0089198E">
      <w:pPr>
        <w:pStyle w:val="Body"/>
        <w:ind w:firstLine="510"/>
      </w:pPr>
      <w:r>
        <w:t>Uit de randnummers met betrekking tot dit thema moet worden besloten dat ook de MER-regelgeving aanzienlijke obstakels opwerpt die de vergunning van hernieuwbare energieprojecten zoals bijvoorbeeld windmolens bemoeilijken.</w:t>
      </w:r>
      <w:r w:rsidRPr="00A4462D">
        <w:rPr>
          <w:b/>
          <w:bCs/>
          <w:color w:val="000000"/>
          <w:sz w:val="20"/>
        </w:rPr>
        <w:t xml:space="preserve"> </w:t>
      </w:r>
      <w:r w:rsidRPr="00E47A44">
        <w:t>De vereisten rond geluidsoverlast en slagschaduw tonen daarbij aan dat niet alleen de ecologische impact, maar ook de gevolgen voor de menselijke leefomgeving een cruciale rol spelen in het vergunningsproces. Hierdoor kunnen bijkomende beperkingen en voorwaarden worden opgelegd, wat de realisatie van windenergieprojecten verder kan bemoeilijken.</w:t>
      </w:r>
      <w:r>
        <w:t xml:space="preserve"> In het ergste geval zullen bezwaren inzake leefmilieu uiteindelijk tot de weigeringsbeslissing door de vergunningverlenende overheid dan wel de vernietiging van de vergunning leiden.</w:t>
      </w:r>
    </w:p>
    <w:p w14:paraId="3A00E636" w14:textId="78522244" w:rsidR="0094054D" w:rsidRDefault="0094054D" w:rsidP="0094054D">
      <w:pPr>
        <w:pStyle w:val="Kop2"/>
      </w:pPr>
      <w:bookmarkStart w:id="16" w:name="_Toc193312405"/>
      <w:r>
        <w:t>Het Verdrag van Aarhus</w:t>
      </w:r>
      <w:bookmarkEnd w:id="16"/>
    </w:p>
    <w:p w14:paraId="2470EBD0" w14:textId="77777777" w:rsidR="0094054D" w:rsidRDefault="0094054D" w:rsidP="0094054D">
      <w:pPr>
        <w:pStyle w:val="Body"/>
        <w:numPr>
          <w:ilvl w:val="0"/>
          <w:numId w:val="15"/>
        </w:numPr>
        <w:ind w:left="0" w:hanging="11"/>
        <w:rPr>
          <w:rFonts w:ascii="Calibri" w:hAnsi="Calibri" w:cs="Calibri"/>
        </w:rPr>
      </w:pPr>
      <w:r w:rsidRPr="00D97687">
        <w:rPr>
          <w:rFonts w:ascii="Calibri" w:hAnsi="Calibri" w:cs="Calibri"/>
        </w:rPr>
        <w:t xml:space="preserve">Naast de </w:t>
      </w:r>
      <w:r>
        <w:rPr>
          <w:rFonts w:ascii="Calibri" w:hAnsi="Calibri" w:cs="Calibri"/>
        </w:rPr>
        <w:t>regelgeving inzake de milieueffectrapportage en natuurbehoud</w:t>
      </w:r>
      <w:r w:rsidRPr="00D97687">
        <w:rPr>
          <w:rFonts w:ascii="Calibri" w:hAnsi="Calibri" w:cs="Calibri"/>
        </w:rPr>
        <w:t xml:space="preserve"> vorm</w:t>
      </w:r>
      <w:r>
        <w:rPr>
          <w:rFonts w:ascii="Calibri" w:hAnsi="Calibri" w:cs="Calibri"/>
        </w:rPr>
        <w:t>en de bepalingen</w:t>
      </w:r>
      <w:r w:rsidRPr="00D97687">
        <w:rPr>
          <w:rFonts w:ascii="Calibri" w:hAnsi="Calibri" w:cs="Calibri"/>
        </w:rPr>
        <w:t xml:space="preserve"> </w:t>
      </w:r>
      <w:r>
        <w:rPr>
          <w:rFonts w:ascii="Calibri" w:hAnsi="Calibri" w:cs="Calibri"/>
        </w:rPr>
        <w:t xml:space="preserve">van </w:t>
      </w:r>
      <w:r w:rsidRPr="00D97687">
        <w:rPr>
          <w:rFonts w:ascii="Calibri" w:hAnsi="Calibri" w:cs="Calibri"/>
        </w:rPr>
        <w:t>het Verdrag van Aarhus</w:t>
      </w:r>
      <w:r>
        <w:rPr>
          <w:rStyle w:val="Voetnootmarkering"/>
          <w:rFonts w:ascii="Calibri" w:hAnsi="Calibri" w:cs="Calibri"/>
        </w:rPr>
        <w:footnoteReference w:id="121"/>
      </w:r>
      <w:r w:rsidRPr="00D97687">
        <w:rPr>
          <w:rFonts w:ascii="Calibri" w:hAnsi="Calibri" w:cs="Calibri"/>
        </w:rPr>
        <w:t xml:space="preserve"> </w:t>
      </w:r>
      <w:r>
        <w:rPr>
          <w:rFonts w:ascii="Calibri" w:hAnsi="Calibri" w:cs="Calibri"/>
        </w:rPr>
        <w:t>ook mogelijke</w:t>
      </w:r>
      <w:r w:rsidRPr="00D97687">
        <w:rPr>
          <w:rFonts w:ascii="Calibri" w:hAnsi="Calibri" w:cs="Calibri"/>
        </w:rPr>
        <w:t xml:space="preserve"> obstakel</w:t>
      </w:r>
      <w:r>
        <w:rPr>
          <w:rFonts w:ascii="Calibri" w:hAnsi="Calibri" w:cs="Calibri"/>
        </w:rPr>
        <w:t>s</w:t>
      </w:r>
      <w:r w:rsidRPr="00D97687">
        <w:rPr>
          <w:rFonts w:ascii="Calibri" w:hAnsi="Calibri" w:cs="Calibri"/>
        </w:rPr>
        <w:t xml:space="preserve"> voor de vergunningverlening </w:t>
      </w:r>
      <w:r>
        <w:rPr>
          <w:rFonts w:ascii="Calibri" w:hAnsi="Calibri" w:cs="Calibri"/>
        </w:rPr>
        <w:t>voor</w:t>
      </w:r>
      <w:r w:rsidRPr="00D97687">
        <w:rPr>
          <w:rFonts w:ascii="Calibri" w:hAnsi="Calibri" w:cs="Calibri"/>
        </w:rPr>
        <w:t xml:space="preserve"> windturbineprojecten. Het Verdrag</w:t>
      </w:r>
      <w:r>
        <w:rPr>
          <w:rFonts w:ascii="Calibri" w:hAnsi="Calibri" w:cs="Calibri"/>
        </w:rPr>
        <w:t xml:space="preserve"> </w:t>
      </w:r>
      <w:r w:rsidRPr="00D97687">
        <w:rPr>
          <w:rFonts w:ascii="Calibri" w:hAnsi="Calibri" w:cs="Calibri"/>
        </w:rPr>
        <w:t xml:space="preserve">heeft als doel om burgers en milieuorganisaties verregaande </w:t>
      </w:r>
      <w:r>
        <w:rPr>
          <w:rFonts w:ascii="Calibri" w:hAnsi="Calibri" w:cs="Calibri"/>
        </w:rPr>
        <w:t>inspraak</w:t>
      </w:r>
      <w:r w:rsidRPr="00D97687">
        <w:rPr>
          <w:rFonts w:ascii="Calibri" w:hAnsi="Calibri" w:cs="Calibri"/>
        </w:rPr>
        <w:t>rechten toe te kennen op het gebied van milieu</w:t>
      </w:r>
      <w:r>
        <w:rPr>
          <w:rFonts w:ascii="Calibri" w:hAnsi="Calibri" w:cs="Calibri"/>
        </w:rPr>
        <w:t>aangelegenheden</w:t>
      </w:r>
      <w:r w:rsidRPr="00D97687">
        <w:rPr>
          <w:rFonts w:ascii="Calibri" w:hAnsi="Calibri" w:cs="Calibri"/>
        </w:rPr>
        <w:t>.</w:t>
      </w:r>
      <w:r>
        <w:rPr>
          <w:rStyle w:val="Voetnootmarkering"/>
          <w:rFonts w:ascii="Calibri" w:hAnsi="Calibri" w:cs="Calibri"/>
        </w:rPr>
        <w:footnoteReference w:id="122"/>
      </w:r>
      <w:r w:rsidRPr="00D97687">
        <w:rPr>
          <w:rFonts w:ascii="Calibri" w:hAnsi="Calibri" w:cs="Calibri"/>
        </w:rPr>
        <w:t xml:space="preserve"> Dit gebeurt via drie pijlers: toegang tot milieu-informatie</w:t>
      </w:r>
      <w:r>
        <w:rPr>
          <w:rStyle w:val="Voetnootmarkering"/>
          <w:rFonts w:ascii="Calibri" w:hAnsi="Calibri" w:cs="Calibri"/>
        </w:rPr>
        <w:footnoteReference w:id="123"/>
      </w:r>
      <w:r w:rsidRPr="00D97687">
        <w:rPr>
          <w:rFonts w:ascii="Calibri" w:hAnsi="Calibri" w:cs="Calibri"/>
        </w:rPr>
        <w:t>, inspraak in besluitvorming</w:t>
      </w:r>
      <w:r>
        <w:rPr>
          <w:rStyle w:val="Voetnootmarkering"/>
          <w:rFonts w:ascii="Calibri" w:hAnsi="Calibri" w:cs="Calibri"/>
        </w:rPr>
        <w:footnoteReference w:id="124"/>
      </w:r>
      <w:r w:rsidRPr="00D97687">
        <w:rPr>
          <w:rFonts w:ascii="Calibri" w:hAnsi="Calibri" w:cs="Calibri"/>
        </w:rPr>
        <w:t xml:space="preserve"> en toegang tot de rechter</w:t>
      </w:r>
      <w:r>
        <w:rPr>
          <w:rStyle w:val="Voetnootmarkering"/>
          <w:rFonts w:ascii="Calibri" w:hAnsi="Calibri" w:cs="Calibri"/>
        </w:rPr>
        <w:footnoteReference w:id="125"/>
      </w:r>
      <w:r w:rsidRPr="00D97687">
        <w:rPr>
          <w:rFonts w:ascii="Calibri" w:hAnsi="Calibri" w:cs="Calibri"/>
        </w:rPr>
        <w:t xml:space="preserve"> in milieuaangelegenheden. </w:t>
      </w:r>
      <w:r>
        <w:rPr>
          <w:rFonts w:ascii="Calibri" w:hAnsi="Calibri" w:cs="Calibri"/>
        </w:rPr>
        <w:t xml:space="preserve">In die zin zal ook voor het inplanten van windturbineprojecten een </w:t>
      </w:r>
      <w:r w:rsidRPr="00D97687">
        <w:rPr>
          <w:rFonts w:ascii="Calibri" w:hAnsi="Calibri" w:cs="Calibri"/>
        </w:rPr>
        <w:t>substantiële impact</w:t>
      </w:r>
      <w:r>
        <w:rPr>
          <w:rFonts w:ascii="Calibri" w:hAnsi="Calibri" w:cs="Calibri"/>
        </w:rPr>
        <w:t xml:space="preserve"> aan de orde </w:t>
      </w:r>
      <w:r>
        <w:rPr>
          <w:rFonts w:ascii="Calibri" w:hAnsi="Calibri" w:cs="Calibri"/>
        </w:rPr>
        <w:lastRenderedPageBreak/>
        <w:t>zijn, aangezien een dergelijk project naar de letter van het verdrag ook een milieuaangelegenheid betreft.</w:t>
      </w:r>
      <w:r>
        <w:rPr>
          <w:rStyle w:val="Voetnootmarkering"/>
          <w:rFonts w:ascii="Calibri" w:hAnsi="Calibri" w:cs="Calibri"/>
        </w:rPr>
        <w:footnoteReference w:id="126"/>
      </w:r>
    </w:p>
    <w:p w14:paraId="1B135E7C" w14:textId="44C80B95" w:rsidR="0094054D" w:rsidRDefault="0094054D" w:rsidP="0094054D">
      <w:pPr>
        <w:pStyle w:val="Body"/>
        <w:numPr>
          <w:ilvl w:val="0"/>
          <w:numId w:val="15"/>
        </w:numPr>
        <w:ind w:left="0" w:hanging="11"/>
        <w:rPr>
          <w:rFonts w:ascii="Calibri" w:hAnsi="Calibri" w:cs="Calibri"/>
        </w:rPr>
      </w:pPr>
      <w:r w:rsidRPr="00F332E5">
        <w:rPr>
          <w:rFonts w:ascii="Calibri" w:hAnsi="Calibri" w:cs="Calibri"/>
        </w:rPr>
        <w:t>Het Verdrag van Aarhus waarborgt aldus fundamentele burgerrechten in milieuaangelegenheden, maar de toepassing ervan zal mogelijk een belemmering vormen voor een snelle energietransitie. De inspraakprocedures kunnen namelijk leiden tot langdurige vergunningstrajecten door uitgebreide consultaties en eventuele bezwaarprocedures. Dit kan ertoe leiden dat projecten, zelfs wanneer ze voldoen aan de reeds strenge milieuregels en procedures uit voorgaande ondertitels, te maken krijgen met aanzienlijke vertragingen. Zo kan ook de brede toegang tot de rechter leiden tot een toename van juridische procedures, waarbij belanghebbenden, in geval van milieuverenigingen zelfs zonder direct belang</w:t>
      </w:r>
      <w:r>
        <w:rPr>
          <w:rStyle w:val="Voetnootmarkering"/>
          <w:rFonts w:ascii="Calibri" w:hAnsi="Calibri" w:cs="Calibri"/>
        </w:rPr>
        <w:footnoteReference w:id="127"/>
      </w:r>
      <w:r w:rsidRPr="00F332E5">
        <w:rPr>
          <w:rFonts w:ascii="Calibri" w:hAnsi="Calibri" w:cs="Calibri"/>
        </w:rPr>
        <w:t>, vergunningen kunnen aanvechten. Zo bepaalt het verdrag dat niet-gouvernementele organisaties die zich inzetten voor milieubescherming automatisch vold</w:t>
      </w:r>
      <w:r w:rsidR="005E0D0F">
        <w:rPr>
          <w:rFonts w:ascii="Calibri" w:hAnsi="Calibri" w:cs="Calibri"/>
        </w:rPr>
        <w:t>oe</w:t>
      </w:r>
      <w:r w:rsidRPr="00F332E5">
        <w:rPr>
          <w:rFonts w:ascii="Calibri" w:hAnsi="Calibri" w:cs="Calibri"/>
        </w:rPr>
        <w:t>n aan het vereiste belang om beroep aan te tekenen.</w:t>
      </w:r>
      <w:r>
        <w:rPr>
          <w:rStyle w:val="Voetnootmarkering"/>
          <w:rFonts w:ascii="Calibri" w:hAnsi="Calibri" w:cs="Calibri"/>
        </w:rPr>
        <w:footnoteReference w:id="128"/>
      </w:r>
      <w:r w:rsidRPr="00F332E5">
        <w:rPr>
          <w:rFonts w:ascii="Calibri" w:hAnsi="Calibri" w:cs="Calibri"/>
        </w:rPr>
        <w:t xml:space="preserve"> </w:t>
      </w:r>
    </w:p>
    <w:p w14:paraId="511C7F4E" w14:textId="12BE3A72" w:rsidR="0094054D" w:rsidRPr="00F332E5" w:rsidRDefault="0094054D" w:rsidP="0094054D">
      <w:pPr>
        <w:pStyle w:val="Body"/>
        <w:numPr>
          <w:ilvl w:val="0"/>
          <w:numId w:val="15"/>
        </w:numPr>
        <w:ind w:left="0" w:hanging="11"/>
        <w:rPr>
          <w:rFonts w:ascii="Calibri" w:hAnsi="Calibri" w:cs="Calibri"/>
        </w:rPr>
      </w:pPr>
      <w:r w:rsidRPr="00B5750E">
        <w:rPr>
          <w:szCs w:val="24"/>
        </w:rPr>
        <w:t xml:space="preserve">Aansluitend bij het vorige randnummer kan worden gesteld dat het Verdrag van Aarhus, door vergaande rechten te bieden met betrekking tot de inspraakprocedure en de mogelijkheid om vergunningen juridisch aan te vechten, een frequent procedureel obstakel vormt. Dit </w:t>
      </w:r>
      <w:r w:rsidR="005E0D0F">
        <w:rPr>
          <w:szCs w:val="24"/>
        </w:rPr>
        <w:t>sluit aan bij</w:t>
      </w:r>
      <w:r w:rsidRPr="00B5750E">
        <w:rPr>
          <w:szCs w:val="24"/>
        </w:rPr>
        <w:t xml:space="preserve"> het NIMBY-syndroom, waarbij lokale tegenstanders en belangengroepen </w:t>
      </w:r>
      <w:r w:rsidR="004C6920">
        <w:rPr>
          <w:szCs w:val="24"/>
        </w:rPr>
        <w:t xml:space="preserve">de bepalingen van het verdrag </w:t>
      </w:r>
      <w:r w:rsidRPr="00B5750E">
        <w:rPr>
          <w:szCs w:val="24"/>
        </w:rPr>
        <w:t>gebruik</w:t>
      </w:r>
      <w:r w:rsidR="004C6920">
        <w:rPr>
          <w:szCs w:val="24"/>
        </w:rPr>
        <w:t>en</w:t>
      </w:r>
      <w:r w:rsidRPr="00B5750E">
        <w:rPr>
          <w:szCs w:val="24"/>
        </w:rPr>
        <w:t xml:space="preserve"> om relatief eenvoudig de vergunningsprocedure voor windturbines te vertragen en uiteindelijk te blokkeren </w:t>
      </w:r>
      <w:r w:rsidR="004C6920">
        <w:rPr>
          <w:szCs w:val="24"/>
        </w:rPr>
        <w:t>op basis van</w:t>
      </w:r>
      <w:r w:rsidR="004C6920" w:rsidRPr="00B5750E">
        <w:rPr>
          <w:szCs w:val="24"/>
        </w:rPr>
        <w:t xml:space="preserve"> </w:t>
      </w:r>
      <w:r w:rsidRPr="00B5750E">
        <w:rPr>
          <w:szCs w:val="24"/>
        </w:rPr>
        <w:t>milieuoverwegingen. Deze ‘milieuoverwegingen’ zullen in de praktijk een zeer breed scala aan projecten en plannen raken, nu enige invloed op het leefmilieu aanleiding geeft tot dergelijke bezwaren. In dit verband zal de impliciete mogelijkheid tot obstructie via de Aarhusbepalingen bijdragen aan de frequentie van de procedurele obstakels.</w:t>
      </w:r>
    </w:p>
    <w:p w14:paraId="4D4CBF62" w14:textId="2126A0F3" w:rsidR="0094054D" w:rsidRPr="00D97687" w:rsidRDefault="00220578" w:rsidP="0094054D">
      <w:pPr>
        <w:pStyle w:val="Body"/>
        <w:numPr>
          <w:ilvl w:val="0"/>
          <w:numId w:val="15"/>
        </w:numPr>
        <w:ind w:left="0" w:hanging="11"/>
        <w:rPr>
          <w:rFonts w:ascii="Calibri" w:hAnsi="Calibri" w:cs="Calibri"/>
        </w:rPr>
      </w:pPr>
      <w:r>
        <w:rPr>
          <w:rFonts w:ascii="Calibri" w:hAnsi="Calibri" w:cs="Calibri"/>
        </w:rPr>
        <w:lastRenderedPageBreak/>
        <w:t>D</w:t>
      </w:r>
      <w:r w:rsidR="0094054D">
        <w:rPr>
          <w:rFonts w:ascii="Calibri" w:hAnsi="Calibri" w:cs="Calibri"/>
        </w:rPr>
        <w:t xml:space="preserve">e verregaande inspraakmogelijkheden en rechten tot het verkrijgen van alle relevante informatie </w:t>
      </w:r>
      <w:r>
        <w:rPr>
          <w:rFonts w:ascii="Calibri" w:hAnsi="Calibri" w:cs="Calibri"/>
        </w:rPr>
        <w:t xml:space="preserve">doen </w:t>
      </w:r>
      <w:r w:rsidR="0094054D">
        <w:rPr>
          <w:rFonts w:ascii="Calibri" w:hAnsi="Calibri" w:cs="Calibri"/>
        </w:rPr>
        <w:t>ook afbreuk aan de zin tot investeren in hernieuwbare energieprojecten. Dankzij deze inspraakmogelijkheden zal sprake zijn van</w:t>
      </w:r>
      <w:r w:rsidR="0094054D" w:rsidRPr="00D97687">
        <w:rPr>
          <w:rFonts w:ascii="Calibri" w:hAnsi="Calibri" w:cs="Calibri"/>
        </w:rPr>
        <w:t xml:space="preserve"> bijkomende kosten</w:t>
      </w:r>
      <w:r w:rsidR="0094054D">
        <w:rPr>
          <w:rFonts w:ascii="Calibri" w:hAnsi="Calibri" w:cs="Calibri"/>
        </w:rPr>
        <w:t xml:space="preserve"> en verdere procedurele belasting voor aanvragers</w:t>
      </w:r>
      <w:r w:rsidR="0094054D" w:rsidRPr="00D97687">
        <w:rPr>
          <w:rFonts w:ascii="Calibri" w:hAnsi="Calibri" w:cs="Calibri"/>
        </w:rPr>
        <w:t>,</w:t>
      </w:r>
      <w:r w:rsidR="0094054D">
        <w:rPr>
          <w:rFonts w:ascii="Calibri" w:hAnsi="Calibri" w:cs="Calibri"/>
        </w:rPr>
        <w:t xml:space="preserve"> wat de zin tot investeren in bijvoorbeeld windturbineprojecten des te meer afremt.</w:t>
      </w:r>
    </w:p>
    <w:p w14:paraId="1456E999" w14:textId="44B1B22A" w:rsidR="0094054D" w:rsidRPr="00D97687" w:rsidRDefault="0094054D" w:rsidP="0094054D">
      <w:pPr>
        <w:pStyle w:val="Body"/>
        <w:numPr>
          <w:ilvl w:val="0"/>
          <w:numId w:val="15"/>
        </w:numPr>
        <w:ind w:left="0" w:hanging="11"/>
        <w:rPr>
          <w:rFonts w:ascii="Calibri" w:hAnsi="Calibri" w:cs="Calibri"/>
        </w:rPr>
      </w:pPr>
      <w:r w:rsidRPr="00D97687">
        <w:rPr>
          <w:rFonts w:ascii="Calibri" w:hAnsi="Calibri" w:cs="Calibri"/>
        </w:rPr>
        <w:t>Een ander</w:t>
      </w:r>
      <w:r>
        <w:rPr>
          <w:rFonts w:ascii="Calibri" w:hAnsi="Calibri" w:cs="Calibri"/>
        </w:rPr>
        <w:t xml:space="preserve">e leemte </w:t>
      </w:r>
      <w:r w:rsidR="00220578">
        <w:rPr>
          <w:rFonts w:ascii="Calibri" w:hAnsi="Calibri" w:cs="Calibri"/>
        </w:rPr>
        <w:t>is</w:t>
      </w:r>
      <w:r>
        <w:rPr>
          <w:rFonts w:ascii="Calibri" w:hAnsi="Calibri" w:cs="Calibri"/>
        </w:rPr>
        <w:t xml:space="preserve"> terug </w:t>
      </w:r>
      <w:r w:rsidR="00220578">
        <w:rPr>
          <w:rFonts w:ascii="Calibri" w:hAnsi="Calibri" w:cs="Calibri"/>
        </w:rPr>
        <w:t xml:space="preserve">te vinden </w:t>
      </w:r>
      <w:r>
        <w:rPr>
          <w:rFonts w:ascii="Calibri" w:hAnsi="Calibri" w:cs="Calibri"/>
        </w:rPr>
        <w:t>in de</w:t>
      </w:r>
      <w:r w:rsidRPr="00D97687">
        <w:rPr>
          <w:rFonts w:ascii="Calibri" w:hAnsi="Calibri" w:cs="Calibri"/>
        </w:rPr>
        <w:t xml:space="preserve"> algemene toepassing van het verdrag op verschillende soorten hernieuwbare energieprojecten, zonder rekening te houden met de schaal en impact van het project. Dit kan ervoor zorgen dat kleinschalige projecten met beperkte milieueffecten onderworpen worden aan dezelfde strikte inspraakprocedures als grootschalige projecten met een aanzienlijke impact op de omgeving.</w:t>
      </w:r>
      <w:r>
        <w:rPr>
          <w:rFonts w:ascii="Calibri" w:hAnsi="Calibri" w:cs="Calibri"/>
        </w:rPr>
        <w:t xml:space="preserve"> </w:t>
      </w:r>
      <w:r w:rsidRPr="00D97687">
        <w:rPr>
          <w:rFonts w:ascii="Calibri" w:hAnsi="Calibri" w:cs="Calibri"/>
        </w:rPr>
        <w:t>Bovendien ontbreekt in het verdrag een duidelijke afbakening van termijnen binnen de vergunningsprocedures.</w:t>
      </w:r>
      <w:r>
        <w:rPr>
          <w:rFonts w:ascii="Calibri" w:hAnsi="Calibri" w:cs="Calibri"/>
        </w:rPr>
        <w:t xml:space="preserve"> Zo vermeldt het verdrag louter een </w:t>
      </w:r>
      <w:r w:rsidR="00220578">
        <w:rPr>
          <w:rFonts w:ascii="Calibri" w:hAnsi="Calibri" w:cs="Calibri"/>
        </w:rPr>
        <w:t>‘</w:t>
      </w:r>
      <w:r>
        <w:rPr>
          <w:rFonts w:ascii="Calibri" w:hAnsi="Calibri" w:cs="Calibri"/>
        </w:rPr>
        <w:t>redelijke termijn</w:t>
      </w:r>
      <w:r w:rsidR="00220578">
        <w:rPr>
          <w:rFonts w:ascii="Calibri" w:hAnsi="Calibri" w:cs="Calibri"/>
        </w:rPr>
        <w:t>’</w:t>
      </w:r>
      <w:r>
        <w:rPr>
          <w:rFonts w:ascii="Calibri" w:hAnsi="Calibri" w:cs="Calibri"/>
        </w:rPr>
        <w:t xml:space="preserve"> voor de verschillende fasen van de inspraakprocedure.</w:t>
      </w:r>
      <w:r>
        <w:rPr>
          <w:rStyle w:val="Voetnootmarkering"/>
          <w:rFonts w:ascii="Calibri" w:hAnsi="Calibri" w:cs="Calibri"/>
        </w:rPr>
        <w:footnoteReference w:id="129"/>
      </w:r>
      <w:r>
        <w:rPr>
          <w:rFonts w:ascii="Calibri" w:hAnsi="Calibri" w:cs="Calibri"/>
        </w:rPr>
        <w:t xml:space="preserve"> In Vlaanderen zit de inspraakprocedure evenwel vervat in het openbaar onderzoek dat voorafgaat aan de uiteindelijke vergunningverlening. Voor het openbaar onderzoek gelden wel concrete termijnen</w:t>
      </w:r>
      <w:r>
        <w:rPr>
          <w:rStyle w:val="Voetnootmarkering"/>
          <w:rFonts w:ascii="Calibri" w:hAnsi="Calibri" w:cs="Calibri"/>
        </w:rPr>
        <w:footnoteReference w:id="130"/>
      </w:r>
      <w:r>
        <w:rPr>
          <w:rFonts w:ascii="Calibri" w:hAnsi="Calibri" w:cs="Calibri"/>
        </w:rPr>
        <w:t>, waardoor het uitblijven van deze termijnbepalingen in het verdrag minstens voor het Vlaamse vergunningskader genuanceerd moeten worden.</w:t>
      </w:r>
    </w:p>
    <w:p w14:paraId="654C41A3" w14:textId="180774B7" w:rsidR="0094054D" w:rsidRDefault="0094054D" w:rsidP="0094054D">
      <w:pPr>
        <w:pStyle w:val="Body"/>
        <w:numPr>
          <w:ilvl w:val="0"/>
          <w:numId w:val="15"/>
        </w:numPr>
        <w:ind w:left="0" w:hanging="11"/>
        <w:rPr>
          <w:rFonts w:ascii="Calibri" w:hAnsi="Calibri" w:cs="Calibri"/>
        </w:rPr>
      </w:pPr>
      <w:r w:rsidRPr="00D97687">
        <w:rPr>
          <w:rFonts w:ascii="Calibri" w:hAnsi="Calibri" w:cs="Calibri"/>
        </w:rPr>
        <w:t>Daarnaast kunnen openbare inspraakprocedures en het recht op bezwaar door derden worden aangewend als obstructiemiddel, waardoor de oorspronkelijke doelstelling van het verdrag – het beschermen van milieu en burgerparticipatie –</w:t>
      </w:r>
      <w:r>
        <w:rPr>
          <w:rFonts w:ascii="Calibri" w:hAnsi="Calibri" w:cs="Calibri"/>
        </w:rPr>
        <w:t xml:space="preserve"> </w:t>
      </w:r>
      <w:r w:rsidRPr="00D97687">
        <w:rPr>
          <w:rFonts w:ascii="Calibri" w:hAnsi="Calibri" w:cs="Calibri"/>
        </w:rPr>
        <w:t xml:space="preserve">wordt ondermijnd. Dit leidt ertoe dat sommige projecten worden opgehouden door actoren die niet noodzakelijk handelen uit </w:t>
      </w:r>
      <w:r>
        <w:rPr>
          <w:rFonts w:ascii="Calibri" w:hAnsi="Calibri" w:cs="Calibri"/>
        </w:rPr>
        <w:t>overwegingen van milieubescherming</w:t>
      </w:r>
      <w:r w:rsidRPr="00D97687">
        <w:rPr>
          <w:rFonts w:ascii="Calibri" w:hAnsi="Calibri" w:cs="Calibri"/>
        </w:rPr>
        <w:t>.</w:t>
      </w:r>
      <w:r w:rsidRPr="00790335">
        <w:rPr>
          <w:rFonts w:ascii="Times New Roman" w:eastAsia="Times New Roman" w:hAnsi="Times New Roman" w:cs="Times New Roman"/>
          <w:color w:val="000000"/>
          <w:lang w:eastAsia="nl-NL"/>
        </w:rPr>
        <w:t xml:space="preserve"> </w:t>
      </w:r>
      <w:r w:rsidRPr="00790335">
        <w:rPr>
          <w:rFonts w:ascii="Calibri" w:hAnsi="Calibri" w:cs="Calibri"/>
        </w:rPr>
        <w:t xml:space="preserve">In de praktijk blijkt vaak dat lokaal verzet, zowel van </w:t>
      </w:r>
      <w:r w:rsidRPr="00790335">
        <w:rPr>
          <w:rFonts w:ascii="Calibri" w:hAnsi="Calibri" w:cs="Calibri"/>
        </w:rPr>
        <w:lastRenderedPageBreak/>
        <w:t>burgers</w:t>
      </w:r>
      <w:r>
        <w:rPr>
          <w:rStyle w:val="Voetnootmarkering"/>
          <w:rFonts w:ascii="Calibri" w:hAnsi="Calibri" w:cs="Calibri"/>
        </w:rPr>
        <w:footnoteReference w:id="131"/>
      </w:r>
      <w:r w:rsidRPr="00790335">
        <w:rPr>
          <w:rFonts w:ascii="Calibri" w:hAnsi="Calibri" w:cs="Calibri"/>
        </w:rPr>
        <w:t xml:space="preserve"> als beleidslieden</w:t>
      </w:r>
      <w:r>
        <w:rPr>
          <w:rStyle w:val="Voetnootmarkering"/>
          <w:rFonts w:ascii="Calibri" w:hAnsi="Calibri" w:cs="Calibri"/>
        </w:rPr>
        <w:footnoteReference w:id="132"/>
      </w:r>
      <w:r>
        <w:rPr>
          <w:rFonts w:ascii="Calibri" w:hAnsi="Calibri" w:cs="Calibri"/>
        </w:rPr>
        <w:t xml:space="preserve"> (en niet zelden voortvloeiend uit het NIMBY-syndroom</w:t>
      </w:r>
      <w:r>
        <w:rPr>
          <w:rStyle w:val="Voetnootmarkering"/>
          <w:rFonts w:ascii="Calibri" w:hAnsi="Calibri" w:cs="Calibri"/>
        </w:rPr>
        <w:footnoteReference w:id="133"/>
      </w:r>
      <w:r>
        <w:rPr>
          <w:rFonts w:ascii="Calibri" w:hAnsi="Calibri" w:cs="Calibri"/>
        </w:rPr>
        <w:t>)</w:t>
      </w:r>
      <w:r w:rsidRPr="00790335">
        <w:rPr>
          <w:rFonts w:ascii="Calibri" w:hAnsi="Calibri" w:cs="Calibri"/>
        </w:rPr>
        <w:t>, de aanleiding vormt tot dergelijke obstructie</w:t>
      </w:r>
      <w:r>
        <w:rPr>
          <w:rStyle w:val="Voetnootmarkering"/>
          <w:rFonts w:ascii="Calibri" w:hAnsi="Calibri" w:cs="Calibri"/>
        </w:rPr>
        <w:footnoteReference w:id="134"/>
      </w:r>
      <w:r w:rsidRPr="00790335">
        <w:rPr>
          <w:rFonts w:ascii="Calibri" w:hAnsi="Calibri" w:cs="Calibri"/>
        </w:rPr>
        <w:t xml:space="preserve">, waarbij </w:t>
      </w:r>
      <w:r>
        <w:rPr>
          <w:rFonts w:ascii="Calibri" w:hAnsi="Calibri" w:cs="Calibri"/>
        </w:rPr>
        <w:t xml:space="preserve">steun gevonden wordt in </w:t>
      </w:r>
      <w:r w:rsidRPr="00790335">
        <w:rPr>
          <w:rFonts w:ascii="Calibri" w:hAnsi="Calibri" w:cs="Calibri"/>
        </w:rPr>
        <w:t xml:space="preserve">de juridische instrumenten </w:t>
      </w:r>
      <w:r>
        <w:rPr>
          <w:rFonts w:ascii="Calibri" w:hAnsi="Calibri" w:cs="Calibri"/>
        </w:rPr>
        <w:t xml:space="preserve">die het Verdrag van Aarhus </w:t>
      </w:r>
      <w:r w:rsidRPr="00790335">
        <w:rPr>
          <w:rFonts w:ascii="Calibri" w:hAnsi="Calibri" w:cs="Calibri"/>
        </w:rPr>
        <w:t>aanreikt om projecten te vertragen of zelfs volledig tegen te houden.</w:t>
      </w:r>
    </w:p>
    <w:p w14:paraId="397EE6C1" w14:textId="77777777" w:rsidR="0094054D" w:rsidRPr="00EF2F2E" w:rsidRDefault="0094054D" w:rsidP="0094054D">
      <w:pPr>
        <w:pStyle w:val="Body"/>
        <w:numPr>
          <w:ilvl w:val="0"/>
          <w:numId w:val="15"/>
        </w:numPr>
        <w:ind w:left="0" w:hanging="11"/>
        <w:rPr>
          <w:rFonts w:ascii="Calibri" w:hAnsi="Calibri" w:cs="Calibri"/>
        </w:rPr>
      </w:pPr>
      <w:r w:rsidRPr="00EF2F2E">
        <w:rPr>
          <w:rFonts w:ascii="Calibri" w:hAnsi="Calibri" w:cs="Calibri"/>
        </w:rPr>
        <w:t xml:space="preserve">De uitgebreide bezwaar- en beroepsprocedures </w:t>
      </w:r>
      <w:r>
        <w:rPr>
          <w:rFonts w:ascii="Calibri" w:hAnsi="Calibri" w:cs="Calibri"/>
        </w:rPr>
        <w:t xml:space="preserve">uit het Verdrag van Aarhus </w:t>
      </w:r>
      <w:r w:rsidRPr="00EF2F2E">
        <w:rPr>
          <w:rFonts w:ascii="Calibri" w:hAnsi="Calibri" w:cs="Calibri"/>
        </w:rPr>
        <w:t>roepen de vraag op of burgers vandaag de dag niet over een buitensporig aantal rechten</w:t>
      </w:r>
      <w:r>
        <w:rPr>
          <w:rFonts w:ascii="Calibri" w:hAnsi="Calibri" w:cs="Calibri"/>
        </w:rPr>
        <w:t xml:space="preserve"> ter bestrijding van bijvoorbeeld windturbineprojecten</w:t>
      </w:r>
      <w:r w:rsidRPr="00EF2F2E">
        <w:rPr>
          <w:rFonts w:ascii="Calibri" w:hAnsi="Calibri" w:cs="Calibri"/>
        </w:rPr>
        <w:t xml:space="preserve"> beschikken. </w:t>
      </w:r>
      <w:r>
        <w:rPr>
          <w:rFonts w:ascii="Calibri" w:hAnsi="Calibri" w:cs="Calibri"/>
        </w:rPr>
        <w:t>Bijkomend</w:t>
      </w:r>
      <w:r w:rsidRPr="00EF2F2E">
        <w:rPr>
          <w:rFonts w:ascii="Calibri" w:hAnsi="Calibri" w:cs="Calibri"/>
        </w:rPr>
        <w:t xml:space="preserve"> rijst</w:t>
      </w:r>
      <w:r>
        <w:rPr>
          <w:rFonts w:ascii="Calibri" w:hAnsi="Calibri" w:cs="Calibri"/>
        </w:rPr>
        <w:t xml:space="preserve"> ook</w:t>
      </w:r>
      <w:r w:rsidRPr="00EF2F2E">
        <w:rPr>
          <w:rFonts w:ascii="Calibri" w:hAnsi="Calibri" w:cs="Calibri"/>
        </w:rPr>
        <w:t xml:space="preserve"> </w:t>
      </w:r>
      <w:r>
        <w:rPr>
          <w:rFonts w:ascii="Calibri" w:hAnsi="Calibri" w:cs="Calibri"/>
        </w:rPr>
        <w:t>vraag</w:t>
      </w:r>
      <w:r w:rsidRPr="00EF2F2E">
        <w:rPr>
          <w:rFonts w:ascii="Calibri" w:hAnsi="Calibri" w:cs="Calibri"/>
        </w:rPr>
        <w:t xml:space="preserve"> of het verlenen en uitvoeren van </w:t>
      </w:r>
      <w:r>
        <w:rPr>
          <w:rFonts w:ascii="Calibri" w:hAnsi="Calibri" w:cs="Calibri"/>
        </w:rPr>
        <w:t xml:space="preserve">dergelijke </w:t>
      </w:r>
      <w:r w:rsidRPr="00EF2F2E">
        <w:rPr>
          <w:rFonts w:ascii="Calibri" w:hAnsi="Calibri" w:cs="Calibri"/>
        </w:rPr>
        <w:t>projecten van groot maatschappelijk belang</w:t>
      </w:r>
      <w:r>
        <w:rPr>
          <w:rFonts w:ascii="Calibri" w:hAnsi="Calibri" w:cs="Calibri"/>
        </w:rPr>
        <w:t xml:space="preserve"> – </w:t>
      </w:r>
      <w:r w:rsidRPr="00EF2F2E">
        <w:rPr>
          <w:rFonts w:ascii="Calibri" w:hAnsi="Calibri" w:cs="Calibri"/>
        </w:rPr>
        <w:t xml:space="preserve">en essentieel worden geacht voor de </w:t>
      </w:r>
      <w:r>
        <w:rPr>
          <w:rFonts w:ascii="Calibri" w:hAnsi="Calibri" w:cs="Calibri"/>
        </w:rPr>
        <w:t xml:space="preserve">broodnodige </w:t>
      </w:r>
      <w:r w:rsidRPr="00EF2F2E">
        <w:rPr>
          <w:rFonts w:ascii="Calibri" w:hAnsi="Calibri" w:cs="Calibri"/>
        </w:rPr>
        <w:t xml:space="preserve">energietransitie </w:t>
      </w:r>
      <w:r>
        <w:rPr>
          <w:rFonts w:ascii="Calibri" w:hAnsi="Calibri" w:cs="Calibri"/>
        </w:rPr>
        <w:t xml:space="preserve">– </w:t>
      </w:r>
      <w:r w:rsidRPr="00EF2F2E">
        <w:rPr>
          <w:rFonts w:ascii="Calibri" w:hAnsi="Calibri" w:cs="Calibri"/>
        </w:rPr>
        <w:t>een inperking van deze rechten zou kunnen rechtvaardigen.</w:t>
      </w:r>
      <w:r>
        <w:rPr>
          <w:rStyle w:val="Voetnootmarkering"/>
          <w:rFonts w:ascii="Calibri" w:hAnsi="Calibri" w:cs="Calibri"/>
        </w:rPr>
        <w:footnoteReference w:id="135"/>
      </w:r>
      <w:r>
        <w:rPr>
          <w:rFonts w:ascii="Calibri" w:hAnsi="Calibri" w:cs="Calibri"/>
        </w:rPr>
        <w:t xml:space="preserve"> Ook de recente herziening</w:t>
      </w:r>
      <w:r>
        <w:rPr>
          <w:rStyle w:val="Voetnootmarkering"/>
          <w:rFonts w:ascii="Calibri" w:hAnsi="Calibri" w:cs="Calibri"/>
        </w:rPr>
        <w:footnoteReference w:id="136"/>
      </w:r>
      <w:r>
        <w:rPr>
          <w:rFonts w:ascii="Calibri" w:hAnsi="Calibri" w:cs="Calibri"/>
        </w:rPr>
        <w:t xml:space="preserve"> van</w:t>
      </w:r>
      <w:r w:rsidRPr="00EF2F2E">
        <w:rPr>
          <w:rFonts w:ascii="Calibri" w:hAnsi="Calibri" w:cs="Calibri"/>
        </w:rPr>
        <w:t xml:space="preserve"> </w:t>
      </w:r>
      <w:r>
        <w:rPr>
          <w:rFonts w:ascii="Calibri" w:hAnsi="Calibri" w:cs="Calibri"/>
        </w:rPr>
        <w:t>de</w:t>
      </w:r>
      <w:r w:rsidRPr="00EF2F2E">
        <w:rPr>
          <w:rFonts w:ascii="Calibri" w:hAnsi="Calibri" w:cs="Calibri"/>
        </w:rPr>
        <w:t xml:space="preserve"> Richtlijn Hernieuwbare Energie</w:t>
      </w:r>
      <w:r>
        <w:rPr>
          <w:rFonts w:ascii="Calibri" w:hAnsi="Calibri" w:cs="Calibri"/>
        </w:rPr>
        <w:t xml:space="preserve"> (Renewable Energy Directive, in het geval van de herziene richtlijn “RED III”)</w:t>
      </w:r>
      <w:r w:rsidRPr="00EF2F2E">
        <w:rPr>
          <w:rFonts w:ascii="Calibri" w:hAnsi="Calibri" w:cs="Calibri"/>
        </w:rPr>
        <w:t xml:space="preserve"> </w:t>
      </w:r>
      <w:r>
        <w:rPr>
          <w:rFonts w:ascii="Calibri" w:hAnsi="Calibri" w:cs="Calibri"/>
        </w:rPr>
        <w:t xml:space="preserve">toont </w:t>
      </w:r>
      <w:r w:rsidRPr="00EF2F2E">
        <w:rPr>
          <w:rFonts w:ascii="Calibri" w:hAnsi="Calibri" w:cs="Calibri"/>
        </w:rPr>
        <w:t xml:space="preserve">expliciet </w:t>
      </w:r>
      <w:r>
        <w:rPr>
          <w:rFonts w:ascii="Calibri" w:hAnsi="Calibri" w:cs="Calibri"/>
        </w:rPr>
        <w:t>de</w:t>
      </w:r>
      <w:r w:rsidRPr="00EF2F2E">
        <w:rPr>
          <w:rFonts w:ascii="Calibri" w:hAnsi="Calibri" w:cs="Calibri"/>
        </w:rPr>
        <w:t xml:space="preserve"> bezorgdheid</w:t>
      </w:r>
      <w:r>
        <w:rPr>
          <w:rFonts w:ascii="Calibri" w:hAnsi="Calibri" w:cs="Calibri"/>
        </w:rPr>
        <w:t xml:space="preserve"> van de Europese wetgever</w:t>
      </w:r>
      <w:r w:rsidRPr="00EF2F2E">
        <w:rPr>
          <w:rFonts w:ascii="Calibri" w:hAnsi="Calibri" w:cs="Calibri"/>
        </w:rPr>
        <w:t xml:space="preserve"> over de tijdrovende en kostbare </w:t>
      </w:r>
      <w:r w:rsidRPr="00EF2F2E">
        <w:rPr>
          <w:rFonts w:ascii="Calibri" w:hAnsi="Calibri" w:cs="Calibri"/>
        </w:rPr>
        <w:lastRenderedPageBreak/>
        <w:t>administratieve procedures die de vergunningverlening voor hernieuwbare energieprojecten bemoeilijken.</w:t>
      </w:r>
      <w:r>
        <w:rPr>
          <w:rStyle w:val="Voetnootmarkering"/>
          <w:rFonts w:ascii="Calibri" w:hAnsi="Calibri" w:cs="Calibri"/>
        </w:rPr>
        <w:footnoteReference w:id="137"/>
      </w:r>
    </w:p>
    <w:p w14:paraId="172CD5EF" w14:textId="5AF2F875" w:rsidR="0094054D" w:rsidRPr="00D97687" w:rsidRDefault="0094054D" w:rsidP="00BE5BD8">
      <w:pPr>
        <w:pStyle w:val="Body"/>
        <w:ind w:firstLine="708"/>
        <w:rPr>
          <w:rFonts w:ascii="Calibri" w:hAnsi="Calibri" w:cs="Calibri"/>
        </w:rPr>
      </w:pPr>
      <w:r>
        <w:rPr>
          <w:rFonts w:ascii="Calibri" w:hAnsi="Calibri" w:cs="Calibri"/>
        </w:rPr>
        <w:t>H</w:t>
      </w:r>
      <w:r w:rsidRPr="00EF2F2E">
        <w:rPr>
          <w:rFonts w:ascii="Calibri" w:hAnsi="Calibri" w:cs="Calibri"/>
        </w:rPr>
        <w:t>et Hof van Justitie</w:t>
      </w:r>
      <w:r>
        <w:rPr>
          <w:rFonts w:ascii="Calibri" w:hAnsi="Calibri" w:cs="Calibri"/>
        </w:rPr>
        <w:t xml:space="preserve"> </w:t>
      </w:r>
      <w:r w:rsidRPr="00EF2F2E">
        <w:rPr>
          <w:rFonts w:ascii="Calibri" w:hAnsi="Calibri" w:cs="Calibri"/>
        </w:rPr>
        <w:t xml:space="preserve">verduidelijkt </w:t>
      </w:r>
      <w:r>
        <w:rPr>
          <w:rFonts w:ascii="Calibri" w:hAnsi="Calibri" w:cs="Calibri"/>
        </w:rPr>
        <w:t xml:space="preserve">in </w:t>
      </w:r>
      <w:r w:rsidR="00053256">
        <w:rPr>
          <w:rFonts w:ascii="Calibri" w:hAnsi="Calibri" w:cs="Calibri"/>
        </w:rPr>
        <w:t xml:space="preserve">zijn </w:t>
      </w:r>
      <w:r>
        <w:rPr>
          <w:rFonts w:ascii="Calibri" w:hAnsi="Calibri" w:cs="Calibri"/>
        </w:rPr>
        <w:t xml:space="preserve">recente rechtspraak wel </w:t>
      </w:r>
      <w:r w:rsidRPr="00EF2F2E">
        <w:rPr>
          <w:rFonts w:ascii="Calibri" w:hAnsi="Calibri" w:cs="Calibri"/>
        </w:rPr>
        <w:t>dat het recht op toegang tot de rechter in milieuzaken, zoals bepaald in het Verdrag van Aarhus, niet onbeperkt geldt.</w:t>
      </w:r>
      <w:r>
        <w:rPr>
          <w:rStyle w:val="Voetnootmarkering"/>
          <w:rFonts w:ascii="Calibri" w:hAnsi="Calibri" w:cs="Calibri"/>
        </w:rPr>
        <w:footnoteReference w:id="138"/>
      </w:r>
      <w:r w:rsidRPr="00EF2F2E">
        <w:rPr>
          <w:rFonts w:ascii="Calibri" w:hAnsi="Calibri" w:cs="Calibri"/>
        </w:rPr>
        <w:t xml:space="preserve"> Het Hof oordeelde </w:t>
      </w:r>
      <w:r>
        <w:rPr>
          <w:rFonts w:ascii="Calibri" w:hAnsi="Calibri" w:cs="Calibri"/>
        </w:rPr>
        <w:t xml:space="preserve">meer specifiek </w:t>
      </w:r>
      <w:r w:rsidRPr="00EF2F2E">
        <w:rPr>
          <w:rFonts w:ascii="Calibri" w:hAnsi="Calibri" w:cs="Calibri"/>
        </w:rPr>
        <w:t xml:space="preserve">dat </w:t>
      </w:r>
      <w:r>
        <w:rPr>
          <w:rFonts w:ascii="Calibri" w:hAnsi="Calibri" w:cs="Calibri"/>
        </w:rPr>
        <w:t xml:space="preserve">van </w:t>
      </w:r>
      <w:r w:rsidRPr="00EF2F2E">
        <w:rPr>
          <w:rFonts w:ascii="Calibri" w:hAnsi="Calibri" w:cs="Calibri"/>
        </w:rPr>
        <w:t xml:space="preserve">niet-gouvernementele organisaties </w:t>
      </w:r>
      <w:r>
        <w:rPr>
          <w:rFonts w:ascii="Calibri" w:hAnsi="Calibri" w:cs="Calibri"/>
        </w:rPr>
        <w:t xml:space="preserve">vereist kan worden dat ze </w:t>
      </w:r>
      <w:r w:rsidRPr="00EF2F2E">
        <w:rPr>
          <w:rFonts w:ascii="Calibri" w:hAnsi="Calibri" w:cs="Calibri"/>
        </w:rPr>
        <w:t xml:space="preserve">aan bepaalde voorwaarden voldoen om als </w:t>
      </w:r>
      <w:r w:rsidR="00827068">
        <w:rPr>
          <w:rFonts w:ascii="Calibri" w:hAnsi="Calibri" w:cs="Calibri"/>
        </w:rPr>
        <w:t>‘</w:t>
      </w:r>
      <w:r w:rsidRPr="00EF2F2E">
        <w:rPr>
          <w:rFonts w:ascii="Calibri" w:hAnsi="Calibri" w:cs="Calibri"/>
        </w:rPr>
        <w:t>betrokken publiek</w:t>
      </w:r>
      <w:r w:rsidR="00827068">
        <w:rPr>
          <w:rFonts w:ascii="Calibri" w:hAnsi="Calibri" w:cs="Calibri"/>
        </w:rPr>
        <w:t>’</w:t>
      </w:r>
      <w:r w:rsidRPr="00EF2F2E">
        <w:rPr>
          <w:rFonts w:ascii="Calibri" w:hAnsi="Calibri" w:cs="Calibri"/>
        </w:rPr>
        <w:t xml:space="preserve"> te worden erkend onder artikel 9, tweede lid, van het verdrag.</w:t>
      </w:r>
      <w:r>
        <w:rPr>
          <w:rFonts w:ascii="Calibri" w:hAnsi="Calibri" w:cs="Calibri"/>
        </w:rPr>
        <w:t xml:space="preserve"> Op die manier kan ook de </w:t>
      </w:r>
      <w:r w:rsidR="00053256">
        <w:rPr>
          <w:rFonts w:ascii="Calibri" w:hAnsi="Calibri" w:cs="Calibri"/>
        </w:rPr>
        <w:t>‘</w:t>
      </w:r>
      <w:r>
        <w:rPr>
          <w:rFonts w:ascii="Calibri" w:hAnsi="Calibri" w:cs="Calibri"/>
        </w:rPr>
        <w:t>automatische vervulling</w:t>
      </w:r>
      <w:r w:rsidR="00053256">
        <w:rPr>
          <w:rFonts w:ascii="Calibri" w:hAnsi="Calibri" w:cs="Calibri"/>
        </w:rPr>
        <w:t>’</w:t>
      </w:r>
      <w:r>
        <w:rPr>
          <w:rFonts w:ascii="Calibri" w:hAnsi="Calibri" w:cs="Calibri"/>
        </w:rPr>
        <w:t xml:space="preserve"> van het vereiste belang</w:t>
      </w:r>
      <w:r w:rsidR="00053256">
        <w:rPr>
          <w:rFonts w:ascii="Calibri" w:hAnsi="Calibri" w:cs="Calibri"/>
        </w:rPr>
        <w:t>,</w:t>
      </w:r>
      <w:r>
        <w:rPr>
          <w:rFonts w:ascii="Calibri" w:hAnsi="Calibri" w:cs="Calibri"/>
        </w:rPr>
        <w:t xml:space="preserve"> die eerder werd aangehaald</w:t>
      </w:r>
      <w:r w:rsidR="00053256">
        <w:rPr>
          <w:rFonts w:ascii="Calibri" w:hAnsi="Calibri" w:cs="Calibri"/>
        </w:rPr>
        <w:t>, worden</w:t>
      </w:r>
      <w:r>
        <w:rPr>
          <w:rFonts w:ascii="Calibri" w:hAnsi="Calibri" w:cs="Calibri"/>
        </w:rPr>
        <w:t xml:space="preserve"> verholpen.</w:t>
      </w:r>
      <w:r w:rsidR="00BE5BD8">
        <w:rPr>
          <w:rFonts w:ascii="Calibri" w:hAnsi="Calibri" w:cs="Calibri"/>
        </w:rPr>
        <w:t xml:space="preserve"> </w:t>
      </w:r>
      <w:r w:rsidRPr="00EF2F2E">
        <w:rPr>
          <w:rFonts w:ascii="Calibri" w:hAnsi="Calibri" w:cs="Calibri"/>
        </w:rPr>
        <w:t xml:space="preserve">Tot op heden overheerst in de rechtsleer een terughoudende </w:t>
      </w:r>
      <w:r>
        <w:rPr>
          <w:rFonts w:ascii="Calibri" w:hAnsi="Calibri" w:cs="Calibri"/>
        </w:rPr>
        <w:t>zienswijze</w:t>
      </w:r>
      <w:r w:rsidRPr="00EF2F2E">
        <w:rPr>
          <w:rFonts w:ascii="Calibri" w:hAnsi="Calibri" w:cs="Calibri"/>
        </w:rPr>
        <w:t xml:space="preserve"> </w:t>
      </w:r>
      <w:r>
        <w:rPr>
          <w:rFonts w:ascii="Calibri" w:hAnsi="Calibri" w:cs="Calibri"/>
        </w:rPr>
        <w:t>tegenover</w:t>
      </w:r>
      <w:r w:rsidRPr="00EF2F2E">
        <w:rPr>
          <w:rFonts w:ascii="Calibri" w:hAnsi="Calibri" w:cs="Calibri"/>
        </w:rPr>
        <w:t xml:space="preserve"> </w:t>
      </w:r>
      <w:r>
        <w:rPr>
          <w:rFonts w:ascii="Calibri" w:hAnsi="Calibri" w:cs="Calibri"/>
        </w:rPr>
        <w:t>dergelijke</w:t>
      </w:r>
      <w:r w:rsidRPr="00EF2F2E">
        <w:rPr>
          <w:rFonts w:ascii="Calibri" w:hAnsi="Calibri" w:cs="Calibri"/>
        </w:rPr>
        <w:t xml:space="preserve"> </w:t>
      </w:r>
      <w:r>
        <w:rPr>
          <w:rFonts w:ascii="Calibri" w:hAnsi="Calibri" w:cs="Calibri"/>
        </w:rPr>
        <w:t>beperkingen</w:t>
      </w:r>
      <w:r w:rsidRPr="00EF2F2E">
        <w:rPr>
          <w:rFonts w:ascii="Calibri" w:hAnsi="Calibri" w:cs="Calibri"/>
        </w:rPr>
        <w:t xml:space="preserve"> van het bezwaar- en beroepsrecht van burgers.</w:t>
      </w:r>
      <w:r>
        <w:rPr>
          <w:rStyle w:val="Voetnootmarkering"/>
          <w:rFonts w:ascii="Calibri" w:hAnsi="Calibri" w:cs="Calibri"/>
        </w:rPr>
        <w:footnoteReference w:id="139"/>
      </w:r>
      <w:r w:rsidRPr="00EF2F2E">
        <w:rPr>
          <w:rFonts w:ascii="Calibri" w:hAnsi="Calibri" w:cs="Calibri"/>
        </w:rPr>
        <w:t xml:space="preserve"> Toch lijkt het</w:t>
      </w:r>
      <w:r>
        <w:rPr>
          <w:rFonts w:ascii="Calibri" w:hAnsi="Calibri" w:cs="Calibri"/>
        </w:rPr>
        <w:t xml:space="preserve"> </w:t>
      </w:r>
      <w:r w:rsidRPr="00EF2F2E">
        <w:rPr>
          <w:rFonts w:ascii="Calibri" w:hAnsi="Calibri" w:cs="Calibri"/>
        </w:rPr>
        <w:t xml:space="preserve">aangewezen om de klimaatproblematiek niet langer buiten beschouwing te laten </w:t>
      </w:r>
      <w:r w:rsidR="00FD60E9">
        <w:rPr>
          <w:rFonts w:ascii="Calibri" w:hAnsi="Calibri" w:cs="Calibri"/>
        </w:rPr>
        <w:t>in</w:t>
      </w:r>
      <w:r w:rsidRPr="00EF2F2E">
        <w:rPr>
          <w:rFonts w:ascii="Calibri" w:hAnsi="Calibri" w:cs="Calibri"/>
        </w:rPr>
        <w:t xml:space="preserve"> vergunningsprocedures.</w:t>
      </w:r>
      <w:r>
        <w:rPr>
          <w:rStyle w:val="Voetnootmarkering"/>
          <w:rFonts w:ascii="Calibri" w:hAnsi="Calibri" w:cs="Calibri"/>
        </w:rPr>
        <w:footnoteReference w:id="140"/>
      </w:r>
      <w:r w:rsidRPr="00EF2F2E">
        <w:rPr>
          <w:rFonts w:ascii="Calibri" w:hAnsi="Calibri" w:cs="Calibri"/>
        </w:rPr>
        <w:t xml:space="preserve"> De bescherming van milieurechten mag er</w:t>
      </w:r>
      <w:r>
        <w:rPr>
          <w:rFonts w:ascii="Calibri" w:hAnsi="Calibri" w:cs="Calibri"/>
        </w:rPr>
        <w:t xml:space="preserve"> </w:t>
      </w:r>
      <w:r w:rsidRPr="00EF2F2E">
        <w:rPr>
          <w:rFonts w:ascii="Calibri" w:hAnsi="Calibri" w:cs="Calibri"/>
        </w:rPr>
        <w:t>niet toe leiden dat men blind blijft voor andere fundamentele rechten, zeker wanneer deze verband houden met de noodzaak om klimaatdoelstellingen te halen en bredere maatschappelijke belangen te dienen.</w:t>
      </w:r>
      <w:r>
        <w:rPr>
          <w:rStyle w:val="Voetnootmarkering"/>
          <w:rFonts w:ascii="Calibri" w:hAnsi="Calibri" w:cs="Calibri"/>
        </w:rPr>
        <w:footnoteReference w:id="141"/>
      </w:r>
    </w:p>
    <w:p w14:paraId="2D6DDF22" w14:textId="69EF604F" w:rsidR="00EE5CC6" w:rsidRDefault="0094054D" w:rsidP="00EE5CC6">
      <w:pPr>
        <w:pStyle w:val="Body"/>
        <w:numPr>
          <w:ilvl w:val="0"/>
          <w:numId w:val="15"/>
        </w:numPr>
        <w:ind w:left="0" w:hanging="11"/>
        <w:rPr>
          <w:rFonts w:ascii="Calibri" w:hAnsi="Calibri" w:cs="Calibri"/>
        </w:rPr>
      </w:pPr>
      <w:r>
        <w:rPr>
          <w:rFonts w:ascii="Calibri" w:hAnsi="Calibri" w:cs="Calibri"/>
        </w:rPr>
        <w:t>Ik stel concluderend vast dat het</w:t>
      </w:r>
      <w:r w:rsidRPr="00D97687">
        <w:rPr>
          <w:rFonts w:ascii="Calibri" w:hAnsi="Calibri" w:cs="Calibri"/>
        </w:rPr>
        <w:t xml:space="preserve"> Verdrag van Aarhus een fundamenteel instrument</w:t>
      </w:r>
      <w:r>
        <w:rPr>
          <w:rFonts w:ascii="Calibri" w:hAnsi="Calibri" w:cs="Calibri"/>
        </w:rPr>
        <w:t xml:space="preserve"> blijft</w:t>
      </w:r>
      <w:r w:rsidRPr="00D97687">
        <w:rPr>
          <w:rFonts w:ascii="Calibri" w:hAnsi="Calibri" w:cs="Calibri"/>
        </w:rPr>
        <w:t xml:space="preserve"> om burgerparticipatie en milieubescherming te garanderen. De bestaande knelpunten in de toepassing </w:t>
      </w:r>
      <w:r>
        <w:rPr>
          <w:rFonts w:ascii="Calibri" w:hAnsi="Calibri" w:cs="Calibri"/>
        </w:rPr>
        <w:t>van het verdrag</w:t>
      </w:r>
      <w:r w:rsidRPr="00D97687">
        <w:rPr>
          <w:rFonts w:ascii="Calibri" w:hAnsi="Calibri" w:cs="Calibri"/>
        </w:rPr>
        <w:t xml:space="preserve"> kunnen leiden tot onnodige vertragingen in de energietransitie en verhoogde juridische onzekerheid voor hernieuwbare energieprojecten. </w:t>
      </w:r>
      <w:r>
        <w:rPr>
          <w:rFonts w:ascii="Calibri" w:hAnsi="Calibri" w:cs="Calibri"/>
        </w:rPr>
        <w:t xml:space="preserve">De belemmeringen die voortvloeien uit dit verdrag (en </w:t>
      </w:r>
      <w:r w:rsidR="00053256">
        <w:rPr>
          <w:rFonts w:ascii="Calibri" w:hAnsi="Calibri" w:cs="Calibri"/>
        </w:rPr>
        <w:t xml:space="preserve">zijn </w:t>
      </w:r>
      <w:r>
        <w:rPr>
          <w:rFonts w:ascii="Calibri" w:hAnsi="Calibri" w:cs="Calibri"/>
        </w:rPr>
        <w:t>leemtes) zijn duidelijk procedureel van aard.</w:t>
      </w:r>
    </w:p>
    <w:p w14:paraId="1B37005F" w14:textId="176BA41A" w:rsidR="00EE5CC6" w:rsidRPr="00EE5CC6" w:rsidRDefault="00EE5CC6" w:rsidP="00EE5CC6">
      <w:pPr>
        <w:pStyle w:val="Kop2"/>
        <w:rPr>
          <w:lang w:val="nl-BE"/>
        </w:rPr>
      </w:pPr>
      <w:bookmarkStart w:id="17" w:name="_Toc193312406"/>
      <w:r w:rsidRPr="00EE5CC6">
        <w:rPr>
          <w:lang w:val="nl-BE"/>
        </w:rPr>
        <w:lastRenderedPageBreak/>
        <w:t>De bescherming van cultureel erfgoed en landschapswaarden</w:t>
      </w:r>
      <w:bookmarkEnd w:id="17"/>
    </w:p>
    <w:p w14:paraId="1DFC4F40" w14:textId="04626E67" w:rsidR="00EE5CC6" w:rsidRPr="00B74D65" w:rsidRDefault="00EE5CC6" w:rsidP="00EE5CC6">
      <w:pPr>
        <w:pStyle w:val="Body"/>
        <w:numPr>
          <w:ilvl w:val="0"/>
          <w:numId w:val="15"/>
        </w:numPr>
        <w:ind w:left="0" w:hanging="11"/>
      </w:pPr>
      <w:r w:rsidRPr="000F1F21">
        <w:t xml:space="preserve">Met omzendbrief </w:t>
      </w:r>
      <w:r w:rsidRPr="00C04D5C">
        <w:t>OMG/2024/</w:t>
      </w:r>
      <w:r>
        <w:t>1</w:t>
      </w:r>
      <w:r>
        <w:rPr>
          <w:rStyle w:val="Voetnootmarkering"/>
        </w:rPr>
        <w:footnoteReference w:id="142"/>
      </w:r>
      <w:r>
        <w:t xml:space="preserve"> </w:t>
      </w:r>
      <w:r w:rsidRPr="000F1F21">
        <w:t xml:space="preserve">heeft de Vlaamse Regering bepaald dat binnen een straal van drie kilometer rond </w:t>
      </w:r>
      <w:r>
        <w:t xml:space="preserve">de </w:t>
      </w:r>
      <w:r w:rsidRPr="000F1F21">
        <w:t>als werelderfgoed erkende begraafplaatsen en herdenkingsmonumenten van de Eerste Wereldoorlog in de Westhoek geen nieuwe windturbineprojecten meer</w:t>
      </w:r>
      <w:r w:rsidR="00AB2E80">
        <w:t xml:space="preserve"> </w:t>
      </w:r>
      <w:r>
        <w:t>kunnen</w:t>
      </w:r>
      <w:r w:rsidRPr="000F1F21">
        <w:t xml:space="preserve"> worden</w:t>
      </w:r>
      <w:r w:rsidR="00AB2E80">
        <w:t xml:space="preserve"> vergund</w:t>
      </w:r>
      <w:r w:rsidRPr="000F1F21">
        <w:t>.</w:t>
      </w:r>
      <w:r>
        <w:rPr>
          <w:rStyle w:val="Voetnootmarkering"/>
        </w:rPr>
        <w:footnoteReference w:id="143"/>
      </w:r>
      <w:r w:rsidRPr="000F1F21">
        <w:t xml:space="preserve"> Volgens de omzendbrief is deze maatregel ingegeven door bezorgdheden omtrent landschappelijke integratie en visuele verstoring. De beleidskeuze lijkt niet louter voort te vloeien uit een inhoudelijke noodzaak tot erfgoedbescherming, maar veeleer een politiek instrument te zijn dat inspeelt op publieke gevoeligheden rond erfgoedbehoud.</w:t>
      </w:r>
      <w:r>
        <w:rPr>
          <w:rStyle w:val="Voetnootmarkering"/>
        </w:rPr>
        <w:footnoteReference w:id="144"/>
      </w:r>
    </w:p>
    <w:p w14:paraId="73790464" w14:textId="522902A8" w:rsidR="00EE5CC6" w:rsidRPr="00B74D65" w:rsidRDefault="00EE5CC6" w:rsidP="00EE5CC6">
      <w:pPr>
        <w:pStyle w:val="Body"/>
        <w:ind w:firstLine="708"/>
      </w:pPr>
      <w:r w:rsidRPr="000F1F21">
        <w:t xml:space="preserve">Deze veronderstelling wordt versterkt door de beleidskoers van de voorgaande legislatuur, waarin de Vlaamse </w:t>
      </w:r>
      <w:r>
        <w:t>Regering</w:t>
      </w:r>
      <w:r w:rsidRPr="000F1F21">
        <w:t xml:space="preserve"> zich e</w:t>
      </w:r>
      <w:r w:rsidR="002E2298">
        <w:t>r</w:t>
      </w:r>
      <w:r w:rsidRPr="000F1F21">
        <w:t>t</w:t>
      </w:r>
      <w:r w:rsidR="002E2298">
        <w:t xml:space="preserve">oe </w:t>
      </w:r>
      <w:r w:rsidRPr="000F1F21">
        <w:t>engageerde om de vergunningverlening voor hernieuwbare energieprojecten zo vlot mogelijk te laten verlopen.</w:t>
      </w:r>
      <w:r>
        <w:rPr>
          <w:rStyle w:val="Voetnootmarkering"/>
        </w:rPr>
        <w:footnoteReference w:id="145"/>
      </w:r>
      <w:r w:rsidRPr="000F1F21">
        <w:t xml:space="preserve"> De huidige verschuiving in prioriteiten, waarbij erfgoedbehoud een doorslaggevende factor wordt ten nadele van windenergieontwikkeling, sluit aan bij eerdere </w:t>
      </w:r>
      <w:r>
        <w:t>beleidsrichting</w:t>
      </w:r>
      <w:r w:rsidRPr="000F1F21">
        <w:t xml:space="preserve"> van de meerderheidspartij die al geruime tijd de politieke leiding heeft op Vlaams niveau. </w:t>
      </w:r>
      <w:r>
        <w:t xml:space="preserve">Zo deed </w:t>
      </w:r>
      <w:r w:rsidR="006D0814">
        <w:t xml:space="preserve">zich in 2022 </w:t>
      </w:r>
      <w:r>
        <w:t>een</w:t>
      </w:r>
      <w:r w:rsidRPr="000F1F21">
        <w:t xml:space="preserve"> vergelijkbaar precedent voor, toen de toenmalige ministers van Omgeving en Onroerend Erfgoed </w:t>
      </w:r>
      <w:r>
        <w:t xml:space="preserve">Zuhal Demir en Matthias Diependaele </w:t>
      </w:r>
      <w:r w:rsidRPr="000F1F21">
        <w:t>naar de Raad van State trokken om de landschappelijke en agrarische eigenheid van de toeristische Voerstreek te vrijwaren.</w:t>
      </w:r>
      <w:r>
        <w:rPr>
          <w:rStyle w:val="Voetnootmarkering"/>
        </w:rPr>
        <w:footnoteReference w:id="146"/>
      </w:r>
      <w:r w:rsidRPr="000F1F21">
        <w:t xml:space="preserve"> Dit gebeurde </w:t>
      </w:r>
      <w:r w:rsidR="00B969AF">
        <w:t>als</w:t>
      </w:r>
      <w:r w:rsidRPr="000F1F21">
        <w:t xml:space="preserve"> reactie op de vergunningverlening voor een windturbinepark in Dalhem</w:t>
      </w:r>
      <w:r w:rsidR="00080221">
        <w:t xml:space="preserve"> (provincie </w:t>
      </w:r>
      <w:r w:rsidR="00080221" w:rsidRPr="000F1F21">
        <w:t>Luik</w:t>
      </w:r>
      <w:r w:rsidR="00080221">
        <w:t>)</w:t>
      </w:r>
      <w:r w:rsidRPr="000F1F21">
        <w:t>.</w:t>
      </w:r>
    </w:p>
    <w:p w14:paraId="04AA6EBC" w14:textId="77777777" w:rsidR="00EE5CC6" w:rsidRPr="00B74D65" w:rsidRDefault="00EE5CC6" w:rsidP="00EE5CC6">
      <w:pPr>
        <w:pStyle w:val="Body"/>
        <w:ind w:firstLine="708"/>
      </w:pPr>
      <w:r w:rsidRPr="000F1F21">
        <w:lastRenderedPageBreak/>
        <w:t xml:space="preserve">Deze casuïstiek illustreert </w:t>
      </w:r>
      <w:r>
        <w:t xml:space="preserve">alvast </w:t>
      </w:r>
      <w:r w:rsidRPr="000F1F21">
        <w:t>hoe de bescherming van cultureel erfgoed en landschapswaarden een aanzienlijke hinderpaal kan vormen voor de realisatie van windturbineprojecten. Terwijl hernieuwbare energie een cruciale rol speelt in de energietransitie en klimaatdoelstellingen, toont het Vlaamse beleid aan dat erfgoed- en landschapsbescherming een doorslaggevende factor kan zijn in vergunningsprocedures. Hierdoor ontstaat een spanningsveld tussen enerzijds de noodzaak tot duurzame energieopwekking en anderzijds de ambitie om historisch waardevolle gebieden intact te houden.</w:t>
      </w:r>
    </w:p>
    <w:p w14:paraId="1966E642" w14:textId="75BDE0BC" w:rsidR="00EE5CC6" w:rsidRDefault="00EE5CC6" w:rsidP="00EE5CC6">
      <w:pPr>
        <w:pStyle w:val="Body"/>
        <w:numPr>
          <w:ilvl w:val="0"/>
          <w:numId w:val="15"/>
        </w:numPr>
        <w:ind w:left="0" w:hanging="11"/>
      </w:pPr>
      <w:r w:rsidRPr="00B74D65">
        <w:t xml:space="preserve">In het vorige randnummer wordt voornamelijk gehandeld over regelgeving inzake bescherming van cultureel erfgoed. Daarnaast zullen ook overwegingen inzake de bescherming van landschapswaarden vaak tot bezwaren in de vergunningsprocedure van windturbineprojecten leiden. </w:t>
      </w:r>
      <w:r>
        <w:t xml:space="preserve">Zoals in voorgaande randnummers werd vastgesteld, </w:t>
      </w:r>
      <w:r w:rsidR="00080221">
        <w:t xml:space="preserve">verlenen </w:t>
      </w:r>
      <w:r>
        <w:t>de bepalingen van het Verdrag van Aarhus een verregaand toegangsrecht met betrekking tot de inspraakprocedures en de eventuele jurisdictionele bestrijding van dergelijke vergunningen. Het lijkt duidelijk dat de bepalingen uit het Verdrag van Aarhus lokale protesten de geschikte instrumenten aanreiken om op grond van overwegingen inzake landschapsbescherming te procederen tegen de vergunning van deze projecten.</w:t>
      </w:r>
    </w:p>
    <w:p w14:paraId="1B9C4227" w14:textId="3F5DD03F" w:rsidR="00EE5CC6" w:rsidRDefault="00EE5CC6" w:rsidP="00EE5CC6">
      <w:pPr>
        <w:pStyle w:val="Body"/>
        <w:numPr>
          <w:ilvl w:val="0"/>
          <w:numId w:val="15"/>
        </w:numPr>
        <w:ind w:left="0" w:hanging="11"/>
      </w:pPr>
      <w:r w:rsidRPr="00A92FE0">
        <w:t xml:space="preserve">De term ‘bescherming van landschapswaarden’ impliceert onvermijdelijk een esthetische beoordeling. Landschapswaarden zijn nauw verbonden met de visuele en ruimtelijke beleving van een gebied. Wanneer deze waarden onder druk komen te staan, is er doorgaans sprake van een aantasting van de esthetiek en harmonie van het landschap. Dit betekent dat de beoordeling in juridische geschillen niet louter een technische of ecologische </w:t>
      </w:r>
      <w:r w:rsidR="00080221">
        <w:t>basis</w:t>
      </w:r>
      <w:r w:rsidR="00080221" w:rsidRPr="00A92FE0">
        <w:t xml:space="preserve"> </w:t>
      </w:r>
      <w:r w:rsidRPr="00A92FE0">
        <w:t xml:space="preserve">heeft, maar ook een esthetische dimensie. In het kader van </w:t>
      </w:r>
      <w:r>
        <w:t>‘landschapswaarden’</w:t>
      </w:r>
      <w:r w:rsidRPr="00A92FE0">
        <w:t xml:space="preserve"> is het daarom de ‘esthetische toets’ die een cruciale rol speelt in de</w:t>
      </w:r>
      <w:r>
        <w:t xml:space="preserve"> relevante</w:t>
      </w:r>
      <w:r w:rsidRPr="00A92FE0">
        <w:t xml:space="preserve"> rechtspraak, aangezien rechters zich moeten uitspreken over de mate waarin ingrepen in het landschap een negatieve impact hebben op de visuele en ruimtelijke kwaliteit ervan. </w:t>
      </w:r>
    </w:p>
    <w:p w14:paraId="54A29348" w14:textId="090EF273" w:rsidR="00EE5CC6" w:rsidRDefault="00EE5CC6" w:rsidP="00EE5CC6">
      <w:pPr>
        <w:pStyle w:val="Body"/>
        <w:ind w:firstLine="708"/>
      </w:pPr>
      <w:r w:rsidRPr="00A92FE0">
        <w:t xml:space="preserve">Een diepgaande analyse van deze esthetische toets blijft hier achterwege, aangezien dit onderwerp zo uitgebreid is dat het op zichzelf een afzonderlijke studie </w:t>
      </w:r>
      <w:r>
        <w:t>vergt</w:t>
      </w:r>
      <w:r w:rsidRPr="00A92FE0">
        <w:t xml:space="preserve">. Om de focus van dit werkstuk te bewaren, zal ik me in de volgende randnummers beperken tot de meest </w:t>
      </w:r>
      <w:r w:rsidRPr="00A92FE0">
        <w:lastRenderedPageBreak/>
        <w:t>relevante juridische beschouwingen en de belangrijkste evoluties in de rechtspraak. Op die manier wordt een beknopt maar helder overzicht geboden van de wijze waarop de esthetische toets in de rechtspraak wordt gehanteerd.</w:t>
      </w:r>
    </w:p>
    <w:p w14:paraId="1B449487" w14:textId="13860B74" w:rsidR="00EE5CC6" w:rsidRPr="00972E4D" w:rsidRDefault="00EE5CC6" w:rsidP="00972E4D">
      <w:pPr>
        <w:pStyle w:val="Body"/>
        <w:numPr>
          <w:ilvl w:val="0"/>
          <w:numId w:val="15"/>
        </w:numPr>
        <w:ind w:left="0" w:hanging="11"/>
        <w:rPr>
          <w:lang w:val="nl-NL"/>
        </w:rPr>
      </w:pPr>
      <w:r w:rsidRPr="00D2044D">
        <w:rPr>
          <w:lang w:val="nl-NL"/>
        </w:rPr>
        <w:t>Volgens mij verdient de evolutie in de rechtspraak van zowel de Raad van State als de Raad voor Vergunningsbetwistingen bijzondere aandacht. Meer specifiek heeft deze evolutie betrekking op de toepassing van de esthetische toets bij vergunningsaanvragen voor windturbines in landschappelijk waardevol agrarisch gebied. Waar deze toets vroeger vaak strenger werd toegepast</w:t>
      </w:r>
      <w:r w:rsidR="001137CB">
        <w:rPr>
          <w:lang w:val="nl-NL"/>
        </w:rPr>
        <w:t>,</w:t>
      </w:r>
      <w:r>
        <w:rPr>
          <w:rStyle w:val="Voetnootmarkering"/>
          <w:lang w:val="nl-NL"/>
        </w:rPr>
        <w:footnoteReference w:id="147"/>
      </w:r>
      <w:r w:rsidRPr="00D2044D">
        <w:rPr>
          <w:lang w:val="nl-NL"/>
        </w:rPr>
        <w:t xml:space="preserve"> blijkt uit recente arresten dat beide bestuursrechters een genuanceerde</w:t>
      </w:r>
      <w:r w:rsidR="00080221">
        <w:rPr>
          <w:lang w:val="nl-NL"/>
        </w:rPr>
        <w:t>re</w:t>
      </w:r>
      <w:r w:rsidRPr="00D2044D">
        <w:rPr>
          <w:lang w:val="nl-NL"/>
        </w:rPr>
        <w:t xml:space="preserve"> benadering hanteren. In verschillende </w:t>
      </w:r>
      <w:r>
        <w:rPr>
          <w:lang w:val="nl-NL"/>
        </w:rPr>
        <w:t>arresten</w:t>
      </w:r>
      <w:r w:rsidRPr="00D2044D">
        <w:rPr>
          <w:lang w:val="nl-NL"/>
        </w:rPr>
        <w:t xml:space="preserve"> hebben de </w:t>
      </w:r>
      <w:r>
        <w:rPr>
          <w:lang w:val="nl-NL"/>
        </w:rPr>
        <w:t>bestuurs</w:t>
      </w:r>
      <w:r w:rsidRPr="00D2044D">
        <w:rPr>
          <w:lang w:val="nl-NL"/>
        </w:rPr>
        <w:t>rechters geoordeeld dat de esthetische toets op een voldoende zorgvuldige manier werd uitgevoerd.</w:t>
      </w:r>
      <w:r>
        <w:rPr>
          <w:rStyle w:val="Voetnootmarkering"/>
          <w:lang w:val="nl-NL"/>
        </w:rPr>
        <w:footnoteReference w:id="148"/>
      </w:r>
      <w:r w:rsidRPr="00D2044D">
        <w:rPr>
          <w:lang w:val="nl-NL"/>
        </w:rPr>
        <w:t xml:space="preserve"> Hierdoor kunnen windturbines, ondanks mogelijke visuele verstoring, toch worden vergund in gebieden met een bijzondere landschapswaarde. </w:t>
      </w:r>
      <w:r>
        <w:rPr>
          <w:lang w:val="nl-NL"/>
        </w:rPr>
        <w:t xml:space="preserve">Maar liefst </w:t>
      </w:r>
      <w:r w:rsidR="00105615">
        <w:rPr>
          <w:lang w:val="nl-NL"/>
        </w:rPr>
        <w:t>dertig procent</w:t>
      </w:r>
      <w:r>
        <w:rPr>
          <w:lang w:val="nl-NL"/>
        </w:rPr>
        <w:t xml:space="preserve"> van het landschappelijk waardevol agrarisch gebied in Vlaanderen komt in aanmerking voor de toepassing van windenergie, wat des te meer duidt op de meerwaarde van voornoemde rechtspraak.</w:t>
      </w:r>
      <w:r>
        <w:rPr>
          <w:rStyle w:val="Voetnootmarkering"/>
          <w:lang w:val="nl-NL"/>
        </w:rPr>
        <w:footnoteReference w:id="149"/>
      </w:r>
      <w:r w:rsidR="00972E4D">
        <w:rPr>
          <w:lang w:val="nl-NL"/>
        </w:rPr>
        <w:t xml:space="preserve"> </w:t>
      </w:r>
      <w:r w:rsidRPr="00972E4D">
        <w:rPr>
          <w:lang w:val="nl-NL"/>
        </w:rPr>
        <w:t>Deze versoepeling illustreert een betekenisvolle tendens in de rechtspraak waarbij duurzaamheid en energietransitie in steeds mindere mate vatbaar worden voor gedateerde bezwaren inzake landschapswaarden. Bo</w:t>
      </w:r>
      <w:r w:rsidR="00EF79CE">
        <w:rPr>
          <w:lang w:val="nl-NL"/>
        </w:rPr>
        <w:t>v</w:t>
      </w:r>
      <w:r w:rsidRPr="00972E4D">
        <w:rPr>
          <w:lang w:val="nl-NL"/>
        </w:rPr>
        <w:t>end</w:t>
      </w:r>
      <w:r w:rsidR="00EF79CE">
        <w:rPr>
          <w:lang w:val="nl-NL"/>
        </w:rPr>
        <w:t>ien</w:t>
      </w:r>
      <w:r w:rsidRPr="00972E4D">
        <w:rPr>
          <w:lang w:val="nl-NL"/>
        </w:rPr>
        <w:t xml:space="preserve"> wordt ook de nood aan een decretaal vastgelegde ‘bestemmingsneutraliteit’ van windturbineprojecten </w:t>
      </w:r>
      <w:r w:rsidR="00EF79CE" w:rsidRPr="00972E4D">
        <w:rPr>
          <w:lang w:val="nl-NL"/>
        </w:rPr>
        <w:t xml:space="preserve">door voornoemde rechtspraak </w:t>
      </w:r>
      <w:r w:rsidRPr="00972E4D">
        <w:rPr>
          <w:lang w:val="nl-NL"/>
        </w:rPr>
        <w:t>gemilderd</w:t>
      </w:r>
      <w:r w:rsidR="00A15F1F" w:rsidRPr="00972E4D">
        <w:rPr>
          <w:lang w:val="nl-NL"/>
        </w:rPr>
        <w:t xml:space="preserve">, maar niet noodzakelijk </w:t>
      </w:r>
      <w:r w:rsidR="007D1689" w:rsidRPr="00972E4D">
        <w:rPr>
          <w:lang w:val="nl-NL"/>
        </w:rPr>
        <w:t>overbodig</w:t>
      </w:r>
      <w:r w:rsidRPr="00972E4D">
        <w:rPr>
          <w:lang w:val="nl-NL"/>
        </w:rPr>
        <w:t>.</w:t>
      </w:r>
      <w:r>
        <w:rPr>
          <w:rStyle w:val="Voetnootmarkering"/>
          <w:lang w:val="nl-NL"/>
        </w:rPr>
        <w:footnoteReference w:id="150"/>
      </w:r>
    </w:p>
    <w:p w14:paraId="3102C4CD" w14:textId="7DF83DBD" w:rsidR="00EE5CC6" w:rsidRPr="00B5750E" w:rsidRDefault="00EE5CC6" w:rsidP="00EE5CC6">
      <w:pPr>
        <w:pStyle w:val="Body"/>
        <w:numPr>
          <w:ilvl w:val="0"/>
          <w:numId w:val="15"/>
        </w:numPr>
        <w:ind w:left="0" w:hanging="11"/>
        <w:rPr>
          <w:szCs w:val="24"/>
        </w:rPr>
      </w:pPr>
      <w:r>
        <w:rPr>
          <w:szCs w:val="24"/>
        </w:rPr>
        <w:t xml:space="preserve">Wanneer we ook kijken naar de te verwachten frequentie van obstakels, </w:t>
      </w:r>
      <w:r w:rsidRPr="00B5750E">
        <w:rPr>
          <w:szCs w:val="24"/>
        </w:rPr>
        <w:t xml:space="preserve">dient de bescherming van cultureel erfgoed te worden onderscheiden van de bescherming van landschapswaarden. Zo zal de bescherming van cultureel erfgoed doorgaans gekenmerkt </w:t>
      </w:r>
      <w:r w:rsidRPr="00B5750E">
        <w:rPr>
          <w:szCs w:val="24"/>
        </w:rPr>
        <w:lastRenderedPageBreak/>
        <w:t>worden door een lagere frequentie van belemmeringen voor windturbineprojecten, omdat de regelgeving op dit vlak vaak voortvloeit uit specifieke beleidsinitiatieven en beperkt wordt tot specifieke, gedefinieerde gebieden, zoals bijvoorbeeld rondom oorlogsmonumenten.</w:t>
      </w:r>
      <w:r w:rsidRPr="00B5750E">
        <w:rPr>
          <w:rStyle w:val="Voetnootmarkering"/>
          <w:rFonts w:ascii="Calibri" w:hAnsi="Calibri" w:cs="Calibri"/>
          <w:szCs w:val="24"/>
          <w:lang w:val="nl-NL"/>
        </w:rPr>
        <w:footnoteReference w:id="151"/>
      </w:r>
      <w:r w:rsidRPr="00B5750E">
        <w:rPr>
          <w:szCs w:val="24"/>
        </w:rPr>
        <w:t xml:space="preserve"> Dit betekent dat de bescherming van cultureel erfgoed slechts sporadisch als obstakel zal optreden. </w:t>
      </w:r>
    </w:p>
    <w:p w14:paraId="5244CA6F" w14:textId="77777777" w:rsidR="00EE5CC6" w:rsidRPr="00B5750E" w:rsidRDefault="00EE5CC6" w:rsidP="00EE5CC6">
      <w:pPr>
        <w:pStyle w:val="Body"/>
        <w:ind w:firstLine="708"/>
        <w:rPr>
          <w:szCs w:val="24"/>
        </w:rPr>
      </w:pPr>
      <w:r w:rsidRPr="00B5750E">
        <w:rPr>
          <w:szCs w:val="24"/>
        </w:rPr>
        <w:t>In die zin is het wel mogelijk dat regio's die al grote gebieden omvatten die vallen onder de genoemde natuur- en soortenregelgeving, alsnog geconfronteerd zullen worden met (mogelijk zelfs absolute) verbodsbepalingen voor de oprichting van windturbineprojecten in de beperkte gebieden waar de natuur- en soortenregelgeving nog geen obstakel vormt.</w:t>
      </w:r>
    </w:p>
    <w:p w14:paraId="3416D59F" w14:textId="42680132" w:rsidR="00EE5CC6" w:rsidRPr="003B6735" w:rsidRDefault="00EE5CC6" w:rsidP="00EE5CC6">
      <w:pPr>
        <w:pStyle w:val="Body"/>
        <w:ind w:firstLine="708"/>
        <w:rPr>
          <w:szCs w:val="24"/>
        </w:rPr>
      </w:pPr>
      <w:r w:rsidRPr="00B5750E">
        <w:rPr>
          <w:szCs w:val="24"/>
        </w:rPr>
        <w:t>Daarentegen zal de bescherming van landschapswaarden veel vaker een belemmering vormen, omdat dit begrip breder is en niet altijd strikt wordt gedefinieerd. Lokale bezwaren, vaak voortkomend uit het NIMBY-syndroom, spelen hierbij opnieuw een grote rol. Zo zal de bescherming van landschapswaarden frequent ingeroepen worden in lokale discussies en vaker leiden tot vertragingen of blokkades in de vergunningsprocedures voor windturbineprojecten.</w:t>
      </w:r>
    </w:p>
    <w:p w14:paraId="0C199B0C" w14:textId="501FC7D8" w:rsidR="001F048F" w:rsidRDefault="00EE5CC6" w:rsidP="001F048F">
      <w:pPr>
        <w:pStyle w:val="Body"/>
        <w:numPr>
          <w:ilvl w:val="0"/>
          <w:numId w:val="15"/>
        </w:numPr>
        <w:ind w:left="0" w:hanging="11"/>
      </w:pPr>
      <w:r w:rsidRPr="00B74D65">
        <w:t xml:space="preserve">Bijgevolg kan een inhoudelijke belemmering vastgesteld worden in de vorm van de bescherming van cultureel erfgoed en landschapswaarden. Het behoud van erfgoed en landschappelijke waarden vormt evenwel een legitieme beleidsprioriteit, maar een rigide toepassing van deze regelgeving, zoals we die </w:t>
      </w:r>
      <w:r>
        <w:t xml:space="preserve">bijvoorbeeld </w:t>
      </w:r>
      <w:r w:rsidRPr="00B74D65">
        <w:t xml:space="preserve">kunnen vaststellen in de recente beleidslijnen van de Vlaamse Regering, kan de uitrol van windenergie substantieel belemmeren. </w:t>
      </w:r>
      <w:r w:rsidRPr="00873A3E">
        <w:t>Een evenwichtige afweging tussen erfgoedbescherming en de dringende vereisten van de energietransitie is noodzakelijk om te voorkomen dat beide beleidsdomeinen met elkaar in conflict komen en de verduurzaming van de energievoorziening in het gedrang komt.</w:t>
      </w:r>
    </w:p>
    <w:p w14:paraId="638CDA56" w14:textId="5BFD63C7" w:rsidR="0009091D" w:rsidRPr="0009091D" w:rsidRDefault="00532451" w:rsidP="0009091D">
      <w:pPr>
        <w:pStyle w:val="Kop2"/>
        <w:rPr>
          <w:lang w:val="nl-BE"/>
        </w:rPr>
      </w:pPr>
      <w:bookmarkStart w:id="18" w:name="_Toc193312407"/>
      <w:r w:rsidRPr="00532451">
        <w:rPr>
          <w:lang w:val="nl-BE"/>
        </w:rPr>
        <w:lastRenderedPageBreak/>
        <w:t>Schema: naar een concrete inventaris</w:t>
      </w:r>
      <w:r>
        <w:rPr>
          <w:lang w:val="nl-BE"/>
        </w:rPr>
        <w:t xml:space="preserve"> van de voornaamste omgevingsrechtelijke obstakels</w:t>
      </w:r>
      <w:bookmarkEnd w:id="18"/>
    </w:p>
    <w:tbl>
      <w:tblPr>
        <w:tblStyle w:val="Rastertabel5donker-Accent1"/>
        <w:tblW w:w="10065" w:type="dxa"/>
        <w:tblInd w:w="-856" w:type="dxa"/>
        <w:tblLayout w:type="fixed"/>
        <w:tblLook w:val="04A0" w:firstRow="1" w:lastRow="0" w:firstColumn="1" w:lastColumn="0" w:noHBand="0" w:noVBand="1"/>
      </w:tblPr>
      <w:tblGrid>
        <w:gridCol w:w="2269"/>
        <w:gridCol w:w="1843"/>
        <w:gridCol w:w="1559"/>
        <w:gridCol w:w="2551"/>
        <w:gridCol w:w="1843"/>
      </w:tblGrid>
      <w:tr w:rsidR="001F048F" w14:paraId="36A5F5AC" w14:textId="77777777" w:rsidTr="00972E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FFFFFF" w:themeColor="background1"/>
            </w:tcBorders>
          </w:tcPr>
          <w:p w14:paraId="693F8CA1" w14:textId="77777777" w:rsidR="001F048F" w:rsidRPr="004772A7" w:rsidRDefault="001F048F" w:rsidP="000D1DA2">
            <w:pPr>
              <w:rPr>
                <w:color w:val="FFFFFF" w:themeColor="background1"/>
              </w:rPr>
            </w:pPr>
            <w:r w:rsidRPr="004772A7">
              <w:rPr>
                <w:color w:val="FFFFFF" w:themeColor="background1"/>
              </w:rPr>
              <w:t>Thema</w:t>
            </w:r>
          </w:p>
        </w:tc>
        <w:tc>
          <w:tcPr>
            <w:tcW w:w="1843" w:type="dxa"/>
            <w:tcBorders>
              <w:left w:val="single" w:sz="4" w:space="0" w:color="FFFFFF" w:themeColor="background1"/>
              <w:right w:val="single" w:sz="4" w:space="0" w:color="FFFFFF"/>
            </w:tcBorders>
          </w:tcPr>
          <w:p w14:paraId="4602D919" w14:textId="77777777" w:rsidR="001F048F" w:rsidRPr="004772A7" w:rsidRDefault="001F048F" w:rsidP="000D1DA2">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Obstakel</w:t>
            </w:r>
          </w:p>
        </w:tc>
        <w:tc>
          <w:tcPr>
            <w:tcW w:w="1559" w:type="dxa"/>
            <w:tcBorders>
              <w:left w:val="single" w:sz="4" w:space="0" w:color="FFFFFF"/>
              <w:right w:val="single" w:sz="4" w:space="0" w:color="FFFFFF"/>
            </w:tcBorders>
          </w:tcPr>
          <w:p w14:paraId="764F8166" w14:textId="77777777" w:rsidR="001F048F" w:rsidRPr="004772A7" w:rsidRDefault="001F048F" w:rsidP="000D1DA2">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772A7">
              <w:rPr>
                <w:color w:val="FFFFFF" w:themeColor="background1"/>
              </w:rPr>
              <w:t>Juridische basis</w:t>
            </w:r>
          </w:p>
        </w:tc>
        <w:tc>
          <w:tcPr>
            <w:tcW w:w="2551" w:type="dxa"/>
            <w:tcBorders>
              <w:left w:val="single" w:sz="4" w:space="0" w:color="FFFFFF"/>
              <w:right w:val="single" w:sz="4" w:space="0" w:color="FFFFFF"/>
            </w:tcBorders>
          </w:tcPr>
          <w:p w14:paraId="632426C8" w14:textId="77777777" w:rsidR="001F048F" w:rsidRPr="004772A7" w:rsidRDefault="001F048F" w:rsidP="000D1DA2">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772A7">
              <w:rPr>
                <w:color w:val="FFFFFF" w:themeColor="background1"/>
              </w:rPr>
              <w:t>Aard van het obstakel</w:t>
            </w:r>
          </w:p>
        </w:tc>
        <w:tc>
          <w:tcPr>
            <w:tcW w:w="1843" w:type="dxa"/>
            <w:tcBorders>
              <w:left w:val="single" w:sz="4" w:space="0" w:color="FFFFFF"/>
            </w:tcBorders>
          </w:tcPr>
          <w:p w14:paraId="7CF0A2E4" w14:textId="77777777" w:rsidR="001F048F" w:rsidRPr="004772A7" w:rsidRDefault="001F048F" w:rsidP="000D1DA2">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772A7">
              <w:rPr>
                <w:color w:val="FFFFFF" w:themeColor="background1"/>
              </w:rPr>
              <w:t>Frequentie</w:t>
            </w:r>
          </w:p>
        </w:tc>
      </w:tr>
      <w:tr w:rsidR="001F048F" w:rsidRPr="009E67EF" w14:paraId="6476AC2D" w14:textId="77777777" w:rsidTr="00972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vMerge w:val="restart"/>
          </w:tcPr>
          <w:p w14:paraId="17CE903E" w14:textId="77777777" w:rsidR="001F048F" w:rsidRPr="004772A7" w:rsidRDefault="001F048F" w:rsidP="000D1DA2">
            <w:pPr>
              <w:rPr>
                <w:lang w:val="nl-BE"/>
              </w:rPr>
            </w:pPr>
            <w:r w:rsidRPr="004772A7">
              <w:rPr>
                <w:color w:val="FFFFFF" w:themeColor="background1"/>
                <w:lang w:val="nl-BE"/>
              </w:rPr>
              <w:t>Regelgeving inzake natuur- en soortenbehoud</w:t>
            </w:r>
          </w:p>
        </w:tc>
        <w:tc>
          <w:tcPr>
            <w:tcW w:w="1843" w:type="dxa"/>
            <w:shd w:val="clear" w:color="auto" w:fill="98C7FF" w:themeFill="text1" w:themeFillTint="40"/>
          </w:tcPr>
          <w:p w14:paraId="6A805C4F" w14:textId="77777777" w:rsidR="001F048F" w:rsidRPr="00E91E30" w:rsidRDefault="001F048F" w:rsidP="000D1DA2">
            <w:pPr>
              <w:cnfStyle w:val="000000100000" w:firstRow="0" w:lastRow="0" w:firstColumn="0" w:lastColumn="0" w:oddVBand="0" w:evenVBand="0" w:oddHBand="1" w:evenHBand="0" w:firstRowFirstColumn="0" w:firstRowLastColumn="0" w:lastRowFirstColumn="0" w:lastRowLastColumn="0"/>
              <w:rPr>
                <w:color w:val="000000"/>
                <w:lang w:val="nl-BE"/>
              </w:rPr>
            </w:pPr>
            <w:r w:rsidRPr="00E91E30">
              <w:rPr>
                <w:color w:val="000000"/>
                <w:lang w:val="nl-BE"/>
              </w:rPr>
              <w:t>De verplichting tot het opstellen van een passende beoordeling</w:t>
            </w:r>
          </w:p>
        </w:tc>
        <w:tc>
          <w:tcPr>
            <w:tcW w:w="1559" w:type="dxa"/>
            <w:shd w:val="clear" w:color="auto" w:fill="98C7FF" w:themeFill="text1" w:themeFillTint="40"/>
          </w:tcPr>
          <w:p w14:paraId="59622EF8" w14:textId="77777777" w:rsidR="001F048F" w:rsidRPr="00E91E30" w:rsidRDefault="001F048F" w:rsidP="000D1DA2">
            <w:pPr>
              <w:cnfStyle w:val="000000100000" w:firstRow="0" w:lastRow="0" w:firstColumn="0" w:lastColumn="0" w:oddVBand="0" w:evenVBand="0" w:oddHBand="1" w:evenHBand="0" w:firstRowFirstColumn="0" w:firstRowLastColumn="0" w:lastRowFirstColumn="0" w:lastRowLastColumn="0"/>
              <w:rPr>
                <w:color w:val="000000"/>
                <w:lang w:val="nl-BE"/>
              </w:rPr>
            </w:pPr>
            <w:r w:rsidRPr="00E91E30">
              <w:rPr>
                <w:color w:val="000000"/>
                <w:lang w:val="nl-BE"/>
              </w:rPr>
              <w:t>Vogel- en Habitatrichtlijn, Natuurdecreet</w:t>
            </w:r>
          </w:p>
        </w:tc>
        <w:tc>
          <w:tcPr>
            <w:tcW w:w="2551" w:type="dxa"/>
            <w:shd w:val="clear" w:color="auto" w:fill="98C7FF" w:themeFill="text1" w:themeFillTint="40"/>
          </w:tcPr>
          <w:p w14:paraId="26B0CBFE" w14:textId="77777777" w:rsidR="001F048F" w:rsidRPr="00E91E30" w:rsidRDefault="001F048F" w:rsidP="000D1DA2">
            <w:pPr>
              <w:cnfStyle w:val="000000100000" w:firstRow="0" w:lastRow="0" w:firstColumn="0" w:lastColumn="0" w:oddVBand="0" w:evenVBand="0" w:oddHBand="1" w:evenHBand="0" w:firstRowFirstColumn="0" w:firstRowLastColumn="0" w:lastRowFirstColumn="0" w:lastRowLastColumn="0"/>
              <w:rPr>
                <w:color w:val="000000"/>
                <w:lang w:val="nl-BE"/>
              </w:rPr>
            </w:pPr>
            <w:r w:rsidRPr="00E91E30">
              <w:rPr>
                <w:color w:val="000000"/>
                <w:lang w:val="nl-BE"/>
              </w:rPr>
              <w:t>Procedureel –wetenschappelijke onzekerheid bij ecologische impactanalyse, brede geografische toepassing van beschermingszones, en complexe beoordeling van cumulatieve effecten</w:t>
            </w:r>
          </w:p>
        </w:tc>
        <w:tc>
          <w:tcPr>
            <w:tcW w:w="1843" w:type="dxa"/>
            <w:shd w:val="clear" w:color="auto" w:fill="98C7FF" w:themeFill="text1" w:themeFillTint="40"/>
          </w:tcPr>
          <w:p w14:paraId="678E9854" w14:textId="77777777" w:rsidR="001F048F" w:rsidRPr="00E91E30" w:rsidRDefault="001F048F" w:rsidP="000D1DA2">
            <w:pPr>
              <w:cnfStyle w:val="000000100000" w:firstRow="0" w:lastRow="0" w:firstColumn="0" w:lastColumn="0" w:oddVBand="0" w:evenVBand="0" w:oddHBand="1" w:evenHBand="0" w:firstRowFirstColumn="0" w:firstRowLastColumn="0" w:lastRowFirstColumn="0" w:lastRowLastColumn="0"/>
              <w:rPr>
                <w:color w:val="000000"/>
                <w:lang w:val="nl-BE"/>
              </w:rPr>
            </w:pPr>
            <w:r w:rsidRPr="00E91E30">
              <w:rPr>
                <w:color w:val="000000"/>
                <w:lang w:val="nl-BE"/>
              </w:rPr>
              <w:t>Hoog – brede reikwijdte van beschermde gebieden en verplichte beoordelingen</w:t>
            </w:r>
          </w:p>
        </w:tc>
      </w:tr>
      <w:tr w:rsidR="001F048F" w:rsidRPr="009E67EF" w14:paraId="649CB115" w14:textId="77777777" w:rsidTr="00972E4D">
        <w:trPr>
          <w:trHeight w:val="1420"/>
        </w:trPr>
        <w:tc>
          <w:tcPr>
            <w:cnfStyle w:val="001000000000" w:firstRow="0" w:lastRow="0" w:firstColumn="1" w:lastColumn="0" w:oddVBand="0" w:evenVBand="0" w:oddHBand="0" w:evenHBand="0" w:firstRowFirstColumn="0" w:firstRowLastColumn="0" w:lastRowFirstColumn="0" w:lastRowLastColumn="0"/>
            <w:tcW w:w="2269" w:type="dxa"/>
            <w:vMerge/>
          </w:tcPr>
          <w:p w14:paraId="37B81623" w14:textId="77777777" w:rsidR="001F048F" w:rsidRPr="004772A7" w:rsidRDefault="001F048F" w:rsidP="000D1DA2">
            <w:pPr>
              <w:rPr>
                <w:lang w:val="nl-BE"/>
              </w:rPr>
            </w:pPr>
          </w:p>
        </w:tc>
        <w:tc>
          <w:tcPr>
            <w:tcW w:w="1843" w:type="dxa"/>
            <w:shd w:val="clear" w:color="auto" w:fill="98C7FF" w:themeFill="text1" w:themeFillTint="40"/>
          </w:tcPr>
          <w:p w14:paraId="2C3603C0" w14:textId="77777777" w:rsidR="001F048F" w:rsidRPr="00E91E30" w:rsidRDefault="001F048F" w:rsidP="000D1DA2">
            <w:pPr>
              <w:cnfStyle w:val="000000000000" w:firstRow="0" w:lastRow="0" w:firstColumn="0" w:lastColumn="0" w:oddVBand="0" w:evenVBand="0" w:oddHBand="0" w:evenHBand="0" w:firstRowFirstColumn="0" w:firstRowLastColumn="0" w:lastRowFirstColumn="0" w:lastRowLastColumn="0"/>
              <w:rPr>
                <w:color w:val="000000"/>
                <w:lang w:val="nl-BE"/>
              </w:rPr>
            </w:pPr>
            <w:r w:rsidRPr="00E91E30">
              <w:rPr>
                <w:color w:val="000000"/>
                <w:lang w:val="nl-BE"/>
              </w:rPr>
              <w:t>De rigeur van de passende beoordeling</w:t>
            </w:r>
          </w:p>
        </w:tc>
        <w:tc>
          <w:tcPr>
            <w:tcW w:w="1559" w:type="dxa"/>
            <w:shd w:val="clear" w:color="auto" w:fill="98C7FF" w:themeFill="text1" w:themeFillTint="40"/>
          </w:tcPr>
          <w:p w14:paraId="2F3A97B8" w14:textId="77777777" w:rsidR="001F048F" w:rsidRPr="00E91E30" w:rsidRDefault="001F048F" w:rsidP="000D1DA2">
            <w:pPr>
              <w:cnfStyle w:val="000000000000" w:firstRow="0" w:lastRow="0" w:firstColumn="0" w:lastColumn="0" w:oddVBand="0" w:evenVBand="0" w:oddHBand="0" w:evenHBand="0" w:firstRowFirstColumn="0" w:firstRowLastColumn="0" w:lastRowFirstColumn="0" w:lastRowLastColumn="0"/>
              <w:rPr>
                <w:color w:val="000000"/>
                <w:lang w:val="nl-BE"/>
              </w:rPr>
            </w:pPr>
            <w:r w:rsidRPr="00E91E30">
              <w:rPr>
                <w:color w:val="000000"/>
                <w:lang w:val="nl-BE"/>
              </w:rPr>
              <w:t>Vogel- en Habitatrichtlijn, Natuurdecreet</w:t>
            </w:r>
          </w:p>
        </w:tc>
        <w:tc>
          <w:tcPr>
            <w:tcW w:w="2551" w:type="dxa"/>
            <w:shd w:val="clear" w:color="auto" w:fill="98C7FF" w:themeFill="text1" w:themeFillTint="40"/>
          </w:tcPr>
          <w:p w14:paraId="75DB45CE" w14:textId="6C06E779" w:rsidR="001F048F" w:rsidRPr="00E91E30" w:rsidRDefault="001F048F" w:rsidP="000D1DA2">
            <w:pPr>
              <w:cnfStyle w:val="000000000000" w:firstRow="0" w:lastRow="0" w:firstColumn="0" w:lastColumn="0" w:oddVBand="0" w:evenVBand="0" w:oddHBand="0" w:evenHBand="0" w:firstRowFirstColumn="0" w:firstRowLastColumn="0" w:lastRowFirstColumn="0" w:lastRowLastColumn="0"/>
              <w:rPr>
                <w:color w:val="000000"/>
                <w:lang w:val="nl-BE"/>
              </w:rPr>
            </w:pPr>
            <w:r w:rsidRPr="00E91E30">
              <w:rPr>
                <w:color w:val="000000"/>
                <w:lang w:val="nl-BE"/>
              </w:rPr>
              <w:t>Inhoudelijk –</w:t>
            </w:r>
            <w:r w:rsidR="003B3F67">
              <w:rPr>
                <w:color w:val="000000"/>
                <w:lang w:val="nl-BE"/>
              </w:rPr>
              <w:t xml:space="preserve"> </w:t>
            </w:r>
            <w:r w:rsidRPr="00E91E30">
              <w:rPr>
                <w:color w:val="000000"/>
                <w:lang w:val="nl-BE"/>
              </w:rPr>
              <w:t>projecten kunnen enkel doorgaan bij afwezigheid van minder schadelijke alternatieven en mits mitigerende of compenserende maatregelen</w:t>
            </w:r>
          </w:p>
        </w:tc>
        <w:tc>
          <w:tcPr>
            <w:tcW w:w="1843" w:type="dxa"/>
            <w:shd w:val="clear" w:color="auto" w:fill="98C7FF" w:themeFill="text1" w:themeFillTint="40"/>
          </w:tcPr>
          <w:p w14:paraId="7811F97A" w14:textId="77777777" w:rsidR="001F048F" w:rsidRPr="00E91E30" w:rsidRDefault="001F048F" w:rsidP="000D1DA2">
            <w:pPr>
              <w:cnfStyle w:val="000000000000" w:firstRow="0" w:lastRow="0" w:firstColumn="0" w:lastColumn="0" w:oddVBand="0" w:evenVBand="0" w:oddHBand="0" w:evenHBand="0" w:firstRowFirstColumn="0" w:firstRowLastColumn="0" w:lastRowFirstColumn="0" w:lastRowLastColumn="0"/>
              <w:rPr>
                <w:color w:val="000000"/>
                <w:lang w:val="nl-BE"/>
              </w:rPr>
            </w:pPr>
            <w:r w:rsidRPr="00E91E30">
              <w:rPr>
                <w:color w:val="000000"/>
                <w:lang w:val="nl-BE"/>
              </w:rPr>
              <w:t>Hoog – brede reikwijdte van beschermde gebieden en verplichte beoordelingen</w:t>
            </w:r>
          </w:p>
        </w:tc>
      </w:tr>
      <w:tr w:rsidR="001F048F" w:rsidRPr="009E67EF" w14:paraId="10AE139A" w14:textId="77777777" w:rsidTr="00972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6A4264E4" w14:textId="77777777" w:rsidR="001F048F" w:rsidRPr="004772A7" w:rsidRDefault="001F048F" w:rsidP="000D1DA2">
            <w:pPr>
              <w:rPr>
                <w:lang w:val="nl-BE"/>
              </w:rPr>
            </w:pPr>
            <w:r w:rsidRPr="004772A7">
              <w:rPr>
                <w:color w:val="FFFFFF" w:themeColor="background1"/>
                <w:lang w:val="nl-BE"/>
              </w:rPr>
              <w:t>MER-regelgeving</w:t>
            </w:r>
          </w:p>
        </w:tc>
        <w:tc>
          <w:tcPr>
            <w:tcW w:w="1843" w:type="dxa"/>
            <w:shd w:val="clear" w:color="auto" w:fill="98C7FF" w:themeFill="text1" w:themeFillTint="40"/>
          </w:tcPr>
          <w:p w14:paraId="10257F1C" w14:textId="77777777" w:rsidR="001F048F" w:rsidRPr="00E91E30" w:rsidRDefault="001F048F" w:rsidP="000D1DA2">
            <w:pPr>
              <w:cnfStyle w:val="000000100000" w:firstRow="0" w:lastRow="0" w:firstColumn="0" w:lastColumn="0" w:oddVBand="0" w:evenVBand="0" w:oddHBand="1" w:evenHBand="0" w:firstRowFirstColumn="0" w:firstRowLastColumn="0" w:lastRowFirstColumn="0" w:lastRowLastColumn="0"/>
              <w:rPr>
                <w:color w:val="000000"/>
                <w:lang w:val="nl-BE"/>
              </w:rPr>
            </w:pPr>
            <w:r w:rsidRPr="00E91E30">
              <w:rPr>
                <w:color w:val="000000"/>
                <w:lang w:val="nl-BE"/>
              </w:rPr>
              <w:t>De verplichting tot het opstellen van een MER-screening en/of een project-MER</w:t>
            </w:r>
          </w:p>
        </w:tc>
        <w:tc>
          <w:tcPr>
            <w:tcW w:w="1559" w:type="dxa"/>
            <w:shd w:val="clear" w:color="auto" w:fill="98C7FF" w:themeFill="text1" w:themeFillTint="40"/>
          </w:tcPr>
          <w:p w14:paraId="098A0774" w14:textId="77777777" w:rsidR="001F048F" w:rsidRPr="00E91E30" w:rsidRDefault="001F048F" w:rsidP="000D1DA2">
            <w:pPr>
              <w:cnfStyle w:val="000000100000" w:firstRow="0" w:lastRow="0" w:firstColumn="0" w:lastColumn="0" w:oddVBand="0" w:evenVBand="0" w:oddHBand="1" w:evenHBand="0" w:firstRowFirstColumn="0" w:firstRowLastColumn="0" w:lastRowFirstColumn="0" w:lastRowLastColumn="0"/>
              <w:rPr>
                <w:color w:val="000000"/>
                <w:lang w:val="nl-BE"/>
              </w:rPr>
            </w:pPr>
            <w:r w:rsidRPr="00E91E30">
              <w:rPr>
                <w:color w:val="000000"/>
                <w:lang w:val="nl-BE"/>
              </w:rPr>
              <w:t>MER-richtlijn, DABM</w:t>
            </w:r>
          </w:p>
        </w:tc>
        <w:tc>
          <w:tcPr>
            <w:tcW w:w="2551" w:type="dxa"/>
            <w:shd w:val="clear" w:color="auto" w:fill="98C7FF" w:themeFill="text1" w:themeFillTint="40"/>
          </w:tcPr>
          <w:p w14:paraId="0F4C9C0D" w14:textId="77777777" w:rsidR="001F048F" w:rsidRPr="00E91E30" w:rsidRDefault="001F048F" w:rsidP="000D1DA2">
            <w:pPr>
              <w:cnfStyle w:val="000000100000" w:firstRow="0" w:lastRow="0" w:firstColumn="0" w:lastColumn="0" w:oddVBand="0" w:evenVBand="0" w:oddHBand="1" w:evenHBand="0" w:firstRowFirstColumn="0" w:firstRowLastColumn="0" w:lastRowFirstColumn="0" w:lastRowLastColumn="0"/>
              <w:rPr>
                <w:color w:val="000000"/>
                <w:lang w:val="nl-BE"/>
              </w:rPr>
            </w:pPr>
            <w:r w:rsidRPr="00E91E30">
              <w:rPr>
                <w:color w:val="000000"/>
                <w:lang w:val="nl-BE"/>
              </w:rPr>
              <w:t>Procedureel – vergelijkbaar met de passende beoordeling, maar minder rigoureus en zonder inhoudelijke belemmering</w:t>
            </w:r>
          </w:p>
        </w:tc>
        <w:tc>
          <w:tcPr>
            <w:tcW w:w="1843" w:type="dxa"/>
            <w:shd w:val="clear" w:color="auto" w:fill="98C7FF" w:themeFill="text1" w:themeFillTint="40"/>
          </w:tcPr>
          <w:p w14:paraId="090B46F6" w14:textId="77777777" w:rsidR="001F048F" w:rsidRPr="00E91E30" w:rsidRDefault="001F048F" w:rsidP="000D1DA2">
            <w:pPr>
              <w:cnfStyle w:val="000000100000" w:firstRow="0" w:lastRow="0" w:firstColumn="0" w:lastColumn="0" w:oddVBand="0" w:evenVBand="0" w:oddHBand="1" w:evenHBand="0" w:firstRowFirstColumn="0" w:firstRowLastColumn="0" w:lastRowFirstColumn="0" w:lastRowLastColumn="0"/>
              <w:rPr>
                <w:color w:val="000000"/>
                <w:lang w:val="nl-BE"/>
              </w:rPr>
            </w:pPr>
            <w:r w:rsidRPr="00E91E30">
              <w:rPr>
                <w:color w:val="000000"/>
                <w:lang w:val="nl-BE"/>
              </w:rPr>
              <w:t>Afhankelijk van de schaal van het project – hogere frequentie bij grootschalige projecten</w:t>
            </w:r>
          </w:p>
        </w:tc>
      </w:tr>
      <w:tr w:rsidR="001F048F" w:rsidRPr="009E67EF" w14:paraId="7EC3648D" w14:textId="77777777" w:rsidTr="00972E4D">
        <w:tc>
          <w:tcPr>
            <w:cnfStyle w:val="001000000000" w:firstRow="0" w:lastRow="0" w:firstColumn="1" w:lastColumn="0" w:oddVBand="0" w:evenVBand="0" w:oddHBand="0" w:evenHBand="0" w:firstRowFirstColumn="0" w:firstRowLastColumn="0" w:lastRowFirstColumn="0" w:lastRowLastColumn="0"/>
            <w:tcW w:w="2269" w:type="dxa"/>
          </w:tcPr>
          <w:p w14:paraId="0132B252" w14:textId="77777777" w:rsidR="001F048F" w:rsidRPr="004772A7" w:rsidRDefault="001F048F" w:rsidP="000D1DA2">
            <w:pPr>
              <w:rPr>
                <w:color w:val="FFFFFF" w:themeColor="background1"/>
                <w:lang w:val="nl-BE"/>
              </w:rPr>
            </w:pPr>
            <w:r>
              <w:rPr>
                <w:color w:val="FFFFFF" w:themeColor="background1"/>
                <w:lang w:val="nl-BE"/>
              </w:rPr>
              <w:t>Het Verdrag van Aarhus</w:t>
            </w:r>
          </w:p>
        </w:tc>
        <w:tc>
          <w:tcPr>
            <w:tcW w:w="1843" w:type="dxa"/>
            <w:shd w:val="clear" w:color="auto" w:fill="98C7FF" w:themeFill="text1" w:themeFillTint="40"/>
          </w:tcPr>
          <w:p w14:paraId="10EFB02F" w14:textId="77777777" w:rsidR="001F048F" w:rsidRPr="00E91E30" w:rsidRDefault="001F048F" w:rsidP="000D1DA2">
            <w:pPr>
              <w:cnfStyle w:val="000000000000" w:firstRow="0" w:lastRow="0" w:firstColumn="0" w:lastColumn="0" w:oddVBand="0" w:evenVBand="0" w:oddHBand="0" w:evenHBand="0" w:firstRowFirstColumn="0" w:firstRowLastColumn="0" w:lastRowFirstColumn="0" w:lastRowLastColumn="0"/>
              <w:rPr>
                <w:color w:val="000000"/>
                <w:lang w:val="nl-BE"/>
              </w:rPr>
            </w:pPr>
            <w:r>
              <w:rPr>
                <w:color w:val="000000"/>
                <w:lang w:val="nl-BE"/>
              </w:rPr>
              <w:t>Toekenning van verregaande inspraak- en beroepsmogelijkheden voor burgers en milieuorganisaties</w:t>
            </w:r>
          </w:p>
        </w:tc>
        <w:tc>
          <w:tcPr>
            <w:tcW w:w="1559" w:type="dxa"/>
            <w:shd w:val="clear" w:color="auto" w:fill="98C7FF" w:themeFill="text1" w:themeFillTint="40"/>
          </w:tcPr>
          <w:p w14:paraId="5646BDFC" w14:textId="77777777" w:rsidR="001F048F" w:rsidRPr="00E91E30" w:rsidRDefault="001F048F" w:rsidP="000D1DA2">
            <w:pPr>
              <w:cnfStyle w:val="000000000000" w:firstRow="0" w:lastRow="0" w:firstColumn="0" w:lastColumn="0" w:oddVBand="0" w:evenVBand="0" w:oddHBand="0" w:evenHBand="0" w:firstRowFirstColumn="0" w:firstRowLastColumn="0" w:lastRowFirstColumn="0" w:lastRowLastColumn="0"/>
              <w:rPr>
                <w:color w:val="000000"/>
                <w:lang w:val="nl-BE"/>
              </w:rPr>
            </w:pPr>
            <w:r>
              <w:rPr>
                <w:color w:val="000000"/>
                <w:lang w:val="nl-BE"/>
              </w:rPr>
              <w:t>Verdrag van Aarhus</w:t>
            </w:r>
          </w:p>
        </w:tc>
        <w:tc>
          <w:tcPr>
            <w:tcW w:w="2551" w:type="dxa"/>
            <w:shd w:val="clear" w:color="auto" w:fill="98C7FF" w:themeFill="text1" w:themeFillTint="40"/>
          </w:tcPr>
          <w:p w14:paraId="72F359C1" w14:textId="77777777" w:rsidR="001F048F" w:rsidRPr="00E91E30" w:rsidRDefault="001F048F" w:rsidP="000D1DA2">
            <w:pPr>
              <w:cnfStyle w:val="000000000000" w:firstRow="0" w:lastRow="0" w:firstColumn="0" w:lastColumn="0" w:oddVBand="0" w:evenVBand="0" w:oddHBand="0" w:evenHBand="0" w:firstRowFirstColumn="0" w:firstRowLastColumn="0" w:lastRowFirstColumn="0" w:lastRowLastColumn="0"/>
              <w:rPr>
                <w:color w:val="000000"/>
                <w:lang w:val="nl-BE"/>
              </w:rPr>
            </w:pPr>
            <w:r>
              <w:rPr>
                <w:color w:val="000000"/>
                <w:lang w:val="nl-BE"/>
              </w:rPr>
              <w:t>Procedureel – bepalingen van het verdrag worden als instrumenten voor belemmering en obstructie aangevat</w:t>
            </w:r>
          </w:p>
        </w:tc>
        <w:tc>
          <w:tcPr>
            <w:tcW w:w="1843" w:type="dxa"/>
            <w:shd w:val="clear" w:color="auto" w:fill="98C7FF" w:themeFill="text1" w:themeFillTint="40"/>
          </w:tcPr>
          <w:p w14:paraId="7CC7242A" w14:textId="77777777" w:rsidR="001F048F" w:rsidRPr="00E91E30" w:rsidRDefault="001F048F" w:rsidP="000D1DA2">
            <w:pPr>
              <w:cnfStyle w:val="000000000000" w:firstRow="0" w:lastRow="0" w:firstColumn="0" w:lastColumn="0" w:oddVBand="0" w:evenVBand="0" w:oddHBand="0" w:evenHBand="0" w:firstRowFirstColumn="0" w:firstRowLastColumn="0" w:lastRowFirstColumn="0" w:lastRowLastColumn="0"/>
              <w:rPr>
                <w:color w:val="000000"/>
                <w:lang w:val="nl-BE"/>
              </w:rPr>
            </w:pPr>
            <w:r>
              <w:rPr>
                <w:color w:val="000000"/>
                <w:lang w:val="nl-BE"/>
              </w:rPr>
              <w:t xml:space="preserve">Hoog – </w:t>
            </w:r>
            <w:r w:rsidRPr="00E91E30">
              <w:rPr>
                <w:color w:val="000000"/>
                <w:lang w:val="nl-BE"/>
              </w:rPr>
              <w:t>brede interpretatie van milieuaangelegenheden en frequente aanvechting door NIMBY-syndroom en lokale protesten</w:t>
            </w:r>
          </w:p>
        </w:tc>
      </w:tr>
      <w:tr w:rsidR="001F048F" w:rsidRPr="009E67EF" w14:paraId="47DF1333" w14:textId="77777777" w:rsidTr="00972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vMerge w:val="restart"/>
          </w:tcPr>
          <w:p w14:paraId="28F57AD2" w14:textId="77777777" w:rsidR="001F048F" w:rsidRDefault="001F048F" w:rsidP="000D1DA2">
            <w:pPr>
              <w:rPr>
                <w:color w:val="FFFFFF" w:themeColor="background1"/>
                <w:lang w:val="nl-BE"/>
              </w:rPr>
            </w:pPr>
            <w:r>
              <w:rPr>
                <w:color w:val="FFFFFF" w:themeColor="background1"/>
                <w:lang w:val="nl-BE"/>
              </w:rPr>
              <w:t>Regelgeving inzake de bescherming van cultureel erfged en landschapswaarden</w:t>
            </w:r>
          </w:p>
        </w:tc>
        <w:tc>
          <w:tcPr>
            <w:tcW w:w="1843" w:type="dxa"/>
            <w:shd w:val="clear" w:color="auto" w:fill="98C7FF" w:themeFill="text1" w:themeFillTint="40"/>
          </w:tcPr>
          <w:p w14:paraId="6C759F08" w14:textId="77777777" w:rsidR="001F048F" w:rsidRDefault="001F048F" w:rsidP="000D1DA2">
            <w:pPr>
              <w:cnfStyle w:val="000000100000" w:firstRow="0" w:lastRow="0" w:firstColumn="0" w:lastColumn="0" w:oddVBand="0" w:evenVBand="0" w:oddHBand="1" w:evenHBand="0" w:firstRowFirstColumn="0" w:firstRowLastColumn="0" w:lastRowFirstColumn="0" w:lastRowLastColumn="0"/>
              <w:rPr>
                <w:color w:val="000000"/>
                <w:lang w:val="nl-BE"/>
              </w:rPr>
            </w:pPr>
            <w:r>
              <w:rPr>
                <w:color w:val="000000"/>
                <w:lang w:val="nl-BE"/>
              </w:rPr>
              <w:t>Bescherming van cultureel erfgoed – voorbeeld: oorlogsmonumenten en -begraafplaatsen</w:t>
            </w:r>
          </w:p>
        </w:tc>
        <w:tc>
          <w:tcPr>
            <w:tcW w:w="1559" w:type="dxa"/>
            <w:shd w:val="clear" w:color="auto" w:fill="98C7FF" w:themeFill="text1" w:themeFillTint="40"/>
          </w:tcPr>
          <w:p w14:paraId="7762E074" w14:textId="77777777" w:rsidR="001F048F" w:rsidRDefault="001F048F" w:rsidP="000D1DA2">
            <w:pPr>
              <w:cnfStyle w:val="000000100000" w:firstRow="0" w:lastRow="0" w:firstColumn="0" w:lastColumn="0" w:oddVBand="0" w:evenVBand="0" w:oddHBand="1" w:evenHBand="0" w:firstRowFirstColumn="0" w:firstRowLastColumn="0" w:lastRowFirstColumn="0" w:lastRowLastColumn="0"/>
              <w:rPr>
                <w:color w:val="000000"/>
                <w:lang w:val="nl-BE"/>
              </w:rPr>
            </w:pPr>
            <w:r>
              <w:rPr>
                <w:color w:val="000000"/>
                <w:lang w:val="nl-BE"/>
              </w:rPr>
              <w:t>Specifieke Vlaamse regelgeving – voorbeeld: Omzendbrief OMG/2024/1</w:t>
            </w:r>
          </w:p>
        </w:tc>
        <w:tc>
          <w:tcPr>
            <w:tcW w:w="2551" w:type="dxa"/>
            <w:shd w:val="clear" w:color="auto" w:fill="98C7FF" w:themeFill="text1" w:themeFillTint="40"/>
          </w:tcPr>
          <w:p w14:paraId="2749A75F" w14:textId="77777777" w:rsidR="001F048F" w:rsidRDefault="001F048F" w:rsidP="000D1DA2">
            <w:pPr>
              <w:cnfStyle w:val="000000100000" w:firstRow="0" w:lastRow="0" w:firstColumn="0" w:lastColumn="0" w:oddVBand="0" w:evenVBand="0" w:oddHBand="1" w:evenHBand="0" w:firstRowFirstColumn="0" w:firstRowLastColumn="0" w:lastRowFirstColumn="0" w:lastRowLastColumn="0"/>
              <w:rPr>
                <w:color w:val="000000"/>
                <w:lang w:val="nl-BE"/>
              </w:rPr>
            </w:pPr>
            <w:r>
              <w:rPr>
                <w:color w:val="000000"/>
                <w:lang w:val="nl-BE"/>
              </w:rPr>
              <w:t xml:space="preserve">Inhoudelijk – </w:t>
            </w:r>
            <w:r w:rsidRPr="00E91E30">
              <w:rPr>
                <w:color w:val="000000"/>
                <w:lang w:val="nl-BE"/>
              </w:rPr>
              <w:t>verbod op constructie van windturbines in bepaalde zones</w:t>
            </w:r>
          </w:p>
        </w:tc>
        <w:tc>
          <w:tcPr>
            <w:tcW w:w="1843" w:type="dxa"/>
            <w:shd w:val="clear" w:color="auto" w:fill="98C7FF" w:themeFill="text1" w:themeFillTint="40"/>
          </w:tcPr>
          <w:p w14:paraId="4FA6AA46" w14:textId="77777777" w:rsidR="001F048F" w:rsidRDefault="001F048F" w:rsidP="000D1DA2">
            <w:pPr>
              <w:cnfStyle w:val="000000100000" w:firstRow="0" w:lastRow="0" w:firstColumn="0" w:lastColumn="0" w:oddVBand="0" w:evenVBand="0" w:oddHBand="1" w:evenHBand="0" w:firstRowFirstColumn="0" w:firstRowLastColumn="0" w:lastRowFirstColumn="0" w:lastRowLastColumn="0"/>
              <w:rPr>
                <w:color w:val="000000"/>
                <w:lang w:val="nl-BE"/>
              </w:rPr>
            </w:pPr>
            <w:r>
              <w:rPr>
                <w:color w:val="000000"/>
                <w:lang w:val="nl-BE"/>
              </w:rPr>
              <w:t xml:space="preserve">Laag – </w:t>
            </w:r>
            <w:r w:rsidRPr="00E91E30">
              <w:rPr>
                <w:color w:val="000000"/>
                <w:lang w:val="nl-BE"/>
              </w:rPr>
              <w:t>focus op specifieke monumenten en beschermde perimeters</w:t>
            </w:r>
          </w:p>
        </w:tc>
      </w:tr>
      <w:tr w:rsidR="001F048F" w:rsidRPr="009E67EF" w14:paraId="206CC37A" w14:textId="77777777" w:rsidTr="00972E4D">
        <w:tc>
          <w:tcPr>
            <w:cnfStyle w:val="001000000000" w:firstRow="0" w:lastRow="0" w:firstColumn="1" w:lastColumn="0" w:oddVBand="0" w:evenVBand="0" w:oddHBand="0" w:evenHBand="0" w:firstRowFirstColumn="0" w:firstRowLastColumn="0" w:lastRowFirstColumn="0" w:lastRowLastColumn="0"/>
            <w:tcW w:w="2269" w:type="dxa"/>
            <w:vMerge/>
          </w:tcPr>
          <w:p w14:paraId="53F06836" w14:textId="77777777" w:rsidR="001F048F" w:rsidRDefault="001F048F" w:rsidP="000D1DA2">
            <w:pPr>
              <w:rPr>
                <w:color w:val="FFFFFF" w:themeColor="background1"/>
                <w:lang w:val="nl-BE"/>
              </w:rPr>
            </w:pPr>
          </w:p>
        </w:tc>
        <w:tc>
          <w:tcPr>
            <w:tcW w:w="1843" w:type="dxa"/>
            <w:shd w:val="clear" w:color="auto" w:fill="98C7FF" w:themeFill="text1" w:themeFillTint="40"/>
          </w:tcPr>
          <w:p w14:paraId="48DAD3E8" w14:textId="77777777" w:rsidR="001F048F" w:rsidRDefault="001F048F" w:rsidP="000D1DA2">
            <w:pPr>
              <w:cnfStyle w:val="000000000000" w:firstRow="0" w:lastRow="0" w:firstColumn="0" w:lastColumn="0" w:oddVBand="0" w:evenVBand="0" w:oddHBand="0" w:evenHBand="0" w:firstRowFirstColumn="0" w:firstRowLastColumn="0" w:lastRowFirstColumn="0" w:lastRowLastColumn="0"/>
              <w:rPr>
                <w:color w:val="000000"/>
                <w:lang w:val="nl-BE"/>
              </w:rPr>
            </w:pPr>
            <w:r>
              <w:rPr>
                <w:color w:val="000000"/>
                <w:lang w:val="nl-BE"/>
              </w:rPr>
              <w:t>Bescherming van landschapswaarden</w:t>
            </w:r>
          </w:p>
        </w:tc>
        <w:tc>
          <w:tcPr>
            <w:tcW w:w="1559" w:type="dxa"/>
            <w:shd w:val="clear" w:color="auto" w:fill="98C7FF" w:themeFill="text1" w:themeFillTint="40"/>
          </w:tcPr>
          <w:p w14:paraId="0E004187" w14:textId="77777777" w:rsidR="001F048F" w:rsidRDefault="001F048F" w:rsidP="000D1DA2">
            <w:pPr>
              <w:cnfStyle w:val="000000000000" w:firstRow="0" w:lastRow="0" w:firstColumn="0" w:lastColumn="0" w:oddVBand="0" w:evenVBand="0" w:oddHBand="0" w:evenHBand="0" w:firstRowFirstColumn="0" w:firstRowLastColumn="0" w:lastRowFirstColumn="0" w:lastRowLastColumn="0"/>
              <w:rPr>
                <w:color w:val="000000"/>
                <w:lang w:val="nl-BE"/>
              </w:rPr>
            </w:pPr>
            <w:r>
              <w:rPr>
                <w:color w:val="000000"/>
                <w:lang w:val="nl-BE"/>
              </w:rPr>
              <w:t>Specifieke Vlaamse regelgeving – voorbeeld: Omzendbrief OR/2014/02</w:t>
            </w:r>
          </w:p>
        </w:tc>
        <w:tc>
          <w:tcPr>
            <w:tcW w:w="2551" w:type="dxa"/>
            <w:shd w:val="clear" w:color="auto" w:fill="98C7FF" w:themeFill="text1" w:themeFillTint="40"/>
          </w:tcPr>
          <w:p w14:paraId="3ADE8E24" w14:textId="77777777" w:rsidR="001F048F" w:rsidRDefault="001F048F" w:rsidP="000D1DA2">
            <w:pPr>
              <w:cnfStyle w:val="000000000000" w:firstRow="0" w:lastRow="0" w:firstColumn="0" w:lastColumn="0" w:oddVBand="0" w:evenVBand="0" w:oddHBand="0" w:evenHBand="0" w:firstRowFirstColumn="0" w:firstRowLastColumn="0" w:lastRowFirstColumn="0" w:lastRowLastColumn="0"/>
              <w:rPr>
                <w:color w:val="000000"/>
                <w:lang w:val="nl-BE"/>
              </w:rPr>
            </w:pPr>
            <w:r>
              <w:rPr>
                <w:color w:val="000000"/>
                <w:lang w:val="nl-BE"/>
              </w:rPr>
              <w:t xml:space="preserve">Inhoudelijk - </w:t>
            </w:r>
            <w:r w:rsidRPr="00E91E30">
              <w:rPr>
                <w:color w:val="000000"/>
                <w:lang w:val="nl-BE"/>
              </w:rPr>
              <w:t xml:space="preserve">landschapswaarden </w:t>
            </w:r>
            <w:r>
              <w:rPr>
                <w:color w:val="000000"/>
                <w:lang w:val="nl-BE"/>
              </w:rPr>
              <w:t xml:space="preserve">kunnen </w:t>
            </w:r>
            <w:r w:rsidRPr="00E91E30">
              <w:rPr>
                <w:color w:val="000000"/>
                <w:lang w:val="nl-BE"/>
              </w:rPr>
              <w:t xml:space="preserve">als </w:t>
            </w:r>
            <w:r>
              <w:rPr>
                <w:color w:val="000000"/>
                <w:lang w:val="nl-BE"/>
              </w:rPr>
              <w:t>randvoorwaarde</w:t>
            </w:r>
            <w:r w:rsidRPr="00E91E30">
              <w:rPr>
                <w:color w:val="000000"/>
                <w:lang w:val="nl-BE"/>
              </w:rPr>
              <w:t xml:space="preserve"> leiden tot weigering of betwisting van vergunningen</w:t>
            </w:r>
          </w:p>
        </w:tc>
        <w:tc>
          <w:tcPr>
            <w:tcW w:w="1843" w:type="dxa"/>
            <w:shd w:val="clear" w:color="auto" w:fill="98C7FF" w:themeFill="text1" w:themeFillTint="40"/>
          </w:tcPr>
          <w:p w14:paraId="06FFDA77" w14:textId="77777777" w:rsidR="001F048F" w:rsidRDefault="001F048F" w:rsidP="000D1DA2">
            <w:pPr>
              <w:keepNext/>
              <w:cnfStyle w:val="000000000000" w:firstRow="0" w:lastRow="0" w:firstColumn="0" w:lastColumn="0" w:oddVBand="0" w:evenVBand="0" w:oddHBand="0" w:evenHBand="0" w:firstRowFirstColumn="0" w:firstRowLastColumn="0" w:lastRowFirstColumn="0" w:lastRowLastColumn="0"/>
              <w:rPr>
                <w:color w:val="000000"/>
                <w:lang w:val="nl-BE"/>
              </w:rPr>
            </w:pPr>
            <w:r>
              <w:rPr>
                <w:color w:val="000000"/>
                <w:lang w:val="nl-BE"/>
              </w:rPr>
              <w:t xml:space="preserve">Hoog - </w:t>
            </w:r>
            <w:r w:rsidRPr="006E7215">
              <w:rPr>
                <w:color w:val="000000"/>
                <w:lang w:val="nl-BE"/>
              </w:rPr>
              <w:t xml:space="preserve">brede interpretatie van het begrip </w:t>
            </w:r>
            <w:r>
              <w:rPr>
                <w:color w:val="000000"/>
                <w:lang w:val="nl-BE"/>
              </w:rPr>
              <w:t xml:space="preserve">‘landschapswaarden’ + </w:t>
            </w:r>
            <w:r w:rsidRPr="006E7215">
              <w:rPr>
                <w:color w:val="000000"/>
                <w:lang w:val="nl-BE"/>
              </w:rPr>
              <w:t xml:space="preserve">lokaal bezwaar </w:t>
            </w:r>
            <w:r>
              <w:rPr>
                <w:color w:val="000000"/>
                <w:lang w:val="nl-BE"/>
              </w:rPr>
              <w:t xml:space="preserve">en </w:t>
            </w:r>
            <w:r w:rsidRPr="006E7215">
              <w:rPr>
                <w:color w:val="000000"/>
                <w:lang w:val="nl-BE"/>
              </w:rPr>
              <w:t>NIMBY-syndroom</w:t>
            </w:r>
          </w:p>
        </w:tc>
      </w:tr>
    </w:tbl>
    <w:p w14:paraId="552C11B7" w14:textId="68F33F0D" w:rsidR="004D1F2F" w:rsidRPr="004D1F2F" w:rsidRDefault="00532451" w:rsidP="003D52DF">
      <w:pPr>
        <w:pStyle w:val="Kop1"/>
        <w:rPr>
          <w:sz w:val="28"/>
          <w:szCs w:val="28"/>
        </w:rPr>
      </w:pPr>
      <w:bookmarkStart w:id="19" w:name="_Toc193312408"/>
      <w:r>
        <w:lastRenderedPageBreak/>
        <w:t>Antwoorden op de spreidstand tussen milieu- en klimaatdoelen van de EU-, Vlaamse en Duitse regelgever</w:t>
      </w:r>
      <w:bookmarkEnd w:id="19"/>
    </w:p>
    <w:p w14:paraId="37B8F564" w14:textId="08CAD56B" w:rsidR="00B138D8" w:rsidRDefault="00B138D8" w:rsidP="00B138D8">
      <w:pPr>
        <w:pStyle w:val="Body"/>
        <w:numPr>
          <w:ilvl w:val="0"/>
          <w:numId w:val="15"/>
        </w:numPr>
        <w:ind w:left="0" w:hanging="11"/>
      </w:pPr>
      <w:r w:rsidRPr="001B13C1">
        <w:t xml:space="preserve">Nu uit de voorgaande analyse blijkt dat omgevingsrechtelijke regelgeving aanzienlijke obstakels kan opwerpen voor de realisatie van windturbineprojecten, is het aangewezen om stil te staan bij de recentste beleidsinitiatieven van de wetgever. Gezien de toenemende invloed van het Europese recht op het omgevingsrechtelijke domein, vormt de Europese regelgever hierbij het primaire uitgangspunt van de analyse. </w:t>
      </w:r>
      <w:r w:rsidRPr="00067E4F">
        <w:t>Daarbij zal de focus liggen op de meest prominente regelgeving en hervormingen die op Europees niveau tot stand zijn gekomen.</w:t>
      </w:r>
    </w:p>
    <w:p w14:paraId="2C9D6ED9" w14:textId="61FFDD8C" w:rsidR="00B138D8" w:rsidRPr="001B13C1" w:rsidRDefault="00B138D8" w:rsidP="00B138D8">
      <w:pPr>
        <w:pStyle w:val="Body"/>
        <w:ind w:firstLine="708"/>
      </w:pPr>
      <w:r w:rsidRPr="001B13C1">
        <w:t>Binnen deze Europese context zal tevens aandacht worden besteed aan de wijze waarop de relevante regelgeving wordt geïmplementeerd en doorwerkt in de nationale rechtsordes van zowel Duitsland als Vlaanderen. De keuze om dit rechtsvergelijkende luik niet uitsluitend te beperken tot een afweging tussen de Europese en de Vlaamse benadering, maar tevens de Duitse aanpak te betrekken, is ingegeven door de voortrekkersrol die Duitsland traditioneel vervult in de energietransitie.</w:t>
      </w:r>
      <w:r>
        <w:rPr>
          <w:rStyle w:val="Voetnootmarkering"/>
          <w:rFonts w:ascii="Calibri" w:hAnsi="Calibri" w:cs="Calibri"/>
        </w:rPr>
        <w:footnoteReference w:id="152"/>
      </w:r>
      <w:r w:rsidRPr="001B13C1">
        <w:t xml:space="preserve"> De zogenoemde </w:t>
      </w:r>
      <w:r w:rsidRPr="001B13C1">
        <w:rPr>
          <w:i/>
          <w:iCs/>
        </w:rPr>
        <w:t>Energiewende</w:t>
      </w:r>
      <w:r w:rsidRPr="001B13C1">
        <w:t> heeft bijzondere aandacht besteed aan de uitrol van windenergie,</w:t>
      </w:r>
      <w:r>
        <w:t xml:space="preserve"> waarbij ambitieuze hervormingen van het vergunningsproces voor de realisatie van windturbineprojecten </w:t>
      </w:r>
      <w:r w:rsidR="00B844AE">
        <w:t>veel</w:t>
      </w:r>
      <w:r>
        <w:t xml:space="preserve"> belangsteling </w:t>
      </w:r>
      <w:r w:rsidR="00B844AE">
        <w:t>kregen</w:t>
      </w:r>
      <w:r>
        <w:t>.</w:t>
      </w:r>
      <w:r>
        <w:rPr>
          <w:rStyle w:val="Voetnootmarkering"/>
          <w:rFonts w:ascii="Calibri" w:hAnsi="Calibri" w:cs="Calibri"/>
        </w:rPr>
        <w:footnoteReference w:id="153"/>
      </w:r>
      <w:r>
        <w:t xml:space="preserve"> Daarom vormt</w:t>
      </w:r>
      <w:r w:rsidRPr="001B13C1">
        <w:t xml:space="preserve"> de opname van </w:t>
      </w:r>
      <w:r>
        <w:t xml:space="preserve">de </w:t>
      </w:r>
      <w:r w:rsidRPr="001B13C1">
        <w:t>Duitse inzichten in deze analyse een bijkomende meerwaarde voor de uiteindelijke conclusies van dit onderzoek.</w:t>
      </w:r>
    </w:p>
    <w:p w14:paraId="08E5ED7D" w14:textId="3E8273D5" w:rsidR="00B138D8" w:rsidRDefault="00B138D8" w:rsidP="00B138D8">
      <w:pPr>
        <w:pStyle w:val="Body"/>
        <w:ind w:firstLine="708"/>
      </w:pPr>
      <w:r w:rsidRPr="001B13C1">
        <w:t xml:space="preserve">De Europese Unie heeft de afgelopen decennia een breed scala aan wetgevende initiatieven ontplooid om de transitie naar hernieuwbare energie te versnellen. Het meest prominente en richtinggevende initiatief in deze context is zonder twijfel de Richtlijn </w:t>
      </w:r>
      <w:r w:rsidRPr="001B13C1">
        <w:lastRenderedPageBreak/>
        <w:t>Hernieuwbare Energie (Renewable Energy Directive, RED), dat als het kroonstuk van het Europese energiebeleid kan worden beschouwd.</w:t>
      </w:r>
    </w:p>
    <w:p w14:paraId="31A147CA" w14:textId="2DA28CD2" w:rsidR="00B138D8" w:rsidRDefault="00B138D8" w:rsidP="00B138D8">
      <w:pPr>
        <w:pStyle w:val="Body"/>
        <w:ind w:firstLine="708"/>
      </w:pPr>
      <w:r w:rsidRPr="002E2649">
        <w:t>Deze richtlijn vormt de juridische en beleidsmatige ruggengraat van de Europese energietransitie en heeft sinds haar initiële invoering een fundamentele rol gespeeld bij het stimuleren van de uitrol van duurzame energiebronnen binnen de lidstaten. Waar de eerste generatie beleidsmaatregelen zich voornamelijk richtte op het vaststellen van nationale streefcijfers en algemene kaders voor hernieuwbare energie, heeft de RED-richtlijn zich ontwikkeld tot een diepgaand hervormingsinstrument dat de juridische en procedurele fundamenten van de energietransitie structureel hervormt. Met elke herziening – van RED I tot en met de meest recente RED III – heeft de Europese regelgever de drempels voor hernieuwbare energieprojecten systematisch verlaagd, met bijzondere aandacht voor het wegnemen van juridische, procedurele en administratieve belemmeringen.</w:t>
      </w:r>
    </w:p>
    <w:p w14:paraId="62096284" w14:textId="2FC02789" w:rsidR="00B138D8" w:rsidRDefault="00B138D8" w:rsidP="00B138D8">
      <w:pPr>
        <w:pStyle w:val="Body"/>
        <w:ind w:firstLine="708"/>
      </w:pPr>
      <w:r w:rsidRPr="002E2649">
        <w:t xml:space="preserve">De focus ligt hierbij niet enkel op het vaststellen van ambitieuze energiedoelstellingen, maar ook op het aanpakken van de concrete obstakels die de uitrol van </w:t>
      </w:r>
      <w:r>
        <w:t>hernieuwbare</w:t>
      </w:r>
      <w:r w:rsidR="007635BD">
        <w:t xml:space="preserve"> </w:t>
      </w:r>
      <w:r w:rsidRPr="002E2649">
        <w:t xml:space="preserve">energieprojecten vertragen. De regels uit het omgevingsrecht vormen hierin een cruciaal aandachtspunt, aangezien het deze regels zijn die vaak tot fundamentele obstakels doorheen de vergunningsprcedure leiden. Dit staat buiten elke discussie, </w:t>
      </w:r>
      <w:r w:rsidR="0038071B">
        <w:t>aangezien</w:t>
      </w:r>
      <w:r w:rsidR="0038071B" w:rsidRPr="002E2649">
        <w:t xml:space="preserve"> </w:t>
      </w:r>
      <w:r w:rsidRPr="002E2649">
        <w:t>de voorgaande hoofdstukken van dit werkstuk deze omgevingsrechtelijke belemmeringen uit</w:t>
      </w:r>
      <w:r w:rsidR="0038071B">
        <w:t>g</w:t>
      </w:r>
      <w:r w:rsidRPr="002E2649">
        <w:t>e</w:t>
      </w:r>
      <w:r w:rsidR="0038071B">
        <w:t>b</w:t>
      </w:r>
      <w:r w:rsidRPr="002E2649">
        <w:t>reid hebben toegelicht.</w:t>
      </w:r>
    </w:p>
    <w:p w14:paraId="55165039" w14:textId="5F35B062" w:rsidR="00B138D8" w:rsidRDefault="00B138D8" w:rsidP="00B138D8">
      <w:pPr>
        <w:pStyle w:val="Body"/>
        <w:ind w:firstLine="708"/>
      </w:pPr>
      <w:r w:rsidRPr="005335F6">
        <w:t>Een fundamenteel uitgangspunt dat als een rode draad door de opeenvolgende generaties van de Renewable Energy Directives (RED) loopt, is de nadruk op het verkorten van de doorlooptijden van zowel vergunningsprocedures als beroepsprocedures tegen verleende vergunningen.</w:t>
      </w:r>
      <w:r>
        <w:rPr>
          <w:rStyle w:val="Voetnootmarkering"/>
          <w:rFonts w:ascii="Calibri" w:hAnsi="Calibri" w:cs="Calibri"/>
        </w:rPr>
        <w:footnoteReference w:id="154"/>
      </w:r>
      <w:r w:rsidRPr="005335F6">
        <w:t xml:space="preserve"> Dit is ingegeven door de vaststelling dat langdurige en complexe administratieve trajecten een aanzienlijke belemmering vormen voor de tijdige en grootschalige uitrol van hernieuwbare energieprojecten binnen de Europese Unie. Om deze </w:t>
      </w:r>
      <w:r w:rsidRPr="005335F6">
        <w:lastRenderedPageBreak/>
        <w:t>problematiek aan te pakken, legt de Europese regelgever aan de lidstaten expliciete verplichtingen op met betrekking tot de maximumtermijnen die zij binnen hun nationale omgevingsrechtelijke beleidskaders moeten respecteren. Daarnaast worden in de RED concrete maatregelen geformuleerd die de lidstaten in staat moeten stellen om deze termijnen effectief te halen en administratieve knelpunten te minimaliseren. De focus binnen dit hoofdstuk zal dan ook in hoofdzaak liggen op een gedetailleerde analyse van deze maatregelen, met bijzondere aandacht voor de wijze waarop zij bijdragen aan de stroomlijning en versnelling van vergunningsprocedures en beroepsprocedures binnen de lidstaten.</w:t>
      </w:r>
    </w:p>
    <w:p w14:paraId="199B4AC5" w14:textId="04703A52" w:rsidR="00B138D8" w:rsidRDefault="00B138D8" w:rsidP="00B138D8">
      <w:pPr>
        <w:pStyle w:val="Body"/>
        <w:ind w:firstLine="708"/>
      </w:pPr>
      <w:r w:rsidRPr="002E2649">
        <w:t>Waar nationale wetgevingen vaak worstelen met administratieve traagheid en ruimtelijke conflicten, biedt de RED een dwingend Europees kader dat de lidstaten ertoe aanzet om vergunningsprocedures te stroomlijnen en hernieuwbare energieprojecten als hoger openbaar belang te erkennen. Door haar bindend karakter en haar diepgaande impact op nationale regelgeving overstijgt de RED de andere Europese initiatieven op het vlak van energiebeleid.</w:t>
      </w:r>
      <w:r>
        <w:rPr>
          <w:rStyle w:val="Voetnootmarkering"/>
          <w:rFonts w:ascii="Calibri" w:hAnsi="Calibri" w:cs="Calibri"/>
        </w:rPr>
        <w:footnoteReference w:id="155"/>
      </w:r>
      <w:r w:rsidRPr="002E2649">
        <w:t> Meer dan een beleidsrichtlijn is RED het symbool van de Europese vastberadenheid om de energietransitie te versnellen en structurele hervormingen af te dwingen in het omgevingsrecht van de lidstaten. In die zin kan worden gesteld dat de RED niet louter een instrument is binnen de energietransitie, maar eerder een fundament van de transitie binnen de Europese rechtsorde.</w:t>
      </w:r>
    </w:p>
    <w:p w14:paraId="37FC5D8B" w14:textId="14392AAB" w:rsidR="00B138D8" w:rsidRPr="00151847" w:rsidRDefault="00B138D8" w:rsidP="00B138D8">
      <w:pPr>
        <w:pStyle w:val="Body"/>
        <w:numPr>
          <w:ilvl w:val="0"/>
          <w:numId w:val="15"/>
        </w:numPr>
        <w:ind w:left="0" w:hanging="11"/>
      </w:pPr>
      <w:r w:rsidRPr="00842617">
        <w:t>De eerste versie van de RED (hierna ‘RED I’)</w:t>
      </w:r>
      <w:r>
        <w:rPr>
          <w:rStyle w:val="Voetnootmarkering"/>
          <w:rFonts w:ascii="Calibri" w:hAnsi="Calibri" w:cs="Calibri"/>
        </w:rPr>
        <w:footnoteReference w:id="156"/>
      </w:r>
      <w:r w:rsidRPr="00842617">
        <w:t xml:space="preserve"> </w:t>
      </w:r>
      <w:r>
        <w:t xml:space="preserve">dateert van 2009 en </w:t>
      </w:r>
      <w:r w:rsidRPr="00842617">
        <w:t>vormde de basis voor het eerste gemeenschappelijke kader ter bevordering van energie uit hernieuwbare energiebronnen binnen de Europese Unie. Met RED I werden nationale streefcijfers voor hernieuwbare energie vastgelegd, aangevuld met verplichtingen tot administratieve vereenvoudiging en maatregelen om investeringen in de sector te stimuleren.</w:t>
      </w:r>
      <w:r>
        <w:rPr>
          <w:rStyle w:val="Voetnootmarkering"/>
          <w:rFonts w:ascii="Calibri" w:hAnsi="Calibri" w:cs="Calibri"/>
        </w:rPr>
        <w:footnoteReference w:id="157"/>
      </w:r>
      <w:r w:rsidRPr="00842617">
        <w:t xml:space="preserve"> Toch bleef in </w:t>
      </w:r>
      <w:r w:rsidRPr="00842617">
        <w:lastRenderedPageBreak/>
        <w:t>de praktijk de vergunningverlening een groot struikelblok, waarbij lange doorlooptijden, complexe effectenrapportages en uiteenlopende nationale regelgeving de realisatie van projecten blijvend bemoeilijkten. Hierdoor ontstonden aanzienlijke verschillen tussen lidstaten in de snelheid en doeltreffendheid van de implementatie van hernieuwbare energie. De Europese regelgever keek toe terwijl de nood aan een herziening van de RED-verplichtingen steeds duidelijker werd, mede onder druk van de toenemende klimaatambities en de noodzaak om de afhankelijkheid van fossiele brandstoffen verder af te bouwen.</w:t>
      </w:r>
    </w:p>
    <w:p w14:paraId="1DFAFB4C" w14:textId="7A2938DD" w:rsidR="00B138D8" w:rsidRPr="000D2900" w:rsidRDefault="00B138D8" w:rsidP="00B138D8">
      <w:pPr>
        <w:pStyle w:val="Body"/>
        <w:numPr>
          <w:ilvl w:val="0"/>
          <w:numId w:val="15"/>
        </w:numPr>
        <w:ind w:left="0" w:hanging="11"/>
      </w:pPr>
      <w:r w:rsidRPr="00151847">
        <w:t>Het besef dat trage en complexe vergunningsprocedures een aanzienlijke belemmering vormden voor de grootschalige uitrol van hernieuwbare energieprojecten, leidde tot een verdere versterking van de bepalingen in de herziene richtlijn RED II</w:t>
      </w:r>
      <w:r>
        <w:t>.</w:t>
      </w:r>
      <w:r>
        <w:rPr>
          <w:rStyle w:val="Voetnootmarkering"/>
          <w:rFonts w:ascii="Calibri" w:hAnsi="Calibri" w:cs="Calibri"/>
        </w:rPr>
        <w:footnoteReference w:id="158"/>
      </w:r>
      <w:r w:rsidRPr="00151847">
        <w:t xml:space="preserve"> Met deze richtlijn werden lidstaten verplicht om zogenoemde ‘one-stop-shop’ procedures op te zetten, zodat projectontwikkelaars voortaan slechts met één centraal aanspreekpunt te maken kregen. Dit centrale orgaan fungeert als coördinerende instantie, verstrekt alle benodigde informatie, stemt beslissingen af met andere betrokken autoriteiten en is uiteindelijk verantwoordelijk voor het al dan niet verlenen van de vergunning</w:t>
      </w:r>
      <w:r>
        <w:t>.</w:t>
      </w:r>
      <w:r>
        <w:rPr>
          <w:rStyle w:val="Voetnootmarkering"/>
          <w:rFonts w:ascii="Calibri" w:hAnsi="Calibri" w:cs="Calibri"/>
        </w:rPr>
        <w:footnoteReference w:id="159"/>
      </w:r>
      <w:r w:rsidRPr="00151847">
        <w:t xml:space="preserve"> Daarnaast stelde RED II strengere termijnen vast voor vergunningsprocedures, met als doel de besluitvorming te versnellen en rechtszekerheid te verhogen. Hoewel deze hervormingen een stap vooruit betekenden, bleven in veel lidstaten knelpunten bestaan, met name door administratieve vertragingen, beperkte capaciteit van vergunningverlenende instanties en de aanhoudende complexiteit van milieueffectbeoordelingen.</w:t>
      </w:r>
    </w:p>
    <w:p w14:paraId="23222E70" w14:textId="32EE55AC" w:rsidR="00B138D8" w:rsidRPr="000D2900" w:rsidRDefault="00B138D8" w:rsidP="00B138D8">
      <w:pPr>
        <w:pStyle w:val="Body"/>
        <w:numPr>
          <w:ilvl w:val="0"/>
          <w:numId w:val="15"/>
        </w:numPr>
        <w:ind w:left="0" w:hanging="11"/>
      </w:pPr>
      <w:r w:rsidRPr="00CC1759">
        <w:t>Een andere belangrijke vernieuwing in RED II was de invoering van striktere termijnen voor vergunningsprocedures. Voor grootschalige projecten werd een maximale doorlooptijd van drie jaar vastgesteld, terwijl de repowering van bestaande hernieuwbare energie-installaties binnen één jaar behandeld moesten worden.</w:t>
      </w:r>
      <w:r>
        <w:rPr>
          <w:rStyle w:val="Voetnootmarkering"/>
          <w:rFonts w:ascii="Calibri" w:hAnsi="Calibri" w:cs="Calibri"/>
        </w:rPr>
        <w:footnoteReference w:id="160"/>
      </w:r>
      <w:r w:rsidRPr="00CC1759">
        <w:t xml:space="preserve"> Daarnaast werd de procedure voor bepaalde projecten verder vereenvoudigd. Kleinschalige installaties met een capaciteit van </w:t>
      </w:r>
      <w:r w:rsidRPr="00CC1759">
        <w:lastRenderedPageBreak/>
        <w:t>minder dan 50 kW, demonstratieprojecten en sommige repowering-projecten werden vrijgesteld van de vergunningsplicht en hoefden slechts een melding te maken bij de netbeheerder voordat ze op het elektriciteitsnet konden worden aangesloten.</w:t>
      </w:r>
      <w:r>
        <w:rPr>
          <w:rStyle w:val="Voetnootmarkering"/>
          <w:rFonts w:ascii="Calibri" w:hAnsi="Calibri" w:cs="Calibri"/>
        </w:rPr>
        <w:footnoteReference w:id="161"/>
      </w:r>
      <w:r w:rsidRPr="00CC1759">
        <w:t xml:space="preserve"> Ook voor grotere energiecentrales en netbeheerders werden de vergunningsprocedures gestroomlijnd, wat moest bijdragen aan een snellere uitrol van duurzame energie-infrastructuur.</w:t>
      </w:r>
      <w:r>
        <w:rPr>
          <w:rStyle w:val="Voetnootmarkering"/>
          <w:rFonts w:ascii="Calibri" w:hAnsi="Calibri" w:cs="Calibri"/>
        </w:rPr>
        <w:footnoteReference w:id="162"/>
      </w:r>
    </w:p>
    <w:p w14:paraId="7D1397DA" w14:textId="1465F698" w:rsidR="00B138D8" w:rsidRPr="00E16C2C" w:rsidRDefault="00B138D8" w:rsidP="00B138D8">
      <w:pPr>
        <w:pStyle w:val="Body"/>
        <w:numPr>
          <w:ilvl w:val="0"/>
          <w:numId w:val="15"/>
        </w:numPr>
        <w:ind w:left="0" w:hanging="11"/>
      </w:pPr>
      <w:r w:rsidRPr="00CC1759">
        <w:t xml:space="preserve">Ondanks deze maatregelen verliep ook de implementatie van RED II in veel lidstaten moeizaam. </w:t>
      </w:r>
      <w:r w:rsidR="00A25D80">
        <w:t>D</w:t>
      </w:r>
      <w:r w:rsidRPr="00CC1759">
        <w:t xml:space="preserve">e sterk verschillende nationale wetgeving op het gebied van ruimtelijke ordening en milieubescherming </w:t>
      </w:r>
      <w:r w:rsidR="00A25D80">
        <w:t>zal</w:t>
      </w:r>
      <w:r w:rsidRPr="00CC1759">
        <w:t xml:space="preserve"> zorg</w:t>
      </w:r>
      <w:r w:rsidR="00A25D80">
        <w:t>en</w:t>
      </w:r>
      <w:r w:rsidRPr="00CC1759">
        <w:t xml:space="preserve"> voor aanzienlijke vertragingen, waardoor de concrete implementatie van de RED II-verplichtingen </w:t>
      </w:r>
      <w:r w:rsidR="00901859">
        <w:t>wordt bemoeilijkt</w:t>
      </w:r>
      <w:r w:rsidRPr="00CC1759">
        <w:t>. De urgentie om hernieuwbare energiebronnen versneld te implementeren werd nog verder versterkt door de geopolitieke energiecrisis, die de afhankelijkheid van fossiele brandstoffen en de kwetsbaarheid van de Europese energiemarkt pijnlijk blootlegde.</w:t>
      </w:r>
      <w:r>
        <w:rPr>
          <w:rStyle w:val="Voetnootmarkering"/>
          <w:rFonts w:ascii="Calibri" w:hAnsi="Calibri" w:cs="Calibri"/>
        </w:rPr>
        <w:footnoteReference w:id="163"/>
      </w:r>
      <w:r w:rsidRPr="00CC1759">
        <w:t xml:space="preserve"> Dit dwong de Europese regelgever ertoe om opnieuw verdere stappen te zetten.</w:t>
      </w:r>
    </w:p>
    <w:p w14:paraId="1550D00C" w14:textId="5013F27F" w:rsidR="00B138D8" w:rsidRDefault="00B138D8" w:rsidP="00B138D8">
      <w:pPr>
        <w:pStyle w:val="Body"/>
        <w:numPr>
          <w:ilvl w:val="0"/>
          <w:numId w:val="15"/>
        </w:numPr>
        <w:ind w:left="0" w:hanging="11"/>
      </w:pPr>
      <w:r w:rsidRPr="00CC1759">
        <w:t>Dit leidde tot de invoering van RED III, die in 2023 werd aangenomen en opnieuw verder gaat in het stroomlijnen van vergunningsprocedures. Een van de meest ingrijpende hervormingen onder RED III, naast de verdere aanscherping van de termijnen waarbinnen projecten vergund worden, is de verankering van het principe dat hernieuwbare energieprojecten in het algemeen belang worden geacht en prioriteit moeten krijgen in vergunningsprocedures. Meer specifiek verplicht artikel 16</w:t>
      </w:r>
      <w:r w:rsidRPr="00CC1759">
        <w:rPr>
          <w:i/>
          <w:iCs/>
        </w:rPr>
        <w:t>septies</w:t>
      </w:r>
      <w:r w:rsidRPr="00CC1759">
        <w:t xml:space="preserve"> van de RED III de lidstaten om ervoor te zorgen dat uiterlijk op 21 februari 2024 de oprichting van hernieuwbare energieprojecten worden vermoed van hoger openbaar belang te zijn. Dit betekent concreet dat juridische en administratieve obstakels uit het omgevingsrecht die de realisatie vertragen, alleen nog gerechtvaardigd kunnen worden als er zwaarwegende redenen zijn, zoals natuurbescherming of veiligheid. De vrijwaring van bijvoorbeeld beschermde natuurgebieden </w:t>
      </w:r>
      <w:r w:rsidRPr="00CC1759">
        <w:lastRenderedPageBreak/>
        <w:t>via het natuurbeschermingsrecht moet op die manier een minder absoluut karakter toekomen, terwijl de bevoorradingsbelangen van de energietransitie sterker gaan wegen.</w:t>
      </w:r>
    </w:p>
    <w:p w14:paraId="2D624A00" w14:textId="6BD5B6D6" w:rsidR="00B138D8" w:rsidRPr="00CC1759" w:rsidRDefault="00B138D8" w:rsidP="00B138D8">
      <w:pPr>
        <w:pStyle w:val="Body"/>
        <w:numPr>
          <w:ilvl w:val="0"/>
          <w:numId w:val="15"/>
        </w:numPr>
        <w:ind w:left="0" w:hanging="11"/>
      </w:pPr>
      <w:r w:rsidRPr="00CC1759">
        <w:t>Met betrekking tot de implementatie van RED III moet worden opgemerkt dat de Vlaamse regelgever zijn huiswerk nog niet heeft gemaakt. Op 19 februari 2024 werd door de Vlaamse Regering een ontwerp van decreet ingediend dat een aantal aanpassingen moest doorvoeren inzake de procedure voor de Vlaamse bestuursrechter.</w:t>
      </w:r>
      <w:r>
        <w:rPr>
          <w:rStyle w:val="Voetnootmarkering"/>
          <w:rFonts w:ascii="Calibri" w:hAnsi="Calibri" w:cs="Calibri"/>
        </w:rPr>
        <w:footnoteReference w:id="164"/>
      </w:r>
      <w:r w:rsidRPr="00CC1759">
        <w:t xml:space="preserve"> Zo werden bijvoorbeeld een aantal ordetermijnen opgenomen die gelden voor de uiterlijke behandeling van beroepen tegen windturbineprojecten. Het ontbreken van een concrete vermelding van voornoemd hoger openbaar belang lijkt problematisch in het licht van de implementatie van RED III. Daarnaast lijkt de beperking tot windturbineprojecten een gemiste kans om meteen een breder kader te scheppen voor de bredere categorie van hernieuwbare</w:t>
      </w:r>
      <w:r w:rsidR="007635BD">
        <w:t xml:space="preserve"> </w:t>
      </w:r>
      <w:r w:rsidRPr="00CC1759">
        <w:t>energieprojecten.</w:t>
      </w:r>
    </w:p>
    <w:p w14:paraId="3DFECE3F" w14:textId="2CB43096" w:rsidR="00B138D8" w:rsidRPr="00A41008" w:rsidRDefault="00B138D8" w:rsidP="00B138D8">
      <w:pPr>
        <w:pStyle w:val="Body"/>
        <w:ind w:firstLine="708"/>
      </w:pPr>
      <w:r w:rsidRPr="00CC1759">
        <w:t>Echter, enige bedenking bij dit ontwerp van decreet blijft vandaag irrelevant. Het ontwerp is ondertussen vervallen</w:t>
      </w:r>
      <w:r>
        <w:rPr>
          <w:rStyle w:val="Voetnootmarkering"/>
          <w:rFonts w:ascii="Calibri" w:hAnsi="Calibri" w:cs="Calibri"/>
        </w:rPr>
        <w:footnoteReference w:id="165"/>
      </w:r>
      <w:r w:rsidRPr="00CC1759">
        <w:t xml:space="preserve">, waardoor </w:t>
      </w:r>
      <w:r w:rsidR="00CA4E5A">
        <w:t>er zelfs g</w:t>
      </w:r>
      <w:r w:rsidRPr="00CC1759">
        <w:t>een sprake is van een gedeeltelijke implementatie van de RED III-verplichtingen. Ook in de recentste beleidsnota van de bevoegde Vlaams minister wordt duidelijk vermeld dat de tijdige volledige omzetting van de richtlijn niet meer haalbaar is.</w:t>
      </w:r>
      <w:r>
        <w:rPr>
          <w:rStyle w:val="Voetnootmarkering"/>
          <w:rFonts w:ascii="Calibri" w:hAnsi="Calibri" w:cs="Calibri"/>
        </w:rPr>
        <w:footnoteReference w:id="166"/>
      </w:r>
    </w:p>
    <w:p w14:paraId="3D5ADD24" w14:textId="232EB98A" w:rsidR="00B138D8" w:rsidRDefault="00B138D8" w:rsidP="00B138D8">
      <w:pPr>
        <w:pStyle w:val="Body"/>
        <w:numPr>
          <w:ilvl w:val="0"/>
          <w:numId w:val="15"/>
        </w:numPr>
        <w:ind w:left="0" w:hanging="11"/>
      </w:pPr>
      <w:r w:rsidRPr="00A41008">
        <w:lastRenderedPageBreak/>
        <w:t xml:space="preserve">De federale wetgever lijkt daarentegen </w:t>
      </w:r>
      <w:r w:rsidR="00CA4E5A">
        <w:t>vol</w:t>
      </w:r>
      <w:r w:rsidR="00CA4E5A" w:rsidRPr="00A41008">
        <w:t xml:space="preserve">doende </w:t>
      </w:r>
      <w:r w:rsidRPr="00A41008">
        <w:t xml:space="preserve">inspanningen te leveren om de verplichtingen </w:t>
      </w:r>
      <w:r w:rsidR="00CA4E5A">
        <w:t xml:space="preserve">die </w:t>
      </w:r>
      <w:r w:rsidRPr="00A41008">
        <w:t>voortvloeien uit RED III correct te implementeren. Hierbij dient te worden opgemerkt dat de bevoegdheid voor deze materie hoofdzak</w:t>
      </w:r>
      <w:r w:rsidR="00B8737C">
        <w:t>elijk</w:t>
      </w:r>
      <w:r w:rsidRPr="00A41008">
        <w:t xml:space="preserve"> op Vlaamse niveau </w:t>
      </w:r>
      <w:r w:rsidR="00B8737C">
        <w:t>lig</w:t>
      </w:r>
      <w:r w:rsidR="00B8737C" w:rsidRPr="00A41008">
        <w:t>t</w:t>
      </w:r>
      <w:r w:rsidRPr="00A41008">
        <w:t>. Niettemin is ook het federale niveau van belang, aangezien de Raad van State fungeert als cassatierechter voor beroepen ingesteld tegen uitspraken van de lagere administratieve rechtscolleges.</w:t>
      </w:r>
      <w:r>
        <w:rPr>
          <w:rStyle w:val="Voetnootmarkering"/>
          <w:rFonts w:ascii="Calibri" w:hAnsi="Calibri" w:cs="Calibri"/>
        </w:rPr>
        <w:footnoteReference w:id="167"/>
      </w:r>
      <w:r w:rsidRPr="00A41008">
        <w:t xml:space="preserve"> Dit betekent dat de Raad van State zich in voorkomend geval eveneens zal moeten buigen over omgevingsrechtelijke geschillen, wanneer een cassatieberoep wordt ingesteld tegen een uitspraak van de Raad voor Vergunningsbetwistingen.</w:t>
      </w:r>
    </w:p>
    <w:p w14:paraId="49CD1C52" w14:textId="4DB53AA7" w:rsidR="00B138D8" w:rsidRDefault="00B138D8" w:rsidP="00B138D8">
      <w:pPr>
        <w:pStyle w:val="Body"/>
        <w:ind w:firstLine="708"/>
      </w:pPr>
      <w:r w:rsidRPr="00A41008">
        <w:t>In dit verband voorzag artikel 101/1, tweede lid, van de gecoördineerde wetten op de Raad van State reeds in de mogelijkheid om bepaalde beroepen, via koninklijk besluit, te onderwerpen aan specifieke termijnen en een behandeling met voorrang. Op basis van deze wettelijke grondslag werd het koninklijk besluit van 21 juli 2023 uitgevaardigd, dat primair tot doel heeft beroepen tegen besluiten met betrekking tot hernieuwbare energie aan te duiden als materies van hoger openbaar belang.</w:t>
      </w:r>
      <w:r>
        <w:rPr>
          <w:rStyle w:val="Voetnootmarkering"/>
          <w:rFonts w:ascii="Calibri" w:hAnsi="Calibri" w:cs="Calibri"/>
        </w:rPr>
        <w:footnoteReference w:id="168"/>
      </w:r>
      <w:r w:rsidRPr="00CC1759">
        <w:t xml:space="preserve"> </w:t>
      </w:r>
      <w:r w:rsidRPr="00A41008">
        <w:t>Opmerkelijk is dat, terwijl de Vlaamse overheid vooralsnog in gebreke blijft wat betreft de correcte implementatie van de verplichtingen vervat in artikel 16</w:t>
      </w:r>
      <w:r w:rsidRPr="00A41008">
        <w:rPr>
          <w:i/>
          <w:iCs/>
        </w:rPr>
        <w:t>septies</w:t>
      </w:r>
      <w:r w:rsidRPr="00A41008">
        <w:t xml:space="preserve"> RED III, de federale regelgever zich hier wél actief toe </w:t>
      </w:r>
      <w:r w:rsidR="008325ED">
        <w:t>inzet</w:t>
      </w:r>
      <w:r w:rsidRPr="00A41008">
        <w:t>. Dit impliceert dat, ondanks de uitgesproken bevoegdheidsverdeling, er op federaal niveau een duidelijk initiatief wordt genomen om de door de Europese regelgeving opgelegde versnelling en prioritering van vergunningsprocedures daadwerkelijk te operationaliseren.</w:t>
      </w:r>
    </w:p>
    <w:p w14:paraId="71666E36" w14:textId="7DE9E6EB" w:rsidR="00B138D8" w:rsidRPr="00E16C2C" w:rsidRDefault="008325ED" w:rsidP="00B138D8">
      <w:pPr>
        <w:pStyle w:val="Body"/>
        <w:numPr>
          <w:ilvl w:val="0"/>
          <w:numId w:val="15"/>
        </w:numPr>
        <w:ind w:left="0" w:hanging="11"/>
      </w:pPr>
      <w:r>
        <w:t>Terwijl</w:t>
      </w:r>
      <w:r w:rsidR="00343203">
        <w:t xml:space="preserve"> de Vlaamse decreetgever in gebreke blijft, </w:t>
      </w:r>
      <w:r>
        <w:t xml:space="preserve">levert </w:t>
      </w:r>
      <w:r w:rsidR="00343203">
        <w:t>de Duitse regelgever wel belangrijke inspanningen</w:t>
      </w:r>
      <w:r w:rsidR="00B138D8">
        <w:t xml:space="preserve">. </w:t>
      </w:r>
      <w:r w:rsidR="00343203">
        <w:t>Dat is niet onlogisch, nu d</w:t>
      </w:r>
      <w:r w:rsidR="00B138D8" w:rsidRPr="00A41008">
        <w:t xml:space="preserve">e Duitse </w:t>
      </w:r>
      <w:r w:rsidR="00B138D8" w:rsidRPr="00A41008">
        <w:rPr>
          <w:i/>
          <w:iCs/>
        </w:rPr>
        <w:t>Energiewende</w:t>
      </w:r>
      <w:r w:rsidR="00B138D8" w:rsidRPr="00A41008">
        <w:t xml:space="preserve"> staat bekend om haar proactieve en vooruitstrevende karakter, waarbij wetgevende initiatieven vaak anticiperen op Europese regelgeving in plaats van hierop te wachten. </w:t>
      </w:r>
      <w:r w:rsidR="00343203">
        <w:t xml:space="preserve">Dit toont meteen een duidelijk en fundamenteel verschil tussen de Duitse en de Vlaamse aanpak, nu men in Vlaanderen een eerder afwachtende rol inneemt. </w:t>
      </w:r>
      <w:r w:rsidR="00B138D8" w:rsidRPr="00A41008">
        <w:t xml:space="preserve">In overeenstemming met deze benadering heeft de Duitse wetgever reeds vóór de inwerkingtreding van RED III besloten om </w:t>
      </w:r>
      <w:r w:rsidR="00B138D8" w:rsidRPr="00A41008">
        <w:lastRenderedPageBreak/>
        <w:t xml:space="preserve">windturbineprojecten </w:t>
      </w:r>
      <w:r w:rsidR="00B138D8">
        <w:t xml:space="preserve">formeel </w:t>
      </w:r>
      <w:r w:rsidR="00B138D8" w:rsidRPr="00A41008">
        <w:t>als zijnde van hoger openbaar belang te kwalificeren.</w:t>
      </w:r>
      <w:r w:rsidR="00B138D8">
        <w:rPr>
          <w:rStyle w:val="Voetnootmarkering"/>
          <w:rFonts w:ascii="Calibri" w:hAnsi="Calibri" w:cs="Calibri"/>
        </w:rPr>
        <w:footnoteReference w:id="169"/>
      </w:r>
      <w:r w:rsidR="00B138D8" w:rsidRPr="00A41008">
        <w:t xml:space="preserve"> Door deze erkenning krijgen dergelijke projecten een bijzondere juridische status, waardoor administratieve procedures kunnen worden versneld en eventuele conflicten met andere ruimtelijke of milieurechtelijke regelgeving eenvoudiger kunnen worden beslecht. Hoewel deze kwalificatie strikt genomen beperkt blijft tot windturbineprojecten en niet geldt voor hernieuwbare energieprojecten in hun geheel, toont Duitsland hiermee opnieuw aan dat het</w:t>
      </w:r>
      <w:r w:rsidR="00343203">
        <w:t>, anders dan het geval is voor de Vlaamse decreetgever,</w:t>
      </w:r>
      <w:r w:rsidR="00B138D8" w:rsidRPr="00A41008">
        <w:t xml:space="preserve"> als lidstaat een voortrekkersrol opneemt binnen de Europese energietransitie. Dit onderstreept niet alleen de vooruitstrevende mentaliteit van de Duitse regelgever, maar ook de structurele ambitie om juridische en administratieve belemmeringen proactief te minimaliseren ten gunste van de verdere uitrol van duurzame energiebronnen.</w:t>
      </w:r>
    </w:p>
    <w:p w14:paraId="4B0DA3A0" w14:textId="648F6228" w:rsidR="00B138D8" w:rsidRPr="00E56B55" w:rsidRDefault="00B138D8" w:rsidP="00B138D8">
      <w:pPr>
        <w:pStyle w:val="Body"/>
        <w:numPr>
          <w:ilvl w:val="0"/>
          <w:numId w:val="15"/>
        </w:numPr>
        <w:ind w:left="0" w:hanging="11"/>
      </w:pPr>
      <w:r w:rsidRPr="00E56B55">
        <w:t>Onder RED III zijn lidstaten ook verplicht om zogenaamde ‘acceleration areas’ aan te wijzen, waar versnelde procedures gelden en waarbij projecten onder een vereenvoudigd regime vallen.</w:t>
      </w:r>
      <w:r>
        <w:rPr>
          <w:rStyle w:val="Voetnootmarkering"/>
          <w:rFonts w:ascii="Calibri" w:hAnsi="Calibri" w:cs="Calibri"/>
        </w:rPr>
        <w:footnoteReference w:id="170"/>
      </w:r>
      <w:r w:rsidRPr="00E56B55">
        <w:t xml:space="preserve"> Concreet geldt in deze gebieden een maximale termijn waarbinnen de vergunning verleend moet worden van 1 jaar voor nieuwe projecten en 6 maanden voor </w:t>
      </w:r>
      <w:r w:rsidR="00343203">
        <w:t>de zogenaamde ‘</w:t>
      </w:r>
      <w:r w:rsidRPr="00E56B55">
        <w:t>repowering</w:t>
      </w:r>
      <w:r w:rsidR="00343203">
        <w:t>’</w:t>
      </w:r>
      <w:r w:rsidR="00343203">
        <w:rPr>
          <w:rStyle w:val="Voetnootmarkering"/>
        </w:rPr>
        <w:footnoteReference w:id="171"/>
      </w:r>
      <w:r w:rsidRPr="00E56B55">
        <w:t>. Hierdoor kunnen bijvoorbeeld windturbines sneller worden goedgekeurd, mits ze binnen deze gebieden worden gepland. Concreet wordt van de lidstaten verwacht dat deze acceleration areas uiterlijk op 21 februari 2026 aangewezen worden.</w:t>
      </w:r>
    </w:p>
    <w:p w14:paraId="0C5212F6" w14:textId="239AAB8D" w:rsidR="00B138D8" w:rsidRDefault="00B138D8" w:rsidP="00B138D8">
      <w:pPr>
        <w:pStyle w:val="Body"/>
        <w:ind w:firstLine="708"/>
      </w:pPr>
      <w:r w:rsidRPr="00E56B55">
        <w:t xml:space="preserve">De Duitse regelgever gaf </w:t>
      </w:r>
      <w:r w:rsidR="00343203">
        <w:t xml:space="preserve">ook </w:t>
      </w:r>
      <w:r w:rsidRPr="00E56B55">
        <w:t>hiervoor al</w:t>
      </w:r>
      <w:r w:rsidR="00343203">
        <w:t>va</w:t>
      </w:r>
      <w:r w:rsidRPr="00E56B55">
        <w:t>st het goede voorbeeld.</w:t>
      </w:r>
      <w:r>
        <w:t xml:space="preserve"> In de Duitse context bestaat al langer de spanning tussen de deelstaten (‘Länder’) en de federale ‘</w:t>
      </w:r>
      <w:r w:rsidRPr="00E56B55">
        <w:rPr>
          <w:i/>
          <w:iCs/>
        </w:rPr>
        <w:t>Energiewende</w:t>
      </w:r>
      <w:r>
        <w:t>’ op vlak van deze materie. Immers, inzake ruimtelijke ordening hebben d</w:t>
      </w:r>
      <w:r w:rsidRPr="009F1DBA">
        <w:t xml:space="preserve">e deelstaten </w:t>
      </w:r>
      <w:r>
        <w:t xml:space="preserve">een </w:t>
      </w:r>
      <w:r w:rsidRPr="009F1DBA">
        <w:t>aanzienlijke autonomie</w:t>
      </w:r>
      <w:r>
        <w:rPr>
          <w:rStyle w:val="Voetnootmarkering"/>
        </w:rPr>
        <w:footnoteReference w:id="172"/>
      </w:r>
      <w:r w:rsidRPr="009F1DBA">
        <w:t xml:space="preserve"> om </w:t>
      </w:r>
      <w:r>
        <w:t>bijvoorbeeld</w:t>
      </w:r>
      <w:r w:rsidRPr="009F1DBA">
        <w:t xml:space="preserve"> 'concentratiezones' (</w:t>
      </w:r>
      <w:r>
        <w:t>‘</w:t>
      </w:r>
      <w:r w:rsidRPr="009F1DBA">
        <w:t>Vorranggebiete</w:t>
      </w:r>
      <w:r>
        <w:t>’</w:t>
      </w:r>
      <w:r w:rsidRPr="009F1DBA">
        <w:t xml:space="preserve">) aan te wijzen, waar windparken wel of juist niet mogen worden gebouwd. Dit heeft </w:t>
      </w:r>
      <w:r>
        <w:t xml:space="preserve">logischerwijs </w:t>
      </w:r>
      <w:r w:rsidRPr="009F1DBA">
        <w:t xml:space="preserve">geleid tot juridische fragmentatie, met uiteenlopende normen </w:t>
      </w:r>
      <w:r>
        <w:t>per deelstaat</w:t>
      </w:r>
      <w:r w:rsidRPr="009F1DBA">
        <w:t>.</w:t>
      </w:r>
      <w:r>
        <w:t xml:space="preserve"> Als antwoord op </w:t>
      </w:r>
      <w:r>
        <w:lastRenderedPageBreak/>
        <w:t>deze problematiek</w:t>
      </w:r>
      <w:r w:rsidRPr="009F1DBA">
        <w:t xml:space="preserve"> introduceerde </w:t>
      </w:r>
      <w:r>
        <w:t xml:space="preserve">men in </w:t>
      </w:r>
      <w:r w:rsidRPr="009F1DBA">
        <w:t xml:space="preserve">Duitsland de </w:t>
      </w:r>
      <w:r w:rsidR="00EF6644">
        <w:t>‘</w:t>
      </w:r>
      <w:r w:rsidRPr="00E56B55">
        <w:rPr>
          <w:i/>
          <w:iCs/>
        </w:rPr>
        <w:t>Wind-an-Land-Gesetz</w:t>
      </w:r>
      <w:r w:rsidR="00EF6644">
        <w:t>’</w:t>
      </w:r>
      <w:r w:rsidRPr="009F1DBA">
        <w:t xml:space="preserve"> </w:t>
      </w:r>
      <w:r>
        <w:t>van</w:t>
      </w:r>
      <w:r w:rsidRPr="009F1DBA">
        <w:t xml:space="preserve"> 2022</w:t>
      </w:r>
      <w:r>
        <w:rPr>
          <w:rStyle w:val="Voetnootmarkering"/>
        </w:rPr>
        <w:footnoteReference w:id="173"/>
      </w:r>
      <w:r w:rsidRPr="009F1DBA">
        <w:t>, die</w:t>
      </w:r>
      <w:r>
        <w:t xml:space="preserve"> ondermeer</w:t>
      </w:r>
      <w:r w:rsidRPr="009F1DBA">
        <w:t xml:space="preserve"> ambitieuze uitbreidingsdoelen vastlegt en de deelstaten verplicht om tegen 2032 </w:t>
      </w:r>
      <w:r>
        <w:t>een per deelstaat vastgesteld percentage</w:t>
      </w:r>
      <w:r w:rsidRPr="009F1DBA">
        <w:t xml:space="preserve"> van hun landoppervlak beschikbaar te stellen voor windenergie. </w:t>
      </w:r>
      <w:r>
        <w:t xml:space="preserve">Aldus kon de Duitse regelgever op het niveau van de Länder de uitrol van windenergie een verplichtend karakter toebedelen zonder aan de autonomie van de deelstaten te raken. Het staat de Länder vrij om binnen de bevoegdheid voor de ruimtelijke ordening concrete gebieden prioritair aan te wijzen voor windenergie. </w:t>
      </w:r>
      <w:r w:rsidRPr="00DE015B">
        <w:t>Dit initiatief toont aan dat de Duitse regelgever niet alleen proactief en ambitieus is in het naleven van de RED III-verplichtingen, maar ook effectief verschillende bestuursniveaus heeft geïntegreerd om een robuust beleid te creëren.</w:t>
      </w:r>
    </w:p>
    <w:p w14:paraId="0C8A3CA4" w14:textId="67A1E443" w:rsidR="00B138D8" w:rsidRDefault="00343203" w:rsidP="00B138D8">
      <w:pPr>
        <w:pStyle w:val="Body"/>
        <w:ind w:firstLine="708"/>
      </w:pPr>
      <w:r>
        <w:t>Ook bij de vergelijking van deze RED III-verplichting</w:t>
      </w:r>
      <w:r w:rsidR="00B138D8" w:rsidRPr="00DE015B">
        <w:t xml:space="preserve"> blijft de Vlaamse regelgever achter</w:t>
      </w:r>
      <w:r w:rsidR="0054529A">
        <w:t>, zowel</w:t>
      </w:r>
      <w:r w:rsidR="006D39EB">
        <w:t xml:space="preserve"> o</w:t>
      </w:r>
      <w:r>
        <w:t>p de Duitse regelgev</w:t>
      </w:r>
      <w:r w:rsidR="006D39EB">
        <w:t>e</w:t>
      </w:r>
      <w:r>
        <w:t xml:space="preserve">r </w:t>
      </w:r>
      <w:r w:rsidR="0054529A">
        <w:t>als</w:t>
      </w:r>
      <w:r>
        <w:t xml:space="preserve"> op de Europese verwachtingen</w:t>
      </w:r>
      <w:r w:rsidR="0054529A">
        <w:t>. D</w:t>
      </w:r>
      <w:r w:rsidR="00B138D8" w:rsidRPr="00DE015B">
        <w:t xml:space="preserve">aarbij </w:t>
      </w:r>
      <w:r w:rsidR="0054529A">
        <w:t xml:space="preserve">stel </w:t>
      </w:r>
      <w:r>
        <w:t xml:space="preserve">ik vast dat </w:t>
      </w:r>
      <w:r w:rsidR="00B138D8" w:rsidRPr="00DE015B">
        <w:t>de versnelling van de uitrolzones nog altijd niet op de agenda staat. Vlaanderen zou dringend moeten reageren op de versnelde uitrol van hernieuwbare energieprojecten, met name door het aanwijzen van versnelde uitrolzones in lijn met de RED III-verplichtingen, aangezien</w:t>
      </w:r>
      <w:r w:rsidR="00B138D8" w:rsidRPr="00E56B55">
        <w:rPr>
          <w:b/>
          <w:bCs/>
        </w:rPr>
        <w:t xml:space="preserve"> </w:t>
      </w:r>
      <w:r>
        <w:t>dit</w:t>
      </w:r>
      <w:r w:rsidR="00B138D8">
        <w:t xml:space="preserve"> tegen 21 februari 2026 geïmplementeerd moet worden in de nationale wetgeving. </w:t>
      </w:r>
      <w:r w:rsidR="00B138D8" w:rsidRPr="0058135D">
        <w:t xml:space="preserve">In dat opzicht benadruk ik dat elke dag telt, zeker nu we duidelijk hebben gezien dat </w:t>
      </w:r>
      <w:r w:rsidR="00B138D8">
        <w:t xml:space="preserve">ook </w:t>
      </w:r>
      <w:r w:rsidR="00B138D8" w:rsidRPr="0058135D">
        <w:t xml:space="preserve">het </w:t>
      </w:r>
      <w:r w:rsidR="00B138D8">
        <w:t>voor</w:t>
      </w:r>
      <w:r w:rsidR="00B138D8" w:rsidRPr="0058135D">
        <w:t>noemde ontwerp van decreet zo</w:t>
      </w:r>
      <w:r w:rsidR="00B138D8">
        <w:t>danig</w:t>
      </w:r>
      <w:r w:rsidR="00B138D8" w:rsidRPr="0058135D">
        <w:t xml:space="preserve"> laat</w:t>
      </w:r>
      <w:r w:rsidR="00B138D8">
        <w:t>tijdig</w:t>
      </w:r>
      <w:r w:rsidR="00B138D8" w:rsidRPr="0058135D">
        <w:t xml:space="preserve"> werd ingediend dat het de eind</w:t>
      </w:r>
      <w:r w:rsidR="00B138D8">
        <w:t>meet</w:t>
      </w:r>
      <w:r w:rsidR="00B138D8" w:rsidRPr="0058135D">
        <w:t xml:space="preserve"> niet haalde. Hierdoor bleef de concrete implementatie van de RED III-verplichtingen</w:t>
      </w:r>
      <w:r w:rsidR="00B138D8">
        <w:t xml:space="preserve"> inzake bijvoorbeeld doorlooptijd</w:t>
      </w:r>
      <w:r w:rsidR="00B138D8" w:rsidRPr="0058135D">
        <w:t>, die eigenlijk al in 2024 van kracht hadden moeten zijn, uit.</w:t>
      </w:r>
      <w:r>
        <w:t xml:space="preserve"> Ik moet met betrekking tot dit aspect van de RED III-verplichtingen nogmaals vaststellen dat waar de Duitse regelgever juist een anticiperende en vooruitstrevende rol aanneemt, terwijl de Vlaamse decreetgever duidelijk in gebreke blijft en weinig concrete en omvattende inspanningen levert.</w:t>
      </w:r>
    </w:p>
    <w:p w14:paraId="2A075C9F" w14:textId="6DBB3F2A" w:rsidR="00B138D8" w:rsidRDefault="00B138D8" w:rsidP="00B138D8">
      <w:pPr>
        <w:pStyle w:val="Body"/>
        <w:numPr>
          <w:ilvl w:val="0"/>
          <w:numId w:val="15"/>
        </w:numPr>
        <w:ind w:left="0" w:hanging="11"/>
      </w:pPr>
      <w:r>
        <w:t xml:space="preserve">De zogenaamde ‘bestemmingsneutraliteit’ die al enige tijd rondspookt in de Vlaamse rechtsleer kan op het eerste zicht aansluiten bij deze versnelde uitrolzones. </w:t>
      </w:r>
      <w:r w:rsidR="00343203">
        <w:t xml:space="preserve">Men zou daarom in de verleiding kunnen komen om te oordelen dat dit leerstuk </w:t>
      </w:r>
      <w:r w:rsidR="00F52F7A">
        <w:t>de</w:t>
      </w:r>
      <w:r w:rsidR="00343203">
        <w:t xml:space="preserve"> Vlaamse </w:t>
      </w:r>
      <w:r w:rsidR="00F52F7A">
        <w:t xml:space="preserve">evenknie van de </w:t>
      </w:r>
      <w:r w:rsidR="00F52F7A">
        <w:lastRenderedPageBreak/>
        <w:t xml:space="preserve">Duitse inspanningen vormt. </w:t>
      </w:r>
      <w:r>
        <w:t xml:space="preserve">Toch staat dit omgevingsrechtelijk leerstuk los van de RED III-verplichtingen. Concreet leidt deze figuur ertoe dat </w:t>
      </w:r>
      <w:r w:rsidRPr="00ED77A4">
        <w:t>windturbines</w:t>
      </w:r>
      <w:r>
        <w:t xml:space="preserve"> die</w:t>
      </w:r>
      <w:r w:rsidRPr="00ED77A4">
        <w:t xml:space="preserve"> niet noodzakelijk binnen een specifieke ruimtelijke bestemming</w:t>
      </w:r>
      <w:r>
        <w:t xml:space="preserve"> passen alsnog ingeplant kunnen worden in het betreffende gebied.</w:t>
      </w:r>
      <w:r w:rsidRPr="00ED77A4">
        <w:t xml:space="preserve"> Hoewel dit in theorie flexibiliteit </w:t>
      </w:r>
      <w:r>
        <w:t xml:space="preserve">kan </w:t>
      </w:r>
      <w:r w:rsidRPr="00ED77A4">
        <w:t>bied</w:t>
      </w:r>
      <w:r w:rsidR="002E00DB">
        <w:t>en</w:t>
      </w:r>
      <w:r w:rsidRPr="00ED77A4">
        <w:t xml:space="preserve">, </w:t>
      </w:r>
      <w:r>
        <w:t>zal de praktische toepassing ervan eerder leiden</w:t>
      </w:r>
      <w:r w:rsidRPr="00ED77A4">
        <w:t xml:space="preserve"> tot juridische onzekerheid en tijdrovende procedures.</w:t>
      </w:r>
      <w:r>
        <w:rPr>
          <w:rStyle w:val="Voetnootmarkering"/>
        </w:rPr>
        <w:footnoteReference w:id="174"/>
      </w:r>
      <w:r>
        <w:t xml:space="preserve"> Daarom kan deze bestemmingsneutraliteit onmogelijk gezien worden als een middel om te evolueren naar de vaststelling van versnelde uitrolzones.</w:t>
      </w:r>
    </w:p>
    <w:p w14:paraId="7BE939D6" w14:textId="72D2A94E" w:rsidR="00B138D8" w:rsidRPr="00C13573" w:rsidRDefault="00B138D8" w:rsidP="00B138D8">
      <w:pPr>
        <w:pStyle w:val="Body"/>
        <w:ind w:firstLine="708"/>
      </w:pPr>
      <w:r>
        <w:t>De bestemmingsneutraliteit vormt ook een leerstuk dat de verschillende zienswijze</w:t>
      </w:r>
      <w:r w:rsidR="002E00DB">
        <w:t>n</w:t>
      </w:r>
      <w:r>
        <w:t xml:space="preserve"> tussen de Vlaamse en de Duitse omgevingspraktijk zeer duidelijk weergeeft. Terwijl men in Vlaanderen een eerder reactieve</w:t>
      </w:r>
      <w:r w:rsidR="00F52F7A">
        <w:t xml:space="preserve"> </w:t>
      </w:r>
      <w:r>
        <w:t>reflex toont met dit neutraliteitsprincipe, werkt men in Duitsland op een meer proactieve wijze door de deelstaten te verplichten om een zeker percentage van het grondgebied aan te wijzen voor de prioritaire uitrol van windenergie. In die zin ben ik</w:t>
      </w:r>
      <w:r w:rsidRPr="007F4D73">
        <w:t xml:space="preserve"> ervan overtuigd dat het prioritair aanwijzen van gebieden voor</w:t>
      </w:r>
      <w:r>
        <w:t xml:space="preserve"> de opwekking van</w:t>
      </w:r>
      <w:r w:rsidRPr="007F4D73">
        <w:t xml:space="preserve"> windenergie aanzienlijk meer rechtszekerheid biedt. Wanneer de overheid dergelijke zones vastlegt, mag worden verwacht dat zij, vanuit het zorgvuldigheidsbeginsel, vooraf een grondige analyse uitvoert </w:t>
      </w:r>
      <w:r>
        <w:t>met betrekking tot</w:t>
      </w:r>
      <w:r w:rsidRPr="007F4D73">
        <w:t xml:space="preserve"> de impact van </w:t>
      </w:r>
      <w:r>
        <w:t>windturbineprojecten</w:t>
      </w:r>
      <w:r w:rsidRPr="007F4D73">
        <w:t xml:space="preserve"> in deze gebieden. Deze voorbereidende studies kunnen later </w:t>
      </w:r>
      <w:r>
        <w:t>(minstens gedeeltelijk)</w:t>
      </w:r>
      <w:r>
        <w:rPr>
          <w:rStyle w:val="Voetnootmarkering"/>
        </w:rPr>
        <w:footnoteReference w:id="175"/>
      </w:r>
      <w:r w:rsidRPr="007F4D73">
        <w:t xml:space="preserve"> worden benut bij de uitvoering van </w:t>
      </w:r>
      <w:r>
        <w:t xml:space="preserve">bijvoorbeeld </w:t>
      </w:r>
      <w:r w:rsidRPr="007F4D73">
        <w:t>project-MER’s, screenings-MER’s of passende beoordelingen. Daarentegen leidt een beleid van loutere bestemmingsneutraliteit tot een gebrek aan voorafgaande analyses</w:t>
      </w:r>
      <w:r>
        <w:t xml:space="preserve"> en beoordelingen</w:t>
      </w:r>
      <w:r w:rsidRPr="007F4D73">
        <w:t xml:space="preserve">, waardoor de meerwaarde ervan beperkt blijft en vooral de </w:t>
      </w:r>
      <w:r>
        <w:t xml:space="preserve">bescherming van </w:t>
      </w:r>
      <w:r w:rsidRPr="007F4D73">
        <w:t>landschapswaarden mildert zonder bredere juridische zekerheid te bieden.</w:t>
      </w:r>
      <w:r>
        <w:t xml:space="preserve"> Daarom zouden het</w:t>
      </w:r>
      <w:r w:rsidRPr="003B30D0">
        <w:t xml:space="preserve"> Vlaamse </w:t>
      </w:r>
      <w:r>
        <w:t xml:space="preserve">beleidskader en de </w:t>
      </w:r>
      <w:r w:rsidRPr="003B30D0">
        <w:t xml:space="preserve">rechtsleer </w:t>
      </w:r>
      <w:r w:rsidRPr="003B30D0">
        <w:lastRenderedPageBreak/>
        <w:t xml:space="preserve">minder dogmatisch moeten vasthouden aan het principe van bestemmingsneutraliteit en eerder </w:t>
      </w:r>
      <w:r>
        <w:t>hun heil gaan zoeken in de Duitse benadering.</w:t>
      </w:r>
    </w:p>
    <w:p w14:paraId="3D5CD422" w14:textId="0B4E526B" w:rsidR="00B138D8" w:rsidRPr="009B78AD" w:rsidRDefault="00B138D8" w:rsidP="00B138D8">
      <w:pPr>
        <w:pStyle w:val="Body"/>
        <w:numPr>
          <w:ilvl w:val="0"/>
          <w:numId w:val="15"/>
        </w:numPr>
        <w:ind w:left="0" w:hanging="11"/>
      </w:pPr>
      <w:r w:rsidRPr="009B78AD">
        <w:t>Naast de verplichtingen die voornamelijk binnen het omgevingsrecht kaderen, voert RED III ook andere verplichtingen door inzake bijvoorbeeld</w:t>
      </w:r>
      <w:r>
        <w:t xml:space="preserve"> grensoverschr</w:t>
      </w:r>
      <w:r w:rsidR="002D4CD7">
        <w:t>ij</w:t>
      </w:r>
      <w:r>
        <w:t xml:space="preserve">dende samenwerking inzake </w:t>
      </w:r>
      <w:r w:rsidRPr="009B78AD">
        <w:t xml:space="preserve">netintegratie, </w:t>
      </w:r>
      <w:r>
        <w:t xml:space="preserve">maar ook inzake </w:t>
      </w:r>
      <w:r w:rsidRPr="009B78AD">
        <w:t>digitalisering en standaardisering van vergunningsprocedures. Doordat deze verplichtingen niet binnen de omgevingsrechtelijke praktijk kaderen, bevinden ze zich buiten de scope van dit werkstuk. Bijgevolg worden deze bijkomende verplichtingen niet verder besproken.</w:t>
      </w:r>
    </w:p>
    <w:p w14:paraId="6D5F7BED" w14:textId="3307BE1F" w:rsidR="00B052DE" w:rsidRDefault="00000A50" w:rsidP="00000A50">
      <w:pPr>
        <w:pStyle w:val="Kop1"/>
      </w:pPr>
      <w:bookmarkStart w:id="20" w:name="_Toc193312409"/>
      <w:r>
        <w:t>Toekomstperspectieven en voorstellen voor een efficiënt, rechtszeker en toekomstbestendig vergunningsbeleid van windturbineprojecten</w:t>
      </w:r>
      <w:bookmarkEnd w:id="20"/>
    </w:p>
    <w:p w14:paraId="77EB4F73" w14:textId="36BEEB5D" w:rsidR="006C64A3" w:rsidRPr="006C64A3" w:rsidRDefault="006C64A3" w:rsidP="006C64A3">
      <w:pPr>
        <w:pStyle w:val="Body"/>
        <w:numPr>
          <w:ilvl w:val="0"/>
          <w:numId w:val="15"/>
        </w:numPr>
        <w:ind w:left="0" w:hanging="11"/>
        <w:rPr>
          <w:lang w:eastAsia="nl-NL"/>
        </w:rPr>
      </w:pPr>
      <w:r w:rsidRPr="006C64A3">
        <w:rPr>
          <w:lang w:eastAsia="nl-NL"/>
        </w:rPr>
        <w:t xml:space="preserve">De voorgaande hoofdstukken tonen aan dat omgevingsrechtelijke regels aanzienlijke hindernissen vormen binnen de vergunningsprocedure voor windturbineprojecten. Hoewel deze regelgeving bedoeld is ter bescherming van ecologische, ruimtelijke en maatschappelijke belangen, blijkt ze in de praktijk een rem op de </w:t>
      </w:r>
      <w:r>
        <w:rPr>
          <w:lang w:eastAsia="nl-NL"/>
        </w:rPr>
        <w:t xml:space="preserve">broodnodige </w:t>
      </w:r>
      <w:r w:rsidRPr="006C64A3">
        <w:rPr>
          <w:lang w:eastAsia="nl-NL"/>
        </w:rPr>
        <w:t xml:space="preserve">energietransitie. Strikte milieu-effectbeoordelingen, </w:t>
      </w:r>
      <w:r>
        <w:rPr>
          <w:lang w:eastAsia="nl-NL"/>
        </w:rPr>
        <w:t>natuurtoetsen</w:t>
      </w:r>
      <w:r w:rsidRPr="006C64A3">
        <w:rPr>
          <w:lang w:eastAsia="nl-NL"/>
        </w:rPr>
        <w:t xml:space="preserve"> en landschappelijke </w:t>
      </w:r>
      <w:r>
        <w:rPr>
          <w:lang w:eastAsia="nl-NL"/>
        </w:rPr>
        <w:t>bescherming</w:t>
      </w:r>
      <w:r w:rsidRPr="006C64A3">
        <w:rPr>
          <w:lang w:eastAsia="nl-NL"/>
        </w:rPr>
        <w:t xml:space="preserve"> zorgen voor complexe en tijdrovende procedures, wat</w:t>
      </w:r>
      <w:r>
        <w:rPr>
          <w:lang w:eastAsia="nl-NL"/>
        </w:rPr>
        <w:t xml:space="preserve"> </w:t>
      </w:r>
      <w:r w:rsidRPr="006C64A3">
        <w:rPr>
          <w:lang w:eastAsia="nl-NL"/>
        </w:rPr>
        <w:t xml:space="preserve">investeringen in hernieuwbare energie </w:t>
      </w:r>
      <w:r>
        <w:rPr>
          <w:lang w:eastAsia="nl-NL"/>
        </w:rPr>
        <w:t>ontmoedigt</w:t>
      </w:r>
      <w:r w:rsidRPr="006C64A3">
        <w:rPr>
          <w:lang w:eastAsia="nl-NL"/>
        </w:rPr>
        <w:t xml:space="preserve"> en de uitrol ervan </w:t>
      </w:r>
      <w:r w:rsidR="0092218A">
        <w:rPr>
          <w:lang w:eastAsia="nl-NL"/>
        </w:rPr>
        <w:t xml:space="preserve">bijgevolg </w:t>
      </w:r>
      <w:r w:rsidRPr="006C64A3">
        <w:rPr>
          <w:lang w:eastAsia="nl-NL"/>
        </w:rPr>
        <w:t>vertraagt.</w:t>
      </w:r>
      <w:r w:rsidR="0092218A">
        <w:rPr>
          <w:rStyle w:val="Voetnootmarkering"/>
          <w:lang w:eastAsia="nl-NL"/>
        </w:rPr>
        <w:footnoteReference w:id="176"/>
      </w:r>
    </w:p>
    <w:p w14:paraId="1953D56F" w14:textId="12DF6361" w:rsidR="006C64A3" w:rsidRPr="006C64A3" w:rsidRDefault="006C64A3" w:rsidP="006C64A3">
      <w:pPr>
        <w:pStyle w:val="Body"/>
        <w:ind w:firstLine="708"/>
        <w:rPr>
          <w:lang w:eastAsia="nl-NL"/>
        </w:rPr>
      </w:pPr>
      <w:r>
        <w:rPr>
          <w:lang w:eastAsia="nl-NL"/>
        </w:rPr>
        <w:t>Zoals volgt uit de analyses van dit werkstuk</w:t>
      </w:r>
      <w:r w:rsidRPr="006C64A3">
        <w:rPr>
          <w:lang w:eastAsia="nl-NL"/>
        </w:rPr>
        <w:t xml:space="preserve"> heeft </w:t>
      </w:r>
      <w:r>
        <w:rPr>
          <w:lang w:eastAsia="nl-NL"/>
        </w:rPr>
        <w:t xml:space="preserve">de rechtspraak </w:t>
      </w:r>
      <w:r w:rsidRPr="006C64A3">
        <w:rPr>
          <w:lang w:eastAsia="nl-NL"/>
        </w:rPr>
        <w:t xml:space="preserve">deze juridische drempels grotendeels </w:t>
      </w:r>
      <w:r>
        <w:rPr>
          <w:lang w:eastAsia="nl-NL"/>
        </w:rPr>
        <w:t>gehandaafd</w:t>
      </w:r>
      <w:r w:rsidRPr="006C64A3">
        <w:rPr>
          <w:lang w:eastAsia="nl-NL"/>
        </w:rPr>
        <w:t xml:space="preserve">. De Raad van State en de Raad voor Vergunningsbetwistingen hanteren strikte toetsingscriteria, waardoor de vergunningslat hoog blijft liggen. Een beperkte positieve evolutie is zichtbaar in recente uitspraken over </w:t>
      </w:r>
      <w:r w:rsidR="004168A7">
        <w:rPr>
          <w:lang w:eastAsia="nl-NL"/>
        </w:rPr>
        <w:t xml:space="preserve">de bescherming van </w:t>
      </w:r>
      <w:r w:rsidRPr="006C64A3">
        <w:rPr>
          <w:lang w:eastAsia="nl-NL"/>
        </w:rPr>
        <w:t xml:space="preserve">landschapswaarden binnen landschappelijk waardevol agrarisch gebied, waar duurzame energieproductie in bepaalde gevallen zwaarder is gaan wegen dan </w:t>
      </w:r>
      <w:r w:rsidRPr="006C64A3">
        <w:rPr>
          <w:lang w:eastAsia="nl-NL"/>
        </w:rPr>
        <w:lastRenderedPageBreak/>
        <w:t>landschapsbescherming.</w:t>
      </w:r>
      <w:r w:rsidR="00BE5BD8">
        <w:rPr>
          <w:rStyle w:val="Voetnootmarkering"/>
          <w:lang w:eastAsia="nl-NL"/>
        </w:rPr>
        <w:footnoteReference w:id="177"/>
      </w:r>
      <w:r w:rsidRPr="006C64A3">
        <w:rPr>
          <w:lang w:eastAsia="nl-NL"/>
        </w:rPr>
        <w:t xml:space="preserve"> Dit wijst op een voorzichtige verschuiving in de rechtspraak, maar dergelijke uitspraken blijven voorlopig eerder uitzonderlijk dan structureel richtinggevend.</w:t>
      </w:r>
    </w:p>
    <w:p w14:paraId="402FB11B" w14:textId="565D70D6" w:rsidR="006C64A3" w:rsidRPr="006C64A3" w:rsidRDefault="006C64A3" w:rsidP="006C64A3">
      <w:pPr>
        <w:pStyle w:val="Body"/>
        <w:ind w:firstLine="708"/>
        <w:rPr>
          <w:lang w:eastAsia="nl-NL"/>
        </w:rPr>
      </w:pPr>
      <w:r>
        <w:rPr>
          <w:lang w:eastAsia="nl-NL"/>
        </w:rPr>
        <w:t>Ook werd reeds duidelijk dat op</w:t>
      </w:r>
      <w:r w:rsidRPr="006C64A3">
        <w:rPr>
          <w:lang w:eastAsia="nl-NL"/>
        </w:rPr>
        <w:t xml:space="preserve"> Europees niveau belangrijke stappen </w:t>
      </w:r>
      <w:r>
        <w:rPr>
          <w:lang w:eastAsia="nl-NL"/>
        </w:rPr>
        <w:t xml:space="preserve">zijn </w:t>
      </w:r>
      <w:r w:rsidRPr="006C64A3">
        <w:rPr>
          <w:lang w:eastAsia="nl-NL"/>
        </w:rPr>
        <w:t xml:space="preserve">gezet om de uitrol van hernieuwbare energie te versnellen. De herziening van de Renewable Energy Directive (RED) legt bindende verplichtingen op aan lidstaten, </w:t>
      </w:r>
      <w:r>
        <w:rPr>
          <w:lang w:eastAsia="nl-NL"/>
        </w:rPr>
        <w:t>waarbij de versnelling van</w:t>
      </w:r>
      <w:r w:rsidRPr="006C64A3">
        <w:rPr>
          <w:lang w:eastAsia="nl-NL"/>
        </w:rPr>
        <w:t xml:space="preserve"> vergunningsprocedures</w:t>
      </w:r>
      <w:r>
        <w:rPr>
          <w:lang w:eastAsia="nl-NL"/>
        </w:rPr>
        <w:t xml:space="preserve"> een rode draad vormt. </w:t>
      </w:r>
      <w:r w:rsidRPr="006C64A3">
        <w:rPr>
          <w:lang w:eastAsia="nl-NL"/>
        </w:rPr>
        <w:t xml:space="preserve">Daarnaast </w:t>
      </w:r>
      <w:r>
        <w:rPr>
          <w:lang w:eastAsia="nl-NL"/>
        </w:rPr>
        <w:t>bestaan ook niet-bindende beleidsinitiatieven</w:t>
      </w:r>
      <w:r w:rsidRPr="006C64A3">
        <w:rPr>
          <w:lang w:eastAsia="nl-NL"/>
        </w:rPr>
        <w:t xml:space="preserve"> </w:t>
      </w:r>
      <w:r>
        <w:rPr>
          <w:lang w:eastAsia="nl-NL"/>
        </w:rPr>
        <w:t>zoals het</w:t>
      </w:r>
      <w:r w:rsidRPr="006C64A3">
        <w:rPr>
          <w:lang w:eastAsia="nl-NL"/>
        </w:rPr>
        <w:t xml:space="preserve"> REPowerEU-plan</w:t>
      </w:r>
      <w:r>
        <w:rPr>
          <w:lang w:eastAsia="nl-NL"/>
        </w:rPr>
        <w:t xml:space="preserve">, </w:t>
      </w:r>
      <w:r w:rsidR="00BE5BD8">
        <w:rPr>
          <w:lang w:eastAsia="nl-NL"/>
        </w:rPr>
        <w:t>waarbij</w:t>
      </w:r>
      <w:r w:rsidRPr="006C64A3">
        <w:rPr>
          <w:lang w:eastAsia="nl-NL"/>
        </w:rPr>
        <w:t xml:space="preserve"> </w:t>
      </w:r>
      <w:r w:rsidR="00BE5BD8">
        <w:rPr>
          <w:lang w:eastAsia="nl-NL"/>
        </w:rPr>
        <w:t xml:space="preserve">ten aanzien van lidstaten </w:t>
      </w:r>
      <w:r w:rsidRPr="006C64A3">
        <w:rPr>
          <w:lang w:eastAsia="nl-NL"/>
        </w:rPr>
        <w:t xml:space="preserve">aanbevelingen </w:t>
      </w:r>
      <w:r w:rsidR="00BE5BD8">
        <w:rPr>
          <w:lang w:eastAsia="nl-NL"/>
        </w:rPr>
        <w:t>worden geformuleerd</w:t>
      </w:r>
      <w:r>
        <w:rPr>
          <w:lang w:eastAsia="nl-NL"/>
        </w:rPr>
        <w:t xml:space="preserve"> </w:t>
      </w:r>
      <w:r w:rsidRPr="006C64A3">
        <w:rPr>
          <w:lang w:eastAsia="nl-NL"/>
        </w:rPr>
        <w:t xml:space="preserve">om de afhankelijkheid van fossiele brandstoffen te verminderen en een stabielere investeringsomgeving voor hernieuwbare energieprojecten te creëren. Uit de vorige analyse blijkt dat Vlaanderen </w:t>
      </w:r>
      <w:r>
        <w:rPr>
          <w:lang w:eastAsia="nl-NL"/>
        </w:rPr>
        <w:t>de</w:t>
      </w:r>
      <w:r w:rsidRPr="006C64A3">
        <w:rPr>
          <w:lang w:eastAsia="nl-NL"/>
        </w:rPr>
        <w:t xml:space="preserve"> Europese verplichtingen nog onvoldoende implementeert</w:t>
      </w:r>
      <w:r>
        <w:rPr>
          <w:lang w:eastAsia="nl-NL"/>
        </w:rPr>
        <w:t>, terwijl we op federaal niveau wel inspanningen kunnen waarnemen</w:t>
      </w:r>
      <w:r w:rsidRPr="006C64A3">
        <w:rPr>
          <w:lang w:eastAsia="nl-NL"/>
        </w:rPr>
        <w:t xml:space="preserve">. De nationale regelgeving en vergunningsprocedures blijven </w:t>
      </w:r>
      <w:r>
        <w:rPr>
          <w:lang w:eastAsia="nl-NL"/>
        </w:rPr>
        <w:t xml:space="preserve">nog steeds </w:t>
      </w:r>
      <w:r w:rsidRPr="006C64A3">
        <w:rPr>
          <w:lang w:eastAsia="nl-NL"/>
        </w:rPr>
        <w:t>achter bij de Europese ambities, waardoor juridische belemmeringen blijven bestaan en de beoogde administratieve vereenvoudiging grotendeels uitblijft.</w:t>
      </w:r>
    </w:p>
    <w:p w14:paraId="00AA31FA" w14:textId="25F58CBA" w:rsidR="006C64A3" w:rsidRPr="006C64A3" w:rsidRDefault="006C64A3" w:rsidP="006C64A3">
      <w:pPr>
        <w:pStyle w:val="Body"/>
        <w:ind w:firstLine="708"/>
        <w:rPr>
          <w:lang w:eastAsia="nl-NL"/>
        </w:rPr>
      </w:pPr>
      <w:r w:rsidRPr="006C64A3">
        <w:rPr>
          <w:lang w:eastAsia="nl-NL"/>
        </w:rPr>
        <w:t xml:space="preserve">Dit hoofdstuk zal </w:t>
      </w:r>
      <w:r w:rsidR="00FA11C9">
        <w:rPr>
          <w:lang w:eastAsia="nl-NL"/>
        </w:rPr>
        <w:t>een aantal prominente</w:t>
      </w:r>
      <w:r w:rsidR="00BE5BD8">
        <w:rPr>
          <w:lang w:eastAsia="nl-NL"/>
        </w:rPr>
        <w:t xml:space="preserve"> </w:t>
      </w:r>
      <w:r w:rsidRPr="006C64A3">
        <w:rPr>
          <w:lang w:eastAsia="nl-NL"/>
        </w:rPr>
        <w:t xml:space="preserve">toekomstperspectieven en concrete voorstellen formuleren om de vergunningsprocedure te optimaliseren. </w:t>
      </w:r>
      <w:r w:rsidR="00352D50">
        <w:rPr>
          <w:lang w:eastAsia="nl-NL"/>
        </w:rPr>
        <w:t xml:space="preserve">Immers, </w:t>
      </w:r>
      <w:r w:rsidR="002D4CD7">
        <w:rPr>
          <w:lang w:eastAsia="nl-NL"/>
        </w:rPr>
        <w:t>d</w:t>
      </w:r>
      <w:r w:rsidR="00352D50">
        <w:rPr>
          <w:lang w:eastAsia="nl-NL"/>
        </w:rPr>
        <w:t xml:space="preserve">e </w:t>
      </w:r>
      <w:r w:rsidR="002D4CD7">
        <w:rPr>
          <w:lang w:eastAsia="nl-NL"/>
        </w:rPr>
        <w:t xml:space="preserve">tweeduizend </w:t>
      </w:r>
      <w:r w:rsidR="00352D50">
        <w:rPr>
          <w:lang w:eastAsia="nl-NL"/>
        </w:rPr>
        <w:t xml:space="preserve">windmolens die Vlaanderen reeds in de middeleeuwen </w:t>
      </w:r>
      <w:r w:rsidR="002D4CD7">
        <w:rPr>
          <w:lang w:eastAsia="nl-NL"/>
        </w:rPr>
        <w:t>telde</w:t>
      </w:r>
      <w:r w:rsidR="00352D50">
        <w:rPr>
          <w:rStyle w:val="Voetnootmarkering"/>
          <w:lang w:eastAsia="nl-NL"/>
        </w:rPr>
        <w:footnoteReference w:id="178"/>
      </w:r>
      <w:r w:rsidR="00352D50">
        <w:rPr>
          <w:lang w:eastAsia="nl-NL"/>
        </w:rPr>
        <w:t xml:space="preserve"> kunnen pas gespiegeld worden door een equivalent aan moderne turbines indien de omgevingsrechtelijke praktijk aanzienlijk hervormd wordt. Daarom</w:t>
      </w:r>
      <w:r w:rsidRPr="006C64A3">
        <w:rPr>
          <w:lang w:eastAsia="nl-NL"/>
        </w:rPr>
        <w:t xml:space="preserve"> wordt onderzocht hoe een efficiënter en rechtszekerder </w:t>
      </w:r>
      <w:r w:rsidR="00BE5BD8">
        <w:rPr>
          <w:lang w:eastAsia="nl-NL"/>
        </w:rPr>
        <w:t xml:space="preserve">omgevingsrechtelijk </w:t>
      </w:r>
      <w:r w:rsidRPr="006C64A3">
        <w:rPr>
          <w:lang w:eastAsia="nl-NL"/>
        </w:rPr>
        <w:t xml:space="preserve">kader kan worden gecreëerd, waarin </w:t>
      </w:r>
      <w:r>
        <w:rPr>
          <w:lang w:eastAsia="nl-NL"/>
        </w:rPr>
        <w:t>windturbineprojecten</w:t>
      </w:r>
      <w:r w:rsidRPr="006C64A3">
        <w:rPr>
          <w:lang w:eastAsia="nl-NL"/>
        </w:rPr>
        <w:t xml:space="preserve"> vlotter gerealiseerd kunnen worden zonder dat de noodzakelijke omgevingswaarborgen </w:t>
      </w:r>
      <w:r>
        <w:rPr>
          <w:lang w:eastAsia="nl-NL"/>
        </w:rPr>
        <w:t>van hun inhoud en waarde worden ontdaan</w:t>
      </w:r>
      <w:r w:rsidRPr="006C64A3">
        <w:rPr>
          <w:lang w:eastAsia="nl-NL"/>
        </w:rPr>
        <w:t xml:space="preserve">. Het vinden van een evenwicht tussen milieubescherming en energieproductie staat </w:t>
      </w:r>
      <w:r>
        <w:rPr>
          <w:lang w:eastAsia="nl-NL"/>
        </w:rPr>
        <w:t xml:space="preserve">daarbij </w:t>
      </w:r>
      <w:r w:rsidRPr="006C64A3">
        <w:rPr>
          <w:lang w:eastAsia="nl-NL"/>
        </w:rPr>
        <w:t>centraal, met als doel een beleidsmatig en juridisch kader te ontwikkelen dat daadwerkelijk bijdraagt aan de versnelling van de energietransitie.</w:t>
      </w:r>
    </w:p>
    <w:p w14:paraId="48087D80" w14:textId="04A5F9D2" w:rsidR="006C64A3" w:rsidRDefault="00F621C1" w:rsidP="009340F9">
      <w:pPr>
        <w:pStyle w:val="Body"/>
        <w:numPr>
          <w:ilvl w:val="0"/>
          <w:numId w:val="15"/>
        </w:numPr>
        <w:ind w:left="0" w:hanging="11"/>
      </w:pPr>
      <w:r>
        <w:lastRenderedPageBreak/>
        <w:t xml:space="preserve">Met de recente ontwikkelingen rond de zogenaamde ‘klimaattoets’ wens ik een eerste toekomstperspectief te belichten. </w:t>
      </w:r>
      <w:r w:rsidR="00A32E22">
        <w:t>De</w:t>
      </w:r>
      <w:r>
        <w:t xml:space="preserve"> term verraad meteen zijn betekenis. Immers, het </w:t>
      </w:r>
      <w:r w:rsidR="00B94E8C">
        <w:t xml:space="preserve">betreft </w:t>
      </w:r>
      <w:r>
        <w:t xml:space="preserve">hier om een toets die doorheen de vergunningsprocedure wordt uitgevoerd met betrekking tot de klimatologische effecten van een aangevraagd project. Vandaag ontbreekt een decretale verankering van deze toets, waardoor vooralsnog geen formele toets naar deze effecten wordt opgelegd doorheen de vergunningsprocedure. Evenwel mogen we de recente ontwikkelingen rond dit topic niet negeren. </w:t>
      </w:r>
    </w:p>
    <w:p w14:paraId="538B7C97" w14:textId="5E2B5551" w:rsidR="008B5232" w:rsidRDefault="00F621C1" w:rsidP="00731258">
      <w:pPr>
        <w:pStyle w:val="Body"/>
        <w:ind w:firstLine="708"/>
      </w:pPr>
      <w:r>
        <w:t>De genoemde ontwikkelingen vinden hun oorsprong in de zogenaamde ‘tankstationrechtspraak’</w:t>
      </w:r>
      <w:r w:rsidR="00A32E22">
        <w:rPr>
          <w:rStyle w:val="Voetnootmarkering"/>
        </w:rPr>
        <w:footnoteReference w:id="179"/>
      </w:r>
      <w:r>
        <w:t xml:space="preserve"> van de Raad voor Vergunningsbetwistingen. Meer concreet betrof deze zaak de vergunningverlening voor een nieuw tankstation in Boechout, waarbij de Raad tot tweemaal toe oordeelde dat de omgevingsvergunning niet kan worden verleend indien de vergunningverlenende overheid geconfronteerd wordt met een verplicht in te winnen negatief advies, waaruit blijkt dat een aangevraagd project onwenselijk is in het licht van doelstellingen of zorgplichten die gehanteerd worden binnen andere beleidsvelden dan de ruimtelijke ordening. </w:t>
      </w:r>
      <w:r w:rsidR="007F317E">
        <w:t>Om de zienswijze van de Raad goed te vatten, moet men deze beschouwingen zodanig begrijpen dat de zorg voor het klimaat beschouwd moet worden als een doelstelling of zor</w:t>
      </w:r>
      <w:r w:rsidR="00B94E8C">
        <w:t>g</w:t>
      </w:r>
      <w:r w:rsidR="007F317E">
        <w:t>plicht in de zin van artikel 4.3.4 van de Vlaamse Codex Ruimtelijke Ordening.</w:t>
      </w:r>
      <w:r w:rsidR="007F317E">
        <w:rPr>
          <w:rStyle w:val="Voetnootmarkering"/>
        </w:rPr>
        <w:footnoteReference w:id="180"/>
      </w:r>
      <w:r w:rsidR="00F33CD1">
        <w:t xml:space="preserve"> </w:t>
      </w:r>
      <w:r w:rsidR="00F33CD1" w:rsidRPr="00F33CD1">
        <w:t>Ook in 2023 wees de Raad een vergelijkbaar arrest, waarin werd bevestigd dat de beoordeling van de goede ruimtelijke ordening eveneens de verplichting omvat om de klimaatimpact van het aangevraagde project in aanmerking te nemen.</w:t>
      </w:r>
      <w:r w:rsidR="00F33CD1">
        <w:rPr>
          <w:rStyle w:val="Voetnootmarkering"/>
        </w:rPr>
        <w:footnoteReference w:id="181"/>
      </w:r>
      <w:r w:rsidR="00236DA6">
        <w:t xml:space="preserve"> </w:t>
      </w:r>
    </w:p>
    <w:p w14:paraId="558FC5CC" w14:textId="09C91382" w:rsidR="008B5232" w:rsidRDefault="00236DA6" w:rsidP="00731258">
      <w:pPr>
        <w:pStyle w:val="Body"/>
        <w:ind w:firstLine="708"/>
      </w:pPr>
      <w:r>
        <w:t xml:space="preserve">Ook op het niveau van de Raad van State zien we dat een evolutie aan de gang is. Waar de Raad eind 2022 nog oordeelde dat de overheid in het kader van een windturbineproject niet verplicht is om te reageren op een argument ontleend aan het ontbreken van een </w:t>
      </w:r>
      <w:r>
        <w:lastRenderedPageBreak/>
        <w:t>afweging inzake klimaatbelangen</w:t>
      </w:r>
      <w:r w:rsidR="00B17ADD">
        <w:rPr>
          <w:rStyle w:val="Voetnootmarkering"/>
        </w:rPr>
        <w:footnoteReference w:id="182"/>
      </w:r>
      <w:r>
        <w:t xml:space="preserve">, </w:t>
      </w:r>
      <w:r w:rsidR="00B17ADD">
        <w:t>oordeelde de Raad midden 2023 reeds dat de klimaatimpact van een voor</w:t>
      </w:r>
      <w:r w:rsidR="00E9012B">
        <w:t>ge</w:t>
      </w:r>
      <w:r w:rsidR="00B17ADD">
        <w:t>nomen project niet zomaar mag worden genegeerd.</w:t>
      </w:r>
      <w:r w:rsidR="00B17ADD">
        <w:rPr>
          <w:rStyle w:val="Voetnootmarkering"/>
        </w:rPr>
        <w:footnoteReference w:id="183"/>
      </w:r>
      <w:r w:rsidR="00FA11C9">
        <w:t xml:space="preserve"> </w:t>
      </w:r>
    </w:p>
    <w:p w14:paraId="1F31E1A5" w14:textId="29379D06" w:rsidR="00F621C1" w:rsidRDefault="00FA11C9" w:rsidP="00731258">
      <w:pPr>
        <w:pStyle w:val="Body"/>
        <w:ind w:firstLine="708"/>
      </w:pPr>
      <w:r w:rsidRPr="00FA11C9">
        <w:t xml:space="preserve">In lijn met deze door de rechter vormgegeven klimaattoets bestaat er ook aandacht voor de vraag of gemeentelijke beleidsmakers, </w:t>
      </w:r>
      <w:r>
        <w:t>voor wat de projectaanvragen op het niveau van het college van burgemeester en schepenen betreft</w:t>
      </w:r>
      <w:r w:rsidRPr="00FA11C9">
        <w:t>, in het verleden niet-bindende beleidsinitiatieven zoals het Burgemeestersconvenant hebben ondertekend. Volgens de Raad voor Vergunningsbetwistingen impliceert een dergelijke ondertekening dat de klimaatimpact van de aangevraagde projecten des te zwaarder moet doorwegen bij de beoordeling, zowel bij een eventuele goedkeuring</w:t>
      </w:r>
      <w:r w:rsidR="0098194D">
        <w:rPr>
          <w:rStyle w:val="Voetnootmarkering"/>
        </w:rPr>
        <w:footnoteReference w:id="184"/>
      </w:r>
      <w:r w:rsidRPr="00FA11C9">
        <w:t xml:space="preserve"> als bij een weigering van het project.</w:t>
      </w:r>
      <w:r>
        <w:rPr>
          <w:rStyle w:val="Voetnootmarkering"/>
        </w:rPr>
        <w:footnoteReference w:id="185"/>
      </w:r>
    </w:p>
    <w:p w14:paraId="1B77C49F" w14:textId="703AF71A" w:rsidR="00F33CD1" w:rsidRDefault="00542818" w:rsidP="00EA502B">
      <w:pPr>
        <w:pStyle w:val="Body"/>
        <w:ind w:firstLine="708"/>
      </w:pPr>
      <w:r>
        <w:t>Desalniet</w:t>
      </w:r>
      <w:r w:rsidR="000112BA">
        <w:t>t</w:t>
      </w:r>
      <w:r>
        <w:t>emin zien we dat niet iedereen deze eerder jurisprudentiële verankering van de klimaattoets als een b</w:t>
      </w:r>
      <w:r w:rsidR="000112BA">
        <w:t>e</w:t>
      </w:r>
      <w:r>
        <w:t>langrijke vooruitgang bekijkt. Zo word</w:t>
      </w:r>
      <w:r w:rsidR="00B94E8C">
        <w:t>t</w:t>
      </w:r>
      <w:r>
        <w:t xml:space="preserve"> door sommige auteurs gesteld dat slechts sprake kan zijn van een omvattende klimaattoets die concreet kan worden toegepast indien deze vervat zit in expliciete decretale bepalingen.</w:t>
      </w:r>
      <w:r>
        <w:rPr>
          <w:rStyle w:val="Voetnootmarkering"/>
        </w:rPr>
        <w:footnoteReference w:id="186"/>
      </w:r>
      <w:r>
        <w:t xml:space="preserve"> Voor hen vormt de voorvermelde jurisprudenti</w:t>
      </w:r>
      <w:r w:rsidR="00117D4B">
        <w:t>ë</w:t>
      </w:r>
      <w:r>
        <w:t>le evolutie eerder een eenmalige uitschuiver</w:t>
      </w:r>
      <w:r>
        <w:rPr>
          <w:rStyle w:val="Voetnootmarkering"/>
        </w:rPr>
        <w:footnoteReference w:id="187"/>
      </w:r>
      <w:r>
        <w:t xml:space="preserve"> dan een ontwikkeling naar een meer klimaatgevoelig omgevingsrecht.</w:t>
      </w:r>
      <w:r w:rsidR="00EA502B">
        <w:t xml:space="preserve"> Toch lijkt enige nuance van deze zienswijze geboden. Zo wijzen andere auteurs er terecht op dat de klimaattoets vandaag juist meer kan steunen op alternatieve juridische grondslagen.</w:t>
      </w:r>
      <w:r w:rsidR="00EA502B">
        <w:rPr>
          <w:rStyle w:val="Voetnootmarkering"/>
        </w:rPr>
        <w:footnoteReference w:id="188"/>
      </w:r>
      <w:r w:rsidR="00EA502B">
        <w:t xml:space="preserve"> In eerste instantie kan men kijken </w:t>
      </w:r>
      <w:r w:rsidR="00EA502B">
        <w:lastRenderedPageBreak/>
        <w:t>naar meer algemene beginselen van behoorlijk bestuur, zoals het vertrouwensbeginsel, de zorgvuldigheidsplicht en het redelijkheidsbeginsel, maar ook algemene beginselen van milieubeleid (niet zelden afkomstig uit de Europese sferen) zoals het preventiebeginsel en het beginsel van het streven naar een hoog niveau van milieubescherming.</w:t>
      </w:r>
      <w:r w:rsidR="00EA502B">
        <w:rPr>
          <w:rStyle w:val="Voetnootmarkering"/>
        </w:rPr>
        <w:footnoteReference w:id="189"/>
      </w:r>
      <w:r w:rsidR="00EA502B">
        <w:t xml:space="preserve"> Daarnaast kan ook de regelgeving inzake natuurbescherming</w:t>
      </w:r>
      <w:r w:rsidR="00211927">
        <w:rPr>
          <w:rStyle w:val="Voetnootmarkering"/>
        </w:rPr>
        <w:footnoteReference w:id="190"/>
      </w:r>
      <w:r w:rsidR="00211927">
        <w:t xml:space="preserve"> en milieueffectenrapportage</w:t>
      </w:r>
      <w:r w:rsidR="00211927">
        <w:rPr>
          <w:rStyle w:val="Voetnootmarkering"/>
        </w:rPr>
        <w:footnoteReference w:id="191"/>
      </w:r>
      <w:r w:rsidR="00211927">
        <w:t>, geheel onverwacht door zijn inherent belemmerende functie voor hernieuwbare</w:t>
      </w:r>
      <w:r w:rsidR="007635BD">
        <w:t xml:space="preserve"> </w:t>
      </w:r>
      <w:r w:rsidR="00211927">
        <w:t>energieprojecten, als fundering dienen voor een formele klimaattoets. Daarbij wil ik nogmaals benadrukken dat het conserveren en herstellen van bestaand natuurgebied</w:t>
      </w:r>
      <w:r w:rsidR="002166FB">
        <w:t xml:space="preserve"> samen met het vrijwaren van het algehele leefmilieu</w:t>
      </w:r>
      <w:r w:rsidR="00211927">
        <w:t xml:space="preserve"> onmogelijk zal worden zonder een efficiënte en versneld energietransitie.</w:t>
      </w:r>
    </w:p>
    <w:p w14:paraId="1470A35D" w14:textId="3EC7FDD0" w:rsidR="002166FB" w:rsidRDefault="002166FB" w:rsidP="00EA502B">
      <w:pPr>
        <w:pStyle w:val="Body"/>
        <w:ind w:firstLine="708"/>
      </w:pPr>
      <w:r>
        <w:t xml:space="preserve">We kunnen alvast stellen dat de </w:t>
      </w:r>
      <w:r w:rsidR="00940481">
        <w:t>k</w:t>
      </w:r>
      <w:r>
        <w:t xml:space="preserve">limaattoets de afgelopen jaren een duidelijke </w:t>
      </w:r>
      <w:r w:rsidR="00940481">
        <w:t xml:space="preserve">ontwikkeling </w:t>
      </w:r>
      <w:r>
        <w:t>heeft doorgemaakt. Daarbij wil ik wel benadrukken dat het vooralsnog om een louter juri</w:t>
      </w:r>
      <w:r w:rsidR="00273737">
        <w:t>s</w:t>
      </w:r>
      <w:r>
        <w:t>pr</w:t>
      </w:r>
      <w:r w:rsidR="00273737">
        <w:t>ud</w:t>
      </w:r>
      <w:r>
        <w:t xml:space="preserve">entiële invulling van deze toets gaat. </w:t>
      </w:r>
      <w:r w:rsidRPr="002166FB">
        <w:t>Dit vormt een belangrijke stap in de juiste richting, aangezien het ervoor zorgt dat de vergunningsprocedure voor windturbineprojecten niet uitsluitend wordt gestuurd door omgevingsrechtelijke factoren die het project kunnen belemmeren, maar ook rekening houdt met de klimatologische meerwaarde en urgentie ervan. Daarom stel ik voor om de klimaattoets op Vlaams niveau decretaal te verankeren, zodat deze een formele plaats krijgt binnen het vergunningsproces voor windturbines en, bij uitbreiding, voor alle hernieuwbare</w:t>
      </w:r>
      <w:r w:rsidR="007635BD">
        <w:t xml:space="preserve"> </w:t>
      </w:r>
      <w:r w:rsidRPr="002166FB">
        <w:t xml:space="preserve">energieprojecten. Daarnaast lijkt het wenselijk om op Europees niveau de invoering van een dergelijke klimaattoets te overwegen in toekomstige herzieningen van de RED, om zo een geharmoniseerde en versnelde uitrol van hernieuwbare energie </w:t>
      </w:r>
      <w:r>
        <w:t xml:space="preserve">verder </w:t>
      </w:r>
      <w:r w:rsidRPr="002166FB">
        <w:t>te bevordere</w:t>
      </w:r>
      <w:r w:rsidR="00311CC5">
        <w:t>n. Een meer geïntegreerde aanpak waarbij op Europees niveau zowel de omgevingsrechtelijke beschermingsmechanismen gekoppeld worden aan de erkenning en waardering van de klimaatimpact van voorgenomen projecten, lijkt een noodzakelijke stap naar een versnelde en efficiënte energietransitie.</w:t>
      </w:r>
    </w:p>
    <w:p w14:paraId="3BDA4E14" w14:textId="449F7D4C" w:rsidR="00ED56C2" w:rsidRPr="00FE2F2C" w:rsidRDefault="00ED56C2" w:rsidP="00ED56C2">
      <w:pPr>
        <w:pStyle w:val="Body"/>
        <w:numPr>
          <w:ilvl w:val="0"/>
          <w:numId w:val="15"/>
        </w:numPr>
        <w:ind w:left="0" w:hanging="11"/>
      </w:pPr>
      <w:r>
        <w:lastRenderedPageBreak/>
        <w:t>Ook de evolutie naar bestemmingsneutraliteit van windturbineprojecten behoort tot de toekomstmuziek inzake het onderwerp van dit werkstuk. Zo stel ik vast dat de Vlaamse regelgever van start gaat met een plan-MER</w:t>
      </w:r>
      <w:r w:rsidRPr="00ED56C2">
        <w:rPr>
          <w:rFonts w:cstheme="minorHAnsi"/>
          <w:lang w:val="nl-NL"/>
        </w:rPr>
        <w:t xml:space="preserve"> </w:t>
      </w:r>
      <w:r>
        <w:rPr>
          <w:rFonts w:cstheme="minorHAnsi"/>
          <w:lang w:val="nl-NL"/>
        </w:rPr>
        <w:t>d</w:t>
      </w:r>
      <w:r w:rsidR="00940481">
        <w:rPr>
          <w:rFonts w:cstheme="minorHAnsi"/>
          <w:lang w:val="nl-NL"/>
        </w:rPr>
        <w:t>at</w:t>
      </w:r>
      <w:r>
        <w:rPr>
          <w:rFonts w:cstheme="minorHAnsi"/>
          <w:lang w:val="nl-NL"/>
        </w:rPr>
        <w:t xml:space="preserve"> de milieu-impact van een bredere decretale invulling van deze bestemmingsneutraliteit moet onderzoeken.</w:t>
      </w:r>
      <w:r>
        <w:rPr>
          <w:rStyle w:val="Voetnootmarkering"/>
        </w:rPr>
        <w:footnoteReference w:id="192"/>
      </w:r>
      <w:r w:rsidR="00FE2F2C">
        <w:rPr>
          <w:rFonts w:cstheme="minorHAnsi"/>
          <w:lang w:val="nl-NL"/>
        </w:rPr>
        <w:t xml:space="preserve"> </w:t>
      </w:r>
    </w:p>
    <w:p w14:paraId="46BDDFD2" w14:textId="58429DD9" w:rsidR="00563499" w:rsidRDefault="00FE2F2C" w:rsidP="00FE2F2C">
      <w:pPr>
        <w:pStyle w:val="Body"/>
        <w:ind w:firstLine="708"/>
        <w:rPr>
          <w:rFonts w:cstheme="minorHAnsi"/>
          <w:lang w:val="nl-NL"/>
        </w:rPr>
      </w:pPr>
      <w:r>
        <w:rPr>
          <w:rFonts w:cstheme="minorHAnsi"/>
          <w:lang w:val="nl-NL"/>
        </w:rPr>
        <w:t>De meerwaarde en noodzaak van een dergelijk neutraal karakter ten aanzien van bestemmingsplannen werd</w:t>
      </w:r>
      <w:r w:rsidR="00940481">
        <w:rPr>
          <w:rFonts w:cstheme="minorHAnsi"/>
          <w:lang w:val="nl-NL"/>
        </w:rPr>
        <w:t>en</w:t>
      </w:r>
      <w:r>
        <w:rPr>
          <w:rFonts w:cstheme="minorHAnsi"/>
          <w:lang w:val="nl-NL"/>
        </w:rPr>
        <w:t xml:space="preserve"> reeds uitvoerig besproken onder het vorige hoofdstuk, en situeert zich voornamelijk in de context van landschappelijk waardevol agrarisch gebied.</w:t>
      </w:r>
      <w:r w:rsidR="00E86305">
        <w:rPr>
          <w:rFonts w:cstheme="minorHAnsi"/>
          <w:lang w:val="nl-NL"/>
        </w:rPr>
        <w:t xml:space="preserve"> In deze context blijf ik ervan overtuigd dat een bestemmingsneutraliteit op zichzelf slechts marginale effecten zal uitoefenen op de vergunningsproblematiek van windturbines. Toegegeven, de bescherming van landschapswaarden kan een aanzienlijk struikelblok vormen binnen de vergunningsprocedure van windturbineprojecten, maar </w:t>
      </w:r>
      <w:r w:rsidR="002011F1">
        <w:rPr>
          <w:rFonts w:cstheme="minorHAnsi"/>
          <w:lang w:val="nl-NL"/>
        </w:rPr>
        <w:t>het merendeel</w:t>
      </w:r>
      <w:r w:rsidR="00E86305">
        <w:rPr>
          <w:rFonts w:cstheme="minorHAnsi"/>
          <w:lang w:val="nl-NL"/>
        </w:rPr>
        <w:t xml:space="preserve"> </w:t>
      </w:r>
      <w:r w:rsidR="002011F1">
        <w:rPr>
          <w:rFonts w:cstheme="minorHAnsi"/>
          <w:lang w:val="nl-NL"/>
        </w:rPr>
        <w:t>v</w:t>
      </w:r>
      <w:r w:rsidR="00E86305">
        <w:rPr>
          <w:rFonts w:cstheme="minorHAnsi"/>
          <w:lang w:val="nl-NL"/>
        </w:rPr>
        <w:t xml:space="preserve">an </w:t>
      </w:r>
      <w:r w:rsidR="002011F1">
        <w:rPr>
          <w:rFonts w:cstheme="minorHAnsi"/>
          <w:lang w:val="nl-NL"/>
        </w:rPr>
        <w:t xml:space="preserve">de belemmeringen </w:t>
      </w:r>
      <w:r w:rsidR="00E86305">
        <w:rPr>
          <w:rFonts w:cstheme="minorHAnsi"/>
          <w:lang w:val="nl-NL"/>
        </w:rPr>
        <w:t>komt ongetwijfeld voort uit regelgeving inzake natuurbescherming en -behoud en de MER-regelgeving. Hiervoor verwijs ik naar het derde hoofdstuk van dit werkstuk. Ik blij</w:t>
      </w:r>
      <w:r w:rsidR="002011F1">
        <w:rPr>
          <w:rFonts w:cstheme="minorHAnsi"/>
          <w:lang w:val="nl-NL"/>
        </w:rPr>
        <w:t>f</w:t>
      </w:r>
      <w:r w:rsidR="00E86305">
        <w:rPr>
          <w:rFonts w:cstheme="minorHAnsi"/>
          <w:lang w:val="nl-NL"/>
        </w:rPr>
        <w:t xml:space="preserve"> van mening dat de bestemmingsneutraliteit wel een </w:t>
      </w:r>
      <w:r w:rsidR="001547E8">
        <w:rPr>
          <w:rFonts w:cstheme="minorHAnsi"/>
          <w:lang w:val="nl-NL"/>
        </w:rPr>
        <w:t>oplossing biedt</w:t>
      </w:r>
      <w:r w:rsidR="00E86305">
        <w:rPr>
          <w:rFonts w:cstheme="minorHAnsi"/>
          <w:lang w:val="nl-NL"/>
        </w:rPr>
        <w:t xml:space="preserve"> voor de </w:t>
      </w:r>
      <w:r w:rsidR="0015361B">
        <w:rPr>
          <w:rFonts w:cstheme="minorHAnsi"/>
          <w:lang w:val="nl-NL"/>
        </w:rPr>
        <w:t xml:space="preserve">problematiek </w:t>
      </w:r>
      <w:r w:rsidR="00E86305">
        <w:rPr>
          <w:rFonts w:cstheme="minorHAnsi"/>
          <w:lang w:val="nl-NL"/>
        </w:rPr>
        <w:t xml:space="preserve">van vergunningen op grond van bestemmingsoverwegingen, maar dat het de meer algemene esthetische toets niet volledig afwendt. Immers, ongeacht de bestemming van het gebied zal blijvend de esthetische inpasbaarheid getoetst moeten worden, wat ook opnieuw aanleiding geeft tot een vertragende en mogelijk verhinderende procedurestrijd. </w:t>
      </w:r>
    </w:p>
    <w:p w14:paraId="47448E73" w14:textId="33485DE3" w:rsidR="00FE2F2C" w:rsidRDefault="00E86305" w:rsidP="00FE2F2C">
      <w:pPr>
        <w:pStyle w:val="Body"/>
        <w:ind w:firstLine="708"/>
        <w:rPr>
          <w:rFonts w:cstheme="minorHAnsi"/>
          <w:lang w:val="nl-NL"/>
        </w:rPr>
      </w:pPr>
      <w:r>
        <w:rPr>
          <w:rFonts w:cstheme="minorHAnsi"/>
          <w:lang w:val="nl-NL"/>
        </w:rPr>
        <w:t xml:space="preserve">Daarom moet de Vlaamse regelgever samen met de bestemmingsneutraliteit </w:t>
      </w:r>
      <w:r w:rsidR="00563499">
        <w:rPr>
          <w:rFonts w:cstheme="minorHAnsi"/>
          <w:lang w:val="nl-NL"/>
        </w:rPr>
        <w:t xml:space="preserve">ook </w:t>
      </w:r>
      <w:r>
        <w:rPr>
          <w:rFonts w:cstheme="minorHAnsi"/>
          <w:lang w:val="nl-NL"/>
        </w:rPr>
        <w:t>onderzoeken in welke mate men in Vlaanderen, naar Duits voorbeeld</w:t>
      </w:r>
      <w:r w:rsidR="007D5F98">
        <w:rPr>
          <w:rStyle w:val="Voetnootmarkering"/>
          <w:rFonts w:cstheme="minorHAnsi"/>
          <w:lang w:val="nl-NL"/>
        </w:rPr>
        <w:footnoteReference w:id="193"/>
      </w:r>
      <w:r>
        <w:rPr>
          <w:rFonts w:cstheme="minorHAnsi"/>
          <w:lang w:val="nl-NL"/>
        </w:rPr>
        <w:t xml:space="preserve">, kan overgaan tot het inkleuren van de gepaste delen van het grondgebied als gebieden </w:t>
      </w:r>
      <w:r w:rsidR="001F7AD1">
        <w:rPr>
          <w:rFonts w:cstheme="minorHAnsi"/>
          <w:lang w:val="nl-NL"/>
        </w:rPr>
        <w:t>waar een prioritaire uitrol van windenergie geldt.</w:t>
      </w:r>
      <w:r w:rsidR="00563499">
        <w:rPr>
          <w:rFonts w:cstheme="minorHAnsi"/>
          <w:lang w:val="nl-NL"/>
        </w:rPr>
        <w:t xml:space="preserve"> Deze aanpak zal m.i. een grotere mate van rechtszekerheid teweegbrengen.</w:t>
      </w:r>
      <w:r w:rsidR="007D5F98">
        <w:rPr>
          <w:rFonts w:cstheme="minorHAnsi"/>
          <w:lang w:val="nl-NL"/>
        </w:rPr>
        <w:t xml:space="preserve"> Met betrekking tot deze zogenaamde </w:t>
      </w:r>
      <w:r w:rsidR="007D5F98" w:rsidRPr="00E56B55">
        <w:t>acceleration areas</w:t>
      </w:r>
      <w:r w:rsidR="007D5F98">
        <w:t xml:space="preserve"> wens ik de urgentie van een decretale implementatie van de bijhorende RED III-verplichting te benadrukken. Zeker nu de Vlaamse regelgever de deadline ter implementatie van het hoger algemeen belang van hernieuwbare</w:t>
      </w:r>
      <w:r w:rsidR="007635BD">
        <w:t xml:space="preserve"> </w:t>
      </w:r>
      <w:r w:rsidR="007D5F98">
        <w:t xml:space="preserve">energieprojecten heeft gemist, lijkt het noodzakelijk om aan de slag te gaan </w:t>
      </w:r>
      <w:r w:rsidR="007D5F98">
        <w:lastRenderedPageBreak/>
        <w:t xml:space="preserve">met de vaststelling van versnelde uitrolzones. </w:t>
      </w:r>
      <w:r w:rsidR="00105845">
        <w:t>Het voornemen van een decretale verankering van de bestemmingsneutraliteit door de Vlaamse regelgever bied</w:t>
      </w:r>
      <w:r w:rsidR="0015361B">
        <w:t>t</w:t>
      </w:r>
      <w:r w:rsidR="00105845">
        <w:t xml:space="preserve"> in die zin tevens de mogelijkheid om meteen het hoger openbaar belang van deze projecten op te nemen in dezelfde decretale tekst.</w:t>
      </w:r>
    </w:p>
    <w:p w14:paraId="4A8EF8E8" w14:textId="092159FA" w:rsidR="00563499" w:rsidRDefault="00563499" w:rsidP="00FE2F2C">
      <w:pPr>
        <w:pStyle w:val="Body"/>
        <w:ind w:firstLine="708"/>
        <w:rPr>
          <w:rFonts w:cstheme="minorHAnsi"/>
          <w:lang w:val="nl-NL"/>
        </w:rPr>
      </w:pPr>
      <w:r>
        <w:rPr>
          <w:rFonts w:cstheme="minorHAnsi"/>
          <w:lang w:val="nl-NL"/>
        </w:rPr>
        <w:t xml:space="preserve">De Vlaamse regelgever lijkt aldus van start te gaan met de invoering van een decretale bestemmingsneutraliteit van hernieuwbare energieprojecten. Dat </w:t>
      </w:r>
      <w:r w:rsidR="0068714D">
        <w:rPr>
          <w:rFonts w:cstheme="minorHAnsi"/>
          <w:lang w:val="nl-NL"/>
        </w:rPr>
        <w:t xml:space="preserve">de </w:t>
      </w:r>
      <w:r>
        <w:rPr>
          <w:rFonts w:cstheme="minorHAnsi"/>
          <w:lang w:val="nl-NL"/>
        </w:rPr>
        <w:t xml:space="preserve">rechtspraak van de Raad van State </w:t>
      </w:r>
      <w:r w:rsidR="00066943">
        <w:rPr>
          <w:rFonts w:cstheme="minorHAnsi"/>
          <w:lang w:val="nl-NL"/>
        </w:rPr>
        <w:t>en</w:t>
      </w:r>
      <w:r>
        <w:rPr>
          <w:rFonts w:cstheme="minorHAnsi"/>
          <w:lang w:val="nl-NL"/>
        </w:rPr>
        <w:t xml:space="preserve"> de Raad voor Vergunningsbetwistingen reeds een jurisprudentiële </w:t>
      </w:r>
      <w:r w:rsidR="0068714D">
        <w:rPr>
          <w:rFonts w:cstheme="minorHAnsi"/>
          <w:lang w:val="nl-NL"/>
        </w:rPr>
        <w:t xml:space="preserve">ontwikkeling </w:t>
      </w:r>
      <w:r w:rsidR="00066943">
        <w:rPr>
          <w:rFonts w:cstheme="minorHAnsi"/>
          <w:lang w:val="nl-NL"/>
        </w:rPr>
        <w:t xml:space="preserve">doormaakte </w:t>
      </w:r>
      <w:r>
        <w:rPr>
          <w:rFonts w:cstheme="minorHAnsi"/>
          <w:lang w:val="nl-NL"/>
        </w:rPr>
        <w:t>naar bestemmingsneutraliteit in landschappelijk waardevol agrarisch gebied, lijkt minstens een oorzaak van dit Vlaamse initiatief te zijn.</w:t>
      </w:r>
    </w:p>
    <w:p w14:paraId="1BEFF070" w14:textId="31DBE8DE" w:rsidR="00B91C3F" w:rsidRPr="00B91C3F" w:rsidRDefault="004168A7" w:rsidP="00B91C3F">
      <w:pPr>
        <w:pStyle w:val="Body"/>
        <w:numPr>
          <w:ilvl w:val="0"/>
          <w:numId w:val="15"/>
        </w:numPr>
        <w:ind w:left="0" w:hanging="11"/>
      </w:pPr>
      <w:r>
        <w:t>Ook het</w:t>
      </w:r>
      <w:r w:rsidR="00B91C3F" w:rsidRPr="00B91C3F">
        <w:t xml:space="preserve"> zogenaamde ‘windrecht’ verdient onmiskenbaar een plaats binnen de toekomstvisie op de verdere uitrol van windturbineprojecten. </w:t>
      </w:r>
      <w:r w:rsidR="00D3663B">
        <w:t xml:space="preserve">Deze term komt reeds </w:t>
      </w:r>
      <w:r w:rsidR="0068714D">
        <w:t xml:space="preserve">voor in </w:t>
      </w:r>
      <w:r w:rsidR="00D3663B">
        <w:t>de middeleeuwen, waarbij het windrecht als een heerlijk recht tot het bouwen en gebruiken van een molen gezien moet worden.</w:t>
      </w:r>
      <w:r w:rsidR="00D3663B">
        <w:rPr>
          <w:rStyle w:val="Voetnootmarkering"/>
        </w:rPr>
        <w:footnoteReference w:id="194"/>
      </w:r>
      <w:r w:rsidR="00D3663B">
        <w:t xml:space="preserve"> </w:t>
      </w:r>
      <w:r w:rsidR="00B91C3F" w:rsidRPr="00B91C3F">
        <w:t>Dit concept impliceert dat de decreetgever de ontwikkeling en exploitatie van dergelijke projecten zodanig structureert dat binnen een bepaald projectgebied slechts één enkele projectontwikkelaar actief kan zijn.</w:t>
      </w:r>
      <w:r w:rsidR="00B91C3F">
        <w:rPr>
          <w:rStyle w:val="Voetnootmarkering"/>
        </w:rPr>
        <w:footnoteReference w:id="195"/>
      </w:r>
      <w:r w:rsidR="00B91C3F" w:rsidRPr="00B91C3F">
        <w:t xml:space="preserve"> Door dit exclusieve recht als een aanvullende voorwaarde te hanteren voor de exploitatie van windturbines in specifieke zones, kan het een rem zetten op de huidige ‘windrush’</w:t>
      </w:r>
      <w:r w:rsidR="001942F7">
        <w:rPr>
          <w:rStyle w:val="Voetnootmarkering"/>
        </w:rPr>
        <w:footnoteReference w:id="196"/>
      </w:r>
      <w:r w:rsidR="001942F7">
        <w:t xml:space="preserve"> - </w:t>
      </w:r>
      <w:r w:rsidR="00B91C3F" w:rsidRPr="00B91C3F">
        <w:t>de intense concurrentiestrijd tussen ontwikkelaars om geschikte locaties te verwerven.</w:t>
      </w:r>
    </w:p>
    <w:p w14:paraId="5EE7CB55" w14:textId="20883906" w:rsidR="00B91C3F" w:rsidRPr="00B91C3F" w:rsidRDefault="00B91C3F" w:rsidP="00B91C3F">
      <w:pPr>
        <w:pStyle w:val="Body"/>
        <w:ind w:firstLine="708"/>
      </w:pPr>
      <w:r w:rsidRPr="00B91C3F">
        <w:t>Momenteel trachten projectontwikkelaars op hoog tempo via zakelijke rechten overeenkomsten te sluiten met grondeigenaars om strategische gebieden te claimen voor windenergieproductie.</w:t>
      </w:r>
      <w:r w:rsidR="001942F7">
        <w:rPr>
          <w:rStyle w:val="Voetnootmarkering"/>
        </w:rPr>
        <w:footnoteReference w:id="197"/>
      </w:r>
      <w:r w:rsidRPr="00B91C3F">
        <w:t xml:space="preserve"> Dit leidt niet alleen tot een afname van het lokaal draagvlak, maar </w:t>
      </w:r>
      <w:r w:rsidRPr="00B91C3F">
        <w:lastRenderedPageBreak/>
        <w:t>verhoogt ook de kans op juridische obstructies in de vorm van bezwaarschriften, onder meer op basis van het Verdrag van Aarhus en de verplichtingen rond milieueffectbeoordelingen. Bovendien zou het windrecht bijdragen aan een vermindering van de juridische conflicten tussen concurrerende ontwikkelaars. Door op voorhand eenduidig vast te leggen welke partij de exploitatierechten in een bepaalde zone verkrijgt, kan men het aantal rechtszaken tussen rivaliserende spelers aanzienlijk terugdringen. Dit zou op zijn beurt de realisatie van de klimaatdoelstellingen minder afhankelijk maken van slepende juridische procedures en zo bijdragen aan een efficiëntere energietransitie.</w:t>
      </w:r>
      <w:r w:rsidR="002655A3">
        <w:rPr>
          <w:rStyle w:val="Voetnootmarkering"/>
        </w:rPr>
        <w:footnoteReference w:id="198"/>
      </w:r>
    </w:p>
    <w:p w14:paraId="39094980" w14:textId="04C95EC9" w:rsidR="008B5232" w:rsidRDefault="003F4389" w:rsidP="00B64CE9">
      <w:pPr>
        <w:pStyle w:val="Body"/>
        <w:ind w:firstLine="708"/>
      </w:pPr>
      <w:r w:rsidRPr="003F4389">
        <w:t>In de context van het windrecht verdient ook de mogelijke integratie ervan binnen de implementatie van de RED III-verplichting inzake versnelde uitrolzones de nodige aandacht. De verplichte aanduiding van zones die prioritair in aanmerking komen voor de versnelde ontwikkeling en vergunning van hernieuwbare</w:t>
      </w:r>
      <w:r w:rsidR="007635BD">
        <w:t xml:space="preserve"> </w:t>
      </w:r>
      <w:r w:rsidRPr="003F4389">
        <w:t>energieprojecten biedt de mogelijkheid om bijkomende sociaaleconomische randvoorwaarden te formuleren die het windrecht verder kunnen uitbouwen.</w:t>
      </w:r>
      <w:r w:rsidR="00522F71">
        <w:rPr>
          <w:rStyle w:val="Voetnootmarkering"/>
        </w:rPr>
        <w:footnoteReference w:id="199"/>
      </w:r>
      <w:r>
        <w:t xml:space="preserve"> </w:t>
      </w:r>
    </w:p>
    <w:p w14:paraId="2653703F" w14:textId="15194659" w:rsidR="003F4389" w:rsidRPr="003F4389" w:rsidRDefault="003F4389" w:rsidP="00B64CE9">
      <w:pPr>
        <w:pStyle w:val="Body"/>
        <w:ind w:firstLine="708"/>
      </w:pPr>
      <w:r w:rsidRPr="003F4389">
        <w:t>Zo zou men bijvoorbeeld kunnen bepalen dat projectontwikkelaars binnen deze versnelde uitrolzones enkel een exploitatievergunning verkrijgen indien zij voldoen aan specifieke voorwaarden met betrekking tot lokale participatie, financiële compensatie en sociale meerwaarde. Concreet zou dit kunnen inhouden dat een bepaald percentage van het windenergieproject verplicht in handen moet zijn van lokale energiecoöperaties of dat een deel van de opbrengsten rechtstreeks terugvloeit naar omwonenden via een duurzaamheidsfonds. Daarnaast kan men als voorwaarde opleggen dat enkel ontwikkelaars die een minimumniveau aan werkgelegenheidsgaranties of lokale investeringen bieden, in aanmerking komen voor exploitatie binnen deze zones.</w:t>
      </w:r>
      <w:r w:rsidR="00145700">
        <w:t xml:space="preserve"> </w:t>
      </w:r>
      <w:r w:rsidR="00B64CE9" w:rsidRPr="00B64CE9">
        <w:t>Op die manier wordt ook voor niet-professionele actoren een toegang gecreëerd tot het Vlaamse windpotentieel, wat in lijn ligt met artikel 7bis RED III. Dit artikel bepaalt dat lidstaten hernieuwbare</w:t>
      </w:r>
      <w:r w:rsidR="007635BD">
        <w:t xml:space="preserve"> </w:t>
      </w:r>
      <w:r w:rsidR="00B64CE9" w:rsidRPr="00B64CE9">
        <w:t xml:space="preserve">energiegemeenschappen kunnen betrekken bij gezamenlijke projecten voor offshore-hernieuwbare energie, met als doel het maatschappelijk draagvlak te </w:t>
      </w:r>
      <w:r w:rsidR="00B64CE9" w:rsidRPr="00B64CE9">
        <w:lastRenderedPageBreak/>
        <w:t>versterken. Hoewel artikel 7bis expliciet betrekking heeft op offshore-windprojecten, sluit dit een analoge toepassing op onshore-windprojecten niet uit</w:t>
      </w:r>
      <w:r w:rsidR="00B64CE9">
        <w:rPr>
          <w:rStyle w:val="Voetnootmarkering"/>
        </w:rPr>
        <w:footnoteReference w:id="200"/>
      </w:r>
      <w:r w:rsidR="00B64CE9" w:rsidRPr="00B64CE9">
        <w:t>. De onderliggende doelstelling – het vergroten van de betrokkenheid van burgers en lokale gemeenschappen bij hernieuwbare</w:t>
      </w:r>
      <w:r w:rsidR="007635BD">
        <w:t xml:space="preserve"> </w:t>
      </w:r>
      <w:r w:rsidR="00B64CE9" w:rsidRPr="00B64CE9">
        <w:t>energieontwikkeling – is even relevant voor windenergie op land. Bovendien adviseert de Europese Commissie dat lidstaten actief moeten inzetten op burgerparticipatie in de planning, ontwikkeling, uitrol en exploitatie van hernieuwbare</w:t>
      </w:r>
      <w:r w:rsidR="007635BD">
        <w:t xml:space="preserve"> </w:t>
      </w:r>
      <w:r w:rsidR="00B64CE9" w:rsidRPr="00B64CE9">
        <w:t>energieprojecten.</w:t>
      </w:r>
      <w:r w:rsidR="00B64CE9">
        <w:rPr>
          <w:rStyle w:val="Voetnootmarkering"/>
        </w:rPr>
        <w:footnoteReference w:id="201"/>
      </w:r>
      <w:r w:rsidR="00B64CE9" w:rsidRPr="00B64CE9">
        <w:t xml:space="preserve"> Het stimuleren van coöperatieve modellen en collectieve investeringen kan daarbij een sleutelrol spelen om niet alleen de acceptatie te verhogen, maar ook een eerlijkere verdeling van de economische voordelen van windenergie te waarborgen.</w:t>
      </w:r>
      <w:r w:rsidR="007B0DF2">
        <w:t xml:space="preserve"> Het mag in deze context geen verras</w:t>
      </w:r>
      <w:r w:rsidR="00C76ED5">
        <w:t>s</w:t>
      </w:r>
      <w:r w:rsidR="007B0DF2">
        <w:t xml:space="preserve">ing zijn dat landen waar de uitrol van windenergieprojecten doorgaans als succesvol wordt aangemerkt, zoals bijvoorbeeld </w:t>
      </w:r>
      <w:r w:rsidR="0089163B">
        <w:t xml:space="preserve">in Duitsland </w:t>
      </w:r>
      <w:r w:rsidR="007B0DF2">
        <w:t xml:space="preserve">het geval is, een gemeenschapsparticipatie van ongeveer </w:t>
      </w:r>
      <w:r w:rsidR="0089163B">
        <w:t xml:space="preserve">vijftig procent </w:t>
      </w:r>
      <w:r w:rsidR="007B0DF2">
        <w:t>kennen.</w:t>
      </w:r>
      <w:r w:rsidR="007B0DF2">
        <w:rPr>
          <w:rStyle w:val="Voetnootmarkering"/>
        </w:rPr>
        <w:footnoteReference w:id="202"/>
      </w:r>
      <w:r w:rsidR="007B0DF2">
        <w:t xml:space="preserve"> </w:t>
      </w:r>
    </w:p>
    <w:p w14:paraId="59A8E53E" w14:textId="0F733847" w:rsidR="003F4389" w:rsidRDefault="003F4389" w:rsidP="004D4BB8">
      <w:pPr>
        <w:pStyle w:val="Body"/>
        <w:ind w:firstLine="708"/>
      </w:pPr>
      <w:r w:rsidRPr="003F4389">
        <w:t>Dit lijkt des te relevanter aangezien de aanwijzing van dergelijke versnelde uitrolzones naar alle waarschijnlijkheid een nieuwe ‘windrush’ zal teweegbrengen</w:t>
      </w:r>
      <w:r>
        <w:t>.</w:t>
      </w:r>
      <w:r>
        <w:rPr>
          <w:rStyle w:val="Voetnootmarkering"/>
        </w:rPr>
        <w:footnoteReference w:id="203"/>
      </w:r>
      <w:r>
        <w:t xml:space="preserve"> </w:t>
      </w:r>
      <w:r w:rsidRPr="003F4389">
        <w:t>Grote spelers in de sector zullen zich ongetwijfeld positioneren om binnen deze zones een dominante rol op te eisen, wat het risico met zich meebrengt dat de huidige problematiek</w:t>
      </w:r>
      <w:r w:rsidR="0047081C">
        <w:t xml:space="preserve"> - </w:t>
      </w:r>
      <w:r w:rsidRPr="003F4389">
        <w:t>zoals reeds besproken in de tweede alinea van dit randnummer</w:t>
      </w:r>
      <w:r w:rsidR="0047081C">
        <w:t xml:space="preserve"> - </w:t>
      </w:r>
      <w:r w:rsidRPr="003F4389">
        <w:t xml:space="preserve">niet alleen behouden blijft, maar zelfs wordt versterkt. Door het windrecht structureel te verankeren binnen de implementatie van de RED III en te koppelen aan sociaaleconomische randvoorwaarden, kan men vermijden dat de concurrentiestrijd om beschikbare locaties </w:t>
      </w:r>
      <w:r w:rsidR="00286F50">
        <w:t>verder</w:t>
      </w:r>
      <w:r w:rsidRPr="003F4389">
        <w:t xml:space="preserve"> escaleert en kan er een duurzamere en meer gereguleerde ontwikkeling van windenergieprojecten worden gegarandeerd.</w:t>
      </w:r>
    </w:p>
    <w:p w14:paraId="5B371555" w14:textId="6DAF096E" w:rsidR="00F97E40" w:rsidRDefault="00F97E40" w:rsidP="00F97E40">
      <w:pPr>
        <w:pStyle w:val="Body"/>
        <w:numPr>
          <w:ilvl w:val="0"/>
          <w:numId w:val="15"/>
        </w:numPr>
        <w:ind w:left="0" w:hanging="11"/>
      </w:pPr>
      <w:r>
        <w:t xml:space="preserve">Ook het eerder genoemde decreet </w:t>
      </w:r>
      <w:r w:rsidR="003B7D6F">
        <w:t>inzake de</w:t>
      </w:r>
      <w:r>
        <w:t xml:space="preserve"> facilitering van windturbine</w:t>
      </w:r>
      <w:r w:rsidR="003B7D6F">
        <w:t>s</w:t>
      </w:r>
      <w:r>
        <w:t xml:space="preserve"> verdient enige aandacht binnen dit hoofdstuk. Onder het vorige hoofdstuk werd reeds vermelding gemaakt van dit decreet, waarvoor vermoedelijk geen akkoord werd gevonden voor het einde van de zittingperiode 2019-2024 van het Vlaams Parlement. Als gevolg hiervan is het ontwerp </w:t>
      </w:r>
      <w:r>
        <w:lastRenderedPageBreak/>
        <w:t>van decreet ondertussen vervallen.</w:t>
      </w:r>
      <w:r>
        <w:rPr>
          <w:rStyle w:val="Voetnootmarkering"/>
        </w:rPr>
        <w:footnoteReference w:id="204"/>
      </w:r>
      <w:r>
        <w:t xml:space="preserve"> Een spijtige zaak, zo blijkt, </w:t>
      </w:r>
      <w:r w:rsidR="000A7D42">
        <w:t>aangezien</w:t>
      </w:r>
      <w:r>
        <w:t xml:space="preserve"> het ontwerp ook een belangrijke </w:t>
      </w:r>
      <w:r w:rsidR="003B7D6F">
        <w:t>aanpassing bevatte inzake de procedure voor de Raad voor Vergunningsbetwistingen. Zo wijzigde het ontwerp artikel 10, vijfde lid van het DBRC-decreet, waarbij de voorzitter van de Raad verplicht wordt om procedures inzake de beroepen tegen grootschalige windturbineprojecten prioritair te behandelen.</w:t>
      </w:r>
      <w:r w:rsidR="003B7D6F">
        <w:rPr>
          <w:rStyle w:val="Voetnootmarkering"/>
        </w:rPr>
        <w:footnoteReference w:id="205"/>
      </w:r>
      <w:r w:rsidR="003B7D6F">
        <w:t xml:space="preserve"> Ook een nieuw artike</w:t>
      </w:r>
      <w:r w:rsidR="000A7D42">
        <w:t>l</w:t>
      </w:r>
      <w:r w:rsidR="003B7D6F">
        <w:t xml:space="preserve"> 21/1 werd in het DBRC-decrete ingevoegd, dat een ordetermijn van maximaal negen maanden </w:t>
      </w:r>
      <w:r w:rsidR="00B37951">
        <w:t xml:space="preserve">vastlegt </w:t>
      </w:r>
      <w:r w:rsidR="003B7D6F">
        <w:t xml:space="preserve">waarbinnen de Raad tot </w:t>
      </w:r>
      <w:r w:rsidR="00CB606C">
        <w:t>een</w:t>
      </w:r>
      <w:r w:rsidR="003B7D6F">
        <w:t xml:space="preserve"> arrest moet komen in dergelijke procedures.</w:t>
      </w:r>
      <w:r w:rsidR="003B7D6F">
        <w:rPr>
          <w:rStyle w:val="Voetnootmarkering"/>
        </w:rPr>
        <w:footnoteReference w:id="206"/>
      </w:r>
      <w:r w:rsidR="00B37951">
        <w:t xml:space="preserve"> O</w:t>
      </w:r>
      <w:r w:rsidR="00CB606C">
        <w:t xml:space="preserve">ndanks de kwalificatie als ordetermijn lijken deze maatregelen geschikt om de versnelde behandeling van beroepen tegen windturbineprojecten zoals vooropgesteld in RED III te implementeren in de Vlaamse regelgeving. Net daarom moet de Vlaamse decreetgever zo snel mogelijk opnieuw aan de slag gaan met een nieuwe decretale verankering van deze procedurele aanpassingen. </w:t>
      </w:r>
      <w:r w:rsidR="00CA773C" w:rsidRPr="00CA773C">
        <w:rPr>
          <w:lang w:val="nl-NL"/>
        </w:rPr>
        <w:t>Daarbij lijkt het in het bijzonder aangewezen om de oprichting van een aparte kamer van de Raad voor Vergunningsbetwistingen te overwegen</w:t>
      </w:r>
      <w:r w:rsidR="00CB606C">
        <w:t xml:space="preserve">, </w:t>
      </w:r>
      <w:r w:rsidR="00172BF5">
        <w:t>die</w:t>
      </w:r>
      <w:r w:rsidR="00CB606C">
        <w:t xml:space="preserve"> zich uitsluitend over procedures tegen windturbineprojecten</w:t>
      </w:r>
      <w:r w:rsidR="00172BF5">
        <w:t xml:space="preserve"> buigt.</w:t>
      </w:r>
      <w:r w:rsidR="00172BF5">
        <w:rPr>
          <w:rStyle w:val="Voetnootmarkering"/>
        </w:rPr>
        <w:footnoteReference w:id="207"/>
      </w:r>
    </w:p>
    <w:p w14:paraId="0A41F925" w14:textId="36B22FB7" w:rsidR="00D00981" w:rsidRDefault="004B39A6" w:rsidP="004B39A6">
      <w:pPr>
        <w:pStyle w:val="Body"/>
        <w:ind w:firstLine="708"/>
      </w:pPr>
      <w:r>
        <w:t>Ook lijkt het aangewezen om het verschil in hoogte van het verschuldigde rolrecht tussen de Raad voor Vergunningsbetwistingen en de burgerlijke rechtbanken</w:t>
      </w:r>
      <w:r w:rsidR="000A7D42">
        <w:rPr>
          <w:rStyle w:val="Voetnootmarkering"/>
        </w:rPr>
        <w:footnoteReference w:id="208"/>
      </w:r>
      <w:r>
        <w:t xml:space="preserve"> </w:t>
      </w:r>
      <w:r w:rsidR="005C2597">
        <w:t>op elkaar af te stemmen</w:t>
      </w:r>
      <w:r>
        <w:t>.</w:t>
      </w:r>
      <w:r>
        <w:rPr>
          <w:rStyle w:val="Voetnootmarkering"/>
        </w:rPr>
        <w:footnoteReference w:id="209"/>
      </w:r>
      <w:r>
        <w:t xml:space="preserve"> Immers, wanneer het rolrecht (en eventueel ook de verschuldigde rechtsplegingsvergoeding) naar een hoger niveau wordt getild, zal de indiener van enig beroep </w:t>
      </w:r>
      <w:r>
        <w:lastRenderedPageBreak/>
        <w:t>twee keer nadenken alvorens te procederen tegen een afgeleverde vergunning.</w:t>
      </w:r>
      <w:r w:rsidR="007E6E6B">
        <w:t xml:space="preserve"> </w:t>
      </w:r>
      <w:r w:rsidR="00311CC5">
        <w:t xml:space="preserve">Op deze </w:t>
      </w:r>
      <w:r w:rsidR="00311CC5" w:rsidRPr="00311CC5">
        <w:t>manier kan ook de impact van Aarhus-gerelateerde beroepsprocedures beperk</w:t>
      </w:r>
      <w:r w:rsidR="00311CC5">
        <w:t>t worden</w:t>
      </w:r>
      <w:r w:rsidR="00311CC5" w:rsidRPr="00311CC5">
        <w:t xml:space="preserve">, </w:t>
      </w:r>
      <w:r w:rsidR="00311CC5">
        <w:t>aangezien een verhoging van het rolrecht</w:t>
      </w:r>
      <w:r w:rsidR="00311CC5" w:rsidRPr="00311CC5">
        <w:t xml:space="preserve"> procederen minder vrijblijvend </w:t>
      </w:r>
      <w:r w:rsidR="00311CC5">
        <w:t xml:space="preserve">zal </w:t>
      </w:r>
      <w:r w:rsidR="00311CC5" w:rsidRPr="00311CC5">
        <w:t xml:space="preserve">maken </w:t>
      </w:r>
      <w:r w:rsidR="00311CC5">
        <w:t>waardoor</w:t>
      </w:r>
      <w:r w:rsidR="00311CC5" w:rsidRPr="00311CC5">
        <w:t xml:space="preserve"> bezwaarprocedures met een eerder obstructief karakter</w:t>
      </w:r>
      <w:r w:rsidR="00311CC5">
        <w:t xml:space="preserve"> worden vermeden</w:t>
      </w:r>
      <w:r w:rsidR="00311CC5" w:rsidRPr="00311CC5">
        <w:t>. Tegelijk blijft het belangrijk om te waken over de evenwichtigheid van deze maatregel, zodat de toegang tot het recht niet onnodig wordt bemoeilijkt voor belanghebbenden met legitieme bezwaren</w:t>
      </w:r>
      <w:r w:rsidR="007E6E6B">
        <w:t>.</w:t>
      </w:r>
      <w:r>
        <w:t xml:space="preserve"> </w:t>
      </w:r>
      <w:r w:rsidR="005C2597">
        <w:t>T</w:t>
      </w:r>
      <w:r w:rsidR="00D00981">
        <w:t>ot op heden werd aan dergelijke voorstellen door de Vlaamse decreetgever geen gevolg gegeven.</w:t>
      </w:r>
    </w:p>
    <w:p w14:paraId="38CA5249" w14:textId="57AA8F48" w:rsidR="004B39A6" w:rsidRDefault="00D00981" w:rsidP="004B39A6">
      <w:pPr>
        <w:pStyle w:val="Body"/>
        <w:ind w:firstLine="708"/>
      </w:pPr>
      <w:r>
        <w:t xml:space="preserve">Daarom stel ik voor dat </w:t>
      </w:r>
      <w:r w:rsidR="00CA773C">
        <w:t>de Vlaamse decreetgever</w:t>
      </w:r>
      <w:r>
        <w:t xml:space="preserve"> dringend aan de slag gaat met deze procedurele aanpassingen. </w:t>
      </w:r>
      <w:r w:rsidR="00D516CC" w:rsidRPr="00D516CC">
        <w:t>Dit zou een significante vooruitgang betekenen, met name in het licht van de naleving en effectieve implementatie van de verplichtingen die voortvloeien uit de RED III-richtlijn.</w:t>
      </w:r>
    </w:p>
    <w:p w14:paraId="56915D9E" w14:textId="44B5ED80" w:rsidR="00972E4D" w:rsidRDefault="00972E4D" w:rsidP="00972E4D">
      <w:pPr>
        <w:pStyle w:val="Body"/>
        <w:numPr>
          <w:ilvl w:val="0"/>
          <w:numId w:val="15"/>
        </w:numPr>
        <w:ind w:left="0" w:hanging="11"/>
      </w:pPr>
      <w:r w:rsidRPr="00972E4D">
        <w:t>Indien er één essentieel inzicht is dat uit deze bespreking naar voren komt, dan is het wel dat de energietransitie nog aanzienlijke inspanningen vereist van de verschillende regelgevers op diverse niveaus. De hier behandelde toekomstperspectieven en voorstellen vormen een selectie uit de brede waaier aan academische en beleidsmatige beschouwingen over dit onderwerp. Gezien de omvang en doelstellingen van dit werkstuk is het niet mogelijk om elk denkbaar perspectief of voorstel in detail te behandelen. Daarom werd er bewust voor gekozen om die benaderingen centraal te stellen die niet alleen als bijzonder relevant kunnen worden beschouwd, maar ook helder illustreren welke juridische en beleidsmatige hervormingen noodzakelijk zijn om de energietransitie daadwerkelijk te versnellen, en om de vergunning van windturbines te ontdoen van de voornaamste o</w:t>
      </w:r>
      <w:r>
        <w:t>bstakels van omgevingsrechtelijke aard.</w:t>
      </w:r>
    </w:p>
    <w:p w14:paraId="4DFAF610" w14:textId="77777777" w:rsidR="0067618D" w:rsidRDefault="0067618D" w:rsidP="0067618D">
      <w:pPr>
        <w:pStyle w:val="Body"/>
      </w:pPr>
    </w:p>
    <w:p w14:paraId="42089AEE" w14:textId="77777777" w:rsidR="0067618D" w:rsidRDefault="0067618D" w:rsidP="0067618D">
      <w:pPr>
        <w:pStyle w:val="Body"/>
      </w:pPr>
    </w:p>
    <w:p w14:paraId="0117B407" w14:textId="4587930C" w:rsidR="00D37FF5" w:rsidRDefault="00D37FF5" w:rsidP="00D37FF5">
      <w:pPr>
        <w:pStyle w:val="Kop1"/>
      </w:pPr>
      <w:bookmarkStart w:id="21" w:name="_Toc193312410"/>
      <w:r>
        <w:lastRenderedPageBreak/>
        <w:t>Besluit</w:t>
      </w:r>
      <w:bookmarkEnd w:id="21"/>
    </w:p>
    <w:p w14:paraId="037A70D1" w14:textId="10841713" w:rsidR="00322713" w:rsidRPr="00424864" w:rsidRDefault="00322713" w:rsidP="00322713">
      <w:pPr>
        <w:pStyle w:val="Citaat"/>
        <w:rPr>
          <w:color w:val="002E65" w:themeColor="text2"/>
        </w:rPr>
      </w:pPr>
      <w:r w:rsidRPr="00424864">
        <w:rPr>
          <w:color w:val="002E65" w:themeColor="text2"/>
        </w:rPr>
        <w:t>“We kunnen de wind niet veranderen, maar we kunnen de zeilen anders zetten.”</w:t>
      </w:r>
    </w:p>
    <w:p w14:paraId="099DDCEF" w14:textId="492399CB" w:rsidR="00322713" w:rsidRDefault="00322713" w:rsidP="00322713">
      <w:pPr>
        <w:pStyle w:val="Citaat"/>
        <w:rPr>
          <w:color w:val="002E65" w:themeColor="text2"/>
          <w:sz w:val="22"/>
          <w:szCs w:val="21"/>
        </w:rPr>
      </w:pPr>
      <w:r>
        <w:rPr>
          <w:color w:val="002E65" w:themeColor="text2"/>
          <w:sz w:val="22"/>
          <w:szCs w:val="21"/>
        </w:rPr>
        <w:t xml:space="preserve">- </w:t>
      </w:r>
      <w:r w:rsidRPr="00322713">
        <w:rPr>
          <w:color w:val="002E65" w:themeColor="text2"/>
          <w:sz w:val="22"/>
          <w:szCs w:val="21"/>
        </w:rPr>
        <w:t>Aristoteles</w:t>
      </w:r>
    </w:p>
    <w:p w14:paraId="564A004A" w14:textId="77777777" w:rsidR="00322713" w:rsidRDefault="00322713" w:rsidP="00322713">
      <w:pPr>
        <w:rPr>
          <w:lang w:val="nl-BE"/>
        </w:rPr>
      </w:pPr>
    </w:p>
    <w:p w14:paraId="3C56C659" w14:textId="799CB58D" w:rsidR="00263146" w:rsidRDefault="00DB7111" w:rsidP="00263146">
      <w:pPr>
        <w:pStyle w:val="Body"/>
        <w:numPr>
          <w:ilvl w:val="0"/>
          <w:numId w:val="15"/>
        </w:numPr>
        <w:ind w:left="0" w:hanging="11"/>
      </w:pPr>
      <w:r w:rsidRPr="00DB7111">
        <w:t xml:space="preserve">De huidige omgevingsrechtelijke waarborgen, zowel inhoudelijk als procedureel, onthullen een </w:t>
      </w:r>
      <w:r>
        <w:t>distorsie</w:t>
      </w:r>
      <w:r w:rsidRPr="00DB7111">
        <w:t xml:space="preserve"> tussen het omgevingsrecht en het klimaatrecht. Waar het eerste primair gericht is op bescherming en behoud, vergt het tweede een daadkrachtige transitie om de gevolgen van klimaatverandering te beperken. </w:t>
      </w:r>
      <w:r>
        <w:t>De</w:t>
      </w:r>
      <w:r w:rsidRPr="00DB7111">
        <w:t xml:space="preserve"> disbalans</w:t>
      </w:r>
      <w:r>
        <w:t xml:space="preserve"> tussen beide thema’s</w:t>
      </w:r>
      <w:r w:rsidRPr="00DB7111">
        <w:t xml:space="preserve"> bemoeilijkt de realisatie van noodzakelijke duurzame energieprojecten</w:t>
      </w:r>
      <w:r>
        <w:t xml:space="preserve"> zoals windturbines</w:t>
      </w:r>
      <w:r w:rsidRPr="00DB7111">
        <w:t xml:space="preserve"> en zet de effectiviteit van het bestaande rechtskader onder druk.</w:t>
      </w:r>
      <w:r w:rsidR="00263146">
        <w:t xml:space="preserve"> Met betrekking tot de onderzoeksvragen van dit werkstuk moet ik besluiten dat de meest prominente obstakels die voortvloeien uit regels van omgevingsrecht gevat kunnen worden in vier algemene thema’s. Meer specifiek gaat het om (i) de regelgeving inzake natuur- en soortenbescherming en -behoud, (ii) de regelgeving inzake milieueffectenrapportage, (iii) de bepalingen van het Verdrag van Aarhus en (iv) de bescherming van cultureel erfgoed en landschapswaarden. Daarbij </w:t>
      </w:r>
      <w:r w:rsidR="00745314">
        <w:t>vertoont</w:t>
      </w:r>
      <w:r w:rsidR="00263146">
        <w:t xml:space="preserve"> ieder thema een zekere frequentie. De meest </w:t>
      </w:r>
      <w:r w:rsidR="00B15AA6">
        <w:t xml:space="preserve">voorkomende </w:t>
      </w:r>
      <w:r w:rsidR="00263146">
        <w:t>obstakels worde</w:t>
      </w:r>
      <w:r w:rsidR="00E62BB0">
        <w:t>n</w:t>
      </w:r>
      <w:r w:rsidR="00263146">
        <w:t xml:space="preserve"> gevonden in de regelgeving inzake natuur- en soortenbescherming en -behoud, het Verdrag van Aarhus en de bescherming van landschapswaarden. Wat betreft de omgang van de rechtspraak met deze problematiek, moet ik besluiten dat de bestaande grendels en obstakels zelden tot nooit gemilderd worden door de rechter. Integendeel, de rechter lijkt eerder geneigd te zijn om omgevingsrechtelijke obstakels te verruimen qua invulling.</w:t>
      </w:r>
    </w:p>
    <w:p w14:paraId="249BBFFD" w14:textId="66900F06" w:rsidR="0067618D" w:rsidRPr="00DB7111" w:rsidRDefault="00BC2CCF" w:rsidP="0067618D">
      <w:pPr>
        <w:pStyle w:val="Body"/>
        <w:ind w:firstLine="708"/>
      </w:pPr>
      <w:r>
        <w:t>V</w:t>
      </w:r>
      <w:r w:rsidR="0067618D">
        <w:t>ergelijk</w:t>
      </w:r>
      <w:r w:rsidR="009756BF">
        <w:t>en</w:t>
      </w:r>
      <w:r w:rsidR="0067618D">
        <w:t xml:space="preserve"> </w:t>
      </w:r>
      <w:r>
        <w:t xml:space="preserve">we </w:t>
      </w:r>
      <w:r w:rsidR="0067618D">
        <w:t xml:space="preserve">de Europese, de Vlaamse en de Duitse aanpak, dan zien we dat Vlaanderen met betrekking tot zowat elk aspect van de RED III </w:t>
      </w:r>
      <w:r w:rsidR="00CA773C">
        <w:t>achterophinkt</w:t>
      </w:r>
      <w:r w:rsidR="0067618D">
        <w:t>. De Europese regelgever biedt tal van leidraden, richtlijnen en aanbevelingen om de uitrol van hernieuwbare energie te faciliteren. Toch slaagt de Vlaamse decreetgever er niet in om naar Duits voorbeeld een proactieve rol aan te nemen. Bijgevolg moet men in Vlaanderen nog een lange weg afleggen bij het aa</w:t>
      </w:r>
      <w:r w:rsidR="00D14E40">
        <w:t>n</w:t>
      </w:r>
      <w:r w:rsidR="0067618D">
        <w:t xml:space="preserve">pakken van deze problematiek. Daarbij moet de Vlaamse decreetgever </w:t>
      </w:r>
      <w:r w:rsidR="00D14E40">
        <w:t xml:space="preserve">m.i. </w:t>
      </w:r>
      <w:r w:rsidR="0067618D">
        <w:t>de Duitse aa</w:t>
      </w:r>
      <w:r w:rsidR="00D14E40">
        <w:t>n</w:t>
      </w:r>
      <w:r w:rsidR="0067618D">
        <w:t xml:space="preserve">pak als leidraad nemen. </w:t>
      </w:r>
      <w:r w:rsidR="00197C7E">
        <w:t>Het is aangewezen om t</w:t>
      </w:r>
      <w:r w:rsidR="0067618D">
        <w:t xml:space="preserve">ijdig in actie </w:t>
      </w:r>
      <w:r w:rsidR="00197C7E">
        <w:t xml:space="preserve">te komen </w:t>
      </w:r>
      <w:r w:rsidR="0067618D">
        <w:t>en over</w:t>
      </w:r>
      <w:r w:rsidR="00197C7E">
        <w:t xml:space="preserve"> te </w:t>
      </w:r>
      <w:r w:rsidR="0067618D">
        <w:t>gaan tot decretale uitwerking van de voorstellen uit het vijfde hoofdstuk van dit werkstuk.</w:t>
      </w:r>
    </w:p>
    <w:p w14:paraId="66C970B6" w14:textId="1F45BB59" w:rsidR="00DB7111" w:rsidRPr="00DB7111" w:rsidRDefault="00DB7111" w:rsidP="00DB7111">
      <w:pPr>
        <w:pStyle w:val="Body"/>
        <w:ind w:firstLine="708"/>
      </w:pPr>
      <w:r w:rsidRPr="00DB7111">
        <w:lastRenderedPageBreak/>
        <w:t xml:space="preserve">De energietransitie is geen optionele beleidskeuze, maar een urgente noodzaak. Paradoxaal genoeg vereist het vrijwaren van de waarden die binnen het omgevingsrecht beschermd worden – zoals biodiversiteit, landschap en leefkwaliteit – juist een herziening van de regels die nu duurzame infrastructuur, zoals windturbines, belemmeren. </w:t>
      </w:r>
      <w:r>
        <w:t xml:space="preserve">Waarom zouden het slaggeluid en de slagschaduw van een windturbine zwaarder </w:t>
      </w:r>
      <w:r w:rsidR="00C62830">
        <w:t xml:space="preserve">moeten </w:t>
      </w:r>
      <w:r>
        <w:t xml:space="preserve">wegen dan de </w:t>
      </w:r>
      <w:r w:rsidR="00EC4305">
        <w:t xml:space="preserve">voortdurende </w:t>
      </w:r>
      <w:r>
        <w:t xml:space="preserve">verbranding van fossiele brandstoffen, waarbij schadelijke stoffen vrijkomen die de </w:t>
      </w:r>
      <w:r w:rsidR="00EC4305">
        <w:t xml:space="preserve">huidige en toekomstige </w:t>
      </w:r>
      <w:r>
        <w:t xml:space="preserve">generatie steeds meer zullen raken. Naast juridische </w:t>
      </w:r>
      <w:r w:rsidR="00934D9D">
        <w:t>ontwikkeling</w:t>
      </w:r>
      <w:r w:rsidR="009756BF">
        <w:t>en</w:t>
      </w:r>
      <w:r w:rsidR="00934D9D">
        <w:t xml:space="preserve"> </w:t>
      </w:r>
      <w:r>
        <w:t xml:space="preserve">is ook een mentaliteitsswitch noodzakelijk. </w:t>
      </w:r>
      <w:r w:rsidRPr="00DB7111">
        <w:t xml:space="preserve">Enkel door het juridische </w:t>
      </w:r>
      <w:r>
        <w:t xml:space="preserve">én het maatschappelijke </w:t>
      </w:r>
      <w:r w:rsidRPr="00DB7111">
        <w:t>kader fundamenteel te herdenken en aan te passen aan de realiteit van klimaatverandering, kan de doelstelling van beide rechtsgebieden worden verzoend en kan een leefbare toekomst gewaarborgd blijven.</w:t>
      </w:r>
    </w:p>
    <w:p w14:paraId="51584522" w14:textId="77777777" w:rsidR="007F4C30" w:rsidRDefault="00DB7111" w:rsidP="007F4C30">
      <w:pPr>
        <w:pStyle w:val="Body"/>
        <w:ind w:firstLine="708"/>
        <w:sectPr w:rsidR="007F4C30" w:rsidSect="00376CF4">
          <w:footerReference w:type="default" r:id="rId11"/>
          <w:footerReference w:type="first" r:id="rId12"/>
          <w:type w:val="continuous"/>
          <w:pgSz w:w="11906" w:h="16838"/>
          <w:pgMar w:top="1417" w:right="851" w:bottom="1417" w:left="1985" w:header="708" w:footer="708" w:gutter="0"/>
          <w:cols w:space="708"/>
          <w:titlePg/>
          <w:docGrid w:linePitch="360"/>
        </w:sectPr>
      </w:pPr>
      <w:r w:rsidRPr="00DB7111">
        <w:t xml:space="preserve">Zoals John F. Kennedy </w:t>
      </w:r>
      <w:r>
        <w:t xml:space="preserve">het </w:t>
      </w:r>
      <w:r w:rsidRPr="00DB7111">
        <w:t>stelde: </w:t>
      </w:r>
      <w:r w:rsidRPr="00DB7111">
        <w:rPr>
          <w:i/>
          <w:iCs/>
        </w:rPr>
        <w:t>"Het grootste gevaar voor onze toekomst is passiviteit."</w:t>
      </w:r>
      <w:r w:rsidRPr="00DB7111">
        <w:t> Het juridische kader mag geen obstakel vormen voor de energietransitie, maar moet deze juist ondersteunen om zowel de bescherming van het leefmilieu als de strijd tegen klimaatverandering te verzoenen. Hoewel zowel de Vlaamse als de Europese regelgever reeds bereidheid tonen om deze problematiek aan te pakken, blijft de weg naar een coherente en toekomst</w:t>
      </w:r>
      <w:r>
        <w:t>bestendige</w:t>
      </w:r>
      <w:r w:rsidRPr="00DB7111">
        <w:t xml:space="preserve"> regelgeving lang. Verdere hervormingen zijn noodzakelijk om de regelgeving beter af te stemmen op de realiteit van de klimaatuitdagingen en zo een leefbare toekomst te garanderen.</w:t>
      </w:r>
    </w:p>
    <w:p w14:paraId="42610BA8" w14:textId="3140AED5" w:rsidR="007F4C30" w:rsidRDefault="0095653C" w:rsidP="0095653C">
      <w:pPr>
        <w:pStyle w:val="Kop1"/>
        <w:numPr>
          <w:ilvl w:val="0"/>
          <w:numId w:val="0"/>
        </w:numPr>
        <w:ind w:left="340" w:hanging="340"/>
      </w:pPr>
      <w:bookmarkStart w:id="22" w:name="_Toc193312411"/>
      <w:r>
        <w:lastRenderedPageBreak/>
        <w:t xml:space="preserve">Bijlage 1: </w:t>
      </w:r>
      <w:r w:rsidR="007F4C30">
        <w:t>Bibliografie</w:t>
      </w:r>
      <w:bookmarkEnd w:id="22"/>
    </w:p>
    <w:p w14:paraId="6FDC042E" w14:textId="77777777" w:rsidR="00F90DFE" w:rsidRPr="00F21037" w:rsidRDefault="00F90DFE" w:rsidP="007F4C30">
      <w:pPr>
        <w:pStyle w:val="Body"/>
      </w:pPr>
      <w:r w:rsidRPr="004D1F2F">
        <w:t xml:space="preserve">AERTS P., </w:t>
      </w:r>
      <w:r>
        <w:t>‘</w:t>
      </w:r>
      <w:r w:rsidRPr="004D1F2F">
        <w:t>Milieutechnische eenheid (MTE) en MER-plicht: het zijn en blijven twins</w:t>
      </w:r>
      <w:r>
        <w:t>’</w:t>
      </w:r>
      <w:r w:rsidRPr="004D1F2F">
        <w:t xml:space="preserve">, </w:t>
      </w:r>
      <w:r w:rsidRPr="008416B4">
        <w:rPr>
          <w:i/>
          <w:iCs/>
        </w:rPr>
        <w:t>STORM</w:t>
      </w:r>
      <w:r w:rsidRPr="004D1F2F">
        <w:t xml:space="preserve"> 2020, afl. 4, 12.</w:t>
      </w:r>
    </w:p>
    <w:p w14:paraId="669956AA" w14:textId="77777777" w:rsidR="00F90DFE" w:rsidRDefault="00F90DFE" w:rsidP="007F4C30">
      <w:pPr>
        <w:pStyle w:val="Body"/>
        <w:rPr>
          <w:lang w:val="en-US"/>
        </w:rPr>
      </w:pPr>
      <w:r w:rsidRPr="004E259B">
        <w:rPr>
          <w:lang w:val="en-US"/>
        </w:rPr>
        <w:t xml:space="preserve">ALLAN S. J., ELTHAM D. C. en HARRISSON G. P., </w:t>
      </w:r>
      <w:r>
        <w:rPr>
          <w:lang w:val="en-US"/>
        </w:rPr>
        <w:t>‘</w:t>
      </w:r>
      <w:r w:rsidRPr="004E259B">
        <w:rPr>
          <w:lang w:val="en-US"/>
        </w:rPr>
        <w:t>Change in public attitudes towards a Cornish wind farm: Implications for planning</w:t>
      </w:r>
      <w:r>
        <w:rPr>
          <w:lang w:val="en-US"/>
        </w:rPr>
        <w:t>’</w:t>
      </w:r>
      <w:r w:rsidRPr="004E259B">
        <w:rPr>
          <w:lang w:val="en-US"/>
        </w:rPr>
        <w:t xml:space="preserve">, </w:t>
      </w:r>
      <w:r w:rsidRPr="008416B4">
        <w:rPr>
          <w:i/>
          <w:iCs/>
          <w:lang w:val="en-US"/>
        </w:rPr>
        <w:t>Energy Policy</w:t>
      </w:r>
      <w:r w:rsidRPr="004E259B">
        <w:rPr>
          <w:lang w:val="en-US"/>
        </w:rPr>
        <w:t xml:space="preserve"> 2008, afl. 36, 23</w:t>
      </w:r>
      <w:r>
        <w:rPr>
          <w:lang w:val="en-US"/>
        </w:rPr>
        <w:t>.</w:t>
      </w:r>
    </w:p>
    <w:p w14:paraId="239E9EA3" w14:textId="77777777" w:rsidR="00F90DFE" w:rsidRPr="00F21037" w:rsidRDefault="00F90DFE" w:rsidP="007F4C30">
      <w:pPr>
        <w:pStyle w:val="Body"/>
      </w:pPr>
      <w:r>
        <w:t xml:space="preserve">Beleidsnota 2024-2029 Energie en Klimaat, </w:t>
      </w:r>
      <w:r w:rsidRPr="00B138D8">
        <w:t>VLAAMS MINISTER VAN ENRGIE EN KLIMAAT, 2024-25, 15 november 2024, 141 – nr. 1.</w:t>
      </w:r>
    </w:p>
    <w:p w14:paraId="173895C1" w14:textId="77777777" w:rsidR="00F90DFE" w:rsidRDefault="00F90DFE" w:rsidP="007F4C30">
      <w:pPr>
        <w:pStyle w:val="Body"/>
      </w:pPr>
      <w:r w:rsidRPr="004D1F2F">
        <w:t xml:space="preserve">BERX C., </w:t>
      </w:r>
      <w:r>
        <w:t>‘</w:t>
      </w:r>
      <w:r w:rsidRPr="004D1F2F">
        <w:t>Hebben burgers te veel rechten? Het rapport Berx</w:t>
      </w:r>
      <w:r>
        <w:t>’</w:t>
      </w:r>
      <w:r w:rsidRPr="004D1F2F">
        <w:t xml:space="preserve">, </w:t>
      </w:r>
      <w:r w:rsidRPr="008416B4">
        <w:rPr>
          <w:i/>
          <w:iCs/>
        </w:rPr>
        <w:t>TBP</w:t>
      </w:r>
      <w:r w:rsidRPr="004D1F2F">
        <w:t xml:space="preserve"> 2010, afl. 10, 577</w:t>
      </w:r>
      <w:r>
        <w:t>.</w:t>
      </w:r>
    </w:p>
    <w:p w14:paraId="70D5CBFA" w14:textId="77777777" w:rsidR="00F90DFE" w:rsidRDefault="00F90DFE" w:rsidP="007F4C30">
      <w:pPr>
        <w:pStyle w:val="Body"/>
        <w:rPr>
          <w:lang w:val="en-US"/>
        </w:rPr>
      </w:pPr>
      <w:r w:rsidRPr="00290196">
        <w:rPr>
          <w:lang w:val="en-US"/>
        </w:rPr>
        <w:t xml:space="preserve">BEVERIDGE R. en KERN K., </w:t>
      </w:r>
      <w:r>
        <w:rPr>
          <w:lang w:val="en-US"/>
        </w:rPr>
        <w:t>‘</w:t>
      </w:r>
      <w:r w:rsidRPr="00290196">
        <w:rPr>
          <w:lang w:val="en-US"/>
        </w:rPr>
        <w:t>The Energiewende in Germany: Background, Developments and Future Challenges</w:t>
      </w:r>
      <w:r>
        <w:rPr>
          <w:lang w:val="en-US"/>
        </w:rPr>
        <w:t>’</w:t>
      </w:r>
      <w:r w:rsidRPr="00290196">
        <w:rPr>
          <w:lang w:val="en-US"/>
        </w:rPr>
        <w:t xml:space="preserve">, </w:t>
      </w:r>
      <w:r w:rsidRPr="008416B4">
        <w:rPr>
          <w:i/>
          <w:iCs/>
          <w:lang w:val="en-US"/>
        </w:rPr>
        <w:t>Renewable Energy Law and Policy Review</w:t>
      </w:r>
      <w:r w:rsidRPr="00290196">
        <w:rPr>
          <w:lang w:val="en-US"/>
        </w:rPr>
        <w:t xml:space="preserve"> 2013, 3</w:t>
      </w:r>
      <w:r>
        <w:rPr>
          <w:lang w:val="en-US"/>
        </w:rPr>
        <w:t>.</w:t>
      </w:r>
    </w:p>
    <w:p w14:paraId="54FF1EDE" w14:textId="77777777" w:rsidR="00F90DFE" w:rsidRPr="00F21037" w:rsidRDefault="00F90DFE" w:rsidP="007F4C30">
      <w:pPr>
        <w:pStyle w:val="Body"/>
      </w:pPr>
      <w:r w:rsidRPr="004D1F2F">
        <w:t xml:space="preserve">BOS O. G., LEOPOLD M. F. en BOLLE L. J., </w:t>
      </w:r>
      <w:r w:rsidRPr="008416B4">
        <w:rPr>
          <w:i/>
          <w:iCs/>
        </w:rPr>
        <w:t>Passende Beoordeling windparken: Effecten van heien op vislarven, vogels en zeezoogdieren</w:t>
      </w:r>
      <w:r w:rsidRPr="004D1F2F">
        <w:t>, Wageningen, Wageningen University &amp; Research, 2009</w:t>
      </w:r>
      <w:r w:rsidRPr="00F21037">
        <w:t>.</w:t>
      </w:r>
    </w:p>
    <w:p w14:paraId="5A501DF6" w14:textId="77777777" w:rsidR="00F90DFE" w:rsidRPr="00F21037" w:rsidRDefault="00F90DFE" w:rsidP="007F4C30">
      <w:pPr>
        <w:pStyle w:val="Body"/>
      </w:pPr>
      <w:r w:rsidRPr="004D1F2F">
        <w:t xml:space="preserve">BOUCKAERT J., DUBRULLE J. en SCHELSTRAETE B., </w:t>
      </w:r>
      <w:r>
        <w:t>‘</w:t>
      </w:r>
      <w:r w:rsidRPr="004D1F2F">
        <w:t>Milieueffectbeoordeling in Vlaanderen</w:t>
      </w:r>
      <w:r>
        <w:t>’</w:t>
      </w:r>
      <w:r w:rsidRPr="004D1F2F">
        <w:t xml:space="preserve">, </w:t>
      </w:r>
      <w:r w:rsidRPr="008416B4">
        <w:rPr>
          <w:i/>
          <w:iCs/>
        </w:rPr>
        <w:t>T.Gem.</w:t>
      </w:r>
      <w:r w:rsidRPr="004D1F2F">
        <w:t xml:space="preserve"> 2015, afl. 3, 141</w:t>
      </w:r>
      <w:r w:rsidRPr="00F21037">
        <w:t>.</w:t>
      </w:r>
    </w:p>
    <w:p w14:paraId="4E9A551C" w14:textId="77777777" w:rsidR="00F90DFE" w:rsidRPr="00F21037" w:rsidRDefault="00F90DFE" w:rsidP="007F4C30">
      <w:pPr>
        <w:pStyle w:val="Body"/>
      </w:pPr>
      <w:r w:rsidRPr="004D1F2F">
        <w:t xml:space="preserve">BOUCKAERT J., SCHELSTRAETE B. en DUBRULLE J., </w:t>
      </w:r>
      <w:r>
        <w:t>‘</w:t>
      </w:r>
      <w:r w:rsidRPr="004D1F2F">
        <w:t>Milieueffectbeoordeling in Vlaanderen</w:t>
      </w:r>
      <w:r>
        <w:t>’</w:t>
      </w:r>
      <w:r w:rsidRPr="004D1F2F">
        <w:t xml:space="preserve">, </w:t>
      </w:r>
      <w:r w:rsidRPr="008416B4">
        <w:rPr>
          <w:i/>
          <w:iCs/>
        </w:rPr>
        <w:t>T.Gem.</w:t>
      </w:r>
      <w:r w:rsidRPr="004D1F2F">
        <w:t xml:space="preserve"> 2014, afl. 2, 75</w:t>
      </w:r>
      <w:r w:rsidRPr="00F21037">
        <w:t>.</w:t>
      </w:r>
    </w:p>
    <w:p w14:paraId="11BFFED9" w14:textId="77777777" w:rsidR="00F90DFE" w:rsidRPr="00F21037" w:rsidRDefault="00F90DFE" w:rsidP="007F4C30">
      <w:pPr>
        <w:pStyle w:val="Body"/>
        <w:rPr>
          <w:rFonts w:ascii="Calibri" w:hAnsi="Calibri" w:cs="Calibri"/>
          <w:lang w:val="en-US"/>
        </w:rPr>
      </w:pPr>
      <w:r>
        <w:rPr>
          <w:rFonts w:ascii="Calibri" w:hAnsi="Calibri" w:cs="Calibri"/>
          <w:lang w:val="en-US"/>
        </w:rPr>
        <w:t xml:space="preserve">CAPGEMINI, </w:t>
      </w:r>
      <w:r w:rsidRPr="009835F4">
        <w:rPr>
          <w:rFonts w:ascii="Calibri" w:hAnsi="Calibri" w:cs="Calibri"/>
          <w:lang w:val="en-US"/>
        </w:rPr>
        <w:t>‘We are not on track to meet the Paris Agreement’s objectives. What should we do?’, 142, https://www.capgemini.com/wp-content/uploads/2024/10/WEMO24-Outlook-and-Articles_compressed.pdf (geraadpleegd op 2 maart 2025).</w:t>
      </w:r>
    </w:p>
    <w:p w14:paraId="0DA07EFC" w14:textId="77777777" w:rsidR="00F90DFE" w:rsidRDefault="00F90DFE" w:rsidP="007F4C30">
      <w:pPr>
        <w:pStyle w:val="Body"/>
      </w:pPr>
      <w:r>
        <w:t xml:space="preserve">CLAEYS P., ‘Interfererende windenergieprojecten: cumulatieve effecten en ‘winddiefstal’’, </w:t>
      </w:r>
      <w:r w:rsidRPr="008416B4">
        <w:rPr>
          <w:i/>
          <w:iCs/>
        </w:rPr>
        <w:t>MER</w:t>
      </w:r>
      <w:r>
        <w:t xml:space="preserve"> 2018, afl. 1, 17.</w:t>
      </w:r>
    </w:p>
    <w:p w14:paraId="61344D35" w14:textId="77777777" w:rsidR="00F90DFE" w:rsidRDefault="00F90DFE" w:rsidP="007F4C30">
      <w:pPr>
        <w:pStyle w:val="Body"/>
      </w:pPr>
      <w:r w:rsidRPr="004D1F2F">
        <w:lastRenderedPageBreak/>
        <w:t xml:space="preserve">D’HONT N., </w:t>
      </w:r>
      <w:r>
        <w:t>‘</w:t>
      </w:r>
      <w:r w:rsidRPr="004D1F2F">
        <w:t>Ruimtelijke ordening: De tussenkomst van een derde in de administratieve beroepsprocedure van de Raad voor Vergunningsbetwistingen</w:t>
      </w:r>
      <w:r>
        <w:t>’</w:t>
      </w:r>
      <w:r w:rsidRPr="004D1F2F">
        <w:t xml:space="preserve">, </w:t>
      </w:r>
      <w:r w:rsidRPr="008416B4">
        <w:rPr>
          <w:i/>
          <w:iCs/>
        </w:rPr>
        <w:t>Vastgoed info</w:t>
      </w:r>
      <w:r w:rsidRPr="004D1F2F">
        <w:t xml:space="preserve"> 2013, afl. 20, 9</w:t>
      </w:r>
      <w:r>
        <w:t>.</w:t>
      </w:r>
    </w:p>
    <w:p w14:paraId="2E82C4EB" w14:textId="77777777" w:rsidR="00F90DFE" w:rsidRPr="00F21037" w:rsidRDefault="00F90DFE" w:rsidP="007F4C30">
      <w:pPr>
        <w:pStyle w:val="Body"/>
      </w:pPr>
      <w:r w:rsidRPr="004D1F2F">
        <w:t xml:space="preserve">DE BACKER T., MALFAIT T. en MINY X., </w:t>
      </w:r>
      <w:r>
        <w:t>‘</w:t>
      </w:r>
      <w:r w:rsidRPr="004D1F2F">
        <w:t>De inplanting van windturbines in Vlaanderen en Wallonië: vergelijkend overzicht van de voorwaarden</w:t>
      </w:r>
      <w:r>
        <w:t>’</w:t>
      </w:r>
      <w:r w:rsidRPr="004D1F2F">
        <w:t xml:space="preserve">, </w:t>
      </w:r>
      <w:r w:rsidRPr="008416B4">
        <w:rPr>
          <w:i/>
          <w:iCs/>
        </w:rPr>
        <w:t>TMR</w:t>
      </w:r>
      <w:r w:rsidRPr="004D1F2F">
        <w:t xml:space="preserve"> 2015, afl. 4, 386.</w:t>
      </w:r>
    </w:p>
    <w:p w14:paraId="69C93CF7" w14:textId="77777777" w:rsidR="00F90DFE" w:rsidRDefault="00F90DFE" w:rsidP="007F4C30">
      <w:pPr>
        <w:pStyle w:val="Body"/>
      </w:pPr>
      <w:r w:rsidRPr="004D1F2F">
        <w:t xml:space="preserve">DE BRUCKER L. en JOUVE J., </w:t>
      </w:r>
      <w:r>
        <w:t>‘</w:t>
      </w:r>
      <w:r w:rsidRPr="004D1F2F">
        <w:t>RvS ziet geen graten in grondwettigheid clicheringsmechaniek en positieve planologisch-esthetische toets voor inplanting windturbines in agrarisch gebied</w:t>
      </w:r>
      <w:r>
        <w:t>’</w:t>
      </w:r>
      <w:r w:rsidRPr="004D1F2F">
        <w:t xml:space="preserve">, </w:t>
      </w:r>
      <w:r w:rsidRPr="008416B4">
        <w:rPr>
          <w:i/>
          <w:iCs/>
        </w:rPr>
        <w:t>STORM</w:t>
      </w:r>
      <w:r w:rsidRPr="004D1F2F">
        <w:t xml:space="preserve"> 2021/3, bijdrage 12.</w:t>
      </w:r>
    </w:p>
    <w:p w14:paraId="6834C883" w14:textId="77777777" w:rsidR="00F90DFE" w:rsidRPr="00F21037" w:rsidRDefault="00F90DFE" w:rsidP="007F4C30">
      <w:pPr>
        <w:pStyle w:val="Body"/>
      </w:pPr>
      <w:r w:rsidRPr="00FA11C9">
        <w:t>DE BRUCKER</w:t>
      </w:r>
      <w:r>
        <w:t xml:space="preserve"> L.</w:t>
      </w:r>
      <w:r w:rsidRPr="00FA11C9">
        <w:t xml:space="preserve">, </w:t>
      </w:r>
      <w:r>
        <w:t>‘</w:t>
      </w:r>
      <w:r w:rsidRPr="00FA11C9">
        <w:t>De doorwerking van klimaatbescherming op vergunningsniveau. Bestaat er een (verplichte?) omgevingsrechtelijke klimaattoets?</w:t>
      </w:r>
      <w:r>
        <w:t>’</w:t>
      </w:r>
      <w:r w:rsidRPr="00FA11C9">
        <w:t xml:space="preserve">, </w:t>
      </w:r>
      <w:r w:rsidRPr="008416B4">
        <w:rPr>
          <w:i/>
          <w:iCs/>
        </w:rPr>
        <w:t>MER</w:t>
      </w:r>
      <w:r w:rsidRPr="00FA11C9">
        <w:t xml:space="preserve"> 2022, nr. 1, 16</w:t>
      </w:r>
      <w:r w:rsidRPr="00F21037">
        <w:t>.</w:t>
      </w:r>
    </w:p>
    <w:p w14:paraId="4BFD424D" w14:textId="77777777" w:rsidR="00F90DFE" w:rsidRPr="00F21037" w:rsidRDefault="00F90DFE" w:rsidP="007F4C30">
      <w:pPr>
        <w:pStyle w:val="Body"/>
      </w:pPr>
      <w:r>
        <w:t xml:space="preserve">DE BRUCKER L., ‘De klimaattoets getoetst. Naar een primaat van het klimaat in het omgevingsvergunningsbeleid?’, </w:t>
      </w:r>
      <w:r w:rsidRPr="008416B4">
        <w:rPr>
          <w:i/>
          <w:iCs/>
        </w:rPr>
        <w:t>STORM</w:t>
      </w:r>
      <w:r>
        <w:t xml:space="preserve"> 2021/4, bijdrage 12.</w:t>
      </w:r>
    </w:p>
    <w:p w14:paraId="4DE54F5A" w14:textId="77777777" w:rsidR="00F90DFE" w:rsidRDefault="00F90DFE" w:rsidP="007F4C30">
      <w:pPr>
        <w:pStyle w:val="Body"/>
      </w:pPr>
      <w:r w:rsidRPr="004D1F2F">
        <w:t xml:space="preserve">DE BRUCKER L., </w:t>
      </w:r>
      <w:r>
        <w:t>‘</w:t>
      </w:r>
      <w:r w:rsidRPr="004D1F2F">
        <w:t>Geen windmolens meer in de Westhoek? Vlaanderen plaatst erfgoed boven klimaatdoelstellingen</w:t>
      </w:r>
      <w:r>
        <w:t>’</w:t>
      </w:r>
      <w:r w:rsidRPr="004D1F2F">
        <w:t>, Knack 14 februari 2024, https://www.knack.be/nieuws/belgie/politiek/geen-windmolens-meer-in-de-westhoek-vlaanderen-plaatst-erfgoed-boven-klimaatdoelstellingen/ (geraadpleegd op 3 februari 2025).</w:t>
      </w:r>
    </w:p>
    <w:p w14:paraId="7121FF31" w14:textId="77777777" w:rsidR="00F90DFE" w:rsidRDefault="00F90DFE" w:rsidP="007F4C30">
      <w:pPr>
        <w:pStyle w:val="Body"/>
      </w:pPr>
      <w:r>
        <w:t xml:space="preserve">DE BRUCKER L., ‘Klimaatverandering het omgevingsrecht. Evolueert de klimaattoets stilaan tot een verplicht beoordelingsinstrument?’ in PALMANS R., GHYSELS J. en VERRIJDT W. (eds.), </w:t>
      </w:r>
      <w:r w:rsidRPr="008416B4">
        <w:rPr>
          <w:i/>
          <w:iCs/>
        </w:rPr>
        <w:t>Klimaatregelen en vergoedingsmodaliteiten</w:t>
      </w:r>
      <w:r>
        <w:t>, Boomjuridisch, 2023, 43.</w:t>
      </w:r>
    </w:p>
    <w:p w14:paraId="4047F04A" w14:textId="77777777" w:rsidR="00F90DFE" w:rsidRPr="00F21037" w:rsidRDefault="00F90DFE" w:rsidP="007F4C30">
      <w:pPr>
        <w:pStyle w:val="Body"/>
      </w:pPr>
      <w:r w:rsidRPr="00F21037">
        <w:t xml:space="preserve">DE BRUCKER L., </w:t>
      </w:r>
      <w:r w:rsidRPr="008416B4">
        <w:rPr>
          <w:i/>
          <w:iCs/>
        </w:rPr>
        <w:t>De vergunning van windturbines in het Vlaamse Gewest</w:t>
      </w:r>
      <w:r w:rsidRPr="00F21037">
        <w:t>, Larcier-Intersentia, 2021.</w:t>
      </w:r>
    </w:p>
    <w:p w14:paraId="22DA1988" w14:textId="77777777" w:rsidR="00F90DFE" w:rsidRPr="00F21037" w:rsidRDefault="00F90DFE" w:rsidP="007F4C30">
      <w:pPr>
        <w:pStyle w:val="Body"/>
      </w:pPr>
      <w:r w:rsidRPr="00F21037">
        <w:t xml:space="preserve">DE BRUCKER L., </w:t>
      </w:r>
      <w:r w:rsidRPr="008416B4">
        <w:rPr>
          <w:i/>
          <w:iCs/>
        </w:rPr>
        <w:t>De vergunning van windturbines in het Vlaamse Gewest</w:t>
      </w:r>
      <w:r w:rsidRPr="00F21037">
        <w:t>, Larcier-Intersentia, 2024.</w:t>
      </w:r>
    </w:p>
    <w:p w14:paraId="2412374C" w14:textId="77777777" w:rsidR="00F90DFE" w:rsidRDefault="00F90DFE" w:rsidP="007F4C30">
      <w:pPr>
        <w:pStyle w:val="Body"/>
      </w:pPr>
      <w:r w:rsidRPr="004D1F2F">
        <w:lastRenderedPageBreak/>
        <w:t xml:space="preserve">DE GRAAF H., </w:t>
      </w:r>
      <w:r>
        <w:t>‘</w:t>
      </w:r>
      <w:r w:rsidRPr="004D1F2F">
        <w:t>NIMBY beleid</w:t>
      </w:r>
      <w:r>
        <w:t>’</w:t>
      </w:r>
      <w:r w:rsidRPr="004D1F2F">
        <w:t xml:space="preserve"> in EDBERG J., </w:t>
      </w:r>
      <w:r w:rsidRPr="008416B4">
        <w:rPr>
          <w:i/>
          <w:iCs/>
        </w:rPr>
        <w:t>Leren met beleid: beleidsverandering en beleidsgericht leren bij NIMBY-, milieu- en technologiebeleid</w:t>
      </w:r>
      <w:r w:rsidRPr="004D1F2F">
        <w:t>, Het Spinhuis, 1996, 19</w:t>
      </w:r>
      <w:r>
        <w:t>.</w:t>
      </w:r>
    </w:p>
    <w:p w14:paraId="69E01D9F" w14:textId="77777777" w:rsidR="00F90DFE" w:rsidRDefault="00F90DFE" w:rsidP="007F4C30">
      <w:pPr>
        <w:pStyle w:val="Body"/>
      </w:pPr>
      <w:r w:rsidRPr="004D1F2F">
        <w:t xml:space="preserve">DE KEYZER M., SOENS T. en VERBRUGGEN C., </w:t>
      </w:r>
      <w:r w:rsidRPr="008416B4">
        <w:rPr>
          <w:i/>
          <w:iCs/>
        </w:rPr>
        <w:t>Mens en natuur: Een geschiedenis</w:t>
      </w:r>
      <w:r w:rsidRPr="004D1F2F">
        <w:t>, Academia Press, 2024</w:t>
      </w:r>
      <w:r>
        <w:t>.</w:t>
      </w:r>
    </w:p>
    <w:p w14:paraId="55DD53BF" w14:textId="77777777" w:rsidR="00F90DFE" w:rsidRPr="00F21037" w:rsidRDefault="00F90DFE" w:rsidP="007F4C30">
      <w:pPr>
        <w:pStyle w:val="Body"/>
      </w:pPr>
      <w:r w:rsidRPr="00FA11C9">
        <w:t>DE MEUE</w:t>
      </w:r>
      <w:r w:rsidRPr="00F21037">
        <w:t xml:space="preserve"> S.</w:t>
      </w:r>
      <w:r w:rsidRPr="00FA11C9">
        <w:t xml:space="preserve">, </w:t>
      </w:r>
      <w:r>
        <w:t>‘</w:t>
      </w:r>
      <w:r w:rsidRPr="00FA11C9">
        <w:t>Het Burgemeestersconvenant, artikel 4.3.4 VCRO en de onverwachte intrede van de (gemeentelijke) klimaatdoelstellingen in de vergunningverlening</w:t>
      </w:r>
      <w:r>
        <w:t>’</w:t>
      </w:r>
      <w:r w:rsidRPr="00FA11C9">
        <w:t xml:space="preserve">, </w:t>
      </w:r>
      <w:r w:rsidRPr="008416B4">
        <w:rPr>
          <w:i/>
          <w:iCs/>
        </w:rPr>
        <w:t>TROS</w:t>
      </w:r>
      <w:r w:rsidRPr="00FA11C9">
        <w:t xml:space="preserve"> 2022/105, 3</w:t>
      </w:r>
      <w:r w:rsidRPr="00F21037">
        <w:t>.</w:t>
      </w:r>
    </w:p>
    <w:p w14:paraId="26E2B150" w14:textId="77777777" w:rsidR="00F90DFE" w:rsidRPr="00F21037" w:rsidRDefault="00F90DFE" w:rsidP="007F4C30">
      <w:pPr>
        <w:pStyle w:val="Body"/>
      </w:pPr>
      <w:r w:rsidRPr="004D1F2F">
        <w:t xml:space="preserve">DE SMEDT P., </w:t>
      </w:r>
      <w:r>
        <w:t>‘</w:t>
      </w:r>
      <w:r w:rsidRPr="004D1F2F">
        <w:t>Decreetgever valideert onwettige milieunormen voor windturbines</w:t>
      </w:r>
      <w:r>
        <w:t>’</w:t>
      </w:r>
      <w:r w:rsidRPr="004D1F2F">
        <w:t xml:space="preserve">, </w:t>
      </w:r>
      <w:r w:rsidRPr="008416B4">
        <w:rPr>
          <w:i/>
          <w:iCs/>
        </w:rPr>
        <w:t>Juristenkrant</w:t>
      </w:r>
      <w:r w:rsidRPr="004D1F2F">
        <w:t xml:space="preserve"> 2020, afl. 413, 6.</w:t>
      </w:r>
    </w:p>
    <w:p w14:paraId="61B90541" w14:textId="77777777" w:rsidR="00F90DFE" w:rsidRPr="00F21037" w:rsidRDefault="00F90DFE" w:rsidP="007F4C30">
      <w:pPr>
        <w:pStyle w:val="Body"/>
      </w:pPr>
      <w:r w:rsidRPr="004D1F2F">
        <w:t xml:space="preserve">DE SMEDT P., </w:t>
      </w:r>
      <w:r>
        <w:t>‘</w:t>
      </w:r>
      <w:r w:rsidRPr="004D1F2F">
        <w:t>Natuur en onderneming: juridische gids voor uw dagelijkse praktijk</w:t>
      </w:r>
      <w:r>
        <w:t>’</w:t>
      </w:r>
      <w:r w:rsidRPr="004D1F2F">
        <w:t xml:space="preserve">, </w:t>
      </w:r>
      <w:r w:rsidRPr="008416B4">
        <w:rPr>
          <w:i/>
          <w:iCs/>
        </w:rPr>
        <w:t>OGP</w:t>
      </w:r>
      <w:r w:rsidRPr="004D1F2F">
        <w:t xml:space="preserve"> 2010, afl. 212, 60.</w:t>
      </w:r>
    </w:p>
    <w:p w14:paraId="120B7B7D" w14:textId="77777777" w:rsidR="00F90DFE" w:rsidRDefault="00F90DFE" w:rsidP="007F4C30">
      <w:pPr>
        <w:pStyle w:val="Body"/>
        <w:rPr>
          <w:lang w:val="en-US"/>
        </w:rPr>
      </w:pPr>
      <w:r w:rsidRPr="004E259B">
        <w:rPr>
          <w:lang w:val="en-US"/>
        </w:rPr>
        <w:t xml:space="preserve">DEPRET A., </w:t>
      </w:r>
      <w:r>
        <w:rPr>
          <w:lang w:val="en-US"/>
        </w:rPr>
        <w:t>‘</w:t>
      </w:r>
      <w:r w:rsidRPr="004E259B">
        <w:rPr>
          <w:lang w:val="en-US"/>
        </w:rPr>
        <w:t>L’autorité locale face au syndrome Nimby: Pour une concentration constructive et responsible au service de l’intérêt general</w:t>
      </w:r>
      <w:r>
        <w:rPr>
          <w:lang w:val="en-US"/>
        </w:rPr>
        <w:t>’</w:t>
      </w:r>
      <w:r w:rsidRPr="004E259B">
        <w:rPr>
          <w:lang w:val="en-US"/>
        </w:rPr>
        <w:t xml:space="preserve">, </w:t>
      </w:r>
      <w:r w:rsidRPr="008416B4">
        <w:rPr>
          <w:i/>
          <w:iCs/>
          <w:lang w:val="en-US"/>
        </w:rPr>
        <w:t>Mouv.comm.</w:t>
      </w:r>
      <w:r w:rsidRPr="004E259B">
        <w:rPr>
          <w:lang w:val="en-US"/>
        </w:rPr>
        <w:t xml:space="preserve"> 2010, afl. 2, 38</w:t>
      </w:r>
      <w:r>
        <w:rPr>
          <w:lang w:val="en-US"/>
        </w:rPr>
        <w:t>.</w:t>
      </w:r>
    </w:p>
    <w:p w14:paraId="5D8D1AF6" w14:textId="77777777" w:rsidR="00F90DFE" w:rsidRDefault="00F90DFE" w:rsidP="007F4C30">
      <w:pPr>
        <w:pStyle w:val="Body"/>
        <w:rPr>
          <w:lang w:val="en-US"/>
        </w:rPr>
      </w:pPr>
      <w:r w:rsidRPr="00290196">
        <w:rPr>
          <w:lang w:val="en-US"/>
        </w:rPr>
        <w:t xml:space="preserve">DIAMOND J., </w:t>
      </w:r>
      <w:r w:rsidRPr="008416B4">
        <w:rPr>
          <w:i/>
          <w:iCs/>
          <w:lang w:val="en-US"/>
        </w:rPr>
        <w:t>Collapse</w:t>
      </w:r>
      <w:r w:rsidRPr="00290196">
        <w:rPr>
          <w:lang w:val="en-US"/>
        </w:rPr>
        <w:t>, North Point Press, 2013</w:t>
      </w:r>
      <w:r>
        <w:rPr>
          <w:lang w:val="en-US"/>
        </w:rPr>
        <w:t>.</w:t>
      </w:r>
    </w:p>
    <w:p w14:paraId="0950442F" w14:textId="77777777" w:rsidR="00F90DFE" w:rsidRDefault="00F90DFE" w:rsidP="007F4C30">
      <w:pPr>
        <w:pStyle w:val="Body"/>
      </w:pPr>
      <w:r>
        <w:t>DRAYE A. M., VANHEUSDEN B. en NULENS T., ‘Het juridisch statuut van de watermolen’, studieopdracht uitgevoerd voor ANIMAL, Afdeling Europa en Milieu, september 2005, 326.</w:t>
      </w:r>
    </w:p>
    <w:p w14:paraId="6754795E" w14:textId="77777777" w:rsidR="00F90DFE" w:rsidRPr="0059135F" w:rsidRDefault="00F90DFE" w:rsidP="007F4C30">
      <w:pPr>
        <w:pStyle w:val="Body"/>
        <w:rPr>
          <w:rFonts w:ascii="Calibri" w:hAnsi="Calibri" w:cs="Calibri"/>
          <w:lang w:val="en-US"/>
        </w:rPr>
      </w:pPr>
      <w:r>
        <w:rPr>
          <w:rFonts w:ascii="Calibri" w:hAnsi="Calibri" w:cs="Calibri"/>
        </w:rPr>
        <w:t xml:space="preserve">DUITSLAND INSTITUUT, </w:t>
      </w:r>
      <w:r w:rsidRPr="00EB52C8">
        <w:rPr>
          <w:rFonts w:ascii="Calibri" w:hAnsi="Calibri" w:cs="Calibri"/>
        </w:rPr>
        <w:t>‘Politiek en Staatsinrichting: Federalisme in Duitsland’,</w:t>
      </w:r>
      <w:r>
        <w:rPr>
          <w:rFonts w:ascii="Calibri" w:hAnsi="Calibri" w:cs="Calibri"/>
        </w:rPr>
        <w:t xml:space="preserve"> </w:t>
      </w:r>
      <w:r w:rsidRPr="00EB52C8">
        <w:rPr>
          <w:rFonts w:ascii="Calibri" w:hAnsi="Calibri" w:cs="Calibri"/>
        </w:rPr>
        <w:t xml:space="preserve">https://duitslandinstituut.nl/naslagwerk/182/federalisme-in-duitsland#:~:text=De%20Länder%20hebben%20een%20eigen,is%2C%20dan%20worden%20staatsverdragen%20afgesloten. </w:t>
      </w:r>
      <w:r w:rsidRPr="0059135F">
        <w:rPr>
          <w:rFonts w:ascii="Calibri" w:hAnsi="Calibri" w:cs="Calibri"/>
          <w:lang w:val="en-US"/>
        </w:rPr>
        <w:t>(geraadpleegd op 16 februari 2025).</w:t>
      </w:r>
    </w:p>
    <w:p w14:paraId="2EC0F121" w14:textId="77777777" w:rsidR="00F90DFE" w:rsidRDefault="00F90DFE" w:rsidP="007F4C30">
      <w:pPr>
        <w:pStyle w:val="Body"/>
        <w:rPr>
          <w:lang w:val="en-US"/>
        </w:rPr>
      </w:pPr>
      <w:r w:rsidRPr="004E259B">
        <w:rPr>
          <w:lang w:val="en-US"/>
        </w:rPr>
        <w:t xml:space="preserve">EGELUND OLSEN B., </w:t>
      </w:r>
      <w:r>
        <w:rPr>
          <w:lang w:val="en-US"/>
        </w:rPr>
        <w:t>‘</w:t>
      </w:r>
      <w:r w:rsidRPr="004E259B">
        <w:rPr>
          <w:lang w:val="en-US"/>
        </w:rPr>
        <w:t>Wind Energy and Local Acceptance: How to Get Beyond the Nimby Effect</w:t>
      </w:r>
      <w:r>
        <w:rPr>
          <w:lang w:val="en-US"/>
        </w:rPr>
        <w:t>’</w:t>
      </w:r>
      <w:r w:rsidRPr="004E259B">
        <w:rPr>
          <w:lang w:val="en-US"/>
        </w:rPr>
        <w:t xml:space="preserve">, </w:t>
      </w:r>
      <w:r w:rsidRPr="008416B4">
        <w:rPr>
          <w:i/>
          <w:iCs/>
          <w:lang w:val="en-US"/>
        </w:rPr>
        <w:t>EEELR</w:t>
      </w:r>
      <w:r w:rsidRPr="004E259B">
        <w:rPr>
          <w:lang w:val="en-US"/>
        </w:rPr>
        <w:t xml:space="preserve"> 2010, afl. 5, 239</w:t>
      </w:r>
      <w:r>
        <w:rPr>
          <w:lang w:val="en-US"/>
        </w:rPr>
        <w:t>.</w:t>
      </w:r>
    </w:p>
    <w:p w14:paraId="3AEF3AA2" w14:textId="77777777" w:rsidR="00F90DFE" w:rsidRPr="00F21037" w:rsidRDefault="00F90DFE" w:rsidP="007F4C30">
      <w:pPr>
        <w:pStyle w:val="Body"/>
      </w:pPr>
      <w:r w:rsidRPr="004E259B">
        <w:rPr>
          <w:lang w:val="en-US"/>
        </w:rPr>
        <w:t xml:space="preserve">FEBRE R. T., </w:t>
      </w:r>
      <w:r>
        <w:rPr>
          <w:lang w:val="en-US"/>
        </w:rPr>
        <w:t>‘</w:t>
      </w:r>
      <w:r w:rsidRPr="004E259B">
        <w:rPr>
          <w:lang w:val="en-US"/>
        </w:rPr>
        <w:t>The juridification of environmental justice</w:t>
      </w:r>
      <w:r>
        <w:rPr>
          <w:lang w:val="en-US"/>
        </w:rPr>
        <w:t>’</w:t>
      </w:r>
      <w:r w:rsidRPr="004E259B">
        <w:rPr>
          <w:lang w:val="en-US"/>
        </w:rPr>
        <w:t xml:space="preserve">, </w:t>
      </w:r>
      <w:r w:rsidRPr="008416B4">
        <w:rPr>
          <w:i/>
          <w:iCs/>
          <w:lang w:val="en-US"/>
        </w:rPr>
        <w:t xml:space="preserve">Rev. Jur. </w:t>
      </w:r>
      <w:r w:rsidRPr="008416B4">
        <w:rPr>
          <w:i/>
          <w:iCs/>
        </w:rPr>
        <w:t>UPR</w:t>
      </w:r>
      <w:r w:rsidRPr="004D1F2F">
        <w:t>, Afl. 93, 383</w:t>
      </w:r>
      <w:r w:rsidRPr="00F21037">
        <w:t>.</w:t>
      </w:r>
    </w:p>
    <w:p w14:paraId="06A922CF" w14:textId="77777777" w:rsidR="00F90DFE" w:rsidRPr="00F21037" w:rsidRDefault="00F90DFE" w:rsidP="007F4C30">
      <w:pPr>
        <w:pStyle w:val="Body"/>
      </w:pPr>
      <w:r w:rsidRPr="00F21037">
        <w:lastRenderedPageBreak/>
        <w:t>FEDERALE OVERHEIDSDIENST ECONOMIE</w:t>
      </w:r>
      <w:r w:rsidRPr="004D1F2F">
        <w:t xml:space="preserve">, </w:t>
      </w:r>
      <w:r>
        <w:t>‘</w:t>
      </w:r>
      <w:r w:rsidRPr="004D1F2F">
        <w:t>Veelgestelde vragen over aardgasbevoorrading</w:t>
      </w:r>
      <w:r>
        <w:t>’</w:t>
      </w:r>
      <w:r w:rsidRPr="004D1F2F">
        <w:t>, 14 oktober 2022, https://economie.fgov.be/nl/themas/energie/bevoorradingszekerheid/aardgas/veelgestelde-vragen-over</w:t>
      </w:r>
      <w:r>
        <w:t>.</w:t>
      </w:r>
    </w:p>
    <w:p w14:paraId="21A91D64" w14:textId="77777777" w:rsidR="00F90DFE" w:rsidRDefault="00F90DFE" w:rsidP="007F4C30">
      <w:pPr>
        <w:pStyle w:val="Body"/>
      </w:pPr>
      <w:r>
        <w:t xml:space="preserve">FLAMEY P. en DECLERCQ G., ‘GwH geeft wenk voor doorwerking uitfasering van fossiele verwarming in de omgevingsvergunning’, </w:t>
      </w:r>
      <w:r w:rsidRPr="008416B4">
        <w:rPr>
          <w:i/>
          <w:iCs/>
        </w:rPr>
        <w:t>STORM</w:t>
      </w:r>
      <w:r>
        <w:t xml:space="preserve"> 2022/4, bijdrage 2.</w:t>
      </w:r>
    </w:p>
    <w:p w14:paraId="6FD95606" w14:textId="77777777" w:rsidR="00F90DFE" w:rsidRPr="00F21037" w:rsidRDefault="00F90DFE" w:rsidP="007F4C30">
      <w:pPr>
        <w:pStyle w:val="Body"/>
      </w:pPr>
      <w:r w:rsidRPr="00FA11C9">
        <w:t>FLAMEY</w:t>
      </w:r>
      <w:r>
        <w:t xml:space="preserve"> P.</w:t>
      </w:r>
      <w:r w:rsidRPr="00FA11C9">
        <w:t>, DECLERCQ</w:t>
      </w:r>
      <w:r>
        <w:t xml:space="preserve"> G.</w:t>
      </w:r>
      <w:r w:rsidRPr="00FA11C9">
        <w:t xml:space="preserve">, </w:t>
      </w:r>
      <w:r>
        <w:t>‘</w:t>
      </w:r>
      <w:r w:rsidRPr="00FA11C9">
        <w:t>De ‘klimaattoets’, the sequel. Haast en spoed zijn zelden goed</w:t>
      </w:r>
      <w:r>
        <w:t>’</w:t>
      </w:r>
      <w:r w:rsidRPr="00FA11C9">
        <w:t xml:space="preserve">, </w:t>
      </w:r>
      <w:r w:rsidRPr="008416B4">
        <w:rPr>
          <w:i/>
          <w:iCs/>
        </w:rPr>
        <w:t>STORM</w:t>
      </w:r>
      <w:r w:rsidRPr="00FA11C9">
        <w:t xml:space="preserve"> 2023/3, 17.</w:t>
      </w:r>
    </w:p>
    <w:p w14:paraId="7FC61611" w14:textId="77777777" w:rsidR="00F90DFE" w:rsidRPr="00F21037" w:rsidRDefault="00F90DFE" w:rsidP="007F4C30">
      <w:pPr>
        <w:pStyle w:val="Body"/>
      </w:pPr>
      <w:r w:rsidRPr="00F21037">
        <w:t xml:space="preserve">GEENS. J., STERCKX T. en VERHULST O., </w:t>
      </w:r>
      <w:r w:rsidRPr="008416B4">
        <w:rPr>
          <w:i/>
          <w:iCs/>
        </w:rPr>
        <w:t>De omgevingsvergunning: praktijkgids 2018</w:t>
      </w:r>
      <w:r w:rsidRPr="00F21037">
        <w:t>, Die Keure, 2018</w:t>
      </w:r>
      <w:r>
        <w:t>.</w:t>
      </w:r>
    </w:p>
    <w:p w14:paraId="6D498DF9" w14:textId="77777777" w:rsidR="00F90DFE" w:rsidRPr="00F21037" w:rsidRDefault="00F90DFE" w:rsidP="007F4C30">
      <w:pPr>
        <w:pStyle w:val="Body"/>
      </w:pPr>
      <w:r w:rsidRPr="004D1F2F">
        <w:t xml:space="preserve">GOVAERTS G., </w:t>
      </w:r>
      <w:r>
        <w:t>‘</w:t>
      </w:r>
      <w:r w:rsidRPr="004D1F2F">
        <w:t>Omgevingsvergunning: welke bouw- en milieuprojecten worden behandeld door de provincie of het gewest?</w:t>
      </w:r>
      <w:r>
        <w:t>’</w:t>
      </w:r>
      <w:r w:rsidRPr="004D1F2F">
        <w:t xml:space="preserve">, </w:t>
      </w:r>
      <w:r w:rsidRPr="00F21037">
        <w:t>www.jura.be.</w:t>
      </w:r>
    </w:p>
    <w:p w14:paraId="39D876C7" w14:textId="77777777" w:rsidR="00F90DFE" w:rsidRPr="00F21037" w:rsidRDefault="00F90DFE" w:rsidP="007F4C30">
      <w:pPr>
        <w:pStyle w:val="Body"/>
      </w:pPr>
      <w:r w:rsidRPr="004D1F2F">
        <w:t xml:space="preserve">Handleiding Windturbines, </w:t>
      </w:r>
      <w:r w:rsidRPr="00F21037">
        <w:t>VLAAMSE OVERHEID</w:t>
      </w:r>
      <w:r w:rsidRPr="004D1F2F">
        <w:t>, Dienst MER, 8.</w:t>
      </w:r>
    </w:p>
    <w:p w14:paraId="40518ABB" w14:textId="77777777" w:rsidR="00F90DFE" w:rsidRDefault="00F90DFE" w:rsidP="007F4C30">
      <w:pPr>
        <w:pStyle w:val="Body"/>
      </w:pPr>
      <w:r w:rsidRPr="004D1F2F">
        <w:t xml:space="preserve">HOOFD J., </w:t>
      </w:r>
      <w:r>
        <w:t>‘</w:t>
      </w:r>
      <w:r w:rsidRPr="004D1F2F">
        <w:t>De laatste lijdensweg van de Codextrein. Het nieuwe LWAG eindigt niet in schoonheid, maar lazarus mag wel blijven</w:t>
      </w:r>
      <w:r>
        <w:t>’</w:t>
      </w:r>
      <w:r w:rsidRPr="004D1F2F">
        <w:t xml:space="preserve">, </w:t>
      </w:r>
      <w:r w:rsidRPr="008416B4">
        <w:rPr>
          <w:i/>
          <w:iCs/>
        </w:rPr>
        <w:t>TROS</w:t>
      </w:r>
      <w:r w:rsidRPr="004D1F2F">
        <w:t xml:space="preserve"> 2019, afl. 95, 209.</w:t>
      </w:r>
    </w:p>
    <w:p w14:paraId="13440AFE" w14:textId="77777777" w:rsidR="00F90DFE" w:rsidRPr="00F21037" w:rsidRDefault="00F90DFE" w:rsidP="007F4C30">
      <w:pPr>
        <w:pStyle w:val="Body"/>
      </w:pPr>
      <w:r w:rsidRPr="004D1F2F">
        <w:t xml:space="preserve">HOOFD J., </w:t>
      </w:r>
      <w:r>
        <w:t>‘</w:t>
      </w:r>
      <w:r w:rsidRPr="004D1F2F">
        <w:t>Hernieuwbare enrgie in Vlaanderen en voorontwerp van decreet “betreffende de bestemmingsneutraliteit voor hernieuwbare energie”: Vlaanderen vogelvrij?</w:t>
      </w:r>
      <w:r>
        <w:t>’</w:t>
      </w:r>
      <w:r w:rsidRPr="004D1F2F">
        <w:t xml:space="preserve">, </w:t>
      </w:r>
      <w:r w:rsidRPr="008416B4">
        <w:rPr>
          <w:i/>
          <w:iCs/>
        </w:rPr>
        <w:t>TMR</w:t>
      </w:r>
      <w:r w:rsidRPr="004D1F2F">
        <w:t xml:space="preserve"> 2019, afl. 5, 597.</w:t>
      </w:r>
    </w:p>
    <w:p w14:paraId="34666AB2" w14:textId="77777777" w:rsidR="00F90DFE" w:rsidRPr="00F21037" w:rsidRDefault="00F90DFE" w:rsidP="007F4C30">
      <w:pPr>
        <w:pStyle w:val="Body"/>
      </w:pPr>
      <w:r w:rsidRPr="004D1F2F">
        <w:t xml:space="preserve">JANSMAN H. A. H., MOONEN S. en LAMMERTSMA D. R., </w:t>
      </w:r>
      <w:r w:rsidRPr="008416B4">
        <w:rPr>
          <w:i/>
          <w:iCs/>
        </w:rPr>
        <w:t>Additioneel vossenbeheer in Natura 2000-gebieden in de provincie Zeeland</w:t>
      </w:r>
      <w:r w:rsidRPr="004D1F2F">
        <w:t>, Wageningen University &amp; Research, 2020, 2</w:t>
      </w:r>
      <w:r w:rsidRPr="00F21037">
        <w:t>.</w:t>
      </w:r>
    </w:p>
    <w:p w14:paraId="5817FFE3" w14:textId="77777777" w:rsidR="00F90DFE" w:rsidRPr="00F21037" w:rsidRDefault="00F90DFE" w:rsidP="007F4C30">
      <w:pPr>
        <w:pStyle w:val="Body"/>
      </w:pPr>
      <w:r w:rsidRPr="00F21037">
        <w:t xml:space="preserve">JANSSENS L., </w:t>
      </w:r>
      <w:r>
        <w:t>‘</w:t>
      </w:r>
      <w:r w:rsidRPr="00F21037">
        <w:t>Omgevingsrecht en nutsvoorzieningen</w:t>
      </w:r>
      <w:r>
        <w:t>’</w:t>
      </w:r>
      <w:r w:rsidRPr="00F21037">
        <w:t xml:space="preserve"> in DEKETELAERE K. en DELVAUX B., </w:t>
      </w:r>
      <w:r w:rsidRPr="008416B4">
        <w:rPr>
          <w:i/>
          <w:iCs/>
        </w:rPr>
        <w:t>Jaarboek Energierecht 2018</w:t>
      </w:r>
      <w:r w:rsidRPr="00F21037">
        <w:t>, Antwerpen, Intersentia, 2019, 288.</w:t>
      </w:r>
    </w:p>
    <w:p w14:paraId="2BC07D69" w14:textId="77777777" w:rsidR="00F90DFE" w:rsidRPr="00F21037" w:rsidRDefault="00F90DFE" w:rsidP="007F4C30">
      <w:pPr>
        <w:pStyle w:val="Body"/>
      </w:pPr>
      <w:r w:rsidRPr="004D1F2F">
        <w:lastRenderedPageBreak/>
        <w:t xml:space="preserve">JOPPEN L., </w:t>
      </w:r>
      <w:r>
        <w:t>‘</w:t>
      </w:r>
      <w:r w:rsidRPr="004D1F2F">
        <w:t>De vergunningsprocedure</w:t>
      </w:r>
      <w:r>
        <w:t>’</w:t>
      </w:r>
      <w:r w:rsidRPr="004D1F2F">
        <w:t xml:space="preserve"> in VAN HOORICK G. en VANSANT P., </w:t>
      </w:r>
      <w:r w:rsidRPr="008416B4">
        <w:rPr>
          <w:i/>
          <w:iCs/>
        </w:rPr>
        <w:t>Zakboekje Ruimtelijke Ordening 2019</w:t>
      </w:r>
      <w:r w:rsidRPr="004D1F2F">
        <w:t>, Kluwer, 2018, 491.</w:t>
      </w:r>
    </w:p>
    <w:p w14:paraId="1297E5BC" w14:textId="77777777" w:rsidR="00F90DFE" w:rsidRPr="003B01B7" w:rsidRDefault="00F90DFE" w:rsidP="007F4C30">
      <w:pPr>
        <w:pStyle w:val="Body"/>
        <w:rPr>
          <w:lang w:val="en-US"/>
        </w:rPr>
      </w:pPr>
      <w:r w:rsidRPr="003B01B7">
        <w:rPr>
          <w:lang w:val="en-US"/>
        </w:rPr>
        <w:t xml:space="preserve">KAFFINE D. T. en WORLEY C. M., </w:t>
      </w:r>
      <w:r>
        <w:rPr>
          <w:lang w:val="en-US"/>
        </w:rPr>
        <w:t>‘</w:t>
      </w:r>
      <w:r w:rsidRPr="003B01B7">
        <w:rPr>
          <w:lang w:val="en-US"/>
        </w:rPr>
        <w:t>The Windy Commons</w:t>
      </w:r>
      <w:r>
        <w:rPr>
          <w:lang w:val="en-US"/>
        </w:rPr>
        <w:t>’</w:t>
      </w:r>
      <w:r w:rsidRPr="003B01B7">
        <w:rPr>
          <w:lang w:val="en-US"/>
        </w:rPr>
        <w:t xml:space="preserve">, </w:t>
      </w:r>
      <w:r w:rsidRPr="008416B4">
        <w:rPr>
          <w:i/>
          <w:iCs/>
          <w:lang w:val="en-US"/>
        </w:rPr>
        <w:t>Environmental and Resource Economics</w:t>
      </w:r>
      <w:r w:rsidRPr="003B01B7">
        <w:rPr>
          <w:lang w:val="en-US"/>
        </w:rPr>
        <w:t xml:space="preserve"> 2010, afl. 2, 152.</w:t>
      </w:r>
    </w:p>
    <w:p w14:paraId="685526CD" w14:textId="77777777" w:rsidR="00F90DFE" w:rsidRDefault="00F90DFE" w:rsidP="007F4C30">
      <w:pPr>
        <w:pStyle w:val="Body"/>
      </w:pPr>
      <w:r>
        <w:t xml:space="preserve">Kennisgevingsnota betreffende plan-MER bestemmingsneutraliteit hernieuwbare energie, DEPARTEMENT OMGEVING, </w:t>
      </w:r>
      <w:r w:rsidRPr="00ED56C2">
        <w:t>https://omgeving.vlaanderen.be/sites/default/files/2025-02/merkennis7157-gecomprimeerd.pdf</w:t>
      </w:r>
      <w:r>
        <w:t xml:space="preserve"> (geraadpleegd op 5 maart 2025).</w:t>
      </w:r>
    </w:p>
    <w:p w14:paraId="25BE6795" w14:textId="77777777" w:rsidR="00F90DFE" w:rsidRPr="00F21037" w:rsidRDefault="00F90DFE" w:rsidP="007F4C30">
      <w:pPr>
        <w:pStyle w:val="Body"/>
      </w:pPr>
      <w:r w:rsidRPr="004D1F2F">
        <w:t xml:space="preserve">MCLELLAND V., </w:t>
      </w:r>
      <w:r>
        <w:t>‘</w:t>
      </w:r>
      <w:r w:rsidRPr="004D1F2F">
        <w:t>Over de beoordeling van de milieu-technische eenheid door de vergunningverlener</w:t>
      </w:r>
      <w:r>
        <w:t>’</w:t>
      </w:r>
      <w:r w:rsidRPr="004D1F2F">
        <w:t xml:space="preserve">, </w:t>
      </w:r>
      <w:r w:rsidRPr="008416B4">
        <w:rPr>
          <w:i/>
          <w:iCs/>
        </w:rPr>
        <w:t>TOO</w:t>
      </w:r>
      <w:r w:rsidRPr="004D1F2F">
        <w:t xml:space="preserve"> 2019, afl. 3, 292.</w:t>
      </w:r>
    </w:p>
    <w:p w14:paraId="14988231" w14:textId="77777777" w:rsidR="00F90DFE" w:rsidRPr="00F21037" w:rsidRDefault="00F90DFE" w:rsidP="007F4C30">
      <w:pPr>
        <w:pStyle w:val="Body"/>
        <w:rPr>
          <w:rFonts w:ascii="Calibri" w:hAnsi="Calibri" w:cs="Calibri"/>
        </w:rPr>
      </w:pPr>
      <w:r>
        <w:rPr>
          <w:rFonts w:ascii="Calibri" w:hAnsi="Calibri" w:cs="Calibri"/>
        </w:rPr>
        <w:t xml:space="preserve">NEDZERO, </w:t>
      </w:r>
      <w:r w:rsidRPr="00EB52C8">
        <w:rPr>
          <w:rFonts w:ascii="Calibri" w:hAnsi="Calibri" w:cs="Calibri"/>
        </w:rPr>
        <w:t>‘</w:t>
      </w:r>
      <w:r w:rsidRPr="00B138D8">
        <w:rPr>
          <w:rFonts w:ascii="Calibri" w:hAnsi="Calibri" w:cs="Calibri"/>
        </w:rPr>
        <w:t>Nationale uitvoering van Europese RED III: hoe doet Duitsland dat?’, https://nedzero.nl/nl/nieuws/nationale-uitvoering-red-iii-hoe-doet-duitsland-dat?#0 (geraadpleegd op 16 februari 2025).</w:t>
      </w:r>
    </w:p>
    <w:p w14:paraId="39C75B15" w14:textId="77777777" w:rsidR="00F90DFE" w:rsidRDefault="00F90DFE" w:rsidP="007F4C30">
      <w:pPr>
        <w:pStyle w:val="Body"/>
      </w:pPr>
      <w:r w:rsidRPr="004D1F2F">
        <w:t xml:space="preserve">NOELS G., </w:t>
      </w:r>
      <w:r w:rsidRPr="008416B4">
        <w:rPr>
          <w:i/>
          <w:iCs/>
        </w:rPr>
        <w:t>Econoshock: Hoe zes economische schokken uw leven fundamenteel zullen veranderen</w:t>
      </w:r>
      <w:r w:rsidRPr="004D1F2F">
        <w:t>, Houtekiet, 2008</w:t>
      </w:r>
      <w:r>
        <w:t>.</w:t>
      </w:r>
    </w:p>
    <w:p w14:paraId="2FFE00D5" w14:textId="77777777" w:rsidR="00F90DFE" w:rsidRDefault="00F90DFE" w:rsidP="007F4C30">
      <w:pPr>
        <w:pStyle w:val="Body"/>
      </w:pPr>
      <w:r w:rsidRPr="004D1F2F">
        <w:t xml:space="preserve">RAMPELBERG J., </w:t>
      </w:r>
      <w:r>
        <w:t>‘</w:t>
      </w:r>
      <w:r w:rsidRPr="004D1F2F">
        <w:t>Klimaatzaak</w:t>
      </w:r>
      <w:r>
        <w:t>’</w:t>
      </w:r>
      <w:r w:rsidRPr="004D1F2F">
        <w:t xml:space="preserve">, </w:t>
      </w:r>
      <w:r w:rsidRPr="008416B4">
        <w:rPr>
          <w:i/>
          <w:iCs/>
        </w:rPr>
        <w:t>Juristenkrant</w:t>
      </w:r>
      <w:r w:rsidRPr="004D1F2F">
        <w:t xml:space="preserve"> 2016, afl. 337, 16.</w:t>
      </w:r>
    </w:p>
    <w:p w14:paraId="3E72BACE" w14:textId="77777777" w:rsidR="00F90DFE" w:rsidRDefault="00F90DFE" w:rsidP="007F4C30">
      <w:pPr>
        <w:pStyle w:val="Body"/>
      </w:pPr>
      <w:r w:rsidRPr="00B91C3F">
        <w:t xml:space="preserve">REYNEBEAU M., </w:t>
      </w:r>
      <w:r>
        <w:t>‘</w:t>
      </w:r>
      <w:r w:rsidRPr="00B91C3F">
        <w:t>De inplanting van onshore windturbines in het Vlaams</w:t>
      </w:r>
      <w:r>
        <w:t xml:space="preserve">e Gewest vanuit privaatrechtelijk perspectief’, </w:t>
      </w:r>
      <w:r w:rsidRPr="008416B4">
        <w:rPr>
          <w:i/>
          <w:iCs/>
        </w:rPr>
        <w:t>TPR</w:t>
      </w:r>
      <w:r>
        <w:t xml:space="preserve"> 2018, afl. 4, 1533.</w:t>
      </w:r>
    </w:p>
    <w:p w14:paraId="527538FE" w14:textId="77777777" w:rsidR="00F90DFE" w:rsidRPr="00F21037" w:rsidRDefault="00F90DFE" w:rsidP="007F4C30">
      <w:pPr>
        <w:pStyle w:val="Body"/>
      </w:pPr>
      <w:r w:rsidRPr="004D1F2F">
        <w:t xml:space="preserve">SCHLACKE S., </w:t>
      </w:r>
      <w:r w:rsidRPr="008416B4">
        <w:rPr>
          <w:i/>
          <w:iCs/>
        </w:rPr>
        <w:t>Umweltrecht</w:t>
      </w:r>
      <w:r w:rsidRPr="004D1F2F">
        <w:t>, Nomos Verlagsgesellschaft, 2021.</w:t>
      </w:r>
    </w:p>
    <w:p w14:paraId="76183F0A" w14:textId="77777777" w:rsidR="00F90DFE" w:rsidRPr="00F21037" w:rsidRDefault="00F90DFE" w:rsidP="007F4C30">
      <w:pPr>
        <w:pStyle w:val="Body"/>
      </w:pPr>
      <w:r w:rsidRPr="007F317E">
        <w:t xml:space="preserve">SCHOUKENS H., </w:t>
      </w:r>
      <w:r>
        <w:t>‘</w:t>
      </w:r>
      <w:r w:rsidRPr="007F317E">
        <w:t>Géén klimaatdood door duizend sneden: RvVb hin</w:t>
      </w:r>
      <w:r>
        <w:t xml:space="preserve">t richting klimaattoets bij plannen en projecten’, </w:t>
      </w:r>
      <w:r w:rsidRPr="008416B4">
        <w:rPr>
          <w:i/>
          <w:iCs/>
        </w:rPr>
        <w:t>STORM</w:t>
      </w:r>
      <w:r>
        <w:t xml:space="preserve"> 2021/2, bijdrage 19</w:t>
      </w:r>
      <w:r w:rsidRPr="00F21037">
        <w:t>.</w:t>
      </w:r>
    </w:p>
    <w:p w14:paraId="1B374983" w14:textId="77777777" w:rsidR="00F90DFE" w:rsidRDefault="00F90DFE" w:rsidP="007F4C30">
      <w:pPr>
        <w:pStyle w:val="Body"/>
      </w:pPr>
      <w:r>
        <w:lastRenderedPageBreak/>
        <w:t xml:space="preserve">SCHOUKENS H., ‘Ijsberen versus olie-industrie op het einde van het Trump-tijdperk: natuurbeschermingsrecht als verassende stok achter de deur in klimaatzaken, ook in Europa’, </w:t>
      </w:r>
      <w:r w:rsidRPr="008416B4">
        <w:rPr>
          <w:i/>
          <w:iCs/>
        </w:rPr>
        <w:t>STORM</w:t>
      </w:r>
      <w:r>
        <w:t xml:space="preserve"> 2020/4, bijdrage 25.</w:t>
      </w:r>
    </w:p>
    <w:p w14:paraId="330BE934" w14:textId="77777777" w:rsidR="00F90DFE" w:rsidRDefault="00F90DFE" w:rsidP="007F4C30">
      <w:pPr>
        <w:pStyle w:val="Body"/>
      </w:pPr>
      <w:r w:rsidRPr="004D1F2F">
        <w:t xml:space="preserve">SCHOUKENS H., </w:t>
      </w:r>
      <w:r>
        <w:t>‘</w:t>
      </w:r>
      <w:r w:rsidRPr="004D1F2F">
        <w:t>Noorse klimaatzaak voorbode voor striktere klimaattoets?</w:t>
      </w:r>
      <w:r>
        <w:t>’</w:t>
      </w:r>
      <w:r w:rsidRPr="004D1F2F">
        <w:t xml:space="preserve">, </w:t>
      </w:r>
      <w:r w:rsidRPr="008416B4">
        <w:rPr>
          <w:i/>
          <w:iCs/>
        </w:rPr>
        <w:t>Juristenkrant</w:t>
      </w:r>
      <w:r w:rsidRPr="004D1F2F">
        <w:t xml:space="preserve"> 2016, afl. 337, 16.</w:t>
      </w:r>
    </w:p>
    <w:p w14:paraId="6AFE35B9" w14:textId="77777777" w:rsidR="00F90DFE" w:rsidRPr="00F21037" w:rsidRDefault="00F90DFE" w:rsidP="007F4C30">
      <w:pPr>
        <w:pStyle w:val="Body"/>
      </w:pPr>
      <w:r w:rsidRPr="00211927">
        <w:t xml:space="preserve">SCHOUKENS H., </w:t>
      </w:r>
      <w:r>
        <w:t>‘</w:t>
      </w:r>
      <w:r w:rsidRPr="00211927">
        <w:t>Practice what you preach: de langzame dans richting een bindende klimaattoets</w:t>
      </w:r>
      <w:r>
        <w:t xml:space="preserve">’ in SCHOUKENS H. en BILLIET C. (eds.), </w:t>
      </w:r>
      <w:r w:rsidRPr="008416B4">
        <w:rPr>
          <w:i/>
          <w:iCs/>
        </w:rPr>
        <w:t>Klimaatrechtspraak. Waarom rechters het klimaat (niet) zullen redden</w:t>
      </w:r>
      <w:r>
        <w:t>, Die Keure, 2021, 192</w:t>
      </w:r>
      <w:r w:rsidRPr="00F21037">
        <w:t>.</w:t>
      </w:r>
    </w:p>
    <w:p w14:paraId="355FDF23" w14:textId="77777777" w:rsidR="00F90DFE" w:rsidRPr="00D14E40" w:rsidRDefault="00F90DFE" w:rsidP="007F4C30">
      <w:pPr>
        <w:pStyle w:val="Body"/>
        <w:rPr>
          <w:rFonts w:ascii="Calibri" w:hAnsi="Calibri" w:cs="Calibri"/>
        </w:rPr>
      </w:pPr>
      <w:r w:rsidRPr="00D14E40">
        <w:rPr>
          <w:rFonts w:ascii="Calibri" w:hAnsi="Calibri" w:cs="Calibri"/>
        </w:rPr>
        <w:t xml:space="preserve">SCHULZ T. en LOSCH R., ‘The proposal for a recast Renewable Energy Directive’, </w:t>
      </w:r>
      <w:r w:rsidRPr="00D14E40">
        <w:rPr>
          <w:rFonts w:ascii="Calibri" w:hAnsi="Calibri" w:cs="Calibri"/>
          <w:i/>
          <w:iCs/>
        </w:rPr>
        <w:t>TRNI</w:t>
      </w:r>
      <w:r w:rsidRPr="00D14E40">
        <w:rPr>
          <w:rFonts w:ascii="Calibri" w:hAnsi="Calibri" w:cs="Calibri"/>
        </w:rPr>
        <w:t xml:space="preserve"> 2017, afl. 1, 19.</w:t>
      </w:r>
    </w:p>
    <w:p w14:paraId="3A000EF7" w14:textId="77777777" w:rsidR="00F90DFE" w:rsidRDefault="00F90DFE" w:rsidP="007F4C30">
      <w:pPr>
        <w:pStyle w:val="Body"/>
      </w:pPr>
      <w:r w:rsidRPr="004D1F2F">
        <w:t xml:space="preserve">STRUBBE M., </w:t>
      </w:r>
      <w:r>
        <w:t>‘</w:t>
      </w:r>
      <w:r w:rsidRPr="004D1F2F">
        <w:t>Cumulatieve effecten: in de vergunningverlening: zijn ook “toekomstige” projecten relevant?</w:t>
      </w:r>
      <w:r>
        <w:t>’</w:t>
      </w:r>
      <w:r w:rsidRPr="004D1F2F">
        <w:t xml:space="preserve">, </w:t>
      </w:r>
      <w:r w:rsidRPr="008416B4">
        <w:rPr>
          <w:i/>
          <w:iCs/>
        </w:rPr>
        <w:t>TROS</w:t>
      </w:r>
      <w:r w:rsidRPr="004D1F2F">
        <w:t xml:space="preserve"> 2022, afl. 105, 74.</w:t>
      </w:r>
    </w:p>
    <w:p w14:paraId="2F4AFDFC" w14:textId="77777777" w:rsidR="00F90DFE" w:rsidRDefault="00F90DFE" w:rsidP="007F4C30">
      <w:pPr>
        <w:pStyle w:val="Body"/>
      </w:pPr>
      <w:r w:rsidRPr="004D1F2F">
        <w:t xml:space="preserve">STRUBBE M., </w:t>
      </w:r>
      <w:r>
        <w:t>‘</w:t>
      </w:r>
      <w:r w:rsidRPr="004D1F2F">
        <w:t>Grondige inventarisatie natuurwaarden geen garantie voor zorgvuldige natuurtoets</w:t>
      </w:r>
      <w:r>
        <w:t>’</w:t>
      </w:r>
      <w:r w:rsidRPr="004D1F2F">
        <w:t xml:space="preserve">, </w:t>
      </w:r>
      <w:r w:rsidRPr="008416B4">
        <w:rPr>
          <w:i/>
          <w:iCs/>
        </w:rPr>
        <w:t>STORM</w:t>
      </w:r>
      <w:r w:rsidRPr="004D1F2F">
        <w:t xml:space="preserve"> 2020/2, bijdrage 29.</w:t>
      </w:r>
    </w:p>
    <w:p w14:paraId="6AFE87BB" w14:textId="77777777" w:rsidR="00F90DFE" w:rsidRDefault="00F90DFE" w:rsidP="007F4C30">
      <w:pPr>
        <w:pStyle w:val="Body"/>
        <w:rPr>
          <w:lang w:val="en-US"/>
        </w:rPr>
      </w:pPr>
      <w:r w:rsidRPr="00290196">
        <w:rPr>
          <w:lang w:val="en-US"/>
        </w:rPr>
        <w:t xml:space="preserve">TAINTER J., </w:t>
      </w:r>
      <w:r w:rsidRPr="008416B4">
        <w:rPr>
          <w:i/>
          <w:iCs/>
          <w:lang w:val="en-US"/>
        </w:rPr>
        <w:t>The collapse of Complex Societies (New Studies in Archeology)</w:t>
      </w:r>
      <w:r w:rsidRPr="00290196">
        <w:rPr>
          <w:lang w:val="en-US"/>
        </w:rPr>
        <w:t>, Cambridge University Press, 1988</w:t>
      </w:r>
      <w:r>
        <w:rPr>
          <w:lang w:val="en-US"/>
        </w:rPr>
        <w:t>.</w:t>
      </w:r>
    </w:p>
    <w:p w14:paraId="41AA134F" w14:textId="77777777" w:rsidR="00F90DFE" w:rsidRPr="00F21037" w:rsidRDefault="00F90DFE" w:rsidP="007F4C30">
      <w:pPr>
        <w:pStyle w:val="Body"/>
      </w:pPr>
      <w:r w:rsidRPr="004D1F2F">
        <w:t xml:space="preserve">THOMAENS P., </w:t>
      </w:r>
      <w:r>
        <w:t>‘</w:t>
      </w:r>
      <w:r w:rsidRPr="004D1F2F">
        <w:t xml:space="preserve">’Saucissoneren’ van vergunningsaanvragen: niet </w:t>
      </w:r>
      <w:r>
        <w:t>met voorbedachten rade’</w:t>
      </w:r>
      <w:r w:rsidRPr="004D1F2F">
        <w:t xml:space="preserve">, </w:t>
      </w:r>
      <w:r w:rsidRPr="008416B4">
        <w:rPr>
          <w:i/>
          <w:iCs/>
        </w:rPr>
        <w:t>TOO</w:t>
      </w:r>
      <w:r w:rsidRPr="004D1F2F">
        <w:t xml:space="preserve"> 2016, afl. 1, 150</w:t>
      </w:r>
      <w:r w:rsidRPr="00F21037">
        <w:t>.</w:t>
      </w:r>
    </w:p>
    <w:p w14:paraId="34B399A3" w14:textId="77777777" w:rsidR="00F90DFE" w:rsidRPr="00F21037" w:rsidRDefault="00F90DFE" w:rsidP="007F4C30">
      <w:pPr>
        <w:pStyle w:val="Body"/>
      </w:pPr>
      <w:r>
        <w:t xml:space="preserve">TIMMERMANS R., ‘De vroege middeleeuwen tot aan de Franse Revolutie. De feodaliteit en het leenstelsel (ca. 987 tot 1500)’ in TIMMERMANS R., </w:t>
      </w:r>
      <w:r w:rsidRPr="008416B4">
        <w:rPr>
          <w:i/>
          <w:iCs/>
        </w:rPr>
        <w:t>Erfpacht. Oorsprong, ontwikkeling en modern instrumenteel gebruik</w:t>
      </w:r>
      <w:r>
        <w:t>, Wolters Kluwer Belgium, 2023, 78</w:t>
      </w:r>
      <w:r w:rsidRPr="00F21037">
        <w:t>.</w:t>
      </w:r>
    </w:p>
    <w:p w14:paraId="6919D72E" w14:textId="77777777" w:rsidR="00F90DFE" w:rsidRPr="00F21037" w:rsidRDefault="00F90DFE" w:rsidP="007F4C30">
      <w:pPr>
        <w:pStyle w:val="Body"/>
      </w:pPr>
      <w:r w:rsidRPr="004D1F2F">
        <w:t xml:space="preserve">VAN BOUWEL M., </w:t>
      </w:r>
      <w:r>
        <w:t>‘</w:t>
      </w:r>
      <w:r w:rsidRPr="004D1F2F">
        <w:t>Meeste buurtbewoners zijn geen egoïstische Nimby’s maar rationele Bimby’s</w:t>
      </w:r>
      <w:r>
        <w:t>’</w:t>
      </w:r>
      <w:r w:rsidRPr="004D1F2F">
        <w:t xml:space="preserve">, </w:t>
      </w:r>
      <w:r w:rsidRPr="008416B4">
        <w:rPr>
          <w:i/>
          <w:iCs/>
        </w:rPr>
        <w:t>Lokaal</w:t>
      </w:r>
      <w:r w:rsidRPr="004D1F2F">
        <w:t xml:space="preserve"> 2010, afl. 3, 25</w:t>
      </w:r>
      <w:r w:rsidRPr="00F21037">
        <w:t>.</w:t>
      </w:r>
    </w:p>
    <w:p w14:paraId="1F60FF2B" w14:textId="77777777" w:rsidR="00F90DFE" w:rsidRDefault="00F90DFE" w:rsidP="007F4C30">
      <w:pPr>
        <w:pStyle w:val="Body"/>
      </w:pPr>
      <w:r w:rsidRPr="004D1F2F">
        <w:lastRenderedPageBreak/>
        <w:t xml:space="preserve">VAN DAMME M., </w:t>
      </w:r>
      <w:r>
        <w:t>‘</w:t>
      </w:r>
      <w:r w:rsidRPr="004D1F2F">
        <w:t>Naar een andere rechtsbescherming in het bestuursrecht?</w:t>
      </w:r>
      <w:r>
        <w:t>’</w:t>
      </w:r>
      <w:r w:rsidRPr="004D1F2F">
        <w:t xml:space="preserve">, </w:t>
      </w:r>
      <w:r w:rsidRPr="008416B4">
        <w:rPr>
          <w:i/>
          <w:iCs/>
        </w:rPr>
        <w:t>Juristenkrant</w:t>
      </w:r>
      <w:r w:rsidRPr="004D1F2F">
        <w:t xml:space="preserve"> 2011, afl. 223, 12</w:t>
      </w:r>
      <w:r>
        <w:t>.</w:t>
      </w:r>
    </w:p>
    <w:p w14:paraId="6729C6F9" w14:textId="77777777" w:rsidR="00F90DFE" w:rsidRDefault="00F90DFE" w:rsidP="007F4C30">
      <w:pPr>
        <w:pStyle w:val="Body"/>
      </w:pPr>
      <w:r w:rsidRPr="004D1F2F">
        <w:t>VAN DAMME M., Het belang in het publiekrechtelijk procesrecht, die Keure, XIV-XV</w:t>
      </w:r>
      <w:r>
        <w:t>.</w:t>
      </w:r>
    </w:p>
    <w:p w14:paraId="48C31AB2" w14:textId="77777777" w:rsidR="00F90DFE" w:rsidRPr="00F21037" w:rsidRDefault="00F90DFE" w:rsidP="007F4C30">
      <w:pPr>
        <w:pStyle w:val="Body"/>
      </w:pPr>
      <w:r w:rsidRPr="004D1F2F">
        <w:t xml:space="preserve">VAN HOORICK G., </w:t>
      </w:r>
      <w:r>
        <w:t>‘</w:t>
      </w:r>
      <w:r w:rsidRPr="004D1F2F">
        <w:t>De implementatie van ‘Natura 2000’ in het Vlaamse Gewest</w:t>
      </w:r>
      <w:r>
        <w:t>’</w:t>
      </w:r>
      <w:r w:rsidRPr="004D1F2F">
        <w:t xml:space="preserve">, </w:t>
      </w:r>
      <w:r w:rsidRPr="008416B4">
        <w:rPr>
          <w:i/>
          <w:iCs/>
        </w:rPr>
        <w:t>TMR</w:t>
      </w:r>
      <w:r w:rsidRPr="004D1F2F">
        <w:t xml:space="preserve"> 2003, afl. 3, 210</w:t>
      </w:r>
      <w:r w:rsidRPr="00F21037">
        <w:t>.</w:t>
      </w:r>
    </w:p>
    <w:p w14:paraId="7FE3E924" w14:textId="77777777" w:rsidR="00F90DFE" w:rsidRPr="00F21037" w:rsidRDefault="00F90DFE" w:rsidP="007F4C30">
      <w:pPr>
        <w:pStyle w:val="Body"/>
      </w:pPr>
      <w:r>
        <w:t>VAN HORENBEEK J., ‘</w:t>
      </w:r>
      <w:r w:rsidRPr="004D1F2F">
        <w:t>Vlaanderen houdt niet van windmolens</w:t>
      </w:r>
      <w:r>
        <w:t>’</w:t>
      </w:r>
      <w:r w:rsidRPr="004D1F2F">
        <w:t xml:space="preserve">, </w:t>
      </w:r>
      <w:r w:rsidRPr="006F2825">
        <w:rPr>
          <w:i/>
          <w:iCs/>
        </w:rPr>
        <w:t>De Morgen</w:t>
      </w:r>
      <w:r w:rsidRPr="004D1F2F">
        <w:t>, 29 augustus 2018, https://www.demorgen.be/nieuws/vlaanderen-houdt-niet-van-windmolens~bee2d35d/ (geraadpleegd op 2 februari 2025).</w:t>
      </w:r>
    </w:p>
    <w:p w14:paraId="6573F90C" w14:textId="77777777" w:rsidR="00F90DFE" w:rsidRPr="00F21037" w:rsidRDefault="00F90DFE" w:rsidP="007F4C30">
      <w:pPr>
        <w:pStyle w:val="Body"/>
      </w:pPr>
      <w:r w:rsidRPr="00F21037">
        <w:t xml:space="preserve">VAN ROY W., VAN NIEUWENHOVE A., </w:t>
      </w:r>
      <w:r>
        <w:t>‘</w:t>
      </w:r>
      <w:r w:rsidRPr="00F21037">
        <w:t>Uitstoot van schepen in de Noordzee: Waar rook is, is vuur</w:t>
      </w:r>
      <w:r>
        <w:t>’</w:t>
      </w:r>
      <w:r w:rsidRPr="00F21037">
        <w:t xml:space="preserve">, </w:t>
      </w:r>
      <w:r w:rsidRPr="008416B4">
        <w:rPr>
          <w:i/>
          <w:iCs/>
        </w:rPr>
        <w:t>VLIZ: De grote rede</w:t>
      </w:r>
      <w:r w:rsidRPr="00F21037">
        <w:t xml:space="preserve"> 2024, afl. 59, 10.</w:t>
      </w:r>
    </w:p>
    <w:p w14:paraId="2D261BA6" w14:textId="77777777" w:rsidR="00F90DFE" w:rsidRPr="00F21037" w:rsidRDefault="00F90DFE" w:rsidP="007F4C30">
      <w:pPr>
        <w:pStyle w:val="Body"/>
      </w:pPr>
      <w:r w:rsidRPr="004D1F2F">
        <w:t xml:space="preserve">VANHERCK D., </w:t>
      </w:r>
      <w:r>
        <w:t>‘</w:t>
      </w:r>
      <w:r w:rsidRPr="004D1F2F">
        <w:t>Het nieuwe Europese kader voor hernieuwbare energie: goede voornemens voor 2030</w:t>
      </w:r>
      <w:r>
        <w:t>’</w:t>
      </w:r>
      <w:r w:rsidRPr="004D1F2F">
        <w:t xml:space="preserve"> in DEKETELAERE K. en DELVAUX B., </w:t>
      </w:r>
      <w:r w:rsidRPr="008416B4">
        <w:rPr>
          <w:i/>
          <w:iCs/>
        </w:rPr>
        <w:t>Jaarboek Energierecht 2018</w:t>
      </w:r>
      <w:r w:rsidRPr="004D1F2F">
        <w:t>, Intersentia, 2019, 55</w:t>
      </w:r>
      <w:r w:rsidRPr="00F21037">
        <w:t>.</w:t>
      </w:r>
    </w:p>
    <w:p w14:paraId="29FF846D" w14:textId="77777777" w:rsidR="00F90DFE" w:rsidRPr="00F21037" w:rsidRDefault="00F90DFE" w:rsidP="007F4C30">
      <w:pPr>
        <w:pStyle w:val="Body"/>
      </w:pPr>
      <w:r w:rsidRPr="004D1F2F">
        <w:t xml:space="preserve">VANHOENACKER J., </w:t>
      </w:r>
      <w:r>
        <w:t>‘</w:t>
      </w:r>
      <w:r w:rsidRPr="004D1F2F">
        <w:t>Klimaat en energie: het Vlaams Regeerakkoord uitgelicht</w:t>
      </w:r>
      <w:r>
        <w:t>’</w:t>
      </w:r>
      <w:r w:rsidRPr="004D1F2F">
        <w:t xml:space="preserve">, </w:t>
      </w:r>
      <w:r w:rsidRPr="008416B4">
        <w:rPr>
          <w:i/>
          <w:iCs/>
        </w:rPr>
        <w:t>TOO</w:t>
      </w:r>
      <w:r w:rsidRPr="004D1F2F">
        <w:t xml:space="preserve"> 2019, afl. 4, 355.</w:t>
      </w:r>
    </w:p>
    <w:p w14:paraId="4A880A43" w14:textId="77777777" w:rsidR="00F90DFE" w:rsidRPr="00F21037" w:rsidRDefault="00F90DFE" w:rsidP="007F4C30">
      <w:pPr>
        <w:pStyle w:val="Body"/>
      </w:pPr>
      <w:r w:rsidRPr="00FA11C9">
        <w:t>VANHOENACKER</w:t>
      </w:r>
      <w:r>
        <w:t xml:space="preserve"> J.</w:t>
      </w:r>
      <w:r w:rsidRPr="00FA11C9">
        <w:t xml:space="preserve">, </w:t>
      </w:r>
      <w:r>
        <w:t>‘</w:t>
      </w:r>
      <w:r w:rsidRPr="00FA11C9">
        <w:t>Klimaattoets bij een vergunningsaanvraag: op zoek naar de juiste rechtsgrond</w:t>
      </w:r>
      <w:r>
        <w:t>’</w:t>
      </w:r>
      <w:r w:rsidRPr="00FA11C9">
        <w:t xml:space="preserve">, </w:t>
      </w:r>
      <w:r w:rsidRPr="008416B4">
        <w:rPr>
          <w:i/>
          <w:iCs/>
        </w:rPr>
        <w:t>TOO</w:t>
      </w:r>
      <w:r w:rsidRPr="00FA11C9">
        <w:t xml:space="preserve"> 2021/4, 352</w:t>
      </w:r>
      <w:r w:rsidRPr="00F21037">
        <w:t>.</w:t>
      </w:r>
    </w:p>
    <w:p w14:paraId="5FFE7CD0" w14:textId="77777777" w:rsidR="00F90DFE" w:rsidRPr="00F21037" w:rsidRDefault="00F90DFE" w:rsidP="007F4C30">
      <w:pPr>
        <w:pStyle w:val="Body"/>
      </w:pPr>
      <w:r>
        <w:t>VANKERSSCHAEVER S., ‘</w:t>
      </w:r>
      <w:r w:rsidRPr="004D1F2F">
        <w:t>Burgemeesters zijn grootste obstakel voor meer windmolens</w:t>
      </w:r>
      <w:r>
        <w:t>’</w:t>
      </w:r>
      <w:r w:rsidRPr="004D1F2F">
        <w:t xml:space="preserve">, </w:t>
      </w:r>
      <w:r w:rsidRPr="006F2825">
        <w:rPr>
          <w:i/>
          <w:iCs/>
        </w:rPr>
        <w:t>De Standaard</w:t>
      </w:r>
      <w:r w:rsidRPr="004D1F2F">
        <w:t xml:space="preserve"> 23 februari 2018, https://www.standaard.be/cnt/dmf20180222_03372262 (geraadpleegd op 3 februari 2025)</w:t>
      </w:r>
      <w:r w:rsidRPr="00F21037">
        <w:t>.</w:t>
      </w:r>
    </w:p>
    <w:p w14:paraId="4107148C" w14:textId="77777777" w:rsidR="00F90DFE" w:rsidRPr="00F21037" w:rsidRDefault="00F90DFE" w:rsidP="007F4C30">
      <w:pPr>
        <w:pStyle w:val="Body"/>
      </w:pPr>
      <w:r w:rsidRPr="00290196">
        <w:rPr>
          <w:lang w:val="en-US"/>
        </w:rPr>
        <w:t xml:space="preserve">VEENSTRA Y. J., </w:t>
      </w:r>
      <w:r w:rsidRPr="008416B4">
        <w:rPr>
          <w:i/>
          <w:iCs/>
          <w:lang w:val="en-US"/>
        </w:rPr>
        <w:t>Fragmentation or integration? Exploring aquathermal energy governance: A Metropolitan Region of Amsterdam case study</w:t>
      </w:r>
      <w:r w:rsidRPr="00290196">
        <w:rPr>
          <w:lang w:val="en-US"/>
        </w:rPr>
        <w:t xml:space="preserve">, onuitg. </w:t>
      </w:r>
      <w:r w:rsidRPr="00F21037">
        <w:t xml:space="preserve">Meesterproef Spatial Planning Utrecht </w:t>
      </w:r>
      <w:r w:rsidRPr="00F21037">
        <w:lastRenderedPageBreak/>
        <w:t>University, https://studenttheses.uu.nl/handle/20.500.12932/47043 (geraadpleegd op 7 november 2024).</w:t>
      </w:r>
    </w:p>
    <w:p w14:paraId="47AC28A8" w14:textId="77777777" w:rsidR="00F90DFE" w:rsidRDefault="00F90DFE" w:rsidP="007F4C30">
      <w:pPr>
        <w:pStyle w:val="Body"/>
      </w:pPr>
      <w:r w:rsidRPr="00010C80">
        <w:t>Verslag van de Commissie aan het Europees Parlement, de Raad, het Europees Economisch en Sociaal Comité en het Comité van de Regio’s, EUROPESE COMMISSIE, 2023-24, 24 oktober 2023, COM</w:t>
      </w:r>
      <w:r>
        <w:t>/</w:t>
      </w:r>
      <w:r w:rsidRPr="00010C80">
        <w:t>2023</w:t>
      </w:r>
      <w:r>
        <w:t>/</w:t>
      </w:r>
      <w:r w:rsidRPr="00010C80">
        <w:t>650 final.</w:t>
      </w:r>
    </w:p>
    <w:p w14:paraId="32A0A127" w14:textId="77777777" w:rsidR="00F90DFE" w:rsidRPr="00F21037" w:rsidRDefault="00F90DFE" w:rsidP="007F4C30">
      <w:pPr>
        <w:pStyle w:val="Body"/>
      </w:pPr>
      <w:r w:rsidRPr="00F21037">
        <w:t>VITO, ‘BREGILAB-project stelt technisch potentieel wind en zon binnen België beschikbaar’, https://vito.be/nl/nieuws/bregilab-project-stelt-technisch-potentieel-wind-en-zon-binnen-belgie-beschikbaar-online (geraadpleegd op 26 december 2024).</w:t>
      </w:r>
    </w:p>
    <w:p w14:paraId="57533320" w14:textId="77777777" w:rsidR="00F90DFE" w:rsidRPr="00925BEC" w:rsidRDefault="00F90DFE" w:rsidP="003B01B7">
      <w:pPr>
        <w:pStyle w:val="Body"/>
      </w:pPr>
      <w:r>
        <w:t xml:space="preserve">WILLEMS T., ‘Coöperatief ondernemen met hernieuwbare energie: kansen voor het Vlaamse transitiebeleid’, </w:t>
      </w:r>
      <w:r w:rsidRPr="008416B4">
        <w:rPr>
          <w:i/>
          <w:iCs/>
        </w:rPr>
        <w:t>Rescoop Vlaanderen</w:t>
      </w:r>
      <w:r>
        <w:t xml:space="preserve"> 2014, 135.</w:t>
      </w:r>
    </w:p>
    <w:p w14:paraId="2DDD4A49" w14:textId="77777777" w:rsidR="00F90DFE" w:rsidRPr="00F21037" w:rsidRDefault="00F90DFE" w:rsidP="007F4C30">
      <w:pPr>
        <w:pStyle w:val="Body"/>
      </w:pPr>
      <w:r>
        <w:t>WILLOCX C., ‘</w:t>
      </w:r>
      <w:r w:rsidRPr="004D1F2F">
        <w:t>Gemeentes kunnen bouw van nieuwe windmolens verhinderen: sector vreest crisis</w:t>
      </w:r>
      <w:r>
        <w:t>’</w:t>
      </w:r>
      <w:r w:rsidRPr="004D1F2F">
        <w:t xml:space="preserve">, </w:t>
      </w:r>
      <w:r w:rsidRPr="006F2825">
        <w:rPr>
          <w:i/>
          <w:iCs/>
        </w:rPr>
        <w:t>Gazet van Antwerpen</w:t>
      </w:r>
      <w:r w:rsidRPr="004D1F2F">
        <w:t xml:space="preserve"> 29 oktober 2019, https://www.gva.be/cnt/dmf20191028_04690078 (geraadpleegd op 2 februari 2025).</w:t>
      </w:r>
    </w:p>
    <w:p w14:paraId="1D77AF6F" w14:textId="77777777" w:rsidR="00F90DFE" w:rsidRPr="00F21037" w:rsidRDefault="00F90DFE" w:rsidP="007F4C30">
      <w:pPr>
        <w:pStyle w:val="Body"/>
      </w:pPr>
      <w:r>
        <w:t>WINCKELMANS W., ‘</w:t>
      </w:r>
      <w:r w:rsidRPr="004D1F2F">
        <w:t>Lobby tegen windmolens belegert Zuhal Demir</w:t>
      </w:r>
      <w:r>
        <w:t>’</w:t>
      </w:r>
      <w:r w:rsidRPr="004D1F2F">
        <w:t xml:space="preserve">, </w:t>
      </w:r>
      <w:r w:rsidRPr="006F2825">
        <w:rPr>
          <w:i/>
          <w:iCs/>
        </w:rPr>
        <w:t>De Standaard</w:t>
      </w:r>
      <w:r w:rsidRPr="004D1F2F">
        <w:t xml:space="preserve"> 23 oktober 2019, https://www.standaard.be/cnt/dmf20191022_04678637 (geraadpleegd op 2 februari 2025).</w:t>
      </w:r>
    </w:p>
    <w:p w14:paraId="1391F1CB" w14:textId="77777777" w:rsidR="00F90DFE" w:rsidRDefault="00F90DFE" w:rsidP="007F4C30">
      <w:pPr>
        <w:pStyle w:val="Body"/>
        <w:rPr>
          <w:lang w:val="en-US"/>
        </w:rPr>
      </w:pPr>
      <w:r w:rsidRPr="004E259B">
        <w:rPr>
          <w:lang w:val="en-US"/>
        </w:rPr>
        <w:t xml:space="preserve">WOLSINK M., </w:t>
      </w:r>
      <w:r>
        <w:rPr>
          <w:lang w:val="en-US"/>
        </w:rPr>
        <w:t>‘</w:t>
      </w:r>
      <w:r w:rsidRPr="004E259B">
        <w:rPr>
          <w:lang w:val="en-US"/>
        </w:rPr>
        <w:t>Wind power implementation: The nature of public attitudes: Equity and Fairness instead of “back yard” motives</w:t>
      </w:r>
      <w:r>
        <w:rPr>
          <w:lang w:val="en-US"/>
        </w:rPr>
        <w:t>’</w:t>
      </w:r>
      <w:r w:rsidRPr="004E259B">
        <w:rPr>
          <w:lang w:val="en-US"/>
        </w:rPr>
        <w:t xml:space="preserve">, </w:t>
      </w:r>
      <w:r w:rsidRPr="008416B4">
        <w:rPr>
          <w:i/>
          <w:iCs/>
          <w:lang w:val="en-US"/>
        </w:rPr>
        <w:t xml:space="preserve">Renewable and Sustainable Energy Review </w:t>
      </w:r>
      <w:r w:rsidRPr="004E259B">
        <w:rPr>
          <w:lang w:val="en-US"/>
        </w:rPr>
        <w:t>2007, afl. 11, 1188</w:t>
      </w:r>
      <w:r>
        <w:rPr>
          <w:lang w:val="en-US"/>
        </w:rPr>
        <w:t>.</w:t>
      </w:r>
    </w:p>
    <w:p w14:paraId="60F5C2A0" w14:textId="77777777" w:rsidR="00F90DFE" w:rsidRDefault="00F90DFE" w:rsidP="007F4C30">
      <w:pPr>
        <w:pStyle w:val="Body"/>
      </w:pPr>
      <w:r w:rsidRPr="004D1F2F">
        <w:t xml:space="preserve">X, </w:t>
      </w:r>
      <w:r>
        <w:t>‘</w:t>
      </w:r>
      <w:r w:rsidRPr="004D1F2F">
        <w:t>Relativiteitseis: Raad van State kijkt over de Moerdijk</w:t>
      </w:r>
      <w:r>
        <w:t>’</w:t>
      </w:r>
      <w:r w:rsidRPr="004D1F2F">
        <w:t xml:space="preserve">, </w:t>
      </w:r>
      <w:r w:rsidRPr="008416B4">
        <w:rPr>
          <w:i/>
          <w:iCs/>
        </w:rPr>
        <w:t>TOO</w:t>
      </w:r>
      <w:r w:rsidRPr="004D1F2F">
        <w:t xml:space="preserve"> 2012, afl. 1, 22</w:t>
      </w:r>
      <w:r>
        <w:t>.</w:t>
      </w:r>
    </w:p>
    <w:p w14:paraId="4F3851B6" w14:textId="77777777" w:rsidR="00F90DFE" w:rsidRDefault="00F90DFE" w:rsidP="007F4C30">
      <w:pPr>
        <w:pStyle w:val="Body"/>
      </w:pPr>
      <w:r w:rsidRPr="00F21037">
        <w:t>X, Studie over de perspectieven van elektrischiteitsbevoorrading 2008-2017, https://economie.fgov.be/nl/publicaties/studie-over-de-perspectieven (geraadpleegd op 26 december 2024).</w:t>
      </w:r>
    </w:p>
    <w:p w14:paraId="150BB595" w14:textId="08052A1A" w:rsidR="0053265F" w:rsidRDefault="0053265F" w:rsidP="008363CB">
      <w:pPr>
        <w:pStyle w:val="Kop1"/>
        <w:numPr>
          <w:ilvl w:val="0"/>
          <w:numId w:val="0"/>
        </w:numPr>
        <w:ind w:left="340" w:hanging="340"/>
      </w:pPr>
      <w:bookmarkStart w:id="23" w:name="_Toc193312412"/>
      <w:r>
        <w:lastRenderedPageBreak/>
        <w:t>Bijlage 2: beknopte samenvatting van de thesis</w:t>
      </w:r>
      <w:bookmarkEnd w:id="23"/>
    </w:p>
    <w:p w14:paraId="26BBA4CD" w14:textId="44DAC32B" w:rsidR="005A5756" w:rsidRPr="005A5756" w:rsidRDefault="005A5756" w:rsidP="005A5756">
      <w:pPr>
        <w:pStyle w:val="Body"/>
      </w:pPr>
      <w:r w:rsidRPr="005A5756">
        <w:t>De energietransitie is een van de grootste maatschappelijke uitdagingen van deze tijd, waarbij de uitbouw van hernieuwbare energieprojecten, en in het bijzonder windturbines, een cruciale rol speelt. In Vlaanderen blijkt de vergunningverlening van deze projecten een complex en vaak moeizaam proces. Dit werkstuk onderzoekt de hindernissen</w:t>
      </w:r>
      <w:r>
        <w:t xml:space="preserve"> en obstakels</w:t>
      </w:r>
      <w:r w:rsidRPr="005A5756">
        <w:t xml:space="preserve"> </w:t>
      </w:r>
      <w:r>
        <w:t xml:space="preserve">die voortvloeien uit regels van omgevingsrecht </w:t>
      </w:r>
      <w:r w:rsidRPr="005A5756">
        <w:t>binnen dit kader en formuleert voorstellen om te komen tot een efficiënter en rechtszekerder vergunningsbeleid.</w:t>
      </w:r>
    </w:p>
    <w:p w14:paraId="07AE04AC" w14:textId="4DA57E9A" w:rsidR="005A5756" w:rsidRPr="005A5756" w:rsidRDefault="005A5756" w:rsidP="005A5756">
      <w:pPr>
        <w:pStyle w:val="Body"/>
      </w:pPr>
      <w:r w:rsidRPr="005A5756">
        <w:t>Het eerste deel van deze studie schetst de evolutie van de bevoegdheidsverdeling inzake vergunningverlening van windturbines in Vlaanderen. Tot 1 september 2022 was deze bevoegdheid versnipperd over verschillende niveaus, wat vaak leidde tot lange en onduidelijke procedures.</w:t>
      </w:r>
      <w:r>
        <w:t xml:space="preserve"> Daarbij kwam een aanzienlijke beoordelingsbevoegdheid toe aan het provinciale niveau. Het is net dit niveau waar lokale weerstand tegen de noodzakelijke infrstructuurprojecten van zekere omvang tot uiting kwam.</w:t>
      </w:r>
      <w:r w:rsidRPr="005A5756">
        <w:t xml:space="preserve"> De hervorming na deze datum bracht een herschikking van bevoegdheden met zich mee, waarbij de Vlaamse </w:t>
      </w:r>
      <w:r>
        <w:t>Regering</w:t>
      </w:r>
      <w:r w:rsidRPr="005A5756">
        <w:t xml:space="preserve"> een grotere rol kreeg in de besluitvorming</w:t>
      </w:r>
      <w:r>
        <w:t xml:space="preserve"> inzake grote infrastructuurprojecten</w:t>
      </w:r>
      <w:r w:rsidRPr="005A5756">
        <w:t xml:space="preserve">. </w:t>
      </w:r>
      <w:r>
        <w:t>Dat een noodzaak aan deze hervorming aan de orde kwam, duidt reeds op een problematische verhouding van omgevingsrecht en lokale acceptatie enerzijds, en het nastreven van klimaatdoelen anderzijds.</w:t>
      </w:r>
    </w:p>
    <w:p w14:paraId="39F5F6CD" w14:textId="0A6E3942" w:rsidR="005A5756" w:rsidRPr="005A5756" w:rsidRDefault="005A5756" w:rsidP="005A5756">
      <w:pPr>
        <w:pStyle w:val="Body"/>
      </w:pPr>
      <w:r w:rsidRPr="005A5756">
        <w:t xml:space="preserve">Een tweede belangrijk aandachtspunt </w:t>
      </w:r>
      <w:r>
        <w:t xml:space="preserve">van het werkstuk </w:t>
      </w:r>
      <w:r w:rsidRPr="005A5756">
        <w:t>is de spanning tussen milieu- en klimaatdoelstellingen binnen de vergunningverlening. Hoewel de uitbouw van windenergie noodzakelijk is om de klimaatdoelstellingen te halen</w:t>
      </w:r>
      <w:r>
        <w:t xml:space="preserve"> en een leefbaar milieu te verzekeren voor toekomstige generaties</w:t>
      </w:r>
      <w:r w:rsidRPr="005A5756">
        <w:t xml:space="preserve">, botst deze vaak met </w:t>
      </w:r>
      <w:r>
        <w:t>regels van omgevingsrechtelijke aard</w:t>
      </w:r>
      <w:r w:rsidRPr="005A5756">
        <w:t xml:space="preserve">. Zo kunnen de strikte toepassing van </w:t>
      </w:r>
      <w:r>
        <w:t xml:space="preserve">de regelgeving inzake natuur- en soortenbehoud en -bescherming, </w:t>
      </w:r>
      <w:r w:rsidRPr="005A5756">
        <w:t xml:space="preserve">de MER-regelgeving, de naleving van het Verdrag van Aarhus (dat publieke inspraak en toegang tot de rechter garandeert), en de bescherming van cultureel erfgoed en landschapswaarden een </w:t>
      </w:r>
      <w:r>
        <w:t xml:space="preserve">stevige </w:t>
      </w:r>
      <w:r w:rsidRPr="005A5756">
        <w:t xml:space="preserve">rem zetten op </w:t>
      </w:r>
      <w:r>
        <w:t xml:space="preserve">noodzakelijke </w:t>
      </w:r>
      <w:r w:rsidRPr="005A5756">
        <w:t xml:space="preserve">nieuwe windturbineprojecten. Dit werkstuk brengt deze obstakels systematisch in kaart en stelt vast dat de regelgeving </w:t>
      </w:r>
      <w:r>
        <w:t xml:space="preserve">vandaag meer gericht is op milieubescherming dan </w:t>
      </w:r>
      <w:r w:rsidR="00513508">
        <w:t xml:space="preserve">op </w:t>
      </w:r>
      <w:r>
        <w:t xml:space="preserve">klimaatbescherming. Daarbij wordt ook nagegaan of de rechterlijke invulling van voornoemde obstakels enige mildering met zich </w:t>
      </w:r>
      <w:r>
        <w:lastRenderedPageBreak/>
        <w:t>meebrengt. Echter, deze rechterlijke appreciatie leidt vandaag eerder tot verdere verstrenging en uitbreiding van obstakels dan tot versoepeling.</w:t>
      </w:r>
    </w:p>
    <w:p w14:paraId="2C09F8C8" w14:textId="3A3DA31D" w:rsidR="005A5756" w:rsidRPr="005A5756" w:rsidRDefault="005A5756" w:rsidP="005A5756">
      <w:pPr>
        <w:pStyle w:val="Body"/>
      </w:pPr>
      <w:r>
        <w:t>Ook</w:t>
      </w:r>
      <w:r w:rsidRPr="005A5756">
        <w:t xml:space="preserve"> worden de antwoorden van verschillende regelgevers op deze spreidstand geanalyseerd. Op Europees niveau zet de EU steeds meer in op versnelde vergunningsprocedures, onder andere via de recente herzieningen van de Richtlijn Hernieuwbare Energie</w:t>
      </w:r>
      <w:r>
        <w:t xml:space="preserve"> (RED)</w:t>
      </w:r>
      <w:r w:rsidRPr="005A5756">
        <w:t xml:space="preserve">. </w:t>
      </w:r>
      <w:r>
        <w:t xml:space="preserve">Bijzondere aandacht wordt besteed met betrekking tot de derde generatie van de RED en de implementatie ervan in Vlaanderen. </w:t>
      </w:r>
      <w:r w:rsidRPr="005A5756">
        <w:t xml:space="preserve">De studie vergelijkt </w:t>
      </w:r>
      <w:r>
        <w:t>de Vlaamse implementatie ook</w:t>
      </w:r>
      <w:r w:rsidRPr="005A5756">
        <w:t xml:space="preserve"> met het Duitse model, waar reeds verdere stappen zijn gezet in het stroomlijnen van de vergunningverlening.</w:t>
      </w:r>
      <w:r>
        <w:t xml:space="preserve"> Binnen het rechtsvergelijkende component van dit werkstuk wordt duidelijk dat de Vlaamse decreetgever in gebreke blijft, en dat meer aandacht moet worden besteed aan de vooruitstrevende a</w:t>
      </w:r>
      <w:r w:rsidR="00197C7E">
        <w:t>a</w:t>
      </w:r>
      <w:r>
        <w:t>npak van de Duitse regelgever.</w:t>
      </w:r>
    </w:p>
    <w:p w14:paraId="1599D020" w14:textId="103917BE" w:rsidR="005A5756" w:rsidRPr="005A5756" w:rsidRDefault="005A5756" w:rsidP="005A5756">
      <w:pPr>
        <w:pStyle w:val="Body"/>
      </w:pPr>
      <w:r w:rsidRPr="005A5756">
        <w:t>Ten slotte worden toekomstperspectieven en beleidsvoorstellen geformuleerd om het vergunningsproces efficiënter en toekomstbestendiger te maken. Hierbij ligt de nadruk op het creëren van een duidelijker en coherenter juridisch kader, het verbeteren van participatieprocessen zonder nodeloze vertragingsmogelijkheden, en het integreren van flexibiliteit in de milieuregelgeving zonder de ecologische bescherming te ondermijnen.</w:t>
      </w:r>
      <w:r>
        <w:t xml:space="preserve"> Zo wordt gewezen op de mogelijke invoering van een klimaattoets</w:t>
      </w:r>
      <w:r w:rsidR="00863D59">
        <w:t xml:space="preserve"> binnen de vergunningsprocedure en de creatie van een zogenaamde ‘bestemmingsneutraliteit’ van windturbines. Ook worden enkele hervormingen met betrekking tot de Raad voor Vergunningsbetwistingen voorgesteld. Daarbij staat het stroomlijnen van de rechtsgang en het inperken van obstructieve beroepsmogelijkheden van lokale actoren steeds centraal.</w:t>
      </w:r>
    </w:p>
    <w:p w14:paraId="27BCCEBB" w14:textId="423B4188" w:rsidR="005A5756" w:rsidRPr="005A5756" w:rsidRDefault="00A911D4" w:rsidP="00863D59">
      <w:pPr>
        <w:pStyle w:val="Body"/>
      </w:pPr>
      <w:r>
        <w:t>Als conclusie van dit werkstuk geldt</w:t>
      </w:r>
      <w:r w:rsidR="005A5756" w:rsidRPr="005A5756">
        <w:t xml:space="preserve"> dat de weg naar een vlottere vergunningverlening voor windturbines </w:t>
      </w:r>
      <w:r w:rsidR="00863D59">
        <w:t xml:space="preserve">in Vlaanderen </w:t>
      </w:r>
      <w:r w:rsidR="005A5756" w:rsidRPr="005A5756">
        <w:t>nog lang is</w:t>
      </w:r>
      <w:r>
        <w:t>.</w:t>
      </w:r>
      <w:r w:rsidR="005A5756" w:rsidRPr="005A5756">
        <w:t xml:space="preserve"> </w:t>
      </w:r>
      <w:r>
        <w:t>Toch kunnen</w:t>
      </w:r>
      <w:r w:rsidR="005A5756" w:rsidRPr="005A5756">
        <w:t xml:space="preserve"> gerichte hervormingen en een evenwichtige afstemming tussen klimaat- en milieudoelstellingen bijdragen aan een effectiever en juridisch zekerder beleid.</w:t>
      </w:r>
      <w:r>
        <w:t xml:space="preserve"> Dit vormt bijgevolg de centrale aanbeveling ten aanzien van de bevoegde overhe</w:t>
      </w:r>
      <w:r w:rsidR="0089410D">
        <w:t>den.</w:t>
      </w:r>
    </w:p>
    <w:sectPr w:rsidR="005A5756" w:rsidRPr="005A5756" w:rsidSect="007F4C30">
      <w:footerReference w:type="first" r:id="rId13"/>
      <w:pgSz w:w="11906" w:h="16838"/>
      <w:pgMar w:top="1417" w:right="851" w:bottom="1417" w:left="1985" w:header="708" w:footer="708" w:gutter="0"/>
      <w:pgNumType w:fmt="lowerLetter"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0DDE3" w14:textId="77777777" w:rsidR="000774CA" w:rsidRDefault="000774CA" w:rsidP="00C82812">
      <w:r>
        <w:separator/>
      </w:r>
    </w:p>
  </w:endnote>
  <w:endnote w:type="continuationSeparator" w:id="0">
    <w:p w14:paraId="4BABF14B" w14:textId="77777777" w:rsidR="000774CA" w:rsidRDefault="000774CA" w:rsidP="00C8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DCE45" w14:textId="77777777" w:rsidR="008A14B1" w:rsidRDefault="00533E5E" w:rsidP="00C82812">
    <w:pPr>
      <w:pStyle w:val="Voettekst"/>
      <w:rPr>
        <w:color w:val="002E65" w:themeColor="text1"/>
        <w:lang w:val="nl-BE"/>
      </w:rPr>
    </w:pPr>
    <w:r w:rsidRPr="00D33FD1">
      <w:rPr>
        <w:noProof/>
      </w:rPr>
      <w:drawing>
        <wp:anchor distT="0" distB="0" distL="114300" distR="114300" simplePos="0" relativeHeight="251657216" behindDoc="0" locked="0" layoutInCell="1" allowOverlap="1" wp14:anchorId="6672ADE3" wp14:editId="7AA28BB0">
          <wp:simplePos x="0" y="0"/>
          <wp:positionH relativeFrom="column">
            <wp:posOffset>1058</wp:posOffset>
          </wp:positionH>
          <wp:positionV relativeFrom="page">
            <wp:posOffset>10058427</wp:posOffset>
          </wp:positionV>
          <wp:extent cx="859155" cy="215846"/>
          <wp:effectExtent l="0" t="0" r="0" b="0"/>
          <wp:wrapNone/>
          <wp:docPr id="1101874232" name="lw 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w n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59155" cy="215846"/>
                  </a:xfrm>
                  <a:prstGeom prst="rect">
                    <a:avLst/>
                  </a:prstGeom>
                </pic:spPr>
              </pic:pic>
            </a:graphicData>
          </a:graphic>
          <wp14:sizeRelH relativeFrom="margin">
            <wp14:pctWidth>0</wp14:pctWidth>
          </wp14:sizeRelH>
          <wp14:sizeRelV relativeFrom="margin">
            <wp14:pctHeight>0</wp14:pctHeight>
          </wp14:sizeRelV>
        </wp:anchor>
      </w:drawing>
    </w:r>
    <w:r w:rsidR="008C01C5">
      <w:ptab w:relativeTo="margin" w:alignment="center" w:leader="none"/>
    </w:r>
    <w:r w:rsidR="008A14B1" w:rsidRPr="008A14B1">
      <w:rPr>
        <w:color w:val="002E65" w:themeColor="text1"/>
        <w:lang w:val="nl-BE"/>
      </w:rPr>
      <w:t>De vergunning van projecten voor hernieuwbare energie:</w:t>
    </w:r>
    <w:r w:rsidR="008A14B1">
      <w:rPr>
        <w:color w:val="002E65" w:themeColor="text1"/>
        <w:lang w:val="nl-BE"/>
      </w:rPr>
      <w:t xml:space="preserve"> </w:t>
    </w:r>
  </w:p>
  <w:p w14:paraId="407139A4" w14:textId="47FEE9C2" w:rsidR="001E373F" w:rsidRPr="008A14B1" w:rsidRDefault="008A14B1" w:rsidP="00C82812">
    <w:pPr>
      <w:pStyle w:val="Voettekst"/>
      <w:rPr>
        <w:lang w:val="nl-BE"/>
      </w:rPr>
    </w:pPr>
    <w:r>
      <w:rPr>
        <w:color w:val="002E65" w:themeColor="text1"/>
        <w:lang w:val="nl-BE"/>
      </w:rPr>
      <w:tab/>
      <w:t>omgevings- en klimaatrecht als elkaars concurenten</w:t>
    </w:r>
    <w:r w:rsidR="008C01C5" w:rsidRPr="008C01C5">
      <w:rPr>
        <w:color w:val="002E65" w:themeColor="text1"/>
      </w:rPr>
      <w:ptab w:relativeTo="margin" w:alignment="right" w:leader="none"/>
    </w:r>
    <w:r w:rsidR="00675661" w:rsidRPr="008A14B1">
      <w:rPr>
        <w:b/>
        <w:bCs/>
        <w:color w:val="D20824" w:themeColor="accent2"/>
        <w:lang w:val="nl-BE"/>
      </w:rPr>
      <w:t>|</w:t>
    </w:r>
    <w:r w:rsidR="00675661" w:rsidRPr="008A14B1">
      <w:rPr>
        <w:color w:val="002E65" w:themeColor="text1"/>
        <w:lang w:val="nl-BE"/>
      </w:rPr>
      <w:t xml:space="preserve"> </w:t>
    </w:r>
    <w:r w:rsidR="008C01C5" w:rsidRPr="008C01C5">
      <w:rPr>
        <w:color w:val="002E65" w:themeColor="text1"/>
      </w:rPr>
      <w:fldChar w:fldCharType="begin"/>
    </w:r>
    <w:r w:rsidR="008C01C5" w:rsidRPr="008A14B1">
      <w:rPr>
        <w:color w:val="002E65" w:themeColor="text1"/>
        <w:lang w:val="nl-BE"/>
      </w:rPr>
      <w:instrText xml:space="preserve"> PAGE   \* MERGEFORMAT </w:instrText>
    </w:r>
    <w:r w:rsidR="008C01C5" w:rsidRPr="008C01C5">
      <w:rPr>
        <w:color w:val="002E65" w:themeColor="text1"/>
      </w:rPr>
      <w:fldChar w:fldCharType="separate"/>
    </w:r>
    <w:r w:rsidR="008C01C5" w:rsidRPr="008A14B1">
      <w:rPr>
        <w:noProof/>
        <w:color w:val="002E65" w:themeColor="text1"/>
        <w:lang w:val="nl-BE"/>
      </w:rPr>
      <w:t>1</w:t>
    </w:r>
    <w:r w:rsidR="008C01C5" w:rsidRPr="008C01C5">
      <w:rPr>
        <w:noProof/>
        <w:color w:val="002E65"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3F2FA" w14:textId="77777777" w:rsidR="007F4C30" w:rsidRDefault="007F4C30" w:rsidP="007F4C30">
    <w:pPr>
      <w:pStyle w:val="Voettekst"/>
      <w:rPr>
        <w:color w:val="002E65" w:themeColor="text1"/>
        <w:lang w:val="nl-BE"/>
      </w:rPr>
    </w:pPr>
    <w:r w:rsidRPr="00D33FD1">
      <w:rPr>
        <w:noProof/>
      </w:rPr>
      <w:drawing>
        <wp:anchor distT="0" distB="0" distL="114300" distR="114300" simplePos="0" relativeHeight="251659264" behindDoc="0" locked="0" layoutInCell="1" allowOverlap="1" wp14:anchorId="71A8C806" wp14:editId="730E7102">
          <wp:simplePos x="0" y="0"/>
          <wp:positionH relativeFrom="column">
            <wp:posOffset>1058</wp:posOffset>
          </wp:positionH>
          <wp:positionV relativeFrom="page">
            <wp:posOffset>10058427</wp:posOffset>
          </wp:positionV>
          <wp:extent cx="859155" cy="215846"/>
          <wp:effectExtent l="0" t="0" r="0" b="0"/>
          <wp:wrapNone/>
          <wp:docPr id="1367330120" name="lw 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w n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59155" cy="215846"/>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Pr="008A14B1">
      <w:rPr>
        <w:color w:val="002E65" w:themeColor="text1"/>
        <w:lang w:val="nl-BE"/>
      </w:rPr>
      <w:t>De vergunning van projecten voor hernieuwbare energie:</w:t>
    </w:r>
    <w:r>
      <w:rPr>
        <w:color w:val="002E65" w:themeColor="text1"/>
        <w:lang w:val="nl-BE"/>
      </w:rPr>
      <w:t xml:space="preserve"> </w:t>
    </w:r>
  </w:p>
  <w:p w14:paraId="44A18084" w14:textId="08AD0BC2" w:rsidR="000C658C" w:rsidRPr="007F4C30" w:rsidRDefault="007F4C30" w:rsidP="007F4C30">
    <w:pPr>
      <w:pStyle w:val="Voettekst"/>
      <w:rPr>
        <w:lang w:val="nl-BE"/>
      </w:rPr>
    </w:pPr>
    <w:r>
      <w:rPr>
        <w:color w:val="002E65" w:themeColor="text1"/>
        <w:lang w:val="nl-BE"/>
      </w:rPr>
      <w:tab/>
      <w:t>omgevings- en klimaatrecht als elkaars concurenten</w:t>
    </w:r>
    <w:r w:rsidRPr="008C01C5">
      <w:rPr>
        <w:color w:val="002E65" w:themeColor="text1"/>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582F7" w14:textId="68E61E85" w:rsidR="007F4C30" w:rsidRDefault="007F4C30" w:rsidP="007F4C30">
    <w:pPr>
      <w:pStyle w:val="Voettekst"/>
      <w:rPr>
        <w:color w:val="002E65" w:themeColor="text1"/>
        <w:lang w:val="nl-BE"/>
      </w:rPr>
    </w:pPr>
    <w:r w:rsidRPr="00D33FD1">
      <w:rPr>
        <w:noProof/>
      </w:rPr>
      <w:drawing>
        <wp:anchor distT="0" distB="0" distL="114300" distR="114300" simplePos="0" relativeHeight="251661312" behindDoc="0" locked="0" layoutInCell="1" allowOverlap="1" wp14:anchorId="5E739884" wp14:editId="19229D36">
          <wp:simplePos x="0" y="0"/>
          <wp:positionH relativeFrom="column">
            <wp:posOffset>1058</wp:posOffset>
          </wp:positionH>
          <wp:positionV relativeFrom="page">
            <wp:posOffset>10058427</wp:posOffset>
          </wp:positionV>
          <wp:extent cx="859155" cy="215846"/>
          <wp:effectExtent l="0" t="0" r="0" b="0"/>
          <wp:wrapNone/>
          <wp:docPr id="1048356943" name="lw 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w n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59155" cy="215846"/>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Pr="008A14B1">
      <w:rPr>
        <w:color w:val="002E65" w:themeColor="text1"/>
        <w:lang w:val="nl-BE"/>
      </w:rPr>
      <w:t>De vergunning van projecten voor hernieuwbare energie:</w:t>
    </w:r>
    <w:r>
      <w:rPr>
        <w:color w:val="002E65" w:themeColor="text1"/>
        <w:lang w:val="nl-BE"/>
      </w:rPr>
      <w:t xml:space="preserve"> </w:t>
    </w:r>
  </w:p>
  <w:p w14:paraId="2C8DFEC5" w14:textId="550226B3" w:rsidR="007F4C30" w:rsidRPr="007F4C30" w:rsidRDefault="007F4C30" w:rsidP="007F4C30">
    <w:pPr>
      <w:pStyle w:val="Voettekst"/>
      <w:rPr>
        <w:lang w:val="nl-BE"/>
      </w:rPr>
    </w:pPr>
    <w:r>
      <w:rPr>
        <w:color w:val="002E65" w:themeColor="text1"/>
        <w:lang w:val="nl-BE"/>
      </w:rPr>
      <w:tab/>
      <w:t>omgevings- en klimaatrecht als elkaars concurenten</w:t>
    </w:r>
    <w:r w:rsidRPr="008C01C5">
      <w:rPr>
        <w:color w:val="002E65" w:themeColor="text1"/>
      </w:rPr>
      <w:ptab w:relativeTo="margin" w:alignment="right" w:leader="none"/>
    </w:r>
    <w:r w:rsidRPr="008A14B1">
      <w:rPr>
        <w:b/>
        <w:bCs/>
        <w:color w:val="D20824" w:themeColor="accent2"/>
        <w:lang w:val="nl-BE"/>
      </w:rPr>
      <w:t>|</w:t>
    </w:r>
    <w:r w:rsidRPr="007F4C30">
      <w:rPr>
        <w:color w:val="002E65" w:themeColor="text1"/>
        <w:lang w:val="nl-BE"/>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7DF4C" w14:textId="77777777" w:rsidR="000774CA" w:rsidRDefault="000774CA" w:rsidP="00C82812">
      <w:r>
        <w:separator/>
      </w:r>
    </w:p>
  </w:footnote>
  <w:footnote w:type="continuationSeparator" w:id="0">
    <w:p w14:paraId="5B91F124" w14:textId="77777777" w:rsidR="000774CA" w:rsidRDefault="000774CA" w:rsidP="00C82812">
      <w:r>
        <w:continuationSeparator/>
      </w:r>
    </w:p>
  </w:footnote>
  <w:footnote w:id="1">
    <w:p w14:paraId="594EE50A" w14:textId="5AA91E71" w:rsidR="0084599B" w:rsidRPr="004D1F2F" w:rsidRDefault="0084599B"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NOELS</w:t>
      </w:r>
      <w:r w:rsidR="00211CAD" w:rsidRPr="004D1F2F">
        <w:rPr>
          <w:rFonts w:cstheme="minorHAnsi"/>
          <w:lang w:val="nl-NL"/>
        </w:rPr>
        <w:t xml:space="preserve"> G.</w:t>
      </w:r>
      <w:r w:rsidRPr="004D1F2F">
        <w:rPr>
          <w:rFonts w:cstheme="minorHAnsi"/>
          <w:lang w:val="nl-NL"/>
        </w:rPr>
        <w:t xml:space="preserve">, </w:t>
      </w:r>
      <w:r w:rsidRPr="004D1F2F">
        <w:rPr>
          <w:rFonts w:cstheme="minorHAnsi"/>
          <w:i/>
          <w:iCs/>
          <w:lang w:val="nl-NL"/>
        </w:rPr>
        <w:t>Econoshock</w:t>
      </w:r>
      <w:r w:rsidR="0031311A" w:rsidRPr="004D1F2F">
        <w:rPr>
          <w:rFonts w:cstheme="minorHAnsi"/>
          <w:i/>
          <w:iCs/>
          <w:lang w:val="nl-NL"/>
        </w:rPr>
        <w:t>:</w:t>
      </w:r>
      <w:r w:rsidRPr="004D1F2F">
        <w:rPr>
          <w:rFonts w:cstheme="minorHAnsi"/>
          <w:i/>
          <w:iCs/>
          <w:lang w:val="nl-NL"/>
        </w:rPr>
        <w:t xml:space="preserve"> Hoe zes economische schokken uw leven fundamenteel zullen veranderen</w:t>
      </w:r>
      <w:r w:rsidRPr="004D1F2F">
        <w:rPr>
          <w:rFonts w:cstheme="minorHAnsi"/>
          <w:lang w:val="nl-NL"/>
        </w:rPr>
        <w:t>, Houtekiet, 2008, 163.</w:t>
      </w:r>
    </w:p>
  </w:footnote>
  <w:footnote w:id="2">
    <w:p w14:paraId="49E92715" w14:textId="1892DAA6" w:rsidR="00C83696" w:rsidRPr="004D1F2F" w:rsidRDefault="00C83696" w:rsidP="00DA15D2">
      <w:pPr>
        <w:pStyle w:val="Voetnoottekst"/>
        <w:jc w:val="both"/>
        <w:rPr>
          <w:rFonts w:cstheme="minorHAnsi"/>
        </w:rPr>
      </w:pPr>
      <w:r w:rsidRPr="004D1F2F">
        <w:rPr>
          <w:rStyle w:val="Voetnootmarkering"/>
          <w:rFonts w:cstheme="minorHAnsi"/>
        </w:rPr>
        <w:footnoteRef/>
      </w:r>
      <w:r w:rsidRPr="004D1F2F">
        <w:rPr>
          <w:rFonts w:cstheme="minorHAnsi"/>
        </w:rPr>
        <w:t xml:space="preserve"> TAINTER J., </w:t>
      </w:r>
      <w:r w:rsidRPr="004D1F2F">
        <w:rPr>
          <w:rFonts w:cstheme="minorHAnsi"/>
          <w:i/>
          <w:iCs/>
        </w:rPr>
        <w:t>The collapse of Complex Societies (New Studies in Archeology)</w:t>
      </w:r>
      <w:r w:rsidRPr="004D1F2F">
        <w:rPr>
          <w:rFonts w:cstheme="minorHAnsi"/>
        </w:rPr>
        <w:t>, Cambridge University Press, 1988, 42.</w:t>
      </w:r>
    </w:p>
  </w:footnote>
  <w:footnote w:id="3">
    <w:p w14:paraId="20534721" w14:textId="3456DC16" w:rsidR="005263D4" w:rsidRPr="004D1F2F" w:rsidRDefault="005263D4" w:rsidP="00DA15D2">
      <w:pPr>
        <w:pStyle w:val="Voetnoottekst"/>
        <w:jc w:val="both"/>
        <w:rPr>
          <w:rFonts w:cstheme="minorHAnsi"/>
        </w:rPr>
      </w:pPr>
      <w:r w:rsidRPr="004D1F2F">
        <w:rPr>
          <w:rStyle w:val="Voetnootmarkering"/>
          <w:rFonts w:cstheme="minorHAnsi"/>
        </w:rPr>
        <w:footnoteRef/>
      </w:r>
      <w:r w:rsidRPr="004D1F2F">
        <w:rPr>
          <w:rFonts w:cstheme="minorHAnsi"/>
        </w:rPr>
        <w:t xml:space="preserve"> DIAMOND J., </w:t>
      </w:r>
      <w:r w:rsidRPr="004D1F2F">
        <w:rPr>
          <w:rFonts w:cstheme="minorHAnsi"/>
          <w:i/>
          <w:iCs/>
        </w:rPr>
        <w:t>Collapse</w:t>
      </w:r>
      <w:r w:rsidRPr="004D1F2F">
        <w:rPr>
          <w:rFonts w:cstheme="minorHAnsi"/>
        </w:rPr>
        <w:t>, North Point Press, 2013, 160.</w:t>
      </w:r>
    </w:p>
  </w:footnote>
  <w:footnote w:id="4">
    <w:p w14:paraId="42B59137" w14:textId="4D1659A1" w:rsidR="0084599B" w:rsidRPr="004D1F2F" w:rsidRDefault="0084599B"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00CF2EB2" w:rsidRPr="004D1F2F">
        <w:rPr>
          <w:rFonts w:cstheme="minorHAnsi"/>
          <w:lang w:val="nl-BE"/>
        </w:rPr>
        <w:t>FEDERALE OVERHEIDSDIENST ECONOMIE</w:t>
      </w:r>
      <w:r w:rsidRPr="004D1F2F">
        <w:rPr>
          <w:rFonts w:cstheme="minorHAnsi"/>
          <w:lang w:val="nl-NL"/>
        </w:rPr>
        <w:t xml:space="preserve">, </w:t>
      </w:r>
      <w:r w:rsidR="00657103">
        <w:rPr>
          <w:rFonts w:cstheme="minorHAnsi"/>
          <w:lang w:val="nl-NL"/>
        </w:rPr>
        <w:t>‘</w:t>
      </w:r>
      <w:r w:rsidRPr="004D1F2F">
        <w:rPr>
          <w:rFonts w:cstheme="minorHAnsi"/>
          <w:lang w:val="nl-NL"/>
        </w:rPr>
        <w:t>Veelgestelde vragen over aardgasbevoorrading</w:t>
      </w:r>
      <w:r w:rsidR="00657103">
        <w:rPr>
          <w:rFonts w:cstheme="minorHAnsi"/>
          <w:lang w:val="nl-NL"/>
        </w:rPr>
        <w:t>’</w:t>
      </w:r>
      <w:r w:rsidRPr="004D1F2F">
        <w:rPr>
          <w:rFonts w:cstheme="minorHAnsi"/>
          <w:lang w:val="nl-NL"/>
        </w:rPr>
        <w:t>, 14 oktober 2022</w:t>
      </w:r>
      <w:r w:rsidR="00CF2EB2" w:rsidRPr="004D1F2F">
        <w:rPr>
          <w:rFonts w:cstheme="minorHAnsi"/>
          <w:lang w:val="nl-NL"/>
        </w:rPr>
        <w:t xml:space="preserve">, https://economie.fgov.be/nl/themas/energie/bevoorradingszekerheid/aardgas/veelgestelde-vragen-over. </w:t>
      </w:r>
    </w:p>
  </w:footnote>
  <w:footnote w:id="5">
    <w:p w14:paraId="4A90C9FD" w14:textId="64F6CFE0" w:rsidR="0084599B" w:rsidRPr="004D1F2F" w:rsidRDefault="0084599B"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VAN ROY</w:t>
      </w:r>
      <w:r w:rsidR="00211CAD" w:rsidRPr="004D1F2F">
        <w:rPr>
          <w:rFonts w:cstheme="minorHAnsi"/>
          <w:lang w:val="nl-BE"/>
        </w:rPr>
        <w:t xml:space="preserve"> W.</w:t>
      </w:r>
      <w:r w:rsidRPr="004D1F2F">
        <w:rPr>
          <w:rFonts w:cstheme="minorHAnsi"/>
          <w:lang w:val="nl-BE"/>
        </w:rPr>
        <w:t>, VAN NIEUWENHOVE</w:t>
      </w:r>
      <w:r w:rsidR="00211CAD" w:rsidRPr="004D1F2F">
        <w:rPr>
          <w:rFonts w:cstheme="minorHAnsi"/>
          <w:lang w:val="nl-BE"/>
        </w:rPr>
        <w:t xml:space="preserve"> A.</w:t>
      </w:r>
      <w:r w:rsidRPr="004D1F2F">
        <w:rPr>
          <w:rFonts w:cstheme="minorHAnsi"/>
          <w:lang w:val="nl-BE"/>
        </w:rPr>
        <w:t xml:space="preserve">, </w:t>
      </w:r>
      <w:r w:rsidR="00657103">
        <w:rPr>
          <w:rFonts w:cstheme="minorHAnsi"/>
          <w:lang w:val="nl-BE"/>
        </w:rPr>
        <w:t>‘</w:t>
      </w:r>
      <w:r w:rsidRPr="004D1F2F">
        <w:rPr>
          <w:rFonts w:cstheme="minorHAnsi"/>
          <w:lang w:val="nl-BE"/>
        </w:rPr>
        <w:t>Uitstoot van schepen in de Noordzee: Waar rook is, is vuur</w:t>
      </w:r>
      <w:r w:rsidR="00657103">
        <w:rPr>
          <w:rFonts w:cstheme="minorHAnsi"/>
          <w:lang w:val="nl-BE"/>
        </w:rPr>
        <w:t>’</w:t>
      </w:r>
      <w:r w:rsidRPr="004D1F2F">
        <w:rPr>
          <w:rFonts w:cstheme="minorHAnsi"/>
          <w:lang w:val="nl-BE"/>
        </w:rPr>
        <w:t xml:space="preserve">, </w:t>
      </w:r>
      <w:r w:rsidRPr="004D1F2F">
        <w:rPr>
          <w:rFonts w:cstheme="minorHAnsi"/>
          <w:i/>
          <w:iCs/>
          <w:lang w:val="nl-BE"/>
        </w:rPr>
        <w:t>VLIZ: De grote rede</w:t>
      </w:r>
      <w:r w:rsidRPr="004D1F2F">
        <w:rPr>
          <w:rFonts w:cstheme="minorHAnsi"/>
          <w:lang w:val="nl-BE"/>
        </w:rPr>
        <w:t xml:space="preserve"> 2024, afl. 59, 10.</w:t>
      </w:r>
    </w:p>
  </w:footnote>
  <w:footnote w:id="6">
    <w:p w14:paraId="2FA1D50A" w14:textId="50F3EE0F" w:rsidR="0084599B" w:rsidRPr="004D1F2F" w:rsidRDefault="0084599B"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DE KEYZER</w:t>
      </w:r>
      <w:r w:rsidR="00211CAD" w:rsidRPr="004D1F2F">
        <w:rPr>
          <w:rFonts w:cstheme="minorHAnsi"/>
          <w:lang w:val="nl-NL"/>
        </w:rPr>
        <w:t xml:space="preserve"> M.</w:t>
      </w:r>
      <w:r w:rsidRPr="004D1F2F">
        <w:rPr>
          <w:rFonts w:cstheme="minorHAnsi"/>
          <w:lang w:val="nl-NL"/>
        </w:rPr>
        <w:t>, SOENS</w:t>
      </w:r>
      <w:r w:rsidR="00211CAD" w:rsidRPr="004D1F2F">
        <w:rPr>
          <w:rFonts w:cstheme="minorHAnsi"/>
          <w:lang w:val="nl-NL"/>
        </w:rPr>
        <w:t xml:space="preserve"> T.</w:t>
      </w:r>
      <w:r w:rsidRPr="004D1F2F">
        <w:rPr>
          <w:rFonts w:cstheme="minorHAnsi"/>
          <w:lang w:val="nl-NL"/>
        </w:rPr>
        <w:t xml:space="preserve"> en VERBRUGGEN</w:t>
      </w:r>
      <w:r w:rsidR="00211CAD" w:rsidRPr="004D1F2F">
        <w:rPr>
          <w:rFonts w:cstheme="minorHAnsi"/>
          <w:lang w:val="nl-NL"/>
        </w:rPr>
        <w:t xml:space="preserve"> C.</w:t>
      </w:r>
      <w:r w:rsidRPr="004D1F2F">
        <w:rPr>
          <w:rFonts w:cstheme="minorHAnsi"/>
          <w:lang w:val="nl-NL"/>
        </w:rPr>
        <w:t xml:space="preserve">, </w:t>
      </w:r>
      <w:r w:rsidRPr="004D1F2F">
        <w:rPr>
          <w:rFonts w:cstheme="minorHAnsi"/>
          <w:i/>
          <w:iCs/>
          <w:lang w:val="nl-NL"/>
        </w:rPr>
        <w:t>Mens en natuur: Een geschiedenis</w:t>
      </w:r>
      <w:r w:rsidRPr="004D1F2F">
        <w:rPr>
          <w:rFonts w:cstheme="minorHAnsi"/>
          <w:lang w:val="nl-NL"/>
        </w:rPr>
        <w:t>, Academia Press, 2024, 320.</w:t>
      </w:r>
    </w:p>
  </w:footnote>
  <w:footnote w:id="7">
    <w:p w14:paraId="6E76AA36" w14:textId="77777777" w:rsidR="0084599B" w:rsidRPr="004D1F2F" w:rsidRDefault="0084599B"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D.i. constructies waarbij restwarmte van bv. industriële sites via een ondergronds netwerk bij gezinnen terechtkomt. </w:t>
      </w:r>
    </w:p>
  </w:footnote>
  <w:footnote w:id="8">
    <w:p w14:paraId="596CC1B1" w14:textId="77777777" w:rsidR="0084599B" w:rsidRPr="004D1F2F" w:rsidRDefault="0084599B"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D.i. energie die wordt opgewekt door waterkracht.</w:t>
      </w:r>
    </w:p>
  </w:footnote>
  <w:footnote w:id="9">
    <w:p w14:paraId="3C4F88AE" w14:textId="77777777" w:rsidR="0084599B" w:rsidRPr="004D1F2F" w:rsidRDefault="0084599B"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D.i. energie die wordt opgewerkt door aardwarmte.</w:t>
      </w:r>
    </w:p>
  </w:footnote>
  <w:footnote w:id="10">
    <w:p w14:paraId="523B4BD5" w14:textId="77777777" w:rsidR="0084599B" w:rsidRPr="004D1F2F" w:rsidRDefault="0084599B"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Let wel: biomassa wordt slechts als hernieuwbare energiebron beschouwd wanneer de gebruikte biomassa ook wordt hernieuwd.</w:t>
      </w:r>
    </w:p>
  </w:footnote>
  <w:footnote w:id="11">
    <w:p w14:paraId="47D9154D" w14:textId="54465952" w:rsidR="0084599B" w:rsidRPr="004D1F2F" w:rsidRDefault="0084599B" w:rsidP="00DA15D2">
      <w:pPr>
        <w:pStyle w:val="Voetnoottekst"/>
        <w:jc w:val="both"/>
        <w:rPr>
          <w:rFonts w:cstheme="minorHAnsi"/>
          <w:lang w:val="nl-BE"/>
        </w:rPr>
      </w:pPr>
      <w:r w:rsidRPr="004D1F2F">
        <w:rPr>
          <w:rStyle w:val="Voetnootmarkering"/>
          <w:rFonts w:cstheme="minorHAnsi"/>
        </w:rPr>
        <w:footnoteRef/>
      </w:r>
      <w:r w:rsidRPr="004D1F2F">
        <w:rPr>
          <w:rFonts w:cstheme="minorHAnsi"/>
        </w:rPr>
        <w:t xml:space="preserve"> VEENSTRA</w:t>
      </w:r>
      <w:r w:rsidR="00211CAD" w:rsidRPr="004D1F2F">
        <w:rPr>
          <w:rFonts w:cstheme="minorHAnsi"/>
        </w:rPr>
        <w:t xml:space="preserve"> Y. J.</w:t>
      </w:r>
      <w:r w:rsidRPr="004D1F2F">
        <w:rPr>
          <w:rFonts w:cstheme="minorHAnsi"/>
        </w:rPr>
        <w:t xml:space="preserve">, </w:t>
      </w:r>
      <w:r w:rsidRPr="004D1F2F">
        <w:rPr>
          <w:rFonts w:cstheme="minorHAnsi"/>
          <w:i/>
          <w:iCs/>
        </w:rPr>
        <w:t>Fragmentation or integration? Exploring aquathermal energy governance: A Metropolitan Region of Amsterdam case study</w:t>
      </w:r>
      <w:r w:rsidRPr="004D1F2F">
        <w:rPr>
          <w:rFonts w:cstheme="minorHAnsi"/>
        </w:rPr>
        <w:t xml:space="preserve">, onuitg. </w:t>
      </w:r>
      <w:r w:rsidRPr="004D1F2F">
        <w:rPr>
          <w:rFonts w:cstheme="minorHAnsi"/>
          <w:lang w:val="nl-BE"/>
        </w:rPr>
        <w:t>Meesterproef Spatial Planning Utrecht University, 35</w:t>
      </w:r>
      <w:r w:rsidR="00AE28C6">
        <w:rPr>
          <w:rFonts w:cstheme="minorHAnsi"/>
          <w:lang w:val="nl-BE"/>
        </w:rPr>
        <w:t xml:space="preserve">, </w:t>
      </w:r>
      <w:r w:rsidR="00AE28C6" w:rsidRPr="00AE28C6">
        <w:rPr>
          <w:rFonts w:cstheme="minorHAnsi"/>
          <w:lang w:val="nl-BE"/>
        </w:rPr>
        <w:t>https://studenttheses.uu.nl/handle/20.500.12932/47043</w:t>
      </w:r>
      <w:r w:rsidR="00AE28C6">
        <w:rPr>
          <w:rFonts w:cstheme="minorHAnsi"/>
          <w:lang w:val="nl-BE"/>
        </w:rPr>
        <w:t xml:space="preserve"> (geraadpleegd op 7 november 2024).</w:t>
      </w:r>
    </w:p>
  </w:footnote>
  <w:footnote w:id="12">
    <w:p w14:paraId="6E130C87" w14:textId="77777777" w:rsidR="0084599B" w:rsidRPr="004D1F2F" w:rsidRDefault="0084599B"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Art. 3, 8° MB 27 mei 2024 over de organisatie van de call voor het jaar 2024 voor de ondersteuning van nuttige groene warmte, de ondersteuning van restwarmte en energie-efficiënte stadsverwarming of -koeling, </w:t>
      </w:r>
      <w:r w:rsidRPr="004D1F2F">
        <w:rPr>
          <w:rFonts w:cstheme="minorHAnsi"/>
          <w:i/>
          <w:iCs/>
          <w:lang w:val="nl-NL"/>
        </w:rPr>
        <w:t>BS</w:t>
      </w:r>
      <w:r w:rsidRPr="004D1F2F">
        <w:rPr>
          <w:rFonts w:cstheme="minorHAnsi"/>
          <w:lang w:val="nl-NL"/>
        </w:rPr>
        <w:t xml:space="preserve"> 26 juni 2024.</w:t>
      </w:r>
    </w:p>
  </w:footnote>
  <w:footnote w:id="13">
    <w:p w14:paraId="477AE30D" w14:textId="4E26249E" w:rsidR="00C4682D" w:rsidRPr="004D1F2F" w:rsidRDefault="00C4682D" w:rsidP="00DA15D2">
      <w:pPr>
        <w:pStyle w:val="Voetnoottekst"/>
        <w:jc w:val="both"/>
        <w:rPr>
          <w:rFonts w:cstheme="minorHAnsi"/>
        </w:rPr>
      </w:pPr>
      <w:r w:rsidRPr="004D1F2F">
        <w:rPr>
          <w:rStyle w:val="Voetnootmarkering"/>
          <w:rFonts w:cstheme="minorHAnsi"/>
        </w:rPr>
        <w:footnoteRef/>
      </w:r>
      <w:r w:rsidRPr="004D1F2F">
        <w:rPr>
          <w:rFonts w:cstheme="minorHAnsi"/>
        </w:rPr>
        <w:t xml:space="preserve"> </w:t>
      </w:r>
      <w:r w:rsidR="00286F68" w:rsidRPr="004D1F2F">
        <w:rPr>
          <w:rFonts w:cstheme="minorHAnsi"/>
        </w:rPr>
        <w:t xml:space="preserve">BEVERIDGE R. en KERN K., </w:t>
      </w:r>
      <w:r w:rsidR="00657103">
        <w:rPr>
          <w:rFonts w:cstheme="minorHAnsi"/>
        </w:rPr>
        <w:t>‘</w:t>
      </w:r>
      <w:r w:rsidR="00286F68" w:rsidRPr="004D1F2F">
        <w:rPr>
          <w:rFonts w:cstheme="minorHAnsi"/>
        </w:rPr>
        <w:t>The Energiewende in Germany: Background, Developments and Future Challenges</w:t>
      </w:r>
      <w:r w:rsidR="00657103">
        <w:rPr>
          <w:rFonts w:cstheme="minorHAnsi"/>
        </w:rPr>
        <w:t>’</w:t>
      </w:r>
      <w:r w:rsidR="00286F68" w:rsidRPr="004D1F2F">
        <w:rPr>
          <w:rFonts w:cstheme="minorHAnsi"/>
        </w:rPr>
        <w:t xml:space="preserve">, </w:t>
      </w:r>
      <w:r w:rsidR="00286F68" w:rsidRPr="004D1F2F">
        <w:rPr>
          <w:rFonts w:cstheme="minorHAnsi"/>
          <w:i/>
          <w:iCs/>
        </w:rPr>
        <w:t>Renewable Energy Law and Policy Review</w:t>
      </w:r>
      <w:r w:rsidR="00286F68" w:rsidRPr="004D1F2F">
        <w:rPr>
          <w:rFonts w:cstheme="minorHAnsi"/>
        </w:rPr>
        <w:t xml:space="preserve"> 2013, 3-12.</w:t>
      </w:r>
    </w:p>
  </w:footnote>
  <w:footnote w:id="14">
    <w:p w14:paraId="4DE1FBB4" w14:textId="650F1F27" w:rsidR="00AE28C6" w:rsidRPr="00AE28C6" w:rsidRDefault="00AE28C6" w:rsidP="00DA15D2">
      <w:pPr>
        <w:pStyle w:val="Voetnoottekst"/>
        <w:jc w:val="both"/>
        <w:rPr>
          <w:lang w:val="nl-NL"/>
        </w:rPr>
      </w:pPr>
      <w:r>
        <w:rPr>
          <w:rStyle w:val="Voetnootmarkering"/>
        </w:rPr>
        <w:footnoteRef/>
      </w:r>
      <w:r w:rsidRPr="00AE28C6">
        <w:rPr>
          <w:lang w:val="nl-BE"/>
        </w:rPr>
        <w:t xml:space="preserve"> </w:t>
      </w:r>
      <w:r>
        <w:rPr>
          <w:lang w:val="nl-NL"/>
        </w:rPr>
        <w:t xml:space="preserve">De meerwaarde van onshore windenergie mag niet overschat worden, en men moet steeds in het achterhoofd houden dat ook offshore windenergie een enorme waarde toekomt binnen de energietransitie. Echter, nu de inplanting van offshore windturbines onder de bevoegdheid van het federale niveau valt, lijkt het aangewezen om de focus te beperken tot windturbineprojecten die onder het Vlaamse omgevingsrechtelijke kader vallen. Daarom ligt de focus van dit werkstuk op de inplanting van onshore windturbines. </w:t>
      </w:r>
    </w:p>
  </w:footnote>
  <w:footnote w:id="15">
    <w:p w14:paraId="11F0BA80" w14:textId="50AD31D2" w:rsidR="00922DD2" w:rsidRPr="004D1F2F" w:rsidRDefault="00922DD2"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w:t>
      </w:r>
      <w:r w:rsidRPr="004D1F2F">
        <w:rPr>
          <w:rFonts w:cstheme="minorHAnsi"/>
          <w:i/>
          <w:iCs/>
          <w:lang w:val="nl-NL"/>
        </w:rPr>
        <w:t>Vr. en Antw.</w:t>
      </w:r>
      <w:r w:rsidRPr="004D1F2F">
        <w:rPr>
          <w:rFonts w:cstheme="minorHAnsi"/>
          <w:lang w:val="nl-NL"/>
        </w:rPr>
        <w:t xml:space="preserve"> Vl. </w:t>
      </w:r>
      <w:r w:rsidRPr="004D1F2F">
        <w:rPr>
          <w:rFonts w:cstheme="minorHAnsi"/>
          <w:lang w:val="nl-BE"/>
        </w:rPr>
        <w:t>Parl. 2016-17, 13 februari 2017, (Vr. nr. 182, R. BOTHUYNE).</w:t>
      </w:r>
    </w:p>
  </w:footnote>
  <w:footnote w:id="16">
    <w:p w14:paraId="7771CE9B" w14:textId="60A9EA66" w:rsidR="00AF1426" w:rsidRPr="004D1F2F" w:rsidRDefault="00AF1426"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X, </w:t>
      </w:r>
      <w:r w:rsidRPr="004D1F2F">
        <w:rPr>
          <w:rFonts w:cstheme="minorHAnsi"/>
          <w:i/>
          <w:iCs/>
          <w:lang w:val="nl-BE"/>
        </w:rPr>
        <w:t>Studie over de perspectieven van elektrischiteitsbevoorrading 2008-2017</w:t>
      </w:r>
      <w:r w:rsidRPr="004D1F2F">
        <w:rPr>
          <w:rFonts w:cstheme="minorHAnsi"/>
          <w:lang w:val="nl-BE"/>
        </w:rPr>
        <w:t>, https://economie.fgov.be/nl/publicaties/studie-over-de-perspectieven (geraadpleegd op 26 december 2024).</w:t>
      </w:r>
    </w:p>
  </w:footnote>
  <w:footnote w:id="17">
    <w:p w14:paraId="3A5B973A" w14:textId="07369F53" w:rsidR="00AF1426" w:rsidRPr="004D1F2F" w:rsidRDefault="00AF1426" w:rsidP="00DA15D2">
      <w:pPr>
        <w:pStyle w:val="Voetnoottekst"/>
        <w:jc w:val="both"/>
        <w:rPr>
          <w:rFonts w:cstheme="minorHAnsi"/>
          <w:i/>
          <w:iCs/>
          <w:lang w:val="nl-BE"/>
        </w:rPr>
      </w:pPr>
      <w:r w:rsidRPr="004D1F2F">
        <w:rPr>
          <w:rStyle w:val="Voetnootmarkering"/>
          <w:rFonts w:cstheme="minorHAnsi"/>
        </w:rPr>
        <w:footnoteRef/>
      </w:r>
      <w:r w:rsidRPr="004D1F2F">
        <w:rPr>
          <w:rFonts w:cstheme="minorHAnsi"/>
          <w:lang w:val="nl-BE"/>
        </w:rPr>
        <w:t xml:space="preserve"> VITO, ‘BREGILAB-project stelt technisch potentieel wind en zon binnen België beschikbaar’, https://vito.be/nl/nieuws/bregilab-project-stelt-technisch-potentieel-wind-en-zon-binnen-belgie-beschikbaar-online (geraadpleegd op 26 december 2024).</w:t>
      </w:r>
    </w:p>
  </w:footnote>
  <w:footnote w:id="18">
    <w:p w14:paraId="7E66C1E8" w14:textId="77777777" w:rsidR="00AF1426" w:rsidRPr="004D1F2F" w:rsidRDefault="00AF1426"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Dit volgt ondubbelzinnig uit de bevindingen in het zevende hoofdstuk ‘ruimte en energie’ van het Ruimterapport Vlaanderen (RURA) van 2018.</w:t>
      </w:r>
    </w:p>
  </w:footnote>
  <w:footnote w:id="19">
    <w:p w14:paraId="0D09BE2F" w14:textId="7099DFB6" w:rsidR="0022549E" w:rsidRPr="004D1F2F" w:rsidRDefault="0022549E"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00E344DF" w:rsidRPr="004D1F2F">
        <w:rPr>
          <w:rFonts w:cstheme="minorHAnsi"/>
          <w:lang w:val="nl-NL"/>
        </w:rPr>
        <w:t xml:space="preserve">Zie </w:t>
      </w:r>
      <w:r w:rsidR="00E344DF" w:rsidRPr="004D1F2F">
        <w:rPr>
          <w:rFonts w:cstheme="minorHAnsi"/>
          <w:i/>
          <w:iCs/>
          <w:lang w:val="nl-NL"/>
        </w:rPr>
        <w:t>infra</w:t>
      </w:r>
      <w:r w:rsidR="00E344DF" w:rsidRPr="004D1F2F">
        <w:rPr>
          <w:rFonts w:cstheme="minorHAnsi"/>
          <w:lang w:val="nl-NL"/>
        </w:rPr>
        <w:t>, nr. 19-20.</w:t>
      </w:r>
    </w:p>
  </w:footnote>
  <w:footnote w:id="20">
    <w:p w14:paraId="17413D2C" w14:textId="77777777" w:rsidR="009E67EF" w:rsidRPr="004D1F2F" w:rsidRDefault="009E67EF" w:rsidP="009E67EF">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GEENS. J., STERCKX T. en VERHULST O., </w:t>
      </w:r>
      <w:r w:rsidRPr="004D1F2F">
        <w:rPr>
          <w:rFonts w:cstheme="minorHAnsi"/>
          <w:i/>
          <w:iCs/>
          <w:lang w:val="nl-BE"/>
        </w:rPr>
        <w:t>De omgevingsvergunning: praktijkgids 2018</w:t>
      </w:r>
      <w:r w:rsidRPr="004D1F2F">
        <w:rPr>
          <w:rFonts w:cstheme="minorHAnsi"/>
          <w:lang w:val="nl-BE"/>
        </w:rPr>
        <w:t>, Die Keure, 2018, 25-34.</w:t>
      </w:r>
    </w:p>
  </w:footnote>
  <w:footnote w:id="21">
    <w:p w14:paraId="19DA0D9C" w14:textId="3408582F" w:rsidR="00BE7A7D" w:rsidRPr="004D1F2F" w:rsidRDefault="00BE7A7D"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w:t>
      </w:r>
      <w:r w:rsidRPr="004D1F2F">
        <w:rPr>
          <w:rFonts w:cstheme="minorHAnsi"/>
          <w:i/>
          <w:iCs/>
          <w:lang w:val="nl-BE"/>
        </w:rPr>
        <w:t>Parl.</w:t>
      </w:r>
      <w:r w:rsidR="00152BDB" w:rsidRPr="004D1F2F">
        <w:rPr>
          <w:rFonts w:cstheme="minorHAnsi"/>
          <w:i/>
          <w:iCs/>
          <w:lang w:val="nl-BE"/>
        </w:rPr>
        <w:t>St.</w:t>
      </w:r>
      <w:r w:rsidR="00152BDB" w:rsidRPr="004D1F2F">
        <w:rPr>
          <w:rFonts w:cstheme="minorHAnsi"/>
          <w:lang w:val="nl-BE"/>
        </w:rPr>
        <w:t xml:space="preserve"> Vl.Parl. 2013-14, stuk 2334/8, 5. Zie ook: JANSSENS L., “Omgevingsrecht en nutsvoorzieningen” in DEKETELAERE K. en DELVAUX B., </w:t>
      </w:r>
      <w:r w:rsidR="00152BDB" w:rsidRPr="004D1F2F">
        <w:rPr>
          <w:rFonts w:cstheme="minorHAnsi"/>
          <w:i/>
          <w:iCs/>
          <w:lang w:val="nl-BE"/>
        </w:rPr>
        <w:t>Jaarboek Energierecht 2018</w:t>
      </w:r>
      <w:r w:rsidR="00152BDB" w:rsidRPr="004D1F2F">
        <w:rPr>
          <w:rFonts w:cstheme="minorHAnsi"/>
          <w:lang w:val="nl-BE"/>
        </w:rPr>
        <w:t>, Antwerpen, Intersentia, 2019, 288.</w:t>
      </w:r>
    </w:p>
  </w:footnote>
  <w:footnote w:id="22">
    <w:p w14:paraId="0F3D0067" w14:textId="7F109573" w:rsidR="00152BDB" w:rsidRPr="004D1F2F" w:rsidRDefault="00152BDB"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Conceptnota voor nieuwe regelgeving betreffende het stimuleren van kleine en middelgrote wondturbines, </w:t>
      </w:r>
      <w:r w:rsidRPr="004D1F2F">
        <w:rPr>
          <w:rFonts w:cstheme="minorHAnsi"/>
          <w:i/>
          <w:iCs/>
          <w:lang w:val="nl-BE"/>
        </w:rPr>
        <w:t>Parl.St.</w:t>
      </w:r>
      <w:r w:rsidRPr="004D1F2F">
        <w:rPr>
          <w:rFonts w:cstheme="minorHAnsi"/>
          <w:lang w:val="nl-BE"/>
        </w:rPr>
        <w:t xml:space="preserve"> Vl.Parl. 2017-18, nr. 1636/1, 4.</w:t>
      </w:r>
    </w:p>
  </w:footnote>
  <w:footnote w:id="23">
    <w:p w14:paraId="2C145BC0" w14:textId="281E10F3" w:rsidR="009C6F7D" w:rsidRPr="004D1F2F" w:rsidRDefault="009C6F7D"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DE BRUCKER L., </w:t>
      </w:r>
      <w:r w:rsidRPr="004D1F2F">
        <w:rPr>
          <w:rFonts w:cstheme="minorHAnsi"/>
          <w:i/>
          <w:iCs/>
          <w:lang w:val="nl-BE"/>
        </w:rPr>
        <w:t xml:space="preserve">De vergunning van windturbines in </w:t>
      </w:r>
      <w:r w:rsidR="00A44A02" w:rsidRPr="004D1F2F">
        <w:rPr>
          <w:rFonts w:cstheme="minorHAnsi"/>
          <w:i/>
          <w:iCs/>
          <w:lang w:val="nl-BE"/>
        </w:rPr>
        <w:t>het Vlaamse Gewest</w:t>
      </w:r>
      <w:r w:rsidRPr="004D1F2F">
        <w:rPr>
          <w:rFonts w:cstheme="minorHAnsi"/>
          <w:lang w:val="nl-BE"/>
        </w:rPr>
        <w:t>, Intersentia, 2021, 114.</w:t>
      </w:r>
    </w:p>
  </w:footnote>
  <w:footnote w:id="24">
    <w:p w14:paraId="41546AB4" w14:textId="5BBF2B66" w:rsidR="005A17D5" w:rsidRPr="004D1F2F" w:rsidRDefault="005A17D5"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Artikel 15, §1, eerste lid en §6 en artikel 15/1, tweede lid OVD.</w:t>
      </w:r>
    </w:p>
  </w:footnote>
  <w:footnote w:id="25">
    <w:p w14:paraId="35913E78" w14:textId="5201FA2B" w:rsidR="00535485" w:rsidRPr="004D1F2F" w:rsidRDefault="00535485"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w:t>
      </w:r>
      <w:bookmarkStart w:id="8" w:name="_Hlk185002890"/>
      <w:r w:rsidRPr="004D1F2F">
        <w:rPr>
          <w:rFonts w:cstheme="minorHAnsi"/>
          <w:lang w:val="nl-BE"/>
        </w:rPr>
        <w:t xml:space="preserve">Bijlage 1 </w:t>
      </w:r>
      <w:r w:rsidR="00557DE5" w:rsidRPr="004D1F2F">
        <w:rPr>
          <w:rFonts w:cstheme="minorHAnsi"/>
          <w:lang w:val="nl-BE"/>
        </w:rPr>
        <w:t>B.Vl.Reg.</w:t>
      </w:r>
      <w:r w:rsidRPr="004D1F2F">
        <w:rPr>
          <w:rFonts w:cstheme="minorHAnsi"/>
          <w:lang w:val="nl-BE"/>
        </w:rPr>
        <w:t xml:space="preserve"> van 13 februari 2015 tot aanwijzing van de Vlaamse en Provinciale projecten ter uitvoering van het decreet van 25 april 2014 betreffende de omgevingsvergunning, </w:t>
      </w:r>
      <w:r w:rsidRPr="004D1F2F">
        <w:rPr>
          <w:rFonts w:cstheme="minorHAnsi"/>
          <w:i/>
          <w:iCs/>
          <w:lang w:val="nl-BE"/>
        </w:rPr>
        <w:t>BS</w:t>
      </w:r>
      <w:r w:rsidRPr="004D1F2F">
        <w:rPr>
          <w:rFonts w:cstheme="minorHAnsi"/>
          <w:lang w:val="nl-BE"/>
        </w:rPr>
        <w:t xml:space="preserve"> 4 maart 2015.</w:t>
      </w:r>
      <w:bookmarkEnd w:id="8"/>
    </w:p>
  </w:footnote>
  <w:footnote w:id="26">
    <w:p w14:paraId="4B7DC518" w14:textId="1D68E321" w:rsidR="00535485" w:rsidRPr="004D1F2F" w:rsidRDefault="00535485"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Artikel 15, §1, derde lid en §5 en artikel 15/1, eerste lid OVD.</w:t>
      </w:r>
    </w:p>
  </w:footnote>
  <w:footnote w:id="27">
    <w:p w14:paraId="174FAFEB" w14:textId="1B313C8B" w:rsidR="00D06043" w:rsidRPr="004D1F2F" w:rsidRDefault="00D06043"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Bijlage 2 </w:t>
      </w:r>
      <w:r w:rsidR="00557DE5" w:rsidRPr="004D1F2F">
        <w:rPr>
          <w:rFonts w:cstheme="minorHAnsi"/>
          <w:lang w:val="nl-BE"/>
        </w:rPr>
        <w:t>B.Vl.Reg.</w:t>
      </w:r>
      <w:r w:rsidRPr="004D1F2F">
        <w:rPr>
          <w:rFonts w:cstheme="minorHAnsi"/>
          <w:lang w:val="nl-BE"/>
        </w:rPr>
        <w:t xml:space="preserve"> van de Vlaamse Regering van 13 februari 2015 tot aanwijzing van de Vlaamse en Provinciale projecten ter uitvoering van het decreet van 25 april 2014 betreffende de omgevingsvergunning, BS 4 maart 2015.</w:t>
      </w:r>
    </w:p>
  </w:footnote>
  <w:footnote w:id="28">
    <w:p w14:paraId="3BF75D3D" w14:textId="6B7E9F1A" w:rsidR="00C66EDA" w:rsidRPr="004D1F2F" w:rsidRDefault="00C66EDA"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Artikel 15, §1, vierde lid OVD.</w:t>
      </w:r>
    </w:p>
  </w:footnote>
  <w:footnote w:id="29">
    <w:p w14:paraId="34B2B066" w14:textId="433F0B2F" w:rsidR="00C66EDA" w:rsidRPr="004D1F2F" w:rsidRDefault="00C66EDA"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GOVAERTS G., </w:t>
      </w:r>
      <w:r w:rsidR="00657103">
        <w:rPr>
          <w:rFonts w:cstheme="minorHAnsi"/>
          <w:lang w:val="nl-BE"/>
        </w:rPr>
        <w:t>‘</w:t>
      </w:r>
      <w:r w:rsidRPr="004D1F2F">
        <w:rPr>
          <w:rFonts w:cstheme="minorHAnsi"/>
          <w:lang w:val="nl-BE"/>
        </w:rPr>
        <w:t>Omgevingsvergunning: welke bouw- en milieuprojecten worden behandeld door de provincie of het gewest?</w:t>
      </w:r>
      <w:r w:rsidR="00657103">
        <w:rPr>
          <w:rFonts w:cstheme="minorHAnsi"/>
          <w:lang w:val="nl-BE"/>
        </w:rPr>
        <w:t>’</w:t>
      </w:r>
      <w:r w:rsidRPr="004D1F2F">
        <w:rPr>
          <w:rFonts w:cstheme="minorHAnsi"/>
          <w:lang w:val="nl-BE"/>
        </w:rPr>
        <w:t xml:space="preserve">, www.jura.be.  </w:t>
      </w:r>
    </w:p>
  </w:footnote>
  <w:footnote w:id="30">
    <w:p w14:paraId="69666B26" w14:textId="2A7A51BD" w:rsidR="00A2613A" w:rsidRPr="004D1F2F" w:rsidRDefault="00A2613A"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JOPPEN L., </w:t>
      </w:r>
      <w:r w:rsidR="00657103">
        <w:rPr>
          <w:rFonts w:cstheme="minorHAnsi"/>
          <w:lang w:val="nl-BE"/>
        </w:rPr>
        <w:t>‘</w:t>
      </w:r>
      <w:r w:rsidRPr="004D1F2F">
        <w:rPr>
          <w:rFonts w:cstheme="minorHAnsi"/>
          <w:lang w:val="nl-BE"/>
        </w:rPr>
        <w:t>De vergunningsprocedure</w:t>
      </w:r>
      <w:r w:rsidR="00657103">
        <w:rPr>
          <w:rFonts w:cstheme="minorHAnsi"/>
          <w:lang w:val="nl-BE"/>
        </w:rPr>
        <w:t xml:space="preserve">’ </w:t>
      </w:r>
      <w:r w:rsidRPr="004D1F2F">
        <w:rPr>
          <w:rFonts w:cstheme="minorHAnsi"/>
          <w:lang w:val="nl-BE"/>
        </w:rPr>
        <w:t xml:space="preserve">in VAN HOORICK G. en VANSANT P., </w:t>
      </w:r>
      <w:r w:rsidRPr="004D1F2F">
        <w:rPr>
          <w:rFonts w:cstheme="minorHAnsi"/>
          <w:i/>
          <w:iCs/>
          <w:lang w:val="nl-BE"/>
        </w:rPr>
        <w:t>Zakboekje Ruimtelijke Ordening 2019</w:t>
      </w:r>
      <w:r w:rsidRPr="004D1F2F">
        <w:rPr>
          <w:rFonts w:cstheme="minorHAnsi"/>
          <w:lang w:val="nl-BE"/>
        </w:rPr>
        <w:t>, Mechelen, Kluwer, 2018, 491.</w:t>
      </w:r>
    </w:p>
  </w:footnote>
  <w:footnote w:id="31">
    <w:p w14:paraId="6D7CFE41" w14:textId="1C47C9DA" w:rsidR="006976DA" w:rsidRPr="004D1F2F" w:rsidRDefault="006976DA"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B.Vl.Reg. </w:t>
      </w:r>
      <w:r w:rsidR="00964E90" w:rsidRPr="004D1F2F">
        <w:rPr>
          <w:rFonts w:cstheme="minorHAnsi"/>
          <w:lang w:val="nl-BE"/>
        </w:rPr>
        <w:t>10 juni 2022</w:t>
      </w:r>
      <w:r w:rsidRPr="004D1F2F">
        <w:rPr>
          <w:rFonts w:cstheme="minorHAnsi"/>
          <w:lang w:val="nl-BE"/>
        </w:rPr>
        <w:t xml:space="preserve"> </w:t>
      </w:r>
      <w:r w:rsidR="00964E90" w:rsidRPr="004D1F2F">
        <w:rPr>
          <w:rFonts w:cstheme="minorHAnsi"/>
          <w:lang w:val="nl-BE"/>
        </w:rPr>
        <w:t xml:space="preserve">tot wijziging van het besluit van de Vlaamse Regering van 13 februari 2015 tot aanwijzing van de Vlaamse en provinciale projecten ter uitvoering van het decreet van 25 april 2014 betreffende de omgevingsvergunning, </w:t>
      </w:r>
      <w:r w:rsidR="00964E90" w:rsidRPr="004D1F2F">
        <w:rPr>
          <w:rFonts w:cstheme="minorHAnsi"/>
          <w:i/>
          <w:iCs/>
          <w:lang w:val="nl-BE"/>
        </w:rPr>
        <w:t>BS</w:t>
      </w:r>
      <w:r w:rsidR="00964E90" w:rsidRPr="004D1F2F">
        <w:rPr>
          <w:rFonts w:cstheme="minorHAnsi"/>
          <w:lang w:val="nl-BE"/>
        </w:rPr>
        <w:t xml:space="preserve"> 26 juni 2022.</w:t>
      </w:r>
    </w:p>
  </w:footnote>
  <w:footnote w:id="32">
    <w:p w14:paraId="255B3CCA" w14:textId="4D849A47" w:rsidR="00206A5D" w:rsidRPr="004D1F2F" w:rsidRDefault="00206A5D"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Regeringsverklaring van de Vlaamse Regering 2019-2024, 1 oktober 2019, 219.</w:t>
      </w:r>
    </w:p>
  </w:footnote>
  <w:footnote w:id="33">
    <w:p w14:paraId="2A194EC4" w14:textId="0BEE0637" w:rsidR="00206A5D" w:rsidRPr="004D1F2F" w:rsidRDefault="00206A5D"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VANHOENACKER J., </w:t>
      </w:r>
      <w:r w:rsidR="00657103">
        <w:rPr>
          <w:rFonts w:cstheme="minorHAnsi"/>
          <w:lang w:val="nl-BE"/>
        </w:rPr>
        <w:t>‘</w:t>
      </w:r>
      <w:r w:rsidRPr="004D1F2F">
        <w:rPr>
          <w:rFonts w:cstheme="minorHAnsi"/>
          <w:lang w:val="nl-BE"/>
        </w:rPr>
        <w:t>Klimaat en energie: het Vlaams Regeerakkoord uitgelicht</w:t>
      </w:r>
      <w:r w:rsidR="00657103">
        <w:rPr>
          <w:rFonts w:cstheme="minorHAnsi"/>
          <w:lang w:val="nl-BE"/>
        </w:rPr>
        <w:t>’</w:t>
      </w:r>
      <w:r w:rsidRPr="004D1F2F">
        <w:rPr>
          <w:rFonts w:cstheme="minorHAnsi"/>
          <w:lang w:val="nl-BE"/>
        </w:rPr>
        <w:t xml:space="preserve">, </w:t>
      </w:r>
      <w:r w:rsidRPr="004D1F2F">
        <w:rPr>
          <w:rFonts w:cstheme="minorHAnsi"/>
          <w:i/>
          <w:iCs/>
          <w:lang w:val="nl-BE"/>
        </w:rPr>
        <w:t>TOO</w:t>
      </w:r>
      <w:r w:rsidRPr="004D1F2F">
        <w:rPr>
          <w:rFonts w:cstheme="minorHAnsi"/>
          <w:lang w:val="nl-BE"/>
        </w:rPr>
        <w:t xml:space="preserve"> 2019, afl. 4, 355.</w:t>
      </w:r>
    </w:p>
  </w:footnote>
  <w:footnote w:id="34">
    <w:p w14:paraId="4FFC7E3C" w14:textId="145DFDCB" w:rsidR="00D43651" w:rsidRPr="004D1F2F" w:rsidRDefault="00D43651"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w:t>
      </w:r>
      <w:r w:rsidR="006F2825" w:rsidRPr="006F2825">
        <w:rPr>
          <w:rFonts w:cstheme="minorHAnsi"/>
          <w:lang w:val="nl-BE"/>
        </w:rPr>
        <w:t>VANKERSSCHAEVER S., ‘Burgemeesters zijn grootste obstakel voor meer windmolens’, De Standaard 23 februari 2018, https://www.standaard.be/cnt/dmf20180222_03372262 (geraadpleegd op 3 februari 2025)</w:t>
      </w:r>
      <w:r w:rsidRPr="004D1F2F">
        <w:rPr>
          <w:rFonts w:cstheme="minorHAnsi"/>
          <w:lang w:val="nl-BE"/>
        </w:rPr>
        <w:t xml:space="preserve">; </w:t>
      </w:r>
      <w:r w:rsidR="006F2825" w:rsidRPr="006F2825">
        <w:rPr>
          <w:rFonts w:cstheme="minorHAnsi"/>
          <w:lang w:val="nl-BE"/>
        </w:rPr>
        <w:t xml:space="preserve">WILLOCX C., ‘Gemeentes kunnen bouw van nieuwe windmolens verhinderen: sector vreest crisis’, </w:t>
      </w:r>
      <w:r w:rsidR="006F2825" w:rsidRPr="006F2825">
        <w:rPr>
          <w:rFonts w:cstheme="minorHAnsi"/>
          <w:i/>
          <w:iCs/>
          <w:lang w:val="nl-BE"/>
        </w:rPr>
        <w:t>Gazet van Antwerpen</w:t>
      </w:r>
      <w:r w:rsidR="006F2825" w:rsidRPr="006F2825">
        <w:rPr>
          <w:rFonts w:cstheme="minorHAnsi"/>
          <w:lang w:val="nl-BE"/>
        </w:rPr>
        <w:t xml:space="preserve"> 29 oktober 2019, https://www.gva.be/cnt/dmf20191028_04690078 (geraadpleegd op 2 februari 2025).</w:t>
      </w:r>
    </w:p>
  </w:footnote>
  <w:footnote w:id="35">
    <w:p w14:paraId="26FBB212" w14:textId="2C6929F7" w:rsidR="00CF0269" w:rsidRPr="004D1F2F" w:rsidRDefault="00CF0269"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w:t>
      </w:r>
      <w:r w:rsidR="00C96AF9" w:rsidRPr="004D1F2F">
        <w:rPr>
          <w:rFonts w:cstheme="minorHAnsi"/>
          <w:lang w:val="nl-BE"/>
        </w:rPr>
        <w:t>Adv.RvS van 27 april 2022, nr. 71.278/1, 6.</w:t>
      </w:r>
    </w:p>
  </w:footnote>
  <w:footnote w:id="36">
    <w:p w14:paraId="663BA6B1" w14:textId="318EEE6F" w:rsidR="00D43651" w:rsidRPr="004D1F2F" w:rsidRDefault="00D43651" w:rsidP="00DA15D2">
      <w:pPr>
        <w:pStyle w:val="Voetnoottekst"/>
        <w:jc w:val="both"/>
        <w:rPr>
          <w:rFonts w:cstheme="minorHAnsi"/>
          <w:lang w:val="nl-BE"/>
        </w:rPr>
      </w:pPr>
      <w:r w:rsidRPr="004D1F2F">
        <w:rPr>
          <w:rStyle w:val="Voetnootmarkering"/>
          <w:rFonts w:cstheme="minorHAnsi"/>
        </w:rPr>
        <w:footnoteRef/>
      </w:r>
      <w:r w:rsidRPr="004D1F2F">
        <w:rPr>
          <w:rFonts w:cstheme="minorHAnsi"/>
        </w:rPr>
        <w:t xml:space="preserve"> FEBRE R. T., </w:t>
      </w:r>
      <w:r w:rsidR="00657103">
        <w:rPr>
          <w:rFonts w:cstheme="minorHAnsi"/>
        </w:rPr>
        <w:t>‘</w:t>
      </w:r>
      <w:r w:rsidRPr="004D1F2F">
        <w:rPr>
          <w:rFonts w:cstheme="minorHAnsi"/>
        </w:rPr>
        <w:t>The juridification of environmental justice</w:t>
      </w:r>
      <w:r w:rsidR="00657103">
        <w:rPr>
          <w:rFonts w:cstheme="minorHAnsi"/>
        </w:rPr>
        <w:t>’</w:t>
      </w:r>
      <w:r w:rsidRPr="004D1F2F">
        <w:rPr>
          <w:rFonts w:cstheme="minorHAnsi"/>
        </w:rPr>
        <w:t xml:space="preserve">, </w:t>
      </w:r>
      <w:r w:rsidRPr="004D1F2F">
        <w:rPr>
          <w:rFonts w:cstheme="minorHAnsi"/>
          <w:i/>
          <w:iCs/>
        </w:rPr>
        <w:t xml:space="preserve">Rev. Jur. </w:t>
      </w:r>
      <w:r w:rsidRPr="004D1F2F">
        <w:rPr>
          <w:rFonts w:cstheme="minorHAnsi"/>
          <w:i/>
          <w:iCs/>
          <w:lang w:val="nl-BE"/>
        </w:rPr>
        <w:t>UPR</w:t>
      </w:r>
      <w:r w:rsidRPr="004D1F2F">
        <w:rPr>
          <w:rFonts w:cstheme="minorHAnsi"/>
          <w:lang w:val="nl-BE"/>
        </w:rPr>
        <w:t>, Afl. 93, 383-412.</w:t>
      </w:r>
    </w:p>
  </w:footnote>
  <w:footnote w:id="37">
    <w:p w14:paraId="4DAA059F"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Richtlijn (EU) nr. 2009/147/EG van het Europees Parlement en de Raad van 30 november 2009 inzake het behoud van de vogelstand, </w:t>
      </w:r>
      <w:r w:rsidRPr="004D1F2F">
        <w:rPr>
          <w:rFonts w:cstheme="minorHAnsi"/>
          <w:i/>
          <w:iCs/>
          <w:lang w:val="nl-NL"/>
        </w:rPr>
        <w:t>Pb.L.</w:t>
      </w:r>
      <w:r w:rsidRPr="004D1F2F">
        <w:rPr>
          <w:rFonts w:cstheme="minorHAnsi"/>
          <w:lang w:val="nl-NL"/>
        </w:rPr>
        <w:t xml:space="preserve"> 26 januari 2010, http://data.europa.eu/eli/dir/2009/147/oj. (Hierna “Vogelrichtlijn”)</w:t>
      </w:r>
    </w:p>
  </w:footnote>
  <w:footnote w:id="38">
    <w:p w14:paraId="0EA6862C"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Richtlijn (EU) nr. 92/43/EEG van de Raad van 21 mei 1992 inzake de instandhouding van de natuurlijke habitats en de wilde flora en fauna, </w:t>
      </w:r>
      <w:r w:rsidRPr="004D1F2F">
        <w:rPr>
          <w:rFonts w:cstheme="minorHAnsi"/>
          <w:i/>
          <w:iCs/>
          <w:lang w:val="nl-NL"/>
        </w:rPr>
        <w:t>Pb.L.</w:t>
      </w:r>
      <w:r w:rsidRPr="004D1F2F">
        <w:rPr>
          <w:rFonts w:cstheme="minorHAnsi"/>
          <w:lang w:val="nl-NL"/>
        </w:rPr>
        <w:t xml:space="preserve"> 22 juli 1992 http://data.europa.eu/eli/dir/1992/43/2013-07-01. (Hierna “Habitatrichtlijn”)</w:t>
      </w:r>
    </w:p>
  </w:footnote>
  <w:footnote w:id="39">
    <w:p w14:paraId="2575FE8F"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Het is evident dat de Europese Natuurherstelwet hier niet onder valt, aangezien herstel van natuur niet hetzelfde inhoudt als behoud van natuur.</w:t>
      </w:r>
    </w:p>
  </w:footnote>
  <w:footnote w:id="40">
    <w:p w14:paraId="3AB36CBF"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Artikel 1, eerste lid Vogelrichtlijn.</w:t>
      </w:r>
    </w:p>
  </w:footnote>
  <w:footnote w:id="41">
    <w:p w14:paraId="105FA917"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Artikel 2, tweede lid Habitatrichtlijn.</w:t>
      </w:r>
    </w:p>
  </w:footnote>
  <w:footnote w:id="42">
    <w:p w14:paraId="40E698B1"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Artikel 2, eerste lid Habitatrichtlijn.</w:t>
      </w:r>
    </w:p>
  </w:footnote>
  <w:footnote w:id="43">
    <w:p w14:paraId="697CA720"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B.Vl.Reg. 15 mei 2009 met betrekking tot soortenbescherming en soortenbeheer, </w:t>
      </w:r>
      <w:r w:rsidRPr="004D1F2F">
        <w:rPr>
          <w:rFonts w:cstheme="minorHAnsi"/>
          <w:i/>
          <w:iCs/>
          <w:lang w:val="nl-NL"/>
        </w:rPr>
        <w:t>BS</w:t>
      </w:r>
      <w:r w:rsidRPr="004D1F2F">
        <w:rPr>
          <w:rFonts w:cstheme="minorHAnsi"/>
          <w:lang w:val="nl-NL"/>
        </w:rPr>
        <w:t xml:space="preserve"> 13 Augustus 2009.</w:t>
      </w:r>
    </w:p>
  </w:footnote>
  <w:footnote w:id="44">
    <w:p w14:paraId="6E2454E2"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Decr.Vl. 21 oktober 1997 betreffende het natuurbehoud en het natuurlijk milieu, </w:t>
      </w:r>
      <w:r w:rsidRPr="004D1F2F">
        <w:rPr>
          <w:rFonts w:cstheme="minorHAnsi"/>
          <w:i/>
          <w:iCs/>
          <w:lang w:val="nl-BE"/>
        </w:rPr>
        <w:t>BS</w:t>
      </w:r>
      <w:r w:rsidRPr="004D1F2F">
        <w:rPr>
          <w:rFonts w:cstheme="minorHAnsi"/>
          <w:lang w:val="nl-BE"/>
        </w:rPr>
        <w:t xml:space="preserve"> 10 januari 1998.</w:t>
      </w:r>
    </w:p>
  </w:footnote>
  <w:footnote w:id="45">
    <w:p w14:paraId="02D94F47" w14:textId="77777777" w:rsidR="006F47D2" w:rsidRPr="004D1F2F" w:rsidRDefault="006F47D2"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Het gaat hier over 24 Vlaamse Vogelrichtlijngebieden die samen 98.423 ha bestrijken.</w:t>
      </w:r>
    </w:p>
  </w:footnote>
  <w:footnote w:id="46">
    <w:p w14:paraId="65C2FCEE"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Het gaat hier over 36 Vlaamse Habitatrichtlijngebieden die samen 104.888 ha bestrijken.</w:t>
      </w:r>
    </w:p>
  </w:footnote>
  <w:footnote w:id="47">
    <w:p w14:paraId="046E21C4"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Omz. OMG/2017/01 van 6 september 2017 betreffende de toepassing van de op grond van artikel 36</w:t>
      </w:r>
      <w:r w:rsidRPr="004D1F2F">
        <w:rPr>
          <w:rFonts w:cstheme="minorHAnsi"/>
          <w:i/>
          <w:iCs/>
          <w:lang w:val="nl-BE"/>
        </w:rPr>
        <w:t>ter</w:t>
      </w:r>
      <w:r w:rsidRPr="004D1F2F">
        <w:rPr>
          <w:rFonts w:cstheme="minorHAnsi"/>
          <w:lang w:val="nl-BE"/>
        </w:rPr>
        <w:t xml:space="preserve">, §3 en §4 van het Natuurdecreet opgelegde beoordeling van vergunningsaanvragen betreffende projecten of activiteiten met mogelijk betekenisvolle effecten voor speciale beschermingszones, </w:t>
      </w:r>
      <w:r w:rsidRPr="004D1F2F">
        <w:rPr>
          <w:rFonts w:cstheme="minorHAnsi"/>
          <w:i/>
          <w:iCs/>
          <w:lang w:val="nl-BE"/>
        </w:rPr>
        <w:t>BS</w:t>
      </w:r>
      <w:r w:rsidRPr="004D1F2F">
        <w:rPr>
          <w:rFonts w:cstheme="minorHAnsi"/>
          <w:lang w:val="nl-BE"/>
        </w:rPr>
        <w:t xml:space="preserve"> 12 oktober 2017.</w:t>
      </w:r>
    </w:p>
  </w:footnote>
  <w:footnote w:id="48">
    <w:p w14:paraId="10120485"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Artikel 6, derde lid Habitatrichtlijn en artikel 36</w:t>
      </w:r>
      <w:r w:rsidRPr="004D1F2F">
        <w:rPr>
          <w:rFonts w:cstheme="minorHAnsi"/>
          <w:i/>
          <w:iCs/>
          <w:lang w:val="nl-BE"/>
        </w:rPr>
        <w:t>ter</w:t>
      </w:r>
      <w:r w:rsidRPr="004D1F2F">
        <w:rPr>
          <w:rFonts w:cstheme="minorHAnsi"/>
          <w:lang w:val="nl-BE"/>
        </w:rPr>
        <w:t>, §3, eerste lid Natuurdecreet; RvS 10 november 2010, nr. 208.918, punt 23.</w:t>
      </w:r>
    </w:p>
  </w:footnote>
  <w:footnote w:id="49">
    <w:p w14:paraId="1E440B28"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RvS 27 oktober 2015, nr. 232.722.</w:t>
      </w:r>
    </w:p>
  </w:footnote>
  <w:footnote w:id="50">
    <w:p w14:paraId="336CB0C9" w14:textId="77777777" w:rsidR="006F47D2" w:rsidRPr="004D1F2F" w:rsidRDefault="006F47D2" w:rsidP="00DA15D2">
      <w:pPr>
        <w:pStyle w:val="Voetnoottekst"/>
        <w:tabs>
          <w:tab w:val="left" w:pos="851"/>
        </w:tabs>
        <w:jc w:val="both"/>
        <w:rPr>
          <w:rFonts w:cstheme="minorHAnsi"/>
          <w:lang w:val="nl-NL"/>
        </w:rPr>
      </w:pPr>
      <w:r w:rsidRPr="004D1F2F">
        <w:rPr>
          <w:rStyle w:val="Voetnootmarkering"/>
          <w:rFonts w:cstheme="minorHAnsi"/>
        </w:rPr>
        <w:footnoteRef/>
      </w:r>
      <w:r w:rsidRPr="004D1F2F">
        <w:rPr>
          <w:rFonts w:cstheme="minorHAnsi"/>
          <w:lang w:val="nl-BE"/>
        </w:rPr>
        <w:t xml:space="preserve"> RvVb 22 augustus 2024, nr. A-2324-1016, </w:t>
      </w:r>
      <w:r w:rsidRPr="004D1F2F">
        <w:rPr>
          <w:rFonts w:cstheme="minorHAnsi"/>
          <w:lang w:val="nl-NL"/>
        </w:rPr>
        <w:t>11.</w:t>
      </w:r>
    </w:p>
  </w:footnote>
  <w:footnote w:id="51">
    <w:p w14:paraId="6BC6CBC9"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RvS 27 oktober 2015, nr. 232.722; RvS 10 november 2010, nr. 208.918, punt 23; RvVb 22 augustus 2024, nr. A-2324-1016, 11.</w:t>
      </w:r>
    </w:p>
  </w:footnote>
  <w:footnote w:id="52">
    <w:p w14:paraId="4484C3C6" w14:textId="77777777" w:rsidR="006F47D2" w:rsidRPr="00EE7B83" w:rsidRDefault="006F47D2" w:rsidP="00DA15D2">
      <w:pPr>
        <w:pStyle w:val="Voetnoottekst"/>
        <w:jc w:val="both"/>
        <w:rPr>
          <w:rFonts w:cstheme="minorHAnsi"/>
          <w:lang w:val="nl-NL"/>
        </w:rPr>
      </w:pPr>
      <w:r w:rsidRPr="004D1F2F">
        <w:rPr>
          <w:rStyle w:val="Voetnootmarkering"/>
          <w:rFonts w:cstheme="minorHAnsi"/>
        </w:rPr>
        <w:footnoteRef/>
      </w:r>
      <w:r w:rsidRPr="00EE7B83">
        <w:rPr>
          <w:rFonts w:cstheme="minorHAnsi"/>
          <w:lang w:val="nl-NL"/>
        </w:rPr>
        <w:t xml:space="preserve"> RvVb 4 augustus 2015, nr. A-2015-0450; RvVb 16 augustus 2016, nr. A-1516/1436 en RvVb 22 oktober 2019, nr. A-1920-0198.</w:t>
      </w:r>
    </w:p>
  </w:footnote>
  <w:footnote w:id="53">
    <w:p w14:paraId="3457502F" w14:textId="50E4C8BA" w:rsidR="006F47D2" w:rsidRPr="004D1F2F" w:rsidRDefault="006F47D2"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RvVb 6 juni 2017, nr. A-1617/0915; RvVb 20 juni 2017, nr. A-1617-0961; RvS 4 oktober 2018, nr. 242.513; RvVb 2 april 2019, nr. A-1819-0799 en RvVb 21 mei 2019, nr. A-1819-0992. Zie ook: STRUBBE M., </w:t>
      </w:r>
      <w:r w:rsidR="00657103">
        <w:rPr>
          <w:rFonts w:cstheme="minorHAnsi"/>
          <w:lang w:val="nl-BE"/>
        </w:rPr>
        <w:t>‘</w:t>
      </w:r>
      <w:r w:rsidRPr="004D1F2F">
        <w:rPr>
          <w:rFonts w:cstheme="minorHAnsi"/>
          <w:lang w:val="nl-BE"/>
        </w:rPr>
        <w:t>De natuurtoets kent geen drempel(s)</w:t>
      </w:r>
      <w:r w:rsidR="00657103">
        <w:rPr>
          <w:rFonts w:cstheme="minorHAnsi"/>
          <w:lang w:val="nl-BE"/>
        </w:rPr>
        <w:t>’</w:t>
      </w:r>
      <w:r w:rsidRPr="004D1F2F">
        <w:rPr>
          <w:rFonts w:cstheme="minorHAnsi"/>
          <w:lang w:val="nl-BE"/>
        </w:rPr>
        <w:t xml:space="preserve">, </w:t>
      </w:r>
      <w:r w:rsidRPr="004D1F2F">
        <w:rPr>
          <w:rFonts w:cstheme="minorHAnsi"/>
          <w:i/>
          <w:iCs/>
          <w:lang w:val="nl-BE"/>
        </w:rPr>
        <w:t>STORM</w:t>
      </w:r>
      <w:r w:rsidRPr="004D1F2F">
        <w:rPr>
          <w:rFonts w:cstheme="minorHAnsi"/>
          <w:lang w:val="nl-BE"/>
        </w:rPr>
        <w:t xml:space="preserve"> 2019, afl. 2, 29.</w:t>
      </w:r>
    </w:p>
  </w:footnote>
  <w:footnote w:id="54">
    <w:p w14:paraId="14ABD8F8" w14:textId="77777777" w:rsidR="006F47D2" w:rsidRPr="004D1F2F" w:rsidRDefault="006F47D2"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RvS 27 oktober 2015, nr. 232.722; RvS 10 november 2010, nr. 208.918, punt 23; RvVb 22 augustus 2024, nr. A-2324-1016, 11.</w:t>
      </w:r>
    </w:p>
  </w:footnote>
  <w:footnote w:id="55">
    <w:p w14:paraId="1FAF56EC"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RvVb 12 januari 2023, nr. A-2223-0408, 88.</w:t>
      </w:r>
    </w:p>
  </w:footnote>
  <w:footnote w:id="56">
    <w:p w14:paraId="24A65163"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RvVb 5 november 2019, nr. A-1920-0220, 69.</w:t>
      </w:r>
    </w:p>
  </w:footnote>
  <w:footnote w:id="57">
    <w:p w14:paraId="1B8CF88B"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RvS 9 maart 2023, nr. 255.991, punt 26.</w:t>
      </w:r>
    </w:p>
  </w:footnote>
  <w:footnote w:id="58">
    <w:p w14:paraId="0A279B1B" w14:textId="77777777" w:rsidR="006F47D2" w:rsidRPr="004D1F2F" w:rsidRDefault="006F47D2"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RvS 9 maart 2023, nr. 255.991, punt 26.</w:t>
      </w:r>
    </w:p>
  </w:footnote>
  <w:footnote w:id="59">
    <w:p w14:paraId="2C760D89" w14:textId="7A97E61F"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DE SMEDT P., </w:t>
      </w:r>
      <w:r w:rsidR="00657103">
        <w:rPr>
          <w:rFonts w:cstheme="minorHAnsi"/>
          <w:lang w:val="nl-BE"/>
        </w:rPr>
        <w:t>‘</w:t>
      </w:r>
      <w:r w:rsidRPr="004D1F2F">
        <w:rPr>
          <w:rFonts w:cstheme="minorHAnsi"/>
          <w:lang w:val="nl-BE"/>
        </w:rPr>
        <w:t>Natuur en onderneming: juridische gids voor uw dagelijkse praktijk</w:t>
      </w:r>
      <w:r w:rsidR="00657103">
        <w:rPr>
          <w:rFonts w:cstheme="minorHAnsi"/>
          <w:lang w:val="nl-BE"/>
        </w:rPr>
        <w:t>’</w:t>
      </w:r>
      <w:r w:rsidRPr="004D1F2F">
        <w:rPr>
          <w:rFonts w:cstheme="minorHAnsi"/>
          <w:lang w:val="nl-BE"/>
        </w:rPr>
        <w:t xml:space="preserve">, </w:t>
      </w:r>
      <w:r w:rsidRPr="004D1F2F">
        <w:rPr>
          <w:rFonts w:cstheme="minorHAnsi"/>
          <w:i/>
          <w:iCs/>
          <w:lang w:val="nl-BE"/>
        </w:rPr>
        <w:t>OGP</w:t>
      </w:r>
      <w:r w:rsidRPr="004D1F2F">
        <w:rPr>
          <w:rFonts w:cstheme="minorHAnsi"/>
          <w:lang w:val="nl-BE"/>
        </w:rPr>
        <w:t xml:space="preserve"> 2010, afl. 212, 61; DE BACKER T., MALFAIT T. en MINY X., </w:t>
      </w:r>
      <w:r w:rsidR="00657103">
        <w:rPr>
          <w:rFonts w:cstheme="minorHAnsi"/>
          <w:lang w:val="nl-BE"/>
        </w:rPr>
        <w:t>‘</w:t>
      </w:r>
      <w:r w:rsidRPr="004D1F2F">
        <w:rPr>
          <w:rFonts w:cstheme="minorHAnsi"/>
          <w:lang w:val="nl-BE"/>
        </w:rPr>
        <w:t>De inplanting van windturbines in Vlaanderen en Wallonië: vergelijkend overzicht van de voorwaarden</w:t>
      </w:r>
      <w:r w:rsidR="00657103">
        <w:rPr>
          <w:rFonts w:cstheme="minorHAnsi"/>
          <w:lang w:val="nl-BE"/>
        </w:rPr>
        <w:t>’</w:t>
      </w:r>
      <w:r w:rsidRPr="004D1F2F">
        <w:rPr>
          <w:rFonts w:cstheme="minorHAnsi"/>
          <w:lang w:val="nl-BE"/>
        </w:rPr>
        <w:t xml:space="preserve">, </w:t>
      </w:r>
      <w:r w:rsidRPr="004D1F2F">
        <w:rPr>
          <w:rFonts w:cstheme="minorHAnsi"/>
          <w:i/>
          <w:iCs/>
          <w:lang w:val="nl-BE"/>
        </w:rPr>
        <w:t>TMR</w:t>
      </w:r>
      <w:r w:rsidRPr="004D1F2F">
        <w:rPr>
          <w:rFonts w:cstheme="minorHAnsi"/>
          <w:lang w:val="nl-BE"/>
        </w:rPr>
        <w:t xml:space="preserve"> 2015, afl. 4, 386.</w:t>
      </w:r>
    </w:p>
  </w:footnote>
  <w:footnote w:id="60">
    <w:p w14:paraId="47F2197C"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Dergelijke onzekerheden m.b.t. impactmodellen en potentiële negatieve invloeden worden ter illustratie weergegeven in JANSMAN H. A. H., MOONEN S. en LAMMERTSMA D. R., </w:t>
      </w:r>
      <w:r w:rsidRPr="004D1F2F">
        <w:rPr>
          <w:rFonts w:cstheme="minorHAnsi"/>
          <w:i/>
          <w:iCs/>
          <w:lang w:val="nl-BE"/>
        </w:rPr>
        <w:t>Additioneel vossenbeheer in Natura 2000-gebieden in de provincie Zeeland</w:t>
      </w:r>
      <w:r w:rsidRPr="004D1F2F">
        <w:rPr>
          <w:rFonts w:cstheme="minorHAnsi"/>
          <w:lang w:val="nl-BE"/>
        </w:rPr>
        <w:t xml:space="preserve">, Wageningen, Wageningen University &amp; Research, 2020, 2; BOS O. G., LEOPOLD M. F. en BOLLE L. J., </w:t>
      </w:r>
      <w:r w:rsidRPr="004D1F2F">
        <w:rPr>
          <w:rFonts w:cstheme="minorHAnsi"/>
          <w:i/>
          <w:iCs/>
          <w:lang w:val="nl-BE"/>
        </w:rPr>
        <w:t>Passende Beoordeling windparken: Effecten van heien op vislarven, vogels en zeezoogdieren</w:t>
      </w:r>
      <w:r w:rsidRPr="004D1F2F">
        <w:rPr>
          <w:rFonts w:cstheme="minorHAnsi"/>
          <w:lang w:val="nl-BE"/>
        </w:rPr>
        <w:t>, Wageningen, Wageningen University &amp; Research, 2009, 4.</w:t>
      </w:r>
    </w:p>
  </w:footnote>
  <w:footnote w:id="61">
    <w:p w14:paraId="2DC88649" w14:textId="77777777" w:rsidR="006F47D2" w:rsidRPr="006F47D2" w:rsidRDefault="006F47D2" w:rsidP="00DA15D2">
      <w:pPr>
        <w:pStyle w:val="Voetnoottekst"/>
        <w:jc w:val="both"/>
        <w:rPr>
          <w:rFonts w:cstheme="minorHAnsi"/>
        </w:rPr>
      </w:pPr>
      <w:r w:rsidRPr="004D1F2F">
        <w:rPr>
          <w:rStyle w:val="Voetnootmarkering"/>
          <w:rFonts w:cstheme="minorHAnsi"/>
        </w:rPr>
        <w:footnoteRef/>
      </w:r>
      <w:r w:rsidRPr="006F47D2">
        <w:rPr>
          <w:rFonts w:cstheme="minorHAnsi"/>
        </w:rPr>
        <w:t xml:space="preserve"> RvVb 5 mei 2022, nr. A-2122-0714, 2-3.</w:t>
      </w:r>
    </w:p>
  </w:footnote>
  <w:footnote w:id="62">
    <w:p w14:paraId="00D46901" w14:textId="77777777" w:rsidR="006F47D2" w:rsidRPr="004D1F2F" w:rsidRDefault="006F47D2" w:rsidP="00DA15D2">
      <w:pPr>
        <w:pStyle w:val="Voetnoottekst"/>
        <w:jc w:val="both"/>
        <w:rPr>
          <w:rFonts w:cstheme="minorHAnsi"/>
        </w:rPr>
      </w:pPr>
      <w:r w:rsidRPr="004D1F2F">
        <w:rPr>
          <w:rStyle w:val="Voetnootmarkering"/>
          <w:rFonts w:cstheme="minorHAnsi"/>
        </w:rPr>
        <w:footnoteRef/>
      </w:r>
      <w:r w:rsidRPr="004D1F2F">
        <w:rPr>
          <w:rFonts w:cstheme="minorHAnsi"/>
        </w:rPr>
        <w:t xml:space="preserve"> RvVb 26 mei 2020, nr. A-1920-0875.</w:t>
      </w:r>
    </w:p>
  </w:footnote>
  <w:footnote w:id="63">
    <w:p w14:paraId="6FCCED9A" w14:textId="77777777" w:rsidR="006F47D2" w:rsidRPr="006F47D2" w:rsidRDefault="006F47D2" w:rsidP="00DA15D2">
      <w:pPr>
        <w:pStyle w:val="Voetnoottekst"/>
        <w:jc w:val="both"/>
        <w:rPr>
          <w:rFonts w:cstheme="minorHAnsi"/>
          <w:lang w:val="nl-BE"/>
        </w:rPr>
      </w:pPr>
      <w:r w:rsidRPr="004D1F2F">
        <w:rPr>
          <w:rStyle w:val="Voetnootmarkering"/>
          <w:rFonts w:cstheme="minorHAnsi"/>
        </w:rPr>
        <w:footnoteRef/>
      </w:r>
      <w:r w:rsidRPr="006F47D2">
        <w:rPr>
          <w:rFonts w:cstheme="minorHAnsi"/>
          <w:lang w:val="nl-BE"/>
        </w:rPr>
        <w:t xml:space="preserve"> RvVb 9 augustus 2016, nr. A-1516-1410.</w:t>
      </w:r>
    </w:p>
  </w:footnote>
  <w:footnote w:id="64">
    <w:p w14:paraId="23C42D87"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Artikel 191 VWEU.</w:t>
      </w:r>
    </w:p>
  </w:footnote>
  <w:footnote w:id="65">
    <w:p w14:paraId="3813475F"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HvJ 7 september 2004, nr. C-127/02, par. 57 en 58.</w:t>
      </w:r>
    </w:p>
  </w:footnote>
  <w:footnote w:id="66">
    <w:p w14:paraId="56A5CB3F" w14:textId="4CECDAD3" w:rsidR="006F47D2" w:rsidRPr="004D1F2F" w:rsidRDefault="006F47D2"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RvS 9 maart 2023, nr. 255.991, punt 26.;</w:t>
      </w:r>
      <w:r w:rsidRPr="004D1F2F">
        <w:rPr>
          <w:rFonts w:cstheme="minorHAnsi"/>
          <w:lang w:val="nl-BE"/>
        </w:rPr>
        <w:t xml:space="preserve"> RvVb 5 juli 2016, nr. A</w:t>
      </w:r>
      <w:r w:rsidR="005307C8">
        <w:rPr>
          <w:rFonts w:cstheme="minorHAnsi"/>
          <w:lang w:val="nl-BE"/>
        </w:rPr>
        <w:t>-</w:t>
      </w:r>
      <w:r w:rsidRPr="004D1F2F">
        <w:rPr>
          <w:rFonts w:cstheme="minorHAnsi"/>
          <w:lang w:val="nl-BE"/>
        </w:rPr>
        <w:t>1516</w:t>
      </w:r>
      <w:r w:rsidR="005307C8">
        <w:rPr>
          <w:rFonts w:cstheme="minorHAnsi"/>
          <w:lang w:val="nl-BE"/>
        </w:rPr>
        <w:t>-</w:t>
      </w:r>
      <w:r w:rsidRPr="004D1F2F">
        <w:rPr>
          <w:rFonts w:cstheme="minorHAnsi"/>
          <w:lang w:val="nl-BE"/>
        </w:rPr>
        <w:t>1330; RvVb 26 februari 2019, nr. A</w:t>
      </w:r>
      <w:r w:rsidR="005307C8">
        <w:rPr>
          <w:rFonts w:cstheme="minorHAnsi"/>
          <w:lang w:val="nl-BE"/>
        </w:rPr>
        <w:t>-</w:t>
      </w:r>
      <w:r w:rsidRPr="004D1F2F">
        <w:rPr>
          <w:rFonts w:cstheme="minorHAnsi"/>
          <w:lang w:val="nl-BE"/>
        </w:rPr>
        <w:t>1819</w:t>
      </w:r>
      <w:r w:rsidR="005307C8">
        <w:rPr>
          <w:rFonts w:cstheme="minorHAnsi"/>
          <w:lang w:val="nl-BE"/>
        </w:rPr>
        <w:t>-</w:t>
      </w:r>
      <w:r w:rsidRPr="004D1F2F">
        <w:rPr>
          <w:rFonts w:cstheme="minorHAnsi"/>
          <w:lang w:val="nl-BE"/>
        </w:rPr>
        <w:t>0667 en RvVb 5 november 2019, nr. A</w:t>
      </w:r>
      <w:r w:rsidR="005307C8">
        <w:rPr>
          <w:rFonts w:cstheme="minorHAnsi"/>
          <w:lang w:val="nl-BE"/>
        </w:rPr>
        <w:t>-</w:t>
      </w:r>
      <w:r w:rsidRPr="004D1F2F">
        <w:rPr>
          <w:rFonts w:cstheme="minorHAnsi"/>
          <w:lang w:val="nl-BE"/>
        </w:rPr>
        <w:t>1920</w:t>
      </w:r>
      <w:r w:rsidR="005307C8">
        <w:rPr>
          <w:rFonts w:cstheme="minorHAnsi"/>
          <w:lang w:val="nl-BE"/>
        </w:rPr>
        <w:t>-</w:t>
      </w:r>
      <w:r w:rsidRPr="004D1F2F">
        <w:rPr>
          <w:rFonts w:cstheme="minorHAnsi"/>
          <w:lang w:val="nl-BE"/>
        </w:rPr>
        <w:t xml:space="preserve">0220. Zie ook VAN HOORICK G., </w:t>
      </w:r>
      <w:r w:rsidR="00657103">
        <w:rPr>
          <w:rFonts w:cstheme="minorHAnsi"/>
          <w:lang w:val="nl-BE"/>
        </w:rPr>
        <w:t>‘</w:t>
      </w:r>
      <w:r w:rsidRPr="004D1F2F">
        <w:rPr>
          <w:rFonts w:cstheme="minorHAnsi"/>
          <w:lang w:val="nl-BE"/>
        </w:rPr>
        <w:t>De implementatie van ‘Natura 2000’ in het Vlaamse Gewest</w:t>
      </w:r>
      <w:r w:rsidR="00657103">
        <w:rPr>
          <w:rFonts w:cstheme="minorHAnsi"/>
          <w:lang w:val="nl-BE"/>
        </w:rPr>
        <w:t>’</w:t>
      </w:r>
      <w:r w:rsidRPr="004D1F2F">
        <w:rPr>
          <w:rFonts w:cstheme="minorHAnsi"/>
          <w:lang w:val="nl-BE"/>
        </w:rPr>
        <w:t xml:space="preserve">, </w:t>
      </w:r>
      <w:r w:rsidRPr="004D1F2F">
        <w:rPr>
          <w:rFonts w:cstheme="minorHAnsi"/>
          <w:i/>
          <w:iCs/>
          <w:lang w:val="nl-BE"/>
        </w:rPr>
        <w:t>TMR</w:t>
      </w:r>
      <w:r w:rsidRPr="004D1F2F">
        <w:rPr>
          <w:rFonts w:cstheme="minorHAnsi"/>
          <w:lang w:val="nl-BE"/>
        </w:rPr>
        <w:t xml:space="preserve"> 2003, afl. 3, 210; DE SMEDT P., </w:t>
      </w:r>
      <w:r w:rsidR="00657103">
        <w:rPr>
          <w:rFonts w:cstheme="minorHAnsi"/>
          <w:lang w:val="nl-BE"/>
        </w:rPr>
        <w:t>‘</w:t>
      </w:r>
      <w:r w:rsidRPr="004D1F2F">
        <w:rPr>
          <w:rFonts w:cstheme="minorHAnsi"/>
          <w:lang w:val="nl-BE"/>
        </w:rPr>
        <w:t>Natuur en onderneming: juridische gids voor uw dagelijkse praktijk</w:t>
      </w:r>
      <w:r w:rsidR="00657103">
        <w:rPr>
          <w:rFonts w:cstheme="minorHAnsi"/>
          <w:lang w:val="nl-BE"/>
        </w:rPr>
        <w:t>’</w:t>
      </w:r>
      <w:r w:rsidRPr="004D1F2F">
        <w:rPr>
          <w:rFonts w:cstheme="minorHAnsi"/>
          <w:lang w:val="nl-BE"/>
        </w:rPr>
        <w:t xml:space="preserve">, </w:t>
      </w:r>
      <w:r w:rsidRPr="004D1F2F">
        <w:rPr>
          <w:rFonts w:cstheme="minorHAnsi"/>
          <w:i/>
          <w:iCs/>
          <w:lang w:val="nl-BE"/>
        </w:rPr>
        <w:t>OGP</w:t>
      </w:r>
      <w:r w:rsidRPr="004D1F2F">
        <w:rPr>
          <w:rFonts w:cstheme="minorHAnsi"/>
          <w:lang w:val="nl-BE"/>
        </w:rPr>
        <w:t xml:space="preserve"> 2010, afl. 212, 60.</w:t>
      </w:r>
    </w:p>
  </w:footnote>
  <w:footnote w:id="67">
    <w:p w14:paraId="31731185"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RvS (NL) 20 oktober 2021, nr. 202000282/1/R2, punt 9.2, </w:t>
      </w:r>
      <w:r w:rsidRPr="004D1F2F">
        <w:rPr>
          <w:rFonts w:cstheme="minorHAnsi"/>
          <w:lang w:val="nl-BE"/>
        </w:rPr>
        <w:t>ECLI:NL:RVS:2021:2304.</w:t>
      </w:r>
    </w:p>
  </w:footnote>
  <w:footnote w:id="68">
    <w:p w14:paraId="2673E8CB" w14:textId="77777777" w:rsidR="006F47D2" w:rsidRPr="004D1F2F" w:rsidRDefault="006F47D2"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RvVb 5 mei 2022, nr. A-2122-0714, punt 2.2.</w:t>
      </w:r>
    </w:p>
  </w:footnote>
  <w:footnote w:id="69">
    <w:p w14:paraId="47B6868B" w14:textId="77777777" w:rsidR="006F47D2" w:rsidRPr="004D1F2F" w:rsidRDefault="006F47D2"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RvVb 5 mei 2022, nr. A-2122-0714, punt 2.2.</w:t>
      </w:r>
    </w:p>
  </w:footnote>
  <w:footnote w:id="70">
    <w:p w14:paraId="40545152" w14:textId="77777777" w:rsidR="006F47D2" w:rsidRPr="004D1F2F" w:rsidRDefault="006F47D2" w:rsidP="00DA15D2">
      <w:pPr>
        <w:pStyle w:val="Voetnoottekst"/>
        <w:jc w:val="both"/>
        <w:rPr>
          <w:rFonts w:cstheme="minorHAnsi"/>
        </w:rPr>
      </w:pPr>
      <w:r w:rsidRPr="004D1F2F">
        <w:rPr>
          <w:rStyle w:val="Voetnootmarkering"/>
          <w:rFonts w:cstheme="minorHAnsi"/>
        </w:rPr>
        <w:footnoteRef/>
      </w:r>
      <w:r w:rsidRPr="004D1F2F">
        <w:rPr>
          <w:rFonts w:cstheme="minorHAnsi"/>
        </w:rPr>
        <w:t xml:space="preserve"> RvVb 22 augustus 2024, nr. A-2324-1016, 13-15.</w:t>
      </w:r>
    </w:p>
  </w:footnote>
  <w:footnote w:id="71">
    <w:p w14:paraId="7DC093EC" w14:textId="77777777" w:rsidR="006F47D2" w:rsidRPr="004D1F2F" w:rsidRDefault="006F47D2" w:rsidP="00DA15D2">
      <w:pPr>
        <w:pStyle w:val="Voetnoottekst"/>
        <w:jc w:val="both"/>
        <w:rPr>
          <w:rFonts w:cstheme="minorHAnsi"/>
        </w:rPr>
      </w:pPr>
      <w:r w:rsidRPr="004D1F2F">
        <w:rPr>
          <w:rStyle w:val="Voetnootmarkering"/>
          <w:rFonts w:cstheme="minorHAnsi"/>
        </w:rPr>
        <w:footnoteRef/>
      </w:r>
      <w:r w:rsidRPr="004D1F2F">
        <w:rPr>
          <w:rFonts w:cstheme="minorHAnsi"/>
        </w:rPr>
        <w:t xml:space="preserve"> RvVb 22 augustus 2024, nr. A-2324-1016, 13-15.</w:t>
      </w:r>
    </w:p>
  </w:footnote>
  <w:footnote w:id="72">
    <w:p w14:paraId="5FF7BC78" w14:textId="77777777" w:rsidR="006F47D2" w:rsidRPr="004D1F2F" w:rsidRDefault="006F47D2"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RvS 4 oktober 2018, nr. 242.513 en 242.514.</w:t>
      </w:r>
    </w:p>
  </w:footnote>
  <w:footnote w:id="73">
    <w:p w14:paraId="3E062BA0" w14:textId="68D2C68C" w:rsidR="006F47D2" w:rsidRPr="004D1F2F" w:rsidRDefault="006F47D2"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RvS 4 oktober 2018, nr. 242</w:t>
      </w:r>
      <w:r w:rsidR="005307C8">
        <w:rPr>
          <w:rFonts w:cstheme="minorHAnsi"/>
          <w:lang w:val="nl-BE"/>
        </w:rPr>
        <w:t>.</w:t>
      </w:r>
      <w:r w:rsidRPr="004D1F2F">
        <w:rPr>
          <w:rFonts w:cstheme="minorHAnsi"/>
          <w:lang w:val="nl-BE"/>
        </w:rPr>
        <w:t>513, punt 40.</w:t>
      </w:r>
    </w:p>
  </w:footnote>
  <w:footnote w:id="74">
    <w:p w14:paraId="0DC45F69" w14:textId="77777777" w:rsidR="006F47D2" w:rsidRPr="004D1F2F" w:rsidRDefault="006F47D2"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RvS 4 oktober 2018, nr. 242.513 en 242.514, punt 44.</w:t>
      </w:r>
    </w:p>
  </w:footnote>
  <w:footnote w:id="75">
    <w:p w14:paraId="418D0128" w14:textId="0E7F66CF" w:rsidR="006F47D2" w:rsidRPr="004D1F2F" w:rsidRDefault="006F47D2"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Zo worden in de rechtsleer een onderscheid gemaakt tussen verzachtende en compenserende maatregelen. In geval van verzachtende maatregelen worden negatieve gevolgen voor het gebied zo veel mogelijk beperkt of zelfs geheel geneutraliseerd, terwijl de compenserende maatregelen losstaan van het project zelf en bedoeld zijn om de gevolgen van het project voor een habitat die daarvan schade ondervindt te compenseren. Zie BOUCKAERT J., SCHELSTRAETE B. en DUBRULLE J., </w:t>
      </w:r>
      <w:r w:rsidR="00657103">
        <w:rPr>
          <w:rFonts w:cstheme="minorHAnsi"/>
          <w:lang w:val="nl-BE"/>
        </w:rPr>
        <w:t>‘</w:t>
      </w:r>
      <w:r w:rsidRPr="004D1F2F">
        <w:rPr>
          <w:rFonts w:cstheme="minorHAnsi"/>
          <w:lang w:val="nl-BE"/>
        </w:rPr>
        <w:t>Milieueffectbeoordeling in Vlaanderen</w:t>
      </w:r>
      <w:r w:rsidR="00657103">
        <w:rPr>
          <w:rFonts w:cstheme="minorHAnsi"/>
          <w:lang w:val="nl-BE"/>
        </w:rPr>
        <w:t>’</w:t>
      </w:r>
      <w:r w:rsidRPr="004D1F2F">
        <w:rPr>
          <w:rFonts w:cstheme="minorHAnsi"/>
          <w:lang w:val="nl-BE"/>
        </w:rPr>
        <w:t xml:space="preserve">, </w:t>
      </w:r>
      <w:r w:rsidRPr="004D1F2F">
        <w:rPr>
          <w:rFonts w:cstheme="minorHAnsi"/>
          <w:i/>
          <w:iCs/>
          <w:lang w:val="nl-BE"/>
        </w:rPr>
        <w:t>T.Gem.</w:t>
      </w:r>
      <w:r w:rsidRPr="004D1F2F">
        <w:rPr>
          <w:rFonts w:cstheme="minorHAnsi"/>
          <w:lang w:val="nl-BE"/>
        </w:rPr>
        <w:t xml:space="preserve"> 2014, afl. 2, 75-111.</w:t>
      </w:r>
    </w:p>
  </w:footnote>
  <w:footnote w:id="76">
    <w:p w14:paraId="59723658"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DE BRUCKER L., </w:t>
      </w:r>
      <w:r w:rsidRPr="004D1F2F">
        <w:rPr>
          <w:rFonts w:cstheme="minorHAnsi"/>
          <w:i/>
          <w:iCs/>
          <w:lang w:val="nl-NL"/>
        </w:rPr>
        <w:t>De vergunning van windturbines in het Vlaamse Gewest</w:t>
      </w:r>
      <w:r w:rsidRPr="004D1F2F">
        <w:rPr>
          <w:rFonts w:cstheme="minorHAnsi"/>
          <w:lang w:val="nl-NL"/>
        </w:rPr>
        <w:t>, Larcier-Intersentia, 2024, 884.</w:t>
      </w:r>
    </w:p>
  </w:footnote>
  <w:footnote w:id="77">
    <w:p w14:paraId="0D9BAD81"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RvVb 15 mei 2018, nr. A-1718-0556.</w:t>
      </w:r>
    </w:p>
  </w:footnote>
  <w:footnote w:id="78">
    <w:p w14:paraId="285BF80B"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RvS 20 december 2010, nr. 209.868; RvS 26 mei 2008, nr. 183.359.</w:t>
      </w:r>
    </w:p>
  </w:footnote>
  <w:footnote w:id="79">
    <w:p w14:paraId="6B479117" w14:textId="251E3C3B"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STRUBBE M., </w:t>
      </w:r>
      <w:r w:rsidR="00657103">
        <w:rPr>
          <w:rFonts w:cstheme="minorHAnsi"/>
          <w:lang w:val="nl-NL"/>
        </w:rPr>
        <w:t>‘</w:t>
      </w:r>
      <w:r w:rsidRPr="004D1F2F">
        <w:rPr>
          <w:rFonts w:cstheme="minorHAnsi"/>
          <w:lang w:val="nl-NL"/>
        </w:rPr>
        <w:t>Grondige inventarisatie natuurwaarden geen garantie voor zorgvuldige natuurtoets</w:t>
      </w:r>
      <w:r w:rsidR="00657103">
        <w:rPr>
          <w:rFonts w:cstheme="minorHAnsi"/>
          <w:lang w:val="nl-NL"/>
        </w:rPr>
        <w:t>’</w:t>
      </w:r>
      <w:r w:rsidRPr="004D1F2F">
        <w:rPr>
          <w:rFonts w:cstheme="minorHAnsi"/>
          <w:lang w:val="nl-NL"/>
        </w:rPr>
        <w:t xml:space="preserve">, </w:t>
      </w:r>
      <w:r w:rsidRPr="004D1F2F">
        <w:rPr>
          <w:rFonts w:cstheme="minorHAnsi"/>
          <w:i/>
          <w:iCs/>
          <w:lang w:val="nl-NL"/>
        </w:rPr>
        <w:t>STORM</w:t>
      </w:r>
      <w:r w:rsidRPr="004D1F2F">
        <w:rPr>
          <w:rFonts w:cstheme="minorHAnsi"/>
          <w:lang w:val="nl-NL"/>
        </w:rPr>
        <w:t xml:space="preserve"> 2020/2, bijdrage 29.</w:t>
      </w:r>
    </w:p>
  </w:footnote>
  <w:footnote w:id="80">
    <w:p w14:paraId="33960A0E"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RvS 8 juni 2006, nr. 159.792.</w:t>
      </w:r>
    </w:p>
  </w:footnote>
  <w:footnote w:id="81">
    <w:p w14:paraId="1E0C87BD"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RvS 4 oktober 2018, nr. 242.513.</w:t>
      </w:r>
    </w:p>
  </w:footnote>
  <w:footnote w:id="82">
    <w:p w14:paraId="61C03087" w14:textId="77777777" w:rsidR="006F47D2" w:rsidRPr="00FE1D2C" w:rsidRDefault="006F47D2" w:rsidP="00DA15D2">
      <w:pPr>
        <w:pStyle w:val="Voetnoottekst"/>
        <w:jc w:val="both"/>
        <w:rPr>
          <w:rFonts w:cstheme="minorHAnsi"/>
          <w:lang w:val="nl-BE"/>
        </w:rPr>
      </w:pPr>
      <w:r w:rsidRPr="004D1F2F">
        <w:rPr>
          <w:rStyle w:val="Voetnootmarkering"/>
          <w:rFonts w:cstheme="minorHAnsi"/>
        </w:rPr>
        <w:footnoteRef/>
      </w:r>
      <w:r w:rsidRPr="00FE1D2C">
        <w:rPr>
          <w:rFonts w:cstheme="minorHAnsi"/>
          <w:lang w:val="nl-BE"/>
        </w:rPr>
        <w:t xml:space="preserve"> RvVb 30 mei 2017, nr. A-1617-0906.</w:t>
      </w:r>
    </w:p>
  </w:footnote>
  <w:footnote w:id="83">
    <w:p w14:paraId="2512A733" w14:textId="77777777" w:rsidR="006F47D2" w:rsidRPr="004D1F2F" w:rsidRDefault="006F47D2"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Zo bestaat een “clusteringsprincipe” dat het clusteren van windturbineprojecten vooropstelt. Momenteel ligt dit principe verankerd in omzendbrief OMV/2023/1, waar evenwel geen verordenend karakter aan wordt toegekend. Men moet m.i. wel een bindend beleidsmatig gewenst ontwikkelingskarakter toekennen aan dit principe. Zie ter illustratie DE BRUCKER L., </w:t>
      </w:r>
      <w:r w:rsidRPr="004D1F2F">
        <w:rPr>
          <w:rFonts w:cstheme="minorHAnsi"/>
          <w:i/>
          <w:iCs/>
          <w:lang w:val="nl-BE"/>
        </w:rPr>
        <w:t>De vergunning van windturbines in het Vlaamse Gewest</w:t>
      </w:r>
      <w:r w:rsidRPr="004D1F2F">
        <w:rPr>
          <w:rFonts w:cstheme="minorHAnsi"/>
          <w:lang w:val="nl-BE"/>
        </w:rPr>
        <w:t>, Larcier-Intersentia, 2024, 781-783. Zie voor de concrete toepassing van dit clusteringsprincipe RvVb 19 februari 2019, nr. A-1819-0629, 51-52. In dit arrest benadrukt de raad dat niet alleen de huidige situatie, maar ook toekomstige ontwikkelingen in aanmerking moeten worden genomen, zoals het vooraf uitsluiten van verdere windturbine-inplanting op specifieke bedrijfssites. Hieruit blijkt dat zelfs projecten met minder dan drie turbines bij aanvraag kunnen conflicteren met het door de raad gehanteerde “toekomstgerichte” clusteringsprincipe.</w:t>
      </w:r>
    </w:p>
  </w:footnote>
  <w:footnote w:id="84">
    <w:p w14:paraId="57A5288B"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HvJ 13 december 2007, nr. C-418/04, punt 245; HvJ 21 september 1999, nr. C-392/96, punten 76 en 82.</w:t>
      </w:r>
    </w:p>
  </w:footnote>
  <w:footnote w:id="85">
    <w:p w14:paraId="76112E3D"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Artikel 6, derde lid Habitatrichtlijn.</w:t>
      </w:r>
    </w:p>
  </w:footnote>
  <w:footnote w:id="86">
    <w:p w14:paraId="0C27E0E2"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Zie ook SCHLACKE S., </w:t>
      </w:r>
      <w:r w:rsidRPr="004D1F2F">
        <w:rPr>
          <w:rFonts w:cstheme="minorHAnsi"/>
          <w:i/>
          <w:iCs/>
          <w:lang w:val="nl-BE"/>
        </w:rPr>
        <w:t>Umweltrecht</w:t>
      </w:r>
      <w:r w:rsidRPr="004D1F2F">
        <w:rPr>
          <w:rFonts w:cstheme="minorHAnsi"/>
          <w:lang w:val="nl-BE"/>
        </w:rPr>
        <w:t>, Nomos Verlagsgesellschaft, 2021.</w:t>
      </w:r>
    </w:p>
  </w:footnote>
  <w:footnote w:id="87">
    <w:p w14:paraId="70EB085A"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De visie van de Raad op ex-post aanpassingen van de passende beoordeling lijkt m.i. naar voren te schuiven dat men geen individuele aspecten van de beoordeling achteraf mag aanpassen. In dergelijk geval lijkt het vereist om een volledig nieuwe passende beoordeling uit te voeren. </w:t>
      </w:r>
    </w:p>
  </w:footnote>
  <w:footnote w:id="88">
    <w:p w14:paraId="03AC6520" w14:textId="77777777" w:rsidR="006F47D2" w:rsidRPr="004D1F2F" w:rsidRDefault="006F47D2"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RvS 24 februari 2011, nr. 211.533.</w:t>
      </w:r>
    </w:p>
  </w:footnote>
  <w:footnote w:id="89">
    <w:p w14:paraId="07B03CFE" w14:textId="77777777" w:rsidR="006F47D2" w:rsidRPr="004D1F2F" w:rsidRDefault="006F47D2"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RvS 13 augustus 2010, nr. 206.911 en RvS 5 januari 2012, nr. 217.112.</w:t>
      </w:r>
    </w:p>
  </w:footnote>
  <w:footnote w:id="90">
    <w:p w14:paraId="0F2090E0"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Art. 17 – 26bis Natuurdecreet.</w:t>
      </w:r>
    </w:p>
  </w:footnote>
  <w:footnote w:id="91">
    <w:p w14:paraId="6F62A87B"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Verordening (EU) 2022/2577 van de Raad van 22 december 2022 tot vaststelling van een kader om de inzet van hernieuwbare energie te versnellen, http://data.europa.eu/eli/reg/2022/2577/2024-07-01. Deze Europese Noodverordening bracht projecten voor de productie van hernieuwbare energie in aanmerking voor deze dwingende redenen van hoger openbaar belang.</w:t>
      </w:r>
    </w:p>
  </w:footnote>
  <w:footnote w:id="92">
    <w:p w14:paraId="36E65EFC" w14:textId="77777777" w:rsidR="006F47D2" w:rsidRPr="004D1F2F" w:rsidRDefault="006F47D2"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Art. 26bis Natuurdecreet.</w:t>
      </w:r>
    </w:p>
  </w:footnote>
  <w:footnote w:id="93">
    <w:p w14:paraId="3ED6BD64" w14:textId="77777777" w:rsidR="006F47D2" w:rsidRPr="004D1F2F" w:rsidRDefault="006F47D2"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Meer specifiek geldt in het kader van art. 26bis Natuurdecreet een zogenaamde “verscherpte” natuurtoets, terwijl het in de zin van art. 16 Natuurdecreet over een “normale” natuurtoets gaat. De finaliteit van art. 26bis is aldus scherper en restrictiever.</w:t>
      </w:r>
    </w:p>
  </w:footnote>
  <w:footnote w:id="94">
    <w:p w14:paraId="4F2C88FB" w14:textId="77777777" w:rsidR="006F47D2" w:rsidRPr="004D1F2F" w:rsidRDefault="006F47D2"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RvS 30 september 2021, nr. 251.680, punt 3.2.</w:t>
      </w:r>
    </w:p>
  </w:footnote>
  <w:footnote w:id="95">
    <w:p w14:paraId="7A8FF559" w14:textId="77777777" w:rsidR="006F47D2" w:rsidRPr="004D1F2F" w:rsidRDefault="006F47D2"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RvS 30 september 2021, nr. 251.680, </w:t>
      </w:r>
      <w:r w:rsidRPr="004D1F2F">
        <w:rPr>
          <w:rFonts w:cstheme="minorHAnsi"/>
          <w:lang w:val="nl-NL"/>
        </w:rPr>
        <w:t>punt 21.</w:t>
      </w:r>
    </w:p>
  </w:footnote>
  <w:footnote w:id="96">
    <w:p w14:paraId="28480077" w14:textId="60932CEE" w:rsidR="0089198E" w:rsidRPr="004D1F2F" w:rsidRDefault="0089198E"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Richtlijn (EU) nr. 2011/92/EU van het Europees Parlement en de Raad van 13 december 2011 betreffende de milieueffectbeoordeling van bepaalde openbare en particuliere projecten, </w:t>
      </w:r>
      <w:r w:rsidRPr="004D1F2F">
        <w:rPr>
          <w:rFonts w:cstheme="minorHAnsi"/>
          <w:i/>
          <w:iCs/>
          <w:lang w:val="nl-NL"/>
        </w:rPr>
        <w:t>Pb.L.</w:t>
      </w:r>
      <w:r w:rsidRPr="004D1F2F">
        <w:rPr>
          <w:rFonts w:cstheme="minorHAnsi"/>
          <w:lang w:val="nl-NL"/>
        </w:rPr>
        <w:t xml:space="preserve"> 28 januari 2012, http://data.europa.eu/eli/dir/2011/92/2014-05-15. </w:t>
      </w:r>
    </w:p>
  </w:footnote>
  <w:footnote w:id="97">
    <w:p w14:paraId="6D468A81" w14:textId="77777777" w:rsidR="0089198E" w:rsidRPr="004D1F2F" w:rsidRDefault="0089198E"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Decr.Vl. 18 december 2002 tot aanvulling van het decreet van 5 april 1995 houdende algemene bepalingen inzake milieubeleid met een titel betreffende de milieueffecten veiligheidsrapportage, </w:t>
      </w:r>
      <w:r w:rsidRPr="004D1F2F">
        <w:rPr>
          <w:rFonts w:cstheme="minorHAnsi"/>
          <w:i/>
          <w:iCs/>
          <w:lang w:val="nl-NL"/>
        </w:rPr>
        <w:t>BS</w:t>
      </w:r>
      <w:r w:rsidRPr="004D1F2F">
        <w:rPr>
          <w:rFonts w:cstheme="minorHAnsi"/>
          <w:lang w:val="nl-NL"/>
        </w:rPr>
        <w:t xml:space="preserve"> 13 februari 2003.</w:t>
      </w:r>
    </w:p>
  </w:footnote>
  <w:footnote w:id="98">
    <w:p w14:paraId="463C5652" w14:textId="6804C899" w:rsidR="0089198E" w:rsidRPr="004D1F2F" w:rsidRDefault="0089198E"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DE SMEDT P., </w:t>
      </w:r>
      <w:r w:rsidR="00657103">
        <w:rPr>
          <w:rFonts w:cstheme="minorHAnsi"/>
          <w:lang w:val="nl-BE"/>
        </w:rPr>
        <w:t>‘</w:t>
      </w:r>
      <w:r w:rsidRPr="004D1F2F">
        <w:rPr>
          <w:rFonts w:cstheme="minorHAnsi"/>
          <w:lang w:val="nl-BE"/>
        </w:rPr>
        <w:t>Decreetgever valideert onwettige milieunormen voor windturbines</w:t>
      </w:r>
      <w:r w:rsidR="00657103">
        <w:rPr>
          <w:rFonts w:cstheme="minorHAnsi"/>
          <w:lang w:val="nl-BE"/>
        </w:rPr>
        <w:t>’</w:t>
      </w:r>
      <w:r w:rsidRPr="004D1F2F">
        <w:rPr>
          <w:rFonts w:cstheme="minorHAnsi"/>
          <w:lang w:val="nl-BE"/>
        </w:rPr>
        <w:t xml:space="preserve">, </w:t>
      </w:r>
      <w:r w:rsidRPr="004D1F2F">
        <w:rPr>
          <w:rFonts w:cstheme="minorHAnsi"/>
          <w:i/>
          <w:iCs/>
          <w:lang w:val="nl-BE"/>
        </w:rPr>
        <w:t>Juristenkrant</w:t>
      </w:r>
      <w:r w:rsidRPr="004D1F2F">
        <w:rPr>
          <w:rFonts w:cstheme="minorHAnsi"/>
          <w:lang w:val="nl-BE"/>
        </w:rPr>
        <w:t xml:space="preserve"> 2020, afl. 413, 6.</w:t>
      </w:r>
    </w:p>
  </w:footnote>
  <w:footnote w:id="99">
    <w:p w14:paraId="13C87184" w14:textId="77777777" w:rsidR="0089198E" w:rsidRPr="00280079" w:rsidRDefault="0089198E" w:rsidP="00DA15D2">
      <w:pPr>
        <w:pStyle w:val="Voetnoottekst"/>
        <w:jc w:val="both"/>
        <w:rPr>
          <w:rFonts w:cstheme="minorHAnsi"/>
          <w:lang w:val="nl-NL"/>
        </w:rPr>
      </w:pPr>
      <w:r w:rsidRPr="004D1F2F">
        <w:rPr>
          <w:rStyle w:val="Voetnootmarkering"/>
          <w:rFonts w:cstheme="minorHAnsi"/>
        </w:rPr>
        <w:footnoteRef/>
      </w:r>
      <w:r w:rsidRPr="00280079">
        <w:rPr>
          <w:rFonts w:cstheme="minorHAnsi"/>
          <w:lang w:val="nl-NL"/>
        </w:rPr>
        <w:t xml:space="preserve"> RvS 17 maart 2010, nr. 201.966; RvS 7 april 2010, nr. 202.851; RvS 14 oktober 2011, nr. 215.768; RvS 6 januari 2012, nr. 217.128; RvS 6 januari 2012, nr. 217.133; RvS 6 januari 2013, nr. 217.125; RvS 19 maart 2013, nr. 222.919; RvS 6 juni 2013, nr. 223.754; RvS 26 juni 2013, nr. 224.119; RvS 20 september 2013, nr. 224.750; RvS 12 november 2013, nr. 225.449; RvS 12 november 2013, nr. 225.435; RvS 2 december 2013, nr. 225.664.</w:t>
      </w:r>
    </w:p>
  </w:footnote>
  <w:footnote w:id="100">
    <w:p w14:paraId="0BB793BF" w14:textId="77777777" w:rsidR="0089198E" w:rsidRPr="004D1F2F" w:rsidRDefault="0089198E"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Het gaat hier om de in Bijlage II van </w:t>
      </w:r>
      <w:r w:rsidRPr="004D1F2F">
        <w:rPr>
          <w:rFonts w:cstheme="minorHAnsi"/>
          <w:lang w:val="nl-NL"/>
        </w:rPr>
        <w:t xml:space="preserve">het besluit van de Vlaamse Regering van 10 december 2004 houdende vaststelling van de categorieën van projecten onderworpen aan de milieueffectrapportage (hierna ‘Project-MER-besluit’) </w:t>
      </w:r>
      <w:r w:rsidRPr="004D1F2F">
        <w:rPr>
          <w:rFonts w:cstheme="minorHAnsi"/>
          <w:lang w:val="nl-BE"/>
        </w:rPr>
        <w:t>opgenomen projecten die overeenkomstig artikel 4.3.2, §2 en §3 DABM aan de project-MER worden onderworpen, waarvoor evenwel ontheffing mogelijk is op verzoek van de aanvrager. Een belangrijke nuance dient gemaakt te worden i.v.m. de bewoording “</w:t>
      </w:r>
      <w:r w:rsidRPr="004D1F2F">
        <w:rPr>
          <w:rFonts w:cstheme="minorHAnsi"/>
          <w:i/>
          <w:iCs/>
          <w:lang w:val="nl-BE"/>
        </w:rPr>
        <w:t>vier of meer windturbines</w:t>
      </w:r>
      <w:r w:rsidRPr="004D1F2F">
        <w:rPr>
          <w:rFonts w:cstheme="minorHAnsi"/>
          <w:lang w:val="nl-BE"/>
        </w:rPr>
        <w:t xml:space="preserve">”, in die zin dat de aanwezigheid van één windturbine met een (mogelijk) aanzienlijke invloed binnen een park van vier of meer turbines volstaat om onder categorie te vallen. Zie </w:t>
      </w:r>
      <w:r w:rsidRPr="004D1F2F">
        <w:rPr>
          <w:rFonts w:cstheme="minorHAnsi"/>
          <w:i/>
          <w:iCs/>
          <w:lang w:val="nl-BE"/>
        </w:rPr>
        <w:t>Handleiding Windturbines</w:t>
      </w:r>
      <w:r w:rsidRPr="004D1F2F">
        <w:rPr>
          <w:rFonts w:cstheme="minorHAnsi"/>
          <w:lang w:val="nl-BE"/>
        </w:rPr>
        <w:t>, Vlaamse overheid, Dienst MER, 8.</w:t>
      </w:r>
    </w:p>
  </w:footnote>
  <w:footnote w:id="101">
    <w:p w14:paraId="1CABC21B" w14:textId="77777777" w:rsidR="0089198E" w:rsidRPr="004D1F2F" w:rsidRDefault="0089198E"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Artikel 4.3.2, §2</w:t>
      </w:r>
      <w:r w:rsidRPr="004D1F2F">
        <w:rPr>
          <w:rFonts w:cstheme="minorHAnsi"/>
          <w:i/>
          <w:iCs/>
          <w:lang w:val="nl-NL"/>
        </w:rPr>
        <w:t>bis</w:t>
      </w:r>
      <w:r w:rsidRPr="004D1F2F">
        <w:rPr>
          <w:rFonts w:cstheme="minorHAnsi"/>
          <w:lang w:val="nl-NL"/>
        </w:rPr>
        <w:t xml:space="preserve"> en §3</w:t>
      </w:r>
      <w:r w:rsidRPr="004D1F2F">
        <w:rPr>
          <w:rFonts w:cstheme="minorHAnsi"/>
          <w:i/>
          <w:iCs/>
          <w:lang w:val="nl-NL"/>
        </w:rPr>
        <w:t xml:space="preserve">bis </w:t>
      </w:r>
      <w:r w:rsidRPr="004D1F2F">
        <w:rPr>
          <w:rFonts w:cstheme="minorHAnsi"/>
          <w:lang w:val="nl-NL"/>
        </w:rPr>
        <w:t>DABM en bijlage III van het Project-MER-besluit.</w:t>
      </w:r>
    </w:p>
  </w:footnote>
  <w:footnote w:id="102">
    <w:p w14:paraId="044256BC" w14:textId="77777777" w:rsidR="0089198E" w:rsidRPr="004D1F2F" w:rsidRDefault="0089198E"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Dit is steeds afhankelijk van de beoordeling van de screening-MER door de vergunningverlenende instantie.</w:t>
      </w:r>
    </w:p>
  </w:footnote>
  <w:footnote w:id="103">
    <w:p w14:paraId="0006245F" w14:textId="77777777" w:rsidR="0089198E" w:rsidRPr="004D1F2F" w:rsidRDefault="0089198E" w:rsidP="00DA15D2">
      <w:pPr>
        <w:pStyle w:val="Voetnoottekst"/>
        <w:jc w:val="both"/>
        <w:rPr>
          <w:rFonts w:cstheme="minorHAnsi"/>
        </w:rPr>
      </w:pPr>
      <w:r w:rsidRPr="004D1F2F">
        <w:rPr>
          <w:rStyle w:val="Voetnootmarkering"/>
          <w:rFonts w:cstheme="minorHAnsi"/>
        </w:rPr>
        <w:footnoteRef/>
      </w:r>
      <w:r w:rsidRPr="004D1F2F">
        <w:rPr>
          <w:rFonts w:cstheme="minorHAnsi"/>
        </w:rPr>
        <w:t xml:space="preserve"> RvVb 24 februari 2015, nr. A-2015-088.</w:t>
      </w:r>
    </w:p>
  </w:footnote>
  <w:footnote w:id="104">
    <w:p w14:paraId="06ADFB3A" w14:textId="77777777" w:rsidR="0089198E" w:rsidRPr="004D1F2F" w:rsidRDefault="0089198E" w:rsidP="00DA15D2">
      <w:pPr>
        <w:pStyle w:val="Voetnoottekst"/>
        <w:jc w:val="both"/>
        <w:rPr>
          <w:rFonts w:cstheme="minorHAnsi"/>
        </w:rPr>
      </w:pPr>
      <w:r w:rsidRPr="004D1F2F">
        <w:rPr>
          <w:rStyle w:val="Voetnootmarkering"/>
          <w:rFonts w:cstheme="minorHAnsi"/>
        </w:rPr>
        <w:footnoteRef/>
      </w:r>
      <w:r w:rsidRPr="004D1F2F">
        <w:rPr>
          <w:rFonts w:cstheme="minorHAnsi"/>
        </w:rPr>
        <w:t xml:space="preserve"> RvVb 4 februari 2021, nr. A-2021-0610.</w:t>
      </w:r>
    </w:p>
  </w:footnote>
  <w:footnote w:id="105">
    <w:p w14:paraId="5B8B81B7" w14:textId="77777777" w:rsidR="0089198E" w:rsidRPr="004D1F2F" w:rsidRDefault="0089198E"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NL"/>
        </w:rPr>
        <w:t xml:space="preserve"> RvVb 24 februari 2015, nr. A-2015-088.</w:t>
      </w:r>
    </w:p>
  </w:footnote>
  <w:footnote w:id="106">
    <w:p w14:paraId="11FC1FF8" w14:textId="667A110C" w:rsidR="0089198E" w:rsidRPr="004D1F2F" w:rsidRDefault="0089198E"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HvJ 11 februari 2015, nr. C-531/13, overw. 45. Zie ook STRUBBE M., </w:t>
      </w:r>
      <w:r w:rsidR="00657103">
        <w:rPr>
          <w:rFonts w:cstheme="minorHAnsi"/>
          <w:lang w:val="nl-NL"/>
        </w:rPr>
        <w:t>‘</w:t>
      </w:r>
      <w:r w:rsidRPr="004D1F2F">
        <w:rPr>
          <w:rFonts w:cstheme="minorHAnsi"/>
          <w:lang w:val="nl-NL"/>
        </w:rPr>
        <w:t>Cumulatieve effecten: in de vergunningverlening: zijn ook “toekomstige” projecten relevant?</w:t>
      </w:r>
      <w:r w:rsidR="00657103">
        <w:rPr>
          <w:rFonts w:cstheme="minorHAnsi"/>
          <w:lang w:val="nl-NL"/>
        </w:rPr>
        <w:t>’</w:t>
      </w:r>
      <w:r w:rsidRPr="004D1F2F">
        <w:rPr>
          <w:rFonts w:cstheme="minorHAnsi"/>
          <w:lang w:val="nl-NL"/>
        </w:rPr>
        <w:t xml:space="preserve">, </w:t>
      </w:r>
      <w:r w:rsidRPr="004D1F2F">
        <w:rPr>
          <w:rFonts w:cstheme="minorHAnsi"/>
          <w:i/>
          <w:iCs/>
          <w:lang w:val="nl-NL"/>
        </w:rPr>
        <w:t>TROS</w:t>
      </w:r>
      <w:r w:rsidRPr="004D1F2F">
        <w:rPr>
          <w:rFonts w:cstheme="minorHAnsi"/>
          <w:lang w:val="nl-NL"/>
        </w:rPr>
        <w:t xml:space="preserve"> 2022, afl. 105, 74.</w:t>
      </w:r>
    </w:p>
  </w:footnote>
  <w:footnote w:id="107">
    <w:p w14:paraId="1063303C" w14:textId="5F224598" w:rsidR="0089198E" w:rsidRPr="004D1F2F" w:rsidRDefault="0089198E"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BOUCKAERT J., DUBRULLE J. en SCHELSTRAETE B., </w:t>
      </w:r>
      <w:r w:rsidR="00657103">
        <w:rPr>
          <w:rFonts w:cstheme="minorHAnsi"/>
          <w:lang w:val="nl-BE"/>
        </w:rPr>
        <w:t>‘</w:t>
      </w:r>
      <w:r w:rsidRPr="004D1F2F">
        <w:rPr>
          <w:rFonts w:cstheme="minorHAnsi"/>
          <w:lang w:val="nl-BE"/>
        </w:rPr>
        <w:t>Milieueffectbeoordeling in Vlaanderen</w:t>
      </w:r>
      <w:r w:rsidR="00657103">
        <w:rPr>
          <w:rFonts w:cstheme="minorHAnsi"/>
          <w:lang w:val="nl-BE"/>
        </w:rPr>
        <w:t>’</w:t>
      </w:r>
      <w:r w:rsidRPr="004D1F2F">
        <w:rPr>
          <w:rFonts w:cstheme="minorHAnsi"/>
          <w:lang w:val="nl-BE"/>
        </w:rPr>
        <w:t xml:space="preserve">, </w:t>
      </w:r>
      <w:r w:rsidRPr="004D1F2F">
        <w:rPr>
          <w:rFonts w:cstheme="minorHAnsi"/>
          <w:i/>
          <w:iCs/>
          <w:lang w:val="nl-BE"/>
        </w:rPr>
        <w:t>T.Gem.</w:t>
      </w:r>
      <w:r w:rsidRPr="004D1F2F">
        <w:rPr>
          <w:rFonts w:cstheme="minorHAnsi"/>
          <w:lang w:val="nl-BE"/>
        </w:rPr>
        <w:t xml:space="preserve"> 2015, afl. 3, 141; MCLELLAND V., </w:t>
      </w:r>
      <w:r w:rsidR="00657103">
        <w:rPr>
          <w:rFonts w:cstheme="minorHAnsi"/>
          <w:lang w:val="nl-BE"/>
        </w:rPr>
        <w:t>‘</w:t>
      </w:r>
      <w:r w:rsidRPr="004D1F2F">
        <w:rPr>
          <w:rFonts w:cstheme="minorHAnsi"/>
          <w:lang w:val="nl-BE"/>
        </w:rPr>
        <w:t>Over de beoordeling van de milieu-technische eenheid door de vergunningverlener</w:t>
      </w:r>
      <w:r w:rsidR="00657103">
        <w:rPr>
          <w:rFonts w:cstheme="minorHAnsi"/>
          <w:lang w:val="nl-BE"/>
        </w:rPr>
        <w:t>’</w:t>
      </w:r>
      <w:r w:rsidRPr="004D1F2F">
        <w:rPr>
          <w:rFonts w:cstheme="minorHAnsi"/>
          <w:lang w:val="nl-BE"/>
        </w:rPr>
        <w:t xml:space="preserve">, </w:t>
      </w:r>
      <w:r w:rsidRPr="004D1F2F">
        <w:rPr>
          <w:rFonts w:cstheme="minorHAnsi"/>
          <w:i/>
          <w:iCs/>
          <w:lang w:val="nl-BE"/>
        </w:rPr>
        <w:t>TOO</w:t>
      </w:r>
      <w:r w:rsidRPr="004D1F2F">
        <w:rPr>
          <w:rFonts w:cstheme="minorHAnsi"/>
          <w:lang w:val="nl-BE"/>
        </w:rPr>
        <w:t xml:space="preserve"> 2019, afl. 3, 292. Zie ook THOMAENS P., </w:t>
      </w:r>
      <w:r w:rsidR="00657103">
        <w:rPr>
          <w:rFonts w:cstheme="minorHAnsi"/>
          <w:lang w:val="nl-BE"/>
        </w:rPr>
        <w:t>‘</w:t>
      </w:r>
      <w:r w:rsidRPr="004D1F2F">
        <w:rPr>
          <w:rFonts w:cstheme="minorHAnsi"/>
          <w:lang w:val="nl-BE"/>
        </w:rPr>
        <w:t xml:space="preserve">’Saucissoneren’ van vergunningsaanvragen: niet </w:t>
      </w:r>
      <w:r w:rsidR="00657103">
        <w:rPr>
          <w:rFonts w:cstheme="minorHAnsi"/>
          <w:lang w:val="nl-BE"/>
        </w:rPr>
        <w:t>met voorbedachten rade’</w:t>
      </w:r>
      <w:r w:rsidRPr="004D1F2F">
        <w:rPr>
          <w:rFonts w:cstheme="minorHAnsi"/>
          <w:lang w:val="nl-BE"/>
        </w:rPr>
        <w:t xml:space="preserve">, </w:t>
      </w:r>
      <w:r w:rsidRPr="004D1F2F">
        <w:rPr>
          <w:rFonts w:cstheme="minorHAnsi"/>
          <w:i/>
          <w:iCs/>
          <w:lang w:val="nl-BE"/>
        </w:rPr>
        <w:t>TOO</w:t>
      </w:r>
      <w:r w:rsidRPr="004D1F2F">
        <w:rPr>
          <w:rFonts w:cstheme="minorHAnsi"/>
          <w:lang w:val="nl-BE"/>
        </w:rPr>
        <w:t xml:space="preserve"> 2016, afl. 1, 150-152.</w:t>
      </w:r>
    </w:p>
  </w:footnote>
  <w:footnote w:id="108">
    <w:p w14:paraId="483E17AE" w14:textId="77777777" w:rsidR="0089198E" w:rsidRPr="004D1F2F" w:rsidRDefault="0089198E"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RvS 20 februari 2008, nr. 179.933; RvS 8 december 2011, nr. 216.731; RvS 13 juni 2019, nr. 244.790.</w:t>
      </w:r>
    </w:p>
  </w:footnote>
  <w:footnote w:id="109">
    <w:p w14:paraId="111F5CA9" w14:textId="77777777" w:rsidR="0089198E" w:rsidRPr="004D1F2F" w:rsidRDefault="0089198E" w:rsidP="00DA15D2">
      <w:pPr>
        <w:pStyle w:val="Voetnoottekst"/>
        <w:jc w:val="both"/>
        <w:rPr>
          <w:rFonts w:cstheme="minorHAnsi"/>
        </w:rPr>
      </w:pPr>
      <w:r w:rsidRPr="004D1F2F">
        <w:rPr>
          <w:rStyle w:val="Voetnootmarkering"/>
          <w:rFonts w:cstheme="minorHAnsi"/>
        </w:rPr>
        <w:footnoteRef/>
      </w:r>
      <w:r w:rsidRPr="004D1F2F">
        <w:rPr>
          <w:rFonts w:cstheme="minorHAnsi"/>
        </w:rPr>
        <w:t xml:space="preserve"> RvVb 15 januari 2019, nr. A-1819-0484; RvVb 4 februari 2020, nr. A-1920-0508; RvVb 8 oktober 2020, nr. A-2021-0124.</w:t>
      </w:r>
    </w:p>
  </w:footnote>
  <w:footnote w:id="110">
    <w:p w14:paraId="7B3268D4" w14:textId="77777777" w:rsidR="0089198E" w:rsidRPr="004D1F2F" w:rsidRDefault="0089198E"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HvJ 25 juli 2008, nr. C-142/07, overw. 45; HvJ 10 december 2009, nr. C-205/08, overw. 45.</w:t>
      </w:r>
    </w:p>
  </w:footnote>
  <w:footnote w:id="111">
    <w:p w14:paraId="57EC7803" w14:textId="77777777" w:rsidR="0089198E" w:rsidRPr="004D1F2F" w:rsidRDefault="0089198E"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RvVb 11 februari 2011, nr. A-2021-0633.</w:t>
      </w:r>
    </w:p>
  </w:footnote>
  <w:footnote w:id="112">
    <w:p w14:paraId="25C4F39E" w14:textId="2CA90112" w:rsidR="0089198E" w:rsidRPr="004D1F2F" w:rsidRDefault="0089198E"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RvS 8 december 2011, nr. 216.731 en RvVb 8 oktober 2020, nr. A-2020-0124. Zie ook AERTS P., </w:t>
      </w:r>
      <w:r w:rsidR="00657103">
        <w:rPr>
          <w:rFonts w:cstheme="minorHAnsi"/>
          <w:lang w:val="nl-BE"/>
        </w:rPr>
        <w:t>‘</w:t>
      </w:r>
      <w:r w:rsidRPr="004D1F2F">
        <w:rPr>
          <w:rFonts w:cstheme="minorHAnsi"/>
          <w:lang w:val="nl-BE"/>
        </w:rPr>
        <w:t>Milieutechnische eenheid (MTE) en MER-plicht: het zijn en blijven twins</w:t>
      </w:r>
      <w:r w:rsidR="00657103">
        <w:rPr>
          <w:rFonts w:cstheme="minorHAnsi"/>
          <w:lang w:val="nl-BE"/>
        </w:rPr>
        <w:t>’</w:t>
      </w:r>
      <w:r w:rsidRPr="004D1F2F">
        <w:rPr>
          <w:rFonts w:cstheme="minorHAnsi"/>
          <w:lang w:val="nl-BE"/>
        </w:rPr>
        <w:t xml:space="preserve">, </w:t>
      </w:r>
      <w:r w:rsidRPr="004D1F2F">
        <w:rPr>
          <w:rFonts w:cstheme="minorHAnsi"/>
          <w:i/>
          <w:iCs/>
          <w:lang w:val="nl-BE"/>
        </w:rPr>
        <w:t>STORM</w:t>
      </w:r>
      <w:r w:rsidRPr="004D1F2F">
        <w:rPr>
          <w:rFonts w:cstheme="minorHAnsi"/>
          <w:lang w:val="nl-BE"/>
        </w:rPr>
        <w:t xml:space="preserve"> 2020, afl. 4, 12.</w:t>
      </w:r>
    </w:p>
  </w:footnote>
  <w:footnote w:id="113">
    <w:p w14:paraId="0FC2B6CA" w14:textId="77777777" w:rsidR="0089198E" w:rsidRPr="004D1F2F" w:rsidRDefault="0089198E" w:rsidP="00DA15D2">
      <w:pPr>
        <w:pStyle w:val="Voetnoottekst"/>
        <w:jc w:val="both"/>
        <w:rPr>
          <w:rFonts w:cstheme="minorHAnsi"/>
        </w:rPr>
      </w:pPr>
      <w:r w:rsidRPr="004D1F2F">
        <w:rPr>
          <w:rStyle w:val="Voetnootmarkering"/>
          <w:rFonts w:cstheme="minorHAnsi"/>
        </w:rPr>
        <w:footnoteRef/>
      </w:r>
      <w:r w:rsidRPr="004D1F2F">
        <w:rPr>
          <w:rFonts w:cstheme="minorHAnsi"/>
        </w:rPr>
        <w:t xml:space="preserve"> RvVb 4 augustus 2022, nr. A-2122-1024.</w:t>
      </w:r>
    </w:p>
  </w:footnote>
  <w:footnote w:id="114">
    <w:p w14:paraId="3BEB1450" w14:textId="77777777" w:rsidR="0089198E" w:rsidRPr="004D1F2F" w:rsidRDefault="0089198E" w:rsidP="00DA15D2">
      <w:pPr>
        <w:pStyle w:val="Voetnoottekst"/>
        <w:jc w:val="both"/>
        <w:rPr>
          <w:rFonts w:cstheme="minorHAnsi"/>
        </w:rPr>
      </w:pPr>
      <w:r w:rsidRPr="004D1F2F">
        <w:rPr>
          <w:rStyle w:val="Voetnootmarkering"/>
          <w:rFonts w:cstheme="minorHAnsi"/>
        </w:rPr>
        <w:footnoteRef/>
      </w:r>
      <w:r w:rsidRPr="004D1F2F">
        <w:rPr>
          <w:rFonts w:cstheme="minorHAnsi"/>
        </w:rPr>
        <w:t xml:space="preserve"> RvVb 1 september 2022, nr. A-2223-0006.</w:t>
      </w:r>
    </w:p>
  </w:footnote>
  <w:footnote w:id="115">
    <w:p w14:paraId="44770BFE" w14:textId="77777777" w:rsidR="0089198E" w:rsidRPr="004D1F2F" w:rsidRDefault="0089198E"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Dit volgt onmiskenbaar uit de aanleiding to de verplichting van een passende beoordeling binnen het kader van de regelgeving betreffende natuur- en soortenbehoud, met name de ‘</w:t>
      </w:r>
      <w:r w:rsidRPr="004D1F2F">
        <w:rPr>
          <w:rFonts w:cstheme="minorHAnsi"/>
          <w:i/>
          <w:iCs/>
          <w:lang w:val="nl-BE"/>
        </w:rPr>
        <w:t>mogelijke’</w:t>
      </w:r>
      <w:r w:rsidRPr="004D1F2F">
        <w:rPr>
          <w:rFonts w:cstheme="minorHAnsi"/>
          <w:lang w:val="nl-BE"/>
        </w:rPr>
        <w:t xml:space="preserve"> significante impact op beschermde gebieden’.</w:t>
      </w:r>
    </w:p>
  </w:footnote>
  <w:footnote w:id="116">
    <w:p w14:paraId="2613DB54" w14:textId="77777777" w:rsidR="0089198E" w:rsidRPr="004D1F2F" w:rsidRDefault="0089198E"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RvS 16 januari 2020, nr. 246.650, </w:t>
      </w:r>
      <w:r w:rsidRPr="004D1F2F">
        <w:rPr>
          <w:rFonts w:cstheme="minorHAnsi"/>
          <w:i/>
          <w:iCs/>
          <w:lang w:val="nl-BE"/>
        </w:rPr>
        <w:t>TBP</w:t>
      </w:r>
      <w:r w:rsidRPr="004D1F2F">
        <w:rPr>
          <w:rFonts w:cstheme="minorHAnsi"/>
          <w:lang w:val="nl-BE"/>
        </w:rPr>
        <w:t xml:space="preserve"> 2020, afl. 5, 252, </w:t>
      </w:r>
      <w:r w:rsidRPr="004D1F2F">
        <w:rPr>
          <w:rFonts w:cstheme="minorHAnsi"/>
          <w:i/>
          <w:iCs/>
          <w:lang w:val="nl-BE"/>
        </w:rPr>
        <w:t>TMR</w:t>
      </w:r>
      <w:r w:rsidRPr="004D1F2F">
        <w:rPr>
          <w:rFonts w:cstheme="minorHAnsi"/>
          <w:lang w:val="nl-BE"/>
        </w:rPr>
        <w:t xml:space="preserve"> 2020, afl. 4, 508.</w:t>
      </w:r>
    </w:p>
  </w:footnote>
  <w:footnote w:id="117">
    <w:p w14:paraId="62D1E700" w14:textId="77777777" w:rsidR="0089198E" w:rsidRPr="004D1F2F" w:rsidRDefault="0089198E"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Zie RvS 17 maart 2010, nr. 201.966; RvS 7 april 2010, nr. 202.851; RvS 14 oktober 2011, nr. 215.768; RvS 6 januari 2012, nr. 217.128; RvS 6 januari 2012, nr. 217.133; RvS 6 januari 2013, nr. 217.125; RvS 19 maart 2013, nr. 222.919; RvS 6 juni 2013, nr. 223.754; RvS 26 juni 2013, nr. 224.119; RvS 20 september 2013, nr. 224.750; RvS 12 november 2013, nr. 225.449; RvS 12 november 2013, nr. 225.435; RvS 2 december 2013, nr. 225.664.</w:t>
      </w:r>
    </w:p>
  </w:footnote>
  <w:footnote w:id="118">
    <w:p w14:paraId="2997E1C3" w14:textId="77777777" w:rsidR="0089198E" w:rsidRPr="004D1F2F" w:rsidRDefault="0089198E"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In die zin spreekt men in Omz. OMG/2017/01 van een “mini-milieueffectbeoordeling”.</w:t>
      </w:r>
    </w:p>
  </w:footnote>
  <w:footnote w:id="119">
    <w:p w14:paraId="42BCCBDC" w14:textId="77777777" w:rsidR="0089198E" w:rsidRPr="004D1F2F" w:rsidRDefault="0089198E"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Zie ter illustratie RvVb 9 januari 2018, nr. A-1718-0417.</w:t>
      </w:r>
    </w:p>
  </w:footnote>
  <w:footnote w:id="120">
    <w:p w14:paraId="5FE57E7A" w14:textId="5575AE7A" w:rsidR="0089198E" w:rsidRPr="004D1F2F" w:rsidRDefault="0089198E"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BOUCKAERT J., DUBRULLE J. en SCHELSTRAETE B., </w:t>
      </w:r>
      <w:r w:rsidR="00657103">
        <w:rPr>
          <w:rFonts w:cstheme="minorHAnsi"/>
          <w:lang w:val="nl-NL"/>
        </w:rPr>
        <w:t>‘</w:t>
      </w:r>
      <w:r w:rsidRPr="004D1F2F">
        <w:rPr>
          <w:rFonts w:cstheme="minorHAnsi"/>
          <w:lang w:val="nl-NL"/>
        </w:rPr>
        <w:t>Milieueffectbeoordeling in Vlaanderen</w:t>
      </w:r>
      <w:r w:rsidR="00657103">
        <w:rPr>
          <w:rFonts w:cstheme="minorHAnsi"/>
          <w:lang w:val="nl-NL"/>
        </w:rPr>
        <w:t>’</w:t>
      </w:r>
      <w:r w:rsidRPr="004D1F2F">
        <w:rPr>
          <w:rFonts w:cstheme="minorHAnsi"/>
          <w:lang w:val="nl-NL"/>
        </w:rPr>
        <w:t xml:space="preserve">, </w:t>
      </w:r>
      <w:r w:rsidRPr="004D1F2F">
        <w:rPr>
          <w:rFonts w:cstheme="minorHAnsi"/>
          <w:i/>
          <w:iCs/>
          <w:lang w:val="nl-NL"/>
        </w:rPr>
        <w:t>T.Gem.</w:t>
      </w:r>
      <w:r w:rsidRPr="004D1F2F">
        <w:rPr>
          <w:rFonts w:cstheme="minorHAnsi"/>
          <w:lang w:val="nl-NL"/>
        </w:rPr>
        <w:t xml:space="preserve"> 2015, afl. 3, 162. Zie ook RvVb 6 maart 2018, nr. A</w:t>
      </w:r>
      <w:r w:rsidR="005A2BB7">
        <w:rPr>
          <w:rFonts w:cstheme="minorHAnsi"/>
          <w:lang w:val="nl-NL"/>
        </w:rPr>
        <w:t>-</w:t>
      </w:r>
      <w:r w:rsidRPr="004D1F2F">
        <w:rPr>
          <w:rFonts w:cstheme="minorHAnsi"/>
          <w:lang w:val="nl-NL"/>
        </w:rPr>
        <w:t>1718</w:t>
      </w:r>
      <w:r w:rsidR="005A2BB7">
        <w:rPr>
          <w:rFonts w:cstheme="minorHAnsi"/>
          <w:lang w:val="nl-NL"/>
        </w:rPr>
        <w:t>-</w:t>
      </w:r>
      <w:r w:rsidRPr="004D1F2F">
        <w:rPr>
          <w:rFonts w:cstheme="minorHAnsi"/>
          <w:lang w:val="nl-NL"/>
        </w:rPr>
        <w:t>0607; RvVb 16 oktober 2018, nr. A</w:t>
      </w:r>
      <w:r w:rsidR="005A2BB7">
        <w:rPr>
          <w:rFonts w:cstheme="minorHAnsi"/>
          <w:lang w:val="nl-NL"/>
        </w:rPr>
        <w:t>-</w:t>
      </w:r>
      <w:r w:rsidRPr="004D1F2F">
        <w:rPr>
          <w:rFonts w:cstheme="minorHAnsi"/>
          <w:lang w:val="nl-NL"/>
        </w:rPr>
        <w:t>1819</w:t>
      </w:r>
      <w:r w:rsidR="005A2BB7">
        <w:rPr>
          <w:rFonts w:cstheme="minorHAnsi"/>
          <w:lang w:val="nl-NL"/>
        </w:rPr>
        <w:t>-</w:t>
      </w:r>
      <w:r w:rsidRPr="004D1F2F">
        <w:rPr>
          <w:rFonts w:cstheme="minorHAnsi"/>
          <w:lang w:val="nl-NL"/>
        </w:rPr>
        <w:t>0184; RvVb 27 november 2018, nr. A</w:t>
      </w:r>
      <w:r w:rsidR="005A2BB7">
        <w:rPr>
          <w:rFonts w:cstheme="minorHAnsi"/>
          <w:lang w:val="nl-NL"/>
        </w:rPr>
        <w:t>-</w:t>
      </w:r>
      <w:r w:rsidRPr="004D1F2F">
        <w:rPr>
          <w:rFonts w:cstheme="minorHAnsi"/>
          <w:lang w:val="nl-NL"/>
        </w:rPr>
        <w:t>1819</w:t>
      </w:r>
      <w:r w:rsidR="005A2BB7">
        <w:rPr>
          <w:rFonts w:cstheme="minorHAnsi"/>
          <w:lang w:val="nl-NL"/>
        </w:rPr>
        <w:t>-</w:t>
      </w:r>
      <w:r w:rsidRPr="004D1F2F">
        <w:rPr>
          <w:rFonts w:cstheme="minorHAnsi"/>
          <w:lang w:val="nl-NL"/>
        </w:rPr>
        <w:t>0336 en HvJ 7 september 2004, nr. C-127/02.</w:t>
      </w:r>
    </w:p>
  </w:footnote>
  <w:footnote w:id="121">
    <w:p w14:paraId="660C6969" w14:textId="77777777" w:rsidR="0094054D" w:rsidRPr="004D1F2F" w:rsidRDefault="0094054D"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Verdrag van Aarhus betreffende toegang tot informatie, inspraak in besluitvorming en toegang tot de rechter inzake milieuaangelegenheden van 25 juni 1998, </w:t>
      </w:r>
      <w:r w:rsidRPr="004D1F2F">
        <w:rPr>
          <w:rFonts w:cstheme="minorHAnsi"/>
          <w:i/>
          <w:iCs/>
          <w:lang w:val="nl-BE"/>
        </w:rPr>
        <w:t>BS</w:t>
      </w:r>
      <w:r w:rsidRPr="004D1F2F">
        <w:rPr>
          <w:rFonts w:cstheme="minorHAnsi"/>
          <w:lang w:val="nl-BE"/>
        </w:rPr>
        <w:t xml:space="preserve"> 7 januari 2003. Hierna “Verdrag van Aarhus”.</w:t>
      </w:r>
    </w:p>
  </w:footnote>
  <w:footnote w:id="122">
    <w:p w14:paraId="0534C69A" w14:textId="77777777" w:rsidR="0094054D" w:rsidRPr="004D1F2F" w:rsidRDefault="0094054D"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Art. 1 Verdrag van Aarhus.</w:t>
      </w:r>
    </w:p>
  </w:footnote>
  <w:footnote w:id="123">
    <w:p w14:paraId="54B3B32C" w14:textId="77777777" w:rsidR="0094054D" w:rsidRPr="004D1F2F" w:rsidRDefault="0094054D"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Artt. 4 en 5 Verdrag van Aarhus.</w:t>
      </w:r>
    </w:p>
  </w:footnote>
  <w:footnote w:id="124">
    <w:p w14:paraId="0CED85CA" w14:textId="77777777" w:rsidR="0094054D" w:rsidRPr="004D1F2F" w:rsidRDefault="0094054D"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Artt. 6, 7 en 8 Verdrag van Aarhus.</w:t>
      </w:r>
    </w:p>
  </w:footnote>
  <w:footnote w:id="125">
    <w:p w14:paraId="0F3251F4" w14:textId="77777777" w:rsidR="0094054D" w:rsidRPr="004D1F2F" w:rsidRDefault="0094054D"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Art. 9 Verdrag van Aarhus.</w:t>
      </w:r>
    </w:p>
  </w:footnote>
  <w:footnote w:id="126">
    <w:p w14:paraId="187EC0A1" w14:textId="77777777" w:rsidR="0094054D" w:rsidRPr="004D1F2F" w:rsidRDefault="0094054D"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Het verdrag bevat geen begripsomschrijving voor de term “milieuaangelegenheid”, waardoor men naar de algemeen geldende betekenis van deze term moet kijken. In die zin zal elk project en elke handeling die enigszins een impact kan hebben op het leefmilieu in aanmerking komen.</w:t>
      </w:r>
    </w:p>
  </w:footnote>
  <w:footnote w:id="127">
    <w:p w14:paraId="51B0A2CD" w14:textId="5CC55EE4" w:rsidR="0094054D" w:rsidRPr="004D1F2F" w:rsidRDefault="0094054D"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Art. 9, tweede lid Verdrag van Aarhus. Ter illustratie verwijst RvVb 28 november 2024, nr. A-2425-0227 onder het onderdeel V “Ontvankelijkheid van het beroep” naar de </w:t>
      </w:r>
      <w:r w:rsidR="005A2BB7">
        <w:rPr>
          <w:rFonts w:cstheme="minorHAnsi"/>
          <w:lang w:val="nl-NL"/>
        </w:rPr>
        <w:t>quasi-</w:t>
      </w:r>
      <w:r w:rsidRPr="004D1F2F">
        <w:rPr>
          <w:rFonts w:cstheme="minorHAnsi"/>
          <w:lang w:val="nl-NL"/>
        </w:rPr>
        <w:t>automatische vervulling van het vereiste belang in geval van een niet-gouvernementele organisatie die zich inzet voor milieubescherming.</w:t>
      </w:r>
    </w:p>
  </w:footnote>
  <w:footnote w:id="128">
    <w:p w14:paraId="006262CD" w14:textId="77777777" w:rsidR="0094054D" w:rsidRPr="004D1F2F" w:rsidRDefault="0094054D"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i/>
          <w:iCs/>
          <w:lang w:val="nl-BE"/>
        </w:rPr>
        <w:t>Ibid</w:t>
      </w:r>
      <w:r w:rsidRPr="004D1F2F">
        <w:rPr>
          <w:rFonts w:cstheme="minorHAnsi"/>
          <w:lang w:val="nl-BE"/>
        </w:rPr>
        <w:t>.</w:t>
      </w:r>
    </w:p>
  </w:footnote>
  <w:footnote w:id="129">
    <w:p w14:paraId="77D41F92" w14:textId="77777777" w:rsidR="0094054D" w:rsidRPr="004D1F2F" w:rsidRDefault="0094054D"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Art. 6, derde lid Verdrag van Aarhus.</w:t>
      </w:r>
    </w:p>
  </w:footnote>
  <w:footnote w:id="130">
    <w:p w14:paraId="1FCC1DCD" w14:textId="77777777" w:rsidR="0094054D" w:rsidRPr="004D1F2F" w:rsidRDefault="0094054D"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Ondermeer bepaald in de Vlaamse Codex Ruimtelijke Ordening.</w:t>
      </w:r>
    </w:p>
  </w:footnote>
  <w:footnote w:id="131">
    <w:p w14:paraId="749FFB64" w14:textId="0AC01221" w:rsidR="0094054D" w:rsidRPr="006F2825" w:rsidRDefault="0094054D"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VAN BOUWEL M., </w:t>
      </w:r>
      <w:r w:rsidR="00657103">
        <w:rPr>
          <w:rFonts w:cstheme="minorHAnsi"/>
          <w:lang w:val="nl-BE"/>
        </w:rPr>
        <w:t>‘</w:t>
      </w:r>
      <w:r w:rsidRPr="004D1F2F">
        <w:rPr>
          <w:rFonts w:cstheme="minorHAnsi"/>
          <w:lang w:val="nl-BE"/>
        </w:rPr>
        <w:t>Meeste buurtbewoners zijn geen egoïstische Nimby’s maar rationele Bimby’s</w:t>
      </w:r>
      <w:r w:rsidR="00657103">
        <w:rPr>
          <w:rFonts w:cstheme="minorHAnsi"/>
          <w:lang w:val="nl-BE"/>
        </w:rPr>
        <w:t>’</w:t>
      </w:r>
      <w:r w:rsidRPr="004D1F2F">
        <w:rPr>
          <w:rFonts w:cstheme="minorHAnsi"/>
          <w:lang w:val="nl-BE"/>
        </w:rPr>
        <w:t xml:space="preserve">, </w:t>
      </w:r>
      <w:r w:rsidRPr="004D1F2F">
        <w:rPr>
          <w:rFonts w:cstheme="minorHAnsi"/>
          <w:i/>
          <w:iCs/>
          <w:lang w:val="nl-BE"/>
        </w:rPr>
        <w:t>Lokaal</w:t>
      </w:r>
      <w:r w:rsidRPr="004D1F2F">
        <w:rPr>
          <w:rFonts w:cstheme="minorHAnsi"/>
          <w:lang w:val="nl-BE"/>
        </w:rPr>
        <w:t xml:space="preserve"> 2010, afl. 3, 25-27; HOOFD J., </w:t>
      </w:r>
      <w:r w:rsidR="00657103">
        <w:rPr>
          <w:rFonts w:cstheme="minorHAnsi"/>
          <w:lang w:val="nl-BE"/>
        </w:rPr>
        <w:t>‘</w:t>
      </w:r>
      <w:r w:rsidRPr="004D1F2F">
        <w:rPr>
          <w:rFonts w:cstheme="minorHAnsi"/>
          <w:lang w:val="nl-BE"/>
        </w:rPr>
        <w:t>Hernieuwbare enrgie in Vlaanderen en voorontwerp van decreet “betreffende de bestemmingsneutraliteit voor hernieuwbare energie”: Vlaanderen vogelvrij?</w:t>
      </w:r>
      <w:r w:rsidR="00657103">
        <w:rPr>
          <w:rFonts w:cstheme="minorHAnsi"/>
          <w:lang w:val="nl-BE"/>
        </w:rPr>
        <w:t>’</w:t>
      </w:r>
      <w:r w:rsidRPr="004D1F2F">
        <w:rPr>
          <w:rFonts w:cstheme="minorHAnsi"/>
          <w:lang w:val="nl-BE"/>
        </w:rPr>
        <w:t xml:space="preserve">, </w:t>
      </w:r>
      <w:r w:rsidRPr="004D1F2F">
        <w:rPr>
          <w:rFonts w:cstheme="minorHAnsi"/>
          <w:i/>
          <w:iCs/>
          <w:lang w:val="nl-BE"/>
        </w:rPr>
        <w:t>TMR</w:t>
      </w:r>
      <w:r w:rsidRPr="004D1F2F">
        <w:rPr>
          <w:rFonts w:cstheme="minorHAnsi"/>
          <w:lang w:val="nl-BE"/>
        </w:rPr>
        <w:t xml:space="preserve"> 2019, afl. 5, 597. Zie ook </w:t>
      </w:r>
      <w:r w:rsidR="006F2825" w:rsidRPr="006F2825">
        <w:rPr>
          <w:lang w:val="nl-BE"/>
        </w:rPr>
        <w:t xml:space="preserve">VAN HORENBEEK J., ‘Vlaanderen houdt niet van windmolens’, </w:t>
      </w:r>
      <w:r w:rsidR="006F2825" w:rsidRPr="006F2825">
        <w:rPr>
          <w:i/>
          <w:iCs/>
          <w:lang w:val="nl-BE"/>
        </w:rPr>
        <w:t>De Morgen</w:t>
      </w:r>
      <w:r w:rsidR="006F2825" w:rsidRPr="006F2825">
        <w:rPr>
          <w:lang w:val="nl-BE"/>
        </w:rPr>
        <w:t>, 29 augustus 2018, https://www.demorgen.be/nieuws/vlaanderen-houdt-niet-van-windmolens~bee2d35d/ (geraadpleegd op 2 februari 2025).</w:t>
      </w:r>
    </w:p>
  </w:footnote>
  <w:footnote w:id="132">
    <w:p w14:paraId="387C14D4" w14:textId="07A5607F" w:rsidR="0094054D" w:rsidRPr="004D1F2F" w:rsidRDefault="0094054D"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VANHERCK D., </w:t>
      </w:r>
      <w:r w:rsidR="00657103">
        <w:rPr>
          <w:rFonts w:cstheme="minorHAnsi"/>
          <w:lang w:val="nl-BE"/>
        </w:rPr>
        <w:t>‘</w:t>
      </w:r>
      <w:r w:rsidRPr="004D1F2F">
        <w:rPr>
          <w:rFonts w:cstheme="minorHAnsi"/>
          <w:lang w:val="nl-BE"/>
        </w:rPr>
        <w:t>Het nieuwe Europese kader voor hernieuwbare energie: goede voornemens voor 2030</w:t>
      </w:r>
      <w:r w:rsidR="00657103">
        <w:rPr>
          <w:rFonts w:cstheme="minorHAnsi"/>
          <w:lang w:val="nl-BE"/>
        </w:rPr>
        <w:t>’</w:t>
      </w:r>
      <w:r w:rsidRPr="004D1F2F">
        <w:rPr>
          <w:rFonts w:cstheme="minorHAnsi"/>
          <w:lang w:val="nl-BE"/>
        </w:rPr>
        <w:t xml:space="preserve"> in DEKETELAERE K. en DELVAUX B., </w:t>
      </w:r>
      <w:r w:rsidRPr="004D1F2F">
        <w:rPr>
          <w:rFonts w:cstheme="minorHAnsi"/>
          <w:i/>
          <w:iCs/>
          <w:lang w:val="nl-BE"/>
        </w:rPr>
        <w:t>Jaarboek Energierecht 2018</w:t>
      </w:r>
      <w:r w:rsidRPr="004D1F2F">
        <w:rPr>
          <w:rFonts w:cstheme="minorHAnsi"/>
          <w:lang w:val="nl-BE"/>
        </w:rPr>
        <w:t xml:space="preserve">, Intersentia, 2019, 55; Voorstel van decreet houdende bevordering van windenergie in Vlaanderen en de rechtstreekse participatie van burgers bij de realisatie van windturbines, </w:t>
      </w:r>
      <w:r w:rsidRPr="004D1F2F">
        <w:rPr>
          <w:rFonts w:cstheme="minorHAnsi"/>
          <w:i/>
          <w:iCs/>
          <w:lang w:val="nl-BE"/>
        </w:rPr>
        <w:t>Parl.St.</w:t>
      </w:r>
      <w:r w:rsidRPr="004D1F2F">
        <w:rPr>
          <w:rFonts w:cstheme="minorHAnsi"/>
          <w:lang w:val="nl-BE"/>
        </w:rPr>
        <w:t xml:space="preserve"> Vl.Parl. 2015-16, nr. 820/1, 5. Zie ook </w:t>
      </w:r>
      <w:r w:rsidR="006F2825" w:rsidRPr="006F2825">
        <w:rPr>
          <w:rFonts w:cstheme="minorHAnsi"/>
          <w:lang w:val="nl-BE"/>
        </w:rPr>
        <w:t xml:space="preserve">VANKERSSCHAEVER S., ‘Burgemeesters zijn grootste obstakel voor meer windmolens’, </w:t>
      </w:r>
      <w:r w:rsidR="006F2825" w:rsidRPr="006F2825">
        <w:rPr>
          <w:rFonts w:cstheme="minorHAnsi"/>
          <w:i/>
          <w:iCs/>
          <w:lang w:val="nl-BE"/>
        </w:rPr>
        <w:t>De Standaard</w:t>
      </w:r>
      <w:r w:rsidR="006F2825" w:rsidRPr="006F2825">
        <w:rPr>
          <w:rFonts w:cstheme="minorHAnsi"/>
          <w:lang w:val="nl-BE"/>
        </w:rPr>
        <w:t xml:space="preserve"> 23 februari 2018, https://www.standaard.be/cnt/dmf20180222_03372262 (geraadpleegd op 3 februari 2025)</w:t>
      </w:r>
      <w:r w:rsidRPr="004D1F2F">
        <w:rPr>
          <w:rFonts w:cstheme="minorHAnsi"/>
          <w:lang w:val="nl-BE"/>
        </w:rPr>
        <w:t xml:space="preserve">; </w:t>
      </w:r>
      <w:r w:rsidR="006F2825" w:rsidRPr="006F2825">
        <w:rPr>
          <w:rFonts w:cstheme="minorHAnsi"/>
          <w:lang w:val="nl-BE"/>
        </w:rPr>
        <w:t xml:space="preserve">WINCKELMANS W., ‘Lobby tegen windmolens belegert Zuhal Demir’, </w:t>
      </w:r>
      <w:r w:rsidR="006F2825" w:rsidRPr="006F2825">
        <w:rPr>
          <w:rFonts w:cstheme="minorHAnsi"/>
          <w:i/>
          <w:iCs/>
          <w:lang w:val="nl-BE"/>
        </w:rPr>
        <w:t>De Standaard</w:t>
      </w:r>
      <w:r w:rsidR="006F2825" w:rsidRPr="006F2825">
        <w:rPr>
          <w:rFonts w:cstheme="minorHAnsi"/>
          <w:lang w:val="nl-BE"/>
        </w:rPr>
        <w:t xml:space="preserve"> 23 oktober 2019, https://www.standaard.be/cnt/dmf20191022_04678637 (geraadpleegd op 2 februari 2025).</w:t>
      </w:r>
    </w:p>
  </w:footnote>
  <w:footnote w:id="133">
    <w:p w14:paraId="0B37D944" w14:textId="77777777" w:rsidR="0094054D" w:rsidRPr="004D1F2F" w:rsidRDefault="0094054D"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Acroniem voor het Engelse “</w:t>
      </w:r>
      <w:r w:rsidRPr="004D1F2F">
        <w:rPr>
          <w:rFonts w:cstheme="minorHAnsi"/>
          <w:i/>
          <w:iCs/>
          <w:lang w:val="nl-NL"/>
        </w:rPr>
        <w:t>not in my backyard</w:t>
      </w:r>
      <w:r w:rsidRPr="004D1F2F">
        <w:rPr>
          <w:rFonts w:cstheme="minorHAnsi"/>
          <w:lang w:val="nl-NL"/>
        </w:rPr>
        <w:t>”, volgens Van Dale omschreven als “</w:t>
      </w:r>
      <w:r w:rsidRPr="004D1F2F">
        <w:rPr>
          <w:rFonts w:cstheme="minorHAnsi"/>
          <w:i/>
          <w:iCs/>
          <w:lang w:val="nl-NL"/>
        </w:rPr>
        <w:t>het verschijnsel dat mensen alleen idealen voorstaan als ze daar niet zelf voor hoeven in te leveren</w:t>
      </w:r>
      <w:r w:rsidRPr="004D1F2F">
        <w:rPr>
          <w:rFonts w:cstheme="minorHAnsi"/>
          <w:lang w:val="nl-NL"/>
        </w:rPr>
        <w:t>”.</w:t>
      </w:r>
    </w:p>
  </w:footnote>
  <w:footnote w:id="134">
    <w:p w14:paraId="7896CDC8" w14:textId="3861EDBF" w:rsidR="0094054D" w:rsidRPr="004D1F2F" w:rsidRDefault="0094054D"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NL"/>
        </w:rPr>
        <w:t xml:space="preserve"> WOLSINK M., </w:t>
      </w:r>
      <w:r w:rsidR="00657103">
        <w:rPr>
          <w:rFonts w:cstheme="minorHAnsi"/>
          <w:lang w:val="nl-NL"/>
        </w:rPr>
        <w:t>‘</w:t>
      </w:r>
      <w:r w:rsidRPr="004D1F2F">
        <w:rPr>
          <w:rFonts w:cstheme="minorHAnsi"/>
          <w:lang w:val="nl-NL"/>
        </w:rPr>
        <w:t>Wind power implementation: The nature of public attitudes: Equity and Fairness instead of “back yard” motives</w:t>
      </w:r>
      <w:r w:rsidR="00657103">
        <w:rPr>
          <w:rFonts w:cstheme="minorHAnsi"/>
          <w:lang w:val="nl-NL"/>
        </w:rPr>
        <w:t>’</w:t>
      </w:r>
      <w:r w:rsidRPr="004D1F2F">
        <w:rPr>
          <w:rFonts w:cstheme="minorHAnsi"/>
          <w:lang w:val="nl-NL"/>
        </w:rPr>
        <w:t xml:space="preserve">, </w:t>
      </w:r>
      <w:r w:rsidRPr="004D1F2F">
        <w:rPr>
          <w:rFonts w:cstheme="minorHAnsi"/>
          <w:i/>
          <w:iCs/>
          <w:lang w:val="nl-NL"/>
        </w:rPr>
        <w:t>Renewable and Sustainable Energy Review</w:t>
      </w:r>
      <w:r w:rsidRPr="004D1F2F">
        <w:rPr>
          <w:rFonts w:cstheme="minorHAnsi"/>
          <w:lang w:val="nl-NL"/>
        </w:rPr>
        <w:t xml:space="preserve"> 2007, afl. 11, 1188-1207; ALLAN S. J., ELTHAM D. C. en HARRISSON G. P., </w:t>
      </w:r>
      <w:r w:rsidR="00657103">
        <w:rPr>
          <w:rFonts w:cstheme="minorHAnsi"/>
          <w:lang w:val="nl-NL"/>
        </w:rPr>
        <w:t>‘</w:t>
      </w:r>
      <w:r w:rsidRPr="004D1F2F">
        <w:rPr>
          <w:rFonts w:cstheme="minorHAnsi"/>
          <w:lang w:val="nl-NL"/>
        </w:rPr>
        <w:t>Change in public attitudes towards a Cornish wind farm: Implications for planning</w:t>
      </w:r>
      <w:r w:rsidR="00657103">
        <w:rPr>
          <w:rFonts w:cstheme="minorHAnsi"/>
          <w:lang w:val="nl-NL"/>
        </w:rPr>
        <w:t>’</w:t>
      </w:r>
      <w:r w:rsidRPr="004D1F2F">
        <w:rPr>
          <w:rFonts w:cstheme="minorHAnsi"/>
          <w:lang w:val="nl-NL"/>
        </w:rPr>
        <w:t xml:space="preserve">, </w:t>
      </w:r>
      <w:r w:rsidRPr="004D1F2F">
        <w:rPr>
          <w:rFonts w:cstheme="minorHAnsi"/>
          <w:i/>
          <w:iCs/>
          <w:lang w:val="nl-NL"/>
        </w:rPr>
        <w:t>Energy Policy</w:t>
      </w:r>
      <w:r w:rsidRPr="004D1F2F">
        <w:rPr>
          <w:rFonts w:cstheme="minorHAnsi"/>
          <w:lang w:val="nl-NL"/>
        </w:rPr>
        <w:t xml:space="preserve"> 2008, afl. 36, 23-33; EGELUND OLSEN B., </w:t>
      </w:r>
      <w:r w:rsidR="00657103">
        <w:rPr>
          <w:rFonts w:cstheme="minorHAnsi"/>
          <w:lang w:val="nl-NL"/>
        </w:rPr>
        <w:t>‘</w:t>
      </w:r>
      <w:r w:rsidRPr="004D1F2F">
        <w:rPr>
          <w:rFonts w:cstheme="minorHAnsi"/>
          <w:lang w:val="nl-NL"/>
        </w:rPr>
        <w:t>Wind Energy and Local Acceptance: How to Get Beyond the Nimby Effect</w:t>
      </w:r>
      <w:r w:rsidR="00657103">
        <w:rPr>
          <w:rFonts w:cstheme="minorHAnsi"/>
          <w:lang w:val="nl-NL"/>
        </w:rPr>
        <w:t>’</w:t>
      </w:r>
      <w:r w:rsidRPr="004D1F2F">
        <w:rPr>
          <w:rFonts w:cstheme="minorHAnsi"/>
          <w:lang w:val="nl-NL"/>
        </w:rPr>
        <w:t xml:space="preserve">, </w:t>
      </w:r>
      <w:r w:rsidRPr="004D1F2F">
        <w:rPr>
          <w:rFonts w:cstheme="minorHAnsi"/>
          <w:i/>
          <w:iCs/>
          <w:lang w:val="nl-NL"/>
        </w:rPr>
        <w:t>EEELR</w:t>
      </w:r>
      <w:r w:rsidRPr="004D1F2F">
        <w:rPr>
          <w:rFonts w:cstheme="minorHAnsi"/>
          <w:lang w:val="nl-NL"/>
        </w:rPr>
        <w:t xml:space="preserve"> 2010, afl. 5, 239-251; D’HONT N., </w:t>
      </w:r>
      <w:r w:rsidR="00657103">
        <w:rPr>
          <w:rFonts w:cstheme="minorHAnsi"/>
          <w:lang w:val="nl-NL"/>
        </w:rPr>
        <w:t>‘</w:t>
      </w:r>
      <w:r w:rsidRPr="004D1F2F">
        <w:rPr>
          <w:rFonts w:cstheme="minorHAnsi"/>
          <w:lang w:val="nl-NL"/>
        </w:rPr>
        <w:t>Ruimtelijke ordening: De tussenkomst van een derde in de administratieve beroepsprocedure van de Raad voor Vergunningsbetwistingen</w:t>
      </w:r>
      <w:r w:rsidR="00657103">
        <w:rPr>
          <w:rFonts w:cstheme="minorHAnsi"/>
          <w:lang w:val="nl-NL"/>
        </w:rPr>
        <w:t>’</w:t>
      </w:r>
      <w:r w:rsidRPr="004D1F2F">
        <w:rPr>
          <w:rFonts w:cstheme="minorHAnsi"/>
          <w:lang w:val="nl-NL"/>
        </w:rPr>
        <w:t xml:space="preserve">, </w:t>
      </w:r>
      <w:r w:rsidRPr="004D1F2F">
        <w:rPr>
          <w:rFonts w:cstheme="minorHAnsi"/>
          <w:i/>
          <w:iCs/>
          <w:lang w:val="nl-NL"/>
        </w:rPr>
        <w:t>Vastgoed info</w:t>
      </w:r>
      <w:r w:rsidRPr="004D1F2F">
        <w:rPr>
          <w:rFonts w:cstheme="minorHAnsi"/>
          <w:lang w:val="nl-NL"/>
        </w:rPr>
        <w:t xml:space="preserve"> 2013, afl. 20, 9-11; DEPRET A., </w:t>
      </w:r>
      <w:r w:rsidR="00657103">
        <w:rPr>
          <w:rFonts w:cstheme="minorHAnsi"/>
          <w:lang w:val="nl-NL"/>
        </w:rPr>
        <w:t>‘</w:t>
      </w:r>
      <w:r w:rsidRPr="004D1F2F">
        <w:rPr>
          <w:rFonts w:cstheme="minorHAnsi"/>
          <w:lang w:val="nl-NL"/>
        </w:rPr>
        <w:t>L’autorité locale face au syndrome Nimby: Pour une concentration constructive et responsible au service de l’intérêt general</w:t>
      </w:r>
      <w:r w:rsidR="00657103">
        <w:rPr>
          <w:rFonts w:cstheme="minorHAnsi"/>
          <w:lang w:val="nl-NL"/>
        </w:rPr>
        <w:t>’</w:t>
      </w:r>
      <w:r w:rsidRPr="004D1F2F">
        <w:rPr>
          <w:rFonts w:cstheme="minorHAnsi"/>
          <w:lang w:val="nl-NL"/>
        </w:rPr>
        <w:t xml:space="preserve">, </w:t>
      </w:r>
      <w:r w:rsidRPr="004D1F2F">
        <w:rPr>
          <w:rFonts w:cstheme="minorHAnsi"/>
          <w:i/>
          <w:iCs/>
          <w:lang w:val="nl-NL"/>
        </w:rPr>
        <w:t>Mouv.comm.</w:t>
      </w:r>
      <w:r w:rsidRPr="004D1F2F">
        <w:rPr>
          <w:rFonts w:cstheme="minorHAnsi"/>
          <w:lang w:val="nl-NL"/>
        </w:rPr>
        <w:t xml:space="preserve"> 2010, afl. 2, 38-41; DE GRAAF H., </w:t>
      </w:r>
      <w:r w:rsidR="00657103">
        <w:rPr>
          <w:rFonts w:cstheme="minorHAnsi"/>
          <w:lang w:val="nl-NL"/>
        </w:rPr>
        <w:t>‘</w:t>
      </w:r>
      <w:r w:rsidRPr="004D1F2F">
        <w:rPr>
          <w:rFonts w:cstheme="minorHAnsi"/>
          <w:lang w:val="nl-NL"/>
        </w:rPr>
        <w:t>NIMBY beleid</w:t>
      </w:r>
      <w:r w:rsidR="00657103">
        <w:rPr>
          <w:rFonts w:cstheme="minorHAnsi"/>
          <w:lang w:val="nl-NL"/>
        </w:rPr>
        <w:t>’</w:t>
      </w:r>
      <w:r w:rsidRPr="004D1F2F">
        <w:rPr>
          <w:rFonts w:cstheme="minorHAnsi"/>
          <w:lang w:val="nl-NL"/>
        </w:rPr>
        <w:t xml:space="preserve"> in EDBERG J., </w:t>
      </w:r>
      <w:r w:rsidRPr="004D1F2F">
        <w:rPr>
          <w:rFonts w:cstheme="minorHAnsi"/>
          <w:i/>
          <w:iCs/>
          <w:lang w:val="nl-NL"/>
        </w:rPr>
        <w:t>Leren met beleid: beleidsverandering en beleidsgericht leren bij NIMBY-, milieu- en technologiebeleid</w:t>
      </w:r>
      <w:r w:rsidRPr="004D1F2F">
        <w:rPr>
          <w:rFonts w:cstheme="minorHAnsi"/>
          <w:lang w:val="nl-NL"/>
        </w:rPr>
        <w:t>, Het Spinhuis, 1996, 19-21.</w:t>
      </w:r>
    </w:p>
  </w:footnote>
  <w:footnote w:id="135">
    <w:p w14:paraId="4C6167D1" w14:textId="040154E5" w:rsidR="0094054D" w:rsidRPr="004D1F2F" w:rsidRDefault="0094054D"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BERX C., </w:t>
      </w:r>
      <w:r w:rsidR="00657103">
        <w:rPr>
          <w:rFonts w:cstheme="minorHAnsi"/>
          <w:lang w:val="nl-NL"/>
        </w:rPr>
        <w:t>‘</w:t>
      </w:r>
      <w:r w:rsidRPr="004D1F2F">
        <w:rPr>
          <w:rFonts w:cstheme="minorHAnsi"/>
          <w:lang w:val="nl-NL"/>
        </w:rPr>
        <w:t>Hebben burgers te veel rechten? Het rapport Berx</w:t>
      </w:r>
      <w:r w:rsidR="00657103">
        <w:rPr>
          <w:rFonts w:cstheme="minorHAnsi"/>
          <w:lang w:val="nl-NL"/>
        </w:rPr>
        <w:t>’</w:t>
      </w:r>
      <w:r w:rsidRPr="004D1F2F">
        <w:rPr>
          <w:rFonts w:cstheme="minorHAnsi"/>
          <w:lang w:val="nl-NL"/>
        </w:rPr>
        <w:t xml:space="preserve">, </w:t>
      </w:r>
      <w:r w:rsidRPr="004D1F2F">
        <w:rPr>
          <w:rFonts w:cstheme="minorHAnsi"/>
          <w:i/>
          <w:iCs/>
          <w:lang w:val="nl-NL"/>
        </w:rPr>
        <w:t>TBP</w:t>
      </w:r>
      <w:r w:rsidRPr="004D1F2F">
        <w:rPr>
          <w:rFonts w:cstheme="minorHAnsi"/>
          <w:lang w:val="nl-NL"/>
        </w:rPr>
        <w:t xml:space="preserve"> 2010, afl. 10, 577-587.</w:t>
      </w:r>
    </w:p>
  </w:footnote>
  <w:footnote w:id="136">
    <w:p w14:paraId="4FD8A7FF" w14:textId="77777777" w:rsidR="0094054D" w:rsidRPr="004D1F2F" w:rsidRDefault="0094054D"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Richtl. 2023/2413 van het Europees Parlement en de Raad van 18 oktober 2023 </w:t>
      </w:r>
      <w:r w:rsidRPr="004D1F2F">
        <w:rPr>
          <w:rFonts w:cstheme="minorHAnsi"/>
          <w:lang w:val="nl-BE"/>
        </w:rPr>
        <w:t>tot wijziging van Richtlijn (EU) 2018/2001, Verordening (EU) 2018/1999 en Richtlijn 98/70/EG wat de bevordering van energie uit hernieuwbare bronnen betreft, en tot intrekking van Richtlijn (EU) 2015/652 van de Raad</w:t>
      </w:r>
      <w:r w:rsidRPr="004D1F2F">
        <w:rPr>
          <w:rFonts w:cstheme="minorHAnsi"/>
          <w:lang w:val="nl-NL"/>
        </w:rPr>
        <w:t xml:space="preserve">, </w:t>
      </w:r>
      <w:r w:rsidRPr="004D1F2F">
        <w:rPr>
          <w:rFonts w:cstheme="minorHAnsi"/>
          <w:i/>
          <w:iCs/>
          <w:lang w:val="nl-NL"/>
        </w:rPr>
        <w:t>Pb.L.</w:t>
      </w:r>
      <w:r w:rsidRPr="004D1F2F">
        <w:rPr>
          <w:rFonts w:cstheme="minorHAnsi"/>
          <w:lang w:val="nl-NL"/>
        </w:rPr>
        <w:t xml:space="preserve"> 31 oktober 2023, http://data.europa.eu/eli/dir/2023/2413/oj.</w:t>
      </w:r>
    </w:p>
  </w:footnote>
  <w:footnote w:id="137">
    <w:p w14:paraId="45B1D121" w14:textId="77777777" w:rsidR="0094054D" w:rsidRPr="004D1F2F" w:rsidRDefault="0094054D"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Overw. 51 Richtl. 2018/2001 van het Europees Parlement en de Raad van 11 december 2018 ter bevordering van het gebruik van energie uit hernieuwbare bronnen (herschikking), </w:t>
      </w:r>
      <w:r w:rsidRPr="004D1F2F">
        <w:rPr>
          <w:rFonts w:cstheme="minorHAnsi"/>
          <w:i/>
          <w:iCs/>
          <w:lang w:val="nl-NL"/>
        </w:rPr>
        <w:t>Pb.L.</w:t>
      </w:r>
      <w:r w:rsidRPr="004D1F2F">
        <w:rPr>
          <w:rFonts w:cstheme="minorHAnsi"/>
          <w:lang w:val="nl-NL"/>
        </w:rPr>
        <w:t xml:space="preserve"> 21 december 2018, http://data.europa.eu/eli/dir/2018/2001/oj. </w:t>
      </w:r>
    </w:p>
  </w:footnote>
  <w:footnote w:id="138">
    <w:p w14:paraId="51B0C39E" w14:textId="77777777" w:rsidR="0094054D" w:rsidRPr="004D1F2F" w:rsidRDefault="0094054D"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HvJ 14 januari 2021, nr. C-826/18.</w:t>
      </w:r>
    </w:p>
  </w:footnote>
  <w:footnote w:id="139">
    <w:p w14:paraId="054D5C12" w14:textId="5969091F" w:rsidR="0094054D" w:rsidRPr="004D1F2F" w:rsidRDefault="0094054D"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VAN DAMME M., </w:t>
      </w:r>
      <w:r w:rsidR="00BB6812">
        <w:rPr>
          <w:rFonts w:cstheme="minorHAnsi"/>
          <w:lang w:val="nl-NL"/>
        </w:rPr>
        <w:t>‘</w:t>
      </w:r>
      <w:r w:rsidRPr="004D1F2F">
        <w:rPr>
          <w:rFonts w:cstheme="minorHAnsi"/>
          <w:lang w:val="nl-NL"/>
        </w:rPr>
        <w:t>Naar een andere rechtsbescherming in het bestuursrecht?</w:t>
      </w:r>
      <w:r w:rsidR="00BB6812">
        <w:rPr>
          <w:rFonts w:cstheme="minorHAnsi"/>
          <w:lang w:val="nl-NL"/>
        </w:rPr>
        <w:t>’</w:t>
      </w:r>
      <w:r w:rsidRPr="004D1F2F">
        <w:rPr>
          <w:rFonts w:cstheme="minorHAnsi"/>
          <w:lang w:val="nl-NL"/>
        </w:rPr>
        <w:t xml:space="preserve">, </w:t>
      </w:r>
      <w:r w:rsidRPr="004D1F2F">
        <w:rPr>
          <w:rFonts w:cstheme="minorHAnsi"/>
          <w:i/>
          <w:iCs/>
          <w:lang w:val="nl-NL"/>
        </w:rPr>
        <w:t>Juristenkrant</w:t>
      </w:r>
      <w:r w:rsidRPr="004D1F2F">
        <w:rPr>
          <w:rFonts w:cstheme="minorHAnsi"/>
          <w:lang w:val="nl-NL"/>
        </w:rPr>
        <w:t xml:space="preserve"> 2011, afl. 223, 12; VAN DAMME M., </w:t>
      </w:r>
      <w:r w:rsidRPr="004D1F2F">
        <w:rPr>
          <w:rFonts w:cstheme="minorHAnsi"/>
          <w:i/>
          <w:iCs/>
          <w:lang w:val="nl-NL"/>
        </w:rPr>
        <w:t>Het belang in het publiekrechtelijk procesrecht</w:t>
      </w:r>
      <w:r w:rsidRPr="004D1F2F">
        <w:rPr>
          <w:rFonts w:cstheme="minorHAnsi"/>
          <w:lang w:val="nl-NL"/>
        </w:rPr>
        <w:t xml:space="preserve">, die Keure, XIV-XV; X, </w:t>
      </w:r>
      <w:r w:rsidR="00BB6812">
        <w:rPr>
          <w:rFonts w:cstheme="minorHAnsi"/>
          <w:lang w:val="nl-NL"/>
        </w:rPr>
        <w:t>‘</w:t>
      </w:r>
      <w:r w:rsidRPr="004D1F2F">
        <w:rPr>
          <w:rFonts w:cstheme="minorHAnsi"/>
          <w:lang w:val="nl-NL"/>
        </w:rPr>
        <w:t>Relativiteitseis: Raad van State kijkt over de Moerdijk</w:t>
      </w:r>
      <w:r w:rsidR="00BB6812">
        <w:rPr>
          <w:rFonts w:cstheme="minorHAnsi"/>
          <w:lang w:val="nl-NL"/>
        </w:rPr>
        <w:t>’</w:t>
      </w:r>
      <w:r w:rsidRPr="004D1F2F">
        <w:rPr>
          <w:rFonts w:cstheme="minorHAnsi"/>
          <w:lang w:val="nl-NL"/>
        </w:rPr>
        <w:t xml:space="preserve">, </w:t>
      </w:r>
      <w:r w:rsidRPr="004D1F2F">
        <w:rPr>
          <w:rFonts w:cstheme="minorHAnsi"/>
          <w:i/>
          <w:iCs/>
          <w:lang w:val="nl-NL"/>
        </w:rPr>
        <w:t>TOO</w:t>
      </w:r>
      <w:r w:rsidRPr="004D1F2F">
        <w:rPr>
          <w:rFonts w:cstheme="minorHAnsi"/>
          <w:lang w:val="nl-NL"/>
        </w:rPr>
        <w:t xml:space="preserve"> 2012, afl. 1, 22-24.</w:t>
      </w:r>
    </w:p>
  </w:footnote>
  <w:footnote w:id="140">
    <w:p w14:paraId="03D1BF96" w14:textId="6866AB8C" w:rsidR="0094054D" w:rsidRPr="004D1F2F" w:rsidRDefault="0094054D"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SCHOUKENS H., </w:t>
      </w:r>
      <w:r w:rsidR="00BB6812">
        <w:rPr>
          <w:rFonts w:cstheme="minorHAnsi"/>
          <w:lang w:val="nl-NL"/>
        </w:rPr>
        <w:t>‘</w:t>
      </w:r>
      <w:r w:rsidRPr="004D1F2F">
        <w:rPr>
          <w:rFonts w:cstheme="minorHAnsi"/>
          <w:lang w:val="nl-NL"/>
        </w:rPr>
        <w:t>Noorse klimaatzaak voorbode voor striktere klimaattoets?</w:t>
      </w:r>
      <w:r w:rsidR="00BB6812">
        <w:rPr>
          <w:rFonts w:cstheme="minorHAnsi"/>
          <w:lang w:val="nl-NL"/>
        </w:rPr>
        <w:t>’</w:t>
      </w:r>
      <w:r w:rsidRPr="004D1F2F">
        <w:rPr>
          <w:rFonts w:cstheme="minorHAnsi"/>
          <w:lang w:val="nl-NL"/>
        </w:rPr>
        <w:t xml:space="preserve">, </w:t>
      </w:r>
      <w:r w:rsidRPr="004D1F2F">
        <w:rPr>
          <w:rFonts w:cstheme="minorHAnsi"/>
          <w:i/>
          <w:iCs/>
          <w:lang w:val="nl-NL"/>
        </w:rPr>
        <w:t>Juristenkrant</w:t>
      </w:r>
      <w:r w:rsidRPr="004D1F2F">
        <w:rPr>
          <w:rFonts w:cstheme="minorHAnsi"/>
          <w:lang w:val="nl-NL"/>
        </w:rPr>
        <w:t xml:space="preserve"> 2016, afl. 337, 16.</w:t>
      </w:r>
    </w:p>
  </w:footnote>
  <w:footnote w:id="141">
    <w:p w14:paraId="20AF94F1" w14:textId="02D4F022" w:rsidR="0094054D" w:rsidRPr="004D1F2F" w:rsidRDefault="0094054D"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RAMPELBERG J., </w:t>
      </w:r>
      <w:r w:rsidR="00BB6812">
        <w:rPr>
          <w:rFonts w:cstheme="minorHAnsi"/>
          <w:lang w:val="nl-NL"/>
        </w:rPr>
        <w:t>‘</w:t>
      </w:r>
      <w:r w:rsidRPr="004D1F2F">
        <w:rPr>
          <w:rFonts w:cstheme="minorHAnsi"/>
          <w:lang w:val="nl-NL"/>
        </w:rPr>
        <w:t>Klimaatzaak</w:t>
      </w:r>
      <w:r w:rsidR="00BB6812">
        <w:rPr>
          <w:rFonts w:cstheme="minorHAnsi"/>
          <w:lang w:val="nl-NL"/>
        </w:rPr>
        <w:t>’</w:t>
      </w:r>
      <w:r w:rsidRPr="004D1F2F">
        <w:rPr>
          <w:rFonts w:cstheme="minorHAnsi"/>
          <w:lang w:val="nl-NL"/>
        </w:rPr>
        <w:t xml:space="preserve">, </w:t>
      </w:r>
      <w:r w:rsidRPr="004D1F2F">
        <w:rPr>
          <w:rFonts w:cstheme="minorHAnsi"/>
          <w:i/>
          <w:iCs/>
          <w:lang w:val="nl-NL"/>
        </w:rPr>
        <w:t>Juristenkrant</w:t>
      </w:r>
      <w:r w:rsidRPr="004D1F2F">
        <w:rPr>
          <w:rFonts w:cstheme="minorHAnsi"/>
          <w:lang w:val="nl-NL"/>
        </w:rPr>
        <w:t xml:space="preserve"> 2016, afl. 337, 16.</w:t>
      </w:r>
    </w:p>
  </w:footnote>
  <w:footnote w:id="142">
    <w:p w14:paraId="15C8D651" w14:textId="77777777" w:rsidR="00EE5CC6" w:rsidRPr="004D1F2F" w:rsidRDefault="00EE5CC6"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Omz. OMG/2024/1 van 9 februari 2024 betreffende afwegingskader en randvoorwaarden voor de oprichting van windturbines, VR 2024 0902 MED.0054/2.</w:t>
      </w:r>
    </w:p>
  </w:footnote>
  <w:footnote w:id="143">
    <w:p w14:paraId="54D2AB61" w14:textId="77777777" w:rsidR="00EE5CC6" w:rsidRPr="004D1F2F" w:rsidRDefault="00EE5CC6" w:rsidP="00DA15D2">
      <w:pPr>
        <w:pStyle w:val="Voetnoottekst"/>
        <w:jc w:val="both"/>
        <w:rPr>
          <w:rFonts w:cstheme="minorHAnsi"/>
          <w:lang w:val="nl-BE"/>
        </w:rPr>
      </w:pPr>
      <w:r w:rsidRPr="004D1F2F">
        <w:rPr>
          <w:rStyle w:val="Voetnootmarkering"/>
          <w:rFonts w:cstheme="minorHAnsi"/>
        </w:rPr>
        <w:footnoteRef/>
      </w:r>
      <w:r w:rsidRPr="004D1F2F">
        <w:rPr>
          <w:rFonts w:cstheme="minorHAnsi"/>
          <w:lang w:val="nl-BE"/>
        </w:rPr>
        <w:t xml:space="preserve"> Voortbouwend op eerdere rechtspraak van de Raad van State en de Raad voor Vergunningsbetwistingen waar werd geoordeeld dat voorgaande omzendbrieven van deze aard geen juridisch afdwingbare rechtsnorm betroffen en geen verordenend karakter toekwamen, oordeelden beide rechters dat omzendbrief OMG/2024/1 wel een bindend beleidsmatig gewenst ontwikkelingskarakter toekomt. Zie DE BRUCKER L., </w:t>
      </w:r>
      <w:r w:rsidRPr="004D1F2F">
        <w:rPr>
          <w:rFonts w:cstheme="minorHAnsi"/>
          <w:i/>
          <w:iCs/>
          <w:lang w:val="nl-BE"/>
        </w:rPr>
        <w:t>De vergunning van windturbines in het Vlaamse Gewest</w:t>
      </w:r>
      <w:r w:rsidRPr="004D1F2F">
        <w:rPr>
          <w:rFonts w:cstheme="minorHAnsi"/>
          <w:lang w:val="nl-BE"/>
        </w:rPr>
        <w:t>, Larcier-Intersentia, 2024, 781-783.</w:t>
      </w:r>
    </w:p>
  </w:footnote>
  <w:footnote w:id="144">
    <w:p w14:paraId="31058CCB" w14:textId="145E9613" w:rsidR="00EE5CC6" w:rsidRPr="004D1F2F" w:rsidRDefault="00EE5CC6"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DE BRUCKER L., </w:t>
      </w:r>
      <w:r w:rsidR="00BB6812">
        <w:rPr>
          <w:rFonts w:cstheme="minorHAnsi"/>
          <w:lang w:val="nl-NL"/>
        </w:rPr>
        <w:t>‘</w:t>
      </w:r>
      <w:r w:rsidRPr="004D1F2F">
        <w:rPr>
          <w:rFonts w:cstheme="minorHAnsi"/>
          <w:lang w:val="nl-NL"/>
        </w:rPr>
        <w:t>Geen windmolens meer in de Westhoek? Vlaanderen plaatst erfgoed boven klimaatdoelstellingen</w:t>
      </w:r>
      <w:r w:rsidR="00BB6812">
        <w:rPr>
          <w:rFonts w:cstheme="minorHAnsi"/>
          <w:lang w:val="nl-NL"/>
        </w:rPr>
        <w:t>’</w:t>
      </w:r>
      <w:r w:rsidRPr="004D1F2F">
        <w:rPr>
          <w:rFonts w:cstheme="minorHAnsi"/>
          <w:lang w:val="nl-NL"/>
        </w:rPr>
        <w:t xml:space="preserve">, </w:t>
      </w:r>
      <w:r w:rsidRPr="004D1F2F">
        <w:rPr>
          <w:rFonts w:cstheme="minorHAnsi"/>
          <w:i/>
          <w:iCs/>
          <w:lang w:val="nl-NL"/>
        </w:rPr>
        <w:t>Knack</w:t>
      </w:r>
      <w:r w:rsidRPr="004D1F2F">
        <w:rPr>
          <w:rFonts w:cstheme="minorHAnsi"/>
          <w:lang w:val="nl-NL"/>
        </w:rPr>
        <w:t xml:space="preserve"> 14 februari 2024, https://www.knack.be/nieuws/belgie/politiek/geen-windmolens-meer-in-de-westhoek-vlaanderen-plaatst-erfgoed-boven-klimaatdoelstellingen/ (geraadpleegd op 3 februari 2025).</w:t>
      </w:r>
    </w:p>
  </w:footnote>
  <w:footnote w:id="145">
    <w:p w14:paraId="3CF71872" w14:textId="77777777" w:rsidR="00EE5CC6" w:rsidRPr="004D1F2F" w:rsidRDefault="00EE5CC6"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i/>
          <w:iCs/>
          <w:lang w:val="nl-NL"/>
        </w:rPr>
        <w:t>Ibid</w:t>
      </w:r>
      <w:r w:rsidRPr="004D1F2F">
        <w:rPr>
          <w:rFonts w:cstheme="minorHAnsi"/>
          <w:lang w:val="nl-NL"/>
        </w:rPr>
        <w:t>.</w:t>
      </w:r>
    </w:p>
  </w:footnote>
  <w:footnote w:id="146">
    <w:p w14:paraId="6E7198F0" w14:textId="77777777" w:rsidR="00EE5CC6" w:rsidRPr="004D1F2F" w:rsidRDefault="00EE5CC6"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RvS 23 november 2023, nr. 258.008.</w:t>
      </w:r>
    </w:p>
  </w:footnote>
  <w:footnote w:id="147">
    <w:p w14:paraId="170532FD" w14:textId="29DE8660" w:rsidR="00EE5CC6" w:rsidRPr="004D1F2F" w:rsidRDefault="00EE5CC6"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HOOFD J., </w:t>
      </w:r>
      <w:r w:rsidR="00BB6812">
        <w:rPr>
          <w:rFonts w:cstheme="minorHAnsi"/>
          <w:lang w:val="nl-NL"/>
        </w:rPr>
        <w:t>‘</w:t>
      </w:r>
      <w:r w:rsidRPr="004D1F2F">
        <w:rPr>
          <w:rFonts w:cstheme="minorHAnsi"/>
          <w:lang w:val="nl-NL"/>
        </w:rPr>
        <w:t>De laatste lijdensweg van de Codextrein. Het nieuwe LWAG eindigt niet in schoonheid, maar lazarus mag wel blijven</w:t>
      </w:r>
      <w:r w:rsidR="00BB6812">
        <w:rPr>
          <w:rFonts w:cstheme="minorHAnsi"/>
          <w:lang w:val="nl-NL"/>
        </w:rPr>
        <w:t>’</w:t>
      </w:r>
      <w:r w:rsidRPr="004D1F2F">
        <w:rPr>
          <w:rFonts w:cstheme="minorHAnsi"/>
          <w:lang w:val="nl-NL"/>
        </w:rPr>
        <w:t xml:space="preserve">, </w:t>
      </w:r>
      <w:r w:rsidRPr="004D1F2F">
        <w:rPr>
          <w:rFonts w:cstheme="minorHAnsi"/>
          <w:i/>
          <w:iCs/>
          <w:lang w:val="nl-NL"/>
        </w:rPr>
        <w:t>TROS</w:t>
      </w:r>
      <w:r w:rsidRPr="004D1F2F">
        <w:rPr>
          <w:rFonts w:cstheme="minorHAnsi"/>
          <w:lang w:val="nl-NL"/>
        </w:rPr>
        <w:t xml:space="preserve"> 2019, afl. 95, 209.</w:t>
      </w:r>
    </w:p>
  </w:footnote>
  <w:footnote w:id="148">
    <w:p w14:paraId="3D81DADE" w14:textId="77777777" w:rsidR="00EE5CC6" w:rsidRPr="004D1F2F" w:rsidRDefault="00EE5CC6"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NL"/>
        </w:rPr>
        <w:t xml:space="preserve"> RvS 24 juni 2021, nr. 251.058; RvVb 14 april 2022, nr. A-2122-0662; RvVb 21 april 2022, nr. A-2122-0675; RvVb 28 april 2022, nr. A-2122-0700; RvVb 28 april 2022, nr. A-2122-0701; RvVb 16 juni 2022, nr. A-2122-0868; RvVb 15 juni 2023, nr. A-2223-0987; RvVb 6 juli 2023, nr. A-2223-1051; RvVb 5 oktober 2023, nr. A-2324-0082.</w:t>
      </w:r>
    </w:p>
  </w:footnote>
  <w:footnote w:id="149">
    <w:p w14:paraId="39B65103" w14:textId="78500E2D" w:rsidR="00EE5CC6" w:rsidRPr="004D1F2F" w:rsidRDefault="00EE5CC6"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SARO, Advies over het ontwerp van decreet houdende diverse bepalingen inzake ruimtelijke ordening, milieu en omgeving, 5 oktober 2016. Zie ook </w:t>
      </w:r>
      <w:r w:rsidRPr="004D1F2F">
        <w:rPr>
          <w:rFonts w:cstheme="minorHAnsi"/>
          <w:i/>
          <w:iCs/>
          <w:lang w:val="nl-NL"/>
        </w:rPr>
        <w:t>Parl.St.</w:t>
      </w:r>
      <w:r w:rsidRPr="004D1F2F">
        <w:rPr>
          <w:rFonts w:cstheme="minorHAnsi"/>
          <w:lang w:val="nl-NL"/>
        </w:rPr>
        <w:t xml:space="preserve"> Vl.Parl. 2016-17, nr. 1.149/1, 298 en DE BRUCKER L. en JOUVE J., </w:t>
      </w:r>
      <w:r w:rsidR="00BB6812">
        <w:rPr>
          <w:rFonts w:cstheme="minorHAnsi"/>
          <w:lang w:val="nl-NL"/>
        </w:rPr>
        <w:t>‘</w:t>
      </w:r>
      <w:r w:rsidRPr="004D1F2F">
        <w:rPr>
          <w:rFonts w:cstheme="minorHAnsi"/>
          <w:lang w:val="nl-NL"/>
        </w:rPr>
        <w:t>RvS ziet geen graten in grondwettigheid clicheringsmechaniek en positieve planologisch-esthetische toets voor inplanting windturbines in agrarisch gebied</w:t>
      </w:r>
      <w:r w:rsidR="00BB6812">
        <w:rPr>
          <w:rFonts w:cstheme="minorHAnsi"/>
          <w:lang w:val="nl-NL"/>
        </w:rPr>
        <w:t>’</w:t>
      </w:r>
      <w:r w:rsidRPr="004D1F2F">
        <w:rPr>
          <w:rFonts w:cstheme="minorHAnsi"/>
          <w:lang w:val="nl-NL"/>
        </w:rPr>
        <w:t xml:space="preserve">, </w:t>
      </w:r>
      <w:r w:rsidRPr="004D1F2F">
        <w:rPr>
          <w:rFonts w:cstheme="minorHAnsi"/>
          <w:i/>
          <w:iCs/>
          <w:lang w:val="nl-NL"/>
        </w:rPr>
        <w:t>STORM</w:t>
      </w:r>
      <w:r w:rsidRPr="004D1F2F">
        <w:rPr>
          <w:rFonts w:cstheme="minorHAnsi"/>
          <w:lang w:val="nl-NL"/>
        </w:rPr>
        <w:t xml:space="preserve"> 2021/3, bijdrage 12.</w:t>
      </w:r>
    </w:p>
  </w:footnote>
  <w:footnote w:id="150">
    <w:p w14:paraId="224EBC2E" w14:textId="77777777" w:rsidR="00EE5CC6" w:rsidRPr="004D1F2F" w:rsidRDefault="00EE5CC6"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DE BRUCKER L., </w:t>
      </w:r>
      <w:r w:rsidRPr="004D1F2F">
        <w:rPr>
          <w:rFonts w:cstheme="minorHAnsi"/>
          <w:i/>
          <w:iCs/>
          <w:lang w:val="nl-NL"/>
        </w:rPr>
        <w:t>De vergunning van windturbines in het Vlaamse Gewest</w:t>
      </w:r>
      <w:r w:rsidRPr="004D1F2F">
        <w:rPr>
          <w:rFonts w:cstheme="minorHAnsi"/>
          <w:lang w:val="nl-NL"/>
        </w:rPr>
        <w:t>, Larcier-Intersentia, 2024, 1031.</w:t>
      </w:r>
    </w:p>
  </w:footnote>
  <w:footnote w:id="151">
    <w:p w14:paraId="4195ED41" w14:textId="77777777" w:rsidR="00EE5CC6" w:rsidRPr="004D1F2F" w:rsidRDefault="00EE5CC6" w:rsidP="00DA15D2">
      <w:pPr>
        <w:pStyle w:val="Voetnoottekst"/>
        <w:jc w:val="both"/>
        <w:rPr>
          <w:rFonts w:cstheme="minorHAnsi"/>
          <w:lang w:val="nl-NL"/>
        </w:rPr>
      </w:pPr>
      <w:r w:rsidRPr="004D1F2F">
        <w:rPr>
          <w:rStyle w:val="Voetnootmarkering"/>
          <w:rFonts w:cstheme="minorHAnsi"/>
        </w:rPr>
        <w:footnoteRef/>
      </w:r>
      <w:r w:rsidRPr="004D1F2F">
        <w:rPr>
          <w:rFonts w:cstheme="minorHAnsi"/>
          <w:lang w:val="nl-BE"/>
        </w:rPr>
        <w:t xml:space="preserve"> </w:t>
      </w:r>
      <w:r w:rsidRPr="004D1F2F">
        <w:rPr>
          <w:rFonts w:cstheme="minorHAnsi"/>
          <w:lang w:val="nl-NL"/>
        </w:rPr>
        <w:t xml:space="preserve">Zie ter illustratie </w:t>
      </w:r>
      <w:r w:rsidRPr="004D1F2F">
        <w:rPr>
          <w:rFonts w:cstheme="minorHAnsi"/>
          <w:lang w:val="nl-BE"/>
        </w:rPr>
        <w:t>Omz. OMG/2024/1 van 9 februari 2024 betreffende afwegingskader en randvoorwaarden voor de oprichting van windturbines, VR 2024 0902 MED.0054/2.</w:t>
      </w:r>
    </w:p>
  </w:footnote>
  <w:footnote w:id="152">
    <w:p w14:paraId="2D42ECE7" w14:textId="77777777" w:rsidR="00B138D8" w:rsidRPr="00B138D8" w:rsidRDefault="00B138D8" w:rsidP="00DA15D2">
      <w:pPr>
        <w:pStyle w:val="Voetnoottekst"/>
        <w:jc w:val="both"/>
        <w:rPr>
          <w:lang w:val="nl-BE"/>
        </w:rPr>
      </w:pPr>
      <w:r>
        <w:rPr>
          <w:rStyle w:val="Voetnootmarkering"/>
        </w:rPr>
        <w:footnoteRef/>
      </w:r>
      <w:r w:rsidRPr="00B138D8">
        <w:rPr>
          <w:lang w:val="nl-BE"/>
        </w:rPr>
        <w:t xml:space="preserve"> </w:t>
      </w:r>
      <w:r w:rsidRPr="00EB52C8">
        <w:rPr>
          <w:rFonts w:ascii="Calibri" w:hAnsi="Calibri" w:cs="Calibri"/>
          <w:lang w:val="nl-NL"/>
        </w:rPr>
        <w:t>‘</w:t>
      </w:r>
      <w:r w:rsidRPr="00B138D8">
        <w:rPr>
          <w:rFonts w:ascii="Calibri" w:hAnsi="Calibri" w:cs="Calibri"/>
          <w:lang w:val="nl-BE"/>
        </w:rPr>
        <w:t>Nationale uitvoering van Europese RED III: hoe doet Duitsland dat?’, NedZero, https://nedzero.nl/nl/nieuws/nationale-uitvoering-red-iii-hoe-doet-duitsland-dat?#0 (geraadpleegd op 16 februari 2025).</w:t>
      </w:r>
    </w:p>
  </w:footnote>
  <w:footnote w:id="153">
    <w:p w14:paraId="7B871781" w14:textId="77777777" w:rsidR="00B138D8" w:rsidRPr="00DF254A" w:rsidRDefault="00B138D8" w:rsidP="00DA15D2">
      <w:pPr>
        <w:pStyle w:val="Voetnoottekst"/>
        <w:jc w:val="both"/>
      </w:pPr>
      <w:r>
        <w:rPr>
          <w:rStyle w:val="Voetnootmarkering"/>
        </w:rPr>
        <w:footnoteRef/>
      </w:r>
      <w:r w:rsidRPr="00DF254A">
        <w:t xml:space="preserve"> </w:t>
      </w:r>
      <w:r>
        <w:rPr>
          <w:rFonts w:ascii="Calibri" w:hAnsi="Calibri" w:cs="Calibri"/>
        </w:rPr>
        <w:t>‘</w:t>
      </w:r>
      <w:r w:rsidRPr="00DF254A">
        <w:rPr>
          <w:rFonts w:ascii="Calibri" w:hAnsi="Calibri" w:cs="Calibri"/>
        </w:rPr>
        <w:t>We are not on track to meet the Paris Agreement’s objectives. What should we do?’, Capgemini, 142,</w:t>
      </w:r>
      <w:r>
        <w:rPr>
          <w:rFonts w:ascii="Calibri" w:hAnsi="Calibri" w:cs="Calibri"/>
        </w:rPr>
        <w:t xml:space="preserve"> </w:t>
      </w:r>
      <w:r w:rsidRPr="00DF254A">
        <w:rPr>
          <w:rFonts w:ascii="Calibri" w:hAnsi="Calibri" w:cs="Calibri"/>
        </w:rPr>
        <w:t>https://www.capgemini.com/wp-content/uploads/2024/10/WEMO24-Outlook-and-Articles_compressed.pdf (geraadpleegd op 2 maart 2025).</w:t>
      </w:r>
    </w:p>
  </w:footnote>
  <w:footnote w:id="154">
    <w:p w14:paraId="089DBBE8" w14:textId="063A2EAE" w:rsidR="00B138D8" w:rsidRPr="005335F6" w:rsidRDefault="00B138D8" w:rsidP="00DA15D2">
      <w:pPr>
        <w:pStyle w:val="Voetnoottekst"/>
        <w:jc w:val="both"/>
        <w:rPr>
          <w:lang w:val="nl-BE"/>
        </w:rPr>
      </w:pPr>
      <w:r>
        <w:rPr>
          <w:rStyle w:val="Voetnootmarkering"/>
        </w:rPr>
        <w:footnoteRef/>
      </w:r>
      <w:r w:rsidRPr="00B138D8">
        <w:rPr>
          <w:lang w:val="nl-BE"/>
        </w:rPr>
        <w:t xml:space="preserve"> Overw. 20-27 en artikel 16, zesde lid </w:t>
      </w:r>
      <w:r w:rsidRPr="00B138D8">
        <w:rPr>
          <w:rFonts w:ascii="Calibri" w:hAnsi="Calibri" w:cs="Calibri"/>
          <w:lang w:val="nl-BE"/>
        </w:rPr>
        <w:t xml:space="preserve">Richtl. (EU) 2023/2413 van het Europees Parlement en de Raad van 18 oktober 2023 tot wijziging van Richtlijn (EU) 2018/2001, Verordening (EU) 2018/1999 en Richtlijn 98/70/EG wat de bevordering van energie uit hernieuwbare bronnen betreft, en tot intrekking van Richtlijn (EU) 2015/652 van de Raad, </w:t>
      </w:r>
      <w:r w:rsidRPr="00B138D8">
        <w:rPr>
          <w:rFonts w:ascii="Calibri" w:hAnsi="Calibri" w:cs="Calibri"/>
          <w:i/>
          <w:iCs/>
          <w:lang w:val="nl-BE"/>
        </w:rPr>
        <w:t>Pb. L.</w:t>
      </w:r>
      <w:r w:rsidRPr="00B138D8">
        <w:rPr>
          <w:rFonts w:ascii="Calibri" w:hAnsi="Calibri" w:cs="Calibri"/>
          <w:lang w:val="nl-BE"/>
        </w:rPr>
        <w:t xml:space="preserve"> 31 oktober 2023, http://data.europa.eu/eli/dir/2023/2413/oj.</w:t>
      </w:r>
    </w:p>
  </w:footnote>
  <w:footnote w:id="155">
    <w:p w14:paraId="263E797E" w14:textId="77777777" w:rsidR="00B138D8" w:rsidRPr="002E2649" w:rsidRDefault="00B138D8" w:rsidP="00DA15D2">
      <w:pPr>
        <w:pStyle w:val="Voetnoottekst"/>
        <w:jc w:val="both"/>
        <w:rPr>
          <w:lang w:val="nl-NL"/>
        </w:rPr>
      </w:pPr>
      <w:r>
        <w:rPr>
          <w:rStyle w:val="Voetnootmarkering"/>
        </w:rPr>
        <w:footnoteRef/>
      </w:r>
      <w:r w:rsidRPr="00B138D8">
        <w:rPr>
          <w:lang w:val="nl-BE"/>
        </w:rPr>
        <w:t xml:space="preserve"> </w:t>
      </w:r>
      <w:r>
        <w:rPr>
          <w:lang w:val="nl-NL"/>
        </w:rPr>
        <w:t xml:space="preserve">Zo bestaat ook een zogenaamd ‘REPowerEU-plan’. Dit betreft een louter beleidsinitiatief waarin de Europese </w:t>
      </w:r>
      <w:r w:rsidRPr="002E2649">
        <w:rPr>
          <w:lang w:val="nl-NL"/>
        </w:rPr>
        <w:t xml:space="preserve">Commissie eerder </w:t>
      </w:r>
      <w:r w:rsidRPr="00B138D8">
        <w:rPr>
          <w:lang w:val="nl-BE"/>
        </w:rPr>
        <w:t xml:space="preserve">beleidsaanbevelingen, richtsnoeren en financiële steunmaatregelen op het voorplan stelt </w:t>
      </w:r>
      <w:r w:rsidRPr="002E2649">
        <w:rPr>
          <w:lang w:val="nl-NL"/>
        </w:rPr>
        <w:t>die de onafhankelijkheid van fossiele brandstoffen en de versnelde uitrol van hernieuwbare energievoorziening moeten bewerkstelligen.</w:t>
      </w:r>
    </w:p>
  </w:footnote>
  <w:footnote w:id="156">
    <w:p w14:paraId="45C791D1" w14:textId="77777777" w:rsidR="00B138D8" w:rsidRPr="00D712CA" w:rsidRDefault="00B138D8" w:rsidP="00DA15D2">
      <w:pPr>
        <w:pStyle w:val="Voetnoottekst"/>
        <w:jc w:val="both"/>
        <w:rPr>
          <w:rFonts w:ascii="Calibri" w:hAnsi="Calibri" w:cs="Calibri"/>
          <w:lang w:val="nl-NL"/>
        </w:rPr>
      </w:pPr>
      <w:r w:rsidRPr="00D712CA">
        <w:rPr>
          <w:rStyle w:val="Voetnootmarkering"/>
          <w:rFonts w:ascii="Calibri" w:hAnsi="Calibri" w:cs="Calibri"/>
        </w:rPr>
        <w:footnoteRef/>
      </w:r>
      <w:r w:rsidRPr="00B138D8">
        <w:rPr>
          <w:rFonts w:ascii="Calibri" w:hAnsi="Calibri" w:cs="Calibri"/>
          <w:lang w:val="nl-BE"/>
        </w:rPr>
        <w:t xml:space="preserve"> Richtl. 2009/28/EG van het Europees Parlement en de Raad van 23 april 2009 ter bevordering van het gebruik van energie uit hernieuwbare bronnen en houdende wijziging en intrekking van Richtlijn 2001/77/EG en Richtlijn 2003/30/EG, </w:t>
      </w:r>
      <w:r w:rsidRPr="00B138D8">
        <w:rPr>
          <w:rFonts w:ascii="Calibri" w:hAnsi="Calibri" w:cs="Calibri"/>
          <w:i/>
          <w:iCs/>
          <w:lang w:val="nl-BE"/>
        </w:rPr>
        <w:t>Pb. L.</w:t>
      </w:r>
      <w:r w:rsidRPr="00B138D8">
        <w:rPr>
          <w:rFonts w:ascii="Calibri" w:hAnsi="Calibri" w:cs="Calibri"/>
          <w:lang w:val="nl-BE"/>
        </w:rPr>
        <w:t xml:space="preserve"> 5 juni 2009, http://data.europa.eu/eli/dir/2009/28/oj. (Ook naar verwezen als ‘RED I’ doorheen dit hoofdstuk)</w:t>
      </w:r>
    </w:p>
  </w:footnote>
  <w:footnote w:id="157">
    <w:p w14:paraId="1431DDDD" w14:textId="77777777" w:rsidR="00B138D8" w:rsidRPr="00D712CA" w:rsidRDefault="00B138D8" w:rsidP="00DA15D2">
      <w:pPr>
        <w:pStyle w:val="Voetnoottekst"/>
        <w:jc w:val="both"/>
        <w:rPr>
          <w:rFonts w:ascii="Calibri" w:hAnsi="Calibri" w:cs="Calibri"/>
          <w:lang w:val="nl-NL"/>
        </w:rPr>
      </w:pPr>
      <w:r w:rsidRPr="00D712CA">
        <w:rPr>
          <w:rStyle w:val="Voetnootmarkering"/>
          <w:rFonts w:ascii="Calibri" w:hAnsi="Calibri" w:cs="Calibri"/>
        </w:rPr>
        <w:footnoteRef/>
      </w:r>
      <w:r w:rsidRPr="00B138D8">
        <w:rPr>
          <w:rFonts w:ascii="Calibri" w:hAnsi="Calibri" w:cs="Calibri"/>
          <w:lang w:val="nl-BE"/>
        </w:rPr>
        <w:t xml:space="preserve"> </w:t>
      </w:r>
      <w:r w:rsidRPr="00D712CA">
        <w:rPr>
          <w:rFonts w:ascii="Calibri" w:hAnsi="Calibri" w:cs="Calibri"/>
          <w:lang w:val="nl-NL"/>
        </w:rPr>
        <w:t>Artikel 1 en overw. 41 RED I.</w:t>
      </w:r>
    </w:p>
  </w:footnote>
  <w:footnote w:id="158">
    <w:p w14:paraId="58192014" w14:textId="77777777" w:rsidR="00B138D8" w:rsidRPr="00B138D8" w:rsidRDefault="00B138D8" w:rsidP="00DA15D2">
      <w:pPr>
        <w:pStyle w:val="Voetnoottekst"/>
        <w:jc w:val="both"/>
        <w:rPr>
          <w:rFonts w:ascii="Calibri" w:hAnsi="Calibri" w:cs="Calibri"/>
          <w:lang w:val="nl-BE"/>
        </w:rPr>
      </w:pPr>
      <w:r w:rsidRPr="00D712CA">
        <w:rPr>
          <w:rStyle w:val="Voetnootmarkering"/>
          <w:rFonts w:ascii="Calibri" w:hAnsi="Calibri" w:cs="Calibri"/>
        </w:rPr>
        <w:footnoteRef/>
      </w:r>
      <w:r w:rsidRPr="00B138D8">
        <w:rPr>
          <w:rFonts w:ascii="Calibri" w:hAnsi="Calibri" w:cs="Calibri"/>
          <w:lang w:val="nl-BE"/>
        </w:rPr>
        <w:t xml:space="preserve"> </w:t>
      </w:r>
      <w:r w:rsidRPr="00D712CA">
        <w:rPr>
          <w:rFonts w:ascii="Calibri" w:hAnsi="Calibri" w:cs="Calibri"/>
          <w:lang w:val="nl-NL"/>
        </w:rPr>
        <w:t xml:space="preserve">Richtl. </w:t>
      </w:r>
      <w:r w:rsidRPr="00B138D8">
        <w:rPr>
          <w:rFonts w:ascii="Calibri" w:hAnsi="Calibri" w:cs="Calibri"/>
          <w:lang w:val="nl-BE"/>
        </w:rPr>
        <w:t xml:space="preserve">(EU) 2018/2001 van het Europees Parlement en de Raad van 11 december 2018 ter bevordering van het gebruik van energie uit hernieuwbare bronnen, </w:t>
      </w:r>
      <w:r w:rsidRPr="00B138D8">
        <w:rPr>
          <w:rFonts w:ascii="Calibri" w:hAnsi="Calibri" w:cs="Calibri"/>
          <w:i/>
          <w:iCs/>
          <w:lang w:val="nl-BE"/>
        </w:rPr>
        <w:t>Pb. L.</w:t>
      </w:r>
      <w:r w:rsidRPr="00B138D8">
        <w:rPr>
          <w:rFonts w:ascii="Calibri" w:hAnsi="Calibri" w:cs="Calibri"/>
          <w:lang w:val="nl-BE"/>
        </w:rPr>
        <w:t xml:space="preserve"> 21 december 2018, http://data.europa.eu/eli/dir/2018/2001/oj. (Ook naar verwezen als ‘RED II’ doorheen dit hoofdstuk)</w:t>
      </w:r>
    </w:p>
  </w:footnote>
  <w:footnote w:id="159">
    <w:p w14:paraId="56F09354" w14:textId="7186CBF6" w:rsidR="00B138D8" w:rsidRPr="00D14E40" w:rsidRDefault="00B138D8" w:rsidP="00DA15D2">
      <w:pPr>
        <w:pStyle w:val="Voetnoottekst"/>
        <w:jc w:val="both"/>
        <w:rPr>
          <w:rFonts w:ascii="Calibri" w:hAnsi="Calibri" w:cs="Calibri"/>
          <w:lang w:val="nl-BE"/>
        </w:rPr>
      </w:pPr>
      <w:r w:rsidRPr="00D712CA">
        <w:rPr>
          <w:rStyle w:val="Voetnootmarkering"/>
          <w:rFonts w:ascii="Calibri" w:hAnsi="Calibri" w:cs="Calibri"/>
        </w:rPr>
        <w:footnoteRef/>
      </w:r>
      <w:r w:rsidRPr="00D14E40">
        <w:rPr>
          <w:rFonts w:ascii="Calibri" w:hAnsi="Calibri" w:cs="Calibri"/>
          <w:lang w:val="nl-BE"/>
        </w:rPr>
        <w:t xml:space="preserve"> SCHULZ T. en LOSCH R., </w:t>
      </w:r>
      <w:r w:rsidR="00BB6812" w:rsidRPr="00D14E40">
        <w:rPr>
          <w:rFonts w:ascii="Calibri" w:hAnsi="Calibri" w:cs="Calibri"/>
          <w:lang w:val="nl-BE"/>
        </w:rPr>
        <w:t>‘</w:t>
      </w:r>
      <w:r w:rsidRPr="00D14E40">
        <w:rPr>
          <w:rFonts w:ascii="Calibri" w:hAnsi="Calibri" w:cs="Calibri"/>
          <w:lang w:val="nl-BE"/>
        </w:rPr>
        <w:t>The proposal for a recast Renewable Energy Directive</w:t>
      </w:r>
      <w:r w:rsidR="00BB6812" w:rsidRPr="00D14E40">
        <w:rPr>
          <w:rFonts w:ascii="Calibri" w:hAnsi="Calibri" w:cs="Calibri"/>
          <w:lang w:val="nl-BE"/>
        </w:rPr>
        <w:t>’</w:t>
      </w:r>
      <w:r w:rsidRPr="00D14E40">
        <w:rPr>
          <w:rFonts w:ascii="Calibri" w:hAnsi="Calibri" w:cs="Calibri"/>
          <w:lang w:val="nl-BE"/>
        </w:rPr>
        <w:t xml:space="preserve">, </w:t>
      </w:r>
      <w:r w:rsidRPr="00D14E40">
        <w:rPr>
          <w:rFonts w:ascii="Calibri" w:hAnsi="Calibri" w:cs="Calibri"/>
          <w:i/>
          <w:iCs/>
          <w:lang w:val="nl-BE"/>
        </w:rPr>
        <w:t>TRNI</w:t>
      </w:r>
      <w:r w:rsidRPr="00D14E40">
        <w:rPr>
          <w:rFonts w:ascii="Calibri" w:hAnsi="Calibri" w:cs="Calibri"/>
          <w:lang w:val="nl-BE"/>
        </w:rPr>
        <w:t xml:space="preserve"> 2017, afl. 1, 19.</w:t>
      </w:r>
    </w:p>
  </w:footnote>
  <w:footnote w:id="160">
    <w:p w14:paraId="6650E537" w14:textId="77777777" w:rsidR="00B138D8" w:rsidRPr="00B138D8" w:rsidRDefault="00B138D8" w:rsidP="00DA15D2">
      <w:pPr>
        <w:pStyle w:val="Voetnoottekst"/>
        <w:jc w:val="both"/>
        <w:rPr>
          <w:rFonts w:ascii="Calibri" w:hAnsi="Calibri" w:cs="Calibri"/>
          <w:lang w:val="nl-BE"/>
        </w:rPr>
      </w:pPr>
      <w:r w:rsidRPr="00D712CA">
        <w:rPr>
          <w:rStyle w:val="Voetnootmarkering"/>
          <w:rFonts w:ascii="Calibri" w:hAnsi="Calibri" w:cs="Calibri"/>
        </w:rPr>
        <w:footnoteRef/>
      </w:r>
      <w:r w:rsidRPr="00B138D8">
        <w:rPr>
          <w:rFonts w:ascii="Calibri" w:hAnsi="Calibri" w:cs="Calibri"/>
          <w:lang w:val="nl-BE"/>
        </w:rPr>
        <w:t xml:space="preserve"> Art. 16, vijfde lid RED II.</w:t>
      </w:r>
    </w:p>
  </w:footnote>
  <w:footnote w:id="161">
    <w:p w14:paraId="487657CE" w14:textId="77777777" w:rsidR="00B138D8" w:rsidRPr="00D712CA" w:rsidRDefault="00B138D8" w:rsidP="00DA15D2">
      <w:pPr>
        <w:pStyle w:val="Voetnoottekst"/>
        <w:jc w:val="both"/>
        <w:rPr>
          <w:rFonts w:ascii="Calibri" w:hAnsi="Calibri" w:cs="Calibri"/>
        </w:rPr>
      </w:pPr>
      <w:r w:rsidRPr="00D712CA">
        <w:rPr>
          <w:rStyle w:val="Voetnootmarkering"/>
          <w:rFonts w:ascii="Calibri" w:hAnsi="Calibri" w:cs="Calibri"/>
        </w:rPr>
        <w:footnoteRef/>
      </w:r>
      <w:r w:rsidRPr="00D712CA">
        <w:rPr>
          <w:rFonts w:ascii="Calibri" w:hAnsi="Calibri" w:cs="Calibri"/>
        </w:rPr>
        <w:t xml:space="preserve"> Art. 17 RED II.</w:t>
      </w:r>
    </w:p>
  </w:footnote>
  <w:footnote w:id="162">
    <w:p w14:paraId="7F135818" w14:textId="60C13DD0" w:rsidR="00B138D8" w:rsidRPr="00D712CA" w:rsidRDefault="00B138D8" w:rsidP="00DA15D2">
      <w:pPr>
        <w:pStyle w:val="Voetnoottekst"/>
        <w:jc w:val="both"/>
        <w:rPr>
          <w:rFonts w:ascii="Calibri" w:hAnsi="Calibri" w:cs="Calibri"/>
        </w:rPr>
      </w:pPr>
      <w:r w:rsidRPr="00D712CA">
        <w:rPr>
          <w:rStyle w:val="Voetnootmarkering"/>
          <w:rFonts w:ascii="Calibri" w:hAnsi="Calibri" w:cs="Calibri"/>
        </w:rPr>
        <w:footnoteRef/>
      </w:r>
      <w:r w:rsidRPr="00D712CA">
        <w:rPr>
          <w:rFonts w:ascii="Calibri" w:hAnsi="Calibri" w:cs="Calibri"/>
        </w:rPr>
        <w:t xml:space="preserve"> SCHULZ T. en LOSCH R., </w:t>
      </w:r>
      <w:r w:rsidR="00BB6812">
        <w:rPr>
          <w:rFonts w:ascii="Calibri" w:hAnsi="Calibri" w:cs="Calibri"/>
        </w:rPr>
        <w:t>‘</w:t>
      </w:r>
      <w:r w:rsidRPr="00D712CA">
        <w:rPr>
          <w:rFonts w:ascii="Calibri" w:hAnsi="Calibri" w:cs="Calibri"/>
        </w:rPr>
        <w:t>The proposal for a recast Renewable Energy Directive</w:t>
      </w:r>
      <w:r w:rsidR="00BB6812">
        <w:rPr>
          <w:rFonts w:ascii="Calibri" w:hAnsi="Calibri" w:cs="Calibri"/>
        </w:rPr>
        <w:t>’</w:t>
      </w:r>
      <w:r w:rsidRPr="00D712CA">
        <w:rPr>
          <w:rFonts w:ascii="Calibri" w:hAnsi="Calibri" w:cs="Calibri"/>
        </w:rPr>
        <w:t xml:space="preserve">, </w:t>
      </w:r>
      <w:r w:rsidRPr="00D712CA">
        <w:rPr>
          <w:rFonts w:ascii="Calibri" w:hAnsi="Calibri" w:cs="Calibri"/>
          <w:i/>
          <w:iCs/>
        </w:rPr>
        <w:t>TRNI</w:t>
      </w:r>
      <w:r w:rsidRPr="00D712CA">
        <w:rPr>
          <w:rFonts w:ascii="Calibri" w:hAnsi="Calibri" w:cs="Calibri"/>
        </w:rPr>
        <w:t xml:space="preserve"> 2017, afl. 1, 19.</w:t>
      </w:r>
    </w:p>
  </w:footnote>
  <w:footnote w:id="163">
    <w:p w14:paraId="24277DE4" w14:textId="77777777" w:rsidR="00B138D8" w:rsidRPr="00010C80" w:rsidRDefault="00B138D8" w:rsidP="00DA15D2">
      <w:pPr>
        <w:pStyle w:val="Voetnoottekst"/>
        <w:jc w:val="both"/>
        <w:rPr>
          <w:lang w:val="nl-NL"/>
        </w:rPr>
      </w:pPr>
      <w:r>
        <w:rPr>
          <w:rStyle w:val="Voetnootmarkering"/>
        </w:rPr>
        <w:footnoteRef/>
      </w:r>
      <w:r w:rsidRPr="00B138D8">
        <w:rPr>
          <w:lang w:val="nl-BE"/>
        </w:rPr>
        <w:t xml:space="preserve"> </w:t>
      </w:r>
      <w:r w:rsidRPr="00010C80">
        <w:rPr>
          <w:lang w:val="nl-NL"/>
        </w:rPr>
        <w:t>Verslag van de Commissie aan het Europees Parlement, de Raad, het Europees Economisch en Sociaal Comité en het Comité van de Regio’s, EUROPESE COMMISSIE, 2023-24, 24 oktober 2023, COM</w:t>
      </w:r>
      <w:r>
        <w:rPr>
          <w:lang w:val="nl-NL"/>
        </w:rPr>
        <w:t>/</w:t>
      </w:r>
      <w:r w:rsidRPr="00010C80">
        <w:rPr>
          <w:lang w:val="nl-NL"/>
        </w:rPr>
        <w:t>2023</w:t>
      </w:r>
      <w:r>
        <w:rPr>
          <w:lang w:val="nl-NL"/>
        </w:rPr>
        <w:t>/</w:t>
      </w:r>
      <w:r w:rsidRPr="00010C80">
        <w:rPr>
          <w:lang w:val="nl-NL"/>
        </w:rPr>
        <w:t>650 final.</w:t>
      </w:r>
    </w:p>
  </w:footnote>
  <w:footnote w:id="164">
    <w:p w14:paraId="1A156055" w14:textId="77777777" w:rsidR="00B138D8" w:rsidRPr="00B138D8" w:rsidRDefault="00B138D8" w:rsidP="00DA15D2">
      <w:pPr>
        <w:pStyle w:val="Voetnoottekst"/>
        <w:jc w:val="both"/>
        <w:rPr>
          <w:rFonts w:ascii="Calibri" w:hAnsi="Calibri" w:cs="Calibri"/>
          <w:b/>
          <w:bCs/>
          <w:lang w:val="nl-BE"/>
        </w:rPr>
      </w:pPr>
      <w:r w:rsidRPr="00D712CA">
        <w:rPr>
          <w:rStyle w:val="Voetnootmarkering"/>
          <w:rFonts w:ascii="Calibri" w:hAnsi="Calibri" w:cs="Calibri"/>
        </w:rPr>
        <w:footnoteRef/>
      </w:r>
      <w:r w:rsidRPr="00B138D8">
        <w:rPr>
          <w:rFonts w:ascii="Calibri" w:hAnsi="Calibri" w:cs="Calibri"/>
          <w:lang w:val="nl-BE"/>
        </w:rPr>
        <w:t xml:space="preserve"> Ontwerp</w:t>
      </w:r>
      <w:r w:rsidRPr="00B138D8">
        <w:rPr>
          <w:rFonts w:ascii="Calibri" w:eastAsia="Times New Roman" w:hAnsi="Calibri" w:cs="Calibri"/>
          <w:color w:val="372235"/>
          <w:sz w:val="36"/>
          <w:szCs w:val="36"/>
          <w:lang w:val="nl-BE" w:eastAsia="nl-NL"/>
        </w:rPr>
        <w:t xml:space="preserve"> </w:t>
      </w:r>
      <w:r w:rsidRPr="00B138D8">
        <w:rPr>
          <w:rFonts w:ascii="Calibri" w:hAnsi="Calibri" w:cs="Calibri"/>
          <w:lang w:val="nl-BE"/>
        </w:rPr>
        <w:t>van decreet tot wijziging van de Vlaamse Codex Ruimtelijke Ordening, het decreet van 4 april 2014 betreffende de organisatie en de rechtspleging van sommige Vlaamse bestuursrechtscolleges, en het decreet van 25 april 2014 betreffende de omgevingsvergunning, wat betreft de inplanting van windturbines, VLAAMS PARLEMENT, 2023-24, 19 februari 2024, 2024 - nr. 1.</w:t>
      </w:r>
    </w:p>
  </w:footnote>
  <w:footnote w:id="165">
    <w:p w14:paraId="411D61D0" w14:textId="77777777" w:rsidR="00B138D8" w:rsidRPr="00B138D8" w:rsidRDefault="00B138D8" w:rsidP="00DA15D2">
      <w:pPr>
        <w:pStyle w:val="Voetnoottekst"/>
        <w:jc w:val="both"/>
        <w:rPr>
          <w:rFonts w:ascii="Calibri" w:hAnsi="Calibri" w:cs="Calibri"/>
          <w:lang w:val="nl-BE"/>
        </w:rPr>
      </w:pPr>
      <w:r w:rsidRPr="00D712CA">
        <w:rPr>
          <w:rStyle w:val="Voetnootmarkering"/>
          <w:rFonts w:ascii="Calibri" w:hAnsi="Calibri" w:cs="Calibri"/>
        </w:rPr>
        <w:footnoteRef/>
      </w:r>
      <w:r w:rsidRPr="00B138D8">
        <w:rPr>
          <w:rFonts w:ascii="Calibri" w:hAnsi="Calibri" w:cs="Calibri"/>
          <w:lang w:val="nl-BE"/>
        </w:rPr>
        <w:t xml:space="preserve"> De oorzaak van dit verval is niet eenvoudig te achterhalen, maar het lijkt m.i. logisch dat het moment van indiening zodanig dicht bij het einde van de toenmalige zittingsperiode werd ingediend dat de verdere behandeling en stemming van het ontwerp onmogelijk werd. Dit principe vloeit voort uit de algemene parlementaire praktijk en de toepassing van de parlementaire discontinuïteit.​ In België houdt de parlementaire discontinuïteit in dat alle lopende parlementaire werkzaamheden, zoals wetsontwerpen en -voorstellen, automatisch vervallen bij het einde van een legislatuur. Dit betekent dat na de ontbinding van de Wetgevende Kamers alle aanhangige wetsontwerpen en -voorstellen als niet-bestaande worden beschouwd. Deze interpretatie wordt ondersteund door de Wet van 5 mei 1999 betreffende de gevolgen van de ontbinding van de Wetgevende Kamers ten aanzien van de aanhangige wetsontwerpen en wetsvoorstellen. Artikel 2 van deze wet stelt:​ “</w:t>
      </w:r>
      <w:r w:rsidRPr="00B138D8">
        <w:rPr>
          <w:rFonts w:ascii="Calibri" w:hAnsi="Calibri" w:cs="Calibri"/>
          <w:i/>
          <w:iCs/>
          <w:lang w:val="nl-BE"/>
        </w:rPr>
        <w:t>In geval van ontbinding van de federale Wetgevende Kamers worden alle bij de ontbonden Kamers aanhangige wetsontwerpen en wetsvoorstellen als niet-bestaande beschouwd.</w:t>
      </w:r>
      <w:r w:rsidRPr="00B138D8">
        <w:rPr>
          <w:rFonts w:ascii="Calibri" w:hAnsi="Calibri" w:cs="Calibri"/>
          <w:lang w:val="nl-BE"/>
        </w:rPr>
        <w:t xml:space="preserve">” M.i. moet dit federale principe naar analogie worden toegepast voor de deelstaten. </w:t>
      </w:r>
    </w:p>
  </w:footnote>
  <w:footnote w:id="166">
    <w:p w14:paraId="1F3E469A" w14:textId="77777777" w:rsidR="00B138D8" w:rsidRPr="00B138D8" w:rsidRDefault="00B138D8" w:rsidP="00DA15D2">
      <w:pPr>
        <w:pStyle w:val="Voetnoottekst"/>
        <w:jc w:val="both"/>
        <w:rPr>
          <w:lang w:val="nl-BE"/>
        </w:rPr>
      </w:pPr>
      <w:r>
        <w:rPr>
          <w:rStyle w:val="Voetnootmarkering"/>
        </w:rPr>
        <w:footnoteRef/>
      </w:r>
      <w:r w:rsidRPr="00B138D8">
        <w:rPr>
          <w:lang w:val="nl-BE"/>
        </w:rPr>
        <w:t xml:space="preserve"> </w:t>
      </w:r>
      <w:r>
        <w:rPr>
          <w:lang w:val="nl-NL"/>
        </w:rPr>
        <w:t xml:space="preserve">Beleidsnota 2024-2029 Energie en Klimaat, </w:t>
      </w:r>
      <w:r w:rsidRPr="00B138D8">
        <w:rPr>
          <w:lang w:val="nl-BE"/>
        </w:rPr>
        <w:t>VLAAMS MINISTER VAN ENRGIE EN KLIMAAT, 2024-25, 15 november 2024, 141 – nr. 1.</w:t>
      </w:r>
    </w:p>
  </w:footnote>
  <w:footnote w:id="167">
    <w:p w14:paraId="332733D9" w14:textId="77777777" w:rsidR="00B138D8" w:rsidRPr="00B138D8" w:rsidRDefault="00B138D8" w:rsidP="00DA15D2">
      <w:pPr>
        <w:pStyle w:val="Voetnoottekst"/>
        <w:jc w:val="both"/>
        <w:rPr>
          <w:lang w:val="nl-BE"/>
        </w:rPr>
      </w:pPr>
      <w:r>
        <w:rPr>
          <w:rStyle w:val="Voetnootmarkering"/>
        </w:rPr>
        <w:footnoteRef/>
      </w:r>
      <w:r w:rsidRPr="00B138D8">
        <w:rPr>
          <w:lang w:val="nl-BE"/>
        </w:rPr>
        <w:t xml:space="preserve"> Art. 14, §2 van de gecoördineerde wetten op de Raad van State.</w:t>
      </w:r>
    </w:p>
  </w:footnote>
  <w:footnote w:id="168">
    <w:p w14:paraId="01FCE4A0" w14:textId="77777777" w:rsidR="00B138D8" w:rsidRPr="00B138D8" w:rsidRDefault="00B138D8" w:rsidP="00DA15D2">
      <w:pPr>
        <w:pStyle w:val="Voetnoottekst"/>
        <w:jc w:val="both"/>
        <w:rPr>
          <w:lang w:val="nl-BE"/>
        </w:rPr>
      </w:pPr>
      <w:r>
        <w:rPr>
          <w:rStyle w:val="Voetnootmarkering"/>
        </w:rPr>
        <w:footnoteRef/>
      </w:r>
      <w:r w:rsidRPr="00B138D8">
        <w:rPr>
          <w:lang w:val="nl-BE"/>
        </w:rPr>
        <w:t xml:space="preserve"> KB 21 juli 2023 tot bepaling van de zaken van hoger openbaar belang en de mogelijke organisatorische maatregelen in de zin van artikel 101/1, tweede lid, van de wetten op de Raad van State, gecoördineerd op 12 januari 1973, </w:t>
      </w:r>
      <w:r w:rsidRPr="00B138D8">
        <w:rPr>
          <w:i/>
          <w:iCs/>
          <w:lang w:val="nl-BE"/>
        </w:rPr>
        <w:t>BS</w:t>
      </w:r>
      <w:r w:rsidRPr="00B138D8">
        <w:rPr>
          <w:lang w:val="nl-BE"/>
        </w:rPr>
        <w:t xml:space="preserve"> 26 juli 2023.</w:t>
      </w:r>
    </w:p>
  </w:footnote>
  <w:footnote w:id="169">
    <w:p w14:paraId="5DDB8AF7" w14:textId="77777777" w:rsidR="00B138D8" w:rsidRPr="00B138D8" w:rsidRDefault="00B138D8" w:rsidP="00DA15D2">
      <w:pPr>
        <w:pStyle w:val="Voetnoottekst"/>
        <w:jc w:val="both"/>
        <w:rPr>
          <w:b/>
          <w:bCs/>
          <w:lang w:val="nl-BE"/>
        </w:rPr>
      </w:pPr>
      <w:r>
        <w:rPr>
          <w:rStyle w:val="Voetnootmarkering"/>
        </w:rPr>
        <w:footnoteRef/>
      </w:r>
      <w:r w:rsidRPr="00B138D8">
        <w:rPr>
          <w:lang w:val="nl-BE"/>
        </w:rPr>
        <w:t xml:space="preserve"> Dit wordt met zoveel woorden vermeldt in art. 45b, lid 8 van de Bundesnaturschutzgesetz.</w:t>
      </w:r>
    </w:p>
  </w:footnote>
  <w:footnote w:id="170">
    <w:p w14:paraId="4A6F1274" w14:textId="77777777" w:rsidR="00B138D8" w:rsidRPr="00F77E40" w:rsidRDefault="00B138D8" w:rsidP="00DA15D2">
      <w:pPr>
        <w:pStyle w:val="Voetnoottekst"/>
        <w:jc w:val="both"/>
      </w:pPr>
      <w:r>
        <w:rPr>
          <w:rStyle w:val="Voetnootmarkering"/>
        </w:rPr>
        <w:footnoteRef/>
      </w:r>
      <w:r w:rsidRPr="00F77E40">
        <w:t xml:space="preserve"> Art. 15</w:t>
      </w:r>
      <w:r w:rsidRPr="00F77E40">
        <w:rPr>
          <w:i/>
          <w:iCs/>
        </w:rPr>
        <w:t>quater</w:t>
      </w:r>
      <w:r w:rsidRPr="00F77E40">
        <w:t xml:space="preserve"> en 16</w:t>
      </w:r>
      <w:r w:rsidRPr="00F77E40">
        <w:rPr>
          <w:i/>
          <w:iCs/>
        </w:rPr>
        <w:t>bis</w:t>
      </w:r>
      <w:r w:rsidRPr="00F77E40">
        <w:t xml:space="preserve"> RED III.</w:t>
      </w:r>
    </w:p>
  </w:footnote>
  <w:footnote w:id="171">
    <w:p w14:paraId="6BB572F8" w14:textId="55DFCD37" w:rsidR="00343203" w:rsidRPr="00343203" w:rsidRDefault="00343203">
      <w:pPr>
        <w:pStyle w:val="Voetnoottekst"/>
        <w:rPr>
          <w:lang w:val="nl-NL"/>
        </w:rPr>
      </w:pPr>
      <w:r>
        <w:rPr>
          <w:rStyle w:val="Voetnootmarkering"/>
        </w:rPr>
        <w:footnoteRef/>
      </w:r>
      <w:r w:rsidRPr="00343203">
        <w:rPr>
          <w:lang w:val="nl-BE"/>
        </w:rPr>
        <w:t xml:space="preserve"> </w:t>
      </w:r>
      <w:r>
        <w:rPr>
          <w:lang w:val="nl-NL"/>
        </w:rPr>
        <w:t>Dit betreft de heringebruikname van reeds bestaande, verouderde windturbines.</w:t>
      </w:r>
    </w:p>
  </w:footnote>
  <w:footnote w:id="172">
    <w:p w14:paraId="2223CC20" w14:textId="77777777" w:rsidR="00B138D8" w:rsidRPr="00EB52C8" w:rsidRDefault="00B138D8" w:rsidP="00DA15D2">
      <w:pPr>
        <w:pStyle w:val="Voetnoottekst"/>
        <w:jc w:val="both"/>
        <w:rPr>
          <w:rFonts w:ascii="Calibri" w:hAnsi="Calibri" w:cs="Calibri"/>
          <w:lang w:val="nl-NL"/>
        </w:rPr>
      </w:pPr>
      <w:r w:rsidRPr="00EB52C8">
        <w:rPr>
          <w:rStyle w:val="Voetnootmarkering"/>
          <w:rFonts w:ascii="Calibri" w:hAnsi="Calibri" w:cs="Calibri"/>
        </w:rPr>
        <w:footnoteRef/>
      </w:r>
      <w:r w:rsidRPr="00B138D8">
        <w:rPr>
          <w:rFonts w:ascii="Calibri" w:hAnsi="Calibri" w:cs="Calibri"/>
          <w:lang w:val="nl-BE"/>
        </w:rPr>
        <w:t xml:space="preserve"> </w:t>
      </w:r>
      <w:r w:rsidRPr="00EB52C8">
        <w:rPr>
          <w:rFonts w:ascii="Calibri" w:hAnsi="Calibri" w:cs="Calibri"/>
          <w:lang w:val="nl-NL"/>
        </w:rPr>
        <w:t>‘Politiek en Staatsinrichting: Federalisme in Duitsland’, Duitsland Instituut, https://duitslandinstituut.nl/naslagwerk/182/federalisme-in-duitsland#:~:text=De%20Länder%20hebben%20een%20eigen,is%2C%20dan%20worden%20staatsverdragen%20afgesloten. (geraadpleegd op 16 februari 2025).</w:t>
      </w:r>
    </w:p>
  </w:footnote>
  <w:footnote w:id="173">
    <w:p w14:paraId="525AB540" w14:textId="0A9C0BEB" w:rsidR="00B138D8" w:rsidRPr="00ED56C2" w:rsidRDefault="00B138D8" w:rsidP="00DA15D2">
      <w:pPr>
        <w:pStyle w:val="Voetnoottekst"/>
        <w:jc w:val="both"/>
        <w:rPr>
          <w:rFonts w:ascii="Calibri" w:hAnsi="Calibri" w:cs="Calibri"/>
          <w:b/>
          <w:bCs/>
          <w:color w:val="000000"/>
          <w:lang w:val="nl-BE"/>
        </w:rPr>
      </w:pPr>
      <w:r w:rsidRPr="00ED56C2">
        <w:rPr>
          <w:rStyle w:val="Voetnootmarkering"/>
          <w:rFonts w:ascii="Calibri" w:hAnsi="Calibri" w:cs="Calibri"/>
          <w:color w:val="000000"/>
        </w:rPr>
        <w:footnoteRef/>
      </w:r>
      <w:r w:rsidRPr="00ED56C2">
        <w:rPr>
          <w:rFonts w:ascii="Calibri" w:hAnsi="Calibri" w:cs="Calibri"/>
          <w:color w:val="000000"/>
          <w:lang w:val="nl-BE"/>
        </w:rPr>
        <w:t xml:space="preserve"> Gesetz zur Festlegung von Flächenbedarfen für Windenergieanlagen an Land</w:t>
      </w:r>
      <w:r w:rsidRPr="00ED56C2">
        <w:rPr>
          <w:rFonts w:ascii="Calibri" w:hAnsi="Calibri" w:cs="Calibri"/>
          <w:color w:val="000000"/>
          <w:shd w:val="clear" w:color="auto" w:fill="FFFFFF"/>
          <w:lang w:val="nl-BE"/>
        </w:rPr>
        <w:t xml:space="preserve">, </w:t>
      </w:r>
      <w:r w:rsidRPr="00ED56C2">
        <w:rPr>
          <w:rFonts w:ascii="Calibri" w:hAnsi="Calibri" w:cs="Calibri"/>
          <w:color w:val="000000"/>
          <w:lang w:val="nl-BE"/>
        </w:rPr>
        <w:t>2022 </w:t>
      </w:r>
      <w:r w:rsidRPr="00F2062A">
        <w:rPr>
          <w:rFonts w:ascii="Calibri" w:hAnsi="Calibri" w:cs="Calibri"/>
          <w:color w:val="000000"/>
          <w:lang w:val="nl-BE"/>
        </w:rPr>
        <w:t>BGBl. I S. 1353</w:t>
      </w:r>
      <w:r w:rsidRPr="00ED56C2">
        <w:rPr>
          <w:rFonts w:ascii="Calibri" w:hAnsi="Calibri" w:cs="Calibri"/>
          <w:color w:val="000000"/>
          <w:lang w:val="nl-BE"/>
        </w:rPr>
        <w:t> (</w:t>
      </w:r>
      <w:r w:rsidRPr="00F2062A">
        <w:rPr>
          <w:rFonts w:ascii="Calibri" w:hAnsi="Calibri" w:cs="Calibri"/>
          <w:color w:val="000000"/>
          <w:lang w:val="nl-BE"/>
        </w:rPr>
        <w:t>Nr. 28</w:t>
      </w:r>
      <w:r w:rsidRPr="00ED56C2">
        <w:rPr>
          <w:rFonts w:ascii="Calibri" w:hAnsi="Calibri" w:cs="Calibri"/>
          <w:color w:val="000000"/>
          <w:lang w:val="nl-BE"/>
        </w:rPr>
        <w:t>); Geltung ab 01.02.2023.</w:t>
      </w:r>
    </w:p>
  </w:footnote>
  <w:footnote w:id="174">
    <w:p w14:paraId="7CE838FB" w14:textId="14B05EDF" w:rsidR="00B138D8" w:rsidRPr="004D1F2F" w:rsidRDefault="00B138D8" w:rsidP="00DA15D2">
      <w:pPr>
        <w:pStyle w:val="Voetnoottekst"/>
        <w:jc w:val="both"/>
        <w:rPr>
          <w:rFonts w:cstheme="minorHAnsi"/>
          <w:lang w:val="nl-NL"/>
        </w:rPr>
      </w:pPr>
      <w:r w:rsidRPr="004D1F2F">
        <w:rPr>
          <w:rStyle w:val="Voetnootmarkering"/>
          <w:rFonts w:cstheme="minorHAnsi"/>
        </w:rPr>
        <w:footnoteRef/>
      </w:r>
      <w:r w:rsidRPr="00B138D8">
        <w:rPr>
          <w:rFonts w:cstheme="minorHAnsi"/>
          <w:lang w:val="nl-BE"/>
        </w:rPr>
        <w:t xml:space="preserve"> </w:t>
      </w:r>
      <w:r w:rsidRPr="004D1F2F">
        <w:rPr>
          <w:rFonts w:cstheme="minorHAnsi"/>
          <w:lang w:val="nl-NL"/>
        </w:rPr>
        <w:t xml:space="preserve">Aangezien het vandaag bij </w:t>
      </w:r>
      <w:r>
        <w:rPr>
          <w:rFonts w:cstheme="minorHAnsi"/>
          <w:lang w:val="nl-NL"/>
        </w:rPr>
        <w:t>j</w:t>
      </w:r>
      <w:r w:rsidRPr="00B138D8">
        <w:rPr>
          <w:rFonts w:cstheme="minorHAnsi"/>
          <w:lang w:val="nl-BE"/>
        </w:rPr>
        <w:t xml:space="preserve">urisprudentiële </w:t>
      </w:r>
      <w:r w:rsidRPr="004D1F2F">
        <w:rPr>
          <w:rFonts w:cstheme="minorHAnsi"/>
          <w:lang w:val="nl-NL"/>
        </w:rPr>
        <w:t xml:space="preserve">evoluties naar een soort ‘bestemmingsneutraliteit’ blijft, terwijl een decretaal verankerde bestemmingsneutraliteit vooralsnog niet bestaat. Zie </w:t>
      </w:r>
      <w:r w:rsidRPr="004D1F2F">
        <w:rPr>
          <w:rFonts w:cstheme="minorHAnsi"/>
          <w:i/>
          <w:iCs/>
          <w:lang w:val="nl-NL"/>
        </w:rPr>
        <w:t>infra</w:t>
      </w:r>
      <w:r w:rsidRPr="004D1F2F">
        <w:rPr>
          <w:rFonts w:cstheme="minorHAnsi"/>
          <w:lang w:val="nl-NL"/>
        </w:rPr>
        <w:t xml:space="preserve">, nr. </w:t>
      </w:r>
      <w:r>
        <w:rPr>
          <w:rFonts w:cstheme="minorHAnsi"/>
          <w:lang w:val="nl-NL"/>
        </w:rPr>
        <w:t>61</w:t>
      </w:r>
      <w:r w:rsidRPr="004D1F2F">
        <w:rPr>
          <w:rFonts w:cstheme="minorHAnsi"/>
          <w:lang w:val="nl-NL"/>
        </w:rPr>
        <w:t>.</w:t>
      </w:r>
      <w:r>
        <w:rPr>
          <w:rFonts w:cstheme="minorHAnsi"/>
          <w:lang w:val="nl-NL"/>
        </w:rPr>
        <w:t xml:space="preserve"> Hierbij maak ik wel de kanttekening dat de Vlaamse overheid heeft besloten om vanaf februari 2025 van start te gaan met een plan-MER die de milieu-impact van een bredere decretale invulling van deze bestemmingsneutraliteit moet onderzoeken.</w:t>
      </w:r>
    </w:p>
  </w:footnote>
  <w:footnote w:id="175">
    <w:p w14:paraId="73DEE220" w14:textId="77777777" w:rsidR="00B138D8" w:rsidRPr="007F4D73" w:rsidRDefault="00B138D8" w:rsidP="00DA15D2">
      <w:pPr>
        <w:pStyle w:val="Voetnoottekst"/>
        <w:jc w:val="both"/>
        <w:rPr>
          <w:lang w:val="nl-NL"/>
        </w:rPr>
      </w:pPr>
      <w:r>
        <w:rPr>
          <w:rStyle w:val="Voetnootmarkering"/>
        </w:rPr>
        <w:footnoteRef/>
      </w:r>
      <w:r w:rsidRPr="00B138D8">
        <w:rPr>
          <w:lang w:val="nl-BE"/>
        </w:rPr>
        <w:t xml:space="preserve"> </w:t>
      </w:r>
      <w:r>
        <w:rPr>
          <w:lang w:val="nl-NL"/>
        </w:rPr>
        <w:t xml:space="preserve">De reeds uitgevoerde analyse van een betrokken gebied, hoe ruim ook uitgevoerd, zal niet voldoende zijn om de beoordelingsplicht in het kader van bijvoorbeeld de natuurbehoudsregelgeving uit te sluiten. Dit werd eerder in deze thesis besproken (zie </w:t>
      </w:r>
      <w:r w:rsidRPr="00D313B9">
        <w:rPr>
          <w:i/>
          <w:iCs/>
          <w:lang w:val="nl-NL"/>
        </w:rPr>
        <w:t>infra</w:t>
      </w:r>
      <w:r>
        <w:rPr>
          <w:lang w:val="nl-NL"/>
        </w:rPr>
        <w:t>, nr. 27 en 28.), en duidt in essentie op de individuele draagwijdte van de uit te voeren beoordelingen alsook op het belang van de cumulatieve effectenbeoordeling. Toch lijkt het m.i. aannemelijk dat minstens ten dele gesteund kan worden op de voorgaande analysen door de overheid bij het bepalen van de prioritaire zones. De bewoordingen van overweging 28 bij RED III ondersteunt deze zienswijze.</w:t>
      </w:r>
    </w:p>
  </w:footnote>
  <w:footnote w:id="176">
    <w:p w14:paraId="37C4DC4A" w14:textId="03788246" w:rsidR="0092218A" w:rsidRPr="0092218A" w:rsidRDefault="0092218A" w:rsidP="00DA15D2">
      <w:pPr>
        <w:pStyle w:val="Voetnoottekst"/>
        <w:jc w:val="both"/>
        <w:rPr>
          <w:lang w:val="nl-NL"/>
        </w:rPr>
      </w:pPr>
      <w:r>
        <w:rPr>
          <w:rStyle w:val="Voetnootmarkering"/>
        </w:rPr>
        <w:footnoteRef/>
      </w:r>
      <w:r w:rsidRPr="0092218A">
        <w:rPr>
          <w:lang w:val="nl-BE"/>
        </w:rPr>
        <w:t xml:space="preserve"> </w:t>
      </w:r>
      <w:r>
        <w:rPr>
          <w:lang w:val="nl-NL"/>
        </w:rPr>
        <w:t xml:space="preserve">MINY X., MALFAIT T. en DE BACKER T., </w:t>
      </w:r>
      <w:r w:rsidR="00BB6812">
        <w:rPr>
          <w:lang w:val="nl-NL"/>
        </w:rPr>
        <w:t>‘</w:t>
      </w:r>
      <w:r>
        <w:rPr>
          <w:lang w:val="nl-NL"/>
        </w:rPr>
        <w:t>De inplanting van windturbines in Vlaanderen en Wallonië: vergelijkend overzicht van voorwaarden</w:t>
      </w:r>
      <w:r w:rsidR="00BB6812">
        <w:rPr>
          <w:lang w:val="nl-NL"/>
        </w:rPr>
        <w:t>’</w:t>
      </w:r>
      <w:r>
        <w:rPr>
          <w:lang w:val="nl-NL"/>
        </w:rPr>
        <w:t xml:space="preserve">, </w:t>
      </w:r>
      <w:r w:rsidRPr="0092218A">
        <w:rPr>
          <w:i/>
          <w:iCs/>
          <w:lang w:val="nl-NL"/>
        </w:rPr>
        <w:t>TMR</w:t>
      </w:r>
      <w:r>
        <w:rPr>
          <w:lang w:val="nl-NL"/>
        </w:rPr>
        <w:t xml:space="preserve"> 2015, afl. 4, 392-393.</w:t>
      </w:r>
    </w:p>
  </w:footnote>
  <w:footnote w:id="177">
    <w:p w14:paraId="4E845F73" w14:textId="25246020" w:rsidR="00BE5BD8" w:rsidRPr="00BE5BD8" w:rsidRDefault="00BE5BD8" w:rsidP="00DA15D2">
      <w:pPr>
        <w:pStyle w:val="Voetnoottekst"/>
        <w:jc w:val="both"/>
        <w:rPr>
          <w:lang w:val="nl-NL"/>
        </w:rPr>
      </w:pPr>
      <w:r>
        <w:rPr>
          <w:rStyle w:val="Voetnootmarkering"/>
        </w:rPr>
        <w:footnoteRef/>
      </w:r>
      <w:r w:rsidRPr="00ED56C2">
        <w:rPr>
          <w:lang w:val="nl-BE"/>
        </w:rPr>
        <w:t xml:space="preserve"> </w:t>
      </w:r>
      <w:r>
        <w:rPr>
          <w:lang w:val="nl-NL"/>
        </w:rPr>
        <w:t xml:space="preserve">Zie </w:t>
      </w:r>
      <w:r w:rsidRPr="00BE5BD8">
        <w:rPr>
          <w:i/>
          <w:iCs/>
          <w:lang w:val="nl-NL"/>
        </w:rPr>
        <w:t>infra</w:t>
      </w:r>
      <w:r>
        <w:rPr>
          <w:lang w:val="nl-NL"/>
        </w:rPr>
        <w:t>, nr. 61.</w:t>
      </w:r>
    </w:p>
  </w:footnote>
  <w:footnote w:id="178">
    <w:p w14:paraId="4C4EF167" w14:textId="05001A71" w:rsidR="00352D50" w:rsidRPr="00352D50" w:rsidRDefault="00352D50" w:rsidP="00DA15D2">
      <w:pPr>
        <w:pStyle w:val="Voetnoottekst"/>
        <w:jc w:val="both"/>
        <w:rPr>
          <w:lang w:val="nl-NL"/>
        </w:rPr>
      </w:pPr>
      <w:r>
        <w:rPr>
          <w:rStyle w:val="Voetnootmarkering"/>
        </w:rPr>
        <w:footnoteRef/>
      </w:r>
      <w:r w:rsidRPr="00352D50">
        <w:rPr>
          <w:lang w:val="nl-BE"/>
        </w:rPr>
        <w:t xml:space="preserve"> </w:t>
      </w:r>
      <w:r>
        <w:rPr>
          <w:lang w:val="nl-NL"/>
        </w:rPr>
        <w:t xml:space="preserve">DRAYE A. M., VANHEUSDEN B. en NULENS T., </w:t>
      </w:r>
      <w:r w:rsidR="00BB6812">
        <w:rPr>
          <w:lang w:val="nl-NL"/>
        </w:rPr>
        <w:t>‘</w:t>
      </w:r>
      <w:r>
        <w:rPr>
          <w:lang w:val="nl-NL"/>
        </w:rPr>
        <w:t>Het juridisch statuut van de watermolen</w:t>
      </w:r>
      <w:r w:rsidR="00BB6812">
        <w:rPr>
          <w:lang w:val="nl-NL"/>
        </w:rPr>
        <w:t>’</w:t>
      </w:r>
      <w:r>
        <w:rPr>
          <w:lang w:val="nl-NL"/>
        </w:rPr>
        <w:t>, studieopdracht uitgevoerd voor ANIMAL, Afdeling Europa en Milieu, september 2005, 326.</w:t>
      </w:r>
    </w:p>
  </w:footnote>
  <w:footnote w:id="179">
    <w:p w14:paraId="3C82CDB2" w14:textId="17D0A14A" w:rsidR="00A32E22" w:rsidRPr="00A32E22" w:rsidRDefault="00A32E22" w:rsidP="00DA15D2">
      <w:pPr>
        <w:pStyle w:val="Voetnoottekst"/>
        <w:jc w:val="both"/>
        <w:rPr>
          <w:lang w:val="nl-BE"/>
        </w:rPr>
      </w:pPr>
      <w:r>
        <w:rPr>
          <w:rStyle w:val="Voetnootmarkering"/>
        </w:rPr>
        <w:footnoteRef/>
      </w:r>
      <w:r w:rsidRPr="00A32E22">
        <w:rPr>
          <w:lang w:val="nl-BE"/>
        </w:rPr>
        <w:t xml:space="preserve"> Hier merk ik op dat </w:t>
      </w:r>
      <w:r>
        <w:rPr>
          <w:lang w:val="nl-BE"/>
        </w:rPr>
        <w:t xml:space="preserve">de negatieve invulling van de </w:t>
      </w:r>
      <w:r w:rsidRPr="00A32E22">
        <w:rPr>
          <w:lang w:val="nl-BE"/>
        </w:rPr>
        <w:t xml:space="preserve">klimaattoets </w:t>
      </w:r>
      <w:r>
        <w:rPr>
          <w:lang w:val="nl-BE"/>
        </w:rPr>
        <w:t>werd gehanteerd, in die zin dat een negatieve impact van een aangevraagd project deel moet uitmaken van de beoordeling door de vergunningverlenende overheid.</w:t>
      </w:r>
    </w:p>
  </w:footnote>
  <w:footnote w:id="180">
    <w:p w14:paraId="3474539F" w14:textId="236D40C9" w:rsidR="007F317E" w:rsidRPr="007F317E" w:rsidRDefault="007F317E" w:rsidP="00DA15D2">
      <w:pPr>
        <w:pStyle w:val="Voetnoottekst"/>
        <w:jc w:val="both"/>
        <w:rPr>
          <w:lang w:val="nl-BE"/>
        </w:rPr>
      </w:pPr>
      <w:r>
        <w:rPr>
          <w:rStyle w:val="Voetnootmarkering"/>
        </w:rPr>
        <w:footnoteRef/>
      </w:r>
      <w:r>
        <w:t xml:space="preserve"> </w:t>
      </w:r>
      <w:r w:rsidRPr="007F317E">
        <w:t>RvVb 22 april 2021, nr. S-2021-0923, RvVb 9 december</w:t>
      </w:r>
      <w:r>
        <w:t xml:space="preserve"> 2021, nr. A-2122-0276. </w:t>
      </w:r>
      <w:r w:rsidRPr="007F317E">
        <w:rPr>
          <w:lang w:val="nl-BE"/>
        </w:rPr>
        <w:t xml:space="preserve">Zie ook SCHOUKENS H., </w:t>
      </w:r>
      <w:r w:rsidR="00BB6812">
        <w:rPr>
          <w:lang w:val="nl-BE"/>
        </w:rPr>
        <w:t>‘</w:t>
      </w:r>
      <w:r w:rsidRPr="007F317E">
        <w:rPr>
          <w:lang w:val="nl-BE"/>
        </w:rPr>
        <w:t>Géén klimaatdood door duizend sneden: RvVb hin</w:t>
      </w:r>
      <w:r>
        <w:rPr>
          <w:lang w:val="nl-BE"/>
        </w:rPr>
        <w:t>t richting klimaattoets bij plannen en projecten</w:t>
      </w:r>
      <w:r w:rsidR="00BB6812">
        <w:rPr>
          <w:lang w:val="nl-BE"/>
        </w:rPr>
        <w:t>’</w:t>
      </w:r>
      <w:r>
        <w:rPr>
          <w:lang w:val="nl-BE"/>
        </w:rPr>
        <w:t xml:space="preserve">, </w:t>
      </w:r>
      <w:r w:rsidRPr="007F317E">
        <w:rPr>
          <w:i/>
          <w:iCs/>
          <w:lang w:val="nl-BE"/>
        </w:rPr>
        <w:t>STORM</w:t>
      </w:r>
      <w:r>
        <w:rPr>
          <w:lang w:val="nl-BE"/>
        </w:rPr>
        <w:t xml:space="preserve"> 2021/2, bijdrage 19 en DE BRUCKER L., </w:t>
      </w:r>
      <w:r w:rsidR="00BB6812">
        <w:rPr>
          <w:lang w:val="nl-BE"/>
        </w:rPr>
        <w:t>‘</w:t>
      </w:r>
      <w:r>
        <w:rPr>
          <w:lang w:val="nl-BE"/>
        </w:rPr>
        <w:t xml:space="preserve">De klimaattoets getoetst. Naar een primaat van het klimaat in het omgevingsvergunningsbeleid?, </w:t>
      </w:r>
      <w:r w:rsidRPr="007F317E">
        <w:rPr>
          <w:i/>
          <w:iCs/>
          <w:lang w:val="nl-BE"/>
        </w:rPr>
        <w:t>STORM</w:t>
      </w:r>
      <w:r>
        <w:rPr>
          <w:lang w:val="nl-BE"/>
        </w:rPr>
        <w:t xml:space="preserve"> 2021/4, bijdrage 12.</w:t>
      </w:r>
    </w:p>
  </w:footnote>
  <w:footnote w:id="181">
    <w:p w14:paraId="1D949FE2" w14:textId="1766CF74" w:rsidR="00F33CD1" w:rsidRPr="00ED56C2" w:rsidRDefault="00F33CD1" w:rsidP="00DA15D2">
      <w:pPr>
        <w:pStyle w:val="Voetnoottekst"/>
        <w:jc w:val="both"/>
      </w:pPr>
      <w:r>
        <w:rPr>
          <w:rStyle w:val="Voetnootmarkering"/>
        </w:rPr>
        <w:footnoteRef/>
      </w:r>
      <w:r>
        <w:t xml:space="preserve"> </w:t>
      </w:r>
      <w:r w:rsidR="00A32E22" w:rsidRPr="00ED56C2">
        <w:t>RvVb 12 januari 2023, nr. A-2223-0408.</w:t>
      </w:r>
    </w:p>
  </w:footnote>
  <w:footnote w:id="182">
    <w:p w14:paraId="4EB9C7C5" w14:textId="31E4A2FF" w:rsidR="00B17ADD" w:rsidRPr="00ED56C2" w:rsidRDefault="00B17ADD" w:rsidP="00DA15D2">
      <w:pPr>
        <w:pStyle w:val="Voetnoottekst"/>
        <w:jc w:val="both"/>
      </w:pPr>
      <w:r>
        <w:rPr>
          <w:rStyle w:val="Voetnootmarkering"/>
        </w:rPr>
        <w:footnoteRef/>
      </w:r>
      <w:r w:rsidRPr="00ED56C2">
        <w:t xml:space="preserve"> RvS 13 september 2022, nr. 254.473.</w:t>
      </w:r>
    </w:p>
  </w:footnote>
  <w:footnote w:id="183">
    <w:p w14:paraId="50B53DDD" w14:textId="451F88F7" w:rsidR="00B17ADD" w:rsidRPr="00B17ADD" w:rsidRDefault="00B17ADD" w:rsidP="00DA15D2">
      <w:pPr>
        <w:pStyle w:val="Voetnoottekst"/>
        <w:jc w:val="both"/>
        <w:rPr>
          <w:lang w:val="nl-BE"/>
        </w:rPr>
      </w:pPr>
      <w:r>
        <w:rPr>
          <w:rStyle w:val="Voetnootmarkering"/>
        </w:rPr>
        <w:footnoteRef/>
      </w:r>
      <w:r w:rsidRPr="00B17ADD">
        <w:rPr>
          <w:lang w:val="nl-BE"/>
        </w:rPr>
        <w:t xml:space="preserve"> </w:t>
      </w:r>
      <w:r>
        <w:rPr>
          <w:lang w:val="nl-BE"/>
        </w:rPr>
        <w:t>RvS 4 juli 2023, nr. 257.052.</w:t>
      </w:r>
    </w:p>
  </w:footnote>
  <w:footnote w:id="184">
    <w:p w14:paraId="2A7E2148" w14:textId="3354ABD7" w:rsidR="0098194D" w:rsidRPr="0098194D" w:rsidRDefault="0098194D" w:rsidP="00B42D1A">
      <w:pPr>
        <w:pStyle w:val="Voetnoottekst"/>
        <w:jc w:val="both"/>
        <w:rPr>
          <w:lang w:val="nl-BE"/>
        </w:rPr>
      </w:pPr>
      <w:r>
        <w:rPr>
          <w:rStyle w:val="Voetnootmarkering"/>
        </w:rPr>
        <w:footnoteRef/>
      </w:r>
      <w:r w:rsidRPr="0098194D">
        <w:rPr>
          <w:lang w:val="nl-BE"/>
        </w:rPr>
        <w:t xml:space="preserve"> De betreffende rechtspraak m</w:t>
      </w:r>
      <w:r>
        <w:rPr>
          <w:lang w:val="nl-BE"/>
        </w:rPr>
        <w:t>aakt alleen vermelding van een dergelijke klimaattoets i</w:t>
      </w:r>
      <w:r w:rsidR="00B42D1A">
        <w:rPr>
          <w:lang w:val="nl-BE"/>
        </w:rPr>
        <w:t>n de negatieve zin. Toch moet deze rechtspraak m.i. naar analogie ook w</w:t>
      </w:r>
      <w:r w:rsidR="00743600">
        <w:rPr>
          <w:lang w:val="nl-BE"/>
        </w:rPr>
        <w:t>o</w:t>
      </w:r>
      <w:r w:rsidR="00B42D1A">
        <w:rPr>
          <w:lang w:val="nl-BE"/>
        </w:rPr>
        <w:t>rden toegepast bij de vergunningsprocedure van projecten die een positieve klimaatimpact inhouden.</w:t>
      </w:r>
    </w:p>
  </w:footnote>
  <w:footnote w:id="185">
    <w:p w14:paraId="766FF741" w14:textId="704D1C85" w:rsidR="00FA11C9" w:rsidRPr="00FA11C9" w:rsidRDefault="00FA11C9" w:rsidP="00FA11C9">
      <w:pPr>
        <w:pStyle w:val="Voetnoottekst"/>
        <w:jc w:val="both"/>
        <w:rPr>
          <w:lang w:val="nl-BE"/>
        </w:rPr>
      </w:pPr>
      <w:r>
        <w:rPr>
          <w:rStyle w:val="Voetnootmarkering"/>
        </w:rPr>
        <w:footnoteRef/>
      </w:r>
      <w:r w:rsidRPr="00B42D1A">
        <w:rPr>
          <w:lang w:val="nl-BE"/>
        </w:rPr>
        <w:t xml:space="preserve"> RvVb 9 december 2021, nr. A-2122-0276. </w:t>
      </w:r>
      <w:r w:rsidRPr="00FA11C9">
        <w:rPr>
          <w:lang w:val="nl-BE"/>
        </w:rPr>
        <w:t>Noten: DE BRUCKER</w:t>
      </w:r>
      <w:r w:rsidR="00A95DDB">
        <w:rPr>
          <w:lang w:val="nl-BE"/>
        </w:rPr>
        <w:t xml:space="preserve"> L.</w:t>
      </w:r>
      <w:r w:rsidRPr="00FA11C9">
        <w:rPr>
          <w:lang w:val="nl-BE"/>
        </w:rPr>
        <w:t xml:space="preserve">, </w:t>
      </w:r>
      <w:r w:rsidR="00BB6812">
        <w:rPr>
          <w:lang w:val="nl-BE"/>
        </w:rPr>
        <w:t>‘</w:t>
      </w:r>
      <w:r w:rsidRPr="00FA11C9">
        <w:rPr>
          <w:lang w:val="nl-BE"/>
        </w:rPr>
        <w:t>De klimaattoets getoetst.</w:t>
      </w:r>
      <w:r>
        <w:rPr>
          <w:lang w:val="nl-BE"/>
        </w:rPr>
        <w:t xml:space="preserve"> </w:t>
      </w:r>
      <w:r w:rsidRPr="00FA11C9">
        <w:rPr>
          <w:lang w:val="nl-BE"/>
        </w:rPr>
        <w:t>Naar een primaat van het klimaat in het omgevingsvergunningenbeleid?</w:t>
      </w:r>
      <w:r w:rsidR="00BB6812">
        <w:rPr>
          <w:lang w:val="nl-BE"/>
        </w:rPr>
        <w:t>’</w:t>
      </w:r>
      <w:r w:rsidRPr="00FA11C9">
        <w:rPr>
          <w:lang w:val="nl-BE"/>
        </w:rPr>
        <w:t xml:space="preserve">, </w:t>
      </w:r>
      <w:r w:rsidRPr="00FA11C9">
        <w:rPr>
          <w:i/>
          <w:iCs/>
          <w:lang w:val="nl-BE"/>
        </w:rPr>
        <w:t xml:space="preserve">STORM </w:t>
      </w:r>
      <w:r w:rsidRPr="00FA11C9">
        <w:rPr>
          <w:lang w:val="nl-BE"/>
        </w:rPr>
        <w:t>2021/4, 13;</w:t>
      </w:r>
      <w:r w:rsidR="00FA0761">
        <w:rPr>
          <w:lang w:val="nl-BE"/>
        </w:rPr>
        <w:t xml:space="preserve"> </w:t>
      </w:r>
      <w:r w:rsidRPr="00FA11C9">
        <w:rPr>
          <w:lang w:val="nl-BE"/>
        </w:rPr>
        <w:t>DE MEUE</w:t>
      </w:r>
      <w:r w:rsidR="00FA0761">
        <w:rPr>
          <w:lang w:val="nl-BE"/>
        </w:rPr>
        <w:t xml:space="preserve"> </w:t>
      </w:r>
      <w:r w:rsidR="00A95DDB">
        <w:rPr>
          <w:lang w:val="nl-BE"/>
        </w:rPr>
        <w:t>S.</w:t>
      </w:r>
      <w:r w:rsidRPr="00FA11C9">
        <w:rPr>
          <w:lang w:val="nl-BE"/>
        </w:rPr>
        <w:t xml:space="preserve">, </w:t>
      </w:r>
      <w:r w:rsidR="00BB6812">
        <w:rPr>
          <w:lang w:val="nl-BE"/>
        </w:rPr>
        <w:t>‘</w:t>
      </w:r>
      <w:r w:rsidRPr="00FA11C9">
        <w:rPr>
          <w:lang w:val="nl-BE"/>
        </w:rPr>
        <w:t>Het Burgemeestersconvenant, artikel 4.3.4 VCRO en de onverwachte intrede van de (gemeentelijke) klimaatdoelstellingen in de vergunningverlening</w:t>
      </w:r>
      <w:r w:rsidR="00BB6812">
        <w:rPr>
          <w:lang w:val="nl-BE"/>
        </w:rPr>
        <w:t>’</w:t>
      </w:r>
      <w:r w:rsidRPr="00FA11C9">
        <w:rPr>
          <w:lang w:val="nl-BE"/>
        </w:rPr>
        <w:t xml:space="preserve">, </w:t>
      </w:r>
      <w:r w:rsidRPr="00FA11C9">
        <w:rPr>
          <w:i/>
          <w:iCs/>
          <w:lang w:val="nl-BE"/>
        </w:rPr>
        <w:t xml:space="preserve">TROS </w:t>
      </w:r>
      <w:r w:rsidRPr="00FA11C9">
        <w:rPr>
          <w:lang w:val="nl-BE"/>
        </w:rPr>
        <w:t>2022/105, 3; DE BRUCKER</w:t>
      </w:r>
      <w:r w:rsidR="00A95DDB">
        <w:rPr>
          <w:lang w:val="nl-BE"/>
        </w:rPr>
        <w:t xml:space="preserve"> L.</w:t>
      </w:r>
      <w:r w:rsidRPr="00FA11C9">
        <w:rPr>
          <w:lang w:val="nl-BE"/>
        </w:rPr>
        <w:t xml:space="preserve">, </w:t>
      </w:r>
      <w:r w:rsidR="00BB6812">
        <w:rPr>
          <w:lang w:val="nl-BE"/>
        </w:rPr>
        <w:t>‘</w:t>
      </w:r>
      <w:r w:rsidRPr="00FA11C9">
        <w:rPr>
          <w:lang w:val="nl-BE"/>
        </w:rPr>
        <w:t>De doorwerking van klimaatbescherming op vergunningsniveau. Bestaat er een (verplichte?) omgevingsrechtelijke klimaattoets?</w:t>
      </w:r>
      <w:r w:rsidR="00BB6812">
        <w:rPr>
          <w:lang w:val="nl-BE"/>
        </w:rPr>
        <w:t>’</w:t>
      </w:r>
      <w:r w:rsidRPr="00FA11C9">
        <w:rPr>
          <w:lang w:val="nl-BE"/>
        </w:rPr>
        <w:t xml:space="preserve">, </w:t>
      </w:r>
      <w:r w:rsidRPr="00FA11C9">
        <w:rPr>
          <w:i/>
          <w:iCs/>
          <w:lang w:val="nl-BE"/>
        </w:rPr>
        <w:t xml:space="preserve">MER </w:t>
      </w:r>
      <w:r w:rsidRPr="00FA11C9">
        <w:rPr>
          <w:lang w:val="nl-BE"/>
        </w:rPr>
        <w:t>2022, nr. 1, 16; VANHOENACKER</w:t>
      </w:r>
      <w:r w:rsidR="00A95DDB">
        <w:rPr>
          <w:lang w:val="nl-BE"/>
        </w:rPr>
        <w:t xml:space="preserve"> J.</w:t>
      </w:r>
      <w:r w:rsidRPr="00FA11C9">
        <w:rPr>
          <w:lang w:val="nl-BE"/>
        </w:rPr>
        <w:t xml:space="preserve">, </w:t>
      </w:r>
      <w:r w:rsidR="00BB6812">
        <w:rPr>
          <w:lang w:val="nl-BE"/>
        </w:rPr>
        <w:t>‘</w:t>
      </w:r>
      <w:r w:rsidRPr="00FA11C9">
        <w:rPr>
          <w:lang w:val="nl-BE"/>
        </w:rPr>
        <w:t>Klimaattoets bij een vergunningsaanvraag: op zoek naar de juiste rechtsgrond</w:t>
      </w:r>
      <w:r w:rsidR="00BB6812">
        <w:rPr>
          <w:lang w:val="nl-BE"/>
        </w:rPr>
        <w:t>’</w:t>
      </w:r>
      <w:r w:rsidRPr="00FA11C9">
        <w:rPr>
          <w:lang w:val="nl-BE"/>
        </w:rPr>
        <w:t xml:space="preserve">, </w:t>
      </w:r>
      <w:r w:rsidRPr="00FA11C9">
        <w:rPr>
          <w:i/>
          <w:iCs/>
          <w:lang w:val="nl-BE"/>
        </w:rPr>
        <w:t xml:space="preserve">TOO </w:t>
      </w:r>
      <w:r w:rsidRPr="00FA11C9">
        <w:rPr>
          <w:lang w:val="nl-BE"/>
        </w:rPr>
        <w:t>2021/4, 352; RvVb 24 augustus 2023, nr. RvVb/A/2223/1185, noot: FLAMEY</w:t>
      </w:r>
      <w:r w:rsidR="00A95DDB">
        <w:rPr>
          <w:lang w:val="nl-BE"/>
        </w:rPr>
        <w:t xml:space="preserve"> P.</w:t>
      </w:r>
      <w:r w:rsidRPr="00FA11C9">
        <w:rPr>
          <w:lang w:val="nl-BE"/>
        </w:rPr>
        <w:t>, DECLERCQ</w:t>
      </w:r>
      <w:r w:rsidR="00A95DDB">
        <w:rPr>
          <w:lang w:val="nl-BE"/>
        </w:rPr>
        <w:t xml:space="preserve"> G.</w:t>
      </w:r>
      <w:r w:rsidRPr="00FA11C9">
        <w:rPr>
          <w:lang w:val="nl-BE"/>
        </w:rPr>
        <w:t xml:space="preserve">, </w:t>
      </w:r>
      <w:r w:rsidR="00BB6812">
        <w:rPr>
          <w:lang w:val="nl-BE"/>
        </w:rPr>
        <w:t>‘</w:t>
      </w:r>
      <w:r w:rsidRPr="00FA11C9">
        <w:rPr>
          <w:lang w:val="nl-BE"/>
        </w:rPr>
        <w:t>De ‘klimaattoets’, the sequel. Haast en spoed zijn zelden goed</w:t>
      </w:r>
      <w:r w:rsidR="00BB6812">
        <w:rPr>
          <w:lang w:val="nl-BE"/>
        </w:rPr>
        <w:t>’</w:t>
      </w:r>
      <w:r w:rsidRPr="00FA11C9">
        <w:rPr>
          <w:lang w:val="nl-BE"/>
        </w:rPr>
        <w:t xml:space="preserve">, </w:t>
      </w:r>
      <w:r w:rsidRPr="00FA11C9">
        <w:rPr>
          <w:i/>
          <w:iCs/>
          <w:lang w:val="nl-BE"/>
        </w:rPr>
        <w:t xml:space="preserve">STORM </w:t>
      </w:r>
      <w:r w:rsidRPr="00FA11C9">
        <w:rPr>
          <w:lang w:val="nl-BE"/>
        </w:rPr>
        <w:t>2023/3, 17.</w:t>
      </w:r>
    </w:p>
  </w:footnote>
  <w:footnote w:id="186">
    <w:p w14:paraId="67C2C884" w14:textId="1610E7ED" w:rsidR="00542818" w:rsidRPr="00542818" w:rsidRDefault="00542818" w:rsidP="00DA15D2">
      <w:pPr>
        <w:pStyle w:val="Voetnoottekst"/>
        <w:jc w:val="both"/>
        <w:rPr>
          <w:lang w:val="nl-NL"/>
        </w:rPr>
      </w:pPr>
      <w:r>
        <w:rPr>
          <w:rStyle w:val="Voetnootmarkering"/>
        </w:rPr>
        <w:footnoteRef/>
      </w:r>
      <w:r w:rsidRPr="00542818">
        <w:rPr>
          <w:lang w:val="nl-BE"/>
        </w:rPr>
        <w:t xml:space="preserve"> </w:t>
      </w:r>
      <w:r>
        <w:rPr>
          <w:lang w:val="nl-NL"/>
        </w:rPr>
        <w:t xml:space="preserve">FLAMEY P. en DECLERCQ G., </w:t>
      </w:r>
      <w:r w:rsidR="00BB6812">
        <w:rPr>
          <w:lang w:val="nl-NL"/>
        </w:rPr>
        <w:t>‘</w:t>
      </w:r>
      <w:r>
        <w:rPr>
          <w:lang w:val="nl-NL"/>
        </w:rPr>
        <w:t>GwH geeft wenk voor doorwerking uitfasering van fossiele verwarming in de omgevingsvergunning</w:t>
      </w:r>
      <w:r w:rsidR="00BB6812">
        <w:rPr>
          <w:lang w:val="nl-NL"/>
        </w:rPr>
        <w:t>’</w:t>
      </w:r>
      <w:r>
        <w:rPr>
          <w:lang w:val="nl-NL"/>
        </w:rPr>
        <w:t xml:space="preserve">, </w:t>
      </w:r>
      <w:r w:rsidRPr="00542818">
        <w:rPr>
          <w:i/>
          <w:iCs/>
          <w:lang w:val="nl-NL"/>
        </w:rPr>
        <w:t>STORM</w:t>
      </w:r>
      <w:r>
        <w:rPr>
          <w:lang w:val="nl-NL"/>
        </w:rPr>
        <w:t xml:space="preserve"> 2022/4, bijdrage 2.</w:t>
      </w:r>
    </w:p>
  </w:footnote>
  <w:footnote w:id="187">
    <w:p w14:paraId="475954BB" w14:textId="74D1877C" w:rsidR="00542818" w:rsidRPr="00542818" w:rsidRDefault="00542818" w:rsidP="00DA15D2">
      <w:pPr>
        <w:pStyle w:val="Voetnoottekst"/>
        <w:jc w:val="both"/>
        <w:rPr>
          <w:lang w:val="nl-NL"/>
        </w:rPr>
      </w:pPr>
      <w:r>
        <w:rPr>
          <w:rStyle w:val="Voetnootmarkering"/>
        </w:rPr>
        <w:footnoteRef/>
      </w:r>
      <w:r w:rsidRPr="00542818">
        <w:rPr>
          <w:lang w:val="nl-BE"/>
        </w:rPr>
        <w:t xml:space="preserve"> </w:t>
      </w:r>
      <w:r>
        <w:rPr>
          <w:lang w:val="nl-NL"/>
        </w:rPr>
        <w:t xml:space="preserve">FLAMEY P. en DECLERCQ G., </w:t>
      </w:r>
      <w:r w:rsidR="00BB6812">
        <w:rPr>
          <w:lang w:val="nl-NL"/>
        </w:rPr>
        <w:t>‘</w:t>
      </w:r>
      <w:r>
        <w:rPr>
          <w:lang w:val="nl-NL"/>
        </w:rPr>
        <w:t>De ‘klimaattoets’, the sequel. Haast en spoed zijn zelden goed</w:t>
      </w:r>
      <w:r w:rsidR="00BB6812">
        <w:rPr>
          <w:lang w:val="nl-NL"/>
        </w:rPr>
        <w:t>’</w:t>
      </w:r>
      <w:r>
        <w:rPr>
          <w:lang w:val="nl-NL"/>
        </w:rPr>
        <w:t>, STORM 2023/3, bijdrage 16.</w:t>
      </w:r>
    </w:p>
  </w:footnote>
  <w:footnote w:id="188">
    <w:p w14:paraId="4AA8A18A" w14:textId="10FE31CA" w:rsidR="00EA502B" w:rsidRPr="00EA502B" w:rsidRDefault="00EA502B" w:rsidP="00DA15D2">
      <w:pPr>
        <w:pStyle w:val="Voetnoottekst"/>
        <w:jc w:val="both"/>
        <w:rPr>
          <w:lang w:val="nl-NL"/>
        </w:rPr>
      </w:pPr>
      <w:r>
        <w:rPr>
          <w:rStyle w:val="Voetnootmarkering"/>
        </w:rPr>
        <w:footnoteRef/>
      </w:r>
      <w:r w:rsidRPr="00EA502B">
        <w:rPr>
          <w:lang w:val="nl-BE"/>
        </w:rPr>
        <w:t xml:space="preserve"> </w:t>
      </w:r>
      <w:r>
        <w:rPr>
          <w:lang w:val="nl-NL"/>
        </w:rPr>
        <w:t xml:space="preserve">DE BRUCKER L., </w:t>
      </w:r>
      <w:r w:rsidR="00BB6812">
        <w:rPr>
          <w:lang w:val="nl-NL"/>
        </w:rPr>
        <w:t>‘</w:t>
      </w:r>
      <w:r>
        <w:rPr>
          <w:lang w:val="nl-NL"/>
        </w:rPr>
        <w:t>Klimaatverandering het omgevingsrecht. Evolueert de klimaattoets stilaan tot een verplicht beoordelingsinstrument?</w:t>
      </w:r>
      <w:r w:rsidR="00BB6812">
        <w:rPr>
          <w:lang w:val="nl-NL"/>
        </w:rPr>
        <w:t>’</w:t>
      </w:r>
      <w:r>
        <w:rPr>
          <w:lang w:val="nl-NL"/>
        </w:rPr>
        <w:t xml:space="preserve"> in PALMANS R., GHYSELS J. en VERRIJDT W. (eds.), </w:t>
      </w:r>
      <w:r w:rsidRPr="00EA502B">
        <w:rPr>
          <w:i/>
          <w:iCs/>
          <w:lang w:val="nl-NL"/>
        </w:rPr>
        <w:t>Klimaatregelen en vergoedingsmodaliteiten</w:t>
      </w:r>
      <w:r>
        <w:rPr>
          <w:lang w:val="nl-NL"/>
        </w:rPr>
        <w:t>, Boomjuridisch, 2023, 43-87.</w:t>
      </w:r>
    </w:p>
  </w:footnote>
  <w:footnote w:id="189">
    <w:p w14:paraId="38C81003" w14:textId="4AB01DAF" w:rsidR="00EA502B" w:rsidRPr="00EA502B" w:rsidRDefault="00EA502B" w:rsidP="00DA15D2">
      <w:pPr>
        <w:pStyle w:val="Voetnoottekst"/>
        <w:jc w:val="both"/>
        <w:rPr>
          <w:lang w:val="nl-NL"/>
        </w:rPr>
      </w:pPr>
      <w:r>
        <w:rPr>
          <w:rStyle w:val="Voetnootmarkering"/>
        </w:rPr>
        <w:footnoteRef/>
      </w:r>
      <w:r w:rsidRPr="00EA502B">
        <w:rPr>
          <w:lang w:val="nl-BE"/>
        </w:rPr>
        <w:t xml:space="preserve"> </w:t>
      </w:r>
      <w:r>
        <w:rPr>
          <w:lang w:val="nl-NL"/>
        </w:rPr>
        <w:t xml:space="preserve">DE BRUCKER L., </w:t>
      </w:r>
      <w:r w:rsidR="00BB6812">
        <w:rPr>
          <w:lang w:val="nl-NL"/>
        </w:rPr>
        <w:t>‘</w:t>
      </w:r>
      <w:r>
        <w:rPr>
          <w:lang w:val="nl-NL"/>
        </w:rPr>
        <w:t>Klimaatverandering het omgevingsrecht. Evolueert de klimaattoets stilaan tot een verplicht beoordelingsinstrument?</w:t>
      </w:r>
      <w:r w:rsidR="00BB6812">
        <w:rPr>
          <w:lang w:val="nl-NL"/>
        </w:rPr>
        <w:t>’</w:t>
      </w:r>
      <w:r>
        <w:rPr>
          <w:lang w:val="nl-NL"/>
        </w:rPr>
        <w:t xml:space="preserve"> in PALMANS R., GHYSELS J. en VERRIJDT W. (eds.), </w:t>
      </w:r>
      <w:r w:rsidRPr="00EA502B">
        <w:rPr>
          <w:i/>
          <w:iCs/>
          <w:lang w:val="nl-NL"/>
        </w:rPr>
        <w:t>Klimaatregelen en vergoedingsmodaliteiten</w:t>
      </w:r>
      <w:r>
        <w:rPr>
          <w:lang w:val="nl-NL"/>
        </w:rPr>
        <w:t>, Boomjuridisch, 2023, 70-82.</w:t>
      </w:r>
    </w:p>
  </w:footnote>
  <w:footnote w:id="190">
    <w:p w14:paraId="24DEBEBC" w14:textId="6D575467" w:rsidR="00211927" w:rsidRPr="00211927" w:rsidRDefault="00211927" w:rsidP="00DA15D2">
      <w:pPr>
        <w:pStyle w:val="Voetnoottekst"/>
        <w:jc w:val="both"/>
        <w:rPr>
          <w:lang w:val="nl-NL"/>
        </w:rPr>
      </w:pPr>
      <w:r>
        <w:rPr>
          <w:rStyle w:val="Voetnootmarkering"/>
        </w:rPr>
        <w:footnoteRef/>
      </w:r>
      <w:r w:rsidRPr="00211927">
        <w:rPr>
          <w:lang w:val="nl-BE"/>
        </w:rPr>
        <w:t xml:space="preserve"> </w:t>
      </w:r>
      <w:r>
        <w:rPr>
          <w:lang w:val="nl-NL"/>
        </w:rPr>
        <w:t xml:space="preserve">SCHOUKENS H., </w:t>
      </w:r>
      <w:r w:rsidR="00BB6812">
        <w:rPr>
          <w:lang w:val="nl-NL"/>
        </w:rPr>
        <w:t>‘</w:t>
      </w:r>
      <w:r>
        <w:rPr>
          <w:lang w:val="nl-NL"/>
        </w:rPr>
        <w:t>Ijsberen versus olie-industrie op het einde van het Trump-tijdperk: natuurbeschermingsrecht als verassende stok achter de deur in klimaatzaken, ook in Europa</w:t>
      </w:r>
      <w:r w:rsidR="00BB6812">
        <w:rPr>
          <w:lang w:val="nl-NL"/>
        </w:rPr>
        <w:t>’</w:t>
      </w:r>
      <w:r>
        <w:rPr>
          <w:lang w:val="nl-NL"/>
        </w:rPr>
        <w:t xml:space="preserve">, </w:t>
      </w:r>
      <w:r w:rsidRPr="00211927">
        <w:rPr>
          <w:i/>
          <w:iCs/>
          <w:lang w:val="nl-NL"/>
        </w:rPr>
        <w:t>STORM</w:t>
      </w:r>
      <w:r>
        <w:rPr>
          <w:lang w:val="nl-NL"/>
        </w:rPr>
        <w:t xml:space="preserve"> 2020/4, bijdrage 25.</w:t>
      </w:r>
    </w:p>
  </w:footnote>
  <w:footnote w:id="191">
    <w:p w14:paraId="3ED2C402" w14:textId="47C2CE05" w:rsidR="00211927" w:rsidRPr="00211927" w:rsidRDefault="00211927" w:rsidP="00DA15D2">
      <w:pPr>
        <w:pStyle w:val="Voetnoottekst"/>
        <w:jc w:val="both"/>
        <w:rPr>
          <w:lang w:val="nl-BE"/>
        </w:rPr>
      </w:pPr>
      <w:r>
        <w:rPr>
          <w:rStyle w:val="Voetnootmarkering"/>
        </w:rPr>
        <w:footnoteRef/>
      </w:r>
      <w:r w:rsidRPr="00211927">
        <w:rPr>
          <w:lang w:val="nl-BE"/>
        </w:rPr>
        <w:t xml:space="preserve"> SCHOUKENS H., </w:t>
      </w:r>
      <w:r w:rsidR="00BB6812">
        <w:rPr>
          <w:lang w:val="nl-BE"/>
        </w:rPr>
        <w:t>‘</w:t>
      </w:r>
      <w:r w:rsidRPr="00211927">
        <w:rPr>
          <w:lang w:val="nl-BE"/>
        </w:rPr>
        <w:t>Practice what you preach: de langzame dans richting een bindende klimaattoets</w:t>
      </w:r>
      <w:r w:rsidR="00BB6812">
        <w:rPr>
          <w:lang w:val="nl-BE"/>
        </w:rPr>
        <w:t>’</w:t>
      </w:r>
      <w:r>
        <w:rPr>
          <w:lang w:val="nl-BE"/>
        </w:rPr>
        <w:t xml:space="preserve"> in SCHOUKENS H. en BILLIET C. (eds.), </w:t>
      </w:r>
      <w:r w:rsidRPr="00211927">
        <w:rPr>
          <w:i/>
          <w:iCs/>
          <w:lang w:val="nl-BE"/>
        </w:rPr>
        <w:t>Klimaatrechtspraak. Waarom rechters het klimaat (niet) zullen redden</w:t>
      </w:r>
      <w:r>
        <w:rPr>
          <w:lang w:val="nl-BE"/>
        </w:rPr>
        <w:t>, Die Keure, 2021, 192-207.</w:t>
      </w:r>
    </w:p>
  </w:footnote>
  <w:footnote w:id="192">
    <w:p w14:paraId="0A955A3B" w14:textId="5F399E0B" w:rsidR="00ED56C2" w:rsidRPr="00ED56C2" w:rsidRDefault="00ED56C2" w:rsidP="00ED56C2">
      <w:pPr>
        <w:pStyle w:val="Voetnoottekst"/>
        <w:jc w:val="both"/>
        <w:rPr>
          <w:lang w:val="nl-NL"/>
        </w:rPr>
      </w:pPr>
      <w:r>
        <w:rPr>
          <w:rStyle w:val="Voetnootmarkering"/>
        </w:rPr>
        <w:footnoteRef/>
      </w:r>
      <w:r w:rsidRPr="00ED56C2">
        <w:rPr>
          <w:lang w:val="nl-BE"/>
        </w:rPr>
        <w:t xml:space="preserve"> </w:t>
      </w:r>
      <w:r>
        <w:rPr>
          <w:lang w:val="nl-NL"/>
        </w:rPr>
        <w:t xml:space="preserve">Kennisgevingsnota betreffende plan-MER bestemmingsneutraliteit hernieuwbare energie, DEPARTEMENT OMGEVING, </w:t>
      </w:r>
      <w:r w:rsidRPr="00ED56C2">
        <w:rPr>
          <w:lang w:val="nl-NL"/>
        </w:rPr>
        <w:t>https://omgeving.vlaanderen.be/sites/default/files/2025-02/merkennis7157-gecomprimeerd.pdf</w:t>
      </w:r>
      <w:r>
        <w:rPr>
          <w:lang w:val="nl-NL"/>
        </w:rPr>
        <w:t xml:space="preserve"> (geraadpleegd op 5 maart 2025).</w:t>
      </w:r>
    </w:p>
  </w:footnote>
  <w:footnote w:id="193">
    <w:p w14:paraId="75B99C61" w14:textId="197B77DB" w:rsidR="007D5F98" w:rsidRPr="007D5F98" w:rsidRDefault="007D5F98">
      <w:pPr>
        <w:pStyle w:val="Voetnoottekst"/>
        <w:rPr>
          <w:lang w:val="nl-NL"/>
        </w:rPr>
      </w:pPr>
      <w:r>
        <w:rPr>
          <w:rStyle w:val="Voetnootmarkering"/>
        </w:rPr>
        <w:footnoteRef/>
      </w:r>
      <w:r w:rsidRPr="00286F50">
        <w:rPr>
          <w:lang w:val="nl-BE"/>
        </w:rPr>
        <w:t xml:space="preserve"> </w:t>
      </w:r>
      <w:r>
        <w:rPr>
          <w:lang w:val="nl-NL"/>
        </w:rPr>
        <w:t>Zie infra, nr. 73.</w:t>
      </w:r>
    </w:p>
  </w:footnote>
  <w:footnote w:id="194">
    <w:p w14:paraId="79DAA789" w14:textId="61B76944" w:rsidR="00D3663B" w:rsidRPr="00D3663B" w:rsidRDefault="00D3663B" w:rsidP="00D3663B">
      <w:pPr>
        <w:pStyle w:val="Voetnoottekst"/>
        <w:jc w:val="both"/>
        <w:rPr>
          <w:lang w:val="nl-BE"/>
        </w:rPr>
      </w:pPr>
      <w:r>
        <w:rPr>
          <w:rStyle w:val="Voetnootmarkering"/>
        </w:rPr>
        <w:footnoteRef/>
      </w:r>
      <w:r w:rsidRPr="00D3663B">
        <w:rPr>
          <w:lang w:val="nl-BE"/>
        </w:rPr>
        <w:t xml:space="preserve"> </w:t>
      </w:r>
      <w:r>
        <w:rPr>
          <w:lang w:val="nl-BE"/>
        </w:rPr>
        <w:t xml:space="preserve">TIMMERMANS R., </w:t>
      </w:r>
      <w:r w:rsidR="00BB6812">
        <w:rPr>
          <w:lang w:val="nl-BE"/>
        </w:rPr>
        <w:t>‘</w:t>
      </w:r>
      <w:r>
        <w:rPr>
          <w:lang w:val="nl-BE"/>
        </w:rPr>
        <w:t>De vroege middeleeuwen tot aan de Franse Revolutie. De feodaliteit en het leenstelsel (ca. 987 tot 1500)</w:t>
      </w:r>
      <w:r w:rsidR="00BB6812">
        <w:rPr>
          <w:lang w:val="nl-BE"/>
        </w:rPr>
        <w:t>’</w:t>
      </w:r>
      <w:r>
        <w:rPr>
          <w:lang w:val="nl-BE"/>
        </w:rPr>
        <w:t xml:space="preserve"> in TIMMERMANS R., </w:t>
      </w:r>
      <w:r w:rsidRPr="00D3663B">
        <w:rPr>
          <w:i/>
          <w:iCs/>
          <w:lang w:val="nl-BE"/>
        </w:rPr>
        <w:t>Erfpacht. Oorsprong, ontwikkeling en modern instrumenteel gebruik</w:t>
      </w:r>
      <w:r>
        <w:rPr>
          <w:lang w:val="nl-BE"/>
        </w:rPr>
        <w:t>, Wolters Kluwer Belgium, 2023, 78-97.</w:t>
      </w:r>
    </w:p>
  </w:footnote>
  <w:footnote w:id="195">
    <w:p w14:paraId="7FA5408E" w14:textId="3EB580F1" w:rsidR="00B91C3F" w:rsidRPr="00B91C3F" w:rsidRDefault="00B91C3F" w:rsidP="00B91C3F">
      <w:pPr>
        <w:pStyle w:val="Voetnoottekst"/>
        <w:jc w:val="both"/>
        <w:rPr>
          <w:lang w:val="nl-NL"/>
        </w:rPr>
      </w:pPr>
      <w:r>
        <w:rPr>
          <w:rStyle w:val="Voetnootmarkering"/>
        </w:rPr>
        <w:footnoteRef/>
      </w:r>
      <w:r w:rsidRPr="00B91C3F">
        <w:rPr>
          <w:lang w:val="nl-NL"/>
        </w:rPr>
        <w:t xml:space="preserve"> KAFFINE D. T. en WORLEY C. M., </w:t>
      </w:r>
      <w:r w:rsidR="00BB6812">
        <w:rPr>
          <w:lang w:val="nl-NL"/>
        </w:rPr>
        <w:t>‘</w:t>
      </w:r>
      <w:r w:rsidRPr="00B91C3F">
        <w:rPr>
          <w:lang w:val="nl-NL"/>
        </w:rPr>
        <w:t>The Windy Commons</w:t>
      </w:r>
      <w:r w:rsidR="00BB6812">
        <w:rPr>
          <w:lang w:val="nl-NL"/>
        </w:rPr>
        <w:t>’</w:t>
      </w:r>
      <w:r w:rsidRPr="00B91C3F">
        <w:rPr>
          <w:lang w:val="nl-NL"/>
        </w:rPr>
        <w:t xml:space="preserve">, </w:t>
      </w:r>
      <w:r w:rsidRPr="00B91C3F">
        <w:rPr>
          <w:i/>
          <w:iCs/>
          <w:lang w:val="nl-NL"/>
        </w:rPr>
        <w:t>Environmental and Resource Economics</w:t>
      </w:r>
      <w:r w:rsidRPr="00B91C3F">
        <w:rPr>
          <w:lang w:val="nl-NL"/>
        </w:rPr>
        <w:t xml:space="preserve"> 2010, afl. 2, 152; REYNEBEAU M., </w:t>
      </w:r>
      <w:r w:rsidR="00BB6812">
        <w:rPr>
          <w:lang w:val="nl-NL"/>
        </w:rPr>
        <w:t>‘</w:t>
      </w:r>
      <w:r w:rsidRPr="00B91C3F">
        <w:rPr>
          <w:lang w:val="nl-NL"/>
        </w:rPr>
        <w:t>De inplanting van onshore windturbines in het Vlaams</w:t>
      </w:r>
      <w:r>
        <w:rPr>
          <w:lang w:val="nl-NL"/>
        </w:rPr>
        <w:t>e Gewest vanuit privaatrechtelijk perspectief</w:t>
      </w:r>
      <w:r w:rsidR="00BB6812">
        <w:rPr>
          <w:lang w:val="nl-NL"/>
        </w:rPr>
        <w:t>’</w:t>
      </w:r>
      <w:r>
        <w:rPr>
          <w:lang w:val="nl-NL"/>
        </w:rPr>
        <w:t xml:space="preserve">, </w:t>
      </w:r>
      <w:r w:rsidRPr="00B91C3F">
        <w:rPr>
          <w:i/>
          <w:iCs/>
          <w:lang w:val="nl-NL"/>
        </w:rPr>
        <w:t>TPR</w:t>
      </w:r>
      <w:r>
        <w:rPr>
          <w:lang w:val="nl-NL"/>
        </w:rPr>
        <w:t xml:space="preserve"> 2018, afl. 4, 1533; CLAEYS P., </w:t>
      </w:r>
      <w:r w:rsidR="00BB6812">
        <w:rPr>
          <w:lang w:val="nl-NL"/>
        </w:rPr>
        <w:t>‘</w:t>
      </w:r>
      <w:r>
        <w:rPr>
          <w:lang w:val="nl-NL"/>
        </w:rPr>
        <w:t>Interfererende windenergieprojecten: cumulatieve effecten en ‘winddiefstal’</w:t>
      </w:r>
      <w:r w:rsidR="00BB6812">
        <w:rPr>
          <w:lang w:val="nl-NL"/>
        </w:rPr>
        <w:t>’</w:t>
      </w:r>
      <w:r>
        <w:rPr>
          <w:lang w:val="nl-NL"/>
        </w:rPr>
        <w:t xml:space="preserve">, </w:t>
      </w:r>
      <w:r w:rsidRPr="00B91C3F">
        <w:rPr>
          <w:i/>
          <w:iCs/>
          <w:lang w:val="nl-NL"/>
        </w:rPr>
        <w:t>MER</w:t>
      </w:r>
      <w:r>
        <w:rPr>
          <w:lang w:val="nl-NL"/>
        </w:rPr>
        <w:t xml:space="preserve"> 2018, afl. 1, 17.</w:t>
      </w:r>
    </w:p>
  </w:footnote>
  <w:footnote w:id="196">
    <w:p w14:paraId="6926E398" w14:textId="4007FD8B" w:rsidR="001942F7" w:rsidRPr="001942F7" w:rsidRDefault="001942F7">
      <w:pPr>
        <w:pStyle w:val="Voetnoottekst"/>
        <w:rPr>
          <w:lang w:val="nl-BE"/>
        </w:rPr>
      </w:pPr>
      <w:r>
        <w:rPr>
          <w:rStyle w:val="Voetnootmarkering"/>
        </w:rPr>
        <w:footnoteRef/>
      </w:r>
      <w:r w:rsidRPr="001942F7">
        <w:rPr>
          <w:lang w:val="nl-BE"/>
        </w:rPr>
        <w:t xml:space="preserve"> </w:t>
      </w:r>
      <w:r>
        <w:rPr>
          <w:lang w:val="nl-BE"/>
        </w:rPr>
        <w:t xml:space="preserve">DE BRUCKER L., </w:t>
      </w:r>
      <w:r w:rsidRPr="001942F7">
        <w:rPr>
          <w:i/>
          <w:iCs/>
          <w:lang w:val="nl-BE"/>
        </w:rPr>
        <w:t>De vergunning van windturbines in het Vlaamse Gewest</w:t>
      </w:r>
      <w:r>
        <w:rPr>
          <w:lang w:val="nl-BE"/>
        </w:rPr>
        <w:t>, Intersentia-Larcier, 2024, 1023.</w:t>
      </w:r>
    </w:p>
  </w:footnote>
  <w:footnote w:id="197">
    <w:p w14:paraId="295E666E" w14:textId="2F5AF2BC" w:rsidR="001942F7" w:rsidRPr="001942F7" w:rsidRDefault="001942F7" w:rsidP="001942F7">
      <w:pPr>
        <w:pStyle w:val="Voetnoottekst"/>
        <w:jc w:val="both"/>
        <w:rPr>
          <w:lang w:val="nl-NL"/>
        </w:rPr>
      </w:pPr>
      <w:r>
        <w:rPr>
          <w:rStyle w:val="Voetnootmarkering"/>
        </w:rPr>
        <w:footnoteRef/>
      </w:r>
      <w:r w:rsidRPr="001942F7">
        <w:rPr>
          <w:lang w:val="nl-BE"/>
        </w:rPr>
        <w:t xml:space="preserve"> </w:t>
      </w:r>
      <w:r>
        <w:rPr>
          <w:lang w:val="nl-NL"/>
        </w:rPr>
        <w:t xml:space="preserve">WILLEMS T., </w:t>
      </w:r>
      <w:r w:rsidR="00BB6812">
        <w:rPr>
          <w:lang w:val="nl-NL"/>
        </w:rPr>
        <w:t>‘</w:t>
      </w:r>
      <w:r>
        <w:rPr>
          <w:lang w:val="nl-NL"/>
        </w:rPr>
        <w:t>Coöperatief ondernemen met hernieuwbare energie: kansen voor het Vlaamse transitiebeleid</w:t>
      </w:r>
      <w:r w:rsidR="00BB6812">
        <w:rPr>
          <w:lang w:val="nl-NL"/>
        </w:rPr>
        <w:t>’</w:t>
      </w:r>
      <w:r>
        <w:rPr>
          <w:lang w:val="nl-NL"/>
        </w:rPr>
        <w:t xml:space="preserve">, </w:t>
      </w:r>
      <w:r w:rsidRPr="001942F7">
        <w:rPr>
          <w:i/>
          <w:iCs/>
          <w:lang w:val="nl-NL"/>
        </w:rPr>
        <w:t>Rescoop Vlaanderen</w:t>
      </w:r>
      <w:r>
        <w:rPr>
          <w:lang w:val="nl-NL"/>
        </w:rPr>
        <w:t xml:space="preserve"> 2014, 135.</w:t>
      </w:r>
    </w:p>
  </w:footnote>
  <w:footnote w:id="198">
    <w:p w14:paraId="250058C6" w14:textId="5D0BB0AB" w:rsidR="002655A3" w:rsidRPr="002655A3" w:rsidRDefault="002655A3">
      <w:pPr>
        <w:pStyle w:val="Voetnoottekst"/>
        <w:rPr>
          <w:lang w:val="nl-NL"/>
        </w:rPr>
      </w:pPr>
      <w:r>
        <w:rPr>
          <w:rStyle w:val="Voetnootmarkering"/>
        </w:rPr>
        <w:footnoteRef/>
      </w:r>
      <w:r w:rsidRPr="002655A3">
        <w:rPr>
          <w:lang w:val="nl-BE"/>
        </w:rPr>
        <w:t xml:space="preserve"> </w:t>
      </w:r>
      <w:r>
        <w:rPr>
          <w:lang w:val="nl-BE"/>
        </w:rPr>
        <w:t xml:space="preserve">DE BRUCKER L., </w:t>
      </w:r>
      <w:r w:rsidRPr="001942F7">
        <w:rPr>
          <w:i/>
          <w:iCs/>
          <w:lang w:val="nl-BE"/>
        </w:rPr>
        <w:t>De vergunning van windturbines in het Vlaamse Gewest</w:t>
      </w:r>
      <w:r>
        <w:rPr>
          <w:lang w:val="nl-BE"/>
        </w:rPr>
        <w:t>, Intersentia-Larcier, 2024, 1023.</w:t>
      </w:r>
    </w:p>
  </w:footnote>
  <w:footnote w:id="199">
    <w:p w14:paraId="766A3B30" w14:textId="2F8B16C4" w:rsidR="00522F71" w:rsidRPr="00522F71" w:rsidRDefault="00522F71">
      <w:pPr>
        <w:pStyle w:val="Voetnoottekst"/>
        <w:rPr>
          <w:lang w:val="nl-NL"/>
        </w:rPr>
      </w:pPr>
      <w:r>
        <w:rPr>
          <w:rStyle w:val="Voetnootmarkering"/>
        </w:rPr>
        <w:footnoteRef/>
      </w:r>
      <w:r w:rsidRPr="00B64CE9">
        <w:rPr>
          <w:lang w:val="nl-BE"/>
        </w:rPr>
        <w:t xml:space="preserve"> </w:t>
      </w:r>
      <w:r w:rsidRPr="00522F71">
        <w:rPr>
          <w:i/>
          <w:iCs/>
          <w:lang w:val="nl-NL"/>
        </w:rPr>
        <w:t>Ibid.</w:t>
      </w:r>
      <w:r>
        <w:rPr>
          <w:lang w:val="nl-NL"/>
        </w:rPr>
        <w:t>, 1024.</w:t>
      </w:r>
    </w:p>
  </w:footnote>
  <w:footnote w:id="200">
    <w:p w14:paraId="519B5691" w14:textId="5C1303C5" w:rsidR="00B64CE9" w:rsidRPr="00B64CE9" w:rsidRDefault="00B64CE9">
      <w:pPr>
        <w:pStyle w:val="Voetnoottekst"/>
        <w:rPr>
          <w:lang w:val="nl-NL"/>
        </w:rPr>
      </w:pPr>
      <w:r>
        <w:rPr>
          <w:rStyle w:val="Voetnootmarkering"/>
        </w:rPr>
        <w:footnoteRef/>
      </w:r>
      <w:r w:rsidRPr="00B64CE9">
        <w:rPr>
          <w:lang w:val="nl-BE"/>
        </w:rPr>
        <w:t xml:space="preserve"> </w:t>
      </w:r>
      <w:r w:rsidRPr="00B64CE9">
        <w:rPr>
          <w:i/>
          <w:iCs/>
          <w:lang w:val="nl-NL"/>
        </w:rPr>
        <w:t>Ibid.</w:t>
      </w:r>
    </w:p>
  </w:footnote>
  <w:footnote w:id="201">
    <w:p w14:paraId="54F5E2FF" w14:textId="236BF79D" w:rsidR="00B64CE9" w:rsidRPr="00B64CE9" w:rsidRDefault="00B64CE9" w:rsidP="004D4BB8">
      <w:pPr>
        <w:pStyle w:val="Voetnoottekst"/>
        <w:jc w:val="both"/>
        <w:rPr>
          <w:lang w:val="nl-NL"/>
        </w:rPr>
      </w:pPr>
      <w:r>
        <w:rPr>
          <w:rStyle w:val="Voetnootmarkering"/>
        </w:rPr>
        <w:footnoteRef/>
      </w:r>
      <w:r w:rsidRPr="00B64CE9">
        <w:rPr>
          <w:lang w:val="nl-BE"/>
        </w:rPr>
        <w:t xml:space="preserve"> </w:t>
      </w:r>
      <w:r>
        <w:rPr>
          <w:lang w:val="nl-NL"/>
        </w:rPr>
        <w:t xml:space="preserve">Aanbeveling (EU) 2024/1343 van de commissie van 13 mei 2024 over het versnellen van de procedures voor de verlening van vergunningen voor projecten op het gebied van hernieuwbare energie en gerelateerde infrastructuurprojecten, </w:t>
      </w:r>
      <w:r w:rsidRPr="00B64CE9">
        <w:rPr>
          <w:i/>
          <w:iCs/>
          <w:lang w:val="nl-NL"/>
        </w:rPr>
        <w:t>Pb.L.</w:t>
      </w:r>
      <w:r>
        <w:rPr>
          <w:lang w:val="nl-NL"/>
        </w:rPr>
        <w:t xml:space="preserve"> 21 mei 2024, 5.</w:t>
      </w:r>
    </w:p>
  </w:footnote>
  <w:footnote w:id="202">
    <w:p w14:paraId="74DADFCF" w14:textId="0F683FEB" w:rsidR="007B0DF2" w:rsidRPr="007B0DF2" w:rsidRDefault="007B0DF2" w:rsidP="004D4BB8">
      <w:pPr>
        <w:pStyle w:val="Voetnoottekst"/>
        <w:jc w:val="both"/>
        <w:rPr>
          <w:lang w:val="nl-BE"/>
        </w:rPr>
      </w:pPr>
      <w:r>
        <w:rPr>
          <w:rStyle w:val="Voetnootmarkering"/>
        </w:rPr>
        <w:footnoteRef/>
      </w:r>
      <w:r w:rsidRPr="007B0DF2">
        <w:rPr>
          <w:lang w:val="nl-BE"/>
        </w:rPr>
        <w:t xml:space="preserve"> </w:t>
      </w:r>
      <w:r>
        <w:rPr>
          <w:lang w:val="nl-BE"/>
        </w:rPr>
        <w:t xml:space="preserve">DE BRUCKER L., </w:t>
      </w:r>
      <w:r w:rsidRPr="001942F7">
        <w:rPr>
          <w:i/>
          <w:iCs/>
          <w:lang w:val="nl-BE"/>
        </w:rPr>
        <w:t>De vergunning van windturbines in het Vlaamse Gewest</w:t>
      </w:r>
      <w:r>
        <w:rPr>
          <w:lang w:val="nl-BE"/>
        </w:rPr>
        <w:t>, Intersentia-Larcier, 2024, 1046.</w:t>
      </w:r>
    </w:p>
  </w:footnote>
  <w:footnote w:id="203">
    <w:p w14:paraId="6DF5063F" w14:textId="6E902290" w:rsidR="003F4389" w:rsidRPr="00B64CE9" w:rsidRDefault="003F4389" w:rsidP="004D4BB8">
      <w:pPr>
        <w:pStyle w:val="Voetnoottekst"/>
        <w:jc w:val="both"/>
        <w:rPr>
          <w:lang w:val="nl-NL"/>
        </w:rPr>
      </w:pPr>
      <w:r>
        <w:rPr>
          <w:rStyle w:val="Voetnootmarkering"/>
        </w:rPr>
        <w:footnoteRef/>
      </w:r>
      <w:r w:rsidRPr="00E5631E">
        <w:rPr>
          <w:lang w:val="nl-BE"/>
        </w:rPr>
        <w:t xml:space="preserve"> </w:t>
      </w:r>
      <w:r w:rsidR="007B0DF2" w:rsidRPr="007B0DF2">
        <w:rPr>
          <w:i/>
          <w:iCs/>
          <w:lang w:val="nl-BE"/>
        </w:rPr>
        <w:t>Ibid.</w:t>
      </w:r>
      <w:r w:rsidR="00B64CE9">
        <w:rPr>
          <w:lang w:val="nl-BE"/>
        </w:rPr>
        <w:t>, 1024.</w:t>
      </w:r>
    </w:p>
  </w:footnote>
  <w:footnote w:id="204">
    <w:p w14:paraId="48ABA265" w14:textId="06026FE7" w:rsidR="00F97E40" w:rsidRPr="00F97E40" w:rsidRDefault="00F97E40">
      <w:pPr>
        <w:pStyle w:val="Voetnoottekst"/>
        <w:rPr>
          <w:lang w:val="nl-NL"/>
        </w:rPr>
      </w:pPr>
      <w:r>
        <w:rPr>
          <w:rStyle w:val="Voetnootmarkering"/>
        </w:rPr>
        <w:footnoteRef/>
      </w:r>
      <w:r w:rsidRPr="000A7D42">
        <w:rPr>
          <w:lang w:val="nl-BE"/>
        </w:rPr>
        <w:t xml:space="preserve"> </w:t>
      </w:r>
      <w:r>
        <w:rPr>
          <w:lang w:val="nl-NL"/>
        </w:rPr>
        <w:t xml:space="preserve">Zie </w:t>
      </w:r>
      <w:r w:rsidRPr="00F97E40">
        <w:rPr>
          <w:i/>
          <w:iCs/>
          <w:lang w:val="nl-NL"/>
        </w:rPr>
        <w:t>infra</w:t>
      </w:r>
      <w:r>
        <w:rPr>
          <w:lang w:val="nl-NL"/>
        </w:rPr>
        <w:t>, nr. 70.</w:t>
      </w:r>
    </w:p>
  </w:footnote>
  <w:footnote w:id="205">
    <w:p w14:paraId="171929AA" w14:textId="27A9846F" w:rsidR="003B7D6F" w:rsidRPr="003B7D6F" w:rsidRDefault="003B7D6F">
      <w:pPr>
        <w:pStyle w:val="Voetnoottekst"/>
        <w:rPr>
          <w:lang w:val="nl-NL"/>
        </w:rPr>
      </w:pPr>
      <w:r>
        <w:rPr>
          <w:rStyle w:val="Voetnootmarkering"/>
        </w:rPr>
        <w:footnoteRef/>
      </w:r>
      <w:r w:rsidRPr="003B7D6F">
        <w:rPr>
          <w:lang w:val="nl-BE"/>
        </w:rPr>
        <w:t xml:space="preserve"> </w:t>
      </w:r>
      <w:r>
        <w:rPr>
          <w:lang w:val="nl-NL"/>
        </w:rPr>
        <w:t>Art. 4 van het ontwerp van decreet inzake de facilitering van windturbines.</w:t>
      </w:r>
    </w:p>
  </w:footnote>
  <w:footnote w:id="206">
    <w:p w14:paraId="559B4D09" w14:textId="28D1CA59" w:rsidR="003B7D6F" w:rsidRPr="003B7D6F" w:rsidRDefault="003B7D6F">
      <w:pPr>
        <w:pStyle w:val="Voetnoottekst"/>
        <w:rPr>
          <w:lang w:val="nl-NL"/>
        </w:rPr>
      </w:pPr>
      <w:r>
        <w:rPr>
          <w:rStyle w:val="Voetnootmarkering"/>
        </w:rPr>
        <w:footnoteRef/>
      </w:r>
      <w:r w:rsidRPr="003B7D6F">
        <w:rPr>
          <w:lang w:val="nl-BE"/>
        </w:rPr>
        <w:t xml:space="preserve"> </w:t>
      </w:r>
      <w:r>
        <w:rPr>
          <w:lang w:val="nl-NL"/>
        </w:rPr>
        <w:t>Art. 5 van het ontwerp van decreet inzake de facilitering van windturbines.</w:t>
      </w:r>
    </w:p>
  </w:footnote>
  <w:footnote w:id="207">
    <w:p w14:paraId="6F8B3DA2" w14:textId="0F41EC8A" w:rsidR="00172BF5" w:rsidRPr="00172BF5" w:rsidRDefault="00172BF5" w:rsidP="00172BF5">
      <w:pPr>
        <w:pStyle w:val="Voetnoottekst"/>
        <w:jc w:val="both"/>
        <w:rPr>
          <w:lang w:val="nl-NL"/>
        </w:rPr>
      </w:pPr>
      <w:r>
        <w:rPr>
          <w:rStyle w:val="Voetnootmarkering"/>
        </w:rPr>
        <w:footnoteRef/>
      </w:r>
      <w:r w:rsidRPr="00172BF5">
        <w:rPr>
          <w:lang w:val="nl-BE"/>
        </w:rPr>
        <w:t xml:space="preserve"> </w:t>
      </w:r>
      <w:r>
        <w:rPr>
          <w:lang w:val="nl-BE"/>
        </w:rPr>
        <w:t xml:space="preserve">DE BRUCKER L., </w:t>
      </w:r>
      <w:r w:rsidRPr="001942F7">
        <w:rPr>
          <w:i/>
          <w:iCs/>
          <w:lang w:val="nl-BE"/>
        </w:rPr>
        <w:t>De vergunning van windturbines in het Vlaamse Gewest</w:t>
      </w:r>
      <w:r>
        <w:rPr>
          <w:lang w:val="nl-BE"/>
        </w:rPr>
        <w:t>, Intersentia-Larcier, 2024, 1053-1054.</w:t>
      </w:r>
    </w:p>
  </w:footnote>
  <w:footnote w:id="208">
    <w:p w14:paraId="346D0D3B" w14:textId="0A213BFB" w:rsidR="000A7D42" w:rsidRPr="000A7D42" w:rsidRDefault="000A7D42" w:rsidP="00B34765">
      <w:pPr>
        <w:pStyle w:val="Voetnoottekst"/>
        <w:jc w:val="both"/>
        <w:rPr>
          <w:lang w:val="nl-NL"/>
        </w:rPr>
      </w:pPr>
      <w:r>
        <w:rPr>
          <w:rStyle w:val="Voetnootmarkering"/>
        </w:rPr>
        <w:footnoteRef/>
      </w:r>
      <w:r w:rsidRPr="000A7D42">
        <w:rPr>
          <w:lang w:val="nl-BE"/>
        </w:rPr>
        <w:t xml:space="preserve"> </w:t>
      </w:r>
      <w:r>
        <w:rPr>
          <w:lang w:val="nl-NL"/>
        </w:rPr>
        <w:t xml:space="preserve">Ter vergelijking: het rolrecht </w:t>
      </w:r>
      <w:r w:rsidRPr="000A7D42">
        <w:rPr>
          <w:lang w:val="nl-BE"/>
        </w:rPr>
        <w:t>dat verschuldigd is per verzoekende partij bij de indiening van een verzoekschrift tot vernietiging</w:t>
      </w:r>
      <w:r>
        <w:rPr>
          <w:lang w:val="nl-BE"/>
        </w:rPr>
        <w:t xml:space="preserve"> bij de Raad voor Vergunningsbetwistingen</w:t>
      </w:r>
      <w:r w:rsidRPr="000A7D42">
        <w:rPr>
          <w:lang w:val="nl-BE"/>
        </w:rPr>
        <w:t>, bedraagt 200 euro.</w:t>
      </w:r>
      <w:r>
        <w:rPr>
          <w:lang w:val="nl-BE"/>
        </w:rPr>
        <w:t xml:space="preserve"> </w:t>
      </w:r>
      <w:r w:rsidR="00B34765">
        <w:rPr>
          <w:lang w:val="nl-BE"/>
        </w:rPr>
        <w:t>Voor een verzoekschrift tot schorsing geldt een rolrecht van 100 euro. De burgerlijke rechtbanken kennen verschillende rolrechten. Zo geldt voor de rechtbanken van eerste aanleg een rolrecht van 165 euro, voor de hoven van beroep een rolrecht van 400 euro en voor het Hof van Cassatie een rolrecht van 650 euro. Op het eerste zicht moeten we opmerken dat het rolrecht voor de rechtbanken van eerste aaleg 35 euro lager ligt dan het geval is voor een verzoekschrift tot vernietiging bij de Raad voor Vergunningsbetwistingen. In die zin wens ik op te merken dat het bestrijden van een afgeleverde vergunning vaak voorafgaat van administratieve (beroeps)procedures. Voor men bij de Raad voor Vergunningsbetwistingen aanklopt, vond reeds een hele administratieve weg plaats waar een soort van ‘eerste aa</w:t>
      </w:r>
      <w:r w:rsidR="004331C4">
        <w:rPr>
          <w:lang w:val="nl-BE"/>
        </w:rPr>
        <w:t>n</w:t>
      </w:r>
      <w:r w:rsidR="00B34765">
        <w:rPr>
          <w:lang w:val="nl-BE"/>
        </w:rPr>
        <w:t>leg’ in gevonden kan worden. Daarom moet de Raad voor Vergunningsbetwistingen vanuit zijn aard eerder vergeleken worden met die van een rechter in graad van beroep, waardoor m.i. eerder een vergelijking moet worden gemaakt met het rolrecht dat geldt voor de hoven van beroep, namelijk 400 euro.</w:t>
      </w:r>
      <w:r w:rsidR="002F24A4">
        <w:rPr>
          <w:lang w:val="nl-BE"/>
        </w:rPr>
        <w:t xml:space="preserve"> Een bijkomend argument om de vergelijking met de hoven van beroep te maken, eerder dan met de rechtbanken van eerste aanleg, wordt m.i. gevonden in het feit dat tegen een arrest van de Raad voor Vergunningsbetwistingen enkel nog ee</w:t>
      </w:r>
      <w:r w:rsidR="004331C4">
        <w:rPr>
          <w:lang w:val="nl-BE"/>
        </w:rPr>
        <w:t>n</w:t>
      </w:r>
      <w:r w:rsidR="002F24A4">
        <w:rPr>
          <w:lang w:val="nl-BE"/>
        </w:rPr>
        <w:t xml:space="preserve"> cassatieberoep bij de Raad van State openstaat.</w:t>
      </w:r>
    </w:p>
  </w:footnote>
  <w:footnote w:id="209">
    <w:p w14:paraId="334F37C9" w14:textId="37F29DAB" w:rsidR="004B39A6" w:rsidRPr="004B39A6" w:rsidRDefault="004B39A6">
      <w:pPr>
        <w:pStyle w:val="Voetnoottekst"/>
        <w:rPr>
          <w:lang w:val="nl-NL"/>
        </w:rPr>
      </w:pPr>
      <w:r>
        <w:rPr>
          <w:rStyle w:val="Voetnootmarkering"/>
        </w:rPr>
        <w:footnoteRef/>
      </w:r>
      <w:r w:rsidRPr="000A7D42">
        <w:rPr>
          <w:lang w:val="nl-BE"/>
        </w:rPr>
        <w:t xml:space="preserve"> </w:t>
      </w:r>
      <w:r w:rsidR="00FF7F60">
        <w:rPr>
          <w:lang w:val="nl-BE"/>
        </w:rPr>
        <w:t xml:space="preserve">DE BRUCKER L., </w:t>
      </w:r>
      <w:r w:rsidR="00FF7F60" w:rsidRPr="001942F7">
        <w:rPr>
          <w:i/>
          <w:iCs/>
          <w:lang w:val="nl-BE"/>
        </w:rPr>
        <w:t>De vergunning van windturbines in het Vlaamse Gewest</w:t>
      </w:r>
      <w:r w:rsidR="00FF7F60">
        <w:rPr>
          <w:lang w:val="nl-BE"/>
        </w:rPr>
        <w:t xml:space="preserve">, Intersentia-Larcier, 2024, </w:t>
      </w:r>
      <w:r>
        <w:rPr>
          <w:lang w:val="nl-NL"/>
        </w:rPr>
        <w:t>1053.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94051"/>
    <w:multiLevelType w:val="hybridMultilevel"/>
    <w:tmpl w:val="26D414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17654F0"/>
    <w:multiLevelType w:val="hybridMultilevel"/>
    <w:tmpl w:val="2A82201A"/>
    <w:lvl w:ilvl="0" w:tplc="FEB2971C">
      <w:start w:val="1"/>
      <w:numFmt w:val="bullet"/>
      <w:lvlText w:val=""/>
      <w:lvlJc w:val="left"/>
      <w:pPr>
        <w:ind w:left="720" w:hanging="360"/>
      </w:pPr>
      <w:rPr>
        <w:rFonts w:ascii="Symbol" w:hAnsi="Symbol" w:hint="default"/>
        <w:color w:val="002E65" w:themeColor="text1"/>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176656E"/>
    <w:multiLevelType w:val="multilevel"/>
    <w:tmpl w:val="EEEC7FFC"/>
    <w:lvl w:ilvl="0">
      <w:start w:val="1"/>
      <w:numFmt w:val="bullet"/>
      <w:pStyle w:val="Lijstalinea"/>
      <w:lvlText w:val=""/>
      <w:lvlJc w:val="left"/>
      <w:pPr>
        <w:ind w:left="360" w:hanging="360"/>
      </w:pPr>
      <w:rPr>
        <w:rFonts w:ascii="Symbol" w:hAnsi="Symbol" w:hint="default"/>
        <w:color w:val="002E65" w:themeColor="text1"/>
      </w:rPr>
    </w:lvl>
    <w:lvl w:ilvl="1">
      <w:start w:val="1"/>
      <w:numFmt w:val="bullet"/>
      <w:lvlText w:val="o"/>
      <w:lvlJc w:val="left"/>
      <w:pPr>
        <w:ind w:left="1080" w:hanging="360"/>
      </w:pPr>
      <w:rPr>
        <w:rFonts w:ascii="Courier New" w:hAnsi="Courier New" w:cs="Courier New" w:hint="default"/>
        <w:color w:val="002E65" w:themeColor="text1"/>
      </w:rPr>
    </w:lvl>
    <w:lvl w:ilvl="2">
      <w:start w:val="1"/>
      <w:numFmt w:val="bullet"/>
      <w:lvlText w:val=""/>
      <w:lvlJc w:val="left"/>
      <w:pPr>
        <w:ind w:left="1800" w:hanging="360"/>
      </w:pPr>
      <w:rPr>
        <w:rFonts w:ascii="Symbol" w:hAnsi="Symbol" w:hint="default"/>
        <w:color w:val="002E65" w:themeColor="text1"/>
      </w:rPr>
    </w:lvl>
    <w:lvl w:ilvl="3">
      <w:start w:val="1"/>
      <w:numFmt w:val="bullet"/>
      <w:lvlText w:val="o"/>
      <w:lvlJc w:val="left"/>
      <w:pPr>
        <w:ind w:left="2520" w:hanging="360"/>
      </w:pPr>
      <w:rPr>
        <w:rFonts w:ascii="Courier New" w:hAnsi="Courier New" w:cs="Courier New" w:hint="default"/>
        <w:color w:val="002E65" w:themeColor="text1"/>
      </w:rPr>
    </w:lvl>
    <w:lvl w:ilvl="4">
      <w:start w:val="1"/>
      <w:numFmt w:val="bullet"/>
      <w:lvlText w:val=""/>
      <w:lvlJc w:val="left"/>
      <w:pPr>
        <w:ind w:left="3240" w:hanging="360"/>
      </w:pPr>
      <w:rPr>
        <w:rFonts w:ascii="Symbol" w:hAnsi="Symbol" w:hint="default"/>
        <w:color w:val="002E65" w:themeColor="text1"/>
      </w:rPr>
    </w:lvl>
    <w:lvl w:ilvl="5">
      <w:start w:val="1"/>
      <w:numFmt w:val="bullet"/>
      <w:lvlText w:val="o"/>
      <w:lvlJc w:val="left"/>
      <w:pPr>
        <w:ind w:left="3960" w:hanging="360"/>
      </w:pPr>
      <w:rPr>
        <w:rFonts w:ascii="Courier New" w:hAnsi="Courier New" w:cs="Courier New" w:hint="default"/>
        <w:color w:val="002E65" w:themeColor="text1"/>
      </w:rPr>
    </w:lvl>
    <w:lvl w:ilvl="6">
      <w:start w:val="1"/>
      <w:numFmt w:val="bullet"/>
      <w:lvlText w:val=""/>
      <w:lvlJc w:val="left"/>
      <w:pPr>
        <w:ind w:left="4680" w:hanging="360"/>
      </w:pPr>
      <w:rPr>
        <w:rFonts w:ascii="Symbol" w:hAnsi="Symbol" w:hint="default"/>
        <w:color w:val="002E65" w:themeColor="text1"/>
      </w:rPr>
    </w:lvl>
    <w:lvl w:ilvl="7">
      <w:start w:val="1"/>
      <w:numFmt w:val="bullet"/>
      <w:lvlText w:val=""/>
      <w:lvlJc w:val="left"/>
      <w:pPr>
        <w:ind w:left="5400" w:hanging="360"/>
      </w:pPr>
      <w:rPr>
        <w:rFonts w:ascii="Symbol" w:hAnsi="Symbol" w:hint="default"/>
        <w:color w:val="002E65" w:themeColor="text1"/>
      </w:rPr>
    </w:lvl>
    <w:lvl w:ilvl="8">
      <w:start w:val="1"/>
      <w:numFmt w:val="bullet"/>
      <w:lvlText w:val=""/>
      <w:lvlJc w:val="left"/>
      <w:pPr>
        <w:ind w:left="6120" w:hanging="360"/>
      </w:pPr>
      <w:rPr>
        <w:rFonts w:ascii="Symbol" w:hAnsi="Symbol" w:hint="default"/>
        <w:color w:val="002E65" w:themeColor="text1"/>
      </w:rPr>
    </w:lvl>
  </w:abstractNum>
  <w:abstractNum w:abstractNumId="3" w15:restartNumberingAfterBreak="0">
    <w:nsid w:val="22067703"/>
    <w:multiLevelType w:val="hybridMultilevel"/>
    <w:tmpl w:val="E4CC20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48538C9"/>
    <w:multiLevelType w:val="hybridMultilevel"/>
    <w:tmpl w:val="88605EB6"/>
    <w:lvl w:ilvl="0" w:tplc="8E7CCF96">
      <w:numFmt w:val="bullet"/>
      <w:lvlText w:val="•"/>
      <w:lvlJc w:val="left"/>
      <w:pPr>
        <w:ind w:left="1068" w:hanging="708"/>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4D81D4C"/>
    <w:multiLevelType w:val="hybridMultilevel"/>
    <w:tmpl w:val="B7C4692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5FE32CA"/>
    <w:multiLevelType w:val="hybridMultilevel"/>
    <w:tmpl w:val="54C47E0E"/>
    <w:lvl w:ilvl="0" w:tplc="3D4A89DE">
      <w:start w:val="1"/>
      <w:numFmt w:val="bullet"/>
      <w:lvlText w:val=""/>
      <w:lvlJc w:val="left"/>
      <w:pPr>
        <w:ind w:left="720" w:hanging="360"/>
      </w:pPr>
      <w:rPr>
        <w:rFonts w:ascii="Symbol" w:hAnsi="Symbol" w:hint="default"/>
        <w:color w:val="002E65" w:themeColor="text1"/>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E01261A"/>
    <w:multiLevelType w:val="hybridMultilevel"/>
    <w:tmpl w:val="4718F572"/>
    <w:lvl w:ilvl="0" w:tplc="12742ED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C6F237F"/>
    <w:multiLevelType w:val="multilevel"/>
    <w:tmpl w:val="DCCAD87A"/>
    <w:lvl w:ilvl="0">
      <w:start w:val="2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763FE3"/>
    <w:multiLevelType w:val="hybridMultilevel"/>
    <w:tmpl w:val="32788B68"/>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6A1FC5"/>
    <w:multiLevelType w:val="hybridMultilevel"/>
    <w:tmpl w:val="5714F850"/>
    <w:lvl w:ilvl="0" w:tplc="ACDE4F0A">
      <w:start w:val="1"/>
      <w:numFmt w:val="decimal"/>
      <w:lvlText w:val="%1."/>
      <w:lvlJc w:val="left"/>
      <w:pPr>
        <w:ind w:left="360" w:hanging="360"/>
      </w:pPr>
      <w:rPr>
        <w:rFonts w:asciiTheme="minorHAnsi" w:hAnsiTheme="minorHAnsi" w:cstheme="minorHAnsi" w:hint="default"/>
        <w:b w:val="0"/>
        <w:bCs w:val="0"/>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05821B8"/>
    <w:multiLevelType w:val="hybridMultilevel"/>
    <w:tmpl w:val="295C32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01D2CDF"/>
    <w:multiLevelType w:val="multilevel"/>
    <w:tmpl w:val="4A60D05A"/>
    <w:lvl w:ilvl="0">
      <w:start w:val="2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87685E"/>
    <w:multiLevelType w:val="hybridMultilevel"/>
    <w:tmpl w:val="4E9E9C1C"/>
    <w:lvl w:ilvl="0" w:tplc="8E7CCF96">
      <w:numFmt w:val="bullet"/>
      <w:lvlText w:val="•"/>
      <w:lvlJc w:val="left"/>
      <w:pPr>
        <w:ind w:left="1068" w:hanging="708"/>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226368E"/>
    <w:multiLevelType w:val="hybridMultilevel"/>
    <w:tmpl w:val="432C7F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D2E674E"/>
    <w:multiLevelType w:val="hybridMultilevel"/>
    <w:tmpl w:val="7368DC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D7F1906"/>
    <w:multiLevelType w:val="hybridMultilevel"/>
    <w:tmpl w:val="D408D7AA"/>
    <w:lvl w:ilvl="0" w:tplc="E15AF54A">
      <w:start w:val="1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EE66BC1"/>
    <w:multiLevelType w:val="hybridMultilevel"/>
    <w:tmpl w:val="BFAA76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00E4F6F"/>
    <w:multiLevelType w:val="hybridMultilevel"/>
    <w:tmpl w:val="784ED6FE"/>
    <w:lvl w:ilvl="0" w:tplc="8BA26ACC">
      <w:start w:val="10"/>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9" w15:restartNumberingAfterBreak="0">
    <w:nsid w:val="6AC83F16"/>
    <w:multiLevelType w:val="hybridMultilevel"/>
    <w:tmpl w:val="C064375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704D06F5"/>
    <w:multiLevelType w:val="hybridMultilevel"/>
    <w:tmpl w:val="4DE23E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1AB05CC"/>
    <w:multiLevelType w:val="hybridMultilevel"/>
    <w:tmpl w:val="ADE6C8BC"/>
    <w:lvl w:ilvl="0" w:tplc="A9885274">
      <w:start w:val="1"/>
      <w:numFmt w:val="bullet"/>
      <w:lvlText w:val="-"/>
      <w:lvlJc w:val="left"/>
      <w:pPr>
        <w:ind w:left="1068" w:hanging="708"/>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1C71D9C"/>
    <w:multiLevelType w:val="hybridMultilevel"/>
    <w:tmpl w:val="9EEEB27E"/>
    <w:lvl w:ilvl="0" w:tplc="F044E9B0">
      <w:start w:val="1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31F37B7"/>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4" w15:restartNumberingAfterBreak="0">
    <w:nsid w:val="7E01446F"/>
    <w:multiLevelType w:val="hybridMultilevel"/>
    <w:tmpl w:val="30A466CC"/>
    <w:lvl w:ilvl="0" w:tplc="8E7CCF96">
      <w:numFmt w:val="bullet"/>
      <w:lvlText w:val="•"/>
      <w:lvlJc w:val="left"/>
      <w:pPr>
        <w:ind w:left="1068" w:hanging="708"/>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43828190">
    <w:abstractNumId w:val="3"/>
  </w:num>
  <w:num w:numId="2" w16cid:durableId="1651976522">
    <w:abstractNumId w:val="13"/>
  </w:num>
  <w:num w:numId="3" w16cid:durableId="1111585443">
    <w:abstractNumId w:val="24"/>
  </w:num>
  <w:num w:numId="4" w16cid:durableId="31656135">
    <w:abstractNumId w:val="4"/>
  </w:num>
  <w:num w:numId="5" w16cid:durableId="1320689665">
    <w:abstractNumId w:val="6"/>
  </w:num>
  <w:num w:numId="6" w16cid:durableId="1903635904">
    <w:abstractNumId w:val="1"/>
  </w:num>
  <w:num w:numId="7" w16cid:durableId="48844281">
    <w:abstractNumId w:val="0"/>
  </w:num>
  <w:num w:numId="8" w16cid:durableId="739641011">
    <w:abstractNumId w:val="2"/>
  </w:num>
  <w:num w:numId="9" w16cid:durableId="21312399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8301922">
    <w:abstractNumId w:val="7"/>
  </w:num>
  <w:num w:numId="11" w16cid:durableId="513225190">
    <w:abstractNumId w:val="23"/>
  </w:num>
  <w:num w:numId="12" w16cid:durableId="1510561996">
    <w:abstractNumId w:val="20"/>
  </w:num>
  <w:num w:numId="13" w16cid:durableId="1538734001">
    <w:abstractNumId w:val="21"/>
  </w:num>
  <w:num w:numId="14" w16cid:durableId="2024041963">
    <w:abstractNumId w:val="19"/>
  </w:num>
  <w:num w:numId="15" w16cid:durableId="568225682">
    <w:abstractNumId w:val="10"/>
  </w:num>
  <w:num w:numId="16" w16cid:durableId="546377041">
    <w:abstractNumId w:val="11"/>
  </w:num>
  <w:num w:numId="17" w16cid:durableId="1345935156">
    <w:abstractNumId w:val="15"/>
  </w:num>
  <w:num w:numId="18" w16cid:durableId="1110661340">
    <w:abstractNumId w:val="18"/>
  </w:num>
  <w:num w:numId="19" w16cid:durableId="1169641399">
    <w:abstractNumId w:val="22"/>
  </w:num>
  <w:num w:numId="20" w16cid:durableId="698092253">
    <w:abstractNumId w:val="16"/>
  </w:num>
  <w:num w:numId="21" w16cid:durableId="963582075">
    <w:abstractNumId w:val="8"/>
  </w:num>
  <w:num w:numId="22" w16cid:durableId="1713731171">
    <w:abstractNumId w:val="12"/>
  </w:num>
  <w:num w:numId="23" w16cid:durableId="353969849">
    <w:abstractNumId w:val="14"/>
  </w:num>
  <w:num w:numId="24" w16cid:durableId="752749684">
    <w:abstractNumId w:val="17"/>
  </w:num>
  <w:num w:numId="25" w16cid:durableId="2022316321">
    <w:abstractNumId w:val="9"/>
  </w:num>
  <w:num w:numId="26" w16cid:durableId="214657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activeWritingStyle w:appName="MSWord" w:lang="en-US" w:vendorID="64" w:dllVersion="4096" w:nlCheck="1" w:checkStyle="0"/>
  <w:activeWritingStyle w:appName="MSWord" w:lang="nl-NL" w:vendorID="64" w:dllVersion="4096" w:nlCheck="1" w:checkStyle="0"/>
  <w:activeWritingStyle w:appName="MSWord" w:lang="en-US" w:vendorID="64" w:dllVersion="0" w:nlCheck="1" w:checkStyle="0"/>
  <w:activeWritingStyle w:appName="MSWord" w:lang="nl-NL" w:vendorID="64" w:dllVersion="0" w:nlCheck="1" w:checkStyle="0"/>
  <w:defaultTabStop w:val="708"/>
  <w:hyphenationZone w:val="425"/>
  <w:defaultTableStyle w:val="UA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4A"/>
    <w:rsid w:val="00000A50"/>
    <w:rsid w:val="00002F5A"/>
    <w:rsid w:val="00003397"/>
    <w:rsid w:val="000035FE"/>
    <w:rsid w:val="00004732"/>
    <w:rsid w:val="00004E11"/>
    <w:rsid w:val="00005DD1"/>
    <w:rsid w:val="00006ABC"/>
    <w:rsid w:val="000112BA"/>
    <w:rsid w:val="00013B22"/>
    <w:rsid w:val="00021154"/>
    <w:rsid w:val="00023FBF"/>
    <w:rsid w:val="000249BA"/>
    <w:rsid w:val="0002545E"/>
    <w:rsid w:val="000265B1"/>
    <w:rsid w:val="00027AB3"/>
    <w:rsid w:val="00033584"/>
    <w:rsid w:val="00033C23"/>
    <w:rsid w:val="00034823"/>
    <w:rsid w:val="00036A03"/>
    <w:rsid w:val="00037F82"/>
    <w:rsid w:val="000402A3"/>
    <w:rsid w:val="000438A8"/>
    <w:rsid w:val="00043B08"/>
    <w:rsid w:val="00050AA2"/>
    <w:rsid w:val="00050E6B"/>
    <w:rsid w:val="00053256"/>
    <w:rsid w:val="000609E0"/>
    <w:rsid w:val="00066943"/>
    <w:rsid w:val="000677CD"/>
    <w:rsid w:val="00067A4D"/>
    <w:rsid w:val="00067C2E"/>
    <w:rsid w:val="000764C9"/>
    <w:rsid w:val="00077162"/>
    <w:rsid w:val="000774CA"/>
    <w:rsid w:val="00080221"/>
    <w:rsid w:val="000831FD"/>
    <w:rsid w:val="00085517"/>
    <w:rsid w:val="00085621"/>
    <w:rsid w:val="0009091D"/>
    <w:rsid w:val="00093C81"/>
    <w:rsid w:val="00094E19"/>
    <w:rsid w:val="000963C2"/>
    <w:rsid w:val="000A0E99"/>
    <w:rsid w:val="000A2ABA"/>
    <w:rsid w:val="000A2C1A"/>
    <w:rsid w:val="000A7B9F"/>
    <w:rsid w:val="000A7D42"/>
    <w:rsid w:val="000B1286"/>
    <w:rsid w:val="000B22CB"/>
    <w:rsid w:val="000B75DE"/>
    <w:rsid w:val="000C658C"/>
    <w:rsid w:val="000D1DA2"/>
    <w:rsid w:val="000D2F32"/>
    <w:rsid w:val="000D632A"/>
    <w:rsid w:val="000D75B5"/>
    <w:rsid w:val="000E316B"/>
    <w:rsid w:val="000E6466"/>
    <w:rsid w:val="000F05EA"/>
    <w:rsid w:val="000F32E6"/>
    <w:rsid w:val="000F3DAD"/>
    <w:rsid w:val="000F50D8"/>
    <w:rsid w:val="000F5CA1"/>
    <w:rsid w:val="000F7E75"/>
    <w:rsid w:val="00100941"/>
    <w:rsid w:val="00101F52"/>
    <w:rsid w:val="00103A79"/>
    <w:rsid w:val="00105615"/>
    <w:rsid w:val="00105845"/>
    <w:rsid w:val="00106532"/>
    <w:rsid w:val="00110296"/>
    <w:rsid w:val="00111309"/>
    <w:rsid w:val="00112097"/>
    <w:rsid w:val="001121D3"/>
    <w:rsid w:val="001125C7"/>
    <w:rsid w:val="001137CB"/>
    <w:rsid w:val="00114078"/>
    <w:rsid w:val="00114850"/>
    <w:rsid w:val="00114FA9"/>
    <w:rsid w:val="001150FD"/>
    <w:rsid w:val="00117D4B"/>
    <w:rsid w:val="001208E8"/>
    <w:rsid w:val="00126131"/>
    <w:rsid w:val="00127F94"/>
    <w:rsid w:val="00140BF7"/>
    <w:rsid w:val="00143926"/>
    <w:rsid w:val="001451B1"/>
    <w:rsid w:val="00145700"/>
    <w:rsid w:val="00147673"/>
    <w:rsid w:val="00150A50"/>
    <w:rsid w:val="00152BDB"/>
    <w:rsid w:val="00152C0E"/>
    <w:rsid w:val="0015323A"/>
    <w:rsid w:val="0015361B"/>
    <w:rsid w:val="001547E8"/>
    <w:rsid w:val="00156D3F"/>
    <w:rsid w:val="001572CD"/>
    <w:rsid w:val="001643EB"/>
    <w:rsid w:val="00164A50"/>
    <w:rsid w:val="001668C7"/>
    <w:rsid w:val="00167BC5"/>
    <w:rsid w:val="00170EE3"/>
    <w:rsid w:val="00172BF5"/>
    <w:rsid w:val="00180752"/>
    <w:rsid w:val="00182105"/>
    <w:rsid w:val="001839FB"/>
    <w:rsid w:val="00183C3E"/>
    <w:rsid w:val="001942F7"/>
    <w:rsid w:val="00195542"/>
    <w:rsid w:val="00197C7E"/>
    <w:rsid w:val="00197FA8"/>
    <w:rsid w:val="001B02EA"/>
    <w:rsid w:val="001C2B70"/>
    <w:rsid w:val="001C3B0A"/>
    <w:rsid w:val="001C3E28"/>
    <w:rsid w:val="001C5292"/>
    <w:rsid w:val="001D1CFD"/>
    <w:rsid w:val="001D2DB2"/>
    <w:rsid w:val="001D797D"/>
    <w:rsid w:val="001E08D1"/>
    <w:rsid w:val="001E268A"/>
    <w:rsid w:val="001E373F"/>
    <w:rsid w:val="001E396D"/>
    <w:rsid w:val="001E60B8"/>
    <w:rsid w:val="001E7A5D"/>
    <w:rsid w:val="001F048F"/>
    <w:rsid w:val="001F18FE"/>
    <w:rsid w:val="001F61FA"/>
    <w:rsid w:val="001F7AD1"/>
    <w:rsid w:val="002011F1"/>
    <w:rsid w:val="00206844"/>
    <w:rsid w:val="00206A5D"/>
    <w:rsid w:val="00210679"/>
    <w:rsid w:val="00211927"/>
    <w:rsid w:val="00211CAD"/>
    <w:rsid w:val="00211F63"/>
    <w:rsid w:val="002166FB"/>
    <w:rsid w:val="00220578"/>
    <w:rsid w:val="00221480"/>
    <w:rsid w:val="0022549E"/>
    <w:rsid w:val="002257E4"/>
    <w:rsid w:val="00230DEF"/>
    <w:rsid w:val="00230EE2"/>
    <w:rsid w:val="00232315"/>
    <w:rsid w:val="0023576E"/>
    <w:rsid w:val="00236DA6"/>
    <w:rsid w:val="00236FAD"/>
    <w:rsid w:val="00241955"/>
    <w:rsid w:val="0024237B"/>
    <w:rsid w:val="002521C3"/>
    <w:rsid w:val="00252817"/>
    <w:rsid w:val="00254431"/>
    <w:rsid w:val="002574B9"/>
    <w:rsid w:val="00260806"/>
    <w:rsid w:val="0026181F"/>
    <w:rsid w:val="00263146"/>
    <w:rsid w:val="002655A3"/>
    <w:rsid w:val="002657D7"/>
    <w:rsid w:val="002700FA"/>
    <w:rsid w:val="00273737"/>
    <w:rsid w:val="002764B1"/>
    <w:rsid w:val="002776F8"/>
    <w:rsid w:val="002778F5"/>
    <w:rsid w:val="00281364"/>
    <w:rsid w:val="002828EE"/>
    <w:rsid w:val="00284976"/>
    <w:rsid w:val="00286F50"/>
    <w:rsid w:val="00286F68"/>
    <w:rsid w:val="00292A72"/>
    <w:rsid w:val="00292D36"/>
    <w:rsid w:val="002A0F10"/>
    <w:rsid w:val="002A5AE2"/>
    <w:rsid w:val="002B3E14"/>
    <w:rsid w:val="002B5D87"/>
    <w:rsid w:val="002B5E76"/>
    <w:rsid w:val="002C153F"/>
    <w:rsid w:val="002C218A"/>
    <w:rsid w:val="002C3E05"/>
    <w:rsid w:val="002C3E59"/>
    <w:rsid w:val="002C50B2"/>
    <w:rsid w:val="002C7993"/>
    <w:rsid w:val="002D095C"/>
    <w:rsid w:val="002D4CD7"/>
    <w:rsid w:val="002D7637"/>
    <w:rsid w:val="002E00DB"/>
    <w:rsid w:val="002E06D1"/>
    <w:rsid w:val="002E2298"/>
    <w:rsid w:val="002E3E36"/>
    <w:rsid w:val="002E626A"/>
    <w:rsid w:val="002E66A7"/>
    <w:rsid w:val="002E68D0"/>
    <w:rsid w:val="002F24A4"/>
    <w:rsid w:val="002F43A7"/>
    <w:rsid w:val="002F64D3"/>
    <w:rsid w:val="00300791"/>
    <w:rsid w:val="003011BD"/>
    <w:rsid w:val="003077FD"/>
    <w:rsid w:val="0031008D"/>
    <w:rsid w:val="00310559"/>
    <w:rsid w:val="00311CC5"/>
    <w:rsid w:val="00311EB1"/>
    <w:rsid w:val="0031311A"/>
    <w:rsid w:val="00314E03"/>
    <w:rsid w:val="003154A8"/>
    <w:rsid w:val="00321C8C"/>
    <w:rsid w:val="00322713"/>
    <w:rsid w:val="003264E8"/>
    <w:rsid w:val="00332EB6"/>
    <w:rsid w:val="003356AD"/>
    <w:rsid w:val="00337ABD"/>
    <w:rsid w:val="00337F5A"/>
    <w:rsid w:val="00343203"/>
    <w:rsid w:val="00352D50"/>
    <w:rsid w:val="00353A2E"/>
    <w:rsid w:val="00355396"/>
    <w:rsid w:val="00360F8A"/>
    <w:rsid w:val="00361C66"/>
    <w:rsid w:val="00362F6F"/>
    <w:rsid w:val="00365358"/>
    <w:rsid w:val="00365753"/>
    <w:rsid w:val="003712FF"/>
    <w:rsid w:val="0037167C"/>
    <w:rsid w:val="003752F5"/>
    <w:rsid w:val="00376CF4"/>
    <w:rsid w:val="0038071B"/>
    <w:rsid w:val="00380DB0"/>
    <w:rsid w:val="00383903"/>
    <w:rsid w:val="003854CA"/>
    <w:rsid w:val="003873C7"/>
    <w:rsid w:val="00387833"/>
    <w:rsid w:val="00391225"/>
    <w:rsid w:val="00391CFB"/>
    <w:rsid w:val="00391F61"/>
    <w:rsid w:val="00395A5C"/>
    <w:rsid w:val="00396CC8"/>
    <w:rsid w:val="0039734A"/>
    <w:rsid w:val="003A46E3"/>
    <w:rsid w:val="003A55C1"/>
    <w:rsid w:val="003A5AAB"/>
    <w:rsid w:val="003A7AD1"/>
    <w:rsid w:val="003B01B7"/>
    <w:rsid w:val="003B3033"/>
    <w:rsid w:val="003B3F67"/>
    <w:rsid w:val="003B7D6F"/>
    <w:rsid w:val="003C0785"/>
    <w:rsid w:val="003C1C66"/>
    <w:rsid w:val="003C290B"/>
    <w:rsid w:val="003C7B26"/>
    <w:rsid w:val="003D25A9"/>
    <w:rsid w:val="003D3BBE"/>
    <w:rsid w:val="003D52DF"/>
    <w:rsid w:val="003D6942"/>
    <w:rsid w:val="003E0A19"/>
    <w:rsid w:val="003E3359"/>
    <w:rsid w:val="003E5A5E"/>
    <w:rsid w:val="003F2C36"/>
    <w:rsid w:val="003F4389"/>
    <w:rsid w:val="00401B7F"/>
    <w:rsid w:val="004105A5"/>
    <w:rsid w:val="0041098F"/>
    <w:rsid w:val="0041134D"/>
    <w:rsid w:val="00414EAF"/>
    <w:rsid w:val="004168A7"/>
    <w:rsid w:val="004202DD"/>
    <w:rsid w:val="00421992"/>
    <w:rsid w:val="00422D75"/>
    <w:rsid w:val="00423B32"/>
    <w:rsid w:val="00423CE1"/>
    <w:rsid w:val="00424557"/>
    <w:rsid w:val="004246AF"/>
    <w:rsid w:val="00424864"/>
    <w:rsid w:val="004264FF"/>
    <w:rsid w:val="0043244C"/>
    <w:rsid w:val="004331C4"/>
    <w:rsid w:val="00435FBA"/>
    <w:rsid w:val="00436FE8"/>
    <w:rsid w:val="004414DC"/>
    <w:rsid w:val="004421A8"/>
    <w:rsid w:val="0044393D"/>
    <w:rsid w:val="00445A41"/>
    <w:rsid w:val="00447DB5"/>
    <w:rsid w:val="004569FC"/>
    <w:rsid w:val="00460A79"/>
    <w:rsid w:val="00463468"/>
    <w:rsid w:val="0047081C"/>
    <w:rsid w:val="0047271D"/>
    <w:rsid w:val="00472D4D"/>
    <w:rsid w:val="00475148"/>
    <w:rsid w:val="004772A7"/>
    <w:rsid w:val="0048014C"/>
    <w:rsid w:val="00482DFD"/>
    <w:rsid w:val="0049258C"/>
    <w:rsid w:val="00494468"/>
    <w:rsid w:val="004954A5"/>
    <w:rsid w:val="004A47F2"/>
    <w:rsid w:val="004A6C1E"/>
    <w:rsid w:val="004A7B24"/>
    <w:rsid w:val="004B05EC"/>
    <w:rsid w:val="004B23C6"/>
    <w:rsid w:val="004B39A6"/>
    <w:rsid w:val="004B4BE4"/>
    <w:rsid w:val="004B5DE8"/>
    <w:rsid w:val="004B606E"/>
    <w:rsid w:val="004B70F5"/>
    <w:rsid w:val="004C0091"/>
    <w:rsid w:val="004C3DFD"/>
    <w:rsid w:val="004C6920"/>
    <w:rsid w:val="004D1F2F"/>
    <w:rsid w:val="004D4BB8"/>
    <w:rsid w:val="004D6101"/>
    <w:rsid w:val="004E271A"/>
    <w:rsid w:val="004E38E9"/>
    <w:rsid w:val="004F0DAC"/>
    <w:rsid w:val="004F10CB"/>
    <w:rsid w:val="004F29B0"/>
    <w:rsid w:val="004F72E4"/>
    <w:rsid w:val="005032FE"/>
    <w:rsid w:val="005074FF"/>
    <w:rsid w:val="00507684"/>
    <w:rsid w:val="00512661"/>
    <w:rsid w:val="00513508"/>
    <w:rsid w:val="00522B98"/>
    <w:rsid w:val="00522F71"/>
    <w:rsid w:val="00525C9D"/>
    <w:rsid w:val="005263D4"/>
    <w:rsid w:val="005307C8"/>
    <w:rsid w:val="0053215B"/>
    <w:rsid w:val="00532451"/>
    <w:rsid w:val="005325A6"/>
    <w:rsid w:val="0053265F"/>
    <w:rsid w:val="00532E2F"/>
    <w:rsid w:val="00533E5E"/>
    <w:rsid w:val="00534E41"/>
    <w:rsid w:val="00535485"/>
    <w:rsid w:val="00535741"/>
    <w:rsid w:val="00540678"/>
    <w:rsid w:val="00542818"/>
    <w:rsid w:val="00542E47"/>
    <w:rsid w:val="0054409D"/>
    <w:rsid w:val="0054529A"/>
    <w:rsid w:val="00545981"/>
    <w:rsid w:val="00545A3E"/>
    <w:rsid w:val="00552006"/>
    <w:rsid w:val="005551A3"/>
    <w:rsid w:val="00557DE5"/>
    <w:rsid w:val="00560B22"/>
    <w:rsid w:val="005632B8"/>
    <w:rsid w:val="00563499"/>
    <w:rsid w:val="00564302"/>
    <w:rsid w:val="00575459"/>
    <w:rsid w:val="00576C4D"/>
    <w:rsid w:val="00576F5A"/>
    <w:rsid w:val="005778FB"/>
    <w:rsid w:val="00581858"/>
    <w:rsid w:val="00582F25"/>
    <w:rsid w:val="005840D6"/>
    <w:rsid w:val="00584161"/>
    <w:rsid w:val="00584942"/>
    <w:rsid w:val="00585D42"/>
    <w:rsid w:val="005902E7"/>
    <w:rsid w:val="0059135F"/>
    <w:rsid w:val="00596910"/>
    <w:rsid w:val="005A17D5"/>
    <w:rsid w:val="005A1FFE"/>
    <w:rsid w:val="005A2BB7"/>
    <w:rsid w:val="005A5756"/>
    <w:rsid w:val="005A5C47"/>
    <w:rsid w:val="005A6586"/>
    <w:rsid w:val="005A6813"/>
    <w:rsid w:val="005B1CBD"/>
    <w:rsid w:val="005B61B7"/>
    <w:rsid w:val="005B64E2"/>
    <w:rsid w:val="005C2597"/>
    <w:rsid w:val="005D11FE"/>
    <w:rsid w:val="005D5E30"/>
    <w:rsid w:val="005E0D0F"/>
    <w:rsid w:val="005E0D9C"/>
    <w:rsid w:val="005E4831"/>
    <w:rsid w:val="005F1530"/>
    <w:rsid w:val="005F59C6"/>
    <w:rsid w:val="005F75E2"/>
    <w:rsid w:val="0060109E"/>
    <w:rsid w:val="00607148"/>
    <w:rsid w:val="0060794D"/>
    <w:rsid w:val="00607A43"/>
    <w:rsid w:val="006110EB"/>
    <w:rsid w:val="00614613"/>
    <w:rsid w:val="00617846"/>
    <w:rsid w:val="00617EF4"/>
    <w:rsid w:val="00620116"/>
    <w:rsid w:val="0062419E"/>
    <w:rsid w:val="00624E2B"/>
    <w:rsid w:val="00625DA3"/>
    <w:rsid w:val="0062635B"/>
    <w:rsid w:val="006453FB"/>
    <w:rsid w:val="00645DCE"/>
    <w:rsid w:val="0064671A"/>
    <w:rsid w:val="00647CC8"/>
    <w:rsid w:val="00647F8B"/>
    <w:rsid w:val="006529A9"/>
    <w:rsid w:val="006542BD"/>
    <w:rsid w:val="00654DF9"/>
    <w:rsid w:val="00654E89"/>
    <w:rsid w:val="00657103"/>
    <w:rsid w:val="006647BB"/>
    <w:rsid w:val="00666F4A"/>
    <w:rsid w:val="00670EE5"/>
    <w:rsid w:val="00674C4C"/>
    <w:rsid w:val="00675309"/>
    <w:rsid w:val="00675661"/>
    <w:rsid w:val="00675BAC"/>
    <w:rsid w:val="0067618D"/>
    <w:rsid w:val="00680549"/>
    <w:rsid w:val="0068428D"/>
    <w:rsid w:val="0068456B"/>
    <w:rsid w:val="00684BE6"/>
    <w:rsid w:val="00685545"/>
    <w:rsid w:val="0068714D"/>
    <w:rsid w:val="006875DF"/>
    <w:rsid w:val="00692E11"/>
    <w:rsid w:val="006976DA"/>
    <w:rsid w:val="006A20DD"/>
    <w:rsid w:val="006A21F6"/>
    <w:rsid w:val="006A6731"/>
    <w:rsid w:val="006B0532"/>
    <w:rsid w:val="006B4365"/>
    <w:rsid w:val="006B53BE"/>
    <w:rsid w:val="006B5A3E"/>
    <w:rsid w:val="006B66CF"/>
    <w:rsid w:val="006C3116"/>
    <w:rsid w:val="006C64A3"/>
    <w:rsid w:val="006C6D60"/>
    <w:rsid w:val="006D0814"/>
    <w:rsid w:val="006D089C"/>
    <w:rsid w:val="006D1010"/>
    <w:rsid w:val="006D39EB"/>
    <w:rsid w:val="006D3DD3"/>
    <w:rsid w:val="006D4308"/>
    <w:rsid w:val="006E02A1"/>
    <w:rsid w:val="006E1BDA"/>
    <w:rsid w:val="006E7215"/>
    <w:rsid w:val="006E7DE1"/>
    <w:rsid w:val="006F2825"/>
    <w:rsid w:val="006F47D2"/>
    <w:rsid w:val="006F48E7"/>
    <w:rsid w:val="0070178A"/>
    <w:rsid w:val="00704B2C"/>
    <w:rsid w:val="007069C6"/>
    <w:rsid w:val="00710CD4"/>
    <w:rsid w:val="00715D93"/>
    <w:rsid w:val="00721879"/>
    <w:rsid w:val="0072321F"/>
    <w:rsid w:val="00723484"/>
    <w:rsid w:val="00731258"/>
    <w:rsid w:val="00734C1D"/>
    <w:rsid w:val="00741661"/>
    <w:rsid w:val="00742648"/>
    <w:rsid w:val="00743600"/>
    <w:rsid w:val="007439E1"/>
    <w:rsid w:val="0074467C"/>
    <w:rsid w:val="00745314"/>
    <w:rsid w:val="00745886"/>
    <w:rsid w:val="00747468"/>
    <w:rsid w:val="00747D34"/>
    <w:rsid w:val="00753C59"/>
    <w:rsid w:val="007635BD"/>
    <w:rsid w:val="0076664F"/>
    <w:rsid w:val="00766E14"/>
    <w:rsid w:val="00767F13"/>
    <w:rsid w:val="007764A8"/>
    <w:rsid w:val="00780372"/>
    <w:rsid w:val="00783D06"/>
    <w:rsid w:val="00783DFB"/>
    <w:rsid w:val="00784D85"/>
    <w:rsid w:val="007900BD"/>
    <w:rsid w:val="00791968"/>
    <w:rsid w:val="00793BF9"/>
    <w:rsid w:val="0079433A"/>
    <w:rsid w:val="00794F1D"/>
    <w:rsid w:val="0079693D"/>
    <w:rsid w:val="0079721C"/>
    <w:rsid w:val="0079761E"/>
    <w:rsid w:val="007A08DA"/>
    <w:rsid w:val="007A73F9"/>
    <w:rsid w:val="007B0DF2"/>
    <w:rsid w:val="007C4B5D"/>
    <w:rsid w:val="007C54E5"/>
    <w:rsid w:val="007D1689"/>
    <w:rsid w:val="007D4629"/>
    <w:rsid w:val="007D5302"/>
    <w:rsid w:val="007D5F98"/>
    <w:rsid w:val="007D690B"/>
    <w:rsid w:val="007E617D"/>
    <w:rsid w:val="007E6E6B"/>
    <w:rsid w:val="007E71BA"/>
    <w:rsid w:val="007E7E29"/>
    <w:rsid w:val="007E7FAC"/>
    <w:rsid w:val="007F0696"/>
    <w:rsid w:val="007F317E"/>
    <w:rsid w:val="007F4C30"/>
    <w:rsid w:val="008010C1"/>
    <w:rsid w:val="008029B5"/>
    <w:rsid w:val="0080309B"/>
    <w:rsid w:val="0080486F"/>
    <w:rsid w:val="00805E52"/>
    <w:rsid w:val="0081125B"/>
    <w:rsid w:val="00812D1C"/>
    <w:rsid w:val="00814D5A"/>
    <w:rsid w:val="0081785E"/>
    <w:rsid w:val="00823E53"/>
    <w:rsid w:val="008250DD"/>
    <w:rsid w:val="00827068"/>
    <w:rsid w:val="008302E3"/>
    <w:rsid w:val="008325ED"/>
    <w:rsid w:val="00833033"/>
    <w:rsid w:val="008363CB"/>
    <w:rsid w:val="00836438"/>
    <w:rsid w:val="00840091"/>
    <w:rsid w:val="008416B4"/>
    <w:rsid w:val="0084599B"/>
    <w:rsid w:val="008468F1"/>
    <w:rsid w:val="00847C99"/>
    <w:rsid w:val="008508B2"/>
    <w:rsid w:val="00855210"/>
    <w:rsid w:val="0085680F"/>
    <w:rsid w:val="00862B15"/>
    <w:rsid w:val="00863D59"/>
    <w:rsid w:val="00864404"/>
    <w:rsid w:val="0086704A"/>
    <w:rsid w:val="008700EC"/>
    <w:rsid w:val="008709D7"/>
    <w:rsid w:val="00874362"/>
    <w:rsid w:val="00874C49"/>
    <w:rsid w:val="00876C3C"/>
    <w:rsid w:val="00882B70"/>
    <w:rsid w:val="008862B3"/>
    <w:rsid w:val="008878D9"/>
    <w:rsid w:val="0089163B"/>
    <w:rsid w:val="0089198E"/>
    <w:rsid w:val="0089410D"/>
    <w:rsid w:val="00897486"/>
    <w:rsid w:val="008A14B1"/>
    <w:rsid w:val="008A3B4F"/>
    <w:rsid w:val="008A6A21"/>
    <w:rsid w:val="008A7E77"/>
    <w:rsid w:val="008B5232"/>
    <w:rsid w:val="008B5957"/>
    <w:rsid w:val="008B5F0D"/>
    <w:rsid w:val="008B73A1"/>
    <w:rsid w:val="008C01C5"/>
    <w:rsid w:val="008C07A5"/>
    <w:rsid w:val="008C10E9"/>
    <w:rsid w:val="008C1901"/>
    <w:rsid w:val="008C2125"/>
    <w:rsid w:val="008C52EB"/>
    <w:rsid w:val="008C7F55"/>
    <w:rsid w:val="008D2D32"/>
    <w:rsid w:val="008D54B8"/>
    <w:rsid w:val="008D6F6C"/>
    <w:rsid w:val="008E372B"/>
    <w:rsid w:val="008E468F"/>
    <w:rsid w:val="008E54B9"/>
    <w:rsid w:val="008E73C0"/>
    <w:rsid w:val="008F2D6A"/>
    <w:rsid w:val="009006C4"/>
    <w:rsid w:val="00900928"/>
    <w:rsid w:val="00901859"/>
    <w:rsid w:val="0090311E"/>
    <w:rsid w:val="0090658C"/>
    <w:rsid w:val="00906E42"/>
    <w:rsid w:val="0090754E"/>
    <w:rsid w:val="00910416"/>
    <w:rsid w:val="0091122F"/>
    <w:rsid w:val="00912151"/>
    <w:rsid w:val="00915576"/>
    <w:rsid w:val="0092218A"/>
    <w:rsid w:val="009226DF"/>
    <w:rsid w:val="00922818"/>
    <w:rsid w:val="00922DD2"/>
    <w:rsid w:val="00923D4B"/>
    <w:rsid w:val="00925BEC"/>
    <w:rsid w:val="009340F9"/>
    <w:rsid w:val="00934D9D"/>
    <w:rsid w:val="00940481"/>
    <w:rsid w:val="0094054D"/>
    <w:rsid w:val="009521E7"/>
    <w:rsid w:val="00955D77"/>
    <w:rsid w:val="0095653C"/>
    <w:rsid w:val="00961F6F"/>
    <w:rsid w:val="009629C5"/>
    <w:rsid w:val="00963542"/>
    <w:rsid w:val="009638A4"/>
    <w:rsid w:val="00964E90"/>
    <w:rsid w:val="00972E4D"/>
    <w:rsid w:val="009756BF"/>
    <w:rsid w:val="009758B0"/>
    <w:rsid w:val="00977770"/>
    <w:rsid w:val="0098194D"/>
    <w:rsid w:val="0098500F"/>
    <w:rsid w:val="009963D9"/>
    <w:rsid w:val="009A1F0D"/>
    <w:rsid w:val="009A28CE"/>
    <w:rsid w:val="009A5647"/>
    <w:rsid w:val="009B0F03"/>
    <w:rsid w:val="009B5325"/>
    <w:rsid w:val="009B6B15"/>
    <w:rsid w:val="009B7534"/>
    <w:rsid w:val="009C337F"/>
    <w:rsid w:val="009C3819"/>
    <w:rsid w:val="009C6314"/>
    <w:rsid w:val="009C6F7D"/>
    <w:rsid w:val="009D05DF"/>
    <w:rsid w:val="009D1CC4"/>
    <w:rsid w:val="009D2505"/>
    <w:rsid w:val="009D3BBB"/>
    <w:rsid w:val="009D5071"/>
    <w:rsid w:val="009E0D32"/>
    <w:rsid w:val="009E17F9"/>
    <w:rsid w:val="009E67EF"/>
    <w:rsid w:val="009F24FE"/>
    <w:rsid w:val="009F5499"/>
    <w:rsid w:val="009F6E50"/>
    <w:rsid w:val="00A017A6"/>
    <w:rsid w:val="00A0376C"/>
    <w:rsid w:val="00A047C6"/>
    <w:rsid w:val="00A06716"/>
    <w:rsid w:val="00A10CA5"/>
    <w:rsid w:val="00A13233"/>
    <w:rsid w:val="00A13555"/>
    <w:rsid w:val="00A14CF7"/>
    <w:rsid w:val="00A15E1E"/>
    <w:rsid w:val="00A15ED7"/>
    <w:rsid w:val="00A15F1F"/>
    <w:rsid w:val="00A16067"/>
    <w:rsid w:val="00A21BF4"/>
    <w:rsid w:val="00A2271A"/>
    <w:rsid w:val="00A22DC2"/>
    <w:rsid w:val="00A2410A"/>
    <w:rsid w:val="00A25D80"/>
    <w:rsid w:val="00A2613A"/>
    <w:rsid w:val="00A307D4"/>
    <w:rsid w:val="00A30A86"/>
    <w:rsid w:val="00A32E22"/>
    <w:rsid w:val="00A4089F"/>
    <w:rsid w:val="00A40974"/>
    <w:rsid w:val="00A40B3C"/>
    <w:rsid w:val="00A43AD5"/>
    <w:rsid w:val="00A4462D"/>
    <w:rsid w:val="00A44668"/>
    <w:rsid w:val="00A44A02"/>
    <w:rsid w:val="00A46067"/>
    <w:rsid w:val="00A47803"/>
    <w:rsid w:val="00A562F2"/>
    <w:rsid w:val="00A603CA"/>
    <w:rsid w:val="00A63455"/>
    <w:rsid w:val="00A645FE"/>
    <w:rsid w:val="00A66897"/>
    <w:rsid w:val="00A7543D"/>
    <w:rsid w:val="00A8067E"/>
    <w:rsid w:val="00A81A93"/>
    <w:rsid w:val="00A843CD"/>
    <w:rsid w:val="00A8481E"/>
    <w:rsid w:val="00A85B18"/>
    <w:rsid w:val="00A911D4"/>
    <w:rsid w:val="00A91FE5"/>
    <w:rsid w:val="00A92FE0"/>
    <w:rsid w:val="00A93871"/>
    <w:rsid w:val="00A95DDB"/>
    <w:rsid w:val="00A976D3"/>
    <w:rsid w:val="00AA2E69"/>
    <w:rsid w:val="00AA33A1"/>
    <w:rsid w:val="00AA52F8"/>
    <w:rsid w:val="00AB0502"/>
    <w:rsid w:val="00AB1246"/>
    <w:rsid w:val="00AB26FD"/>
    <w:rsid w:val="00AB2E80"/>
    <w:rsid w:val="00AC2D0D"/>
    <w:rsid w:val="00AC2D0E"/>
    <w:rsid w:val="00AC3F02"/>
    <w:rsid w:val="00AC4465"/>
    <w:rsid w:val="00AC5C18"/>
    <w:rsid w:val="00AC6873"/>
    <w:rsid w:val="00AD2A83"/>
    <w:rsid w:val="00AD6591"/>
    <w:rsid w:val="00AD676D"/>
    <w:rsid w:val="00AD7AF1"/>
    <w:rsid w:val="00AE0401"/>
    <w:rsid w:val="00AE05C6"/>
    <w:rsid w:val="00AE0BAA"/>
    <w:rsid w:val="00AE16C5"/>
    <w:rsid w:val="00AE28C6"/>
    <w:rsid w:val="00AE5A94"/>
    <w:rsid w:val="00AE5C99"/>
    <w:rsid w:val="00AE7B26"/>
    <w:rsid w:val="00AF1426"/>
    <w:rsid w:val="00AF33B0"/>
    <w:rsid w:val="00AF5594"/>
    <w:rsid w:val="00AF676B"/>
    <w:rsid w:val="00B04C91"/>
    <w:rsid w:val="00B052DE"/>
    <w:rsid w:val="00B079FC"/>
    <w:rsid w:val="00B07C70"/>
    <w:rsid w:val="00B106CF"/>
    <w:rsid w:val="00B1284D"/>
    <w:rsid w:val="00B138D8"/>
    <w:rsid w:val="00B15683"/>
    <w:rsid w:val="00B15AA6"/>
    <w:rsid w:val="00B179F7"/>
    <w:rsid w:val="00B17ADD"/>
    <w:rsid w:val="00B22E88"/>
    <w:rsid w:val="00B22ED3"/>
    <w:rsid w:val="00B31850"/>
    <w:rsid w:val="00B34765"/>
    <w:rsid w:val="00B36331"/>
    <w:rsid w:val="00B36736"/>
    <w:rsid w:val="00B37951"/>
    <w:rsid w:val="00B42D1A"/>
    <w:rsid w:val="00B47CE6"/>
    <w:rsid w:val="00B50A59"/>
    <w:rsid w:val="00B5137B"/>
    <w:rsid w:val="00B52598"/>
    <w:rsid w:val="00B566D5"/>
    <w:rsid w:val="00B5750E"/>
    <w:rsid w:val="00B60770"/>
    <w:rsid w:val="00B614B8"/>
    <w:rsid w:val="00B644EE"/>
    <w:rsid w:val="00B64CE9"/>
    <w:rsid w:val="00B65895"/>
    <w:rsid w:val="00B71159"/>
    <w:rsid w:val="00B71DC9"/>
    <w:rsid w:val="00B74D65"/>
    <w:rsid w:val="00B7700B"/>
    <w:rsid w:val="00B772DF"/>
    <w:rsid w:val="00B776F9"/>
    <w:rsid w:val="00B80DC1"/>
    <w:rsid w:val="00B81599"/>
    <w:rsid w:val="00B842F6"/>
    <w:rsid w:val="00B844AE"/>
    <w:rsid w:val="00B8737C"/>
    <w:rsid w:val="00B911AB"/>
    <w:rsid w:val="00B91C3F"/>
    <w:rsid w:val="00B924F0"/>
    <w:rsid w:val="00B94E8C"/>
    <w:rsid w:val="00B969AF"/>
    <w:rsid w:val="00B96F7F"/>
    <w:rsid w:val="00B9780E"/>
    <w:rsid w:val="00BA3A13"/>
    <w:rsid w:val="00BA7E17"/>
    <w:rsid w:val="00BB328A"/>
    <w:rsid w:val="00BB6812"/>
    <w:rsid w:val="00BC1C9B"/>
    <w:rsid w:val="00BC2CCF"/>
    <w:rsid w:val="00BD0A3C"/>
    <w:rsid w:val="00BD1DDE"/>
    <w:rsid w:val="00BE5BD8"/>
    <w:rsid w:val="00BE79C5"/>
    <w:rsid w:val="00BE7A7D"/>
    <w:rsid w:val="00BF1531"/>
    <w:rsid w:val="00BF195A"/>
    <w:rsid w:val="00BF4875"/>
    <w:rsid w:val="00BF5FFB"/>
    <w:rsid w:val="00BF7A3D"/>
    <w:rsid w:val="00C00924"/>
    <w:rsid w:val="00C020F7"/>
    <w:rsid w:val="00C0694D"/>
    <w:rsid w:val="00C101F0"/>
    <w:rsid w:val="00C1054C"/>
    <w:rsid w:val="00C12FD4"/>
    <w:rsid w:val="00C13EF2"/>
    <w:rsid w:val="00C20A3A"/>
    <w:rsid w:val="00C20B24"/>
    <w:rsid w:val="00C22AD1"/>
    <w:rsid w:val="00C24A0B"/>
    <w:rsid w:val="00C2579B"/>
    <w:rsid w:val="00C258CC"/>
    <w:rsid w:val="00C32BED"/>
    <w:rsid w:val="00C339C3"/>
    <w:rsid w:val="00C42C1D"/>
    <w:rsid w:val="00C43E98"/>
    <w:rsid w:val="00C44BF1"/>
    <w:rsid w:val="00C44FF1"/>
    <w:rsid w:val="00C4551F"/>
    <w:rsid w:val="00C4682D"/>
    <w:rsid w:val="00C4686D"/>
    <w:rsid w:val="00C477BD"/>
    <w:rsid w:val="00C51BCC"/>
    <w:rsid w:val="00C55513"/>
    <w:rsid w:val="00C577C4"/>
    <w:rsid w:val="00C61F7F"/>
    <w:rsid w:val="00C62830"/>
    <w:rsid w:val="00C628C7"/>
    <w:rsid w:val="00C6388F"/>
    <w:rsid w:val="00C66EDA"/>
    <w:rsid w:val="00C6764F"/>
    <w:rsid w:val="00C701E8"/>
    <w:rsid w:val="00C748B4"/>
    <w:rsid w:val="00C74D1B"/>
    <w:rsid w:val="00C76E78"/>
    <w:rsid w:val="00C76ED5"/>
    <w:rsid w:val="00C82812"/>
    <w:rsid w:val="00C8328E"/>
    <w:rsid w:val="00C83696"/>
    <w:rsid w:val="00C84C75"/>
    <w:rsid w:val="00C916B9"/>
    <w:rsid w:val="00C96AF9"/>
    <w:rsid w:val="00C96D5C"/>
    <w:rsid w:val="00C9776E"/>
    <w:rsid w:val="00C97FF9"/>
    <w:rsid w:val="00CA4E5A"/>
    <w:rsid w:val="00CA63DA"/>
    <w:rsid w:val="00CA773C"/>
    <w:rsid w:val="00CB606C"/>
    <w:rsid w:val="00CC4353"/>
    <w:rsid w:val="00CC4664"/>
    <w:rsid w:val="00CC66C1"/>
    <w:rsid w:val="00CC716F"/>
    <w:rsid w:val="00CD065B"/>
    <w:rsid w:val="00CD2E71"/>
    <w:rsid w:val="00CD3548"/>
    <w:rsid w:val="00CD64D7"/>
    <w:rsid w:val="00CD7A7D"/>
    <w:rsid w:val="00CE1C55"/>
    <w:rsid w:val="00CE359A"/>
    <w:rsid w:val="00CE632C"/>
    <w:rsid w:val="00CF0269"/>
    <w:rsid w:val="00CF2EB2"/>
    <w:rsid w:val="00CF2FBF"/>
    <w:rsid w:val="00D00981"/>
    <w:rsid w:val="00D04129"/>
    <w:rsid w:val="00D04364"/>
    <w:rsid w:val="00D05663"/>
    <w:rsid w:val="00D06043"/>
    <w:rsid w:val="00D14E40"/>
    <w:rsid w:val="00D17221"/>
    <w:rsid w:val="00D2044D"/>
    <w:rsid w:val="00D22D94"/>
    <w:rsid w:val="00D23C51"/>
    <w:rsid w:val="00D30095"/>
    <w:rsid w:val="00D30EA8"/>
    <w:rsid w:val="00D3663B"/>
    <w:rsid w:val="00D37FF5"/>
    <w:rsid w:val="00D4008D"/>
    <w:rsid w:val="00D43651"/>
    <w:rsid w:val="00D44E59"/>
    <w:rsid w:val="00D46080"/>
    <w:rsid w:val="00D51135"/>
    <w:rsid w:val="00D516CC"/>
    <w:rsid w:val="00D51ACD"/>
    <w:rsid w:val="00D52AAC"/>
    <w:rsid w:val="00D55BF0"/>
    <w:rsid w:val="00D5643F"/>
    <w:rsid w:val="00D56A71"/>
    <w:rsid w:val="00D63C7E"/>
    <w:rsid w:val="00D65452"/>
    <w:rsid w:val="00D65FEB"/>
    <w:rsid w:val="00D66B29"/>
    <w:rsid w:val="00D71586"/>
    <w:rsid w:val="00D71741"/>
    <w:rsid w:val="00D73B44"/>
    <w:rsid w:val="00D76431"/>
    <w:rsid w:val="00D772C8"/>
    <w:rsid w:val="00D80879"/>
    <w:rsid w:val="00D80AC9"/>
    <w:rsid w:val="00D83F66"/>
    <w:rsid w:val="00D84F91"/>
    <w:rsid w:val="00D85D25"/>
    <w:rsid w:val="00D900C5"/>
    <w:rsid w:val="00D92ACA"/>
    <w:rsid w:val="00D9465C"/>
    <w:rsid w:val="00D94876"/>
    <w:rsid w:val="00D97353"/>
    <w:rsid w:val="00DA00E7"/>
    <w:rsid w:val="00DA1108"/>
    <w:rsid w:val="00DA15D2"/>
    <w:rsid w:val="00DA4D9A"/>
    <w:rsid w:val="00DA71AE"/>
    <w:rsid w:val="00DB057A"/>
    <w:rsid w:val="00DB0E6E"/>
    <w:rsid w:val="00DB7111"/>
    <w:rsid w:val="00DC2161"/>
    <w:rsid w:val="00DD2BDA"/>
    <w:rsid w:val="00DD5B6D"/>
    <w:rsid w:val="00DE47B4"/>
    <w:rsid w:val="00DF4CB1"/>
    <w:rsid w:val="00E00046"/>
    <w:rsid w:val="00E02E82"/>
    <w:rsid w:val="00E05CD7"/>
    <w:rsid w:val="00E16697"/>
    <w:rsid w:val="00E202DE"/>
    <w:rsid w:val="00E212AC"/>
    <w:rsid w:val="00E226D2"/>
    <w:rsid w:val="00E302A3"/>
    <w:rsid w:val="00E30D8E"/>
    <w:rsid w:val="00E317D7"/>
    <w:rsid w:val="00E31D50"/>
    <w:rsid w:val="00E31DF8"/>
    <w:rsid w:val="00E344DF"/>
    <w:rsid w:val="00E37201"/>
    <w:rsid w:val="00E405CF"/>
    <w:rsid w:val="00E45DC1"/>
    <w:rsid w:val="00E47A44"/>
    <w:rsid w:val="00E539B2"/>
    <w:rsid w:val="00E5631E"/>
    <w:rsid w:val="00E57812"/>
    <w:rsid w:val="00E62033"/>
    <w:rsid w:val="00E62BB0"/>
    <w:rsid w:val="00E638A0"/>
    <w:rsid w:val="00E63ACD"/>
    <w:rsid w:val="00E63E58"/>
    <w:rsid w:val="00E83C62"/>
    <w:rsid w:val="00E83C80"/>
    <w:rsid w:val="00E841B0"/>
    <w:rsid w:val="00E86305"/>
    <w:rsid w:val="00E9012B"/>
    <w:rsid w:val="00E91E30"/>
    <w:rsid w:val="00EA3B4F"/>
    <w:rsid w:val="00EA502B"/>
    <w:rsid w:val="00EA6356"/>
    <w:rsid w:val="00EA6BD8"/>
    <w:rsid w:val="00EB536D"/>
    <w:rsid w:val="00EC4305"/>
    <w:rsid w:val="00ED064C"/>
    <w:rsid w:val="00ED1286"/>
    <w:rsid w:val="00ED1C50"/>
    <w:rsid w:val="00ED363F"/>
    <w:rsid w:val="00ED56C2"/>
    <w:rsid w:val="00ED6190"/>
    <w:rsid w:val="00ED6987"/>
    <w:rsid w:val="00EE003A"/>
    <w:rsid w:val="00EE01FD"/>
    <w:rsid w:val="00EE5623"/>
    <w:rsid w:val="00EE5CC6"/>
    <w:rsid w:val="00EF6644"/>
    <w:rsid w:val="00EF6AE3"/>
    <w:rsid w:val="00EF79CE"/>
    <w:rsid w:val="00EF7F80"/>
    <w:rsid w:val="00F017A6"/>
    <w:rsid w:val="00F0542C"/>
    <w:rsid w:val="00F07466"/>
    <w:rsid w:val="00F100F3"/>
    <w:rsid w:val="00F12458"/>
    <w:rsid w:val="00F155A4"/>
    <w:rsid w:val="00F2062A"/>
    <w:rsid w:val="00F20EB2"/>
    <w:rsid w:val="00F21037"/>
    <w:rsid w:val="00F27D45"/>
    <w:rsid w:val="00F31201"/>
    <w:rsid w:val="00F332E5"/>
    <w:rsid w:val="00F33CD1"/>
    <w:rsid w:val="00F36750"/>
    <w:rsid w:val="00F36E11"/>
    <w:rsid w:val="00F449F4"/>
    <w:rsid w:val="00F52F7A"/>
    <w:rsid w:val="00F54AE1"/>
    <w:rsid w:val="00F553E0"/>
    <w:rsid w:val="00F60C39"/>
    <w:rsid w:val="00F621C1"/>
    <w:rsid w:val="00F626E4"/>
    <w:rsid w:val="00F63E12"/>
    <w:rsid w:val="00F70B1D"/>
    <w:rsid w:val="00F73071"/>
    <w:rsid w:val="00F744F3"/>
    <w:rsid w:val="00F75C23"/>
    <w:rsid w:val="00F770A5"/>
    <w:rsid w:val="00F80A41"/>
    <w:rsid w:val="00F82804"/>
    <w:rsid w:val="00F90DFE"/>
    <w:rsid w:val="00F94EF5"/>
    <w:rsid w:val="00F96707"/>
    <w:rsid w:val="00F96D40"/>
    <w:rsid w:val="00F96D77"/>
    <w:rsid w:val="00F97E40"/>
    <w:rsid w:val="00FA0761"/>
    <w:rsid w:val="00FA11C9"/>
    <w:rsid w:val="00FA3658"/>
    <w:rsid w:val="00FB3D90"/>
    <w:rsid w:val="00FC4841"/>
    <w:rsid w:val="00FD5F4D"/>
    <w:rsid w:val="00FD60C6"/>
    <w:rsid w:val="00FD60E9"/>
    <w:rsid w:val="00FE2F2C"/>
    <w:rsid w:val="00FE3CA7"/>
    <w:rsid w:val="00FE507C"/>
    <w:rsid w:val="00FE65D0"/>
    <w:rsid w:val="00FE71FE"/>
    <w:rsid w:val="00FF7F6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F61EC"/>
  <w15:docId w15:val="{33F0CE82-9CDB-9F4A-806C-080A5824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02EA"/>
    <w:pPr>
      <w:spacing w:after="320"/>
    </w:pPr>
    <w:rPr>
      <w:color w:val="323232"/>
      <w:sz w:val="20"/>
      <w:lang w:val="en-US"/>
    </w:rPr>
  </w:style>
  <w:style w:type="paragraph" w:styleId="Kop1">
    <w:name w:val="heading 1"/>
    <w:basedOn w:val="Standaard"/>
    <w:next w:val="Standaard"/>
    <w:link w:val="Kop1Char"/>
    <w:qFormat/>
    <w:rsid w:val="00542E47"/>
    <w:pPr>
      <w:keepNext/>
      <w:keepLines/>
      <w:numPr>
        <w:numId w:val="11"/>
      </w:numPr>
      <w:ind w:left="340" w:hanging="340"/>
      <w:outlineLvl w:val="0"/>
    </w:pPr>
    <w:rPr>
      <w:rFonts w:eastAsiaTheme="majorEastAsia" w:cstheme="majorBidi"/>
      <w:b/>
      <w:bCs/>
      <w:color w:val="002E65" w:themeColor="text1"/>
      <w:sz w:val="32"/>
      <w:szCs w:val="32"/>
      <w:lang w:val="nl-BE"/>
    </w:rPr>
  </w:style>
  <w:style w:type="paragraph" w:styleId="Kop2">
    <w:name w:val="heading 2"/>
    <w:basedOn w:val="Standaard"/>
    <w:next w:val="Standaard"/>
    <w:link w:val="Kop2Char"/>
    <w:qFormat/>
    <w:rsid w:val="00542E47"/>
    <w:pPr>
      <w:keepNext/>
      <w:keepLines/>
      <w:numPr>
        <w:ilvl w:val="1"/>
        <w:numId w:val="11"/>
      </w:numPr>
      <w:ind w:left="510" w:hanging="510"/>
      <w:outlineLvl w:val="1"/>
    </w:pPr>
    <w:rPr>
      <w:rFonts w:eastAsiaTheme="majorEastAsia" w:cstheme="majorBidi"/>
      <w:color w:val="002E65" w:themeColor="text1"/>
      <w:sz w:val="28"/>
      <w:szCs w:val="28"/>
    </w:rPr>
  </w:style>
  <w:style w:type="paragraph" w:styleId="Kop3">
    <w:name w:val="heading 3"/>
    <w:basedOn w:val="Standaard"/>
    <w:next w:val="Standaard"/>
    <w:link w:val="Kop3Char"/>
    <w:qFormat/>
    <w:rsid w:val="00542E47"/>
    <w:pPr>
      <w:keepNext/>
      <w:keepLines/>
      <w:numPr>
        <w:ilvl w:val="2"/>
        <w:numId w:val="11"/>
      </w:numPr>
      <w:ind w:left="680" w:hanging="680"/>
      <w:outlineLvl w:val="2"/>
    </w:pPr>
    <w:rPr>
      <w:rFonts w:eastAsiaTheme="majorEastAsia" w:cstheme="minorHAnsi"/>
      <w:color w:val="002E65" w:themeColor="text1"/>
      <w:sz w:val="24"/>
      <w:szCs w:val="24"/>
    </w:rPr>
  </w:style>
  <w:style w:type="paragraph" w:styleId="Kop4">
    <w:name w:val="heading 4"/>
    <w:basedOn w:val="Standaard"/>
    <w:next w:val="Standaard"/>
    <w:link w:val="Kop4Char"/>
    <w:qFormat/>
    <w:rsid w:val="00542E47"/>
    <w:pPr>
      <w:keepNext/>
      <w:keepLines/>
      <w:numPr>
        <w:ilvl w:val="3"/>
        <w:numId w:val="11"/>
      </w:numPr>
      <w:ind w:left="851" w:hanging="851"/>
      <w:outlineLvl w:val="3"/>
    </w:pPr>
    <w:rPr>
      <w:rFonts w:eastAsiaTheme="majorEastAsia" w:cstheme="minorHAnsi"/>
      <w:color w:val="002E65" w:themeColor="text1"/>
      <w:sz w:val="22"/>
      <w:szCs w:val="24"/>
      <w:lang w:val="nl-BE"/>
    </w:rPr>
  </w:style>
  <w:style w:type="paragraph" w:styleId="Kop5">
    <w:name w:val="heading 5"/>
    <w:basedOn w:val="Standaard"/>
    <w:next w:val="Standaard"/>
    <w:link w:val="Kop5Char"/>
    <w:qFormat/>
    <w:rsid w:val="007E7E29"/>
    <w:pPr>
      <w:keepNext/>
      <w:keepLines/>
      <w:numPr>
        <w:ilvl w:val="4"/>
        <w:numId w:val="11"/>
      </w:numPr>
      <w:ind w:left="1021" w:hanging="1021"/>
      <w:outlineLvl w:val="4"/>
    </w:pPr>
    <w:rPr>
      <w:rFonts w:eastAsiaTheme="majorEastAsia" w:cstheme="minorHAnsi"/>
      <w:color w:val="002E65" w:themeColor="text1"/>
      <w:lang w:val="nl-BE"/>
    </w:rPr>
  </w:style>
  <w:style w:type="paragraph" w:styleId="Kop6">
    <w:name w:val="heading 6"/>
    <w:basedOn w:val="Kop5"/>
    <w:next w:val="Standaard"/>
    <w:link w:val="Kop6Char"/>
    <w:uiPriority w:val="9"/>
    <w:unhideWhenUsed/>
    <w:rsid w:val="00A14CF7"/>
    <w:pPr>
      <w:numPr>
        <w:ilvl w:val="5"/>
      </w:numPr>
      <w:outlineLvl w:val="5"/>
    </w:pPr>
  </w:style>
  <w:style w:type="paragraph" w:styleId="Kop7">
    <w:name w:val="heading 7"/>
    <w:basedOn w:val="Standaard"/>
    <w:next w:val="Standaard"/>
    <w:link w:val="Kop7Char"/>
    <w:uiPriority w:val="9"/>
    <w:semiHidden/>
    <w:unhideWhenUsed/>
    <w:rsid w:val="007E7E29"/>
    <w:pPr>
      <w:keepNext/>
      <w:keepLines/>
      <w:numPr>
        <w:ilvl w:val="6"/>
        <w:numId w:val="11"/>
      </w:numPr>
      <w:spacing w:before="40" w:after="0"/>
      <w:outlineLvl w:val="6"/>
    </w:pPr>
    <w:rPr>
      <w:rFonts w:asciiTheme="majorHAnsi" w:eastAsiaTheme="majorEastAsia" w:hAnsiTheme="majorHAnsi" w:cstheme="majorBidi"/>
      <w:i/>
      <w:iCs/>
      <w:color w:val="001632" w:themeColor="accent1" w:themeShade="7F"/>
    </w:rPr>
  </w:style>
  <w:style w:type="paragraph" w:styleId="Kop8">
    <w:name w:val="heading 8"/>
    <w:basedOn w:val="Standaard"/>
    <w:next w:val="Standaard"/>
    <w:link w:val="Kop8Char"/>
    <w:uiPriority w:val="9"/>
    <w:semiHidden/>
    <w:unhideWhenUsed/>
    <w:qFormat/>
    <w:rsid w:val="007E7E29"/>
    <w:pPr>
      <w:keepNext/>
      <w:keepLines/>
      <w:numPr>
        <w:ilvl w:val="7"/>
        <w:numId w:val="11"/>
      </w:numPr>
      <w:spacing w:before="40" w:after="0"/>
      <w:outlineLvl w:val="7"/>
    </w:pPr>
    <w:rPr>
      <w:rFonts w:asciiTheme="majorHAnsi" w:eastAsiaTheme="majorEastAsia" w:hAnsiTheme="majorHAnsi" w:cstheme="majorBidi"/>
      <w:color w:val="004AA3" w:themeColor="text1" w:themeTint="D8"/>
      <w:sz w:val="21"/>
      <w:szCs w:val="21"/>
    </w:rPr>
  </w:style>
  <w:style w:type="paragraph" w:styleId="Kop9">
    <w:name w:val="heading 9"/>
    <w:basedOn w:val="Standaard"/>
    <w:next w:val="Standaard"/>
    <w:link w:val="Kop9Char"/>
    <w:uiPriority w:val="9"/>
    <w:semiHidden/>
    <w:unhideWhenUsed/>
    <w:qFormat/>
    <w:rsid w:val="007E7E29"/>
    <w:pPr>
      <w:keepNext/>
      <w:keepLines/>
      <w:numPr>
        <w:ilvl w:val="8"/>
        <w:numId w:val="11"/>
      </w:numPr>
      <w:spacing w:before="40" w:after="0"/>
      <w:outlineLvl w:val="8"/>
    </w:pPr>
    <w:rPr>
      <w:rFonts w:asciiTheme="majorHAnsi" w:eastAsiaTheme="majorEastAsia" w:hAnsiTheme="majorHAnsi" w:cstheme="majorBidi"/>
      <w:i/>
      <w:iCs/>
      <w:color w:val="004AA3"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821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2105"/>
  </w:style>
  <w:style w:type="paragraph" w:styleId="Voettekst">
    <w:name w:val="footer"/>
    <w:basedOn w:val="Standaard"/>
    <w:link w:val="VoettekstChar"/>
    <w:uiPriority w:val="99"/>
    <w:unhideWhenUsed/>
    <w:qFormat/>
    <w:rsid w:val="00545A3E"/>
    <w:pPr>
      <w:tabs>
        <w:tab w:val="center" w:pos="4536"/>
        <w:tab w:val="right" w:pos="9072"/>
      </w:tabs>
      <w:spacing w:after="0" w:line="240" w:lineRule="auto"/>
    </w:pPr>
    <w:rPr>
      <w:color w:val="002E65" w:themeColor="text2"/>
      <w:sz w:val="16"/>
    </w:rPr>
  </w:style>
  <w:style w:type="character" w:customStyle="1" w:styleId="VoettekstChar">
    <w:name w:val="Voettekst Char"/>
    <w:basedOn w:val="Standaardalinea-lettertype"/>
    <w:link w:val="Voettekst"/>
    <w:uiPriority w:val="99"/>
    <w:rsid w:val="00545A3E"/>
    <w:rPr>
      <w:color w:val="002E65" w:themeColor="text2"/>
      <w:sz w:val="16"/>
      <w:lang w:val="en-US"/>
    </w:rPr>
  </w:style>
  <w:style w:type="paragraph" w:styleId="Lijstalinea">
    <w:name w:val="List Paragraph"/>
    <w:basedOn w:val="Standaard"/>
    <w:uiPriority w:val="34"/>
    <w:qFormat/>
    <w:rsid w:val="007764A8"/>
    <w:pPr>
      <w:numPr>
        <w:numId w:val="8"/>
      </w:numPr>
      <w:contextualSpacing/>
    </w:pPr>
  </w:style>
  <w:style w:type="character" w:customStyle="1" w:styleId="Kop1Char">
    <w:name w:val="Kop 1 Char"/>
    <w:basedOn w:val="Standaardalinea-lettertype"/>
    <w:link w:val="Kop1"/>
    <w:rsid w:val="00542E47"/>
    <w:rPr>
      <w:rFonts w:eastAsiaTheme="majorEastAsia" w:cstheme="majorBidi"/>
      <w:b/>
      <w:bCs/>
      <w:color w:val="002E65" w:themeColor="text1"/>
      <w:sz w:val="32"/>
      <w:szCs w:val="32"/>
    </w:rPr>
  </w:style>
  <w:style w:type="character" w:customStyle="1" w:styleId="Kop2Char">
    <w:name w:val="Kop 2 Char"/>
    <w:basedOn w:val="Standaardalinea-lettertype"/>
    <w:link w:val="Kop2"/>
    <w:rsid w:val="00542E47"/>
    <w:rPr>
      <w:rFonts w:eastAsiaTheme="majorEastAsia" w:cstheme="majorBidi"/>
      <w:color w:val="002E65" w:themeColor="text1"/>
      <w:sz w:val="28"/>
      <w:szCs w:val="28"/>
      <w:lang w:val="en-US"/>
    </w:rPr>
  </w:style>
  <w:style w:type="character" w:customStyle="1" w:styleId="Kop3Char">
    <w:name w:val="Kop 3 Char"/>
    <w:basedOn w:val="Standaardalinea-lettertype"/>
    <w:link w:val="Kop3"/>
    <w:rsid w:val="00542E47"/>
    <w:rPr>
      <w:rFonts w:eastAsiaTheme="majorEastAsia" w:cstheme="minorHAnsi"/>
      <w:color w:val="002E65" w:themeColor="text1"/>
      <w:sz w:val="24"/>
      <w:szCs w:val="24"/>
      <w:lang w:val="en-US"/>
    </w:rPr>
  </w:style>
  <w:style w:type="paragraph" w:styleId="Citaat">
    <w:name w:val="Quote"/>
    <w:aliases w:val="Quote / Highlight"/>
    <w:basedOn w:val="Duidelijkcitaat"/>
    <w:next w:val="Standaard"/>
    <w:link w:val="CitaatChar"/>
    <w:uiPriority w:val="1"/>
    <w:qFormat/>
    <w:rsid w:val="003C0785"/>
    <w:pPr>
      <w:pBdr>
        <w:left w:val="single" w:sz="18" w:space="14" w:color="002E65" w:themeColor="text1"/>
      </w:pBdr>
    </w:pPr>
    <w:rPr>
      <w:color w:val="D20824" w:themeColor="accent2"/>
      <w:lang w:val="nl-BE"/>
    </w:rPr>
  </w:style>
  <w:style w:type="character" w:customStyle="1" w:styleId="CitaatChar">
    <w:name w:val="Citaat Char"/>
    <w:aliases w:val="Quote / Highlight Char"/>
    <w:basedOn w:val="Standaardalinea-lettertype"/>
    <w:link w:val="Citaat"/>
    <w:uiPriority w:val="1"/>
    <w:rsid w:val="001B02EA"/>
    <w:rPr>
      <w:b/>
      <w:iCs/>
      <w:color w:val="D20824" w:themeColor="accent2"/>
      <w:sz w:val="24"/>
    </w:rPr>
  </w:style>
  <w:style w:type="paragraph" w:styleId="Duidelijkcitaat">
    <w:name w:val="Intense Quote"/>
    <w:aliases w:val="Quote / Highlight 2"/>
    <w:basedOn w:val="Standaard"/>
    <w:next w:val="Standaard"/>
    <w:link w:val="DuidelijkcitaatChar"/>
    <w:uiPriority w:val="1"/>
    <w:qFormat/>
    <w:rsid w:val="005B61B7"/>
    <w:pPr>
      <w:pBdr>
        <w:left w:val="single" w:sz="18" w:space="14" w:color="D20824" w:themeColor="accent2"/>
      </w:pBdr>
      <w:spacing w:after="0"/>
      <w:ind w:left="720"/>
    </w:pPr>
    <w:rPr>
      <w:b/>
      <w:iCs/>
      <w:color w:val="002E65" w:themeColor="text1"/>
      <w:sz w:val="24"/>
    </w:rPr>
  </w:style>
  <w:style w:type="character" w:customStyle="1" w:styleId="DuidelijkcitaatChar">
    <w:name w:val="Duidelijk citaat Char"/>
    <w:aliases w:val="Quote / Highlight 2 Char"/>
    <w:basedOn w:val="Standaardalinea-lettertype"/>
    <w:link w:val="Duidelijkcitaat"/>
    <w:uiPriority w:val="1"/>
    <w:rsid w:val="001B02EA"/>
    <w:rPr>
      <w:b/>
      <w:iCs/>
      <w:color w:val="002E65" w:themeColor="text1"/>
      <w:sz w:val="24"/>
      <w:lang w:val="en-US"/>
    </w:rPr>
  </w:style>
  <w:style w:type="character" w:styleId="Subtieleverwijzing">
    <w:name w:val="Subtle Reference"/>
    <w:basedOn w:val="Standaardalinea-lettertype"/>
    <w:uiPriority w:val="31"/>
    <w:qFormat/>
    <w:rsid w:val="003011BD"/>
    <w:rPr>
      <w:smallCaps/>
      <w:color w:val="002E65" w:themeColor="text1"/>
    </w:rPr>
  </w:style>
  <w:style w:type="paragraph" w:styleId="Geenafstand">
    <w:name w:val="No Spacing"/>
    <w:uiPriority w:val="1"/>
    <w:qFormat/>
    <w:rsid w:val="000D75B5"/>
    <w:pPr>
      <w:spacing w:after="0" w:line="240" w:lineRule="auto"/>
    </w:pPr>
    <w:rPr>
      <w:sz w:val="20"/>
    </w:rPr>
  </w:style>
  <w:style w:type="character" w:styleId="Intensieveverwijzing">
    <w:name w:val="Intense Reference"/>
    <w:basedOn w:val="Standaardalinea-lettertype"/>
    <w:uiPriority w:val="32"/>
    <w:qFormat/>
    <w:rsid w:val="003011BD"/>
    <w:rPr>
      <w:b/>
      <w:bCs/>
      <w:smallCaps/>
      <w:color w:val="D20824" w:themeColor="accent2"/>
      <w:spacing w:val="5"/>
    </w:rPr>
  </w:style>
  <w:style w:type="paragraph" w:styleId="Titel">
    <w:name w:val="Title"/>
    <w:basedOn w:val="Standaard"/>
    <w:next w:val="CoverSubtitle"/>
    <w:link w:val="TitelChar"/>
    <w:uiPriority w:val="10"/>
    <w:qFormat/>
    <w:rsid w:val="00C82812"/>
    <w:pPr>
      <w:spacing w:line="240" w:lineRule="auto"/>
      <w:contextualSpacing/>
    </w:pPr>
    <w:rPr>
      <w:rFonts w:eastAsiaTheme="majorEastAsia" w:cstheme="majorBidi"/>
      <w:b/>
      <w:bCs/>
      <w:color w:val="D20824" w:themeColor="accent2"/>
      <w:spacing w:val="-10"/>
      <w:kern w:val="28"/>
      <w:sz w:val="56"/>
      <w:szCs w:val="56"/>
    </w:rPr>
  </w:style>
  <w:style w:type="character" w:customStyle="1" w:styleId="TitelChar">
    <w:name w:val="Titel Char"/>
    <w:basedOn w:val="Standaardalinea-lettertype"/>
    <w:link w:val="Titel"/>
    <w:uiPriority w:val="10"/>
    <w:rsid w:val="00C82812"/>
    <w:rPr>
      <w:rFonts w:eastAsiaTheme="majorEastAsia" w:cstheme="majorBidi"/>
      <w:b/>
      <w:bCs/>
      <w:color w:val="D20824" w:themeColor="accent2"/>
      <w:spacing w:val="-10"/>
      <w:kern w:val="28"/>
      <w:sz w:val="56"/>
      <w:szCs w:val="56"/>
      <w:lang w:val="en-US"/>
    </w:rPr>
  </w:style>
  <w:style w:type="character" w:customStyle="1" w:styleId="Kop4Char">
    <w:name w:val="Kop 4 Char"/>
    <w:basedOn w:val="Standaardalinea-lettertype"/>
    <w:link w:val="Kop4"/>
    <w:rsid w:val="00542E47"/>
    <w:rPr>
      <w:rFonts w:eastAsiaTheme="majorEastAsia" w:cstheme="minorHAnsi"/>
      <w:color w:val="002E65" w:themeColor="text1"/>
      <w:szCs w:val="24"/>
    </w:rPr>
  </w:style>
  <w:style w:type="character" w:customStyle="1" w:styleId="Kop5Char">
    <w:name w:val="Kop 5 Char"/>
    <w:basedOn w:val="Standaardalinea-lettertype"/>
    <w:link w:val="Kop5"/>
    <w:rsid w:val="00CD64D7"/>
    <w:rPr>
      <w:rFonts w:eastAsiaTheme="majorEastAsia" w:cstheme="minorHAnsi"/>
      <w:color w:val="002E65" w:themeColor="text1"/>
      <w:sz w:val="20"/>
    </w:rPr>
  </w:style>
  <w:style w:type="character" w:customStyle="1" w:styleId="Kop6Char">
    <w:name w:val="Kop 6 Char"/>
    <w:basedOn w:val="Standaardalinea-lettertype"/>
    <w:link w:val="Kop6"/>
    <w:uiPriority w:val="9"/>
    <w:rsid w:val="00A14CF7"/>
    <w:rPr>
      <w:rFonts w:eastAsiaTheme="majorEastAsia" w:cstheme="minorHAnsi"/>
      <w:i/>
      <w:iCs/>
      <w:color w:val="002E65" w:themeColor="text1"/>
      <w:sz w:val="20"/>
      <w:lang w:val="en-US"/>
    </w:rPr>
  </w:style>
  <w:style w:type="paragraph" w:styleId="Ondertitel">
    <w:name w:val="Subtitle"/>
    <w:basedOn w:val="Kop4"/>
    <w:next w:val="Standaard"/>
    <w:link w:val="OndertitelChar"/>
    <w:uiPriority w:val="11"/>
    <w:rsid w:val="00A14CF7"/>
  </w:style>
  <w:style w:type="character" w:customStyle="1" w:styleId="OndertitelChar">
    <w:name w:val="Ondertitel Char"/>
    <w:basedOn w:val="Standaardalinea-lettertype"/>
    <w:link w:val="Ondertitel"/>
    <w:uiPriority w:val="11"/>
    <w:rsid w:val="00A14CF7"/>
    <w:rPr>
      <w:rFonts w:eastAsiaTheme="majorEastAsia" w:cstheme="minorHAnsi"/>
      <w:color w:val="002E65" w:themeColor="text1"/>
      <w:sz w:val="20"/>
    </w:rPr>
  </w:style>
  <w:style w:type="character" w:styleId="Subtielebenadrukking">
    <w:name w:val="Subtle Emphasis"/>
    <w:basedOn w:val="Standaardalinea-lettertype"/>
    <w:uiPriority w:val="19"/>
    <w:qFormat/>
    <w:rsid w:val="001B02EA"/>
    <w:rPr>
      <w:i/>
      <w:iCs/>
      <w:color w:val="002E65" w:themeColor="text1"/>
    </w:rPr>
  </w:style>
  <w:style w:type="character" w:styleId="Intensievebenadrukking">
    <w:name w:val="Intense Emphasis"/>
    <w:basedOn w:val="Standaardalinea-lettertype"/>
    <w:uiPriority w:val="21"/>
    <w:rsid w:val="00A14CF7"/>
    <w:rPr>
      <w:i/>
      <w:iCs/>
      <w:color w:val="002E65" w:themeColor="accent1"/>
    </w:rPr>
  </w:style>
  <w:style w:type="paragraph" w:customStyle="1" w:styleId="Introduction">
    <w:name w:val="Introduction"/>
    <w:basedOn w:val="Standaard"/>
    <w:uiPriority w:val="1"/>
    <w:qFormat/>
    <w:rsid w:val="00C82812"/>
    <w:pPr>
      <w:spacing w:after="560"/>
    </w:pPr>
    <w:rPr>
      <w:b/>
      <w:bCs/>
      <w:color w:val="002E65" w:themeColor="text1"/>
    </w:rPr>
  </w:style>
  <w:style w:type="paragraph" w:styleId="Kopvaninhoudsopgave">
    <w:name w:val="TOC Heading"/>
    <w:basedOn w:val="Kop1"/>
    <w:next w:val="Standaard"/>
    <w:uiPriority w:val="39"/>
    <w:unhideWhenUsed/>
    <w:qFormat/>
    <w:rsid w:val="00CD64D7"/>
    <w:pPr>
      <w:numPr>
        <w:numId w:val="0"/>
      </w:numPr>
      <w:spacing w:before="240" w:after="240"/>
      <w:outlineLvl w:val="9"/>
    </w:pPr>
    <w:rPr>
      <w:rFonts w:asciiTheme="majorHAnsi" w:hAnsiTheme="majorHAnsi"/>
      <w:bCs w:val="0"/>
      <w:color w:val="00224B" w:themeColor="accent1" w:themeShade="BF"/>
    </w:rPr>
  </w:style>
  <w:style w:type="paragraph" w:styleId="Inhopg1">
    <w:name w:val="toc 1"/>
    <w:basedOn w:val="Standaard"/>
    <w:next w:val="Standaard"/>
    <w:autoRedefine/>
    <w:uiPriority w:val="39"/>
    <w:unhideWhenUsed/>
    <w:rsid w:val="00805E52"/>
    <w:pPr>
      <w:spacing w:before="240" w:after="120"/>
    </w:pPr>
    <w:rPr>
      <w:rFonts w:cstheme="minorHAnsi"/>
      <w:b/>
      <w:bCs/>
      <w:szCs w:val="20"/>
    </w:rPr>
  </w:style>
  <w:style w:type="paragraph" w:styleId="Inhopg2">
    <w:name w:val="toc 2"/>
    <w:basedOn w:val="Standaard"/>
    <w:next w:val="Standaard"/>
    <w:autoRedefine/>
    <w:uiPriority w:val="39"/>
    <w:unhideWhenUsed/>
    <w:rsid w:val="00E83C80"/>
    <w:pPr>
      <w:spacing w:before="120" w:after="0"/>
      <w:ind w:left="200"/>
    </w:pPr>
    <w:rPr>
      <w:rFonts w:cstheme="minorHAnsi"/>
      <w:i/>
      <w:iCs/>
      <w:szCs w:val="20"/>
    </w:rPr>
  </w:style>
  <w:style w:type="paragraph" w:styleId="Inhopg3">
    <w:name w:val="toc 3"/>
    <w:basedOn w:val="Standaard"/>
    <w:next w:val="Standaard"/>
    <w:autoRedefine/>
    <w:uiPriority w:val="39"/>
    <w:unhideWhenUsed/>
    <w:rsid w:val="001E60B8"/>
    <w:pPr>
      <w:spacing w:after="0"/>
      <w:ind w:left="400"/>
    </w:pPr>
    <w:rPr>
      <w:rFonts w:cstheme="minorHAnsi"/>
      <w:szCs w:val="20"/>
    </w:rPr>
  </w:style>
  <w:style w:type="character" w:styleId="Hyperlink">
    <w:name w:val="Hyperlink"/>
    <w:basedOn w:val="Standaardalinea-lettertype"/>
    <w:uiPriority w:val="99"/>
    <w:unhideWhenUsed/>
    <w:rsid w:val="003C0785"/>
    <w:rPr>
      <w:color w:val="006CA9" w:themeColor="hyperlink"/>
      <w:u w:val="single"/>
    </w:rPr>
  </w:style>
  <w:style w:type="character" w:styleId="Nadruk">
    <w:name w:val="Emphasis"/>
    <w:basedOn w:val="Standaardalinea-lettertype"/>
    <w:uiPriority w:val="1"/>
    <w:qFormat/>
    <w:rsid w:val="003011BD"/>
    <w:rPr>
      <w:b/>
      <w:i w:val="0"/>
      <w:iCs/>
      <w:color w:val="002E65" w:themeColor="text1"/>
      <w:sz w:val="20"/>
    </w:rPr>
  </w:style>
  <w:style w:type="table" w:styleId="Tabelraster">
    <w:name w:val="Table Grid"/>
    <w:basedOn w:val="Standaardtabel"/>
    <w:uiPriority w:val="39"/>
    <w:rsid w:val="00D4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5">
    <w:name w:val="Grid Table 1 Light Accent 5"/>
    <w:basedOn w:val="Standaardtabel"/>
    <w:uiPriority w:val="46"/>
    <w:rsid w:val="00D46080"/>
    <w:pPr>
      <w:spacing w:after="0" w:line="240" w:lineRule="auto"/>
    </w:pPr>
    <w:tblPr>
      <w:tblStyleRowBandSize w:val="1"/>
      <w:tblStyleColBandSize w:val="1"/>
      <w:tblBorders>
        <w:top w:val="single" w:sz="4" w:space="0" w:color="EA9A9E" w:themeColor="accent5" w:themeTint="66"/>
        <w:left w:val="single" w:sz="4" w:space="0" w:color="EA9A9E" w:themeColor="accent5" w:themeTint="66"/>
        <w:bottom w:val="single" w:sz="4" w:space="0" w:color="EA9A9E" w:themeColor="accent5" w:themeTint="66"/>
        <w:right w:val="single" w:sz="4" w:space="0" w:color="EA9A9E" w:themeColor="accent5" w:themeTint="66"/>
        <w:insideH w:val="single" w:sz="4" w:space="0" w:color="EA9A9E" w:themeColor="accent5" w:themeTint="66"/>
        <w:insideV w:val="single" w:sz="4" w:space="0" w:color="EA9A9E" w:themeColor="accent5" w:themeTint="66"/>
      </w:tblBorders>
    </w:tblPr>
    <w:tblStylePr w:type="firstRow">
      <w:rPr>
        <w:b/>
        <w:bCs/>
      </w:rPr>
      <w:tblPr/>
      <w:tcPr>
        <w:tcBorders>
          <w:bottom w:val="single" w:sz="12" w:space="0" w:color="DF696E" w:themeColor="accent5" w:themeTint="99"/>
        </w:tcBorders>
      </w:tcPr>
    </w:tblStylePr>
    <w:tblStylePr w:type="lastRow">
      <w:rPr>
        <w:b/>
        <w:bCs/>
      </w:rPr>
      <w:tblPr/>
      <w:tcPr>
        <w:tcBorders>
          <w:top w:val="double" w:sz="2" w:space="0" w:color="DF696E" w:themeColor="accent5" w:themeTint="99"/>
        </w:tcBorders>
      </w:tcPr>
    </w:tblStylePr>
    <w:tblStylePr w:type="firstCol">
      <w:rPr>
        <w:b/>
        <w:bCs/>
      </w:rPr>
    </w:tblStylePr>
    <w:tblStylePr w:type="lastCol">
      <w:rPr>
        <w:b/>
        <w:bCs/>
      </w:rPr>
    </w:tblStylePr>
  </w:style>
  <w:style w:type="table" w:styleId="Lijsttabel6kleurrijk-Accent2">
    <w:name w:val="List Table 6 Colorful Accent 2"/>
    <w:basedOn w:val="Standaardtabel"/>
    <w:uiPriority w:val="51"/>
    <w:rsid w:val="00D46080"/>
    <w:pPr>
      <w:spacing w:after="0" w:line="240" w:lineRule="auto"/>
    </w:pPr>
    <w:rPr>
      <w:color w:val="9C061A" w:themeColor="accent2" w:themeShade="BF"/>
    </w:rPr>
    <w:tblPr>
      <w:tblStyleRowBandSize w:val="1"/>
      <w:tblStyleColBandSize w:val="1"/>
      <w:tblBorders>
        <w:top w:val="single" w:sz="4" w:space="0" w:color="D20824" w:themeColor="accent2"/>
        <w:bottom w:val="single" w:sz="4" w:space="0" w:color="D20824" w:themeColor="accent2"/>
      </w:tblBorders>
    </w:tblPr>
    <w:tblStylePr w:type="firstRow">
      <w:rPr>
        <w:b/>
        <w:bCs/>
      </w:rPr>
      <w:tblPr/>
      <w:tcPr>
        <w:tcBorders>
          <w:bottom w:val="single" w:sz="4" w:space="0" w:color="D20824" w:themeColor="accent2"/>
        </w:tcBorders>
      </w:tcPr>
    </w:tblStylePr>
    <w:tblStylePr w:type="lastRow">
      <w:rPr>
        <w:b/>
        <w:bCs/>
      </w:rPr>
      <w:tblPr/>
      <w:tcPr>
        <w:tcBorders>
          <w:top w:val="double" w:sz="4" w:space="0" w:color="D20824" w:themeColor="accent2"/>
        </w:tcBorders>
      </w:tcPr>
    </w:tblStylePr>
    <w:tblStylePr w:type="firstCol">
      <w:rPr>
        <w:b/>
        <w:bCs/>
      </w:rPr>
    </w:tblStylePr>
    <w:tblStylePr w:type="lastCol">
      <w:rPr>
        <w:b/>
        <w:bCs/>
      </w:rPr>
    </w:tblStylePr>
    <w:tblStylePr w:type="band1Vert">
      <w:tblPr/>
      <w:tcPr>
        <w:shd w:val="clear" w:color="auto" w:fill="FDC6CD" w:themeFill="accent2" w:themeFillTint="33"/>
      </w:tcPr>
    </w:tblStylePr>
    <w:tblStylePr w:type="band1Horz">
      <w:tblPr/>
      <w:tcPr>
        <w:shd w:val="clear" w:color="auto" w:fill="FDC6CD" w:themeFill="accent2" w:themeFillTint="33"/>
      </w:tcPr>
    </w:tblStylePr>
  </w:style>
  <w:style w:type="table" w:customStyle="1" w:styleId="UATable">
    <w:name w:val="UA Table"/>
    <w:basedOn w:val="Standaardtabel"/>
    <w:uiPriority w:val="99"/>
    <w:rsid w:val="000D75B5"/>
    <w:pPr>
      <w:spacing w:after="0" w:line="240" w:lineRule="auto"/>
    </w:pPr>
    <w:rPr>
      <w:color w:val="000000"/>
      <w:sz w:val="20"/>
    </w:rPr>
    <w:tblPr>
      <w:tblCellMar>
        <w:top w:w="170" w:type="dxa"/>
        <w:left w:w="0" w:type="dxa"/>
        <w:bottom w:w="170" w:type="dxa"/>
        <w:right w:w="0" w:type="dxa"/>
      </w:tblCellMar>
    </w:tblPr>
    <w:tcPr>
      <w:vAlign w:val="center"/>
    </w:tcPr>
    <w:tblStylePr w:type="firstRow">
      <w:rPr>
        <w:rFonts w:asciiTheme="minorHAnsi" w:hAnsiTheme="minorHAnsi"/>
        <w:b/>
        <w:color w:val="002E65" w:themeColor="text1"/>
        <w:sz w:val="20"/>
      </w:rPr>
      <w:tblPr/>
      <w:tcPr>
        <w:tcBorders>
          <w:bottom w:val="single" w:sz="18" w:space="0" w:color="D20824" w:themeColor="accent2"/>
        </w:tcBorders>
      </w:tcPr>
    </w:tblStylePr>
  </w:style>
  <w:style w:type="character" w:styleId="Tekstvantijdelijkeaanduiding">
    <w:name w:val="Placeholder Text"/>
    <w:basedOn w:val="Standaardalinea-lettertype"/>
    <w:uiPriority w:val="99"/>
    <w:semiHidden/>
    <w:rsid w:val="00170EE3"/>
    <w:rPr>
      <w:color w:val="808080"/>
    </w:rPr>
  </w:style>
  <w:style w:type="paragraph" w:styleId="Bijschrift">
    <w:name w:val="caption"/>
    <w:basedOn w:val="Standaard"/>
    <w:next w:val="Standaard"/>
    <w:uiPriority w:val="35"/>
    <w:unhideWhenUsed/>
    <w:qFormat/>
    <w:rsid w:val="009D5071"/>
    <w:pPr>
      <w:spacing w:after="200" w:line="240" w:lineRule="auto"/>
    </w:pPr>
    <w:rPr>
      <w:i/>
      <w:iCs/>
      <w:color w:val="002E65" w:themeColor="text2"/>
      <w:sz w:val="18"/>
      <w:szCs w:val="18"/>
    </w:rPr>
  </w:style>
  <w:style w:type="table" w:customStyle="1" w:styleId="UATable2">
    <w:name w:val="UA Table 2"/>
    <w:basedOn w:val="Standaardtabel"/>
    <w:uiPriority w:val="99"/>
    <w:rsid w:val="006542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113" w:type="dxa"/>
        <w:bottom w:w="113" w:type="dxa"/>
      </w:tblCellMar>
    </w:tblPr>
    <w:tblStylePr w:type="firstRow">
      <w:rPr>
        <w:rFonts w:asciiTheme="minorHAnsi" w:hAnsiTheme="minorHAnsi"/>
        <w:b/>
        <w:color w:val="002E65" w:themeColor="text1"/>
      </w:rPr>
    </w:tblStylePr>
  </w:style>
  <w:style w:type="character" w:customStyle="1" w:styleId="CompanyInformationChar">
    <w:name w:val="Company Information Char"/>
    <w:basedOn w:val="Standaardalinea-lettertype"/>
    <w:link w:val="Bedrijfsgegevens"/>
    <w:uiPriority w:val="2"/>
    <w:rsid w:val="00CD64D7"/>
    <w:rPr>
      <w:rFonts w:cs="Verdana"/>
      <w:color w:val="808080"/>
      <w:sz w:val="15"/>
      <w:szCs w:val="15"/>
      <w:lang w:val="nl-NL" w:eastAsia="nl-NL" w:bidi="nl-NL"/>
    </w:rPr>
  </w:style>
  <w:style w:type="paragraph" w:customStyle="1" w:styleId="Bedrijfsgegevens">
    <w:name w:val="Bedrijfsgegevens"/>
    <w:basedOn w:val="Standaard"/>
    <w:link w:val="CompanyInformationChar"/>
    <w:uiPriority w:val="2"/>
    <w:rsid w:val="00C61F7F"/>
    <w:pPr>
      <w:spacing w:after="0" w:line="240" w:lineRule="auto"/>
    </w:pPr>
    <w:rPr>
      <w:rFonts w:cs="Verdana"/>
      <w:color w:val="808080"/>
      <w:sz w:val="15"/>
      <w:szCs w:val="15"/>
      <w:lang w:val="nl-NL" w:eastAsia="nl-NL" w:bidi="nl-NL"/>
    </w:rPr>
  </w:style>
  <w:style w:type="paragraph" w:customStyle="1" w:styleId="CompanyInformationItalic">
    <w:name w:val="Company Information Italic"/>
    <w:basedOn w:val="Standaard"/>
    <w:link w:val="Tekensvoorbedrijfsgegevenscursief"/>
    <w:uiPriority w:val="2"/>
    <w:rsid w:val="00C61F7F"/>
    <w:pPr>
      <w:spacing w:after="0" w:line="312" w:lineRule="auto"/>
    </w:pPr>
    <w:rPr>
      <w:rFonts w:ascii="Verdana" w:eastAsia="Times New Roman" w:hAnsi="Verdana" w:cs="Verdana"/>
      <w:color w:val="auto"/>
      <w:sz w:val="17"/>
      <w:szCs w:val="17"/>
      <w:lang w:val="nl-NL" w:eastAsia="nl-NL"/>
    </w:rPr>
  </w:style>
  <w:style w:type="character" w:customStyle="1" w:styleId="Tekensvoorbedrijfsgegevenscursief">
    <w:name w:val="Tekens voor bedrijfsgegevens cursief"/>
    <w:basedOn w:val="Standaardalinea-lettertype"/>
    <w:link w:val="CompanyInformationItalic"/>
    <w:uiPriority w:val="2"/>
    <w:locked/>
    <w:rsid w:val="00CD64D7"/>
    <w:rPr>
      <w:rFonts w:ascii="Verdana" w:eastAsia="Times New Roman" w:hAnsi="Verdana" w:cs="Verdana"/>
      <w:sz w:val="17"/>
      <w:szCs w:val="17"/>
      <w:lang w:val="nl-NL" w:eastAsia="nl-NL"/>
    </w:rPr>
  </w:style>
  <w:style w:type="table" w:customStyle="1" w:styleId="TabelNormaal">
    <w:name w:val="Tabel Normaal"/>
    <w:semiHidden/>
    <w:rsid w:val="00C61F7F"/>
    <w:pPr>
      <w:spacing w:after="0" w:line="240" w:lineRule="auto"/>
    </w:pPr>
    <w:rPr>
      <w:rFonts w:ascii="Times New Roman" w:eastAsia="Times New Roman" w:hAnsi="Times New Roman" w:cs="Times New Roman"/>
      <w:sz w:val="20"/>
      <w:szCs w:val="20"/>
      <w:lang w:val="en-US"/>
    </w:rPr>
    <w:tblPr>
      <w:tblCellMar>
        <w:top w:w="0" w:type="dxa"/>
        <w:left w:w="108" w:type="dxa"/>
        <w:bottom w:w="0" w:type="dxa"/>
        <w:right w:w="108" w:type="dxa"/>
      </w:tblCellMar>
    </w:tblPr>
  </w:style>
  <w:style w:type="paragraph" w:customStyle="1" w:styleId="HeaderCover">
    <w:name w:val="Header Cover"/>
    <w:basedOn w:val="Geenafstand"/>
    <w:uiPriority w:val="2"/>
    <w:qFormat/>
    <w:rsid w:val="003356AD"/>
    <w:rPr>
      <w:sz w:val="16"/>
    </w:rPr>
  </w:style>
  <w:style w:type="paragraph" w:customStyle="1" w:styleId="CoverSubtitle">
    <w:name w:val="Cover Subtitle"/>
    <w:basedOn w:val="Kop1"/>
    <w:uiPriority w:val="2"/>
    <w:qFormat/>
    <w:rsid w:val="0062635B"/>
  </w:style>
  <w:style w:type="paragraph" w:customStyle="1" w:styleId="Body">
    <w:name w:val="Body"/>
    <w:basedOn w:val="Standaard"/>
    <w:qFormat/>
    <w:rsid w:val="002F64D3"/>
    <w:pPr>
      <w:spacing w:before="120" w:after="440" w:line="360" w:lineRule="auto"/>
      <w:jc w:val="both"/>
    </w:pPr>
    <w:rPr>
      <w:sz w:val="24"/>
      <w:lang w:val="nl-BE"/>
    </w:rPr>
  </w:style>
  <w:style w:type="paragraph" w:styleId="Inhopg4">
    <w:name w:val="toc 4"/>
    <w:basedOn w:val="Standaard"/>
    <w:next w:val="Standaard"/>
    <w:autoRedefine/>
    <w:uiPriority w:val="39"/>
    <w:unhideWhenUsed/>
    <w:rsid w:val="001E60B8"/>
    <w:pPr>
      <w:spacing w:after="0"/>
      <w:ind w:left="600"/>
    </w:pPr>
    <w:rPr>
      <w:rFonts w:cstheme="minorHAnsi"/>
      <w:szCs w:val="20"/>
    </w:rPr>
  </w:style>
  <w:style w:type="paragraph" w:styleId="Inhopg5">
    <w:name w:val="toc 5"/>
    <w:basedOn w:val="Standaard"/>
    <w:next w:val="Standaard"/>
    <w:autoRedefine/>
    <w:uiPriority w:val="39"/>
    <w:unhideWhenUsed/>
    <w:rsid w:val="00E83C80"/>
    <w:pPr>
      <w:spacing w:after="0"/>
      <w:ind w:left="800"/>
    </w:pPr>
    <w:rPr>
      <w:rFonts w:cstheme="minorHAnsi"/>
      <w:szCs w:val="20"/>
    </w:rPr>
  </w:style>
  <w:style w:type="paragraph" w:customStyle="1" w:styleId="TitelmetkaderFaculteitskleur">
    <w:name w:val="Titel met kader Faculteitskleur"/>
    <w:basedOn w:val="Body"/>
    <w:uiPriority w:val="2"/>
    <w:qFormat/>
    <w:rsid w:val="00463468"/>
    <w:pPr>
      <w:spacing w:after="0" w:line="240" w:lineRule="auto"/>
    </w:pPr>
    <w:rPr>
      <w:bCs/>
      <w:color w:val="FFFFFF" w:themeColor="background1"/>
      <w:sz w:val="56"/>
      <w:szCs w:val="56"/>
      <w:bdr w:val="single" w:sz="36" w:space="0" w:color="D20824" w:themeColor="accent2"/>
      <w:shd w:val="clear" w:color="auto" w:fill="D20824" w:themeFill="accent2"/>
      <w:lang w:val="en-US"/>
    </w:rPr>
  </w:style>
  <w:style w:type="paragraph" w:customStyle="1" w:styleId="TitelmetfaculteitskleurBold">
    <w:name w:val="Titel met faculteitskleur Bold"/>
    <w:basedOn w:val="TitelmetkaderFaculteitskleur"/>
    <w:next w:val="Body"/>
    <w:uiPriority w:val="2"/>
    <w:qFormat/>
    <w:rsid w:val="00D55BF0"/>
    <w:pPr>
      <w:suppressAutoHyphens/>
    </w:pPr>
    <w:rPr>
      <w:rFonts w:ascii="Calibri" w:hAnsi="Calibri" w:cstheme="minorHAnsi"/>
      <w:b/>
    </w:rPr>
  </w:style>
  <w:style w:type="paragraph" w:customStyle="1" w:styleId="Naamstudent">
    <w:name w:val="Naam student"/>
    <w:basedOn w:val="CoverSubtitle"/>
    <w:uiPriority w:val="2"/>
    <w:qFormat/>
    <w:rsid w:val="001E60B8"/>
    <w:pPr>
      <w:numPr>
        <w:numId w:val="0"/>
      </w:numPr>
      <w:spacing w:line="240" w:lineRule="auto"/>
      <w:ind w:left="851" w:hanging="851"/>
      <w:outlineLvl w:val="9"/>
    </w:pPr>
    <w:rPr>
      <w:rFonts w:eastAsia="Calibri"/>
      <w:bCs w:val="0"/>
      <w:color w:val="auto"/>
      <w:sz w:val="36"/>
      <w:szCs w:val="48"/>
    </w:rPr>
  </w:style>
  <w:style w:type="character" w:styleId="Zwaar">
    <w:name w:val="Strong"/>
    <w:basedOn w:val="Standaardalinea-lettertype"/>
    <w:uiPriority w:val="22"/>
    <w:qFormat/>
    <w:rsid w:val="00A47803"/>
    <w:rPr>
      <w:b/>
      <w:bCs/>
    </w:rPr>
  </w:style>
  <w:style w:type="paragraph" w:customStyle="1" w:styleId="Academiejaar">
    <w:name w:val="Academiejaar"/>
    <w:basedOn w:val="Standaard"/>
    <w:next w:val="Standaard"/>
    <w:uiPriority w:val="2"/>
    <w:qFormat/>
    <w:rsid w:val="00A47803"/>
    <w:pPr>
      <w:suppressAutoHyphens/>
      <w:spacing w:after="0"/>
      <w:jc w:val="right"/>
    </w:pPr>
    <w:rPr>
      <w:color w:val="auto"/>
      <w:sz w:val="24"/>
      <w:szCs w:val="24"/>
      <w:lang w:val="nl-BE"/>
    </w:rPr>
  </w:style>
  <w:style w:type="paragraph" w:customStyle="1" w:styleId="Jaartallen">
    <w:name w:val="Jaartallen"/>
    <w:basedOn w:val="Academiejaar"/>
    <w:next w:val="Standaard"/>
    <w:uiPriority w:val="1"/>
    <w:qFormat/>
    <w:rsid w:val="00A47803"/>
    <w:pPr>
      <w:spacing w:line="240" w:lineRule="auto"/>
    </w:pPr>
    <w:rPr>
      <w:sz w:val="28"/>
      <w:szCs w:val="28"/>
      <w:lang w:val="en-GB"/>
    </w:rPr>
  </w:style>
  <w:style w:type="paragraph" w:customStyle="1" w:styleId="NaamDepartement">
    <w:name w:val="Naam Departement"/>
    <w:basedOn w:val="Standaard"/>
    <w:next w:val="Body"/>
    <w:uiPriority w:val="2"/>
    <w:qFormat/>
    <w:rsid w:val="00F82804"/>
    <w:pPr>
      <w:suppressAutoHyphens/>
      <w:spacing w:line="240" w:lineRule="auto"/>
    </w:pPr>
    <w:rPr>
      <w:rFonts w:ascii="Calibri" w:hAnsi="Calibri"/>
      <w:b/>
      <w:color w:val="auto"/>
      <w:sz w:val="28"/>
      <w:szCs w:val="28"/>
    </w:rPr>
  </w:style>
  <w:style w:type="paragraph" w:customStyle="1" w:styleId="Tekstcover">
    <w:name w:val="Tekst cover"/>
    <w:basedOn w:val="Standaard"/>
    <w:uiPriority w:val="2"/>
    <w:qFormat/>
    <w:rsid w:val="00B81599"/>
    <w:pPr>
      <w:keepLines/>
      <w:suppressAutoHyphens/>
      <w:spacing w:after="0"/>
    </w:pPr>
    <w:rPr>
      <w:sz w:val="24"/>
      <w:lang w:val="nl-BE"/>
    </w:rPr>
  </w:style>
  <w:style w:type="paragraph" w:customStyle="1" w:styleId="Naampromotorenenco">
    <w:name w:val="Naam promotoren en co"/>
    <w:basedOn w:val="Standaard"/>
    <w:uiPriority w:val="2"/>
    <w:qFormat/>
    <w:rsid w:val="00F82804"/>
    <w:pPr>
      <w:suppressAutoHyphens/>
      <w:spacing w:after="0" w:line="240" w:lineRule="auto"/>
    </w:pPr>
    <w:rPr>
      <w:b/>
      <w:bCs/>
      <w:color w:val="auto"/>
      <w:sz w:val="24"/>
      <w:szCs w:val="24"/>
      <w:lang w:val="nl-BE"/>
    </w:rPr>
  </w:style>
  <w:style w:type="paragraph" w:styleId="Eindnoottekst">
    <w:name w:val="endnote text"/>
    <w:basedOn w:val="Standaard"/>
    <w:link w:val="EindnoottekstChar"/>
    <w:uiPriority w:val="99"/>
    <w:semiHidden/>
    <w:unhideWhenUsed/>
    <w:rsid w:val="00D92ACA"/>
    <w:pPr>
      <w:spacing w:after="0" w:line="240" w:lineRule="auto"/>
    </w:pPr>
    <w:rPr>
      <w:szCs w:val="20"/>
    </w:rPr>
  </w:style>
  <w:style w:type="character" w:customStyle="1" w:styleId="EindnoottekstChar">
    <w:name w:val="Eindnoottekst Char"/>
    <w:basedOn w:val="Standaardalinea-lettertype"/>
    <w:link w:val="Eindnoottekst"/>
    <w:uiPriority w:val="99"/>
    <w:semiHidden/>
    <w:rsid w:val="00D92ACA"/>
    <w:rPr>
      <w:color w:val="323232"/>
      <w:sz w:val="20"/>
      <w:szCs w:val="20"/>
      <w:lang w:val="en-US"/>
    </w:rPr>
  </w:style>
  <w:style w:type="character" w:styleId="Eindnootmarkering">
    <w:name w:val="endnote reference"/>
    <w:basedOn w:val="Standaardalinea-lettertype"/>
    <w:uiPriority w:val="99"/>
    <w:semiHidden/>
    <w:unhideWhenUsed/>
    <w:rsid w:val="00D92ACA"/>
    <w:rPr>
      <w:vertAlign w:val="superscript"/>
    </w:rPr>
  </w:style>
  <w:style w:type="paragraph" w:styleId="Voetnoottekst">
    <w:name w:val="footnote text"/>
    <w:basedOn w:val="Standaard"/>
    <w:link w:val="VoetnoottekstChar"/>
    <w:uiPriority w:val="99"/>
    <w:unhideWhenUsed/>
    <w:rsid w:val="00D92ACA"/>
    <w:pPr>
      <w:spacing w:after="0" w:line="240" w:lineRule="auto"/>
    </w:pPr>
    <w:rPr>
      <w:szCs w:val="20"/>
    </w:rPr>
  </w:style>
  <w:style w:type="character" w:customStyle="1" w:styleId="VoetnoottekstChar">
    <w:name w:val="Voetnoottekst Char"/>
    <w:basedOn w:val="Standaardalinea-lettertype"/>
    <w:link w:val="Voetnoottekst"/>
    <w:uiPriority w:val="99"/>
    <w:rsid w:val="00D92ACA"/>
    <w:rPr>
      <w:color w:val="323232"/>
      <w:sz w:val="20"/>
      <w:szCs w:val="20"/>
      <w:lang w:val="en-US"/>
    </w:rPr>
  </w:style>
  <w:style w:type="character" w:styleId="Voetnootmarkering">
    <w:name w:val="footnote reference"/>
    <w:basedOn w:val="Standaardalinea-lettertype"/>
    <w:uiPriority w:val="99"/>
    <w:semiHidden/>
    <w:unhideWhenUsed/>
    <w:rsid w:val="00D92ACA"/>
    <w:rPr>
      <w:vertAlign w:val="superscript"/>
    </w:rPr>
  </w:style>
  <w:style w:type="character" w:customStyle="1" w:styleId="Kop7Char">
    <w:name w:val="Kop 7 Char"/>
    <w:basedOn w:val="Standaardalinea-lettertype"/>
    <w:link w:val="Kop7"/>
    <w:uiPriority w:val="9"/>
    <w:semiHidden/>
    <w:rsid w:val="007E7E29"/>
    <w:rPr>
      <w:rFonts w:asciiTheme="majorHAnsi" w:eastAsiaTheme="majorEastAsia" w:hAnsiTheme="majorHAnsi" w:cstheme="majorBidi"/>
      <w:i/>
      <w:iCs/>
      <w:color w:val="001632" w:themeColor="accent1" w:themeShade="7F"/>
      <w:sz w:val="20"/>
      <w:lang w:val="en-US"/>
    </w:rPr>
  </w:style>
  <w:style w:type="character" w:customStyle="1" w:styleId="Kop8Char">
    <w:name w:val="Kop 8 Char"/>
    <w:basedOn w:val="Standaardalinea-lettertype"/>
    <w:link w:val="Kop8"/>
    <w:uiPriority w:val="9"/>
    <w:semiHidden/>
    <w:rsid w:val="007E7E29"/>
    <w:rPr>
      <w:rFonts w:asciiTheme="majorHAnsi" w:eastAsiaTheme="majorEastAsia" w:hAnsiTheme="majorHAnsi" w:cstheme="majorBidi"/>
      <w:color w:val="004AA3" w:themeColor="text1" w:themeTint="D8"/>
      <w:sz w:val="21"/>
      <w:szCs w:val="21"/>
      <w:lang w:val="en-US"/>
    </w:rPr>
  </w:style>
  <w:style w:type="character" w:customStyle="1" w:styleId="Kop9Char">
    <w:name w:val="Kop 9 Char"/>
    <w:basedOn w:val="Standaardalinea-lettertype"/>
    <w:link w:val="Kop9"/>
    <w:uiPriority w:val="9"/>
    <w:semiHidden/>
    <w:rsid w:val="007E7E29"/>
    <w:rPr>
      <w:rFonts w:asciiTheme="majorHAnsi" w:eastAsiaTheme="majorEastAsia" w:hAnsiTheme="majorHAnsi" w:cstheme="majorBidi"/>
      <w:i/>
      <w:iCs/>
      <w:color w:val="004AA3" w:themeColor="text1" w:themeTint="D8"/>
      <w:sz w:val="21"/>
      <w:szCs w:val="21"/>
      <w:lang w:val="en-US"/>
    </w:rPr>
  </w:style>
  <w:style w:type="character" w:customStyle="1" w:styleId="Cursief">
    <w:name w:val="Cursief"/>
    <w:basedOn w:val="Standaardalinea-lettertype"/>
    <w:uiPriority w:val="1"/>
    <w:qFormat/>
    <w:rsid w:val="00376CF4"/>
    <w:rPr>
      <w:i/>
      <w:lang w:val="en-US"/>
    </w:rPr>
  </w:style>
  <w:style w:type="paragraph" w:styleId="Inhopg6">
    <w:name w:val="toc 6"/>
    <w:basedOn w:val="Standaard"/>
    <w:next w:val="Standaard"/>
    <w:autoRedefine/>
    <w:uiPriority w:val="39"/>
    <w:semiHidden/>
    <w:unhideWhenUsed/>
    <w:rsid w:val="00D4008D"/>
    <w:pPr>
      <w:spacing w:after="0"/>
      <w:ind w:left="1000"/>
    </w:pPr>
    <w:rPr>
      <w:rFonts w:cstheme="minorHAnsi"/>
      <w:szCs w:val="20"/>
    </w:rPr>
  </w:style>
  <w:style w:type="paragraph" w:styleId="Inhopg7">
    <w:name w:val="toc 7"/>
    <w:basedOn w:val="Standaard"/>
    <w:next w:val="Standaard"/>
    <w:autoRedefine/>
    <w:uiPriority w:val="39"/>
    <w:semiHidden/>
    <w:unhideWhenUsed/>
    <w:rsid w:val="00D4008D"/>
    <w:pPr>
      <w:spacing w:after="0"/>
      <w:ind w:left="1200"/>
    </w:pPr>
    <w:rPr>
      <w:rFonts w:cstheme="minorHAnsi"/>
      <w:szCs w:val="20"/>
    </w:rPr>
  </w:style>
  <w:style w:type="paragraph" w:styleId="Inhopg8">
    <w:name w:val="toc 8"/>
    <w:basedOn w:val="Standaard"/>
    <w:next w:val="Standaard"/>
    <w:autoRedefine/>
    <w:uiPriority w:val="39"/>
    <w:semiHidden/>
    <w:unhideWhenUsed/>
    <w:rsid w:val="00D4008D"/>
    <w:pPr>
      <w:spacing w:after="0"/>
      <w:ind w:left="1400"/>
    </w:pPr>
    <w:rPr>
      <w:rFonts w:cstheme="minorHAnsi"/>
      <w:szCs w:val="20"/>
    </w:rPr>
  </w:style>
  <w:style w:type="paragraph" w:styleId="Inhopg9">
    <w:name w:val="toc 9"/>
    <w:basedOn w:val="Standaard"/>
    <w:next w:val="Standaard"/>
    <w:autoRedefine/>
    <w:uiPriority w:val="39"/>
    <w:semiHidden/>
    <w:unhideWhenUsed/>
    <w:rsid w:val="00D4008D"/>
    <w:pPr>
      <w:spacing w:after="0"/>
      <w:ind w:left="1600"/>
    </w:pPr>
    <w:rPr>
      <w:rFonts w:cstheme="minorHAnsi"/>
      <w:szCs w:val="20"/>
    </w:rPr>
  </w:style>
  <w:style w:type="paragraph" w:styleId="Normaalweb">
    <w:name w:val="Normal (Web)"/>
    <w:basedOn w:val="Standaard"/>
    <w:uiPriority w:val="99"/>
    <w:semiHidden/>
    <w:unhideWhenUsed/>
    <w:rsid w:val="00B7700B"/>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C66EDA"/>
    <w:rPr>
      <w:color w:val="605E5C"/>
      <w:shd w:val="clear" w:color="auto" w:fill="E1DFDD"/>
    </w:rPr>
  </w:style>
  <w:style w:type="table" w:styleId="Rastertabel4-Accent2">
    <w:name w:val="Grid Table 4 Accent 2"/>
    <w:basedOn w:val="Standaardtabel"/>
    <w:uiPriority w:val="49"/>
    <w:rsid w:val="004772A7"/>
    <w:pPr>
      <w:spacing w:after="0" w:line="240" w:lineRule="auto"/>
    </w:pPr>
    <w:tblPr>
      <w:tblStyleRowBandSize w:val="1"/>
      <w:tblStyleColBandSize w:val="1"/>
      <w:tblBorders>
        <w:top w:val="single" w:sz="4" w:space="0" w:color="F8566C" w:themeColor="accent2" w:themeTint="99"/>
        <w:left w:val="single" w:sz="4" w:space="0" w:color="F8566C" w:themeColor="accent2" w:themeTint="99"/>
        <w:bottom w:val="single" w:sz="4" w:space="0" w:color="F8566C" w:themeColor="accent2" w:themeTint="99"/>
        <w:right w:val="single" w:sz="4" w:space="0" w:color="F8566C" w:themeColor="accent2" w:themeTint="99"/>
        <w:insideH w:val="single" w:sz="4" w:space="0" w:color="F8566C" w:themeColor="accent2" w:themeTint="99"/>
        <w:insideV w:val="single" w:sz="4" w:space="0" w:color="F8566C" w:themeColor="accent2" w:themeTint="99"/>
      </w:tblBorders>
    </w:tblPr>
    <w:tblStylePr w:type="firstRow">
      <w:rPr>
        <w:b/>
        <w:bCs/>
        <w:color w:val="FFFFFF" w:themeColor="background1"/>
      </w:rPr>
      <w:tblPr/>
      <w:tcPr>
        <w:tcBorders>
          <w:top w:val="single" w:sz="4" w:space="0" w:color="D20824" w:themeColor="accent2"/>
          <w:left w:val="single" w:sz="4" w:space="0" w:color="D20824" w:themeColor="accent2"/>
          <w:bottom w:val="single" w:sz="4" w:space="0" w:color="D20824" w:themeColor="accent2"/>
          <w:right w:val="single" w:sz="4" w:space="0" w:color="D20824" w:themeColor="accent2"/>
          <w:insideH w:val="nil"/>
          <w:insideV w:val="nil"/>
        </w:tcBorders>
        <w:shd w:val="clear" w:color="auto" w:fill="D20824" w:themeFill="accent2"/>
      </w:tcPr>
    </w:tblStylePr>
    <w:tblStylePr w:type="lastRow">
      <w:rPr>
        <w:b/>
        <w:bCs/>
      </w:rPr>
      <w:tblPr/>
      <w:tcPr>
        <w:tcBorders>
          <w:top w:val="double" w:sz="4" w:space="0" w:color="D20824" w:themeColor="accent2"/>
        </w:tcBorders>
      </w:tcPr>
    </w:tblStylePr>
    <w:tblStylePr w:type="firstCol">
      <w:rPr>
        <w:b/>
        <w:bCs/>
      </w:rPr>
    </w:tblStylePr>
    <w:tblStylePr w:type="lastCol">
      <w:rPr>
        <w:b/>
        <w:bCs/>
      </w:rPr>
    </w:tblStylePr>
    <w:tblStylePr w:type="band1Vert">
      <w:tblPr/>
      <w:tcPr>
        <w:shd w:val="clear" w:color="auto" w:fill="FDC6CD" w:themeFill="accent2" w:themeFillTint="33"/>
      </w:tcPr>
    </w:tblStylePr>
    <w:tblStylePr w:type="band1Horz">
      <w:tblPr/>
      <w:tcPr>
        <w:shd w:val="clear" w:color="auto" w:fill="FDC6CD" w:themeFill="accent2" w:themeFillTint="33"/>
      </w:tcPr>
    </w:tblStylePr>
  </w:style>
  <w:style w:type="table" w:styleId="Rastertabel5donker-Accent2">
    <w:name w:val="Grid Table 5 Dark Accent 2"/>
    <w:basedOn w:val="Standaardtabel"/>
    <w:uiPriority w:val="50"/>
    <w:rsid w:val="004772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C6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082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082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082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0824" w:themeFill="accent2"/>
      </w:tcPr>
    </w:tblStylePr>
    <w:tblStylePr w:type="band1Vert">
      <w:tblPr/>
      <w:tcPr>
        <w:shd w:val="clear" w:color="auto" w:fill="FA8E9D" w:themeFill="accent2" w:themeFillTint="66"/>
      </w:tcPr>
    </w:tblStylePr>
    <w:tblStylePr w:type="band1Horz">
      <w:tblPr/>
      <w:tcPr>
        <w:shd w:val="clear" w:color="auto" w:fill="FA8E9D" w:themeFill="accent2" w:themeFillTint="66"/>
      </w:tcPr>
    </w:tblStylePr>
  </w:style>
  <w:style w:type="table" w:styleId="Rastertabel5donker-Accent1">
    <w:name w:val="Grid Table 5 Dark Accent 1"/>
    <w:basedOn w:val="Standaardtabel"/>
    <w:uiPriority w:val="50"/>
    <w:rsid w:val="007919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2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E6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E6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E6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E65" w:themeFill="accent1"/>
      </w:tcPr>
    </w:tblStylePr>
    <w:tblStylePr w:type="band1Vert">
      <w:tblPr/>
      <w:tcPr>
        <w:shd w:val="clear" w:color="auto" w:fill="5BA5FF" w:themeFill="accent1" w:themeFillTint="66"/>
      </w:tcPr>
    </w:tblStylePr>
    <w:tblStylePr w:type="band1Horz">
      <w:tblPr/>
      <w:tcPr>
        <w:shd w:val="clear" w:color="auto" w:fill="5BA5FF" w:themeFill="accent1" w:themeFillTint="66"/>
      </w:tcPr>
    </w:tblStylePr>
  </w:style>
  <w:style w:type="table" w:styleId="Rastertabel5donker">
    <w:name w:val="Grid Table 5 Dark"/>
    <w:basedOn w:val="Standaardtabel"/>
    <w:uiPriority w:val="50"/>
    <w:rsid w:val="007919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2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E65"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E65"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E65"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E65" w:themeFill="text1"/>
      </w:tcPr>
    </w:tblStylePr>
    <w:tblStylePr w:type="band1Vert">
      <w:tblPr/>
      <w:tcPr>
        <w:shd w:val="clear" w:color="auto" w:fill="5BA5FF" w:themeFill="text1" w:themeFillTint="66"/>
      </w:tcPr>
    </w:tblStylePr>
    <w:tblStylePr w:type="band1Horz">
      <w:tblPr/>
      <w:tcPr>
        <w:shd w:val="clear" w:color="auto" w:fill="5BA5FF" w:themeFill="text1" w:themeFillTint="66"/>
      </w:tcPr>
    </w:tblStylePr>
  </w:style>
  <w:style w:type="table" w:styleId="Rastertabel5donker-Accent6">
    <w:name w:val="Grid Table 5 Dark Accent 6"/>
    <w:basedOn w:val="Standaardtabel"/>
    <w:uiPriority w:val="50"/>
    <w:rsid w:val="007919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75C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75C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75C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75CB" w:themeFill="accent6"/>
      </w:tcPr>
    </w:tblStylePr>
    <w:tblStylePr w:type="band1Vert">
      <w:tblPr/>
      <w:tcPr>
        <w:shd w:val="clear" w:color="auto" w:fill="C7C7EA" w:themeFill="accent6" w:themeFillTint="66"/>
      </w:tcPr>
    </w:tblStylePr>
    <w:tblStylePr w:type="band1Horz">
      <w:tblPr/>
      <w:tcPr>
        <w:shd w:val="clear" w:color="auto" w:fill="C7C7EA" w:themeFill="accent6" w:themeFillTint="66"/>
      </w:tcPr>
    </w:tblStylePr>
  </w:style>
  <w:style w:type="character" w:styleId="Paginanummer">
    <w:name w:val="page number"/>
    <w:basedOn w:val="Standaardalinea-lettertype"/>
    <w:uiPriority w:val="99"/>
    <w:semiHidden/>
    <w:unhideWhenUsed/>
    <w:rsid w:val="008F2D6A"/>
  </w:style>
  <w:style w:type="character" w:styleId="Verwijzingopmerking">
    <w:name w:val="annotation reference"/>
    <w:basedOn w:val="Standaardalinea-lettertype"/>
    <w:uiPriority w:val="99"/>
    <w:semiHidden/>
    <w:unhideWhenUsed/>
    <w:rsid w:val="0059135F"/>
    <w:rPr>
      <w:sz w:val="16"/>
      <w:szCs w:val="16"/>
    </w:rPr>
  </w:style>
  <w:style w:type="paragraph" w:styleId="Tekstopmerking">
    <w:name w:val="annotation text"/>
    <w:basedOn w:val="Standaard"/>
    <w:link w:val="TekstopmerkingChar"/>
    <w:uiPriority w:val="99"/>
    <w:semiHidden/>
    <w:unhideWhenUsed/>
    <w:rsid w:val="0059135F"/>
    <w:pPr>
      <w:spacing w:line="240" w:lineRule="auto"/>
    </w:pPr>
    <w:rPr>
      <w:szCs w:val="20"/>
    </w:rPr>
  </w:style>
  <w:style w:type="character" w:customStyle="1" w:styleId="TekstopmerkingChar">
    <w:name w:val="Tekst opmerking Char"/>
    <w:basedOn w:val="Standaardalinea-lettertype"/>
    <w:link w:val="Tekstopmerking"/>
    <w:uiPriority w:val="99"/>
    <w:semiHidden/>
    <w:rsid w:val="0059135F"/>
    <w:rPr>
      <w:color w:val="323232"/>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59135F"/>
    <w:rPr>
      <w:b/>
      <w:bCs/>
    </w:rPr>
  </w:style>
  <w:style w:type="character" w:customStyle="1" w:styleId="OnderwerpvanopmerkingChar">
    <w:name w:val="Onderwerp van opmerking Char"/>
    <w:basedOn w:val="TekstopmerkingChar"/>
    <w:link w:val="Onderwerpvanopmerking"/>
    <w:uiPriority w:val="99"/>
    <w:semiHidden/>
    <w:rsid w:val="0059135F"/>
    <w:rPr>
      <w:b/>
      <w:bCs/>
      <w:color w:val="323232"/>
      <w:sz w:val="20"/>
      <w:szCs w:val="20"/>
      <w:lang w:val="en-US"/>
    </w:rPr>
  </w:style>
  <w:style w:type="paragraph" w:styleId="Revisie">
    <w:name w:val="Revision"/>
    <w:hidden/>
    <w:uiPriority w:val="99"/>
    <w:semiHidden/>
    <w:rsid w:val="0059135F"/>
    <w:pPr>
      <w:spacing w:after="0" w:line="240" w:lineRule="auto"/>
    </w:pPr>
    <w:rPr>
      <w:color w:val="323232"/>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9368">
      <w:bodyDiv w:val="1"/>
      <w:marLeft w:val="0"/>
      <w:marRight w:val="0"/>
      <w:marTop w:val="0"/>
      <w:marBottom w:val="0"/>
      <w:divBdr>
        <w:top w:val="none" w:sz="0" w:space="0" w:color="auto"/>
        <w:left w:val="none" w:sz="0" w:space="0" w:color="auto"/>
        <w:bottom w:val="none" w:sz="0" w:space="0" w:color="auto"/>
        <w:right w:val="none" w:sz="0" w:space="0" w:color="auto"/>
      </w:divBdr>
    </w:div>
    <w:div w:id="58284924">
      <w:bodyDiv w:val="1"/>
      <w:marLeft w:val="0"/>
      <w:marRight w:val="0"/>
      <w:marTop w:val="0"/>
      <w:marBottom w:val="0"/>
      <w:divBdr>
        <w:top w:val="none" w:sz="0" w:space="0" w:color="auto"/>
        <w:left w:val="none" w:sz="0" w:space="0" w:color="auto"/>
        <w:bottom w:val="none" w:sz="0" w:space="0" w:color="auto"/>
        <w:right w:val="none" w:sz="0" w:space="0" w:color="auto"/>
      </w:divBdr>
    </w:div>
    <w:div w:id="210580457">
      <w:bodyDiv w:val="1"/>
      <w:marLeft w:val="0"/>
      <w:marRight w:val="0"/>
      <w:marTop w:val="0"/>
      <w:marBottom w:val="0"/>
      <w:divBdr>
        <w:top w:val="none" w:sz="0" w:space="0" w:color="auto"/>
        <w:left w:val="none" w:sz="0" w:space="0" w:color="auto"/>
        <w:bottom w:val="none" w:sz="0" w:space="0" w:color="auto"/>
        <w:right w:val="none" w:sz="0" w:space="0" w:color="auto"/>
      </w:divBdr>
    </w:div>
    <w:div w:id="263003820">
      <w:bodyDiv w:val="1"/>
      <w:marLeft w:val="0"/>
      <w:marRight w:val="0"/>
      <w:marTop w:val="0"/>
      <w:marBottom w:val="0"/>
      <w:divBdr>
        <w:top w:val="none" w:sz="0" w:space="0" w:color="auto"/>
        <w:left w:val="none" w:sz="0" w:space="0" w:color="auto"/>
        <w:bottom w:val="none" w:sz="0" w:space="0" w:color="auto"/>
        <w:right w:val="none" w:sz="0" w:space="0" w:color="auto"/>
      </w:divBdr>
      <w:divsChild>
        <w:div w:id="1514759025">
          <w:marLeft w:val="0"/>
          <w:marRight w:val="0"/>
          <w:marTop w:val="0"/>
          <w:marBottom w:val="0"/>
          <w:divBdr>
            <w:top w:val="none" w:sz="0" w:space="0" w:color="auto"/>
            <w:left w:val="none" w:sz="0" w:space="0" w:color="auto"/>
            <w:bottom w:val="none" w:sz="0" w:space="0" w:color="auto"/>
            <w:right w:val="none" w:sz="0" w:space="0" w:color="auto"/>
          </w:divBdr>
          <w:divsChild>
            <w:div w:id="1296989639">
              <w:marLeft w:val="0"/>
              <w:marRight w:val="0"/>
              <w:marTop w:val="0"/>
              <w:marBottom w:val="0"/>
              <w:divBdr>
                <w:top w:val="none" w:sz="0" w:space="0" w:color="auto"/>
                <w:left w:val="none" w:sz="0" w:space="0" w:color="auto"/>
                <w:bottom w:val="none" w:sz="0" w:space="0" w:color="auto"/>
                <w:right w:val="none" w:sz="0" w:space="0" w:color="auto"/>
              </w:divBdr>
              <w:divsChild>
                <w:div w:id="205869821">
                  <w:marLeft w:val="0"/>
                  <w:marRight w:val="0"/>
                  <w:marTop w:val="0"/>
                  <w:marBottom w:val="0"/>
                  <w:divBdr>
                    <w:top w:val="none" w:sz="0" w:space="0" w:color="auto"/>
                    <w:left w:val="none" w:sz="0" w:space="0" w:color="auto"/>
                    <w:bottom w:val="none" w:sz="0" w:space="0" w:color="auto"/>
                    <w:right w:val="none" w:sz="0" w:space="0" w:color="auto"/>
                  </w:divBdr>
                  <w:divsChild>
                    <w:div w:id="46388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975093">
      <w:bodyDiv w:val="1"/>
      <w:marLeft w:val="0"/>
      <w:marRight w:val="0"/>
      <w:marTop w:val="0"/>
      <w:marBottom w:val="0"/>
      <w:divBdr>
        <w:top w:val="none" w:sz="0" w:space="0" w:color="auto"/>
        <w:left w:val="none" w:sz="0" w:space="0" w:color="auto"/>
        <w:bottom w:val="none" w:sz="0" w:space="0" w:color="auto"/>
        <w:right w:val="none" w:sz="0" w:space="0" w:color="auto"/>
      </w:divBdr>
    </w:div>
    <w:div w:id="307786790">
      <w:bodyDiv w:val="1"/>
      <w:marLeft w:val="0"/>
      <w:marRight w:val="0"/>
      <w:marTop w:val="0"/>
      <w:marBottom w:val="0"/>
      <w:divBdr>
        <w:top w:val="none" w:sz="0" w:space="0" w:color="auto"/>
        <w:left w:val="none" w:sz="0" w:space="0" w:color="auto"/>
        <w:bottom w:val="none" w:sz="0" w:space="0" w:color="auto"/>
        <w:right w:val="none" w:sz="0" w:space="0" w:color="auto"/>
      </w:divBdr>
    </w:div>
    <w:div w:id="329530634">
      <w:bodyDiv w:val="1"/>
      <w:marLeft w:val="0"/>
      <w:marRight w:val="0"/>
      <w:marTop w:val="0"/>
      <w:marBottom w:val="0"/>
      <w:divBdr>
        <w:top w:val="none" w:sz="0" w:space="0" w:color="auto"/>
        <w:left w:val="none" w:sz="0" w:space="0" w:color="auto"/>
        <w:bottom w:val="none" w:sz="0" w:space="0" w:color="auto"/>
        <w:right w:val="none" w:sz="0" w:space="0" w:color="auto"/>
      </w:divBdr>
      <w:divsChild>
        <w:div w:id="2079591495">
          <w:marLeft w:val="0"/>
          <w:marRight w:val="0"/>
          <w:marTop w:val="0"/>
          <w:marBottom w:val="0"/>
          <w:divBdr>
            <w:top w:val="none" w:sz="0" w:space="0" w:color="auto"/>
            <w:left w:val="none" w:sz="0" w:space="0" w:color="auto"/>
            <w:bottom w:val="none" w:sz="0" w:space="0" w:color="auto"/>
            <w:right w:val="none" w:sz="0" w:space="0" w:color="auto"/>
          </w:divBdr>
          <w:divsChild>
            <w:div w:id="58676657">
              <w:marLeft w:val="0"/>
              <w:marRight w:val="0"/>
              <w:marTop w:val="0"/>
              <w:marBottom w:val="0"/>
              <w:divBdr>
                <w:top w:val="none" w:sz="0" w:space="0" w:color="auto"/>
                <w:left w:val="none" w:sz="0" w:space="0" w:color="auto"/>
                <w:bottom w:val="none" w:sz="0" w:space="0" w:color="auto"/>
                <w:right w:val="none" w:sz="0" w:space="0" w:color="auto"/>
              </w:divBdr>
              <w:divsChild>
                <w:div w:id="2026394810">
                  <w:marLeft w:val="0"/>
                  <w:marRight w:val="0"/>
                  <w:marTop w:val="0"/>
                  <w:marBottom w:val="0"/>
                  <w:divBdr>
                    <w:top w:val="none" w:sz="0" w:space="0" w:color="auto"/>
                    <w:left w:val="none" w:sz="0" w:space="0" w:color="auto"/>
                    <w:bottom w:val="none" w:sz="0" w:space="0" w:color="auto"/>
                    <w:right w:val="none" w:sz="0" w:space="0" w:color="auto"/>
                  </w:divBdr>
                  <w:divsChild>
                    <w:div w:id="3729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115919">
      <w:bodyDiv w:val="1"/>
      <w:marLeft w:val="0"/>
      <w:marRight w:val="0"/>
      <w:marTop w:val="0"/>
      <w:marBottom w:val="0"/>
      <w:divBdr>
        <w:top w:val="none" w:sz="0" w:space="0" w:color="auto"/>
        <w:left w:val="none" w:sz="0" w:space="0" w:color="auto"/>
        <w:bottom w:val="none" w:sz="0" w:space="0" w:color="auto"/>
        <w:right w:val="none" w:sz="0" w:space="0" w:color="auto"/>
      </w:divBdr>
    </w:div>
    <w:div w:id="427775743">
      <w:bodyDiv w:val="1"/>
      <w:marLeft w:val="0"/>
      <w:marRight w:val="0"/>
      <w:marTop w:val="0"/>
      <w:marBottom w:val="0"/>
      <w:divBdr>
        <w:top w:val="none" w:sz="0" w:space="0" w:color="auto"/>
        <w:left w:val="none" w:sz="0" w:space="0" w:color="auto"/>
        <w:bottom w:val="none" w:sz="0" w:space="0" w:color="auto"/>
        <w:right w:val="none" w:sz="0" w:space="0" w:color="auto"/>
      </w:divBdr>
    </w:div>
    <w:div w:id="438304988">
      <w:bodyDiv w:val="1"/>
      <w:marLeft w:val="0"/>
      <w:marRight w:val="0"/>
      <w:marTop w:val="0"/>
      <w:marBottom w:val="0"/>
      <w:divBdr>
        <w:top w:val="none" w:sz="0" w:space="0" w:color="auto"/>
        <w:left w:val="none" w:sz="0" w:space="0" w:color="auto"/>
        <w:bottom w:val="none" w:sz="0" w:space="0" w:color="auto"/>
        <w:right w:val="none" w:sz="0" w:space="0" w:color="auto"/>
      </w:divBdr>
    </w:div>
    <w:div w:id="439759993">
      <w:bodyDiv w:val="1"/>
      <w:marLeft w:val="0"/>
      <w:marRight w:val="0"/>
      <w:marTop w:val="0"/>
      <w:marBottom w:val="0"/>
      <w:divBdr>
        <w:top w:val="none" w:sz="0" w:space="0" w:color="auto"/>
        <w:left w:val="none" w:sz="0" w:space="0" w:color="auto"/>
        <w:bottom w:val="none" w:sz="0" w:space="0" w:color="auto"/>
        <w:right w:val="none" w:sz="0" w:space="0" w:color="auto"/>
      </w:divBdr>
      <w:divsChild>
        <w:div w:id="330916771">
          <w:marLeft w:val="0"/>
          <w:marRight w:val="0"/>
          <w:marTop w:val="0"/>
          <w:marBottom w:val="0"/>
          <w:divBdr>
            <w:top w:val="none" w:sz="0" w:space="0" w:color="auto"/>
            <w:left w:val="none" w:sz="0" w:space="0" w:color="auto"/>
            <w:bottom w:val="none" w:sz="0" w:space="0" w:color="auto"/>
            <w:right w:val="none" w:sz="0" w:space="0" w:color="auto"/>
          </w:divBdr>
          <w:divsChild>
            <w:div w:id="1506286194">
              <w:marLeft w:val="0"/>
              <w:marRight w:val="0"/>
              <w:marTop w:val="0"/>
              <w:marBottom w:val="0"/>
              <w:divBdr>
                <w:top w:val="none" w:sz="0" w:space="0" w:color="auto"/>
                <w:left w:val="none" w:sz="0" w:space="0" w:color="auto"/>
                <w:bottom w:val="none" w:sz="0" w:space="0" w:color="auto"/>
                <w:right w:val="none" w:sz="0" w:space="0" w:color="auto"/>
              </w:divBdr>
              <w:divsChild>
                <w:div w:id="813571547">
                  <w:marLeft w:val="0"/>
                  <w:marRight w:val="0"/>
                  <w:marTop w:val="0"/>
                  <w:marBottom w:val="0"/>
                  <w:divBdr>
                    <w:top w:val="none" w:sz="0" w:space="0" w:color="auto"/>
                    <w:left w:val="none" w:sz="0" w:space="0" w:color="auto"/>
                    <w:bottom w:val="none" w:sz="0" w:space="0" w:color="auto"/>
                    <w:right w:val="none" w:sz="0" w:space="0" w:color="auto"/>
                  </w:divBdr>
                  <w:divsChild>
                    <w:div w:id="20242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055919">
      <w:bodyDiv w:val="1"/>
      <w:marLeft w:val="0"/>
      <w:marRight w:val="0"/>
      <w:marTop w:val="0"/>
      <w:marBottom w:val="0"/>
      <w:divBdr>
        <w:top w:val="none" w:sz="0" w:space="0" w:color="auto"/>
        <w:left w:val="none" w:sz="0" w:space="0" w:color="auto"/>
        <w:bottom w:val="none" w:sz="0" w:space="0" w:color="auto"/>
        <w:right w:val="none" w:sz="0" w:space="0" w:color="auto"/>
      </w:divBdr>
    </w:div>
    <w:div w:id="717052192">
      <w:bodyDiv w:val="1"/>
      <w:marLeft w:val="0"/>
      <w:marRight w:val="0"/>
      <w:marTop w:val="0"/>
      <w:marBottom w:val="0"/>
      <w:divBdr>
        <w:top w:val="none" w:sz="0" w:space="0" w:color="auto"/>
        <w:left w:val="none" w:sz="0" w:space="0" w:color="auto"/>
        <w:bottom w:val="none" w:sz="0" w:space="0" w:color="auto"/>
        <w:right w:val="none" w:sz="0" w:space="0" w:color="auto"/>
      </w:divBdr>
    </w:div>
    <w:div w:id="741829244">
      <w:bodyDiv w:val="1"/>
      <w:marLeft w:val="0"/>
      <w:marRight w:val="0"/>
      <w:marTop w:val="0"/>
      <w:marBottom w:val="0"/>
      <w:divBdr>
        <w:top w:val="none" w:sz="0" w:space="0" w:color="auto"/>
        <w:left w:val="none" w:sz="0" w:space="0" w:color="auto"/>
        <w:bottom w:val="none" w:sz="0" w:space="0" w:color="auto"/>
        <w:right w:val="none" w:sz="0" w:space="0" w:color="auto"/>
      </w:divBdr>
      <w:divsChild>
        <w:div w:id="464354424">
          <w:marLeft w:val="0"/>
          <w:marRight w:val="0"/>
          <w:marTop w:val="0"/>
          <w:marBottom w:val="0"/>
          <w:divBdr>
            <w:top w:val="none" w:sz="0" w:space="0" w:color="auto"/>
            <w:left w:val="none" w:sz="0" w:space="0" w:color="auto"/>
            <w:bottom w:val="none" w:sz="0" w:space="0" w:color="auto"/>
            <w:right w:val="none" w:sz="0" w:space="0" w:color="auto"/>
          </w:divBdr>
          <w:divsChild>
            <w:div w:id="514879870">
              <w:marLeft w:val="0"/>
              <w:marRight w:val="0"/>
              <w:marTop w:val="0"/>
              <w:marBottom w:val="0"/>
              <w:divBdr>
                <w:top w:val="none" w:sz="0" w:space="0" w:color="auto"/>
                <w:left w:val="none" w:sz="0" w:space="0" w:color="auto"/>
                <w:bottom w:val="none" w:sz="0" w:space="0" w:color="auto"/>
                <w:right w:val="none" w:sz="0" w:space="0" w:color="auto"/>
              </w:divBdr>
              <w:divsChild>
                <w:div w:id="1552574192">
                  <w:marLeft w:val="0"/>
                  <w:marRight w:val="0"/>
                  <w:marTop w:val="0"/>
                  <w:marBottom w:val="0"/>
                  <w:divBdr>
                    <w:top w:val="none" w:sz="0" w:space="0" w:color="auto"/>
                    <w:left w:val="none" w:sz="0" w:space="0" w:color="auto"/>
                    <w:bottom w:val="none" w:sz="0" w:space="0" w:color="auto"/>
                    <w:right w:val="none" w:sz="0" w:space="0" w:color="auto"/>
                  </w:divBdr>
                  <w:divsChild>
                    <w:div w:id="964969973">
                      <w:marLeft w:val="0"/>
                      <w:marRight w:val="0"/>
                      <w:marTop w:val="0"/>
                      <w:marBottom w:val="0"/>
                      <w:divBdr>
                        <w:top w:val="none" w:sz="0" w:space="0" w:color="auto"/>
                        <w:left w:val="none" w:sz="0" w:space="0" w:color="auto"/>
                        <w:bottom w:val="none" w:sz="0" w:space="0" w:color="auto"/>
                        <w:right w:val="none" w:sz="0" w:space="0" w:color="auto"/>
                      </w:divBdr>
                      <w:divsChild>
                        <w:div w:id="309099620">
                          <w:marLeft w:val="0"/>
                          <w:marRight w:val="0"/>
                          <w:marTop w:val="0"/>
                          <w:marBottom w:val="0"/>
                          <w:divBdr>
                            <w:top w:val="none" w:sz="0" w:space="0" w:color="auto"/>
                            <w:left w:val="none" w:sz="0" w:space="0" w:color="auto"/>
                            <w:bottom w:val="none" w:sz="0" w:space="0" w:color="auto"/>
                            <w:right w:val="none" w:sz="0" w:space="0" w:color="auto"/>
                          </w:divBdr>
                          <w:divsChild>
                            <w:div w:id="10280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23259">
      <w:bodyDiv w:val="1"/>
      <w:marLeft w:val="0"/>
      <w:marRight w:val="0"/>
      <w:marTop w:val="0"/>
      <w:marBottom w:val="0"/>
      <w:divBdr>
        <w:top w:val="none" w:sz="0" w:space="0" w:color="auto"/>
        <w:left w:val="none" w:sz="0" w:space="0" w:color="auto"/>
        <w:bottom w:val="none" w:sz="0" w:space="0" w:color="auto"/>
        <w:right w:val="none" w:sz="0" w:space="0" w:color="auto"/>
      </w:divBdr>
    </w:div>
    <w:div w:id="789973423">
      <w:bodyDiv w:val="1"/>
      <w:marLeft w:val="0"/>
      <w:marRight w:val="0"/>
      <w:marTop w:val="0"/>
      <w:marBottom w:val="0"/>
      <w:divBdr>
        <w:top w:val="none" w:sz="0" w:space="0" w:color="auto"/>
        <w:left w:val="none" w:sz="0" w:space="0" w:color="auto"/>
        <w:bottom w:val="none" w:sz="0" w:space="0" w:color="auto"/>
        <w:right w:val="none" w:sz="0" w:space="0" w:color="auto"/>
      </w:divBdr>
      <w:divsChild>
        <w:div w:id="279578052">
          <w:marLeft w:val="0"/>
          <w:marRight w:val="0"/>
          <w:marTop w:val="0"/>
          <w:marBottom w:val="0"/>
          <w:divBdr>
            <w:top w:val="none" w:sz="0" w:space="0" w:color="auto"/>
            <w:left w:val="none" w:sz="0" w:space="0" w:color="auto"/>
            <w:bottom w:val="none" w:sz="0" w:space="0" w:color="auto"/>
            <w:right w:val="none" w:sz="0" w:space="0" w:color="auto"/>
          </w:divBdr>
          <w:divsChild>
            <w:div w:id="171724015">
              <w:marLeft w:val="0"/>
              <w:marRight w:val="0"/>
              <w:marTop w:val="0"/>
              <w:marBottom w:val="0"/>
              <w:divBdr>
                <w:top w:val="none" w:sz="0" w:space="0" w:color="auto"/>
                <w:left w:val="none" w:sz="0" w:space="0" w:color="auto"/>
                <w:bottom w:val="none" w:sz="0" w:space="0" w:color="auto"/>
                <w:right w:val="none" w:sz="0" w:space="0" w:color="auto"/>
              </w:divBdr>
              <w:divsChild>
                <w:div w:id="697269330">
                  <w:marLeft w:val="0"/>
                  <w:marRight w:val="0"/>
                  <w:marTop w:val="0"/>
                  <w:marBottom w:val="0"/>
                  <w:divBdr>
                    <w:top w:val="none" w:sz="0" w:space="0" w:color="auto"/>
                    <w:left w:val="none" w:sz="0" w:space="0" w:color="auto"/>
                    <w:bottom w:val="none" w:sz="0" w:space="0" w:color="auto"/>
                    <w:right w:val="none" w:sz="0" w:space="0" w:color="auto"/>
                  </w:divBdr>
                  <w:divsChild>
                    <w:div w:id="609317590">
                      <w:marLeft w:val="0"/>
                      <w:marRight w:val="0"/>
                      <w:marTop w:val="0"/>
                      <w:marBottom w:val="0"/>
                      <w:divBdr>
                        <w:top w:val="none" w:sz="0" w:space="0" w:color="auto"/>
                        <w:left w:val="none" w:sz="0" w:space="0" w:color="auto"/>
                        <w:bottom w:val="none" w:sz="0" w:space="0" w:color="auto"/>
                        <w:right w:val="none" w:sz="0" w:space="0" w:color="auto"/>
                      </w:divBdr>
                      <w:divsChild>
                        <w:div w:id="267782586">
                          <w:marLeft w:val="0"/>
                          <w:marRight w:val="0"/>
                          <w:marTop w:val="0"/>
                          <w:marBottom w:val="0"/>
                          <w:divBdr>
                            <w:top w:val="none" w:sz="0" w:space="0" w:color="auto"/>
                            <w:left w:val="none" w:sz="0" w:space="0" w:color="auto"/>
                            <w:bottom w:val="none" w:sz="0" w:space="0" w:color="auto"/>
                            <w:right w:val="none" w:sz="0" w:space="0" w:color="auto"/>
                          </w:divBdr>
                          <w:divsChild>
                            <w:div w:id="57652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395699">
      <w:bodyDiv w:val="1"/>
      <w:marLeft w:val="0"/>
      <w:marRight w:val="0"/>
      <w:marTop w:val="0"/>
      <w:marBottom w:val="0"/>
      <w:divBdr>
        <w:top w:val="none" w:sz="0" w:space="0" w:color="auto"/>
        <w:left w:val="none" w:sz="0" w:space="0" w:color="auto"/>
        <w:bottom w:val="none" w:sz="0" w:space="0" w:color="auto"/>
        <w:right w:val="none" w:sz="0" w:space="0" w:color="auto"/>
      </w:divBdr>
    </w:div>
    <w:div w:id="844587810">
      <w:bodyDiv w:val="1"/>
      <w:marLeft w:val="0"/>
      <w:marRight w:val="0"/>
      <w:marTop w:val="0"/>
      <w:marBottom w:val="0"/>
      <w:divBdr>
        <w:top w:val="none" w:sz="0" w:space="0" w:color="auto"/>
        <w:left w:val="none" w:sz="0" w:space="0" w:color="auto"/>
        <w:bottom w:val="none" w:sz="0" w:space="0" w:color="auto"/>
        <w:right w:val="none" w:sz="0" w:space="0" w:color="auto"/>
      </w:divBdr>
    </w:div>
    <w:div w:id="857234909">
      <w:bodyDiv w:val="1"/>
      <w:marLeft w:val="0"/>
      <w:marRight w:val="0"/>
      <w:marTop w:val="0"/>
      <w:marBottom w:val="0"/>
      <w:divBdr>
        <w:top w:val="none" w:sz="0" w:space="0" w:color="auto"/>
        <w:left w:val="none" w:sz="0" w:space="0" w:color="auto"/>
        <w:bottom w:val="none" w:sz="0" w:space="0" w:color="auto"/>
        <w:right w:val="none" w:sz="0" w:space="0" w:color="auto"/>
      </w:divBdr>
    </w:div>
    <w:div w:id="863984187">
      <w:bodyDiv w:val="1"/>
      <w:marLeft w:val="0"/>
      <w:marRight w:val="0"/>
      <w:marTop w:val="0"/>
      <w:marBottom w:val="0"/>
      <w:divBdr>
        <w:top w:val="none" w:sz="0" w:space="0" w:color="auto"/>
        <w:left w:val="none" w:sz="0" w:space="0" w:color="auto"/>
        <w:bottom w:val="none" w:sz="0" w:space="0" w:color="auto"/>
        <w:right w:val="none" w:sz="0" w:space="0" w:color="auto"/>
      </w:divBdr>
    </w:div>
    <w:div w:id="888958655">
      <w:bodyDiv w:val="1"/>
      <w:marLeft w:val="0"/>
      <w:marRight w:val="0"/>
      <w:marTop w:val="0"/>
      <w:marBottom w:val="0"/>
      <w:divBdr>
        <w:top w:val="none" w:sz="0" w:space="0" w:color="auto"/>
        <w:left w:val="none" w:sz="0" w:space="0" w:color="auto"/>
        <w:bottom w:val="none" w:sz="0" w:space="0" w:color="auto"/>
        <w:right w:val="none" w:sz="0" w:space="0" w:color="auto"/>
      </w:divBdr>
    </w:div>
    <w:div w:id="929630285">
      <w:bodyDiv w:val="1"/>
      <w:marLeft w:val="0"/>
      <w:marRight w:val="0"/>
      <w:marTop w:val="0"/>
      <w:marBottom w:val="0"/>
      <w:divBdr>
        <w:top w:val="none" w:sz="0" w:space="0" w:color="auto"/>
        <w:left w:val="none" w:sz="0" w:space="0" w:color="auto"/>
        <w:bottom w:val="none" w:sz="0" w:space="0" w:color="auto"/>
        <w:right w:val="none" w:sz="0" w:space="0" w:color="auto"/>
      </w:divBdr>
    </w:div>
    <w:div w:id="1012874467">
      <w:bodyDiv w:val="1"/>
      <w:marLeft w:val="0"/>
      <w:marRight w:val="0"/>
      <w:marTop w:val="0"/>
      <w:marBottom w:val="0"/>
      <w:divBdr>
        <w:top w:val="none" w:sz="0" w:space="0" w:color="auto"/>
        <w:left w:val="none" w:sz="0" w:space="0" w:color="auto"/>
        <w:bottom w:val="none" w:sz="0" w:space="0" w:color="auto"/>
        <w:right w:val="none" w:sz="0" w:space="0" w:color="auto"/>
      </w:divBdr>
    </w:div>
    <w:div w:id="1049963375">
      <w:bodyDiv w:val="1"/>
      <w:marLeft w:val="0"/>
      <w:marRight w:val="0"/>
      <w:marTop w:val="0"/>
      <w:marBottom w:val="0"/>
      <w:divBdr>
        <w:top w:val="none" w:sz="0" w:space="0" w:color="auto"/>
        <w:left w:val="none" w:sz="0" w:space="0" w:color="auto"/>
        <w:bottom w:val="none" w:sz="0" w:space="0" w:color="auto"/>
        <w:right w:val="none" w:sz="0" w:space="0" w:color="auto"/>
      </w:divBdr>
    </w:div>
    <w:div w:id="1061829770">
      <w:bodyDiv w:val="1"/>
      <w:marLeft w:val="0"/>
      <w:marRight w:val="0"/>
      <w:marTop w:val="0"/>
      <w:marBottom w:val="0"/>
      <w:divBdr>
        <w:top w:val="none" w:sz="0" w:space="0" w:color="auto"/>
        <w:left w:val="none" w:sz="0" w:space="0" w:color="auto"/>
        <w:bottom w:val="none" w:sz="0" w:space="0" w:color="auto"/>
        <w:right w:val="none" w:sz="0" w:space="0" w:color="auto"/>
      </w:divBdr>
    </w:div>
    <w:div w:id="1083986773">
      <w:bodyDiv w:val="1"/>
      <w:marLeft w:val="0"/>
      <w:marRight w:val="0"/>
      <w:marTop w:val="0"/>
      <w:marBottom w:val="0"/>
      <w:divBdr>
        <w:top w:val="none" w:sz="0" w:space="0" w:color="auto"/>
        <w:left w:val="none" w:sz="0" w:space="0" w:color="auto"/>
        <w:bottom w:val="none" w:sz="0" w:space="0" w:color="auto"/>
        <w:right w:val="none" w:sz="0" w:space="0" w:color="auto"/>
      </w:divBdr>
    </w:div>
    <w:div w:id="1130250644">
      <w:bodyDiv w:val="1"/>
      <w:marLeft w:val="0"/>
      <w:marRight w:val="0"/>
      <w:marTop w:val="0"/>
      <w:marBottom w:val="0"/>
      <w:divBdr>
        <w:top w:val="none" w:sz="0" w:space="0" w:color="auto"/>
        <w:left w:val="none" w:sz="0" w:space="0" w:color="auto"/>
        <w:bottom w:val="none" w:sz="0" w:space="0" w:color="auto"/>
        <w:right w:val="none" w:sz="0" w:space="0" w:color="auto"/>
      </w:divBdr>
      <w:divsChild>
        <w:div w:id="423964840">
          <w:marLeft w:val="0"/>
          <w:marRight w:val="0"/>
          <w:marTop w:val="0"/>
          <w:marBottom w:val="0"/>
          <w:divBdr>
            <w:top w:val="none" w:sz="0" w:space="0" w:color="auto"/>
            <w:left w:val="none" w:sz="0" w:space="0" w:color="auto"/>
            <w:bottom w:val="none" w:sz="0" w:space="0" w:color="auto"/>
            <w:right w:val="none" w:sz="0" w:space="0" w:color="auto"/>
          </w:divBdr>
          <w:divsChild>
            <w:div w:id="1965379303">
              <w:marLeft w:val="0"/>
              <w:marRight w:val="0"/>
              <w:marTop w:val="0"/>
              <w:marBottom w:val="0"/>
              <w:divBdr>
                <w:top w:val="none" w:sz="0" w:space="0" w:color="auto"/>
                <w:left w:val="none" w:sz="0" w:space="0" w:color="auto"/>
                <w:bottom w:val="none" w:sz="0" w:space="0" w:color="auto"/>
                <w:right w:val="none" w:sz="0" w:space="0" w:color="auto"/>
              </w:divBdr>
              <w:divsChild>
                <w:div w:id="1939832240">
                  <w:marLeft w:val="0"/>
                  <w:marRight w:val="0"/>
                  <w:marTop w:val="0"/>
                  <w:marBottom w:val="0"/>
                  <w:divBdr>
                    <w:top w:val="none" w:sz="0" w:space="0" w:color="auto"/>
                    <w:left w:val="none" w:sz="0" w:space="0" w:color="auto"/>
                    <w:bottom w:val="none" w:sz="0" w:space="0" w:color="auto"/>
                    <w:right w:val="none" w:sz="0" w:space="0" w:color="auto"/>
                  </w:divBdr>
                  <w:divsChild>
                    <w:div w:id="619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745990">
      <w:bodyDiv w:val="1"/>
      <w:marLeft w:val="0"/>
      <w:marRight w:val="0"/>
      <w:marTop w:val="0"/>
      <w:marBottom w:val="0"/>
      <w:divBdr>
        <w:top w:val="none" w:sz="0" w:space="0" w:color="auto"/>
        <w:left w:val="none" w:sz="0" w:space="0" w:color="auto"/>
        <w:bottom w:val="none" w:sz="0" w:space="0" w:color="auto"/>
        <w:right w:val="none" w:sz="0" w:space="0" w:color="auto"/>
      </w:divBdr>
    </w:div>
    <w:div w:id="1268928191">
      <w:bodyDiv w:val="1"/>
      <w:marLeft w:val="0"/>
      <w:marRight w:val="0"/>
      <w:marTop w:val="0"/>
      <w:marBottom w:val="0"/>
      <w:divBdr>
        <w:top w:val="none" w:sz="0" w:space="0" w:color="auto"/>
        <w:left w:val="none" w:sz="0" w:space="0" w:color="auto"/>
        <w:bottom w:val="none" w:sz="0" w:space="0" w:color="auto"/>
        <w:right w:val="none" w:sz="0" w:space="0" w:color="auto"/>
      </w:divBdr>
    </w:div>
    <w:div w:id="1295915339">
      <w:bodyDiv w:val="1"/>
      <w:marLeft w:val="0"/>
      <w:marRight w:val="0"/>
      <w:marTop w:val="0"/>
      <w:marBottom w:val="0"/>
      <w:divBdr>
        <w:top w:val="none" w:sz="0" w:space="0" w:color="auto"/>
        <w:left w:val="none" w:sz="0" w:space="0" w:color="auto"/>
        <w:bottom w:val="none" w:sz="0" w:space="0" w:color="auto"/>
        <w:right w:val="none" w:sz="0" w:space="0" w:color="auto"/>
      </w:divBdr>
    </w:div>
    <w:div w:id="1485926651">
      <w:bodyDiv w:val="1"/>
      <w:marLeft w:val="0"/>
      <w:marRight w:val="0"/>
      <w:marTop w:val="0"/>
      <w:marBottom w:val="0"/>
      <w:divBdr>
        <w:top w:val="none" w:sz="0" w:space="0" w:color="auto"/>
        <w:left w:val="none" w:sz="0" w:space="0" w:color="auto"/>
        <w:bottom w:val="none" w:sz="0" w:space="0" w:color="auto"/>
        <w:right w:val="none" w:sz="0" w:space="0" w:color="auto"/>
      </w:divBdr>
    </w:div>
    <w:div w:id="1505583288">
      <w:bodyDiv w:val="1"/>
      <w:marLeft w:val="0"/>
      <w:marRight w:val="0"/>
      <w:marTop w:val="0"/>
      <w:marBottom w:val="0"/>
      <w:divBdr>
        <w:top w:val="none" w:sz="0" w:space="0" w:color="auto"/>
        <w:left w:val="none" w:sz="0" w:space="0" w:color="auto"/>
        <w:bottom w:val="none" w:sz="0" w:space="0" w:color="auto"/>
        <w:right w:val="none" w:sz="0" w:space="0" w:color="auto"/>
      </w:divBdr>
    </w:div>
    <w:div w:id="1532106485">
      <w:bodyDiv w:val="1"/>
      <w:marLeft w:val="0"/>
      <w:marRight w:val="0"/>
      <w:marTop w:val="0"/>
      <w:marBottom w:val="0"/>
      <w:divBdr>
        <w:top w:val="none" w:sz="0" w:space="0" w:color="auto"/>
        <w:left w:val="none" w:sz="0" w:space="0" w:color="auto"/>
        <w:bottom w:val="none" w:sz="0" w:space="0" w:color="auto"/>
        <w:right w:val="none" w:sz="0" w:space="0" w:color="auto"/>
      </w:divBdr>
    </w:div>
    <w:div w:id="1637644896">
      <w:bodyDiv w:val="1"/>
      <w:marLeft w:val="0"/>
      <w:marRight w:val="0"/>
      <w:marTop w:val="0"/>
      <w:marBottom w:val="0"/>
      <w:divBdr>
        <w:top w:val="none" w:sz="0" w:space="0" w:color="auto"/>
        <w:left w:val="none" w:sz="0" w:space="0" w:color="auto"/>
        <w:bottom w:val="none" w:sz="0" w:space="0" w:color="auto"/>
        <w:right w:val="none" w:sz="0" w:space="0" w:color="auto"/>
      </w:divBdr>
    </w:div>
    <w:div w:id="1666204774">
      <w:bodyDiv w:val="1"/>
      <w:marLeft w:val="0"/>
      <w:marRight w:val="0"/>
      <w:marTop w:val="0"/>
      <w:marBottom w:val="0"/>
      <w:divBdr>
        <w:top w:val="none" w:sz="0" w:space="0" w:color="auto"/>
        <w:left w:val="none" w:sz="0" w:space="0" w:color="auto"/>
        <w:bottom w:val="none" w:sz="0" w:space="0" w:color="auto"/>
        <w:right w:val="none" w:sz="0" w:space="0" w:color="auto"/>
      </w:divBdr>
    </w:div>
    <w:div w:id="1728262846">
      <w:bodyDiv w:val="1"/>
      <w:marLeft w:val="0"/>
      <w:marRight w:val="0"/>
      <w:marTop w:val="0"/>
      <w:marBottom w:val="0"/>
      <w:divBdr>
        <w:top w:val="none" w:sz="0" w:space="0" w:color="auto"/>
        <w:left w:val="none" w:sz="0" w:space="0" w:color="auto"/>
        <w:bottom w:val="none" w:sz="0" w:space="0" w:color="auto"/>
        <w:right w:val="none" w:sz="0" w:space="0" w:color="auto"/>
      </w:divBdr>
    </w:div>
    <w:div w:id="1729954425">
      <w:bodyDiv w:val="1"/>
      <w:marLeft w:val="0"/>
      <w:marRight w:val="0"/>
      <w:marTop w:val="0"/>
      <w:marBottom w:val="0"/>
      <w:divBdr>
        <w:top w:val="none" w:sz="0" w:space="0" w:color="auto"/>
        <w:left w:val="none" w:sz="0" w:space="0" w:color="auto"/>
        <w:bottom w:val="none" w:sz="0" w:space="0" w:color="auto"/>
        <w:right w:val="none" w:sz="0" w:space="0" w:color="auto"/>
      </w:divBdr>
    </w:div>
    <w:div w:id="1750079823">
      <w:bodyDiv w:val="1"/>
      <w:marLeft w:val="0"/>
      <w:marRight w:val="0"/>
      <w:marTop w:val="0"/>
      <w:marBottom w:val="0"/>
      <w:divBdr>
        <w:top w:val="none" w:sz="0" w:space="0" w:color="auto"/>
        <w:left w:val="none" w:sz="0" w:space="0" w:color="auto"/>
        <w:bottom w:val="none" w:sz="0" w:space="0" w:color="auto"/>
        <w:right w:val="none" w:sz="0" w:space="0" w:color="auto"/>
      </w:divBdr>
    </w:div>
    <w:div w:id="1760177922">
      <w:bodyDiv w:val="1"/>
      <w:marLeft w:val="0"/>
      <w:marRight w:val="0"/>
      <w:marTop w:val="0"/>
      <w:marBottom w:val="0"/>
      <w:divBdr>
        <w:top w:val="none" w:sz="0" w:space="0" w:color="auto"/>
        <w:left w:val="none" w:sz="0" w:space="0" w:color="auto"/>
        <w:bottom w:val="none" w:sz="0" w:space="0" w:color="auto"/>
        <w:right w:val="none" w:sz="0" w:space="0" w:color="auto"/>
      </w:divBdr>
    </w:div>
    <w:div w:id="1786075055">
      <w:bodyDiv w:val="1"/>
      <w:marLeft w:val="0"/>
      <w:marRight w:val="0"/>
      <w:marTop w:val="0"/>
      <w:marBottom w:val="0"/>
      <w:divBdr>
        <w:top w:val="none" w:sz="0" w:space="0" w:color="auto"/>
        <w:left w:val="none" w:sz="0" w:space="0" w:color="auto"/>
        <w:bottom w:val="none" w:sz="0" w:space="0" w:color="auto"/>
        <w:right w:val="none" w:sz="0" w:space="0" w:color="auto"/>
      </w:divBdr>
    </w:div>
    <w:div w:id="1789003518">
      <w:bodyDiv w:val="1"/>
      <w:marLeft w:val="0"/>
      <w:marRight w:val="0"/>
      <w:marTop w:val="0"/>
      <w:marBottom w:val="0"/>
      <w:divBdr>
        <w:top w:val="none" w:sz="0" w:space="0" w:color="auto"/>
        <w:left w:val="none" w:sz="0" w:space="0" w:color="auto"/>
        <w:bottom w:val="none" w:sz="0" w:space="0" w:color="auto"/>
        <w:right w:val="none" w:sz="0" w:space="0" w:color="auto"/>
      </w:divBdr>
      <w:divsChild>
        <w:div w:id="1757508789">
          <w:marLeft w:val="0"/>
          <w:marRight w:val="0"/>
          <w:marTop w:val="0"/>
          <w:marBottom w:val="0"/>
          <w:divBdr>
            <w:top w:val="none" w:sz="0" w:space="0" w:color="auto"/>
            <w:left w:val="none" w:sz="0" w:space="0" w:color="auto"/>
            <w:bottom w:val="none" w:sz="0" w:space="0" w:color="auto"/>
            <w:right w:val="none" w:sz="0" w:space="0" w:color="auto"/>
          </w:divBdr>
          <w:divsChild>
            <w:div w:id="1605454252">
              <w:marLeft w:val="0"/>
              <w:marRight w:val="0"/>
              <w:marTop w:val="0"/>
              <w:marBottom w:val="0"/>
              <w:divBdr>
                <w:top w:val="none" w:sz="0" w:space="0" w:color="auto"/>
                <w:left w:val="none" w:sz="0" w:space="0" w:color="auto"/>
                <w:bottom w:val="none" w:sz="0" w:space="0" w:color="auto"/>
                <w:right w:val="none" w:sz="0" w:space="0" w:color="auto"/>
              </w:divBdr>
              <w:divsChild>
                <w:div w:id="99952992">
                  <w:marLeft w:val="0"/>
                  <w:marRight w:val="0"/>
                  <w:marTop w:val="0"/>
                  <w:marBottom w:val="0"/>
                  <w:divBdr>
                    <w:top w:val="none" w:sz="0" w:space="0" w:color="auto"/>
                    <w:left w:val="none" w:sz="0" w:space="0" w:color="auto"/>
                    <w:bottom w:val="none" w:sz="0" w:space="0" w:color="auto"/>
                    <w:right w:val="none" w:sz="0" w:space="0" w:color="auto"/>
                  </w:divBdr>
                  <w:divsChild>
                    <w:div w:id="19250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253566">
      <w:bodyDiv w:val="1"/>
      <w:marLeft w:val="0"/>
      <w:marRight w:val="0"/>
      <w:marTop w:val="0"/>
      <w:marBottom w:val="0"/>
      <w:divBdr>
        <w:top w:val="none" w:sz="0" w:space="0" w:color="auto"/>
        <w:left w:val="none" w:sz="0" w:space="0" w:color="auto"/>
        <w:bottom w:val="none" w:sz="0" w:space="0" w:color="auto"/>
        <w:right w:val="none" w:sz="0" w:space="0" w:color="auto"/>
      </w:divBdr>
    </w:div>
    <w:div w:id="1861582071">
      <w:bodyDiv w:val="1"/>
      <w:marLeft w:val="0"/>
      <w:marRight w:val="0"/>
      <w:marTop w:val="0"/>
      <w:marBottom w:val="0"/>
      <w:divBdr>
        <w:top w:val="none" w:sz="0" w:space="0" w:color="auto"/>
        <w:left w:val="none" w:sz="0" w:space="0" w:color="auto"/>
        <w:bottom w:val="none" w:sz="0" w:space="0" w:color="auto"/>
        <w:right w:val="none" w:sz="0" w:space="0" w:color="auto"/>
      </w:divBdr>
    </w:div>
    <w:div w:id="1915814920">
      <w:bodyDiv w:val="1"/>
      <w:marLeft w:val="0"/>
      <w:marRight w:val="0"/>
      <w:marTop w:val="0"/>
      <w:marBottom w:val="0"/>
      <w:divBdr>
        <w:top w:val="none" w:sz="0" w:space="0" w:color="auto"/>
        <w:left w:val="none" w:sz="0" w:space="0" w:color="auto"/>
        <w:bottom w:val="none" w:sz="0" w:space="0" w:color="auto"/>
        <w:right w:val="none" w:sz="0" w:space="0" w:color="auto"/>
      </w:divBdr>
    </w:div>
    <w:div w:id="1945265083">
      <w:bodyDiv w:val="1"/>
      <w:marLeft w:val="0"/>
      <w:marRight w:val="0"/>
      <w:marTop w:val="0"/>
      <w:marBottom w:val="0"/>
      <w:divBdr>
        <w:top w:val="none" w:sz="0" w:space="0" w:color="auto"/>
        <w:left w:val="none" w:sz="0" w:space="0" w:color="auto"/>
        <w:bottom w:val="none" w:sz="0" w:space="0" w:color="auto"/>
        <w:right w:val="none" w:sz="0" w:space="0" w:color="auto"/>
      </w:divBdr>
    </w:div>
    <w:div w:id="2107191571">
      <w:bodyDiv w:val="1"/>
      <w:marLeft w:val="0"/>
      <w:marRight w:val="0"/>
      <w:marTop w:val="0"/>
      <w:marBottom w:val="0"/>
      <w:divBdr>
        <w:top w:val="none" w:sz="0" w:space="0" w:color="auto"/>
        <w:left w:val="none" w:sz="0" w:space="0" w:color="auto"/>
        <w:bottom w:val="none" w:sz="0" w:space="0" w:color="auto"/>
        <w:right w:val="none" w:sz="0" w:space="0" w:color="auto"/>
      </w:divBdr>
      <w:divsChild>
        <w:div w:id="353389560">
          <w:marLeft w:val="0"/>
          <w:marRight w:val="0"/>
          <w:marTop w:val="0"/>
          <w:marBottom w:val="0"/>
          <w:divBdr>
            <w:top w:val="none" w:sz="0" w:space="0" w:color="auto"/>
            <w:left w:val="none" w:sz="0" w:space="0" w:color="auto"/>
            <w:bottom w:val="none" w:sz="0" w:space="0" w:color="auto"/>
            <w:right w:val="none" w:sz="0" w:space="0" w:color="auto"/>
          </w:divBdr>
          <w:divsChild>
            <w:div w:id="1782603733">
              <w:marLeft w:val="0"/>
              <w:marRight w:val="0"/>
              <w:marTop w:val="0"/>
              <w:marBottom w:val="0"/>
              <w:divBdr>
                <w:top w:val="none" w:sz="0" w:space="0" w:color="auto"/>
                <w:left w:val="none" w:sz="0" w:space="0" w:color="auto"/>
                <w:bottom w:val="none" w:sz="0" w:space="0" w:color="auto"/>
                <w:right w:val="none" w:sz="0" w:space="0" w:color="auto"/>
              </w:divBdr>
              <w:divsChild>
                <w:div w:id="1282615024">
                  <w:marLeft w:val="0"/>
                  <w:marRight w:val="0"/>
                  <w:marTop w:val="0"/>
                  <w:marBottom w:val="0"/>
                  <w:divBdr>
                    <w:top w:val="none" w:sz="0" w:space="0" w:color="auto"/>
                    <w:left w:val="none" w:sz="0" w:space="0" w:color="auto"/>
                    <w:bottom w:val="none" w:sz="0" w:space="0" w:color="auto"/>
                    <w:right w:val="none" w:sz="0" w:space="0" w:color="auto"/>
                  </w:divBdr>
                  <w:divsChild>
                    <w:div w:id="12761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58875">
      <w:bodyDiv w:val="1"/>
      <w:marLeft w:val="0"/>
      <w:marRight w:val="0"/>
      <w:marTop w:val="0"/>
      <w:marBottom w:val="0"/>
      <w:divBdr>
        <w:top w:val="none" w:sz="0" w:space="0" w:color="auto"/>
        <w:left w:val="none" w:sz="0" w:space="0" w:color="auto"/>
        <w:bottom w:val="none" w:sz="0" w:space="0" w:color="auto"/>
        <w:right w:val="none" w:sz="0" w:space="0" w:color="auto"/>
      </w:divBdr>
      <w:divsChild>
        <w:div w:id="370496414">
          <w:marLeft w:val="0"/>
          <w:marRight w:val="0"/>
          <w:marTop w:val="0"/>
          <w:marBottom w:val="0"/>
          <w:divBdr>
            <w:top w:val="none" w:sz="0" w:space="0" w:color="auto"/>
            <w:left w:val="none" w:sz="0" w:space="0" w:color="auto"/>
            <w:bottom w:val="none" w:sz="0" w:space="0" w:color="auto"/>
            <w:right w:val="none" w:sz="0" w:space="0" w:color="auto"/>
          </w:divBdr>
          <w:divsChild>
            <w:div w:id="478348432">
              <w:marLeft w:val="0"/>
              <w:marRight w:val="0"/>
              <w:marTop w:val="0"/>
              <w:marBottom w:val="0"/>
              <w:divBdr>
                <w:top w:val="none" w:sz="0" w:space="0" w:color="auto"/>
                <w:left w:val="none" w:sz="0" w:space="0" w:color="auto"/>
                <w:bottom w:val="none" w:sz="0" w:space="0" w:color="auto"/>
                <w:right w:val="none" w:sz="0" w:space="0" w:color="auto"/>
              </w:divBdr>
              <w:divsChild>
                <w:div w:id="1286083429">
                  <w:marLeft w:val="0"/>
                  <w:marRight w:val="0"/>
                  <w:marTop w:val="0"/>
                  <w:marBottom w:val="0"/>
                  <w:divBdr>
                    <w:top w:val="none" w:sz="0" w:space="0" w:color="auto"/>
                    <w:left w:val="none" w:sz="0" w:space="0" w:color="auto"/>
                    <w:bottom w:val="none" w:sz="0" w:space="0" w:color="auto"/>
                    <w:right w:val="none" w:sz="0" w:space="0" w:color="auto"/>
                  </w:divBdr>
                  <w:divsChild>
                    <w:div w:id="1590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D08D112C-C83C-4686-86EE-E24C278F9BBE}"/>
      </w:docPartPr>
      <w:docPartBody>
        <w:p w:rsidR="004036C2" w:rsidRDefault="00240C35">
          <w:r w:rsidRPr="0095074E">
            <w:rPr>
              <w:rStyle w:val="Tekstvantijdelijkeaanduidin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webkit-standar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35"/>
    <w:rsid w:val="00036B52"/>
    <w:rsid w:val="000420BF"/>
    <w:rsid w:val="00047498"/>
    <w:rsid w:val="0005225D"/>
    <w:rsid w:val="00070F3B"/>
    <w:rsid w:val="00071D53"/>
    <w:rsid w:val="000C2F88"/>
    <w:rsid w:val="000F3AE2"/>
    <w:rsid w:val="000F6F71"/>
    <w:rsid w:val="001220BC"/>
    <w:rsid w:val="001724A5"/>
    <w:rsid w:val="001B434E"/>
    <w:rsid w:val="001B7DC5"/>
    <w:rsid w:val="001C5292"/>
    <w:rsid w:val="001D7346"/>
    <w:rsid w:val="001F122F"/>
    <w:rsid w:val="00216C08"/>
    <w:rsid w:val="002354A1"/>
    <w:rsid w:val="00240C35"/>
    <w:rsid w:val="00285BD4"/>
    <w:rsid w:val="00287120"/>
    <w:rsid w:val="002B4A55"/>
    <w:rsid w:val="002B5E76"/>
    <w:rsid w:val="002F71A5"/>
    <w:rsid w:val="00300895"/>
    <w:rsid w:val="003252DD"/>
    <w:rsid w:val="00344052"/>
    <w:rsid w:val="003543D1"/>
    <w:rsid w:val="00370930"/>
    <w:rsid w:val="003937CA"/>
    <w:rsid w:val="003A28D5"/>
    <w:rsid w:val="003A3FA2"/>
    <w:rsid w:val="003B0DB9"/>
    <w:rsid w:val="003C3E05"/>
    <w:rsid w:val="003D28C8"/>
    <w:rsid w:val="003E35ED"/>
    <w:rsid w:val="004036C2"/>
    <w:rsid w:val="00424FA9"/>
    <w:rsid w:val="004430FE"/>
    <w:rsid w:val="00443B18"/>
    <w:rsid w:val="00454AEA"/>
    <w:rsid w:val="0045731F"/>
    <w:rsid w:val="00496F24"/>
    <w:rsid w:val="004C64AA"/>
    <w:rsid w:val="00503305"/>
    <w:rsid w:val="00561319"/>
    <w:rsid w:val="0057310A"/>
    <w:rsid w:val="005779DB"/>
    <w:rsid w:val="00583A1D"/>
    <w:rsid w:val="0059576A"/>
    <w:rsid w:val="005E04EC"/>
    <w:rsid w:val="005E1083"/>
    <w:rsid w:val="005F7457"/>
    <w:rsid w:val="00600512"/>
    <w:rsid w:val="00606B48"/>
    <w:rsid w:val="00651EFB"/>
    <w:rsid w:val="00674C4C"/>
    <w:rsid w:val="0068428D"/>
    <w:rsid w:val="0069107E"/>
    <w:rsid w:val="006A2723"/>
    <w:rsid w:val="0070178A"/>
    <w:rsid w:val="00705EFC"/>
    <w:rsid w:val="007435FC"/>
    <w:rsid w:val="00765360"/>
    <w:rsid w:val="00773D29"/>
    <w:rsid w:val="00774B5D"/>
    <w:rsid w:val="007755F3"/>
    <w:rsid w:val="007A3ED3"/>
    <w:rsid w:val="007C172A"/>
    <w:rsid w:val="007D390D"/>
    <w:rsid w:val="007E2099"/>
    <w:rsid w:val="00850572"/>
    <w:rsid w:val="0085680F"/>
    <w:rsid w:val="008C7940"/>
    <w:rsid w:val="008D5FD6"/>
    <w:rsid w:val="00913AEA"/>
    <w:rsid w:val="00972917"/>
    <w:rsid w:val="009C20FD"/>
    <w:rsid w:val="009E329B"/>
    <w:rsid w:val="009F6966"/>
    <w:rsid w:val="00A06716"/>
    <w:rsid w:val="00A1168B"/>
    <w:rsid w:val="00A236D7"/>
    <w:rsid w:val="00AB0346"/>
    <w:rsid w:val="00AB088F"/>
    <w:rsid w:val="00AC6AE4"/>
    <w:rsid w:val="00AD0097"/>
    <w:rsid w:val="00AD554B"/>
    <w:rsid w:val="00AD676D"/>
    <w:rsid w:val="00B14D6C"/>
    <w:rsid w:val="00B26748"/>
    <w:rsid w:val="00B31939"/>
    <w:rsid w:val="00B35E72"/>
    <w:rsid w:val="00B47CE6"/>
    <w:rsid w:val="00B5539D"/>
    <w:rsid w:val="00B6296C"/>
    <w:rsid w:val="00B6432B"/>
    <w:rsid w:val="00B74EEB"/>
    <w:rsid w:val="00B82AF1"/>
    <w:rsid w:val="00B93109"/>
    <w:rsid w:val="00BA02B6"/>
    <w:rsid w:val="00BB2126"/>
    <w:rsid w:val="00BE5975"/>
    <w:rsid w:val="00BF336C"/>
    <w:rsid w:val="00C01C54"/>
    <w:rsid w:val="00C1413A"/>
    <w:rsid w:val="00C87ED9"/>
    <w:rsid w:val="00C9667B"/>
    <w:rsid w:val="00CA64E4"/>
    <w:rsid w:val="00CB7E27"/>
    <w:rsid w:val="00CD2E09"/>
    <w:rsid w:val="00CE3EBF"/>
    <w:rsid w:val="00CE53A3"/>
    <w:rsid w:val="00D0609C"/>
    <w:rsid w:val="00D42E4E"/>
    <w:rsid w:val="00D46618"/>
    <w:rsid w:val="00D67054"/>
    <w:rsid w:val="00D97C00"/>
    <w:rsid w:val="00DD6601"/>
    <w:rsid w:val="00E64E31"/>
    <w:rsid w:val="00E813E0"/>
    <w:rsid w:val="00E81A6B"/>
    <w:rsid w:val="00E83EB6"/>
    <w:rsid w:val="00E855F2"/>
    <w:rsid w:val="00E97747"/>
    <w:rsid w:val="00EA0895"/>
    <w:rsid w:val="00EE1B79"/>
    <w:rsid w:val="00F007CD"/>
    <w:rsid w:val="00F04F49"/>
    <w:rsid w:val="00F216AD"/>
    <w:rsid w:val="00F25992"/>
    <w:rsid w:val="00F46840"/>
    <w:rsid w:val="00F955AA"/>
    <w:rsid w:val="00FA79BB"/>
    <w:rsid w:val="00FE188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40C3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UA - RE">
      <a:dk1>
        <a:srgbClr val="002E65"/>
      </a:dk1>
      <a:lt1>
        <a:srgbClr val="FFFFFF"/>
      </a:lt1>
      <a:dk2>
        <a:srgbClr val="002E65"/>
      </a:dk2>
      <a:lt2>
        <a:srgbClr val="BBCCCC"/>
      </a:lt2>
      <a:accent1>
        <a:srgbClr val="002E65"/>
      </a:accent1>
      <a:accent2>
        <a:srgbClr val="D20824"/>
      </a:accent2>
      <a:accent3>
        <a:srgbClr val="ED9D90"/>
      </a:accent3>
      <a:accent4>
        <a:srgbClr val="ADA500"/>
      </a:accent4>
      <a:accent5>
        <a:srgbClr val="AC242A"/>
      </a:accent5>
      <a:accent6>
        <a:srgbClr val="7575CB"/>
      </a:accent6>
      <a:hlink>
        <a:srgbClr val="006CA9"/>
      </a:hlink>
      <a:folHlink>
        <a:srgbClr val="B10097"/>
      </a:folHlink>
    </a:clrScheme>
    <a:fontScheme name="Custom 5">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fbfaeb-a33e-4eba-bf24-a6a95bda6a18" xsi:nil="true"/>
    <lcf76f155ced4ddcb4097134ff3c332f xmlns="c2e67f87-dfb5-4907-a322-9fa96a43884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9B1C530DAA66459742927612B1A571" ma:contentTypeVersion="17" ma:contentTypeDescription="Een nieuw document maken." ma:contentTypeScope="" ma:versionID="b6f832c0960c708f367fd2a81049ad81">
  <xsd:schema xmlns:xsd="http://www.w3.org/2001/XMLSchema" xmlns:xs="http://www.w3.org/2001/XMLSchema" xmlns:p="http://schemas.microsoft.com/office/2006/metadata/properties" xmlns:ns2="c2e67f87-dfb5-4907-a322-9fa96a43884a" xmlns:ns3="20fbfaeb-a33e-4eba-bf24-a6a95bda6a18" targetNamespace="http://schemas.microsoft.com/office/2006/metadata/properties" ma:root="true" ma:fieldsID="ddc5e52b0babf6cb4fc8e55f4f8f0c8f" ns2:_="" ns3:_="">
    <xsd:import namespace="c2e67f87-dfb5-4907-a322-9fa96a43884a"/>
    <xsd:import namespace="20fbfaeb-a33e-4eba-bf24-a6a95bda6a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67f87-dfb5-4907-a322-9fa96a438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f9fc2d29-e47d-4962-b2bb-d877dae4660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fbfaeb-a33e-4eba-bf24-a6a95bda6a1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9e0ce91-d613-4935-ae8b-9bc3412a2372}" ma:internalName="TaxCatchAll" ma:showField="CatchAllData" ma:web="20fbfaeb-a33e-4eba-bf24-a6a95bda6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21A43-9722-4CF2-8824-F0C6430A2453}">
  <ds:schemaRefs>
    <ds:schemaRef ds:uri="http://schemas.microsoft.com/office/2006/metadata/properties"/>
    <ds:schemaRef ds:uri="http://schemas.microsoft.com/office/infopath/2007/PartnerControls"/>
    <ds:schemaRef ds:uri="20fbfaeb-a33e-4eba-bf24-a6a95bda6a18"/>
    <ds:schemaRef ds:uri="c2e67f87-dfb5-4907-a322-9fa96a43884a"/>
  </ds:schemaRefs>
</ds:datastoreItem>
</file>

<file path=customXml/itemProps2.xml><?xml version="1.0" encoding="utf-8"?>
<ds:datastoreItem xmlns:ds="http://schemas.openxmlformats.org/officeDocument/2006/customXml" ds:itemID="{76E937D5-D924-47E1-8D5D-4B6AD6624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67f87-dfb5-4907-a322-9fa96a43884a"/>
    <ds:schemaRef ds:uri="20fbfaeb-a33e-4eba-bf24-a6a95bda6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DF2D2-470A-45DD-ACF4-F413BF2AF6BE}">
  <ds:schemaRefs>
    <ds:schemaRef ds:uri="http://schemas.microsoft.com/sharepoint/v3/contenttype/forms"/>
  </ds:schemaRefs>
</ds:datastoreItem>
</file>

<file path=customXml/itemProps4.xml><?xml version="1.0" encoding="utf-8"?>
<ds:datastoreItem xmlns:ds="http://schemas.openxmlformats.org/officeDocument/2006/customXml" ds:itemID="{644A28C3-4F24-42F1-88D9-9DA96D3E2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78</Pages>
  <Words>19615</Words>
  <Characters>120829</Characters>
  <Application>Microsoft Office Word</Application>
  <DocSecurity>0</DocSecurity>
  <Lines>1655</Lines>
  <Paragraphs>282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Mediacomm</dc:creator>
  <cp:keywords/>
  <dc:description/>
  <cp:lastModifiedBy>Thomas Piot</cp:lastModifiedBy>
  <cp:revision>38</cp:revision>
  <cp:lastPrinted>2021-07-08T13:22:00Z</cp:lastPrinted>
  <dcterms:created xsi:type="dcterms:W3CDTF">2025-03-19T20:32:00Z</dcterms:created>
  <dcterms:modified xsi:type="dcterms:W3CDTF">2025-04-21T11:02:00Z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0x010100AA48756E289C114AB44771BA1DE48182</vt:lpwstr>
  </property>
  <property fmtid="{D5CDD505-2E9C-101B-9397-08002B2CF9AE}" pid="3" name="MediaServiceImageTags">
    <vt:lpwstr/>
  </property>
</Properties>
</file>