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38249" w14:textId="77777777" w:rsidR="001A5547" w:rsidRPr="0058444E" w:rsidRDefault="00E6245F" w:rsidP="001A5547">
      <w:pPr>
        <w:jc w:val="center"/>
        <w:rPr>
          <w:rFonts w:eastAsia="Calibri"/>
          <w:smallCaps/>
          <w:szCs w:val="22"/>
          <w:lang w:eastAsia="en-US"/>
        </w:rPr>
      </w:pPr>
      <w:r w:rsidRPr="0058444E">
        <w:rPr>
          <w:noProof/>
          <w:lang w:eastAsia="nl-BE"/>
        </w:rPr>
        <w:drawing>
          <wp:inline distT="0" distB="0" distL="0" distR="0" wp14:anchorId="0444800A" wp14:editId="52F0B009">
            <wp:extent cx="1424940" cy="2381885"/>
            <wp:effectExtent l="0" t="0" r="3810" b="0"/>
            <wp:docPr id="1" name="Picture 2" descr="Beschrijving: LOGO 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chrijving: LOGO kuleuv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4940" cy="2381885"/>
                    </a:xfrm>
                    <a:prstGeom prst="rect">
                      <a:avLst/>
                    </a:prstGeom>
                    <a:noFill/>
                    <a:ln>
                      <a:noFill/>
                    </a:ln>
                  </pic:spPr>
                </pic:pic>
              </a:graphicData>
            </a:graphic>
          </wp:inline>
        </w:drawing>
      </w:r>
    </w:p>
    <w:p w14:paraId="0C3A1598" w14:textId="77777777" w:rsidR="001A5547" w:rsidRPr="0058444E" w:rsidRDefault="00D71BBE" w:rsidP="007B4E91">
      <w:pPr>
        <w:spacing w:before="240" w:line="360" w:lineRule="auto"/>
        <w:jc w:val="center"/>
        <w:rPr>
          <w:rStyle w:val="KleinKapitaalAuteursCtrlAltK"/>
          <w:rFonts w:eastAsia="Calibri"/>
          <w:lang w:val="nl-BE"/>
        </w:rPr>
      </w:pPr>
      <w:r w:rsidRPr="0058444E">
        <w:rPr>
          <w:rStyle w:val="KleinKapitaalAuteursCtrlAltK"/>
          <w:rFonts w:eastAsia="Calibri"/>
          <w:lang w:val="nl-BE"/>
        </w:rPr>
        <w:t>KU Leuven</w:t>
      </w:r>
    </w:p>
    <w:p w14:paraId="2B5B315A" w14:textId="77777777" w:rsidR="001A5547" w:rsidRPr="0058444E" w:rsidRDefault="001A5547" w:rsidP="007B4E91">
      <w:pPr>
        <w:spacing w:line="360" w:lineRule="auto"/>
        <w:jc w:val="center"/>
        <w:rPr>
          <w:rStyle w:val="KleinKapitaalAuteursCtrlAltK"/>
          <w:rFonts w:eastAsia="Calibri"/>
          <w:lang w:val="nl-BE"/>
        </w:rPr>
      </w:pPr>
      <w:r w:rsidRPr="0058444E">
        <w:rPr>
          <w:rStyle w:val="KleinKapitaalAuteursCtrlAltK"/>
          <w:rFonts w:eastAsia="Calibri"/>
          <w:lang w:val="nl-BE"/>
        </w:rPr>
        <w:t>Faculteit Rechtsgeleerdheid</w:t>
      </w:r>
      <w:r w:rsidR="00776BFE" w:rsidRPr="0058444E">
        <w:rPr>
          <w:rStyle w:val="KleinKapitaalAuteursCtrlAltK"/>
          <w:rFonts w:eastAsia="Calibri"/>
          <w:lang w:val="nl-BE"/>
        </w:rPr>
        <w:t xml:space="preserve"> en Criminologische Wetenschappen</w:t>
      </w:r>
    </w:p>
    <w:p w14:paraId="619CE028" w14:textId="77777777" w:rsidR="000F4F23" w:rsidRDefault="001A5547" w:rsidP="000F4F23">
      <w:pPr>
        <w:spacing w:line="360" w:lineRule="auto"/>
        <w:jc w:val="center"/>
        <w:rPr>
          <w:rFonts w:eastAsia="Calibri"/>
          <w:szCs w:val="22"/>
          <w:lang w:eastAsia="en-US"/>
        </w:rPr>
      </w:pPr>
      <w:r w:rsidRPr="0058444E">
        <w:rPr>
          <w:rFonts w:eastAsia="Calibri"/>
          <w:szCs w:val="22"/>
          <w:lang w:eastAsia="en-US"/>
        </w:rPr>
        <w:t xml:space="preserve">Academiejaar </w:t>
      </w:r>
      <w:r w:rsidR="00776BFE" w:rsidRPr="0058444E">
        <w:rPr>
          <w:rFonts w:eastAsia="Calibri"/>
          <w:szCs w:val="22"/>
          <w:lang w:eastAsia="en-US"/>
        </w:rPr>
        <w:t>202</w:t>
      </w:r>
      <w:r w:rsidR="0094719D">
        <w:rPr>
          <w:rFonts w:eastAsia="Calibri"/>
          <w:szCs w:val="22"/>
          <w:lang w:eastAsia="en-US"/>
        </w:rPr>
        <w:t>5</w:t>
      </w:r>
      <w:r w:rsidR="00527BE3" w:rsidRPr="0058444E">
        <w:rPr>
          <w:rFonts w:eastAsia="Calibri"/>
          <w:szCs w:val="22"/>
          <w:lang w:eastAsia="en-US"/>
        </w:rPr>
        <w:t xml:space="preserve"> </w:t>
      </w:r>
      <w:r w:rsidR="0094719D">
        <w:rPr>
          <w:rFonts w:eastAsia="Calibri"/>
          <w:szCs w:val="22"/>
          <w:lang w:eastAsia="en-US"/>
        </w:rPr>
        <w:t>–</w:t>
      </w:r>
      <w:r w:rsidR="00527BE3" w:rsidRPr="0058444E">
        <w:rPr>
          <w:rFonts w:eastAsia="Calibri"/>
          <w:szCs w:val="22"/>
          <w:lang w:eastAsia="en-US"/>
        </w:rPr>
        <w:t xml:space="preserve"> </w:t>
      </w:r>
      <w:r w:rsidR="00776BFE" w:rsidRPr="0058444E">
        <w:rPr>
          <w:rFonts w:eastAsia="Calibri"/>
          <w:szCs w:val="22"/>
          <w:lang w:eastAsia="en-US"/>
        </w:rPr>
        <w:t>202</w:t>
      </w:r>
      <w:r w:rsidR="0094719D">
        <w:rPr>
          <w:rFonts w:eastAsia="Calibri"/>
          <w:szCs w:val="22"/>
          <w:lang w:eastAsia="en-US"/>
        </w:rPr>
        <w:t>6</w:t>
      </w:r>
    </w:p>
    <w:p w14:paraId="57778DAB" w14:textId="77777777" w:rsidR="000F4F23" w:rsidRDefault="000F4F23" w:rsidP="000F4F23">
      <w:pPr>
        <w:spacing w:line="360" w:lineRule="auto"/>
        <w:jc w:val="center"/>
        <w:rPr>
          <w:rFonts w:eastAsia="Calibri"/>
          <w:szCs w:val="22"/>
          <w:lang w:eastAsia="en-US"/>
        </w:rPr>
      </w:pPr>
    </w:p>
    <w:p w14:paraId="451B4009" w14:textId="2CEED638" w:rsidR="00B81C10" w:rsidRPr="000F4F23" w:rsidRDefault="00E82869" w:rsidP="000F4F23">
      <w:pPr>
        <w:spacing w:line="360" w:lineRule="auto"/>
        <w:jc w:val="center"/>
        <w:rPr>
          <w:rFonts w:eastAsia="Calibri"/>
          <w:szCs w:val="22"/>
          <w:lang w:eastAsia="en-US"/>
        </w:rPr>
      </w:pPr>
      <w:r w:rsidRPr="0058444E">
        <w:rPr>
          <w:b/>
          <w:bCs/>
          <w:sz w:val="36"/>
        </w:rPr>
        <w:t>Masterscriptie</w:t>
      </w:r>
    </w:p>
    <w:p w14:paraId="417460AD" w14:textId="1B427AFE" w:rsidR="00740C37" w:rsidRPr="0058444E" w:rsidRDefault="002F3382" w:rsidP="00740C37">
      <w:pPr>
        <w:spacing w:before="200"/>
        <w:jc w:val="center"/>
        <w:rPr>
          <w:b/>
          <w:bCs/>
          <w:i/>
          <w:iCs/>
          <w:sz w:val="28"/>
        </w:rPr>
      </w:pPr>
      <w:r w:rsidRPr="002F3382">
        <w:rPr>
          <w:b/>
          <w:bCs/>
          <w:i/>
          <w:iCs/>
          <w:sz w:val="28"/>
        </w:rPr>
        <w:t>Van tweedeling naar teamwerk: de harmonis</w:t>
      </w:r>
      <w:r w:rsidR="005A3FC1">
        <w:rPr>
          <w:b/>
          <w:bCs/>
          <w:i/>
          <w:iCs/>
          <w:sz w:val="28"/>
        </w:rPr>
        <w:t>atie</w:t>
      </w:r>
      <w:r w:rsidRPr="002F3382">
        <w:rPr>
          <w:b/>
          <w:bCs/>
          <w:i/>
          <w:iCs/>
          <w:sz w:val="28"/>
        </w:rPr>
        <w:t xml:space="preserve"> van </w:t>
      </w:r>
      <w:r w:rsidR="005A3FC1">
        <w:rPr>
          <w:b/>
          <w:bCs/>
          <w:i/>
          <w:iCs/>
          <w:sz w:val="28"/>
        </w:rPr>
        <w:t xml:space="preserve">de </w:t>
      </w:r>
      <w:r w:rsidRPr="002F3382">
        <w:rPr>
          <w:b/>
          <w:bCs/>
          <w:i/>
          <w:iCs/>
          <w:sz w:val="28"/>
        </w:rPr>
        <w:t>aanvullende pensioenen</w:t>
      </w:r>
      <w:r w:rsidR="00374840">
        <w:rPr>
          <w:b/>
          <w:bCs/>
          <w:i/>
          <w:iCs/>
          <w:sz w:val="28"/>
        </w:rPr>
        <w:t xml:space="preserve"> naar aanleiding van de invoering van een eenheidsstatuut</w:t>
      </w:r>
    </w:p>
    <w:p w14:paraId="28ADAAA9" w14:textId="77777777" w:rsidR="00D1025F" w:rsidRPr="0058444E" w:rsidRDefault="00D1025F" w:rsidP="00740C37">
      <w:pPr>
        <w:spacing w:before="200"/>
        <w:jc w:val="center"/>
        <w:rPr>
          <w:b/>
          <w:bCs/>
          <w:caps/>
          <w:sz w:val="28"/>
        </w:rPr>
      </w:pPr>
    </w:p>
    <w:p w14:paraId="2978D8C2" w14:textId="77777777" w:rsidR="00D1025F" w:rsidRPr="0058444E" w:rsidRDefault="00D1025F" w:rsidP="00740C37">
      <w:pPr>
        <w:spacing w:before="200"/>
        <w:jc w:val="center"/>
        <w:rPr>
          <w:b/>
          <w:bCs/>
          <w:caps/>
          <w:sz w:val="28"/>
        </w:rPr>
      </w:pPr>
    </w:p>
    <w:p w14:paraId="1C204945" w14:textId="77777777" w:rsidR="00D1025F" w:rsidRPr="0058444E" w:rsidRDefault="00D1025F" w:rsidP="00740C37">
      <w:pPr>
        <w:spacing w:before="200"/>
        <w:jc w:val="center"/>
        <w:rPr>
          <w:b/>
          <w:bCs/>
          <w:caps/>
          <w:sz w:val="28"/>
        </w:rPr>
      </w:pPr>
    </w:p>
    <w:p w14:paraId="1DA797C9" w14:textId="77777777" w:rsidR="00D1025F" w:rsidRPr="0058444E" w:rsidRDefault="00D1025F" w:rsidP="00740C37">
      <w:pPr>
        <w:spacing w:before="200"/>
        <w:jc w:val="center"/>
        <w:rPr>
          <w:b/>
          <w:bCs/>
          <w:caps/>
          <w:sz w:val="28"/>
        </w:rPr>
      </w:pPr>
    </w:p>
    <w:p w14:paraId="4176CAF1" w14:textId="77777777" w:rsidR="00D1025F" w:rsidRPr="0058444E" w:rsidRDefault="00D1025F" w:rsidP="00740C37">
      <w:pPr>
        <w:spacing w:before="200"/>
        <w:jc w:val="center"/>
        <w:rPr>
          <w:b/>
          <w:bCs/>
          <w:caps/>
          <w:sz w:val="28"/>
        </w:rPr>
      </w:pPr>
    </w:p>
    <w:p w14:paraId="05545FFD" w14:textId="77777777" w:rsidR="00D1025F" w:rsidRPr="0058444E" w:rsidRDefault="00D1025F" w:rsidP="00740C37">
      <w:pPr>
        <w:spacing w:before="200"/>
        <w:jc w:val="center"/>
        <w:rPr>
          <w:b/>
          <w:bCs/>
          <w:caps/>
          <w:sz w:val="28"/>
        </w:rPr>
      </w:pPr>
    </w:p>
    <w:p w14:paraId="10F3179F" w14:textId="77777777" w:rsidR="00D1025F" w:rsidRPr="0058444E" w:rsidRDefault="00D1025F" w:rsidP="00740C37">
      <w:pPr>
        <w:spacing w:before="200"/>
        <w:jc w:val="center"/>
        <w:rPr>
          <w:b/>
          <w:bCs/>
          <w:caps/>
          <w:sz w:val="36"/>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D1025F" w:rsidRPr="0058444E" w14:paraId="54DA8F95" w14:textId="77777777" w:rsidTr="007104EE">
        <w:tc>
          <w:tcPr>
            <w:tcW w:w="4889" w:type="dxa"/>
          </w:tcPr>
          <w:p w14:paraId="5BAC7380" w14:textId="77777777" w:rsidR="00D32F92" w:rsidRDefault="00D32F92" w:rsidP="006831FA">
            <w:pPr>
              <w:spacing w:before="100" w:beforeAutospacing="1" w:line="276" w:lineRule="auto"/>
            </w:pPr>
          </w:p>
          <w:p w14:paraId="6EB7003D" w14:textId="7B6E1007" w:rsidR="003A6F6D" w:rsidRPr="0058444E" w:rsidRDefault="00801B32" w:rsidP="006831FA">
            <w:pPr>
              <w:spacing w:before="100" w:beforeAutospacing="1" w:line="276" w:lineRule="auto"/>
              <w:rPr>
                <w:rStyle w:val="KleinKapitaalAuteursCtrlAltK"/>
                <w:lang w:val="nl-BE"/>
              </w:rPr>
            </w:pPr>
            <w:r>
              <w:t>Promotor</w:t>
            </w:r>
            <w:r w:rsidR="00D1025F" w:rsidRPr="0058444E">
              <w:t xml:space="preserve">: </w:t>
            </w:r>
            <w:r w:rsidR="0001423B">
              <w:t xml:space="preserve">Prof. Dr. </w:t>
            </w:r>
            <w:r w:rsidR="00763229">
              <w:t>P. SCHOUKENS</w:t>
            </w:r>
          </w:p>
          <w:p w14:paraId="6727CF7D" w14:textId="4869E690" w:rsidR="003A6F6D" w:rsidRDefault="00763229" w:rsidP="006831FA">
            <w:pPr>
              <w:spacing w:line="276" w:lineRule="auto"/>
            </w:pPr>
            <w:r>
              <w:t>Corrector</w:t>
            </w:r>
            <w:r w:rsidR="003A6F6D" w:rsidRPr="0058444E">
              <w:t xml:space="preserve">: </w:t>
            </w:r>
            <w:r w:rsidR="004036F1">
              <w:t xml:space="preserve">Prof. Dr. </w:t>
            </w:r>
            <w:r w:rsidR="0001423B">
              <w:t>K. WILLEMS</w:t>
            </w:r>
          </w:p>
          <w:p w14:paraId="2EFD8763" w14:textId="2BA2E18F" w:rsidR="00763229" w:rsidRPr="0058444E" w:rsidRDefault="00763229" w:rsidP="006831FA">
            <w:pPr>
              <w:spacing w:line="276" w:lineRule="auto"/>
            </w:pPr>
            <w:r>
              <w:t>Begeleider: G. EVERAET</w:t>
            </w:r>
          </w:p>
          <w:p w14:paraId="5650AC65" w14:textId="505DC338" w:rsidR="00763229" w:rsidRPr="0058444E" w:rsidRDefault="00763229" w:rsidP="00851C21">
            <w:pPr>
              <w:spacing w:line="360" w:lineRule="auto"/>
            </w:pPr>
          </w:p>
        </w:tc>
        <w:tc>
          <w:tcPr>
            <w:tcW w:w="4889" w:type="dxa"/>
          </w:tcPr>
          <w:p w14:paraId="7CC4A8C3" w14:textId="77777777" w:rsidR="00124768" w:rsidRDefault="00124768" w:rsidP="00D1025F">
            <w:pPr>
              <w:tabs>
                <w:tab w:val="right" w:pos="9072"/>
              </w:tabs>
              <w:spacing w:line="360" w:lineRule="auto"/>
              <w:jc w:val="right"/>
            </w:pPr>
          </w:p>
          <w:p w14:paraId="6FF28DCF" w14:textId="27081970" w:rsidR="00D1025F" w:rsidRPr="0058444E" w:rsidRDefault="00851C21" w:rsidP="00D1025F">
            <w:pPr>
              <w:tabs>
                <w:tab w:val="right" w:pos="9072"/>
              </w:tabs>
              <w:spacing w:line="360" w:lineRule="auto"/>
              <w:jc w:val="right"/>
            </w:pPr>
            <w:r w:rsidRPr="0058444E">
              <w:t xml:space="preserve"> </w:t>
            </w:r>
            <w:r w:rsidR="007843B5">
              <w:t>Masterscriptie</w:t>
            </w:r>
            <w:r w:rsidRPr="0058444E">
              <w:t xml:space="preserve"> </w:t>
            </w:r>
            <w:r w:rsidR="00D1025F" w:rsidRPr="0058444E">
              <w:t>ingediend door</w:t>
            </w:r>
          </w:p>
          <w:p w14:paraId="4FB9D3F0" w14:textId="1F267654" w:rsidR="00D1025F" w:rsidRDefault="003A6F6D" w:rsidP="00D1025F">
            <w:pPr>
              <w:tabs>
                <w:tab w:val="right" w:pos="9072"/>
              </w:tabs>
              <w:spacing w:line="360" w:lineRule="auto"/>
              <w:jc w:val="right"/>
              <w:rPr>
                <w:rStyle w:val="KleinKapitaalAuteursCtrlAltK"/>
                <w:b/>
                <w:bCs/>
                <w:lang w:val="nl-BE"/>
              </w:rPr>
            </w:pPr>
            <w:r w:rsidRPr="007843B5">
              <w:rPr>
                <w:b/>
                <w:bCs/>
              </w:rPr>
              <w:t xml:space="preserve">Xanthe </w:t>
            </w:r>
            <w:r w:rsidRPr="007843B5">
              <w:rPr>
                <w:rStyle w:val="KleinKapitaalAuteursCtrlAltK"/>
                <w:b/>
                <w:bCs/>
                <w:lang w:val="nl-BE"/>
              </w:rPr>
              <w:t>G</w:t>
            </w:r>
            <w:r w:rsidR="00CF7274">
              <w:rPr>
                <w:rStyle w:val="KleinKapitaalAuteursCtrlAltK"/>
                <w:b/>
                <w:bCs/>
                <w:lang w:val="nl-BE"/>
              </w:rPr>
              <w:t>ODTS</w:t>
            </w:r>
          </w:p>
          <w:p w14:paraId="3BDEC760" w14:textId="77777777" w:rsidR="007843B5" w:rsidRDefault="007843B5" w:rsidP="007843B5">
            <w:pPr>
              <w:pStyle w:val="12ptvoor"/>
              <w:jc w:val="right"/>
            </w:pPr>
            <w:r>
              <w:t>bij het eindexamen voor de graad van</w:t>
            </w:r>
          </w:p>
          <w:p w14:paraId="29C710C1" w14:textId="7172EA2E" w:rsidR="007843B5" w:rsidRPr="007843B5" w:rsidRDefault="007843B5" w:rsidP="007843B5">
            <w:pPr>
              <w:pStyle w:val="12ptvoor"/>
              <w:jc w:val="right"/>
            </w:pPr>
            <w:r>
              <w:t>MASTER IN DE RECHTEN</w:t>
            </w:r>
          </w:p>
        </w:tc>
      </w:tr>
    </w:tbl>
    <w:p w14:paraId="5FC32E4E" w14:textId="3CA41942" w:rsidR="00D1025F" w:rsidRPr="00763229" w:rsidRDefault="00BD6C51" w:rsidP="00BD6C51">
      <w:pPr>
        <w:pStyle w:val="Titel"/>
        <w:rPr>
          <w:rStyle w:val="Vet"/>
          <w:bCs/>
          <w:lang w:val="nl-BE"/>
        </w:rPr>
      </w:pPr>
      <w:r>
        <w:rPr>
          <w:rStyle w:val="Vet"/>
          <w:bCs/>
          <w:lang w:val="nl-BE"/>
        </w:rPr>
        <w:t xml:space="preserve"> A</w:t>
      </w:r>
      <w:r w:rsidR="00763229">
        <w:rPr>
          <w:rStyle w:val="Vet"/>
          <w:bCs/>
          <w:lang w:val="nl-BE"/>
        </w:rPr>
        <w:t>antal woorden</w:t>
      </w:r>
      <w:r w:rsidR="00730EC1">
        <w:rPr>
          <w:rStyle w:val="Vet"/>
          <w:bCs/>
          <w:lang w:val="nl-BE"/>
        </w:rPr>
        <w:t xml:space="preserve">: </w:t>
      </w:r>
      <w:r w:rsidR="00DB14C8">
        <w:rPr>
          <w:rStyle w:val="Vet"/>
          <w:bCs/>
          <w:lang w:val="nl-BE"/>
        </w:rPr>
        <w:t>19.991</w:t>
      </w:r>
    </w:p>
    <w:p w14:paraId="21FB4829" w14:textId="77777777" w:rsidR="00ED01CA" w:rsidRDefault="00ED01CA" w:rsidP="00647701">
      <w:pPr>
        <w:jc w:val="left"/>
        <w:rPr>
          <w:rStyle w:val="Vet"/>
          <w:b w:val="0"/>
          <w:lang w:val="nl-BE"/>
        </w:rPr>
      </w:pPr>
    </w:p>
    <w:p w14:paraId="0C94E842" w14:textId="5B7DD61B" w:rsidR="00ED01CA" w:rsidRDefault="00ED01CA">
      <w:pPr>
        <w:jc w:val="left"/>
        <w:rPr>
          <w:rStyle w:val="Vet"/>
          <w:b w:val="0"/>
          <w:lang w:val="nl-BE"/>
        </w:rPr>
      </w:pPr>
      <w:r>
        <w:rPr>
          <w:rStyle w:val="Vet"/>
          <w:b w:val="0"/>
          <w:lang w:val="nl-BE"/>
        </w:rPr>
        <w:br w:type="page"/>
      </w:r>
    </w:p>
    <w:p w14:paraId="7946FA12" w14:textId="77777777" w:rsidR="00DF175E" w:rsidRPr="0058444E" w:rsidRDefault="00DF175E" w:rsidP="00DF175E">
      <w:pPr>
        <w:jc w:val="center"/>
        <w:rPr>
          <w:rFonts w:eastAsia="Calibri"/>
          <w:smallCaps/>
          <w:szCs w:val="22"/>
          <w:lang w:eastAsia="en-US"/>
        </w:rPr>
      </w:pPr>
      <w:r w:rsidRPr="0058444E">
        <w:rPr>
          <w:noProof/>
          <w:lang w:eastAsia="nl-BE"/>
        </w:rPr>
        <w:lastRenderedPageBreak/>
        <w:drawing>
          <wp:inline distT="0" distB="0" distL="0" distR="0" wp14:anchorId="60F922D0" wp14:editId="50B978BA">
            <wp:extent cx="1424940" cy="2381885"/>
            <wp:effectExtent l="0" t="0" r="3810" b="0"/>
            <wp:docPr id="1390381419" name="Picture 2" descr="Beschrijving: LOGO 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chrijving: LOGO kuleuv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4940" cy="2381885"/>
                    </a:xfrm>
                    <a:prstGeom prst="rect">
                      <a:avLst/>
                    </a:prstGeom>
                    <a:noFill/>
                    <a:ln>
                      <a:noFill/>
                    </a:ln>
                  </pic:spPr>
                </pic:pic>
              </a:graphicData>
            </a:graphic>
          </wp:inline>
        </w:drawing>
      </w:r>
    </w:p>
    <w:p w14:paraId="32F480EC" w14:textId="77777777" w:rsidR="00DF175E" w:rsidRPr="0058444E" w:rsidRDefault="00DF175E" w:rsidP="00DF175E">
      <w:pPr>
        <w:spacing w:before="240" w:line="360" w:lineRule="auto"/>
        <w:jc w:val="center"/>
        <w:rPr>
          <w:rStyle w:val="KleinKapitaalAuteursCtrlAltK"/>
          <w:rFonts w:eastAsia="Calibri"/>
          <w:lang w:val="nl-BE"/>
        </w:rPr>
      </w:pPr>
      <w:r w:rsidRPr="0058444E">
        <w:rPr>
          <w:rStyle w:val="KleinKapitaalAuteursCtrlAltK"/>
          <w:rFonts w:eastAsia="Calibri"/>
          <w:lang w:val="nl-BE"/>
        </w:rPr>
        <w:t>KU Leuven</w:t>
      </w:r>
    </w:p>
    <w:p w14:paraId="6902A54A" w14:textId="77777777" w:rsidR="00DF175E" w:rsidRPr="0058444E" w:rsidRDefault="00DF175E" w:rsidP="00DF175E">
      <w:pPr>
        <w:spacing w:line="360" w:lineRule="auto"/>
        <w:jc w:val="center"/>
        <w:rPr>
          <w:rStyle w:val="KleinKapitaalAuteursCtrlAltK"/>
          <w:rFonts w:eastAsia="Calibri"/>
          <w:lang w:val="nl-BE"/>
        </w:rPr>
      </w:pPr>
      <w:r w:rsidRPr="0058444E">
        <w:rPr>
          <w:rStyle w:val="KleinKapitaalAuteursCtrlAltK"/>
          <w:rFonts w:eastAsia="Calibri"/>
          <w:lang w:val="nl-BE"/>
        </w:rPr>
        <w:t>Faculteit Rechtsgeleerdheid en Criminologische Wetenschappen</w:t>
      </w:r>
    </w:p>
    <w:p w14:paraId="258BF3A2" w14:textId="77777777" w:rsidR="00DF175E" w:rsidRDefault="00DF175E" w:rsidP="00DF175E">
      <w:pPr>
        <w:spacing w:line="360" w:lineRule="auto"/>
        <w:jc w:val="center"/>
        <w:rPr>
          <w:rFonts w:eastAsia="Calibri"/>
          <w:szCs w:val="22"/>
          <w:lang w:eastAsia="en-US"/>
        </w:rPr>
      </w:pPr>
      <w:r w:rsidRPr="0058444E">
        <w:rPr>
          <w:rFonts w:eastAsia="Calibri"/>
          <w:szCs w:val="22"/>
          <w:lang w:eastAsia="en-US"/>
        </w:rPr>
        <w:t>Academiejaar 202</w:t>
      </w:r>
      <w:r>
        <w:rPr>
          <w:rFonts w:eastAsia="Calibri"/>
          <w:szCs w:val="22"/>
          <w:lang w:eastAsia="en-US"/>
        </w:rPr>
        <w:t>5</w:t>
      </w:r>
      <w:r w:rsidRPr="0058444E">
        <w:rPr>
          <w:rFonts w:eastAsia="Calibri"/>
          <w:szCs w:val="22"/>
          <w:lang w:eastAsia="en-US"/>
        </w:rPr>
        <w:t xml:space="preserve"> </w:t>
      </w:r>
      <w:r>
        <w:rPr>
          <w:rFonts w:eastAsia="Calibri"/>
          <w:szCs w:val="22"/>
          <w:lang w:eastAsia="en-US"/>
        </w:rPr>
        <w:t>–</w:t>
      </w:r>
      <w:r w:rsidRPr="0058444E">
        <w:rPr>
          <w:rFonts w:eastAsia="Calibri"/>
          <w:szCs w:val="22"/>
          <w:lang w:eastAsia="en-US"/>
        </w:rPr>
        <w:t xml:space="preserve"> 202</w:t>
      </w:r>
      <w:r>
        <w:rPr>
          <w:rFonts w:eastAsia="Calibri"/>
          <w:szCs w:val="22"/>
          <w:lang w:eastAsia="en-US"/>
        </w:rPr>
        <w:t>6</w:t>
      </w:r>
    </w:p>
    <w:p w14:paraId="050E48F9" w14:textId="77777777" w:rsidR="00DF175E" w:rsidRDefault="00DF175E" w:rsidP="00DF175E">
      <w:pPr>
        <w:spacing w:line="360" w:lineRule="auto"/>
        <w:jc w:val="center"/>
        <w:rPr>
          <w:rFonts w:eastAsia="Calibri"/>
          <w:szCs w:val="22"/>
          <w:lang w:eastAsia="en-US"/>
        </w:rPr>
      </w:pPr>
    </w:p>
    <w:p w14:paraId="10123800" w14:textId="77777777" w:rsidR="00DF175E" w:rsidRPr="000F4F23" w:rsidRDefault="00DF175E" w:rsidP="00DF175E">
      <w:pPr>
        <w:spacing w:line="360" w:lineRule="auto"/>
        <w:jc w:val="center"/>
        <w:rPr>
          <w:rFonts w:eastAsia="Calibri"/>
          <w:szCs w:val="22"/>
          <w:lang w:eastAsia="en-US"/>
        </w:rPr>
      </w:pPr>
      <w:r w:rsidRPr="0058444E">
        <w:rPr>
          <w:b/>
          <w:bCs/>
          <w:sz w:val="36"/>
        </w:rPr>
        <w:t>Masterscriptie</w:t>
      </w:r>
    </w:p>
    <w:p w14:paraId="25FB0CAD" w14:textId="77777777" w:rsidR="00DF175E" w:rsidRPr="0058444E" w:rsidRDefault="00DF175E" w:rsidP="00DF175E">
      <w:pPr>
        <w:spacing w:before="200"/>
        <w:jc w:val="center"/>
        <w:rPr>
          <w:b/>
          <w:bCs/>
          <w:i/>
          <w:iCs/>
          <w:sz w:val="28"/>
        </w:rPr>
      </w:pPr>
      <w:r w:rsidRPr="002F3382">
        <w:rPr>
          <w:b/>
          <w:bCs/>
          <w:i/>
          <w:iCs/>
          <w:sz w:val="28"/>
        </w:rPr>
        <w:t>Van tweedeling naar teamwerk: de harmonis</w:t>
      </w:r>
      <w:r>
        <w:rPr>
          <w:b/>
          <w:bCs/>
          <w:i/>
          <w:iCs/>
          <w:sz w:val="28"/>
        </w:rPr>
        <w:t>atie</w:t>
      </w:r>
      <w:r w:rsidRPr="002F3382">
        <w:rPr>
          <w:b/>
          <w:bCs/>
          <w:i/>
          <w:iCs/>
          <w:sz w:val="28"/>
        </w:rPr>
        <w:t xml:space="preserve"> van </w:t>
      </w:r>
      <w:r>
        <w:rPr>
          <w:b/>
          <w:bCs/>
          <w:i/>
          <w:iCs/>
          <w:sz w:val="28"/>
        </w:rPr>
        <w:t xml:space="preserve">de </w:t>
      </w:r>
      <w:r w:rsidRPr="002F3382">
        <w:rPr>
          <w:b/>
          <w:bCs/>
          <w:i/>
          <w:iCs/>
          <w:sz w:val="28"/>
        </w:rPr>
        <w:t>aanvullende pensioenen</w:t>
      </w:r>
      <w:r>
        <w:rPr>
          <w:b/>
          <w:bCs/>
          <w:i/>
          <w:iCs/>
          <w:sz w:val="28"/>
        </w:rPr>
        <w:t xml:space="preserve"> naar aanleiding van de invoering van een eenheidsstatuut</w:t>
      </w:r>
    </w:p>
    <w:p w14:paraId="2B2216ED" w14:textId="77777777" w:rsidR="00DF175E" w:rsidRPr="0058444E" w:rsidRDefault="00DF175E" w:rsidP="00DF175E">
      <w:pPr>
        <w:spacing w:before="200"/>
        <w:jc w:val="center"/>
        <w:rPr>
          <w:b/>
          <w:bCs/>
          <w:caps/>
          <w:sz w:val="28"/>
        </w:rPr>
      </w:pPr>
    </w:p>
    <w:p w14:paraId="55D63FEA" w14:textId="77777777" w:rsidR="00DF175E" w:rsidRPr="0058444E" w:rsidRDefault="00DF175E" w:rsidP="00DF175E">
      <w:pPr>
        <w:spacing w:before="200"/>
        <w:jc w:val="center"/>
        <w:rPr>
          <w:b/>
          <w:bCs/>
          <w:caps/>
          <w:sz w:val="28"/>
        </w:rPr>
      </w:pPr>
    </w:p>
    <w:p w14:paraId="175EC83B" w14:textId="77777777" w:rsidR="00DF175E" w:rsidRPr="0058444E" w:rsidRDefault="00DF175E" w:rsidP="00DF175E">
      <w:pPr>
        <w:spacing w:before="200"/>
        <w:jc w:val="center"/>
        <w:rPr>
          <w:b/>
          <w:bCs/>
          <w:caps/>
          <w:sz w:val="28"/>
        </w:rPr>
      </w:pPr>
    </w:p>
    <w:p w14:paraId="2A343934" w14:textId="77777777" w:rsidR="00DF175E" w:rsidRPr="0058444E" w:rsidRDefault="00DF175E" w:rsidP="00DF175E">
      <w:pPr>
        <w:spacing w:before="200"/>
        <w:jc w:val="center"/>
        <w:rPr>
          <w:b/>
          <w:bCs/>
          <w:caps/>
          <w:sz w:val="28"/>
        </w:rPr>
      </w:pPr>
    </w:p>
    <w:p w14:paraId="30835B74" w14:textId="77777777" w:rsidR="00DF175E" w:rsidRPr="0058444E" w:rsidRDefault="00DF175E" w:rsidP="00DF175E">
      <w:pPr>
        <w:spacing w:before="200"/>
        <w:jc w:val="center"/>
        <w:rPr>
          <w:b/>
          <w:bCs/>
          <w:caps/>
          <w:sz w:val="28"/>
        </w:rPr>
      </w:pPr>
    </w:p>
    <w:p w14:paraId="3A5849A2" w14:textId="77777777" w:rsidR="00DF175E" w:rsidRPr="0058444E" w:rsidRDefault="00DF175E" w:rsidP="00DF175E">
      <w:pPr>
        <w:spacing w:before="200"/>
        <w:jc w:val="center"/>
        <w:rPr>
          <w:b/>
          <w:bCs/>
          <w:caps/>
          <w:sz w:val="28"/>
        </w:rPr>
      </w:pPr>
    </w:p>
    <w:p w14:paraId="680D932E" w14:textId="77777777" w:rsidR="00DF175E" w:rsidRPr="0058444E" w:rsidRDefault="00DF175E" w:rsidP="00DF175E">
      <w:pPr>
        <w:spacing w:before="200"/>
        <w:jc w:val="center"/>
        <w:rPr>
          <w:b/>
          <w:bCs/>
          <w:caps/>
          <w:sz w:val="36"/>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DF175E" w:rsidRPr="0058444E" w14:paraId="409B8B22" w14:textId="77777777" w:rsidTr="00287821">
        <w:tc>
          <w:tcPr>
            <w:tcW w:w="4889" w:type="dxa"/>
          </w:tcPr>
          <w:p w14:paraId="1C3E6510" w14:textId="77777777" w:rsidR="007F38BF" w:rsidRDefault="007F38BF" w:rsidP="00E863E6">
            <w:pPr>
              <w:spacing w:before="100" w:beforeAutospacing="1" w:line="276" w:lineRule="auto"/>
              <w:jc w:val="left"/>
            </w:pPr>
          </w:p>
          <w:p w14:paraId="6BD448EA" w14:textId="2708EB7A" w:rsidR="00DF175E" w:rsidRPr="0058444E" w:rsidRDefault="00DF175E" w:rsidP="00E863E6">
            <w:pPr>
              <w:spacing w:before="100" w:beforeAutospacing="1" w:line="276" w:lineRule="auto"/>
              <w:jc w:val="left"/>
              <w:rPr>
                <w:rStyle w:val="KleinKapitaalAuteursCtrlAltK"/>
                <w:lang w:val="nl-BE"/>
              </w:rPr>
            </w:pPr>
            <w:r>
              <w:t>Promotor</w:t>
            </w:r>
            <w:r w:rsidRPr="0058444E">
              <w:t xml:space="preserve">: </w:t>
            </w:r>
            <w:r w:rsidR="003F4F1F">
              <w:t xml:space="preserve">Prof. Dr. </w:t>
            </w:r>
            <w:r>
              <w:t>P. SCHOUKENS</w:t>
            </w:r>
          </w:p>
          <w:p w14:paraId="49FE26DA" w14:textId="7A8F0171" w:rsidR="00DF175E" w:rsidRDefault="00DF175E" w:rsidP="00E863E6">
            <w:pPr>
              <w:spacing w:line="276" w:lineRule="auto"/>
              <w:jc w:val="left"/>
            </w:pPr>
            <w:r>
              <w:t>Corrector</w:t>
            </w:r>
            <w:r w:rsidRPr="0058444E">
              <w:t xml:space="preserve">: </w:t>
            </w:r>
            <w:r w:rsidR="003F4F1F">
              <w:t>Prof. Dr. K. WILLEMS</w:t>
            </w:r>
          </w:p>
          <w:p w14:paraId="36255E20" w14:textId="1B31DC53" w:rsidR="00DF175E" w:rsidRPr="0058444E" w:rsidRDefault="00DF175E" w:rsidP="00E863E6">
            <w:pPr>
              <w:spacing w:line="276" w:lineRule="auto"/>
              <w:jc w:val="left"/>
            </w:pPr>
            <w:r>
              <w:t>Begeleider: G. EVERAET</w:t>
            </w:r>
          </w:p>
          <w:p w14:paraId="5298BECD" w14:textId="77777777" w:rsidR="00DF175E" w:rsidRPr="0058444E" w:rsidRDefault="00DF175E" w:rsidP="00287821">
            <w:pPr>
              <w:spacing w:line="360" w:lineRule="auto"/>
            </w:pPr>
          </w:p>
        </w:tc>
        <w:tc>
          <w:tcPr>
            <w:tcW w:w="4889" w:type="dxa"/>
          </w:tcPr>
          <w:p w14:paraId="52E5C185" w14:textId="77777777" w:rsidR="0053097A" w:rsidRDefault="00DF175E" w:rsidP="00287821">
            <w:pPr>
              <w:tabs>
                <w:tab w:val="right" w:pos="9072"/>
              </w:tabs>
              <w:spacing w:line="360" w:lineRule="auto"/>
              <w:jc w:val="right"/>
            </w:pPr>
            <w:r w:rsidRPr="0058444E">
              <w:t xml:space="preserve"> </w:t>
            </w:r>
          </w:p>
          <w:p w14:paraId="48DC9BC2" w14:textId="2D0FD186" w:rsidR="00DF175E" w:rsidRPr="0058444E" w:rsidRDefault="00DF175E" w:rsidP="00287821">
            <w:pPr>
              <w:tabs>
                <w:tab w:val="right" w:pos="9072"/>
              </w:tabs>
              <w:spacing w:line="360" w:lineRule="auto"/>
              <w:jc w:val="right"/>
            </w:pPr>
            <w:r>
              <w:t>Masterscriptie</w:t>
            </w:r>
            <w:r w:rsidRPr="0058444E">
              <w:t xml:space="preserve"> ingediend door</w:t>
            </w:r>
          </w:p>
          <w:p w14:paraId="525040C9" w14:textId="7311FFD1" w:rsidR="00DF175E" w:rsidRDefault="00DF175E" w:rsidP="00287821">
            <w:pPr>
              <w:tabs>
                <w:tab w:val="right" w:pos="9072"/>
              </w:tabs>
              <w:spacing w:line="360" w:lineRule="auto"/>
              <w:jc w:val="right"/>
              <w:rPr>
                <w:rStyle w:val="KleinKapitaalAuteursCtrlAltK"/>
                <w:b/>
                <w:bCs/>
                <w:lang w:val="nl-BE"/>
              </w:rPr>
            </w:pPr>
            <w:r w:rsidRPr="007843B5">
              <w:rPr>
                <w:b/>
                <w:bCs/>
              </w:rPr>
              <w:t xml:space="preserve">Xanthe </w:t>
            </w:r>
            <w:r w:rsidRPr="007843B5">
              <w:rPr>
                <w:rStyle w:val="KleinKapitaalAuteursCtrlAltK"/>
                <w:b/>
                <w:bCs/>
                <w:lang w:val="nl-BE"/>
              </w:rPr>
              <w:t>G</w:t>
            </w:r>
            <w:r w:rsidR="005F60CB">
              <w:rPr>
                <w:rStyle w:val="KleinKapitaalAuteursCtrlAltK"/>
                <w:b/>
                <w:bCs/>
                <w:lang w:val="nl-BE"/>
              </w:rPr>
              <w:t>ODTS</w:t>
            </w:r>
          </w:p>
          <w:p w14:paraId="6BD23AA8" w14:textId="77777777" w:rsidR="00DF175E" w:rsidRDefault="00DF175E" w:rsidP="00287821">
            <w:pPr>
              <w:pStyle w:val="12ptvoor"/>
              <w:jc w:val="right"/>
            </w:pPr>
            <w:r>
              <w:t>bij het eindexamen voor de graad van</w:t>
            </w:r>
          </w:p>
          <w:p w14:paraId="7B211E7D" w14:textId="77777777" w:rsidR="00DF175E" w:rsidRPr="007843B5" w:rsidRDefault="00DF175E" w:rsidP="00287821">
            <w:pPr>
              <w:pStyle w:val="12ptvoor"/>
              <w:jc w:val="right"/>
            </w:pPr>
            <w:r>
              <w:t>MASTER IN DE RECHTEN</w:t>
            </w:r>
          </w:p>
        </w:tc>
      </w:tr>
    </w:tbl>
    <w:p w14:paraId="2A357C95" w14:textId="0C65D003" w:rsidR="00DF175E" w:rsidRPr="00763229" w:rsidRDefault="00B351FF" w:rsidP="00B351FF">
      <w:pPr>
        <w:pStyle w:val="Titel"/>
        <w:rPr>
          <w:rStyle w:val="Vet"/>
          <w:bCs/>
          <w:lang w:val="nl-BE"/>
        </w:rPr>
      </w:pPr>
      <w:r>
        <w:rPr>
          <w:rStyle w:val="Vet"/>
          <w:bCs/>
          <w:lang w:val="nl-BE"/>
        </w:rPr>
        <w:t xml:space="preserve"> A</w:t>
      </w:r>
      <w:r w:rsidR="00DF175E">
        <w:rPr>
          <w:rStyle w:val="Vet"/>
          <w:bCs/>
          <w:lang w:val="nl-BE"/>
        </w:rPr>
        <w:t>antal woorden</w:t>
      </w:r>
      <w:r w:rsidR="00730EC1">
        <w:rPr>
          <w:rStyle w:val="Vet"/>
          <w:bCs/>
          <w:lang w:val="nl-BE"/>
        </w:rPr>
        <w:t>:</w:t>
      </w:r>
      <w:r w:rsidR="00DB14C8">
        <w:rPr>
          <w:rStyle w:val="Vet"/>
          <w:bCs/>
          <w:lang w:val="nl-BE"/>
        </w:rPr>
        <w:t xml:space="preserve"> 19.991</w:t>
      </w:r>
    </w:p>
    <w:p w14:paraId="21236F94" w14:textId="62601923" w:rsidR="00DF175E" w:rsidRDefault="00DF175E" w:rsidP="00174FEF">
      <w:pPr>
        <w:jc w:val="center"/>
      </w:pPr>
    </w:p>
    <w:p w14:paraId="1BB13B91" w14:textId="6B69161D" w:rsidR="00DF175E" w:rsidRDefault="00DF175E">
      <w:pPr>
        <w:jc w:val="left"/>
      </w:pPr>
    </w:p>
    <w:p w14:paraId="0E9AC40E" w14:textId="77777777" w:rsidR="00174FEF" w:rsidRDefault="00174FEF" w:rsidP="00174FEF">
      <w:pPr>
        <w:jc w:val="center"/>
      </w:pPr>
    </w:p>
    <w:p w14:paraId="677C34EA" w14:textId="77777777" w:rsidR="00174FEF" w:rsidRDefault="00174FEF" w:rsidP="00174FEF">
      <w:pPr>
        <w:jc w:val="center"/>
      </w:pPr>
    </w:p>
    <w:p w14:paraId="2306DF09" w14:textId="77777777" w:rsidR="00174FEF" w:rsidRDefault="00174FEF" w:rsidP="00174FEF">
      <w:pPr>
        <w:jc w:val="center"/>
      </w:pPr>
    </w:p>
    <w:p w14:paraId="59A71091" w14:textId="77777777" w:rsidR="00174FEF" w:rsidRDefault="00174FEF" w:rsidP="00174FEF">
      <w:pPr>
        <w:jc w:val="center"/>
      </w:pPr>
    </w:p>
    <w:p w14:paraId="793382A2" w14:textId="58006970" w:rsidR="00174FEF" w:rsidRDefault="00174FEF" w:rsidP="00174FEF">
      <w:pPr>
        <w:jc w:val="center"/>
      </w:pPr>
      <w:r w:rsidRPr="00DE550D">
        <w:rPr>
          <w:noProof/>
        </w:rPr>
        <w:drawing>
          <wp:inline distT="0" distB="0" distL="0" distR="0" wp14:anchorId="1671A714" wp14:editId="4AE1EAFB">
            <wp:extent cx="2073275" cy="744220"/>
            <wp:effectExtent l="0" t="0" r="3175" b="0"/>
            <wp:docPr id="154530429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73275" cy="744220"/>
                    </a:xfrm>
                    <a:prstGeom prst="rect">
                      <a:avLst/>
                    </a:prstGeom>
                    <a:noFill/>
                    <a:ln>
                      <a:noFill/>
                    </a:ln>
                  </pic:spPr>
                </pic:pic>
              </a:graphicData>
            </a:graphic>
          </wp:inline>
        </w:drawing>
      </w:r>
    </w:p>
    <w:p w14:paraId="482779A3" w14:textId="77777777" w:rsidR="00174FEF" w:rsidRDefault="00174FEF" w:rsidP="00174FEF">
      <w:pPr>
        <w:jc w:val="center"/>
      </w:pPr>
    </w:p>
    <w:p w14:paraId="2D723490" w14:textId="77777777" w:rsidR="00174FEF" w:rsidRDefault="00174FEF" w:rsidP="00174FEF">
      <w:pPr>
        <w:jc w:val="center"/>
      </w:pPr>
    </w:p>
    <w:p w14:paraId="115743B2" w14:textId="77777777" w:rsidR="00174FEF" w:rsidRDefault="00174FEF" w:rsidP="00174FEF">
      <w:pPr>
        <w:jc w:val="center"/>
      </w:pPr>
    </w:p>
    <w:p w14:paraId="5BCCACCC" w14:textId="77777777" w:rsidR="00174FEF" w:rsidRDefault="00174FEF" w:rsidP="00174FEF">
      <w:pPr>
        <w:jc w:val="center"/>
      </w:pPr>
    </w:p>
    <w:p w14:paraId="560E0399" w14:textId="77777777" w:rsidR="00174FEF" w:rsidRDefault="00174FEF" w:rsidP="00174FEF">
      <w:pPr>
        <w:jc w:val="center"/>
      </w:pPr>
    </w:p>
    <w:p w14:paraId="72ACD73A" w14:textId="77777777" w:rsidR="00174FEF" w:rsidRDefault="00174FEF" w:rsidP="00174FEF">
      <w:pPr>
        <w:jc w:val="center"/>
      </w:pPr>
    </w:p>
    <w:p w14:paraId="6BC9B352" w14:textId="77777777" w:rsidR="00174FEF" w:rsidRDefault="00174FEF" w:rsidP="00174FEF">
      <w:pPr>
        <w:jc w:val="center"/>
      </w:pPr>
    </w:p>
    <w:p w14:paraId="33F13651" w14:textId="77777777" w:rsidR="00174FEF" w:rsidRPr="009323DF" w:rsidRDefault="00174FEF" w:rsidP="00174FEF">
      <w:pPr>
        <w:shd w:val="clear" w:color="auto" w:fill="FFFFFF"/>
        <w:jc w:val="center"/>
        <w:rPr>
          <w:rFonts w:ascii="Arial" w:hAnsi="Arial" w:cs="Arial"/>
          <w:i/>
          <w:iCs/>
          <w:color w:val="242424"/>
          <w:sz w:val="36"/>
          <w:szCs w:val="36"/>
          <w:lang w:eastAsia="en-GB"/>
        </w:rPr>
      </w:pPr>
      <w:r w:rsidRPr="009323DF">
        <w:rPr>
          <w:rFonts w:ascii="Arial" w:hAnsi="Arial" w:cs="Arial"/>
          <w:i/>
          <w:iCs/>
          <w:color w:val="242424"/>
          <w:sz w:val="36"/>
          <w:szCs w:val="36"/>
          <w:lang w:eastAsia="en-GB"/>
        </w:rPr>
        <w:t>Copyright informatie:</w:t>
      </w:r>
    </w:p>
    <w:p w14:paraId="47BDA00F" w14:textId="77777777" w:rsidR="00174FEF" w:rsidRPr="009323DF" w:rsidRDefault="00174FEF" w:rsidP="00174FEF">
      <w:pPr>
        <w:shd w:val="clear" w:color="auto" w:fill="FFFFFF"/>
        <w:jc w:val="center"/>
        <w:rPr>
          <w:rFonts w:ascii="Arial" w:hAnsi="Arial" w:cs="Arial"/>
          <w:i/>
          <w:iCs/>
          <w:color w:val="242424"/>
          <w:sz w:val="36"/>
          <w:szCs w:val="36"/>
          <w:lang w:eastAsia="en-GB"/>
        </w:rPr>
      </w:pPr>
      <w:r w:rsidRPr="009323DF">
        <w:rPr>
          <w:rFonts w:ascii="Arial" w:hAnsi="Arial" w:cs="Arial"/>
          <w:i/>
          <w:iCs/>
          <w:color w:val="242424"/>
          <w:sz w:val="36"/>
          <w:szCs w:val="36"/>
          <w:lang w:eastAsia="en-GB"/>
        </w:rPr>
        <w:t xml:space="preserve">studiewerk van een student in het kader van de academische opleiding en examenbeoordeling. </w:t>
      </w:r>
    </w:p>
    <w:p w14:paraId="50B24919" w14:textId="77777777" w:rsidR="00174FEF" w:rsidRPr="009323DF" w:rsidRDefault="00174FEF" w:rsidP="00174FEF">
      <w:pPr>
        <w:shd w:val="clear" w:color="auto" w:fill="FFFFFF"/>
        <w:jc w:val="center"/>
        <w:rPr>
          <w:rFonts w:ascii="Arial" w:hAnsi="Arial" w:cs="Arial"/>
          <w:i/>
          <w:iCs/>
          <w:color w:val="242424"/>
          <w:sz w:val="36"/>
          <w:szCs w:val="36"/>
          <w:lang w:eastAsia="en-GB"/>
        </w:rPr>
      </w:pPr>
      <w:r w:rsidRPr="009323DF">
        <w:rPr>
          <w:rFonts w:ascii="Arial" w:hAnsi="Arial" w:cs="Arial"/>
          <w:i/>
          <w:iCs/>
          <w:color w:val="242424"/>
          <w:sz w:val="36"/>
          <w:szCs w:val="36"/>
          <w:lang w:eastAsia="en-GB"/>
        </w:rPr>
        <w:t xml:space="preserve">Na deze beoordeling vond geen correctie plaats </w:t>
      </w:r>
    </w:p>
    <w:p w14:paraId="6EB0FE88" w14:textId="77777777" w:rsidR="00384640" w:rsidRDefault="00174FEF" w:rsidP="00384640">
      <w:pPr>
        <w:shd w:val="clear" w:color="auto" w:fill="FFFFFF"/>
        <w:jc w:val="center"/>
        <w:rPr>
          <w:rFonts w:ascii="Arial" w:hAnsi="Arial" w:cs="Arial"/>
          <w:i/>
          <w:iCs/>
          <w:color w:val="242424"/>
          <w:sz w:val="36"/>
          <w:szCs w:val="36"/>
          <w:lang w:eastAsia="en-GB"/>
        </w:rPr>
      </w:pPr>
      <w:r w:rsidRPr="009323DF">
        <w:rPr>
          <w:rFonts w:ascii="Arial" w:hAnsi="Arial" w:cs="Arial"/>
          <w:i/>
          <w:iCs/>
          <w:color w:val="242424"/>
          <w:sz w:val="36"/>
          <w:szCs w:val="36"/>
          <w:lang w:eastAsia="en-GB"/>
        </w:rPr>
        <w:t>van het studiewerk</w:t>
      </w:r>
    </w:p>
    <w:p w14:paraId="4F458F44" w14:textId="116BCD84" w:rsidR="00E3269A" w:rsidRDefault="00E3269A" w:rsidP="00384640">
      <w:pPr>
        <w:shd w:val="clear" w:color="auto" w:fill="FFFFFF"/>
        <w:jc w:val="center"/>
        <w:rPr>
          <w:rStyle w:val="Vet"/>
          <w:rFonts w:ascii="Arial" w:hAnsi="Arial" w:cs="Arial"/>
          <w:b w:val="0"/>
          <w:color w:val="242424"/>
          <w:sz w:val="36"/>
          <w:szCs w:val="36"/>
          <w:lang w:val="nl-BE" w:eastAsia="en-GB"/>
        </w:rPr>
      </w:pPr>
    </w:p>
    <w:p w14:paraId="18FA1011" w14:textId="4C472E72" w:rsidR="00A55C1D" w:rsidRDefault="00A55C1D" w:rsidP="00174FEF">
      <w:pPr>
        <w:pStyle w:val="Kop1"/>
        <w:numPr>
          <w:ilvl w:val="0"/>
          <w:numId w:val="0"/>
        </w:numPr>
        <w:rPr>
          <w:rStyle w:val="Vet"/>
          <w:b/>
          <w:bCs w:val="0"/>
          <w:lang w:val="nl-BE"/>
        </w:rPr>
        <w:sectPr w:rsidR="00A55C1D" w:rsidSect="00CB2C5C">
          <w:footerReference w:type="default" r:id="rId10"/>
          <w:pgSz w:w="11906" w:h="16838" w:code="9"/>
          <w:pgMar w:top="1418" w:right="1134" w:bottom="1418" w:left="1134" w:header="709" w:footer="833" w:gutter="0"/>
          <w:pgNumType w:fmt="upperRoman" w:start="7"/>
          <w:cols w:space="708"/>
          <w:docGrid w:linePitch="360"/>
        </w:sectPr>
      </w:pPr>
    </w:p>
    <w:p w14:paraId="521F1C0A" w14:textId="66164132" w:rsidR="00414F9F" w:rsidRDefault="00414F9F" w:rsidP="00F3298F">
      <w:pPr>
        <w:pStyle w:val="Kop1"/>
        <w:numPr>
          <w:ilvl w:val="0"/>
          <w:numId w:val="0"/>
        </w:numPr>
        <w:rPr>
          <w:rStyle w:val="Vet"/>
          <w:b/>
          <w:bCs w:val="0"/>
          <w:lang w:val="nl-BE"/>
        </w:rPr>
      </w:pPr>
      <w:bookmarkStart w:id="0" w:name="_Toc228546707"/>
      <w:bookmarkStart w:id="1" w:name="_Toc228547666"/>
      <w:bookmarkStart w:id="2" w:name="_Toc228547871"/>
      <w:bookmarkStart w:id="3" w:name="_Toc228784087"/>
      <w:r>
        <w:rPr>
          <w:rStyle w:val="Vet"/>
          <w:b/>
          <w:bCs w:val="0"/>
          <w:lang w:val="nl-BE"/>
        </w:rPr>
        <w:t>S</w:t>
      </w:r>
      <w:bookmarkEnd w:id="0"/>
      <w:bookmarkEnd w:id="1"/>
      <w:bookmarkEnd w:id="2"/>
      <w:r w:rsidR="00BA14F6">
        <w:rPr>
          <w:rStyle w:val="Vet"/>
          <w:b/>
          <w:bCs w:val="0"/>
          <w:lang w:val="nl-BE"/>
        </w:rPr>
        <w:t>amenvatting</w:t>
      </w:r>
      <w:bookmarkEnd w:id="3"/>
    </w:p>
    <w:p w14:paraId="0E838A32" w14:textId="3B5437A5" w:rsidR="00414F9F" w:rsidRDefault="00414F9F" w:rsidP="00414F9F">
      <w:pPr>
        <w:pStyle w:val="12ptvoor"/>
        <w:spacing w:line="360" w:lineRule="auto"/>
      </w:pPr>
      <w:r>
        <w:t>Sinds jaar en dag wordt het sociaal recht in België beheerst door het onderscheid tussen arbeiders en bedienden. Hoewel de grens tussen hand</w:t>
      </w:r>
      <w:r w:rsidR="00472F6A">
        <w:t>-</w:t>
      </w:r>
      <w:r>
        <w:t xml:space="preserve"> en hoofdarbeid in de moderne economie vervaagd is, blijft dit onderscheid voortbestaan in de tweede pensioenpijler. Ondanks dat het Grondwettelijk Hof reeds in 1993 oordeelde dat het onderscheid tussen arbeiders en bedienden elke objectieve verantwoording mist, is de weg naar een daadwerkelijk eenheidsstatuut complex en bezaaid met juridische hindernissen. </w:t>
      </w:r>
    </w:p>
    <w:p w14:paraId="67595C7B" w14:textId="49327909" w:rsidR="00414F9F" w:rsidRDefault="00414F9F" w:rsidP="00414F9F">
      <w:pPr>
        <w:pStyle w:val="12ptvoor"/>
        <w:spacing w:line="360" w:lineRule="auto"/>
      </w:pPr>
      <w:r>
        <w:t xml:space="preserve">Deze masterproef </w:t>
      </w:r>
      <w:r w:rsidR="001D4ACC">
        <w:t>be</w:t>
      </w:r>
      <w:r w:rsidR="00C37ABC">
        <w:t>o</w:t>
      </w:r>
      <w:r w:rsidR="001D4ACC">
        <w:t>ogt</w:t>
      </w:r>
      <w:r>
        <w:t xml:space="preserve"> een kritische analyse te </w:t>
      </w:r>
      <w:r w:rsidR="00C02F15">
        <w:t xml:space="preserve">voeren </w:t>
      </w:r>
      <w:r>
        <w:t xml:space="preserve">van een historisch gedualiseerd systeem naar een geharmoniseerd pensioenkader. Centraal staat de vraag: </w:t>
      </w:r>
      <w:r>
        <w:rPr>
          <w:i/>
          <w:iCs/>
        </w:rPr>
        <w:t>In welke mate heeft de Wet op het Eenheidsstatuut effectief bijgedragen aan de harmonisatie van de aanvullende pensioenen in België, en welke structurele barrières staan werkelijke sociale gelijkheid nog in de weg?</w:t>
      </w:r>
    </w:p>
    <w:p w14:paraId="6A3DBCFD" w14:textId="77777777" w:rsidR="00414F9F" w:rsidRDefault="00414F9F" w:rsidP="00414F9F">
      <w:pPr>
        <w:pStyle w:val="12ptvoor"/>
        <w:spacing w:line="360" w:lineRule="auto"/>
      </w:pPr>
      <w:r>
        <w:t>De Wet van 5 mei 2014 heeft de harmonisatie van de tweede pensioenpijler wettelijk verankerd in de Wet op de Aanvullende pensioenen. De ultieme deadline om deze harmonisatie te bereiken ligt op 1 januari 2030. Dit onderzoek legt bloot waarom dit proces zo moeizaam verloopt en zal dieper ingaan op de asymmetrie in het Belgische paritaire landschap, waar sectorale pensioenplannen voor arbeiders vaak minder gunstig zijn dan de ondernemingsplannen voor bedienden. Om de Belgische impasse te doorbreken wordt er over de landsgrenzen heen gekeken naar Luxemburg, Nederland en Duitsland.</w:t>
      </w:r>
    </w:p>
    <w:p w14:paraId="5D881BBC" w14:textId="71EBCCE0" w:rsidR="00414F9F" w:rsidRDefault="00414F9F" w:rsidP="00414F9F">
      <w:pPr>
        <w:pStyle w:val="12ptvoor"/>
        <w:spacing w:line="360" w:lineRule="auto"/>
      </w:pPr>
      <w:r>
        <w:t xml:space="preserve">Naast een juridische analyse van het probleem tracht deze masterproef ook concrete beleidsaanbevelingen te formuleren. Zo wordt er voor een succesvolle harmonisatie </w:t>
      </w:r>
      <w:r w:rsidR="00C841F8">
        <w:t>mijn</w:t>
      </w:r>
      <w:r w:rsidR="00B77999">
        <w:t>s</w:t>
      </w:r>
      <w:r w:rsidR="00C841F8">
        <w:t xml:space="preserve"> inziens</w:t>
      </w:r>
      <w:r>
        <w:t xml:space="preserve"> een verschuiving vereist van een individuele naar een collectieve logica en zal de overheid met een hardere hand moeten optreden.</w:t>
      </w:r>
    </w:p>
    <w:p w14:paraId="499CF5BB" w14:textId="70FE749B" w:rsidR="00414F9F" w:rsidRPr="001507EC" w:rsidRDefault="00414F9F" w:rsidP="00414F9F">
      <w:pPr>
        <w:pStyle w:val="12ptvoor"/>
        <w:spacing w:line="360" w:lineRule="auto"/>
      </w:pPr>
      <w:r>
        <w:t>Uiteindelijk toont dit onderzoek aan dat de deadline van 1 januari 2030 geen eindpunt is, maar de start van een noodzakelijke structurele hervorming binnen de aanvullende pensioenen. Door de institutionele barrières tussen de sectorale plannen en ondernemingsplannen te doorbreken, kan België trachten te evolueren naar een stelsel waarin de kwaliteit van pensioenopbouw in de tweede pijler niet langer bepaald wordt door de verouderde grens tussen hand</w:t>
      </w:r>
      <w:r w:rsidR="00BB6918">
        <w:t>-</w:t>
      </w:r>
      <w:r>
        <w:t xml:space="preserve"> en hoofdarbeid, maar door een daadwerkelijke materiële gelijkheid. </w:t>
      </w:r>
    </w:p>
    <w:p w14:paraId="60F1B5D1" w14:textId="288EB6B8" w:rsidR="005761FD" w:rsidRPr="004A09B4" w:rsidRDefault="005761FD" w:rsidP="004A09B4">
      <w:pPr>
        <w:jc w:val="left"/>
        <w:rPr>
          <w:rStyle w:val="Vet"/>
          <w:rFonts w:cs="Arial"/>
          <w:caps/>
          <w:sz w:val="36"/>
          <w:szCs w:val="32"/>
          <w:lang w:val="nl-BE"/>
        </w:rPr>
      </w:pPr>
    </w:p>
    <w:p w14:paraId="0C4C9FE2" w14:textId="77777777" w:rsidR="00ED28DA" w:rsidRDefault="00ED01CA">
      <w:pPr>
        <w:jc w:val="left"/>
        <w:rPr>
          <w:rStyle w:val="Vet"/>
          <w:b w:val="0"/>
          <w:bCs/>
          <w:lang w:val="nl-BE"/>
        </w:rPr>
        <w:sectPr w:rsidR="00ED28DA" w:rsidSect="00A32EA2">
          <w:pgSz w:w="11906" w:h="16838" w:code="9"/>
          <w:pgMar w:top="1418" w:right="1134" w:bottom="1418" w:left="1134" w:header="709" w:footer="833" w:gutter="0"/>
          <w:pgNumType w:fmt="upperRoman" w:start="1"/>
          <w:cols w:space="708"/>
          <w:docGrid w:linePitch="360"/>
        </w:sectPr>
      </w:pPr>
      <w:r>
        <w:rPr>
          <w:rStyle w:val="Vet"/>
          <w:b w:val="0"/>
          <w:bCs/>
          <w:lang w:val="nl-BE"/>
        </w:rPr>
        <w:br w:type="page"/>
      </w:r>
    </w:p>
    <w:p w14:paraId="2DA00605" w14:textId="4CAB659A" w:rsidR="00ED01CA" w:rsidRPr="0058444E" w:rsidRDefault="00ED01CA" w:rsidP="00F3298F">
      <w:pPr>
        <w:pStyle w:val="Kop1"/>
        <w:numPr>
          <w:ilvl w:val="0"/>
          <w:numId w:val="0"/>
        </w:numPr>
      </w:pPr>
      <w:bookmarkStart w:id="4" w:name="_Toc228784088"/>
      <w:r w:rsidRPr="0058444E">
        <w:t>Dankwoord</w:t>
      </w:r>
      <w:bookmarkEnd w:id="4"/>
    </w:p>
    <w:p w14:paraId="6F13B871" w14:textId="293682C4" w:rsidR="00ED01CA" w:rsidRDefault="00ED01CA" w:rsidP="00ED01CA">
      <w:pPr>
        <w:pStyle w:val="12ptvoor"/>
        <w:spacing w:line="360" w:lineRule="auto"/>
      </w:pPr>
      <w:r w:rsidRPr="00651491">
        <w:t>Het schrijven van deze masterproef vormt het sluitstuk van mijn opleiding Rechten</w:t>
      </w:r>
      <w:r>
        <w:t xml:space="preserve"> aan de KU Leuven. Het schrijven ervan was een boeiend maar soms ook uitdagend proces, dat niet mogelijk zou zijn geweest zonder de steun van verschillende mensen.</w:t>
      </w:r>
    </w:p>
    <w:p w14:paraId="6297C3F4" w14:textId="299C421E" w:rsidR="00ED01CA" w:rsidRDefault="00ED01CA" w:rsidP="00ED01CA">
      <w:pPr>
        <w:pStyle w:val="12ptvoor"/>
        <w:spacing w:line="360" w:lineRule="auto"/>
      </w:pPr>
      <w:r w:rsidRPr="00651491">
        <w:t xml:space="preserve">In de eerste plaats wil ik mijn promotor </w:t>
      </w:r>
      <w:r w:rsidR="00B059FA">
        <w:t xml:space="preserve">professor P. Schoukens </w:t>
      </w:r>
      <w:r w:rsidRPr="00651491">
        <w:t xml:space="preserve">bedanken voor het opvolgen van deze masterproef. Mijn bijzondere dank gaat uit naar mijn </w:t>
      </w:r>
      <w:r>
        <w:t xml:space="preserve">begeleider, meneer </w:t>
      </w:r>
      <w:r w:rsidR="00734ABF">
        <w:t xml:space="preserve">Gerard </w:t>
      </w:r>
      <w:r>
        <w:t>Everaet</w:t>
      </w:r>
      <w:r w:rsidRPr="00651491">
        <w:t>, die mij gedurende het volledige traject met waardevol advies, constructieve feedback en blijvende ondersteuning heeft begeleid. Zijn inzichten en betrokkenheid hebben een belangrijke bijdrage geleverd aan de totstandkoming van dit werk.</w:t>
      </w:r>
      <w:r w:rsidR="001659E5">
        <w:t xml:space="preserve"> Daarnaast </w:t>
      </w:r>
      <w:r w:rsidR="00260066">
        <w:t>bood di</w:t>
      </w:r>
      <w:r w:rsidR="007A4309">
        <w:t>t</w:t>
      </w:r>
      <w:r w:rsidR="00260066">
        <w:t xml:space="preserve"> onderzoek mij de kans </w:t>
      </w:r>
      <w:r w:rsidR="001659E5">
        <w:t>om mij verder te verdiepen in het sociaalzekerheidsrecht, een rechtsdiscipline w</w:t>
      </w:r>
      <w:r w:rsidR="002D112C">
        <w:t>aarvoor</w:t>
      </w:r>
      <w:r w:rsidR="001659E5">
        <w:t xml:space="preserve"> ik aanvankelijk </w:t>
      </w:r>
      <w:r w:rsidR="002D112C">
        <w:t>minder affiniteit had, maar waarin ik gaandeweg een groeiende interesse heb ontwikkeld.</w:t>
      </w:r>
      <w:r w:rsidR="001659E5">
        <w:t xml:space="preserve"> </w:t>
      </w:r>
    </w:p>
    <w:p w14:paraId="7345600C" w14:textId="30114D8C" w:rsidR="00ED01CA" w:rsidRDefault="00D57ED3" w:rsidP="00ED01CA">
      <w:pPr>
        <w:pStyle w:val="12ptvoor"/>
        <w:spacing w:line="360" w:lineRule="auto"/>
      </w:pPr>
      <w:r>
        <w:t>Vervolgens</w:t>
      </w:r>
      <w:r w:rsidR="00ED01CA">
        <w:t xml:space="preserve"> wil ik mijn </w:t>
      </w:r>
      <w:r>
        <w:t>familie</w:t>
      </w:r>
      <w:r w:rsidR="00ED01CA">
        <w:t xml:space="preserve"> ook bedanken. Zonder de betrokkenheid en aanmoediging van hen was ik wellicht niet tot op dit punt geraakt. Mijn ouders hebben mij altijd onvoorwaardelijk gesteund en ervoor gezorgd dat ik het doorzettingsvermogen bezat om te kunnen blijven doorgaan, ook toen het moeilijk werd. Mijn kleine broer en zus zorgden op hun beurt voor de nodige ontspanningsmomenten tijdens de blokperiodes en leverden op </w:t>
      </w:r>
      <w:r w:rsidR="003755ED">
        <w:t>hun eigen</w:t>
      </w:r>
      <w:r w:rsidR="00ED01CA">
        <w:t xml:space="preserve"> manier ook hun bijdrage. </w:t>
      </w:r>
    </w:p>
    <w:p w14:paraId="1FA76F4F" w14:textId="77777777" w:rsidR="00117032" w:rsidRDefault="00ED01CA" w:rsidP="00ED01CA">
      <w:pPr>
        <w:pStyle w:val="12ptvoor"/>
        <w:spacing w:line="360" w:lineRule="auto"/>
      </w:pPr>
      <w:r>
        <w:t>Tot slot wil ik iedereen bedanken die mij tijdens mijn studie en tijdens het schrijven van deze masterproef heeft gesteund.</w:t>
      </w:r>
      <w:r w:rsidR="00B059FA">
        <w:t xml:space="preserve"> Jullie hebben elk, op jullie eigen manier, bijgedragen aan dit eindresultaat.</w:t>
      </w:r>
    </w:p>
    <w:p w14:paraId="609AD0BE" w14:textId="77777777" w:rsidR="00117032" w:rsidRPr="00E521AE" w:rsidRDefault="00117032" w:rsidP="00ED01CA">
      <w:pPr>
        <w:pStyle w:val="12ptvoor"/>
        <w:spacing w:line="360" w:lineRule="auto"/>
        <w:rPr>
          <w:i/>
          <w:iCs/>
        </w:rPr>
      </w:pPr>
    </w:p>
    <w:p w14:paraId="00B6A347" w14:textId="77777777" w:rsidR="00117032" w:rsidRDefault="00117032" w:rsidP="00ED01CA">
      <w:pPr>
        <w:pStyle w:val="12ptvoor"/>
        <w:spacing w:line="360" w:lineRule="auto"/>
      </w:pPr>
      <w:r>
        <w:t>Xanthe Godts</w:t>
      </w:r>
    </w:p>
    <w:p w14:paraId="5F7C4436" w14:textId="71A400AB" w:rsidR="00920ACA" w:rsidRPr="00647701" w:rsidRDefault="00117032" w:rsidP="00ED01CA">
      <w:pPr>
        <w:pStyle w:val="12ptvoor"/>
        <w:spacing w:line="360" w:lineRule="auto"/>
      </w:pPr>
      <w:r>
        <w:t>Tervuren, 4 mei 2026</w:t>
      </w:r>
      <w:r w:rsidR="00ED01CA">
        <w:br w:type="page"/>
      </w:r>
    </w:p>
    <w:sdt>
      <w:sdtPr>
        <w:rPr>
          <w:rFonts w:ascii="Times New Roman" w:eastAsia="Times New Roman" w:hAnsi="Times New Roman" w:cs="Times New Roman"/>
          <w:color w:val="auto"/>
          <w:sz w:val="24"/>
          <w:szCs w:val="24"/>
          <w:lang w:eastAsia="nl-NL"/>
        </w:rPr>
        <w:id w:val="-1888865779"/>
        <w:docPartObj>
          <w:docPartGallery w:val="Table of Contents"/>
          <w:docPartUnique/>
        </w:docPartObj>
      </w:sdtPr>
      <w:sdtEndPr>
        <w:rPr>
          <w:b/>
          <w:bCs/>
        </w:rPr>
      </w:sdtEndPr>
      <w:sdtContent>
        <w:p w14:paraId="241A44A6" w14:textId="40FB3122" w:rsidR="00E82869" w:rsidRPr="0058444E" w:rsidRDefault="00833B27">
          <w:pPr>
            <w:pStyle w:val="Kopvaninhoudsopgave"/>
            <w:rPr>
              <w:rFonts w:ascii="Times New Roman" w:hAnsi="Times New Roman" w:cs="Times New Roman"/>
              <w:b/>
              <w:bCs/>
              <w:color w:val="auto"/>
              <w:u w:val="single"/>
            </w:rPr>
          </w:pPr>
          <w:r w:rsidRPr="0058444E">
            <w:rPr>
              <w:rFonts w:ascii="Times New Roman" w:hAnsi="Times New Roman" w:cs="Times New Roman"/>
              <w:b/>
              <w:bCs/>
              <w:color w:val="auto"/>
              <w:u w:val="single"/>
            </w:rPr>
            <w:t>Inhoudstafel</w:t>
          </w:r>
        </w:p>
        <w:p w14:paraId="29E16D3A" w14:textId="51FCAF5B" w:rsidR="001328E2" w:rsidRDefault="00791CD6">
          <w:pPr>
            <w:pStyle w:val="Inhopg1"/>
            <w:rPr>
              <w:rFonts w:asciiTheme="minorHAnsi" w:eastAsiaTheme="minorEastAsia" w:hAnsiTheme="minorHAnsi" w:cstheme="minorBidi"/>
              <w:b w:val="0"/>
              <w:caps w:val="0"/>
              <w:kern w:val="2"/>
              <w:lang w:eastAsia="nl-BE"/>
              <w14:ligatures w14:val="standardContextual"/>
            </w:rPr>
          </w:pPr>
          <w:r>
            <w:rPr>
              <w:bCs/>
              <w:caps w:val="0"/>
            </w:rPr>
            <w:fldChar w:fldCharType="begin"/>
          </w:r>
          <w:r>
            <w:rPr>
              <w:bCs/>
              <w:caps w:val="0"/>
            </w:rPr>
            <w:instrText xml:space="preserve"> TOC \o "1-4" \h \z \u </w:instrText>
          </w:r>
          <w:r>
            <w:rPr>
              <w:bCs/>
              <w:caps w:val="0"/>
            </w:rPr>
            <w:fldChar w:fldCharType="separate"/>
          </w:r>
          <w:hyperlink w:anchor="_Toc228784088" w:history="1">
            <w:r w:rsidR="001328E2" w:rsidRPr="002063A9">
              <w:rPr>
                <w:rStyle w:val="Hyperlink"/>
              </w:rPr>
              <w:t>Dankwoord</w:t>
            </w:r>
            <w:r w:rsidR="001328E2">
              <w:rPr>
                <w:webHidden/>
              </w:rPr>
              <w:tab/>
            </w:r>
            <w:r w:rsidR="001328E2">
              <w:rPr>
                <w:webHidden/>
              </w:rPr>
              <w:fldChar w:fldCharType="begin"/>
            </w:r>
            <w:r w:rsidR="001328E2">
              <w:rPr>
                <w:webHidden/>
              </w:rPr>
              <w:instrText xml:space="preserve"> PAGEREF _Toc228784088 \h </w:instrText>
            </w:r>
            <w:r w:rsidR="001328E2">
              <w:rPr>
                <w:webHidden/>
              </w:rPr>
            </w:r>
            <w:r w:rsidR="001328E2">
              <w:rPr>
                <w:webHidden/>
              </w:rPr>
              <w:fldChar w:fldCharType="separate"/>
            </w:r>
            <w:r w:rsidR="004C4730">
              <w:rPr>
                <w:webHidden/>
              </w:rPr>
              <w:t>I</w:t>
            </w:r>
            <w:r w:rsidR="001328E2">
              <w:rPr>
                <w:webHidden/>
              </w:rPr>
              <w:fldChar w:fldCharType="end"/>
            </w:r>
          </w:hyperlink>
        </w:p>
        <w:p w14:paraId="482807F6" w14:textId="0807A903" w:rsidR="001328E2" w:rsidRDefault="001328E2">
          <w:pPr>
            <w:pStyle w:val="Inhopg1"/>
            <w:rPr>
              <w:rFonts w:asciiTheme="minorHAnsi" w:eastAsiaTheme="minorEastAsia" w:hAnsiTheme="minorHAnsi" w:cstheme="minorBidi"/>
              <w:b w:val="0"/>
              <w:caps w:val="0"/>
              <w:kern w:val="2"/>
              <w:lang w:eastAsia="nl-BE"/>
              <w14:ligatures w14:val="standardContextual"/>
            </w:rPr>
          </w:pPr>
          <w:hyperlink w:anchor="_Toc228784089" w:history="1">
            <w:r w:rsidRPr="002063A9">
              <w:rPr>
                <w:rStyle w:val="Hyperlink"/>
              </w:rPr>
              <w:t>Lijst met afkortingen</w:t>
            </w:r>
            <w:r>
              <w:rPr>
                <w:webHidden/>
              </w:rPr>
              <w:tab/>
            </w:r>
            <w:r>
              <w:rPr>
                <w:webHidden/>
              </w:rPr>
              <w:fldChar w:fldCharType="begin"/>
            </w:r>
            <w:r>
              <w:rPr>
                <w:webHidden/>
              </w:rPr>
              <w:instrText xml:space="preserve"> PAGEREF _Toc228784089 \h </w:instrText>
            </w:r>
            <w:r>
              <w:rPr>
                <w:webHidden/>
              </w:rPr>
            </w:r>
            <w:r>
              <w:rPr>
                <w:webHidden/>
              </w:rPr>
              <w:fldChar w:fldCharType="separate"/>
            </w:r>
            <w:r w:rsidR="004C4730">
              <w:rPr>
                <w:webHidden/>
              </w:rPr>
              <w:t>V</w:t>
            </w:r>
            <w:r>
              <w:rPr>
                <w:webHidden/>
              </w:rPr>
              <w:fldChar w:fldCharType="end"/>
            </w:r>
          </w:hyperlink>
        </w:p>
        <w:p w14:paraId="42C6438E" w14:textId="715E53F0" w:rsidR="001328E2" w:rsidRDefault="001328E2">
          <w:pPr>
            <w:pStyle w:val="Inhopg1"/>
            <w:rPr>
              <w:rFonts w:asciiTheme="minorHAnsi" w:eastAsiaTheme="minorEastAsia" w:hAnsiTheme="minorHAnsi" w:cstheme="minorBidi"/>
              <w:b w:val="0"/>
              <w:caps w:val="0"/>
              <w:kern w:val="2"/>
              <w:lang w:eastAsia="nl-BE"/>
              <w14:ligatures w14:val="standardContextual"/>
            </w:rPr>
          </w:pPr>
          <w:hyperlink w:anchor="_Toc228784090" w:history="1">
            <w:r w:rsidRPr="002063A9">
              <w:rPr>
                <w:rStyle w:val="Hyperlink"/>
              </w:rPr>
              <w:t>Deel I: Inleiding en onderzoeksopzet</w:t>
            </w:r>
            <w:r>
              <w:rPr>
                <w:webHidden/>
              </w:rPr>
              <w:tab/>
            </w:r>
            <w:r>
              <w:rPr>
                <w:webHidden/>
              </w:rPr>
              <w:fldChar w:fldCharType="begin"/>
            </w:r>
            <w:r>
              <w:rPr>
                <w:webHidden/>
              </w:rPr>
              <w:instrText xml:space="preserve"> PAGEREF _Toc228784090 \h </w:instrText>
            </w:r>
            <w:r>
              <w:rPr>
                <w:webHidden/>
              </w:rPr>
            </w:r>
            <w:r>
              <w:rPr>
                <w:webHidden/>
              </w:rPr>
              <w:fldChar w:fldCharType="separate"/>
            </w:r>
            <w:r w:rsidR="004C4730">
              <w:rPr>
                <w:webHidden/>
              </w:rPr>
              <w:t>1</w:t>
            </w:r>
            <w:r>
              <w:rPr>
                <w:webHidden/>
              </w:rPr>
              <w:fldChar w:fldCharType="end"/>
            </w:r>
          </w:hyperlink>
        </w:p>
        <w:p w14:paraId="4B1A7A99" w14:textId="5147F248" w:rsidR="001328E2" w:rsidRDefault="001328E2">
          <w:pPr>
            <w:pStyle w:val="Inhopg2"/>
            <w:rPr>
              <w:rFonts w:asciiTheme="minorHAnsi" w:eastAsiaTheme="minorEastAsia" w:hAnsiTheme="minorHAnsi" w:cstheme="minorBidi"/>
              <w:b w:val="0"/>
              <w:bCs w:val="0"/>
              <w:caps w:val="0"/>
              <w:kern w:val="2"/>
              <w:lang w:eastAsia="nl-BE"/>
              <w14:ligatures w14:val="standardContextual"/>
            </w:rPr>
          </w:pPr>
          <w:hyperlink w:anchor="_Toc228784091" w:history="1">
            <w:r w:rsidRPr="002063A9">
              <w:rPr>
                <w:rStyle w:val="Hyperlink"/>
              </w:rPr>
              <w:t>Hoofdstuk I. Probleemstelling en relevantie van het onderzoek</w:t>
            </w:r>
            <w:r>
              <w:rPr>
                <w:webHidden/>
              </w:rPr>
              <w:tab/>
            </w:r>
            <w:r>
              <w:rPr>
                <w:webHidden/>
              </w:rPr>
              <w:fldChar w:fldCharType="begin"/>
            </w:r>
            <w:r>
              <w:rPr>
                <w:webHidden/>
              </w:rPr>
              <w:instrText xml:space="preserve"> PAGEREF _Toc228784091 \h </w:instrText>
            </w:r>
            <w:r>
              <w:rPr>
                <w:webHidden/>
              </w:rPr>
            </w:r>
            <w:r>
              <w:rPr>
                <w:webHidden/>
              </w:rPr>
              <w:fldChar w:fldCharType="separate"/>
            </w:r>
            <w:r w:rsidR="004C4730">
              <w:rPr>
                <w:webHidden/>
              </w:rPr>
              <w:t>5</w:t>
            </w:r>
            <w:r>
              <w:rPr>
                <w:webHidden/>
              </w:rPr>
              <w:fldChar w:fldCharType="end"/>
            </w:r>
          </w:hyperlink>
        </w:p>
        <w:p w14:paraId="51DE1B85" w14:textId="7452C816" w:rsidR="001328E2" w:rsidRDefault="001328E2">
          <w:pPr>
            <w:pStyle w:val="Inhopg2"/>
            <w:rPr>
              <w:rFonts w:asciiTheme="minorHAnsi" w:eastAsiaTheme="minorEastAsia" w:hAnsiTheme="minorHAnsi" w:cstheme="minorBidi"/>
              <w:b w:val="0"/>
              <w:bCs w:val="0"/>
              <w:caps w:val="0"/>
              <w:kern w:val="2"/>
              <w:lang w:eastAsia="nl-BE"/>
              <w14:ligatures w14:val="standardContextual"/>
            </w:rPr>
          </w:pPr>
          <w:hyperlink w:anchor="_Toc228784092" w:history="1">
            <w:r w:rsidRPr="002063A9">
              <w:rPr>
                <w:rStyle w:val="Hyperlink"/>
              </w:rPr>
              <w:t>Hoofdstuk II. Onderzoeksvraag en onderzoeksmethode</w:t>
            </w:r>
            <w:r>
              <w:rPr>
                <w:webHidden/>
              </w:rPr>
              <w:tab/>
            </w:r>
            <w:r>
              <w:rPr>
                <w:webHidden/>
              </w:rPr>
              <w:fldChar w:fldCharType="begin"/>
            </w:r>
            <w:r>
              <w:rPr>
                <w:webHidden/>
              </w:rPr>
              <w:instrText xml:space="preserve"> PAGEREF _Toc228784092 \h </w:instrText>
            </w:r>
            <w:r>
              <w:rPr>
                <w:webHidden/>
              </w:rPr>
            </w:r>
            <w:r>
              <w:rPr>
                <w:webHidden/>
              </w:rPr>
              <w:fldChar w:fldCharType="separate"/>
            </w:r>
            <w:r w:rsidR="004C4730">
              <w:rPr>
                <w:webHidden/>
              </w:rPr>
              <w:t>7</w:t>
            </w:r>
            <w:r>
              <w:rPr>
                <w:webHidden/>
              </w:rPr>
              <w:fldChar w:fldCharType="end"/>
            </w:r>
          </w:hyperlink>
        </w:p>
        <w:p w14:paraId="50D29249" w14:textId="062B5120" w:rsidR="001328E2" w:rsidRDefault="001328E2">
          <w:pPr>
            <w:pStyle w:val="Inhopg1"/>
            <w:rPr>
              <w:rFonts w:asciiTheme="minorHAnsi" w:eastAsiaTheme="minorEastAsia" w:hAnsiTheme="minorHAnsi" w:cstheme="minorBidi"/>
              <w:b w:val="0"/>
              <w:caps w:val="0"/>
              <w:kern w:val="2"/>
              <w:lang w:eastAsia="nl-BE"/>
              <w14:ligatures w14:val="standardContextual"/>
            </w:rPr>
          </w:pPr>
          <w:hyperlink w:anchor="_Toc228784093" w:history="1">
            <w:r w:rsidRPr="002063A9">
              <w:rPr>
                <w:rStyle w:val="Hyperlink"/>
              </w:rPr>
              <w:t>Deel II: Het eenheidsstatuut en de doorwerking naar aanvullende pensioenen</w:t>
            </w:r>
            <w:r>
              <w:rPr>
                <w:webHidden/>
              </w:rPr>
              <w:tab/>
            </w:r>
            <w:r>
              <w:rPr>
                <w:webHidden/>
              </w:rPr>
              <w:fldChar w:fldCharType="begin"/>
            </w:r>
            <w:r>
              <w:rPr>
                <w:webHidden/>
              </w:rPr>
              <w:instrText xml:space="preserve"> PAGEREF _Toc228784093 \h </w:instrText>
            </w:r>
            <w:r>
              <w:rPr>
                <w:webHidden/>
              </w:rPr>
            </w:r>
            <w:r>
              <w:rPr>
                <w:webHidden/>
              </w:rPr>
              <w:fldChar w:fldCharType="separate"/>
            </w:r>
            <w:r w:rsidR="004C4730">
              <w:rPr>
                <w:webHidden/>
              </w:rPr>
              <w:t>10</w:t>
            </w:r>
            <w:r>
              <w:rPr>
                <w:webHidden/>
              </w:rPr>
              <w:fldChar w:fldCharType="end"/>
            </w:r>
          </w:hyperlink>
        </w:p>
        <w:p w14:paraId="3942D39C" w14:textId="498BA4D6" w:rsidR="001328E2" w:rsidRDefault="001328E2">
          <w:pPr>
            <w:pStyle w:val="Inhopg2"/>
            <w:rPr>
              <w:rFonts w:asciiTheme="minorHAnsi" w:eastAsiaTheme="minorEastAsia" w:hAnsiTheme="minorHAnsi" w:cstheme="minorBidi"/>
              <w:b w:val="0"/>
              <w:bCs w:val="0"/>
              <w:caps w:val="0"/>
              <w:kern w:val="2"/>
              <w:lang w:eastAsia="nl-BE"/>
              <w14:ligatures w14:val="standardContextual"/>
            </w:rPr>
          </w:pPr>
          <w:hyperlink w:anchor="_Toc228784094" w:history="1">
            <w:r w:rsidRPr="002063A9">
              <w:rPr>
                <w:rStyle w:val="Hyperlink"/>
              </w:rPr>
              <w:t>Hoofdstuk I. Historische context</w:t>
            </w:r>
            <w:r>
              <w:rPr>
                <w:webHidden/>
              </w:rPr>
              <w:tab/>
            </w:r>
            <w:r>
              <w:rPr>
                <w:webHidden/>
              </w:rPr>
              <w:fldChar w:fldCharType="begin"/>
            </w:r>
            <w:r>
              <w:rPr>
                <w:webHidden/>
              </w:rPr>
              <w:instrText xml:space="preserve"> PAGEREF _Toc228784094 \h </w:instrText>
            </w:r>
            <w:r>
              <w:rPr>
                <w:webHidden/>
              </w:rPr>
            </w:r>
            <w:r>
              <w:rPr>
                <w:webHidden/>
              </w:rPr>
              <w:fldChar w:fldCharType="separate"/>
            </w:r>
            <w:r w:rsidR="004C4730">
              <w:rPr>
                <w:webHidden/>
              </w:rPr>
              <w:t>10</w:t>
            </w:r>
            <w:r>
              <w:rPr>
                <w:webHidden/>
              </w:rPr>
              <w:fldChar w:fldCharType="end"/>
            </w:r>
          </w:hyperlink>
        </w:p>
        <w:p w14:paraId="53BCE063" w14:textId="565C3C54"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095" w:history="1">
            <w:r w:rsidRPr="002063A9">
              <w:rPr>
                <w:rStyle w:val="Hyperlink"/>
              </w:rPr>
              <w:t>Afdeling I. Het Grondwettelijk Hof en de zoektocht naar gelijkheid</w:t>
            </w:r>
            <w:r>
              <w:rPr>
                <w:webHidden/>
              </w:rPr>
              <w:tab/>
            </w:r>
            <w:r>
              <w:rPr>
                <w:webHidden/>
              </w:rPr>
              <w:fldChar w:fldCharType="begin"/>
            </w:r>
            <w:r>
              <w:rPr>
                <w:webHidden/>
              </w:rPr>
              <w:instrText xml:space="preserve"> PAGEREF _Toc228784095 \h </w:instrText>
            </w:r>
            <w:r>
              <w:rPr>
                <w:webHidden/>
              </w:rPr>
            </w:r>
            <w:r>
              <w:rPr>
                <w:webHidden/>
              </w:rPr>
              <w:fldChar w:fldCharType="separate"/>
            </w:r>
            <w:r w:rsidR="004C4730">
              <w:rPr>
                <w:webHidden/>
              </w:rPr>
              <w:t>10</w:t>
            </w:r>
            <w:r>
              <w:rPr>
                <w:webHidden/>
              </w:rPr>
              <w:fldChar w:fldCharType="end"/>
            </w:r>
          </w:hyperlink>
        </w:p>
        <w:p w14:paraId="0FF91234" w14:textId="65E2D2E4"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096" w:history="1">
            <w:r w:rsidRPr="002063A9">
              <w:rPr>
                <w:rStyle w:val="Hyperlink"/>
              </w:rPr>
              <w:t>Afdeling II. Evolutie van het wettelijk kader</w:t>
            </w:r>
            <w:r>
              <w:rPr>
                <w:webHidden/>
              </w:rPr>
              <w:tab/>
            </w:r>
            <w:r>
              <w:rPr>
                <w:webHidden/>
              </w:rPr>
              <w:fldChar w:fldCharType="begin"/>
            </w:r>
            <w:r>
              <w:rPr>
                <w:webHidden/>
              </w:rPr>
              <w:instrText xml:space="preserve"> PAGEREF _Toc228784096 \h </w:instrText>
            </w:r>
            <w:r>
              <w:rPr>
                <w:webHidden/>
              </w:rPr>
            </w:r>
            <w:r>
              <w:rPr>
                <w:webHidden/>
              </w:rPr>
              <w:fldChar w:fldCharType="separate"/>
            </w:r>
            <w:r w:rsidR="004C4730">
              <w:rPr>
                <w:webHidden/>
              </w:rPr>
              <w:t>12</w:t>
            </w:r>
            <w:r>
              <w:rPr>
                <w:webHidden/>
              </w:rPr>
              <w:fldChar w:fldCharType="end"/>
            </w:r>
          </w:hyperlink>
        </w:p>
        <w:p w14:paraId="613C1F5E" w14:textId="1ACB0713" w:rsidR="001328E2" w:rsidRDefault="001328E2">
          <w:pPr>
            <w:pStyle w:val="Inhopg2"/>
            <w:rPr>
              <w:rFonts w:asciiTheme="minorHAnsi" w:eastAsiaTheme="minorEastAsia" w:hAnsiTheme="minorHAnsi" w:cstheme="minorBidi"/>
              <w:b w:val="0"/>
              <w:bCs w:val="0"/>
              <w:caps w:val="0"/>
              <w:kern w:val="2"/>
              <w:lang w:eastAsia="nl-BE"/>
              <w14:ligatures w14:val="standardContextual"/>
            </w:rPr>
          </w:pPr>
          <w:hyperlink w:anchor="_Toc228784097" w:history="1">
            <w:r w:rsidRPr="002063A9">
              <w:rPr>
                <w:rStyle w:val="Hyperlink"/>
              </w:rPr>
              <w:t>Hoofdstuk II. Impact van het Eenheidsstatuut op de aanvullende pensioenen</w:t>
            </w:r>
            <w:r>
              <w:rPr>
                <w:webHidden/>
              </w:rPr>
              <w:tab/>
            </w:r>
            <w:r>
              <w:rPr>
                <w:webHidden/>
              </w:rPr>
              <w:fldChar w:fldCharType="begin"/>
            </w:r>
            <w:r>
              <w:rPr>
                <w:webHidden/>
              </w:rPr>
              <w:instrText xml:space="preserve"> PAGEREF _Toc228784097 \h </w:instrText>
            </w:r>
            <w:r>
              <w:rPr>
                <w:webHidden/>
              </w:rPr>
            </w:r>
            <w:r>
              <w:rPr>
                <w:webHidden/>
              </w:rPr>
              <w:fldChar w:fldCharType="separate"/>
            </w:r>
            <w:r w:rsidR="004C4730">
              <w:rPr>
                <w:webHidden/>
              </w:rPr>
              <w:t>16</w:t>
            </w:r>
            <w:r>
              <w:rPr>
                <w:webHidden/>
              </w:rPr>
              <w:fldChar w:fldCharType="end"/>
            </w:r>
          </w:hyperlink>
        </w:p>
        <w:p w14:paraId="5A8C481E" w14:textId="69C5A03D" w:rsidR="001328E2" w:rsidRDefault="001328E2">
          <w:pPr>
            <w:pStyle w:val="Inhopg2"/>
            <w:rPr>
              <w:rFonts w:asciiTheme="minorHAnsi" w:eastAsiaTheme="minorEastAsia" w:hAnsiTheme="minorHAnsi" w:cstheme="minorBidi"/>
              <w:b w:val="0"/>
              <w:bCs w:val="0"/>
              <w:caps w:val="0"/>
              <w:kern w:val="2"/>
              <w:lang w:eastAsia="nl-BE"/>
              <w14:ligatures w14:val="standardContextual"/>
            </w:rPr>
          </w:pPr>
          <w:hyperlink w:anchor="_Toc228784098" w:history="1">
            <w:r w:rsidRPr="002063A9">
              <w:rPr>
                <w:rStyle w:val="Hyperlink"/>
              </w:rPr>
              <w:t>Hoofdstuk III. Van tweedeling naar harmonisatie</w:t>
            </w:r>
            <w:r>
              <w:rPr>
                <w:webHidden/>
              </w:rPr>
              <w:tab/>
            </w:r>
            <w:r>
              <w:rPr>
                <w:webHidden/>
              </w:rPr>
              <w:fldChar w:fldCharType="begin"/>
            </w:r>
            <w:r>
              <w:rPr>
                <w:webHidden/>
              </w:rPr>
              <w:instrText xml:space="preserve"> PAGEREF _Toc228784098 \h </w:instrText>
            </w:r>
            <w:r>
              <w:rPr>
                <w:webHidden/>
              </w:rPr>
            </w:r>
            <w:r>
              <w:rPr>
                <w:webHidden/>
              </w:rPr>
              <w:fldChar w:fldCharType="separate"/>
            </w:r>
            <w:r w:rsidR="004C4730">
              <w:rPr>
                <w:webHidden/>
              </w:rPr>
              <w:t>17</w:t>
            </w:r>
            <w:r>
              <w:rPr>
                <w:webHidden/>
              </w:rPr>
              <w:fldChar w:fldCharType="end"/>
            </w:r>
          </w:hyperlink>
        </w:p>
        <w:p w14:paraId="52B7811C" w14:textId="0B645C84" w:rsidR="001328E2" w:rsidRDefault="001328E2">
          <w:pPr>
            <w:pStyle w:val="Inhopg1"/>
            <w:rPr>
              <w:rFonts w:asciiTheme="minorHAnsi" w:eastAsiaTheme="minorEastAsia" w:hAnsiTheme="minorHAnsi" w:cstheme="minorBidi"/>
              <w:b w:val="0"/>
              <w:caps w:val="0"/>
              <w:kern w:val="2"/>
              <w:lang w:eastAsia="nl-BE"/>
              <w14:ligatures w14:val="standardContextual"/>
            </w:rPr>
          </w:pPr>
          <w:hyperlink w:anchor="_Toc228784099" w:history="1">
            <w:r w:rsidRPr="002063A9">
              <w:rPr>
                <w:rStyle w:val="Hyperlink"/>
              </w:rPr>
              <w:t>Deel III: De wet op aanvullende pensioenen</w:t>
            </w:r>
            <w:r>
              <w:rPr>
                <w:webHidden/>
              </w:rPr>
              <w:tab/>
            </w:r>
            <w:r>
              <w:rPr>
                <w:webHidden/>
              </w:rPr>
              <w:fldChar w:fldCharType="begin"/>
            </w:r>
            <w:r>
              <w:rPr>
                <w:webHidden/>
              </w:rPr>
              <w:instrText xml:space="preserve"> PAGEREF _Toc228784099 \h </w:instrText>
            </w:r>
            <w:r>
              <w:rPr>
                <w:webHidden/>
              </w:rPr>
            </w:r>
            <w:r>
              <w:rPr>
                <w:webHidden/>
              </w:rPr>
              <w:fldChar w:fldCharType="separate"/>
            </w:r>
            <w:r w:rsidR="004C4730">
              <w:rPr>
                <w:webHidden/>
              </w:rPr>
              <w:t>18</w:t>
            </w:r>
            <w:r>
              <w:rPr>
                <w:webHidden/>
              </w:rPr>
              <w:fldChar w:fldCharType="end"/>
            </w:r>
          </w:hyperlink>
        </w:p>
        <w:p w14:paraId="64E103AF" w14:textId="785C9C2E" w:rsidR="001328E2" w:rsidRDefault="001328E2">
          <w:pPr>
            <w:pStyle w:val="Inhopg2"/>
            <w:rPr>
              <w:rFonts w:asciiTheme="minorHAnsi" w:eastAsiaTheme="minorEastAsia" w:hAnsiTheme="minorHAnsi" w:cstheme="minorBidi"/>
              <w:b w:val="0"/>
              <w:bCs w:val="0"/>
              <w:caps w:val="0"/>
              <w:kern w:val="2"/>
              <w:lang w:eastAsia="nl-BE"/>
              <w14:ligatures w14:val="standardContextual"/>
            </w:rPr>
          </w:pPr>
          <w:hyperlink w:anchor="_Toc228784100" w:history="1">
            <w:r w:rsidRPr="002063A9">
              <w:rPr>
                <w:rStyle w:val="Hyperlink"/>
              </w:rPr>
              <w:t>Hoofdstuk I. De tweede pensioenpijler: concept, evolutie en regulering</w:t>
            </w:r>
            <w:r>
              <w:rPr>
                <w:webHidden/>
              </w:rPr>
              <w:tab/>
            </w:r>
            <w:r>
              <w:rPr>
                <w:webHidden/>
              </w:rPr>
              <w:fldChar w:fldCharType="begin"/>
            </w:r>
            <w:r>
              <w:rPr>
                <w:webHidden/>
              </w:rPr>
              <w:instrText xml:space="preserve"> PAGEREF _Toc228784100 \h </w:instrText>
            </w:r>
            <w:r>
              <w:rPr>
                <w:webHidden/>
              </w:rPr>
            </w:r>
            <w:r>
              <w:rPr>
                <w:webHidden/>
              </w:rPr>
              <w:fldChar w:fldCharType="separate"/>
            </w:r>
            <w:r w:rsidR="004C4730">
              <w:rPr>
                <w:webHidden/>
              </w:rPr>
              <w:t>20</w:t>
            </w:r>
            <w:r>
              <w:rPr>
                <w:webHidden/>
              </w:rPr>
              <w:fldChar w:fldCharType="end"/>
            </w:r>
          </w:hyperlink>
        </w:p>
        <w:p w14:paraId="27573BB9" w14:textId="256F9D6F"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01" w:history="1">
            <w:r w:rsidRPr="002063A9">
              <w:rPr>
                <w:rStyle w:val="Hyperlink"/>
              </w:rPr>
              <w:t>Afdeling i. Begripsafbakening en kenmerken</w:t>
            </w:r>
            <w:r>
              <w:rPr>
                <w:webHidden/>
              </w:rPr>
              <w:tab/>
            </w:r>
            <w:r>
              <w:rPr>
                <w:webHidden/>
              </w:rPr>
              <w:fldChar w:fldCharType="begin"/>
            </w:r>
            <w:r>
              <w:rPr>
                <w:webHidden/>
              </w:rPr>
              <w:instrText xml:space="preserve"> PAGEREF _Toc228784101 \h </w:instrText>
            </w:r>
            <w:r>
              <w:rPr>
                <w:webHidden/>
              </w:rPr>
            </w:r>
            <w:r>
              <w:rPr>
                <w:webHidden/>
              </w:rPr>
              <w:fldChar w:fldCharType="separate"/>
            </w:r>
            <w:r w:rsidR="004C4730">
              <w:rPr>
                <w:webHidden/>
              </w:rPr>
              <w:t>20</w:t>
            </w:r>
            <w:r>
              <w:rPr>
                <w:webHidden/>
              </w:rPr>
              <w:fldChar w:fldCharType="end"/>
            </w:r>
          </w:hyperlink>
        </w:p>
        <w:p w14:paraId="589AF84E" w14:textId="418BE726"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02" w:history="1">
            <w:r w:rsidRPr="002063A9">
              <w:rPr>
                <w:rStyle w:val="Hyperlink"/>
              </w:rPr>
              <w:t>Afdeling II. Historische context</w:t>
            </w:r>
            <w:r>
              <w:rPr>
                <w:webHidden/>
              </w:rPr>
              <w:tab/>
            </w:r>
            <w:r>
              <w:rPr>
                <w:webHidden/>
              </w:rPr>
              <w:fldChar w:fldCharType="begin"/>
            </w:r>
            <w:r>
              <w:rPr>
                <w:webHidden/>
              </w:rPr>
              <w:instrText xml:space="preserve"> PAGEREF _Toc228784102 \h </w:instrText>
            </w:r>
            <w:r>
              <w:rPr>
                <w:webHidden/>
              </w:rPr>
            </w:r>
            <w:r>
              <w:rPr>
                <w:webHidden/>
              </w:rPr>
              <w:fldChar w:fldCharType="separate"/>
            </w:r>
            <w:r w:rsidR="004C4730">
              <w:rPr>
                <w:webHidden/>
              </w:rPr>
              <w:t>21</w:t>
            </w:r>
            <w:r>
              <w:rPr>
                <w:webHidden/>
              </w:rPr>
              <w:fldChar w:fldCharType="end"/>
            </w:r>
          </w:hyperlink>
        </w:p>
        <w:p w14:paraId="4C34A8D8" w14:textId="4A888DE1"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03" w:history="1">
            <w:r w:rsidRPr="002063A9">
              <w:rPr>
                <w:rStyle w:val="Hyperlink"/>
              </w:rPr>
              <w:t>§1. De Wet Colla</w:t>
            </w:r>
            <w:r>
              <w:rPr>
                <w:webHidden/>
              </w:rPr>
              <w:tab/>
            </w:r>
            <w:r>
              <w:rPr>
                <w:webHidden/>
              </w:rPr>
              <w:fldChar w:fldCharType="begin"/>
            </w:r>
            <w:r>
              <w:rPr>
                <w:webHidden/>
              </w:rPr>
              <w:instrText xml:space="preserve"> PAGEREF _Toc228784103 \h </w:instrText>
            </w:r>
            <w:r>
              <w:rPr>
                <w:webHidden/>
              </w:rPr>
            </w:r>
            <w:r>
              <w:rPr>
                <w:webHidden/>
              </w:rPr>
              <w:fldChar w:fldCharType="separate"/>
            </w:r>
            <w:r w:rsidR="004C4730">
              <w:rPr>
                <w:webHidden/>
              </w:rPr>
              <w:t>21</w:t>
            </w:r>
            <w:r>
              <w:rPr>
                <w:webHidden/>
              </w:rPr>
              <w:fldChar w:fldCharType="end"/>
            </w:r>
          </w:hyperlink>
        </w:p>
        <w:p w14:paraId="1B3E3E83" w14:textId="6FF41E21"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04" w:history="1">
            <w:r w:rsidRPr="002063A9">
              <w:rPr>
                <w:rStyle w:val="Hyperlink"/>
              </w:rPr>
              <w:t>§2. De overgang naar de WAP</w:t>
            </w:r>
            <w:r>
              <w:rPr>
                <w:webHidden/>
              </w:rPr>
              <w:tab/>
            </w:r>
            <w:r>
              <w:rPr>
                <w:webHidden/>
              </w:rPr>
              <w:fldChar w:fldCharType="begin"/>
            </w:r>
            <w:r>
              <w:rPr>
                <w:webHidden/>
              </w:rPr>
              <w:instrText xml:space="preserve"> PAGEREF _Toc228784104 \h </w:instrText>
            </w:r>
            <w:r>
              <w:rPr>
                <w:webHidden/>
              </w:rPr>
            </w:r>
            <w:r>
              <w:rPr>
                <w:webHidden/>
              </w:rPr>
              <w:fldChar w:fldCharType="separate"/>
            </w:r>
            <w:r w:rsidR="004C4730">
              <w:rPr>
                <w:webHidden/>
              </w:rPr>
              <w:t>23</w:t>
            </w:r>
            <w:r>
              <w:rPr>
                <w:webHidden/>
              </w:rPr>
              <w:fldChar w:fldCharType="end"/>
            </w:r>
          </w:hyperlink>
        </w:p>
        <w:p w14:paraId="3DF0EB7A" w14:textId="1B6837CB"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05" w:history="1">
            <w:r w:rsidRPr="002063A9">
              <w:rPr>
                <w:rStyle w:val="Hyperlink"/>
              </w:rPr>
              <w:t>§3. De hervorming van 5 mei 2014</w:t>
            </w:r>
            <w:r>
              <w:rPr>
                <w:webHidden/>
              </w:rPr>
              <w:tab/>
            </w:r>
            <w:r>
              <w:rPr>
                <w:webHidden/>
              </w:rPr>
              <w:fldChar w:fldCharType="begin"/>
            </w:r>
            <w:r>
              <w:rPr>
                <w:webHidden/>
              </w:rPr>
              <w:instrText xml:space="preserve"> PAGEREF _Toc228784105 \h </w:instrText>
            </w:r>
            <w:r>
              <w:rPr>
                <w:webHidden/>
              </w:rPr>
            </w:r>
            <w:r>
              <w:rPr>
                <w:webHidden/>
              </w:rPr>
              <w:fldChar w:fldCharType="separate"/>
            </w:r>
            <w:r w:rsidR="004C4730">
              <w:rPr>
                <w:webHidden/>
              </w:rPr>
              <w:t>24</w:t>
            </w:r>
            <w:r>
              <w:rPr>
                <w:webHidden/>
              </w:rPr>
              <w:fldChar w:fldCharType="end"/>
            </w:r>
          </w:hyperlink>
        </w:p>
        <w:p w14:paraId="5E867086" w14:textId="627F5A93"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06" w:history="1">
            <w:r w:rsidRPr="002063A9">
              <w:rPr>
                <w:rStyle w:val="Hyperlink"/>
              </w:rPr>
              <w:t>Afdeling III. Gefaseerde totstandkoming van een eenheidsstatuut</w:t>
            </w:r>
            <w:r>
              <w:rPr>
                <w:webHidden/>
              </w:rPr>
              <w:tab/>
            </w:r>
            <w:r>
              <w:rPr>
                <w:webHidden/>
              </w:rPr>
              <w:fldChar w:fldCharType="begin"/>
            </w:r>
            <w:r>
              <w:rPr>
                <w:webHidden/>
              </w:rPr>
              <w:instrText xml:space="preserve"> PAGEREF _Toc228784106 \h </w:instrText>
            </w:r>
            <w:r>
              <w:rPr>
                <w:webHidden/>
              </w:rPr>
            </w:r>
            <w:r>
              <w:rPr>
                <w:webHidden/>
              </w:rPr>
              <w:fldChar w:fldCharType="separate"/>
            </w:r>
            <w:r w:rsidR="004C4730">
              <w:rPr>
                <w:webHidden/>
              </w:rPr>
              <w:t>25</w:t>
            </w:r>
            <w:r>
              <w:rPr>
                <w:webHidden/>
              </w:rPr>
              <w:fldChar w:fldCharType="end"/>
            </w:r>
          </w:hyperlink>
        </w:p>
        <w:p w14:paraId="6697B046" w14:textId="26B6F644"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07" w:history="1">
            <w:r w:rsidRPr="002063A9">
              <w:rPr>
                <w:rStyle w:val="Hyperlink"/>
              </w:rPr>
              <w:t>§1. Fase 1: Veilige haven voor periodes van tewerkstelling vóór 1 januari 2015</w:t>
            </w:r>
            <w:r>
              <w:rPr>
                <w:webHidden/>
              </w:rPr>
              <w:tab/>
            </w:r>
            <w:r>
              <w:rPr>
                <w:webHidden/>
              </w:rPr>
              <w:fldChar w:fldCharType="begin"/>
            </w:r>
            <w:r>
              <w:rPr>
                <w:webHidden/>
              </w:rPr>
              <w:instrText xml:space="preserve"> PAGEREF _Toc228784107 \h </w:instrText>
            </w:r>
            <w:r>
              <w:rPr>
                <w:webHidden/>
              </w:rPr>
            </w:r>
            <w:r>
              <w:rPr>
                <w:webHidden/>
              </w:rPr>
              <w:fldChar w:fldCharType="separate"/>
            </w:r>
            <w:r w:rsidR="004C4730">
              <w:rPr>
                <w:webHidden/>
              </w:rPr>
              <w:t>25</w:t>
            </w:r>
            <w:r>
              <w:rPr>
                <w:webHidden/>
              </w:rPr>
              <w:fldChar w:fldCharType="end"/>
            </w:r>
          </w:hyperlink>
        </w:p>
        <w:p w14:paraId="64526756" w14:textId="5CEBE016"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08" w:history="1">
            <w:r w:rsidRPr="002063A9">
              <w:rPr>
                <w:rStyle w:val="Hyperlink"/>
              </w:rPr>
              <w:t xml:space="preserve">§2. Fase 2: Van een </w:t>
            </w:r>
            <w:r w:rsidRPr="002063A9">
              <w:rPr>
                <w:rStyle w:val="Hyperlink"/>
                <w:i/>
              </w:rPr>
              <w:t>standstill</w:t>
            </w:r>
            <w:r w:rsidRPr="002063A9">
              <w:rPr>
                <w:rStyle w:val="Hyperlink"/>
              </w:rPr>
              <w:t xml:space="preserve"> naar het geleidelijk wegwerken van de discriminatie</w:t>
            </w:r>
            <w:r>
              <w:rPr>
                <w:webHidden/>
              </w:rPr>
              <w:tab/>
            </w:r>
            <w:r>
              <w:rPr>
                <w:webHidden/>
              </w:rPr>
              <w:fldChar w:fldCharType="begin"/>
            </w:r>
            <w:r>
              <w:rPr>
                <w:webHidden/>
              </w:rPr>
              <w:instrText xml:space="preserve"> PAGEREF _Toc228784108 \h </w:instrText>
            </w:r>
            <w:r>
              <w:rPr>
                <w:webHidden/>
              </w:rPr>
            </w:r>
            <w:r>
              <w:rPr>
                <w:webHidden/>
              </w:rPr>
              <w:fldChar w:fldCharType="separate"/>
            </w:r>
            <w:r w:rsidR="004C4730">
              <w:rPr>
                <w:webHidden/>
              </w:rPr>
              <w:t>25</w:t>
            </w:r>
            <w:r>
              <w:rPr>
                <w:webHidden/>
              </w:rPr>
              <w:fldChar w:fldCharType="end"/>
            </w:r>
          </w:hyperlink>
        </w:p>
        <w:p w14:paraId="48533C63" w14:textId="11B5F00D"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09" w:history="1">
            <w:r w:rsidRPr="002063A9">
              <w:rPr>
                <w:rStyle w:val="Hyperlink"/>
              </w:rPr>
              <w:t>§3. Fase 3: Het discriminatieverbod</w:t>
            </w:r>
            <w:r>
              <w:rPr>
                <w:webHidden/>
              </w:rPr>
              <w:tab/>
            </w:r>
            <w:r>
              <w:rPr>
                <w:webHidden/>
              </w:rPr>
              <w:fldChar w:fldCharType="begin"/>
            </w:r>
            <w:r>
              <w:rPr>
                <w:webHidden/>
              </w:rPr>
              <w:instrText xml:space="preserve"> PAGEREF _Toc228784109 \h </w:instrText>
            </w:r>
            <w:r>
              <w:rPr>
                <w:webHidden/>
              </w:rPr>
            </w:r>
            <w:r>
              <w:rPr>
                <w:webHidden/>
              </w:rPr>
              <w:fldChar w:fldCharType="separate"/>
            </w:r>
            <w:r w:rsidR="004C4730">
              <w:rPr>
                <w:webHidden/>
              </w:rPr>
              <w:t>29</w:t>
            </w:r>
            <w:r>
              <w:rPr>
                <w:webHidden/>
              </w:rPr>
              <w:fldChar w:fldCharType="end"/>
            </w:r>
          </w:hyperlink>
        </w:p>
        <w:p w14:paraId="3C407C41" w14:textId="6675EFCD" w:rsidR="001328E2" w:rsidRDefault="001328E2">
          <w:pPr>
            <w:pStyle w:val="Inhopg2"/>
            <w:rPr>
              <w:rFonts w:asciiTheme="minorHAnsi" w:eastAsiaTheme="minorEastAsia" w:hAnsiTheme="minorHAnsi" w:cstheme="minorBidi"/>
              <w:b w:val="0"/>
              <w:bCs w:val="0"/>
              <w:caps w:val="0"/>
              <w:kern w:val="2"/>
              <w:lang w:eastAsia="nl-BE"/>
              <w14:ligatures w14:val="standardContextual"/>
            </w:rPr>
          </w:pPr>
          <w:hyperlink w:anchor="_Toc228784110" w:history="1">
            <w:r w:rsidRPr="002063A9">
              <w:rPr>
                <w:rStyle w:val="Hyperlink"/>
              </w:rPr>
              <w:t>Hoofdstuk II. stand van zaken VAN DE harmonisering</w:t>
            </w:r>
            <w:r>
              <w:rPr>
                <w:webHidden/>
              </w:rPr>
              <w:tab/>
            </w:r>
            <w:r>
              <w:rPr>
                <w:webHidden/>
              </w:rPr>
              <w:fldChar w:fldCharType="begin"/>
            </w:r>
            <w:r>
              <w:rPr>
                <w:webHidden/>
              </w:rPr>
              <w:instrText xml:space="preserve"> PAGEREF _Toc228784110 \h </w:instrText>
            </w:r>
            <w:r>
              <w:rPr>
                <w:webHidden/>
              </w:rPr>
            </w:r>
            <w:r>
              <w:rPr>
                <w:webHidden/>
              </w:rPr>
              <w:fldChar w:fldCharType="separate"/>
            </w:r>
            <w:r w:rsidR="004C4730">
              <w:rPr>
                <w:webHidden/>
              </w:rPr>
              <w:t>31</w:t>
            </w:r>
            <w:r>
              <w:rPr>
                <w:webHidden/>
              </w:rPr>
              <w:fldChar w:fldCharType="end"/>
            </w:r>
          </w:hyperlink>
        </w:p>
        <w:p w14:paraId="10EB9EBC" w14:textId="4892E97D"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11" w:history="1">
            <w:r w:rsidRPr="002063A9">
              <w:rPr>
                <w:rStyle w:val="Hyperlink"/>
              </w:rPr>
              <w:t>Afdeling I. Knelpunten in het harmonisatieproces</w:t>
            </w:r>
            <w:r>
              <w:rPr>
                <w:webHidden/>
              </w:rPr>
              <w:tab/>
            </w:r>
            <w:r>
              <w:rPr>
                <w:webHidden/>
              </w:rPr>
              <w:fldChar w:fldCharType="begin"/>
            </w:r>
            <w:r>
              <w:rPr>
                <w:webHidden/>
              </w:rPr>
              <w:instrText xml:space="preserve"> PAGEREF _Toc228784111 \h </w:instrText>
            </w:r>
            <w:r>
              <w:rPr>
                <w:webHidden/>
              </w:rPr>
            </w:r>
            <w:r>
              <w:rPr>
                <w:webHidden/>
              </w:rPr>
              <w:fldChar w:fldCharType="separate"/>
            </w:r>
            <w:r w:rsidR="004C4730">
              <w:rPr>
                <w:webHidden/>
              </w:rPr>
              <w:t>31</w:t>
            </w:r>
            <w:r>
              <w:rPr>
                <w:webHidden/>
              </w:rPr>
              <w:fldChar w:fldCharType="end"/>
            </w:r>
          </w:hyperlink>
        </w:p>
        <w:p w14:paraId="3A3552F6" w14:textId="70FC9909"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12" w:history="1">
            <w:r w:rsidRPr="002063A9">
              <w:rPr>
                <w:rStyle w:val="Hyperlink"/>
              </w:rPr>
              <w:t>§1. Knelpunt 1: Meeste paritaire comités enkel bevoegd voor arbeiders of bedienden</w:t>
            </w:r>
            <w:r>
              <w:rPr>
                <w:webHidden/>
              </w:rPr>
              <w:tab/>
            </w:r>
            <w:r>
              <w:rPr>
                <w:webHidden/>
              </w:rPr>
              <w:fldChar w:fldCharType="begin"/>
            </w:r>
            <w:r>
              <w:rPr>
                <w:webHidden/>
              </w:rPr>
              <w:instrText xml:space="preserve"> PAGEREF _Toc228784112 \h </w:instrText>
            </w:r>
            <w:r>
              <w:rPr>
                <w:webHidden/>
              </w:rPr>
            </w:r>
            <w:r>
              <w:rPr>
                <w:webHidden/>
              </w:rPr>
              <w:fldChar w:fldCharType="separate"/>
            </w:r>
            <w:r w:rsidR="004C4730">
              <w:rPr>
                <w:webHidden/>
              </w:rPr>
              <w:t>32</w:t>
            </w:r>
            <w:r>
              <w:rPr>
                <w:webHidden/>
              </w:rPr>
              <w:fldChar w:fldCharType="end"/>
            </w:r>
          </w:hyperlink>
        </w:p>
        <w:p w14:paraId="2ABC77D8" w14:textId="69EE740C"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13" w:history="1">
            <w:r w:rsidRPr="002063A9">
              <w:rPr>
                <w:rStyle w:val="Hyperlink"/>
              </w:rPr>
              <w:t>§2. Knelpunt 2: Asymmetrie tussen bevoegdheidsgebied paritaire comités.</w:t>
            </w:r>
            <w:r>
              <w:rPr>
                <w:webHidden/>
              </w:rPr>
              <w:tab/>
            </w:r>
            <w:r>
              <w:rPr>
                <w:webHidden/>
              </w:rPr>
              <w:fldChar w:fldCharType="begin"/>
            </w:r>
            <w:r>
              <w:rPr>
                <w:webHidden/>
              </w:rPr>
              <w:instrText xml:space="preserve"> PAGEREF _Toc228784113 \h </w:instrText>
            </w:r>
            <w:r>
              <w:rPr>
                <w:webHidden/>
              </w:rPr>
            </w:r>
            <w:r>
              <w:rPr>
                <w:webHidden/>
              </w:rPr>
              <w:fldChar w:fldCharType="separate"/>
            </w:r>
            <w:r w:rsidR="004C4730">
              <w:rPr>
                <w:webHidden/>
              </w:rPr>
              <w:t>33</w:t>
            </w:r>
            <w:r>
              <w:rPr>
                <w:webHidden/>
              </w:rPr>
              <w:fldChar w:fldCharType="end"/>
            </w:r>
          </w:hyperlink>
        </w:p>
        <w:p w14:paraId="1B4E5018" w14:textId="644BC5A2"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14" w:history="1">
            <w:r w:rsidRPr="002063A9">
              <w:rPr>
                <w:rStyle w:val="Hyperlink"/>
              </w:rPr>
              <w:t>§3. Knelpunt 3: Sectorale pensioenstelsels populairder bij arbeiders dan bedienden</w:t>
            </w:r>
            <w:r>
              <w:rPr>
                <w:webHidden/>
              </w:rPr>
              <w:tab/>
            </w:r>
            <w:r>
              <w:rPr>
                <w:webHidden/>
              </w:rPr>
              <w:fldChar w:fldCharType="begin"/>
            </w:r>
            <w:r>
              <w:rPr>
                <w:webHidden/>
              </w:rPr>
              <w:instrText xml:space="preserve"> PAGEREF _Toc228784114 \h </w:instrText>
            </w:r>
            <w:r>
              <w:rPr>
                <w:webHidden/>
              </w:rPr>
            </w:r>
            <w:r>
              <w:rPr>
                <w:webHidden/>
              </w:rPr>
              <w:fldChar w:fldCharType="separate"/>
            </w:r>
            <w:r w:rsidR="004C4730">
              <w:rPr>
                <w:webHidden/>
              </w:rPr>
              <w:t>34</w:t>
            </w:r>
            <w:r>
              <w:rPr>
                <w:webHidden/>
              </w:rPr>
              <w:fldChar w:fldCharType="end"/>
            </w:r>
          </w:hyperlink>
        </w:p>
        <w:p w14:paraId="26636C28" w14:textId="254165C0"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15" w:history="1">
            <w:r w:rsidRPr="002063A9">
              <w:rPr>
                <w:rStyle w:val="Hyperlink"/>
              </w:rPr>
              <w:t>§4. Knelpunt 4: Verschillend niveau van pensioenopbouw leidt tot verschillende voordelen</w:t>
            </w:r>
            <w:r>
              <w:rPr>
                <w:webHidden/>
              </w:rPr>
              <w:tab/>
            </w:r>
            <w:r>
              <w:rPr>
                <w:webHidden/>
              </w:rPr>
              <w:fldChar w:fldCharType="begin"/>
            </w:r>
            <w:r>
              <w:rPr>
                <w:webHidden/>
              </w:rPr>
              <w:instrText xml:space="preserve"> PAGEREF _Toc228784115 \h </w:instrText>
            </w:r>
            <w:r>
              <w:rPr>
                <w:webHidden/>
              </w:rPr>
            </w:r>
            <w:r>
              <w:rPr>
                <w:webHidden/>
              </w:rPr>
              <w:fldChar w:fldCharType="separate"/>
            </w:r>
            <w:r w:rsidR="004C4730">
              <w:rPr>
                <w:webHidden/>
              </w:rPr>
              <w:t>34</w:t>
            </w:r>
            <w:r>
              <w:rPr>
                <w:webHidden/>
              </w:rPr>
              <w:fldChar w:fldCharType="end"/>
            </w:r>
          </w:hyperlink>
        </w:p>
        <w:p w14:paraId="4F39004A" w14:textId="07A91AD8"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16" w:history="1">
            <w:r w:rsidRPr="002063A9">
              <w:rPr>
                <w:rStyle w:val="Hyperlink"/>
              </w:rPr>
              <w:t>Afdeling II. Bereikte vooruitgang</w:t>
            </w:r>
            <w:r>
              <w:rPr>
                <w:webHidden/>
              </w:rPr>
              <w:tab/>
            </w:r>
            <w:r>
              <w:rPr>
                <w:webHidden/>
              </w:rPr>
              <w:fldChar w:fldCharType="begin"/>
            </w:r>
            <w:r>
              <w:rPr>
                <w:webHidden/>
              </w:rPr>
              <w:instrText xml:space="preserve"> PAGEREF _Toc228784116 \h </w:instrText>
            </w:r>
            <w:r>
              <w:rPr>
                <w:webHidden/>
              </w:rPr>
            </w:r>
            <w:r>
              <w:rPr>
                <w:webHidden/>
              </w:rPr>
              <w:fldChar w:fldCharType="separate"/>
            </w:r>
            <w:r w:rsidR="004C4730">
              <w:rPr>
                <w:webHidden/>
              </w:rPr>
              <w:t>36</w:t>
            </w:r>
            <w:r>
              <w:rPr>
                <w:webHidden/>
              </w:rPr>
              <w:fldChar w:fldCharType="end"/>
            </w:r>
          </w:hyperlink>
        </w:p>
        <w:p w14:paraId="58CCF4D7" w14:textId="6E1BE06D"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17" w:history="1">
            <w:r w:rsidRPr="002063A9">
              <w:rPr>
                <w:rStyle w:val="Hyperlink"/>
                <w:lang w:val="fr-BE"/>
              </w:rPr>
              <w:t>§1. Paritaire comités bijten de spits af</w:t>
            </w:r>
            <w:r>
              <w:rPr>
                <w:webHidden/>
              </w:rPr>
              <w:tab/>
            </w:r>
            <w:r>
              <w:rPr>
                <w:webHidden/>
              </w:rPr>
              <w:fldChar w:fldCharType="begin"/>
            </w:r>
            <w:r>
              <w:rPr>
                <w:webHidden/>
              </w:rPr>
              <w:instrText xml:space="preserve"> PAGEREF _Toc228784117 \h </w:instrText>
            </w:r>
            <w:r>
              <w:rPr>
                <w:webHidden/>
              </w:rPr>
            </w:r>
            <w:r>
              <w:rPr>
                <w:webHidden/>
              </w:rPr>
              <w:fldChar w:fldCharType="separate"/>
            </w:r>
            <w:r w:rsidR="004C4730">
              <w:rPr>
                <w:webHidden/>
              </w:rPr>
              <w:t>36</w:t>
            </w:r>
            <w:r>
              <w:rPr>
                <w:webHidden/>
              </w:rPr>
              <w:fldChar w:fldCharType="end"/>
            </w:r>
          </w:hyperlink>
        </w:p>
        <w:p w14:paraId="49D9D3C4" w14:textId="77135275"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18" w:history="1">
            <w:r w:rsidRPr="002063A9">
              <w:rPr>
                <w:rStyle w:val="Hyperlink"/>
                <w:lang w:val="nl-NL"/>
              </w:rPr>
              <w:t>§2. Werkgevers ronden harmonisering af</w:t>
            </w:r>
            <w:r>
              <w:rPr>
                <w:webHidden/>
              </w:rPr>
              <w:tab/>
            </w:r>
            <w:r>
              <w:rPr>
                <w:webHidden/>
              </w:rPr>
              <w:fldChar w:fldCharType="begin"/>
            </w:r>
            <w:r>
              <w:rPr>
                <w:webHidden/>
              </w:rPr>
              <w:instrText xml:space="preserve"> PAGEREF _Toc228784118 \h </w:instrText>
            </w:r>
            <w:r>
              <w:rPr>
                <w:webHidden/>
              </w:rPr>
            </w:r>
            <w:r>
              <w:rPr>
                <w:webHidden/>
              </w:rPr>
              <w:fldChar w:fldCharType="separate"/>
            </w:r>
            <w:r w:rsidR="004C4730">
              <w:rPr>
                <w:webHidden/>
              </w:rPr>
              <w:t>41</w:t>
            </w:r>
            <w:r>
              <w:rPr>
                <w:webHidden/>
              </w:rPr>
              <w:fldChar w:fldCharType="end"/>
            </w:r>
          </w:hyperlink>
        </w:p>
        <w:p w14:paraId="449DE31D" w14:textId="6E35CF4A"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19" w:history="1">
            <w:r w:rsidRPr="002063A9">
              <w:rPr>
                <w:rStyle w:val="Hyperlink"/>
                <w:lang w:val="nl-NL"/>
              </w:rPr>
              <w:t>§3. Reikwijdte harmonisatieverplichting</w:t>
            </w:r>
            <w:r>
              <w:rPr>
                <w:webHidden/>
              </w:rPr>
              <w:tab/>
            </w:r>
            <w:r>
              <w:rPr>
                <w:webHidden/>
              </w:rPr>
              <w:fldChar w:fldCharType="begin"/>
            </w:r>
            <w:r>
              <w:rPr>
                <w:webHidden/>
              </w:rPr>
              <w:instrText xml:space="preserve"> PAGEREF _Toc228784119 \h </w:instrText>
            </w:r>
            <w:r>
              <w:rPr>
                <w:webHidden/>
              </w:rPr>
            </w:r>
            <w:r>
              <w:rPr>
                <w:webHidden/>
              </w:rPr>
              <w:fldChar w:fldCharType="separate"/>
            </w:r>
            <w:r w:rsidR="004C4730">
              <w:rPr>
                <w:webHidden/>
              </w:rPr>
              <w:t>43</w:t>
            </w:r>
            <w:r>
              <w:rPr>
                <w:webHidden/>
              </w:rPr>
              <w:fldChar w:fldCharType="end"/>
            </w:r>
          </w:hyperlink>
        </w:p>
        <w:p w14:paraId="781EB25D" w14:textId="3464D855"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20" w:history="1">
            <w:r w:rsidRPr="002063A9">
              <w:rPr>
                <w:rStyle w:val="Hyperlink"/>
                <w:lang w:val="nl-NL"/>
              </w:rPr>
              <w:t>Afdeling III. Alternatieve mechanismen</w:t>
            </w:r>
            <w:r>
              <w:rPr>
                <w:webHidden/>
              </w:rPr>
              <w:tab/>
            </w:r>
            <w:r>
              <w:rPr>
                <w:webHidden/>
              </w:rPr>
              <w:fldChar w:fldCharType="begin"/>
            </w:r>
            <w:r>
              <w:rPr>
                <w:webHidden/>
              </w:rPr>
              <w:instrText xml:space="preserve"> PAGEREF _Toc228784120 \h </w:instrText>
            </w:r>
            <w:r>
              <w:rPr>
                <w:webHidden/>
              </w:rPr>
            </w:r>
            <w:r>
              <w:rPr>
                <w:webHidden/>
              </w:rPr>
              <w:fldChar w:fldCharType="separate"/>
            </w:r>
            <w:r w:rsidR="004C4730">
              <w:rPr>
                <w:webHidden/>
              </w:rPr>
              <w:t>46</w:t>
            </w:r>
            <w:r>
              <w:rPr>
                <w:webHidden/>
              </w:rPr>
              <w:fldChar w:fldCharType="end"/>
            </w:r>
          </w:hyperlink>
        </w:p>
        <w:p w14:paraId="4CAD8A07" w14:textId="7A4FC933"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21" w:history="1">
            <w:r w:rsidRPr="002063A9">
              <w:rPr>
                <w:rStyle w:val="Hyperlink"/>
                <w:lang w:val="nl-NL"/>
              </w:rPr>
              <w:t>§1. Speciaal weigeringsrecht</w:t>
            </w:r>
            <w:r>
              <w:rPr>
                <w:webHidden/>
              </w:rPr>
              <w:tab/>
            </w:r>
            <w:r>
              <w:rPr>
                <w:webHidden/>
              </w:rPr>
              <w:fldChar w:fldCharType="begin"/>
            </w:r>
            <w:r>
              <w:rPr>
                <w:webHidden/>
              </w:rPr>
              <w:instrText xml:space="preserve"> PAGEREF _Toc228784121 \h </w:instrText>
            </w:r>
            <w:r>
              <w:rPr>
                <w:webHidden/>
              </w:rPr>
            </w:r>
            <w:r>
              <w:rPr>
                <w:webHidden/>
              </w:rPr>
              <w:fldChar w:fldCharType="separate"/>
            </w:r>
            <w:r w:rsidR="004C4730">
              <w:rPr>
                <w:webHidden/>
              </w:rPr>
              <w:t>46</w:t>
            </w:r>
            <w:r>
              <w:rPr>
                <w:webHidden/>
              </w:rPr>
              <w:fldChar w:fldCharType="end"/>
            </w:r>
          </w:hyperlink>
        </w:p>
        <w:p w14:paraId="38950C47" w14:textId="67B42BFE"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22" w:history="1">
            <w:r w:rsidRPr="002063A9">
              <w:rPr>
                <w:rStyle w:val="Hyperlink"/>
                <w:lang w:val="nl-NL"/>
              </w:rPr>
              <w:t>§2. Collectieve keuze uit het verleden</w:t>
            </w:r>
            <w:r>
              <w:rPr>
                <w:webHidden/>
              </w:rPr>
              <w:tab/>
            </w:r>
            <w:r>
              <w:rPr>
                <w:webHidden/>
              </w:rPr>
              <w:fldChar w:fldCharType="begin"/>
            </w:r>
            <w:r>
              <w:rPr>
                <w:webHidden/>
              </w:rPr>
              <w:instrText xml:space="preserve"> PAGEREF _Toc228784122 \h </w:instrText>
            </w:r>
            <w:r>
              <w:rPr>
                <w:webHidden/>
              </w:rPr>
            </w:r>
            <w:r>
              <w:rPr>
                <w:webHidden/>
              </w:rPr>
              <w:fldChar w:fldCharType="separate"/>
            </w:r>
            <w:r w:rsidR="004C4730">
              <w:rPr>
                <w:webHidden/>
              </w:rPr>
              <w:t>48</w:t>
            </w:r>
            <w:r>
              <w:rPr>
                <w:webHidden/>
              </w:rPr>
              <w:fldChar w:fldCharType="end"/>
            </w:r>
          </w:hyperlink>
        </w:p>
        <w:p w14:paraId="4904E28C" w14:textId="14F05C20"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23" w:history="1">
            <w:r w:rsidRPr="002063A9">
              <w:rPr>
                <w:rStyle w:val="Hyperlink"/>
                <w:lang w:val="nl-NL"/>
              </w:rPr>
              <w:t>Afdeling IV. Tussenbesluit: resterende ongelijkheden en structurele barrières</w:t>
            </w:r>
            <w:r>
              <w:rPr>
                <w:webHidden/>
              </w:rPr>
              <w:tab/>
            </w:r>
            <w:r>
              <w:rPr>
                <w:webHidden/>
              </w:rPr>
              <w:fldChar w:fldCharType="begin"/>
            </w:r>
            <w:r>
              <w:rPr>
                <w:webHidden/>
              </w:rPr>
              <w:instrText xml:space="preserve"> PAGEREF _Toc228784123 \h </w:instrText>
            </w:r>
            <w:r>
              <w:rPr>
                <w:webHidden/>
              </w:rPr>
            </w:r>
            <w:r>
              <w:rPr>
                <w:webHidden/>
              </w:rPr>
              <w:fldChar w:fldCharType="separate"/>
            </w:r>
            <w:r w:rsidR="004C4730">
              <w:rPr>
                <w:webHidden/>
              </w:rPr>
              <w:t>49</w:t>
            </w:r>
            <w:r>
              <w:rPr>
                <w:webHidden/>
              </w:rPr>
              <w:fldChar w:fldCharType="end"/>
            </w:r>
          </w:hyperlink>
        </w:p>
        <w:p w14:paraId="5B73FE22" w14:textId="151D5143" w:rsidR="001328E2" w:rsidRDefault="001328E2">
          <w:pPr>
            <w:pStyle w:val="Inhopg1"/>
            <w:rPr>
              <w:rFonts w:asciiTheme="minorHAnsi" w:eastAsiaTheme="minorEastAsia" w:hAnsiTheme="minorHAnsi" w:cstheme="minorBidi"/>
              <w:b w:val="0"/>
              <w:caps w:val="0"/>
              <w:kern w:val="2"/>
              <w:lang w:eastAsia="nl-BE"/>
              <w14:ligatures w14:val="standardContextual"/>
            </w:rPr>
          </w:pPr>
          <w:hyperlink w:anchor="_Toc228784124" w:history="1">
            <w:r w:rsidRPr="002063A9">
              <w:rPr>
                <w:rStyle w:val="Hyperlink"/>
              </w:rPr>
              <w:t>Deel IV: Rechtsvergelijkend onderzoek</w:t>
            </w:r>
            <w:r>
              <w:rPr>
                <w:webHidden/>
              </w:rPr>
              <w:tab/>
            </w:r>
            <w:r>
              <w:rPr>
                <w:webHidden/>
              </w:rPr>
              <w:fldChar w:fldCharType="begin"/>
            </w:r>
            <w:r>
              <w:rPr>
                <w:webHidden/>
              </w:rPr>
              <w:instrText xml:space="preserve"> PAGEREF _Toc228784124 \h </w:instrText>
            </w:r>
            <w:r>
              <w:rPr>
                <w:webHidden/>
              </w:rPr>
            </w:r>
            <w:r>
              <w:rPr>
                <w:webHidden/>
              </w:rPr>
              <w:fldChar w:fldCharType="separate"/>
            </w:r>
            <w:r w:rsidR="004C4730">
              <w:rPr>
                <w:webHidden/>
              </w:rPr>
              <w:t>51</w:t>
            </w:r>
            <w:r>
              <w:rPr>
                <w:webHidden/>
              </w:rPr>
              <w:fldChar w:fldCharType="end"/>
            </w:r>
          </w:hyperlink>
        </w:p>
        <w:p w14:paraId="0BE94010" w14:textId="7C736CE5" w:rsidR="001328E2" w:rsidRDefault="001328E2">
          <w:pPr>
            <w:pStyle w:val="Inhopg2"/>
            <w:rPr>
              <w:rFonts w:asciiTheme="minorHAnsi" w:eastAsiaTheme="minorEastAsia" w:hAnsiTheme="minorHAnsi" w:cstheme="minorBidi"/>
              <w:b w:val="0"/>
              <w:bCs w:val="0"/>
              <w:caps w:val="0"/>
              <w:kern w:val="2"/>
              <w:lang w:eastAsia="nl-BE"/>
              <w14:ligatures w14:val="standardContextual"/>
            </w:rPr>
          </w:pPr>
          <w:hyperlink w:anchor="_Toc228784125" w:history="1">
            <w:r w:rsidRPr="002063A9">
              <w:rPr>
                <w:rStyle w:val="Hyperlink"/>
              </w:rPr>
              <w:t>Hoofdstuk I. Luxemburg</w:t>
            </w:r>
            <w:r>
              <w:rPr>
                <w:webHidden/>
              </w:rPr>
              <w:tab/>
            </w:r>
            <w:r>
              <w:rPr>
                <w:webHidden/>
              </w:rPr>
              <w:fldChar w:fldCharType="begin"/>
            </w:r>
            <w:r>
              <w:rPr>
                <w:webHidden/>
              </w:rPr>
              <w:instrText xml:space="preserve"> PAGEREF _Toc228784125 \h </w:instrText>
            </w:r>
            <w:r>
              <w:rPr>
                <w:webHidden/>
              </w:rPr>
            </w:r>
            <w:r>
              <w:rPr>
                <w:webHidden/>
              </w:rPr>
              <w:fldChar w:fldCharType="separate"/>
            </w:r>
            <w:r w:rsidR="004C4730">
              <w:rPr>
                <w:webHidden/>
              </w:rPr>
              <w:t>52</w:t>
            </w:r>
            <w:r>
              <w:rPr>
                <w:webHidden/>
              </w:rPr>
              <w:fldChar w:fldCharType="end"/>
            </w:r>
          </w:hyperlink>
        </w:p>
        <w:p w14:paraId="0E4B53E6" w14:textId="7FA33068"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26" w:history="1">
            <w:r w:rsidRPr="002063A9">
              <w:rPr>
                <w:rStyle w:val="Hyperlink"/>
              </w:rPr>
              <w:t>Afdeling I. Historische ontwikkeling</w:t>
            </w:r>
            <w:r>
              <w:rPr>
                <w:webHidden/>
              </w:rPr>
              <w:tab/>
            </w:r>
            <w:r>
              <w:rPr>
                <w:webHidden/>
              </w:rPr>
              <w:fldChar w:fldCharType="begin"/>
            </w:r>
            <w:r>
              <w:rPr>
                <w:webHidden/>
              </w:rPr>
              <w:instrText xml:space="preserve"> PAGEREF _Toc228784126 \h </w:instrText>
            </w:r>
            <w:r>
              <w:rPr>
                <w:webHidden/>
              </w:rPr>
            </w:r>
            <w:r>
              <w:rPr>
                <w:webHidden/>
              </w:rPr>
              <w:fldChar w:fldCharType="separate"/>
            </w:r>
            <w:r w:rsidR="004C4730">
              <w:rPr>
                <w:webHidden/>
              </w:rPr>
              <w:t>52</w:t>
            </w:r>
            <w:r>
              <w:rPr>
                <w:webHidden/>
              </w:rPr>
              <w:fldChar w:fldCharType="end"/>
            </w:r>
          </w:hyperlink>
        </w:p>
        <w:p w14:paraId="7ADE46DD" w14:textId="34D8DF92"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27" w:history="1">
            <w:r w:rsidRPr="002063A9">
              <w:rPr>
                <w:rStyle w:val="Hyperlink"/>
              </w:rPr>
              <w:t>Afdeling II. Juridisch kader</w:t>
            </w:r>
            <w:r>
              <w:rPr>
                <w:webHidden/>
              </w:rPr>
              <w:tab/>
            </w:r>
            <w:r>
              <w:rPr>
                <w:webHidden/>
              </w:rPr>
              <w:fldChar w:fldCharType="begin"/>
            </w:r>
            <w:r>
              <w:rPr>
                <w:webHidden/>
              </w:rPr>
              <w:instrText xml:space="preserve"> PAGEREF _Toc228784127 \h </w:instrText>
            </w:r>
            <w:r>
              <w:rPr>
                <w:webHidden/>
              </w:rPr>
            </w:r>
            <w:r>
              <w:rPr>
                <w:webHidden/>
              </w:rPr>
              <w:fldChar w:fldCharType="separate"/>
            </w:r>
            <w:r w:rsidR="004C4730">
              <w:rPr>
                <w:webHidden/>
              </w:rPr>
              <w:t>53</w:t>
            </w:r>
            <w:r>
              <w:rPr>
                <w:webHidden/>
              </w:rPr>
              <w:fldChar w:fldCharType="end"/>
            </w:r>
          </w:hyperlink>
        </w:p>
        <w:p w14:paraId="3C5181D9" w14:textId="17EDEDF6"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28" w:history="1">
            <w:r w:rsidRPr="002063A9">
              <w:rPr>
                <w:rStyle w:val="Hyperlink"/>
              </w:rPr>
              <w:t>Afdeling III. Concluderende analyse</w:t>
            </w:r>
            <w:r>
              <w:rPr>
                <w:webHidden/>
              </w:rPr>
              <w:tab/>
            </w:r>
            <w:r>
              <w:rPr>
                <w:webHidden/>
              </w:rPr>
              <w:fldChar w:fldCharType="begin"/>
            </w:r>
            <w:r>
              <w:rPr>
                <w:webHidden/>
              </w:rPr>
              <w:instrText xml:space="preserve"> PAGEREF _Toc228784128 \h </w:instrText>
            </w:r>
            <w:r>
              <w:rPr>
                <w:webHidden/>
              </w:rPr>
            </w:r>
            <w:r>
              <w:rPr>
                <w:webHidden/>
              </w:rPr>
              <w:fldChar w:fldCharType="separate"/>
            </w:r>
            <w:r w:rsidR="004C4730">
              <w:rPr>
                <w:webHidden/>
              </w:rPr>
              <w:t>56</w:t>
            </w:r>
            <w:r>
              <w:rPr>
                <w:webHidden/>
              </w:rPr>
              <w:fldChar w:fldCharType="end"/>
            </w:r>
          </w:hyperlink>
        </w:p>
        <w:p w14:paraId="1DEF3B86" w14:textId="1B98DDAE" w:rsidR="001328E2" w:rsidRDefault="001328E2">
          <w:pPr>
            <w:pStyle w:val="Inhopg2"/>
            <w:rPr>
              <w:rFonts w:asciiTheme="minorHAnsi" w:eastAsiaTheme="minorEastAsia" w:hAnsiTheme="minorHAnsi" w:cstheme="minorBidi"/>
              <w:b w:val="0"/>
              <w:bCs w:val="0"/>
              <w:caps w:val="0"/>
              <w:kern w:val="2"/>
              <w:lang w:eastAsia="nl-BE"/>
              <w14:ligatures w14:val="standardContextual"/>
            </w:rPr>
          </w:pPr>
          <w:hyperlink w:anchor="_Toc228784129" w:history="1">
            <w:r w:rsidRPr="002063A9">
              <w:rPr>
                <w:rStyle w:val="Hyperlink"/>
              </w:rPr>
              <w:t>Hoofdstuk II. Nederland</w:t>
            </w:r>
            <w:r>
              <w:rPr>
                <w:webHidden/>
              </w:rPr>
              <w:tab/>
            </w:r>
            <w:r>
              <w:rPr>
                <w:webHidden/>
              </w:rPr>
              <w:fldChar w:fldCharType="begin"/>
            </w:r>
            <w:r>
              <w:rPr>
                <w:webHidden/>
              </w:rPr>
              <w:instrText xml:space="preserve"> PAGEREF _Toc228784129 \h </w:instrText>
            </w:r>
            <w:r>
              <w:rPr>
                <w:webHidden/>
              </w:rPr>
            </w:r>
            <w:r>
              <w:rPr>
                <w:webHidden/>
              </w:rPr>
              <w:fldChar w:fldCharType="separate"/>
            </w:r>
            <w:r w:rsidR="004C4730">
              <w:rPr>
                <w:webHidden/>
              </w:rPr>
              <w:t>58</w:t>
            </w:r>
            <w:r>
              <w:rPr>
                <w:webHidden/>
              </w:rPr>
              <w:fldChar w:fldCharType="end"/>
            </w:r>
          </w:hyperlink>
        </w:p>
        <w:p w14:paraId="7DCB4769" w14:textId="23429F70"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30" w:history="1">
            <w:r w:rsidRPr="002063A9">
              <w:rPr>
                <w:rStyle w:val="Hyperlink"/>
              </w:rPr>
              <w:t>Afdeling I. Ontwikkeling van de tweede pijler</w:t>
            </w:r>
            <w:r>
              <w:rPr>
                <w:webHidden/>
              </w:rPr>
              <w:tab/>
            </w:r>
            <w:r>
              <w:rPr>
                <w:webHidden/>
              </w:rPr>
              <w:fldChar w:fldCharType="begin"/>
            </w:r>
            <w:r>
              <w:rPr>
                <w:webHidden/>
              </w:rPr>
              <w:instrText xml:space="preserve"> PAGEREF _Toc228784130 \h </w:instrText>
            </w:r>
            <w:r>
              <w:rPr>
                <w:webHidden/>
              </w:rPr>
            </w:r>
            <w:r>
              <w:rPr>
                <w:webHidden/>
              </w:rPr>
              <w:fldChar w:fldCharType="separate"/>
            </w:r>
            <w:r w:rsidR="004C4730">
              <w:rPr>
                <w:webHidden/>
              </w:rPr>
              <w:t>58</w:t>
            </w:r>
            <w:r>
              <w:rPr>
                <w:webHidden/>
              </w:rPr>
              <w:fldChar w:fldCharType="end"/>
            </w:r>
          </w:hyperlink>
        </w:p>
        <w:p w14:paraId="7A7F8F23" w14:textId="58DC9226"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31" w:history="1">
            <w:r w:rsidRPr="002063A9">
              <w:rPr>
                <w:rStyle w:val="Hyperlink"/>
              </w:rPr>
              <w:t>§1. Historiek van het aanvullend pensioen</w:t>
            </w:r>
            <w:r>
              <w:rPr>
                <w:webHidden/>
              </w:rPr>
              <w:tab/>
            </w:r>
            <w:r>
              <w:rPr>
                <w:webHidden/>
              </w:rPr>
              <w:fldChar w:fldCharType="begin"/>
            </w:r>
            <w:r>
              <w:rPr>
                <w:webHidden/>
              </w:rPr>
              <w:instrText xml:space="preserve"> PAGEREF _Toc228784131 \h </w:instrText>
            </w:r>
            <w:r>
              <w:rPr>
                <w:webHidden/>
              </w:rPr>
            </w:r>
            <w:r>
              <w:rPr>
                <w:webHidden/>
              </w:rPr>
              <w:fldChar w:fldCharType="separate"/>
            </w:r>
            <w:r w:rsidR="004C4730">
              <w:rPr>
                <w:webHidden/>
              </w:rPr>
              <w:t>59</w:t>
            </w:r>
            <w:r>
              <w:rPr>
                <w:webHidden/>
              </w:rPr>
              <w:fldChar w:fldCharType="end"/>
            </w:r>
          </w:hyperlink>
        </w:p>
        <w:p w14:paraId="0AA325A2" w14:textId="3C432F33"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32" w:history="1">
            <w:r w:rsidRPr="002063A9">
              <w:rPr>
                <w:rStyle w:val="Hyperlink"/>
              </w:rPr>
              <w:t>Afdeling II. Juridische structuur en solidariteitsmechanismen</w:t>
            </w:r>
            <w:r>
              <w:rPr>
                <w:webHidden/>
              </w:rPr>
              <w:tab/>
            </w:r>
            <w:r>
              <w:rPr>
                <w:webHidden/>
              </w:rPr>
              <w:fldChar w:fldCharType="begin"/>
            </w:r>
            <w:r>
              <w:rPr>
                <w:webHidden/>
              </w:rPr>
              <w:instrText xml:space="preserve"> PAGEREF _Toc228784132 \h </w:instrText>
            </w:r>
            <w:r>
              <w:rPr>
                <w:webHidden/>
              </w:rPr>
            </w:r>
            <w:r>
              <w:rPr>
                <w:webHidden/>
              </w:rPr>
              <w:fldChar w:fldCharType="separate"/>
            </w:r>
            <w:r w:rsidR="004C4730">
              <w:rPr>
                <w:webHidden/>
              </w:rPr>
              <w:t>60</w:t>
            </w:r>
            <w:r>
              <w:rPr>
                <w:webHidden/>
              </w:rPr>
              <w:fldChar w:fldCharType="end"/>
            </w:r>
          </w:hyperlink>
        </w:p>
        <w:p w14:paraId="2FE76B54" w14:textId="787CCBC4"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33" w:history="1">
            <w:r w:rsidRPr="002063A9">
              <w:rPr>
                <w:rStyle w:val="Hyperlink"/>
              </w:rPr>
              <w:t>§1. Verplicht aanvullend pensioen</w:t>
            </w:r>
            <w:r>
              <w:rPr>
                <w:webHidden/>
              </w:rPr>
              <w:tab/>
            </w:r>
            <w:r>
              <w:rPr>
                <w:webHidden/>
              </w:rPr>
              <w:fldChar w:fldCharType="begin"/>
            </w:r>
            <w:r>
              <w:rPr>
                <w:webHidden/>
              </w:rPr>
              <w:instrText xml:space="preserve"> PAGEREF _Toc228784133 \h </w:instrText>
            </w:r>
            <w:r>
              <w:rPr>
                <w:webHidden/>
              </w:rPr>
            </w:r>
            <w:r>
              <w:rPr>
                <w:webHidden/>
              </w:rPr>
              <w:fldChar w:fldCharType="separate"/>
            </w:r>
            <w:r w:rsidR="004C4730">
              <w:rPr>
                <w:webHidden/>
              </w:rPr>
              <w:t>60</w:t>
            </w:r>
            <w:r>
              <w:rPr>
                <w:webHidden/>
              </w:rPr>
              <w:fldChar w:fldCharType="end"/>
            </w:r>
          </w:hyperlink>
        </w:p>
        <w:p w14:paraId="5C0D4730" w14:textId="716770B4"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34" w:history="1">
            <w:r w:rsidRPr="002063A9">
              <w:rPr>
                <w:rStyle w:val="Hyperlink"/>
              </w:rPr>
              <w:t>§2. De doorsneepremie als instrument voor gelijkheid</w:t>
            </w:r>
            <w:r>
              <w:rPr>
                <w:webHidden/>
              </w:rPr>
              <w:tab/>
            </w:r>
            <w:r>
              <w:rPr>
                <w:webHidden/>
              </w:rPr>
              <w:fldChar w:fldCharType="begin"/>
            </w:r>
            <w:r>
              <w:rPr>
                <w:webHidden/>
              </w:rPr>
              <w:instrText xml:space="preserve"> PAGEREF _Toc228784134 \h </w:instrText>
            </w:r>
            <w:r>
              <w:rPr>
                <w:webHidden/>
              </w:rPr>
            </w:r>
            <w:r>
              <w:rPr>
                <w:webHidden/>
              </w:rPr>
              <w:fldChar w:fldCharType="separate"/>
            </w:r>
            <w:r w:rsidR="004C4730">
              <w:rPr>
                <w:webHidden/>
              </w:rPr>
              <w:t>62</w:t>
            </w:r>
            <w:r>
              <w:rPr>
                <w:webHidden/>
              </w:rPr>
              <w:fldChar w:fldCharType="end"/>
            </w:r>
          </w:hyperlink>
        </w:p>
        <w:p w14:paraId="0470D5D5" w14:textId="5C024685"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35" w:history="1">
            <w:r w:rsidRPr="002063A9">
              <w:rPr>
                <w:rStyle w:val="Hyperlink"/>
                <w:lang w:val="nl-NL"/>
              </w:rPr>
              <w:t>§3. Afschaffing van de doorsneesystematiek en invoering van de gelijke premie</w:t>
            </w:r>
            <w:r>
              <w:rPr>
                <w:webHidden/>
              </w:rPr>
              <w:tab/>
            </w:r>
            <w:r>
              <w:rPr>
                <w:webHidden/>
              </w:rPr>
              <w:fldChar w:fldCharType="begin"/>
            </w:r>
            <w:r>
              <w:rPr>
                <w:webHidden/>
              </w:rPr>
              <w:instrText xml:space="preserve"> PAGEREF _Toc228784135 \h </w:instrText>
            </w:r>
            <w:r>
              <w:rPr>
                <w:webHidden/>
              </w:rPr>
            </w:r>
            <w:r>
              <w:rPr>
                <w:webHidden/>
              </w:rPr>
              <w:fldChar w:fldCharType="separate"/>
            </w:r>
            <w:r w:rsidR="004C4730">
              <w:rPr>
                <w:webHidden/>
              </w:rPr>
              <w:t>63</w:t>
            </w:r>
            <w:r>
              <w:rPr>
                <w:webHidden/>
              </w:rPr>
              <w:fldChar w:fldCharType="end"/>
            </w:r>
          </w:hyperlink>
        </w:p>
        <w:p w14:paraId="77C7F43D" w14:textId="78FD0FE2" w:rsidR="001328E2" w:rsidRDefault="001328E2">
          <w:pPr>
            <w:pStyle w:val="Inhopg4"/>
            <w:rPr>
              <w:rFonts w:asciiTheme="minorHAnsi" w:eastAsiaTheme="minorEastAsia" w:hAnsiTheme="minorHAnsi" w:cstheme="minorBidi"/>
              <w:i w:val="0"/>
              <w:iCs w:val="0"/>
              <w:kern w:val="2"/>
              <w:lang w:eastAsia="nl-BE"/>
              <w14:ligatures w14:val="standardContextual"/>
            </w:rPr>
          </w:pPr>
          <w:hyperlink w:anchor="_Toc228784136" w:history="1">
            <w:r w:rsidRPr="002063A9">
              <w:rPr>
                <w:rStyle w:val="Hyperlink"/>
              </w:rPr>
              <w:t>§4. Het controversieel ‘invaar’ mechanisme</w:t>
            </w:r>
            <w:r>
              <w:rPr>
                <w:webHidden/>
              </w:rPr>
              <w:tab/>
            </w:r>
            <w:r>
              <w:rPr>
                <w:webHidden/>
              </w:rPr>
              <w:fldChar w:fldCharType="begin"/>
            </w:r>
            <w:r>
              <w:rPr>
                <w:webHidden/>
              </w:rPr>
              <w:instrText xml:space="preserve"> PAGEREF _Toc228784136 \h </w:instrText>
            </w:r>
            <w:r>
              <w:rPr>
                <w:webHidden/>
              </w:rPr>
            </w:r>
            <w:r>
              <w:rPr>
                <w:webHidden/>
              </w:rPr>
              <w:fldChar w:fldCharType="separate"/>
            </w:r>
            <w:r w:rsidR="004C4730">
              <w:rPr>
                <w:webHidden/>
              </w:rPr>
              <w:t>64</w:t>
            </w:r>
            <w:r>
              <w:rPr>
                <w:webHidden/>
              </w:rPr>
              <w:fldChar w:fldCharType="end"/>
            </w:r>
          </w:hyperlink>
        </w:p>
        <w:p w14:paraId="4CF1BA47" w14:textId="704D77BE"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37" w:history="1">
            <w:r w:rsidRPr="002063A9">
              <w:rPr>
                <w:rStyle w:val="Hyperlink"/>
              </w:rPr>
              <w:t>Afdeling III. concluderende analyse</w:t>
            </w:r>
            <w:r>
              <w:rPr>
                <w:webHidden/>
              </w:rPr>
              <w:tab/>
            </w:r>
            <w:r>
              <w:rPr>
                <w:webHidden/>
              </w:rPr>
              <w:fldChar w:fldCharType="begin"/>
            </w:r>
            <w:r>
              <w:rPr>
                <w:webHidden/>
              </w:rPr>
              <w:instrText xml:space="preserve"> PAGEREF _Toc228784137 \h </w:instrText>
            </w:r>
            <w:r>
              <w:rPr>
                <w:webHidden/>
              </w:rPr>
            </w:r>
            <w:r>
              <w:rPr>
                <w:webHidden/>
              </w:rPr>
              <w:fldChar w:fldCharType="separate"/>
            </w:r>
            <w:r w:rsidR="004C4730">
              <w:rPr>
                <w:webHidden/>
              </w:rPr>
              <w:t>64</w:t>
            </w:r>
            <w:r>
              <w:rPr>
                <w:webHidden/>
              </w:rPr>
              <w:fldChar w:fldCharType="end"/>
            </w:r>
          </w:hyperlink>
        </w:p>
        <w:p w14:paraId="708401D8" w14:textId="46CA1267" w:rsidR="001328E2" w:rsidRDefault="001328E2">
          <w:pPr>
            <w:pStyle w:val="Inhopg2"/>
            <w:rPr>
              <w:rFonts w:asciiTheme="minorHAnsi" w:eastAsiaTheme="minorEastAsia" w:hAnsiTheme="minorHAnsi" w:cstheme="minorBidi"/>
              <w:b w:val="0"/>
              <w:bCs w:val="0"/>
              <w:caps w:val="0"/>
              <w:kern w:val="2"/>
              <w:lang w:eastAsia="nl-BE"/>
              <w14:ligatures w14:val="standardContextual"/>
            </w:rPr>
          </w:pPr>
          <w:hyperlink w:anchor="_Toc228784138" w:history="1">
            <w:r w:rsidRPr="002063A9">
              <w:rPr>
                <w:rStyle w:val="Hyperlink"/>
                <w:lang w:val="nl-NL"/>
              </w:rPr>
              <w:t>Hoofdstuk III. Duitsland</w:t>
            </w:r>
            <w:r>
              <w:rPr>
                <w:webHidden/>
              </w:rPr>
              <w:tab/>
            </w:r>
            <w:r>
              <w:rPr>
                <w:webHidden/>
              </w:rPr>
              <w:fldChar w:fldCharType="begin"/>
            </w:r>
            <w:r>
              <w:rPr>
                <w:webHidden/>
              </w:rPr>
              <w:instrText xml:space="preserve"> PAGEREF _Toc228784138 \h </w:instrText>
            </w:r>
            <w:r>
              <w:rPr>
                <w:webHidden/>
              </w:rPr>
            </w:r>
            <w:r>
              <w:rPr>
                <w:webHidden/>
              </w:rPr>
              <w:fldChar w:fldCharType="separate"/>
            </w:r>
            <w:r w:rsidR="004C4730">
              <w:rPr>
                <w:webHidden/>
              </w:rPr>
              <w:t>66</w:t>
            </w:r>
            <w:r>
              <w:rPr>
                <w:webHidden/>
              </w:rPr>
              <w:fldChar w:fldCharType="end"/>
            </w:r>
          </w:hyperlink>
        </w:p>
        <w:p w14:paraId="1347A353" w14:textId="58A40278"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39" w:history="1">
            <w:r w:rsidRPr="002063A9">
              <w:rPr>
                <w:rStyle w:val="Hyperlink"/>
                <w:lang w:val="nl-NL"/>
              </w:rPr>
              <w:t>Afdeling I. Historische evolutie</w:t>
            </w:r>
            <w:r>
              <w:rPr>
                <w:webHidden/>
              </w:rPr>
              <w:tab/>
            </w:r>
            <w:r>
              <w:rPr>
                <w:webHidden/>
              </w:rPr>
              <w:fldChar w:fldCharType="begin"/>
            </w:r>
            <w:r>
              <w:rPr>
                <w:webHidden/>
              </w:rPr>
              <w:instrText xml:space="preserve"> PAGEREF _Toc228784139 \h </w:instrText>
            </w:r>
            <w:r>
              <w:rPr>
                <w:webHidden/>
              </w:rPr>
            </w:r>
            <w:r>
              <w:rPr>
                <w:webHidden/>
              </w:rPr>
              <w:fldChar w:fldCharType="separate"/>
            </w:r>
            <w:r w:rsidR="004C4730">
              <w:rPr>
                <w:webHidden/>
              </w:rPr>
              <w:t>66</w:t>
            </w:r>
            <w:r>
              <w:rPr>
                <w:webHidden/>
              </w:rPr>
              <w:fldChar w:fldCharType="end"/>
            </w:r>
          </w:hyperlink>
        </w:p>
        <w:p w14:paraId="3E515156" w14:textId="3428D2C4"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40" w:history="1">
            <w:r w:rsidRPr="002063A9">
              <w:rPr>
                <w:rStyle w:val="Hyperlink"/>
                <w:lang w:val="nl-NL"/>
              </w:rPr>
              <w:t>Afdeling II. Juridisch kader van de bedrijfsvoorziening</w:t>
            </w:r>
            <w:r>
              <w:rPr>
                <w:webHidden/>
              </w:rPr>
              <w:tab/>
            </w:r>
            <w:r>
              <w:rPr>
                <w:webHidden/>
              </w:rPr>
              <w:fldChar w:fldCharType="begin"/>
            </w:r>
            <w:r>
              <w:rPr>
                <w:webHidden/>
              </w:rPr>
              <w:instrText xml:space="preserve"> PAGEREF _Toc228784140 \h </w:instrText>
            </w:r>
            <w:r>
              <w:rPr>
                <w:webHidden/>
              </w:rPr>
            </w:r>
            <w:r>
              <w:rPr>
                <w:webHidden/>
              </w:rPr>
              <w:fldChar w:fldCharType="separate"/>
            </w:r>
            <w:r w:rsidR="004C4730">
              <w:rPr>
                <w:webHidden/>
              </w:rPr>
              <w:t>68</w:t>
            </w:r>
            <w:r>
              <w:rPr>
                <w:webHidden/>
              </w:rPr>
              <w:fldChar w:fldCharType="end"/>
            </w:r>
          </w:hyperlink>
        </w:p>
        <w:p w14:paraId="50AA3432" w14:textId="01963E52"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41" w:history="1">
            <w:r w:rsidRPr="002063A9">
              <w:rPr>
                <w:rStyle w:val="Hyperlink"/>
                <w:lang w:val="nl-NL"/>
              </w:rPr>
              <w:t>Afdeling III. Concluderende analyse</w:t>
            </w:r>
            <w:r>
              <w:rPr>
                <w:webHidden/>
              </w:rPr>
              <w:tab/>
            </w:r>
            <w:r>
              <w:rPr>
                <w:webHidden/>
              </w:rPr>
              <w:fldChar w:fldCharType="begin"/>
            </w:r>
            <w:r>
              <w:rPr>
                <w:webHidden/>
              </w:rPr>
              <w:instrText xml:space="preserve"> PAGEREF _Toc228784141 \h </w:instrText>
            </w:r>
            <w:r>
              <w:rPr>
                <w:webHidden/>
              </w:rPr>
            </w:r>
            <w:r>
              <w:rPr>
                <w:webHidden/>
              </w:rPr>
              <w:fldChar w:fldCharType="separate"/>
            </w:r>
            <w:r w:rsidR="004C4730">
              <w:rPr>
                <w:webHidden/>
              </w:rPr>
              <w:t>70</w:t>
            </w:r>
            <w:r>
              <w:rPr>
                <w:webHidden/>
              </w:rPr>
              <w:fldChar w:fldCharType="end"/>
            </w:r>
          </w:hyperlink>
        </w:p>
        <w:p w14:paraId="2CA147D8" w14:textId="15617A49" w:rsidR="001328E2" w:rsidRDefault="001328E2">
          <w:pPr>
            <w:pStyle w:val="Inhopg2"/>
            <w:rPr>
              <w:rFonts w:asciiTheme="minorHAnsi" w:eastAsiaTheme="minorEastAsia" w:hAnsiTheme="minorHAnsi" w:cstheme="minorBidi"/>
              <w:b w:val="0"/>
              <w:bCs w:val="0"/>
              <w:caps w:val="0"/>
              <w:kern w:val="2"/>
              <w:lang w:eastAsia="nl-BE"/>
              <w14:ligatures w14:val="standardContextual"/>
            </w:rPr>
          </w:pPr>
          <w:hyperlink w:anchor="_Toc228784142" w:history="1">
            <w:r w:rsidRPr="002063A9">
              <w:rPr>
                <w:rStyle w:val="Hyperlink"/>
                <w:lang w:val="nl-NL"/>
              </w:rPr>
              <w:t>Hoofdstuk IV. Synthese en lessen voor België</w:t>
            </w:r>
            <w:r>
              <w:rPr>
                <w:webHidden/>
              </w:rPr>
              <w:tab/>
            </w:r>
            <w:r>
              <w:rPr>
                <w:webHidden/>
              </w:rPr>
              <w:fldChar w:fldCharType="begin"/>
            </w:r>
            <w:r>
              <w:rPr>
                <w:webHidden/>
              </w:rPr>
              <w:instrText xml:space="preserve"> PAGEREF _Toc228784142 \h </w:instrText>
            </w:r>
            <w:r>
              <w:rPr>
                <w:webHidden/>
              </w:rPr>
            </w:r>
            <w:r>
              <w:rPr>
                <w:webHidden/>
              </w:rPr>
              <w:fldChar w:fldCharType="separate"/>
            </w:r>
            <w:r w:rsidR="004C4730">
              <w:rPr>
                <w:webHidden/>
              </w:rPr>
              <w:t>71</w:t>
            </w:r>
            <w:r>
              <w:rPr>
                <w:webHidden/>
              </w:rPr>
              <w:fldChar w:fldCharType="end"/>
            </w:r>
          </w:hyperlink>
        </w:p>
        <w:p w14:paraId="424DEF9A" w14:textId="3BD54677" w:rsidR="001328E2" w:rsidRDefault="001328E2">
          <w:pPr>
            <w:pStyle w:val="Inhopg1"/>
            <w:rPr>
              <w:rFonts w:asciiTheme="minorHAnsi" w:eastAsiaTheme="minorEastAsia" w:hAnsiTheme="minorHAnsi" w:cstheme="minorBidi"/>
              <w:b w:val="0"/>
              <w:caps w:val="0"/>
              <w:kern w:val="2"/>
              <w:lang w:eastAsia="nl-BE"/>
              <w14:ligatures w14:val="standardContextual"/>
            </w:rPr>
          </w:pPr>
          <w:hyperlink w:anchor="_Toc228784143" w:history="1">
            <w:r w:rsidRPr="002063A9">
              <w:rPr>
                <w:rStyle w:val="Hyperlink"/>
                <w:smallCaps/>
                <w:lang w:val="nl-NL"/>
              </w:rPr>
              <w:t>Besluit</w:t>
            </w:r>
            <w:r>
              <w:rPr>
                <w:webHidden/>
              </w:rPr>
              <w:tab/>
            </w:r>
            <w:r>
              <w:rPr>
                <w:webHidden/>
              </w:rPr>
              <w:fldChar w:fldCharType="begin"/>
            </w:r>
            <w:r>
              <w:rPr>
                <w:webHidden/>
              </w:rPr>
              <w:instrText xml:space="preserve"> PAGEREF _Toc228784143 \h </w:instrText>
            </w:r>
            <w:r>
              <w:rPr>
                <w:webHidden/>
              </w:rPr>
            </w:r>
            <w:r>
              <w:rPr>
                <w:webHidden/>
              </w:rPr>
              <w:fldChar w:fldCharType="separate"/>
            </w:r>
            <w:r w:rsidR="004C4730">
              <w:rPr>
                <w:webHidden/>
              </w:rPr>
              <w:t>74</w:t>
            </w:r>
            <w:r>
              <w:rPr>
                <w:webHidden/>
              </w:rPr>
              <w:fldChar w:fldCharType="end"/>
            </w:r>
          </w:hyperlink>
        </w:p>
        <w:p w14:paraId="42EDC162" w14:textId="2A29260B" w:rsidR="001328E2" w:rsidRDefault="001328E2">
          <w:pPr>
            <w:pStyle w:val="Inhopg1"/>
            <w:rPr>
              <w:rFonts w:asciiTheme="minorHAnsi" w:eastAsiaTheme="minorEastAsia" w:hAnsiTheme="minorHAnsi" w:cstheme="minorBidi"/>
              <w:b w:val="0"/>
              <w:caps w:val="0"/>
              <w:kern w:val="2"/>
              <w:lang w:eastAsia="nl-BE"/>
              <w14:ligatures w14:val="standardContextual"/>
            </w:rPr>
          </w:pPr>
          <w:hyperlink w:anchor="_Toc228784144" w:history="1">
            <w:r w:rsidRPr="002063A9">
              <w:rPr>
                <w:rStyle w:val="Hyperlink"/>
                <w:lang w:val="nl-NL"/>
              </w:rPr>
              <w:t>Bibliografie</w:t>
            </w:r>
            <w:r>
              <w:rPr>
                <w:webHidden/>
              </w:rPr>
              <w:tab/>
            </w:r>
            <w:r>
              <w:rPr>
                <w:webHidden/>
              </w:rPr>
              <w:fldChar w:fldCharType="begin"/>
            </w:r>
            <w:r>
              <w:rPr>
                <w:webHidden/>
              </w:rPr>
              <w:instrText xml:space="preserve"> PAGEREF _Toc228784144 \h </w:instrText>
            </w:r>
            <w:r>
              <w:rPr>
                <w:webHidden/>
              </w:rPr>
            </w:r>
            <w:r>
              <w:rPr>
                <w:webHidden/>
              </w:rPr>
              <w:fldChar w:fldCharType="separate"/>
            </w:r>
            <w:r w:rsidR="004C4730">
              <w:rPr>
                <w:webHidden/>
              </w:rPr>
              <w:t>77</w:t>
            </w:r>
            <w:r>
              <w:rPr>
                <w:webHidden/>
              </w:rPr>
              <w:fldChar w:fldCharType="end"/>
            </w:r>
          </w:hyperlink>
        </w:p>
        <w:p w14:paraId="3620AFA8" w14:textId="697475C2"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45" w:history="1">
            <w:r w:rsidRPr="002063A9">
              <w:rPr>
                <w:rStyle w:val="Hyperlink"/>
                <w:b/>
                <w:bCs/>
                <w:lang w:val="nl-NL"/>
              </w:rPr>
              <w:t>Wetgeving</w:t>
            </w:r>
            <w:r>
              <w:rPr>
                <w:webHidden/>
              </w:rPr>
              <w:tab/>
            </w:r>
            <w:r>
              <w:rPr>
                <w:webHidden/>
              </w:rPr>
              <w:fldChar w:fldCharType="begin"/>
            </w:r>
            <w:r>
              <w:rPr>
                <w:webHidden/>
              </w:rPr>
              <w:instrText xml:space="preserve"> PAGEREF _Toc228784145 \h </w:instrText>
            </w:r>
            <w:r>
              <w:rPr>
                <w:webHidden/>
              </w:rPr>
            </w:r>
            <w:r>
              <w:rPr>
                <w:webHidden/>
              </w:rPr>
              <w:fldChar w:fldCharType="separate"/>
            </w:r>
            <w:r w:rsidR="004C4730">
              <w:rPr>
                <w:webHidden/>
              </w:rPr>
              <w:t>77</w:t>
            </w:r>
            <w:r>
              <w:rPr>
                <w:webHidden/>
              </w:rPr>
              <w:fldChar w:fldCharType="end"/>
            </w:r>
          </w:hyperlink>
        </w:p>
        <w:p w14:paraId="1EFF9ED1" w14:textId="4A2B890A"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46" w:history="1">
            <w:r w:rsidRPr="002063A9">
              <w:rPr>
                <w:rStyle w:val="Hyperlink"/>
                <w:b/>
                <w:bCs/>
                <w:lang w:val="nl-NL"/>
              </w:rPr>
              <w:t>Rechtspraak</w:t>
            </w:r>
            <w:r>
              <w:rPr>
                <w:webHidden/>
              </w:rPr>
              <w:tab/>
            </w:r>
            <w:r>
              <w:rPr>
                <w:webHidden/>
              </w:rPr>
              <w:fldChar w:fldCharType="begin"/>
            </w:r>
            <w:r>
              <w:rPr>
                <w:webHidden/>
              </w:rPr>
              <w:instrText xml:space="preserve"> PAGEREF _Toc228784146 \h </w:instrText>
            </w:r>
            <w:r>
              <w:rPr>
                <w:webHidden/>
              </w:rPr>
            </w:r>
            <w:r>
              <w:rPr>
                <w:webHidden/>
              </w:rPr>
              <w:fldChar w:fldCharType="separate"/>
            </w:r>
            <w:r w:rsidR="004C4730">
              <w:rPr>
                <w:webHidden/>
              </w:rPr>
              <w:t>82</w:t>
            </w:r>
            <w:r>
              <w:rPr>
                <w:webHidden/>
              </w:rPr>
              <w:fldChar w:fldCharType="end"/>
            </w:r>
          </w:hyperlink>
        </w:p>
        <w:p w14:paraId="4F7C8926" w14:textId="25B6F276" w:rsidR="001328E2" w:rsidRDefault="001328E2">
          <w:pPr>
            <w:pStyle w:val="Inhopg3"/>
            <w:rPr>
              <w:rFonts w:asciiTheme="minorHAnsi" w:eastAsiaTheme="minorEastAsia" w:hAnsiTheme="minorHAnsi" w:cstheme="minorBidi"/>
              <w:smallCaps w:val="0"/>
              <w:kern w:val="2"/>
              <w:lang w:eastAsia="nl-BE"/>
              <w14:ligatures w14:val="standardContextual"/>
            </w:rPr>
          </w:pPr>
          <w:hyperlink w:anchor="_Toc228784147" w:history="1">
            <w:r w:rsidRPr="002063A9">
              <w:rPr>
                <w:rStyle w:val="Hyperlink"/>
                <w:b/>
                <w:bCs/>
                <w:lang w:val="nl-NL"/>
              </w:rPr>
              <w:t>Rechtsleer</w:t>
            </w:r>
            <w:r>
              <w:rPr>
                <w:webHidden/>
              </w:rPr>
              <w:tab/>
            </w:r>
            <w:r>
              <w:rPr>
                <w:webHidden/>
              </w:rPr>
              <w:fldChar w:fldCharType="begin"/>
            </w:r>
            <w:r>
              <w:rPr>
                <w:webHidden/>
              </w:rPr>
              <w:instrText xml:space="preserve"> PAGEREF _Toc228784147 \h </w:instrText>
            </w:r>
            <w:r>
              <w:rPr>
                <w:webHidden/>
              </w:rPr>
            </w:r>
            <w:r>
              <w:rPr>
                <w:webHidden/>
              </w:rPr>
              <w:fldChar w:fldCharType="separate"/>
            </w:r>
            <w:r w:rsidR="004C4730">
              <w:rPr>
                <w:webHidden/>
              </w:rPr>
              <w:t>83</w:t>
            </w:r>
            <w:r>
              <w:rPr>
                <w:webHidden/>
              </w:rPr>
              <w:fldChar w:fldCharType="end"/>
            </w:r>
          </w:hyperlink>
        </w:p>
        <w:p w14:paraId="77A64CBF" w14:textId="36844C09" w:rsidR="001328E2" w:rsidRDefault="001328E2">
          <w:pPr>
            <w:pStyle w:val="Inhopg1"/>
            <w:rPr>
              <w:rFonts w:asciiTheme="minorHAnsi" w:eastAsiaTheme="minorEastAsia" w:hAnsiTheme="minorHAnsi" w:cstheme="minorBidi"/>
              <w:b w:val="0"/>
              <w:caps w:val="0"/>
              <w:kern w:val="2"/>
              <w:lang w:eastAsia="nl-BE"/>
              <w14:ligatures w14:val="standardContextual"/>
            </w:rPr>
          </w:pPr>
          <w:hyperlink w:anchor="_Toc228784148" w:history="1">
            <w:r w:rsidRPr="002063A9">
              <w:rPr>
                <w:rStyle w:val="Hyperlink"/>
              </w:rPr>
              <w:t>Bijlage. Gebruik van GenAi</w:t>
            </w:r>
            <w:r>
              <w:rPr>
                <w:webHidden/>
              </w:rPr>
              <w:tab/>
            </w:r>
            <w:r>
              <w:rPr>
                <w:webHidden/>
              </w:rPr>
              <w:fldChar w:fldCharType="begin"/>
            </w:r>
            <w:r>
              <w:rPr>
                <w:webHidden/>
              </w:rPr>
              <w:instrText xml:space="preserve"> PAGEREF _Toc228784148 \h </w:instrText>
            </w:r>
            <w:r>
              <w:rPr>
                <w:webHidden/>
              </w:rPr>
            </w:r>
            <w:r>
              <w:rPr>
                <w:webHidden/>
              </w:rPr>
              <w:fldChar w:fldCharType="separate"/>
            </w:r>
            <w:r w:rsidR="004C4730">
              <w:rPr>
                <w:webHidden/>
              </w:rPr>
              <w:t>1</w:t>
            </w:r>
            <w:r>
              <w:rPr>
                <w:webHidden/>
              </w:rPr>
              <w:fldChar w:fldCharType="end"/>
            </w:r>
          </w:hyperlink>
        </w:p>
        <w:p w14:paraId="1EC85DA9" w14:textId="41DB2257" w:rsidR="00E82869" w:rsidRPr="00803DCB" w:rsidRDefault="00791CD6">
          <w:pPr>
            <w:rPr>
              <w:b/>
              <w:bCs/>
            </w:rPr>
          </w:pPr>
          <w:r>
            <w:rPr>
              <w:bCs/>
              <w:caps/>
              <w:noProof/>
            </w:rPr>
            <w:fldChar w:fldCharType="end"/>
          </w:r>
        </w:p>
      </w:sdtContent>
    </w:sdt>
    <w:p w14:paraId="07BD2703" w14:textId="79A11F07" w:rsidR="00CE1A03" w:rsidRPr="002A2153" w:rsidRDefault="002A2153" w:rsidP="002A2153">
      <w:pPr>
        <w:pStyle w:val="Bibliografie"/>
        <w:ind w:left="0" w:firstLine="0"/>
        <w:rPr>
          <w:color w:val="FF0000"/>
        </w:rPr>
      </w:pPr>
      <w:r>
        <w:rPr>
          <w:color w:val="FF0000"/>
        </w:rPr>
        <w:br w:type="page"/>
      </w:r>
    </w:p>
    <w:p w14:paraId="482A77DA" w14:textId="77777777" w:rsidR="00ED01CA" w:rsidRDefault="00ED01CA" w:rsidP="00ED01CA">
      <w:pPr>
        <w:pStyle w:val="Kop1"/>
        <w:numPr>
          <w:ilvl w:val="0"/>
          <w:numId w:val="0"/>
        </w:numPr>
      </w:pPr>
      <w:bookmarkStart w:id="5" w:name="_Toc228784089"/>
      <w:r>
        <w:t>Lijst met afkortingen</w:t>
      </w:r>
      <w:bookmarkEnd w:id="5"/>
    </w:p>
    <w:p w14:paraId="2646214D" w14:textId="49AECFC6" w:rsidR="00793A31" w:rsidRDefault="00793A31" w:rsidP="00757AF7">
      <w:pPr>
        <w:pStyle w:val="Randnummer"/>
        <w:numPr>
          <w:ilvl w:val="0"/>
          <w:numId w:val="0"/>
        </w:numPr>
        <w:ind w:left="357" w:hanging="357"/>
      </w:pPr>
      <w:r>
        <w:t xml:space="preserve">AOW </w:t>
      </w:r>
      <w:r w:rsidR="00D202E0">
        <w:t>- Algemene Ouderdomswet</w:t>
      </w:r>
    </w:p>
    <w:p w14:paraId="383E93E4" w14:textId="79F4B067" w:rsidR="00D202E0" w:rsidRDefault="00D202E0" w:rsidP="00D202E0">
      <w:pPr>
        <w:pStyle w:val="Randnummer"/>
        <w:numPr>
          <w:ilvl w:val="0"/>
          <w:numId w:val="0"/>
        </w:numPr>
        <w:ind w:left="357" w:hanging="357"/>
      </w:pPr>
      <w:r>
        <w:t xml:space="preserve">BVerfG - Bundesverfassungsgericht </w:t>
      </w:r>
    </w:p>
    <w:p w14:paraId="226BFB11" w14:textId="2236AAE0" w:rsidR="00C54F30" w:rsidRDefault="00C54F30" w:rsidP="00757AF7">
      <w:pPr>
        <w:pStyle w:val="Randnummer"/>
        <w:numPr>
          <w:ilvl w:val="0"/>
          <w:numId w:val="0"/>
        </w:numPr>
        <w:ind w:left="357" w:hanging="357"/>
      </w:pPr>
      <w:r>
        <w:t>FOD WASO</w:t>
      </w:r>
      <w:r w:rsidR="004C4D2B">
        <w:t xml:space="preserve"> - </w:t>
      </w:r>
      <w:r>
        <w:t xml:space="preserve">Federale Overheidsdienst </w:t>
      </w:r>
      <w:r w:rsidR="00757AF7">
        <w:t>Werkgelegenheid – Arbeid en Sociaal Overleg</w:t>
      </w:r>
    </w:p>
    <w:p w14:paraId="32360CDB" w14:textId="792EF48E" w:rsidR="00AB7D72" w:rsidRDefault="00AB7D72" w:rsidP="00757AF7">
      <w:pPr>
        <w:pStyle w:val="Randnummer"/>
        <w:numPr>
          <w:ilvl w:val="0"/>
          <w:numId w:val="0"/>
        </w:numPr>
        <w:ind w:left="357" w:hanging="357"/>
      </w:pPr>
      <w:r>
        <w:t>FSMA</w:t>
      </w:r>
      <w:r w:rsidR="00FB6099">
        <w:t xml:space="preserve"> </w:t>
      </w:r>
      <w:r w:rsidR="004C4D2B">
        <w:t>-</w:t>
      </w:r>
      <w:r w:rsidR="00AC777F">
        <w:t xml:space="preserve"> </w:t>
      </w:r>
      <w:r w:rsidR="00F43E01">
        <w:t>Autoriteit voor Financiële Diensten en Markten</w:t>
      </w:r>
    </w:p>
    <w:p w14:paraId="2044BE8A" w14:textId="6A134B94" w:rsidR="00ED01CA" w:rsidRDefault="00ED01CA" w:rsidP="00ED01CA">
      <w:pPr>
        <w:pStyle w:val="Randnummer"/>
        <w:numPr>
          <w:ilvl w:val="0"/>
          <w:numId w:val="0"/>
        </w:numPr>
        <w:ind w:left="357" w:hanging="357"/>
      </w:pPr>
      <w:r>
        <w:t>NAR</w:t>
      </w:r>
      <w:r w:rsidR="0084463B">
        <w:t xml:space="preserve"> </w:t>
      </w:r>
      <w:r w:rsidR="004C4D2B">
        <w:t>-</w:t>
      </w:r>
      <w:r w:rsidR="00AC777F">
        <w:t xml:space="preserve"> </w:t>
      </w:r>
      <w:r>
        <w:t>Nationale Arbeidsraad</w:t>
      </w:r>
    </w:p>
    <w:p w14:paraId="6507B49E" w14:textId="5A9F9EB6" w:rsidR="00B8151C" w:rsidRDefault="00B8151C" w:rsidP="00ED01CA">
      <w:pPr>
        <w:pStyle w:val="Randnummer"/>
        <w:numPr>
          <w:ilvl w:val="0"/>
          <w:numId w:val="0"/>
        </w:numPr>
        <w:ind w:left="357" w:hanging="357"/>
      </w:pPr>
      <w:r>
        <w:t xml:space="preserve">SER </w:t>
      </w:r>
      <w:r w:rsidR="00A766DC">
        <w:t>-</w:t>
      </w:r>
      <w:r>
        <w:t xml:space="preserve"> Sociaal-Economische Raad</w:t>
      </w:r>
    </w:p>
    <w:p w14:paraId="1FA788F5" w14:textId="281306F9" w:rsidR="00C162E3" w:rsidRDefault="00ED01CA" w:rsidP="00395E9F">
      <w:pPr>
        <w:pStyle w:val="Randnummer"/>
        <w:numPr>
          <w:ilvl w:val="0"/>
          <w:numId w:val="0"/>
        </w:numPr>
        <w:ind w:left="357" w:hanging="357"/>
      </w:pPr>
      <w:r>
        <w:t xml:space="preserve">WAP </w:t>
      </w:r>
      <w:r w:rsidR="004C4D2B">
        <w:t>-</w:t>
      </w:r>
      <w:r w:rsidR="00AC777F">
        <w:t xml:space="preserve"> </w:t>
      </w:r>
      <w:r>
        <w:t>Wet Aanvullende Pensioenen</w:t>
      </w:r>
    </w:p>
    <w:p w14:paraId="5FB1E45E" w14:textId="77777777" w:rsidR="00CE1A03" w:rsidRPr="0058444E" w:rsidRDefault="00CE1A03" w:rsidP="00A766DC">
      <w:pPr>
        <w:pStyle w:val="Randnummer"/>
        <w:numPr>
          <w:ilvl w:val="0"/>
          <w:numId w:val="0"/>
        </w:numPr>
      </w:pPr>
    </w:p>
    <w:p w14:paraId="07F40CE5" w14:textId="77777777" w:rsidR="00CE1A03" w:rsidRPr="0058444E" w:rsidRDefault="00CE1A03" w:rsidP="00CE1A03">
      <w:pPr>
        <w:pStyle w:val="Randnummer"/>
        <w:numPr>
          <w:ilvl w:val="0"/>
          <w:numId w:val="0"/>
        </w:numPr>
        <w:ind w:left="357" w:hanging="357"/>
      </w:pPr>
    </w:p>
    <w:p w14:paraId="556ACE12" w14:textId="77777777" w:rsidR="00A32EA2" w:rsidRDefault="00A32EA2" w:rsidP="00CE1A03">
      <w:pPr>
        <w:pStyle w:val="Randnummer"/>
        <w:numPr>
          <w:ilvl w:val="0"/>
          <w:numId w:val="0"/>
        </w:numPr>
        <w:ind w:left="357" w:hanging="357"/>
        <w:sectPr w:rsidR="00A32EA2" w:rsidSect="00A32EA2">
          <w:footerReference w:type="default" r:id="rId11"/>
          <w:pgSz w:w="11906" w:h="16838" w:code="9"/>
          <w:pgMar w:top="1418" w:right="1134" w:bottom="1418" w:left="1134" w:header="709" w:footer="833" w:gutter="0"/>
          <w:pgNumType w:fmt="upperRoman" w:start="1"/>
          <w:cols w:space="708"/>
          <w:docGrid w:linePitch="360"/>
        </w:sectPr>
      </w:pPr>
    </w:p>
    <w:p w14:paraId="07ADE290" w14:textId="65460715" w:rsidR="00962965" w:rsidRDefault="00CA1105" w:rsidP="009E06E3">
      <w:pPr>
        <w:pStyle w:val="Kop1"/>
      </w:pPr>
      <w:bookmarkStart w:id="6" w:name="_Toc228784090"/>
      <w:r>
        <w:t>Inleiding</w:t>
      </w:r>
      <w:r w:rsidR="003C4995">
        <w:t xml:space="preserve"> en onderzoeksopzet</w:t>
      </w:r>
      <w:bookmarkEnd w:id="6"/>
    </w:p>
    <w:p w14:paraId="4FC3629C" w14:textId="5BB38BC9" w:rsidR="006C1D57" w:rsidRDefault="00091F35" w:rsidP="00E139C2">
      <w:pPr>
        <w:pStyle w:val="Randnummer"/>
        <w:spacing w:line="360" w:lineRule="auto"/>
      </w:pPr>
      <w:r>
        <w:rPr>
          <w:rStyle w:val="KleinKapitaalAuteursCtrlAltK"/>
        </w:rPr>
        <w:t xml:space="preserve">Summa divisio - </w:t>
      </w:r>
      <w:r w:rsidR="00E139C2" w:rsidRPr="0058444E">
        <w:t xml:space="preserve">In het Belgisch arbeids- en socialezekerheidsrecht werd sinds jaar en dag een onderscheid gemaakt tussen arbeiders en bedienden. Deze </w:t>
      </w:r>
      <w:r w:rsidR="00E139C2" w:rsidRPr="0058444E">
        <w:rPr>
          <w:i/>
          <w:iCs/>
        </w:rPr>
        <w:t xml:space="preserve">summa divisio </w:t>
      </w:r>
      <w:r w:rsidR="00E139C2" w:rsidRPr="0058444E">
        <w:t xml:space="preserve">kent een lange geschiedenis waarvan de houdbaarheid onder druk kwam te staan door </w:t>
      </w:r>
      <w:r w:rsidR="00E139C2">
        <w:t xml:space="preserve">verschillende arresten </w:t>
      </w:r>
      <w:r w:rsidR="00E139C2" w:rsidRPr="0058444E">
        <w:t xml:space="preserve">van het Grondwettelijk Hof. Deze </w:t>
      </w:r>
      <w:r w:rsidR="00F9119A">
        <w:t xml:space="preserve">masterproef </w:t>
      </w:r>
      <w:r w:rsidR="00E139C2" w:rsidRPr="0058444E">
        <w:t xml:space="preserve">zal het niet hebben over het arbeidsrechtelijke </w:t>
      </w:r>
      <w:r w:rsidR="007538A2">
        <w:t>e</w:t>
      </w:r>
      <w:r w:rsidR="004D63B2">
        <w:t>e</w:t>
      </w:r>
      <w:r w:rsidR="00E139C2" w:rsidRPr="0058444E">
        <w:t>nheidsstatuut, maar wel op de impact van voorgenoemd onderscheid op de aanvullende pensioenen.</w:t>
      </w:r>
    </w:p>
    <w:p w14:paraId="479EC2C8" w14:textId="19AF838E" w:rsidR="006C1D57" w:rsidRDefault="00091F35" w:rsidP="006C1D57">
      <w:pPr>
        <w:pStyle w:val="Randnummer"/>
        <w:spacing w:line="360" w:lineRule="auto"/>
      </w:pPr>
      <w:r>
        <w:rPr>
          <w:rStyle w:val="KleinKapitaalAuteursCtrlAltK"/>
        </w:rPr>
        <w:t xml:space="preserve">8 juli 1993 - </w:t>
      </w:r>
      <w:r w:rsidR="006C1D57">
        <w:t>Reeds op 8 juli 1993 verklaarde het toenmalige Arbitragehof het onderscheid tussen arbeiders en bedienden als ongrondwettelijk.</w:t>
      </w:r>
      <w:r w:rsidR="006C1D57">
        <w:rPr>
          <w:rStyle w:val="Voetnootmarkering"/>
        </w:rPr>
        <w:footnoteReference w:id="1"/>
      </w:r>
      <w:r w:rsidR="006C1D57">
        <w:t xml:space="preserve"> Het Hof oordeelde toen dat “door het onderscheid tussen arbeiders en bedienden te baseren op de voornamelijk manuele respectievelijk intellectuele aard van hun werk, de wetgever een verschil in behandeling heeft gegrond op een criterium dat de invoering ervan op dit ogenblik bezwaarlijk objectief en redelijk gegrond zou kunnen verantwoorden.”</w:t>
      </w:r>
      <w:r w:rsidR="006C1D57">
        <w:rPr>
          <w:rStyle w:val="Voetnootmarkering"/>
        </w:rPr>
        <w:footnoteReference w:id="2"/>
      </w:r>
    </w:p>
    <w:p w14:paraId="30A33C9D" w14:textId="06DE0A09" w:rsidR="006C1D57" w:rsidRDefault="00091F35" w:rsidP="006C1D57">
      <w:pPr>
        <w:pStyle w:val="Randnummer"/>
        <w:spacing w:line="360" w:lineRule="auto"/>
      </w:pPr>
      <w:r>
        <w:rPr>
          <w:rStyle w:val="KleinKapitaalAuteursCtrlAltK"/>
        </w:rPr>
        <w:t xml:space="preserve">7 juli 2011 - </w:t>
      </w:r>
      <w:r w:rsidR="006C1D57">
        <w:t xml:space="preserve">In een arrest van 7 juli 2011 oordeelde het Grondwettelijk Hof dat de ongelijke behandeling tussen arbeiders en bedienden inzake opzegtermijnen en de toepassing van een carensdag bij ziekte niet langer te verantwoorden was en </w:t>
      </w:r>
      <w:r w:rsidR="00262612">
        <w:t>daarenboven</w:t>
      </w:r>
      <w:r w:rsidR="006C1D57">
        <w:t xml:space="preserve"> in strijd was met het gelijkheidsbeginsel.</w:t>
      </w:r>
      <w:r w:rsidR="006C1D57">
        <w:rPr>
          <w:rStyle w:val="Voetnootmarkering"/>
        </w:rPr>
        <w:footnoteReference w:id="3"/>
      </w:r>
      <w:r w:rsidR="006C1D57">
        <w:t xml:space="preserve"> Het Hof stelde dat ze tijdelijk de juridische gevolgen van de ongrondwettelijke </w:t>
      </w:r>
      <w:r w:rsidR="00784867">
        <w:t>rechtsregels</w:t>
      </w:r>
      <w:r w:rsidR="006C1D57">
        <w:t xml:space="preserve"> wel nog zou aanhouden, maar wees de wetgever ook op </w:t>
      </w:r>
      <w:r w:rsidR="009B0C89">
        <w:t>zijn</w:t>
      </w:r>
      <w:r w:rsidR="006C1D57">
        <w:t xml:space="preserve"> verantwoordelijkheid om de wet aan te passen.</w:t>
      </w:r>
      <w:r w:rsidR="006C1D57">
        <w:rPr>
          <w:rStyle w:val="Voetnootmarkering"/>
        </w:rPr>
        <w:footnoteReference w:id="4"/>
      </w:r>
      <w:r w:rsidR="006C1D57">
        <w:t xml:space="preserve"> </w:t>
      </w:r>
      <w:r w:rsidR="003D34BA">
        <w:t xml:space="preserve">Naar aanleiding van deze uitspraak werden op wetgevend vlak nieuwe stappen ondernomen om de ongelijkheid tussen arbeiders en bedienden geleidelijk </w:t>
      </w:r>
      <w:r w:rsidR="001730CD">
        <w:t xml:space="preserve">aan </w:t>
      </w:r>
      <w:r w:rsidR="003D34BA">
        <w:t>af te schaffen.</w:t>
      </w:r>
    </w:p>
    <w:p w14:paraId="04823A37" w14:textId="14ADA3A7" w:rsidR="005A4E00" w:rsidRDefault="005A4E00" w:rsidP="005A4E00">
      <w:pPr>
        <w:pStyle w:val="Randnummer"/>
        <w:spacing w:line="360" w:lineRule="auto"/>
      </w:pPr>
      <w:r>
        <w:rPr>
          <w:rStyle w:val="KleinKapitaalAuteursCtrlAltK"/>
        </w:rPr>
        <w:t xml:space="preserve">Groep van Tien - </w:t>
      </w:r>
      <w:r w:rsidR="008C59E5">
        <w:t>Hierna</w:t>
      </w:r>
      <w:r>
        <w:t xml:space="preserve"> werd de “Groep van Tien” opgericht</w:t>
      </w:r>
      <w:r w:rsidR="00A06BDA">
        <w:t>, die zich zou buigen over de invoering van een eengemaakt werknemersstatuut om tegemoet te komen aan de uitspraken van het Grondwettelijk Hof</w:t>
      </w:r>
      <w:r>
        <w:t>.</w:t>
      </w:r>
      <w:r>
        <w:rPr>
          <w:rStyle w:val="Voetnootmarkering"/>
        </w:rPr>
        <w:footnoteReference w:id="5"/>
      </w:r>
      <w:r>
        <w:t xml:space="preserve"> </w:t>
      </w:r>
      <w:r w:rsidR="00D962B6">
        <w:t>Aanvankelijk leverde dit weinig resultaat op</w:t>
      </w:r>
      <w:r w:rsidR="00EC43F7">
        <w:t>,</w:t>
      </w:r>
      <w:r>
        <w:t xml:space="preserve"> maar op 9 juli 2013 werden er dan toch een reeks krachtlijnen voorgesteld die door de regering werden aanvaard. De sociale partners speelden een </w:t>
      </w:r>
      <w:r w:rsidR="00E81647">
        <w:t xml:space="preserve">belangrijke </w:t>
      </w:r>
      <w:r>
        <w:t xml:space="preserve">rol bij de totstandkoming van het </w:t>
      </w:r>
      <w:r w:rsidR="007538A2">
        <w:t>e</w:t>
      </w:r>
      <w:r>
        <w:t>enheidsstatuut en juist daarom krijgen zij een sleutelrol bij het realiseren van de harmonisatie.</w:t>
      </w:r>
      <w:r>
        <w:rPr>
          <w:rStyle w:val="Voetnootmarkering"/>
        </w:rPr>
        <w:footnoteReference w:id="6"/>
      </w:r>
      <w:r>
        <w:t xml:space="preserve"> D</w:t>
      </w:r>
      <w:r w:rsidR="008F106E">
        <w:t>it</w:t>
      </w:r>
      <w:r>
        <w:t xml:space="preserve"> compromis werd uiteindelijk uitgewerkt tot de wet van 26 december 2013 betreffende de invoering van een </w:t>
      </w:r>
      <w:r w:rsidR="007538A2">
        <w:t>e</w:t>
      </w:r>
      <w:r>
        <w:t>enheidsstatuut tussen arbeiders en bedienden inzake de opzegtermijnen en de carensdag en de begeleidende maatregelen of ook wel “de Wet Eenheidsstatuut”.</w:t>
      </w:r>
      <w:r w:rsidR="00BA1CEA">
        <w:t xml:space="preserve"> </w:t>
      </w:r>
      <w:r w:rsidR="00575B0C">
        <w:t>Niet veel later volgde de wet van 5 mei 2014</w:t>
      </w:r>
      <w:r w:rsidR="00EE0E36">
        <w:t>.</w:t>
      </w:r>
      <w:r w:rsidR="00EE0E36">
        <w:rPr>
          <w:rStyle w:val="Voetnootmarkering"/>
        </w:rPr>
        <w:footnoteReference w:id="7"/>
      </w:r>
      <w:r w:rsidR="00EE0E36">
        <w:t xml:space="preserve"> </w:t>
      </w:r>
      <w:r>
        <w:t xml:space="preserve">Met deze wet werd er een </w:t>
      </w:r>
      <w:r w:rsidR="007538A2">
        <w:t>e</w:t>
      </w:r>
      <w:r>
        <w:t>enheidsstatuut ingevoerd tussen arbeiders en bedienden in de Wet op Aanvullende Pensioenen.</w:t>
      </w:r>
      <w:r>
        <w:rPr>
          <w:rStyle w:val="Voetnootmarkering"/>
        </w:rPr>
        <w:footnoteReference w:id="8"/>
      </w:r>
      <w:r>
        <w:t xml:space="preserve"> Dit was opmerkelijk gezien deze harmonisatie niet stond neergeschreven in de </w:t>
      </w:r>
      <w:r w:rsidR="007538A2">
        <w:t>W</w:t>
      </w:r>
      <w:r>
        <w:t xml:space="preserve">et op het Eenheidsstatuut maar toch verankerd werd in de WAP. </w:t>
      </w:r>
    </w:p>
    <w:p w14:paraId="3170A779" w14:textId="5C20EBF7" w:rsidR="00F61C40" w:rsidRPr="000660F2" w:rsidRDefault="00F61C40" w:rsidP="00F61C40">
      <w:pPr>
        <w:pStyle w:val="Randnummer"/>
        <w:spacing w:line="360" w:lineRule="auto"/>
        <w:rPr>
          <w:rStyle w:val="KleinKapitaalAuteursCtrlAltK"/>
          <w:smallCaps w:val="0"/>
          <w:lang w:val="nl-BE"/>
        </w:rPr>
      </w:pPr>
      <w:r>
        <w:rPr>
          <w:rStyle w:val="KleinKapitaalAuteursCtrlAltK"/>
        </w:rPr>
        <w:t xml:space="preserve">Historiek wetgeving aanvullende pensioenen - </w:t>
      </w:r>
      <w:r>
        <w:rPr>
          <w:rStyle w:val="KleinKapitaalAuteursCtrlAltK"/>
          <w:smallCaps w:val="0"/>
        </w:rPr>
        <w:t>Het juridisch kader van de aanvullende pensioenen kent op zich een eigen evolutie. Met de wet van 6 april 1995, beter bekend als de Wet Colla, werd voor het eerst een specifiek regelgevend kader ingevoerd</w:t>
      </w:r>
      <w:r w:rsidR="0057214F">
        <w:rPr>
          <w:rStyle w:val="KleinKapitaalAuteursCtrlAltK"/>
          <w:smallCaps w:val="0"/>
        </w:rPr>
        <w:t xml:space="preserve"> voor de aanvullende pensioenen</w:t>
      </w:r>
      <w:r>
        <w:rPr>
          <w:rStyle w:val="KleinKapitaalAuteursCtrlAltK"/>
          <w:smallCaps w:val="0"/>
        </w:rPr>
        <w:t>.</w:t>
      </w:r>
      <w:r>
        <w:rPr>
          <w:rStyle w:val="Voetnootmarkering"/>
          <w:lang w:val="nl-NL"/>
        </w:rPr>
        <w:footnoteReference w:id="9"/>
      </w:r>
    </w:p>
    <w:p w14:paraId="49D5AC44" w14:textId="50623929" w:rsidR="00F61C40" w:rsidRDefault="00F61C40" w:rsidP="00F61C40">
      <w:pPr>
        <w:pStyle w:val="Randnummer"/>
        <w:numPr>
          <w:ilvl w:val="0"/>
          <w:numId w:val="0"/>
        </w:numPr>
        <w:spacing w:line="360" w:lineRule="auto"/>
        <w:ind w:left="357"/>
        <w:rPr>
          <w:rStyle w:val="KleinKapitaalAuteursCtrlAltK"/>
          <w:smallCaps w:val="0"/>
        </w:rPr>
      </w:pPr>
      <w:r>
        <w:rPr>
          <w:rStyle w:val="KleinKapitaalAuteursCtrlAltK"/>
          <w:smallCaps w:val="0"/>
        </w:rPr>
        <w:t>In deze Wet Colla werd niet nader ingegaan op het onderscheid tussen arbeiders en bedienden. Ook bij de invoering van de Wet op de Aanvullende Pensioenen (verder: WAP) in 2003 bleef een expliciete regeling uit. In de memorie van toelichting kon men echter wel terugvinden dat het onderscheid tussen arbeiders en bedienden nog geoorloofd was.</w:t>
      </w:r>
      <w:r>
        <w:rPr>
          <w:rStyle w:val="Voetnootmarkering"/>
          <w:lang w:val="nl-NL"/>
        </w:rPr>
        <w:footnoteReference w:id="10"/>
      </w:r>
      <w:r>
        <w:rPr>
          <w:rStyle w:val="KleinKapitaalAuteursCtrlAltK"/>
          <w:smallCaps w:val="0"/>
        </w:rPr>
        <w:t xml:space="preserve"> Men kan dus stellen dat z</w:t>
      </w:r>
      <w:r w:rsidR="00513123">
        <w:rPr>
          <w:rStyle w:val="KleinKapitaalAuteursCtrlAltK"/>
          <w:smallCaps w:val="0"/>
        </w:rPr>
        <w:t>e</w:t>
      </w:r>
      <w:r>
        <w:rPr>
          <w:rStyle w:val="KleinKapitaalAuteursCtrlAltK"/>
          <w:smallCaps w:val="0"/>
        </w:rPr>
        <w:t xml:space="preserve">lfs in 2003 het algemeen aanvaard werd om een categorie van pensioenstelsel af te bakenen op basis van statuut van arbeider of bediende. </w:t>
      </w:r>
    </w:p>
    <w:p w14:paraId="573BEFF0" w14:textId="1558635D" w:rsidR="00F61C40" w:rsidRPr="00F61C40" w:rsidRDefault="00F61C40" w:rsidP="00F61C40">
      <w:pPr>
        <w:pStyle w:val="Randnummer"/>
        <w:numPr>
          <w:ilvl w:val="0"/>
          <w:numId w:val="0"/>
        </w:numPr>
        <w:spacing w:line="360" w:lineRule="auto"/>
        <w:ind w:left="357"/>
        <w:rPr>
          <w:lang w:val="nl-NL"/>
        </w:rPr>
      </w:pPr>
      <w:r>
        <w:rPr>
          <w:rStyle w:val="KleinKapitaalAuteursCtrlAltK"/>
          <w:smallCaps w:val="0"/>
        </w:rPr>
        <w:t xml:space="preserve">Hoewel de uitspraken van het Grondwettelijk Hof geen rechtstreekse gevolgen hadden voor de aanvullende pensioenen, zorgden deze er wel voor dat de aanvaardbaarheid van het onderscheid </w:t>
      </w:r>
      <w:r w:rsidR="004554AE">
        <w:rPr>
          <w:rStyle w:val="KleinKapitaalAuteursCtrlAltK"/>
          <w:smallCaps w:val="0"/>
        </w:rPr>
        <w:t xml:space="preserve">tussen arbeiders en bedienden </w:t>
      </w:r>
      <w:r>
        <w:rPr>
          <w:rStyle w:val="KleinKapitaalAuteursCtrlAltK"/>
          <w:smallCaps w:val="0"/>
        </w:rPr>
        <w:t>onder druk kwam te staan.</w:t>
      </w:r>
      <w:r>
        <w:rPr>
          <w:rStyle w:val="Voetnootmarkering"/>
          <w:lang w:val="nl-NL"/>
        </w:rPr>
        <w:footnoteReference w:id="11"/>
      </w:r>
    </w:p>
    <w:p w14:paraId="56AD0B7E" w14:textId="20594FC4" w:rsidR="006C1D57" w:rsidRDefault="00091F35" w:rsidP="006C1D57">
      <w:pPr>
        <w:pStyle w:val="Randnummer"/>
        <w:spacing w:line="360" w:lineRule="auto"/>
      </w:pPr>
      <w:r>
        <w:rPr>
          <w:rStyle w:val="KleinKapitaalAuteursCtrlAltK"/>
        </w:rPr>
        <w:t xml:space="preserve">Het Eenheidsstatuut - </w:t>
      </w:r>
      <w:r w:rsidR="006C1D57">
        <w:t xml:space="preserve">De Wet Eenheidsstatuut bracht een aantal ingrijpende wijzigingen met zich mee, zowel arbeidsrechtelijk als sociaal zekerheidsrechtelijk. Een belangrijk </w:t>
      </w:r>
      <w:r w:rsidR="00421E94">
        <w:t>vraagstuk</w:t>
      </w:r>
      <w:r w:rsidR="006C1D57">
        <w:t xml:space="preserve"> dat zich stelde </w:t>
      </w:r>
      <w:r w:rsidR="00421E94">
        <w:t>bij de</w:t>
      </w:r>
      <w:r w:rsidR="006C1D57">
        <w:t xml:space="preserve"> invoering van het </w:t>
      </w:r>
      <w:r w:rsidR="007538A2">
        <w:t>e</w:t>
      </w:r>
      <w:r w:rsidR="006C1D57">
        <w:t>enheidsstatuut</w:t>
      </w:r>
      <w:r w:rsidR="00AA406A">
        <w:t>, betrof</w:t>
      </w:r>
      <w:r w:rsidR="006C1D57">
        <w:t xml:space="preserve"> de aanvullende pensioenen. In deze masterproef </w:t>
      </w:r>
      <w:r w:rsidR="00AA406A">
        <w:t>wordt dan ook gefocust</w:t>
      </w:r>
      <w:r w:rsidR="006C1D57">
        <w:t xml:space="preserve"> op de gevolgen van de invoering van het </w:t>
      </w:r>
      <w:r w:rsidR="007538A2">
        <w:t>e</w:t>
      </w:r>
      <w:r w:rsidR="006C1D57">
        <w:t xml:space="preserve">enheidsstatuut </w:t>
      </w:r>
      <w:r w:rsidR="00AA406A">
        <w:t>voor</w:t>
      </w:r>
      <w:r w:rsidR="006C1D57">
        <w:t xml:space="preserve"> de aanvullende pensioenen. Concreet </w:t>
      </w:r>
      <w:r w:rsidR="001C7703">
        <w:t>wordt ingegaan op de verschillende fase</w:t>
      </w:r>
      <w:r w:rsidR="00B03CCD">
        <w:t>n</w:t>
      </w:r>
      <w:r w:rsidR="001C7703">
        <w:t xml:space="preserve"> van het harmonisatieproces en de bijbehorende gevolgen. Daarnaast worden ook de oorsprong en de werking van de aanvullende pensioenen toegelicht.</w:t>
      </w:r>
    </w:p>
    <w:p w14:paraId="79FA5342" w14:textId="6892173F" w:rsidR="00A845BD" w:rsidRDefault="00C357C0" w:rsidP="00EB3BBD">
      <w:pPr>
        <w:pStyle w:val="Randnummer"/>
        <w:numPr>
          <w:ilvl w:val="0"/>
          <w:numId w:val="0"/>
        </w:numPr>
        <w:spacing w:line="360" w:lineRule="auto"/>
        <w:ind w:left="357"/>
      </w:pPr>
      <w:r>
        <w:t>Met</w:t>
      </w:r>
      <w:r w:rsidR="00E139C2" w:rsidRPr="0058444E">
        <w:t xml:space="preserve"> de invoering van de wet van 5 mei 2014 </w:t>
      </w:r>
      <w:r>
        <w:t>werd bovendien voorzien</w:t>
      </w:r>
      <w:r w:rsidR="00E139C2" w:rsidRPr="0058444E">
        <w:t xml:space="preserve"> in een geleidelijke opheffing van het verschil in behandeling tussen arbeiders en bedienden op het vlak van de aanvullende pensioenen</w:t>
      </w:r>
      <w:r w:rsidR="005A4E00">
        <w:t xml:space="preserve"> met het oog op de harmonisatie van beide statuten tegen 2030. </w:t>
      </w:r>
    </w:p>
    <w:p w14:paraId="1E81445B" w14:textId="257877A6" w:rsidR="00E139C2" w:rsidRPr="0058444E" w:rsidRDefault="00E179F6" w:rsidP="00E139C2">
      <w:pPr>
        <w:pStyle w:val="Randnummer"/>
        <w:spacing w:line="360" w:lineRule="auto"/>
      </w:pPr>
      <w:r>
        <w:rPr>
          <w:rStyle w:val="KleinKapitaalAuteursCtrlAltK"/>
        </w:rPr>
        <w:t xml:space="preserve">Harmonisatie - </w:t>
      </w:r>
      <w:r w:rsidR="00E139C2" w:rsidRPr="0058444E">
        <w:t xml:space="preserve">Deze harmonisatie had op 1 januari 2025 </w:t>
      </w:r>
      <w:r w:rsidR="00E139C2">
        <w:t xml:space="preserve">reeds </w:t>
      </w:r>
      <w:r w:rsidR="00E139C2" w:rsidRPr="0058444E">
        <w:t>bereikt moeten zijn.</w:t>
      </w:r>
      <w:r w:rsidR="00E139C2" w:rsidRPr="0058444E">
        <w:rPr>
          <w:rStyle w:val="Voetnootmarkering"/>
        </w:rPr>
        <w:footnoteReference w:id="12"/>
      </w:r>
      <w:r w:rsidR="00E139C2" w:rsidRPr="0058444E">
        <w:t xml:space="preserve"> Op vraag van de NAR werd deze einddatum uitgesteld naar 1 januari 2030 als ultieme deadline.</w:t>
      </w:r>
      <w:r w:rsidR="00E139C2" w:rsidRPr="0058444E">
        <w:rPr>
          <w:rStyle w:val="Voetnootmarkering"/>
        </w:rPr>
        <w:footnoteReference w:id="13"/>
      </w:r>
      <w:r w:rsidR="00E139C2" w:rsidRPr="0058444E">
        <w:t xml:space="preserve"> D</w:t>
      </w:r>
      <w:r w:rsidR="00CB7CA3">
        <w:t>e</w:t>
      </w:r>
      <w:r w:rsidR="00E139C2" w:rsidRPr="0058444E">
        <w:t xml:space="preserve"> harmonisatie wordt getracht bereikt te worden met behulp van de Wet op </w:t>
      </w:r>
      <w:r w:rsidR="008C22B5">
        <w:t>A</w:t>
      </w:r>
      <w:r w:rsidR="00E139C2" w:rsidRPr="0058444E">
        <w:t xml:space="preserve">anvullende </w:t>
      </w:r>
      <w:r w:rsidR="008C22B5">
        <w:t>P</w:t>
      </w:r>
      <w:r w:rsidR="00E139C2" w:rsidRPr="0058444E">
        <w:t>ensioenen, ingevoerd in 2003.</w:t>
      </w:r>
      <w:r w:rsidR="00BF0E9D">
        <w:t xml:space="preserve"> Deze wet kwam er als vervanging voor de reeds bestaande Wet Colla</w:t>
      </w:r>
      <w:r w:rsidR="00F86004">
        <w:t>. Deze</w:t>
      </w:r>
      <w:r w:rsidR="0062625E">
        <w:t xml:space="preserve"> laatste</w:t>
      </w:r>
      <w:r w:rsidR="00F86004">
        <w:t xml:space="preserve"> bleek echter te beperkt waardoor er werd gestreefd naar een nieuwe</w:t>
      </w:r>
      <w:r w:rsidR="00EA45DF">
        <w:t>, meer omvattende regeling, wat resulteerde in de invoering van de WAP met een ruimer toepassingsgebied</w:t>
      </w:r>
      <w:r w:rsidR="007A6269">
        <w:t xml:space="preserve">. </w:t>
      </w:r>
    </w:p>
    <w:p w14:paraId="6028279B" w14:textId="5A0536AD" w:rsidR="00E139C2" w:rsidRPr="0058444E" w:rsidRDefault="00490047" w:rsidP="00490047">
      <w:pPr>
        <w:pStyle w:val="Randnummer"/>
        <w:spacing w:line="360" w:lineRule="auto"/>
      </w:pPr>
      <w:r>
        <w:rPr>
          <w:rStyle w:val="KleinKapitaalAuteursCtrlAltK"/>
        </w:rPr>
        <w:t xml:space="preserve">Structuur - </w:t>
      </w:r>
      <w:r w:rsidR="00EF4DBB">
        <w:t>Dit onderzoek gaat na</w:t>
      </w:r>
      <w:r w:rsidR="00E139C2" w:rsidRPr="0058444E">
        <w:t xml:space="preserve"> of de Wet op het Eenheidsstatuut voldoende heeft bijgedragen aan de harmonisatie van de aanvullende pensioenen voor arbeiders en bedienden in België. Dit wordt </w:t>
      </w:r>
      <w:r w:rsidR="00EA099E">
        <w:t>nagegaan</w:t>
      </w:r>
      <w:r w:rsidR="00E139C2" w:rsidRPr="0058444E">
        <w:t xml:space="preserve"> aan de hand van een uiteenzetting van de Wet op het Eenheidsstatuut </w:t>
      </w:r>
      <w:r w:rsidR="00CB7CA3">
        <w:t xml:space="preserve">in deel II waarbij er in </w:t>
      </w:r>
      <w:r w:rsidR="0051391C">
        <w:t>hoofdstuk I een historische context wordt weergegeven</w:t>
      </w:r>
      <w:r w:rsidR="00CB7CA3">
        <w:t xml:space="preserve"> waarna de gevolgen voor de aanvullende pensioenen hiervan worden opgesomd in hoofdstuk II. </w:t>
      </w:r>
    </w:p>
    <w:p w14:paraId="7F844942" w14:textId="347A6C38" w:rsidR="00E139C2" w:rsidRPr="0058444E" w:rsidRDefault="00E139C2" w:rsidP="002C5BA3">
      <w:pPr>
        <w:pStyle w:val="Randnummer"/>
        <w:numPr>
          <w:ilvl w:val="0"/>
          <w:numId w:val="0"/>
        </w:numPr>
        <w:spacing w:line="360" w:lineRule="auto"/>
        <w:ind w:left="357"/>
      </w:pPr>
      <w:r w:rsidRPr="0058444E">
        <w:t xml:space="preserve">Daarnaast wordt </w:t>
      </w:r>
      <w:r w:rsidR="00CB7CA3">
        <w:t xml:space="preserve">in deel III </w:t>
      </w:r>
      <w:r w:rsidRPr="0058444E">
        <w:t xml:space="preserve">de Wet op </w:t>
      </w:r>
      <w:r w:rsidR="00651B8E">
        <w:t xml:space="preserve">de </w:t>
      </w:r>
      <w:r w:rsidRPr="0058444E">
        <w:t xml:space="preserve">Aanvullende </w:t>
      </w:r>
      <w:r w:rsidR="00651B8E">
        <w:t>P</w:t>
      </w:r>
      <w:r w:rsidRPr="0058444E">
        <w:t xml:space="preserve">ensioenen samen met haar voorganger, de </w:t>
      </w:r>
      <w:r w:rsidR="00C149C0">
        <w:t>W</w:t>
      </w:r>
      <w:r w:rsidRPr="0058444E">
        <w:t xml:space="preserve">et Colla, grondig bestudeerd. </w:t>
      </w:r>
      <w:r w:rsidR="00CB7CA3">
        <w:t xml:space="preserve">Zo wordt de Belgische pensioenstructuur kort uit de doeken gedaan in hoofdstuk I, waarna </w:t>
      </w:r>
      <w:r w:rsidR="00246B07">
        <w:t xml:space="preserve">de </w:t>
      </w:r>
      <w:r w:rsidR="00CB7CA3">
        <w:t>tweede pensioenpijler</w:t>
      </w:r>
      <w:r w:rsidR="00246B07">
        <w:t xml:space="preserve"> aan bod komt</w:t>
      </w:r>
      <w:r w:rsidR="00CB7CA3">
        <w:t xml:space="preserve"> in hoofdstuk II. De analyse van de stand van zaken in de harmonisering van de aanvullende pensioenen tussen arbeiders en bedienden </w:t>
      </w:r>
      <w:r w:rsidR="00D361D7">
        <w:t xml:space="preserve">vindt plaats in hoofdstuk III. </w:t>
      </w:r>
    </w:p>
    <w:p w14:paraId="1E0E56C9" w14:textId="37295A8A" w:rsidR="00751DE9" w:rsidRPr="00E139C2" w:rsidRDefault="00D361D7" w:rsidP="002C5BA3">
      <w:pPr>
        <w:pStyle w:val="Randnummer"/>
        <w:numPr>
          <w:ilvl w:val="0"/>
          <w:numId w:val="0"/>
        </w:numPr>
        <w:spacing w:line="360" w:lineRule="auto"/>
        <w:ind w:left="357"/>
      </w:pPr>
      <w:r>
        <w:t>Het rechtsvergelijkend</w:t>
      </w:r>
      <w:r w:rsidR="006C71DD">
        <w:t xml:space="preserve">e deel analyseert en bespreekt de systemen in Luxemburg, Nederland en Duitsland, en vergelijkt deze met het Belgische systeem. In deel IV wordt vervolgens beoordeeld of België inspiratie kan putten uit één van deze buurlanden, dan wel uit meerdere van hen. </w:t>
      </w:r>
      <w:r w:rsidR="00E139C2">
        <w:t xml:space="preserve">Ten slotte wordt in </w:t>
      </w:r>
      <w:r w:rsidR="009C3EAA">
        <w:t xml:space="preserve">dit </w:t>
      </w:r>
      <w:r w:rsidR="00E139C2">
        <w:t xml:space="preserve">laatste deel een warme aanbeveling gedaan naar de beleidsmakers om toch te trachten de ultieme deadline nog te halen en daadwerkelijk een </w:t>
      </w:r>
      <w:r w:rsidR="007538A2">
        <w:t>e</w:t>
      </w:r>
      <w:r w:rsidR="00E139C2">
        <w:t>enheidsstatuut tot stand te brengen.</w:t>
      </w:r>
      <w:r w:rsidR="00D559DE">
        <w:br w:type="page"/>
      </w:r>
    </w:p>
    <w:p w14:paraId="2E63D63A" w14:textId="18DA69AA" w:rsidR="00962965" w:rsidRDefault="00962965" w:rsidP="00962965">
      <w:pPr>
        <w:pStyle w:val="Kop2"/>
      </w:pPr>
      <w:bookmarkStart w:id="12" w:name="_Toc228784091"/>
      <w:r>
        <w:t>Probleemstelling</w:t>
      </w:r>
      <w:r w:rsidR="003C4995">
        <w:t xml:space="preserve"> en relevantie van het onderzoek</w:t>
      </w:r>
      <w:bookmarkEnd w:id="12"/>
    </w:p>
    <w:p w14:paraId="2EF47F31" w14:textId="36971983" w:rsidR="00E139C2" w:rsidRDefault="00F65F44" w:rsidP="00E139C2">
      <w:pPr>
        <w:pStyle w:val="Randnummer"/>
        <w:spacing w:line="360" w:lineRule="auto"/>
      </w:pPr>
      <w:r>
        <w:rPr>
          <w:rStyle w:val="KleinKapitaalAuteursCtrlAltK"/>
        </w:rPr>
        <w:t xml:space="preserve">Tweede pensioenpijler - </w:t>
      </w:r>
      <w:r w:rsidR="00E139C2">
        <w:t xml:space="preserve">Ondanks de invoering van het </w:t>
      </w:r>
      <w:r w:rsidR="007538A2">
        <w:t>e</w:t>
      </w:r>
      <w:r w:rsidR="00E139C2">
        <w:t xml:space="preserve">enheidsstatuut en de </w:t>
      </w:r>
      <w:r w:rsidR="00026361">
        <w:t>daarmee gepaard gaande</w:t>
      </w:r>
      <w:r w:rsidR="00E139C2">
        <w:t xml:space="preserve"> wettelijke ambities om ongelijkheden op de arbeidsmarkt te elimineren, blijft er binnen het Belgische sociale</w:t>
      </w:r>
      <w:r w:rsidR="00E139C2" w:rsidRPr="005077E5">
        <w:t xml:space="preserve">zekerheidsrecht tot op </w:t>
      </w:r>
      <w:r w:rsidR="008E1DFD">
        <w:t xml:space="preserve">heden </w:t>
      </w:r>
      <w:r w:rsidR="00E139C2" w:rsidRPr="005077E5">
        <w:t xml:space="preserve">een onderscheid bestaan tussen arbeiders en bedienden op het vlak van de aanvullende pensioenen. </w:t>
      </w:r>
      <w:r w:rsidR="008E1DFD">
        <w:t>A</w:t>
      </w:r>
      <w:r w:rsidR="00CE7473">
        <w:t>anvullende pensioenen</w:t>
      </w:r>
      <w:r w:rsidR="00F3054F">
        <w:t xml:space="preserve"> </w:t>
      </w:r>
      <w:r w:rsidR="00FA6F12">
        <w:t>behoren tot de</w:t>
      </w:r>
      <w:r w:rsidR="00F3054F">
        <w:t xml:space="preserve"> tweede pensioenpijler en zijn arbeidsgebonden </w:t>
      </w:r>
      <w:r w:rsidR="0077405A">
        <w:t xml:space="preserve">voorzieningen </w:t>
      </w:r>
      <w:r w:rsidR="00FA6F12">
        <w:t xml:space="preserve">die worden </w:t>
      </w:r>
      <w:r w:rsidR="0077405A">
        <w:t xml:space="preserve">georganiseerd op het niveau van de onderneming, de bedrijfstak of de beroepsgroep. De overheid komt in deze tweede pensioenpijler slechts op </w:t>
      </w:r>
      <w:r w:rsidR="00600AF7">
        <w:t xml:space="preserve">onrechtstreekse wijze tussenbeide, bijvoorbeeld door het scheppen van een wettelijk kader of door het verschaffen van </w:t>
      </w:r>
      <w:r w:rsidR="00164D5E">
        <w:t>belastingvoordelen</w:t>
      </w:r>
      <w:r w:rsidR="00600AF7">
        <w:t>.</w:t>
      </w:r>
      <w:r w:rsidR="00600AF7">
        <w:rPr>
          <w:rStyle w:val="Voetnootmarkering"/>
        </w:rPr>
        <w:footnoteReference w:id="14"/>
      </w:r>
    </w:p>
    <w:p w14:paraId="74C033F8" w14:textId="2A715174" w:rsidR="00E139C2" w:rsidRDefault="00107623" w:rsidP="00E139C2">
      <w:pPr>
        <w:pStyle w:val="Randnummer"/>
        <w:spacing w:line="360" w:lineRule="auto"/>
      </w:pPr>
      <w:r>
        <w:rPr>
          <w:rStyle w:val="KleinKapitaalAuteursCtrlAltK"/>
        </w:rPr>
        <w:t>Recht</w:t>
      </w:r>
      <w:r w:rsidR="00B3312F">
        <w:rPr>
          <w:rStyle w:val="KleinKapitaalAuteursCtrlAltK"/>
        </w:rPr>
        <w:t xml:space="preserve">szekerheid - </w:t>
      </w:r>
      <w:r w:rsidR="0079518C">
        <w:t>Vanaf 1 januari 2030 wordt een verschil in behandeling tussen arbeiders en bedienden als discrimin</w:t>
      </w:r>
      <w:r w:rsidR="00B34385">
        <w:t>erend</w:t>
      </w:r>
      <w:r w:rsidR="0079518C">
        <w:t xml:space="preserve"> beschouwd, tenzij </w:t>
      </w:r>
      <w:r w:rsidR="00312AAE">
        <w:t>dit</w:t>
      </w:r>
      <w:r w:rsidR="0079518C">
        <w:t xml:space="preserve"> objectief kan worden gerechtvaardigd.</w:t>
      </w:r>
      <w:r w:rsidR="00E139C2">
        <w:t xml:space="preserve"> De gelijkheid die nagestreefd dient te worden is beperkt tot reële verschillen in behandeling.</w:t>
      </w:r>
      <w:r w:rsidR="00E139C2">
        <w:rPr>
          <w:rStyle w:val="Voetnootmarkering"/>
        </w:rPr>
        <w:footnoteReference w:id="15"/>
      </w:r>
      <w:r w:rsidR="00E139C2">
        <w:t xml:space="preserve"> </w:t>
      </w:r>
      <w:r w:rsidR="00397EAB">
        <w:t xml:space="preserve">In zijn arresten </w:t>
      </w:r>
      <w:r w:rsidR="0090222C">
        <w:t>er</w:t>
      </w:r>
      <w:r w:rsidR="00397EAB">
        <w:t>kende het Grondwettelijk Hof het belang van rechtszekerheid, en kende het daarom een o</w:t>
      </w:r>
      <w:r w:rsidR="0090222C">
        <w:t>vergangsperiode toe waarin de ongrondwettige bepalingen voorlopig van kracht blijven</w:t>
      </w:r>
      <w:r w:rsidR="00E139C2">
        <w:t>. De wetgever</w:t>
      </w:r>
      <w:r w:rsidR="0036283A">
        <w:t xml:space="preserve"> </w:t>
      </w:r>
      <w:r w:rsidR="00FE0BE0">
        <w:t>koos</w:t>
      </w:r>
      <w:r w:rsidR="00EE5E44">
        <w:t xml:space="preserve"> </w:t>
      </w:r>
      <w:r w:rsidR="00FE0BE0">
        <w:t>niet voor een volledige harmonisering,</w:t>
      </w:r>
      <w:r w:rsidR="006923DC">
        <w:t xml:space="preserve"> maar richtte zich op de voornaamste knelpunten, met name</w:t>
      </w:r>
      <w:r w:rsidR="00E139C2">
        <w:t xml:space="preserve"> opzeggingstermijnen en de carensdag.</w:t>
      </w:r>
      <w:r w:rsidR="00E139C2">
        <w:rPr>
          <w:rStyle w:val="Voetnootmarkering"/>
        </w:rPr>
        <w:footnoteReference w:id="16"/>
      </w:r>
    </w:p>
    <w:p w14:paraId="15796E08" w14:textId="376162CD" w:rsidR="00E139C2" w:rsidRDefault="003C1282" w:rsidP="00E139C2">
      <w:pPr>
        <w:pStyle w:val="Randnummer"/>
        <w:spacing w:line="360" w:lineRule="auto"/>
      </w:pPr>
      <w:r>
        <w:rPr>
          <w:rStyle w:val="KleinKapitaalAuteursCtrlAltK"/>
        </w:rPr>
        <w:t xml:space="preserve">Harmonisatieproces - </w:t>
      </w:r>
      <w:r w:rsidR="00E139C2">
        <w:t xml:space="preserve">De wetgever heeft in het harmonisatieproces een cruciale rol toebedeeld aan de sectoren. Zij moeten namelijk tegen 1 januari 2027 sectorale cao’s sluiten met het oog op het verschil in behandeling tussen arbeiders en bedienden op het vlak van aanvullende pensioenen weg te werken. De complexiteit van het Belgische paritaire overlegmodel vormt hierbij een </w:t>
      </w:r>
      <w:r w:rsidR="00E237D2">
        <w:t xml:space="preserve">moeilijk </w:t>
      </w:r>
      <w:r w:rsidR="00E139C2">
        <w:t xml:space="preserve">struikelblok </w:t>
      </w:r>
      <w:r w:rsidR="00E237D2">
        <w:t>daar</w:t>
      </w:r>
      <w:r w:rsidR="00E139C2">
        <w:t xml:space="preserve"> het Belgisch paritair landschap gekenmerkt wordt door een uitdagende structuur.</w:t>
      </w:r>
      <w:r w:rsidR="00E139C2">
        <w:rPr>
          <w:rStyle w:val="Voetnootmarkering"/>
        </w:rPr>
        <w:footnoteReference w:id="17"/>
      </w:r>
      <w:r w:rsidR="00E139C2">
        <w:t xml:space="preserve"> Deze complexe situatie roept fundamentele vragen op over de effectiviteit van het socialezekerheidsrecht in het realiseren van </w:t>
      </w:r>
      <w:r w:rsidR="00E139C2" w:rsidRPr="00AA5775">
        <w:t>werkelijke gelijkheid</w:t>
      </w:r>
      <w:r w:rsidR="00E139C2">
        <w:rPr>
          <w:u w:val="single"/>
        </w:rPr>
        <w:t xml:space="preserve"> </w:t>
      </w:r>
      <w:r w:rsidR="00E139C2">
        <w:t>tussen arbeiders en bedienden binnen het aanvullend pensioenkader.</w:t>
      </w:r>
    </w:p>
    <w:p w14:paraId="6E7EF7A7" w14:textId="3FAD5271" w:rsidR="00E139C2" w:rsidRDefault="00E139C2" w:rsidP="00AF04EE">
      <w:pPr>
        <w:pStyle w:val="Randnummer"/>
        <w:numPr>
          <w:ilvl w:val="0"/>
          <w:numId w:val="0"/>
        </w:numPr>
        <w:spacing w:line="360" w:lineRule="auto"/>
        <w:ind w:left="357"/>
      </w:pPr>
      <w:r>
        <w:t>Hoewel de wet van 5 mei 2014 een volledige harmonisatie beoogt tegen 1 januari 2030, zijn er verschillende juridische, economische maar ook praktische obstakels die ervoor zorgen dat deze gelijkstelling nog niet volledig gerealiseerd werd. Daarnaast ri</w:t>
      </w:r>
      <w:r w:rsidR="003E4B25">
        <w:t>j</w:t>
      </w:r>
      <w:r>
        <w:t xml:space="preserve">st de vraag ook in hoeverre de harmonisatie effectief zal leiden tot sociale gelijkheid. Zal de volledige harmonisatie ertoe leiden dat er geen enkel discriminerend verschil meer bestaat tussen arbeiders en bedienden op het vlak van de aanvullende pensioenen? Op deze vraag zal er getracht een antwoord geformuleerd te worden in de </w:t>
      </w:r>
      <w:r w:rsidR="00F9119A">
        <w:t>masterproef</w:t>
      </w:r>
      <w:r>
        <w:t xml:space="preserve">. Aanvullend luidt de vraag dus of de </w:t>
      </w:r>
      <w:r w:rsidR="003D28E7">
        <w:t>W</w:t>
      </w:r>
      <w:r>
        <w:t xml:space="preserve">et op het Eenheidsstatuut een volledige harmonisatie tussen arbeiders en bedienden op vlak van aanvullende pensioenen kan ambiëren? </w:t>
      </w:r>
    </w:p>
    <w:p w14:paraId="6360802B" w14:textId="1A2E1DDA" w:rsidR="00E139C2" w:rsidRDefault="00AF04EE" w:rsidP="00E139C2">
      <w:pPr>
        <w:pStyle w:val="Randnummer"/>
        <w:spacing w:line="360" w:lineRule="auto"/>
      </w:pPr>
      <w:r>
        <w:rPr>
          <w:rStyle w:val="KleinKapitaalAuteursCtrlAltK"/>
        </w:rPr>
        <w:t xml:space="preserve">Speciaal weigeringsrecht - </w:t>
      </w:r>
      <w:r w:rsidR="00E139C2">
        <w:t xml:space="preserve">Daarnaast </w:t>
      </w:r>
      <w:r w:rsidR="00020F1D">
        <w:t>wordt in dit werk dieper ingegaan</w:t>
      </w:r>
      <w:r w:rsidR="00E139C2">
        <w:t xml:space="preserve"> op het speciaal weigeringsrecht. De gelijkheid die nagestreefd moet worden, wordt door di</w:t>
      </w:r>
      <w:r w:rsidR="00B80168">
        <w:t>t</w:t>
      </w:r>
      <w:r w:rsidR="00E139C2">
        <w:t xml:space="preserve"> weigeringsrecht grotendeels genuanceerd. Het vormt </w:t>
      </w:r>
      <w:r w:rsidR="001403AF">
        <w:t xml:space="preserve">immers </w:t>
      </w:r>
      <w:r w:rsidR="00E139C2">
        <w:t>een alternatieve oplossing voor het onderscheid tussen arbeiders en bedienden</w:t>
      </w:r>
      <w:r w:rsidR="001403AF">
        <w:t>,</w:t>
      </w:r>
      <w:r w:rsidR="00E139C2">
        <w:t xml:space="preserve"> waarbij </w:t>
      </w:r>
      <w:r w:rsidR="001403AF">
        <w:t xml:space="preserve">de </w:t>
      </w:r>
      <w:r w:rsidR="00E139C2">
        <w:t>WAP zelf voorzie</w:t>
      </w:r>
      <w:r w:rsidR="001403AF">
        <w:t>t</w:t>
      </w:r>
      <w:r w:rsidR="00E139C2">
        <w:t xml:space="preserve"> in een</w:t>
      </w:r>
      <w:r w:rsidR="001403AF">
        <w:t xml:space="preserve"> soort</w:t>
      </w:r>
      <w:r w:rsidR="00E139C2">
        <w:t xml:space="preserve"> </w:t>
      </w:r>
      <w:r w:rsidR="00340EDC">
        <w:t>‘</w:t>
      </w:r>
      <w:r w:rsidR="00E139C2">
        <w:t>ontsnappingsroute</w:t>
      </w:r>
      <w:r w:rsidR="00340EDC">
        <w:t xml:space="preserve">’ </w:t>
      </w:r>
      <w:r w:rsidR="0084763B">
        <w:t>ten aanzien van het</w:t>
      </w:r>
      <w:r w:rsidR="00E139C2">
        <w:t xml:space="preserve"> </w:t>
      </w:r>
      <w:r w:rsidR="007538A2">
        <w:t>e</w:t>
      </w:r>
      <w:r w:rsidR="00E139C2">
        <w:t>enheidsstatuut.</w:t>
      </w:r>
      <w:r w:rsidR="00E139C2">
        <w:rPr>
          <w:rStyle w:val="Voetnootmarkering"/>
        </w:rPr>
        <w:footnoteReference w:id="18"/>
      </w:r>
      <w:r w:rsidR="00E139C2">
        <w:t xml:space="preserve"> </w:t>
      </w:r>
      <w:r w:rsidR="0084763B">
        <w:t>Dit roept de vraag op of deze regeling er niet toe leidt dat er in de praktijk toch een ongelijkheid blijft bestaan tussen arbeiders en bedienden, zolang bepaalde werknemers niet instemmen met een aansluiting bij het nieuwe pensioenstelsel.</w:t>
      </w:r>
    </w:p>
    <w:p w14:paraId="6F0D4D52" w14:textId="50786D4D" w:rsidR="00E139C2" w:rsidRPr="00E139C2" w:rsidRDefault="00F54330" w:rsidP="00B31186">
      <w:pPr>
        <w:pStyle w:val="Randnummer"/>
        <w:numPr>
          <w:ilvl w:val="0"/>
          <w:numId w:val="0"/>
        </w:numPr>
        <w:spacing w:line="360" w:lineRule="auto"/>
        <w:ind w:left="357"/>
      </w:pPr>
      <w:r>
        <w:t>In deze masterproef wordt de bovengenoemde problematiek geanalyseerd vanuit een sociaal-zekerheidsrechtelijke invalshoek. Centraal staat de vraag in hoeverre het bestaande wetgevend kader effectief is in het wegwerken van het onderscheid tussen arbeiders en bedienden op het vlak van de aanvullende pensioenen.</w:t>
      </w:r>
      <w:r w:rsidR="00F347EC">
        <w:br w:type="page"/>
      </w:r>
    </w:p>
    <w:p w14:paraId="5C43605D" w14:textId="2A0C199F" w:rsidR="00962965" w:rsidRDefault="00962965" w:rsidP="00962965">
      <w:pPr>
        <w:pStyle w:val="Kop2"/>
      </w:pPr>
      <w:bookmarkStart w:id="15" w:name="_Toc228784092"/>
      <w:r>
        <w:t>Onderzoeksvraag en onderzoeksmethode</w:t>
      </w:r>
      <w:bookmarkEnd w:id="15"/>
    </w:p>
    <w:p w14:paraId="6DDF2A2A" w14:textId="15B67176" w:rsidR="00817DA5" w:rsidRDefault="000D0FB0" w:rsidP="00C3403D">
      <w:pPr>
        <w:pStyle w:val="Randnummer"/>
        <w:spacing w:line="360" w:lineRule="auto"/>
      </w:pPr>
      <w:r>
        <w:rPr>
          <w:rStyle w:val="KleinKapitaalAuteursCtrlAltK"/>
        </w:rPr>
        <w:t xml:space="preserve">Centrale onderzoeksvraag - </w:t>
      </w:r>
      <w:r w:rsidR="00C3403D">
        <w:t xml:space="preserve">De centrale onderzoeksvraag luidt als volgt: </w:t>
      </w:r>
      <w:r w:rsidR="00C3403D" w:rsidRPr="001C22A1">
        <w:rPr>
          <w:i/>
          <w:iCs/>
        </w:rPr>
        <w:t xml:space="preserve">“In welke mate heeft de </w:t>
      </w:r>
      <w:r w:rsidR="007754B2">
        <w:rPr>
          <w:i/>
          <w:iCs/>
        </w:rPr>
        <w:t>W</w:t>
      </w:r>
      <w:r w:rsidR="00C3403D" w:rsidRPr="001C22A1">
        <w:rPr>
          <w:i/>
          <w:iCs/>
        </w:rPr>
        <w:t xml:space="preserve">et op het </w:t>
      </w:r>
      <w:r w:rsidR="007754B2">
        <w:rPr>
          <w:i/>
          <w:iCs/>
        </w:rPr>
        <w:t>E</w:t>
      </w:r>
      <w:r w:rsidR="00C3403D" w:rsidRPr="001C22A1">
        <w:rPr>
          <w:i/>
          <w:iCs/>
        </w:rPr>
        <w:t>enheidsstatuut voldoende bijgedragen aan de harmonisatie van de aanvullende pensioenen voor arbeiders en bedienden in België</w:t>
      </w:r>
      <w:r w:rsidR="00C3403D">
        <w:rPr>
          <w:i/>
          <w:iCs/>
        </w:rPr>
        <w:t xml:space="preserve">, </w:t>
      </w:r>
      <w:r w:rsidR="00C3403D" w:rsidRPr="001C22A1">
        <w:rPr>
          <w:i/>
          <w:iCs/>
        </w:rPr>
        <w:t xml:space="preserve">welke structurele verschillen blijven </w:t>
      </w:r>
      <w:r w:rsidR="00C3403D">
        <w:rPr>
          <w:i/>
          <w:iCs/>
        </w:rPr>
        <w:t xml:space="preserve">er </w:t>
      </w:r>
      <w:r w:rsidR="00C3403D" w:rsidRPr="001C22A1">
        <w:rPr>
          <w:i/>
          <w:iCs/>
        </w:rPr>
        <w:t>bestaan</w:t>
      </w:r>
      <w:r w:rsidR="00C3403D">
        <w:rPr>
          <w:i/>
          <w:iCs/>
        </w:rPr>
        <w:t>, en welke lessen kunnen normatief en rechtsvergelijkend worden getrokken uit het beleid in Luxemburg, Nederland en Duitsland?”</w:t>
      </w:r>
      <w:r w:rsidR="00C3403D">
        <w:t>.</w:t>
      </w:r>
      <w:r w:rsidR="00C3403D">
        <w:rPr>
          <w:i/>
          <w:iCs/>
        </w:rPr>
        <w:t xml:space="preserve"> </w:t>
      </w:r>
      <w:r w:rsidR="00FF03ED">
        <w:t>Deze</w:t>
      </w:r>
      <w:r w:rsidR="00C3403D">
        <w:t xml:space="preserve"> evaluerende onderzoeksvraag</w:t>
      </w:r>
      <w:r w:rsidR="007D3394">
        <w:t xml:space="preserve"> waardeert een </w:t>
      </w:r>
      <w:r w:rsidR="007C0120">
        <w:t>rechtsfiguur</w:t>
      </w:r>
      <w:r w:rsidR="00C3403D">
        <w:t xml:space="preserve"> in het licht van een vooropgestelde norm.</w:t>
      </w:r>
      <w:r w:rsidR="00C3403D">
        <w:rPr>
          <w:rStyle w:val="Voetnootmarkering"/>
        </w:rPr>
        <w:footnoteReference w:id="19"/>
      </w:r>
      <w:r w:rsidR="00C3403D">
        <w:t xml:space="preserve"> </w:t>
      </w:r>
      <w:r w:rsidR="00BA5870">
        <w:t xml:space="preserve">Deze </w:t>
      </w:r>
      <w:r w:rsidR="00C3403D">
        <w:t xml:space="preserve">centrale onderzoeksvraag </w:t>
      </w:r>
      <w:r w:rsidR="00BA5870">
        <w:t>heeft als</w:t>
      </w:r>
      <w:r w:rsidR="00C3403D">
        <w:t xml:space="preserve"> doel om na te gaan of de Wet Eenheidsstatuut heeft bijgedragen aan het doel om de discriminatie tussen arbeiders en bedienden op te heffen. </w:t>
      </w:r>
      <w:r w:rsidR="00316E4F">
        <w:t>De</w:t>
      </w:r>
      <w:r w:rsidR="00C3403D">
        <w:t xml:space="preserve"> onderzoeksvraag peilt naar het causale verband tussen de </w:t>
      </w:r>
      <w:r w:rsidR="001426DE">
        <w:t>W</w:t>
      </w:r>
      <w:r w:rsidR="00C3403D">
        <w:t xml:space="preserve">et op het </w:t>
      </w:r>
      <w:r w:rsidR="001426DE">
        <w:t>Ee</w:t>
      </w:r>
      <w:r w:rsidR="00C3403D">
        <w:t xml:space="preserve">nheidsstatuut en de harmonisatiebeweging van de aanvullende pensioenen. Daarnaast is dit ook een </w:t>
      </w:r>
      <w:r w:rsidR="00924F1B">
        <w:t>rechts</w:t>
      </w:r>
      <w:r w:rsidR="00C3403D">
        <w:t xml:space="preserve">vergelijkende onderzoeksvraag gezien er </w:t>
      </w:r>
      <w:r w:rsidR="00137F42">
        <w:t>met drie verschillende buurlanden</w:t>
      </w:r>
      <w:r w:rsidR="00C3403D">
        <w:t xml:space="preserve"> word</w:t>
      </w:r>
      <w:r w:rsidR="00137F42">
        <w:t>t</w:t>
      </w:r>
      <w:r w:rsidR="00C3403D">
        <w:t xml:space="preserve"> vergeleken om zo de gelijkenissen en verschillen tussen de verschillende </w:t>
      </w:r>
      <w:r w:rsidR="00137F42">
        <w:t xml:space="preserve">staten </w:t>
      </w:r>
      <w:r w:rsidR="00C3403D">
        <w:t>bloot te kunnen leggen.</w:t>
      </w:r>
      <w:r w:rsidR="00C3403D">
        <w:rPr>
          <w:rStyle w:val="Voetnootmarkering"/>
        </w:rPr>
        <w:footnoteReference w:id="20"/>
      </w:r>
      <w:r w:rsidR="00F83797">
        <w:t xml:space="preserve"> </w:t>
      </w:r>
      <w:r w:rsidR="00551246">
        <w:t xml:space="preserve">Een antwoord op deze onderzoeksvraag zal in het besluit worden </w:t>
      </w:r>
      <w:r w:rsidR="00B348D5">
        <w:t>geformuleerd</w:t>
      </w:r>
      <w:r w:rsidR="002E1F61">
        <w:t>.</w:t>
      </w:r>
      <w:r w:rsidR="00551246">
        <w:t xml:space="preserve"> </w:t>
      </w:r>
    </w:p>
    <w:p w14:paraId="5B6CD293" w14:textId="4EF14FD0" w:rsidR="00924F1B" w:rsidRDefault="00924F1B" w:rsidP="004A5896">
      <w:pPr>
        <w:pStyle w:val="Randnummer"/>
        <w:numPr>
          <w:ilvl w:val="0"/>
          <w:numId w:val="0"/>
        </w:numPr>
        <w:spacing w:line="360" w:lineRule="auto"/>
        <w:ind w:left="357"/>
      </w:pPr>
      <w:r>
        <w:t xml:space="preserve">Om een gegrond antwoord op deze centrale onderzoeksvraag te kunnen formuleren, </w:t>
      </w:r>
      <w:r w:rsidR="00DE7BD6">
        <w:t>werden er vier sub-onderzoeksvragen opgesteld</w:t>
      </w:r>
      <w:r w:rsidR="00F83797">
        <w:t>.</w:t>
      </w:r>
      <w:r>
        <w:t xml:space="preserve"> De eerste twee sub-onderzoeksvragen dragen bij aan een beter begrip van het onderwerp en schetsen de historische context. </w:t>
      </w:r>
      <w:r w:rsidR="00092C73">
        <w:t>Aansluitend za</w:t>
      </w:r>
      <w:r>
        <w:t xml:space="preserve">l een derde sub-onderzoeksvraag de impact van de wet analyseren. </w:t>
      </w:r>
      <w:r w:rsidR="00CE2AE7">
        <w:t>Ten slotte</w:t>
      </w:r>
      <w:r>
        <w:t xml:space="preserve"> zal de vierde sub-onderzoeksvraag </w:t>
      </w:r>
      <w:r w:rsidR="00E649E4">
        <w:t>het uitgangspunt vormen van de rechtsvergelijking.</w:t>
      </w:r>
    </w:p>
    <w:p w14:paraId="66ACE93D" w14:textId="56C2A27D" w:rsidR="00944562" w:rsidRDefault="005476D2" w:rsidP="00944562">
      <w:pPr>
        <w:pStyle w:val="Randnummer"/>
        <w:spacing w:line="360" w:lineRule="auto"/>
      </w:pPr>
      <w:r>
        <w:rPr>
          <w:rStyle w:val="KleinKapitaalAuteursCtrlAltK"/>
        </w:rPr>
        <w:t xml:space="preserve">Sub-onderzoeksvraag 1 - </w:t>
      </w:r>
      <w:r w:rsidR="00944562">
        <w:t>De eerste sub</w:t>
      </w:r>
      <w:r w:rsidR="007E65B0">
        <w:t>-</w:t>
      </w:r>
      <w:r w:rsidR="00944562">
        <w:t>onderzoeksvraag luidt</w:t>
      </w:r>
      <w:r w:rsidR="001A79AF">
        <w:t>:</w:t>
      </w:r>
      <w:r w:rsidR="00944562">
        <w:t xml:space="preserve"> </w:t>
      </w:r>
      <w:r w:rsidR="00944562">
        <w:rPr>
          <w:i/>
          <w:iCs/>
        </w:rPr>
        <w:t xml:space="preserve">“Wat waren de belangrijkste verschillen tussen arbeiders en bedienden in aanvullende pensioenen vóór de invoering van de Wet Eenheidsstatuut?”. </w:t>
      </w:r>
      <w:r w:rsidR="00944562">
        <w:t>Deze eerste sub</w:t>
      </w:r>
      <w:r w:rsidR="007E65B0">
        <w:t>-</w:t>
      </w:r>
      <w:r w:rsidR="00944562">
        <w:t xml:space="preserve">onderzoeksvraag is vergelijkend van aard en tracht de historische verschillen tussen beide statuten bloot te leggen. </w:t>
      </w:r>
    </w:p>
    <w:p w14:paraId="125AC87D" w14:textId="4FEE8CF4" w:rsidR="007E65B0" w:rsidRDefault="007E65B0" w:rsidP="007E65B0">
      <w:pPr>
        <w:pStyle w:val="Randnummer"/>
        <w:numPr>
          <w:ilvl w:val="0"/>
          <w:numId w:val="0"/>
        </w:numPr>
        <w:spacing w:line="360" w:lineRule="auto"/>
        <w:ind w:left="357"/>
      </w:pPr>
      <w:r>
        <w:t>In deel II van deze masterproef zal deze eerste sub-onderzoeksvraag beantwoord worden. Hiermee is het de bedoeling om</w:t>
      </w:r>
      <w:r w:rsidR="00BB316F">
        <w:t xml:space="preserve"> historische,</w:t>
      </w:r>
      <w:r>
        <w:t xml:space="preserve"> prominente wettelijke verschillen tussen de twee statuten naar voren te schuive</w:t>
      </w:r>
      <w:r w:rsidR="00BB316F">
        <w:t>n</w:t>
      </w:r>
      <w:r>
        <w:t xml:space="preserve">. Deze vergelijking is essentieel voor het onderzoek gezien de uitspraken van het Grondwettelijk Hof het startschot hebben gevormd voor wetgevende vernieuwingen. Met deze vergelijkende onderzoeksvraag wordt er een historische stand van zaken weergegeven van waaruit de andere onderzoeksvragen verder zullen bouwen. </w:t>
      </w:r>
    </w:p>
    <w:p w14:paraId="4FC8DBB7" w14:textId="50697150" w:rsidR="0065183D" w:rsidRPr="0011299A" w:rsidRDefault="005476D2" w:rsidP="00B47C5C">
      <w:pPr>
        <w:pStyle w:val="Randnummer"/>
        <w:spacing w:line="360" w:lineRule="auto"/>
      </w:pPr>
      <w:r>
        <w:rPr>
          <w:rStyle w:val="KleinKapitaalAuteursCtrlAltK"/>
          <w:lang w:val="nl-BE"/>
        </w:rPr>
        <w:t xml:space="preserve">Sub-onderzoeksvraag 2 - </w:t>
      </w:r>
      <w:r w:rsidR="007E65B0">
        <w:t xml:space="preserve">De tweede sub-onderzoeksvraag geeft een antwoord op de vraag: </w:t>
      </w:r>
      <w:r w:rsidR="007E65B0">
        <w:rPr>
          <w:i/>
          <w:iCs/>
        </w:rPr>
        <w:t>“Welke specifieke maatregelen werden er door de Wet Eenheidsstatuut genomen om de aanvullende pensioenen te harmoniseren?”.</w:t>
      </w:r>
      <w:r w:rsidR="0065183D">
        <w:rPr>
          <w:i/>
          <w:iCs/>
        </w:rPr>
        <w:t xml:space="preserve"> </w:t>
      </w:r>
      <w:r w:rsidR="004C4A0B">
        <w:rPr>
          <w:szCs w:val="28"/>
        </w:rPr>
        <w:t>Dit is een</w:t>
      </w:r>
      <w:r w:rsidR="0065183D">
        <w:rPr>
          <w:szCs w:val="28"/>
        </w:rPr>
        <w:t xml:space="preserve"> beschrijvende onderzoeksvraag waarbij de juiste interpretatie van de doelstellingen van de rechtsregels voor de sociale zekerheid van cruciaal belang is. </w:t>
      </w:r>
      <w:r w:rsidR="0065183D" w:rsidRPr="00B47C5C">
        <w:rPr>
          <w:szCs w:val="28"/>
        </w:rPr>
        <w:t xml:space="preserve">Hiervoor zal een grondige teleologische interpretatie en interpretatie op basis van rechtsleer en rechtspraak vereist worden. </w:t>
      </w:r>
    </w:p>
    <w:p w14:paraId="0FF9C8D6" w14:textId="4B8C4132" w:rsidR="00DE73BE" w:rsidRPr="00DE73BE" w:rsidRDefault="0065183D" w:rsidP="00DE73BE">
      <w:pPr>
        <w:pStyle w:val="Randnummer"/>
        <w:numPr>
          <w:ilvl w:val="0"/>
          <w:numId w:val="0"/>
        </w:numPr>
        <w:spacing w:line="360" w:lineRule="auto"/>
        <w:ind w:left="357"/>
        <w:rPr>
          <w:szCs w:val="28"/>
        </w:rPr>
      </w:pPr>
      <w:r>
        <w:rPr>
          <w:szCs w:val="28"/>
        </w:rPr>
        <w:t xml:space="preserve">Aan de hand van een </w:t>
      </w:r>
      <w:r w:rsidRPr="00A57B9C">
        <w:rPr>
          <w:i/>
          <w:iCs/>
          <w:szCs w:val="28"/>
        </w:rPr>
        <w:t>teleologische interpretatie</w:t>
      </w:r>
      <w:r>
        <w:rPr>
          <w:szCs w:val="28"/>
        </w:rPr>
        <w:t xml:space="preserve"> wordt </w:t>
      </w:r>
      <w:r w:rsidR="00791C14">
        <w:rPr>
          <w:szCs w:val="28"/>
        </w:rPr>
        <w:t>de Wet op het Eenheidsstatuut</w:t>
      </w:r>
      <w:r>
        <w:rPr>
          <w:szCs w:val="28"/>
        </w:rPr>
        <w:t xml:space="preserve"> geïnterpreteerd in het licht van de doelstellingen die de wetgever oorspronkelijk voor ogen had.</w:t>
      </w:r>
      <w:r>
        <w:rPr>
          <w:rStyle w:val="Voetnootmarkering"/>
          <w:szCs w:val="28"/>
        </w:rPr>
        <w:footnoteReference w:id="21"/>
      </w:r>
      <w:r>
        <w:rPr>
          <w:szCs w:val="28"/>
        </w:rPr>
        <w:t xml:space="preserve"> </w:t>
      </w:r>
      <w:r w:rsidR="008A52BF">
        <w:rPr>
          <w:szCs w:val="28"/>
        </w:rPr>
        <w:t xml:space="preserve">Met </w:t>
      </w:r>
      <w:r>
        <w:rPr>
          <w:szCs w:val="28"/>
        </w:rPr>
        <w:t xml:space="preserve">de invoering van de Wet op het Eenheidsstatuut heeft de wetgever getracht om een bepaald doel te bereiken, in dit geval is het harmoniseren van het statuut van arbeider en bediende en het wegwerken van de verschillen die er nog bestonden tussen beide statuten één van die doelstellingen. </w:t>
      </w:r>
      <w:r w:rsidR="00DE73BE">
        <w:rPr>
          <w:szCs w:val="28"/>
        </w:rPr>
        <w:t>Op deze vraag wordt een antwoord geformuleerd in Hoofdstuk II van Deel II</w:t>
      </w:r>
      <w:r w:rsidR="009748A8">
        <w:rPr>
          <w:szCs w:val="28"/>
        </w:rPr>
        <w:t xml:space="preserve"> dat nog eens expliciet aan bod zal komen in het besluit (Hoofdstuk III).</w:t>
      </w:r>
    </w:p>
    <w:p w14:paraId="460D96B0" w14:textId="0914B33F" w:rsidR="007E65B0" w:rsidRPr="00B519FC" w:rsidRDefault="00607D1A" w:rsidP="008C2EAB">
      <w:pPr>
        <w:pStyle w:val="Randnummer"/>
        <w:spacing w:line="360" w:lineRule="auto"/>
      </w:pPr>
      <w:r>
        <w:rPr>
          <w:rStyle w:val="KleinKapitaalAuteursCtrlAltK"/>
        </w:rPr>
        <w:t>Sub-onderzoeksvraag 3</w:t>
      </w:r>
      <w:r w:rsidR="005E6704">
        <w:rPr>
          <w:rStyle w:val="KleinKapitaalAuteursCtrlAltK"/>
        </w:rPr>
        <w:t xml:space="preserve"> - </w:t>
      </w:r>
      <w:r w:rsidR="00DE73BE">
        <w:t>De derde sub-onderzoeksvraag luidt</w:t>
      </w:r>
      <w:r w:rsidR="003E0C16">
        <w:t xml:space="preserve"> </w:t>
      </w:r>
      <w:r w:rsidR="00DE73BE">
        <w:t xml:space="preserve">als volgt: </w:t>
      </w:r>
      <w:r w:rsidR="00DE73BE">
        <w:rPr>
          <w:i/>
          <w:iCs/>
        </w:rPr>
        <w:t xml:space="preserve">“Welke structurele verschillen blijven er vandaag bestaan tussen de aanvullende pensioenen van arbeiders en deze van bedienden?”. </w:t>
      </w:r>
      <w:r w:rsidR="00DE73BE">
        <w:t xml:space="preserve">Deze </w:t>
      </w:r>
      <w:r w:rsidR="00DA4FC4">
        <w:t xml:space="preserve">vraag </w:t>
      </w:r>
      <w:r w:rsidR="00C4153B">
        <w:t>combineert zowel</w:t>
      </w:r>
      <w:r w:rsidR="00DE73BE">
        <w:t xml:space="preserve"> </w:t>
      </w:r>
      <w:r w:rsidR="00C4153B">
        <w:t xml:space="preserve">een </w:t>
      </w:r>
      <w:r w:rsidR="00DE73BE">
        <w:rPr>
          <w:szCs w:val="28"/>
        </w:rPr>
        <w:t>evaluerend als een vergelijkend</w:t>
      </w:r>
      <w:r w:rsidR="00C4153B">
        <w:rPr>
          <w:szCs w:val="28"/>
        </w:rPr>
        <w:t xml:space="preserve"> </w:t>
      </w:r>
      <w:r w:rsidR="00DE73BE">
        <w:rPr>
          <w:szCs w:val="28"/>
        </w:rPr>
        <w:t>onderzoek</w:t>
      </w:r>
      <w:r w:rsidR="00DC6589">
        <w:rPr>
          <w:szCs w:val="28"/>
        </w:rPr>
        <w:t>sdoel en vereist daarom een aangepaste aanpak</w:t>
      </w:r>
      <w:r w:rsidR="00DE73BE">
        <w:rPr>
          <w:szCs w:val="28"/>
        </w:rPr>
        <w:t xml:space="preserve">. </w:t>
      </w:r>
      <w:r w:rsidR="00DC6589">
        <w:rPr>
          <w:szCs w:val="28"/>
        </w:rPr>
        <w:t>In eerste instantie zal een vergelijking worden gemaakt tussen de aanvullende pensioenen van arbeiders en bedienden</w:t>
      </w:r>
      <w:r w:rsidR="00DE73BE">
        <w:rPr>
          <w:szCs w:val="28"/>
        </w:rPr>
        <w:t>.</w:t>
      </w:r>
      <w:r w:rsidR="00DE73BE" w:rsidRPr="00DE73BE">
        <w:t xml:space="preserve"> </w:t>
      </w:r>
      <w:r w:rsidR="00DC6589">
        <w:t xml:space="preserve">Pas nadien kan worden overgegaan tot een evaluatie. </w:t>
      </w:r>
      <w:r w:rsidR="008C2EAB">
        <w:t xml:space="preserve">Het gaat hierbij om </w:t>
      </w:r>
      <w:r w:rsidR="00DE73BE">
        <w:t>een interne vergelijking</w:t>
      </w:r>
      <w:r w:rsidR="00024C78">
        <w:t xml:space="preserve"> </w:t>
      </w:r>
      <w:r w:rsidR="00DE73BE">
        <w:t xml:space="preserve">binnen </w:t>
      </w:r>
      <w:r w:rsidR="00024C78">
        <w:t>dezelfde</w:t>
      </w:r>
      <w:r w:rsidR="00E51EC5">
        <w:t xml:space="preserve"> rechtstak</w:t>
      </w:r>
      <w:r w:rsidR="00DE73BE">
        <w:t xml:space="preserve"> </w:t>
      </w:r>
      <w:r w:rsidR="00024C78">
        <w:t xml:space="preserve">en </w:t>
      </w:r>
      <w:r w:rsidR="00DE73BE">
        <w:t>binnen hetzelfde land. De</w:t>
      </w:r>
      <w:r w:rsidR="00E244F8">
        <w:t>ze</w:t>
      </w:r>
      <w:r w:rsidR="00DE73BE">
        <w:t xml:space="preserve"> vergelijking is</w:t>
      </w:r>
      <w:r w:rsidR="00E244F8">
        <w:t xml:space="preserve"> noodzakelijk om te kunnen </w:t>
      </w:r>
      <w:r w:rsidR="0038145D">
        <w:t xml:space="preserve">nagaan </w:t>
      </w:r>
      <w:r w:rsidR="00DE73BE">
        <w:t>waar eventuele discriminatie</w:t>
      </w:r>
      <w:r w:rsidR="00360624">
        <w:t>s</w:t>
      </w:r>
      <w:r w:rsidR="00DE73BE">
        <w:t xml:space="preserve"> tussen </w:t>
      </w:r>
      <w:r w:rsidR="00360624">
        <w:t>beide</w:t>
      </w:r>
      <w:r w:rsidR="00DE73BE">
        <w:t xml:space="preserve"> systemen zich nog </w:t>
      </w:r>
      <w:r w:rsidR="005D3342">
        <w:t>situeren.</w:t>
      </w:r>
      <w:r w:rsidR="00DE73BE">
        <w:t xml:space="preserve"> Indien er </w:t>
      </w:r>
      <w:r w:rsidR="00E1152E">
        <w:t>geen verschillen meer zouden worden vastgesteld tussen de aanvullende pensioenen van arbeiders en bedienden, kan worden geconcludeerd dat België de ongelijkheid binnen deze tak heeft weggewerkt. Tot slot zullen de resultaten van deze vergelijking worden geëvalueerd in afdeling IV van hoofdstuk II uit deel III.</w:t>
      </w:r>
    </w:p>
    <w:p w14:paraId="1A2DAE85" w14:textId="70D0936B" w:rsidR="00B14748" w:rsidRDefault="005E6704" w:rsidP="00B14748">
      <w:pPr>
        <w:pStyle w:val="Randnummer"/>
        <w:spacing w:line="360" w:lineRule="auto"/>
      </w:pPr>
      <w:r>
        <w:rPr>
          <w:rStyle w:val="KleinKapitaalAuteursCtrlAltK"/>
          <w:lang w:val="nl-BE"/>
        </w:rPr>
        <w:t xml:space="preserve">Sub-onderzoeksvraag 4 </w:t>
      </w:r>
      <w:r w:rsidR="00212FDB">
        <w:rPr>
          <w:rStyle w:val="KleinKapitaalAuteursCtrlAltK"/>
          <w:lang w:val="nl-BE"/>
        </w:rPr>
        <w:t>–</w:t>
      </w:r>
      <w:r>
        <w:rPr>
          <w:rStyle w:val="KleinKapitaalAuteursCtrlAltK"/>
          <w:lang w:val="nl-BE"/>
        </w:rPr>
        <w:t xml:space="preserve"> </w:t>
      </w:r>
      <w:r w:rsidR="00212FDB">
        <w:t>Er wordt afgesloten met een</w:t>
      </w:r>
      <w:r w:rsidR="00113CBE">
        <w:t xml:space="preserve"> rechtsvergelijkende sub-onderzoeksvraag</w:t>
      </w:r>
      <w:r w:rsidR="00B14748">
        <w:t>. Deze luidt: “</w:t>
      </w:r>
      <w:r w:rsidR="00B14748" w:rsidRPr="00B14748">
        <w:rPr>
          <w:i/>
          <w:iCs/>
        </w:rPr>
        <w:t>Kan er inspiratie gehaald worden uit Luxemburg, Duitsland en/of Nederland bij het harmoniseren van de aanvullende pensioenen tussen arbeiders en bedienden?</w:t>
      </w:r>
      <w:r w:rsidR="00B14748">
        <w:rPr>
          <w:i/>
          <w:iCs/>
        </w:rPr>
        <w:t>”.</w:t>
      </w:r>
      <w:r w:rsidR="005750EE">
        <w:rPr>
          <w:i/>
          <w:iCs/>
        </w:rPr>
        <w:t xml:space="preserve"> </w:t>
      </w:r>
      <w:r w:rsidR="00B14748">
        <w:t>Deze sub-onderzoeksvraag is zowel vergelijkend als evaluerend. Ze is vergelijkend omdat de Belgische situatie rechtswetenschappelijk vergeleken zal worden met de situatie in Luxemburg, Duitsland en Nederland. Zoals hierboven al gesteld betreft het een externe rechtsvergelijking op microniveau.</w:t>
      </w:r>
      <w:r w:rsidR="00C126DE">
        <w:t xml:space="preserve"> Dit houdt in dat het onderzoek zich niet richt op de volledige rechtssystemen, maar specifiek inzoomt op de concrete rechtsregels en specifieke juridische mechanismen die in deze landen worden gehanteerd om de al dan niet bestaande pensioenkloof tussen arbeiders en bedienden te beheren.</w:t>
      </w:r>
    </w:p>
    <w:p w14:paraId="658CE1D5" w14:textId="3103697C" w:rsidR="00B14748" w:rsidRDefault="00B14748" w:rsidP="005E6704">
      <w:pPr>
        <w:pStyle w:val="Randnummer"/>
        <w:numPr>
          <w:ilvl w:val="0"/>
          <w:numId w:val="0"/>
        </w:numPr>
        <w:spacing w:line="360" w:lineRule="auto"/>
        <w:ind w:left="357"/>
      </w:pPr>
      <w:r>
        <w:t xml:space="preserve">Om een vergelijking door te kunnen voeren tussen deze drie verschillende rechtsstelsels, moet er sprake zijn van een gemeenschappelijke noemer: een </w:t>
      </w:r>
      <w:r>
        <w:rPr>
          <w:i/>
          <w:iCs/>
        </w:rPr>
        <w:t xml:space="preserve">tertium comparationis. </w:t>
      </w:r>
      <w:r>
        <w:t xml:space="preserve">Kort gesteld kan dit gezien worden als de gemeenschappelijke basis tussen twee elementen. Daarnaast moeten er ook voldoende verschillen bestaan tussen de buitenlandse rechtsstelsels en België om een degelijke rechtsvergelijking te kunnen doorvoeren. De keuze voor deze drie landen is gebaseerd op hun </w:t>
      </w:r>
      <w:r w:rsidR="003057AE">
        <w:t>sociaaleconomische</w:t>
      </w:r>
      <w:r>
        <w:t xml:space="preserve"> gelijkenissen met België en hun verschillende aanpak van de harmonisatieproblematiek.</w:t>
      </w:r>
    </w:p>
    <w:p w14:paraId="68C08716" w14:textId="17519670" w:rsidR="00B14748" w:rsidRDefault="00B14748" w:rsidP="005E6704">
      <w:pPr>
        <w:pStyle w:val="Randnummer"/>
        <w:numPr>
          <w:ilvl w:val="0"/>
          <w:numId w:val="0"/>
        </w:numPr>
        <w:spacing w:line="360" w:lineRule="auto"/>
        <w:ind w:left="357"/>
      </w:pPr>
      <w:r>
        <w:t>Gezien Luxemburg ook een sterk juridisch onderscheid kent tussen arbeiders en bedienden</w:t>
      </w:r>
      <w:r>
        <w:rPr>
          <w:rStyle w:val="Voetnootmarkering"/>
        </w:rPr>
        <w:footnoteReference w:id="22"/>
      </w:r>
      <w:r>
        <w:t xml:space="preserve">, wordt het voor dit onderzoek zeer relevant geacht om te onderzoeken hoe zij dit onderscheid verantwoorden en tot stand hebben laten komen. Naast Luxemburg wordt ook vergeleken met Nederland, dat gekend is voor haar zeer </w:t>
      </w:r>
      <w:r w:rsidR="004D67D1">
        <w:t xml:space="preserve">uitgebreide en wijdverspreide </w:t>
      </w:r>
      <w:r>
        <w:t>tweede pensioenpijler, waarbij er zowel wordt voorzien in een breed aanvullend pensioen als in een hoge dekking.</w:t>
      </w:r>
      <w:r>
        <w:rPr>
          <w:rStyle w:val="Voetnootmarkering"/>
        </w:rPr>
        <w:footnoteReference w:id="23"/>
      </w:r>
      <w:r>
        <w:t xml:space="preserve"> In Nederland is het onderscheid tussen arbeiders en bedienden onbekend waardoor het </w:t>
      </w:r>
      <w:r w:rsidR="008A3F6A">
        <w:t xml:space="preserve">leerrijk </w:t>
      </w:r>
      <w:r>
        <w:t>geacht wordt om na te gaan hoe de tweede pensioenpijler hier werd uitgewerkt.</w:t>
      </w:r>
      <w:r>
        <w:rPr>
          <w:rStyle w:val="Voetnootmarkering"/>
        </w:rPr>
        <w:footnoteReference w:id="24"/>
      </w:r>
    </w:p>
    <w:p w14:paraId="23AD0EE5" w14:textId="10AD1697" w:rsidR="00705D50" w:rsidRDefault="00B14748" w:rsidP="005E6704">
      <w:pPr>
        <w:pStyle w:val="Randnummer"/>
        <w:numPr>
          <w:ilvl w:val="0"/>
          <w:numId w:val="0"/>
        </w:numPr>
        <w:spacing w:line="360" w:lineRule="auto"/>
        <w:ind w:left="357"/>
      </w:pPr>
      <w:r>
        <w:t xml:space="preserve">Duitsland werd in het verleden ook gekenmerkt door een dualiteit tussen arbeiders en bedienden, maar het </w:t>
      </w:r>
      <w:r w:rsidRPr="00C925B1">
        <w:rPr>
          <w:i/>
          <w:iCs/>
        </w:rPr>
        <w:t>Bundesverfassungsgericht</w:t>
      </w:r>
      <w:r>
        <w:t xml:space="preserve"> veroordeelde deze opdeling reeds in 1990 als ongrondwettig en als strijdig met het gelijkheidsbeginsel.</w:t>
      </w:r>
      <w:r>
        <w:rPr>
          <w:rStyle w:val="Voetnootmarkering"/>
        </w:rPr>
        <w:footnoteReference w:id="25"/>
      </w:r>
      <w:r>
        <w:t xml:space="preserve"> Juist omdat het onderscheid in Duitsland al vroeger werd weggewerkt, wordt het nuttig geacht voor dit onderzoek om ook met Duitsland te vergelijke</w:t>
      </w:r>
      <w:r w:rsidR="009F0C83">
        <w:t>n.</w:t>
      </w:r>
      <w:r w:rsidR="00051C1E">
        <w:br w:type="page"/>
      </w:r>
    </w:p>
    <w:p w14:paraId="49105044" w14:textId="09ECF59C" w:rsidR="00886B86" w:rsidRDefault="00FE2D89" w:rsidP="009E06E3">
      <w:pPr>
        <w:pStyle w:val="Kop1"/>
      </w:pPr>
      <w:bookmarkStart w:id="20" w:name="_Toc228784093"/>
      <w:r>
        <w:t>Het eenheidsstatuut en de doorwerking naar aanvullende pensioenen</w:t>
      </w:r>
      <w:bookmarkEnd w:id="20"/>
    </w:p>
    <w:p w14:paraId="38EA3BBE" w14:textId="001D0F61" w:rsidR="004574FD" w:rsidRDefault="0000648A" w:rsidP="00C83EF1">
      <w:pPr>
        <w:pStyle w:val="Randnummer"/>
        <w:spacing w:line="360" w:lineRule="auto"/>
      </w:pPr>
      <w:r>
        <w:rPr>
          <w:rStyle w:val="KleinKapitaalAuteursCtrlAltK"/>
        </w:rPr>
        <w:t xml:space="preserve">Inleiding - </w:t>
      </w:r>
      <w:r w:rsidR="004574FD">
        <w:t xml:space="preserve">In dit deel wordt het eenheidsstatuut geanalyseerd vanuit zijn historische en juridische ontwikkeling, met bijzondere aandacht voor de implicaties ervan voor </w:t>
      </w:r>
      <w:r w:rsidR="00DD4DFE">
        <w:t xml:space="preserve">de </w:t>
      </w:r>
      <w:r w:rsidR="004574FD">
        <w:t xml:space="preserve">aanvullende pensioenen. Deze analyse is noodzakelijk voor het beantwoorden van </w:t>
      </w:r>
      <w:r w:rsidR="00D845D2">
        <w:t xml:space="preserve">sub-onderzoeksvragen 1 en 2, die betrekking hebben op de historische verschillen tussen arbeiders en bedienden </w:t>
      </w:r>
      <w:r w:rsidR="00BE6848">
        <w:t xml:space="preserve">alsook </w:t>
      </w:r>
      <w:r w:rsidR="00D845D2">
        <w:t xml:space="preserve">op de maatregelen die werden getroffen om deze weg te werken. </w:t>
      </w:r>
    </w:p>
    <w:p w14:paraId="3D4ABED3" w14:textId="52BA755C" w:rsidR="006374DE" w:rsidRDefault="00D845D2" w:rsidP="006374DE">
      <w:pPr>
        <w:pStyle w:val="Randnummer"/>
        <w:numPr>
          <w:ilvl w:val="0"/>
          <w:numId w:val="0"/>
        </w:numPr>
        <w:spacing w:line="360" w:lineRule="auto"/>
        <w:ind w:left="357"/>
      </w:pPr>
      <w:r>
        <w:t>Eerst wordt de historische context geschetst, waarna wordt onderzocht in welke mate de</w:t>
      </w:r>
      <w:r w:rsidR="00E677F2">
        <w:t xml:space="preserve"> evolutie van het eenheidsstatuut</w:t>
      </w:r>
      <w:r>
        <w:t xml:space="preserve"> heeft doorgewerkt in het domein van de aanvullende pensioenen.</w:t>
      </w:r>
      <w:r w:rsidR="009F66DB">
        <w:t xml:space="preserve"> Afsluitend wordt een synthese gemaakt van de belangrijkste bevindingen.</w:t>
      </w:r>
    </w:p>
    <w:p w14:paraId="285C32DF" w14:textId="1D1F54E7" w:rsidR="00DB756D" w:rsidRPr="0058444E" w:rsidRDefault="0064539C" w:rsidP="00DB756D">
      <w:pPr>
        <w:pStyle w:val="Kop2"/>
      </w:pPr>
      <w:bookmarkStart w:id="21" w:name="_Toc228784094"/>
      <w:r w:rsidRPr="0058444E">
        <w:t>Historische context</w:t>
      </w:r>
      <w:bookmarkEnd w:id="21"/>
    </w:p>
    <w:p w14:paraId="2ED21421" w14:textId="0F41A74D" w:rsidR="0064539C" w:rsidRPr="0058444E" w:rsidRDefault="004B577C" w:rsidP="004B577C">
      <w:pPr>
        <w:pStyle w:val="Kop3"/>
      </w:pPr>
      <w:bookmarkStart w:id="22" w:name="_Toc228784095"/>
      <w:r w:rsidRPr="0058444E">
        <w:t xml:space="preserve">Afdeling I. Het Grondwettelijk Hof </w:t>
      </w:r>
      <w:r w:rsidR="008144AB" w:rsidRPr="0058444E">
        <w:t>e</w:t>
      </w:r>
      <w:r w:rsidRPr="0058444E">
        <w:t>n de zoektocht naar gelijkheid</w:t>
      </w:r>
      <w:bookmarkEnd w:id="22"/>
    </w:p>
    <w:p w14:paraId="6841D6F6" w14:textId="2701DA1C" w:rsidR="00667491" w:rsidRPr="0058444E" w:rsidRDefault="00F062FA" w:rsidP="000904E7">
      <w:pPr>
        <w:pStyle w:val="Randnummer"/>
        <w:spacing w:line="360" w:lineRule="auto"/>
      </w:pPr>
      <w:r w:rsidRPr="00F062FA">
        <w:rPr>
          <w:rStyle w:val="KleinKapitaalAuteursCtrlAltK"/>
        </w:rPr>
        <w:t>Startschot eenheidsstatuut -</w:t>
      </w:r>
      <w:r>
        <w:t xml:space="preserve"> </w:t>
      </w:r>
      <w:r w:rsidR="00667491" w:rsidRPr="0058444E">
        <w:t xml:space="preserve">Het wegwerken van het verschil tussen arbeiders en bedienden door de invoering van een </w:t>
      </w:r>
      <w:r w:rsidR="007538A2">
        <w:t>e</w:t>
      </w:r>
      <w:r w:rsidR="00667491" w:rsidRPr="0058444E">
        <w:t xml:space="preserve">enheidsstatuut kwam er na </w:t>
      </w:r>
      <w:r w:rsidR="00931895">
        <w:t xml:space="preserve">twee </w:t>
      </w:r>
      <w:r w:rsidR="00A50D95">
        <w:t>arresten</w:t>
      </w:r>
      <w:r w:rsidR="00667491" w:rsidRPr="0058444E">
        <w:t xml:space="preserve"> van het Grondwettelijk Hof.</w:t>
      </w:r>
      <w:r w:rsidR="00667491" w:rsidRPr="0058444E">
        <w:rPr>
          <w:rStyle w:val="Voetnootmarkering"/>
        </w:rPr>
        <w:footnoteReference w:id="26"/>
      </w:r>
      <w:r w:rsidR="00667491" w:rsidRPr="0058444E">
        <w:t xml:space="preserve"> Op 8 juli 1993 oordeelde het Hof voor de eerste keer dat het onderscheid tussen werknemers die handenarbeid leveren en werknemers die hoofdarbeid leveren discriminerend is.</w:t>
      </w:r>
      <w:r w:rsidR="00667491" w:rsidRPr="0058444E">
        <w:rPr>
          <w:rStyle w:val="Voetnootmarkering"/>
        </w:rPr>
        <w:footnoteReference w:id="27"/>
      </w:r>
      <w:r w:rsidR="00667491" w:rsidRPr="0058444E">
        <w:t xml:space="preserve"> In dit arrest stelde het Arbitragehof dat de grondwettelijke regels van gelijkheid en discriminatie niet uitsluiten dat er een verschil in behandeling volgens bepaalde categorieën van personen zou worden ingesteld, voor zover</w:t>
      </w:r>
      <w:r w:rsidR="00091B6F">
        <w:t xml:space="preserve"> er voor het criterium van onderscheid een objectieve en redelijke verantwoording bestaat</w:t>
      </w:r>
      <w:r w:rsidR="00667491" w:rsidRPr="0058444E">
        <w:t>.</w:t>
      </w:r>
      <w:r w:rsidR="00667491" w:rsidRPr="0058444E">
        <w:rPr>
          <w:rStyle w:val="Voetnootmarkering"/>
        </w:rPr>
        <w:footnoteReference w:id="28"/>
      </w:r>
      <w:r w:rsidR="00667491" w:rsidRPr="0058444E">
        <w:t xml:space="preserve"> </w:t>
      </w:r>
      <w:r w:rsidR="00681043">
        <w:t xml:space="preserve">Het onderscheid tussen </w:t>
      </w:r>
      <w:r w:rsidR="00667491" w:rsidRPr="0058444E">
        <w:t>een arbeider en een bediende op grond van het criterium van manuele, respectievelijk intellectuele aard van het werk</w:t>
      </w:r>
      <w:r w:rsidR="007E224C">
        <w:t xml:space="preserve"> valt volgen</w:t>
      </w:r>
      <w:r w:rsidR="00024B02">
        <w:t>s</w:t>
      </w:r>
      <w:r w:rsidR="007E224C">
        <w:t xml:space="preserve"> het Grondwettelijk Hof </w:t>
      </w:r>
      <w:r w:rsidR="00667491" w:rsidRPr="0058444E">
        <w:t>niet objectief en redelijk te verantwoorden</w:t>
      </w:r>
      <w:r w:rsidR="007E224C">
        <w:t>.</w:t>
      </w:r>
    </w:p>
    <w:p w14:paraId="7E8FDD54" w14:textId="18216AE5" w:rsidR="00667491" w:rsidRPr="0058444E" w:rsidRDefault="00CF573C" w:rsidP="007F7CBC">
      <w:pPr>
        <w:pStyle w:val="Randnummer"/>
        <w:numPr>
          <w:ilvl w:val="0"/>
          <w:numId w:val="0"/>
        </w:numPr>
        <w:spacing w:line="360" w:lineRule="auto"/>
        <w:ind w:left="357"/>
      </w:pPr>
      <w:r>
        <w:t xml:space="preserve">In 2011 sprak het Grondwettelijk Hof zich opnieuw uit en verwees daarbij naar </w:t>
      </w:r>
      <w:r w:rsidR="008065D4">
        <w:t>zijn</w:t>
      </w:r>
      <w:r w:rsidR="007F7CBC">
        <w:t xml:space="preserve"> </w:t>
      </w:r>
      <w:r>
        <w:t xml:space="preserve">arrest van </w:t>
      </w:r>
      <w:r w:rsidR="00791728">
        <w:t>8 juli 199</w:t>
      </w:r>
      <w:r w:rsidR="007F7CBC">
        <w:t>3.</w:t>
      </w:r>
      <w:r w:rsidR="00667491" w:rsidRPr="0058444E">
        <w:rPr>
          <w:rStyle w:val="Voetnootmarkering"/>
        </w:rPr>
        <w:footnoteReference w:id="29"/>
      </w:r>
      <w:r w:rsidR="007F7CBC">
        <w:t xml:space="preserve"> </w:t>
      </w:r>
      <w:r w:rsidR="00667491" w:rsidRPr="0058444E">
        <w:t xml:space="preserve">In deze zaak stelde het </w:t>
      </w:r>
      <w:r w:rsidR="006063F8">
        <w:t xml:space="preserve">Grondwettelijk </w:t>
      </w:r>
      <w:r w:rsidR="00667491" w:rsidRPr="0058444E">
        <w:t>Hof</w:t>
      </w:r>
      <w:r w:rsidR="00236530">
        <w:t xml:space="preserve"> vast</w:t>
      </w:r>
      <w:r w:rsidR="00667491" w:rsidRPr="0058444E">
        <w:t xml:space="preserve"> dat de artikelen 52, §1 en 70 van de Arbeidsovereenkomstenwet de artikelen 10 en 11 van de Grondwet schenden in zoverre </w:t>
      </w:r>
      <w:r w:rsidR="00883CCE">
        <w:t>een</w:t>
      </w:r>
      <w:r w:rsidR="00667491" w:rsidRPr="0058444E">
        <w:t xml:space="preserve"> arbeider die zich in eenzelfde contractuele situatie bevind</w:t>
      </w:r>
      <w:r w:rsidR="00883CCE">
        <w:t>t bij</w:t>
      </w:r>
      <w:r w:rsidR="00667491" w:rsidRPr="0058444E">
        <w:t xml:space="preserve"> arbeidsongeschiktheid</w:t>
      </w:r>
      <w:r w:rsidR="00883CCE">
        <w:t xml:space="preserve"> een carensdag moet ondergaan</w:t>
      </w:r>
      <w:r w:rsidR="00667491" w:rsidRPr="0058444E">
        <w:t xml:space="preserve"> wanneer d</w:t>
      </w:r>
      <w:r w:rsidR="00883CCE">
        <w:t>ie</w:t>
      </w:r>
      <w:r w:rsidR="00667491" w:rsidRPr="0058444E">
        <w:t xml:space="preserve"> arbeidsongeschiktheid geen veertien dagen duurt.</w:t>
      </w:r>
      <w:r w:rsidR="00667491" w:rsidRPr="0058444E">
        <w:rPr>
          <w:rStyle w:val="Voetnootmarkering"/>
        </w:rPr>
        <w:footnoteReference w:id="30"/>
      </w:r>
      <w:r w:rsidR="00667491" w:rsidRPr="0058444E">
        <w:t xml:space="preserve"> Ook de andere prejudiciële vraag die werd gesteld over de verenigbaarheid van artikel 59 en 82 van de Arbeidsovereenkomstenwet werd niet verenigbaar geacht met de artikelen 10 en 11 van de Grondwet, in zoverre zij voorzien in verschillende opzeggingstermijnen voor arbeiders en bedienden die dezelfde anciënniteit bezitten.</w:t>
      </w:r>
    </w:p>
    <w:p w14:paraId="702ACCE9" w14:textId="1F1490D1" w:rsidR="00667491" w:rsidRPr="0058444E" w:rsidRDefault="00667491" w:rsidP="000904E7">
      <w:pPr>
        <w:pStyle w:val="Randnummer"/>
        <w:numPr>
          <w:ilvl w:val="0"/>
          <w:numId w:val="0"/>
        </w:numPr>
        <w:spacing w:line="360" w:lineRule="auto"/>
        <w:ind w:left="357"/>
      </w:pPr>
      <w:r w:rsidRPr="0058444E">
        <w:t xml:space="preserve">De Ministerraad </w:t>
      </w:r>
      <w:r w:rsidR="00E66467">
        <w:t xml:space="preserve">had het </w:t>
      </w:r>
      <w:r w:rsidR="005C1E40">
        <w:t xml:space="preserve">Grondwettelijk </w:t>
      </w:r>
      <w:r w:rsidR="00E66467">
        <w:t>Hof nochtans verzocht</w:t>
      </w:r>
      <w:r w:rsidR="00F341C7">
        <w:t xml:space="preserve"> de prejudiciële vragen ontkennend te beantwoorden, onder verwijzing naar </w:t>
      </w:r>
      <w:r w:rsidRPr="0058444E">
        <w:t xml:space="preserve">arrest nr. 56/93 </w:t>
      </w:r>
      <w:r w:rsidR="00F341C7">
        <w:t xml:space="preserve">en naar de reeds door de wetgever in 2011 getroffen maatregelen, evenals </w:t>
      </w:r>
      <w:r w:rsidRPr="0058444E">
        <w:t>door de noodzaak om een coherentie te kunnen behouden tussen verschillende ingrepen die soms gunstig zijn voor arbeiders, dan wel voor bedienden.</w:t>
      </w:r>
      <w:r w:rsidRPr="0058444E">
        <w:rPr>
          <w:rStyle w:val="Voetnootmarkering"/>
        </w:rPr>
        <w:footnoteReference w:id="31"/>
      </w:r>
    </w:p>
    <w:p w14:paraId="3503E7FA" w14:textId="71FA08C6" w:rsidR="00667491" w:rsidRPr="0058444E" w:rsidRDefault="00667491" w:rsidP="000904E7">
      <w:pPr>
        <w:pStyle w:val="Randnummer"/>
        <w:numPr>
          <w:ilvl w:val="0"/>
          <w:numId w:val="0"/>
        </w:numPr>
        <w:spacing w:line="360" w:lineRule="auto"/>
        <w:ind w:left="357"/>
      </w:pPr>
      <w:r w:rsidRPr="0058444E">
        <w:t xml:space="preserve">Het </w:t>
      </w:r>
      <w:r w:rsidR="001466AF">
        <w:t xml:space="preserve">Grondwettelijk </w:t>
      </w:r>
      <w:r w:rsidRPr="0058444E">
        <w:t xml:space="preserve">Hof hield in </w:t>
      </w:r>
      <w:r w:rsidR="00847CD3">
        <w:t xml:space="preserve">zijn </w:t>
      </w:r>
      <w:r w:rsidRPr="0058444E">
        <w:t>arrest rekening met de ruime beoordelingsbevoegdheid waarover de wetgever beschikt bij het beleid in sociaaleconomische aangelegenheden, waarbij het ook verwees naar een uitspraak van het EHRM tegen het Verenigd Koninkrijk.</w:t>
      </w:r>
      <w:r w:rsidRPr="0058444E">
        <w:rPr>
          <w:rStyle w:val="Voetnootmarkering"/>
        </w:rPr>
        <w:footnoteReference w:id="32"/>
      </w:r>
      <w:r w:rsidRPr="0058444E">
        <w:t xml:space="preserve"> Het Europees Hof voor de Rechten van de Mens heeft aanvaard dat een Grondwettelijk </w:t>
      </w:r>
      <w:r w:rsidR="003F63A0">
        <w:t>H</w:t>
      </w:r>
      <w:r w:rsidRPr="0058444E">
        <w:t>of, met inachtneming van het rechtszekerheidsbeginsel, aan de wetgever een bepaalde termijn mag verlenen om opnieuw wetgevend op te treden waardoor een ongrondwettige norm toch gedurende enige overgangsperiode van toepassing zal blijven.</w:t>
      </w:r>
      <w:r w:rsidRPr="0058444E">
        <w:rPr>
          <w:rStyle w:val="Voetnootmarkering"/>
        </w:rPr>
        <w:footnoteReference w:id="33"/>
      </w:r>
      <w:r w:rsidRPr="0058444E">
        <w:t xml:space="preserve"> Hieruit concludeerde het </w:t>
      </w:r>
      <w:r w:rsidR="00BA3826">
        <w:t xml:space="preserve">Grondwettelijk </w:t>
      </w:r>
      <w:r w:rsidRPr="0058444E">
        <w:t>Hof dat de prejudiciële vragen die voorgelegd werden bevestigend moe</w:t>
      </w:r>
      <w:r w:rsidR="001A522F">
        <w:t>s</w:t>
      </w:r>
      <w:r w:rsidRPr="0058444E">
        <w:t>ten worden beantwoord, maar dat de gevolgen van de in het geding zijnde bepalingen toch tot 8 juli 2013 moesten gehandhaafd worden.</w:t>
      </w:r>
    </w:p>
    <w:p w14:paraId="7494D39F" w14:textId="062E0DAA" w:rsidR="00093B7D" w:rsidRPr="0058444E" w:rsidRDefault="006261A2" w:rsidP="0060270D">
      <w:pPr>
        <w:pStyle w:val="Randnummer"/>
        <w:spacing w:line="360" w:lineRule="auto"/>
      </w:pPr>
      <w:r w:rsidRPr="006261A2">
        <w:rPr>
          <w:rStyle w:val="KleinKapitaalAuteursCtrlAltK"/>
        </w:rPr>
        <w:t xml:space="preserve">8 juli 2013 </w:t>
      </w:r>
      <w:r w:rsidR="00D00700">
        <w:rPr>
          <w:rStyle w:val="KleinKapitaalAuteursCtrlAltK"/>
        </w:rPr>
        <w:t>–</w:t>
      </w:r>
      <w:r>
        <w:t xml:space="preserve"> </w:t>
      </w:r>
      <w:r w:rsidR="00D00700">
        <w:t xml:space="preserve">Deze datum was geen willekeurige keuze. </w:t>
      </w:r>
      <w:r w:rsidR="00667491" w:rsidRPr="0058444E">
        <w:t xml:space="preserve">Zowel het Arbitragehof als het latere Grondwettelijk Hof </w:t>
      </w:r>
      <w:r w:rsidR="00D00700">
        <w:t>waren er reeds van overtuigd dat een plotselinge afschaffing van het onderscheid tussen arbeiders en bedienden onwenselijk was</w:t>
      </w:r>
      <w:r w:rsidR="00667491" w:rsidRPr="0058444E">
        <w:t>.</w:t>
      </w:r>
      <w:r w:rsidR="00667491" w:rsidRPr="0058444E">
        <w:rPr>
          <w:rStyle w:val="Voetnootmarkering"/>
        </w:rPr>
        <w:footnoteReference w:id="34"/>
      </w:r>
      <w:r w:rsidR="00667491" w:rsidRPr="0058444E">
        <w:t xml:space="preserve"> De gelijke behandeling tussen </w:t>
      </w:r>
      <w:r w:rsidR="00814DB5">
        <w:t>beide statuten</w:t>
      </w:r>
      <w:r w:rsidR="00667491" w:rsidRPr="0058444E">
        <w:t xml:space="preserve"> </w:t>
      </w:r>
      <w:r w:rsidR="00814DB5">
        <w:t xml:space="preserve">werd beschouwd als een doelstelling die slechts gefaseerd kon worden bereikt. Tegelijkertijd mocht de wetgever </w:t>
      </w:r>
      <w:r w:rsidR="003C29A9">
        <w:t>geen onbeperkte tijd krijgen om een reeds lang vastgestelde ongrondwettigheid te verhelpen</w:t>
      </w:r>
      <w:r w:rsidR="00814DB5">
        <w:t>. Het Hof stelde daarom een concrete deadline vast: 8 juli 2013</w:t>
      </w:r>
      <w:r w:rsidR="008D0820">
        <w:t xml:space="preserve">. </w:t>
      </w:r>
      <w:r w:rsidR="00814DB5">
        <w:t>Een datum die inmiddels al meer dan tien jaar verstreken is.</w:t>
      </w:r>
    </w:p>
    <w:p w14:paraId="3EFCC69A" w14:textId="57DA699B" w:rsidR="00E64EB8" w:rsidRPr="0058444E" w:rsidRDefault="00E64EB8" w:rsidP="00E64EB8">
      <w:pPr>
        <w:pStyle w:val="Kop3"/>
      </w:pPr>
      <w:bookmarkStart w:id="31" w:name="_Toc228784096"/>
      <w:r w:rsidRPr="0058444E">
        <w:t>Afdeling II. Evolutie van het wettelijk kader</w:t>
      </w:r>
      <w:bookmarkEnd w:id="31"/>
    </w:p>
    <w:p w14:paraId="0B204607" w14:textId="4FE90351" w:rsidR="00811650" w:rsidRPr="0058444E" w:rsidRDefault="00AC3A03" w:rsidP="002F53F3">
      <w:pPr>
        <w:pStyle w:val="Randnummer"/>
        <w:spacing w:line="360" w:lineRule="auto"/>
      </w:pPr>
      <w:r w:rsidRPr="00AC3A03">
        <w:rPr>
          <w:rStyle w:val="KleinKapitaalAuteursCtrlAltK"/>
        </w:rPr>
        <w:t>Oorsprong van het onderscheid -</w:t>
      </w:r>
      <w:r>
        <w:t xml:space="preserve"> </w:t>
      </w:r>
      <w:r w:rsidR="007A4A63">
        <w:t>Hoewel de arbeidsovereenkomstenwet van 1978 een eerste stap</w:t>
      </w:r>
      <w:r w:rsidR="007E35F2">
        <w:t xml:space="preserve"> vormde naar een uniforme regeling voor werknemers, bleef zij op cruciale punten vasthouden aan het onderscheid tussen arbeiders en bedienden</w:t>
      </w:r>
      <w:r w:rsidR="00811650" w:rsidRPr="0058444E">
        <w:t>.</w:t>
      </w:r>
      <w:r w:rsidR="00811650" w:rsidRPr="0058444E">
        <w:rPr>
          <w:rStyle w:val="Voetnootmarkering"/>
        </w:rPr>
        <w:footnoteReference w:id="35"/>
      </w:r>
      <w:r w:rsidR="00811650" w:rsidRPr="0058444E">
        <w:t xml:space="preserve"> </w:t>
      </w:r>
      <w:r w:rsidR="002F53F3">
        <w:t>Dit kwam vooral tot uiting in de regels inzake opzeggingstermijnen, die aanzienlijk gunstiger waren voor bedienden.</w:t>
      </w:r>
      <w:r w:rsidR="00811650" w:rsidRPr="0058444E">
        <w:rPr>
          <w:rStyle w:val="Voetnootmarkering"/>
        </w:rPr>
        <w:footnoteReference w:id="36"/>
      </w:r>
      <w:r w:rsidR="00811650" w:rsidRPr="0058444E">
        <w:t xml:space="preserve"> </w:t>
      </w:r>
    </w:p>
    <w:p w14:paraId="26EAC37F" w14:textId="06BB721F" w:rsidR="0031556C" w:rsidRDefault="00D23D19" w:rsidP="0031556C">
      <w:pPr>
        <w:pStyle w:val="Randnummer"/>
        <w:numPr>
          <w:ilvl w:val="0"/>
          <w:numId w:val="0"/>
        </w:numPr>
        <w:spacing w:line="360" w:lineRule="auto"/>
        <w:ind w:left="357"/>
      </w:pPr>
      <w:r w:rsidRPr="0058444E">
        <w:t xml:space="preserve">Voor arbeidsovereenkomsten voor arbeiders gesloten vóór 1 januari 2012 </w:t>
      </w:r>
      <w:r w:rsidR="00ED7D0F">
        <w:t>was</w:t>
      </w:r>
      <w:r w:rsidRPr="0058444E">
        <w:t xml:space="preserve"> het namelijk zo dat er door artikel 59, lid 2 Arbeidsovereenkomstenwet voorzien werd in een opzeggingstermijn van 28 dagen indien de werkgever het contract opzegt na minder dan 20 jaar. Als de werkgever het contract opzegt na meer dan 20 jaar beschikte de arbeider over een opzeggingstermijn van 56 dagen.</w:t>
      </w:r>
      <w:r w:rsidRPr="0058444E">
        <w:rPr>
          <w:rStyle w:val="Voetnootmarkering"/>
        </w:rPr>
        <w:footnoteReference w:id="37"/>
      </w:r>
      <w:r w:rsidRPr="0058444E">
        <w:t xml:space="preserve"> Voor bedienden was er een andere regeling van kracht waarbij zij overeenkomstig artikel 82, §2 Arbeidsovereenkomstenwet beschikten over een opzeggingstermijn van ten minste drie maanden als de werkgever het contract opzei en de bediende een jaarloon van maximum 32.254 euro had. Deze termijn nam alsmaar toe naarmate men langer in dienst was bij dezelfde werkgever.</w:t>
      </w:r>
      <w:r w:rsidRPr="0058444E">
        <w:rPr>
          <w:rStyle w:val="Voetnootmarkering"/>
        </w:rPr>
        <w:footnoteReference w:id="38"/>
      </w:r>
      <w:r w:rsidRPr="0058444E">
        <w:t xml:space="preserve"> Een grote ongelijkheid d</w:t>
      </w:r>
      <w:r w:rsidR="00E04F45">
        <w:t>ie</w:t>
      </w:r>
      <w:r w:rsidR="00AA59B4" w:rsidRPr="0058444E">
        <w:t xml:space="preserve"> </w:t>
      </w:r>
      <w:r w:rsidRPr="0058444E">
        <w:t xml:space="preserve">bestond op basis van het statuut dat zij verkregen hebben als arbeider dan wel als bediende. </w:t>
      </w:r>
    </w:p>
    <w:p w14:paraId="03F7254C" w14:textId="5AB1D803" w:rsidR="00D23D19" w:rsidRPr="0058444E" w:rsidRDefault="00D23D19" w:rsidP="0031556C">
      <w:pPr>
        <w:pStyle w:val="Randnummer"/>
        <w:numPr>
          <w:ilvl w:val="0"/>
          <w:numId w:val="0"/>
        </w:numPr>
        <w:spacing w:line="360" w:lineRule="auto"/>
        <w:ind w:left="357"/>
      </w:pPr>
      <w:r w:rsidRPr="0058444E">
        <w:t>Daarnaast bestond er tot voor 1 januari 2014 een carensdag voor arbeiders en bepaalde bedienden (namelijk de bedienden tijdens hun proefperiode).</w:t>
      </w:r>
      <w:r w:rsidRPr="0058444E">
        <w:rPr>
          <w:rStyle w:val="Voetnootmarkering"/>
        </w:rPr>
        <w:footnoteReference w:id="39"/>
      </w:r>
      <w:r w:rsidRPr="0058444E">
        <w:t xml:space="preserve"> </w:t>
      </w:r>
      <w:r w:rsidR="00D02953">
        <w:t>Deze carensdag</w:t>
      </w:r>
      <w:r w:rsidRPr="0058444E">
        <w:t xml:space="preserve"> hield in dat wanneer een periode van arbeidsongeschiktheid van arbeiders of </w:t>
      </w:r>
      <w:r w:rsidRPr="0004308F">
        <w:t xml:space="preserve">bepaalde </w:t>
      </w:r>
      <w:r w:rsidRPr="0058444E">
        <w:t>bedienden geen 14 dagen duurde en niet het gevolg was van een arbeidsongeval of een beroepsziekte, de eerste werkdag van deze periode een ‘onbetaalde’ dag was.</w:t>
      </w:r>
      <w:r w:rsidRPr="0058444E">
        <w:rPr>
          <w:rStyle w:val="Voetnootmarkering"/>
        </w:rPr>
        <w:footnoteReference w:id="40"/>
      </w:r>
      <w:r w:rsidRPr="0058444E">
        <w:t xml:space="preserve"> Kortom begon de periode van gewaarborgd loon pas te lopen vanaf de tweede dag van afwezigheid en werd een arbeider dus één dag minder uitbetaald dan een bediende die arbeidsongeschikt was. Dit </w:t>
      </w:r>
      <w:r w:rsidR="00A673AE">
        <w:t>kwam</w:t>
      </w:r>
      <w:r w:rsidRPr="0058444E">
        <w:t xml:space="preserve"> neer op een groot sociaalrechtelijk voordeel voor bedienden tegenover arbeiders. De carensdag werd afgeschaft voor alle werknemers vanaf 1 januari 2014.</w:t>
      </w:r>
      <w:r w:rsidRPr="0058444E">
        <w:rPr>
          <w:rStyle w:val="Voetnootmarkering"/>
        </w:rPr>
        <w:footnoteReference w:id="41"/>
      </w:r>
    </w:p>
    <w:p w14:paraId="32E57931" w14:textId="49D6FCEC" w:rsidR="00D23D19" w:rsidRDefault="00D23D19" w:rsidP="00857289">
      <w:pPr>
        <w:pStyle w:val="Randnummer"/>
        <w:numPr>
          <w:ilvl w:val="0"/>
          <w:numId w:val="0"/>
        </w:numPr>
        <w:spacing w:line="360" w:lineRule="auto"/>
        <w:ind w:left="357"/>
      </w:pPr>
      <w:r w:rsidRPr="0058444E">
        <w:t xml:space="preserve">De essentie van de invoering van de Wet op het </w:t>
      </w:r>
      <w:r w:rsidR="007538A2">
        <w:t>E</w:t>
      </w:r>
      <w:r w:rsidRPr="0058444E">
        <w:t>enheidsstatuut</w:t>
      </w:r>
      <w:r w:rsidR="00D45659">
        <w:t xml:space="preserve"> in 2014</w:t>
      </w:r>
      <w:r w:rsidRPr="0058444E">
        <w:t xml:space="preserve"> z</w:t>
      </w:r>
      <w:r w:rsidR="00713AF0">
        <w:t>a</w:t>
      </w:r>
      <w:r w:rsidRPr="0058444E">
        <w:t>t in de invoering van identieke opzeggingstermijnen voor zowel arbeiders als bedienden.</w:t>
      </w:r>
      <w:r w:rsidRPr="0058444E">
        <w:rPr>
          <w:rStyle w:val="Voetnootmarkering"/>
        </w:rPr>
        <w:footnoteReference w:id="42"/>
      </w:r>
      <w:r w:rsidRPr="0058444E">
        <w:t xml:space="preserve"> </w:t>
      </w:r>
      <w:r w:rsidR="00713AF0">
        <w:t xml:space="preserve">Deze nieuwe opzeggingstermijnen </w:t>
      </w:r>
      <w:r w:rsidR="00F53B49">
        <w:t>waren een grote stap in de gelijktrekking van het onderscheid tussen arbeiders en bedienden</w:t>
      </w:r>
      <w:r w:rsidRPr="0058444E">
        <w:t xml:space="preserve">. </w:t>
      </w:r>
      <w:r w:rsidR="00607BC6">
        <w:t xml:space="preserve">De verschillen werden steeds moeilijker te verantwoorden, </w:t>
      </w:r>
      <w:r w:rsidR="000D62CE">
        <w:t>z</w:t>
      </w:r>
      <w:r w:rsidR="00123D6A">
        <w:t>e</w:t>
      </w:r>
      <w:r w:rsidR="000D62CE">
        <w:t>ker wat betreft de regelgeving van de aanvullende pensioenen mede</w:t>
      </w:r>
      <w:r w:rsidR="00607BC6">
        <w:t xml:space="preserve"> gelet op de evolutie van de arbeidsmarkt en de vervaging van het onderscheid tussen manuele en intellectuele arbeid</w:t>
      </w:r>
      <w:r w:rsidRPr="0058444E">
        <w:t>.</w:t>
      </w:r>
      <w:r w:rsidRPr="0058444E">
        <w:rPr>
          <w:rStyle w:val="Voetnootmarkering"/>
        </w:rPr>
        <w:footnoteReference w:id="43"/>
      </w:r>
    </w:p>
    <w:p w14:paraId="5730A83F" w14:textId="5EF65BB5" w:rsidR="00B86359" w:rsidRPr="0058444E" w:rsidRDefault="00B86359" w:rsidP="00AB228E">
      <w:pPr>
        <w:pStyle w:val="Randnummer"/>
        <w:spacing w:line="360" w:lineRule="auto"/>
      </w:pPr>
      <w:r w:rsidRPr="00B86359">
        <w:rPr>
          <w:smallCaps/>
        </w:rPr>
        <w:t>Rol van sociale partners</w:t>
      </w:r>
      <w:r>
        <w:t xml:space="preserve"> </w:t>
      </w:r>
      <w:r w:rsidR="00A938A1">
        <w:t>–</w:t>
      </w:r>
      <w:r>
        <w:t xml:space="preserve"> </w:t>
      </w:r>
      <w:r w:rsidR="00A938A1">
        <w:t xml:space="preserve">Om een einde te maken aan de periode van relatieve onzekerheid </w:t>
      </w:r>
      <w:r w:rsidR="00E03695">
        <w:t>die volgde</w:t>
      </w:r>
      <w:r w:rsidR="00A938A1">
        <w:t xml:space="preserve"> op de uitspraken van het Grondwettelijk Hof</w:t>
      </w:r>
      <w:r w:rsidR="00E87F45">
        <w:t xml:space="preserve">, </w:t>
      </w:r>
      <w:r w:rsidR="00A938A1">
        <w:t xml:space="preserve">werden de sociale partners </w:t>
      </w:r>
      <w:r w:rsidR="00E87F45">
        <w:t>ertoe aangezet de</w:t>
      </w:r>
      <w:r w:rsidR="00A938A1">
        <w:t xml:space="preserve"> harmonisatie</w:t>
      </w:r>
      <w:r w:rsidR="00443A23">
        <w:t xml:space="preserve"> tussen beide statuten</w:t>
      </w:r>
      <w:r w:rsidR="00A938A1">
        <w:t xml:space="preserve"> te verwezenlijken. </w:t>
      </w:r>
      <w:r w:rsidR="00895C1B">
        <w:t>Concreet maakte de toenmalige minister van Pensioenen een voorontwerp over aan de Nationale Arbeidsraad</w:t>
      </w:r>
      <w:r w:rsidR="007C18B5">
        <w:t xml:space="preserve">. Ongeveer een jaar later bereikten de sociale partners binnen de </w:t>
      </w:r>
      <w:r w:rsidR="008C1E05">
        <w:t>G</w:t>
      </w:r>
      <w:r w:rsidR="007C18B5">
        <w:t>roep van 10</w:t>
      </w:r>
      <w:r w:rsidR="00E93840">
        <w:t xml:space="preserve"> een akkoord dat door de wetgever spoedig werd omgezet in een wet.</w:t>
      </w:r>
      <w:r w:rsidR="00E93840">
        <w:rPr>
          <w:rStyle w:val="Voetnootmarkering"/>
        </w:rPr>
        <w:footnoteReference w:id="44"/>
      </w:r>
      <w:r w:rsidR="007749D1">
        <w:t xml:space="preserve"> Hieruit volgde de wet van 5 mei 2014 waarmee er een </w:t>
      </w:r>
      <w:r w:rsidR="007538A2">
        <w:t>e</w:t>
      </w:r>
      <w:r w:rsidR="007749D1">
        <w:t>enheidsstatuut werd ingevoerd tussen arbeiders en bedienden in de W</w:t>
      </w:r>
      <w:r w:rsidR="00610B7E">
        <w:t>et op de Aanvullende Pensioenen</w:t>
      </w:r>
      <w:r w:rsidR="007749D1">
        <w:t>.</w:t>
      </w:r>
      <w:r w:rsidR="0046400A">
        <w:t xml:space="preserve"> </w:t>
      </w:r>
      <w:r w:rsidR="00610B7E">
        <w:t>(Hierna:</w:t>
      </w:r>
      <w:r w:rsidR="0000648A">
        <w:t xml:space="preserve"> </w:t>
      </w:r>
      <w:r w:rsidR="00610B7E">
        <w:t>WAP)</w:t>
      </w:r>
      <w:r w:rsidR="007749D1">
        <w:rPr>
          <w:rStyle w:val="Voetnootmarkering"/>
        </w:rPr>
        <w:footnoteReference w:id="45"/>
      </w:r>
    </w:p>
    <w:p w14:paraId="28672EA9" w14:textId="5D1D1270" w:rsidR="00D23D19" w:rsidRPr="0058444E" w:rsidRDefault="00D23D19" w:rsidP="00610B7E">
      <w:pPr>
        <w:pStyle w:val="Randnummer"/>
        <w:numPr>
          <w:ilvl w:val="0"/>
          <w:numId w:val="0"/>
        </w:numPr>
        <w:spacing w:line="360" w:lineRule="auto"/>
        <w:ind w:left="357"/>
      </w:pPr>
      <w:r w:rsidRPr="0058444E">
        <w:t xml:space="preserve">Het wettelijk </w:t>
      </w:r>
      <w:r w:rsidR="007538A2">
        <w:t>e</w:t>
      </w:r>
      <w:r w:rsidRPr="0058444E">
        <w:t>enheidsstatuut werd via een amendement ingeschoven in een ander wetsontwerp</w:t>
      </w:r>
      <w:r w:rsidRPr="0058444E">
        <w:rPr>
          <w:rStyle w:val="Voetnootmarkering"/>
        </w:rPr>
        <w:footnoteReference w:id="46"/>
      </w:r>
      <w:r w:rsidRPr="0058444E">
        <w:t xml:space="preserve">, waardoor het nogal </w:t>
      </w:r>
      <w:r w:rsidR="006B14A9">
        <w:t>rommelig</w:t>
      </w:r>
      <w:r w:rsidR="007D5F7C">
        <w:t xml:space="preserve"> </w:t>
      </w:r>
      <w:r w:rsidRPr="0058444E">
        <w:t xml:space="preserve">overkomt. </w:t>
      </w:r>
      <w:r w:rsidR="00775246">
        <w:t xml:space="preserve">Dit was echter </w:t>
      </w:r>
      <w:r w:rsidR="00902A38">
        <w:t>het gevolg van de snelheid waarmee men deze wijziging van de WAP tot stand wou brengen</w:t>
      </w:r>
      <w:r w:rsidR="00775246">
        <w:t xml:space="preserve"> met het oog op de ontbinding van het parlement voor de ver</w:t>
      </w:r>
      <w:r w:rsidR="00851907">
        <w:t>kiezingen van 25 mei 2014.</w:t>
      </w:r>
      <w:r w:rsidR="00851907">
        <w:rPr>
          <w:rStyle w:val="Voetnootmarkering"/>
        </w:rPr>
        <w:footnoteReference w:id="47"/>
      </w:r>
      <w:r w:rsidR="008938CB">
        <w:t xml:space="preserve"> </w:t>
      </w:r>
      <w:r w:rsidRPr="0058444E">
        <w:t>Hoewel de sociale partners een</w:t>
      </w:r>
      <w:r w:rsidR="00BC382A">
        <w:t xml:space="preserve"> aanzienlijke</w:t>
      </w:r>
      <w:r w:rsidRPr="0058444E">
        <w:t xml:space="preserve"> inspanning hebben geleverd om te komen tot harmonisatie, bestaat er tot op de dag van vandaag geen volledig eenheidsstatuut in het arbeidsrecht, noch in het socialezekerheidsrecht.</w:t>
      </w:r>
      <w:r w:rsidRPr="0058444E">
        <w:rPr>
          <w:rStyle w:val="Voetnootmarkering"/>
        </w:rPr>
        <w:footnoteReference w:id="48"/>
      </w:r>
    </w:p>
    <w:p w14:paraId="76BEDBE8" w14:textId="77777777" w:rsidR="003E3B46" w:rsidRDefault="00B01F17" w:rsidP="00030CFA">
      <w:pPr>
        <w:pStyle w:val="Randnummer"/>
        <w:spacing w:line="360" w:lineRule="auto"/>
      </w:pPr>
      <w:r>
        <w:rPr>
          <w:rStyle w:val="KleinKapitaalAuteursCtrlAltK"/>
        </w:rPr>
        <w:t xml:space="preserve">Invloed op de sociale zekerheid - </w:t>
      </w:r>
      <w:r w:rsidR="00D23D19" w:rsidRPr="0058444E">
        <w:t xml:space="preserve">Hoewel er nog een arbeidsrechtelijk onderscheid bestaat tussen arbeiders en bedienden tracht de wetgever dus steeds meer te komen tot een gelijkschakeling tussen arbeiders en bedienden op sociaalzekerheidsrechtelijk vlak. Door de invoering van de wet van 5 mei 2014 wordt er voorzien in een geleidelijke opheffing van het verschil in behandeling </w:t>
      </w:r>
      <w:r w:rsidR="00763A67">
        <w:t xml:space="preserve">tussen </w:t>
      </w:r>
      <w:r w:rsidR="00D23D19" w:rsidRPr="0058444E">
        <w:t xml:space="preserve">arbeiders en bedienden op het vlak van aanvullende pensioenen en wordt er getracht een harmonisatie tussen de twee stelsels te bereiken. </w:t>
      </w:r>
    </w:p>
    <w:p w14:paraId="3B02BC6C" w14:textId="211A5EDA" w:rsidR="00A42F16" w:rsidRDefault="00D23D19" w:rsidP="006972A3">
      <w:pPr>
        <w:pStyle w:val="Randnummer"/>
        <w:numPr>
          <w:ilvl w:val="0"/>
          <w:numId w:val="0"/>
        </w:numPr>
        <w:spacing w:line="360" w:lineRule="auto"/>
        <w:ind w:left="357"/>
      </w:pPr>
      <w:r w:rsidRPr="0058444E">
        <w:t>De</w:t>
      </w:r>
      <w:r w:rsidR="00640259">
        <w:t xml:space="preserve"> </w:t>
      </w:r>
      <w:r w:rsidRPr="0058444E">
        <w:t>harmonisatie</w:t>
      </w:r>
      <w:r w:rsidR="00C22831">
        <w:t xml:space="preserve"> moest worden bereikt in drie fasen</w:t>
      </w:r>
      <w:r w:rsidR="00F90FEA">
        <w:t xml:space="preserve"> tegen de deadline van 1 januari 2025.</w:t>
      </w:r>
      <w:r w:rsidRPr="0058444E">
        <w:rPr>
          <w:rStyle w:val="Voetnootmarkering"/>
        </w:rPr>
        <w:footnoteReference w:id="49"/>
      </w:r>
      <w:r w:rsidRPr="0058444E">
        <w:t xml:space="preserve"> Deze datum werd echter op vraag van de NAR uitgesteld naar 1 januari 2030 als ultieme deadline.</w:t>
      </w:r>
      <w:r w:rsidRPr="0058444E">
        <w:rPr>
          <w:rStyle w:val="Voetnootmarkering"/>
        </w:rPr>
        <w:footnoteReference w:id="50"/>
      </w:r>
      <w:r w:rsidRPr="0058444E">
        <w:t xml:space="preserve"> In deze </w:t>
      </w:r>
      <w:r w:rsidR="00705470">
        <w:t xml:space="preserve">masterproef </w:t>
      </w:r>
      <w:r w:rsidRPr="0058444E">
        <w:t>zal er dan ook nader worden gekeken in welke mate de aanvullende pensioenen voor arbeiders en bedienden reeds geharmoniseerd werden tot op de dag van vandaa</w:t>
      </w:r>
      <w:r w:rsidR="00891A46">
        <w:t>g.</w:t>
      </w:r>
      <w:r w:rsidR="00030CFA">
        <w:br w:type="page"/>
      </w:r>
    </w:p>
    <w:p w14:paraId="71FE3CC9" w14:textId="01E3B5B6" w:rsidR="006972A3" w:rsidRPr="0058444E" w:rsidRDefault="006972A3" w:rsidP="006972A3">
      <w:pPr>
        <w:pStyle w:val="Kop2"/>
      </w:pPr>
      <w:bookmarkStart w:id="37" w:name="_Toc228784097"/>
      <w:r>
        <w:t>Impact van het Eenheidsstatuut op de aanvullende pensioenen</w:t>
      </w:r>
      <w:bookmarkEnd w:id="37"/>
    </w:p>
    <w:p w14:paraId="483F817B" w14:textId="65BA6334" w:rsidR="001D5F61" w:rsidRPr="0058444E" w:rsidRDefault="0021065C" w:rsidP="003A00BE">
      <w:pPr>
        <w:pStyle w:val="Randnummer"/>
        <w:spacing w:line="360" w:lineRule="auto"/>
      </w:pPr>
      <w:r>
        <w:rPr>
          <w:rStyle w:val="KleinKapitaalAuteursCtrlAltK"/>
        </w:rPr>
        <w:t xml:space="preserve">Doorwerking eenheidsstatuut - </w:t>
      </w:r>
      <w:r w:rsidR="001C547A" w:rsidRPr="0058444E">
        <w:t xml:space="preserve">In tegenstelling tot wat het geval was voor arbeiders en bedienden op het vlak van opzeggingstermijnen, </w:t>
      </w:r>
      <w:r w:rsidR="00974509">
        <w:t>l</w:t>
      </w:r>
      <w:r w:rsidR="0051458B">
        <w:t>igt</w:t>
      </w:r>
      <w:r w:rsidR="00974509">
        <w:t xml:space="preserve"> het statutair onderscheid in de aanvullende pensioenen niet vervat in wetgeving</w:t>
      </w:r>
      <w:r w:rsidR="001C547A" w:rsidRPr="0058444E">
        <w:t>.</w:t>
      </w:r>
      <w:r w:rsidR="001D5F61" w:rsidRPr="0058444E">
        <w:t xml:space="preserve"> </w:t>
      </w:r>
      <w:r w:rsidR="00CB60F8">
        <w:t>Hier ligt</w:t>
      </w:r>
      <w:r w:rsidR="001D5F61" w:rsidRPr="0058444E">
        <w:t xml:space="preserve"> het onderscheid tussen arbeiders en bedienden louter vervat in de keuze van de paritaire comités en de werkgevers.</w:t>
      </w:r>
      <w:r w:rsidR="001C547A" w:rsidRPr="0058444E">
        <w:rPr>
          <w:rStyle w:val="Voetnootmarkering"/>
        </w:rPr>
        <w:footnoteReference w:id="51"/>
      </w:r>
      <w:r w:rsidR="001D5F61" w:rsidRPr="0058444E">
        <w:t xml:space="preserve"> </w:t>
      </w:r>
      <w:r w:rsidR="00906F95" w:rsidRPr="0058444E">
        <w:t xml:space="preserve">Dankzij de invoering van het </w:t>
      </w:r>
      <w:r w:rsidR="00CB60F8">
        <w:t>e</w:t>
      </w:r>
      <w:r w:rsidR="00906F95" w:rsidRPr="0058444E">
        <w:t>enheidsstatuut wordt er sinds 1 januari 2014 voorzien in geharmoniseerde opzeggingstermijnen voor arbei</w:t>
      </w:r>
      <w:r w:rsidR="0003084D" w:rsidRPr="0058444E">
        <w:t>ders en bedienden</w:t>
      </w:r>
      <w:r w:rsidR="001D5F61" w:rsidRPr="0058444E">
        <w:t xml:space="preserve">, maar dit heeft geen rechtstreekse gevolgen voor het onderscheid tussen arbeiders en bedienden </w:t>
      </w:r>
      <w:r w:rsidR="00222486" w:rsidRPr="0058444E">
        <w:t>in de</w:t>
      </w:r>
      <w:r w:rsidR="001D5F61" w:rsidRPr="0058444E">
        <w:t xml:space="preserve"> aanvullende pensioenen.</w:t>
      </w:r>
      <w:r w:rsidR="00BF53BF" w:rsidRPr="0058444E">
        <w:rPr>
          <w:rStyle w:val="Voetnootmarkering"/>
        </w:rPr>
        <w:footnoteReference w:id="52"/>
      </w:r>
      <w:r w:rsidR="003A00BE">
        <w:t xml:space="preserve"> </w:t>
      </w:r>
      <w:r w:rsidR="001D5F61" w:rsidRPr="0058444E">
        <w:t>Wél werd er door de rechtspraak van het Grondwettelijk Hof, samen met de reeds genomen wetgevende initiatieven, verder druk gelegd op het</w:t>
      </w:r>
      <w:r w:rsidR="00E063A5">
        <w:t xml:space="preserve"> bestaande</w:t>
      </w:r>
      <w:r w:rsidR="001D5F61" w:rsidRPr="0058444E">
        <w:t xml:space="preserve"> onderscheid op vlak van de aanvullende pensioenen. </w:t>
      </w:r>
      <w:r w:rsidR="00214B10" w:rsidRPr="0058444E">
        <w:t xml:space="preserve">Op dit vlak heeft het </w:t>
      </w:r>
      <w:r w:rsidR="008700AF">
        <w:t>e</w:t>
      </w:r>
      <w:r w:rsidR="00214B10" w:rsidRPr="0058444E">
        <w:t xml:space="preserve">enheidsstatuut dus </w:t>
      </w:r>
      <w:r w:rsidR="005E6D9C">
        <w:t>zijn</w:t>
      </w:r>
      <w:r w:rsidR="00214B10" w:rsidRPr="0058444E">
        <w:t xml:space="preserve"> vooropgesteld doel bereikt. </w:t>
      </w:r>
    </w:p>
    <w:p w14:paraId="7235C473" w14:textId="294EAF0C" w:rsidR="00E57C53" w:rsidRDefault="00B03C4C" w:rsidP="00007107">
      <w:pPr>
        <w:pStyle w:val="Randnummer"/>
        <w:spacing w:line="360" w:lineRule="auto"/>
      </w:pPr>
      <w:r>
        <w:rPr>
          <w:rStyle w:val="KleinKapitaalAuteursCtrlAltK"/>
        </w:rPr>
        <w:t xml:space="preserve">Wet van 5 mei 2014 - </w:t>
      </w:r>
      <w:r w:rsidR="00117CC3">
        <w:t>De sociale partners en de wetgever besloten dat dit structureel onderscheid in de aanvullende pensioenen</w:t>
      </w:r>
      <w:r w:rsidR="00007107">
        <w:t xml:space="preserve"> moest worden aangepakt en weggewerkt</w:t>
      </w:r>
      <w:r w:rsidR="00E13A3E" w:rsidRPr="0058444E">
        <w:t>.</w:t>
      </w:r>
      <w:r w:rsidR="00E13A3E" w:rsidRPr="0058444E">
        <w:rPr>
          <w:rStyle w:val="Voetnootmarkering"/>
        </w:rPr>
        <w:footnoteReference w:id="53"/>
      </w:r>
      <w:r w:rsidR="00007107">
        <w:t xml:space="preserve"> </w:t>
      </w:r>
      <w:r w:rsidR="0045210B">
        <w:t xml:space="preserve">Het aanvullend pensioen vormt de tweede pensioenpijler </w:t>
      </w:r>
      <w:r w:rsidR="009B3C41">
        <w:t>en word</w:t>
      </w:r>
      <w:r w:rsidR="00C75A97">
        <w:t>t ingedeeld in ondernemingspensioenen en sectorpensioenen.</w:t>
      </w:r>
      <w:r w:rsidR="00C75A97">
        <w:rPr>
          <w:rStyle w:val="Voetnootmarkering"/>
        </w:rPr>
        <w:footnoteReference w:id="54"/>
      </w:r>
      <w:r w:rsidR="00C75A97">
        <w:t xml:space="preserve"> </w:t>
      </w:r>
      <w:r w:rsidR="00ED40CA" w:rsidRPr="0058444E">
        <w:t xml:space="preserve">Met </w:t>
      </w:r>
      <w:r w:rsidR="00EA1318">
        <w:t xml:space="preserve">de </w:t>
      </w:r>
      <w:r w:rsidR="00ED40CA" w:rsidRPr="0058444E">
        <w:t xml:space="preserve">invoering van de wet van 5 mei 2014 werd er een eenheidsstatuut tussen arbeiders en bedienden ingevoerd in de WAP. </w:t>
      </w:r>
      <w:r w:rsidR="00512ADE">
        <w:t>De wet voegde namelijk een aantal nieuwe bepalingen toe, zijnde artikel 14/1-14/4 WAP die bepalen dat het verschil in behandeling inzake aanvullende pensioenen dat uitsluitend gebaseerd is op het statuut arbeider of bediende in principe verboden is. Dit vormt de juridische basis voor de harmonisering en maakt duidelijk dat het statuut van arbeider of bediende geen rechtvaardigingsgrond meer is voor verschillende pensioenrechten.</w:t>
      </w:r>
      <w:r w:rsidR="00512ADE">
        <w:rPr>
          <w:rStyle w:val="Voetnootmarkering"/>
        </w:rPr>
        <w:footnoteReference w:id="55"/>
      </w:r>
      <w:r w:rsidR="00512ADE">
        <w:t xml:space="preserve"> </w:t>
      </w:r>
      <w:r w:rsidR="00ED40CA" w:rsidRPr="0058444E">
        <w:t xml:space="preserve">Het is de verdienste van de sociale partners in ‘de </w:t>
      </w:r>
      <w:r w:rsidR="009C426C">
        <w:t>G</w:t>
      </w:r>
      <w:r w:rsidR="00ED40CA" w:rsidRPr="0058444E">
        <w:t>roep van 10’ alsook van de NAR dat deze invoering gebeurde in de WAP, waarmee ze een geïntegreerd kader konden verwezenlijken voor de aanvullende pensioenen.</w:t>
      </w:r>
      <w:r w:rsidR="00ED40CA" w:rsidRPr="0058444E">
        <w:rPr>
          <w:rStyle w:val="Voetnootmarkering"/>
        </w:rPr>
        <w:footnoteReference w:id="56"/>
      </w:r>
    </w:p>
    <w:p w14:paraId="407B8266" w14:textId="77E0BFFC" w:rsidR="00775B5C" w:rsidRDefault="00F50BED" w:rsidP="00775B5C">
      <w:pPr>
        <w:pStyle w:val="Kop2"/>
      </w:pPr>
      <w:bookmarkStart w:id="39" w:name="_Toc228784098"/>
      <w:r>
        <w:t>Van</w:t>
      </w:r>
      <w:r w:rsidR="00024B25">
        <w:t xml:space="preserve"> tweedeling naar harmonisatie</w:t>
      </w:r>
      <w:bookmarkEnd w:id="39"/>
    </w:p>
    <w:p w14:paraId="0BE61A05" w14:textId="0E8E7A9E" w:rsidR="00A2625E" w:rsidRPr="009864C1" w:rsidRDefault="009864C1" w:rsidP="009864C1">
      <w:pPr>
        <w:pStyle w:val="Randnummer"/>
        <w:spacing w:line="360" w:lineRule="auto"/>
        <w:rPr>
          <w:rStyle w:val="KleinKapitaalAuteursCtrlAltK"/>
        </w:rPr>
      </w:pPr>
      <w:r>
        <w:rPr>
          <w:rStyle w:val="KleinKapitaalAuteursCtrlAltK"/>
        </w:rPr>
        <w:t xml:space="preserve">Historische verankering – </w:t>
      </w:r>
      <w:r w:rsidR="001A2C8B">
        <w:rPr>
          <w:rStyle w:val="KleinKapitaalAuteursCtrlAltK"/>
          <w:smallCaps w:val="0"/>
        </w:rPr>
        <w:t xml:space="preserve">Uit de voorgaande analyse blijkt dat het onderscheid tussen arbeiders en bedienden historisch diep verankerd was in het Belgische arbeidsrecht en indirect doorwerkte in de aanvullende pensioenen. Hoewel dit onderscheid niet expliciet wettelijk werd vastgelegd in het pensioenrecht, leidde het in de praktijk tot significante ongelijkheden. </w:t>
      </w:r>
    </w:p>
    <w:p w14:paraId="58E2E22C" w14:textId="2AF5DAE6" w:rsidR="009864C1" w:rsidRPr="00AC03A1" w:rsidRDefault="00D30CF1" w:rsidP="00F74A52">
      <w:pPr>
        <w:pStyle w:val="Randnummer"/>
        <w:spacing w:line="360" w:lineRule="auto"/>
        <w:rPr>
          <w:rStyle w:val="KleinKapitaalAuteursCtrlAltK"/>
        </w:rPr>
      </w:pPr>
      <w:r>
        <w:rPr>
          <w:rStyle w:val="KleinKapitaalAuteursCtrlAltK"/>
        </w:rPr>
        <w:t xml:space="preserve">Aanvullende pensioenen - </w:t>
      </w:r>
      <w:r w:rsidR="005D4BE2">
        <w:rPr>
          <w:rStyle w:val="KleinKapitaalAuteursCtrlAltK"/>
          <w:smallCaps w:val="0"/>
        </w:rPr>
        <w:t xml:space="preserve">Voor de aanvullende pensioenen bestond er voor de invoering van het eenheidsstatuut geen wettelijk onderscheid tussen arbeiders en bedienden. Het verschil </w:t>
      </w:r>
      <w:r w:rsidR="00F74A52">
        <w:rPr>
          <w:rStyle w:val="KleinKapitaalAuteursCtrlAltK"/>
          <w:smallCaps w:val="0"/>
        </w:rPr>
        <w:t xml:space="preserve">speelde </w:t>
      </w:r>
      <w:r w:rsidR="005D4BE2" w:rsidRPr="00F74A52">
        <w:rPr>
          <w:rStyle w:val="KleinKapitaalAuteursCtrlAltK"/>
          <w:smallCaps w:val="0"/>
        </w:rPr>
        <w:t xml:space="preserve">zich voornamelijk </w:t>
      </w:r>
      <w:r w:rsidR="00F74A52">
        <w:rPr>
          <w:rStyle w:val="KleinKapitaalAuteursCtrlAltK"/>
          <w:smallCaps w:val="0"/>
        </w:rPr>
        <w:t>af tussen de</w:t>
      </w:r>
      <w:r w:rsidR="005D4BE2" w:rsidRPr="00F74A52">
        <w:rPr>
          <w:rStyle w:val="KleinKapitaalAuteursCtrlAltK"/>
          <w:smallCaps w:val="0"/>
        </w:rPr>
        <w:t xml:space="preserve"> sector</w:t>
      </w:r>
      <w:r w:rsidR="00F74A52">
        <w:rPr>
          <w:rStyle w:val="KleinKapitaalAuteursCtrlAltK"/>
          <w:smallCaps w:val="0"/>
        </w:rPr>
        <w:t>en</w:t>
      </w:r>
      <w:r w:rsidR="005D4BE2" w:rsidRPr="00F74A52">
        <w:rPr>
          <w:rStyle w:val="KleinKapitaalAuteursCtrlAltK"/>
          <w:smallCaps w:val="0"/>
        </w:rPr>
        <w:t xml:space="preserve"> en </w:t>
      </w:r>
      <w:r w:rsidR="00F74A52">
        <w:rPr>
          <w:rStyle w:val="KleinKapitaalAuteursCtrlAltK"/>
          <w:smallCaps w:val="0"/>
        </w:rPr>
        <w:t xml:space="preserve">op </w:t>
      </w:r>
      <w:r w:rsidR="005D4BE2" w:rsidRPr="00F74A52">
        <w:rPr>
          <w:rStyle w:val="KleinKapitaalAuteursCtrlAltK"/>
          <w:smallCaps w:val="0"/>
        </w:rPr>
        <w:t>ondernemingsniveau</w:t>
      </w:r>
      <w:r w:rsidR="00371923" w:rsidRPr="00F74A52">
        <w:rPr>
          <w:rStyle w:val="KleinKapitaalAuteursCtrlAltK"/>
          <w:smallCaps w:val="0"/>
        </w:rPr>
        <w:t xml:space="preserve"> doordat </w:t>
      </w:r>
      <w:r w:rsidR="005D4BE2" w:rsidRPr="00F74A52">
        <w:rPr>
          <w:rStyle w:val="KleinKapitaalAuteursCtrlAltK"/>
          <w:smallCaps w:val="0"/>
        </w:rPr>
        <w:t xml:space="preserve">werkgevers en paritaire comités afzonderlijke pensioenplannen uitwerkten. Dit resulteerde in de praktijk </w:t>
      </w:r>
      <w:r w:rsidR="00403180">
        <w:rPr>
          <w:rStyle w:val="KleinKapitaalAuteursCtrlAltK"/>
          <w:smallCaps w:val="0"/>
        </w:rPr>
        <w:t>tot</w:t>
      </w:r>
      <w:r w:rsidR="005D4BE2" w:rsidRPr="00F74A52">
        <w:rPr>
          <w:rStyle w:val="KleinKapitaalAuteursCtrlAltK"/>
          <w:smallCaps w:val="0"/>
        </w:rPr>
        <w:t xml:space="preserve"> gunstigere of meer uitgebreide pensioenstelsels voor bedienden, terwijl arbeiders vaker afhankelijk waren van sectorale regelingen</w:t>
      </w:r>
      <w:r w:rsidR="00296E6B">
        <w:rPr>
          <w:rStyle w:val="KleinKapitaalAuteursCtrlAltK"/>
          <w:smallCaps w:val="0"/>
        </w:rPr>
        <w:t xml:space="preserve"> die over het algemeen minder gunstig waren.</w:t>
      </w:r>
      <w:r w:rsidR="005D4BE2" w:rsidRPr="00F74A52">
        <w:rPr>
          <w:rStyle w:val="KleinKapitaalAuteursCtrlAltK"/>
          <w:smallCaps w:val="0"/>
        </w:rPr>
        <w:t xml:space="preserve"> Hierdoor ontstond er een ongelijk pensioenperspectief, terwijl een formeel wettelijk onderscheid ontbrak. </w:t>
      </w:r>
      <w:r w:rsidR="00AA0398" w:rsidRPr="00F74A52">
        <w:rPr>
          <w:rStyle w:val="KleinKapitaalAuteursCtrlAltK"/>
          <w:smallCaps w:val="0"/>
        </w:rPr>
        <w:t xml:space="preserve">Door de opeenvolgende arresten van het Grondwettelijk Hof groeide dan ook het besef bij zowel de wetgever als bij de sociale partners dat ook het verschil in aanvullende pensioenen moest worden aangepakt naast de invoering van een eenheidsstatuut. </w:t>
      </w:r>
    </w:p>
    <w:p w14:paraId="03AC205D" w14:textId="77777777" w:rsidR="00F06A72" w:rsidRPr="006F3B4E" w:rsidRDefault="006908C1" w:rsidP="009864C1">
      <w:pPr>
        <w:pStyle w:val="Randnummer"/>
        <w:spacing w:line="360" w:lineRule="auto"/>
        <w:rPr>
          <w:rStyle w:val="KleinKapitaalAuteursCtrlAltK"/>
        </w:rPr>
      </w:pPr>
      <w:r>
        <w:rPr>
          <w:rStyle w:val="KleinKapitaalAuteursCtrlAltK"/>
        </w:rPr>
        <w:t>Samengevat -</w:t>
      </w:r>
      <w:r>
        <w:rPr>
          <w:rStyle w:val="KleinKapitaalAuteursCtrlAltK"/>
          <w:smallCaps w:val="0"/>
        </w:rPr>
        <w:t xml:space="preserve">Terugkoppelend naar de eerste sub-onderzoeksvraag kan worden gesteld dat de verschillen tussen arbeiders en bedienden vóór de invoering van het eenheidsstatuut vooral structureel en praktijkgericht waren. Deze verschillen vloeiden namelijk voort uit de historische tweedeling die er gemaakt werd in het arbeidsrecht en uit de vrijheid van de sectoren alsook de werkgevers om afzonderlijke pensioenstelsels te organiseren. </w:t>
      </w:r>
    </w:p>
    <w:p w14:paraId="288A198C" w14:textId="12B356C9" w:rsidR="00AC03A1" w:rsidRPr="00BE685A" w:rsidRDefault="006F3B4E" w:rsidP="00BE685A">
      <w:pPr>
        <w:pStyle w:val="Randnummer"/>
        <w:spacing w:line="360" w:lineRule="auto"/>
        <w:rPr>
          <w:rStyle w:val="KleinKapitaalAuteursCtrlAltK"/>
          <w:smallCaps w:val="0"/>
        </w:rPr>
      </w:pPr>
      <w:r>
        <w:rPr>
          <w:rStyle w:val="KleinKapitaalAuteursCtrlAltK"/>
        </w:rPr>
        <w:t xml:space="preserve">Specifieke maatregelen </w:t>
      </w:r>
      <w:r>
        <w:rPr>
          <w:rStyle w:val="KleinKapitaalAuteursCtrlAltK"/>
          <w:smallCaps w:val="0"/>
        </w:rPr>
        <w:t xml:space="preserve">– De </w:t>
      </w:r>
      <w:r w:rsidR="00231417">
        <w:rPr>
          <w:rStyle w:val="KleinKapitaalAuteursCtrlAltK"/>
          <w:smallCaps w:val="0"/>
        </w:rPr>
        <w:t>W</w:t>
      </w:r>
      <w:r>
        <w:rPr>
          <w:rStyle w:val="KleinKapitaalAuteursCtrlAltK"/>
          <w:smallCaps w:val="0"/>
        </w:rPr>
        <w:t xml:space="preserve">et op het </w:t>
      </w:r>
      <w:r w:rsidR="00231417">
        <w:rPr>
          <w:rStyle w:val="KleinKapitaalAuteursCtrlAltK"/>
          <w:smallCaps w:val="0"/>
        </w:rPr>
        <w:t>E</w:t>
      </w:r>
      <w:r>
        <w:rPr>
          <w:rStyle w:val="KleinKapitaalAuteursCtrlAltK"/>
          <w:smallCaps w:val="0"/>
        </w:rPr>
        <w:t xml:space="preserve">enheidsstatuut </w:t>
      </w:r>
      <w:r w:rsidR="00FA4068">
        <w:rPr>
          <w:rStyle w:val="KleinKapitaalAuteursCtrlAltK"/>
          <w:smallCaps w:val="0"/>
        </w:rPr>
        <w:t xml:space="preserve">van 5 mei 2014 </w:t>
      </w:r>
      <w:r>
        <w:rPr>
          <w:rStyle w:val="KleinKapitaalAuteursCtrlAltK"/>
          <w:smallCaps w:val="0"/>
        </w:rPr>
        <w:t xml:space="preserve">heeft binnen het kader van de Wet op Aanvullende pensioenen een aantal concrete maatregelen ingevoerd om de verschillen geleidelijk weg te werken. </w:t>
      </w:r>
      <w:r w:rsidR="00843584">
        <w:rPr>
          <w:rStyle w:val="KleinKapitaalAuteursCtrlAltK"/>
          <w:smallCaps w:val="0"/>
        </w:rPr>
        <w:t>Zo werd er in artikel 14/1 en verder WAP een expliciet discriminati</w:t>
      </w:r>
      <w:r w:rsidR="00C64BB0">
        <w:rPr>
          <w:rStyle w:val="KleinKapitaalAuteursCtrlAltK"/>
          <w:smallCaps w:val="0"/>
        </w:rPr>
        <w:t>e</w:t>
      </w:r>
      <w:r w:rsidR="00843584">
        <w:rPr>
          <w:rStyle w:val="KleinKapitaalAuteursCtrlAltK"/>
          <w:smallCaps w:val="0"/>
        </w:rPr>
        <w:t>verbod ingevoerd dat de wettelijke grondslag vormt voor de harmonisering. Het voert ook een flexibel overgangsmechanisme in dat ervoor moet zorgen dat er tegen 2030 een daadwerkelijke gelijke behandeling van arbeiders en bedienden wordt gerealiseerd in de aanvullende pensioenen. Hiermee wordt dan ook de tweede sub-onderzoeksvraag beantwoord.</w:t>
      </w:r>
      <w:r w:rsidR="00BE685A">
        <w:rPr>
          <w:rStyle w:val="KleinKapitaalAuteursCtrlAltK"/>
          <w:smallCaps w:val="0"/>
        </w:rPr>
        <w:br w:type="page"/>
      </w:r>
    </w:p>
    <w:p w14:paraId="4433F17C" w14:textId="2BB91951" w:rsidR="00404B4D" w:rsidRDefault="009A1E8B" w:rsidP="009A1E8B">
      <w:pPr>
        <w:pStyle w:val="Kop1"/>
      </w:pPr>
      <w:bookmarkStart w:id="40" w:name="_Toc228784099"/>
      <w:r w:rsidRPr="0058444E">
        <w:t xml:space="preserve">De wet op </w:t>
      </w:r>
      <w:r w:rsidR="007F1F59">
        <w:t xml:space="preserve">de </w:t>
      </w:r>
      <w:r w:rsidRPr="0058444E">
        <w:t>aanvullende pensioenen</w:t>
      </w:r>
      <w:bookmarkEnd w:id="40"/>
    </w:p>
    <w:p w14:paraId="5F7A52DF" w14:textId="48EE24A2" w:rsidR="00F71D29" w:rsidRPr="00F71D29" w:rsidRDefault="00582293" w:rsidP="00D539E7">
      <w:pPr>
        <w:pStyle w:val="Randnummer"/>
        <w:spacing w:line="360" w:lineRule="auto"/>
      </w:pPr>
      <w:r>
        <w:rPr>
          <w:rStyle w:val="KleinKapitaalAuteursCtrlAltK"/>
        </w:rPr>
        <w:t xml:space="preserve">Inleiding - </w:t>
      </w:r>
      <w:r w:rsidR="00F93A43">
        <w:t xml:space="preserve">In dit derde deel wordt nader ingegaan op de werking van de aanvullende pensioenen in België. </w:t>
      </w:r>
      <w:r w:rsidR="00C36540">
        <w:t xml:space="preserve">Aan de hand van een beknopte uitleg van de werking van de Belgische pensioenstructuur </w:t>
      </w:r>
      <w:r w:rsidR="000669E4">
        <w:t xml:space="preserve">hieronder </w:t>
      </w:r>
      <w:r w:rsidR="00C36540">
        <w:t xml:space="preserve">wordt verderop in hoofdstuk I dieper ingegaan op de </w:t>
      </w:r>
      <w:r w:rsidR="006827DF">
        <w:t xml:space="preserve">harmonisatie van de </w:t>
      </w:r>
      <w:r w:rsidR="00C36540">
        <w:t xml:space="preserve">aanvullende pensioenen en de verschillende </w:t>
      </w:r>
      <w:r w:rsidR="006827DF">
        <w:t xml:space="preserve">fasen </w:t>
      </w:r>
      <w:r w:rsidR="00C36540">
        <w:t xml:space="preserve">die daaraan te pas komen. </w:t>
      </w:r>
      <w:r w:rsidR="00721073">
        <w:t xml:space="preserve">In hoofdstuk II </w:t>
      </w:r>
      <w:r w:rsidR="00D539E7">
        <w:t xml:space="preserve">wordt duidelijk hoe ver België zich al bevindt in deze harmonisering en wordt daarbij ook de derde sub-onderzoeksvraag beantwoord in een kort besluit. </w:t>
      </w:r>
    </w:p>
    <w:p w14:paraId="38937542" w14:textId="24AB3994" w:rsidR="008F7CE7" w:rsidRPr="0058444E" w:rsidRDefault="00E33969" w:rsidP="00762077">
      <w:pPr>
        <w:pStyle w:val="Randnummer"/>
        <w:spacing w:line="360" w:lineRule="auto"/>
      </w:pPr>
      <w:r>
        <w:rPr>
          <w:rStyle w:val="KleinKapitaalAuteursCtrlAltK"/>
        </w:rPr>
        <w:t>Pen</w:t>
      </w:r>
      <w:r w:rsidR="00762077">
        <w:rPr>
          <w:rStyle w:val="KleinKapitaalAuteursCtrlAltK"/>
        </w:rPr>
        <w:t xml:space="preserve">sioen - </w:t>
      </w:r>
      <w:r w:rsidR="008F7CE7" w:rsidRPr="0058444E">
        <w:t>Het pensioen als sociale bijstand gaat om</w:t>
      </w:r>
      <w:r w:rsidR="003B0C43">
        <w:t xml:space="preserve"> </w:t>
      </w:r>
      <w:r w:rsidR="008F7CE7" w:rsidRPr="0058444E">
        <w:t>individuen die behoeftig zijn en vanwege deze behoeftigheid een pensioen krijgen.</w:t>
      </w:r>
      <w:r w:rsidR="008F7CE7" w:rsidRPr="0058444E">
        <w:rPr>
          <w:rStyle w:val="Voetnootmarkering"/>
        </w:rPr>
        <w:footnoteReference w:id="57"/>
      </w:r>
      <w:r w:rsidR="008F7CE7" w:rsidRPr="0058444E">
        <w:t xml:space="preserve"> Er zijn geen voorgaande sociale bijdragen vereist van de behoeftige persoon om het recht tot pensioen tot stand te brengen. In dit opzicht staat het pensioen als sociale bijstand diametraal tegenover pensioenen gebaseerd op een verzekeringslogica.</w:t>
      </w:r>
      <w:r w:rsidR="008F7CE7" w:rsidRPr="0058444E">
        <w:rPr>
          <w:rStyle w:val="Voetnootmarkering"/>
        </w:rPr>
        <w:footnoteReference w:id="58"/>
      </w:r>
    </w:p>
    <w:p w14:paraId="1F73DF35" w14:textId="35A30465" w:rsidR="00663FAD" w:rsidRPr="0058444E" w:rsidRDefault="00004AB4" w:rsidP="00627D24">
      <w:pPr>
        <w:pStyle w:val="Randnummer"/>
        <w:numPr>
          <w:ilvl w:val="0"/>
          <w:numId w:val="0"/>
        </w:numPr>
        <w:spacing w:line="360" w:lineRule="auto"/>
        <w:ind w:left="357"/>
      </w:pPr>
      <w:r w:rsidRPr="0058444E">
        <w:t xml:space="preserve">In het kader van dit onderzoek wordt er enkel gekeken naar het stelsel van de werknemers. </w:t>
      </w:r>
      <w:r w:rsidR="00211F19" w:rsidRPr="0058444E">
        <w:t>Binnen dit pensioenstelsel wordt er vaak gesproken over de drie pijlers van het pensioen:</w:t>
      </w:r>
    </w:p>
    <w:p w14:paraId="53677E8E" w14:textId="49EC6AFC" w:rsidR="004831EB" w:rsidRDefault="00211F19" w:rsidP="004831EB">
      <w:pPr>
        <w:pStyle w:val="Kop6"/>
      </w:pPr>
      <w:r w:rsidRPr="0058444E">
        <w:t xml:space="preserve">Eerste pijler: Het wettelijk pensioen. </w:t>
      </w:r>
    </w:p>
    <w:p w14:paraId="77DD9629" w14:textId="53FE0736" w:rsidR="00211F19" w:rsidRPr="0058444E" w:rsidRDefault="00211F19" w:rsidP="00B95104">
      <w:pPr>
        <w:pStyle w:val="Randnummer"/>
        <w:numPr>
          <w:ilvl w:val="0"/>
          <w:numId w:val="0"/>
        </w:numPr>
        <w:spacing w:line="360" w:lineRule="auto"/>
        <w:ind w:left="357"/>
      </w:pPr>
      <w:r w:rsidRPr="0058444E">
        <w:t>Deze pijler wordt gefinancierd door middel van de sociale</w:t>
      </w:r>
      <w:r w:rsidR="00BB2BD6">
        <w:t xml:space="preserve"> </w:t>
      </w:r>
      <w:r w:rsidRPr="0058444E">
        <w:t xml:space="preserve">zekerheidsbijdragen van de werknemers en de werkgevers. </w:t>
      </w:r>
    </w:p>
    <w:p w14:paraId="73C0A77B" w14:textId="0DD12CA7" w:rsidR="004831EB" w:rsidRDefault="00211F19" w:rsidP="00B95104">
      <w:pPr>
        <w:pStyle w:val="Kop6"/>
        <w:spacing w:line="360" w:lineRule="auto"/>
      </w:pPr>
      <w:r w:rsidRPr="0058444E">
        <w:t xml:space="preserve">Tweede pijler: Het aanvullend pensioen. </w:t>
      </w:r>
    </w:p>
    <w:p w14:paraId="302AA702" w14:textId="2AEE677B" w:rsidR="00211F19" w:rsidRPr="0058444E" w:rsidRDefault="00211F19" w:rsidP="00B95104">
      <w:pPr>
        <w:pStyle w:val="Randnummer"/>
        <w:numPr>
          <w:ilvl w:val="0"/>
          <w:numId w:val="0"/>
        </w:numPr>
        <w:spacing w:line="360" w:lineRule="auto"/>
        <w:ind w:left="357"/>
      </w:pPr>
      <w:r w:rsidRPr="0058444E">
        <w:t>Deze pijler wordt gefinancierd door de werkgevers</w:t>
      </w:r>
      <w:r w:rsidR="00DD1CC2" w:rsidRPr="0058444E">
        <w:t xml:space="preserve"> zoals onder meer de groepsverzekeringen. Dit wordt niet verplicht opgelegd en valt dan ook buiten de eigenlijke sociale zekerheid.</w:t>
      </w:r>
      <w:r w:rsidR="00522CDC">
        <w:rPr>
          <w:rStyle w:val="Voetnootmarkering"/>
        </w:rPr>
        <w:footnoteReference w:id="59"/>
      </w:r>
    </w:p>
    <w:p w14:paraId="30B69401" w14:textId="2CAAB3BF" w:rsidR="004831EB" w:rsidRDefault="00DD1CC2" w:rsidP="00B95104">
      <w:pPr>
        <w:pStyle w:val="Kop6"/>
        <w:spacing w:line="360" w:lineRule="auto"/>
      </w:pPr>
      <w:r w:rsidRPr="0058444E">
        <w:t xml:space="preserve">Derde pijler: De vrijwillige pensioenverzekering. </w:t>
      </w:r>
    </w:p>
    <w:p w14:paraId="2820F73D" w14:textId="3E59980B" w:rsidR="00B95104" w:rsidRDefault="00DD1CC2" w:rsidP="00B95104">
      <w:pPr>
        <w:pStyle w:val="Randnummer"/>
        <w:numPr>
          <w:ilvl w:val="0"/>
          <w:numId w:val="0"/>
        </w:numPr>
        <w:spacing w:line="360" w:lineRule="auto"/>
        <w:ind w:left="357"/>
      </w:pPr>
      <w:r w:rsidRPr="0058444E">
        <w:t>Deze worden door mensen individueel afgesloten bij bank – of verzekering</w:t>
      </w:r>
      <w:r w:rsidR="00884AD1">
        <w:t>s</w:t>
      </w:r>
      <w:r w:rsidRPr="0058444E">
        <w:t>instellingen. Denk hierbij aan het zogenaamde pensioensparen.</w:t>
      </w:r>
      <w:r w:rsidRPr="0058444E">
        <w:rPr>
          <w:rStyle w:val="Voetnootmarkering"/>
        </w:rPr>
        <w:footnoteReference w:id="60"/>
      </w:r>
    </w:p>
    <w:p w14:paraId="3E4138E0" w14:textId="35F3FC89" w:rsidR="00A2625E" w:rsidRPr="0058444E" w:rsidRDefault="00B95104" w:rsidP="00E635EB">
      <w:pPr>
        <w:pStyle w:val="Randnummer"/>
        <w:spacing w:line="360" w:lineRule="auto"/>
      </w:pPr>
      <w:r>
        <w:rPr>
          <w:rStyle w:val="KleinKapitaalAuteursCtrlAltK"/>
        </w:rPr>
        <w:t xml:space="preserve">Kapitalisatie - </w:t>
      </w:r>
      <w:r w:rsidR="008F7CE7" w:rsidRPr="0058444E">
        <w:t>De meeste Belgische pensioenstelsel</w:t>
      </w:r>
      <w:r w:rsidR="00884AD1">
        <w:t>s</w:t>
      </w:r>
      <w:r w:rsidR="008F7CE7" w:rsidRPr="0058444E">
        <w:t xml:space="preserve"> zijn gestart op basis van een systeem van kapitalisatie</w:t>
      </w:r>
      <w:r w:rsidR="00B80721">
        <w:t>. T</w:t>
      </w:r>
      <w:r w:rsidR="008F7CE7" w:rsidRPr="0058444E">
        <w:t>en gevolge van inflatie en financiële behoeften is men ondertussen overgestapt naar een systeem van repartitie. Dit systeem staat vandaag de dag onder druk door de toenemende vergrijzing van de bevolking gecombineerd met het dalende aantal geboortes.</w:t>
      </w:r>
      <w:r w:rsidR="00812E26" w:rsidRPr="0058444E">
        <w:rPr>
          <w:rStyle w:val="Voetnootmarkering"/>
        </w:rPr>
        <w:footnoteReference w:id="61"/>
      </w:r>
      <w:r w:rsidR="00E635EB">
        <w:br w:type="page"/>
      </w:r>
    </w:p>
    <w:p w14:paraId="7726B632" w14:textId="4AFED155" w:rsidR="006C4606" w:rsidRPr="0058444E" w:rsidRDefault="005729D3" w:rsidP="005B3CDB">
      <w:pPr>
        <w:pStyle w:val="Kop2"/>
        <w:numPr>
          <w:ilvl w:val="1"/>
          <w:numId w:val="29"/>
        </w:numPr>
      </w:pPr>
      <w:bookmarkStart w:id="41" w:name="_Toc228784100"/>
      <w:r>
        <w:t>De tweede pensioenpijler: concept, evolutie en regulering</w:t>
      </w:r>
      <w:bookmarkEnd w:id="41"/>
    </w:p>
    <w:p w14:paraId="047B49FA" w14:textId="617AD6EC" w:rsidR="006C4606" w:rsidRPr="0058444E" w:rsidRDefault="006C4606" w:rsidP="006C4606">
      <w:pPr>
        <w:pStyle w:val="Kop3"/>
      </w:pPr>
      <w:bookmarkStart w:id="42" w:name="_Toc228784101"/>
      <w:r w:rsidRPr="0058444E">
        <w:t xml:space="preserve">Afdeling </w:t>
      </w:r>
      <w:r w:rsidR="005E590A">
        <w:t>I</w:t>
      </w:r>
      <w:r w:rsidRPr="0058444E">
        <w:t xml:space="preserve">. </w:t>
      </w:r>
      <w:r w:rsidR="00E92F34">
        <w:t>Begripsafbakening en kenmerken</w:t>
      </w:r>
      <w:bookmarkEnd w:id="42"/>
    </w:p>
    <w:p w14:paraId="7637A847" w14:textId="41492E11" w:rsidR="00862AA4" w:rsidRDefault="00532851" w:rsidP="00862AA4">
      <w:pPr>
        <w:pStyle w:val="Randnummer"/>
        <w:spacing w:line="360" w:lineRule="auto"/>
      </w:pPr>
      <w:r>
        <w:rPr>
          <w:rStyle w:val="KleinKapitaalAuteursCtrlAltK"/>
          <w:lang w:val="nl-BE"/>
        </w:rPr>
        <w:t xml:space="preserve">tweede pijler - </w:t>
      </w:r>
      <w:r w:rsidR="00294488" w:rsidRPr="0058444E">
        <w:t xml:space="preserve">Naast </w:t>
      </w:r>
      <w:r w:rsidR="008D6DB4">
        <w:t>he</w:t>
      </w:r>
      <w:r w:rsidR="00294488" w:rsidRPr="0058444E">
        <w:t xml:space="preserve">t wettelijk pensioen bouwen er steeds meer werknemers ook een aanvullend pensioen op. Het belang van deze tweede pijler wordt met de dag belangrijker gezien het wettelijk pensioen niet </w:t>
      </w:r>
      <w:r w:rsidR="00206654">
        <w:t xml:space="preserve">meer </w:t>
      </w:r>
      <w:r w:rsidR="00294488" w:rsidRPr="0058444E">
        <w:t xml:space="preserve">volstaat om te voldoen aan </w:t>
      </w:r>
      <w:r w:rsidR="00BD6911">
        <w:t>de financiële</w:t>
      </w:r>
      <w:r w:rsidR="00294488" w:rsidRPr="0058444E">
        <w:t xml:space="preserve"> behoeften v</w:t>
      </w:r>
      <w:r w:rsidR="004C1DAB" w:rsidRPr="0058444E">
        <w:t>an de gepensioneerde klasse</w:t>
      </w:r>
      <w:r w:rsidR="00B821B0" w:rsidRPr="0058444E">
        <w:t>.</w:t>
      </w:r>
      <w:r w:rsidR="00B821B0" w:rsidRPr="0058444E">
        <w:rPr>
          <w:rStyle w:val="Voetnootmarkering"/>
        </w:rPr>
        <w:footnoteReference w:id="62"/>
      </w:r>
    </w:p>
    <w:p w14:paraId="45E1DD7F" w14:textId="10963FDC" w:rsidR="00DA09EA" w:rsidRPr="0058444E" w:rsidRDefault="00DA09EA" w:rsidP="00862AA4">
      <w:pPr>
        <w:pStyle w:val="Randnummer"/>
        <w:numPr>
          <w:ilvl w:val="0"/>
          <w:numId w:val="0"/>
        </w:numPr>
        <w:spacing w:line="360" w:lineRule="auto"/>
        <w:ind w:left="357"/>
      </w:pPr>
      <w:r w:rsidRPr="0058444E">
        <w:t>Het aanvullend pensioen kan bestaan uit meerdere luiken. Zo kan het enerzijds betrekking hebben op een aanvullend rustpensioen dat de werknemer kan krijgen na de pensioenleeftijd</w:t>
      </w:r>
      <w:r w:rsidR="00D769C5">
        <w:t xml:space="preserve">, </w:t>
      </w:r>
      <w:r w:rsidRPr="0058444E">
        <w:t>maar kan het anderzijds ook de eventuele overlijdensdekking betreffen bij een overlijden vóór de pensioenleeftijd.</w:t>
      </w:r>
      <w:r w:rsidRPr="0058444E">
        <w:rPr>
          <w:rStyle w:val="Voetnootmarkering"/>
        </w:rPr>
        <w:footnoteReference w:id="63"/>
      </w:r>
      <w:r w:rsidR="0094545C" w:rsidRPr="0058444E">
        <w:t xml:space="preserve"> Beide pensioentoezeggingen</w:t>
      </w:r>
      <w:r w:rsidR="00862AA4">
        <w:t xml:space="preserve"> </w:t>
      </w:r>
      <w:r w:rsidR="0094545C" w:rsidRPr="0058444E">
        <w:t>worden toegekend ter aanvulling van een wettelijk sociaalzekerheidsrechtelijk vastgesteld pensioen.</w:t>
      </w:r>
    </w:p>
    <w:p w14:paraId="54AC341D" w14:textId="691A4BCB" w:rsidR="00C23F74" w:rsidRPr="0058444E" w:rsidRDefault="008740A3" w:rsidP="004C1DAB">
      <w:pPr>
        <w:pStyle w:val="Randnummer"/>
        <w:spacing w:line="360" w:lineRule="auto"/>
      </w:pPr>
      <w:r>
        <w:rPr>
          <w:rStyle w:val="KleinKapitaalAuteursCtrlAltK"/>
        </w:rPr>
        <w:t xml:space="preserve">Vrijwillig systeem - </w:t>
      </w:r>
      <w:r w:rsidR="00C23F74" w:rsidRPr="0058444E">
        <w:t xml:space="preserve">De WAP voert geen verplichting in voor </w:t>
      </w:r>
      <w:r w:rsidR="006A1660">
        <w:t>de</w:t>
      </w:r>
      <w:r w:rsidR="00C23F74" w:rsidRPr="0058444E">
        <w:t xml:space="preserve"> werkgever</w:t>
      </w:r>
      <w:r w:rsidR="006A1660">
        <w:t>s</w:t>
      </w:r>
      <w:r w:rsidR="00C23F74" w:rsidRPr="0058444E">
        <w:t xml:space="preserve">, noch voor </w:t>
      </w:r>
      <w:r w:rsidR="006A1660">
        <w:t xml:space="preserve">de </w:t>
      </w:r>
      <w:r w:rsidR="00C23F74" w:rsidRPr="0058444E">
        <w:t>sector</w:t>
      </w:r>
      <w:r w:rsidR="006A1660">
        <w:t xml:space="preserve">en </w:t>
      </w:r>
      <w:r w:rsidR="00C23F74" w:rsidRPr="0058444E">
        <w:t>om een aanvullend pensioen toe te zeggen aan zijn</w:t>
      </w:r>
      <w:r w:rsidR="006A1660">
        <w:t>/haar</w:t>
      </w:r>
      <w:r w:rsidR="00C23F74" w:rsidRPr="0058444E">
        <w:t xml:space="preserve"> werknemers. In België gaat</w:t>
      </w:r>
      <w:r w:rsidR="003F357A">
        <w:t xml:space="preserve"> </w:t>
      </w:r>
      <w:r w:rsidR="00C23F74" w:rsidRPr="0058444E">
        <w:t>het vooralsnog om een vrijwillig systeem.</w:t>
      </w:r>
      <w:r w:rsidR="006A1660">
        <w:t xml:space="preserve"> </w:t>
      </w:r>
      <w:r w:rsidR="002E56C4" w:rsidRPr="0058444E">
        <w:t xml:space="preserve">Hoewel de inrichter van het aanvullend pensioen de vrije keuze heeft om een pensioentoezegging op te starten, zal hij </w:t>
      </w:r>
      <w:r w:rsidR="00C96FFB">
        <w:t xml:space="preserve">zich </w:t>
      </w:r>
      <w:r w:rsidR="002E56C4" w:rsidRPr="0058444E">
        <w:t>na deze keuze moeten houden aan het strikte kader van de WAP.</w:t>
      </w:r>
    </w:p>
    <w:p w14:paraId="31B4A1C7" w14:textId="2EBE1404" w:rsidR="006E13BE" w:rsidRPr="0058444E" w:rsidRDefault="00B344B7" w:rsidP="00A7122F">
      <w:pPr>
        <w:pStyle w:val="Randnummer"/>
        <w:numPr>
          <w:ilvl w:val="0"/>
          <w:numId w:val="0"/>
        </w:numPr>
        <w:spacing w:line="360" w:lineRule="auto"/>
        <w:ind w:left="357"/>
      </w:pPr>
      <w:r>
        <w:t>Of er al dan niet een aanvullend pensioen wordt aangeboden is tot op de dag van vandaag een vrijblijvendheid</w:t>
      </w:r>
      <w:r w:rsidR="006E13BE" w:rsidRPr="0058444E">
        <w:t>. Een werkgever, bedrijfstak of een zelfstandige besluit zelf om met een aanvullend pensioen te starten.</w:t>
      </w:r>
      <w:r w:rsidR="006E13BE" w:rsidRPr="0058444E">
        <w:rPr>
          <w:rStyle w:val="Voetnootmarkering"/>
        </w:rPr>
        <w:footnoteReference w:id="64"/>
      </w:r>
      <w:r w:rsidR="00A7560B" w:rsidRPr="0058444E">
        <w:t xml:space="preserve"> Toch kan er in het licht van de sociale zekerheid beargumenteer</w:t>
      </w:r>
      <w:r w:rsidR="00F6387A">
        <w:t xml:space="preserve">d </w:t>
      </w:r>
      <w:r w:rsidR="00A7560B" w:rsidRPr="0058444E">
        <w:t>worden dat een verplichtstelling van de aanvullende pensioenen een goede zaak kan zijn. Het kan namelijk de nodige financiële soliditeit bieden.</w:t>
      </w:r>
    </w:p>
    <w:p w14:paraId="5C755A3F" w14:textId="70540D6D" w:rsidR="002406E4" w:rsidRPr="0058444E" w:rsidRDefault="00814A69" w:rsidP="00090644">
      <w:pPr>
        <w:pStyle w:val="Randnummer"/>
        <w:spacing w:line="360" w:lineRule="auto"/>
      </w:pPr>
      <w:r>
        <w:rPr>
          <w:rStyle w:val="KleinKapitaalAuteursCtrlAltK"/>
        </w:rPr>
        <w:t>Nood aan verplichtstelling? -</w:t>
      </w:r>
      <w:r w:rsidR="00F6387A">
        <w:rPr>
          <w:rStyle w:val="KleinKapitaalAuteursCtrlAltK"/>
        </w:rPr>
        <w:t xml:space="preserve"> </w:t>
      </w:r>
      <w:r w:rsidR="009D187B">
        <w:t xml:space="preserve">Een verplichtstelling in België wordt </w:t>
      </w:r>
      <w:r w:rsidR="00CF5031">
        <w:t>aangemoedigd</w:t>
      </w:r>
      <w:r w:rsidR="001D0BC7" w:rsidRPr="0058444E">
        <w:t xml:space="preserve"> vanuit een vermeende noodzaak om het (te) lage wettelijke pensioen aan te vullen.</w:t>
      </w:r>
      <w:r w:rsidR="001D0BC7" w:rsidRPr="0058444E">
        <w:rPr>
          <w:rStyle w:val="Voetnootmarkering"/>
        </w:rPr>
        <w:footnoteReference w:id="65"/>
      </w:r>
      <w:r w:rsidR="003A37BA" w:rsidRPr="0058444E">
        <w:t xml:space="preserve"> Moest men de aanvullende pensioenen echter verplichten, dan zijn ze niet meer aanvullend in de zin van het woord.</w:t>
      </w:r>
      <w:r w:rsidR="006023F4" w:rsidRPr="0058444E">
        <w:t xml:space="preserve"> Op deze manier zouden ze een vorm van verplichte supplementaire pensioenen worden die wettelijk georganiseerd worden bovenop de huidige wettelijke pensioenen</w:t>
      </w:r>
      <w:r w:rsidR="00CF5031">
        <w:t>.</w:t>
      </w:r>
      <w:r w:rsidR="00090644">
        <w:t xml:space="preserve"> </w:t>
      </w:r>
      <w:r w:rsidR="00FD3A56" w:rsidRPr="0058444E">
        <w:t>Zowel in België, Nederland</w:t>
      </w:r>
      <w:r w:rsidR="00F6387A">
        <w:t xml:space="preserve">, </w:t>
      </w:r>
      <w:r w:rsidR="00FD3A56" w:rsidRPr="0058444E">
        <w:t>Luxemburg</w:t>
      </w:r>
      <w:r w:rsidR="00592E3D">
        <w:t xml:space="preserve"> als Duitsland</w:t>
      </w:r>
      <w:r w:rsidR="00FD3A56" w:rsidRPr="0058444E">
        <w:t xml:space="preserve"> bestaat er geen </w:t>
      </w:r>
      <w:r w:rsidR="00410B28">
        <w:t xml:space="preserve">algemene </w:t>
      </w:r>
      <w:r w:rsidR="00FD3A56" w:rsidRPr="0058444E">
        <w:t>wettelijke verplichting om een aanvullend pensioen aan te bieden, waardoor de contractsvrijheid hier in principe geldt</w:t>
      </w:r>
      <w:r w:rsidR="00090644">
        <w:t xml:space="preserve"> (Zie het rechtsvergelijkend deel voor een nuance over Nederland</w:t>
      </w:r>
      <w:r w:rsidR="00BE4AF1">
        <w:t xml:space="preserve"> </w:t>
      </w:r>
      <w:r w:rsidR="00627613">
        <w:t>en</w:t>
      </w:r>
      <w:r w:rsidR="00BE4AF1">
        <w:t xml:space="preserve"> Duitsland</w:t>
      </w:r>
      <w:r w:rsidR="00090644">
        <w:t>)</w:t>
      </w:r>
      <w:r w:rsidR="00FD3A56" w:rsidRPr="0058444E">
        <w:t>.</w:t>
      </w:r>
      <w:r w:rsidR="00FD3A56" w:rsidRPr="0058444E">
        <w:rPr>
          <w:rStyle w:val="Voetnootmarkering"/>
        </w:rPr>
        <w:footnoteReference w:id="66"/>
      </w:r>
      <w:r w:rsidR="00493287" w:rsidRPr="0058444E">
        <w:t xml:space="preserve"> Een werkgever kan ervoor kiezen om een aanvullend pensioen aan te bieden aan (een deel van) zijn werknemers.</w:t>
      </w:r>
      <w:r w:rsidR="00493287" w:rsidRPr="0058444E">
        <w:rPr>
          <w:rStyle w:val="Voetnootmarkering"/>
        </w:rPr>
        <w:footnoteReference w:id="67"/>
      </w:r>
      <w:r w:rsidR="00EA7189" w:rsidRPr="0058444E">
        <w:t xml:space="preserve"> Pensioenstelsels op ondernemingsniveau kunne</w:t>
      </w:r>
      <w:r w:rsidR="006D4E59">
        <w:t xml:space="preserve">n </w:t>
      </w:r>
      <w:r w:rsidR="00EA7189" w:rsidRPr="0058444E">
        <w:t>eenzijdig worden opgestart door de werkgever maar zullen vaak het resultaat zijn van sociaal overleg.</w:t>
      </w:r>
      <w:r w:rsidR="00EA7189" w:rsidRPr="0058444E">
        <w:rPr>
          <w:rStyle w:val="Voetnootmarkering"/>
        </w:rPr>
        <w:footnoteReference w:id="68"/>
      </w:r>
      <w:r w:rsidR="00B7370E" w:rsidRPr="0058444E">
        <w:t xml:space="preserve"> Er zijn bepaalde sectoren die wel de verplichting opleggen aan de werkgever om een pensioenplan aan te bieden.</w:t>
      </w:r>
    </w:p>
    <w:p w14:paraId="19E46CF9" w14:textId="416221FD" w:rsidR="00C51598" w:rsidRPr="0058444E" w:rsidRDefault="00C51598" w:rsidP="00C51598">
      <w:pPr>
        <w:pStyle w:val="Kop3"/>
      </w:pPr>
      <w:bookmarkStart w:id="44" w:name="_Toc228784102"/>
      <w:r w:rsidRPr="0058444E">
        <w:t>Afdeling II. Historische context</w:t>
      </w:r>
      <w:bookmarkEnd w:id="44"/>
    </w:p>
    <w:p w14:paraId="6E14CA7D" w14:textId="55D1989B" w:rsidR="00C51598" w:rsidRPr="0058444E" w:rsidRDefault="00E92F34" w:rsidP="00C45259">
      <w:pPr>
        <w:pStyle w:val="Kop4"/>
      </w:pPr>
      <w:bookmarkStart w:id="45" w:name="_Toc228784103"/>
      <w:r>
        <w:t xml:space="preserve">De </w:t>
      </w:r>
      <w:r w:rsidR="00BE4AF1">
        <w:t>W</w:t>
      </w:r>
      <w:r>
        <w:t>et Colla</w:t>
      </w:r>
      <w:bookmarkEnd w:id="45"/>
    </w:p>
    <w:p w14:paraId="0D7E2CB0" w14:textId="4E1FD2DE" w:rsidR="0055621F" w:rsidRPr="00501556" w:rsidRDefault="005D1D7F" w:rsidP="00EB41AD">
      <w:pPr>
        <w:pStyle w:val="Randnummer"/>
        <w:spacing w:line="360" w:lineRule="auto"/>
      </w:pPr>
      <w:r>
        <w:rPr>
          <w:rStyle w:val="KleinKapitaalAuteursCtrlAltK"/>
          <w:lang w:val="nl-BE"/>
        </w:rPr>
        <w:t xml:space="preserve">Mijlpaal - </w:t>
      </w:r>
      <w:r w:rsidR="0055621F" w:rsidRPr="00501556">
        <w:t xml:space="preserve">De Wet Colla </w:t>
      </w:r>
      <w:r w:rsidR="00D456C5">
        <w:t>van</w:t>
      </w:r>
      <w:r w:rsidR="0055621F" w:rsidRPr="00501556">
        <w:t xml:space="preserve"> 1995 </w:t>
      </w:r>
      <w:r w:rsidR="00392483">
        <w:t>vormde</w:t>
      </w:r>
      <w:r w:rsidR="0055621F" w:rsidRPr="00501556">
        <w:t xml:space="preserve"> een belangrijke mijlpaal in de geschiedenis van de aanvullende pensioenen in België. </w:t>
      </w:r>
      <w:r w:rsidR="00BC6B98">
        <w:t>Voor</w:t>
      </w:r>
      <w:r w:rsidR="0055621F" w:rsidRPr="00501556">
        <w:t xml:space="preserve"> het eerst </w:t>
      </w:r>
      <w:r w:rsidR="00BC6B98">
        <w:t>werd</w:t>
      </w:r>
      <w:r w:rsidR="0055621F" w:rsidRPr="00501556">
        <w:t xml:space="preserve"> er een specifiek kader</w:t>
      </w:r>
      <w:r w:rsidR="00BC6B98">
        <w:t xml:space="preserve"> </w:t>
      </w:r>
      <w:r w:rsidR="0055621F" w:rsidRPr="00501556">
        <w:t>uitgewerkt voor aanvullende pensioe</w:t>
      </w:r>
      <w:r w:rsidR="000570A2" w:rsidRPr="00501556">
        <w:t>nen met specifiek een uitdieping van de relatie tussen de werknemer en de werkgever.</w:t>
      </w:r>
      <w:r w:rsidR="000570A2" w:rsidRPr="00501556">
        <w:rPr>
          <w:rStyle w:val="Voetnootmarkering"/>
        </w:rPr>
        <w:footnoteReference w:id="69"/>
      </w:r>
    </w:p>
    <w:p w14:paraId="721EC1F0" w14:textId="1CA5C6EC" w:rsidR="00EB41AD" w:rsidRPr="0058444E" w:rsidRDefault="00EB41AD" w:rsidP="005D1D7F">
      <w:pPr>
        <w:pStyle w:val="Randnummer"/>
        <w:numPr>
          <w:ilvl w:val="0"/>
          <w:numId w:val="0"/>
        </w:numPr>
        <w:spacing w:line="360" w:lineRule="auto"/>
        <w:ind w:left="357"/>
      </w:pPr>
      <w:r w:rsidRPr="0058444E">
        <w:t>Er kan gesteld worden dat vóór de invoering van de WAP in 2003 er twee juridische periodes te onderscheiden waren</w:t>
      </w:r>
      <w:r w:rsidR="00777FF2">
        <w:t xml:space="preserve">: </w:t>
      </w:r>
      <w:r w:rsidRPr="0058444E">
        <w:t>enerzijds de periode vóór 1995 en anderzijds de periode tussen 1995 en 2003.</w:t>
      </w:r>
      <w:r w:rsidRPr="0058444E">
        <w:rPr>
          <w:rStyle w:val="Voetnootmarkering"/>
        </w:rPr>
        <w:footnoteReference w:id="70"/>
      </w:r>
      <w:r w:rsidRPr="0058444E">
        <w:t xml:space="preserve"> Voor 1995 bestond er namelijk geen wetgeving met enig sociaalrechtelijk kader voor de aanvullende pensioenen. Zo een wetgeving kwam pas tot stand in 1995 met de </w:t>
      </w:r>
      <w:r w:rsidR="00371C6C">
        <w:t xml:space="preserve">Wet </w:t>
      </w:r>
      <w:r w:rsidRPr="0058444E">
        <w:t>Colla.</w:t>
      </w:r>
      <w:r w:rsidRPr="0058444E">
        <w:rPr>
          <w:rStyle w:val="Voetnootmarkering"/>
        </w:rPr>
        <w:footnoteReference w:id="71"/>
      </w:r>
      <w:r w:rsidRPr="0058444E">
        <w:t xml:space="preserve"> Deze wet had als doel om een alomvattende regeling uit te werken voor de aanvullende pensioenen van werknemers.</w:t>
      </w:r>
      <w:r w:rsidRPr="0058444E">
        <w:rPr>
          <w:rStyle w:val="Voetnootmarkering"/>
        </w:rPr>
        <w:footnoteReference w:id="72"/>
      </w:r>
      <w:r w:rsidRPr="0058444E">
        <w:t xml:space="preserve"> </w:t>
      </w:r>
    </w:p>
    <w:p w14:paraId="21030E79" w14:textId="2137C411" w:rsidR="00EB41AD" w:rsidRPr="0058444E" w:rsidRDefault="00AB56F3" w:rsidP="00EB41AD">
      <w:pPr>
        <w:pStyle w:val="Randnummer"/>
        <w:spacing w:line="360" w:lineRule="auto"/>
      </w:pPr>
      <w:r>
        <w:rPr>
          <w:rStyle w:val="KleinKapitaalAuteursCtrlAltK"/>
        </w:rPr>
        <w:t>Beschermen werkende klasse</w:t>
      </w:r>
      <w:r w:rsidR="00F6387A">
        <w:rPr>
          <w:rStyle w:val="KleinKapitaalAuteursCtrlAltK"/>
        </w:rPr>
        <w:t xml:space="preserve"> </w:t>
      </w:r>
      <w:r>
        <w:rPr>
          <w:rStyle w:val="KleinKapitaalAuteursCtrlAltK"/>
        </w:rPr>
        <w:t xml:space="preserve">- </w:t>
      </w:r>
      <w:r w:rsidR="00EB41AD" w:rsidRPr="0058444E">
        <w:t>De focus van de Wet Colla lag bij het beschermen van de belangen van de werknemers inzake aanvullende pensioenen en hierbij ook hun inspraak uit te breiden.</w:t>
      </w:r>
      <w:r w:rsidR="00EB41AD" w:rsidRPr="0058444E">
        <w:rPr>
          <w:rStyle w:val="Voetnootmarkering"/>
        </w:rPr>
        <w:footnoteReference w:id="73"/>
      </w:r>
      <w:r w:rsidR="00EB41AD" w:rsidRPr="0058444E">
        <w:t xml:space="preserve"> Zo werd </w:t>
      </w:r>
      <w:r w:rsidR="00B77270">
        <w:t xml:space="preserve">er </w:t>
      </w:r>
      <w:r w:rsidR="00EB41AD" w:rsidRPr="0058444E">
        <w:t>voorzien in een specifieke adviesbevoegdheid voor wat betreft de aangelegenheden die betrekking hadden op de wijze van financiering van de pensioentoezegging en de structurele verschuivingen hierin.</w:t>
      </w:r>
      <w:r w:rsidR="00EB41AD" w:rsidRPr="0058444E">
        <w:rPr>
          <w:rStyle w:val="Voetnootmarkering"/>
        </w:rPr>
        <w:footnoteReference w:id="74"/>
      </w:r>
      <w:r w:rsidR="00EB41AD" w:rsidRPr="0058444E">
        <w:t xml:space="preserve"> Doordat de </w:t>
      </w:r>
      <w:r w:rsidR="00371C6C">
        <w:t>W</w:t>
      </w:r>
      <w:r w:rsidR="00EB41AD" w:rsidRPr="0058444E">
        <w:t>et Colla echter ook heel wat beperkingen en interpretatieproblemen kende, werd er gestreefd naar een nieuwe wetgeving, die er in 2003 dan ook kwam met de WAP.</w:t>
      </w:r>
      <w:r w:rsidR="00EB41AD" w:rsidRPr="0058444E">
        <w:rPr>
          <w:rStyle w:val="Voetnootmarkering"/>
        </w:rPr>
        <w:footnoteReference w:id="75"/>
      </w:r>
    </w:p>
    <w:p w14:paraId="0D4EFC38" w14:textId="73F11A76" w:rsidR="00EB41AD" w:rsidRPr="0058444E" w:rsidRDefault="006B509A" w:rsidP="00EB41AD">
      <w:pPr>
        <w:pStyle w:val="Randnummer"/>
        <w:spacing w:line="360" w:lineRule="auto"/>
      </w:pPr>
      <w:r>
        <w:rPr>
          <w:rStyle w:val="KleinKapitaalAuteursCtrlAltK"/>
        </w:rPr>
        <w:t xml:space="preserve">Ministeriële omzendbrief - </w:t>
      </w:r>
      <w:r w:rsidR="00EB41AD" w:rsidRPr="0058444E">
        <w:t xml:space="preserve">Een merkwaardig aspect van deze </w:t>
      </w:r>
      <w:r w:rsidR="00FE00FC">
        <w:t>W</w:t>
      </w:r>
      <w:r w:rsidR="00EB41AD" w:rsidRPr="0058444E">
        <w:t>et Colla is dat er een ministeriële omzendbrief bestond waarin werd gesteld dat het maken van een onderscheid op basis van de categorieën uit de Arbeidsovereenkomstenwet geoorloofd was.</w:t>
      </w:r>
      <w:r w:rsidR="00EB41AD" w:rsidRPr="0058444E">
        <w:rPr>
          <w:rStyle w:val="Voetnootmarkering"/>
        </w:rPr>
        <w:footnoteReference w:id="76"/>
      </w:r>
      <w:r w:rsidR="00EB41AD" w:rsidRPr="0058444E">
        <w:t xml:space="preserve"> Sterker nog, de omzendbrief raadde zelfs aan om dit onderscheid </w:t>
      </w:r>
      <w:r w:rsidR="00EE255D">
        <w:t xml:space="preserve">tussen arbeiders en bedienden </w:t>
      </w:r>
      <w:r w:rsidR="00EB41AD" w:rsidRPr="0058444E">
        <w:t xml:space="preserve">te gebruiken als basis voor het pensioenstelsel. Opvallend is echter dat deze omzendbrief werd opgesteld ná 1993, terwijl het Grondwettelijk Hof toen </w:t>
      </w:r>
      <w:r w:rsidR="00435681">
        <w:t xml:space="preserve">reeds </w:t>
      </w:r>
      <w:r w:rsidR="00EB41AD" w:rsidRPr="0058444E">
        <w:t>had geoordeeld dat het onderscheid tussen arbeiders en bedienden ongrondwettig was.</w:t>
      </w:r>
    </w:p>
    <w:p w14:paraId="2A2EB607" w14:textId="199E5D3A" w:rsidR="00EB41AD" w:rsidRPr="0058444E" w:rsidRDefault="00F5367F" w:rsidP="00EB41AD">
      <w:pPr>
        <w:pStyle w:val="Randnummer"/>
        <w:spacing w:line="360" w:lineRule="auto"/>
      </w:pPr>
      <w:r>
        <w:rPr>
          <w:rStyle w:val="KleinKapitaalAuteursCtrlAltK"/>
        </w:rPr>
        <w:t>Mening in de rechts</w:t>
      </w:r>
      <w:r w:rsidR="00D71FF6">
        <w:rPr>
          <w:rStyle w:val="KleinKapitaalAuteursCtrlAltK"/>
        </w:rPr>
        <w:t>leer</w:t>
      </w:r>
      <w:r>
        <w:rPr>
          <w:rStyle w:val="KleinKapitaalAuteursCtrlAltK"/>
        </w:rPr>
        <w:t xml:space="preserve"> - </w:t>
      </w:r>
      <w:r w:rsidR="00EB41AD" w:rsidRPr="0058444E">
        <w:t xml:space="preserve">Verschillende rechtsgeleerden uitten zich kritisch tegenover dit onderscheid. </w:t>
      </w:r>
      <w:r w:rsidR="00EB41AD" w:rsidRPr="0058444E">
        <w:rPr>
          <w:rStyle w:val="KleinKapitaalAuteursCtrlAltK"/>
          <w:lang w:val="nl-BE"/>
        </w:rPr>
        <w:t>Van Limberghen</w:t>
      </w:r>
      <w:r w:rsidR="00EB41AD" w:rsidRPr="0058444E">
        <w:rPr>
          <w:rStyle w:val="KleinKapitaalAuteursCtrlAltK"/>
          <w:smallCaps w:val="0"/>
          <w:lang w:val="nl-BE"/>
        </w:rPr>
        <w:t xml:space="preserve"> vond dat artikel 4 van de </w:t>
      </w:r>
      <w:r w:rsidR="00346D47">
        <w:rPr>
          <w:rStyle w:val="KleinKapitaalAuteursCtrlAltK"/>
          <w:smallCaps w:val="0"/>
          <w:lang w:val="nl-BE"/>
        </w:rPr>
        <w:t>W</w:t>
      </w:r>
      <w:r w:rsidR="00EB41AD" w:rsidRPr="0058444E">
        <w:rPr>
          <w:rStyle w:val="KleinKapitaalAuteursCtrlAltK"/>
          <w:smallCaps w:val="0"/>
          <w:lang w:val="nl-BE"/>
        </w:rPr>
        <w:t>et Colla gelezen moest worden als een verbod op de ongelijke behandeling van arbeiders in de aanvullende pensioenen.</w:t>
      </w:r>
      <w:r w:rsidR="00EB41AD" w:rsidRPr="0058444E">
        <w:rPr>
          <w:rStyle w:val="Voetnootmarkering"/>
        </w:rPr>
        <w:footnoteReference w:id="77"/>
      </w:r>
      <w:r w:rsidR="00EB41AD" w:rsidRPr="0058444E">
        <w:rPr>
          <w:rStyle w:val="KleinKapitaalAuteursCtrlAltK"/>
          <w:smallCaps w:val="0"/>
          <w:lang w:val="nl-BE"/>
        </w:rPr>
        <w:t xml:space="preserve"> Andere rechtsgeleerden stelden zich ook vragen bij het onderscheid tussen arbeiders en bedienden maar stelden deze voorzichter dan </w:t>
      </w:r>
      <w:r w:rsidR="00EB41AD" w:rsidRPr="0058444E">
        <w:rPr>
          <w:rStyle w:val="KleinKapitaalAuteursCtrlAltK"/>
          <w:lang w:val="nl-BE"/>
        </w:rPr>
        <w:t>Van Limberghen</w:t>
      </w:r>
      <w:r w:rsidR="00EB41AD" w:rsidRPr="0058444E">
        <w:rPr>
          <w:rStyle w:val="KleinKapitaalAuteursCtrlAltK"/>
          <w:smallCaps w:val="0"/>
          <w:lang w:val="nl-BE"/>
        </w:rPr>
        <w:t>. Zij stelden dat de instandhouding van het onderscheid tussen arbeiders en bedienden in bestaande scenario’s nog geoorloofd zou kunnen zijn, maar achtten het niet geoorloofd om in 1999 zo een onderscheid nog te introduceren.</w:t>
      </w:r>
      <w:r w:rsidR="00EB41AD" w:rsidRPr="0058444E">
        <w:rPr>
          <w:rStyle w:val="Voetnootmarkering"/>
        </w:rPr>
        <w:footnoteReference w:id="78"/>
      </w:r>
      <w:r w:rsidR="00EB41AD" w:rsidRPr="0058444E">
        <w:rPr>
          <w:rStyle w:val="KleinKapitaalAuteursCtrlAltK"/>
          <w:smallCaps w:val="0"/>
          <w:lang w:val="nl-BE"/>
        </w:rPr>
        <w:t xml:space="preserve"> </w:t>
      </w:r>
      <w:r w:rsidR="00EB41AD" w:rsidRPr="0058444E">
        <w:rPr>
          <w:rStyle w:val="KleinKapitaalAuteursCtrlAltK"/>
          <w:lang w:val="nl-BE"/>
        </w:rPr>
        <w:t>Eecklo</w:t>
      </w:r>
      <w:r w:rsidR="00EB41AD" w:rsidRPr="0058444E">
        <w:rPr>
          <w:rStyle w:val="KleinKapitaalAuteursCtrlAltK"/>
          <w:smallCaps w:val="0"/>
          <w:lang w:val="nl-BE"/>
        </w:rPr>
        <w:t xml:space="preserve"> daarentegen</w:t>
      </w:r>
      <w:r w:rsidR="00F00191">
        <w:rPr>
          <w:rStyle w:val="KleinKapitaalAuteursCtrlAltK"/>
          <w:smallCaps w:val="0"/>
          <w:lang w:val="nl-BE"/>
        </w:rPr>
        <w:t xml:space="preserve"> betwistte de stelling van </w:t>
      </w:r>
      <w:r w:rsidR="00F00191">
        <w:rPr>
          <w:rStyle w:val="KleinKapitaalAuteursCtrlAltK"/>
          <w:lang w:val="nl-BE"/>
        </w:rPr>
        <w:t xml:space="preserve">Van Limberghen </w:t>
      </w:r>
      <w:r w:rsidR="00F00191">
        <w:rPr>
          <w:rStyle w:val="KleinKapitaalAuteursCtrlAltK"/>
          <w:smallCaps w:val="0"/>
          <w:lang w:val="nl-BE"/>
        </w:rPr>
        <w:t xml:space="preserve">uitdrukkelijk en argumenteerde dat artikel 4 van de Wet Colla slechts een woordelijke herhaling was van artikel 45 van de R.S.Z.-Wet, </w:t>
      </w:r>
      <w:r w:rsidR="00434C57">
        <w:rPr>
          <w:rStyle w:val="KleinKapitaalAuteursCtrlAltK"/>
          <w:smallCaps w:val="0"/>
          <w:lang w:val="nl-BE"/>
        </w:rPr>
        <w:t xml:space="preserve">waarin </w:t>
      </w:r>
      <w:r w:rsidR="003804D5">
        <w:rPr>
          <w:rStyle w:val="KleinKapitaalAuteursCtrlAltK"/>
          <w:smallCaps w:val="0"/>
          <w:lang w:val="nl-BE"/>
        </w:rPr>
        <w:t xml:space="preserve">het discriminatiebeginsel wordt neergeschreven, </w:t>
      </w:r>
      <w:r w:rsidR="00F00191">
        <w:rPr>
          <w:rStyle w:val="KleinKapitaalAuteursCtrlAltK"/>
          <w:smallCaps w:val="0"/>
          <w:lang w:val="nl-BE"/>
        </w:rPr>
        <w:t>waardoor de Wet Colla niet geacht kon worden de klassieke tweedeling tussen arbeiders en bedienden naar de toekomst toe uit te sluiten.</w:t>
      </w:r>
      <w:r w:rsidR="00EB41AD" w:rsidRPr="0058444E">
        <w:rPr>
          <w:rStyle w:val="Voetnootmarkering"/>
        </w:rPr>
        <w:footnoteReference w:id="79"/>
      </w:r>
    </w:p>
    <w:p w14:paraId="3A18AAD3" w14:textId="677BF64E" w:rsidR="00C45259" w:rsidRPr="0058444E" w:rsidRDefault="002E5F02" w:rsidP="00FB6990">
      <w:pPr>
        <w:pStyle w:val="Kop4"/>
      </w:pPr>
      <w:bookmarkStart w:id="49" w:name="_Toc228784104"/>
      <w:r>
        <w:t>De overgang naar de WAP</w:t>
      </w:r>
      <w:bookmarkEnd w:id="49"/>
    </w:p>
    <w:p w14:paraId="680E500A" w14:textId="13BE0F05" w:rsidR="00762331" w:rsidRPr="0058444E" w:rsidRDefault="00B57873" w:rsidP="005C6FF1">
      <w:pPr>
        <w:pStyle w:val="Randnummer"/>
        <w:spacing w:line="360" w:lineRule="auto"/>
      </w:pPr>
      <w:r>
        <w:rPr>
          <w:rStyle w:val="KleinKapitaalAuteursCtrlAltK"/>
          <w:lang w:val="nl-BE"/>
        </w:rPr>
        <w:t xml:space="preserve">Basiswetgeving aanvullende pensioenen </w:t>
      </w:r>
      <w:r w:rsidR="00832BCA">
        <w:rPr>
          <w:rStyle w:val="KleinKapitaalAuteursCtrlAltK"/>
          <w:lang w:val="nl-BE"/>
        </w:rPr>
        <w:t>–</w:t>
      </w:r>
      <w:r>
        <w:rPr>
          <w:rStyle w:val="KleinKapitaalAuteursCtrlAltK"/>
          <w:lang w:val="nl-BE"/>
        </w:rPr>
        <w:t xml:space="preserve"> </w:t>
      </w:r>
      <w:r w:rsidR="00832BCA">
        <w:t>Met het oog op</w:t>
      </w:r>
      <w:r w:rsidR="00762331" w:rsidRPr="0058444E">
        <w:t xml:space="preserve"> de verfijning van het sociaalrechtelijk kader werd de Wet op de Aanvullende Pensioenen (WAP) ingevoerd in 2003. Deze wet </w:t>
      </w:r>
      <w:r w:rsidR="00D45BBC">
        <w:t>vormt</w:t>
      </w:r>
      <w:r w:rsidR="00762331" w:rsidRPr="0058444E">
        <w:t xml:space="preserve"> de basiswetgeving van </w:t>
      </w:r>
      <w:r w:rsidR="00681D04">
        <w:t xml:space="preserve">de aanvullende pensioenen in </w:t>
      </w:r>
      <w:r w:rsidR="00762331" w:rsidRPr="0058444E">
        <w:t>België en biedt een geïntegreerd wettelijk kader voor aanvullende pensioenen van werknemers.</w:t>
      </w:r>
      <w:r w:rsidR="00762331" w:rsidRPr="0058444E">
        <w:rPr>
          <w:rStyle w:val="Voetnootmarkering"/>
        </w:rPr>
        <w:footnoteReference w:id="80"/>
      </w:r>
      <w:r w:rsidR="005C6FF1" w:rsidRPr="0058444E">
        <w:t xml:space="preserve"> De WAP is van dwingend recht en biedt een sterk wettelijk kader met aandacht voor zowel het sociaalrechtelijk karakter als het gelijkheidsbeginsel.</w:t>
      </w:r>
      <w:r w:rsidR="005C6FF1" w:rsidRPr="0058444E">
        <w:rPr>
          <w:rStyle w:val="Voetnootmarkering"/>
        </w:rPr>
        <w:footnoteReference w:id="81"/>
      </w:r>
    </w:p>
    <w:p w14:paraId="44059C8D" w14:textId="5A46373C" w:rsidR="00081DB7" w:rsidRPr="0058444E" w:rsidRDefault="00541CA3" w:rsidP="00FA1DF6">
      <w:pPr>
        <w:pStyle w:val="Randnummer"/>
        <w:numPr>
          <w:ilvl w:val="0"/>
          <w:numId w:val="0"/>
        </w:numPr>
        <w:spacing w:line="360" w:lineRule="auto"/>
        <w:ind w:left="357"/>
      </w:pPr>
      <w:r w:rsidRPr="0058444E">
        <w:t>De aangeslotene van een aanvullend pensioen heeft momenteel de zekerheid dat bepaalde reserves alsook bepaalde prestaties definitief verworven zijn. De WAP bepaalt zelfs dat de reserves die opgebouwd werden in een pensioentoezegging niet kunnen worden herroepen door de inrichter ervan.</w:t>
      </w:r>
      <w:r w:rsidRPr="0058444E">
        <w:rPr>
          <w:rStyle w:val="Voetnootmarkering"/>
        </w:rPr>
        <w:footnoteReference w:id="82"/>
      </w:r>
      <w:r w:rsidR="00081DB7" w:rsidRPr="0058444E">
        <w:t xml:space="preserve"> </w:t>
      </w:r>
    </w:p>
    <w:p w14:paraId="74A5BBC0" w14:textId="4C590B8B" w:rsidR="00081DB7" w:rsidRDefault="00FA1DF6" w:rsidP="00081DB7">
      <w:pPr>
        <w:pStyle w:val="Randnummer"/>
        <w:spacing w:line="360" w:lineRule="auto"/>
      </w:pPr>
      <w:r>
        <w:rPr>
          <w:rStyle w:val="KleinKapitaalAuteursCtrlAltK"/>
          <w:lang w:val="nl-BE"/>
        </w:rPr>
        <w:t>Sec</w:t>
      </w:r>
      <w:r w:rsidR="001B0A58">
        <w:rPr>
          <w:rStyle w:val="KleinKapitaalAuteursCtrlAltK"/>
          <w:lang w:val="nl-BE"/>
        </w:rPr>
        <w:t>tor</w:t>
      </w:r>
      <w:r>
        <w:rPr>
          <w:rStyle w:val="KleinKapitaalAuteursCtrlAltK"/>
          <w:lang w:val="nl-BE"/>
        </w:rPr>
        <w:t xml:space="preserve">ale inrichters - </w:t>
      </w:r>
      <w:r w:rsidR="00081DB7" w:rsidRPr="0058444E">
        <w:t>De sectorale inrichters die op het niveau van de bedrijfstak een pensioentoezegging kunnen doen vorm</w:t>
      </w:r>
      <w:r>
        <w:t>d</w:t>
      </w:r>
      <w:r w:rsidR="00081DB7" w:rsidRPr="0058444E">
        <w:t>en een nieuwigheid ingevoerd door de WAP met het oog op de democratisering van de aanvullende pensioenen.</w:t>
      </w:r>
      <w:r w:rsidR="00081DB7" w:rsidRPr="0058444E">
        <w:rPr>
          <w:rStyle w:val="Voetnootmarkering"/>
        </w:rPr>
        <w:footnoteReference w:id="83"/>
      </w:r>
      <w:r w:rsidR="00081DB7" w:rsidRPr="0058444E">
        <w:t xml:space="preserve"> Een sectoraal pensioenstelsel wordt ingevoerd met een collectieve arbeidsovereenkomst gesloten in een paritair (sub)comité.</w:t>
      </w:r>
      <w:r w:rsidR="00081DB7" w:rsidRPr="0058444E">
        <w:rPr>
          <w:rStyle w:val="Voetnootmarkering"/>
        </w:rPr>
        <w:footnoteReference w:id="84"/>
      </w:r>
      <w:r w:rsidR="006536D0" w:rsidRPr="0058444E">
        <w:t xml:space="preserve"> Deze cao’s worden meestal algemeen verbindend verklaard, waardoor de werkgever uit de desbetreffende sector verplicht is om in te stappen in het sectorpensioenplan.</w:t>
      </w:r>
      <w:r w:rsidR="00ED6DAD">
        <w:rPr>
          <w:rStyle w:val="Voetnootmarkering"/>
        </w:rPr>
        <w:footnoteReference w:id="85"/>
      </w:r>
      <w:r w:rsidR="006536D0" w:rsidRPr="0058444E">
        <w:t xml:space="preserve"> </w:t>
      </w:r>
      <w:r w:rsidR="00AD0281">
        <w:t xml:space="preserve">Dit toont aan dat een bepaalde mate van verplichtstelling ook in België zeker niet vreemd is aan aanvullende pensioenplannen. </w:t>
      </w:r>
    </w:p>
    <w:p w14:paraId="4C709898" w14:textId="19552F00" w:rsidR="00F139A1" w:rsidRPr="00F139A1" w:rsidRDefault="001C24AA" w:rsidP="00171F8D">
      <w:pPr>
        <w:pStyle w:val="Kop4"/>
      </w:pPr>
      <w:bookmarkStart w:id="50" w:name="_Toc228784105"/>
      <w:r>
        <w:t>De hervorming van 5 mei 2014</w:t>
      </w:r>
      <w:bookmarkEnd w:id="50"/>
    </w:p>
    <w:p w14:paraId="3777813C" w14:textId="382F8FBC" w:rsidR="00620FA2" w:rsidRDefault="00171F8D" w:rsidP="00E855F2">
      <w:pPr>
        <w:pStyle w:val="Randnummer"/>
        <w:spacing w:line="360" w:lineRule="auto"/>
      </w:pPr>
      <w:r>
        <w:rPr>
          <w:rStyle w:val="KleinKapitaalAuteursCtrlAltK"/>
          <w:lang w:val="nl-BE"/>
        </w:rPr>
        <w:t xml:space="preserve">7 juli 2011 </w:t>
      </w:r>
      <w:r w:rsidR="00EA027C">
        <w:rPr>
          <w:rStyle w:val="KleinKapitaalAuteursCtrlAltK"/>
          <w:lang w:val="nl-BE"/>
        </w:rPr>
        <w:t>–</w:t>
      </w:r>
      <w:r w:rsidR="004F012F">
        <w:rPr>
          <w:rStyle w:val="KleinKapitaalAuteursCtrlAltK"/>
          <w:lang w:val="nl-BE"/>
        </w:rPr>
        <w:t xml:space="preserve"> </w:t>
      </w:r>
      <w:r w:rsidR="00E855F2">
        <w:t xml:space="preserve">Het </w:t>
      </w:r>
      <w:r w:rsidR="007D3B13">
        <w:t xml:space="preserve">hierboven genoemde </w:t>
      </w:r>
      <w:r w:rsidR="00E855F2">
        <w:t xml:space="preserve">arrest van 7 juli 2011, vormde de aanleiding voor wetgevend optreden. De wet van 5 mei 2014 creëerde vervolgens het rechtskader om het verschil in behandeling tussen </w:t>
      </w:r>
      <w:r w:rsidR="007D3B13">
        <w:t>arbeiders en bedienden</w:t>
      </w:r>
      <w:r w:rsidR="00E855F2">
        <w:t xml:space="preserve"> in het kader van de aanvullende pensioenen op te heffen</w:t>
      </w:r>
      <w:r w:rsidR="00127177">
        <w:t xml:space="preserve"> en voerde een eenheidsstatuut in tussen arbeiders en bedienden in de aanvullende pensioenen.</w:t>
      </w:r>
      <w:r w:rsidR="00620FA2">
        <w:rPr>
          <w:rStyle w:val="Voetnootmarkering"/>
        </w:rPr>
        <w:footnoteReference w:id="86"/>
      </w:r>
      <w:r w:rsidR="00662AC7">
        <w:t xml:space="preserve"> Hier</w:t>
      </w:r>
      <w:r w:rsidR="008C58FB">
        <w:t>mee</w:t>
      </w:r>
      <w:r w:rsidR="00662AC7">
        <w:t xml:space="preserve"> werden de artikelen 14/1 tot en met 14/4 en 16 van de WAP ingevoerd</w:t>
      </w:r>
      <w:r w:rsidR="007C475B">
        <w:t xml:space="preserve"> bij de artikelen 30 tot en met 34 van de wet van 5 mei 2014 tot wijziging van het rustpensioen en het overlevingspensioen.</w:t>
      </w:r>
      <w:r w:rsidR="00CC7FE5">
        <w:rPr>
          <w:rStyle w:val="Voetnootmarkering"/>
        </w:rPr>
        <w:footnoteReference w:id="87"/>
      </w:r>
      <w:r w:rsidR="00303F90">
        <w:t xml:space="preserve"> In artikel 16 van de WAP wordt het zogenaamde ‘weigeringsrecht’ ingevoerd</w:t>
      </w:r>
      <w:r w:rsidR="006F524D">
        <w:t xml:space="preserve"> dat verderop besproken wordt in afdeling III van hoofdstuk II. </w:t>
      </w:r>
    </w:p>
    <w:p w14:paraId="6A883E2E" w14:textId="0C0BC24B" w:rsidR="00CC7FE5" w:rsidRPr="00897C5B" w:rsidRDefault="00CC7FE5" w:rsidP="00081DB7">
      <w:pPr>
        <w:pStyle w:val="Randnummer"/>
        <w:spacing w:line="360" w:lineRule="auto"/>
        <w:rPr>
          <w:rStyle w:val="KleinKapitaalAuteursCtrlAltK"/>
          <w:smallCaps w:val="0"/>
          <w:lang w:val="nl-BE"/>
        </w:rPr>
      </w:pPr>
      <w:r>
        <w:rPr>
          <w:rStyle w:val="KleinKapitaalAuteursCtrlAltK"/>
        </w:rPr>
        <w:t>Advies nr. 1.893 -</w:t>
      </w:r>
      <w:r w:rsidR="004F012F">
        <w:rPr>
          <w:rStyle w:val="KleinKapitaalAuteursCtrlAltK"/>
        </w:rPr>
        <w:t xml:space="preserve"> </w:t>
      </w:r>
      <w:r>
        <w:rPr>
          <w:rStyle w:val="KleinKapitaalAuteursCtrlAltK"/>
          <w:smallCaps w:val="0"/>
        </w:rPr>
        <w:t xml:space="preserve">Voorafgaand aan deze wetswijziging vroeg toenmalig minister van pensioenen, Alexander De Croo, het advies van de Nationale </w:t>
      </w:r>
      <w:r w:rsidR="00635FD1">
        <w:rPr>
          <w:rStyle w:val="KleinKapitaalAuteursCtrlAltK"/>
          <w:smallCaps w:val="0"/>
        </w:rPr>
        <w:t>A</w:t>
      </w:r>
      <w:r>
        <w:rPr>
          <w:rStyle w:val="KleinKapitaalAuteursCtrlAltK"/>
          <w:smallCaps w:val="0"/>
        </w:rPr>
        <w:t>rbeidsraad over het voorontwerp van deze wet.</w:t>
      </w:r>
      <w:r>
        <w:rPr>
          <w:rStyle w:val="Voetnootmarkering"/>
          <w:lang w:val="nl-NL"/>
        </w:rPr>
        <w:footnoteReference w:id="88"/>
      </w:r>
    </w:p>
    <w:p w14:paraId="549839E0" w14:textId="51E89B31" w:rsidR="00897C5B" w:rsidRDefault="00897C5B" w:rsidP="00897C5B">
      <w:pPr>
        <w:pStyle w:val="Randnummer"/>
        <w:numPr>
          <w:ilvl w:val="0"/>
          <w:numId w:val="0"/>
        </w:numPr>
        <w:spacing w:line="360" w:lineRule="auto"/>
        <w:ind w:left="357"/>
        <w:rPr>
          <w:rStyle w:val="KleinKapitaalAuteursCtrlAltK"/>
          <w:smallCaps w:val="0"/>
        </w:rPr>
      </w:pPr>
      <w:r>
        <w:rPr>
          <w:rStyle w:val="KleinKapitaalAuteursCtrlAltK"/>
          <w:smallCaps w:val="0"/>
        </w:rPr>
        <w:t>In dit advies g</w:t>
      </w:r>
      <w:r w:rsidR="0025249A">
        <w:rPr>
          <w:rStyle w:val="KleinKapitaalAuteursCtrlAltK"/>
          <w:smallCaps w:val="0"/>
        </w:rPr>
        <w:t xml:space="preserve">af </w:t>
      </w:r>
      <w:r>
        <w:rPr>
          <w:rStyle w:val="KleinKapitaalAuteursCtrlAltK"/>
          <w:smallCaps w:val="0"/>
        </w:rPr>
        <w:t>de Raad een algemeen kader aan dat als richtsnoer moe</w:t>
      </w:r>
      <w:r w:rsidR="0025249A">
        <w:rPr>
          <w:rStyle w:val="KleinKapitaalAuteursCtrlAltK"/>
          <w:smallCaps w:val="0"/>
        </w:rPr>
        <w:t>s</w:t>
      </w:r>
      <w:r>
        <w:rPr>
          <w:rStyle w:val="KleinKapitaalAuteursCtrlAltK"/>
          <w:smallCaps w:val="0"/>
        </w:rPr>
        <w:t>t dienen voor de sectoren en de ondernemingen bij de harmonisering van de statuten, met als doel om zo snel mogelijk rechtszekerheid te bieden en het vertrouwen van alle bij het vraagstuk betrokken actoren te behouden.</w:t>
      </w:r>
      <w:r>
        <w:rPr>
          <w:rStyle w:val="Voetnootmarkering"/>
          <w:lang w:val="nl-NL"/>
        </w:rPr>
        <w:footnoteReference w:id="89"/>
      </w:r>
      <w:r w:rsidR="005B751E">
        <w:rPr>
          <w:rStyle w:val="KleinKapitaalAuteursCtrlAltK"/>
          <w:smallCaps w:val="0"/>
        </w:rPr>
        <w:t xml:space="preserve"> Het advies beoog</w:t>
      </w:r>
      <w:r w:rsidR="00B90061">
        <w:rPr>
          <w:rStyle w:val="KleinKapitaalAuteursCtrlAltK"/>
          <w:smallCaps w:val="0"/>
        </w:rPr>
        <w:t>de</w:t>
      </w:r>
      <w:r w:rsidR="005B751E">
        <w:rPr>
          <w:rStyle w:val="KleinKapitaalAuteursCtrlAltK"/>
          <w:smallCaps w:val="0"/>
        </w:rPr>
        <w:t xml:space="preserve"> een aantal beginselen vast te stellen die het kader moe</w:t>
      </w:r>
      <w:r w:rsidR="00B90061">
        <w:rPr>
          <w:rStyle w:val="KleinKapitaalAuteursCtrlAltK"/>
          <w:smallCaps w:val="0"/>
        </w:rPr>
        <w:t>s</w:t>
      </w:r>
      <w:r w:rsidR="005B751E">
        <w:rPr>
          <w:rStyle w:val="KleinKapitaalAuteursCtrlAltK"/>
          <w:smallCaps w:val="0"/>
        </w:rPr>
        <w:t xml:space="preserve">ten vormen van de geleidelijke opheffing van de verschillen in behandeling die berusten op het onderscheid tussen arbeiders en bedienden. </w:t>
      </w:r>
    </w:p>
    <w:p w14:paraId="7BFFBAFE" w14:textId="5F5C5B67" w:rsidR="005A71CC" w:rsidRPr="0058444E" w:rsidRDefault="005A71CC" w:rsidP="005A71CC">
      <w:pPr>
        <w:pStyle w:val="Kop3"/>
      </w:pPr>
      <w:bookmarkStart w:id="52" w:name="_Toc228784106"/>
      <w:r w:rsidRPr="0058444E">
        <w:t>Afdeling III. Gefaseerde totstandkoming van een eenheidsstatuut</w:t>
      </w:r>
      <w:bookmarkEnd w:id="52"/>
    </w:p>
    <w:p w14:paraId="2A27B40C" w14:textId="77777777" w:rsidR="00EB55B7" w:rsidRDefault="00E7227D" w:rsidP="006B4609">
      <w:pPr>
        <w:pStyle w:val="Randnummer"/>
        <w:spacing w:line="360" w:lineRule="auto"/>
      </w:pPr>
      <w:r>
        <w:rPr>
          <w:rStyle w:val="KleinKapitaalAuteursCtrlAltK"/>
        </w:rPr>
        <w:t xml:space="preserve">Tijdvakken van arbeid als uitgangspunt - </w:t>
      </w:r>
      <w:r w:rsidR="002B1477" w:rsidRPr="0058444E">
        <w:t>De verschillende fasen van harmonisering worden gekoppeld aan de tewerkstellingsperiodes of tijdvakken van arbeid. De keuze hiervoor sluit aan bij het opbouwend karakter van aanvullende pensioenen over een langere termijn.</w:t>
      </w:r>
      <w:r w:rsidR="002B1477" w:rsidRPr="0058444E">
        <w:rPr>
          <w:rStyle w:val="Voetnootmarkering"/>
        </w:rPr>
        <w:footnoteReference w:id="90"/>
      </w:r>
      <w:r w:rsidR="006B4609" w:rsidRPr="0058444E">
        <w:t xml:space="preserve"> Op deze manier kan er rekening worden gehouden met het evolutief karakter van het discriminatiebegrip, waardoor de financiële impact van een gewijzigd oordeel onder controle blijft.</w:t>
      </w:r>
      <w:r w:rsidR="006B4609" w:rsidRPr="0058444E">
        <w:rPr>
          <w:rStyle w:val="Voetnootmarkering"/>
        </w:rPr>
        <w:footnoteReference w:id="91"/>
      </w:r>
      <w:r w:rsidR="00E4306F">
        <w:t xml:space="preserve"> </w:t>
      </w:r>
    </w:p>
    <w:p w14:paraId="08C23104" w14:textId="3D65DA21" w:rsidR="002B1477" w:rsidRPr="0058444E" w:rsidRDefault="00EB55B7" w:rsidP="006B4609">
      <w:pPr>
        <w:pStyle w:val="Randnummer"/>
        <w:spacing w:line="360" w:lineRule="auto"/>
      </w:pPr>
      <w:r>
        <w:rPr>
          <w:rStyle w:val="KleinKapitaalAuteursCtrlAltK"/>
        </w:rPr>
        <w:t xml:space="preserve">Bevestiging gefaseerde aanpak - </w:t>
      </w:r>
      <w:r w:rsidR="00E4306F">
        <w:t xml:space="preserve">Het Grondwettelijk Hof heeft in </w:t>
      </w:r>
      <w:r w:rsidR="00847CD3">
        <w:t xml:space="preserve">zijn </w:t>
      </w:r>
      <w:r w:rsidR="00E4306F">
        <w:t>arrest van 24 november 2024</w:t>
      </w:r>
      <w:r w:rsidR="006D7B83">
        <w:t xml:space="preserve"> nogmaals</w:t>
      </w:r>
      <w:r w:rsidR="00E4306F">
        <w:t xml:space="preserve"> uitdrukkelijk </w:t>
      </w:r>
      <w:r w:rsidR="00380E63">
        <w:t>aanvaard</w:t>
      </w:r>
      <w:r w:rsidR="008F073D">
        <w:t xml:space="preserve"> </w:t>
      </w:r>
      <w:r w:rsidR="00F12811">
        <w:t>dat de wetgever een geleidelijke overgang</w:t>
      </w:r>
      <w:r>
        <w:t>sregeling</w:t>
      </w:r>
      <w:r w:rsidR="00F12811">
        <w:t xml:space="preserve"> mag uitwerken via sociaal overleg, en dit ondanks de reeds lang vastgestelde ongrondwettigheid van het ondersch</w:t>
      </w:r>
      <w:r>
        <w:t>eid</w:t>
      </w:r>
      <w:r w:rsidR="000033CB">
        <w:t>.</w:t>
      </w:r>
      <w:r w:rsidR="006D7B83">
        <w:rPr>
          <w:rStyle w:val="Voetnootmarkering"/>
        </w:rPr>
        <w:footnoteReference w:id="92"/>
      </w:r>
    </w:p>
    <w:p w14:paraId="1C193FD0" w14:textId="129B50B1" w:rsidR="005A71CC" w:rsidRPr="0058444E" w:rsidRDefault="006C6FB1" w:rsidP="006C6FB1">
      <w:pPr>
        <w:pStyle w:val="Kop4"/>
        <w:numPr>
          <w:ilvl w:val="3"/>
          <w:numId w:val="24"/>
        </w:numPr>
      </w:pPr>
      <w:bookmarkStart w:id="53" w:name="_Toc228784107"/>
      <w:r w:rsidRPr="0058444E">
        <w:t>Fase 1: Veilige haven voor periodes van tewerkstelling vóór 1 januari 2015</w:t>
      </w:r>
      <w:bookmarkEnd w:id="53"/>
    </w:p>
    <w:p w14:paraId="431C8B82" w14:textId="745B0A2E" w:rsidR="00C530C1" w:rsidRPr="0058444E" w:rsidRDefault="00B01BD5" w:rsidP="00A5366D">
      <w:pPr>
        <w:pStyle w:val="Randnummer"/>
        <w:spacing w:line="360" w:lineRule="auto"/>
      </w:pPr>
      <w:r>
        <w:rPr>
          <w:rStyle w:val="KleinKapitaalAuteursCtrlAltK"/>
        </w:rPr>
        <w:t xml:space="preserve">Onderscheid wordt toegelaten - </w:t>
      </w:r>
      <w:r w:rsidR="00DA0C4F" w:rsidRPr="0058444E">
        <w:t xml:space="preserve">De WAP voorziet een duidelijke toelating </w:t>
      </w:r>
      <w:r w:rsidR="00AA17EC" w:rsidRPr="0058444E">
        <w:t>van het onderscheid tussen arbeiders en bedienden</w:t>
      </w:r>
      <w:r w:rsidR="00881E0E">
        <w:t xml:space="preserve"> op het vlak van de aanvullende pensioenen</w:t>
      </w:r>
      <w:r w:rsidR="00AA17EC" w:rsidRPr="0058444E">
        <w:t xml:space="preserve"> voor periodes uit het verleden.</w:t>
      </w:r>
      <w:r w:rsidR="00AA17EC" w:rsidRPr="0058444E">
        <w:rPr>
          <w:rStyle w:val="Voetnootmarkering"/>
        </w:rPr>
        <w:footnoteReference w:id="93"/>
      </w:r>
      <w:r w:rsidR="00DA0C4F" w:rsidRPr="0058444E">
        <w:t xml:space="preserve"> </w:t>
      </w:r>
      <w:r w:rsidR="000709B4" w:rsidRPr="0058444E">
        <w:t>Hieruit volgt dat zowel de inrichters als de pensioeninstellingen gevrijwaard worden voor een verschil in behandeling gebaseerd op het onderscheid tussen arbeider</w:t>
      </w:r>
      <w:r w:rsidR="00435ABA">
        <w:t>s</w:t>
      </w:r>
      <w:r w:rsidR="000709B4" w:rsidRPr="0058444E">
        <w:t xml:space="preserve"> en bediende</w:t>
      </w:r>
      <w:r w:rsidR="00435ABA">
        <w:t>n</w:t>
      </w:r>
      <w:r w:rsidR="000709B4" w:rsidRPr="0058444E">
        <w:t xml:space="preserve"> voor alle tijdvakken van arbeid tot en met 31 december 2014.</w:t>
      </w:r>
    </w:p>
    <w:p w14:paraId="66C1B681" w14:textId="6B734EB8" w:rsidR="002859E7" w:rsidRPr="0058444E" w:rsidRDefault="002859E7" w:rsidP="002859E7">
      <w:pPr>
        <w:pStyle w:val="Kop4"/>
      </w:pPr>
      <w:bookmarkStart w:id="54" w:name="_Toc228784108"/>
      <w:r w:rsidRPr="0058444E">
        <w:t xml:space="preserve">Fase 2: Van een </w:t>
      </w:r>
      <w:r w:rsidRPr="007821C0">
        <w:rPr>
          <w:i/>
          <w:iCs/>
        </w:rPr>
        <w:t>standstill</w:t>
      </w:r>
      <w:r w:rsidRPr="0058444E">
        <w:t xml:space="preserve"> </w:t>
      </w:r>
      <w:r w:rsidR="007821C0">
        <w:t>naar het geleidelijk wegwerken van de discriminatie</w:t>
      </w:r>
      <w:bookmarkEnd w:id="54"/>
    </w:p>
    <w:p w14:paraId="311FBAFD" w14:textId="3E636C90" w:rsidR="002859E7" w:rsidRPr="0058444E" w:rsidRDefault="00182C20" w:rsidP="00A42E34">
      <w:pPr>
        <w:pStyle w:val="Randnummer"/>
        <w:spacing w:line="360" w:lineRule="auto"/>
      </w:pPr>
      <w:r w:rsidRPr="00A923A7">
        <w:rPr>
          <w:rStyle w:val="KleinKapitaalAuteursCtrlAltK"/>
          <w:i/>
          <w:iCs/>
        </w:rPr>
        <w:t>Standstill</w:t>
      </w:r>
      <w:r>
        <w:rPr>
          <w:rStyle w:val="KleinKapitaalAuteursCtrlAltK"/>
        </w:rPr>
        <w:t xml:space="preserve"> - </w:t>
      </w:r>
      <w:r w:rsidR="009F3DE1" w:rsidRPr="0058444E">
        <w:t>Vanaf 1 januari 2015 trad de tweede fase van het eenheidsstatuut in werking waarbij er w</w:t>
      </w:r>
      <w:r w:rsidR="00E224A9">
        <w:t>erd</w:t>
      </w:r>
      <w:r w:rsidR="009F3DE1" w:rsidRPr="0058444E">
        <w:t xml:space="preserve"> uitgegaan van het idee van een geleidelijke uitdoving van het verschil tussen arbeiders en bedienden. Deze fase loopt nog tot 2030. Tijdens deze fase wordt er een </w:t>
      </w:r>
      <w:r w:rsidR="009F3DE1" w:rsidRPr="00182C20">
        <w:rPr>
          <w:i/>
          <w:iCs/>
        </w:rPr>
        <w:t>standstill</w:t>
      </w:r>
      <w:r w:rsidR="00904F3C">
        <w:rPr>
          <w:i/>
          <w:iCs/>
        </w:rPr>
        <w:t>-</w:t>
      </w:r>
      <w:r w:rsidR="009F3DE1" w:rsidRPr="0058444E">
        <w:t>verplichting opgelegd, afhankelijk of het gaat om een nieuw dan wel om een bestaand verschil tussen arbeiders en bedienden.</w:t>
      </w:r>
      <w:r w:rsidR="00A42E34" w:rsidRPr="0058444E">
        <w:rPr>
          <w:rStyle w:val="Voetnootmarkering"/>
        </w:rPr>
        <w:footnoteReference w:id="94"/>
      </w:r>
    </w:p>
    <w:p w14:paraId="0974A2BE" w14:textId="7F85F00C" w:rsidR="00A42E34" w:rsidRPr="0058444E" w:rsidRDefault="00A42E34" w:rsidP="009055BB">
      <w:pPr>
        <w:pStyle w:val="Randnummer"/>
        <w:numPr>
          <w:ilvl w:val="0"/>
          <w:numId w:val="0"/>
        </w:numPr>
        <w:spacing w:line="360" w:lineRule="auto"/>
        <w:ind w:left="357"/>
      </w:pPr>
      <w:r w:rsidRPr="0058444E">
        <w:t>Een nieuw verschil in behandeling tussen arbeiders en bedienden</w:t>
      </w:r>
      <w:r w:rsidR="00977094">
        <w:t xml:space="preserve"> in de aanvullende pensioenen</w:t>
      </w:r>
      <w:r w:rsidRPr="0058444E">
        <w:t xml:space="preserve"> is in principe verboden vanaf 1 januari 2015, dit zowel in nieuwe als in bestaande pensioenstelsels.</w:t>
      </w:r>
      <w:r w:rsidRPr="0058444E">
        <w:rPr>
          <w:rStyle w:val="Voetnootmarkering"/>
        </w:rPr>
        <w:footnoteReference w:id="95"/>
      </w:r>
      <w:r w:rsidR="009C41A0" w:rsidRPr="0058444E">
        <w:t xml:space="preserve"> Er wordt door de WAP een duidelijk verbod geformuleerd voor nieuwe verschillen in pensioenstelsels die gebaseerd worden op het statuut arbeider of bediende. Daarnaast bestaat er</w:t>
      </w:r>
      <w:r w:rsidR="00B466B6">
        <w:t xml:space="preserve"> vanaf dan ook geen</w:t>
      </w:r>
      <w:r w:rsidR="009C41A0" w:rsidRPr="0058444E">
        <w:t xml:space="preserve"> mogelijkheid </w:t>
      </w:r>
      <w:r w:rsidR="00B466B6">
        <w:t xml:space="preserve">meer </w:t>
      </w:r>
      <w:r w:rsidR="009C41A0" w:rsidRPr="0058444E">
        <w:t>om nieuwe verschillen toch te rechtvaardigen.</w:t>
      </w:r>
    </w:p>
    <w:p w14:paraId="009AD5AD" w14:textId="481B085D" w:rsidR="009C41A0" w:rsidRPr="0058444E" w:rsidRDefault="006E729F" w:rsidP="00023E1A">
      <w:pPr>
        <w:pStyle w:val="Randnummer"/>
        <w:numPr>
          <w:ilvl w:val="0"/>
          <w:numId w:val="0"/>
        </w:numPr>
        <w:spacing w:line="360" w:lineRule="auto"/>
        <w:ind w:left="357"/>
      </w:pPr>
      <w:r>
        <w:t>Dit verbod geldt echter</w:t>
      </w:r>
      <w:r w:rsidR="009C41A0" w:rsidRPr="0058444E">
        <w:t xml:space="preserve"> nog niet voor de bestaande verschillen in behandeling tussen arbeiders en bedienden. Deze worden gedurende de tweede fase gevrijwaard voor tijdvakken van arbeid na 1 januari 2015.</w:t>
      </w:r>
      <w:r w:rsidR="009C41A0" w:rsidRPr="0058444E">
        <w:rPr>
          <w:rStyle w:val="Voetnootmarkering"/>
        </w:rPr>
        <w:footnoteReference w:id="96"/>
      </w:r>
      <w:r w:rsidR="00320FC0" w:rsidRPr="0058444E">
        <w:t xml:space="preserve"> Het onderscheid wordt gemaakt op basis van de datum dat het verschil werd ingevoerd in het pensioenstelsel, met als kantelpunt 1 januari 2015. Een verschil in behandeling dat in een pensioenstelsel werd ingevoerd vóór 1 januari 2015, zal tot 2030 niet als een discriminerend onderscheid worden beschouwd. </w:t>
      </w:r>
    </w:p>
    <w:p w14:paraId="263C4219" w14:textId="26F552D3" w:rsidR="00C530C1" w:rsidRPr="0058444E" w:rsidRDefault="004E75AA" w:rsidP="00806C55">
      <w:pPr>
        <w:pStyle w:val="Randnummer"/>
        <w:spacing w:line="360" w:lineRule="auto"/>
      </w:pPr>
      <w:r>
        <w:rPr>
          <w:rStyle w:val="KleinKapitaalAuteursCtrlAltK"/>
        </w:rPr>
        <w:t xml:space="preserve">Wegwerken van de verschillen - </w:t>
      </w:r>
      <w:r w:rsidR="00283FBA" w:rsidRPr="0058444E">
        <w:t>Daarnaast moet tijdens deze tweede fase ook gewerkt worden aan het opheffen van de verschillen tussen arbeiders en bedienden.</w:t>
      </w:r>
      <w:r w:rsidR="009B566B">
        <w:rPr>
          <w:rStyle w:val="Voetnootmarkering"/>
        </w:rPr>
        <w:footnoteReference w:id="97"/>
      </w:r>
      <w:r w:rsidR="00283FBA" w:rsidRPr="0058444E">
        <w:t xml:space="preserve"> De harmonisering tussen arbeiders en bedienden mag echter gel</w:t>
      </w:r>
      <w:r w:rsidR="00593F06">
        <w:t>eide</w:t>
      </w:r>
      <w:r w:rsidR="00283FBA" w:rsidRPr="0058444E">
        <w:t>lijk aan gebeuren.</w:t>
      </w:r>
      <w:r w:rsidR="00283FBA" w:rsidRPr="0058444E">
        <w:rPr>
          <w:rStyle w:val="Voetnootmarkering"/>
        </w:rPr>
        <w:footnoteReference w:id="98"/>
      </w:r>
      <w:r w:rsidR="00B53D08" w:rsidRPr="0058444E">
        <w:t xml:space="preserve"> Voor deze geleidelijke harmonisering werd oorspronkelijk een overgangstermijn van tien ja</w:t>
      </w:r>
      <w:r w:rsidR="00902AFE">
        <w:t xml:space="preserve">ar </w:t>
      </w:r>
      <w:r w:rsidR="00B53D08" w:rsidRPr="0058444E">
        <w:t xml:space="preserve">voorzien. Deze werd </w:t>
      </w:r>
      <w:r w:rsidR="0071165A">
        <w:t xml:space="preserve">op </w:t>
      </w:r>
      <w:r w:rsidR="00064E46">
        <w:t xml:space="preserve">vraag van </w:t>
      </w:r>
      <w:r w:rsidR="00B53D08" w:rsidRPr="0058444E">
        <w:t>de sociale partners verlengd tot vijftien ja</w:t>
      </w:r>
      <w:r w:rsidR="00902AFE">
        <w:t>ar</w:t>
      </w:r>
      <w:r w:rsidR="00B53D08" w:rsidRPr="0058444E">
        <w:t>.</w:t>
      </w:r>
      <w:r w:rsidR="00B53D08" w:rsidRPr="0058444E">
        <w:rPr>
          <w:rStyle w:val="Voetnootmarkering"/>
        </w:rPr>
        <w:footnoteReference w:id="99"/>
      </w:r>
      <w:r w:rsidR="00806C55">
        <w:t xml:space="preserve"> </w:t>
      </w:r>
      <w:r w:rsidR="00064E46">
        <w:t>Zij achtten</w:t>
      </w:r>
      <w:r w:rsidR="00C530C1" w:rsidRPr="0058444E">
        <w:t xml:space="preserve"> </w:t>
      </w:r>
      <w:r w:rsidR="0025737A">
        <w:t>deze extra tijd</w:t>
      </w:r>
      <w:r w:rsidR="00806C55">
        <w:t xml:space="preserve"> </w:t>
      </w:r>
      <w:r w:rsidR="00C530C1" w:rsidRPr="0058444E">
        <w:t>noodzakelijk om de klus te klaren, verwijzende naar een aantal redenen die ook in de memorie van toelichting bij de wet uitgebreid aan bod kwamen.</w:t>
      </w:r>
      <w:r w:rsidR="00C530C1" w:rsidRPr="0058444E">
        <w:rPr>
          <w:rStyle w:val="Voetnootmarkering"/>
        </w:rPr>
        <w:footnoteReference w:id="100"/>
      </w:r>
      <w:r w:rsidR="00353D78" w:rsidRPr="0058444E">
        <w:t xml:space="preserve"> Zo werden het rechtszekerheids- en vertrouwensbeginsel naar voren geschoven als argumenten om een lange overgangsperiode te voorzien.</w:t>
      </w:r>
      <w:r w:rsidR="00DA3D84">
        <w:rPr>
          <w:rStyle w:val="Voetnootmarkering"/>
        </w:rPr>
        <w:footnoteReference w:id="101"/>
      </w:r>
    </w:p>
    <w:p w14:paraId="0AAB77EA" w14:textId="266A6F29" w:rsidR="002C7E2A" w:rsidRPr="0058444E" w:rsidRDefault="00D86546" w:rsidP="00C530C1">
      <w:pPr>
        <w:pStyle w:val="Randnummer"/>
        <w:spacing w:line="360" w:lineRule="auto"/>
      </w:pPr>
      <w:r>
        <w:rPr>
          <w:rStyle w:val="KleinKapitaalAuteursCtrlAltK"/>
        </w:rPr>
        <w:t xml:space="preserve">Tijdsnood - </w:t>
      </w:r>
      <w:r w:rsidR="002C7E2A" w:rsidRPr="0058444E">
        <w:t xml:space="preserve">Een ander belangrijk argument </w:t>
      </w:r>
      <w:r w:rsidR="004025DA">
        <w:t>voor een lange overgangsperiode is dat zij voldoende tijd biedt om de kosten van harmonisering te spreiden</w:t>
      </w:r>
      <w:r w:rsidR="002C7E2A" w:rsidRPr="0058444E">
        <w:t>.</w:t>
      </w:r>
      <w:r w:rsidR="002C7E2A" w:rsidRPr="0058444E">
        <w:rPr>
          <w:rStyle w:val="Voetnootmarkering"/>
        </w:rPr>
        <w:footnoteReference w:id="102"/>
      </w:r>
      <w:r w:rsidR="00361AF8" w:rsidRPr="0058444E">
        <w:t xml:space="preserve"> Indien de harmonisering verwezenlijkt zou moeten worden op een korte termijn bestaat er een reëel risico dat een inrichter ervoor zou kiezen om het aanvullend pensioen volledig stop te zette</w:t>
      </w:r>
      <w:r w:rsidR="00A375BB">
        <w:t>n</w:t>
      </w:r>
      <w:r w:rsidR="00361AF8" w:rsidRPr="0058444E">
        <w:t>. Daarnaast kent dit argument ook een juridisch aspect. In de praktijk zal een werkgever bij de verhoging van de pensioenbijdragen rekening moeten houden met de loonnorm.</w:t>
      </w:r>
      <w:r w:rsidR="00361AF8" w:rsidRPr="0058444E">
        <w:rPr>
          <w:rStyle w:val="Voetnootmarkering"/>
        </w:rPr>
        <w:footnoteReference w:id="103"/>
      </w:r>
      <w:r w:rsidR="00361AF8" w:rsidRPr="0058444E">
        <w:rPr>
          <w:color w:val="EE0000"/>
        </w:rPr>
        <w:t xml:space="preserve"> </w:t>
      </w:r>
      <w:r w:rsidR="00405A10" w:rsidRPr="0058444E">
        <w:t>De harmonisering tussen arbeiders en bedienden zal hoogstwaarschijnlijk een groot deel innemen van de maximaal toegelaten stijging van de loonkost.</w:t>
      </w:r>
      <w:r w:rsidR="00405A10" w:rsidRPr="0058444E">
        <w:rPr>
          <w:rStyle w:val="Voetnootmarkering"/>
        </w:rPr>
        <w:footnoteReference w:id="104"/>
      </w:r>
    </w:p>
    <w:p w14:paraId="162881B2" w14:textId="037AA919" w:rsidR="00D96E18" w:rsidRDefault="00D96E18" w:rsidP="0049047C">
      <w:pPr>
        <w:pStyle w:val="Randnummer"/>
        <w:numPr>
          <w:ilvl w:val="0"/>
          <w:numId w:val="0"/>
        </w:numPr>
        <w:spacing w:line="360" w:lineRule="auto"/>
        <w:ind w:left="357"/>
      </w:pPr>
      <w:r w:rsidRPr="0058444E">
        <w:t>Een laatste argument voor een lange overgangsperiode was om het sociaal overleg de tijd te bieden om de verschillen op te heffen.</w:t>
      </w:r>
      <w:r w:rsidRPr="0058444E">
        <w:rPr>
          <w:rStyle w:val="Voetnootmarkering"/>
        </w:rPr>
        <w:footnoteReference w:id="105"/>
      </w:r>
      <w:r w:rsidR="00B729DE" w:rsidRPr="0058444E">
        <w:t xml:space="preserve"> Op deze manier kunnen de sociale partners door middel van collectief overleg op zoek gaan naar oplossingen om de verschillen te overbruggen. </w:t>
      </w:r>
      <w:r w:rsidR="00DA7D41" w:rsidRPr="0058444E">
        <w:t xml:space="preserve">Deze overgangsperiode is dan </w:t>
      </w:r>
      <w:r w:rsidR="009B2E57">
        <w:t xml:space="preserve">ook </w:t>
      </w:r>
      <w:r w:rsidR="00DA7D41" w:rsidRPr="0058444E">
        <w:t xml:space="preserve">geen overbodige luxe. </w:t>
      </w:r>
      <w:r w:rsidR="008C0123" w:rsidRPr="0058444E">
        <w:t>Hoewel de oorspronkelijke einddatum van de overgangsperiode haalbaar leek, oordeelden de sociale partners uiteindelijk toch dat een harmonisering binnen een tijdspanne van tien ja</w:t>
      </w:r>
      <w:r w:rsidR="0071225F">
        <w:t>ar</w:t>
      </w:r>
      <w:r w:rsidR="008C0123" w:rsidRPr="0058444E">
        <w:t xml:space="preserve"> te ambitieus zou zijn, en vroegen ze voor </w:t>
      </w:r>
      <w:r w:rsidR="0071225F">
        <w:t>uitstel</w:t>
      </w:r>
      <w:r w:rsidR="008C0123" w:rsidRPr="0058444E">
        <w:t>.</w:t>
      </w:r>
      <w:r w:rsidR="008C0123" w:rsidRPr="0058444E">
        <w:rPr>
          <w:rStyle w:val="Voetnootmarkering"/>
        </w:rPr>
        <w:footnoteReference w:id="106"/>
      </w:r>
      <w:r w:rsidR="007321E6" w:rsidRPr="0058444E">
        <w:t xml:space="preserve"> In het sociaal akkoord van 8 juni 2021 werd overeengekomen dat de tienjarige overgangsperiode verlengd zou worden met vijf jaar waardoor een verschil tussen arbeiders en bedienden in een pensioenstelsel pas verboden is vanaf 1 januari 2030.</w:t>
      </w:r>
    </w:p>
    <w:p w14:paraId="4DA0719E" w14:textId="2B754A03" w:rsidR="00CC7F9C" w:rsidRPr="0058444E" w:rsidRDefault="00CC7F9C" w:rsidP="00CC7F9C">
      <w:pPr>
        <w:pStyle w:val="Randnummer"/>
        <w:spacing w:line="360" w:lineRule="auto"/>
      </w:pPr>
      <w:r>
        <w:rPr>
          <w:rStyle w:val="KleinKapitaalAuteursCtrlAltK"/>
        </w:rPr>
        <w:t xml:space="preserve">Inrichters dragen de verantwoordelijkheid - </w:t>
      </w:r>
      <w:r w:rsidRPr="0058444E">
        <w:t>Wat z</w:t>
      </w:r>
      <w:r w:rsidR="00577C2A">
        <w:t>e</w:t>
      </w:r>
      <w:r w:rsidRPr="0058444E">
        <w:t xml:space="preserve">ker niet uit het oog verloren mag worden is het feit dat van de inrichters op het vlak van aanvullende pensioenen meer wordt verwacht dan wat de wetgever zelf tot nu toe heeft verwezenlijkt in het algemeen arbeidsrecht. In het arbeidsrecht slaagden de sociale partners en de wetgevers er namelijk </w:t>
      </w:r>
      <w:r w:rsidR="00E6720F">
        <w:t xml:space="preserve">nog </w:t>
      </w:r>
      <w:r w:rsidRPr="0058444E">
        <w:t>niet in om een volledige harmonisering te realiseren.</w:t>
      </w:r>
      <w:r w:rsidRPr="0058444E">
        <w:rPr>
          <w:rStyle w:val="Voetnootmarkering"/>
        </w:rPr>
        <w:footnoteReference w:id="107"/>
      </w:r>
    </w:p>
    <w:p w14:paraId="0098C1DE" w14:textId="33CAF6CC" w:rsidR="008A7821" w:rsidRDefault="00D47D7C" w:rsidP="008A7821">
      <w:pPr>
        <w:pStyle w:val="Randnummer"/>
        <w:spacing w:line="360" w:lineRule="auto"/>
      </w:pPr>
      <w:r>
        <w:rPr>
          <w:rStyle w:val="KleinKapitaalAuteursCtrlAltK"/>
        </w:rPr>
        <w:t xml:space="preserve">Cao </w:t>
      </w:r>
      <w:r w:rsidR="00FC370B">
        <w:rPr>
          <w:rStyle w:val="KleinKapitaalAuteursCtrlAltK"/>
        </w:rPr>
        <w:t xml:space="preserve">nr. 158 als voorbeeld - </w:t>
      </w:r>
      <w:r w:rsidR="00CA1115" w:rsidRPr="0058444E">
        <w:t xml:space="preserve">De </w:t>
      </w:r>
      <w:r>
        <w:t xml:space="preserve">cao </w:t>
      </w:r>
      <w:r w:rsidR="00CA1115" w:rsidRPr="0058444E">
        <w:t>nr. 158 geeft zelf een zeer concreet beeld van hoe de sociale partners een wijziging van het eenheidsstatuut voor zich zien, maar zelf kunnen zij natuurlijk niet de WAP wijzigen gelet op de hiërarchie der rechtsnormen.</w:t>
      </w:r>
      <w:r w:rsidR="002D6B9B" w:rsidRPr="0058444E">
        <w:t xml:space="preserve"> Deze </w:t>
      </w:r>
      <w:r>
        <w:t>cao</w:t>
      </w:r>
      <w:r w:rsidR="002D6B9B" w:rsidRPr="0058444E">
        <w:t xml:space="preserve"> kan dan ook eerder gezien worden als een verzoek aan de wetgever om de WAP aan te pas</w:t>
      </w:r>
      <w:r w:rsidR="00403238" w:rsidRPr="0058444E">
        <w:t>s</w:t>
      </w:r>
      <w:r w:rsidR="002D6B9B" w:rsidRPr="0058444E">
        <w:t>en.</w:t>
      </w:r>
      <w:r w:rsidR="002D6B9B" w:rsidRPr="0058444E">
        <w:rPr>
          <w:rStyle w:val="Voetnootmarkering"/>
        </w:rPr>
        <w:footnoteReference w:id="108"/>
      </w:r>
      <w:r w:rsidR="005C7949">
        <w:t xml:space="preserve"> In deze </w:t>
      </w:r>
      <w:r>
        <w:t>cao</w:t>
      </w:r>
      <w:r w:rsidR="005C7949">
        <w:t xml:space="preserve"> wordt afgesproken dat sectoren en bedrijven een specifiek deel van de beschikbare loonmarge moeten reserveren voor de harmonisatie.</w:t>
      </w:r>
    </w:p>
    <w:p w14:paraId="00D249A0" w14:textId="51BDC2EB" w:rsidR="00081DB7" w:rsidRDefault="00073681" w:rsidP="00073681">
      <w:pPr>
        <w:pStyle w:val="Randnummer"/>
        <w:spacing w:line="360" w:lineRule="auto"/>
      </w:pPr>
      <w:r>
        <w:rPr>
          <w:rStyle w:val="KleinKapitaalAuteursCtrlAltK"/>
        </w:rPr>
        <w:t xml:space="preserve">Constitutionele traagheid - </w:t>
      </w:r>
      <w:r w:rsidR="008C4DD7" w:rsidRPr="0058444E">
        <w:t>Hoewel er gezien de complexiteit van de harmonisatie begrip kan worden getoond voor de bijkomende tijd die de sociale partners zichzelf hebben gegund, valt het uitstel</w:t>
      </w:r>
      <w:r w:rsidR="001D0483" w:rsidRPr="0058444E">
        <w:t xml:space="preserve"> toch </w:t>
      </w:r>
      <w:r w:rsidR="008C4DD7" w:rsidRPr="0058444E">
        <w:t xml:space="preserve">te betreuren. </w:t>
      </w:r>
      <w:r w:rsidR="004C34B5">
        <w:t xml:space="preserve">Het Grondwettelijk Hof oordeelde reeds in 1993 dat het onderscheid tussen arbeiders en bedienden </w:t>
      </w:r>
      <w:r w:rsidR="0017354C">
        <w:t xml:space="preserve">objectieve rechtvaardiging mist. Dat we </w:t>
      </w:r>
      <w:r w:rsidR="00104A03">
        <w:t xml:space="preserve">vandaag, meer dan dertig jaar later, nog steeds spreken over een ‘ultieme’ deadline in 2030, getuigt van een onaanvaardbare constitutionele traagheid. </w:t>
      </w:r>
      <w:r w:rsidR="001D0483" w:rsidRPr="0058444E">
        <w:t>Een onderscheid dat al meer dan 30 jaar ter discussie staat blijft op deze manier nog langer overeind.</w:t>
      </w:r>
    </w:p>
    <w:p w14:paraId="695DF66E" w14:textId="5A7364CC" w:rsidR="006D0C22" w:rsidRPr="0058444E" w:rsidRDefault="006D0C22" w:rsidP="008A7821">
      <w:pPr>
        <w:pStyle w:val="Randnummer"/>
        <w:numPr>
          <w:ilvl w:val="0"/>
          <w:numId w:val="0"/>
        </w:numPr>
        <w:spacing w:line="360" w:lineRule="auto"/>
        <w:ind w:left="357"/>
      </w:pPr>
      <w:r>
        <w:t>Het uitstel naar 2030 is dan ook geen blijk van pragmatisme</w:t>
      </w:r>
      <w:r w:rsidR="00414F64">
        <w:t xml:space="preserve"> </w:t>
      </w:r>
      <w:r w:rsidR="0020204F">
        <w:t>naar mijn</w:t>
      </w:r>
      <w:r w:rsidR="00414F64">
        <w:t xml:space="preserve"> </w:t>
      </w:r>
      <w:r w:rsidR="00C0284A">
        <w:t>mening,</w:t>
      </w:r>
      <w:r>
        <w:t xml:space="preserve"> maar eerder een blijk van onvermogen van de sociale partners en de wetgever om fundamentele gelijkheid eindelijk de prioriteit te geven d</w:t>
      </w:r>
      <w:r w:rsidR="007175B6">
        <w:t>ie het verdient.</w:t>
      </w:r>
    </w:p>
    <w:p w14:paraId="13987C90" w14:textId="7F4FBF7C" w:rsidR="00A0450F" w:rsidRPr="0058444E" w:rsidRDefault="00A0450F" w:rsidP="008503B1">
      <w:pPr>
        <w:pStyle w:val="Kop5"/>
      </w:pPr>
      <w:r w:rsidRPr="0058444E">
        <w:t>Toepassingsgebied</w:t>
      </w:r>
    </w:p>
    <w:p w14:paraId="7D10F833" w14:textId="19E54025" w:rsidR="008503B1" w:rsidRPr="0058444E" w:rsidRDefault="008503B1" w:rsidP="008A0D8C">
      <w:pPr>
        <w:pStyle w:val="Randnummer"/>
        <w:spacing w:line="360" w:lineRule="auto"/>
        <w:rPr>
          <w:rStyle w:val="KleinKapitaalAuteursCtrlAltK"/>
          <w:smallCaps w:val="0"/>
          <w:lang w:val="nl-BE"/>
        </w:rPr>
      </w:pPr>
      <w:r w:rsidRPr="0058444E">
        <w:rPr>
          <w:rStyle w:val="KleinKapitaalAuteursCtrlAltK"/>
          <w:lang w:val="nl-BE"/>
        </w:rPr>
        <w:t xml:space="preserve">Artikel 14 WAP </w:t>
      </w:r>
      <w:r w:rsidR="00A73191" w:rsidRPr="0058444E">
        <w:rPr>
          <w:rStyle w:val="KleinKapitaalAuteursCtrlAltK"/>
          <w:lang w:val="nl-BE"/>
        </w:rPr>
        <w:t>–</w:t>
      </w:r>
      <w:r w:rsidRPr="0058444E">
        <w:rPr>
          <w:rStyle w:val="KleinKapitaalAuteursCtrlAltK"/>
          <w:lang w:val="nl-BE"/>
        </w:rPr>
        <w:t xml:space="preserve"> </w:t>
      </w:r>
      <w:r w:rsidR="00A73191" w:rsidRPr="0058444E">
        <w:rPr>
          <w:rStyle w:val="KleinKapitaalAuteursCtrlAltK"/>
          <w:smallCaps w:val="0"/>
          <w:lang w:val="nl-BE"/>
        </w:rPr>
        <w:t>Het eenheidsstatuut is van toepassing op alle inrichters, zowel deze op ondernemingsniveau als op sectoraal niveau.</w:t>
      </w:r>
      <w:r w:rsidR="00002574">
        <w:rPr>
          <w:rStyle w:val="Voetnootmarkering"/>
        </w:rPr>
        <w:footnoteReference w:id="109"/>
      </w:r>
      <w:r w:rsidR="00A73191" w:rsidRPr="0058444E">
        <w:rPr>
          <w:rStyle w:val="KleinKapitaalAuteursCtrlAltK"/>
          <w:smallCaps w:val="0"/>
          <w:lang w:val="nl-BE"/>
        </w:rPr>
        <w:t xml:space="preserve"> </w:t>
      </w:r>
      <w:r w:rsidR="008A0D8C" w:rsidRPr="0058444E">
        <w:rPr>
          <w:rStyle w:val="KleinKapitaalAuteursCtrlAltK"/>
          <w:smallCaps w:val="0"/>
          <w:lang w:val="nl-BE"/>
        </w:rPr>
        <w:t>De inrichters dragen de verantwoordelijkheid om het algemeen discriminatieverbod uit artikel 14 WAP na te leven.</w:t>
      </w:r>
      <w:r w:rsidR="003A0DB1" w:rsidRPr="0058444E">
        <w:rPr>
          <w:rStyle w:val="KleinKapitaalAuteursCtrlAltK"/>
          <w:smallCaps w:val="0"/>
          <w:lang w:val="nl-BE"/>
        </w:rPr>
        <w:t xml:space="preserve"> Toch vallen hier enkele kanttekeningen bij te maken. </w:t>
      </w:r>
    </w:p>
    <w:p w14:paraId="42FD957F" w14:textId="398C4CB2" w:rsidR="003A0DB1" w:rsidRPr="0058444E" w:rsidRDefault="00FD225C" w:rsidP="008A0D8C">
      <w:pPr>
        <w:pStyle w:val="Randnummer"/>
        <w:spacing w:line="360" w:lineRule="auto"/>
        <w:rPr>
          <w:rStyle w:val="KleinKapitaalAuteursCtrlAltK"/>
          <w:smallCaps w:val="0"/>
          <w:lang w:val="nl-BE"/>
        </w:rPr>
      </w:pPr>
      <w:r w:rsidRPr="0058444E">
        <w:rPr>
          <w:rStyle w:val="KleinKapitaalAuteursCtrlAltK"/>
          <w:lang w:val="nl-BE"/>
        </w:rPr>
        <w:t xml:space="preserve">Enkel pensioenstelsels – </w:t>
      </w:r>
      <w:r w:rsidRPr="0058444E">
        <w:rPr>
          <w:rStyle w:val="KleinKapitaalAuteursCtrlAltK"/>
          <w:smallCaps w:val="0"/>
          <w:lang w:val="nl-BE"/>
        </w:rPr>
        <w:t>Eerst en vooral viseert het eenheidsstatuut enkel pensioenstelsels</w:t>
      </w:r>
      <w:r w:rsidR="00DA0C4F" w:rsidRPr="0058444E">
        <w:rPr>
          <w:rStyle w:val="KleinKapitaalAuteursCtrlAltK"/>
          <w:smallCaps w:val="0"/>
          <w:lang w:val="nl-BE"/>
        </w:rPr>
        <w:t xml:space="preserve"> (collectieve pensioento</w:t>
      </w:r>
      <w:r w:rsidR="0069186B">
        <w:rPr>
          <w:rStyle w:val="KleinKapitaalAuteursCtrlAltK"/>
          <w:smallCaps w:val="0"/>
          <w:lang w:val="nl-BE"/>
        </w:rPr>
        <w:t>e</w:t>
      </w:r>
      <w:r w:rsidR="00DA0C4F" w:rsidRPr="0058444E">
        <w:rPr>
          <w:rStyle w:val="KleinKapitaalAuteursCtrlAltK"/>
          <w:smallCaps w:val="0"/>
          <w:lang w:val="nl-BE"/>
        </w:rPr>
        <w:t>zeggingen)</w:t>
      </w:r>
      <w:r w:rsidRPr="0058444E">
        <w:rPr>
          <w:rStyle w:val="KleinKapitaalAuteursCtrlAltK"/>
          <w:smallCaps w:val="0"/>
          <w:lang w:val="nl-BE"/>
        </w:rPr>
        <w:t>.</w:t>
      </w:r>
      <w:r w:rsidRPr="0058444E">
        <w:rPr>
          <w:rStyle w:val="Voetnootmarkering"/>
        </w:rPr>
        <w:footnoteReference w:id="110"/>
      </w:r>
      <w:r w:rsidR="00952DF3" w:rsidRPr="0058444E">
        <w:rPr>
          <w:rStyle w:val="KleinKapitaalAuteursCtrlAltK"/>
          <w:smallCaps w:val="0"/>
          <w:lang w:val="nl-BE"/>
        </w:rPr>
        <w:t xml:space="preserve"> </w:t>
      </w:r>
      <w:r w:rsidR="000A7B35">
        <w:rPr>
          <w:rStyle w:val="KleinKapitaalAuteursCtrlAltK"/>
          <w:smallCaps w:val="0"/>
          <w:lang w:val="nl-BE"/>
        </w:rPr>
        <w:t xml:space="preserve">Dit is </w:t>
      </w:r>
      <w:r w:rsidR="00F93841">
        <w:rPr>
          <w:rStyle w:val="KleinKapitaalAuteursCtrlAltK"/>
          <w:smallCaps w:val="0"/>
          <w:lang w:val="nl-BE"/>
        </w:rPr>
        <w:t>logisch aangezien enkel collectieve pensioentoezeggingen gebruik maken van een categorieomschrijving.</w:t>
      </w:r>
      <w:r w:rsidR="00FB51D8">
        <w:rPr>
          <w:rStyle w:val="KleinKapitaalAuteursCtrlAltK"/>
          <w:smallCaps w:val="0"/>
          <w:lang w:val="nl-BE"/>
        </w:rPr>
        <w:t xml:space="preserve"> </w:t>
      </w:r>
      <w:r w:rsidR="003B44BA">
        <w:rPr>
          <w:rStyle w:val="KleinKapitaalAuteursCtrlAltK"/>
          <w:smallCaps w:val="0"/>
          <w:lang w:val="nl-BE"/>
        </w:rPr>
        <w:t>C</w:t>
      </w:r>
      <w:r w:rsidR="00FE2498">
        <w:rPr>
          <w:rStyle w:val="KleinKapitaalAuteursCtrlAltK"/>
          <w:smallCaps w:val="0"/>
          <w:lang w:val="nl-BE"/>
        </w:rPr>
        <w:t xml:space="preserve">ollectieve pensioentoezeggingen zijn aanvullende pensioenregelingen die een werknemer aanbiedt aan alle werknemers of een specifieke groep werknemers binnen een onderneming of sector. </w:t>
      </w:r>
      <w:r w:rsidR="009072AC">
        <w:rPr>
          <w:rStyle w:val="KleinKapitaalAuteursCtrlAltK"/>
          <w:smallCaps w:val="0"/>
          <w:lang w:val="nl-BE"/>
        </w:rPr>
        <w:t xml:space="preserve"> </w:t>
      </w:r>
    </w:p>
    <w:p w14:paraId="5BA56CD7" w14:textId="62DE591D" w:rsidR="00094F53" w:rsidRPr="0058444E" w:rsidRDefault="00274FB0" w:rsidP="008A0D8C">
      <w:pPr>
        <w:pStyle w:val="Randnummer"/>
        <w:spacing w:line="360" w:lineRule="auto"/>
        <w:rPr>
          <w:rStyle w:val="KleinKapitaalAuteursCtrlAltK"/>
          <w:smallCaps w:val="0"/>
          <w:lang w:val="nl-BE"/>
        </w:rPr>
      </w:pPr>
      <w:r>
        <w:rPr>
          <w:rStyle w:val="KleinKapitaalAuteursCtrlAltK"/>
          <w:lang w:val="nl-BE"/>
        </w:rPr>
        <w:t>Geen hypothetisch referentiepersoon</w:t>
      </w:r>
      <w:r w:rsidR="00094F53" w:rsidRPr="0058444E">
        <w:rPr>
          <w:rStyle w:val="KleinKapitaalAuteursCtrlAltK"/>
          <w:lang w:val="nl-BE"/>
        </w:rPr>
        <w:t xml:space="preserve"> </w:t>
      </w:r>
      <w:r w:rsidR="00BA4AA3" w:rsidRPr="0058444E">
        <w:rPr>
          <w:rStyle w:val="KleinKapitaalAuteursCtrlAltK"/>
          <w:lang w:val="nl-BE"/>
        </w:rPr>
        <w:t>–</w:t>
      </w:r>
      <w:r w:rsidR="00094F53" w:rsidRPr="0058444E">
        <w:rPr>
          <w:rStyle w:val="KleinKapitaalAuteursCtrlAltK"/>
          <w:lang w:val="nl-BE"/>
        </w:rPr>
        <w:t xml:space="preserve"> </w:t>
      </w:r>
      <w:r w:rsidR="00BA4AA3" w:rsidRPr="0058444E">
        <w:rPr>
          <w:rStyle w:val="KleinKapitaalAuteursCtrlAltK"/>
          <w:smallCaps w:val="0"/>
          <w:lang w:val="nl-BE"/>
        </w:rPr>
        <w:t>Daarnaast beoogt het eenheidsstatuut enkel een harmonisering indien de werkgever zowel arbeiders als bedienden tewerkstelt.</w:t>
      </w:r>
      <w:r w:rsidR="00A040F5" w:rsidRPr="0058444E">
        <w:rPr>
          <w:rStyle w:val="KleinKapitaalAuteursCtrlAltK"/>
          <w:smallCaps w:val="0"/>
          <w:lang w:val="nl-BE"/>
        </w:rPr>
        <w:t xml:space="preserve"> Een werknemer kan zich bij het inroepen van het discriminatieverbod uit artikel 14 WAP niet vergelijken met een hypothetisch referentiepersoon.</w:t>
      </w:r>
      <w:r w:rsidR="007D379F" w:rsidRPr="0058444E">
        <w:rPr>
          <w:rStyle w:val="KleinKapitaalAuteursCtrlAltK"/>
          <w:smallCaps w:val="0"/>
          <w:lang w:val="nl-BE"/>
        </w:rPr>
        <w:t xml:space="preserve"> Het doel van het eenheidsstatuut bestaat erin om reëel bestaande verschillen in behandeling op grond van het onderscheid tussen arbeiders en bedienden in een pensioenplan tegen te gaan.</w:t>
      </w:r>
      <w:r w:rsidR="007D379F" w:rsidRPr="0058444E">
        <w:rPr>
          <w:rStyle w:val="Voetnootmarkering"/>
        </w:rPr>
        <w:footnoteReference w:id="111"/>
      </w:r>
      <w:r w:rsidR="000116E5" w:rsidRPr="0058444E">
        <w:rPr>
          <w:rStyle w:val="KleinKapitaalAuteursCtrlAltK"/>
          <w:smallCaps w:val="0"/>
          <w:lang w:val="nl-BE"/>
        </w:rPr>
        <w:t xml:space="preserve"> Een werkgever valt dus niet onder het toepassingsgebied zolang hij niet beide personeelsgroepen tegelijkertijd in dienst heeft. </w:t>
      </w:r>
    </w:p>
    <w:p w14:paraId="395AF9F4" w14:textId="1C78E53A" w:rsidR="00475582" w:rsidRPr="0058444E" w:rsidRDefault="00475582" w:rsidP="00475582">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 xml:space="preserve">Dit zou een werkgever wel het idee kunnen opleveren om het eenheidsstatuut te vermijden door alle bedienden onder te brengen onder één vennootschap en alle arbeiders onder een andere vennootschap. </w:t>
      </w:r>
      <w:r w:rsidR="000C3325" w:rsidRPr="0058444E">
        <w:rPr>
          <w:rStyle w:val="KleinKapitaalAuteursCtrlAltK"/>
          <w:smallCaps w:val="0"/>
          <w:lang w:val="nl-BE"/>
        </w:rPr>
        <w:t>Op deze manier zou de werkgever op het eerste gezicht toch nog kunnen ontsnappen aan het eenheidsstatuut.</w:t>
      </w:r>
      <w:r w:rsidR="000C3325" w:rsidRPr="0058444E">
        <w:rPr>
          <w:rStyle w:val="Voetnootmarkering"/>
        </w:rPr>
        <w:footnoteReference w:id="112"/>
      </w:r>
      <w:r w:rsidR="00465C3F" w:rsidRPr="0058444E">
        <w:rPr>
          <w:rStyle w:val="KleinKapitaalAuteursCtrlAltK"/>
          <w:smallCaps w:val="0"/>
          <w:lang w:val="nl-BE"/>
        </w:rPr>
        <w:t xml:space="preserve"> Of deze constructie stand zal houden voor een rechtbank valt echter</w:t>
      </w:r>
      <w:r w:rsidR="00E061A9">
        <w:rPr>
          <w:rStyle w:val="KleinKapitaalAuteursCtrlAltK"/>
          <w:smallCaps w:val="0"/>
          <w:lang w:val="nl-BE"/>
        </w:rPr>
        <w:t xml:space="preserve"> </w:t>
      </w:r>
      <w:r w:rsidR="00465C3F" w:rsidRPr="0058444E">
        <w:rPr>
          <w:rStyle w:val="KleinKapitaalAuteursCtrlAltK"/>
          <w:smallCaps w:val="0"/>
          <w:lang w:val="nl-BE"/>
        </w:rPr>
        <w:t xml:space="preserve">te betwijfelen. </w:t>
      </w:r>
    </w:p>
    <w:p w14:paraId="67CEF3D6" w14:textId="23969ABD" w:rsidR="009E0C00" w:rsidRPr="0058444E" w:rsidRDefault="009E0C00" w:rsidP="009E0C00">
      <w:pPr>
        <w:pStyle w:val="Kop5"/>
      </w:pPr>
      <w:r w:rsidRPr="0058444E">
        <w:t>Taakverdeling</w:t>
      </w:r>
    </w:p>
    <w:p w14:paraId="18C251E3" w14:textId="1C4E8E70" w:rsidR="009E0C00" w:rsidRPr="0058444E" w:rsidRDefault="00326C34" w:rsidP="00336A08">
      <w:pPr>
        <w:pStyle w:val="Randnummer"/>
        <w:spacing w:line="360" w:lineRule="auto"/>
        <w:rPr>
          <w:rStyle w:val="KleinKapitaalAuteursCtrlAltK"/>
          <w:smallCaps w:val="0"/>
          <w:lang w:val="nl-BE"/>
        </w:rPr>
      </w:pPr>
      <w:r w:rsidRPr="0058444E">
        <w:rPr>
          <w:rStyle w:val="KleinKapitaalAuteursCtrlAltK"/>
          <w:lang w:val="nl-BE"/>
        </w:rPr>
        <w:t xml:space="preserve">Sociale partners </w:t>
      </w:r>
      <w:r w:rsidR="00E36C46" w:rsidRPr="0058444E">
        <w:rPr>
          <w:rStyle w:val="KleinKapitaalAuteursCtrlAltK"/>
          <w:lang w:val="nl-BE"/>
        </w:rPr>
        <w:t>–</w:t>
      </w:r>
      <w:r w:rsidRPr="0058444E">
        <w:rPr>
          <w:rStyle w:val="KleinKapitaalAuteursCtrlAltK"/>
          <w:lang w:val="nl-BE"/>
        </w:rPr>
        <w:t xml:space="preserve"> </w:t>
      </w:r>
      <w:r w:rsidR="00E36C46" w:rsidRPr="0058444E">
        <w:rPr>
          <w:rStyle w:val="KleinKapitaalAuteursCtrlAltK"/>
          <w:smallCaps w:val="0"/>
          <w:lang w:val="nl-BE"/>
        </w:rPr>
        <w:t xml:space="preserve">Tegen 1 januari 2023 moest er op sectoraal vlak een cao worden afgesloten waarmee er een harmonisering bereikt zou worden per beroepsactiviteit. Nadat duidelijk zou zijn op welke wijze er geharmoniseerd werd op sectoraal vlak, zouden de werkgevers de harmonisering op ondernemingsvlak zelf moeten finaliseren tegen 1 januari 2025. </w:t>
      </w:r>
      <w:r w:rsidR="00A710AD" w:rsidRPr="0058444E">
        <w:rPr>
          <w:rStyle w:val="KleinKapitaalAuteursCtrlAltK"/>
          <w:smallCaps w:val="0"/>
          <w:lang w:val="nl-BE"/>
        </w:rPr>
        <w:t xml:space="preserve">Zoals hierboven reeds aangegeven werd deze deadline verlengd tot 2030. Hierdoor kregen ook de sectoren maar liefst vier jaar extra om een cao neer te leggen die de harmonisering tot stand zal brengen. Deze verschuiving geeft de sociale partners op sectoraal vlak na de originele afsluitingsdatum van 1 januari 2023 nog twee extra onderhandelingsrondes om een akkoord te bereiken. De werkgevers krijgen </w:t>
      </w:r>
      <w:r w:rsidR="000D06EF">
        <w:rPr>
          <w:rStyle w:val="KleinKapitaalAuteursCtrlAltK"/>
          <w:smallCaps w:val="0"/>
          <w:lang w:val="nl-BE"/>
        </w:rPr>
        <w:t>hierna</w:t>
      </w:r>
      <w:r w:rsidR="00A710AD" w:rsidRPr="0058444E">
        <w:rPr>
          <w:rStyle w:val="KleinKapitaalAuteursCtrlAltK"/>
          <w:smallCaps w:val="0"/>
          <w:lang w:val="nl-BE"/>
        </w:rPr>
        <w:t xml:space="preserve"> nog drie ja</w:t>
      </w:r>
      <w:r w:rsidR="00D24C20">
        <w:rPr>
          <w:rStyle w:val="KleinKapitaalAuteursCtrlAltK"/>
          <w:smallCaps w:val="0"/>
          <w:lang w:val="nl-BE"/>
        </w:rPr>
        <w:t>ar</w:t>
      </w:r>
      <w:r w:rsidR="00A710AD" w:rsidRPr="0058444E">
        <w:rPr>
          <w:rStyle w:val="KleinKapitaalAuteursCtrlAltK"/>
          <w:smallCaps w:val="0"/>
          <w:lang w:val="nl-BE"/>
        </w:rPr>
        <w:t xml:space="preserve"> de tijd om de harmonisatie te voltooien.</w:t>
      </w:r>
      <w:r w:rsidR="00E061A9">
        <w:rPr>
          <w:rStyle w:val="Voetnootmarkering"/>
        </w:rPr>
        <w:footnoteReference w:id="113"/>
      </w:r>
    </w:p>
    <w:p w14:paraId="7EB33B0E" w14:textId="4564526B" w:rsidR="00A710AD" w:rsidRPr="0058444E" w:rsidRDefault="00CB327B" w:rsidP="00CB327B">
      <w:pPr>
        <w:pStyle w:val="Kop4"/>
      </w:pPr>
      <w:bookmarkStart w:id="58" w:name="_Toc228784109"/>
      <w:r w:rsidRPr="0058444E">
        <w:t>Fase 3: Het discriminatieverbod</w:t>
      </w:r>
      <w:bookmarkEnd w:id="58"/>
    </w:p>
    <w:p w14:paraId="12069D5F" w14:textId="5A18103B" w:rsidR="003610C3" w:rsidRPr="0058444E" w:rsidRDefault="00B34F2C" w:rsidP="008F48A3">
      <w:pPr>
        <w:pStyle w:val="Randnummer"/>
        <w:spacing w:line="360" w:lineRule="auto"/>
      </w:pPr>
      <w:r w:rsidRPr="004F012F">
        <w:rPr>
          <w:rStyle w:val="KleinKapitaalAuteursCtrlAltK"/>
          <w:i/>
          <w:iCs/>
          <w:lang w:val="nl-BE"/>
        </w:rPr>
        <w:t>Cut-off date</w:t>
      </w:r>
      <w:r w:rsidRPr="0058444E">
        <w:rPr>
          <w:rStyle w:val="KleinKapitaalAuteursCtrlAltK"/>
          <w:lang w:val="nl-BE"/>
        </w:rPr>
        <w:t xml:space="preserve"> – </w:t>
      </w:r>
      <w:r w:rsidRPr="0058444E">
        <w:t xml:space="preserve">Vanaf 1 januari 2030, de zogenaamde </w:t>
      </w:r>
      <w:r w:rsidRPr="0058444E">
        <w:rPr>
          <w:i/>
          <w:iCs/>
        </w:rPr>
        <w:t xml:space="preserve">cut-off date, </w:t>
      </w:r>
      <w:r w:rsidR="001A4182">
        <w:t>moeten arbeiders en bedienden gelijk behandeld worden</w:t>
      </w:r>
      <w:r w:rsidRPr="0058444E">
        <w:t>.</w:t>
      </w:r>
      <w:r w:rsidRPr="0058444E">
        <w:rPr>
          <w:rStyle w:val="Voetnootmarkering"/>
        </w:rPr>
        <w:footnoteReference w:id="114"/>
      </w:r>
      <w:r w:rsidR="008F48A3" w:rsidRPr="0058444E">
        <w:t xml:space="preserve"> Indien arbeiders en bedienden zich vanaf die datum in een vergelijkbare situatie bevinden, </w:t>
      </w:r>
      <w:r w:rsidR="00FB5D9D">
        <w:t xml:space="preserve">laat de WAP geen rechtvaardiging meer toe. </w:t>
      </w:r>
      <w:r w:rsidR="008F48A3" w:rsidRPr="0058444E">
        <w:t>Enkel de eerste stap uit de gelijkheidstoets</w:t>
      </w:r>
      <w:r w:rsidR="00EE7EA9">
        <w:t xml:space="preserve">, </w:t>
      </w:r>
      <w:r w:rsidR="008F48A3" w:rsidRPr="0058444E">
        <w:t>namelijk de vergelijkbaarheidstoets, zal nog ingeroepen kunnen worden. De rechtvaardigingstoets wordt immers wettelijk uitgesloten.</w:t>
      </w:r>
      <w:r w:rsidR="008F48A3" w:rsidRPr="0058444E">
        <w:rPr>
          <w:rStyle w:val="Voetnootmarkering"/>
        </w:rPr>
        <w:footnoteReference w:id="115"/>
      </w:r>
    </w:p>
    <w:p w14:paraId="6F7F7322" w14:textId="5EB53C30" w:rsidR="005D7086" w:rsidRPr="0058444E" w:rsidRDefault="005D7086" w:rsidP="008F48A3">
      <w:pPr>
        <w:pStyle w:val="Randnummer"/>
        <w:spacing w:line="360" w:lineRule="auto"/>
        <w:rPr>
          <w:rStyle w:val="KleinKapitaalAuteursCtrlAltK"/>
          <w:smallCaps w:val="0"/>
          <w:lang w:val="nl-BE"/>
        </w:rPr>
      </w:pPr>
      <w:r w:rsidRPr="0058444E">
        <w:rPr>
          <w:rStyle w:val="KleinKapitaalAuteursCtrlAltK"/>
          <w:lang w:val="nl-BE"/>
        </w:rPr>
        <w:t xml:space="preserve">vergelijkbaarheidstoets </w:t>
      </w:r>
      <w:r w:rsidR="004B706F" w:rsidRPr="0058444E">
        <w:rPr>
          <w:rStyle w:val="KleinKapitaalAuteursCtrlAltK"/>
          <w:lang w:val="nl-BE"/>
        </w:rPr>
        <w:t>–</w:t>
      </w:r>
      <w:r w:rsidRPr="0058444E">
        <w:rPr>
          <w:rStyle w:val="KleinKapitaalAuteursCtrlAltK"/>
          <w:lang w:val="nl-BE"/>
        </w:rPr>
        <w:t xml:space="preserve"> </w:t>
      </w:r>
      <w:r w:rsidR="004B706F" w:rsidRPr="0058444E">
        <w:rPr>
          <w:rStyle w:val="KleinKapitaalAuteursCtrlAltK"/>
          <w:smallCaps w:val="0"/>
          <w:lang w:val="nl-BE"/>
        </w:rPr>
        <w:t xml:space="preserve">Artikel 14/2, §1 WAP stelt duidelijk dat het eenheidsstatuut enkel geldig is voor werklieden en bedienden die zich in een vergelijkbare situatie bevinden. Dit is een duidelijke verwijzing naar de vergelijkbaarheidstoets. Aangezien er geen mogelijkheid meer zal bestaan tot rechtvaardiging zal een verschil dat de vergelijkbaarheidstoets doorstaat automatisch kwalificeren als een discriminatie. </w:t>
      </w:r>
    </w:p>
    <w:p w14:paraId="4FA928D2" w14:textId="29E74E57" w:rsidR="004B706F" w:rsidRPr="0058444E" w:rsidRDefault="004B706F" w:rsidP="004B706F">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De vraag stelt zich hoe strikt deze interpretatie gehanteerd dient te worden. Bij een zeer losse interpretatie van deze vergelijkbaarheidstoets bestaat het gevaar dat de harmonisering geen realiteit wordt. Bij een zeer strikte interpretatie daarentegen zal de vergelijkbaarheidstoets enkel een uitweg bieden om een zeer diverse soorten werknemers anders te behandelen.</w:t>
      </w:r>
    </w:p>
    <w:p w14:paraId="772D486B" w14:textId="17FCA85B" w:rsidR="00493ADD" w:rsidRPr="0058444E" w:rsidRDefault="004B706F" w:rsidP="00124B33">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 xml:space="preserve">Uit het voorbeeld dat de wetgever gebruikt heeft blijkt duidelijk dat het niet de bedoeling is om het eenheidsstatuut op zich in vraag te stellen via de vergelijkbaarheidstoets. De wetgever wil echter benadrukken dat niet alle bedienden en alle arbeiders vanaf 1 januari 2030 onder </w:t>
      </w:r>
      <w:r w:rsidR="00C03DCC">
        <w:rPr>
          <w:rStyle w:val="KleinKapitaalAuteursCtrlAltK"/>
          <w:smallCaps w:val="0"/>
          <w:lang w:val="nl-BE"/>
        </w:rPr>
        <w:t>hetzelfde</w:t>
      </w:r>
      <w:r w:rsidRPr="0058444E">
        <w:rPr>
          <w:rStyle w:val="KleinKapitaalAuteursCtrlAltK"/>
          <w:smallCaps w:val="0"/>
          <w:lang w:val="nl-BE"/>
        </w:rPr>
        <w:t xml:space="preserve"> pensioenstelsel met dezelfde pensioenvoordelen moeten vallen.</w:t>
      </w:r>
      <w:r w:rsidRPr="0058444E">
        <w:rPr>
          <w:rStyle w:val="Voetnootmarkering"/>
        </w:rPr>
        <w:footnoteReference w:id="116"/>
      </w:r>
      <w:r w:rsidR="00CE09EF">
        <w:rPr>
          <w:rStyle w:val="KleinKapitaalAuteursCtrlAltK"/>
          <w:smallCaps w:val="0"/>
          <w:lang w:val="nl-BE"/>
        </w:rPr>
        <w:t xml:space="preserve"> Zo </w:t>
      </w:r>
      <w:r w:rsidR="00B17EB5">
        <w:rPr>
          <w:rStyle w:val="KleinKapitaalAuteursCtrlAltK"/>
          <w:smallCaps w:val="0"/>
          <w:lang w:val="nl-BE"/>
        </w:rPr>
        <w:t>zijn</w:t>
      </w:r>
      <w:r w:rsidR="009E5331">
        <w:rPr>
          <w:rStyle w:val="KleinKapitaalAuteursCtrlAltK"/>
          <w:smallCaps w:val="0"/>
          <w:lang w:val="nl-BE"/>
        </w:rPr>
        <w:t xml:space="preserve"> </w:t>
      </w:r>
      <w:r w:rsidR="00B17EB5">
        <w:rPr>
          <w:rStyle w:val="KleinKapitaalAuteursCtrlAltK"/>
          <w:smallCaps w:val="0"/>
          <w:lang w:val="nl-BE"/>
        </w:rPr>
        <w:t>er nog steeds afzonderlijke pensioenstelsels of afzonderlijke regelingen mogelijk in het kader van een zelfde pensioenstelsel voor handelsvertegenwoordigers, kaderleden, directieleden, werk</w:t>
      </w:r>
      <w:r w:rsidR="006729C6">
        <w:rPr>
          <w:rStyle w:val="KleinKapitaalAuteursCtrlAltK"/>
          <w:smallCaps w:val="0"/>
          <w:lang w:val="nl-BE"/>
        </w:rPr>
        <w:t>ne</w:t>
      </w:r>
      <w:r w:rsidR="00B17EB5">
        <w:rPr>
          <w:rStyle w:val="KleinKapitaalAuteursCtrlAltK"/>
          <w:smallCaps w:val="0"/>
          <w:lang w:val="nl-BE"/>
        </w:rPr>
        <w:t>mers die in ploeg</w:t>
      </w:r>
      <w:r w:rsidR="009E5331">
        <w:rPr>
          <w:rStyle w:val="KleinKapitaalAuteursCtrlAltK"/>
          <w:smallCaps w:val="0"/>
          <w:lang w:val="nl-BE"/>
        </w:rPr>
        <w:t>en werken, enzovoort.</w:t>
      </w:r>
      <w:r w:rsidR="009E5331">
        <w:rPr>
          <w:rStyle w:val="Voetnootmarkering"/>
        </w:rPr>
        <w:footnoteReference w:id="117"/>
      </w:r>
      <w:r w:rsidR="009E5331">
        <w:rPr>
          <w:rStyle w:val="KleinKapitaalAuteursCtrlAltK"/>
          <w:smallCaps w:val="0"/>
          <w:lang w:val="nl-BE"/>
        </w:rPr>
        <w:t xml:space="preserve"> </w:t>
      </w:r>
      <w:r w:rsidR="00124B33">
        <w:rPr>
          <w:rStyle w:val="KleinKapitaalAuteursCtrlAltK"/>
          <w:smallCaps w:val="0"/>
          <w:lang w:val="nl-BE"/>
        </w:rPr>
        <w:br w:type="page"/>
      </w:r>
    </w:p>
    <w:p w14:paraId="0E22A668" w14:textId="19A47D45" w:rsidR="00220578" w:rsidRPr="0058444E" w:rsidRDefault="00F43730" w:rsidP="00090FD7">
      <w:pPr>
        <w:pStyle w:val="Kop2"/>
      </w:pPr>
      <w:bookmarkStart w:id="59" w:name="_Toc228784110"/>
      <w:r w:rsidRPr="0058444E">
        <w:t xml:space="preserve">stand van zaken </w:t>
      </w:r>
      <w:r w:rsidR="00D7144E">
        <w:t>van de</w:t>
      </w:r>
      <w:r w:rsidRPr="0058444E">
        <w:t xml:space="preserve"> harmonisering</w:t>
      </w:r>
      <w:bookmarkEnd w:id="59"/>
    </w:p>
    <w:p w14:paraId="1D608BCD" w14:textId="4F877624" w:rsidR="00090FD7" w:rsidRPr="0058444E" w:rsidRDefault="009962E5" w:rsidP="00090FD7">
      <w:pPr>
        <w:pStyle w:val="Randnummer"/>
        <w:spacing w:line="360" w:lineRule="auto"/>
      </w:pPr>
      <w:r>
        <w:rPr>
          <w:rStyle w:val="KleinKapitaalAuteursCtrlAltK"/>
        </w:rPr>
        <w:t xml:space="preserve">Inleiding - </w:t>
      </w:r>
      <w:r w:rsidR="00090FD7" w:rsidRPr="0058444E">
        <w:t>Indien men tracht een voorlopige balans op te maken van de stand van zaken van de harmonisering, dient men voornamelijk te kijken naar de sectoren</w:t>
      </w:r>
      <w:r w:rsidR="00006741">
        <w:t>.</w:t>
      </w:r>
      <w:r w:rsidR="00090FD7" w:rsidRPr="0058444E">
        <w:t xml:space="preserve"> </w:t>
      </w:r>
      <w:r w:rsidR="00006741">
        <w:t>D</w:t>
      </w:r>
      <w:r w:rsidR="00090FD7" w:rsidRPr="0058444E">
        <w:t>oor de wetgever</w:t>
      </w:r>
      <w:r w:rsidR="00006741">
        <w:t xml:space="preserve"> werd</w:t>
      </w:r>
      <w:r w:rsidR="00090FD7" w:rsidRPr="0058444E">
        <w:t xml:space="preserve"> van hen </w:t>
      </w:r>
      <w:r w:rsidR="00006741">
        <w:t xml:space="preserve">namelijk </w:t>
      </w:r>
      <w:r w:rsidR="00090FD7" w:rsidRPr="0058444E">
        <w:t>meteen een actieve houding</w:t>
      </w:r>
      <w:r w:rsidR="00006741">
        <w:t xml:space="preserve"> </w:t>
      </w:r>
      <w:r w:rsidR="00090FD7" w:rsidRPr="0058444E">
        <w:t>verwacht.</w:t>
      </w:r>
      <w:r w:rsidR="006330D9">
        <w:rPr>
          <w:rStyle w:val="Voetnootmarkering"/>
        </w:rPr>
        <w:footnoteReference w:id="118"/>
      </w:r>
      <w:r w:rsidR="00090FD7" w:rsidRPr="0058444E">
        <w:t xml:space="preserve"> Dankzij het systeem van tussentijdse rapportering over de stand van zaken, heeft men toegang tot de nodige transparantie. </w:t>
      </w:r>
    </w:p>
    <w:p w14:paraId="4110011F" w14:textId="5B275826" w:rsidR="00FF7ED8" w:rsidRPr="0058444E" w:rsidRDefault="00FF7ED8" w:rsidP="00084344">
      <w:pPr>
        <w:pStyle w:val="Randnummer"/>
        <w:numPr>
          <w:ilvl w:val="0"/>
          <w:numId w:val="0"/>
        </w:numPr>
        <w:spacing w:line="360" w:lineRule="auto"/>
        <w:ind w:left="357"/>
      </w:pPr>
      <w:r w:rsidRPr="0058444E">
        <w:t xml:space="preserve">In afdeling I worden de knelpunten toegelicht waar </w:t>
      </w:r>
      <w:r w:rsidR="00CD69D7">
        <w:t>de sociale partners op zijn gebotst tijdens de onderhandelingen. Gevolgd door een</w:t>
      </w:r>
      <w:r w:rsidRPr="0058444E">
        <w:t xml:space="preserve"> analyse in afdeling II van de reeds bereikte harmonisatie.</w:t>
      </w:r>
      <w:r w:rsidR="00C15774" w:rsidRPr="0058444E">
        <w:t xml:space="preserve"> Aan de hand hiervan</w:t>
      </w:r>
      <w:r w:rsidR="00636B8B" w:rsidRPr="0058444E">
        <w:t xml:space="preserve"> kan nagegaan worden welke verschillen er in het aanvullend pensioen nog steeds bestaan tussen arbeiders en bedienden</w:t>
      </w:r>
      <w:r w:rsidR="0051678F">
        <w:t xml:space="preserve"> en welke stappen er nog gezet moeten worden. </w:t>
      </w:r>
    </w:p>
    <w:p w14:paraId="3DAC4614" w14:textId="52343C56" w:rsidR="00090FD7" w:rsidRPr="0058444E" w:rsidRDefault="00C51B28" w:rsidP="00C51B28">
      <w:pPr>
        <w:pStyle w:val="Kop3"/>
      </w:pPr>
      <w:bookmarkStart w:id="60" w:name="_Toc228784111"/>
      <w:r w:rsidRPr="0058444E">
        <w:t>Afdeling I. Knelpunten</w:t>
      </w:r>
      <w:r w:rsidR="00B30149">
        <w:t xml:space="preserve"> in het harmonisatieproces</w:t>
      </w:r>
      <w:bookmarkEnd w:id="60"/>
    </w:p>
    <w:p w14:paraId="1B56ED0E" w14:textId="0700F849" w:rsidR="00C51B28" w:rsidRPr="0058444E" w:rsidRDefault="00D1788E" w:rsidP="00D1788E">
      <w:pPr>
        <w:pStyle w:val="Randnummer"/>
        <w:spacing w:line="360" w:lineRule="auto"/>
        <w:rPr>
          <w:rStyle w:val="KleinKapitaalAuteursCtrlAltK"/>
          <w:smallCaps w:val="0"/>
          <w:lang w:val="nl-BE"/>
        </w:rPr>
      </w:pPr>
      <w:r w:rsidRPr="0058444E">
        <w:rPr>
          <w:rStyle w:val="KleinKapitaalAuteursCtrlAltK"/>
          <w:lang w:val="nl-BE"/>
        </w:rPr>
        <w:t xml:space="preserve">Democratisering – </w:t>
      </w:r>
      <w:r w:rsidRPr="0058444E">
        <w:rPr>
          <w:rStyle w:val="KleinKapitaalAuteursCtrlAltK"/>
          <w:smallCaps w:val="0"/>
          <w:lang w:val="nl-BE"/>
        </w:rPr>
        <w:t>Sinds de invoering van de WAP kan een aanvullend pensioen ook opgestart worden op het niveau van een bedrijfstak. Op deze manier tracht de wetgever ervoor te zorgen dat de aanvullende pensioenen verder gedemocratiseerd worden naar de arbeiders toe.</w:t>
      </w:r>
      <w:r w:rsidRPr="0058444E">
        <w:rPr>
          <w:rStyle w:val="Voetnootmarkering"/>
        </w:rPr>
        <w:footnoteReference w:id="119"/>
      </w:r>
      <w:r w:rsidR="00FF4E25" w:rsidRPr="0058444E">
        <w:rPr>
          <w:rStyle w:val="KleinKapitaalAuteursCtrlAltK"/>
          <w:smallCaps w:val="0"/>
          <w:lang w:val="nl-BE"/>
        </w:rPr>
        <w:t xml:space="preserve"> Hiervoor werden pensioentoezeggingen op ondernemingsniveau vaak nog voorbehouden voor kaderleden en bedienden. De democratisering ligt vervat in het feit dat de WAP de sectoren de mogelijkheid heeft gegeven om zelf een aanvullend pensioen op te starten.</w:t>
      </w:r>
      <w:r w:rsidR="00FF4E25" w:rsidRPr="0058444E">
        <w:rPr>
          <w:rStyle w:val="Voetnootmarkering"/>
        </w:rPr>
        <w:footnoteReference w:id="120"/>
      </w:r>
    </w:p>
    <w:p w14:paraId="7F725C9B" w14:textId="09B5F953" w:rsidR="00E86703" w:rsidRPr="0058444E" w:rsidRDefault="00E86703" w:rsidP="00E86703">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Deze aanpassing zorgde ervoor dat er op 1 januari 2024 reeds 89 pensioentoezeggingen bestonden op sectoraal niveau, waarbij 2.570.149 werknemers waren aangesloten.</w:t>
      </w:r>
      <w:r w:rsidRPr="0058444E">
        <w:rPr>
          <w:rStyle w:val="Voetnootmarkering"/>
        </w:rPr>
        <w:footnoteReference w:id="121"/>
      </w:r>
      <w:r w:rsidR="00463512" w:rsidRPr="0058444E">
        <w:rPr>
          <w:rStyle w:val="KleinKapitaalAuteursCtrlAltK"/>
          <w:smallCaps w:val="0"/>
          <w:lang w:val="nl-BE"/>
        </w:rPr>
        <w:t xml:space="preserve"> Het is zeer opmerkelijk dat met een beperkt aantal sectorstelsels zo een groot aantal aangeslotenen kan worden bereikt. Vooral arbeidssectoren zijn gestart met dit sectoraal pensioenstelsel waarmee zij de kloof tussen arbeiders en bedienden al konden verkleinen. </w:t>
      </w:r>
    </w:p>
    <w:p w14:paraId="6E2B4A49" w14:textId="70334485" w:rsidR="00463512" w:rsidRPr="0058444E" w:rsidRDefault="00463512" w:rsidP="00E86703">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 xml:space="preserve">Toch zijn er enkele kanttekeningen </w:t>
      </w:r>
      <w:r w:rsidR="006473D0" w:rsidRPr="0058444E">
        <w:rPr>
          <w:rStyle w:val="KleinKapitaalAuteursCtrlAltK"/>
          <w:smallCaps w:val="0"/>
          <w:lang w:val="nl-BE"/>
        </w:rPr>
        <w:t xml:space="preserve">die gemaakt </w:t>
      </w:r>
      <w:r w:rsidR="00CF6B4F">
        <w:rPr>
          <w:rStyle w:val="KleinKapitaalAuteursCtrlAltK"/>
          <w:smallCaps w:val="0"/>
          <w:lang w:val="nl-BE"/>
        </w:rPr>
        <w:t xml:space="preserve">moeten worden. </w:t>
      </w:r>
      <w:r w:rsidR="00204FAD" w:rsidRPr="0058444E">
        <w:rPr>
          <w:rStyle w:val="KleinKapitaalAuteursCtrlAltK"/>
          <w:smallCaps w:val="0"/>
          <w:lang w:val="nl-BE"/>
        </w:rPr>
        <w:t xml:space="preserve">Eerst en vooral blijkt de verdieping van de kwaliteit van de sectorstelsels niet zo een succesverhaal als de verbreding ervan. Daarnaast genieten bedienden nog vaker dan arbeiders van een gunstig ondernemingsstelsel. Ook wordt er door de inrichting van pensioenstelsels op het niveau van een bedrijfstak nog steeds een onderscheid beklemtoond tussen arbeiders en bedienden. </w:t>
      </w:r>
      <w:r w:rsidR="00CF6B4F">
        <w:rPr>
          <w:rStyle w:val="KleinKapitaalAuteursCtrlAltK"/>
          <w:smallCaps w:val="0"/>
          <w:lang w:val="nl-BE"/>
        </w:rPr>
        <w:t xml:space="preserve">Deze </w:t>
      </w:r>
      <w:r w:rsidR="005A7E82">
        <w:rPr>
          <w:rStyle w:val="KleinKapitaalAuteursCtrlAltK"/>
          <w:smallCaps w:val="0"/>
          <w:lang w:val="nl-BE"/>
        </w:rPr>
        <w:t>knelpunten</w:t>
      </w:r>
      <w:r w:rsidR="00CF6B4F">
        <w:rPr>
          <w:rStyle w:val="KleinKapitaalAuteursCtrlAltK"/>
          <w:smallCaps w:val="0"/>
          <w:lang w:val="nl-BE"/>
        </w:rPr>
        <w:t xml:space="preserve"> worden hieronder toegelicht. </w:t>
      </w:r>
      <w:r w:rsidR="00264B09">
        <w:rPr>
          <w:rStyle w:val="KleinKapitaalAuteursCtrlAltK"/>
          <w:smallCaps w:val="0"/>
          <w:lang w:val="nl-BE"/>
        </w:rPr>
        <w:t>Al deze knelpunten bevinden zich binnen de overkoepelende problematiek van de organisatie van de paritaire comités in België.</w:t>
      </w:r>
    </w:p>
    <w:p w14:paraId="223211CC" w14:textId="727E146A" w:rsidR="002D5899" w:rsidRPr="00264B09" w:rsidRDefault="002D5899" w:rsidP="002D5899">
      <w:pPr>
        <w:pStyle w:val="Kop4"/>
        <w:rPr>
          <w:rStyle w:val="KleinKapitaalAuteursCtrlAltK"/>
          <w:smallCaps w:val="0"/>
          <w:lang w:val="nl-BE"/>
        </w:rPr>
      </w:pPr>
      <w:bookmarkStart w:id="61" w:name="_Toc228784112"/>
      <w:r w:rsidRPr="00264B09">
        <w:rPr>
          <w:rStyle w:val="KleinKapitaalAuteursCtrlAltK"/>
          <w:smallCaps w:val="0"/>
          <w:lang w:val="nl-BE"/>
        </w:rPr>
        <w:t xml:space="preserve">Knelpunt 1: </w:t>
      </w:r>
      <w:r w:rsidR="00264B09" w:rsidRPr="00264B09">
        <w:rPr>
          <w:rStyle w:val="KleinKapitaalAuteursCtrlAltK"/>
          <w:smallCaps w:val="0"/>
          <w:lang w:val="nl-BE"/>
        </w:rPr>
        <w:t>Meeste paritaire comités enkel bevoeg</w:t>
      </w:r>
      <w:r w:rsidR="00264B09">
        <w:rPr>
          <w:rStyle w:val="KleinKapitaalAuteursCtrlAltK"/>
          <w:smallCaps w:val="0"/>
          <w:lang w:val="nl-BE"/>
        </w:rPr>
        <w:t>d voor arbeiders of bedienden</w:t>
      </w:r>
      <w:bookmarkEnd w:id="61"/>
    </w:p>
    <w:p w14:paraId="65088FE0" w14:textId="45DDC595" w:rsidR="00604290" w:rsidRPr="0058444E" w:rsidRDefault="004E1D94" w:rsidP="00636A01">
      <w:pPr>
        <w:pStyle w:val="Randnummer"/>
        <w:spacing w:line="360" w:lineRule="auto"/>
      </w:pPr>
      <w:r w:rsidRPr="0058444E">
        <w:rPr>
          <w:rStyle w:val="KleinKapitaalAuteursCtrlAltK"/>
          <w:lang w:val="nl-BE"/>
        </w:rPr>
        <w:t xml:space="preserve">Paritaire comités – </w:t>
      </w:r>
      <w:r w:rsidRPr="0058444E">
        <w:rPr>
          <w:rStyle w:val="KleinKapitaalAuteursCtrlAltK"/>
          <w:smallCaps w:val="0"/>
          <w:lang w:val="nl-BE"/>
        </w:rPr>
        <w:t>De organisatie van het aanvullend pensioen op sectoraal niveau heeft helaas geleid tot een verdere inburgering van de categorie ‘arbeiders’ en ‘bedienden’ in aanvullende pensioenen. België staat namelijk gekend voor een ingewikkeld landschap van sociaal sectoraal overleg dat daarbovenop nog eens te maken krijgt met de dualiteit tussen arbeiders en bedienden.</w:t>
      </w:r>
      <w:r w:rsidRPr="0058444E">
        <w:rPr>
          <w:rStyle w:val="Voetnootmarkering"/>
        </w:rPr>
        <w:footnoteReference w:id="122"/>
      </w:r>
    </w:p>
    <w:p w14:paraId="3DBF9E38" w14:textId="1D3974DB" w:rsidR="00636A01" w:rsidRPr="0058444E" w:rsidRDefault="00636A01" w:rsidP="00636A01">
      <w:pPr>
        <w:pStyle w:val="Randnummer"/>
        <w:spacing w:line="360" w:lineRule="auto"/>
        <w:rPr>
          <w:rStyle w:val="KleinKapitaalAuteursCtrlAltK"/>
          <w:smallCaps w:val="0"/>
          <w:lang w:val="nl-BE"/>
        </w:rPr>
      </w:pPr>
      <w:r w:rsidRPr="0058444E">
        <w:rPr>
          <w:rStyle w:val="KleinKapitaalAuteursCtrlAltK"/>
          <w:lang w:val="nl-BE"/>
        </w:rPr>
        <w:t xml:space="preserve">Historiek </w:t>
      </w:r>
      <w:r w:rsidR="00BE2845" w:rsidRPr="0058444E">
        <w:rPr>
          <w:rStyle w:val="KleinKapitaalAuteursCtrlAltK"/>
          <w:lang w:val="nl-BE"/>
        </w:rPr>
        <w:t>–</w:t>
      </w:r>
      <w:r w:rsidRPr="0058444E">
        <w:rPr>
          <w:rStyle w:val="KleinKapitaalAuteursCtrlAltK"/>
          <w:lang w:val="nl-BE"/>
        </w:rPr>
        <w:t xml:space="preserve"> </w:t>
      </w:r>
      <w:r w:rsidR="00BE2845" w:rsidRPr="0058444E">
        <w:rPr>
          <w:rStyle w:val="KleinKapitaalAuteursCtrlAltK"/>
          <w:smallCaps w:val="0"/>
          <w:lang w:val="nl-BE"/>
        </w:rPr>
        <w:t>De wet van 1968 betreffende de collectieve arbeidsovereenkomsten en de paritaire comités gaf de Koning de bevoegdheid om paritaire comités op te richten en het ressort hiervan te bepalen.</w:t>
      </w:r>
      <w:r w:rsidR="00BE2845" w:rsidRPr="0058444E">
        <w:rPr>
          <w:rStyle w:val="Voetnootmarkering"/>
        </w:rPr>
        <w:footnoteReference w:id="123"/>
      </w:r>
      <w:r w:rsidR="00796251" w:rsidRPr="0058444E">
        <w:rPr>
          <w:rStyle w:val="KleinKapitaalAuteursCtrlAltK"/>
          <w:smallCaps w:val="0"/>
          <w:lang w:val="nl-BE"/>
        </w:rPr>
        <w:t xml:space="preserve"> Deze paritaire comités konden opgericht worden voor uitsluitend arbeiders of uitsluitend bedienden, maar ook voor beide groepen tezamen.</w:t>
      </w:r>
      <w:r w:rsidR="00AA52E0" w:rsidRPr="0058444E">
        <w:rPr>
          <w:rStyle w:val="Voetnootmarkering"/>
        </w:rPr>
        <w:footnoteReference w:id="124"/>
      </w:r>
    </w:p>
    <w:p w14:paraId="3FEA1982" w14:textId="5FB63FFC" w:rsidR="00140591" w:rsidRPr="0058444E" w:rsidRDefault="00140591" w:rsidP="00140591">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De organisatie volgens deze onderverdeling arbeider/bediende heeft als gevolg dat indien een niet-gemengd paritair comité een pensioenstelsel invoert, dit automatisch beperkt wordt tot arbeiders of bedienden. Toch valt het op dat er in de nieuwere sectoren zoals dienstverlening en non-profit vanaf de start werd besloten om het toepassings</w:t>
      </w:r>
      <w:r w:rsidR="00260B25">
        <w:rPr>
          <w:rStyle w:val="KleinKapitaalAuteursCtrlAltK"/>
          <w:smallCaps w:val="0"/>
          <w:lang w:val="nl-BE"/>
        </w:rPr>
        <w:t>ge</w:t>
      </w:r>
      <w:r w:rsidRPr="0058444E">
        <w:rPr>
          <w:rStyle w:val="KleinKapitaalAuteursCtrlAltK"/>
          <w:smallCaps w:val="0"/>
          <w:lang w:val="nl-BE"/>
        </w:rPr>
        <w:t>bied open te stellen voor zowel arbeiders als bedienden.</w:t>
      </w:r>
      <w:r w:rsidR="001821C8">
        <w:rPr>
          <w:rStyle w:val="Voetnootmarkering"/>
        </w:rPr>
        <w:footnoteReference w:id="125"/>
      </w:r>
      <w:r w:rsidRPr="0058444E">
        <w:rPr>
          <w:rStyle w:val="KleinKapitaalAuteursCtrlAltK"/>
          <w:smallCaps w:val="0"/>
          <w:lang w:val="nl-BE"/>
        </w:rPr>
        <w:t xml:space="preserve"> Het blijft </w:t>
      </w:r>
      <w:r w:rsidR="00A93472">
        <w:rPr>
          <w:rStyle w:val="KleinKapitaalAuteursCtrlAltK"/>
          <w:smallCaps w:val="0"/>
          <w:lang w:val="nl-BE"/>
        </w:rPr>
        <w:t>evenwel betreurenswaardig</w:t>
      </w:r>
      <w:r w:rsidRPr="0058444E">
        <w:rPr>
          <w:rStyle w:val="KleinKapitaalAuteursCtrlAltK"/>
          <w:smallCaps w:val="0"/>
          <w:lang w:val="nl-BE"/>
        </w:rPr>
        <w:t xml:space="preserve"> dat het bij de traditionele sectoren wat moeilijker ligt om naar een geharmoniseerd paritair comité toe te werken.</w:t>
      </w:r>
      <w:r w:rsidRPr="0058444E">
        <w:rPr>
          <w:rStyle w:val="Voetnootmarkering"/>
        </w:rPr>
        <w:footnoteReference w:id="126"/>
      </w:r>
    </w:p>
    <w:p w14:paraId="64FA57CA" w14:textId="6969BED1" w:rsidR="003610C3" w:rsidRPr="0058444E" w:rsidRDefault="00F9448C" w:rsidP="00F9448C">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Hoewel de Federale Regering in haar regeerakkoord van 2014 stelde dat ze voorstellen zou doen om het aantal paritaire comités te verminderen en zou trachten het sociaal overleg te moderniseren om op deze wijze meer rekening te houden met het eengemaakt statuut alsook met het arbeidsrechtelijk eenheidsstatuut, kunnen we concluderen uit de evolutie van het aantal paritaire comités dat deze modernisering z</w:t>
      </w:r>
      <w:r w:rsidR="00123D6A">
        <w:rPr>
          <w:rStyle w:val="KleinKapitaalAuteursCtrlAltK"/>
          <w:smallCaps w:val="0"/>
          <w:lang w:val="nl-BE"/>
        </w:rPr>
        <w:t>e</w:t>
      </w:r>
      <w:r w:rsidRPr="0058444E">
        <w:rPr>
          <w:rStyle w:val="KleinKapitaalAuteursCtrlAltK"/>
          <w:smallCaps w:val="0"/>
          <w:lang w:val="nl-BE"/>
        </w:rPr>
        <w:t>ker nog niet werd afgerond.</w:t>
      </w:r>
      <w:r w:rsidRPr="0058444E">
        <w:rPr>
          <w:rStyle w:val="Voetnootmarkering"/>
        </w:rPr>
        <w:footnoteReference w:id="127"/>
      </w:r>
    </w:p>
    <w:p w14:paraId="6865D629" w14:textId="1FC0C10E" w:rsidR="00556594" w:rsidRPr="0058444E" w:rsidRDefault="00556594" w:rsidP="00F9448C">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Er kan vastgesteld worden dat er in 1991 maar 26 gemengde paritaire comités bestonden</w:t>
      </w:r>
      <w:r w:rsidR="00074F10">
        <w:rPr>
          <w:rStyle w:val="KleinKapitaalAuteursCtrlAltK"/>
          <w:smallCaps w:val="0"/>
          <w:lang w:val="nl-BE"/>
        </w:rPr>
        <w:t>,</w:t>
      </w:r>
      <w:r w:rsidRPr="0058444E">
        <w:rPr>
          <w:rStyle w:val="Voetnootmarkering"/>
        </w:rPr>
        <w:footnoteReference w:id="128"/>
      </w:r>
      <w:r w:rsidR="009C4737" w:rsidRPr="0058444E">
        <w:rPr>
          <w:rStyle w:val="KleinKapitaalAuteursCtrlAltK"/>
          <w:smallCaps w:val="0"/>
          <w:lang w:val="nl-BE"/>
        </w:rPr>
        <w:t xml:space="preserve"> wat er in 2019 </w:t>
      </w:r>
      <w:r w:rsidR="00FD27CF">
        <w:rPr>
          <w:rStyle w:val="KleinKapitaalAuteursCtrlAltK"/>
          <w:smallCaps w:val="0"/>
          <w:lang w:val="nl-BE"/>
        </w:rPr>
        <w:t>‘</w:t>
      </w:r>
      <w:r w:rsidR="009C4737" w:rsidRPr="0058444E">
        <w:rPr>
          <w:rStyle w:val="KleinKapitaalAuteursCtrlAltK"/>
          <w:smallCaps w:val="0"/>
          <w:lang w:val="nl-BE"/>
        </w:rPr>
        <w:t>reeds</w:t>
      </w:r>
      <w:r w:rsidR="00FD27CF">
        <w:rPr>
          <w:rStyle w:val="KleinKapitaalAuteursCtrlAltK"/>
          <w:smallCaps w:val="0"/>
          <w:lang w:val="nl-BE"/>
        </w:rPr>
        <w:t>’</w:t>
      </w:r>
      <w:r w:rsidR="009C4737" w:rsidRPr="0058444E">
        <w:rPr>
          <w:rStyle w:val="KleinKapitaalAuteursCtrlAltK"/>
          <w:smallCaps w:val="0"/>
          <w:lang w:val="nl-BE"/>
        </w:rPr>
        <w:t xml:space="preserve"> 39 waren.</w:t>
      </w:r>
      <w:r w:rsidR="009C4737" w:rsidRPr="0058444E">
        <w:rPr>
          <w:rStyle w:val="Voetnootmarkering"/>
        </w:rPr>
        <w:footnoteReference w:id="129"/>
      </w:r>
      <w:r w:rsidR="00E47011" w:rsidRPr="0058444E">
        <w:rPr>
          <w:rStyle w:val="KleinKapitaalAuteursCtrlAltK"/>
          <w:smallCaps w:val="0"/>
          <w:lang w:val="nl-BE"/>
        </w:rPr>
        <w:t xml:space="preserve"> </w:t>
      </w:r>
      <w:r w:rsidR="00760387">
        <w:rPr>
          <w:rStyle w:val="KleinKapitaalAuteursCtrlAltK"/>
          <w:smallCaps w:val="0"/>
          <w:lang w:val="nl-BE"/>
        </w:rPr>
        <w:t xml:space="preserve">Er bestaan </w:t>
      </w:r>
      <w:r w:rsidR="00E47011" w:rsidRPr="0058444E">
        <w:rPr>
          <w:rStyle w:val="KleinKapitaalAuteursCtrlAltK"/>
          <w:smallCaps w:val="0"/>
          <w:lang w:val="nl-BE"/>
        </w:rPr>
        <w:t>nog een heel aantal paritaire comités die enkel van toepassing zijn op arbeiders of bedienden</w:t>
      </w:r>
      <w:r w:rsidR="00523628">
        <w:rPr>
          <w:rStyle w:val="KleinKapitaalAuteursCtrlAltK"/>
          <w:smallCaps w:val="0"/>
          <w:lang w:val="nl-BE"/>
        </w:rPr>
        <w:t xml:space="preserve">. </w:t>
      </w:r>
      <w:r w:rsidR="00E47011" w:rsidRPr="0058444E">
        <w:rPr>
          <w:rStyle w:val="KleinKapitaalAuteursCtrlAltK"/>
          <w:smallCaps w:val="0"/>
          <w:lang w:val="nl-BE"/>
        </w:rPr>
        <w:t xml:space="preserve">In 2019 waren er nog een aantal honderd </w:t>
      </w:r>
      <w:r w:rsidR="00383185" w:rsidRPr="0058444E">
        <w:rPr>
          <w:rStyle w:val="KleinKapitaalAuteursCtrlAltK"/>
          <w:smallCaps w:val="0"/>
          <w:lang w:val="nl-BE"/>
        </w:rPr>
        <w:t>paritaire</w:t>
      </w:r>
      <w:r w:rsidR="00E47011" w:rsidRPr="0058444E">
        <w:rPr>
          <w:rStyle w:val="KleinKapitaalAuteursCtrlAltK"/>
          <w:smallCaps w:val="0"/>
          <w:lang w:val="nl-BE"/>
        </w:rPr>
        <w:t xml:space="preserve"> (sub)comités waarvan het toepassingsgebied beperkt werd tot enkel arbeiders of enkel bedienden. In het kader van de harmonisatie moeten zij elkaar opzoeken als gesprekspartner. </w:t>
      </w:r>
      <w:r w:rsidR="006C76A4" w:rsidRPr="0058444E">
        <w:rPr>
          <w:rStyle w:val="KleinKapitaalAuteursCtrlAltK"/>
          <w:smallCaps w:val="0"/>
          <w:lang w:val="nl-BE"/>
        </w:rPr>
        <w:t xml:space="preserve">Er kan dus geconcludeerd worden dat deze hervorming van het sectoraal overleg op zich laat wachten, terwijl de tijd om de aanvullende pensioenen </w:t>
      </w:r>
      <w:r w:rsidR="002923C4">
        <w:rPr>
          <w:rStyle w:val="KleinKapitaalAuteursCtrlAltK"/>
          <w:smallCaps w:val="0"/>
          <w:lang w:val="nl-BE"/>
        </w:rPr>
        <w:t>te harmoniseren</w:t>
      </w:r>
      <w:r w:rsidR="006C76A4" w:rsidRPr="0058444E">
        <w:rPr>
          <w:rStyle w:val="KleinKapitaalAuteursCtrlAltK"/>
          <w:smallCaps w:val="0"/>
          <w:lang w:val="nl-BE"/>
        </w:rPr>
        <w:t xml:space="preserve"> wel genadeloos weg tikt.</w:t>
      </w:r>
    </w:p>
    <w:p w14:paraId="06AD2193" w14:textId="4044B4FC" w:rsidR="006C76A4" w:rsidRPr="0058444E" w:rsidRDefault="006C76A4" w:rsidP="006C76A4">
      <w:pPr>
        <w:pStyle w:val="Kop4"/>
        <w:rPr>
          <w:rStyle w:val="KleinKapitaalAuteursCtrlAltK"/>
          <w:smallCaps w:val="0"/>
          <w:lang w:val="nl-BE"/>
        </w:rPr>
      </w:pPr>
      <w:bookmarkStart w:id="62" w:name="_Toc228784113"/>
      <w:r w:rsidRPr="0058444E">
        <w:rPr>
          <w:rStyle w:val="KleinKapitaalAuteursCtrlAltK"/>
          <w:smallCaps w:val="0"/>
          <w:lang w:val="nl-BE"/>
        </w:rPr>
        <w:t>Knelpunt 2: Asymmetrie tussen bevoegdheidsgebied paritaire comités.</w:t>
      </w:r>
      <w:bookmarkEnd w:id="62"/>
      <w:r w:rsidRPr="0058444E">
        <w:rPr>
          <w:rStyle w:val="KleinKapitaalAuteursCtrlAltK"/>
          <w:smallCaps w:val="0"/>
          <w:lang w:val="nl-BE"/>
        </w:rPr>
        <w:t xml:space="preserve"> </w:t>
      </w:r>
    </w:p>
    <w:p w14:paraId="56B67AD9" w14:textId="465EC205" w:rsidR="009F399D" w:rsidRPr="0017577F" w:rsidRDefault="00F5096C" w:rsidP="0017577F">
      <w:pPr>
        <w:pStyle w:val="Randnummer"/>
        <w:spacing w:line="360" w:lineRule="auto"/>
        <w:rPr>
          <w:rStyle w:val="KleinKapitaalAuteursCtrlAltK"/>
          <w:smallCaps w:val="0"/>
          <w:lang w:val="nl-BE"/>
        </w:rPr>
      </w:pPr>
      <w:r w:rsidRPr="0058444E">
        <w:rPr>
          <w:rStyle w:val="KleinKapitaalAuteursCtrlAltK"/>
          <w:lang w:val="nl-BE"/>
        </w:rPr>
        <w:t xml:space="preserve">Asymmetrie </w:t>
      </w:r>
      <w:r w:rsidR="00CE3CE9" w:rsidRPr="0058444E">
        <w:rPr>
          <w:rStyle w:val="KleinKapitaalAuteursCtrlAltK"/>
          <w:lang w:val="nl-BE"/>
        </w:rPr>
        <w:t>–</w:t>
      </w:r>
      <w:r w:rsidRPr="0058444E">
        <w:rPr>
          <w:rStyle w:val="KleinKapitaalAuteursCtrlAltK"/>
          <w:lang w:val="nl-BE"/>
        </w:rPr>
        <w:t xml:space="preserve"> </w:t>
      </w:r>
      <w:r w:rsidR="00CE3CE9" w:rsidRPr="0058444E">
        <w:rPr>
          <w:rStyle w:val="KleinKapitaalAuteursCtrlAltK"/>
          <w:smallCaps w:val="0"/>
          <w:lang w:val="nl-BE"/>
        </w:rPr>
        <w:t xml:space="preserve">De meeste paritaire comités worden nog steeds georganiseerd volgens de </w:t>
      </w:r>
      <w:r w:rsidR="00264B09">
        <w:rPr>
          <w:rStyle w:val="KleinKapitaalAuteursCtrlAltK"/>
          <w:smallCaps w:val="0"/>
          <w:lang w:val="nl-BE"/>
        </w:rPr>
        <w:t xml:space="preserve">verdeling </w:t>
      </w:r>
      <w:r w:rsidR="00CE3CE9" w:rsidRPr="0058444E">
        <w:rPr>
          <w:rStyle w:val="KleinKapitaalAuteursCtrlAltK"/>
          <w:smallCaps w:val="0"/>
          <w:lang w:val="nl-BE"/>
        </w:rPr>
        <w:t xml:space="preserve">van het arbeider- </w:t>
      </w:r>
      <w:r w:rsidR="00991D2C">
        <w:rPr>
          <w:rStyle w:val="KleinKapitaalAuteursCtrlAltK"/>
          <w:smallCaps w:val="0"/>
          <w:lang w:val="nl-BE"/>
        </w:rPr>
        <w:t>of</w:t>
      </w:r>
      <w:r w:rsidR="00CE3CE9" w:rsidRPr="0058444E">
        <w:rPr>
          <w:rStyle w:val="KleinKapitaalAuteursCtrlAltK"/>
          <w:smallCaps w:val="0"/>
          <w:lang w:val="nl-BE"/>
        </w:rPr>
        <w:t xml:space="preserve"> bediendenstatuut, waardoor een harmonisatie van het aanvullend sectorpensioen noodzakelijk is.</w:t>
      </w:r>
      <w:r w:rsidR="00CE3CE9" w:rsidRPr="0058444E">
        <w:rPr>
          <w:rStyle w:val="Voetnootmarkering"/>
        </w:rPr>
        <w:footnoteReference w:id="130"/>
      </w:r>
      <w:r w:rsidR="002B757F" w:rsidRPr="0058444E">
        <w:rPr>
          <w:rStyle w:val="KleinKapitaalAuteursCtrlAltK"/>
          <w:smallCaps w:val="0"/>
          <w:lang w:val="nl-BE"/>
        </w:rPr>
        <w:t xml:space="preserve"> De harmonisatie zelf blijkt echter zeer complex omwille van het feit dat de meeste paritaire comités geen symmetrisch toepassingsgebied kennen op het vlak van beroepscategorie of ondernemingsactiviteit.</w:t>
      </w:r>
      <w:r w:rsidR="002B757F" w:rsidRPr="0058444E">
        <w:rPr>
          <w:rStyle w:val="Voetnootmarkering"/>
        </w:rPr>
        <w:footnoteReference w:id="131"/>
      </w:r>
      <w:r w:rsidR="00A00A9A">
        <w:rPr>
          <w:rStyle w:val="KleinKapitaalAuteursCtrlAltK"/>
          <w:smallCaps w:val="0"/>
          <w:lang w:val="nl-BE"/>
        </w:rPr>
        <w:t xml:space="preserve"> Dit heeft tot gevolg dat er eerst een zoektocht moet worden gevoerd naar het corresponderende paritaire comité alvorens e</w:t>
      </w:r>
      <w:r w:rsidR="0017577F">
        <w:rPr>
          <w:rStyle w:val="KleinKapitaalAuteursCtrlAltK"/>
          <w:smallCaps w:val="0"/>
          <w:lang w:val="nl-BE"/>
        </w:rPr>
        <w:t xml:space="preserve">r </w:t>
      </w:r>
      <w:r w:rsidR="00A00A9A">
        <w:rPr>
          <w:rStyle w:val="KleinKapitaalAuteursCtrlAltK"/>
          <w:smallCaps w:val="0"/>
          <w:lang w:val="nl-BE"/>
        </w:rPr>
        <w:t>inhoudelijk gekeken kan worden naar de harmonisering van het pensioenstelsel.</w:t>
      </w:r>
      <w:r w:rsidR="00A00A9A">
        <w:rPr>
          <w:rStyle w:val="Voetnootmarkering"/>
        </w:rPr>
        <w:footnoteReference w:id="132"/>
      </w:r>
      <w:r w:rsidR="0017577F">
        <w:rPr>
          <w:rStyle w:val="KleinKapitaalAuteursCtrlAltK"/>
          <w:smallCaps w:val="0"/>
          <w:lang w:val="nl-BE"/>
        </w:rPr>
        <w:t xml:space="preserve"> </w:t>
      </w:r>
      <w:r w:rsidR="00AB68EE" w:rsidRPr="0017577F">
        <w:rPr>
          <w:rStyle w:val="KleinKapitaalAuteursCtrlAltK"/>
          <w:smallCaps w:val="0"/>
          <w:lang w:val="nl-BE"/>
        </w:rPr>
        <w:t xml:space="preserve">Dit gebrek aan afspiegeling zorgt er mee voor dat de harmonisatie op sectoraal niveau een erg complexe aangelegenheid is. </w:t>
      </w:r>
    </w:p>
    <w:p w14:paraId="2906C9FB" w14:textId="48FCE8BF" w:rsidR="00295DB5" w:rsidRPr="00295DB5" w:rsidRDefault="00DA5E4C" w:rsidP="00295DB5">
      <w:pPr>
        <w:pStyle w:val="Randnummer"/>
        <w:numPr>
          <w:ilvl w:val="0"/>
          <w:numId w:val="0"/>
        </w:numPr>
        <w:spacing w:line="360" w:lineRule="auto"/>
        <w:ind w:left="357"/>
        <w:rPr>
          <w:rStyle w:val="KleinKapitaalAuteursCtrlAltK"/>
          <w:lang w:val="nl-BE"/>
        </w:rPr>
      </w:pPr>
      <w:r w:rsidRPr="0058444E">
        <w:rPr>
          <w:rStyle w:val="KleinKapitaalAuteursCtrlAltK"/>
          <w:smallCaps w:val="0"/>
          <w:lang w:val="nl-BE"/>
        </w:rPr>
        <w:t xml:space="preserve">In het eerste evaluatierapport in 2016 publiceerde de NAR een overzicht van het </w:t>
      </w:r>
      <w:r w:rsidR="00612E26">
        <w:rPr>
          <w:rStyle w:val="KleinKapitaalAuteursCtrlAltK"/>
          <w:smallCaps w:val="0"/>
          <w:lang w:val="nl-BE"/>
        </w:rPr>
        <w:t>aandeel</w:t>
      </w:r>
      <w:r w:rsidRPr="0058444E">
        <w:rPr>
          <w:rStyle w:val="KleinKapitaalAuteursCtrlAltK"/>
          <w:smallCaps w:val="0"/>
          <w:lang w:val="nl-BE"/>
        </w:rPr>
        <w:t xml:space="preserve"> van de paritaire comités die zich over dezelfde ondernemingsactiviteiten uitstrekken.</w:t>
      </w:r>
      <w:r w:rsidRPr="0058444E">
        <w:rPr>
          <w:rStyle w:val="Voetnootmarkering"/>
        </w:rPr>
        <w:footnoteReference w:id="133"/>
      </w:r>
      <w:r w:rsidR="00295DB5" w:rsidRPr="00295DB5">
        <w:rPr>
          <w:rStyle w:val="KleinKapitaalAuteursCtrlAltK"/>
          <w:smallCaps w:val="0"/>
          <w:lang w:val="nl-BE"/>
        </w:rPr>
        <w:t xml:space="preserve"> </w:t>
      </w:r>
      <w:r w:rsidR="00295DB5" w:rsidRPr="0058444E">
        <w:rPr>
          <w:rStyle w:val="KleinKapitaalAuteursCtrlAltK"/>
          <w:smallCaps w:val="0"/>
          <w:lang w:val="nl-BE"/>
        </w:rPr>
        <w:t>Het overzicht dat door de FOD WASO werd opgesteld, kan de complexiteit verminderen bij de zoektocht van de correcte gesprekspartner, maar toch blijkt het reeds dat het voor bepaalde sectoren een hele grote uitdaging zal worden om effectief een eenheidsstatuut te bereiken.</w:t>
      </w:r>
      <w:r w:rsidR="00295DB5" w:rsidRPr="0058444E">
        <w:rPr>
          <w:rStyle w:val="Voetnootmarkering"/>
        </w:rPr>
        <w:footnoteReference w:id="134"/>
      </w:r>
    </w:p>
    <w:p w14:paraId="5C9266C7" w14:textId="26E00B51" w:rsidR="00F9448C" w:rsidRPr="0058444E" w:rsidRDefault="00B513A7" w:rsidP="00B513A7">
      <w:pPr>
        <w:pStyle w:val="Kop4"/>
      </w:pPr>
      <w:bookmarkStart w:id="64" w:name="_Toc228784114"/>
      <w:r w:rsidRPr="0058444E">
        <w:t>Knelpunt 3: Sectorale pensioenstelsels populairder bij arbeiders dan bedienden</w:t>
      </w:r>
      <w:bookmarkEnd w:id="64"/>
    </w:p>
    <w:p w14:paraId="2B068A7C" w14:textId="3E53ABD3" w:rsidR="008C7129" w:rsidRPr="00E12F2E" w:rsidRDefault="008C10FA" w:rsidP="00E12F2E">
      <w:pPr>
        <w:pStyle w:val="Randnummer"/>
        <w:spacing w:line="360" w:lineRule="auto"/>
        <w:rPr>
          <w:rStyle w:val="KleinKapitaalAuteursCtrlAltK"/>
          <w:smallCaps w:val="0"/>
          <w:lang w:val="nl-BE"/>
        </w:rPr>
      </w:pPr>
      <w:r w:rsidRPr="0058444E">
        <w:rPr>
          <w:rStyle w:val="KleinKapitaalAuteursCtrlAltK"/>
          <w:lang w:val="nl-BE"/>
        </w:rPr>
        <w:t xml:space="preserve">Niveau van voorziening pensioen </w:t>
      </w:r>
      <w:r w:rsidR="008C7129" w:rsidRPr="0058444E">
        <w:rPr>
          <w:rStyle w:val="KleinKapitaalAuteursCtrlAltK"/>
          <w:lang w:val="nl-BE"/>
        </w:rPr>
        <w:t>–</w:t>
      </w:r>
      <w:r w:rsidRPr="0058444E">
        <w:rPr>
          <w:rStyle w:val="KleinKapitaalAuteursCtrlAltK"/>
          <w:lang w:val="nl-BE"/>
        </w:rPr>
        <w:t xml:space="preserve"> </w:t>
      </w:r>
      <w:r w:rsidR="008C7129" w:rsidRPr="0058444E">
        <w:rPr>
          <w:rStyle w:val="KleinKapitaalAuteursCtrlAltK"/>
          <w:smallCaps w:val="0"/>
          <w:lang w:val="nl-BE"/>
        </w:rPr>
        <w:t>De harmonisatie wordt mede bemoeilijkt omwille van het feit dat arbeiders en bedienden vaak niet op hetzelfde niveau van een aanvullend pensioen genieten. Bedienden konden vaker genieten van een aanvullend pensioen dat werd ingericht door de werkgever op ondernemingsniveau, terwijl sectorplannen vaak populair waren in arbeiderssectoren.</w:t>
      </w:r>
      <w:r w:rsidR="00635DDE">
        <w:rPr>
          <w:rStyle w:val="Voetnootmarkering"/>
        </w:rPr>
        <w:footnoteReference w:id="135"/>
      </w:r>
      <w:r w:rsidR="00E12F2E">
        <w:rPr>
          <w:rStyle w:val="KleinKapitaalAuteursCtrlAltK"/>
          <w:smallCaps w:val="0"/>
          <w:lang w:val="nl-BE"/>
        </w:rPr>
        <w:t xml:space="preserve"> </w:t>
      </w:r>
      <w:r w:rsidR="008C7129" w:rsidRPr="00E12F2E">
        <w:rPr>
          <w:rStyle w:val="KleinKapitaalAuteursCtrlAltK"/>
          <w:smallCaps w:val="0"/>
          <w:lang w:val="nl-BE"/>
        </w:rPr>
        <w:t>Het eenheidsstatuut vergt bijgevolg een harmonisatie tussen sectorplannen en ondernemingsplannen.</w:t>
      </w:r>
      <w:r w:rsidR="008C7129" w:rsidRPr="0058444E">
        <w:rPr>
          <w:rStyle w:val="Voetnootmarkering"/>
        </w:rPr>
        <w:footnoteReference w:id="136"/>
      </w:r>
    </w:p>
    <w:p w14:paraId="11728634" w14:textId="5C361277" w:rsidR="00AF54E7" w:rsidRPr="0058444E" w:rsidRDefault="00AF54E7" w:rsidP="001358AB">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De historische keuze om arbeiders en bedienden op een verschillend onderhandelingsniveau een aanvullend pensioen aan te bieden heeft tot gevolg dat de harmonisatie een heel ingewikkelde puzzel is geworden. Zo zal er vaak op het niveau van de onderneming een toezegging zijn voor bedienden terwijl er voor de arbeiders op sectorniveau een pensioenstelsel werd ontwikkeld.</w:t>
      </w:r>
      <w:r w:rsidRPr="0058444E">
        <w:rPr>
          <w:rStyle w:val="Voetnootmarkering"/>
        </w:rPr>
        <w:footnoteReference w:id="137"/>
      </w:r>
    </w:p>
    <w:p w14:paraId="34FA70C1" w14:textId="7C1EE376" w:rsidR="00AF54E7" w:rsidRPr="0058444E" w:rsidRDefault="00D477A8" w:rsidP="00D477A8">
      <w:pPr>
        <w:pStyle w:val="Kop4"/>
      </w:pPr>
      <w:bookmarkStart w:id="65" w:name="_Toc228784115"/>
      <w:r w:rsidRPr="0058444E">
        <w:t>Knelpunt 4: Verschillend niveau van pensioenopbouw</w:t>
      </w:r>
      <w:r w:rsidR="004E17FB">
        <w:t xml:space="preserve"> leidt tot verschillende voordelen</w:t>
      </w:r>
      <w:bookmarkEnd w:id="65"/>
    </w:p>
    <w:p w14:paraId="6AAA3820" w14:textId="017F74F4" w:rsidR="00D477A8" w:rsidRPr="0058444E" w:rsidRDefault="006368B5" w:rsidP="00C3314F">
      <w:pPr>
        <w:pStyle w:val="Randnummer"/>
        <w:spacing w:line="360" w:lineRule="auto"/>
        <w:rPr>
          <w:rStyle w:val="KleinKapitaalAuteursCtrlAltK"/>
          <w:smallCaps w:val="0"/>
          <w:lang w:val="nl-BE"/>
        </w:rPr>
      </w:pPr>
      <w:r w:rsidRPr="0058444E">
        <w:rPr>
          <w:rStyle w:val="KleinKapitaalAuteursCtrlAltK"/>
          <w:lang w:val="nl-BE"/>
        </w:rPr>
        <w:t>Kwalitatief verschil –</w:t>
      </w:r>
      <w:r w:rsidR="00074F10">
        <w:rPr>
          <w:rStyle w:val="KleinKapitaalAuteursCtrlAltK"/>
          <w:lang w:val="nl-BE"/>
        </w:rPr>
        <w:t xml:space="preserve"> </w:t>
      </w:r>
      <w:r w:rsidR="00E33F72">
        <w:rPr>
          <w:rStyle w:val="KleinKapitaalAuteursCtrlAltK"/>
          <w:smallCaps w:val="0"/>
          <w:lang w:val="nl-BE"/>
        </w:rPr>
        <w:t>De complexiteit van de harmonisering wordt nog vergroot door het verschillende niveau van de opbouw van pensioenrechten.</w:t>
      </w:r>
      <w:r w:rsidRPr="0058444E">
        <w:rPr>
          <w:rStyle w:val="KleinKapitaalAuteursCtrlAltK"/>
          <w:smallCaps w:val="0"/>
          <w:lang w:val="nl-BE"/>
        </w:rPr>
        <w:t xml:space="preserve"> Tot op vandaag is er nog een groot kwalitatief verschil tussen de pensioenstelsels op ondernemings- en sectorniveau, waarbij de plannen op ondernemingsniveau over het algemeen genomen gunstiger zijn.</w:t>
      </w:r>
      <w:r w:rsidR="00F37868" w:rsidRPr="0058444E">
        <w:rPr>
          <w:rStyle w:val="Voetnootmarkering"/>
        </w:rPr>
        <w:footnoteReference w:id="138"/>
      </w:r>
    </w:p>
    <w:p w14:paraId="5F6DF98F" w14:textId="1E1E7BCC" w:rsidR="00C3314F" w:rsidRPr="0058444E" w:rsidRDefault="00C3314F" w:rsidP="00C3314F">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Zo kampen de sectorale pensioenstelsels nog steeds met een erg lage pensioenopbouw. Maar ook op ondernemingsniveau zijn de voordelen niet gelijk verspreid over alle aangeslotenen. Dit blijkt uit cijfers d</w:t>
      </w:r>
      <w:r w:rsidR="00A6484B">
        <w:rPr>
          <w:rStyle w:val="KleinKapitaalAuteursCtrlAltK"/>
          <w:smallCaps w:val="0"/>
          <w:lang w:val="nl-BE"/>
        </w:rPr>
        <w:t>ie</w:t>
      </w:r>
      <w:r w:rsidRPr="0058444E">
        <w:rPr>
          <w:rStyle w:val="KleinKapitaalAuteursCtrlAltK"/>
          <w:smallCaps w:val="0"/>
          <w:lang w:val="nl-BE"/>
        </w:rPr>
        <w:t xml:space="preserve"> de FSMA zelf vrijgeeft in haar tweejaarlijks verslag betreffende de sectorale pensioenstelsels.</w:t>
      </w:r>
      <w:r w:rsidR="00E33F72">
        <w:rPr>
          <w:rStyle w:val="Voetnootmarkering"/>
        </w:rPr>
        <w:footnoteReference w:id="139"/>
      </w:r>
      <w:r w:rsidR="002A5F1B">
        <w:rPr>
          <w:rStyle w:val="KleinKapitaalAuteursCtrlAltK"/>
          <w:smallCaps w:val="0"/>
          <w:lang w:val="nl-BE"/>
        </w:rPr>
        <w:t xml:space="preserve"> Zo </w:t>
      </w:r>
      <w:r w:rsidR="00D267B0">
        <w:rPr>
          <w:rStyle w:val="KleinKapitaalAuteursCtrlAltK"/>
          <w:smallCaps w:val="0"/>
          <w:lang w:val="nl-BE"/>
        </w:rPr>
        <w:t>bleek uit cijfers vrijgegeven door de FSMA dat de gemiddelde eenmalige kapitaaluitkering voor een sectoraal vaste bijdrageplan in 2017 amper 2.246 euro bedroeg,</w:t>
      </w:r>
      <w:r w:rsidR="006064E0" w:rsidRPr="006064E0">
        <w:rPr>
          <w:rStyle w:val="Voetnootmarkering"/>
        </w:rPr>
        <w:t xml:space="preserve"> </w:t>
      </w:r>
      <w:r w:rsidR="006064E0">
        <w:rPr>
          <w:rStyle w:val="Voetnootmarkering"/>
        </w:rPr>
        <w:footnoteReference w:id="140"/>
      </w:r>
      <w:r w:rsidR="00D267B0">
        <w:rPr>
          <w:rStyle w:val="KleinKapitaalAuteursCtrlAltK"/>
          <w:smallCaps w:val="0"/>
          <w:lang w:val="nl-BE"/>
        </w:rPr>
        <w:t xml:space="preserve"> dit doet toch ernstige vragen reizen of er hier werkelijk over een aanvullend pensioen gesproken kan worden. </w:t>
      </w:r>
    </w:p>
    <w:p w14:paraId="5B052596" w14:textId="7D4FB2D2" w:rsidR="00C3314F" w:rsidRPr="0058444E" w:rsidRDefault="00C3314F" w:rsidP="00C3314F">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Hoewel een aantal werknemers bij hun werkgever k</w:t>
      </w:r>
      <w:r w:rsidR="001358AB">
        <w:rPr>
          <w:rStyle w:val="KleinKapitaalAuteursCtrlAltK"/>
          <w:smallCaps w:val="0"/>
          <w:lang w:val="nl-BE"/>
        </w:rPr>
        <w:t>unnen</w:t>
      </w:r>
      <w:r w:rsidRPr="0058444E">
        <w:rPr>
          <w:rStyle w:val="KleinKapitaalAuteursCtrlAltK"/>
          <w:smallCaps w:val="0"/>
          <w:lang w:val="nl-BE"/>
        </w:rPr>
        <w:t xml:space="preserve"> genieten van een redelijk aanvullend pensioen, kan er toch gesteld worden dat de opbouw in de tweede pijler voor de meeste werknemer</w:t>
      </w:r>
      <w:r w:rsidR="001358AB">
        <w:rPr>
          <w:rStyle w:val="KleinKapitaalAuteursCtrlAltK"/>
          <w:smallCaps w:val="0"/>
          <w:lang w:val="nl-BE"/>
        </w:rPr>
        <w:t>s</w:t>
      </w:r>
      <w:r w:rsidRPr="0058444E">
        <w:rPr>
          <w:rStyle w:val="KleinKapitaalAuteursCtrlAltK"/>
          <w:smallCaps w:val="0"/>
          <w:lang w:val="nl-BE"/>
        </w:rPr>
        <w:t xml:space="preserve">, ook op ondernemingsniveau, ondermaats is. </w:t>
      </w:r>
      <w:r w:rsidR="00C44363">
        <w:rPr>
          <w:rStyle w:val="KleinKapitaalAuteursCtrlAltK"/>
          <w:smallCaps w:val="0"/>
          <w:lang w:val="nl-BE"/>
        </w:rPr>
        <w:t>De conclusie hieruit</w:t>
      </w:r>
      <w:r w:rsidRPr="0058444E">
        <w:rPr>
          <w:rStyle w:val="KleinKapitaalAuteursCtrlAltK"/>
          <w:smallCaps w:val="0"/>
          <w:lang w:val="nl-BE"/>
        </w:rPr>
        <w:t xml:space="preserve"> </w:t>
      </w:r>
      <w:r w:rsidR="00C44363">
        <w:rPr>
          <w:rStyle w:val="KleinKapitaalAuteursCtrlAltK"/>
          <w:smallCaps w:val="0"/>
          <w:lang w:val="nl-BE"/>
        </w:rPr>
        <w:t>is dat</w:t>
      </w:r>
      <w:r w:rsidRPr="0058444E">
        <w:rPr>
          <w:rStyle w:val="KleinKapitaalAuteursCtrlAltK"/>
          <w:smallCaps w:val="0"/>
          <w:lang w:val="nl-BE"/>
        </w:rPr>
        <w:t xml:space="preserve"> de kwaliteit van de pensioenopbouw niet dezelfde sprong heeft gemaakt als de verspreiding ervan.</w:t>
      </w:r>
      <w:r w:rsidR="001B64F5">
        <w:rPr>
          <w:rStyle w:val="Voetnootmarkering"/>
        </w:rPr>
        <w:footnoteReference w:id="141"/>
      </w:r>
    </w:p>
    <w:p w14:paraId="79BE19FC" w14:textId="6E4011CE" w:rsidR="00260E1B" w:rsidRPr="003159DC" w:rsidRDefault="00064E50" w:rsidP="003159DC">
      <w:pPr>
        <w:pStyle w:val="Randnummer"/>
        <w:spacing w:line="360" w:lineRule="auto"/>
        <w:rPr>
          <w:rStyle w:val="KleinKapitaalAuteursCtrlAltK"/>
          <w:lang w:val="nl-BE"/>
        </w:rPr>
      </w:pPr>
      <w:r w:rsidRPr="0058444E">
        <w:rPr>
          <w:rStyle w:val="KleinKapitaalAuteursCtrlAltK"/>
          <w:lang w:val="nl-BE"/>
        </w:rPr>
        <w:t xml:space="preserve">Conclusie – </w:t>
      </w:r>
      <w:r w:rsidRPr="0058444E">
        <w:rPr>
          <w:rStyle w:val="KleinKapitaalAuteursCtrlAltK"/>
          <w:smallCaps w:val="0"/>
          <w:lang w:val="nl-BE"/>
        </w:rPr>
        <w:t>In het algemeen kan gesteld worden dat arbeiders momenteel de benadeelde groep zijn. Zij kunnen namelijk enkel genieten van het minder gunstige sectorplan</w:t>
      </w:r>
      <w:r w:rsidR="00CD49F1" w:rsidRPr="0058444E">
        <w:rPr>
          <w:rStyle w:val="KleinKapitaalAuteursCtrlAltK"/>
          <w:smallCaps w:val="0"/>
          <w:lang w:val="nl-BE"/>
        </w:rPr>
        <w:t xml:space="preserve"> </w:t>
      </w:r>
      <w:r w:rsidRPr="0058444E">
        <w:rPr>
          <w:rStyle w:val="KleinKapitaalAuteursCtrlAltK"/>
          <w:smallCaps w:val="0"/>
          <w:lang w:val="nl-BE"/>
        </w:rPr>
        <w:t xml:space="preserve">terwijl bedienden kunnen genieten van een betere pensioentoezegging op ondernemingsniveau. Deze veralgemening zal echter niet in elke situatie een correct beeld scheppen. </w:t>
      </w:r>
      <w:r w:rsidR="0092386D">
        <w:rPr>
          <w:rStyle w:val="KleinKapitaalAuteursCtrlAltK"/>
          <w:smallCaps w:val="0"/>
          <w:lang w:val="nl-BE"/>
        </w:rPr>
        <w:t>In tegenstelling tot grote bedrijven richten KMO-werkgevers zelden een eigen pensioentoezegging op ondernemingsniveau in vanwege de administratieve last en kost.</w:t>
      </w:r>
      <w:r w:rsidR="004F0A19">
        <w:rPr>
          <w:rStyle w:val="KleinKapitaalAuteursCtrlAltK"/>
          <w:smallCaps w:val="0"/>
          <w:lang w:val="nl-BE"/>
        </w:rPr>
        <w:t xml:space="preserve"> </w:t>
      </w:r>
      <w:r w:rsidRPr="0058444E">
        <w:rPr>
          <w:rStyle w:val="KleinKapitaalAuteursCtrlAltK"/>
          <w:smallCaps w:val="0"/>
          <w:lang w:val="nl-BE"/>
        </w:rPr>
        <w:t>Zo zullen bedienden in een KMO vaak minder gunstig behandeld worden omdat er vo</w:t>
      </w:r>
      <w:r w:rsidR="009E2E03" w:rsidRPr="0058444E">
        <w:rPr>
          <w:rStyle w:val="KleinKapitaalAuteursCtrlAltK"/>
          <w:smallCaps w:val="0"/>
          <w:lang w:val="nl-BE"/>
        </w:rPr>
        <w:t>or hen geen pensioenstelsel werd ingericht door de werkgever en evenmin door de sector, terwijl dat de arbeiders die wel aangesloten zijn bij een sectorplan in dit geval wel van een aanvullend pensioen zullen genieten.</w:t>
      </w:r>
      <w:r w:rsidR="004F0A19">
        <w:rPr>
          <w:rStyle w:val="KleinKapitaalAuteursCtrlAltK"/>
          <w:smallCaps w:val="0"/>
          <w:lang w:val="nl-BE"/>
        </w:rPr>
        <w:t xml:space="preserve"> Concreet kan een bediende in een KMO hierdoor met lege handen achterblijven als er noch op ondernemings- noch op sectorniveau een plan is voorzien. </w:t>
      </w:r>
      <w:r w:rsidR="00DE0BE1">
        <w:rPr>
          <w:rStyle w:val="KleinKapitaalAuteursCtrlAltK"/>
          <w:smallCaps w:val="0"/>
          <w:lang w:val="nl-BE"/>
        </w:rPr>
        <w:t>De status van ‘benadeelde’ zal dus afhankelijk zijn van de context</w:t>
      </w:r>
      <w:r w:rsidR="00EF6607">
        <w:rPr>
          <w:rStyle w:val="KleinKapitaalAuteursCtrlAltK"/>
          <w:smallCaps w:val="0"/>
          <w:lang w:val="nl-BE"/>
        </w:rPr>
        <w:t>.</w:t>
      </w:r>
      <w:r w:rsidR="009E2E03" w:rsidRPr="0058444E">
        <w:rPr>
          <w:rStyle w:val="Voetnootmarkering"/>
        </w:rPr>
        <w:footnoteReference w:id="142"/>
      </w:r>
      <w:r w:rsidR="003159DC">
        <w:rPr>
          <w:rStyle w:val="KleinKapitaalAuteursCtrlAltK"/>
          <w:lang w:val="nl-BE"/>
        </w:rPr>
        <w:br w:type="page"/>
      </w:r>
    </w:p>
    <w:p w14:paraId="51D198C1" w14:textId="1D6698AE" w:rsidR="009E2E03" w:rsidRPr="0058444E" w:rsidRDefault="009E2E03" w:rsidP="00104776">
      <w:pPr>
        <w:pStyle w:val="Kop3"/>
        <w:rPr>
          <w:rStyle w:val="KleinKapitaalAuteursCtrlAltK"/>
          <w:smallCaps/>
          <w:lang w:val="nl-BE"/>
        </w:rPr>
      </w:pPr>
      <w:bookmarkStart w:id="67" w:name="_Toc228784116"/>
      <w:r w:rsidRPr="0058444E">
        <w:rPr>
          <w:rStyle w:val="KleinKapitaalAuteursCtrlAltK"/>
          <w:smallCaps/>
          <w:lang w:val="nl-BE"/>
        </w:rPr>
        <w:t xml:space="preserve">Afdeling II. </w:t>
      </w:r>
      <w:r w:rsidR="00B30149">
        <w:rPr>
          <w:rStyle w:val="KleinKapitaalAuteursCtrlAltK"/>
          <w:smallCaps/>
          <w:lang w:val="nl-BE"/>
        </w:rPr>
        <w:t>Bereikte vooruitgang</w:t>
      </w:r>
      <w:bookmarkEnd w:id="67"/>
    </w:p>
    <w:p w14:paraId="1C06AFCA" w14:textId="1F526C29" w:rsidR="00DC53CA" w:rsidRPr="002954DB" w:rsidRDefault="00E65241" w:rsidP="00E65241">
      <w:pPr>
        <w:pStyle w:val="Kop4"/>
        <w:numPr>
          <w:ilvl w:val="3"/>
          <w:numId w:val="26"/>
        </w:numPr>
        <w:rPr>
          <w:lang w:val="fr-BE"/>
        </w:rPr>
      </w:pPr>
      <w:bookmarkStart w:id="68" w:name="_Toc228784117"/>
      <w:r w:rsidRPr="002954DB">
        <w:rPr>
          <w:lang w:val="fr-BE"/>
        </w:rPr>
        <w:t>Paritaire comités bijten de spits af</w:t>
      </w:r>
      <w:bookmarkEnd w:id="68"/>
    </w:p>
    <w:p w14:paraId="474D3A72" w14:textId="11B65DA1" w:rsidR="0058444E" w:rsidRPr="00FD363B" w:rsidRDefault="0058444E" w:rsidP="00D52420">
      <w:pPr>
        <w:pStyle w:val="Randnummer"/>
        <w:spacing w:line="360" w:lineRule="auto"/>
        <w:rPr>
          <w:rStyle w:val="KleinKapitaalAuteursCtrlAltK"/>
          <w:smallCaps w:val="0"/>
          <w:lang w:val="nl-BE"/>
        </w:rPr>
      </w:pPr>
      <w:r>
        <w:rPr>
          <w:rStyle w:val="KleinKapitaalAuteursCtrlAltK"/>
        </w:rPr>
        <w:t xml:space="preserve">Opstart onderhandelingen </w:t>
      </w:r>
      <w:r w:rsidR="00D52420">
        <w:rPr>
          <w:rStyle w:val="KleinKapitaalAuteursCtrlAltK"/>
        </w:rPr>
        <w:t>–</w:t>
      </w:r>
      <w:r>
        <w:rPr>
          <w:rStyle w:val="KleinKapitaalAuteursCtrlAltK"/>
        </w:rPr>
        <w:t xml:space="preserve"> </w:t>
      </w:r>
      <w:r w:rsidR="00D52420">
        <w:rPr>
          <w:rStyle w:val="KleinKapitaalAuteursCtrlAltK"/>
          <w:smallCaps w:val="0"/>
        </w:rPr>
        <w:t xml:space="preserve">Gezien de sociale partners zichzelf een trekkende rol hebben </w:t>
      </w:r>
      <w:r w:rsidR="00AD0838">
        <w:rPr>
          <w:rStyle w:val="KleinKapitaalAuteursCtrlAltK"/>
          <w:smallCaps w:val="0"/>
        </w:rPr>
        <w:t>toebedeeld,</w:t>
      </w:r>
      <w:r w:rsidR="00D52420">
        <w:rPr>
          <w:rStyle w:val="KleinKapitaalAuteursCtrlAltK"/>
          <w:smallCaps w:val="0"/>
        </w:rPr>
        <w:t xml:space="preserve"> werd er van hen meteen een actieve houding verwacht </w:t>
      </w:r>
      <w:r w:rsidR="00A617A1">
        <w:rPr>
          <w:rStyle w:val="KleinKapitaalAuteursCtrlAltK"/>
          <w:smallCaps w:val="0"/>
        </w:rPr>
        <w:t xml:space="preserve">door de </w:t>
      </w:r>
      <w:r w:rsidR="00D52420">
        <w:rPr>
          <w:rStyle w:val="KleinKapitaalAuteursCtrlAltK"/>
          <w:smallCaps w:val="0"/>
        </w:rPr>
        <w:t>wetgever. Meteen bij de start van de onderhandelingen ondervinden zij een moeilijkheid in het zoeken naar een gesprekspartner om de onderhandelingen mee te voeren.</w:t>
      </w:r>
      <w:r w:rsidR="00E2792F">
        <w:rPr>
          <w:rStyle w:val="Voetnootmarkering"/>
          <w:lang w:val="nl-NL"/>
        </w:rPr>
        <w:footnoteReference w:id="143"/>
      </w:r>
      <w:r w:rsidR="00074F10">
        <w:rPr>
          <w:rStyle w:val="KleinKapitaalAuteursCtrlAltK"/>
          <w:smallCaps w:val="0"/>
        </w:rPr>
        <w:t xml:space="preserve"> </w:t>
      </w:r>
      <w:r w:rsidR="00D52420">
        <w:rPr>
          <w:rStyle w:val="KleinKapitaalAuteursCtrlAltK"/>
          <w:smallCaps w:val="0"/>
        </w:rPr>
        <w:t>Gezien de meeste paritaire comités zich nog steeds enkel richten tot arbeiders of bedienden moesten de niet-gemengde paritaire comités op zoek naar hun tegenhangers die bevoegd zijn voor dezelfde beroepscategorieën of onder</w:t>
      </w:r>
      <w:r w:rsidR="00216F30">
        <w:rPr>
          <w:rStyle w:val="KleinKapitaalAuteursCtrlAltK"/>
          <w:smallCaps w:val="0"/>
        </w:rPr>
        <w:t>n</w:t>
      </w:r>
      <w:r w:rsidR="00D52420">
        <w:rPr>
          <w:rStyle w:val="KleinKapitaalAuteursCtrlAltK"/>
          <w:smallCaps w:val="0"/>
        </w:rPr>
        <w:t>emingsactiviteiten.</w:t>
      </w:r>
      <w:r w:rsidR="005D1EE6">
        <w:rPr>
          <w:rStyle w:val="Voetnootmarkering"/>
          <w:lang w:val="nl-NL"/>
        </w:rPr>
        <w:footnoteReference w:id="144"/>
      </w:r>
    </w:p>
    <w:p w14:paraId="2FE04A46" w14:textId="3DD90718" w:rsidR="00FD363B" w:rsidRPr="0021528B" w:rsidRDefault="00FD363B" w:rsidP="00FD363B">
      <w:pPr>
        <w:pStyle w:val="Randnummer"/>
        <w:numPr>
          <w:ilvl w:val="0"/>
          <w:numId w:val="0"/>
        </w:numPr>
        <w:spacing w:line="360" w:lineRule="auto"/>
        <w:ind w:left="357"/>
        <w:rPr>
          <w:rStyle w:val="KleinKapitaalAuteursCtrlAltK"/>
          <w:smallCaps w:val="0"/>
          <w:lang w:val="nl-BE"/>
        </w:rPr>
      </w:pPr>
      <w:r>
        <w:rPr>
          <w:rStyle w:val="KleinKapitaalAuteursCtrlAltK"/>
          <w:smallCaps w:val="0"/>
        </w:rPr>
        <w:t xml:space="preserve">Een tweede moeilijkheid was de </w:t>
      </w:r>
      <w:r w:rsidR="00396571">
        <w:rPr>
          <w:rStyle w:val="KleinKapitaalAuteursCtrlAltK"/>
          <w:smallCaps w:val="0"/>
        </w:rPr>
        <w:t xml:space="preserve">keuze voor het geharmoniseerd pensioenstelsel in sectoren waarin er geen gemengd paritair comité bestaat. </w:t>
      </w:r>
      <w:r w:rsidR="001A6F1B">
        <w:rPr>
          <w:rStyle w:val="KleinKapitaalAuteursCtrlAltK"/>
          <w:smallCaps w:val="0"/>
        </w:rPr>
        <w:t xml:space="preserve">In de wet werd er rekening gehouden met het feit dat er nog geen eengemaakt sectoraal overleg bestaat in België. </w:t>
      </w:r>
      <w:r w:rsidR="008D04BD">
        <w:rPr>
          <w:rStyle w:val="KleinKapitaalAuteursCtrlAltK"/>
          <w:smallCaps w:val="0"/>
        </w:rPr>
        <w:t>Als gevolg hiervan moest er gezocht worden naar specifieke oplossingen om succesvol het eenheidsstatuut in aanvullende pensioenen te implementeren.</w:t>
      </w:r>
      <w:r w:rsidR="00BA624B">
        <w:rPr>
          <w:rStyle w:val="Voetnootmarkering"/>
          <w:lang w:val="nl-NL"/>
        </w:rPr>
        <w:footnoteReference w:id="145"/>
      </w:r>
      <w:r w:rsidR="00FE6068">
        <w:rPr>
          <w:rStyle w:val="KleinKapitaalAuteursCtrlAltK"/>
          <w:smallCaps w:val="0"/>
        </w:rPr>
        <w:t xml:space="preserve"> Ter ondersteuning van de sectoren </w:t>
      </w:r>
      <w:r w:rsidR="0081426E">
        <w:rPr>
          <w:rStyle w:val="KleinKapitaalAuteursCtrlAltK"/>
          <w:smallCaps w:val="0"/>
        </w:rPr>
        <w:t>bij de uitdagingen die de harmonisering stelt, werd er een nieuwe inrichter in het leven geroepen: de multisectorale of intersectorale inrichter.</w:t>
      </w:r>
      <w:r w:rsidR="00F87FEB">
        <w:rPr>
          <w:rStyle w:val="Voetnootmarkering"/>
          <w:lang w:val="nl-NL"/>
        </w:rPr>
        <w:footnoteReference w:id="146"/>
      </w:r>
    </w:p>
    <w:p w14:paraId="5887AD64" w14:textId="3FAF779A" w:rsidR="0021528B" w:rsidRPr="00B66F15" w:rsidRDefault="0021528B" w:rsidP="00D52420">
      <w:pPr>
        <w:pStyle w:val="Randnummer"/>
        <w:spacing w:line="360" w:lineRule="auto"/>
        <w:rPr>
          <w:rStyle w:val="KleinKapitaalAuteursCtrlAltK"/>
          <w:smallCaps w:val="0"/>
          <w:lang w:val="nl-BE"/>
        </w:rPr>
      </w:pPr>
      <w:r>
        <w:rPr>
          <w:rStyle w:val="KleinKapitaalAuteursCtrlAltK"/>
        </w:rPr>
        <w:t xml:space="preserve">Protocollen van akkoord – </w:t>
      </w:r>
      <w:r>
        <w:rPr>
          <w:rStyle w:val="KleinKapitaalAuteursCtrlAltK"/>
          <w:smallCaps w:val="0"/>
        </w:rPr>
        <w:t xml:space="preserve">Ter facilitering van de sectorale onderhandelingen voorziet de WAP dat de </w:t>
      </w:r>
      <w:r w:rsidR="001C69CF">
        <w:rPr>
          <w:rStyle w:val="KleinKapitaalAuteursCtrlAltK"/>
          <w:smallCaps w:val="0"/>
        </w:rPr>
        <w:t>p</w:t>
      </w:r>
      <w:r>
        <w:rPr>
          <w:rStyle w:val="KleinKapitaalAuteursCtrlAltK"/>
          <w:smallCaps w:val="0"/>
        </w:rPr>
        <w:t xml:space="preserve">aritaire comités tussentijds protocollen van akkoord kunnen sluiten vooraleer er een definitieve </w:t>
      </w:r>
      <w:r w:rsidR="00A414A7">
        <w:rPr>
          <w:rStyle w:val="KleinKapitaalAuteursCtrlAltK"/>
          <w:smallCaps w:val="0"/>
        </w:rPr>
        <w:t xml:space="preserve">cao </w:t>
      </w:r>
      <w:r>
        <w:rPr>
          <w:rStyle w:val="KleinKapitaalAuteursCtrlAltK"/>
          <w:smallCaps w:val="0"/>
        </w:rPr>
        <w:t>wordt gesloten.</w:t>
      </w:r>
      <w:r w:rsidR="00C07D5D">
        <w:rPr>
          <w:rStyle w:val="Voetnootmarkering"/>
          <w:lang w:val="nl-NL"/>
        </w:rPr>
        <w:footnoteReference w:id="147"/>
      </w:r>
      <w:r w:rsidR="00C07D5D">
        <w:rPr>
          <w:rStyle w:val="KleinKapitaalAuteursCtrlAltK"/>
          <w:smallCaps w:val="0"/>
        </w:rPr>
        <w:t xml:space="preserve"> Zo een protocolakkoord bepaalt de beginselen, modaliteiten en het tijdschema voor de harmonisering.</w:t>
      </w:r>
      <w:r w:rsidR="00C07D5D">
        <w:rPr>
          <w:rStyle w:val="Voetnootmarkering"/>
          <w:lang w:val="nl-NL"/>
        </w:rPr>
        <w:footnoteReference w:id="148"/>
      </w:r>
      <w:r w:rsidR="00EE13E1">
        <w:rPr>
          <w:rStyle w:val="KleinKapitaalAuteursCtrlAltK"/>
          <w:smallCaps w:val="0"/>
        </w:rPr>
        <w:t xml:space="preserve"> Op deze manier kunnen paritaire comités al de grote lijnen meegeven </w:t>
      </w:r>
      <w:r w:rsidR="00D07A24">
        <w:rPr>
          <w:rStyle w:val="KleinKapitaalAuteursCtrlAltK"/>
          <w:smallCaps w:val="0"/>
        </w:rPr>
        <w:t xml:space="preserve">van </w:t>
      </w:r>
      <w:r w:rsidR="00EE13E1">
        <w:rPr>
          <w:rStyle w:val="KleinKapitaalAuteursCtrlAltK"/>
          <w:smallCaps w:val="0"/>
        </w:rPr>
        <w:t>de geplande harmonisatiestrategie, voordat er effectief een cao wordt gesloten.</w:t>
      </w:r>
      <w:r w:rsidR="00EE13E1">
        <w:rPr>
          <w:rStyle w:val="Voetnootmarkering"/>
          <w:lang w:val="nl-NL"/>
        </w:rPr>
        <w:footnoteReference w:id="149"/>
      </w:r>
    </w:p>
    <w:p w14:paraId="10DE73F2" w14:textId="61A8D178" w:rsidR="00B66F15" w:rsidRDefault="00B66F15" w:rsidP="00B66F15">
      <w:pPr>
        <w:pStyle w:val="Randnummer"/>
        <w:numPr>
          <w:ilvl w:val="0"/>
          <w:numId w:val="0"/>
        </w:numPr>
        <w:spacing w:line="360" w:lineRule="auto"/>
        <w:ind w:left="357"/>
        <w:rPr>
          <w:rStyle w:val="KleinKapitaalAuteursCtrlAltK"/>
          <w:smallCaps w:val="0"/>
        </w:rPr>
      </w:pPr>
      <w:r>
        <w:rPr>
          <w:rStyle w:val="KleinKapitaalAuteursCtrlAltK"/>
          <w:smallCaps w:val="0"/>
        </w:rPr>
        <w:t xml:space="preserve">In dit protocolakkoord kan dan bijvoorbeeld verduidelijkt worden of de sector het speciaal weigeringsrecht zal uitsluiten, of er een </w:t>
      </w:r>
      <w:r>
        <w:rPr>
          <w:rStyle w:val="KleinKapitaalAuteursCtrlAltK"/>
          <w:i/>
          <w:iCs/>
          <w:smallCaps w:val="0"/>
        </w:rPr>
        <w:t xml:space="preserve">opting-out </w:t>
      </w:r>
      <w:r>
        <w:rPr>
          <w:rStyle w:val="KleinKapitaalAuteursCtrlAltK"/>
          <w:smallCaps w:val="0"/>
        </w:rPr>
        <w:t xml:space="preserve">zal worden toegestaan, welke loondefinitie er voor ogen wordt gehouden… De protocollen kunnen de tussenstap vormen om uiteindelijk een cao te sluiten tegen 1 januari 2027 die de harmonisering verwezenlijkt tegen 1 januari 2030. Deze protocollen dienen niet alleen om de harmonisering te vergemakkelijken, maar ook om de </w:t>
      </w:r>
      <w:r w:rsidRPr="00352274">
        <w:rPr>
          <w:rStyle w:val="KleinKapitaalAuteursCtrlAltK"/>
          <w:smallCaps w:val="0"/>
        </w:rPr>
        <w:t>inspanningen</w:t>
      </w:r>
      <w:r>
        <w:rPr>
          <w:rStyle w:val="KleinKapitaalAuteursCtrlAltK"/>
          <w:smallCaps w:val="0"/>
        </w:rPr>
        <w:t xml:space="preserve"> en vooruitgang te registreren.</w:t>
      </w:r>
      <w:r w:rsidR="00993C6D">
        <w:rPr>
          <w:rStyle w:val="Voetnootmarkering"/>
          <w:lang w:val="nl-NL"/>
        </w:rPr>
        <w:footnoteReference w:id="150"/>
      </w:r>
    </w:p>
    <w:p w14:paraId="07A968AC" w14:textId="4BEB2764" w:rsidR="00B0340B" w:rsidRDefault="00B0340B" w:rsidP="00B66F15">
      <w:pPr>
        <w:pStyle w:val="Randnummer"/>
        <w:numPr>
          <w:ilvl w:val="0"/>
          <w:numId w:val="0"/>
        </w:numPr>
        <w:spacing w:line="360" w:lineRule="auto"/>
        <w:ind w:left="357"/>
        <w:rPr>
          <w:rStyle w:val="KleinKapitaalAuteursCtrlAltK"/>
          <w:smallCaps w:val="0"/>
        </w:rPr>
      </w:pPr>
      <w:r>
        <w:rPr>
          <w:rStyle w:val="KleinKapitaalAuteursCtrlAltK"/>
          <w:smallCaps w:val="0"/>
        </w:rPr>
        <w:t>De</w:t>
      </w:r>
      <w:r w:rsidR="009805A0">
        <w:rPr>
          <w:rStyle w:val="KleinKapitaalAuteursCtrlAltK"/>
          <w:smallCaps w:val="0"/>
        </w:rPr>
        <w:t xml:space="preserve"> federale</w:t>
      </w:r>
      <w:r>
        <w:rPr>
          <w:rStyle w:val="KleinKapitaalAuteursCtrlAltK"/>
          <w:smallCaps w:val="0"/>
        </w:rPr>
        <w:t xml:space="preserve"> overheid is hier belanghebbende partij in zodat zij tijdig kan tussenkomen indien de timing in het gevaar lijkt te komen. De werkgever is dan weer belanghebbende partij zodat hij een stand van zaken krijgt in de functie van zijn eigen harmonisatietraject.</w:t>
      </w:r>
      <w:r>
        <w:rPr>
          <w:rStyle w:val="Voetnootmarkering"/>
          <w:lang w:val="nl-NL"/>
        </w:rPr>
        <w:footnoteReference w:id="151"/>
      </w:r>
    </w:p>
    <w:p w14:paraId="3697E158" w14:textId="2F47FC53" w:rsidR="002954DB" w:rsidRDefault="002954DB" w:rsidP="002954DB">
      <w:pPr>
        <w:pStyle w:val="Randnummer"/>
        <w:spacing w:line="360" w:lineRule="auto"/>
        <w:rPr>
          <w:rStyle w:val="KleinKapitaalAuteursCtrlAltK"/>
          <w:smallCaps w:val="0"/>
        </w:rPr>
      </w:pPr>
      <w:r>
        <w:rPr>
          <w:rStyle w:val="KleinKapitaalAuteursCtrlAltK"/>
        </w:rPr>
        <w:t xml:space="preserve">Tussentijdse rapportering – </w:t>
      </w:r>
      <w:r>
        <w:rPr>
          <w:rStyle w:val="KleinKapitaalAuteursCtrlAltK"/>
          <w:smallCaps w:val="0"/>
        </w:rPr>
        <w:t xml:space="preserve">De paritaire comités hebben tot 1 januari 2027 om een cao te sluiten die de harmonisering binnen hun activiteitengebied realiseert. In de tussentijd </w:t>
      </w:r>
      <w:r w:rsidR="00F82406">
        <w:rPr>
          <w:rStyle w:val="KleinKapitaalAuteursCtrlAltK"/>
          <w:smallCaps w:val="0"/>
        </w:rPr>
        <w:t xml:space="preserve">controleert </w:t>
      </w:r>
      <w:r>
        <w:rPr>
          <w:rStyle w:val="KleinKapitaalAuteursCtrlAltK"/>
          <w:smallCaps w:val="0"/>
        </w:rPr>
        <w:t>de overheid wel</w:t>
      </w:r>
      <w:r w:rsidR="00F82406">
        <w:rPr>
          <w:rStyle w:val="KleinKapitaalAuteursCtrlAltK"/>
          <w:smallCaps w:val="0"/>
        </w:rPr>
        <w:t xml:space="preserve"> de </w:t>
      </w:r>
      <w:r>
        <w:rPr>
          <w:rStyle w:val="KleinKapitaalAuteursCtrlAltK"/>
          <w:smallCaps w:val="0"/>
        </w:rPr>
        <w:t>vooruitgang die reeds geboekt werd door de sociale partners aan de hand van tussentijdse verslagen.</w:t>
      </w:r>
      <w:r>
        <w:rPr>
          <w:rStyle w:val="Voetnootmarkering"/>
          <w:lang w:val="nl-NL"/>
        </w:rPr>
        <w:footnoteReference w:id="152"/>
      </w:r>
      <w:r w:rsidR="002109CE">
        <w:rPr>
          <w:rStyle w:val="KleinKapitaalAuteursCtrlAltK"/>
          <w:smallCaps w:val="0"/>
        </w:rPr>
        <w:t xml:space="preserve"> </w:t>
      </w:r>
    </w:p>
    <w:p w14:paraId="0CA284F2" w14:textId="2DFA24BE" w:rsidR="00722CDF" w:rsidRPr="00E412CD" w:rsidRDefault="002954DB" w:rsidP="00722CDF">
      <w:pPr>
        <w:pStyle w:val="Randnummer"/>
        <w:numPr>
          <w:ilvl w:val="0"/>
          <w:numId w:val="0"/>
        </w:numPr>
        <w:spacing w:line="360" w:lineRule="auto"/>
        <w:ind w:left="357"/>
        <w:rPr>
          <w:rStyle w:val="KleinKapitaalAuteursCtrlAltK"/>
          <w:smallCaps w:val="0"/>
        </w:rPr>
      </w:pPr>
      <w:r>
        <w:rPr>
          <w:rStyle w:val="KleinKapitaalAuteursCtrlAltK"/>
          <w:smallCaps w:val="0"/>
        </w:rPr>
        <w:t xml:space="preserve">De rapportering wordt niet </w:t>
      </w:r>
      <w:r w:rsidRPr="00E412CD">
        <w:rPr>
          <w:rStyle w:val="KleinKapitaalAuteursCtrlAltK"/>
          <w:smallCaps w:val="0"/>
        </w:rPr>
        <w:t>alleen aanzien als een controle-instrument, maar ook als een instrument om de sectoren ertoe aan te zetten om de opstart van de harmonisatieoefening niet te lang uit te stellen.</w:t>
      </w:r>
      <w:r w:rsidRPr="00E412CD">
        <w:rPr>
          <w:rStyle w:val="Voetnootmarkering"/>
          <w:lang w:val="nl-NL"/>
        </w:rPr>
        <w:footnoteReference w:id="153"/>
      </w:r>
      <w:r w:rsidR="00722CDF" w:rsidRPr="00E412CD">
        <w:rPr>
          <w:rStyle w:val="KleinKapitaalAuteursCtrlAltK"/>
          <w:smallCaps w:val="0"/>
        </w:rPr>
        <w:t xml:space="preserve"> De sectoren hebben tot op 1 januari 2027 </w:t>
      </w:r>
      <w:r w:rsidR="00A36874" w:rsidRPr="00E412CD">
        <w:rPr>
          <w:rStyle w:val="KleinKapitaalAuteursCtrlAltK"/>
          <w:smallCaps w:val="0"/>
        </w:rPr>
        <w:t>de tijd om de harmonisatiecao’s neer te leggen.</w:t>
      </w:r>
      <w:r w:rsidR="00A36874" w:rsidRPr="00E412CD">
        <w:rPr>
          <w:rStyle w:val="Voetnootmarkering"/>
          <w:lang w:val="nl-NL"/>
        </w:rPr>
        <w:footnoteReference w:id="154"/>
      </w:r>
    </w:p>
    <w:p w14:paraId="3696BE8D" w14:textId="473EBF4C" w:rsidR="00037EFF" w:rsidRPr="00025687" w:rsidRDefault="00037EFF" w:rsidP="00D00932">
      <w:pPr>
        <w:pStyle w:val="Randnummer"/>
        <w:spacing w:line="360" w:lineRule="auto"/>
        <w:rPr>
          <w:rStyle w:val="KleinKapitaalAuteursCtrlAltK"/>
          <w:smallCaps w:val="0"/>
        </w:rPr>
      </w:pPr>
      <w:r w:rsidRPr="00E412CD">
        <w:rPr>
          <w:rStyle w:val="KleinKapitaalAuteursCtrlAltK"/>
        </w:rPr>
        <w:t xml:space="preserve">Sanctiemechanisme </w:t>
      </w:r>
      <w:r w:rsidR="00D00932" w:rsidRPr="00E412CD">
        <w:rPr>
          <w:rStyle w:val="KleinKapitaalAuteursCtrlAltK"/>
        </w:rPr>
        <w:t>–</w:t>
      </w:r>
      <w:r w:rsidRPr="00E412CD">
        <w:rPr>
          <w:rStyle w:val="KleinKapitaalAuteursCtrlAltK"/>
        </w:rPr>
        <w:t xml:space="preserve"> </w:t>
      </w:r>
      <w:r w:rsidR="00D00932" w:rsidRPr="00E412CD">
        <w:rPr>
          <w:rStyle w:val="KleinKapitaalAuteursCtrlAltK"/>
          <w:smallCaps w:val="0"/>
        </w:rPr>
        <w:t xml:space="preserve">In het geval dat de sectoren niet komen tot een harmonisatie op de vooropgestelde deadline, wordt in de wet voorzien in een sanctiemechanisme. In het oorspronkelijke voorontwerp van de wet stond een zware sanctie </w:t>
      </w:r>
      <w:r w:rsidR="00D00932">
        <w:rPr>
          <w:rStyle w:val="KleinKapitaalAuteursCtrlAltK"/>
          <w:smallCaps w:val="0"/>
        </w:rPr>
        <w:t>op het niet slagen in de harmonisering op sectoraal niveau. Zo werd er gesteld dat het niet geharmoniseerde sectorale pensioenplan automatisch zou worden stopgezet na één jaar en vervangen moet worden door een kopie op ondernemingsniveau, dat geldig is voor alle werknemers.</w:t>
      </w:r>
      <w:r w:rsidR="00D00932">
        <w:rPr>
          <w:rStyle w:val="Voetnootmarkering"/>
          <w:lang w:val="nl-NL"/>
        </w:rPr>
        <w:footnoteReference w:id="155"/>
      </w:r>
    </w:p>
    <w:p w14:paraId="3AD5C94A" w14:textId="35090E76" w:rsidR="002954DB" w:rsidRDefault="00704954" w:rsidP="00B66F15">
      <w:pPr>
        <w:pStyle w:val="Randnummer"/>
        <w:numPr>
          <w:ilvl w:val="0"/>
          <w:numId w:val="0"/>
        </w:numPr>
        <w:spacing w:line="360" w:lineRule="auto"/>
        <w:ind w:left="357"/>
        <w:rPr>
          <w:lang w:val="nl-NL"/>
        </w:rPr>
      </w:pPr>
      <w:r w:rsidRPr="00025687">
        <w:rPr>
          <w:lang w:val="nl-NL"/>
        </w:rPr>
        <w:t xml:space="preserve">Deze zware vooropgestelde sanctie werd echter omgebogen door de sociale partners naar een sanctie die bepaald zal worden door de Koning op het ogenblik dat het </w:t>
      </w:r>
      <w:r>
        <w:rPr>
          <w:lang w:val="nl-NL"/>
        </w:rPr>
        <w:t>probleem zich voordoet. Hierdoor kan de Koning rekening houden met de specifieke situatie op het ogenblik dat het probleem zich voordoet en een sanctie op maat opleggen.</w:t>
      </w:r>
      <w:r>
        <w:rPr>
          <w:rStyle w:val="Voetnootmarkering"/>
          <w:lang w:val="nl-NL"/>
        </w:rPr>
        <w:footnoteReference w:id="156"/>
      </w:r>
    </w:p>
    <w:p w14:paraId="2B0532E5" w14:textId="5C5607B8" w:rsidR="006A1DD4" w:rsidRDefault="006A1DD4" w:rsidP="005C52FB">
      <w:pPr>
        <w:pStyle w:val="Randnummer"/>
        <w:spacing w:line="360" w:lineRule="auto"/>
        <w:rPr>
          <w:rStyle w:val="KleinKapitaalAuteursCtrlAltK"/>
          <w:smallCaps w:val="0"/>
        </w:rPr>
      </w:pPr>
      <w:r>
        <w:rPr>
          <w:rStyle w:val="KleinKapitaalAuteursCtrlAltK"/>
        </w:rPr>
        <w:t xml:space="preserve">Geen verplichte werkwijze </w:t>
      </w:r>
      <w:r w:rsidR="005C52FB">
        <w:rPr>
          <w:rStyle w:val="KleinKapitaalAuteursCtrlAltK"/>
        </w:rPr>
        <w:t>–</w:t>
      </w:r>
      <w:r>
        <w:rPr>
          <w:rStyle w:val="KleinKapitaalAuteursCtrlAltK"/>
        </w:rPr>
        <w:t xml:space="preserve"> </w:t>
      </w:r>
      <w:r w:rsidR="005C52FB">
        <w:rPr>
          <w:rStyle w:val="KleinKapitaalAuteursCtrlAltK"/>
          <w:smallCaps w:val="0"/>
        </w:rPr>
        <w:t>De wet legt geen werkwijze op waarop de paritaire comités de harmonisering tussen arbeiders en bedienden moeten verwezenlijken. De werkwijzen kunnen opgedeeld worden in twee belangrijke soorten, waarbij de ene getuigt van een grotere betrokkenheid door de sector dan de andere soort.</w:t>
      </w:r>
      <w:r w:rsidR="005C52FB">
        <w:rPr>
          <w:rStyle w:val="Voetnootmarkering"/>
          <w:lang w:val="nl-NL"/>
        </w:rPr>
        <w:footnoteReference w:id="157"/>
      </w:r>
    </w:p>
    <w:p w14:paraId="5FFDB706" w14:textId="0C8DD735" w:rsidR="000A0E7B" w:rsidRDefault="008F53D5" w:rsidP="008F53D5">
      <w:pPr>
        <w:pStyle w:val="Randnummer"/>
        <w:spacing w:line="360" w:lineRule="auto"/>
        <w:rPr>
          <w:rStyle w:val="KleinKapitaalAuteursCtrlAltK"/>
          <w:smallCaps w:val="0"/>
        </w:rPr>
      </w:pPr>
      <w:r>
        <w:rPr>
          <w:rStyle w:val="KleinKapitaalAuteursCtrlAltK"/>
        </w:rPr>
        <w:t xml:space="preserve">Eerste optie - </w:t>
      </w:r>
      <w:r w:rsidR="000A0E7B">
        <w:rPr>
          <w:rStyle w:val="KleinKapitaalAuteursCtrlAltK"/>
          <w:smallCaps w:val="0"/>
        </w:rPr>
        <w:t xml:space="preserve">Zo kan een sector ervoor kiezen om zelf een geharmoniseerd sectoraal pensioenplan aan te bieden als inrichter. </w:t>
      </w:r>
      <w:r>
        <w:rPr>
          <w:rStyle w:val="KleinKapitaalAuteursCtrlAltK"/>
          <w:smallCaps w:val="0"/>
        </w:rPr>
        <w:t xml:space="preserve">Binnen dit sectoraal pensioenplan kan de verhouding tussen de sector en de onderneming verder verfijnd worden door al dan niet een </w:t>
      </w:r>
      <w:r>
        <w:rPr>
          <w:rStyle w:val="KleinKapitaalAuteursCtrlAltK"/>
          <w:i/>
          <w:iCs/>
          <w:smallCaps w:val="0"/>
        </w:rPr>
        <w:t xml:space="preserve">opting – out </w:t>
      </w:r>
      <w:r>
        <w:rPr>
          <w:rStyle w:val="KleinKapitaalAuteursCtrlAltK"/>
          <w:smallCaps w:val="0"/>
        </w:rPr>
        <w:t>toe te staan of bepaalde ondernemingen buiten het toepassingsgebied te plaatsen. Op deze manier kan de sector rekening houden met de reeds bestaande pensioenplannen op ondernemingsniveau.</w:t>
      </w:r>
      <w:r>
        <w:rPr>
          <w:rStyle w:val="Voetnootmarkering"/>
          <w:lang w:val="nl-NL"/>
        </w:rPr>
        <w:footnoteReference w:id="158"/>
      </w:r>
    </w:p>
    <w:p w14:paraId="78AD80A8" w14:textId="47F7D7EB" w:rsidR="00200878" w:rsidRDefault="00200878" w:rsidP="008F53D5">
      <w:pPr>
        <w:pStyle w:val="Randnummer"/>
        <w:spacing w:line="360" w:lineRule="auto"/>
        <w:rPr>
          <w:rStyle w:val="KleinKapitaalAuteursCtrlAltK"/>
          <w:smallCaps w:val="0"/>
        </w:rPr>
      </w:pPr>
      <w:r>
        <w:rPr>
          <w:rStyle w:val="KleinKapitaalAuteursCtrlAltK"/>
        </w:rPr>
        <w:t xml:space="preserve">Tweede optie </w:t>
      </w:r>
      <w:r w:rsidR="0024113B">
        <w:rPr>
          <w:rStyle w:val="KleinKapitaalAuteursCtrlAltK"/>
        </w:rPr>
        <w:t>–</w:t>
      </w:r>
      <w:r>
        <w:rPr>
          <w:rStyle w:val="KleinKapitaalAuteursCtrlAltK"/>
        </w:rPr>
        <w:t xml:space="preserve"> </w:t>
      </w:r>
      <w:r w:rsidR="0024113B">
        <w:rPr>
          <w:rStyle w:val="KleinKapitaalAuteursCtrlAltK"/>
          <w:smallCaps w:val="0"/>
        </w:rPr>
        <w:t>Anderzijds kan een sector er ook voor opteren om zelf geen geharmoniseerd sectoraal pensioenplan in te richten, maar enkel een kader</w:t>
      </w:r>
      <w:r w:rsidR="00B21204">
        <w:rPr>
          <w:rStyle w:val="KleinKapitaalAuteursCtrlAltK"/>
          <w:smallCaps w:val="0"/>
        </w:rPr>
        <w:t>-</w:t>
      </w:r>
      <w:r w:rsidR="0024113B">
        <w:rPr>
          <w:rStyle w:val="KleinKapitaalAuteursCtrlAltK"/>
          <w:smallCaps w:val="0"/>
        </w:rPr>
        <w:t xml:space="preserve">cao uit te werken. De sector legt dan in deze cao de grenzen en kenmerken van het geharmoniseerd pensioenplan vast, maar treedt zelf niet op als inrichter. In dit geval zal het de werkgever zijn die verplicht wordt om een ondernemingspensioenplan in te richten dat voldoet aan deze sectorale eisen. Ook in het kader van het eenheidsstatuut is deze volledige </w:t>
      </w:r>
      <w:r w:rsidR="0024113B">
        <w:rPr>
          <w:rStyle w:val="KleinKapitaalAuteursCtrlAltK"/>
          <w:i/>
          <w:iCs/>
          <w:smallCaps w:val="0"/>
        </w:rPr>
        <w:t xml:space="preserve">opting-out </w:t>
      </w:r>
      <w:r w:rsidR="0024113B">
        <w:rPr>
          <w:rStyle w:val="KleinKapitaalAuteursCtrlAltK"/>
          <w:smallCaps w:val="0"/>
        </w:rPr>
        <w:t>toegestaan.</w:t>
      </w:r>
      <w:r w:rsidR="0024113B">
        <w:rPr>
          <w:rStyle w:val="Voetnootmarkering"/>
          <w:lang w:val="nl-NL"/>
        </w:rPr>
        <w:footnoteReference w:id="159"/>
      </w:r>
    </w:p>
    <w:p w14:paraId="3288BA8F" w14:textId="087D1B57" w:rsidR="00610DC4" w:rsidRDefault="00B91BAE" w:rsidP="008F53D5">
      <w:pPr>
        <w:pStyle w:val="Randnummer"/>
        <w:spacing w:line="360" w:lineRule="auto"/>
        <w:rPr>
          <w:lang w:val="nl-NL"/>
        </w:rPr>
      </w:pPr>
      <w:r>
        <w:rPr>
          <w:rStyle w:val="KleinKapitaalAuteursCtrlAltK"/>
        </w:rPr>
        <w:t>Inperking toepassingsgebied –</w:t>
      </w:r>
      <w:r w:rsidR="00584DEB">
        <w:rPr>
          <w:rStyle w:val="KleinKapitaalAuteursCtrlAltK"/>
          <w:smallCaps w:val="0"/>
        </w:rPr>
        <w:t xml:space="preserve"> De </w:t>
      </w:r>
      <w:r>
        <w:rPr>
          <w:rStyle w:val="KleinKapitaalAuteursCtrlAltK"/>
          <w:smallCaps w:val="0"/>
        </w:rPr>
        <w:t>sector</w:t>
      </w:r>
      <w:r w:rsidR="00584DEB">
        <w:rPr>
          <w:rStyle w:val="KleinKapitaalAuteursCtrlAltK"/>
          <w:smallCaps w:val="0"/>
        </w:rPr>
        <w:t xml:space="preserve"> kan</w:t>
      </w:r>
      <w:r>
        <w:rPr>
          <w:rStyle w:val="KleinKapitaalAuteursCtrlAltK"/>
          <w:smallCaps w:val="0"/>
        </w:rPr>
        <w:t xml:space="preserve"> het toepassingsgebied van de </w:t>
      </w:r>
      <w:r w:rsidR="00792139">
        <w:rPr>
          <w:rStyle w:val="KleinKapitaalAuteursCtrlAltK"/>
          <w:smallCaps w:val="0"/>
        </w:rPr>
        <w:t>harmonisatie cao</w:t>
      </w:r>
      <w:r>
        <w:rPr>
          <w:rStyle w:val="KleinKapitaalAuteursCtrlAltK"/>
          <w:smallCaps w:val="0"/>
        </w:rPr>
        <w:t xml:space="preserve"> </w:t>
      </w:r>
      <w:r w:rsidR="00392E42">
        <w:rPr>
          <w:rStyle w:val="KleinKapitaalAuteursCtrlAltK"/>
          <w:smallCaps w:val="0"/>
        </w:rPr>
        <w:t xml:space="preserve">beperken tot enkel die werkgevers die zowel arbeiders als bedienden tewerkstellen. Zoals reeds </w:t>
      </w:r>
      <w:r w:rsidR="002A77E8">
        <w:rPr>
          <w:rStyle w:val="KleinKapitaalAuteursCtrlAltK"/>
          <w:smallCaps w:val="0"/>
        </w:rPr>
        <w:t xml:space="preserve">gesteld </w:t>
      </w:r>
      <w:r w:rsidR="00392E42">
        <w:rPr>
          <w:rStyle w:val="KleinKapitaalAuteursCtrlAltK"/>
          <w:smallCaps w:val="0"/>
        </w:rPr>
        <w:t xml:space="preserve">zal het eenheidsstatuut </w:t>
      </w:r>
      <w:r w:rsidR="00230296">
        <w:rPr>
          <w:rStyle w:val="KleinKapitaalAuteursCtrlAltK"/>
          <w:smallCaps w:val="0"/>
        </w:rPr>
        <w:t>enke</w:t>
      </w:r>
      <w:r w:rsidR="003224ED">
        <w:rPr>
          <w:rStyle w:val="KleinKapitaalAuteursCtrlAltK"/>
          <w:smallCaps w:val="0"/>
        </w:rPr>
        <w:t>l</w:t>
      </w:r>
      <w:r w:rsidR="00230296">
        <w:rPr>
          <w:rStyle w:val="KleinKapitaalAuteursCtrlAltK"/>
          <w:smallCaps w:val="0"/>
        </w:rPr>
        <w:t xml:space="preserve"> voor deze bedrijven een harmonisatieplicht opleggen</w:t>
      </w:r>
      <w:r w:rsidR="00392E42">
        <w:rPr>
          <w:rStyle w:val="KleinKapitaalAuteursCtrlAltK"/>
          <w:smallCaps w:val="0"/>
        </w:rPr>
        <w:t>.</w:t>
      </w:r>
      <w:r w:rsidR="00392E42">
        <w:rPr>
          <w:rStyle w:val="Voetnootmarkering"/>
          <w:lang w:val="nl-NL"/>
        </w:rPr>
        <w:footnoteReference w:id="160"/>
      </w:r>
      <w:r w:rsidR="00392E42">
        <w:rPr>
          <w:rStyle w:val="KleinKapitaalAuteursCtrlAltK"/>
          <w:smallCaps w:val="0"/>
        </w:rPr>
        <w:t xml:space="preserve"> Het nadeel van dit beperkt toepassingsgebied is dat de werkgever niet voorbereid</w:t>
      </w:r>
      <w:r w:rsidR="00405996">
        <w:rPr>
          <w:rStyle w:val="KleinKapitaalAuteursCtrlAltK"/>
          <w:smallCaps w:val="0"/>
        </w:rPr>
        <w:t xml:space="preserve"> zal zijn </w:t>
      </w:r>
      <w:r w:rsidR="00392E42">
        <w:rPr>
          <w:rStyle w:val="KleinKapitaalAuteursCtrlAltK"/>
          <w:smallCaps w:val="0"/>
        </w:rPr>
        <w:t>indien hij op een gegeven moment toch zowel arbeiders als bedienden in dienst zou krijgen</w:t>
      </w:r>
      <w:r w:rsidR="00230296">
        <w:rPr>
          <w:rStyle w:val="KleinKapitaalAuteursCtrlAltK"/>
          <w:smallCaps w:val="0"/>
        </w:rPr>
        <w:t xml:space="preserve">. </w:t>
      </w:r>
      <w:r w:rsidR="00392E42">
        <w:rPr>
          <w:lang w:val="nl-NL"/>
        </w:rPr>
        <w:t xml:space="preserve">Daarnaast zou zo een beperkt toepassingsgebied er ook voor zorgen dat de democratiserende werking van het sectorpensioen vermindert, terwijl dit toch één van de hoofddoelstellingen van de WAP was. Hierdoor valt zo een beperkt toepassingsgebied af te raden. </w:t>
      </w:r>
    </w:p>
    <w:p w14:paraId="1C9EA11C" w14:textId="71CAF896" w:rsidR="002E475E" w:rsidRDefault="002C685E" w:rsidP="002E475E">
      <w:pPr>
        <w:pStyle w:val="Randnummer"/>
        <w:spacing w:line="360" w:lineRule="auto"/>
        <w:rPr>
          <w:rStyle w:val="KleinKapitaalAuteursCtrlAltK"/>
          <w:smallCaps w:val="0"/>
        </w:rPr>
      </w:pPr>
      <w:r>
        <w:rPr>
          <w:rStyle w:val="KleinKapitaalAuteursCtrlAltK"/>
        </w:rPr>
        <w:t xml:space="preserve">Rapporten NAR – </w:t>
      </w:r>
      <w:r>
        <w:rPr>
          <w:rStyle w:val="KleinKapitaalAuteursCtrlAltK"/>
          <w:smallCaps w:val="0"/>
        </w:rPr>
        <w:t>Tot op heden publiceerde de NAR reeds vijf rapporten op basis van de verslagen die door de paritaire comités worden opgesteld over hun werkzaamheden in het kader van het eenheidsstatuut.</w:t>
      </w:r>
      <w:r w:rsidR="00947CB5">
        <w:rPr>
          <w:rStyle w:val="Voetnootmarkering"/>
          <w:lang w:val="nl-NL"/>
        </w:rPr>
        <w:footnoteReference w:id="161"/>
      </w:r>
      <w:r w:rsidR="0041269C">
        <w:rPr>
          <w:rStyle w:val="KleinKapitaalAuteursCtrlAltK"/>
          <w:smallCaps w:val="0"/>
        </w:rPr>
        <w:t xml:space="preserve"> Het is dankzij deze rapporten dat we inzicht krijgen in reeds geboekte vooruitgang en de knelpunten van het harmonisatieproces. </w:t>
      </w:r>
    </w:p>
    <w:p w14:paraId="157E4B3F" w14:textId="2A314C96" w:rsidR="002E475E" w:rsidRDefault="002E475E" w:rsidP="002E475E">
      <w:pPr>
        <w:pStyle w:val="Randnummer"/>
        <w:spacing w:line="360" w:lineRule="auto"/>
        <w:rPr>
          <w:rStyle w:val="KleinKapitaalAuteursCtrlAltK"/>
          <w:smallCaps w:val="0"/>
          <w:lang w:val="nl-BE"/>
        </w:rPr>
      </w:pPr>
      <w:r w:rsidRPr="002E475E">
        <w:rPr>
          <w:rStyle w:val="KleinKapitaalAuteursCtrlAltK"/>
          <w:lang w:val="nl-BE"/>
        </w:rPr>
        <w:t>Gemengd paritair comité –</w:t>
      </w:r>
      <w:r w:rsidR="00A772FE">
        <w:rPr>
          <w:rStyle w:val="KleinKapitaalAuteursCtrlAltK"/>
          <w:lang w:val="nl-BE"/>
        </w:rPr>
        <w:t xml:space="preserve"> </w:t>
      </w:r>
      <w:r w:rsidR="00B80E44">
        <w:rPr>
          <w:rStyle w:val="KleinKapitaalAuteursCtrlAltK"/>
          <w:smallCaps w:val="0"/>
          <w:lang w:val="nl-BE"/>
        </w:rPr>
        <w:t>Slechts</w:t>
      </w:r>
      <w:r w:rsidR="00A772FE">
        <w:rPr>
          <w:rStyle w:val="KleinKapitaalAuteursCtrlAltK"/>
          <w:smallCaps w:val="0"/>
          <w:lang w:val="nl-BE"/>
        </w:rPr>
        <w:t xml:space="preserve"> een tiental sectoren </w:t>
      </w:r>
      <w:r w:rsidR="008427B4">
        <w:rPr>
          <w:rStyle w:val="KleinKapitaalAuteursCtrlAltK"/>
          <w:smallCaps w:val="0"/>
          <w:lang w:val="nl-BE"/>
        </w:rPr>
        <w:t>slaagden erin het</w:t>
      </w:r>
      <w:r w:rsidR="00A772FE">
        <w:rPr>
          <w:rStyle w:val="KleinKapitaalAuteursCtrlAltK"/>
          <w:smallCaps w:val="0"/>
          <w:lang w:val="nl-BE"/>
        </w:rPr>
        <w:t xml:space="preserve"> eenheidsstatuut suc</w:t>
      </w:r>
      <w:r w:rsidR="00B80E44">
        <w:rPr>
          <w:rStyle w:val="KleinKapitaalAuteursCtrlAltK"/>
          <w:smallCaps w:val="0"/>
          <w:lang w:val="nl-BE"/>
        </w:rPr>
        <w:t>c</w:t>
      </w:r>
      <w:r w:rsidR="00A772FE">
        <w:rPr>
          <w:rStyle w:val="KleinKapitaalAuteursCtrlAltK"/>
          <w:smallCaps w:val="0"/>
          <w:lang w:val="nl-BE"/>
        </w:rPr>
        <w:t xml:space="preserve">esvol in te voeren. </w:t>
      </w:r>
      <w:r w:rsidR="008427B4">
        <w:rPr>
          <w:rStyle w:val="KleinKapitaalAuteursCtrlAltK"/>
          <w:smallCaps w:val="0"/>
          <w:lang w:val="nl-BE"/>
        </w:rPr>
        <w:t>Het betreft hierbij voornamelijk sectoren met een gemengd paritair comité</w:t>
      </w:r>
      <w:r>
        <w:rPr>
          <w:rStyle w:val="KleinKapitaalAuteursCtrlAltK"/>
          <w:smallCaps w:val="0"/>
          <w:lang w:val="nl-BE"/>
        </w:rPr>
        <w:t xml:space="preserve">. Indien </w:t>
      </w:r>
      <w:r w:rsidR="008427B4">
        <w:rPr>
          <w:rStyle w:val="KleinKapitaalAuteursCtrlAltK"/>
          <w:smallCaps w:val="0"/>
          <w:lang w:val="nl-BE"/>
        </w:rPr>
        <w:t>binnen deze sectoren geen pensioenstelsel wordt ingericht</w:t>
      </w:r>
      <w:r>
        <w:rPr>
          <w:rStyle w:val="KleinKapitaalAuteursCtrlAltK"/>
          <w:smallCaps w:val="0"/>
          <w:lang w:val="nl-BE"/>
        </w:rPr>
        <w:t xml:space="preserve">, wordt van hen </w:t>
      </w:r>
      <w:r w:rsidR="00B96A34">
        <w:rPr>
          <w:rStyle w:val="KleinKapitaalAuteursCtrlAltK"/>
          <w:smallCaps w:val="0"/>
          <w:lang w:val="nl-BE"/>
        </w:rPr>
        <w:t xml:space="preserve">ook </w:t>
      </w:r>
      <w:r>
        <w:rPr>
          <w:rStyle w:val="KleinKapitaalAuteursCtrlAltK"/>
          <w:smallCaps w:val="0"/>
          <w:lang w:val="nl-BE"/>
        </w:rPr>
        <w:t>geen harmonisering verwacht.</w:t>
      </w:r>
      <w:r>
        <w:rPr>
          <w:rStyle w:val="Voetnootmarkering"/>
        </w:rPr>
        <w:footnoteReference w:id="162"/>
      </w:r>
      <w:r w:rsidR="002D4FCA">
        <w:rPr>
          <w:rStyle w:val="KleinKapitaalAuteursCtrlAltK"/>
          <w:smallCaps w:val="0"/>
          <w:lang w:val="nl-BE"/>
        </w:rPr>
        <w:t xml:space="preserve"> </w:t>
      </w:r>
      <w:r w:rsidR="00B96A34">
        <w:rPr>
          <w:rStyle w:val="KleinKapitaalAuteursCtrlAltK"/>
          <w:smallCaps w:val="0"/>
          <w:lang w:val="nl-BE"/>
        </w:rPr>
        <w:t>Niettemin hebben sommige van deze sectoren er toch voor gekozen een sectoraal pensioenstelsel in te voeren</w:t>
      </w:r>
      <w:r w:rsidR="002D4FCA">
        <w:rPr>
          <w:rStyle w:val="KleinKapitaalAuteursCtrlAltK"/>
          <w:smallCaps w:val="0"/>
          <w:lang w:val="nl-BE"/>
        </w:rPr>
        <w:t>.</w:t>
      </w:r>
      <w:r w:rsidR="00B96A34">
        <w:rPr>
          <w:rStyle w:val="KleinKapitaalAuteursCtrlAltK"/>
          <w:smallCaps w:val="0"/>
          <w:lang w:val="nl-BE"/>
        </w:rPr>
        <w:t xml:space="preserve"> In dit geval is de harmonisering vanaf de invoering reeds gerealiseerd, op voorwaarde dat er geen onderscheid wordt gemaakt tussen arbeiders en bedienden die onder hun bevoegdheid ressorteren.</w:t>
      </w:r>
      <w:r w:rsidR="002D4FCA">
        <w:rPr>
          <w:rStyle w:val="Voetnootmarkering"/>
        </w:rPr>
        <w:footnoteReference w:id="163"/>
      </w:r>
    </w:p>
    <w:p w14:paraId="0D641AA6" w14:textId="6BE46D9B" w:rsidR="000A3E6F" w:rsidRPr="000A3E6F" w:rsidRDefault="000A3E6F" w:rsidP="000A3E6F">
      <w:pPr>
        <w:pStyle w:val="Randnummer"/>
        <w:numPr>
          <w:ilvl w:val="0"/>
          <w:numId w:val="0"/>
        </w:numPr>
        <w:spacing w:line="360" w:lineRule="auto"/>
        <w:ind w:left="357"/>
        <w:rPr>
          <w:rStyle w:val="KleinKapitaalAuteursCtrlAltK"/>
          <w:smallCaps w:val="0"/>
          <w:lang w:val="nl-BE"/>
        </w:rPr>
      </w:pPr>
      <w:r w:rsidRPr="000A3E6F">
        <w:rPr>
          <w:rStyle w:val="KleinKapitaalAuteursCtrlAltK"/>
          <w:smallCaps w:val="0"/>
          <w:lang w:val="nl-BE"/>
        </w:rPr>
        <w:t>Naast de gemengde paritaire comités bestaat er</w:t>
      </w:r>
      <w:r>
        <w:rPr>
          <w:rStyle w:val="KleinKapitaalAuteursCtrlAltK"/>
          <w:smallCaps w:val="0"/>
          <w:lang w:val="nl-BE"/>
        </w:rPr>
        <w:t xml:space="preserve"> in een beperkt aantal </w:t>
      </w:r>
      <w:r w:rsidR="009B4087">
        <w:rPr>
          <w:rStyle w:val="KleinKapitaalAuteursCtrlAltK"/>
          <w:smallCaps w:val="0"/>
          <w:lang w:val="nl-BE"/>
        </w:rPr>
        <w:t>bedrijfstakken een symmetrie tussen de paritaire comités voor arbeiders en bedienden. Dankzij deze symmetrie worden de sociale partner</w:t>
      </w:r>
      <w:r w:rsidR="00A16E88">
        <w:rPr>
          <w:rStyle w:val="KleinKapitaalAuteursCtrlAltK"/>
          <w:smallCaps w:val="0"/>
          <w:lang w:val="nl-BE"/>
        </w:rPr>
        <w:t>s</w:t>
      </w:r>
      <w:r w:rsidR="009B4087">
        <w:rPr>
          <w:rStyle w:val="KleinKapitaalAuteursCtrlAltK"/>
          <w:smallCaps w:val="0"/>
          <w:lang w:val="nl-BE"/>
        </w:rPr>
        <w:t xml:space="preserve"> in deze sectoren niet geconfronteerd met </w:t>
      </w:r>
      <w:r w:rsidR="00D75027">
        <w:rPr>
          <w:rStyle w:val="KleinKapitaalAuteursCtrlAltK"/>
          <w:smallCaps w:val="0"/>
          <w:lang w:val="nl-BE"/>
        </w:rPr>
        <w:t>de zoektocht naar de juiste gesprekspartners gezien zij hun spiegelcomités reeds kennen. Om deze reden boeken zij sneller vooruitgang dan de asymmetrische paritaire comités.</w:t>
      </w:r>
      <w:r w:rsidR="00AD01A7">
        <w:rPr>
          <w:rStyle w:val="Voetnootmarkering"/>
        </w:rPr>
        <w:footnoteReference w:id="164"/>
      </w:r>
    </w:p>
    <w:p w14:paraId="48847B62" w14:textId="29D0FD43" w:rsidR="00667281" w:rsidRDefault="001A5A65" w:rsidP="00667281">
      <w:pPr>
        <w:pStyle w:val="Randnummer"/>
        <w:spacing w:line="360" w:lineRule="auto"/>
        <w:rPr>
          <w:rStyle w:val="KleinKapitaalAuteursCtrlAltK"/>
          <w:smallCaps w:val="0"/>
        </w:rPr>
      </w:pPr>
      <w:r>
        <w:rPr>
          <w:rStyle w:val="KleinKapitaalAuteursCtrlAltK"/>
        </w:rPr>
        <w:t xml:space="preserve">Tussenbesluit </w:t>
      </w:r>
      <w:r w:rsidR="0061477E">
        <w:rPr>
          <w:rStyle w:val="KleinKapitaalAuteursCtrlAltK"/>
        </w:rPr>
        <w:t>–</w:t>
      </w:r>
      <w:r w:rsidR="0061477E">
        <w:rPr>
          <w:rStyle w:val="KleinKapitaalAuteursCtrlAltK"/>
          <w:smallCaps w:val="0"/>
        </w:rPr>
        <w:t xml:space="preserve"> Na het analyseren van de verschillende gepubliceerde rapporten van de NAR valt het moeilijk te ontkennen dat de geboekte vooruitgang lang teleurstellend was. </w:t>
      </w:r>
      <w:r w:rsidR="009B42F8">
        <w:rPr>
          <w:rStyle w:val="KleinKapitaalAuteursCtrlAltK"/>
          <w:smallCaps w:val="0"/>
        </w:rPr>
        <w:t>Dit valt te betreuren</w:t>
      </w:r>
      <w:r w:rsidR="0061477E">
        <w:rPr>
          <w:rStyle w:val="KleinKapitaalAuteursCtrlAltK"/>
          <w:smallCaps w:val="0"/>
        </w:rPr>
        <w:t xml:space="preserve"> gezien de sociale partners van in het begin nauw betrokken waren bij de totstandkoming van de wet en daarbij zelf ook van in het begin duidelijk een beeld hadden van de moeilijkheden die de sectoren op hun pad zouden treffen. Daarbij gunde de WAP de sociale partners een erg lange overgangsperiode van tien ja</w:t>
      </w:r>
      <w:r w:rsidR="0080199C">
        <w:rPr>
          <w:rStyle w:val="KleinKapitaalAuteursCtrlAltK"/>
          <w:smallCaps w:val="0"/>
        </w:rPr>
        <w:t>ar</w:t>
      </w:r>
      <w:r w:rsidR="0061477E">
        <w:rPr>
          <w:rStyle w:val="KleinKapitaalAuteursCtrlAltK"/>
          <w:smallCaps w:val="0"/>
        </w:rPr>
        <w:t>, die zélfs nog werd verlengd met vijf ja</w:t>
      </w:r>
      <w:r w:rsidR="0080199C">
        <w:rPr>
          <w:rStyle w:val="KleinKapitaalAuteursCtrlAltK"/>
          <w:smallCaps w:val="0"/>
        </w:rPr>
        <w:t>ar</w:t>
      </w:r>
      <w:r w:rsidR="0061477E">
        <w:rPr>
          <w:rStyle w:val="KleinKapitaalAuteursCtrlAltK"/>
          <w:smallCaps w:val="0"/>
        </w:rPr>
        <w:t xml:space="preserve">. Naast tijd kregen de sociale partners ook een enorme vrijheid in de manier waarop ze wensen over te gaan tot harmonisering. </w:t>
      </w:r>
      <w:r w:rsidR="00AB7B79">
        <w:rPr>
          <w:rStyle w:val="Voetnootmarkering"/>
          <w:lang w:val="nl-NL"/>
        </w:rPr>
        <w:footnoteReference w:id="165"/>
      </w:r>
    </w:p>
    <w:p w14:paraId="27D5FC0B" w14:textId="5A991243" w:rsidR="00667281" w:rsidRDefault="003113CC" w:rsidP="00667281">
      <w:pPr>
        <w:pStyle w:val="Randnummer"/>
        <w:numPr>
          <w:ilvl w:val="0"/>
          <w:numId w:val="0"/>
        </w:numPr>
        <w:spacing w:line="360" w:lineRule="auto"/>
        <w:ind w:left="357"/>
        <w:rPr>
          <w:rStyle w:val="KleinKapitaalAuteursCtrlAltK"/>
          <w:smallCaps w:val="0"/>
        </w:rPr>
      </w:pPr>
      <w:r>
        <w:rPr>
          <w:rStyle w:val="KleinKapitaalAuteursCtrlAltK"/>
        </w:rPr>
        <w:t xml:space="preserve">Knoops </w:t>
      </w:r>
      <w:r>
        <w:rPr>
          <w:rStyle w:val="KleinKapitaalAuteursCtrlAltK"/>
          <w:smallCaps w:val="0"/>
        </w:rPr>
        <w:t>concludeerde in haar eigen onderzoek</w:t>
      </w:r>
      <w:r w:rsidR="00667281">
        <w:rPr>
          <w:rStyle w:val="KleinKapitaalAuteursCtrlAltK"/>
          <w:smallCaps w:val="0"/>
        </w:rPr>
        <w:t xml:space="preserve"> dat niet alle sociale partners op sectorniveau overtuigd waren van de noodzaak om over te gaan tot een harmonisering</w:t>
      </w:r>
      <w:r w:rsidR="00731EE4">
        <w:rPr>
          <w:rStyle w:val="KleinKapitaalAuteursCtrlAltK"/>
          <w:smallCaps w:val="0"/>
        </w:rPr>
        <w:t xml:space="preserve">. </w:t>
      </w:r>
      <w:r w:rsidR="00865C8A">
        <w:rPr>
          <w:rStyle w:val="KleinKapitaalAuteursCtrlAltK"/>
          <w:smallCaps w:val="0"/>
        </w:rPr>
        <w:t xml:space="preserve">Zo </w:t>
      </w:r>
      <w:r w:rsidR="00497BEF">
        <w:rPr>
          <w:rStyle w:val="KleinKapitaalAuteursCtrlAltK"/>
          <w:smallCaps w:val="0"/>
        </w:rPr>
        <w:t>stelde ze dat de kloof</w:t>
      </w:r>
      <w:r w:rsidR="00865C8A">
        <w:rPr>
          <w:rStyle w:val="KleinKapitaalAuteursCtrlAltK"/>
          <w:smallCaps w:val="0"/>
        </w:rPr>
        <w:t xml:space="preserve"> in bepaalde sectoren zelfs nog vergroot</w:t>
      </w:r>
      <w:r w:rsidR="00497BEF">
        <w:rPr>
          <w:rStyle w:val="KleinKapitaalAuteursCtrlAltK"/>
          <w:smallCaps w:val="0"/>
        </w:rPr>
        <w:t xml:space="preserve"> werd.</w:t>
      </w:r>
      <w:r w:rsidR="00EA6D2D">
        <w:rPr>
          <w:rStyle w:val="KleinKapitaalAuteursCtrlAltK"/>
        </w:rPr>
        <w:t xml:space="preserve"> Knoops</w:t>
      </w:r>
      <w:r w:rsidR="00611FA8">
        <w:rPr>
          <w:rStyle w:val="KleinKapitaalAuteursCtrlAltK"/>
        </w:rPr>
        <w:t xml:space="preserve"> </w:t>
      </w:r>
      <w:r w:rsidR="00611FA8">
        <w:rPr>
          <w:rStyle w:val="KleinKapitaalAuteursCtrlAltK"/>
          <w:smallCaps w:val="0"/>
        </w:rPr>
        <w:t xml:space="preserve">schoof als oplossing naar voren </w:t>
      </w:r>
      <w:r w:rsidR="00667281">
        <w:rPr>
          <w:rStyle w:val="KleinKapitaalAuteursCtrlAltK"/>
          <w:smallCaps w:val="0"/>
        </w:rPr>
        <w:t xml:space="preserve">dat in de resterende periode van de overgangsperiode het </w:t>
      </w:r>
      <w:r w:rsidR="00865C8A">
        <w:rPr>
          <w:rStyle w:val="KleinKapitaalAuteursCtrlAltK"/>
          <w:smallCaps w:val="0"/>
        </w:rPr>
        <w:t xml:space="preserve">aan de </w:t>
      </w:r>
      <w:r w:rsidR="00667281">
        <w:rPr>
          <w:rStyle w:val="KleinKapitaalAuteursCtrlAltK"/>
          <w:smallCaps w:val="0"/>
        </w:rPr>
        <w:t>overheid</w:t>
      </w:r>
      <w:r w:rsidR="00865C8A">
        <w:rPr>
          <w:rStyle w:val="KleinKapitaalAuteursCtrlAltK"/>
          <w:smallCaps w:val="0"/>
        </w:rPr>
        <w:t xml:space="preserve"> is om </w:t>
      </w:r>
      <w:r w:rsidR="00667281">
        <w:rPr>
          <w:rStyle w:val="KleinKapitaalAuteursCtrlAltK"/>
          <w:smallCaps w:val="0"/>
        </w:rPr>
        <w:t xml:space="preserve">strenger </w:t>
      </w:r>
      <w:r w:rsidR="00865C8A">
        <w:rPr>
          <w:rStyle w:val="KleinKapitaalAuteursCtrlAltK"/>
          <w:smallCaps w:val="0"/>
        </w:rPr>
        <w:t xml:space="preserve">op te treden op de naleving van de </w:t>
      </w:r>
      <w:r w:rsidR="00667281">
        <w:rPr>
          <w:rStyle w:val="KleinKapitaalAuteursCtrlAltK"/>
          <w:smallCaps w:val="0"/>
        </w:rPr>
        <w:t>WAP</w:t>
      </w:r>
      <w:r w:rsidR="00865C8A">
        <w:rPr>
          <w:rStyle w:val="KleinKapitaalAuteursCtrlAltK"/>
          <w:smallCaps w:val="0"/>
        </w:rPr>
        <w:t>. Dit kan ze doen door</w:t>
      </w:r>
      <w:r w:rsidR="00667281">
        <w:rPr>
          <w:rStyle w:val="KleinKapitaalAuteursCtrlAltK"/>
          <w:smallCaps w:val="0"/>
        </w:rPr>
        <w:t xml:space="preserve"> de algemeenverbindendverklaring van de sectorale cao’s niet te aanschouwen als een louter formele taak</w:t>
      </w:r>
      <w:r w:rsidR="00865C8A">
        <w:rPr>
          <w:rStyle w:val="KleinKapitaalAuteursCtrlAltK"/>
          <w:smallCaps w:val="0"/>
        </w:rPr>
        <w:t>, maar over te gaan tot inhoudelijke controle.</w:t>
      </w:r>
      <w:r w:rsidR="00667281">
        <w:rPr>
          <w:rStyle w:val="Voetnootmarkering"/>
          <w:lang w:val="nl-NL"/>
        </w:rPr>
        <w:footnoteReference w:id="166"/>
      </w:r>
      <w:r w:rsidR="00865C8A">
        <w:rPr>
          <w:rStyle w:val="KleinKapitaalAuteursCtrlAltK"/>
          <w:smallCaps w:val="0"/>
        </w:rPr>
        <w:t xml:space="preserve"> </w:t>
      </w:r>
    </w:p>
    <w:p w14:paraId="5E54B758" w14:textId="2DA51033" w:rsidR="005F6673" w:rsidRPr="00DC3B74" w:rsidRDefault="005F6673" w:rsidP="00667281">
      <w:pPr>
        <w:pStyle w:val="Randnummer"/>
        <w:numPr>
          <w:ilvl w:val="0"/>
          <w:numId w:val="0"/>
        </w:numPr>
        <w:spacing w:line="360" w:lineRule="auto"/>
        <w:ind w:left="357"/>
        <w:rPr>
          <w:rStyle w:val="KleinKapitaalAuteursCtrlAltK"/>
          <w:smallCaps w:val="0"/>
        </w:rPr>
      </w:pPr>
      <w:r>
        <w:rPr>
          <w:rStyle w:val="KleinKapitaalAuteursCtrlAltK"/>
          <w:smallCaps w:val="0"/>
        </w:rPr>
        <w:t xml:space="preserve">Ik sluit mij uitdrukkelijk aan bij de visie van </w:t>
      </w:r>
      <w:r>
        <w:rPr>
          <w:rStyle w:val="KleinKapitaalAuteursCtrlAltK"/>
        </w:rPr>
        <w:t xml:space="preserve">Knoops </w:t>
      </w:r>
      <w:r>
        <w:rPr>
          <w:rStyle w:val="KleinKapitaalAuteursCtrlAltK"/>
          <w:smallCaps w:val="0"/>
        </w:rPr>
        <w:t xml:space="preserve">dat er nood is aan een strakker </w:t>
      </w:r>
      <w:r w:rsidRPr="00DC3B74">
        <w:rPr>
          <w:rStyle w:val="KleinKapitaalAuteursCtrlAltK"/>
          <w:smallCaps w:val="0"/>
        </w:rPr>
        <w:t xml:space="preserve">controlemechanisme. </w:t>
      </w:r>
      <w:r w:rsidR="0008544C" w:rsidRPr="00DC3B74">
        <w:rPr>
          <w:rStyle w:val="KleinKapitaalAuteursCtrlAltK"/>
          <w:smallCaps w:val="0"/>
        </w:rPr>
        <w:t>Een succesvolle harmonisatie vereist mijn</w:t>
      </w:r>
      <w:r w:rsidR="00BB37A2" w:rsidRPr="00DC3B74">
        <w:rPr>
          <w:rStyle w:val="KleinKapitaalAuteursCtrlAltK"/>
          <w:smallCaps w:val="0"/>
        </w:rPr>
        <w:t>s</w:t>
      </w:r>
      <w:r w:rsidR="0008544C" w:rsidRPr="00DC3B74">
        <w:rPr>
          <w:rStyle w:val="KleinKapitaalAuteursCtrlAltK"/>
          <w:smallCaps w:val="0"/>
        </w:rPr>
        <w:t xml:space="preserve"> inziens een verschuiving van een loutere delegatie aan de sociale partners naar een dwingende overheidssturing met een meer afdwingbaar wettelijk kader en bindende minimumvereisten. </w:t>
      </w:r>
      <w:r w:rsidR="003F6982" w:rsidRPr="00DC3B74">
        <w:rPr>
          <w:rStyle w:val="KleinKapitaalAuteursCtrlAltK"/>
          <w:smallCaps w:val="0"/>
        </w:rPr>
        <w:t xml:space="preserve">Zonder een dergelijk voorgesteld scherper toezicht dreigt de beoogde gelijkheid tegen 2030 </w:t>
      </w:r>
      <w:r w:rsidR="002304BC" w:rsidRPr="00DC3B74">
        <w:rPr>
          <w:rStyle w:val="KleinKapitaalAuteursCtrlAltK"/>
          <w:smallCaps w:val="0"/>
        </w:rPr>
        <w:t xml:space="preserve">alsnog niet bereikt te worden. </w:t>
      </w:r>
    </w:p>
    <w:p w14:paraId="15C844BA" w14:textId="54F471D7" w:rsidR="00667281" w:rsidRDefault="00667281" w:rsidP="00667281">
      <w:pPr>
        <w:pStyle w:val="Randnummer"/>
        <w:numPr>
          <w:ilvl w:val="0"/>
          <w:numId w:val="0"/>
        </w:numPr>
        <w:spacing w:line="360" w:lineRule="auto"/>
        <w:ind w:left="357"/>
        <w:rPr>
          <w:rStyle w:val="KleinKapitaalAuteursCtrlAltK"/>
          <w:smallCaps w:val="0"/>
        </w:rPr>
      </w:pPr>
      <w:r w:rsidRPr="00DC3B74">
        <w:rPr>
          <w:rStyle w:val="KleinKapitaalAuteursCtrlAltK"/>
          <w:smallCaps w:val="0"/>
        </w:rPr>
        <w:t xml:space="preserve">Tijdens de overgangsperiode zette de overheid wel sterk in op de deskundige begeleiding van de sociale partners. Een voorbeeld </w:t>
      </w:r>
      <w:r>
        <w:rPr>
          <w:rStyle w:val="KleinKapitaalAuteursCtrlAltK"/>
          <w:smallCaps w:val="0"/>
        </w:rPr>
        <w:t>hiervan zijn de rapporten die de NAR en de FOD WASO gezamenlijk opstelde</w:t>
      </w:r>
      <w:r w:rsidR="00675774">
        <w:rPr>
          <w:rStyle w:val="KleinKapitaalAuteursCtrlAltK"/>
          <w:smallCaps w:val="0"/>
        </w:rPr>
        <w:t>n</w:t>
      </w:r>
      <w:r>
        <w:rPr>
          <w:rStyle w:val="KleinKapitaalAuteursCtrlAltK"/>
          <w:smallCaps w:val="0"/>
        </w:rPr>
        <w:t xml:space="preserve"> met een overzicht van de sectorale stand van zaken, inclusief de gesprekspartners.</w:t>
      </w:r>
      <w:r>
        <w:rPr>
          <w:rStyle w:val="Voetnootmarkering"/>
          <w:lang w:val="nl-NL"/>
        </w:rPr>
        <w:footnoteReference w:id="167"/>
      </w:r>
    </w:p>
    <w:p w14:paraId="5EF6F57B" w14:textId="7FD2B06C" w:rsidR="000F5228" w:rsidRDefault="00D449ED" w:rsidP="00667281">
      <w:pPr>
        <w:pStyle w:val="Randnummer"/>
        <w:numPr>
          <w:ilvl w:val="0"/>
          <w:numId w:val="0"/>
        </w:numPr>
        <w:spacing w:line="360" w:lineRule="auto"/>
        <w:ind w:left="357"/>
        <w:rPr>
          <w:rStyle w:val="KleinKapitaalAuteursCtrlAltK"/>
          <w:smallCaps w:val="0"/>
        </w:rPr>
      </w:pPr>
      <w:r>
        <w:rPr>
          <w:rStyle w:val="KleinKapitaalAuteursCtrlAltK"/>
          <w:smallCaps w:val="0"/>
        </w:rPr>
        <w:t>Het dient toch vermeld te worden dat een</w:t>
      </w:r>
      <w:r w:rsidR="000F5228">
        <w:rPr>
          <w:rStyle w:val="KleinKapitaalAuteursCtrlAltK"/>
          <w:smallCaps w:val="0"/>
        </w:rPr>
        <w:t xml:space="preserve"> aantal paritaire comités er reeds in </w:t>
      </w:r>
      <w:r>
        <w:rPr>
          <w:rStyle w:val="KleinKapitaalAuteursCtrlAltK"/>
          <w:smallCaps w:val="0"/>
        </w:rPr>
        <w:t xml:space="preserve">wisten </w:t>
      </w:r>
      <w:r w:rsidR="000F5228">
        <w:rPr>
          <w:rStyle w:val="KleinKapitaalAuteursCtrlAltK"/>
          <w:smallCaps w:val="0"/>
        </w:rPr>
        <w:t xml:space="preserve">te slagen </w:t>
      </w:r>
      <w:r w:rsidR="00156E24">
        <w:rPr>
          <w:rStyle w:val="KleinKapitaalAuteursCtrlAltK"/>
          <w:smallCaps w:val="0"/>
        </w:rPr>
        <w:t xml:space="preserve">om na de coronaperiode grote stappen voorwaarts te zetten. Zo </w:t>
      </w:r>
      <w:r w:rsidR="00724F0C">
        <w:rPr>
          <w:rStyle w:val="KleinKapitaalAuteursCtrlAltK"/>
          <w:smallCaps w:val="0"/>
        </w:rPr>
        <w:t>zijn er</w:t>
      </w:r>
      <w:r w:rsidR="00156E24">
        <w:rPr>
          <w:rStyle w:val="KleinKapitaalAuteursCtrlAltK"/>
          <w:smallCaps w:val="0"/>
        </w:rPr>
        <w:t xml:space="preserve"> paritaire comités die er in </w:t>
      </w:r>
      <w:r>
        <w:rPr>
          <w:rStyle w:val="KleinKapitaalAuteursCtrlAltK"/>
          <w:smallCaps w:val="0"/>
        </w:rPr>
        <w:t>zijn geslaagd</w:t>
      </w:r>
      <w:r w:rsidR="00156E24">
        <w:rPr>
          <w:rStyle w:val="KleinKapitaalAuteursCtrlAltK"/>
          <w:smallCaps w:val="0"/>
        </w:rPr>
        <w:t xml:space="preserve"> om de bevoegdheden voor arbeiders en bedienden te bundelen of hun aanvullend pensioen wisten te spiegelen </w:t>
      </w:r>
      <w:r w:rsidR="00401061">
        <w:rPr>
          <w:rStyle w:val="KleinKapitaalAuteursCtrlAltK"/>
          <w:smallCaps w:val="0"/>
        </w:rPr>
        <w:t xml:space="preserve">aan dat van </w:t>
      </w:r>
      <w:r w:rsidR="00156E24">
        <w:rPr>
          <w:rStyle w:val="KleinKapitaalAuteursCtrlAltK"/>
          <w:smallCaps w:val="0"/>
        </w:rPr>
        <w:t>h</w:t>
      </w:r>
      <w:r w:rsidR="00401061">
        <w:rPr>
          <w:rStyle w:val="KleinKapitaalAuteursCtrlAltK"/>
          <w:smallCaps w:val="0"/>
        </w:rPr>
        <w:t>un</w:t>
      </w:r>
      <w:r w:rsidR="00156E24">
        <w:rPr>
          <w:rStyle w:val="KleinKapitaalAuteursCtrlAltK"/>
          <w:smallCaps w:val="0"/>
        </w:rPr>
        <w:t xml:space="preserve"> grotere zustercomité. Hoewel het sectorale pensioenlandschap nog verre van geharmoniseerd is, blijken de reeds geslaagde harmonisatieprojecten</w:t>
      </w:r>
      <w:r>
        <w:rPr>
          <w:rStyle w:val="KleinKapitaalAuteursCtrlAltK"/>
          <w:smallCaps w:val="0"/>
        </w:rPr>
        <w:t xml:space="preserve"> </w:t>
      </w:r>
      <w:r w:rsidR="00156E24">
        <w:rPr>
          <w:rStyle w:val="KleinKapitaalAuteursCtrlAltK"/>
          <w:smallCaps w:val="0"/>
        </w:rPr>
        <w:t>wel inspirerend te werken.</w:t>
      </w:r>
      <w:r w:rsidR="00156E24">
        <w:rPr>
          <w:rStyle w:val="Voetnootmarkering"/>
          <w:lang w:val="nl-NL"/>
        </w:rPr>
        <w:footnoteReference w:id="168"/>
      </w:r>
    </w:p>
    <w:p w14:paraId="7E458382" w14:textId="730B860D" w:rsidR="0067147B" w:rsidRDefault="008A70DD" w:rsidP="0067147B">
      <w:pPr>
        <w:pStyle w:val="Kop4"/>
        <w:rPr>
          <w:lang w:val="nl-NL"/>
        </w:rPr>
      </w:pPr>
      <w:bookmarkStart w:id="73" w:name="_Toc228784118"/>
      <w:r>
        <w:rPr>
          <w:lang w:val="nl-NL"/>
        </w:rPr>
        <w:t>Werkgevers ronden harmonisering af</w:t>
      </w:r>
      <w:bookmarkEnd w:id="73"/>
    </w:p>
    <w:p w14:paraId="7795B511" w14:textId="21C42E88" w:rsidR="008A70DD" w:rsidRDefault="008A70DD" w:rsidP="008A70DD">
      <w:pPr>
        <w:pStyle w:val="Kop5"/>
        <w:rPr>
          <w:lang w:val="nl-NL"/>
        </w:rPr>
      </w:pPr>
      <w:r>
        <w:rPr>
          <w:lang w:val="nl-NL"/>
        </w:rPr>
        <w:t>Finalisering</w:t>
      </w:r>
    </w:p>
    <w:p w14:paraId="0B7C4284" w14:textId="65A4DDCD" w:rsidR="008A70DD" w:rsidRDefault="006C4D8F" w:rsidP="006C4D8F">
      <w:pPr>
        <w:pStyle w:val="Randnummer"/>
        <w:spacing w:line="360" w:lineRule="auto"/>
        <w:rPr>
          <w:rStyle w:val="KleinKapitaalAuteursCtrlAltK"/>
          <w:smallCaps w:val="0"/>
        </w:rPr>
      </w:pPr>
      <w:r>
        <w:rPr>
          <w:rStyle w:val="KleinKapitaalAuteursCtrlAltK"/>
        </w:rPr>
        <w:t>Harmonisering –</w:t>
      </w:r>
      <w:r>
        <w:rPr>
          <w:rStyle w:val="KleinKapitaalAuteursCtrlAltK"/>
          <w:smallCaps w:val="0"/>
        </w:rPr>
        <w:t xml:space="preserve"> Na de sectoren zijn de werkgevers zelf aan zet om de harmonisering af te ronden. Het eindresultaat dat hierbij bereikt dient te worden is dat arbeiders en bedienden kunnen genieten van hetzelfde aanvullend pensioenniveau.</w:t>
      </w:r>
      <w:r>
        <w:rPr>
          <w:rStyle w:val="Voetnootmarkering"/>
          <w:lang w:val="nl-NL"/>
        </w:rPr>
        <w:footnoteReference w:id="169"/>
      </w:r>
      <w:r w:rsidR="00BB77B8">
        <w:rPr>
          <w:rStyle w:val="KleinKapitaalAuteursCtrlAltK"/>
          <w:smallCaps w:val="0"/>
        </w:rPr>
        <w:t xml:space="preserve"> Er bestaat hierbij geen principieel bezwaar tegen een harmonisering waarbij inrichters op verschillende niveaus (</w:t>
      </w:r>
      <w:r w:rsidR="002338AE">
        <w:rPr>
          <w:rStyle w:val="KleinKapitaalAuteursCtrlAltK"/>
          <w:smallCaps w:val="0"/>
        </w:rPr>
        <w:t>b</w:t>
      </w:r>
      <w:r w:rsidR="00BB77B8">
        <w:rPr>
          <w:rStyle w:val="KleinKapitaalAuteursCtrlAltK"/>
          <w:smallCaps w:val="0"/>
        </w:rPr>
        <w:t>ijvoorbeeld zowel op sectoraal niveau als op ondernemingsniveau) betrokken zijn.</w:t>
      </w:r>
    </w:p>
    <w:p w14:paraId="7F248300" w14:textId="4A221792" w:rsidR="005702A8" w:rsidRDefault="00BB77B8" w:rsidP="00F809D4">
      <w:pPr>
        <w:pStyle w:val="Randnummer"/>
        <w:numPr>
          <w:ilvl w:val="0"/>
          <w:numId w:val="0"/>
        </w:numPr>
        <w:spacing w:line="360" w:lineRule="auto"/>
        <w:ind w:left="357"/>
        <w:rPr>
          <w:rStyle w:val="KleinKapitaalAuteursCtrlAltK"/>
          <w:smallCaps w:val="0"/>
        </w:rPr>
      </w:pPr>
      <w:r>
        <w:rPr>
          <w:rStyle w:val="KleinKapitaalAuteursCtrlAltK"/>
          <w:smallCaps w:val="0"/>
        </w:rPr>
        <w:t>In de praktijk kan een werkgever geconfronteerd worden met een lappendeken aan pensioentoezeggingen waarbij hij de verantwoordelijkheid zal dragen om de harmonisering te finaliseren. Dit allemaal terwijl hij rekening houdt met de sectorale evoluties.</w:t>
      </w:r>
      <w:r>
        <w:rPr>
          <w:rStyle w:val="Voetnootmarkering"/>
          <w:lang w:val="nl-NL"/>
        </w:rPr>
        <w:footnoteReference w:id="170"/>
      </w:r>
      <w:r w:rsidR="00F809D4">
        <w:rPr>
          <w:rStyle w:val="KleinKapitaalAuteursCtrlAltK"/>
          <w:smallCaps w:val="0"/>
        </w:rPr>
        <w:t xml:space="preserve"> De </w:t>
      </w:r>
      <w:r w:rsidR="005702A8">
        <w:rPr>
          <w:rStyle w:val="KleinKapitaalAuteursCtrlAltK"/>
          <w:smallCaps w:val="0"/>
        </w:rPr>
        <w:t>werkgever kan zich gedurende deze harmonisatieopdracht niet verschuilen achter reeds bestaande cao’s. Zélfs indien een onderscheid tussen arbeiders en bedienden voortvloeit uit de bepalingen van een cao, zal het de werkgever zijn die de gelijkheid m</w:t>
      </w:r>
      <w:r w:rsidR="005702A8" w:rsidRPr="005702A8">
        <w:rPr>
          <w:rStyle w:val="KleinKapitaalAuteursCtrlAltK"/>
          <w:smallCaps w:val="0"/>
        </w:rPr>
        <w:t>oet realiseren.</w:t>
      </w:r>
      <w:r w:rsidR="00DD5D70">
        <w:rPr>
          <w:rStyle w:val="Voetnootmarkering"/>
          <w:lang w:val="nl-NL"/>
        </w:rPr>
        <w:footnoteReference w:id="171"/>
      </w:r>
    </w:p>
    <w:p w14:paraId="03AA9F64" w14:textId="11CD5FD4" w:rsidR="0092117E" w:rsidRDefault="008C0CEB" w:rsidP="008C0CEB">
      <w:pPr>
        <w:pStyle w:val="Kop5"/>
        <w:rPr>
          <w:lang w:val="nl-NL"/>
        </w:rPr>
      </w:pPr>
      <w:r>
        <w:rPr>
          <w:lang w:val="nl-NL"/>
        </w:rPr>
        <w:t>Houding van de werkgever</w:t>
      </w:r>
    </w:p>
    <w:p w14:paraId="110944F6" w14:textId="5ECA953C" w:rsidR="008C0CEB" w:rsidRDefault="00314D1F" w:rsidP="003F7670">
      <w:pPr>
        <w:pStyle w:val="Randnummer"/>
        <w:spacing w:line="360" w:lineRule="auto"/>
        <w:rPr>
          <w:rStyle w:val="KleinKapitaalAuteursCtrlAltK"/>
          <w:smallCaps w:val="0"/>
        </w:rPr>
      </w:pPr>
      <w:r>
        <w:rPr>
          <w:rStyle w:val="KleinKapitaalAuteursCtrlAltK"/>
        </w:rPr>
        <w:t xml:space="preserve">Afwachtende houding </w:t>
      </w:r>
      <w:r w:rsidR="00FF71BA">
        <w:rPr>
          <w:rStyle w:val="KleinKapitaalAuteursCtrlAltK"/>
        </w:rPr>
        <w:t>–</w:t>
      </w:r>
      <w:r w:rsidR="006F5E4C">
        <w:rPr>
          <w:rStyle w:val="KleinKapitaalAuteursCtrlAltK"/>
          <w:smallCaps w:val="0"/>
        </w:rPr>
        <w:t xml:space="preserve"> </w:t>
      </w:r>
      <w:r w:rsidR="00FF71BA">
        <w:rPr>
          <w:rStyle w:val="KleinKapitaalAuteursCtrlAltK"/>
          <w:smallCaps w:val="0"/>
        </w:rPr>
        <w:t>Tot 1 januari 2027 is het toegelaten dat de werkgever een meer afwachtende houding aanneemt dan de sectoren.</w:t>
      </w:r>
      <w:r w:rsidR="003F7670">
        <w:rPr>
          <w:rStyle w:val="KleinKapitaalAuteursCtrlAltK"/>
          <w:smallCaps w:val="0"/>
        </w:rPr>
        <w:t xml:space="preserve"> Toch wordt er </w:t>
      </w:r>
      <w:r w:rsidR="00F71668">
        <w:rPr>
          <w:rStyle w:val="KleinKapitaalAuteursCtrlAltK"/>
          <w:smallCaps w:val="0"/>
        </w:rPr>
        <w:t>van hem verwacht</w:t>
      </w:r>
      <w:r w:rsidR="003F7670">
        <w:rPr>
          <w:rStyle w:val="KleinKapitaalAuteursCtrlAltK"/>
          <w:smallCaps w:val="0"/>
        </w:rPr>
        <w:t xml:space="preserve"> dat hij hiervoor al een pla</w:t>
      </w:r>
      <w:r w:rsidR="00074F10">
        <w:rPr>
          <w:rStyle w:val="KleinKapitaalAuteursCtrlAltK"/>
          <w:smallCaps w:val="0"/>
        </w:rPr>
        <w:t>n</w:t>
      </w:r>
      <w:r w:rsidR="003F7670">
        <w:rPr>
          <w:rStyle w:val="KleinKapitaalAuteursCtrlAltK"/>
          <w:smallCaps w:val="0"/>
        </w:rPr>
        <w:t xml:space="preserve"> van aanpak heeft opgesteld. De wet koppelt namelijk aan de voorlopige aanvaarding van een bestaand onderscheid de formele voorwaarde dat de werkgever zich inschrijft in een harmonisatietraject. In dit harmonisatietraject is de werkgever vrij om de inhoud ervan te bepalen, rekening houdend met de specifieke situatie van zijn onderneming. Zo een harmonisatietraject hangt af van de toestand van de werkgever en zal dus ook echt maatwerk zijn. In de memorie van toelichting kunnen een aantal suggesties gevonden worden over hoe de werkgever hier praktisch mee </w:t>
      </w:r>
      <w:r w:rsidR="006211DF">
        <w:rPr>
          <w:rStyle w:val="KleinKapitaalAuteursCtrlAltK"/>
          <w:smallCaps w:val="0"/>
        </w:rPr>
        <w:t>om kan gaan</w:t>
      </w:r>
      <w:r w:rsidR="003F7670">
        <w:rPr>
          <w:rStyle w:val="KleinKapitaalAuteursCtrlAltK"/>
          <w:smallCaps w:val="0"/>
        </w:rPr>
        <w:t>.</w:t>
      </w:r>
      <w:r w:rsidR="003F7670">
        <w:rPr>
          <w:rStyle w:val="Voetnootmarkering"/>
          <w:lang w:val="nl-NL"/>
        </w:rPr>
        <w:footnoteReference w:id="172"/>
      </w:r>
      <w:r w:rsidR="00F71668">
        <w:rPr>
          <w:rStyle w:val="KleinKapitaalAuteursCtrlAltK"/>
          <w:smallCaps w:val="0"/>
        </w:rPr>
        <w:t xml:space="preserve"> </w:t>
      </w:r>
      <w:r w:rsidR="004D6DF6">
        <w:rPr>
          <w:rStyle w:val="KleinKapitaalAuteursCtrlAltK"/>
          <w:smallCaps w:val="0"/>
        </w:rPr>
        <w:t xml:space="preserve">Zo kan hij bijvoorbeeld al inlichtingen </w:t>
      </w:r>
      <w:r w:rsidR="00F71668">
        <w:rPr>
          <w:rStyle w:val="KleinKapitaalAuteursCtrlAltK"/>
          <w:smallCaps w:val="0"/>
        </w:rPr>
        <w:t xml:space="preserve">opvragen bij de pensioeninstelling die zijn pensioenstelsel beheert. </w:t>
      </w:r>
    </w:p>
    <w:p w14:paraId="54E1589F" w14:textId="45E653C0" w:rsidR="00F63BC5" w:rsidRDefault="009D7521" w:rsidP="009D7521">
      <w:pPr>
        <w:pStyle w:val="Randnummer"/>
        <w:numPr>
          <w:ilvl w:val="0"/>
          <w:numId w:val="0"/>
        </w:numPr>
        <w:spacing w:line="360" w:lineRule="auto"/>
        <w:ind w:left="357"/>
        <w:rPr>
          <w:rStyle w:val="KleinKapitaalAuteursCtrlAltK"/>
          <w:smallCaps w:val="0"/>
        </w:rPr>
      </w:pPr>
      <w:r>
        <w:rPr>
          <w:rStyle w:val="KleinKapitaalAuteursCtrlAltK"/>
          <w:smallCaps w:val="0"/>
        </w:rPr>
        <w:t>De eerste stap voor de werkgever is om een goed beeld te krijgen van alle pensioenstelsels die een impact hebben of kunnen hebben op de gelijkheid tussen arbeiders en bedienden, en dit zowel op ondernemings- als op sectorniveau. Hiervoor kan de werkgever zich informeren bij een pensioeninstelling, makelaar/consultant of bij de sociale partners.</w:t>
      </w:r>
      <w:r>
        <w:rPr>
          <w:rStyle w:val="Voetnootmarkering"/>
          <w:lang w:val="nl-NL"/>
        </w:rPr>
        <w:footnoteReference w:id="173"/>
      </w:r>
      <w:r w:rsidR="00C327AB">
        <w:rPr>
          <w:rStyle w:val="KleinKapitaalAuteursCtrlAltK"/>
          <w:smallCaps w:val="0"/>
        </w:rPr>
        <w:t xml:space="preserve"> In tegenstelling tot bij de sociale partners wordt er in de voorbereidende werken van de werkgever geen tussentijds controlemoment voorzien om de voortgang van de werkgever tijdens de overgangsfase te monitoren.</w:t>
      </w:r>
      <w:r w:rsidR="00C327AB">
        <w:rPr>
          <w:rStyle w:val="Voetnootmarkering"/>
          <w:lang w:val="nl-NL"/>
        </w:rPr>
        <w:footnoteReference w:id="174"/>
      </w:r>
    </w:p>
    <w:p w14:paraId="5195486A" w14:textId="5BDC163C" w:rsidR="00F71668" w:rsidRDefault="00F71668" w:rsidP="009D7521">
      <w:pPr>
        <w:pStyle w:val="Randnummer"/>
        <w:numPr>
          <w:ilvl w:val="0"/>
          <w:numId w:val="0"/>
        </w:numPr>
        <w:spacing w:line="360" w:lineRule="auto"/>
        <w:ind w:left="357"/>
        <w:rPr>
          <w:rStyle w:val="KleinKapitaalAuteursCtrlAltK"/>
          <w:smallCaps w:val="0"/>
        </w:rPr>
      </w:pPr>
      <w:r>
        <w:rPr>
          <w:rStyle w:val="KleinKapitaalAuteursCtrlAltK"/>
          <w:smallCaps w:val="0"/>
        </w:rPr>
        <w:t>De werkgevers zijn pas aan zet na de sectoren gezien er in veel ondernemingen naast een ondernemingspensioenstelsel ook een sectoraal pensioenplan van toepassing is. De werkgever kan dus pas gericht actie ondernemen nadat hij een duidelijk zicht heeft op de sectorale harmonisering.</w:t>
      </w:r>
      <w:r>
        <w:rPr>
          <w:rStyle w:val="Voetnootmarkering"/>
          <w:lang w:val="nl-NL"/>
        </w:rPr>
        <w:footnoteReference w:id="175"/>
      </w:r>
      <w:r>
        <w:rPr>
          <w:rStyle w:val="KleinKapitaalAuteursCtrlAltK"/>
          <w:smallCaps w:val="0"/>
        </w:rPr>
        <w:t xml:space="preserve"> </w:t>
      </w:r>
      <w:r w:rsidR="00D21699">
        <w:rPr>
          <w:rStyle w:val="KleinKapitaalAuteursCtrlAltK"/>
          <w:smallCaps w:val="0"/>
        </w:rPr>
        <w:t xml:space="preserve">Men zou kunnen stellen dat </w:t>
      </w:r>
      <w:r w:rsidR="00065762">
        <w:rPr>
          <w:rStyle w:val="KleinKapitaalAuteursCtrlAltK"/>
          <w:smallCaps w:val="0"/>
        </w:rPr>
        <w:t xml:space="preserve">de werkgevers al vroeger in actie kunnen schieten door bepaalde inlichtingen te verkrijgen over de bestaande pensioenplannen. Dit zou het proces kunnen versnellen doordat de werkgevers er beter van op de hoogte zijn waar er nog aanpassingen doorgevoerd dienen te worden. </w:t>
      </w:r>
    </w:p>
    <w:p w14:paraId="7259A68F" w14:textId="212DAC0F" w:rsidR="008E43DA" w:rsidRDefault="008E43DA" w:rsidP="000E0F78">
      <w:pPr>
        <w:pStyle w:val="Randnummer"/>
        <w:spacing w:line="360" w:lineRule="auto"/>
        <w:rPr>
          <w:rStyle w:val="KleinKapitaalAuteursCtrlAltK"/>
          <w:smallCaps w:val="0"/>
        </w:rPr>
      </w:pPr>
      <w:r>
        <w:rPr>
          <w:rStyle w:val="KleinKapitaalAuteursCtrlAltK"/>
        </w:rPr>
        <w:t xml:space="preserve">Mogelijkheid tot anticiperen </w:t>
      </w:r>
      <w:r w:rsidR="000E0F78">
        <w:rPr>
          <w:rStyle w:val="KleinKapitaalAuteursCtrlAltK"/>
        </w:rPr>
        <w:t>–</w:t>
      </w:r>
      <w:r w:rsidR="000E0F78">
        <w:rPr>
          <w:rStyle w:val="KleinKapitaalAuteursCtrlAltK"/>
          <w:smallCaps w:val="0"/>
        </w:rPr>
        <w:t xml:space="preserve"> De wetgever heeft ook rekening gehouden met de werkgevers die geen afwachtende houding willen aannemen tot 2027.</w:t>
      </w:r>
      <w:r w:rsidR="00B25F07">
        <w:rPr>
          <w:rStyle w:val="KleinKapitaalAuteursCtrlAltK"/>
          <w:smallCaps w:val="0"/>
        </w:rPr>
        <w:t xml:space="preserve"> Om deze werkgevers niet af te straffen voor hun vooruitziend gedrag kunnen paritaire comités </w:t>
      </w:r>
      <w:r w:rsidR="0049772C">
        <w:rPr>
          <w:rStyle w:val="KleinKapitaalAuteursCtrlAltK"/>
          <w:smallCaps w:val="0"/>
        </w:rPr>
        <w:t>ervoor opteren</w:t>
      </w:r>
      <w:r w:rsidR="00B25F07">
        <w:rPr>
          <w:rStyle w:val="KleinKapitaalAuteursCtrlAltK"/>
          <w:smallCaps w:val="0"/>
        </w:rPr>
        <w:t xml:space="preserve"> om een </w:t>
      </w:r>
      <w:r w:rsidR="00B25F07">
        <w:rPr>
          <w:rStyle w:val="KleinKapitaalAuteursCtrlAltK"/>
          <w:i/>
          <w:iCs/>
          <w:smallCaps w:val="0"/>
        </w:rPr>
        <w:t xml:space="preserve">opting-out </w:t>
      </w:r>
      <w:r w:rsidR="00B25F07">
        <w:rPr>
          <w:rStyle w:val="KleinKapitaalAuteursCtrlAltK"/>
          <w:smallCaps w:val="0"/>
        </w:rPr>
        <w:t>te voorzien. Op deze manier kan rekening worden gehouden met de ondernemings</w:t>
      </w:r>
      <w:r w:rsidR="00F37FE6">
        <w:rPr>
          <w:rStyle w:val="KleinKapitaalAuteursCtrlAltK"/>
          <w:smallCaps w:val="0"/>
        </w:rPr>
        <w:t>-</w:t>
      </w:r>
      <w:r w:rsidR="00B25F07">
        <w:rPr>
          <w:rStyle w:val="KleinKapitaalAuteursCtrlAltK"/>
          <w:smallCaps w:val="0"/>
        </w:rPr>
        <w:t>pensioenstelsels.</w:t>
      </w:r>
      <w:r w:rsidR="00B25F07">
        <w:rPr>
          <w:rStyle w:val="Voetnootmarkering"/>
          <w:lang w:val="nl-NL"/>
        </w:rPr>
        <w:footnoteReference w:id="176"/>
      </w:r>
    </w:p>
    <w:p w14:paraId="2442C5F7" w14:textId="4E5B4AEB" w:rsidR="00F37FE6" w:rsidRPr="00003345" w:rsidRDefault="00F37FE6" w:rsidP="000E0F78">
      <w:pPr>
        <w:pStyle w:val="Randnummer"/>
        <w:spacing w:line="360" w:lineRule="auto"/>
        <w:rPr>
          <w:rStyle w:val="KleinKapitaalAuteursCtrlAltK"/>
          <w:smallCaps w:val="0"/>
        </w:rPr>
      </w:pPr>
      <w:r>
        <w:rPr>
          <w:rStyle w:val="KleinKapitaalAuteursCtrlAltK"/>
          <w:i/>
          <w:iCs/>
        </w:rPr>
        <w:t xml:space="preserve">Opting-out – </w:t>
      </w:r>
      <w:r>
        <w:rPr>
          <w:rStyle w:val="KleinKapitaalAuteursCtrlAltK"/>
          <w:iCs/>
          <w:smallCaps w:val="0"/>
        </w:rPr>
        <w:t xml:space="preserve">Via dit systeem </w:t>
      </w:r>
      <w:r w:rsidR="00BC620E">
        <w:rPr>
          <w:rStyle w:val="KleinKapitaalAuteursCtrlAltK"/>
          <w:iCs/>
          <w:smallCaps w:val="0"/>
        </w:rPr>
        <w:t xml:space="preserve">kunnen individuele werkgevers ervoor kiezen om niet deel te nemen aan het sectoraal pensioenstelsel en kunnen </w:t>
      </w:r>
      <w:r w:rsidR="00991322">
        <w:rPr>
          <w:rStyle w:val="KleinKapitaalAuteursCtrlAltK"/>
          <w:iCs/>
          <w:smallCaps w:val="0"/>
        </w:rPr>
        <w:t xml:space="preserve">ze hun </w:t>
      </w:r>
      <w:r w:rsidR="00BC620E">
        <w:rPr>
          <w:rStyle w:val="KleinKapitaalAuteursCtrlAltK"/>
          <w:iCs/>
          <w:smallCaps w:val="0"/>
        </w:rPr>
        <w:t>eigen ondernemingspensioenstelsel behouden</w:t>
      </w:r>
      <w:r>
        <w:rPr>
          <w:rStyle w:val="KleinKapitaalAuteursCtrlAltK"/>
          <w:iCs/>
          <w:smallCaps w:val="0"/>
        </w:rPr>
        <w:t>. Er wordt hierin expliciet voorzien door de WAP in het kader van het eenheidsstatuut.</w:t>
      </w:r>
      <w:r>
        <w:rPr>
          <w:rStyle w:val="Voetnootmarkering"/>
          <w:iCs/>
          <w:lang w:val="nl-NL"/>
        </w:rPr>
        <w:footnoteReference w:id="177"/>
      </w:r>
      <w:r w:rsidR="00323C2C">
        <w:rPr>
          <w:rStyle w:val="KleinKapitaalAuteursCtrlAltK"/>
          <w:iCs/>
          <w:smallCaps w:val="0"/>
        </w:rPr>
        <w:t xml:space="preserve"> Dit zorgt ervoor dat een onderneming kan blijven vasthouden aan zijn </w:t>
      </w:r>
      <w:r w:rsidR="00BC620E">
        <w:rPr>
          <w:rStyle w:val="KleinKapitaalAuteursCtrlAltK"/>
          <w:iCs/>
          <w:smallCaps w:val="0"/>
        </w:rPr>
        <w:t>reeds geharmoniseerde ondernemingspensioen</w:t>
      </w:r>
      <w:r w:rsidR="00CC638D">
        <w:rPr>
          <w:rStyle w:val="KleinKapitaalAuteursCtrlAltK"/>
          <w:iCs/>
          <w:smallCaps w:val="0"/>
        </w:rPr>
        <w:t>plan</w:t>
      </w:r>
      <w:r w:rsidR="00BC620E">
        <w:rPr>
          <w:rStyle w:val="KleinKapitaalAuteursCtrlAltK"/>
          <w:iCs/>
          <w:smallCaps w:val="0"/>
        </w:rPr>
        <w:t xml:space="preserve">, </w:t>
      </w:r>
      <w:r w:rsidR="00323C2C">
        <w:rPr>
          <w:rStyle w:val="KleinKapitaalAuteursCtrlAltK"/>
          <w:iCs/>
          <w:smallCaps w:val="0"/>
        </w:rPr>
        <w:t xml:space="preserve">ook al wordt het sectorplan aangepast. </w:t>
      </w:r>
      <w:r w:rsidR="00BC620E">
        <w:rPr>
          <w:rStyle w:val="KleinKapitaalAuteursCtrlAltK"/>
          <w:iCs/>
          <w:smallCaps w:val="0"/>
        </w:rPr>
        <w:t>Op deze manier</w:t>
      </w:r>
      <w:r w:rsidR="00323C2C">
        <w:rPr>
          <w:rStyle w:val="KleinKapitaalAuteursCtrlAltK"/>
          <w:iCs/>
          <w:smallCaps w:val="0"/>
        </w:rPr>
        <w:t xml:space="preserve"> kan worden voorkomen dat een werkgever wordt geconfronteerd met een dubbele pensioenlast op zowel ondernemings- als sectoraal niveau.</w:t>
      </w:r>
      <w:r w:rsidR="00323C2C">
        <w:rPr>
          <w:rStyle w:val="Voetnootmarkering"/>
          <w:iCs/>
          <w:lang w:val="nl-NL"/>
        </w:rPr>
        <w:footnoteReference w:id="178"/>
      </w:r>
      <w:r w:rsidR="006678E9">
        <w:rPr>
          <w:rStyle w:val="KleinKapitaalAuteursCtrlAltK"/>
          <w:iCs/>
          <w:smallCaps w:val="0"/>
        </w:rPr>
        <w:t xml:space="preserve"> Een andere manier om een dubbele pensioenrekening te vermijden is door bepaalde werkgevers uit te sluiten uit het toepassingsgebied van het sectorale pensioenstelsel. Ook dit kan voorzien worden in </w:t>
      </w:r>
      <w:r w:rsidR="00BC620E">
        <w:rPr>
          <w:rStyle w:val="KleinKapitaalAuteursCtrlAltK"/>
          <w:iCs/>
          <w:smallCaps w:val="0"/>
        </w:rPr>
        <w:t xml:space="preserve">de </w:t>
      </w:r>
      <w:r w:rsidR="006678E9">
        <w:rPr>
          <w:rStyle w:val="KleinKapitaalAuteursCtrlAltK"/>
          <w:iCs/>
          <w:smallCaps w:val="0"/>
        </w:rPr>
        <w:t>harmonisatie</w:t>
      </w:r>
      <w:r w:rsidR="00BC620E">
        <w:rPr>
          <w:rStyle w:val="KleinKapitaalAuteursCtrlAltK"/>
          <w:iCs/>
          <w:smallCaps w:val="0"/>
        </w:rPr>
        <w:t>-</w:t>
      </w:r>
      <w:r w:rsidR="006678E9">
        <w:rPr>
          <w:rStyle w:val="KleinKapitaalAuteursCtrlAltK"/>
          <w:iCs/>
          <w:smallCaps w:val="0"/>
        </w:rPr>
        <w:t>cao door de sociale partners</w:t>
      </w:r>
      <w:r w:rsidR="00BC620E">
        <w:rPr>
          <w:rStyle w:val="KleinKapitaalAuteursCtrlAltK"/>
          <w:iCs/>
          <w:smallCaps w:val="0"/>
        </w:rPr>
        <w:t xml:space="preserve"> in het kader van het eenheidsstatuut</w:t>
      </w:r>
      <w:r w:rsidR="006678E9">
        <w:rPr>
          <w:rStyle w:val="KleinKapitaalAuteursCtrlAltK"/>
          <w:iCs/>
          <w:smallCaps w:val="0"/>
        </w:rPr>
        <w:t>.</w:t>
      </w:r>
      <w:r w:rsidR="006678E9">
        <w:rPr>
          <w:rStyle w:val="Voetnootmarkering"/>
          <w:iCs/>
          <w:lang w:val="nl-NL"/>
        </w:rPr>
        <w:footnoteReference w:id="179"/>
      </w:r>
      <w:r w:rsidR="006678E9">
        <w:rPr>
          <w:rStyle w:val="KleinKapitaalAuteursCtrlAltK"/>
          <w:iCs/>
          <w:smallCaps w:val="0"/>
        </w:rPr>
        <w:t xml:space="preserve"> </w:t>
      </w:r>
    </w:p>
    <w:p w14:paraId="5BE28DF7" w14:textId="62E413FD" w:rsidR="00666874" w:rsidRDefault="00003345" w:rsidP="004D3741">
      <w:pPr>
        <w:pStyle w:val="Randnummer"/>
        <w:spacing w:line="360" w:lineRule="auto"/>
        <w:rPr>
          <w:rStyle w:val="KleinKapitaalAuteursCtrlAltK"/>
          <w:smallCaps w:val="0"/>
        </w:rPr>
      </w:pPr>
      <w:r>
        <w:rPr>
          <w:rStyle w:val="KleinKapitaalAuteursCtrlAltK"/>
        </w:rPr>
        <w:t xml:space="preserve">Kwalitatieve eisen </w:t>
      </w:r>
      <w:r w:rsidR="00536DA7">
        <w:rPr>
          <w:rStyle w:val="KleinKapitaalAuteursCtrlAltK"/>
        </w:rPr>
        <w:t xml:space="preserve">– </w:t>
      </w:r>
      <w:r w:rsidR="000723A9">
        <w:rPr>
          <w:rStyle w:val="KleinKapitaalAuteursCtrlAltK"/>
          <w:smallCaps w:val="0"/>
        </w:rPr>
        <w:t xml:space="preserve">Aan voorgaande mogelijkheden worden echter wel kwalitatieve eisen gesteld. Een essentiële voorwaarde is dat </w:t>
      </w:r>
      <w:r w:rsidR="004D3741">
        <w:rPr>
          <w:rStyle w:val="KleinKapitaalAuteursCtrlAltK"/>
          <w:smallCaps w:val="0"/>
        </w:rPr>
        <w:t xml:space="preserve">bovenstaand </w:t>
      </w:r>
      <w:r w:rsidR="000723A9">
        <w:rPr>
          <w:rStyle w:val="KleinKapitaalAuteursCtrlAltK"/>
          <w:smallCaps w:val="0"/>
        </w:rPr>
        <w:t xml:space="preserve">ondernemingspensioenstelsel minstens gelijkwaardig is </w:t>
      </w:r>
      <w:r w:rsidR="004D3741">
        <w:rPr>
          <w:rStyle w:val="KleinKapitaalAuteursCtrlAltK"/>
          <w:smallCaps w:val="0"/>
        </w:rPr>
        <w:t>a</w:t>
      </w:r>
      <w:r w:rsidR="00A82CC2">
        <w:rPr>
          <w:rStyle w:val="KleinKapitaalAuteursCtrlAltK"/>
          <w:smallCaps w:val="0"/>
        </w:rPr>
        <w:t>an hetgeen op sectoraal niveau wordt voorzien</w:t>
      </w:r>
      <w:r w:rsidR="000723A9">
        <w:rPr>
          <w:rStyle w:val="KleinKapitaalAuteursCtrlAltK"/>
          <w:smallCaps w:val="0"/>
        </w:rPr>
        <w:t>.</w:t>
      </w:r>
      <w:r w:rsidR="000723A9">
        <w:rPr>
          <w:rStyle w:val="Voetnootmarkering"/>
          <w:lang w:val="nl-NL"/>
        </w:rPr>
        <w:footnoteReference w:id="180"/>
      </w:r>
      <w:r w:rsidR="000723A9">
        <w:rPr>
          <w:rStyle w:val="KleinKapitaalAuteursCtrlAltK"/>
          <w:smallCaps w:val="0"/>
        </w:rPr>
        <w:t xml:space="preserve"> Daarnaast m</w:t>
      </w:r>
      <w:r w:rsidR="00A11551">
        <w:rPr>
          <w:rStyle w:val="KleinKapitaalAuteursCtrlAltK"/>
          <w:smallCaps w:val="0"/>
        </w:rPr>
        <w:t xml:space="preserve">oet ook hierbij het eenheidsstatuut natuurlijk gerespecteerd worden. </w:t>
      </w:r>
    </w:p>
    <w:p w14:paraId="7AFDEA68" w14:textId="6B4A9F53" w:rsidR="000708A2" w:rsidRPr="004D3741" w:rsidRDefault="000708A2" w:rsidP="000708A2">
      <w:pPr>
        <w:pStyle w:val="Randnummer"/>
        <w:numPr>
          <w:ilvl w:val="0"/>
          <w:numId w:val="0"/>
        </w:numPr>
        <w:spacing w:line="360" w:lineRule="auto"/>
        <w:ind w:left="357"/>
        <w:rPr>
          <w:rStyle w:val="KleinKapitaalAuteursCtrlAltK"/>
          <w:smallCaps w:val="0"/>
        </w:rPr>
      </w:pPr>
      <w:r>
        <w:rPr>
          <w:rStyle w:val="KleinKapitaalAuteursCtrlAltK"/>
          <w:smallCaps w:val="0"/>
        </w:rPr>
        <w:t>Voorgestelde eisen zijn van fundamenteel belang om de kwalitatieve kloof te overbruggen die momenteel de tweede pijler kenmerkt. Terwijl arbeiders vaak aangewezen zijn op de sobere basisbescherming van sectorale plannen</w:t>
      </w:r>
      <w:r w:rsidR="00D814E1">
        <w:rPr>
          <w:rStyle w:val="KleinKapitaalAuteursCtrlAltK"/>
          <w:smallCaps w:val="0"/>
        </w:rPr>
        <w:t>, genieten bedienden van voornamelijk grote ondernemingen doorgaans van uitgebreidere pensioentoezeggingen op ondernemingsniveau. Met deze kwalitatieve eisen tracht de wet een ondergrens te</w:t>
      </w:r>
      <w:r w:rsidR="005C2E09">
        <w:rPr>
          <w:rStyle w:val="KleinKapitaalAuteursCtrlAltK"/>
          <w:smallCaps w:val="0"/>
        </w:rPr>
        <w:t xml:space="preserve"> stellen (zijnde de gelijkwaardigheid met de sectorale minimale opbouw) als een maximumgrens (het verbod op statutair onderscheid binnen het globale pensioenniveau).</w:t>
      </w:r>
    </w:p>
    <w:p w14:paraId="7CA0355D" w14:textId="32BC98F1" w:rsidR="00666874" w:rsidRDefault="00666874" w:rsidP="00666874">
      <w:pPr>
        <w:pStyle w:val="Kop4"/>
        <w:rPr>
          <w:rStyle w:val="KleinKapitaalAuteursCtrlAltK"/>
          <w:smallCaps w:val="0"/>
        </w:rPr>
      </w:pPr>
      <w:bookmarkStart w:id="76" w:name="_Toc228784119"/>
      <w:r>
        <w:rPr>
          <w:rStyle w:val="KleinKapitaalAuteursCtrlAltK"/>
          <w:smallCaps w:val="0"/>
        </w:rPr>
        <w:t>Reikwijdte harmonisatieverplichting</w:t>
      </w:r>
      <w:bookmarkEnd w:id="76"/>
    </w:p>
    <w:p w14:paraId="389EDABD" w14:textId="682C7915" w:rsidR="00666874" w:rsidRDefault="00666874" w:rsidP="00862A43">
      <w:pPr>
        <w:pStyle w:val="Randnummer"/>
        <w:spacing w:line="360" w:lineRule="auto"/>
        <w:rPr>
          <w:rStyle w:val="KleinKapitaalAuteursCtrlAltK"/>
          <w:smallCaps w:val="0"/>
        </w:rPr>
      </w:pPr>
      <w:r>
        <w:rPr>
          <w:rStyle w:val="KleinKapitaalAuteursCtrlAltK"/>
        </w:rPr>
        <w:t xml:space="preserve">Vrije keuze? </w:t>
      </w:r>
      <w:r w:rsidR="00862A43">
        <w:rPr>
          <w:rStyle w:val="KleinKapitaalAuteursCtrlAltK"/>
        </w:rPr>
        <w:t>–</w:t>
      </w:r>
      <w:r>
        <w:rPr>
          <w:rStyle w:val="KleinKapitaalAuteursCtrlAltK"/>
        </w:rPr>
        <w:t xml:space="preserve"> </w:t>
      </w:r>
      <w:r w:rsidR="00862A43">
        <w:rPr>
          <w:rStyle w:val="KleinKapitaalAuteursCtrlAltK"/>
          <w:smallCaps w:val="0"/>
        </w:rPr>
        <w:t xml:space="preserve">De wet schrijft zelf niet voor </w:t>
      </w:r>
      <w:r w:rsidR="00F417B1">
        <w:rPr>
          <w:rStyle w:val="KleinKapitaalAuteursCtrlAltK"/>
          <w:smallCaps w:val="0"/>
        </w:rPr>
        <w:t>op welke manier deze gelijkschakeling tussen arbeiders en bedienden moet eindigen</w:t>
      </w:r>
      <w:r w:rsidR="00862A43">
        <w:rPr>
          <w:rStyle w:val="KleinKapitaalAuteursCtrlAltK"/>
          <w:smallCaps w:val="0"/>
        </w:rPr>
        <w:t>.</w:t>
      </w:r>
      <w:r w:rsidR="003861A5">
        <w:rPr>
          <w:rStyle w:val="KleinKapitaalAuteursCtrlAltK"/>
          <w:smallCaps w:val="0"/>
        </w:rPr>
        <w:t xml:space="preserve"> </w:t>
      </w:r>
      <w:r w:rsidR="001F20B6">
        <w:rPr>
          <w:rStyle w:val="KleinKapitaalAuteursCtrlAltK"/>
          <w:smallCaps w:val="0"/>
        </w:rPr>
        <w:t>De wet vereist wel dat de</w:t>
      </w:r>
      <w:r w:rsidR="003861A5">
        <w:rPr>
          <w:rStyle w:val="KleinKapitaalAuteursCtrlAltK"/>
          <w:smallCaps w:val="0"/>
        </w:rPr>
        <w:t xml:space="preserve"> pensioenstelsels worden gelijkgeschakeld.</w:t>
      </w:r>
      <w:r w:rsidR="00993C4D">
        <w:rPr>
          <w:rStyle w:val="Voetnootmarkering"/>
          <w:lang w:val="nl-NL"/>
        </w:rPr>
        <w:footnoteReference w:id="181"/>
      </w:r>
      <w:r w:rsidR="00CD32A1">
        <w:rPr>
          <w:rStyle w:val="KleinKapitaalAuteursCtrlAltK"/>
          <w:smallCaps w:val="0"/>
        </w:rPr>
        <w:t xml:space="preserve"> De analyse over de reikwijdte van het discriminatieverbod is cruciaal</w:t>
      </w:r>
      <w:r w:rsidR="00F417B1">
        <w:rPr>
          <w:rStyle w:val="KleinKapitaalAuteursCtrlAltK"/>
          <w:smallCaps w:val="0"/>
        </w:rPr>
        <w:t xml:space="preserve"> in dit kader, </w:t>
      </w:r>
      <w:r w:rsidR="00CD32A1">
        <w:rPr>
          <w:rStyle w:val="KleinKapitaalAuteursCtrlAltK"/>
          <w:smallCaps w:val="0"/>
        </w:rPr>
        <w:t>gezien de WAP geen mogelijkheid biedt om een onderscheid tussen vergelijkbare arbeiders en bedienden nog te rechtvaardigen. Daarbovenop is de discussie niet enkel relevant om te beoordelen of de harmonisering tijdig voltooid</w:t>
      </w:r>
      <w:r w:rsidR="002B1A71">
        <w:rPr>
          <w:rStyle w:val="KleinKapitaalAuteursCtrlAltK"/>
          <w:smallCaps w:val="0"/>
        </w:rPr>
        <w:t xml:space="preserve"> is</w:t>
      </w:r>
      <w:r w:rsidR="00CD32A1">
        <w:rPr>
          <w:rStyle w:val="KleinKapitaalAuteursCtrlAltK"/>
          <w:smallCaps w:val="0"/>
        </w:rPr>
        <w:t xml:space="preserve">, maar bewijst ze ook haar nut in de tweede fase van het eenheidsstatuut. </w:t>
      </w:r>
      <w:r w:rsidR="00F417B1">
        <w:rPr>
          <w:rStyle w:val="KleinKapitaalAuteursCtrlAltK"/>
          <w:smallCaps w:val="0"/>
        </w:rPr>
        <w:t>In deze tweede fase mogen er enkel nog nieuwe verschillen worden gemaakt tussen arbeiders en bedienden in functie van een geleidelijke harmonisatie.</w:t>
      </w:r>
    </w:p>
    <w:p w14:paraId="46A8234A" w14:textId="3924D8F4" w:rsidR="00CD32A1" w:rsidRDefault="00C1326B" w:rsidP="00CD32A1">
      <w:pPr>
        <w:pStyle w:val="Randnummer"/>
        <w:numPr>
          <w:ilvl w:val="0"/>
          <w:numId w:val="0"/>
        </w:numPr>
        <w:spacing w:line="360" w:lineRule="auto"/>
        <w:ind w:left="357"/>
        <w:rPr>
          <w:rStyle w:val="KleinKapitaalAuteursCtrlAltK"/>
          <w:smallCaps w:val="0"/>
        </w:rPr>
      </w:pPr>
      <w:r>
        <w:rPr>
          <w:rStyle w:val="KleinKapitaalAuteursCtrlAltK"/>
          <w:smallCaps w:val="0"/>
        </w:rPr>
        <w:t>Om de pensioenplannen tijdens de tweede fase doelgericht te kunnen wijzigen, is het voor de inrichters en pensioeninstellingen cruciaal om te weten wat er geharmoniseerd dient te worden.</w:t>
      </w:r>
      <w:r w:rsidR="002B1A71">
        <w:rPr>
          <w:rStyle w:val="Voetnootmarkering"/>
          <w:lang w:val="nl-NL"/>
        </w:rPr>
        <w:footnoteReference w:id="182"/>
      </w:r>
    </w:p>
    <w:p w14:paraId="17E09E73" w14:textId="2141521C" w:rsidR="00C1326B" w:rsidRDefault="00F417B1" w:rsidP="00C1326B">
      <w:pPr>
        <w:pStyle w:val="Randnummer"/>
        <w:numPr>
          <w:ilvl w:val="0"/>
          <w:numId w:val="0"/>
        </w:numPr>
        <w:spacing w:line="360" w:lineRule="auto"/>
        <w:ind w:left="357"/>
        <w:rPr>
          <w:rStyle w:val="KleinKapitaalAuteursCtrlAltK"/>
          <w:smallCaps w:val="0"/>
        </w:rPr>
      </w:pPr>
      <w:r>
        <w:rPr>
          <w:rStyle w:val="KleinKapitaalAuteursCtrlAltK"/>
          <w:smallCaps w:val="0"/>
        </w:rPr>
        <w:t>Problemen doen zich niet voor in de geharmoniseerde pensioenplannen beschreven in één pensioenreglement, toegezegd door één inrichter en ondergebracht bij één pensioeninstelling. De discussies zullen zich pas voordoen in alle andere gevallen, namelijk de gevallen waarin het niet altijd duidelijk zal zijn wanneer de pensioenplannen voldoende geharmoniseerd zijn om het eenheidsstatuut te respecteren</w:t>
      </w:r>
      <w:r w:rsidR="00C1326B">
        <w:rPr>
          <w:rStyle w:val="KleinKapitaalAuteursCtrlAltK"/>
          <w:smallCaps w:val="0"/>
        </w:rPr>
        <w:t>.</w:t>
      </w:r>
    </w:p>
    <w:p w14:paraId="7BFF8BC3" w14:textId="6677E962" w:rsidR="00962849" w:rsidRDefault="00962849" w:rsidP="00C1326B">
      <w:pPr>
        <w:pStyle w:val="Randnummer"/>
        <w:numPr>
          <w:ilvl w:val="0"/>
          <w:numId w:val="0"/>
        </w:numPr>
        <w:spacing w:line="360" w:lineRule="auto"/>
        <w:ind w:left="357"/>
        <w:rPr>
          <w:rStyle w:val="KleinKapitaalAuteursCtrlAltK"/>
          <w:smallCaps w:val="0"/>
        </w:rPr>
      </w:pPr>
      <w:r>
        <w:rPr>
          <w:rStyle w:val="KleinKapitaalAuteursCtrlAltK"/>
          <w:smallCaps w:val="0"/>
        </w:rPr>
        <w:t>De vraag die zich stelt is hoe ver een inrichter moet gaan in de harmonisering en waar de grens zich bevindt tussen een verschil in behandeling en gelijkheid tussen arbeiders en bedienden?</w:t>
      </w:r>
    </w:p>
    <w:p w14:paraId="3BBB7462" w14:textId="27C0DDC0" w:rsidR="00537703" w:rsidRDefault="00537703" w:rsidP="00537703">
      <w:pPr>
        <w:pStyle w:val="Kop5"/>
        <w:rPr>
          <w:rStyle w:val="KleinKapitaalAuteursCtrlAltK"/>
          <w:smallCaps w:val="0"/>
        </w:rPr>
      </w:pPr>
      <w:r>
        <w:rPr>
          <w:rStyle w:val="KleinKapitaalAuteursCtrlAltK"/>
          <w:smallCaps w:val="0"/>
        </w:rPr>
        <w:t>Enkel aanvullend pensioen</w:t>
      </w:r>
    </w:p>
    <w:p w14:paraId="20BB19D4" w14:textId="028AB9DD" w:rsidR="00537703" w:rsidRPr="00537703" w:rsidRDefault="006B0594" w:rsidP="00EC41C2">
      <w:pPr>
        <w:pStyle w:val="Randnummer"/>
        <w:spacing w:line="360" w:lineRule="auto"/>
        <w:rPr>
          <w:lang w:val="nl-NL"/>
        </w:rPr>
      </w:pPr>
      <w:r>
        <w:rPr>
          <w:rStyle w:val="KleinKapitaalAuteursCtrlAltK"/>
        </w:rPr>
        <w:t xml:space="preserve">Toepassingsgebied – </w:t>
      </w:r>
      <w:r w:rsidR="00206E0A">
        <w:rPr>
          <w:rStyle w:val="KleinKapitaalAuteursCtrlAltK"/>
          <w:smallCaps w:val="0"/>
        </w:rPr>
        <w:t>Het toepassingsgebied van het eenheidsstatuut werd beperkt tot de aanvullende pensioenen.</w:t>
      </w:r>
      <w:r>
        <w:rPr>
          <w:rStyle w:val="KleinKapitaalAuteursCtrlAltK"/>
          <w:smallCaps w:val="0"/>
        </w:rPr>
        <w:t xml:space="preserve"> Dit heeft als gevolg dat er voor andere loonelementen nog geen harmonisering wordt verwacht binnen het arbeidsrecht. Voor de pensioenstelsels wordt van de sociale partners verwacht dat ze naast het respecteren van de </w:t>
      </w:r>
      <w:r>
        <w:rPr>
          <w:rStyle w:val="KleinKapitaalAuteursCtrlAltK"/>
          <w:i/>
          <w:iCs/>
          <w:smallCaps w:val="0"/>
        </w:rPr>
        <w:t>standstill</w:t>
      </w:r>
      <w:r w:rsidR="00206E0A">
        <w:rPr>
          <w:rStyle w:val="KleinKapitaalAuteursCtrlAltK"/>
          <w:i/>
          <w:iCs/>
          <w:smallCaps w:val="0"/>
        </w:rPr>
        <w:t>-</w:t>
      </w:r>
      <w:r>
        <w:rPr>
          <w:rStyle w:val="KleinKapitaalAuteursCtrlAltK"/>
          <w:smallCaps w:val="0"/>
        </w:rPr>
        <w:t>verplichting</w:t>
      </w:r>
      <w:r w:rsidR="00AC7C1D">
        <w:rPr>
          <w:rStyle w:val="KleinKapitaalAuteursCtrlAltK"/>
          <w:smallCaps w:val="0"/>
        </w:rPr>
        <w:t>, actief werken aan een harmonisering van het pensioenstelsel.</w:t>
      </w:r>
      <w:r w:rsidR="00AC7C1D">
        <w:rPr>
          <w:rStyle w:val="Voetnootmarkering"/>
          <w:lang w:val="nl-NL"/>
        </w:rPr>
        <w:footnoteReference w:id="183"/>
      </w:r>
      <w:r w:rsidR="00DF2929">
        <w:rPr>
          <w:rStyle w:val="KleinKapitaalAuteursCtrlAltK"/>
          <w:smallCaps w:val="0"/>
        </w:rPr>
        <w:t xml:space="preserve"> Omdat het eenheidsstatuut werd ingeschreven in de WAP, bepaalt de definitie van een aanvullend pensioen in deze wet ook meteen de draagwijdte van de harmonisatieoefening.</w:t>
      </w:r>
      <w:r w:rsidR="00DF2929">
        <w:rPr>
          <w:rStyle w:val="Voetnootmarkering"/>
          <w:lang w:val="nl-NL"/>
        </w:rPr>
        <w:footnoteReference w:id="184"/>
      </w:r>
    </w:p>
    <w:p w14:paraId="4C2156EA" w14:textId="0C3D0CFE" w:rsidR="00537703" w:rsidRDefault="00537703" w:rsidP="00537703">
      <w:pPr>
        <w:pStyle w:val="Kop5"/>
        <w:rPr>
          <w:lang w:val="nl-NL"/>
        </w:rPr>
      </w:pPr>
      <w:r>
        <w:rPr>
          <w:lang w:val="nl-NL"/>
        </w:rPr>
        <w:t xml:space="preserve">De te harmoniseren elementen </w:t>
      </w:r>
    </w:p>
    <w:p w14:paraId="758CB0B8" w14:textId="21D7E860" w:rsidR="00775B48" w:rsidRDefault="00775B48" w:rsidP="00012E66">
      <w:pPr>
        <w:pStyle w:val="Randnummer"/>
        <w:spacing w:line="360" w:lineRule="auto"/>
        <w:rPr>
          <w:rStyle w:val="KleinKapitaalAuteursCtrlAltK"/>
          <w:smallCaps w:val="0"/>
        </w:rPr>
      </w:pPr>
      <w:r>
        <w:rPr>
          <w:rStyle w:val="KleinKapitaalAuteursCtrlAltK"/>
        </w:rPr>
        <w:t xml:space="preserve">Dekkingsvoorwaarden – </w:t>
      </w:r>
      <w:r>
        <w:rPr>
          <w:rStyle w:val="KleinKapitaalAuteursCtrlAltK"/>
          <w:smallCaps w:val="0"/>
        </w:rPr>
        <w:t>Er blijven een aantal cruciale vragen met betrekking tot de dekkingsvoorwaarden open staan. Zo stelt zich de vraag of de gelijkheid bereikt moet worden op het niveau van de premie of op het niveau van de prestatie? Ook vraagt men zich af of alle elementen van de pensioentoezegging moeten geharmoniseerd worden of er een gradatie gemaakt kan worden waarbij de aandacht vooral uitgaat naar de essentiële elementen?</w:t>
      </w:r>
    </w:p>
    <w:p w14:paraId="6FB2C7DC" w14:textId="2C917D12" w:rsidR="00775B48" w:rsidRDefault="00775B48" w:rsidP="00012E66">
      <w:pPr>
        <w:pStyle w:val="Randnummer"/>
        <w:spacing w:line="360" w:lineRule="auto"/>
        <w:rPr>
          <w:rStyle w:val="KleinKapitaalAuteursCtrlAltK"/>
          <w:smallCaps w:val="0"/>
        </w:rPr>
      </w:pPr>
      <w:r>
        <w:rPr>
          <w:rStyle w:val="KleinKapitaalAuteursCtrlAltK"/>
        </w:rPr>
        <w:t xml:space="preserve">Standpunt van de werknemer </w:t>
      </w:r>
      <w:r w:rsidR="003F7E1B">
        <w:rPr>
          <w:rStyle w:val="KleinKapitaalAuteursCtrlAltK"/>
        </w:rPr>
        <w:t>–</w:t>
      </w:r>
      <w:r>
        <w:rPr>
          <w:rStyle w:val="KleinKapitaalAuteursCtrlAltK"/>
        </w:rPr>
        <w:t xml:space="preserve"> </w:t>
      </w:r>
      <w:r w:rsidR="003F7E1B">
        <w:rPr>
          <w:rStyle w:val="KleinKapitaalAuteursCtrlAltK"/>
          <w:smallCaps w:val="0"/>
        </w:rPr>
        <w:t xml:space="preserve">De doelstelling van het eenheidsstatuut dient bekeken te worden vanuit het standpunt van de aangesloten werknemer. Volgend hierop stelt zich dan ook de vraag of de beoordeling gemaakt moet worden per individuele aangeslotene of op een globaal niveau. Moet de kloof tussen arbeiders en bedienden verkleinen op individueel niveau of volstaat het dat er een gemiddelde toenadering plaatsvindt? Zowel </w:t>
      </w:r>
      <w:r w:rsidR="003F7E1B">
        <w:rPr>
          <w:rStyle w:val="KleinKapitaalAuteursCtrlAltK"/>
        </w:rPr>
        <w:t xml:space="preserve">Stevens </w:t>
      </w:r>
      <w:r w:rsidR="003F7E1B">
        <w:rPr>
          <w:rStyle w:val="KleinKapitaalAuteursCtrlAltK"/>
          <w:smallCaps w:val="0"/>
        </w:rPr>
        <w:t xml:space="preserve">als </w:t>
      </w:r>
      <w:r w:rsidR="003F7E1B">
        <w:rPr>
          <w:rStyle w:val="KleinKapitaalAuteursCtrlAltK"/>
        </w:rPr>
        <w:t xml:space="preserve">Knoops </w:t>
      </w:r>
      <w:r w:rsidR="003F7E1B">
        <w:rPr>
          <w:rStyle w:val="KleinKapitaalAuteursCtrlAltK"/>
          <w:smallCaps w:val="0"/>
        </w:rPr>
        <w:t>stellen dat de invalshoek voor de beoordeling van de gelijkheid in het sociaal recht bekeken dient te worden vanuit het individu.</w:t>
      </w:r>
      <w:r w:rsidR="003F7E1B">
        <w:rPr>
          <w:rStyle w:val="Voetnootmarkering"/>
          <w:lang w:val="nl-NL"/>
        </w:rPr>
        <w:footnoteReference w:id="185"/>
      </w:r>
    </w:p>
    <w:p w14:paraId="2B8928E0" w14:textId="3187D528" w:rsidR="00226F02" w:rsidRPr="00566CC3" w:rsidRDefault="00012E66" w:rsidP="00566CC3">
      <w:pPr>
        <w:pStyle w:val="Randnummer"/>
        <w:spacing w:line="360" w:lineRule="auto"/>
        <w:rPr>
          <w:rStyle w:val="KleinKapitaalAuteursCtrlAltK"/>
          <w:smallCaps w:val="0"/>
        </w:rPr>
      </w:pPr>
      <w:r>
        <w:rPr>
          <w:rStyle w:val="KleinKapitaalAuteursCtrlAltK"/>
        </w:rPr>
        <w:t xml:space="preserve">Rol van de NAR – </w:t>
      </w:r>
      <w:r>
        <w:rPr>
          <w:rStyle w:val="KleinKapitaalAuteursCtrlAltK"/>
          <w:smallCaps w:val="0"/>
        </w:rPr>
        <w:t>De NAR kreeg expliciet een rol toebedeeld om de vooruitgang in de sectoren op te volgen en over de stand van zaken te rapporteren. Haar rol bleef echter niet beperkt hiertoe. Met haar advies nr.</w:t>
      </w:r>
      <w:r w:rsidR="00AC5675">
        <w:rPr>
          <w:rStyle w:val="KleinKapitaalAuteursCtrlAltK"/>
          <w:smallCaps w:val="0"/>
        </w:rPr>
        <w:t xml:space="preserve"> </w:t>
      </w:r>
      <w:r>
        <w:rPr>
          <w:rStyle w:val="KleinKapitaalAuteursCtrlAltK"/>
          <w:smallCaps w:val="0"/>
        </w:rPr>
        <w:t>2155 nam de NAR het initiatief om inhoudelijke verduidelijking te verschaffen bij verschillende interpretatieproblemen.</w:t>
      </w:r>
      <w:r>
        <w:rPr>
          <w:rStyle w:val="Voetnootmarkering"/>
          <w:lang w:val="nl-NL"/>
        </w:rPr>
        <w:footnoteReference w:id="186"/>
      </w:r>
      <w:r w:rsidR="003C7A54">
        <w:rPr>
          <w:rStyle w:val="KleinKapitaalAuteursCtrlAltK"/>
          <w:smallCaps w:val="0"/>
        </w:rPr>
        <w:t xml:space="preserve"> In dit advies oordeelde de NAR dat niet alle </w:t>
      </w:r>
      <w:r w:rsidR="00480B82">
        <w:rPr>
          <w:rStyle w:val="KleinKapitaalAuteursCtrlAltK"/>
          <w:smallCaps w:val="0"/>
        </w:rPr>
        <w:t>elementen</w:t>
      </w:r>
      <w:r w:rsidR="003C7A54">
        <w:rPr>
          <w:rStyle w:val="KleinKapitaalAuteursCtrlAltK"/>
          <w:smallCaps w:val="0"/>
        </w:rPr>
        <w:t xml:space="preserve"> van de pensioentoezegging moeten worden geharmoniseerd. Zo is er geen verplichte harmonisering gekoppeld aan de uitvoering van de pensioentoezegging en anderzijds aan de bijkomstige elementen. De essentiële elementen van de pensioentoezegging zullen daarentegen wel het eenheidsstatuut moeten respecteren</w:t>
      </w:r>
      <w:r w:rsidR="00AC5675">
        <w:rPr>
          <w:rStyle w:val="KleinKapitaalAuteursCtrlAltK"/>
          <w:smallCaps w:val="0"/>
        </w:rPr>
        <w:t>.</w:t>
      </w:r>
      <w:r w:rsidR="003C7A54">
        <w:rPr>
          <w:rStyle w:val="Voetnootmarkering"/>
          <w:lang w:val="nl-NL"/>
        </w:rPr>
        <w:footnoteReference w:id="187"/>
      </w:r>
      <w:r w:rsidR="00566CC3">
        <w:rPr>
          <w:rStyle w:val="KleinKapitaalAuteursCtrlAltK"/>
          <w:smallCaps w:val="0"/>
        </w:rPr>
        <w:t xml:space="preserve"> </w:t>
      </w:r>
      <w:r w:rsidR="00226F02" w:rsidRPr="00566CC3">
        <w:rPr>
          <w:rStyle w:val="KleinKapitaalAuteursCtrlAltK"/>
          <w:smallCaps w:val="0"/>
        </w:rPr>
        <w:t xml:space="preserve">In het advies wordt er terecht </w:t>
      </w:r>
      <w:r w:rsidR="004D7FA1">
        <w:rPr>
          <w:rStyle w:val="KleinKapitaalAuteursCtrlAltK"/>
          <w:smallCaps w:val="0"/>
        </w:rPr>
        <w:t>gesteld</w:t>
      </w:r>
      <w:r w:rsidR="00226F02" w:rsidRPr="00566CC3">
        <w:rPr>
          <w:rStyle w:val="KleinKapitaalAuteursCtrlAltK"/>
          <w:smallCaps w:val="0"/>
        </w:rPr>
        <w:t xml:space="preserve"> dat de harmonisering niet per definitie moet uitmonden in één pensioenreglement dat zowel van toepassing is op arbeiders als bedienden. </w:t>
      </w:r>
    </w:p>
    <w:p w14:paraId="0D600207" w14:textId="0A6158DC" w:rsidR="00226F02" w:rsidRDefault="00226F02" w:rsidP="00012E66">
      <w:pPr>
        <w:pStyle w:val="Randnummer"/>
        <w:spacing w:line="360" w:lineRule="auto"/>
        <w:rPr>
          <w:rStyle w:val="KleinKapitaalAuteursCtrlAltK"/>
          <w:smallCaps w:val="0"/>
        </w:rPr>
      </w:pPr>
      <w:r>
        <w:rPr>
          <w:rStyle w:val="KleinKapitaalAuteursCtrlAltK"/>
        </w:rPr>
        <w:t xml:space="preserve">Essentiële elementen van harmonisering – </w:t>
      </w:r>
      <w:r>
        <w:rPr>
          <w:rStyle w:val="KleinKapitaalAuteursCtrlAltK"/>
          <w:smallCaps w:val="0"/>
        </w:rPr>
        <w:t>De N</w:t>
      </w:r>
      <w:r w:rsidR="00E74884">
        <w:rPr>
          <w:rStyle w:val="KleinKapitaalAuteursCtrlAltK"/>
          <w:smallCaps w:val="0"/>
        </w:rPr>
        <w:t>AR</w:t>
      </w:r>
      <w:r>
        <w:rPr>
          <w:rStyle w:val="KleinKapitaalAuteursCtrlAltK"/>
          <w:smallCaps w:val="0"/>
        </w:rPr>
        <w:t xml:space="preserve"> meldt in haar advies dat de essentiële elementen van de pensioentoezegging geharmoniseerd moeten worden. Voor een succesvolle harmonisatie moeten de kernaspecten inderdaad identiek zijn voor arbeiders en bedienden. (Voorbeeld essentieel element: Verscheidenheid aan dekkingen die worden aangebonden) </w:t>
      </w:r>
    </w:p>
    <w:p w14:paraId="6A4E3913" w14:textId="0DB268E6" w:rsidR="00537703" w:rsidRPr="00537703" w:rsidRDefault="00470293" w:rsidP="00BA3E8F">
      <w:pPr>
        <w:pStyle w:val="Randnummer"/>
        <w:numPr>
          <w:ilvl w:val="0"/>
          <w:numId w:val="0"/>
        </w:numPr>
        <w:spacing w:line="360" w:lineRule="auto"/>
        <w:ind w:left="357"/>
        <w:rPr>
          <w:lang w:val="nl-NL"/>
        </w:rPr>
      </w:pPr>
      <w:r>
        <w:rPr>
          <w:rStyle w:val="KleinKapitaalAuteursCtrlAltK"/>
          <w:smallCaps w:val="0"/>
        </w:rPr>
        <w:t>Bij de harmonisering van de pensioenplannen van arbeiders en bedienden kan de inrichter geconfronteerd worden met verschillende types van bestaande pensioenplannen. Zo kan het zijn dat bedienden genieten van een vasteprestatiepensioentoezegging (DB-plan) terwijl de arbeiders aangesloten zijn bij een vastebijdragenplan (DC-plan). In het geval dat arbeiders en bedienden genieten van een ander type van pensioenplan, lijkt het in de tweede fase te verantwoorden dat de inrichter het type van pensioentoezegging alvast wijzigt als stap in het harmonisatietraject.</w:t>
      </w:r>
    </w:p>
    <w:p w14:paraId="0688D3BA" w14:textId="3E681443" w:rsidR="00CD1791" w:rsidRDefault="00CD1791" w:rsidP="00CD1791">
      <w:pPr>
        <w:pStyle w:val="Kop3"/>
        <w:rPr>
          <w:lang w:val="nl-NL"/>
        </w:rPr>
      </w:pPr>
      <w:bookmarkStart w:id="78" w:name="_Toc228784120"/>
      <w:r>
        <w:rPr>
          <w:lang w:val="nl-NL"/>
        </w:rPr>
        <w:t xml:space="preserve">Afdeling III. Alternatieve </w:t>
      </w:r>
      <w:r w:rsidR="00030F2D">
        <w:rPr>
          <w:lang w:val="nl-NL"/>
        </w:rPr>
        <w:t>mechanismen</w:t>
      </w:r>
      <w:bookmarkEnd w:id="78"/>
    </w:p>
    <w:p w14:paraId="1A88727D" w14:textId="6025CF8B" w:rsidR="00CD1791" w:rsidRDefault="00C27033" w:rsidP="00C27033">
      <w:pPr>
        <w:pStyle w:val="Kop4"/>
        <w:numPr>
          <w:ilvl w:val="3"/>
          <w:numId w:val="27"/>
        </w:numPr>
        <w:rPr>
          <w:lang w:val="nl-NL"/>
        </w:rPr>
      </w:pPr>
      <w:bookmarkStart w:id="79" w:name="_Toc228784121"/>
      <w:r>
        <w:rPr>
          <w:lang w:val="nl-NL"/>
        </w:rPr>
        <w:t>Speciaal weigeringsrecht</w:t>
      </w:r>
      <w:bookmarkEnd w:id="79"/>
    </w:p>
    <w:p w14:paraId="51E56CCC" w14:textId="5EDD698D" w:rsidR="00C27033" w:rsidRDefault="00280DE4" w:rsidP="00280DE4">
      <w:pPr>
        <w:pStyle w:val="Randnummer"/>
        <w:spacing w:line="360" w:lineRule="auto"/>
        <w:rPr>
          <w:rStyle w:val="KleinKapitaalAuteursCtrlAltK"/>
          <w:smallCaps w:val="0"/>
        </w:rPr>
      </w:pPr>
      <w:r>
        <w:rPr>
          <w:rStyle w:val="KleinKapitaalAuteursCtrlAltK"/>
        </w:rPr>
        <w:t xml:space="preserve">Ontsnappingsroute – </w:t>
      </w:r>
      <w:r>
        <w:rPr>
          <w:rStyle w:val="KleinKapitaalAuteursCtrlAltK"/>
          <w:smallCaps w:val="0"/>
        </w:rPr>
        <w:t>De WAP voorziet zelf in een ontsnappingsroute aan het eenheidsstatuut door middel van een nieuw weigeringsrecht om de harmonisering te faciliteren.</w:t>
      </w:r>
      <w:r>
        <w:rPr>
          <w:rStyle w:val="Voetnootmarkering"/>
          <w:lang w:val="nl-NL"/>
        </w:rPr>
        <w:footnoteReference w:id="188"/>
      </w:r>
      <w:r w:rsidR="00F50F34">
        <w:rPr>
          <w:rStyle w:val="KleinKapitaalAuteursCtrlAltK"/>
          <w:smallCaps w:val="0"/>
        </w:rPr>
        <w:t xml:space="preserve"> Dit weigeringsrecht biedt dé oplossing voor een inrichter die niet wil terugkomen op een eerder toegekend aanvullend pensioen aan zijn bedienden (of arbeiders), maar dit pensioenplan niet wenst open te stellen voor zijn arbeiders (of bedienden). </w:t>
      </w:r>
      <w:r w:rsidR="0053175F">
        <w:rPr>
          <w:rStyle w:val="KleinKapitaalAuteursCtrlAltK"/>
          <w:smallCaps w:val="0"/>
        </w:rPr>
        <w:t xml:space="preserve">Kortom krijgt </w:t>
      </w:r>
      <w:r w:rsidR="00F50F34">
        <w:rPr>
          <w:rStyle w:val="KleinKapitaalAuteursCtrlAltK"/>
          <w:smallCaps w:val="0"/>
        </w:rPr>
        <w:t xml:space="preserve">een aangeslotene bij een bestaand pensioenstelsel de keuze om de overstap naar het geharmoniseerde pensioenstelsel te weigeren, waardoor deze toch in het bestaande niet-geharmoniseerde pensioenstelsel kan blijven. </w:t>
      </w:r>
      <w:r w:rsidR="00455E2F">
        <w:rPr>
          <w:rStyle w:val="KleinKapitaalAuteursCtrlAltK"/>
          <w:smallCaps w:val="0"/>
        </w:rPr>
        <w:t>De inrichter krijgt wettelijk de mogelijkheid om dit speciaal weigeringsrecht uit te schakelen via een cao.</w:t>
      </w:r>
      <w:r w:rsidR="00914340">
        <w:rPr>
          <w:rStyle w:val="Voetnootmarkering"/>
          <w:lang w:val="nl-NL"/>
        </w:rPr>
        <w:footnoteReference w:id="189"/>
      </w:r>
    </w:p>
    <w:p w14:paraId="5862D2C5" w14:textId="2883B948" w:rsidR="00F50F34" w:rsidRDefault="00F50F34" w:rsidP="00F50F34">
      <w:pPr>
        <w:pStyle w:val="Randnummer"/>
        <w:numPr>
          <w:ilvl w:val="0"/>
          <w:numId w:val="0"/>
        </w:numPr>
        <w:spacing w:line="360" w:lineRule="auto"/>
        <w:ind w:left="357"/>
        <w:rPr>
          <w:rStyle w:val="KleinKapitaalAuteursCtrlAltK"/>
          <w:smallCaps w:val="0"/>
        </w:rPr>
      </w:pPr>
      <w:r>
        <w:rPr>
          <w:rStyle w:val="KleinKapitaalAuteursCtrlAltK"/>
          <w:smallCaps w:val="0"/>
        </w:rPr>
        <w:t>Voor de mensen die zich onder dit speciaal weigeringsrecht bevinden kan de inrichter het bestaand verschil in behandeling tussen arbeiders en bedienden toch behouden na 2030, zonder dat er sprake is van discriminatie.</w:t>
      </w:r>
      <w:r>
        <w:rPr>
          <w:rStyle w:val="Voetnootmarkering"/>
          <w:lang w:val="nl-NL"/>
        </w:rPr>
        <w:footnoteReference w:id="190"/>
      </w:r>
    </w:p>
    <w:p w14:paraId="4999BDB3" w14:textId="1BDC5D52" w:rsidR="00317346" w:rsidRDefault="00317346" w:rsidP="000846AD">
      <w:pPr>
        <w:pStyle w:val="Randnummer"/>
        <w:spacing w:line="360" w:lineRule="auto"/>
        <w:rPr>
          <w:rStyle w:val="KleinKapitaalAuteursCtrlAltK"/>
          <w:smallCaps w:val="0"/>
        </w:rPr>
      </w:pPr>
      <w:r>
        <w:rPr>
          <w:rStyle w:val="KleinKapitaalAuteursCtrlAltK"/>
        </w:rPr>
        <w:t xml:space="preserve">Voorbeeld </w:t>
      </w:r>
      <w:r w:rsidR="000846AD">
        <w:rPr>
          <w:rStyle w:val="KleinKapitaalAuteursCtrlAltK"/>
        </w:rPr>
        <w:t>–</w:t>
      </w:r>
      <w:r w:rsidR="000846AD">
        <w:rPr>
          <w:rStyle w:val="KleinKapitaalAuteursCtrlAltK"/>
          <w:smallCaps w:val="0"/>
        </w:rPr>
        <w:t xml:space="preserve"> Dit voorbeeld gaat uit van de hypothese dat in een bedrijf enkel de bedienden op 1 januari 2015 een ondernemingspensioen genoten. De arbeiders bouwden geen </w:t>
      </w:r>
      <w:r w:rsidR="0053175F">
        <w:rPr>
          <w:rStyle w:val="KleinKapitaalAuteursCtrlAltK"/>
          <w:smallCaps w:val="0"/>
        </w:rPr>
        <w:t xml:space="preserve">enkele vorm van </w:t>
      </w:r>
      <w:r w:rsidR="000846AD">
        <w:rPr>
          <w:rStyle w:val="KleinKapitaalAuteursCtrlAltK"/>
          <w:smallCaps w:val="0"/>
        </w:rPr>
        <w:t xml:space="preserve">aanvullend pensioen op. Tegen 2030 zal de werkgever zijn pensioenstelsels moeten harmoniseren zodat er geen onderscheid meer gemaakt wordt tussen arbeiders en bedienden. De WAP schrijft zelf echter niet voor op welk niveau deze harmonisering moet gebeuren. Indien de werkgever op een </w:t>
      </w:r>
      <w:r w:rsidR="003F4486">
        <w:rPr>
          <w:rStyle w:val="KleinKapitaalAuteursCtrlAltK"/>
          <w:smallCaps w:val="0"/>
        </w:rPr>
        <w:t>budget</w:t>
      </w:r>
      <w:r w:rsidR="000D29C3">
        <w:rPr>
          <w:rStyle w:val="KleinKapitaalAuteursCtrlAltK"/>
          <w:smallCaps w:val="0"/>
        </w:rPr>
        <w:t xml:space="preserve"> </w:t>
      </w:r>
      <w:r w:rsidR="003F4486">
        <w:rPr>
          <w:rStyle w:val="KleinKapitaalAuteursCtrlAltK"/>
          <w:smallCaps w:val="0"/>
        </w:rPr>
        <w:t>neutrale</w:t>
      </w:r>
      <w:r w:rsidR="000846AD">
        <w:rPr>
          <w:rStyle w:val="KleinKapitaalAuteursCtrlAltK"/>
          <w:smallCaps w:val="0"/>
        </w:rPr>
        <w:t xml:space="preserve"> wijze het pensioen wenst te harmoniseren, zal het aanvullend pensioen voor de bedienden minder gunstig zijn dan hoe het reeds werd opgebouwd. Hetzelfde budget zal immers verdeeld moeten worden over meer aangeslotenen. </w:t>
      </w:r>
    </w:p>
    <w:p w14:paraId="527749AA" w14:textId="197A5D2C" w:rsidR="000846AD" w:rsidRDefault="000846AD" w:rsidP="000846AD">
      <w:pPr>
        <w:pStyle w:val="Randnummer"/>
        <w:numPr>
          <w:ilvl w:val="0"/>
          <w:numId w:val="0"/>
        </w:numPr>
        <w:spacing w:line="360" w:lineRule="auto"/>
        <w:ind w:left="357"/>
        <w:rPr>
          <w:rStyle w:val="KleinKapitaalAuteursCtrlAltK"/>
          <w:smallCaps w:val="0"/>
        </w:rPr>
      </w:pPr>
      <w:r>
        <w:rPr>
          <w:rStyle w:val="KleinKapitaalAuteursCtrlAltK"/>
          <w:smallCaps w:val="0"/>
        </w:rPr>
        <w:t xml:space="preserve">In </w:t>
      </w:r>
      <w:r w:rsidR="00A34580">
        <w:rPr>
          <w:rStyle w:val="KleinKapitaalAuteursCtrlAltK"/>
          <w:smallCaps w:val="0"/>
        </w:rPr>
        <w:t>bepaalde gevallen</w:t>
      </w:r>
      <w:r>
        <w:rPr>
          <w:rStyle w:val="KleinKapitaalAuteursCtrlAltK"/>
          <w:smallCaps w:val="0"/>
        </w:rPr>
        <w:t xml:space="preserve"> zal er omwille van </w:t>
      </w:r>
      <w:r w:rsidR="00A34580">
        <w:rPr>
          <w:rStyle w:val="KleinKapitaalAuteursCtrlAltK"/>
          <w:smallCaps w:val="0"/>
        </w:rPr>
        <w:t xml:space="preserve">de bijkomende kosten </w:t>
      </w:r>
      <w:r>
        <w:rPr>
          <w:rStyle w:val="KleinKapitaalAuteursCtrlAltK"/>
          <w:smallCaps w:val="0"/>
        </w:rPr>
        <w:t>gekozen worden voor een harmonisering op een lager niveau. Het geharmoniseerd pensioenstelsel zal dan minder gunstig zijn dan wat reeds werd opgebouwd voor de bedienden. Indien een bediende in dat geval de mogelijkheid krijgt om aangesloten te blijven bij het voordelige oude pensioenstelsel, zal deze bediende hier uiteraard voor kiezen. Een arbeider zal deze optie echter niet krijgen en zal samen met de bedienden die in dienst worden genomen vanaf 2030 enkel kunnen deelnemen aan het minder gunstige en geharmoniseerde pensioenstelsel.</w:t>
      </w:r>
      <w:r>
        <w:rPr>
          <w:rStyle w:val="Voetnootmarkering"/>
          <w:lang w:val="nl-NL"/>
        </w:rPr>
        <w:footnoteReference w:id="191"/>
      </w:r>
    </w:p>
    <w:p w14:paraId="06A02621" w14:textId="4E605B0C" w:rsidR="00AC209D" w:rsidRDefault="00AC209D" w:rsidP="00AC209D">
      <w:pPr>
        <w:pStyle w:val="Randnummer"/>
        <w:spacing w:line="360" w:lineRule="auto"/>
        <w:rPr>
          <w:rStyle w:val="KleinKapitaalAuteursCtrlAltK"/>
          <w:smallCaps w:val="0"/>
        </w:rPr>
      </w:pPr>
      <w:r>
        <w:rPr>
          <w:rStyle w:val="KleinKapitaalAuteursCtrlAltK"/>
        </w:rPr>
        <w:t xml:space="preserve">Beperkende voorwaarden – </w:t>
      </w:r>
      <w:r>
        <w:rPr>
          <w:rStyle w:val="KleinKapitaalAuteursCtrlAltK"/>
          <w:smallCaps w:val="0"/>
        </w:rPr>
        <w:t>Indien men de letter van de wet leest lijkt het heel eenvoudig om het eenheidsstatuut te omzeilen door middel van het speciaal weigeringsrecht.</w:t>
      </w:r>
      <w:r w:rsidR="006E5000">
        <w:rPr>
          <w:rStyle w:val="KleinKapitaalAuteursCtrlAltK"/>
          <w:smallCaps w:val="0"/>
        </w:rPr>
        <w:t xml:space="preserve"> Toch werden er een aantal beperkende voorwaarden ingebouwd. </w:t>
      </w:r>
    </w:p>
    <w:p w14:paraId="2D659CC3" w14:textId="25E27EE1" w:rsidR="006E5000" w:rsidRDefault="006E5000" w:rsidP="006E5000">
      <w:pPr>
        <w:pStyle w:val="Randnummer"/>
        <w:numPr>
          <w:ilvl w:val="0"/>
          <w:numId w:val="0"/>
        </w:numPr>
        <w:spacing w:line="360" w:lineRule="auto"/>
        <w:ind w:left="357"/>
        <w:rPr>
          <w:rStyle w:val="KleinKapitaalAuteursCtrlAltK"/>
          <w:smallCaps w:val="0"/>
        </w:rPr>
      </w:pPr>
      <w:r>
        <w:rPr>
          <w:rStyle w:val="KleinKapitaalAuteursCtrlAltK"/>
          <w:smallCaps w:val="0"/>
        </w:rPr>
        <w:t>Eerst en vooral biedt de WAP de mogelijkheid aan de sociale partners om dit speciaal weigeringsrecht uit te sluiten via cao. Een werkgever die het pensioenstelsel wijzigt op een andere wijze dan met een cao, kan dit speciaal weigeringsrecht echter niet uitschakelen.</w:t>
      </w:r>
    </w:p>
    <w:p w14:paraId="587AC7F6" w14:textId="2C84BAA0" w:rsidR="006E5000" w:rsidRDefault="006E5000" w:rsidP="006E5000">
      <w:pPr>
        <w:pStyle w:val="Randnummer"/>
        <w:numPr>
          <w:ilvl w:val="0"/>
          <w:numId w:val="0"/>
        </w:numPr>
        <w:spacing w:line="360" w:lineRule="auto"/>
        <w:ind w:left="357"/>
        <w:rPr>
          <w:rStyle w:val="KleinKapitaalAuteursCtrlAltK"/>
          <w:smallCaps w:val="0"/>
        </w:rPr>
      </w:pPr>
      <w:r>
        <w:rPr>
          <w:rStyle w:val="KleinKapitaalAuteursCtrlAltK"/>
          <w:smallCaps w:val="0"/>
        </w:rPr>
        <w:t xml:space="preserve">Daarnaast wordt dit voorrecht voorbehouden voor werknemers die reeds aangesloten waren bij een pensioenstelsel dat reeds in voege was op 1 januari 2015 én waarin het onderscheid tussen arbeiders en bedienden werd gemaakt. Het moet dus betrekking hebben op een bestaand onderscheid. </w:t>
      </w:r>
      <w:r w:rsidR="00AD6893">
        <w:rPr>
          <w:rStyle w:val="Voetnootmarkering"/>
          <w:lang w:val="nl-NL"/>
        </w:rPr>
        <w:footnoteReference w:id="192"/>
      </w:r>
    </w:p>
    <w:p w14:paraId="7937CD5D" w14:textId="3DEE0235" w:rsidR="006E5000" w:rsidRPr="00C27033" w:rsidRDefault="006E5000" w:rsidP="00537F9E">
      <w:pPr>
        <w:pStyle w:val="Randnummer"/>
        <w:spacing w:line="360" w:lineRule="auto"/>
        <w:rPr>
          <w:lang w:val="nl-NL"/>
        </w:rPr>
      </w:pPr>
      <w:r>
        <w:rPr>
          <w:rStyle w:val="KleinKapitaalAuteursCtrlAltK"/>
        </w:rPr>
        <w:t xml:space="preserve">Kritische bedenkingen </w:t>
      </w:r>
      <w:r w:rsidR="00537F9E">
        <w:rPr>
          <w:rStyle w:val="KleinKapitaalAuteursCtrlAltK"/>
        </w:rPr>
        <w:t>–</w:t>
      </w:r>
      <w:r w:rsidR="00537F9E">
        <w:rPr>
          <w:rStyle w:val="KleinKapitaalAuteursCtrlAltK"/>
          <w:smallCaps w:val="0"/>
        </w:rPr>
        <w:t xml:space="preserve"> De wetgever verantwoordt dit weigeringsrecht door te verwijzen naar het </w:t>
      </w:r>
      <w:r w:rsidR="00480B82">
        <w:rPr>
          <w:rStyle w:val="KleinKapitaalAuteursCtrlAltK"/>
          <w:smallCaps w:val="0"/>
        </w:rPr>
        <w:t>rechtszekerheids</w:t>
      </w:r>
      <w:r w:rsidR="00537F9E">
        <w:rPr>
          <w:rStyle w:val="KleinKapitaalAuteursCtrlAltK"/>
          <w:smallCaps w:val="0"/>
        </w:rPr>
        <w:t>- en vertrouwensbeginsel.</w:t>
      </w:r>
      <w:r w:rsidR="008D12B1">
        <w:rPr>
          <w:rStyle w:val="Voetnootmarkering"/>
          <w:lang w:val="nl-NL"/>
        </w:rPr>
        <w:footnoteReference w:id="193"/>
      </w:r>
      <w:r w:rsidR="00537F9E">
        <w:rPr>
          <w:rStyle w:val="KleinKapitaalAuteursCtrlAltK"/>
          <w:smallCaps w:val="0"/>
        </w:rPr>
        <w:t xml:space="preserve"> De wijzigingen die doorgevoerd zouden moeten worden in het kader van een harmonisering kunnen immers afbreuk doen aan reeds verworven rechten of de gerechtvaardigde verwachtingen van de aangeslotenen.</w:t>
      </w:r>
      <w:r w:rsidR="00537F9E">
        <w:rPr>
          <w:rStyle w:val="Voetnootmarkering"/>
          <w:lang w:val="nl-NL"/>
        </w:rPr>
        <w:footnoteReference w:id="194"/>
      </w:r>
    </w:p>
    <w:p w14:paraId="010D6A83" w14:textId="07270398" w:rsidR="00642FB6" w:rsidRDefault="00642FB6" w:rsidP="002011EF">
      <w:pPr>
        <w:pStyle w:val="Randnummer"/>
        <w:numPr>
          <w:ilvl w:val="0"/>
          <w:numId w:val="0"/>
        </w:numPr>
        <w:spacing w:line="360" w:lineRule="auto"/>
        <w:ind w:left="357"/>
        <w:rPr>
          <w:lang w:val="nl-NL"/>
        </w:rPr>
      </w:pPr>
      <w:r>
        <w:rPr>
          <w:lang w:val="nl-NL"/>
        </w:rPr>
        <w:t xml:space="preserve">De wetgever maakt het mogelijk om via dit speciaal weigeringsrecht het onderscheid tussen arbeiders en bedienden ook verder te hanteren in toekomstige tijdvakken van arbeid. Door deze weigering blijven de bevoordeelde bedienden ook in de toekomst nog genieten van een discriminerende pensioenopbouw. Daarnaast zal het oude pensioenplan voor de weigeraars zeer traag uitdoven. Hiervoor dienen alle weigeraars uitgedreven, overleden of gepensioneerd te zijn. </w:t>
      </w:r>
    </w:p>
    <w:p w14:paraId="562BF726" w14:textId="1F114B35" w:rsidR="00642FB6" w:rsidRDefault="00642FB6" w:rsidP="0052630A">
      <w:pPr>
        <w:pStyle w:val="Randnummer"/>
        <w:numPr>
          <w:ilvl w:val="0"/>
          <w:numId w:val="0"/>
        </w:numPr>
        <w:spacing w:line="360" w:lineRule="auto"/>
        <w:ind w:left="357"/>
        <w:rPr>
          <w:lang w:val="nl-NL"/>
        </w:rPr>
      </w:pPr>
      <w:r>
        <w:rPr>
          <w:lang w:val="nl-NL"/>
        </w:rPr>
        <w:t>De cruciale vraag die hierbij gesteld dient te worden is of dit weigeringsrecht in de praktijk kan standhouden in een gerechtelijke procedure. Volgens KNOOPS kan dit speciaal weigeringsrecht een hinderpaal vormen voor de verwezenlijking van het discriminatieverbod, volgens DE SOMVIELE en VAN DAMME vormt dit dan weer geen hinderpaal.</w:t>
      </w:r>
      <w:r>
        <w:rPr>
          <w:rStyle w:val="Voetnootmarkering"/>
          <w:lang w:val="nl-NL"/>
        </w:rPr>
        <w:footnoteReference w:id="195"/>
      </w:r>
      <w:r>
        <w:rPr>
          <w:lang w:val="nl-NL"/>
        </w:rPr>
        <w:t xml:space="preserve"> Ik sluit mij aan bij KNOOPS en deel haar visie dat de wetgever hierin te permissief gehandeld heeft.</w:t>
      </w:r>
    </w:p>
    <w:p w14:paraId="2ABF92F1" w14:textId="423DCED9" w:rsidR="001004A3" w:rsidRDefault="001004A3" w:rsidP="001004A3">
      <w:pPr>
        <w:pStyle w:val="Kop4"/>
        <w:rPr>
          <w:lang w:val="nl-NL"/>
        </w:rPr>
      </w:pPr>
      <w:bookmarkStart w:id="80" w:name="_Toc228784122"/>
      <w:r>
        <w:rPr>
          <w:lang w:val="nl-NL"/>
        </w:rPr>
        <w:t>Collectieve keuze uit het verleden</w:t>
      </w:r>
      <w:bookmarkEnd w:id="80"/>
    </w:p>
    <w:p w14:paraId="08A0B88D" w14:textId="77777777" w:rsidR="00E971DB" w:rsidRPr="00E971DB" w:rsidRDefault="007029D1" w:rsidP="00E971DB">
      <w:pPr>
        <w:pStyle w:val="Randnummer"/>
        <w:spacing w:line="360" w:lineRule="auto"/>
        <w:rPr>
          <w:rStyle w:val="KleinKapitaalAuteursCtrlAltK"/>
          <w:smallCaps w:val="0"/>
        </w:rPr>
      </w:pPr>
      <w:r>
        <w:rPr>
          <w:rStyle w:val="KleinKapitaalAuteursCtrlAltK"/>
        </w:rPr>
        <w:t xml:space="preserve">Redelijke verantwoording – </w:t>
      </w:r>
      <w:r>
        <w:rPr>
          <w:rStyle w:val="KleinKapitaalAuteursCtrlAltK"/>
          <w:smallCaps w:val="0"/>
        </w:rPr>
        <w:t>Deze ontsnappingsroute aan het eenheidsstatuut is gebaseerd op de vermelding in de memorie van toelichting dat een eigen collectieve keuze een redelijke verantwoording kan zijn voor een verschil in behandeling.</w:t>
      </w:r>
      <w:r>
        <w:rPr>
          <w:rStyle w:val="Voetnootmarkering"/>
          <w:lang w:val="nl-NL"/>
        </w:rPr>
        <w:footnoteReference w:id="196"/>
      </w:r>
      <w:r w:rsidR="00137B05">
        <w:rPr>
          <w:rStyle w:val="KleinKapitaalAuteursCtrlAltK"/>
        </w:rPr>
        <w:t xml:space="preserve"> </w:t>
      </w:r>
    </w:p>
    <w:p w14:paraId="123E3405" w14:textId="44156ED2" w:rsidR="001C23D6" w:rsidRPr="00E971DB" w:rsidRDefault="00137B05" w:rsidP="00DE2FCD">
      <w:pPr>
        <w:pStyle w:val="Randnummer"/>
        <w:numPr>
          <w:ilvl w:val="0"/>
          <w:numId w:val="0"/>
        </w:numPr>
        <w:spacing w:line="360" w:lineRule="auto"/>
        <w:ind w:left="357"/>
        <w:rPr>
          <w:rStyle w:val="KleinKapitaalAuteursCtrlAltK"/>
          <w:smallCaps w:val="0"/>
        </w:rPr>
      </w:pPr>
      <w:r w:rsidRPr="00E971DB">
        <w:rPr>
          <w:rStyle w:val="KleinKapitaalAuteursCtrlAltK"/>
          <w:i/>
          <w:iCs/>
          <w:smallCaps w:val="0"/>
        </w:rPr>
        <w:t>“Wanneer er in het verleden binnen een groep van werklieden/bedienden een verschil in behandeling is gemaakt op het vlak van aanvullende pensioenrechten, dan leidt het opheffen (…) van verschillen in behandeling die berusten op het onderscheid tussen werklieden/bedienden zoals voorzien in titel III er niet toe dat dergelijk verschil in behandeling zou moeten worden opgeheven.</w:t>
      </w:r>
      <w:r w:rsidR="00E971DB">
        <w:rPr>
          <w:rStyle w:val="KleinKapitaalAuteursCtrlAltK"/>
          <w:i/>
          <w:iCs/>
          <w:smallCaps w:val="0"/>
        </w:rPr>
        <w:t>”</w:t>
      </w:r>
      <w:r w:rsidR="00E971DB">
        <w:rPr>
          <w:rStyle w:val="Voetnootmarkering"/>
          <w:i/>
          <w:iCs/>
          <w:lang w:val="nl-NL"/>
        </w:rPr>
        <w:footnoteReference w:id="197"/>
      </w:r>
    </w:p>
    <w:p w14:paraId="5F0885CA" w14:textId="69E925AF" w:rsidR="00E971DB" w:rsidRDefault="00E971DB" w:rsidP="00E971DB">
      <w:pPr>
        <w:pStyle w:val="Randnummer"/>
        <w:numPr>
          <w:ilvl w:val="0"/>
          <w:numId w:val="0"/>
        </w:numPr>
        <w:spacing w:line="360" w:lineRule="auto"/>
        <w:ind w:left="357"/>
        <w:rPr>
          <w:rStyle w:val="KleinKapitaalAuteursCtrlAltK"/>
          <w:smallCaps w:val="0"/>
        </w:rPr>
      </w:pPr>
      <w:r>
        <w:rPr>
          <w:rStyle w:val="KleinKapitaalAuteursCtrlAltK"/>
          <w:smallCaps w:val="0"/>
        </w:rPr>
        <w:t xml:space="preserve">Met deze passage bedoelt de wetgever dat het eenheidsstatuut niet verhindert dat er </w:t>
      </w:r>
      <w:r>
        <w:rPr>
          <w:rStyle w:val="KleinKapitaalAuteursCtrlAltK"/>
          <w:i/>
          <w:iCs/>
          <w:smallCaps w:val="0"/>
        </w:rPr>
        <w:t>binnen</w:t>
      </w:r>
      <w:r>
        <w:rPr>
          <w:rStyle w:val="KleinKapitaalAuteursCtrlAltK"/>
          <w:smallCaps w:val="0"/>
        </w:rPr>
        <w:t xml:space="preserve"> een groep van bedienden of </w:t>
      </w:r>
      <w:r>
        <w:rPr>
          <w:rStyle w:val="KleinKapitaalAuteursCtrlAltK"/>
          <w:i/>
          <w:iCs/>
          <w:smallCaps w:val="0"/>
        </w:rPr>
        <w:t xml:space="preserve">binnen </w:t>
      </w:r>
      <w:r>
        <w:rPr>
          <w:rStyle w:val="KleinKapitaalAuteursCtrlAltK"/>
          <w:smallCaps w:val="0"/>
        </w:rPr>
        <w:t>een groep van arbeiders nog verschillen kunnen bestaan. Het eenheidsstatuut betreft enkel het onderscheid tussen arbeiders en bedienden. Gezien deze ontsnappingsroute echter enkel in de voorbereidende werken, en niet in de wet zelf vermeld staat moet ze met de nodige voorzichtigheid gebruikt worden. Het is namelijk niet zeker of de collectieve keuze binnen een groep van arbeiders en bedienden voor de rechtbank aanvaard zal worden als nie</w:t>
      </w:r>
      <w:r w:rsidR="00241D9B">
        <w:rPr>
          <w:rStyle w:val="KleinKapitaalAuteursCtrlAltK"/>
          <w:smallCaps w:val="0"/>
        </w:rPr>
        <w:t>t-</w:t>
      </w:r>
      <w:r>
        <w:rPr>
          <w:rStyle w:val="KleinKapitaalAuteursCtrlAltK"/>
          <w:smallCaps w:val="0"/>
        </w:rPr>
        <w:t>discriminerend.</w:t>
      </w:r>
      <w:r w:rsidR="005F035D">
        <w:rPr>
          <w:rStyle w:val="Voetnootmarkering"/>
          <w:lang w:val="nl-NL"/>
        </w:rPr>
        <w:footnoteReference w:id="198"/>
      </w:r>
    </w:p>
    <w:p w14:paraId="395E93C2" w14:textId="616D11B0" w:rsidR="00A16109" w:rsidRDefault="002F1BE8" w:rsidP="00F8194B">
      <w:pPr>
        <w:pStyle w:val="Randnummer"/>
        <w:numPr>
          <w:ilvl w:val="0"/>
          <w:numId w:val="0"/>
        </w:numPr>
        <w:spacing w:line="360" w:lineRule="auto"/>
        <w:ind w:left="357"/>
        <w:rPr>
          <w:lang w:val="nl-NL"/>
        </w:rPr>
      </w:pPr>
      <w:r>
        <w:rPr>
          <w:rStyle w:val="KleinKapitaalAuteursCtrlAltK"/>
          <w:smallCaps w:val="0"/>
        </w:rPr>
        <w:t>Een correcte juridische interpretatie van de collectieve keuze die werd genomen in het verleden zal dus maar een beperkte ontsnapping bieden aan het eenheidsstatuut. Naar de toekomst toe zullen dergelijke collectieve keuzes uit het verleden tussen arbeiders en bedienden tijdens de loononderhandelingen echter niet meer toegestaan zijn zodra het over het pensioenstelsel gaat.</w:t>
      </w:r>
      <w:r>
        <w:rPr>
          <w:rStyle w:val="Voetnootmarkering"/>
          <w:lang w:val="nl-NL"/>
        </w:rPr>
        <w:footnoteReference w:id="199"/>
      </w:r>
    </w:p>
    <w:p w14:paraId="0194CFFF" w14:textId="75E38776" w:rsidR="00753362" w:rsidRDefault="00A16109" w:rsidP="00753362">
      <w:pPr>
        <w:pStyle w:val="Kop3"/>
        <w:rPr>
          <w:lang w:val="nl-NL"/>
        </w:rPr>
      </w:pPr>
      <w:bookmarkStart w:id="81" w:name="_Toc228784123"/>
      <w:r>
        <w:rPr>
          <w:lang w:val="nl-NL"/>
        </w:rPr>
        <w:t xml:space="preserve">Afdeling IV. </w:t>
      </w:r>
      <w:r w:rsidR="00030F2D">
        <w:rPr>
          <w:lang w:val="nl-NL"/>
        </w:rPr>
        <w:t>Tussenbesluit: resterende ongelijkheden en structurele barrières</w:t>
      </w:r>
      <w:bookmarkEnd w:id="81"/>
    </w:p>
    <w:p w14:paraId="434A9171" w14:textId="0CD9B614" w:rsidR="00753362" w:rsidRDefault="00753362" w:rsidP="00753362">
      <w:pPr>
        <w:pStyle w:val="Randnummer"/>
        <w:spacing w:line="360" w:lineRule="auto"/>
        <w:rPr>
          <w:rStyle w:val="KleinKapitaalAuteursCtrlAltK"/>
          <w:smallCaps w:val="0"/>
        </w:rPr>
      </w:pPr>
      <w:r>
        <w:rPr>
          <w:rStyle w:val="KleinKapitaalAuteursCtrlAltK"/>
        </w:rPr>
        <w:t xml:space="preserve">Hinderpalen – </w:t>
      </w:r>
      <w:r>
        <w:rPr>
          <w:rStyle w:val="KleinKapitaalAuteursCtrlAltK"/>
          <w:smallCaps w:val="0"/>
        </w:rPr>
        <w:t>De analyse van de harmonisatie van de aanvullende pensioenen toont aan dat de weg naar een volledige gelijkheid tussen arbeiders en bedienden nog steeds wordt gekenmerkt door aanzienlijke hinderpalen.</w:t>
      </w:r>
    </w:p>
    <w:p w14:paraId="227B2F21" w14:textId="094B8377" w:rsidR="00753362" w:rsidRDefault="00753362" w:rsidP="00753362">
      <w:pPr>
        <w:pStyle w:val="Randnummer"/>
        <w:spacing w:line="360" w:lineRule="auto"/>
        <w:rPr>
          <w:rStyle w:val="KleinKapitaalAuteursCtrlAltK"/>
          <w:smallCaps w:val="0"/>
        </w:rPr>
      </w:pPr>
      <w:r w:rsidRPr="00753362">
        <w:rPr>
          <w:rStyle w:val="KleinKapitaalAuteursCtrlAltK"/>
        </w:rPr>
        <w:t xml:space="preserve">Maatregelen van de Wet Eenheidsstatuut </w:t>
      </w:r>
      <w:r>
        <w:rPr>
          <w:rStyle w:val="KleinKapitaalAuteursCtrlAltK"/>
        </w:rPr>
        <w:t>–</w:t>
      </w:r>
      <w:r w:rsidRPr="00753362">
        <w:rPr>
          <w:rStyle w:val="KleinKapitaalAuteursCtrlAltK"/>
        </w:rPr>
        <w:t xml:space="preserve"> </w:t>
      </w:r>
      <w:r>
        <w:rPr>
          <w:rStyle w:val="KleinKapitaalAuteursCtrlAltK"/>
          <w:smallCaps w:val="0"/>
        </w:rPr>
        <w:t xml:space="preserve">De wet van 5 mei 2014 vormde de juridische basis voor de harmonisatie van de aanvullende pensioenen. De meest fundamentele maatregel </w:t>
      </w:r>
      <w:r w:rsidR="009344CE">
        <w:rPr>
          <w:rStyle w:val="KleinKapitaalAuteursCtrlAltK"/>
          <w:smallCaps w:val="0"/>
        </w:rPr>
        <w:t>was</w:t>
      </w:r>
      <w:r>
        <w:rPr>
          <w:rStyle w:val="KleinKapitaalAuteursCtrlAltK"/>
          <w:smallCaps w:val="0"/>
        </w:rPr>
        <w:t xml:space="preserve"> de invoering van een expliciet discriminatieverbod, waarbij het loutere statuut van arbeider of bediende niet langer als objectieve rechtvaardigingsgrond k</w:t>
      </w:r>
      <w:r w:rsidR="009344CE">
        <w:rPr>
          <w:rStyle w:val="KleinKapitaalAuteursCtrlAltK"/>
          <w:smallCaps w:val="0"/>
        </w:rPr>
        <w:t xml:space="preserve">on </w:t>
      </w:r>
      <w:r>
        <w:rPr>
          <w:rStyle w:val="KleinKapitaalAuteursCtrlAltK"/>
          <w:smallCaps w:val="0"/>
        </w:rPr>
        <w:t>dienen voor een verschil in pensioenrechten. Om dit doel te bereiken heeft de wetgever een gefaseerd traject uit</w:t>
      </w:r>
      <w:r w:rsidR="009344CE">
        <w:rPr>
          <w:rStyle w:val="KleinKapitaalAuteursCtrlAltK"/>
          <w:smallCaps w:val="0"/>
        </w:rPr>
        <w:t>een</w:t>
      </w:r>
      <w:r>
        <w:rPr>
          <w:rStyle w:val="KleinKapitaalAuteursCtrlAltK"/>
          <w:smallCaps w:val="0"/>
        </w:rPr>
        <w:t xml:space="preserve">gezet zoals hierboven werd uitgelegd. </w:t>
      </w:r>
      <w:r w:rsidR="005C4218">
        <w:rPr>
          <w:rStyle w:val="KleinKapitaalAuteursCtrlAltK"/>
          <w:smallCaps w:val="0"/>
        </w:rPr>
        <w:t>Ondanks deze wettelijke verankering blijven er vandaag de dag vier concrete structurele verschillen bestaan die een antwoord vormen op de derde su</w:t>
      </w:r>
      <w:r w:rsidR="00D44459">
        <w:rPr>
          <w:rStyle w:val="KleinKapitaalAuteursCtrlAltK"/>
          <w:smallCaps w:val="0"/>
        </w:rPr>
        <w:t>b-onderzoeksvraag</w:t>
      </w:r>
      <w:r w:rsidR="001679A9">
        <w:rPr>
          <w:rStyle w:val="KleinKapitaalAuteursCtrlAltK"/>
          <w:smallCaps w:val="0"/>
        </w:rPr>
        <w:t>.</w:t>
      </w:r>
    </w:p>
    <w:p w14:paraId="01C364F8" w14:textId="2DE6B2B8" w:rsidR="00753362" w:rsidRDefault="00753362" w:rsidP="00753362">
      <w:pPr>
        <w:pStyle w:val="Randnummer"/>
        <w:spacing w:line="360" w:lineRule="auto"/>
        <w:rPr>
          <w:rStyle w:val="KleinKapitaalAuteursCtrlAltK"/>
          <w:smallCaps w:val="0"/>
        </w:rPr>
      </w:pPr>
      <w:r>
        <w:rPr>
          <w:rStyle w:val="KleinKapitaalAuteursCtrlAltK"/>
        </w:rPr>
        <w:t xml:space="preserve">Resterende structurele verschillen </w:t>
      </w:r>
      <w:r w:rsidR="00D44459">
        <w:rPr>
          <w:rStyle w:val="KleinKapitaalAuteursCtrlAltK"/>
        </w:rPr>
        <w:t xml:space="preserve">– </w:t>
      </w:r>
      <w:r w:rsidR="00D44459">
        <w:rPr>
          <w:rStyle w:val="KleinKapitaalAuteursCtrlAltK"/>
          <w:smallCaps w:val="0"/>
        </w:rPr>
        <w:t xml:space="preserve">Een eerste en meteen ook meest fundamenteel verschil betreft het ongelijke onderhandelingsniveau. Bedienden genieten traditioneel van aanvullende pensioenen op ondernemingsniveau, terwijl arbeiders overwegend aangewezen zijn op sectorale plannen. Omdat ondernemingsplannen over het algemeen gunstiger zijn dan sectorale plannen, vertaalt dit </w:t>
      </w:r>
      <w:r w:rsidR="00492F84">
        <w:rPr>
          <w:rStyle w:val="KleinKapitaalAuteursCtrlAltK"/>
          <w:smallCaps w:val="0"/>
        </w:rPr>
        <w:t>structureel verschil in onderhandelingsniveau zich rechtstreeks in een ongelijke pensioenopbouw. Dit brengt ons bij het tweede verschil, de kwalitatieve kloof. Sectorale pensioenstelsels worden nog steeds gekenmerkt door een beduidend lagere pensioenopbouw, waardoor arbeiders ook op dit vlak zich in een nadeligere positie bevinden.</w:t>
      </w:r>
      <w:r w:rsidR="00DF070E">
        <w:rPr>
          <w:rStyle w:val="KleinKapitaalAuteursCtrlAltK"/>
          <w:smallCaps w:val="0"/>
        </w:rPr>
        <w:t xml:space="preserve"> Het derde structureel verschil vloeit voort uit de institutionele complexiteit van het Belgisch paritair overlegmodel. Hierdoor blijft sectorale harmonisatie een moeizaam proces. De </w:t>
      </w:r>
      <w:r w:rsidR="00AB5724">
        <w:rPr>
          <w:rStyle w:val="KleinKapitaalAuteursCtrlAltK"/>
          <w:smallCaps w:val="0"/>
        </w:rPr>
        <w:t xml:space="preserve">asymmetrie bemoeilijkt bovendien de zoektocht naar de juiste gesprekspartner, nog voor er inhoudelijk over harmonisatie kan worden onderhandeld. </w:t>
      </w:r>
      <w:r w:rsidR="0049196B">
        <w:rPr>
          <w:rStyle w:val="KleinKapitaalAuteursCtrlAltK"/>
          <w:smallCaps w:val="0"/>
        </w:rPr>
        <w:t xml:space="preserve"> </w:t>
      </w:r>
    </w:p>
    <w:p w14:paraId="50C0AA4C" w14:textId="15907C6C" w:rsidR="005958A9" w:rsidRDefault="00AB5724" w:rsidP="005958A9">
      <w:pPr>
        <w:pStyle w:val="Randnummer"/>
        <w:numPr>
          <w:ilvl w:val="0"/>
          <w:numId w:val="0"/>
        </w:numPr>
        <w:spacing w:line="360" w:lineRule="auto"/>
        <w:ind w:left="357"/>
        <w:rPr>
          <w:rStyle w:val="KleinKapitaalAuteursCtrlAltK"/>
          <w:smallCaps w:val="0"/>
        </w:rPr>
      </w:pPr>
      <w:r>
        <w:rPr>
          <w:rStyle w:val="KleinKapitaalAuteursCtrlAltK"/>
          <w:smallCaps w:val="0"/>
        </w:rPr>
        <w:t>Tot slot vormt het</w:t>
      </w:r>
      <w:r w:rsidR="0049196B">
        <w:rPr>
          <w:rStyle w:val="KleinKapitaalAuteursCtrlAltK"/>
          <w:smallCaps w:val="0"/>
        </w:rPr>
        <w:t xml:space="preserve"> speciaal weigeringsrecht </w:t>
      </w:r>
      <w:r>
        <w:rPr>
          <w:rStyle w:val="KleinKapitaalAuteursCtrlAltK"/>
          <w:smallCaps w:val="0"/>
        </w:rPr>
        <w:t>een bijzonder hardnekki</w:t>
      </w:r>
      <w:r w:rsidR="006C6A1D">
        <w:rPr>
          <w:rStyle w:val="KleinKapitaalAuteursCtrlAltK"/>
          <w:smallCaps w:val="0"/>
        </w:rPr>
        <w:t>g structureel verschil mijn</w:t>
      </w:r>
      <w:r w:rsidR="00C0284A">
        <w:rPr>
          <w:rStyle w:val="KleinKapitaalAuteursCtrlAltK"/>
          <w:smallCaps w:val="0"/>
        </w:rPr>
        <w:t xml:space="preserve">s </w:t>
      </w:r>
      <w:r w:rsidR="006C6A1D">
        <w:rPr>
          <w:rStyle w:val="KleinKapitaalAuteursCtrlAltK"/>
          <w:smallCaps w:val="0"/>
        </w:rPr>
        <w:t xml:space="preserve">inziens. Hierdoor kunnen discriminerende verschillen in de praktijk nog tot ver na de </w:t>
      </w:r>
      <w:r w:rsidR="006C6A1D">
        <w:rPr>
          <w:rStyle w:val="KleinKapitaalAuteursCtrlAltK"/>
          <w:i/>
          <w:iCs/>
          <w:smallCaps w:val="0"/>
        </w:rPr>
        <w:t xml:space="preserve">cut-off </w:t>
      </w:r>
      <w:r w:rsidR="006C6A1D" w:rsidRPr="00AC17F7">
        <w:rPr>
          <w:rStyle w:val="KleinKapitaalAuteursCtrlAltK"/>
          <w:i/>
          <w:iCs/>
          <w:smallCaps w:val="0"/>
        </w:rPr>
        <w:t xml:space="preserve">date </w:t>
      </w:r>
      <w:r w:rsidR="006C6A1D">
        <w:rPr>
          <w:rStyle w:val="KleinKapitaalAuteursCtrlAltK"/>
          <w:smallCaps w:val="0"/>
        </w:rPr>
        <w:t>van 2030 blijven voortbestaan.</w:t>
      </w:r>
    </w:p>
    <w:p w14:paraId="7FBA3D53" w14:textId="3D47DBEF" w:rsidR="00F768E6" w:rsidRPr="005958A9" w:rsidRDefault="0049196B" w:rsidP="005958A9">
      <w:pPr>
        <w:pStyle w:val="Randnummer"/>
        <w:spacing w:line="360" w:lineRule="auto"/>
        <w:rPr>
          <w:lang w:val="nl-NL"/>
        </w:rPr>
      </w:pPr>
      <w:r>
        <w:rPr>
          <w:rStyle w:val="KleinKapitaalAuteursCtrlAltK"/>
        </w:rPr>
        <w:t xml:space="preserve">Meest effectieve weg naar sociale gelijkheid? – </w:t>
      </w:r>
      <w:r w:rsidR="00200A33">
        <w:rPr>
          <w:rStyle w:val="KleinKapitaalAuteursCtrlAltK"/>
          <w:smallCaps w:val="0"/>
        </w:rPr>
        <w:t>Samenvattend kan op de derde sub-onderzoeksvraag worden geantwoord dat er</w:t>
      </w:r>
      <w:r w:rsidR="00FA0E34">
        <w:rPr>
          <w:rStyle w:val="KleinKapitaalAuteursCtrlAltK"/>
          <w:smallCaps w:val="0"/>
        </w:rPr>
        <w:t>,</w:t>
      </w:r>
      <w:r w:rsidR="00200A33">
        <w:rPr>
          <w:rStyle w:val="KleinKapitaalAuteursCtrlAltK"/>
          <w:smallCaps w:val="0"/>
        </w:rPr>
        <w:t xml:space="preserve"> ondanks de </w:t>
      </w:r>
      <w:r w:rsidR="00FA0E34">
        <w:rPr>
          <w:rStyle w:val="KleinKapitaalAuteursCtrlAltK"/>
          <w:smallCaps w:val="0"/>
        </w:rPr>
        <w:t>doorgevoerd</w:t>
      </w:r>
      <w:r w:rsidR="0059176F">
        <w:rPr>
          <w:rStyle w:val="KleinKapitaalAuteursCtrlAltK"/>
          <w:smallCaps w:val="0"/>
        </w:rPr>
        <w:t>e</w:t>
      </w:r>
      <w:r w:rsidR="00FA0E34">
        <w:rPr>
          <w:rStyle w:val="KleinKapitaalAuteursCtrlAltK"/>
          <w:smallCaps w:val="0"/>
        </w:rPr>
        <w:t xml:space="preserve"> wettelijke hervormingen, tot op heden</w:t>
      </w:r>
      <w:r w:rsidR="00200A33">
        <w:rPr>
          <w:rStyle w:val="KleinKapitaalAuteursCtrlAltK"/>
          <w:smallCaps w:val="0"/>
        </w:rPr>
        <w:t xml:space="preserve"> fundamentele structurele verschillen </w:t>
      </w:r>
      <w:r w:rsidR="00F12766">
        <w:rPr>
          <w:rStyle w:val="KleinKapitaalAuteursCtrlAltK"/>
          <w:smallCaps w:val="0"/>
        </w:rPr>
        <w:t xml:space="preserve">blijven </w:t>
      </w:r>
      <w:r w:rsidR="00200A33">
        <w:rPr>
          <w:rStyle w:val="KleinKapitaalAuteursCtrlAltK"/>
          <w:smallCaps w:val="0"/>
        </w:rPr>
        <w:t>bestaan tussen de aanvullende pensioen</w:t>
      </w:r>
      <w:r w:rsidR="00F12766">
        <w:rPr>
          <w:rStyle w:val="KleinKapitaalAuteursCtrlAltK"/>
          <w:smallCaps w:val="0"/>
        </w:rPr>
        <w:t xml:space="preserve">stelsels </w:t>
      </w:r>
      <w:r w:rsidR="00200A33">
        <w:rPr>
          <w:rStyle w:val="KleinKapitaalAuteursCtrlAltK"/>
          <w:smallCaps w:val="0"/>
        </w:rPr>
        <w:t>v</w:t>
      </w:r>
      <w:r w:rsidR="00F12766">
        <w:rPr>
          <w:rStyle w:val="KleinKapitaalAuteursCtrlAltK"/>
          <w:smallCaps w:val="0"/>
        </w:rPr>
        <w:t>an</w:t>
      </w:r>
      <w:r w:rsidR="00200A33">
        <w:rPr>
          <w:rStyle w:val="KleinKapitaalAuteursCtrlAltK"/>
          <w:smallCaps w:val="0"/>
        </w:rPr>
        <w:t xml:space="preserve"> beide statuten. Deze verschillen situeren zich zowel op institutioneel vlak</w:t>
      </w:r>
      <w:r w:rsidR="00F12766">
        <w:rPr>
          <w:rStyle w:val="KleinKapitaalAuteursCtrlAltK"/>
          <w:smallCaps w:val="0"/>
        </w:rPr>
        <w:t xml:space="preserve"> </w:t>
      </w:r>
      <w:r w:rsidR="00200A33">
        <w:rPr>
          <w:rStyle w:val="KleinKapitaalAuteursCtrlAltK"/>
          <w:smallCaps w:val="0"/>
        </w:rPr>
        <w:t xml:space="preserve">als op het vlak van de pensioenopbouw. </w:t>
      </w:r>
      <w:r w:rsidR="005B4141">
        <w:rPr>
          <w:rStyle w:val="KleinKapitaalAuteursCtrlAltK"/>
          <w:smallCaps w:val="0"/>
        </w:rPr>
        <w:t xml:space="preserve">De complexiteit van de Belgische harmonisatie roept </w:t>
      </w:r>
      <w:r w:rsidR="00F12766">
        <w:rPr>
          <w:rStyle w:val="KleinKapitaalAuteursCtrlAltK"/>
          <w:smallCaps w:val="0"/>
        </w:rPr>
        <w:t>bijgevolg</w:t>
      </w:r>
      <w:r w:rsidR="005B4141">
        <w:rPr>
          <w:rStyle w:val="KleinKapitaalAuteursCtrlAltK"/>
          <w:smallCaps w:val="0"/>
        </w:rPr>
        <w:t xml:space="preserve"> de vraag op of de g</w:t>
      </w:r>
      <w:r w:rsidR="00215D8C">
        <w:rPr>
          <w:rStyle w:val="KleinKapitaalAuteursCtrlAltK"/>
          <w:smallCaps w:val="0"/>
        </w:rPr>
        <w:t>ehanteerde</w:t>
      </w:r>
      <w:r w:rsidR="005B4141">
        <w:rPr>
          <w:rStyle w:val="KleinKapitaalAuteursCtrlAltK"/>
          <w:smallCaps w:val="0"/>
        </w:rPr>
        <w:t xml:space="preserve"> methodiek de meest effectieve weg </w:t>
      </w:r>
      <w:r w:rsidR="00215D8C">
        <w:rPr>
          <w:rStyle w:val="KleinKapitaalAuteursCtrlAltK"/>
          <w:smallCaps w:val="0"/>
        </w:rPr>
        <w:t>vormt</w:t>
      </w:r>
      <w:r w:rsidR="005B4141">
        <w:rPr>
          <w:rStyle w:val="KleinKapitaalAuteursCtrlAltK"/>
          <w:smallCaps w:val="0"/>
        </w:rPr>
        <w:t xml:space="preserve"> naar sociale gelijkheid. Om de Belgische casus in ruimer perspectief te plaatsen, is een bli</w:t>
      </w:r>
      <w:r w:rsidR="00215D8C">
        <w:rPr>
          <w:rStyle w:val="KleinKapitaalAuteursCtrlAltK"/>
          <w:smallCaps w:val="0"/>
        </w:rPr>
        <w:t>k</w:t>
      </w:r>
      <w:r w:rsidR="005B4141">
        <w:rPr>
          <w:rStyle w:val="KleinKapitaalAuteursCtrlAltK"/>
          <w:smallCaps w:val="0"/>
        </w:rPr>
        <w:t xml:space="preserve"> over de landsgrenzen hierbij noodzakelijk. </w:t>
      </w:r>
      <w:r w:rsidR="005958A9">
        <w:rPr>
          <w:rStyle w:val="KleinKapitaalAuteursCtrlAltK"/>
          <w:smallCaps w:val="0"/>
        </w:rPr>
        <w:br w:type="page"/>
      </w:r>
    </w:p>
    <w:p w14:paraId="6DD114CB" w14:textId="4957187C" w:rsidR="00477001" w:rsidRPr="0058444E" w:rsidRDefault="00477001" w:rsidP="004A5205">
      <w:pPr>
        <w:pStyle w:val="Kop1"/>
      </w:pPr>
      <w:bookmarkStart w:id="82" w:name="_Toc228784124"/>
      <w:r w:rsidRPr="0058444E">
        <w:t>Rechtsvergelijkend onderzoek</w:t>
      </w:r>
      <w:bookmarkEnd w:id="82"/>
    </w:p>
    <w:p w14:paraId="67B77EC7" w14:textId="2C2202F9" w:rsidR="004A5205" w:rsidRPr="0058444E" w:rsidRDefault="004A5205" w:rsidP="00A03193">
      <w:pPr>
        <w:pStyle w:val="Randnummer"/>
        <w:spacing w:line="360" w:lineRule="auto"/>
        <w:rPr>
          <w:rStyle w:val="Alineakern"/>
          <w:b w:val="0"/>
          <w:smallCaps w:val="0"/>
          <w:lang w:val="nl-BE"/>
        </w:rPr>
      </w:pPr>
      <w:r w:rsidRPr="0058444E">
        <w:rPr>
          <w:rStyle w:val="Alineakern"/>
          <w:b w:val="0"/>
          <w:bCs/>
          <w:lang w:val="nl-BE"/>
        </w:rPr>
        <w:t xml:space="preserve">Toelichting werkvorm </w:t>
      </w:r>
      <w:r w:rsidR="00A03193" w:rsidRPr="0058444E">
        <w:rPr>
          <w:rStyle w:val="Alineakern"/>
          <w:b w:val="0"/>
          <w:bCs/>
          <w:lang w:val="nl-BE"/>
        </w:rPr>
        <w:t>–</w:t>
      </w:r>
      <w:r w:rsidRPr="0058444E">
        <w:rPr>
          <w:rStyle w:val="Alineakern"/>
          <w:b w:val="0"/>
          <w:bCs/>
          <w:lang w:val="nl-BE"/>
        </w:rPr>
        <w:t xml:space="preserve"> </w:t>
      </w:r>
      <w:r w:rsidR="00A03193" w:rsidRPr="0058444E">
        <w:rPr>
          <w:rStyle w:val="Alineakern"/>
          <w:b w:val="0"/>
          <w:bCs/>
          <w:smallCaps w:val="0"/>
          <w:lang w:val="nl-BE"/>
        </w:rPr>
        <w:t>Dit deel behandelt de vierde sub</w:t>
      </w:r>
      <w:r w:rsidR="002A4652">
        <w:rPr>
          <w:rStyle w:val="Alineakern"/>
          <w:b w:val="0"/>
          <w:bCs/>
          <w:smallCaps w:val="0"/>
          <w:lang w:val="nl-BE"/>
        </w:rPr>
        <w:t>-</w:t>
      </w:r>
      <w:r w:rsidR="00A03193" w:rsidRPr="0058444E">
        <w:rPr>
          <w:rStyle w:val="Alineakern"/>
          <w:b w:val="0"/>
          <w:bCs/>
          <w:smallCaps w:val="0"/>
          <w:lang w:val="nl-BE"/>
        </w:rPr>
        <w:t xml:space="preserve">onderzoeksvraag waarin wordt nagegaan hoe België </w:t>
      </w:r>
      <w:r w:rsidR="001C4A09">
        <w:rPr>
          <w:rStyle w:val="Alineakern"/>
          <w:b w:val="0"/>
          <w:bCs/>
          <w:smallCaps w:val="0"/>
          <w:lang w:val="nl-BE"/>
        </w:rPr>
        <w:t>haar</w:t>
      </w:r>
      <w:r w:rsidR="00CB7432">
        <w:rPr>
          <w:rStyle w:val="Alineakern"/>
          <w:b w:val="0"/>
          <w:bCs/>
          <w:smallCaps w:val="0"/>
          <w:lang w:val="nl-BE"/>
        </w:rPr>
        <w:t xml:space="preserve"> </w:t>
      </w:r>
      <w:r w:rsidR="00A03193" w:rsidRPr="0058444E">
        <w:rPr>
          <w:rStyle w:val="Alineakern"/>
          <w:b w:val="0"/>
          <w:bCs/>
          <w:smallCaps w:val="0"/>
          <w:lang w:val="nl-BE"/>
        </w:rPr>
        <w:t>buurlanden zijn omgegaan met gelijkaardige problemen betreffende de aanvullende pensioenen.</w:t>
      </w:r>
    </w:p>
    <w:p w14:paraId="295AE9AB" w14:textId="7B5B610B" w:rsidR="00EA4083" w:rsidRPr="0058444E" w:rsidRDefault="00EA4083" w:rsidP="00EA4083">
      <w:pPr>
        <w:pStyle w:val="Randnummer"/>
        <w:numPr>
          <w:ilvl w:val="0"/>
          <w:numId w:val="0"/>
        </w:numPr>
        <w:spacing w:line="360" w:lineRule="auto"/>
        <w:ind w:left="357"/>
        <w:rPr>
          <w:rStyle w:val="Alineakern"/>
          <w:b w:val="0"/>
          <w:bCs/>
          <w:smallCaps w:val="0"/>
          <w:lang w:val="nl-BE"/>
        </w:rPr>
      </w:pPr>
      <w:r w:rsidRPr="0058444E">
        <w:rPr>
          <w:rStyle w:val="Alineakern"/>
          <w:b w:val="0"/>
          <w:bCs/>
          <w:smallCaps w:val="0"/>
          <w:lang w:val="nl-BE"/>
        </w:rPr>
        <w:t>Er wordt een kwalitatieve rechtsvergelijkende methode gehanteerd waarbij het aanvullend pensioenrecht van de drie gekozen landen bestudeerd zal worden en vervolgens vergeleken zal worden met België met een nadere focus gevestigd op:</w:t>
      </w:r>
    </w:p>
    <w:p w14:paraId="6B8E54F8" w14:textId="40993E4A" w:rsidR="00EA4083" w:rsidRPr="0058444E" w:rsidRDefault="00EA4083" w:rsidP="00EA4083">
      <w:pPr>
        <w:pStyle w:val="Randnummer"/>
        <w:numPr>
          <w:ilvl w:val="0"/>
          <w:numId w:val="23"/>
        </w:numPr>
        <w:spacing w:line="360" w:lineRule="auto"/>
        <w:rPr>
          <w:rStyle w:val="Alineakern"/>
          <w:b w:val="0"/>
          <w:bCs/>
          <w:smallCaps w:val="0"/>
          <w:lang w:val="nl-BE"/>
        </w:rPr>
      </w:pPr>
      <w:r w:rsidRPr="0058444E">
        <w:rPr>
          <w:rStyle w:val="Alineakern"/>
          <w:b w:val="0"/>
          <w:bCs/>
          <w:smallCaps w:val="0"/>
          <w:lang w:val="nl-BE"/>
        </w:rPr>
        <w:t>De structurering van de aanvullende pensioenen voor verschillende categorieën van werknemers (in het geval dat er hiertussen een onderscheid gemaakt wordt);</w:t>
      </w:r>
    </w:p>
    <w:p w14:paraId="1F52D4B5" w14:textId="677DB773" w:rsidR="00EA4083" w:rsidRPr="0058444E" w:rsidRDefault="00EA4083" w:rsidP="00EA4083">
      <w:pPr>
        <w:pStyle w:val="Randnummer"/>
        <w:numPr>
          <w:ilvl w:val="0"/>
          <w:numId w:val="23"/>
        </w:numPr>
        <w:spacing w:line="360" w:lineRule="auto"/>
        <w:rPr>
          <w:rStyle w:val="Alineakern"/>
          <w:b w:val="0"/>
          <w:bCs/>
          <w:smallCaps w:val="0"/>
          <w:lang w:val="nl-BE"/>
        </w:rPr>
      </w:pPr>
      <w:r w:rsidRPr="0058444E">
        <w:rPr>
          <w:rStyle w:val="Alineakern"/>
          <w:b w:val="0"/>
          <w:bCs/>
          <w:smallCaps w:val="0"/>
          <w:lang w:val="nl-BE"/>
        </w:rPr>
        <w:t>Hoe deze landen harmonisatie hebben aangepakt;</w:t>
      </w:r>
    </w:p>
    <w:p w14:paraId="64B0EF22" w14:textId="04B92FCD" w:rsidR="004A0512" w:rsidRPr="006528C0" w:rsidRDefault="00400A50" w:rsidP="006528C0">
      <w:pPr>
        <w:pStyle w:val="Randnummer"/>
        <w:spacing w:line="360" w:lineRule="auto"/>
        <w:rPr>
          <w:bCs/>
        </w:rPr>
      </w:pPr>
      <w:r w:rsidRPr="009530F1">
        <w:rPr>
          <w:smallCaps/>
        </w:rPr>
        <w:t>Verantwoording landenkeuze</w:t>
      </w:r>
      <w:r w:rsidR="009426C8" w:rsidRPr="009530F1">
        <w:rPr>
          <w:smallCaps/>
        </w:rPr>
        <w:t xml:space="preserve"> - </w:t>
      </w:r>
      <w:r w:rsidR="00061F6D" w:rsidRPr="0058444E">
        <w:t>De landen werden geselecteerd op basis van geografische nabijheid en gedeelde sociaaleconomische contexten, maar ook op basis van hun gedeeld lidmaatschap van de Europese Unie waardoor al deze landen onderworpen worden aan de Richtlijn 2000/78/EG.</w:t>
      </w:r>
      <w:r w:rsidR="00061F6D" w:rsidRPr="0058444E">
        <w:rPr>
          <w:rStyle w:val="Voetnootmarkering"/>
        </w:rPr>
        <w:footnoteReference w:id="200"/>
      </w:r>
      <w:r w:rsidR="00220417">
        <w:t xml:space="preserve"> Luxemburg kent </w:t>
      </w:r>
      <w:r w:rsidR="00164607">
        <w:t xml:space="preserve">net zoals België ook </w:t>
      </w:r>
      <w:r w:rsidR="00220417">
        <w:t xml:space="preserve">een sterk juridisch onderscheid tussen arbeiders en bedienden waardoor het voor dit onderzoek relevant geacht wordt om te onderzoeken hoe zij </w:t>
      </w:r>
      <w:r w:rsidR="008F5CC8">
        <w:t>dit onderscheid verantwoorden. Daarnaast wordt vergeleken met Nederland dat gekend is voor haar zeer uitgebreide tweede pensioenpijler</w:t>
      </w:r>
      <w:r w:rsidR="00052FE3">
        <w:t xml:space="preserve"> en waar het onderscheid tussen arbeiders en bedienden vrijwel onbekend is. Ten slotte wordt de vergelijking met Duitsland gemaakt dat in het verleden ook </w:t>
      </w:r>
      <w:r w:rsidR="00316A08">
        <w:t xml:space="preserve">een dualiteit tussen </w:t>
      </w:r>
      <w:r w:rsidR="00052FE3">
        <w:t>arbeiders en bedienden</w:t>
      </w:r>
      <w:r w:rsidR="00316A08">
        <w:t xml:space="preserve"> wettelijk verankerd had. </w:t>
      </w:r>
      <w:r w:rsidR="00232F1A">
        <w:t xml:space="preserve">Aan de hand van deze drie rechtsvergelijkende hoofdstukken wordt </w:t>
      </w:r>
      <w:r w:rsidR="008B6173">
        <w:t>een synthese geformuleerd met enkele aanbevelingen voor België.</w:t>
      </w:r>
      <w:r w:rsidR="00734C81">
        <w:br w:type="page"/>
      </w:r>
    </w:p>
    <w:p w14:paraId="1041B556" w14:textId="4419028C" w:rsidR="009426C8" w:rsidRPr="0058444E" w:rsidRDefault="009426C8" w:rsidP="009426C8">
      <w:pPr>
        <w:pStyle w:val="Kop2"/>
      </w:pPr>
      <w:bookmarkStart w:id="84" w:name="_Toc228784125"/>
      <w:r w:rsidRPr="0058444E">
        <w:t>Luxemburg</w:t>
      </w:r>
      <w:bookmarkEnd w:id="84"/>
    </w:p>
    <w:p w14:paraId="65ECB2E2" w14:textId="077A2D89" w:rsidR="009426C8" w:rsidRPr="0058444E" w:rsidRDefault="004A4946" w:rsidP="004A4946">
      <w:pPr>
        <w:pStyle w:val="Kop3"/>
      </w:pPr>
      <w:bookmarkStart w:id="85" w:name="_Toc228784126"/>
      <w:r w:rsidRPr="0058444E">
        <w:t xml:space="preserve">Afdeling I. Historische </w:t>
      </w:r>
      <w:r w:rsidR="002A759C">
        <w:t>ontwikkeling</w:t>
      </w:r>
      <w:bookmarkEnd w:id="85"/>
    </w:p>
    <w:p w14:paraId="5A0990D4" w14:textId="3E200C95" w:rsidR="004A4946" w:rsidRDefault="00A30CC1" w:rsidP="00431F8D">
      <w:pPr>
        <w:pStyle w:val="Randnummer"/>
        <w:spacing w:line="360" w:lineRule="auto"/>
        <w:rPr>
          <w:rStyle w:val="KleinKapitaalAuteursCtrlAltK"/>
          <w:smallCaps w:val="0"/>
          <w:lang w:val="nl-BE"/>
        </w:rPr>
      </w:pPr>
      <w:r w:rsidRPr="0058444E">
        <w:rPr>
          <w:rStyle w:val="KleinKapitaalAuteursCtrlAltK"/>
          <w:lang w:val="nl-BE"/>
        </w:rPr>
        <w:t xml:space="preserve">Juridisch onderscheid – </w:t>
      </w:r>
      <w:r w:rsidRPr="0058444E">
        <w:rPr>
          <w:rStyle w:val="KleinKapitaalAuteursCtrlAltK"/>
          <w:smallCaps w:val="0"/>
          <w:lang w:val="nl-BE"/>
        </w:rPr>
        <w:t>Ook in Luxemburg kent men een sterk juridisch onderscheid tussen arbeiders en bedienden.</w:t>
      </w:r>
      <w:r w:rsidRPr="0058444E">
        <w:rPr>
          <w:rStyle w:val="Voetnootmarkering"/>
        </w:rPr>
        <w:footnoteReference w:id="201"/>
      </w:r>
      <w:r w:rsidR="0022166C" w:rsidRPr="0058444E">
        <w:rPr>
          <w:rStyle w:val="KleinKapitaalAuteursCtrlAltK"/>
          <w:smallCaps w:val="0"/>
          <w:lang w:val="nl-BE"/>
        </w:rPr>
        <w:t xml:space="preserve"> In tegenstelling tot in België genoten in Luxemburg enkel bedienden van een specifieke arbeidsovereenkomstenwet, arbeiders konden zich enkel beroepen op het Burgerlijk Wetboek en eventueel geldende cao’s.</w:t>
      </w:r>
      <w:r w:rsidR="0022166C" w:rsidRPr="0058444E">
        <w:rPr>
          <w:rStyle w:val="Voetnootmarkering"/>
        </w:rPr>
        <w:footnoteReference w:id="202"/>
      </w:r>
      <w:r w:rsidR="00DF197A" w:rsidRPr="0058444E">
        <w:rPr>
          <w:rStyle w:val="KleinKapitaalAuteursCtrlAltK"/>
          <w:smallCaps w:val="0"/>
          <w:lang w:val="nl-BE"/>
        </w:rPr>
        <w:t xml:space="preserve"> Ook werd er in de pensioenregeling een onderscheid gemaakt tussen arbeiders en bedienden waarmee er zoals in België een onderscheid gemaakt werd op basis van welk statuut men kreeg.</w:t>
      </w:r>
      <w:r w:rsidR="00DF197A" w:rsidRPr="0058444E">
        <w:rPr>
          <w:rStyle w:val="Voetnootmarkering"/>
        </w:rPr>
        <w:footnoteReference w:id="203"/>
      </w:r>
    </w:p>
    <w:p w14:paraId="32A4623B" w14:textId="6C296DEC" w:rsidR="0060650C" w:rsidRPr="0058444E" w:rsidRDefault="0060650C" w:rsidP="00431F8D">
      <w:pPr>
        <w:pStyle w:val="Randnummer"/>
        <w:spacing w:line="360" w:lineRule="auto"/>
        <w:rPr>
          <w:rStyle w:val="KleinKapitaalAuteursCtrlAltK"/>
          <w:smallCaps w:val="0"/>
          <w:lang w:val="nl-BE"/>
        </w:rPr>
      </w:pPr>
      <w:r>
        <w:rPr>
          <w:rStyle w:val="KleinKapitaalAuteursCtrlAltK"/>
        </w:rPr>
        <w:t xml:space="preserve">Tweede pensioenpijler – </w:t>
      </w:r>
      <w:r>
        <w:rPr>
          <w:rStyle w:val="KleinKapitaalAuteursCtrlAltK"/>
          <w:smallCaps w:val="0"/>
        </w:rPr>
        <w:t>De eerste specifieke wet voor aanvullende pensioenen voor werknemers kwam in Luxemburg tot stand in 1999.</w:t>
      </w:r>
      <w:r w:rsidR="006F465E">
        <w:rPr>
          <w:rStyle w:val="KleinKapitaalAuteursCtrlAltK"/>
          <w:smallCaps w:val="0"/>
        </w:rPr>
        <w:t xml:space="preserve">met de </w:t>
      </w:r>
      <w:r w:rsidR="008A20C2">
        <w:rPr>
          <w:rStyle w:val="KleinKapitaalAuteursCtrlAltK"/>
          <w:i/>
          <w:iCs/>
          <w:smallCaps w:val="0"/>
        </w:rPr>
        <w:t>Loi du 8 juin 1999 relative aux régimes complémentaires de pension</w:t>
      </w:r>
      <w:r w:rsidR="006F465E">
        <w:rPr>
          <w:rStyle w:val="KleinKapitaalAuteursCtrlAltK"/>
          <w:smallCaps w:val="0"/>
        </w:rPr>
        <w:t>.</w:t>
      </w:r>
      <w:r w:rsidR="00616E9D">
        <w:rPr>
          <w:rStyle w:val="Voetnootmarkering"/>
          <w:lang w:val="nl-NL"/>
        </w:rPr>
        <w:footnoteReference w:id="204"/>
      </w:r>
      <w:r w:rsidR="002D446D">
        <w:rPr>
          <w:rStyle w:val="KleinKapitaalAuteursCtrlAltK"/>
          <w:smallCaps w:val="0"/>
        </w:rPr>
        <w:t xml:space="preserve"> Een verklaring voor de late start van de aanvullende pensioenen in Luxemburg ligt in het gegeven dat Luxemburg één van de meest gunstige wettelijke pensioenen kent wereldwijd.</w:t>
      </w:r>
      <w:r w:rsidR="00BD4199">
        <w:rPr>
          <w:rStyle w:val="Voetnootmarkering"/>
          <w:lang w:val="nl-NL"/>
        </w:rPr>
        <w:footnoteReference w:id="205"/>
      </w:r>
    </w:p>
    <w:p w14:paraId="31D51357" w14:textId="2873C780" w:rsidR="00CB461F" w:rsidRPr="0058444E" w:rsidRDefault="00CB461F" w:rsidP="00431F8D">
      <w:pPr>
        <w:pStyle w:val="Randnummer"/>
        <w:spacing w:line="360" w:lineRule="auto"/>
        <w:rPr>
          <w:rStyle w:val="KleinKapitaalAuteursCtrlAltK"/>
          <w:smallCaps w:val="0"/>
          <w:lang w:val="nl-BE"/>
        </w:rPr>
      </w:pPr>
      <w:r w:rsidRPr="0058444E">
        <w:rPr>
          <w:rStyle w:val="KleinKapitaalAuteursCtrlAltK"/>
          <w:lang w:val="nl-BE"/>
        </w:rPr>
        <w:t xml:space="preserve">Onderscheidingsgrond </w:t>
      </w:r>
      <w:r w:rsidR="000B5ACD" w:rsidRPr="0058444E">
        <w:rPr>
          <w:rStyle w:val="KleinKapitaalAuteursCtrlAltK"/>
          <w:lang w:val="nl-BE"/>
        </w:rPr>
        <w:t>–</w:t>
      </w:r>
      <w:r w:rsidRPr="0058444E">
        <w:rPr>
          <w:rStyle w:val="KleinKapitaalAuteursCtrlAltK"/>
          <w:lang w:val="nl-BE"/>
        </w:rPr>
        <w:t xml:space="preserve"> </w:t>
      </w:r>
      <w:r w:rsidR="000B5ACD" w:rsidRPr="0058444E">
        <w:rPr>
          <w:rStyle w:val="KleinKapitaalAuteursCtrlAltK"/>
          <w:smallCaps w:val="0"/>
          <w:lang w:val="nl-BE"/>
        </w:rPr>
        <w:t>In Luxemburg kon de inrichter van een aanvullend pensioen het stelsel beperken tot een specifieke categorie van aangeslotenen</w:t>
      </w:r>
      <w:r w:rsidR="00E964FA">
        <w:rPr>
          <w:rStyle w:val="KleinKapitaalAuteursCtrlAltK"/>
          <w:smallCaps w:val="0"/>
          <w:lang w:val="nl-BE"/>
        </w:rPr>
        <w:t>. In dat kader werd aanvaard dat de categorieën uit het arbeidsrecht als geldig onderscheid golden</w:t>
      </w:r>
      <w:r w:rsidR="007841B4">
        <w:rPr>
          <w:rStyle w:val="KleinKapitaalAuteursCtrlAltK"/>
          <w:smallCaps w:val="0"/>
          <w:lang w:val="nl-BE"/>
        </w:rPr>
        <w:t xml:space="preserve">, </w:t>
      </w:r>
      <w:r w:rsidR="000B5ACD" w:rsidRPr="0058444E">
        <w:rPr>
          <w:rStyle w:val="KleinKapitaalAuteursCtrlAltK"/>
          <w:smallCaps w:val="0"/>
          <w:lang w:val="nl-BE"/>
        </w:rPr>
        <w:t>waaronder dus het onderscheid arbeider-bediende.</w:t>
      </w:r>
      <w:r w:rsidR="000B5ACD" w:rsidRPr="0058444E">
        <w:rPr>
          <w:rStyle w:val="Voetnootmarkering"/>
        </w:rPr>
        <w:footnoteReference w:id="206"/>
      </w:r>
      <w:r w:rsidR="00721838" w:rsidRPr="0058444E">
        <w:rPr>
          <w:rStyle w:val="KleinKapitaalAuteursCtrlAltK"/>
          <w:smallCaps w:val="0"/>
          <w:lang w:val="nl-BE"/>
        </w:rPr>
        <w:t xml:space="preserve"> Hieruit volgde dan als resultaat dat ook in Luxemburg de inrichters van het aanvullend pensioen de opdeling </w:t>
      </w:r>
      <w:r w:rsidR="007841B4">
        <w:rPr>
          <w:rStyle w:val="KleinKapitaalAuteursCtrlAltK"/>
          <w:smallCaps w:val="0"/>
          <w:lang w:val="nl-BE"/>
        </w:rPr>
        <w:t>hebben gemaakt tussen arbeiders en bedienden</w:t>
      </w:r>
      <w:r w:rsidR="00721838" w:rsidRPr="0058444E">
        <w:rPr>
          <w:rStyle w:val="KleinKapitaalAuteursCtrlAltK"/>
          <w:smallCaps w:val="0"/>
          <w:lang w:val="nl-BE"/>
        </w:rPr>
        <w:t xml:space="preserve">. </w:t>
      </w:r>
      <w:r w:rsidR="00EC64C3" w:rsidRPr="0058444E">
        <w:rPr>
          <w:rStyle w:val="KleinKapitaalAuteursCtrlAltK"/>
          <w:smallCaps w:val="0"/>
          <w:lang w:val="nl-BE"/>
        </w:rPr>
        <w:t>Zo werden op ondernemingsniveau pensioenstelsels voornamelijk opgericht voor bedienden, waardoor de arbeiders in de kou bleven staan.</w:t>
      </w:r>
      <w:r w:rsidR="00EC64C3" w:rsidRPr="0058444E">
        <w:rPr>
          <w:rStyle w:val="Voetnootmarkering"/>
        </w:rPr>
        <w:footnoteReference w:id="207"/>
      </w:r>
    </w:p>
    <w:p w14:paraId="01CAC8B8" w14:textId="7CB1C112" w:rsidR="00F9719C" w:rsidRDefault="00DC2399" w:rsidP="00F9719C">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Volgens de sociale inspectie bestaan er twee verklaringen voor het onderscheid tussen arbeiders en bedienden in de aanvullende pensioenen. De eerste verklaring</w:t>
      </w:r>
      <w:r w:rsidR="0061087B">
        <w:rPr>
          <w:rStyle w:val="KleinKapitaalAuteursCtrlAltK"/>
          <w:smallCaps w:val="0"/>
          <w:lang w:val="nl-BE"/>
        </w:rPr>
        <w:t xml:space="preserve"> is </w:t>
      </w:r>
      <w:r w:rsidRPr="0058444E">
        <w:rPr>
          <w:rStyle w:val="KleinKapitaalAuteursCtrlAltK"/>
          <w:smallCaps w:val="0"/>
          <w:lang w:val="nl-BE"/>
        </w:rPr>
        <w:t xml:space="preserve">dat arbeiders over het algemeen minder verdienen, waardoor de inkomensval bij pensionering bij hen minder groot is dan bij bedienden. Daarnaast zou het fiscaal ook minder interessant zijn voor laagverdieners om te kiezen voor pensioenbijdragen in plaats van voor loon. Deze verklaringen kunnen echter niet overtuigen gezien </w:t>
      </w:r>
      <w:r w:rsidR="003D241D">
        <w:rPr>
          <w:rStyle w:val="KleinKapitaalAuteursCtrlAltK"/>
          <w:smallCaps w:val="0"/>
          <w:lang w:val="nl-BE"/>
        </w:rPr>
        <w:t>deze uitgaan</w:t>
      </w:r>
      <w:r w:rsidRPr="0058444E">
        <w:rPr>
          <w:rStyle w:val="KleinKapitaalAuteursCtrlAltK"/>
          <w:smallCaps w:val="0"/>
          <w:lang w:val="nl-BE"/>
        </w:rPr>
        <w:t xml:space="preserve"> van </w:t>
      </w:r>
      <w:r w:rsidR="003D241D">
        <w:rPr>
          <w:rStyle w:val="KleinKapitaalAuteursCtrlAltK"/>
          <w:smallCaps w:val="0"/>
          <w:lang w:val="nl-BE"/>
        </w:rPr>
        <w:t>het</w:t>
      </w:r>
      <w:r w:rsidRPr="0058444E">
        <w:rPr>
          <w:rStyle w:val="KleinKapitaalAuteursCtrlAltK"/>
          <w:smallCaps w:val="0"/>
          <w:lang w:val="nl-BE"/>
        </w:rPr>
        <w:t xml:space="preserve"> idee dat alle arbeiders minder verdienen dan bedienden.</w:t>
      </w:r>
      <w:r w:rsidRPr="0058444E">
        <w:rPr>
          <w:rStyle w:val="Voetnootmarkering"/>
        </w:rPr>
        <w:footnoteReference w:id="208"/>
      </w:r>
    </w:p>
    <w:p w14:paraId="713CBF74" w14:textId="36694B7D" w:rsidR="00AB2225" w:rsidRPr="0058444E" w:rsidRDefault="00AB2225" w:rsidP="00F9719C">
      <w:pPr>
        <w:pStyle w:val="Randnummer"/>
        <w:numPr>
          <w:ilvl w:val="0"/>
          <w:numId w:val="0"/>
        </w:numPr>
        <w:spacing w:line="360" w:lineRule="auto"/>
        <w:ind w:left="357"/>
        <w:rPr>
          <w:rStyle w:val="KleinKapitaalAuteursCtrlAltK"/>
          <w:smallCaps w:val="0"/>
          <w:lang w:val="nl-BE"/>
        </w:rPr>
      </w:pPr>
      <w:r>
        <w:rPr>
          <w:rStyle w:val="KleinKapitaalAuteursCtrlAltK"/>
          <w:smallCaps w:val="0"/>
          <w:lang w:val="nl-BE"/>
        </w:rPr>
        <w:t>Zoals in België zijn de ondernemingspensioenstelsels vooral gericht op bedienden. Sectorale pensioenstelsels zoals we deze in België kennen, zijn echter niet mogelijk in Luxemburg, terwijl deze net traditioneel meer gericht zijn op arbeiders. Dit heeft als resultaat dat er in Luxemburg slechts een zeer beperkt aantal arbeiders genieten van een aanvullend pensioen.</w:t>
      </w:r>
    </w:p>
    <w:p w14:paraId="4D8F2F9A" w14:textId="30F5BEE2" w:rsidR="0006190F" w:rsidRPr="0058444E" w:rsidRDefault="0006190F" w:rsidP="0006190F">
      <w:pPr>
        <w:pStyle w:val="Kop3"/>
      </w:pPr>
      <w:bookmarkStart w:id="88" w:name="_Toc228784127"/>
      <w:r w:rsidRPr="0058444E">
        <w:t xml:space="preserve">Afdeling II. </w:t>
      </w:r>
      <w:r w:rsidR="002A759C">
        <w:t>Juridisch kader</w:t>
      </w:r>
      <w:bookmarkEnd w:id="88"/>
    </w:p>
    <w:p w14:paraId="0510A9CA" w14:textId="6040F6E2" w:rsidR="007E7947" w:rsidRPr="0058444E" w:rsidRDefault="004C6C8E" w:rsidP="00A129EA">
      <w:pPr>
        <w:pStyle w:val="Randnummer"/>
        <w:spacing w:line="360" w:lineRule="auto"/>
        <w:rPr>
          <w:rStyle w:val="KleinKapitaalAuteursCtrlAltK"/>
          <w:smallCaps w:val="0"/>
          <w:lang w:val="nl-BE"/>
        </w:rPr>
      </w:pPr>
      <w:r w:rsidRPr="0058444E">
        <w:rPr>
          <w:rStyle w:val="KleinKapitaalAuteursCtrlAltK"/>
          <w:lang w:val="nl-BE"/>
        </w:rPr>
        <w:t xml:space="preserve">Grondwettigheid – </w:t>
      </w:r>
      <w:r w:rsidRPr="0058444E">
        <w:rPr>
          <w:rStyle w:val="KleinKapitaalAuteursCtrlAltK"/>
          <w:smallCaps w:val="0"/>
          <w:lang w:val="nl-BE"/>
        </w:rPr>
        <w:t>Het Luxemburgs Grondwettelijk Hof verklaarde in 2004</w:t>
      </w:r>
      <w:r w:rsidR="00D649DB">
        <w:rPr>
          <w:rStyle w:val="KleinKapitaalAuteursCtrlAltK"/>
          <w:smallCaps w:val="0"/>
          <w:lang w:val="nl-BE"/>
        </w:rPr>
        <w:t xml:space="preserve"> al</w:t>
      </w:r>
      <w:r w:rsidRPr="0058444E">
        <w:rPr>
          <w:rStyle w:val="KleinKapitaalAuteursCtrlAltK"/>
          <w:smallCaps w:val="0"/>
          <w:lang w:val="nl-BE"/>
        </w:rPr>
        <w:t xml:space="preserve"> dat het onderscheid tussen arbeiders en bedienden niet langer houdbaar was.</w:t>
      </w:r>
      <w:r w:rsidRPr="0058444E">
        <w:rPr>
          <w:rStyle w:val="Voetnootmarkering"/>
        </w:rPr>
        <w:footnoteReference w:id="209"/>
      </w:r>
      <w:r w:rsidR="0044799D" w:rsidRPr="0058444E">
        <w:rPr>
          <w:rStyle w:val="KleinKapitaalAuteursCtrlAltK"/>
          <w:smallCaps w:val="0"/>
          <w:lang w:val="nl-BE"/>
        </w:rPr>
        <w:t xml:space="preserve"> </w:t>
      </w:r>
      <w:r w:rsidR="00BD6597">
        <w:rPr>
          <w:rStyle w:val="KleinKapitaalAuteursCtrlAltK"/>
          <w:smallCaps w:val="0"/>
          <w:lang w:val="nl-BE"/>
        </w:rPr>
        <w:t>Dit deed zij niet aan de hand van een hangend geschil, maar aan de hand van de samenstelling van de kieslijsten.</w:t>
      </w:r>
      <w:r w:rsidR="00BD6597">
        <w:rPr>
          <w:rStyle w:val="Voetnootmarkering"/>
        </w:rPr>
        <w:footnoteReference w:id="210"/>
      </w:r>
      <w:r w:rsidR="00C16CCB">
        <w:rPr>
          <w:rStyle w:val="KleinKapitaalAuteursCtrlAltK"/>
          <w:smallCaps w:val="0"/>
          <w:lang w:val="nl-BE"/>
        </w:rPr>
        <w:t xml:space="preserve"> </w:t>
      </w:r>
      <w:r w:rsidR="0084777B">
        <w:rPr>
          <w:rStyle w:val="KleinKapitaalAuteursCtrlAltK"/>
          <w:smallCaps w:val="0"/>
          <w:lang w:val="nl-BE"/>
        </w:rPr>
        <w:t xml:space="preserve">Hierin maakte het Hof duidelijk dat een onderscheid tussen arbeiders en bedienden niet langer houdbaar was. </w:t>
      </w:r>
      <w:r w:rsidR="00B46DCD">
        <w:rPr>
          <w:rStyle w:val="KleinKapitaalAuteursCtrlAltK"/>
          <w:smallCaps w:val="0"/>
          <w:lang w:val="nl-BE"/>
        </w:rPr>
        <w:t>Hierna</w:t>
      </w:r>
      <w:r w:rsidR="0044799D" w:rsidRPr="0058444E">
        <w:rPr>
          <w:rStyle w:val="KleinKapitaalAuteursCtrlAltK"/>
          <w:smallCaps w:val="0"/>
          <w:lang w:val="nl-BE"/>
        </w:rPr>
        <w:t xml:space="preserve"> werden aller</w:t>
      </w:r>
      <w:r w:rsidR="001A37E2" w:rsidRPr="0058444E">
        <w:rPr>
          <w:rStyle w:val="KleinKapitaalAuteursCtrlAltK"/>
          <w:smallCaps w:val="0"/>
          <w:lang w:val="nl-BE"/>
        </w:rPr>
        <w:t>l</w:t>
      </w:r>
      <w:r w:rsidR="0044799D" w:rsidRPr="0058444E">
        <w:rPr>
          <w:rStyle w:val="KleinKapitaalAuteursCtrlAltK"/>
          <w:smallCaps w:val="0"/>
          <w:lang w:val="nl-BE"/>
        </w:rPr>
        <w:t xml:space="preserve">ei stappen ondernomen tot de invoering van een </w:t>
      </w:r>
      <w:r w:rsidR="006A187A">
        <w:rPr>
          <w:rStyle w:val="KleinKapitaalAuteursCtrlAltK"/>
          <w:smallCaps w:val="0"/>
          <w:lang w:val="nl-BE"/>
        </w:rPr>
        <w:t>e</w:t>
      </w:r>
      <w:r w:rsidR="0044799D" w:rsidRPr="0058444E">
        <w:rPr>
          <w:rStyle w:val="KleinKapitaalAuteursCtrlAltK"/>
          <w:smallCaps w:val="0"/>
          <w:lang w:val="nl-BE"/>
        </w:rPr>
        <w:t xml:space="preserve">enheidsstatuut. Op 13 mei 2008 werd door de Kamer van Afgevaardigden het wetsvoorstel tot invoering van het </w:t>
      </w:r>
      <w:r w:rsidR="006A187A">
        <w:rPr>
          <w:rStyle w:val="KleinKapitaalAuteursCtrlAltK"/>
          <w:smallCaps w:val="0"/>
          <w:lang w:val="nl-BE"/>
        </w:rPr>
        <w:t>e</w:t>
      </w:r>
      <w:r w:rsidR="0044799D" w:rsidRPr="0058444E">
        <w:rPr>
          <w:rStyle w:val="KleinKapitaalAuteursCtrlAltK"/>
          <w:smallCaps w:val="0"/>
          <w:lang w:val="nl-BE"/>
        </w:rPr>
        <w:t>enheidsstatuut goedgekeurd. Dit zorgde ervoor dat arbeiders en bedienden een identieke arbeidsovereenkomst kregen.</w:t>
      </w:r>
      <w:r w:rsidR="0044799D" w:rsidRPr="0058444E">
        <w:rPr>
          <w:rStyle w:val="Voetnootmarkering"/>
        </w:rPr>
        <w:footnoteReference w:id="211"/>
      </w:r>
      <w:r w:rsidR="0084777B">
        <w:rPr>
          <w:rStyle w:val="KleinKapitaalAuteursCtrlAltK"/>
          <w:smallCaps w:val="0"/>
          <w:lang w:val="nl-BE"/>
        </w:rPr>
        <w:t xml:space="preserve"> Vervolgens werden er ook op het vlak van de sociale zekerheid grote inspanningen geleverd om te trachten om de mutualiteiten en de pensioenkassen te harmoniseren.</w:t>
      </w:r>
      <w:r w:rsidR="0084777B">
        <w:rPr>
          <w:rStyle w:val="Voetnootmarkering"/>
        </w:rPr>
        <w:footnoteReference w:id="212"/>
      </w:r>
    </w:p>
    <w:p w14:paraId="28B01AAB" w14:textId="21652C8C" w:rsidR="00AC0889" w:rsidRDefault="007E7947" w:rsidP="00B01084">
      <w:pPr>
        <w:pStyle w:val="Randnummer"/>
        <w:spacing w:line="360" w:lineRule="auto"/>
        <w:rPr>
          <w:rStyle w:val="KleinKapitaalAuteursCtrlAltK"/>
          <w:smallCaps w:val="0"/>
          <w:lang w:val="nl-BE"/>
        </w:rPr>
      </w:pPr>
      <w:r w:rsidRPr="0058444E">
        <w:rPr>
          <w:rStyle w:val="KleinKapitaalAuteursCtrlAltK"/>
          <w:lang w:val="nl-BE"/>
        </w:rPr>
        <w:t xml:space="preserve">Aanvullende pensioenen – </w:t>
      </w:r>
      <w:r w:rsidRPr="0058444E">
        <w:rPr>
          <w:rStyle w:val="KleinKapitaalAuteursCtrlAltK"/>
          <w:smallCaps w:val="0"/>
          <w:lang w:val="nl-BE"/>
        </w:rPr>
        <w:t>Hoewel er arbeidsrechtelijk werd gezorgd voor een gelijktrekking tussen arbeiders en bedienden, volgde hieruit nog geen gelijktrekking in de aanvullende pensioenen.</w:t>
      </w:r>
      <w:r w:rsidRPr="0058444E">
        <w:rPr>
          <w:rStyle w:val="Voetnootmarkering"/>
        </w:rPr>
        <w:footnoteReference w:id="213"/>
      </w:r>
      <w:r w:rsidR="00C84A7D" w:rsidRPr="0058444E">
        <w:rPr>
          <w:rStyle w:val="KleinKapitaalAuteursCtrlAltK"/>
          <w:smallCaps w:val="0"/>
          <w:lang w:val="nl-BE"/>
        </w:rPr>
        <w:t xml:space="preserve"> Sterker nog, de </w:t>
      </w:r>
      <w:r w:rsidR="00997E65">
        <w:rPr>
          <w:rStyle w:val="KleinKapitaalAuteursCtrlAltK"/>
          <w:smallCaps w:val="0"/>
          <w:lang w:val="nl-BE"/>
        </w:rPr>
        <w:t xml:space="preserve">Luxemburgse variant van de </w:t>
      </w:r>
      <w:r w:rsidR="006E10CF">
        <w:rPr>
          <w:rStyle w:val="KleinKapitaalAuteursCtrlAltK"/>
          <w:smallCaps w:val="0"/>
          <w:lang w:val="nl-BE"/>
        </w:rPr>
        <w:t>W</w:t>
      </w:r>
      <w:r w:rsidR="00C84A7D" w:rsidRPr="0058444E">
        <w:rPr>
          <w:rStyle w:val="KleinKapitaalAuteursCtrlAltK"/>
          <w:smallCaps w:val="0"/>
          <w:lang w:val="nl-BE"/>
        </w:rPr>
        <w:t xml:space="preserve">et op het </w:t>
      </w:r>
      <w:r w:rsidR="006E10CF">
        <w:rPr>
          <w:rStyle w:val="KleinKapitaalAuteursCtrlAltK"/>
          <w:smallCaps w:val="0"/>
          <w:lang w:val="nl-BE"/>
        </w:rPr>
        <w:t>E</w:t>
      </w:r>
      <w:r w:rsidR="00C84A7D" w:rsidRPr="0058444E">
        <w:rPr>
          <w:rStyle w:val="KleinKapitaalAuteursCtrlAltK"/>
          <w:smallCaps w:val="0"/>
          <w:lang w:val="nl-BE"/>
        </w:rPr>
        <w:t>enheidsstatuut bood zelfs een geruststelling in artikel 19 dat er z</w:t>
      </w:r>
      <w:r w:rsidR="00123D6A">
        <w:rPr>
          <w:rStyle w:val="KleinKapitaalAuteursCtrlAltK"/>
          <w:smallCaps w:val="0"/>
          <w:lang w:val="nl-BE"/>
        </w:rPr>
        <w:t>e</w:t>
      </w:r>
      <w:r w:rsidR="00C84A7D" w:rsidRPr="0058444E">
        <w:rPr>
          <w:rStyle w:val="KleinKapitaalAuteursCtrlAltK"/>
          <w:smallCaps w:val="0"/>
          <w:lang w:val="nl-BE"/>
        </w:rPr>
        <w:t>ker geen automatische openstelling van de verschillende pensioenstelsels naar alle werknemers zou tot stand komen.</w:t>
      </w:r>
      <w:r w:rsidR="00C84A7D" w:rsidRPr="0058444E">
        <w:rPr>
          <w:rStyle w:val="Voetnootmarkering"/>
        </w:rPr>
        <w:footnoteReference w:id="214"/>
      </w:r>
      <w:r w:rsidR="00D7513D" w:rsidRPr="0058444E">
        <w:rPr>
          <w:rStyle w:val="KleinKapitaalAuteursCtrlAltK"/>
          <w:smallCaps w:val="0"/>
          <w:lang w:val="nl-BE"/>
        </w:rPr>
        <w:t xml:space="preserve"> </w:t>
      </w:r>
    </w:p>
    <w:p w14:paraId="046AE9AA" w14:textId="580F771E" w:rsidR="00AC0889" w:rsidRPr="00B46DCD" w:rsidRDefault="00AC0889" w:rsidP="00AC0889">
      <w:pPr>
        <w:pStyle w:val="Randnummer"/>
        <w:numPr>
          <w:ilvl w:val="0"/>
          <w:numId w:val="0"/>
        </w:numPr>
        <w:spacing w:line="360" w:lineRule="auto"/>
        <w:ind w:left="357"/>
        <w:rPr>
          <w:rStyle w:val="KleinKapitaalAuteursCtrlAltK"/>
          <w:i/>
          <w:iCs/>
          <w:smallCaps w:val="0"/>
          <w:lang w:val="fr-BE"/>
        </w:rPr>
      </w:pPr>
      <w:r w:rsidRPr="004349B5">
        <w:rPr>
          <w:rStyle w:val="KleinKapitaalAuteursCtrlAltK"/>
          <w:smallCaps w:val="0"/>
          <w:lang w:val="fr-BE"/>
        </w:rPr>
        <w:t>“</w:t>
      </w:r>
      <w:r w:rsidRPr="00B46DCD">
        <w:rPr>
          <w:rStyle w:val="KleinKapitaalAuteursCtrlAltK"/>
          <w:i/>
          <w:iCs/>
          <w:smallCaps w:val="0"/>
          <w:lang w:val="fr-BE"/>
        </w:rPr>
        <w:t>Art 19. Si le champ d’application personnel d’un régime complémentaire de pension se réfère à une catégorie particulière de salariés, la présente loi ne peut pas avoir pour effet de l’étendre de plein droit à l’ensemble du personnel salarié</w:t>
      </w:r>
      <w:r w:rsidR="008B4E83">
        <w:rPr>
          <w:rStyle w:val="KleinKapitaalAuteursCtrlAltK"/>
          <w:i/>
          <w:iCs/>
          <w:smallCaps w:val="0"/>
          <w:lang w:val="fr-BE"/>
        </w:rPr>
        <w:t>.</w:t>
      </w:r>
      <w:r w:rsidR="00AD3D02">
        <w:rPr>
          <w:rStyle w:val="KleinKapitaalAuteursCtrlAltK"/>
          <w:i/>
          <w:iCs/>
          <w:smallCaps w:val="0"/>
          <w:lang w:val="fr-BE"/>
        </w:rPr>
        <w:t>»</w:t>
      </w:r>
      <w:r w:rsidRPr="00B46DCD">
        <w:rPr>
          <w:rStyle w:val="Voetnootmarkering"/>
          <w:i/>
          <w:iCs/>
          <w:lang w:val="fr-BE"/>
        </w:rPr>
        <w:footnoteReference w:id="215"/>
      </w:r>
    </w:p>
    <w:p w14:paraId="5BBE4081" w14:textId="1BE04E0B" w:rsidR="00EB3B4D" w:rsidRPr="00EB3B4D" w:rsidRDefault="00EB3B4D" w:rsidP="00EB3B4D">
      <w:pPr>
        <w:pStyle w:val="Randnummer"/>
        <w:spacing w:line="360" w:lineRule="auto"/>
        <w:rPr>
          <w:rStyle w:val="KleinKapitaalAuteursCtrlAltK"/>
          <w:i/>
          <w:iCs/>
          <w:smallCaps w:val="0"/>
          <w:lang w:val="nl-BE"/>
        </w:rPr>
      </w:pPr>
      <w:r>
        <w:rPr>
          <w:rStyle w:val="KleinKapitaalAuteursCtrlAltK"/>
        </w:rPr>
        <w:t xml:space="preserve">Artikel 19 – </w:t>
      </w:r>
      <w:r>
        <w:rPr>
          <w:rStyle w:val="KleinKapitaalAuteursCtrlAltK"/>
          <w:smallCaps w:val="0"/>
        </w:rPr>
        <w:t>Met artikel 19 heeft de Luxemburgse wetgever er expliciet voor gekozen om de aanvullende pensioenen niet automatisch open te stellen voor alle werknemers door invoering van het eenheidsstatuut. Artikel 19 van de wet van 1</w:t>
      </w:r>
      <w:r w:rsidR="008E2ABA">
        <w:rPr>
          <w:rStyle w:val="KleinKapitaalAuteursCtrlAltK"/>
          <w:smallCaps w:val="0"/>
        </w:rPr>
        <w:t xml:space="preserve">3 </w:t>
      </w:r>
      <w:r>
        <w:rPr>
          <w:rStyle w:val="KleinKapitaalAuteursCtrlAltK"/>
          <w:smallCaps w:val="0"/>
        </w:rPr>
        <w:t>mei 2008 stelt namelijk dat de uitbreiding van de personele reikwijdte van een pensioenplan niet van rechtswege gebeurt</w:t>
      </w:r>
      <w:r w:rsidR="00422040">
        <w:rPr>
          <w:rStyle w:val="KleinKapitaalAuteursCtrlAltK"/>
          <w:smallCaps w:val="0"/>
        </w:rPr>
        <w:t xml:space="preserve"> en dat er nog steeds een formele wijziging van het pensioenreglement nodig is.</w:t>
      </w:r>
      <w:r w:rsidR="00422040">
        <w:rPr>
          <w:rStyle w:val="Voetnootmarkering"/>
          <w:lang w:val="nl-NL"/>
        </w:rPr>
        <w:footnoteReference w:id="216"/>
      </w:r>
    </w:p>
    <w:p w14:paraId="6A2BC330" w14:textId="58DCC64B" w:rsidR="007E7947" w:rsidRDefault="007D0471" w:rsidP="009A73C1">
      <w:pPr>
        <w:pStyle w:val="Randnummer"/>
        <w:numPr>
          <w:ilvl w:val="0"/>
          <w:numId w:val="0"/>
        </w:numPr>
        <w:spacing w:line="360" w:lineRule="auto"/>
        <w:ind w:left="357"/>
        <w:rPr>
          <w:rStyle w:val="KleinKapitaalAuteursCtrlAltK"/>
          <w:smallCaps w:val="0"/>
          <w:lang w:val="nl-BE"/>
        </w:rPr>
      </w:pPr>
      <w:r>
        <w:rPr>
          <w:rStyle w:val="KleinKapitaalAuteursCtrlAltK"/>
          <w:smallCaps w:val="0"/>
          <w:lang w:val="nl-BE"/>
        </w:rPr>
        <w:t xml:space="preserve">Met andere woorden werden de aanvullende pensioenen zelfs expliciet uitgesloten uit het eenheidsstatuut. </w:t>
      </w:r>
      <w:r w:rsidR="00D7513D" w:rsidRPr="0058444E">
        <w:rPr>
          <w:rStyle w:val="KleinKapitaalAuteursCtrlAltK"/>
          <w:smallCaps w:val="0"/>
          <w:lang w:val="nl-BE"/>
        </w:rPr>
        <w:t>De wetgever gaf in voorbereidende werken wel aan dat een formele wijziging van de pensioenstelsels noodzakelijk zou zijn, maar dat het initiatief hiervoor aan de sociale partners toekomt op ondernemingsniveau.</w:t>
      </w:r>
      <w:r w:rsidR="00D7513D" w:rsidRPr="0058444E">
        <w:rPr>
          <w:rStyle w:val="Voetnootmarkering"/>
        </w:rPr>
        <w:footnoteReference w:id="217"/>
      </w:r>
    </w:p>
    <w:p w14:paraId="46C84930" w14:textId="099A0F50" w:rsidR="00B378C2" w:rsidRPr="00A64B65" w:rsidRDefault="00586A27" w:rsidP="0027353A">
      <w:pPr>
        <w:pStyle w:val="Randnummer"/>
        <w:spacing w:line="360" w:lineRule="auto"/>
        <w:rPr>
          <w:rStyle w:val="KleinKapitaalAuteursCtrlAltK"/>
          <w:smallCaps w:val="0"/>
          <w:lang w:val="nl-BE"/>
        </w:rPr>
      </w:pPr>
      <w:r w:rsidRPr="00586A27">
        <w:rPr>
          <w:rStyle w:val="KleinKapitaalAuteursCtrlAltK"/>
          <w:lang w:val="nl-BE"/>
        </w:rPr>
        <w:t>Ratio legis -</w:t>
      </w:r>
      <w:r>
        <w:rPr>
          <w:rStyle w:val="KleinKapitaalAuteursCtrlAltK"/>
          <w:smallCaps w:val="0"/>
          <w:lang w:val="nl-BE"/>
        </w:rPr>
        <w:t xml:space="preserve"> </w:t>
      </w:r>
      <w:r w:rsidR="00B378C2">
        <w:rPr>
          <w:rStyle w:val="KleinKapitaalAuteursCtrlAltK"/>
          <w:smallCaps w:val="0"/>
          <w:lang w:val="nl-BE"/>
        </w:rPr>
        <w:t>Het idee achter deze regeling was dat arbeiders met lage inkomens niet verplicht dienen te worden om tóch een aanvullend pensioen op te bouwen, tegen hun wil in.</w:t>
      </w:r>
      <w:r w:rsidR="00942148">
        <w:rPr>
          <w:rStyle w:val="Voetnootmarkering"/>
        </w:rPr>
        <w:footnoteReference w:id="218"/>
      </w:r>
      <w:r w:rsidR="00133DD0">
        <w:rPr>
          <w:rStyle w:val="KleinKapitaalAuteursCtrlAltK"/>
          <w:smallCaps w:val="0"/>
          <w:lang w:val="nl-BE"/>
        </w:rPr>
        <w:t xml:space="preserve"> </w:t>
      </w:r>
      <w:r>
        <w:rPr>
          <w:rStyle w:val="KleinKapitaalAuteursCtrlAltK"/>
          <w:smallCaps w:val="0"/>
          <w:lang w:val="nl-BE"/>
        </w:rPr>
        <w:t>Het wetsvoorstel verklaart dat een automatische uitbreiding van het aanvullend pensioenplan niet mogelijk is vanwege het systeem van financiering do</w:t>
      </w:r>
      <w:r w:rsidR="00094EEC">
        <w:rPr>
          <w:rStyle w:val="KleinKapitaalAuteursCtrlAltK"/>
          <w:smallCaps w:val="0"/>
          <w:lang w:val="nl-BE"/>
        </w:rPr>
        <w:t>o</w:t>
      </w:r>
      <w:r>
        <w:rPr>
          <w:rStyle w:val="KleinKapitaalAuteursCtrlAltK"/>
          <w:smallCaps w:val="0"/>
          <w:lang w:val="nl-BE"/>
        </w:rPr>
        <w:t>r kapitalisatie.</w:t>
      </w:r>
      <w:r>
        <w:rPr>
          <w:rStyle w:val="Voetnootmarkering"/>
        </w:rPr>
        <w:footnoteReference w:id="219"/>
      </w:r>
      <w:r w:rsidR="0027353A">
        <w:rPr>
          <w:rStyle w:val="KleinKapitaalAuteursCtrlAltK"/>
          <w:smallCaps w:val="0"/>
          <w:lang w:val="nl-BE"/>
        </w:rPr>
        <w:t xml:space="preserve"> Hiermee wilde de wetgever voorkomen dat er onmiddellijk verworven re</w:t>
      </w:r>
      <w:r w:rsidR="0027353A" w:rsidRPr="00A64B65">
        <w:rPr>
          <w:rStyle w:val="KleinKapitaalAuteursCtrlAltK"/>
          <w:smallCaps w:val="0"/>
          <w:lang w:val="nl-BE"/>
        </w:rPr>
        <w:t>chten zouden ontstaan voor personen voor wie nog geen voorzieningen noch bijdragen waren opgebouwd.</w:t>
      </w:r>
    </w:p>
    <w:p w14:paraId="281DC7B3" w14:textId="5FA63D1E" w:rsidR="00B01084" w:rsidRDefault="00B01084" w:rsidP="00B01084">
      <w:pPr>
        <w:pStyle w:val="Randnummer"/>
        <w:numPr>
          <w:ilvl w:val="0"/>
          <w:numId w:val="0"/>
        </w:numPr>
        <w:spacing w:line="360" w:lineRule="auto"/>
        <w:ind w:left="357"/>
        <w:rPr>
          <w:rStyle w:val="KleinKapitaalAuteursCtrlAltK"/>
          <w:smallCaps w:val="0"/>
          <w:lang w:val="nl-BE"/>
        </w:rPr>
      </w:pPr>
      <w:r w:rsidRPr="00A64B65">
        <w:rPr>
          <w:rStyle w:val="KleinKapitaalAuteursCtrlAltK"/>
          <w:smallCaps w:val="0"/>
          <w:lang w:val="nl-BE"/>
        </w:rPr>
        <w:t>Om de nodige aanpassingen via sociaal overleg te vereenvoudigen versoepelde de wet de verplichte aansluiting.</w:t>
      </w:r>
      <w:r w:rsidRPr="00A64B65">
        <w:rPr>
          <w:rStyle w:val="Voetnootmarkering"/>
        </w:rPr>
        <w:footnoteReference w:id="220"/>
      </w:r>
      <w:r w:rsidR="00F9314E" w:rsidRPr="00A64B65">
        <w:rPr>
          <w:rStyle w:val="KleinKapitaalAuteursCtrlAltK"/>
          <w:smallCaps w:val="0"/>
          <w:lang w:val="nl-BE"/>
        </w:rPr>
        <w:t xml:space="preserve"> De oude regeling, waarbij er geen toegelaten onderscheid bestond tussen bestaande en nieuwe aansluitingen, zorgde er namelijk voor dat er een rem stond op de grondige hervorming van pensioenplannen.</w:t>
      </w:r>
      <w:r w:rsidR="00F9314E" w:rsidRPr="00A64B65">
        <w:rPr>
          <w:rStyle w:val="Voetnootmarkering"/>
        </w:rPr>
        <w:footnoteReference w:id="221"/>
      </w:r>
      <w:r w:rsidR="005A54B5" w:rsidRPr="00A64B65">
        <w:rPr>
          <w:rStyle w:val="KleinKapitaalAuteursCtrlAltK"/>
          <w:smallCaps w:val="0"/>
          <w:lang w:val="nl-BE"/>
        </w:rPr>
        <w:t xml:space="preserve"> Dit houdt dus in dat bestaande </w:t>
      </w:r>
      <w:r w:rsidR="005A54B5" w:rsidRPr="0058444E">
        <w:rPr>
          <w:rStyle w:val="KleinKapitaalAuteursCtrlAltK"/>
          <w:smallCaps w:val="0"/>
          <w:lang w:val="nl-BE"/>
        </w:rPr>
        <w:t>aangeslotenen tot een pensioenstelsel niet verplicht worden om over te stappen naar de nieuwe pensioentoezegging in bepaalde gevallen, afhankelijk van wat de werkgever kiest.</w:t>
      </w:r>
      <w:r w:rsidR="005A54B5" w:rsidRPr="0058444E">
        <w:rPr>
          <w:rStyle w:val="Voetnootmarkering"/>
        </w:rPr>
        <w:footnoteReference w:id="222"/>
      </w:r>
      <w:r w:rsidR="00C74CA0">
        <w:rPr>
          <w:rStyle w:val="KleinKapitaalAuteursCtrlAltK"/>
          <w:smallCaps w:val="0"/>
          <w:lang w:val="nl-BE"/>
        </w:rPr>
        <w:t xml:space="preserve"> Het zal dus de werkgever zijn die alle touwtjes in handen heeft en bijgevolg zal bepalen of de vroegere aangeslotenen verplicht overstappen naar het nieuwe plan al dan niet.</w:t>
      </w:r>
      <w:r w:rsidR="00C74CA0">
        <w:rPr>
          <w:rStyle w:val="Voetnootmarkering"/>
        </w:rPr>
        <w:footnoteReference w:id="223"/>
      </w:r>
    </w:p>
    <w:p w14:paraId="7DE5F116" w14:textId="32FBEB84" w:rsidR="0027353A" w:rsidRDefault="0027353A" w:rsidP="00B01084">
      <w:pPr>
        <w:pStyle w:val="Randnummer"/>
        <w:numPr>
          <w:ilvl w:val="0"/>
          <w:numId w:val="0"/>
        </w:numPr>
        <w:spacing w:line="360" w:lineRule="auto"/>
        <w:ind w:left="357"/>
        <w:rPr>
          <w:rStyle w:val="KleinKapitaalAuteursCtrlAltK"/>
          <w:smallCaps w:val="0"/>
          <w:lang w:val="nl-BE"/>
        </w:rPr>
      </w:pPr>
      <w:r>
        <w:rPr>
          <w:rStyle w:val="KleinKapitaalAuteursCtrlAltK"/>
          <w:smallCaps w:val="0"/>
          <w:lang w:val="nl-BE"/>
        </w:rPr>
        <w:t>Waar België wordt gekenmerkt door een wettelijke verplichting tot harmonisering, kent men in Luxemburg de vrijheid om de aanpassingen van de pensioenplannen te onderzoeken binnen het kader van de sociale dialoog op ondernemingsniveau.</w:t>
      </w:r>
      <w:r w:rsidR="002C62DE">
        <w:rPr>
          <w:rStyle w:val="Voetnootmarkering"/>
        </w:rPr>
        <w:footnoteReference w:id="224"/>
      </w:r>
    </w:p>
    <w:p w14:paraId="79F220AF" w14:textId="764A29C1" w:rsidR="00AC0889" w:rsidRPr="00E23DDA" w:rsidRDefault="00CE2678" w:rsidP="00693D2B">
      <w:pPr>
        <w:pStyle w:val="Randnummer"/>
        <w:spacing w:line="360" w:lineRule="auto"/>
        <w:rPr>
          <w:rStyle w:val="KleinKapitaalAuteursCtrlAltK"/>
          <w:smallCaps w:val="0"/>
          <w:lang w:val="nl-BE"/>
        </w:rPr>
      </w:pPr>
      <w:r>
        <w:rPr>
          <w:rStyle w:val="KleinKapitaalAuteursCtrlAltK"/>
        </w:rPr>
        <w:t>Weigeringsrecht voor iedereen? -</w:t>
      </w:r>
      <w:r w:rsidR="00094EEC">
        <w:rPr>
          <w:rStyle w:val="KleinKapitaalAuteursCtrlAltK"/>
        </w:rPr>
        <w:t xml:space="preserve"> </w:t>
      </w:r>
      <w:r w:rsidR="003F33A0">
        <w:rPr>
          <w:rStyle w:val="KleinKapitaalAuteursCtrlAltK"/>
          <w:smallCaps w:val="0"/>
        </w:rPr>
        <w:t>Het speciaal weigeringsrecht zoals wij het kennen in België bestaat in Luxemburg dus ook, maar dan veel uitgebreider en zonder dat het enig verband moet hebben met het eenheidsstatuut tussen arbeiders en bedienden.</w:t>
      </w:r>
      <w:r w:rsidR="009C5BCC">
        <w:rPr>
          <w:rStyle w:val="Voetnootmarkering"/>
          <w:lang w:val="nl-NL"/>
        </w:rPr>
        <w:footnoteReference w:id="225"/>
      </w:r>
    </w:p>
    <w:p w14:paraId="4C94E08A" w14:textId="4E0BA11C" w:rsidR="00E23DDA" w:rsidRPr="008E2ABA" w:rsidRDefault="00E23DDA" w:rsidP="00693D2B">
      <w:pPr>
        <w:pStyle w:val="Randnummer"/>
        <w:spacing w:line="360" w:lineRule="auto"/>
        <w:rPr>
          <w:rStyle w:val="KleinKapitaalAuteursCtrlAltK"/>
          <w:smallCaps w:val="0"/>
          <w:lang w:val="nl-BE"/>
        </w:rPr>
      </w:pPr>
      <w:r>
        <w:rPr>
          <w:rStyle w:val="KleinKapitaalAuteursCtrlAltK"/>
        </w:rPr>
        <w:t xml:space="preserve">Institutionele harmonisatie van de pensioenkassen – </w:t>
      </w:r>
      <w:r>
        <w:rPr>
          <w:rStyle w:val="KleinKapitaalAuteursCtrlAltK"/>
          <w:smallCaps w:val="0"/>
        </w:rPr>
        <w:t>Hoewel uit voorgaande randnummers blijkt dat de aanvullende pensioenen grotendeels overgelaten werden aan de sociale partners, kunnen we uit het wetsvoorstel</w:t>
      </w:r>
      <w:r w:rsidR="007F764A">
        <w:rPr>
          <w:rStyle w:val="Voetnootmarkering"/>
          <w:lang w:val="nl-NL"/>
        </w:rPr>
        <w:footnoteReference w:id="226"/>
      </w:r>
      <w:r>
        <w:rPr>
          <w:rStyle w:val="KleinKapitaalAuteursCtrlAltK"/>
          <w:smallCaps w:val="0"/>
        </w:rPr>
        <w:t xml:space="preserve"> concluderen dat Luxemburg op het vlak van de wettelijke pensioenen zeer ver ging in haar harmonisatie</w:t>
      </w:r>
      <w:r w:rsidR="00152E41">
        <w:rPr>
          <w:rStyle w:val="KleinKapitaalAuteursCtrlAltK"/>
          <w:smallCaps w:val="0"/>
        </w:rPr>
        <w:t xml:space="preserve">. Zo regelt het wetsvoorstel de fusie van de vier bestaande pensioenkassen van de algemene regeling tot één enkel instantie de </w:t>
      </w:r>
      <w:r w:rsidR="00152E41" w:rsidRPr="004A6BF5">
        <w:rPr>
          <w:rStyle w:val="KleinKapitaalAuteursCtrlAltK"/>
          <w:i/>
          <w:iCs/>
          <w:smallCaps w:val="0"/>
        </w:rPr>
        <w:t>Caisse nationale d’assurance pension</w:t>
      </w:r>
      <w:r w:rsidR="00152E41">
        <w:rPr>
          <w:rStyle w:val="KleinKapitaalAuteursCtrlAltK"/>
          <w:smallCaps w:val="0"/>
        </w:rPr>
        <w:t xml:space="preserve">. Daarnaast beschrijft ze ook de oprichting van het </w:t>
      </w:r>
      <w:r w:rsidR="00152E41" w:rsidRPr="004A6BF5">
        <w:rPr>
          <w:rStyle w:val="KleinKapitaalAuteursCtrlAltK"/>
          <w:i/>
          <w:iCs/>
          <w:smallCaps w:val="0"/>
        </w:rPr>
        <w:t>Fonds de compensation</w:t>
      </w:r>
      <w:r w:rsidR="00152E41">
        <w:rPr>
          <w:rStyle w:val="KleinKapitaalAuteursCtrlAltK"/>
          <w:smallCaps w:val="0"/>
        </w:rPr>
        <w:t>, dat later verantwoordelijk zou worden voor het gemeenschappelijk beheer van de reserves van de verschillende pensioensystemen.</w:t>
      </w:r>
      <w:r w:rsidR="00D71321">
        <w:rPr>
          <w:rStyle w:val="Voetnootmarkering"/>
          <w:lang w:val="nl-NL"/>
        </w:rPr>
        <w:footnoteReference w:id="227"/>
      </w:r>
    </w:p>
    <w:p w14:paraId="5B85386D" w14:textId="4EA2AE1E" w:rsidR="006018CD" w:rsidRPr="006018CD" w:rsidRDefault="008E2ABA" w:rsidP="006018CD">
      <w:pPr>
        <w:pStyle w:val="Randnummer"/>
        <w:spacing w:line="360" w:lineRule="auto"/>
        <w:rPr>
          <w:rStyle w:val="KleinKapitaalAuteursCtrlAltK"/>
          <w:smallCaps w:val="0"/>
          <w:lang w:val="nl-BE"/>
        </w:rPr>
      </w:pPr>
      <w:r w:rsidRPr="008E2ABA">
        <w:rPr>
          <w:rStyle w:val="KleinKapitaalAuteursCtrlAltK"/>
          <w:lang w:val="nl-BE"/>
        </w:rPr>
        <w:t xml:space="preserve">De Luxemburgse paradox – </w:t>
      </w:r>
      <w:r w:rsidRPr="008E2ABA">
        <w:rPr>
          <w:rStyle w:val="KleinKapitaalAuteursCtrlAltK"/>
          <w:smallCaps w:val="0"/>
          <w:lang w:val="nl-BE"/>
        </w:rPr>
        <w:t>Hoewel Luxemburg op institutioneel niveau een radicale eenmaking heeft doorgevoerd met haar L</w:t>
      </w:r>
      <w:r w:rsidRPr="00C16CCB">
        <w:rPr>
          <w:rStyle w:val="KleinKapitaalAuteursCtrlAltK"/>
          <w:i/>
          <w:iCs/>
          <w:smallCaps w:val="0"/>
          <w:lang w:val="nl-BE"/>
        </w:rPr>
        <w:t>oi du 13 mai portant introduction d’un statut unique pour les salariés du secteur privé</w:t>
      </w:r>
      <w:r w:rsidRPr="008E2ABA">
        <w:rPr>
          <w:rStyle w:val="KleinKapitaalAuteursCtrlAltK"/>
          <w:smallCaps w:val="0"/>
          <w:lang w:val="nl-BE"/>
        </w:rPr>
        <w:t>, bleven de aan</w:t>
      </w:r>
      <w:r>
        <w:rPr>
          <w:rStyle w:val="KleinKapitaalAuteursCtrlAltK"/>
          <w:smallCaps w:val="0"/>
          <w:lang w:val="nl-BE"/>
        </w:rPr>
        <w:t>vullende pensioenen hierbij in de kou staan.</w:t>
      </w:r>
    </w:p>
    <w:p w14:paraId="3F70FCB2" w14:textId="6C9B162C" w:rsidR="008E2ABA" w:rsidRPr="008E2ABA" w:rsidRDefault="009B4344" w:rsidP="008E2ABA">
      <w:pPr>
        <w:pStyle w:val="Kop3"/>
        <w:rPr>
          <w:rStyle w:val="KleinKapitaalAuteursCtrlAltK"/>
          <w:smallCaps/>
          <w:lang w:val="nl-BE"/>
        </w:rPr>
      </w:pPr>
      <w:bookmarkStart w:id="92" w:name="_Toc228784128"/>
      <w:r w:rsidRPr="0058444E">
        <w:t xml:space="preserve">Afdeling III. </w:t>
      </w:r>
      <w:r w:rsidR="005927B0" w:rsidRPr="0058444E">
        <w:t>Concluderende analyse</w:t>
      </w:r>
      <w:bookmarkEnd w:id="92"/>
    </w:p>
    <w:p w14:paraId="700C637B" w14:textId="4F5CF947" w:rsidR="009B4344" w:rsidRPr="0058444E" w:rsidRDefault="005927B0" w:rsidP="00DE26EC">
      <w:pPr>
        <w:pStyle w:val="Randnummer"/>
        <w:spacing w:line="360" w:lineRule="auto"/>
        <w:rPr>
          <w:rStyle w:val="KleinKapitaalAuteursCtrlAltK"/>
          <w:smallCaps w:val="0"/>
          <w:lang w:val="nl-BE"/>
        </w:rPr>
      </w:pPr>
      <w:r w:rsidRPr="0058444E">
        <w:rPr>
          <w:rStyle w:val="KleinKapitaalAuteursCtrlAltK"/>
          <w:lang w:val="nl-BE"/>
        </w:rPr>
        <w:t xml:space="preserve">Harmonisatieweg – </w:t>
      </w:r>
      <w:r w:rsidRPr="0058444E">
        <w:rPr>
          <w:rStyle w:val="KleinKapitaalAuteursCtrlAltK"/>
          <w:smallCaps w:val="0"/>
          <w:lang w:val="nl-BE"/>
        </w:rPr>
        <w:t xml:space="preserve">Uit voorgaande afdelingen kan </w:t>
      </w:r>
      <w:r w:rsidR="00AD30EA">
        <w:rPr>
          <w:rStyle w:val="KleinKapitaalAuteursCtrlAltK"/>
          <w:smallCaps w:val="0"/>
          <w:lang w:val="nl-BE"/>
        </w:rPr>
        <w:t>besloten worden</w:t>
      </w:r>
      <w:r w:rsidRPr="0058444E">
        <w:rPr>
          <w:rStyle w:val="KleinKapitaalAuteursCtrlAltK"/>
          <w:smallCaps w:val="0"/>
          <w:lang w:val="nl-BE"/>
        </w:rPr>
        <w:t xml:space="preserve"> dat Luxemburg een ander harmonisatie</w:t>
      </w:r>
      <w:r w:rsidR="006074E3">
        <w:rPr>
          <w:rStyle w:val="KleinKapitaalAuteursCtrlAltK"/>
          <w:smallCaps w:val="0"/>
          <w:lang w:val="nl-BE"/>
        </w:rPr>
        <w:t xml:space="preserve">pad </w:t>
      </w:r>
      <w:r w:rsidRPr="0058444E">
        <w:rPr>
          <w:rStyle w:val="KleinKapitaalAuteursCtrlAltK"/>
          <w:smallCaps w:val="0"/>
          <w:lang w:val="nl-BE"/>
        </w:rPr>
        <w:t xml:space="preserve">heeft </w:t>
      </w:r>
      <w:r w:rsidR="006074E3">
        <w:rPr>
          <w:rStyle w:val="KleinKapitaalAuteursCtrlAltK"/>
          <w:smallCaps w:val="0"/>
          <w:lang w:val="nl-BE"/>
        </w:rPr>
        <w:t>bewandeld</w:t>
      </w:r>
      <w:r w:rsidRPr="0058444E">
        <w:rPr>
          <w:rStyle w:val="KleinKapitaalAuteursCtrlAltK"/>
          <w:smallCaps w:val="0"/>
          <w:lang w:val="nl-BE"/>
        </w:rPr>
        <w:t xml:space="preserve"> dan België. In België dienen de sociale partners namelijk het wettelijk kader te allen tijde te respecteren, waardoor hier geen nieuwe verschillen tussen arbeiders en bedienden meer kunnen ingevoerd worden in het pensioenstelsel.</w:t>
      </w:r>
      <w:r w:rsidRPr="0058444E">
        <w:rPr>
          <w:rStyle w:val="Voetnootmarkering"/>
        </w:rPr>
        <w:footnoteReference w:id="228"/>
      </w:r>
      <w:r w:rsidR="00921937">
        <w:rPr>
          <w:rStyle w:val="KleinKapitaalAuteursCtrlAltK"/>
          <w:smallCaps w:val="0"/>
          <w:lang w:val="nl-BE"/>
        </w:rPr>
        <w:t xml:space="preserve"> In Luxemburg daarentegen is het vertrouwen in de sociale partners heel wat groter aangezien zij zich niet aan strikte regels dienen te houden. </w:t>
      </w:r>
      <w:r w:rsidR="00DF36D2">
        <w:rPr>
          <w:rStyle w:val="KleinKapitaalAuteursCtrlAltK"/>
          <w:smallCaps w:val="0"/>
          <w:lang w:val="nl-BE"/>
        </w:rPr>
        <w:t>Er werd in het wetsvoorstel van 2007 uitdrukkelijk erken</w:t>
      </w:r>
      <w:r w:rsidR="00BD524E">
        <w:rPr>
          <w:rStyle w:val="KleinKapitaalAuteursCtrlAltK"/>
          <w:smallCaps w:val="0"/>
          <w:lang w:val="nl-BE"/>
        </w:rPr>
        <w:t>d</w:t>
      </w:r>
      <w:r w:rsidR="00DF36D2">
        <w:rPr>
          <w:rStyle w:val="KleinKapitaalAuteursCtrlAltK"/>
          <w:smallCaps w:val="0"/>
          <w:lang w:val="nl-BE"/>
        </w:rPr>
        <w:t xml:space="preserve"> dat de aanvullende pensioenen een onderdeel vormden van de hervorming, maar de inhoudelijke ingreep bleek opvallend beperkt. </w:t>
      </w:r>
    </w:p>
    <w:p w14:paraId="65684B6B" w14:textId="3D8EABA8" w:rsidR="005927B0" w:rsidRPr="0058444E" w:rsidRDefault="005927B0" w:rsidP="00DE26EC">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Daarenboven werd er in Luxemburg geen deadline, noch een streefdatum opgelegd om deze harmonisatie te verwezenlijken. Het is hier dus ook mogelijk dat er zich een nieuw pensioenplan voor enkel arbeiders of enkel bedienden ontwikkelt gezien er voor de sociale partners geen spelregels werden opgelegd.</w:t>
      </w:r>
      <w:r w:rsidR="00023CDE">
        <w:rPr>
          <w:rStyle w:val="Voetnootmarkering"/>
        </w:rPr>
        <w:footnoteReference w:id="229"/>
      </w:r>
    </w:p>
    <w:p w14:paraId="61C8131C" w14:textId="17BF90D5" w:rsidR="000A764A" w:rsidRPr="0058444E" w:rsidRDefault="000A764A" w:rsidP="000A764A">
      <w:pPr>
        <w:pStyle w:val="Randnummer"/>
        <w:spacing w:line="360" w:lineRule="auto"/>
        <w:rPr>
          <w:rStyle w:val="KleinKapitaalAuteursCtrlAltK"/>
          <w:smallCaps w:val="0"/>
          <w:lang w:val="nl-BE"/>
        </w:rPr>
      </w:pPr>
      <w:r w:rsidRPr="0058444E">
        <w:rPr>
          <w:rStyle w:val="KleinKapitaalAuteursCtrlAltK"/>
          <w:lang w:val="nl-BE"/>
        </w:rPr>
        <w:t xml:space="preserve">Gelijkheid – </w:t>
      </w:r>
      <w:r w:rsidRPr="0058444E">
        <w:rPr>
          <w:rStyle w:val="KleinKapitaalAuteursCtrlAltK"/>
          <w:smallCaps w:val="0"/>
          <w:lang w:val="nl-BE"/>
        </w:rPr>
        <w:t>Hieruit kan afgeleid worden dat de gelijkheid tussen arbeiders en bedienden in aanvullende pensioenen geen prioriteit krijgt in Luxemburg</w:t>
      </w:r>
      <w:r w:rsidR="00DE26EC" w:rsidRPr="0058444E">
        <w:rPr>
          <w:rStyle w:val="KleinKapitaalAuteursCtrlAltK"/>
          <w:smallCaps w:val="0"/>
          <w:lang w:val="nl-BE"/>
        </w:rPr>
        <w:t xml:space="preserve"> zoals in België</w:t>
      </w:r>
      <w:r w:rsidRPr="0058444E">
        <w:rPr>
          <w:rStyle w:val="KleinKapitaalAuteursCtrlAltK"/>
          <w:smallCaps w:val="0"/>
          <w:lang w:val="nl-BE"/>
        </w:rPr>
        <w:t>. De vrijblijvendheid waarmee wordt omgegaan met de harmonisering van aanvullende pensioenen geeft zelfs blijk van goedgelovigheid</w:t>
      </w:r>
      <w:r w:rsidR="001E2092">
        <w:rPr>
          <w:rStyle w:val="KleinKapitaalAuteursCtrlAltK"/>
          <w:smallCaps w:val="0"/>
          <w:lang w:val="nl-BE"/>
        </w:rPr>
        <w:t>,</w:t>
      </w:r>
      <w:r w:rsidRPr="0058444E">
        <w:rPr>
          <w:rStyle w:val="KleinKapitaalAuteursCtrlAltK"/>
          <w:smallCaps w:val="0"/>
          <w:lang w:val="nl-BE"/>
        </w:rPr>
        <w:t xml:space="preserve"> gezien het</w:t>
      </w:r>
      <w:r w:rsidR="001E2092">
        <w:rPr>
          <w:rStyle w:val="KleinKapitaalAuteursCtrlAltK"/>
          <w:smallCaps w:val="0"/>
          <w:lang w:val="nl-BE"/>
        </w:rPr>
        <w:t xml:space="preserve"> feit dat het</w:t>
      </w:r>
      <w:r w:rsidRPr="0058444E">
        <w:rPr>
          <w:rStyle w:val="KleinKapitaalAuteursCtrlAltK"/>
          <w:smallCaps w:val="0"/>
          <w:lang w:val="nl-BE"/>
        </w:rPr>
        <w:t xml:space="preserve"> in België al moeilijk blijkt om </w:t>
      </w:r>
      <w:r w:rsidR="001E2092">
        <w:rPr>
          <w:rStyle w:val="KleinKapitaalAuteursCtrlAltK"/>
          <w:smallCaps w:val="0"/>
          <w:lang w:val="nl-BE"/>
        </w:rPr>
        <w:t>tot dit soort</w:t>
      </w:r>
      <w:r w:rsidRPr="0058444E">
        <w:rPr>
          <w:rStyle w:val="KleinKapitaalAuteursCtrlAltK"/>
          <w:smallCaps w:val="0"/>
          <w:lang w:val="nl-BE"/>
        </w:rPr>
        <w:t xml:space="preserve"> harmonisering </w:t>
      </w:r>
      <w:r w:rsidR="001E2092">
        <w:rPr>
          <w:rStyle w:val="KleinKapitaalAuteursCtrlAltK"/>
          <w:smallCaps w:val="0"/>
          <w:lang w:val="nl-BE"/>
        </w:rPr>
        <w:t>te komen , zelfs wanneer er een duidelijk wetgevend kader voorhanden is</w:t>
      </w:r>
      <w:r w:rsidRPr="0058444E">
        <w:rPr>
          <w:rStyle w:val="KleinKapitaalAuteursCtrlAltK"/>
          <w:smallCaps w:val="0"/>
          <w:lang w:val="nl-BE"/>
        </w:rPr>
        <w:t>.</w:t>
      </w:r>
      <w:r w:rsidR="00DE26EC" w:rsidRPr="0058444E">
        <w:rPr>
          <w:rStyle w:val="Voetnootmarkering"/>
        </w:rPr>
        <w:footnoteReference w:id="230"/>
      </w:r>
      <w:r w:rsidR="00770155">
        <w:rPr>
          <w:rStyle w:val="KleinKapitaalAuteursCtrlAltK"/>
          <w:smallCaps w:val="0"/>
          <w:lang w:val="nl-BE"/>
        </w:rPr>
        <w:t xml:space="preserve"> In Luxemburg krijgt de sociale inspectie zelfs niet de opdracht opgelegd tot begeleiding van de harmonisatie.</w:t>
      </w:r>
    </w:p>
    <w:p w14:paraId="38AC6CE3" w14:textId="6C518595" w:rsidR="000A3F03" w:rsidRDefault="000A3F03" w:rsidP="000A3F03">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Er kan dus worden geconcludeerd dat ook in Luxemburg het gelijkheidsbeginsel tussen arbeiders en bedienden nog wordt geschonden op het vlak van de aanvullende pensioenen. Hierdoor is het weinig zinvol om verder te gaan kijken naar de structurering van de aanvullende pensioenen in Luxemburg gezien ook zij er tot op vandaag nog niet in geslaagd zijn om een harmonisatie te bereiken</w:t>
      </w:r>
      <w:r w:rsidR="00270EB6" w:rsidRPr="0058444E">
        <w:rPr>
          <w:rStyle w:val="KleinKapitaalAuteursCtrlAltK"/>
          <w:smallCaps w:val="0"/>
          <w:lang w:val="nl-BE"/>
        </w:rPr>
        <w:t xml:space="preserve"> en het er ook niet naar uit ziet dat dit zich in de nabije toekomst zal voltrekken</w:t>
      </w:r>
      <w:r w:rsidR="00CB2208" w:rsidRPr="0058444E">
        <w:rPr>
          <w:rStyle w:val="KleinKapitaalAuteursCtrlAltK"/>
          <w:smallCaps w:val="0"/>
          <w:lang w:val="nl-BE"/>
        </w:rPr>
        <w:t>.</w:t>
      </w:r>
    </w:p>
    <w:p w14:paraId="0DF29916" w14:textId="151CBDEB" w:rsidR="004C2312" w:rsidRPr="00AC28B5" w:rsidRDefault="00770155" w:rsidP="00AC28B5">
      <w:pPr>
        <w:pStyle w:val="Randnummer"/>
        <w:spacing w:line="360" w:lineRule="auto"/>
        <w:rPr>
          <w:rStyle w:val="KleinKapitaalAuteursCtrlAltK"/>
          <w:smallCaps w:val="0"/>
          <w:lang w:val="nl-BE"/>
        </w:rPr>
      </w:pPr>
      <w:r>
        <w:rPr>
          <w:rStyle w:val="KleinKapitaalAuteursCtrlAltK"/>
          <w:lang w:val="nl-BE"/>
        </w:rPr>
        <w:t xml:space="preserve">Besluit – </w:t>
      </w:r>
      <w:r>
        <w:rPr>
          <w:rStyle w:val="KleinKapitaalAuteursCtrlAltK"/>
          <w:smallCaps w:val="0"/>
          <w:lang w:val="nl-BE"/>
        </w:rPr>
        <w:t xml:space="preserve">Het valt </w:t>
      </w:r>
      <w:r w:rsidR="007538F6">
        <w:rPr>
          <w:rStyle w:val="KleinKapitaalAuteursCtrlAltK"/>
          <w:smallCaps w:val="0"/>
          <w:lang w:val="nl-BE"/>
        </w:rPr>
        <w:t>naar mijn mening</w:t>
      </w:r>
      <w:r w:rsidR="003D7FE3">
        <w:rPr>
          <w:rStyle w:val="KleinKapitaalAuteursCtrlAltK"/>
          <w:smallCaps w:val="0"/>
          <w:lang w:val="nl-BE"/>
        </w:rPr>
        <w:t xml:space="preserve"> </w:t>
      </w:r>
      <w:r>
        <w:rPr>
          <w:rStyle w:val="KleinKapitaalAuteursCtrlAltK"/>
          <w:smallCaps w:val="0"/>
          <w:lang w:val="nl-BE"/>
        </w:rPr>
        <w:t xml:space="preserve">te betreuren dat Luxemburg heeft gekozen voor een grote vrijblijvendheid in de harmonisatie van de aanvullende pensioenen. Zelfs als er veel wetgevende maatregelen worden getroffen om de sociale partners aan te zetten tot overleg blijkt het aan de hand van het Belgisch voorbeeld al dat het niet eenvoudig is om een harmonisatie te bekomen. </w:t>
      </w:r>
      <w:r w:rsidR="00693D2B">
        <w:rPr>
          <w:rStyle w:val="KleinKapitaalAuteursCtrlAltK"/>
          <w:smallCaps w:val="0"/>
          <w:lang w:val="nl-BE"/>
        </w:rPr>
        <w:t>Een pensioenformule dat gebaseerd wordt op het loon, zonder enige opdeling tussen arbeiders en bedienden, zou een veel accurater instrument zijn om de aanvullende pensioenen te regelen in Luxemburg.</w:t>
      </w:r>
      <w:r w:rsidR="00AC28B5">
        <w:rPr>
          <w:rStyle w:val="KleinKapitaalAuteursCtrlAltK"/>
          <w:smallCaps w:val="0"/>
          <w:lang w:val="nl-BE"/>
        </w:rPr>
        <w:br w:type="page"/>
      </w:r>
    </w:p>
    <w:p w14:paraId="2DDF7596" w14:textId="31367A68" w:rsidR="00A7560B" w:rsidRDefault="00C16CCB" w:rsidP="00A7560B">
      <w:pPr>
        <w:pStyle w:val="Kop2"/>
      </w:pPr>
      <w:bookmarkStart w:id="93" w:name="_Toc228784129"/>
      <w:r>
        <w:t>Nederland</w:t>
      </w:r>
      <w:bookmarkEnd w:id="93"/>
    </w:p>
    <w:p w14:paraId="05A12936" w14:textId="44CA77CC" w:rsidR="00CC442E" w:rsidRPr="00CC442E" w:rsidRDefault="00CC442E" w:rsidP="00CC442E">
      <w:pPr>
        <w:pStyle w:val="Randnummer"/>
        <w:spacing w:line="360" w:lineRule="auto"/>
      </w:pPr>
      <w:r>
        <w:rPr>
          <w:rStyle w:val="KleinKapitaalAuteursCtrlAltK"/>
          <w:lang w:val="nl-BE"/>
        </w:rPr>
        <w:t xml:space="preserve">Solidariteit als uitgangspunt - </w:t>
      </w:r>
      <w:r>
        <w:t xml:space="preserve">Waar de analyses voor Luxemburg en Duitsland voornamelijk focussen op het wegwerken van de statutaire verschillen tussen arbeiders en bedienden, kent Nederland een solidariteitssysteem dat het onderscheid tussen arbeiders en bedienden vrijwel volledig overstijgt. </w:t>
      </w:r>
    </w:p>
    <w:p w14:paraId="3550F94E" w14:textId="47F86429" w:rsidR="00A7560B" w:rsidRDefault="00A7560B" w:rsidP="00A7560B">
      <w:pPr>
        <w:pStyle w:val="Kop3"/>
      </w:pPr>
      <w:bookmarkStart w:id="94" w:name="_Toc228784130"/>
      <w:r w:rsidRPr="0058444E">
        <w:t xml:space="preserve">Afdeling I. </w:t>
      </w:r>
      <w:r w:rsidR="008431E9">
        <w:t>Ontwikkeling van de tweede pijler</w:t>
      </w:r>
      <w:bookmarkEnd w:id="94"/>
    </w:p>
    <w:p w14:paraId="35B1CB4B" w14:textId="55847367" w:rsidR="00925F10" w:rsidRDefault="00832A37" w:rsidP="0007775F">
      <w:pPr>
        <w:pStyle w:val="Randnummer"/>
        <w:spacing w:line="360" w:lineRule="auto"/>
        <w:rPr>
          <w:rStyle w:val="KleinKapitaalAuteursCtrlAltK"/>
          <w:smallCaps w:val="0"/>
          <w:lang w:val="nl-BE"/>
        </w:rPr>
      </w:pPr>
      <w:r w:rsidRPr="0058444E">
        <w:rPr>
          <w:rStyle w:val="KleinKapitaalAuteursCtrlAltK"/>
          <w:lang w:val="nl-BE"/>
        </w:rPr>
        <w:t>Beste pensioenstelsel ter wereld –</w:t>
      </w:r>
      <w:r w:rsidRPr="0058444E">
        <w:rPr>
          <w:rStyle w:val="KleinKapitaalAuteursCtrlAltK"/>
          <w:smallCaps w:val="0"/>
          <w:lang w:val="nl-BE"/>
        </w:rPr>
        <w:t xml:space="preserve"> Het Nederlandse pensioenstelsel werd volgen</w:t>
      </w:r>
      <w:r w:rsidR="00C0081D">
        <w:rPr>
          <w:rStyle w:val="KleinKapitaalAuteursCtrlAltK"/>
          <w:smallCaps w:val="0"/>
          <w:lang w:val="nl-BE"/>
        </w:rPr>
        <w:t>s</w:t>
      </w:r>
      <w:r w:rsidRPr="0058444E">
        <w:rPr>
          <w:rStyle w:val="KleinKapitaalAuteursCtrlAltK"/>
          <w:smallCaps w:val="0"/>
          <w:lang w:val="nl-BE"/>
        </w:rPr>
        <w:t xml:space="preserve"> periodiek internationaal Australisch onderzoek in 2018 het beste pensioenstelsel ter wereld genoemd.</w:t>
      </w:r>
      <w:r w:rsidRPr="0058444E">
        <w:rPr>
          <w:rStyle w:val="Voetnootmarkering"/>
        </w:rPr>
        <w:footnoteReference w:id="231"/>
      </w:r>
      <w:r w:rsidR="0007775F" w:rsidRPr="0058444E">
        <w:rPr>
          <w:rStyle w:val="KleinKapitaalAuteursCtrlAltK"/>
          <w:smallCaps w:val="0"/>
          <w:lang w:val="nl-BE"/>
        </w:rPr>
        <w:t xml:space="preserve"> Deze jaarlijks gepubliceerde lijst toont aan dat het Nederlands pensioenstelsel internationaal </w:t>
      </w:r>
      <w:r w:rsidR="00556B25">
        <w:rPr>
          <w:rStyle w:val="KleinKapitaalAuteursCtrlAltK"/>
          <w:smallCaps w:val="0"/>
          <w:lang w:val="nl-BE"/>
        </w:rPr>
        <w:t>hoog</w:t>
      </w:r>
      <w:r w:rsidR="0007775F" w:rsidRPr="0058444E">
        <w:rPr>
          <w:rStyle w:val="KleinKapitaalAuteursCtrlAltK"/>
          <w:smallCaps w:val="0"/>
          <w:lang w:val="nl-BE"/>
        </w:rPr>
        <w:t xml:space="preserve"> </w:t>
      </w:r>
      <w:r w:rsidR="005B7DB8">
        <w:rPr>
          <w:rStyle w:val="KleinKapitaalAuteursCtrlAltK"/>
          <w:smallCaps w:val="0"/>
          <w:lang w:val="nl-BE"/>
        </w:rPr>
        <w:t>aangeschreven staat.</w:t>
      </w:r>
    </w:p>
    <w:p w14:paraId="2E5714ED" w14:textId="30A9E568" w:rsidR="0065586A" w:rsidRPr="00343DB1" w:rsidRDefault="0065586A" w:rsidP="00343DB1">
      <w:pPr>
        <w:pStyle w:val="Randnummer"/>
        <w:spacing w:line="360" w:lineRule="auto"/>
        <w:rPr>
          <w:rStyle w:val="KleinKapitaalAuteursCtrlAltK"/>
          <w:smallCaps w:val="0"/>
          <w:lang w:val="nl-BE"/>
        </w:rPr>
      </w:pPr>
      <w:r>
        <w:rPr>
          <w:rStyle w:val="KleinKapitaalAuteursCtrlAltK"/>
        </w:rPr>
        <w:t xml:space="preserve">Eenheidsstatuut? – </w:t>
      </w:r>
      <w:r w:rsidR="0051502C">
        <w:rPr>
          <w:rStyle w:val="KleinKapitaalAuteursCtrlAltK"/>
          <w:smallCaps w:val="0"/>
        </w:rPr>
        <w:t>In 1907 heeft de Nederlandse wetgever er bewust voor gekozen om een uniforme wettelijke regeling inzake arbeidsovereenkomsten uit te werken. Een gedifferentieerd stelsel van afzonderlijke arbeidsrechtelijke regelingen voor bijzondere beroepsgroepen werd uitdrukkelijk afgewezen.</w:t>
      </w:r>
      <w:r w:rsidR="00B45ADA">
        <w:rPr>
          <w:rStyle w:val="Voetnootmarkering"/>
          <w:lang w:val="nl-NL"/>
        </w:rPr>
        <w:footnoteReference w:id="232"/>
      </w:r>
      <w:r w:rsidR="00C3743A">
        <w:rPr>
          <w:rStyle w:val="KleinKapitaalAuteursCtrlAltK"/>
          <w:smallCaps w:val="0"/>
        </w:rPr>
        <w:t xml:space="preserve"> </w:t>
      </w:r>
      <w:r>
        <w:rPr>
          <w:rStyle w:val="KleinKapitaalAuteursCtrlAltK"/>
          <w:smallCaps w:val="0"/>
        </w:rPr>
        <w:t xml:space="preserve">Een eenheidsstatuut tussen arbeiders en bedienden is in Nederland </w:t>
      </w:r>
      <w:r w:rsidR="00A804DD">
        <w:rPr>
          <w:rStyle w:val="KleinKapitaalAuteursCtrlAltK"/>
          <w:smallCaps w:val="0"/>
        </w:rPr>
        <w:t xml:space="preserve">niet </w:t>
      </w:r>
      <w:r>
        <w:rPr>
          <w:rStyle w:val="KleinKapitaalAuteursCtrlAltK"/>
          <w:smallCaps w:val="0"/>
        </w:rPr>
        <w:t>nodig</w:t>
      </w:r>
      <w:r w:rsidR="00AB398B">
        <w:rPr>
          <w:rStyle w:val="KleinKapitaalAuteursCtrlAltK"/>
          <w:smallCaps w:val="0"/>
        </w:rPr>
        <w:t>,</w:t>
      </w:r>
      <w:r>
        <w:rPr>
          <w:rStyle w:val="KleinKapitaalAuteursCtrlAltK"/>
          <w:smallCaps w:val="0"/>
        </w:rPr>
        <w:t xml:space="preserve"> gezien er wetgevend nooit een ongelijke behandeling was tussen arbeiders en bedienden. Het socialezekerheidsrecht wordt er gebaseerd op de status van werknemer, ongeacht of men aangesloten is onder het statuut van arbeider dan wel bediende.</w:t>
      </w:r>
      <w:r>
        <w:rPr>
          <w:rStyle w:val="Voetnootmarkering"/>
          <w:lang w:val="nl-NL"/>
        </w:rPr>
        <w:footnoteReference w:id="233"/>
      </w:r>
    </w:p>
    <w:p w14:paraId="234BEB16" w14:textId="51A12EC4" w:rsidR="00611B07" w:rsidRPr="0058444E" w:rsidRDefault="00611B07" w:rsidP="00611B07">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Nederland beschikt dankzij de kapitaaldekking voor het aanvullend pensioen over omvangrijke financiële middelen gecombineerd met een omslagstelsel voor de AOW (Wettelijk ouderdomspensioen of ook wel de eerste pijler genoemd in Nederland).</w:t>
      </w:r>
      <w:r w:rsidRPr="0058444E">
        <w:rPr>
          <w:rStyle w:val="Voetnootmarkering"/>
        </w:rPr>
        <w:footnoteReference w:id="234"/>
      </w:r>
    </w:p>
    <w:p w14:paraId="7AC02C4D" w14:textId="70345724" w:rsidR="00873A82" w:rsidRDefault="00873A82" w:rsidP="00875D51">
      <w:pPr>
        <w:pStyle w:val="Randnummer"/>
        <w:spacing w:line="360" w:lineRule="auto"/>
        <w:rPr>
          <w:rStyle w:val="KleinKapitaalAuteursCtrlAltK"/>
          <w:smallCaps w:val="0"/>
          <w:lang w:val="nl-BE"/>
        </w:rPr>
      </w:pPr>
      <w:r w:rsidRPr="0058444E">
        <w:rPr>
          <w:rStyle w:val="KleinKapitaalAuteursCtrlAltK"/>
          <w:lang w:val="nl-BE"/>
        </w:rPr>
        <w:t xml:space="preserve">Drie pijlers </w:t>
      </w:r>
      <w:r w:rsidR="00404538" w:rsidRPr="0058444E">
        <w:rPr>
          <w:rStyle w:val="KleinKapitaalAuteursCtrlAltK"/>
          <w:lang w:val="nl-BE"/>
        </w:rPr>
        <w:t>–</w:t>
      </w:r>
      <w:r w:rsidR="00B61C98">
        <w:rPr>
          <w:rStyle w:val="KleinKapitaalAuteursCtrlAltK"/>
          <w:smallCaps w:val="0"/>
          <w:lang w:val="nl-BE"/>
        </w:rPr>
        <w:t xml:space="preserve"> Het N</w:t>
      </w:r>
      <w:r w:rsidR="00404538" w:rsidRPr="0058444E">
        <w:rPr>
          <w:rStyle w:val="KleinKapitaalAuteursCtrlAltK"/>
          <w:smallCaps w:val="0"/>
          <w:lang w:val="nl-BE"/>
        </w:rPr>
        <w:t>ederlands pensioenstelsel bestaat uit drie pijlers. De eerste pijler vormt net zoals in België het wettelijk pensioen en behelst ongeveer 50% van het tota</w:t>
      </w:r>
      <w:r w:rsidR="009D2331">
        <w:rPr>
          <w:rStyle w:val="KleinKapitaalAuteursCtrlAltK"/>
          <w:smallCaps w:val="0"/>
          <w:lang w:val="nl-BE"/>
        </w:rPr>
        <w:t>al</w:t>
      </w:r>
      <w:r w:rsidR="00404538" w:rsidRPr="0058444E">
        <w:rPr>
          <w:rStyle w:val="KleinKapitaalAuteursCtrlAltK"/>
          <w:smallCaps w:val="0"/>
          <w:lang w:val="nl-BE"/>
        </w:rPr>
        <w:t xml:space="preserve"> uitgekeerd pensioen.</w:t>
      </w:r>
      <w:r w:rsidR="00D2549B" w:rsidRPr="0058444E">
        <w:rPr>
          <w:rStyle w:val="KleinKapitaalAuteursCtrlAltK"/>
          <w:smallCaps w:val="0"/>
          <w:lang w:val="nl-BE"/>
        </w:rPr>
        <w:t xml:space="preserve"> </w:t>
      </w:r>
      <w:r w:rsidR="000C119F">
        <w:rPr>
          <w:rStyle w:val="KleinKapitaalAuteursCtrlAltK"/>
          <w:smallCaps w:val="0"/>
          <w:lang w:val="nl-BE"/>
        </w:rPr>
        <w:t>Het</w:t>
      </w:r>
      <w:r w:rsidR="00A804DD">
        <w:rPr>
          <w:rStyle w:val="KleinKapitaalAuteursCtrlAltK"/>
          <w:smallCaps w:val="0"/>
          <w:lang w:val="nl-BE"/>
        </w:rPr>
        <w:t xml:space="preserve"> wettelijk pensioen staat in Nederland bekend als AOW.</w:t>
      </w:r>
      <w:r w:rsidR="00A804DD">
        <w:rPr>
          <w:rStyle w:val="Voetnootmarkering"/>
        </w:rPr>
        <w:footnoteReference w:id="235"/>
      </w:r>
      <w:r w:rsidR="000C119F">
        <w:rPr>
          <w:rStyle w:val="KleinKapitaalAuteursCtrlAltK"/>
          <w:smallCaps w:val="0"/>
          <w:lang w:val="nl-BE"/>
        </w:rPr>
        <w:t xml:space="preserve"> </w:t>
      </w:r>
      <w:r w:rsidR="00D2549B" w:rsidRPr="0058444E">
        <w:rPr>
          <w:rStyle w:val="KleinKapitaalAuteursCtrlAltK"/>
          <w:smallCaps w:val="0"/>
          <w:lang w:val="nl-BE"/>
        </w:rPr>
        <w:t>Het grondiger analyseren van deze pijler zou ons echter te ver leiden waardoor dit onderzoek zich beperkt tot een rechtsvergelijkende analyse met de tweede pijler dat ook in Nederland gekend staat als het aanvullend of het arbeidsgerelateerd pensioen.</w:t>
      </w:r>
      <w:r w:rsidR="00D2549B" w:rsidRPr="0058444E">
        <w:rPr>
          <w:rStyle w:val="Voetnootmarkering"/>
        </w:rPr>
        <w:footnoteReference w:id="236"/>
      </w:r>
    </w:p>
    <w:p w14:paraId="30980325" w14:textId="6A317B35" w:rsidR="00834B5D" w:rsidRDefault="00A804DD" w:rsidP="00834B5D">
      <w:pPr>
        <w:pStyle w:val="Randnummer"/>
        <w:spacing w:line="360" w:lineRule="auto"/>
        <w:rPr>
          <w:rStyle w:val="KleinKapitaalAuteursCtrlAltK"/>
          <w:smallCaps w:val="0"/>
          <w:lang w:val="nl-BE"/>
        </w:rPr>
      </w:pPr>
      <w:r w:rsidRPr="0058444E">
        <w:rPr>
          <w:rStyle w:val="KleinKapitaalAuteursCtrlAltK"/>
          <w:lang w:val="nl-BE"/>
        </w:rPr>
        <w:t xml:space="preserve">Pensioenbestendigheid – </w:t>
      </w:r>
      <w:r w:rsidRPr="0058444E">
        <w:rPr>
          <w:rStyle w:val="KleinKapitaalAuteursCtrlAltK"/>
          <w:smallCaps w:val="0"/>
          <w:lang w:val="nl-BE"/>
        </w:rPr>
        <w:t>Na een nationale pensioendialoog en diverse SER-rapporten over de toekomst van het pensioenstelsel heeft de regering koers gezet naar een nieuw pensioenstelsel in 2020.</w:t>
      </w:r>
      <w:r w:rsidRPr="0058444E">
        <w:rPr>
          <w:rStyle w:val="Voetnootmarkering"/>
        </w:rPr>
        <w:footnoteReference w:id="237"/>
      </w:r>
      <w:r w:rsidRPr="0058444E">
        <w:rPr>
          <w:rStyle w:val="KleinKapitaalAuteursCtrlAltK"/>
          <w:smallCaps w:val="0"/>
          <w:lang w:val="nl-BE"/>
        </w:rPr>
        <w:t xml:space="preserve"> Zo werd in juni 2019 het zogenoemde Pensioenakkoord gesloten tussen de sociale partners en het kabinet voor een nadere herziening van het stelsel.</w:t>
      </w:r>
      <w:r w:rsidRPr="0058444E">
        <w:rPr>
          <w:rStyle w:val="Voetnootmarkering"/>
        </w:rPr>
        <w:footnoteReference w:id="238"/>
      </w:r>
    </w:p>
    <w:p w14:paraId="388218B3" w14:textId="7A006A29" w:rsidR="00834B5D" w:rsidRPr="00834B5D" w:rsidRDefault="00834B5D" w:rsidP="00834B5D">
      <w:pPr>
        <w:pStyle w:val="Randnummer"/>
        <w:spacing w:line="360" w:lineRule="auto"/>
        <w:rPr>
          <w:rStyle w:val="KleinKapitaalAuteursCtrlAltK"/>
          <w:smallCaps w:val="0"/>
          <w:lang w:val="nl-BE"/>
        </w:rPr>
      </w:pPr>
      <w:r>
        <w:rPr>
          <w:rStyle w:val="KleinKapitaalAuteursCtrlAltK"/>
        </w:rPr>
        <w:t xml:space="preserve">Wet toekomst pensioenen – </w:t>
      </w:r>
      <w:r>
        <w:rPr>
          <w:rStyle w:val="KleinKapitaalAuteursCtrlAltK"/>
          <w:smallCaps w:val="0"/>
        </w:rPr>
        <w:t xml:space="preserve">Op 1 juli 2023 is de Wet </w:t>
      </w:r>
      <w:r w:rsidR="001C3EE6">
        <w:rPr>
          <w:rStyle w:val="KleinKapitaalAuteursCtrlAltK"/>
          <w:smallCaps w:val="0"/>
        </w:rPr>
        <w:t>T</w:t>
      </w:r>
      <w:r>
        <w:rPr>
          <w:rStyle w:val="KleinKapitaalAuteursCtrlAltK"/>
          <w:smallCaps w:val="0"/>
        </w:rPr>
        <w:t xml:space="preserve">oekomst </w:t>
      </w:r>
      <w:r w:rsidR="001C3EE6">
        <w:rPr>
          <w:rStyle w:val="KleinKapitaalAuteursCtrlAltK"/>
          <w:smallCaps w:val="0"/>
        </w:rPr>
        <w:t>P</w:t>
      </w:r>
      <w:r>
        <w:rPr>
          <w:rStyle w:val="KleinKapitaalAuteursCtrlAltK"/>
          <w:smallCaps w:val="0"/>
        </w:rPr>
        <w:t>ensioenen</w:t>
      </w:r>
      <w:r w:rsidR="001C3EE6">
        <w:rPr>
          <w:rStyle w:val="KleinKapitaalAuteursCtrlAltK"/>
          <w:smallCaps w:val="0"/>
        </w:rPr>
        <w:t xml:space="preserve"> (Wtp)</w:t>
      </w:r>
      <w:r>
        <w:rPr>
          <w:rStyle w:val="KleinKapitaalAuteursCtrlAltK"/>
          <w:smallCaps w:val="0"/>
        </w:rPr>
        <w:t xml:space="preserve"> in werking getreden. Deze wet vormt het voorlopige eindpunt van een debat over de hervorming van het stelsel van de aanvullende pensioenen dat op gang kwam na de financiële crisis van 2008.</w:t>
      </w:r>
      <w:r>
        <w:rPr>
          <w:rStyle w:val="Voetnootmarkering"/>
          <w:lang w:val="nl-NL"/>
        </w:rPr>
        <w:footnoteReference w:id="239"/>
      </w:r>
      <w:r w:rsidR="006B419E">
        <w:rPr>
          <w:rStyle w:val="KleinKapitaalAuteursCtrlAltK"/>
          <w:smallCaps w:val="0"/>
        </w:rPr>
        <w:t xml:space="preserve"> Hiermee zullen alle bestaande pensioenregelingen voor 2027 overgaan naar </w:t>
      </w:r>
      <w:r w:rsidR="000C0C7F">
        <w:rPr>
          <w:rStyle w:val="KleinKapitaalAuteursCtrlAltK"/>
          <w:smallCaps w:val="0"/>
        </w:rPr>
        <w:t>éé</w:t>
      </w:r>
      <w:r w:rsidR="006B419E">
        <w:rPr>
          <w:rStyle w:val="KleinKapitaalAuteursCtrlAltK"/>
          <w:smallCaps w:val="0"/>
        </w:rPr>
        <w:t>n van de nieuwe premieregelingen, waarmee er een einde zal komen aan de zogenaamde doorsneesystematiek.</w:t>
      </w:r>
      <w:r w:rsidR="00575B91">
        <w:rPr>
          <w:rStyle w:val="Voetnootmarkering"/>
          <w:lang w:val="nl-NL"/>
        </w:rPr>
        <w:footnoteReference w:id="240"/>
      </w:r>
    </w:p>
    <w:p w14:paraId="1029585C" w14:textId="0D340A2F" w:rsidR="0075675F" w:rsidRPr="0058444E" w:rsidRDefault="0075675F" w:rsidP="0075675F">
      <w:pPr>
        <w:pStyle w:val="Kop4"/>
      </w:pPr>
      <w:bookmarkStart w:id="96" w:name="_Toc228784131"/>
      <w:r w:rsidRPr="0058444E">
        <w:t>Historiek van het aanvullend pensioen</w:t>
      </w:r>
      <w:bookmarkEnd w:id="96"/>
      <w:r w:rsidRPr="0058444E">
        <w:t xml:space="preserve"> </w:t>
      </w:r>
    </w:p>
    <w:p w14:paraId="1D83A11F" w14:textId="7CBB8AE4" w:rsidR="0075675F" w:rsidRPr="0058444E" w:rsidRDefault="006C5FF3" w:rsidP="006C5FF3">
      <w:pPr>
        <w:pStyle w:val="Randnummer"/>
        <w:spacing w:line="360" w:lineRule="auto"/>
        <w:rPr>
          <w:rStyle w:val="KleinKapitaalAuteursCtrlAltK"/>
          <w:smallCaps w:val="0"/>
          <w:lang w:val="nl-BE"/>
        </w:rPr>
      </w:pPr>
      <w:r w:rsidRPr="0058444E">
        <w:rPr>
          <w:rStyle w:val="KleinKapitaalAuteursCtrlAltK"/>
          <w:lang w:val="nl-BE"/>
        </w:rPr>
        <w:t xml:space="preserve">Lange geschiedenis – </w:t>
      </w:r>
      <w:r w:rsidRPr="0058444E">
        <w:rPr>
          <w:rStyle w:val="KleinKapitaalAuteursCtrlAltK"/>
          <w:smallCaps w:val="0"/>
          <w:lang w:val="nl-BE"/>
        </w:rPr>
        <w:t>De aanvullende pensioenvoorziening is in Nederland reeds opgekomen vóór dat de wettelijke pensioenvoorziening een feit werd.</w:t>
      </w:r>
      <w:r w:rsidRPr="0058444E">
        <w:rPr>
          <w:rStyle w:val="Voetnootmarkering"/>
        </w:rPr>
        <w:footnoteReference w:id="241"/>
      </w:r>
      <w:r w:rsidR="0070633A" w:rsidRPr="0058444E">
        <w:rPr>
          <w:rStyle w:val="KleinKapitaalAuteursCtrlAltK"/>
          <w:smallCaps w:val="0"/>
          <w:lang w:val="nl-BE"/>
        </w:rPr>
        <w:t xml:space="preserve"> Al in de eerste helft van de 19</w:t>
      </w:r>
      <w:r w:rsidR="0070633A" w:rsidRPr="0058444E">
        <w:rPr>
          <w:rStyle w:val="KleinKapitaalAuteursCtrlAltK"/>
          <w:smallCaps w:val="0"/>
          <w:vertAlign w:val="superscript"/>
          <w:lang w:val="nl-BE"/>
        </w:rPr>
        <w:t>e</w:t>
      </w:r>
      <w:r w:rsidR="0070633A" w:rsidRPr="0058444E">
        <w:rPr>
          <w:rStyle w:val="KleinKapitaalAuteursCtrlAltK"/>
          <w:smallCaps w:val="0"/>
          <w:lang w:val="nl-BE"/>
        </w:rPr>
        <w:t xml:space="preserve"> eeuw werd er voor de hoogste ambtenaren door de rijksoverheid een pensioenfonds voorzien dat in 1890 uitgebreid werd tot alle rijksambtenaren. In die tijd was de aanvullende pensioenvoorziening iets dat voornamelijk leefde in de wereld van het overheidspersoneel en daarbuiten slechts enkel bij bevoorrechte groepen van werknemers, slechts zelden bij arbeiders. Het was pas na de Tweede Wereldoorlog dat de aanvullende pensioenvoorziening </w:t>
      </w:r>
      <w:r w:rsidR="00802A6F">
        <w:rPr>
          <w:rStyle w:val="KleinKapitaalAuteursCtrlAltK"/>
          <w:smallCaps w:val="0"/>
          <w:lang w:val="nl-BE"/>
        </w:rPr>
        <w:t>een exponentiële groei</w:t>
      </w:r>
      <w:r w:rsidR="0070633A" w:rsidRPr="0058444E">
        <w:rPr>
          <w:rStyle w:val="KleinKapitaalAuteursCtrlAltK"/>
          <w:smallCaps w:val="0"/>
          <w:lang w:val="nl-BE"/>
        </w:rPr>
        <w:t xml:space="preserve"> doormaakte.</w:t>
      </w:r>
      <w:r w:rsidR="0070633A" w:rsidRPr="0058444E">
        <w:rPr>
          <w:rStyle w:val="Voetnootmarkering"/>
        </w:rPr>
        <w:footnoteReference w:id="242"/>
      </w:r>
    </w:p>
    <w:p w14:paraId="4267095F" w14:textId="4D83E241" w:rsidR="0070633A" w:rsidRPr="0058444E" w:rsidRDefault="0070633A" w:rsidP="006C5FF3">
      <w:pPr>
        <w:pStyle w:val="Randnummer"/>
        <w:spacing w:line="360" w:lineRule="auto"/>
        <w:rPr>
          <w:rStyle w:val="KleinKapitaalAuteursCtrlAltK"/>
          <w:smallCaps w:val="0"/>
          <w:lang w:val="nl-BE"/>
        </w:rPr>
      </w:pPr>
      <w:r w:rsidRPr="0058444E">
        <w:rPr>
          <w:rStyle w:val="KleinKapitaalAuteursCtrlAltK"/>
          <w:lang w:val="nl-BE"/>
        </w:rPr>
        <w:t xml:space="preserve">Juridische status? </w:t>
      </w:r>
      <w:r w:rsidR="00E118E1" w:rsidRPr="0058444E">
        <w:rPr>
          <w:rStyle w:val="KleinKapitaalAuteursCtrlAltK"/>
          <w:lang w:val="nl-BE"/>
        </w:rPr>
        <w:t>–</w:t>
      </w:r>
      <w:r w:rsidRPr="0058444E">
        <w:rPr>
          <w:rStyle w:val="KleinKapitaalAuteursCtrlAltK"/>
          <w:lang w:val="nl-BE"/>
        </w:rPr>
        <w:t xml:space="preserve"> </w:t>
      </w:r>
      <w:r w:rsidR="00E118E1" w:rsidRPr="0058444E">
        <w:rPr>
          <w:rStyle w:val="KleinKapitaalAuteursCtrlAltK"/>
          <w:smallCaps w:val="0"/>
          <w:lang w:val="nl-BE"/>
        </w:rPr>
        <w:t xml:space="preserve">Tot de jaren </w:t>
      </w:r>
      <w:r w:rsidR="00793714">
        <w:rPr>
          <w:rStyle w:val="KleinKapitaalAuteursCtrlAltK"/>
          <w:smallCaps w:val="0"/>
          <w:lang w:val="nl-BE"/>
        </w:rPr>
        <w:t>twintig</w:t>
      </w:r>
      <w:r w:rsidR="00E118E1" w:rsidRPr="0058444E">
        <w:rPr>
          <w:rStyle w:val="KleinKapitaalAuteursCtrlAltK"/>
          <w:smallCaps w:val="0"/>
          <w:lang w:val="nl-BE"/>
        </w:rPr>
        <w:t xml:space="preserve"> werd een pensioen nog vaak gezien als een schenking, een gunst van de werkgever naar de werknemer. Hierna werd het pensioen aangeduid als een ‘natuurlijke verbintenis’ en vanaf 1930 werd gesteld dat pensioen een vorm is van een uitgesteld loon.</w:t>
      </w:r>
      <w:r w:rsidR="00E118E1" w:rsidRPr="0058444E">
        <w:rPr>
          <w:rStyle w:val="Voetnootmarkering"/>
        </w:rPr>
        <w:footnoteReference w:id="243"/>
      </w:r>
    </w:p>
    <w:p w14:paraId="47FEE07E" w14:textId="3113BF36" w:rsidR="0068573E" w:rsidRDefault="0068573E" w:rsidP="0068573E">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 xml:space="preserve">Op basis van de Wet verplichte deelneming in bedrijfspensioenfondsen (Wet Bbf) en de Pensioen-en spaarfondsenwet (PSW) heeft de aanvullende pensioenvoorziening zich in Nederland na de Tweede Wereldoorlog </w:t>
      </w:r>
      <w:r w:rsidR="00B171CE">
        <w:rPr>
          <w:rStyle w:val="KleinKapitaalAuteursCtrlAltK"/>
          <w:smallCaps w:val="0"/>
          <w:lang w:val="nl-BE"/>
        </w:rPr>
        <w:t>verder</w:t>
      </w:r>
      <w:r w:rsidRPr="0058444E">
        <w:rPr>
          <w:rStyle w:val="KleinKapitaalAuteursCtrlAltK"/>
          <w:smallCaps w:val="0"/>
          <w:lang w:val="nl-BE"/>
        </w:rPr>
        <w:t xml:space="preserve"> kunnen ontwikkelen. De dekking van de aanvullend</w:t>
      </w:r>
      <w:r w:rsidR="00B171CE">
        <w:rPr>
          <w:rStyle w:val="KleinKapitaalAuteursCtrlAltK"/>
          <w:smallCaps w:val="0"/>
          <w:lang w:val="nl-BE"/>
        </w:rPr>
        <w:t xml:space="preserve">e </w:t>
      </w:r>
      <w:r w:rsidRPr="0058444E">
        <w:rPr>
          <w:rStyle w:val="KleinKapitaalAuteursCtrlAltK"/>
          <w:smallCaps w:val="0"/>
          <w:lang w:val="nl-BE"/>
        </w:rPr>
        <w:t>pensioenvoorziening werd namelijk steeds groter en de fondsen belegden hun gelden goed, zodat de premies geleidelijk aan konden dalen.</w:t>
      </w:r>
      <w:r w:rsidRPr="0058444E">
        <w:rPr>
          <w:rStyle w:val="Voetnootmarkering"/>
        </w:rPr>
        <w:footnoteReference w:id="244"/>
      </w:r>
    </w:p>
    <w:p w14:paraId="374DCB79" w14:textId="2B4B6E9B" w:rsidR="002658E2" w:rsidRPr="002658E2" w:rsidRDefault="002658E2" w:rsidP="002A0426">
      <w:pPr>
        <w:pStyle w:val="Randnummer"/>
        <w:spacing w:line="360" w:lineRule="auto"/>
        <w:rPr>
          <w:rStyle w:val="KleinKapitaalAuteursCtrlAltK"/>
        </w:rPr>
      </w:pPr>
      <w:r>
        <w:rPr>
          <w:rStyle w:val="KleinKapitaalAuteursCtrlAltK"/>
        </w:rPr>
        <w:t>Versobering van witteveen</w:t>
      </w:r>
      <w:r w:rsidR="00232C95">
        <w:rPr>
          <w:rStyle w:val="KleinKapitaalAuteursCtrlAltK"/>
        </w:rPr>
        <w:t>-</w:t>
      </w:r>
      <w:r>
        <w:rPr>
          <w:rStyle w:val="KleinKapitaalAuteursCtrlAltK"/>
        </w:rPr>
        <w:t xml:space="preserve">kader – </w:t>
      </w:r>
      <w:r>
        <w:rPr>
          <w:rStyle w:val="KleinKapitaalAuteursCtrlAltK"/>
          <w:smallCaps w:val="0"/>
        </w:rPr>
        <w:t xml:space="preserve">Sinds 1 januari 2015 staat de tweede pensioenpijler in Nederland </w:t>
      </w:r>
      <w:r w:rsidR="00B171CE">
        <w:rPr>
          <w:rStyle w:val="KleinKapitaalAuteursCtrlAltK"/>
          <w:smallCaps w:val="0"/>
        </w:rPr>
        <w:t xml:space="preserve">echter </w:t>
      </w:r>
      <w:r>
        <w:rPr>
          <w:rStyle w:val="KleinKapitaalAuteursCtrlAltK"/>
          <w:smallCaps w:val="0"/>
        </w:rPr>
        <w:t>onder druk. De Nederlandse overheid beoogt namelijk een versobering van de aanvullende pensioenen door de maximale jaarlijkse fiscale ruimte voor pensioenopbouw te verlagen</w:t>
      </w:r>
      <w:r w:rsidR="00232C95">
        <w:rPr>
          <w:rStyle w:val="KleinKapitaalAuteursCtrlAltK"/>
          <w:smallCaps w:val="0"/>
        </w:rPr>
        <w:t xml:space="preserve"> (het Witteveen-kader genoemd)</w:t>
      </w:r>
      <w:r>
        <w:rPr>
          <w:rStyle w:val="KleinKapitaalAuteursCtrlAltK"/>
          <w:smallCaps w:val="0"/>
        </w:rPr>
        <w:t>, wat betekent dat de pensioenpremie dus minder fiscaal voordelig is.</w:t>
      </w:r>
      <w:r>
        <w:rPr>
          <w:rStyle w:val="Voetnootmarkering"/>
          <w:lang w:val="nl-NL"/>
        </w:rPr>
        <w:footnoteReference w:id="245"/>
      </w:r>
    </w:p>
    <w:p w14:paraId="1F48C554" w14:textId="072FCDB0" w:rsidR="00553C88" w:rsidRPr="00553C88" w:rsidRDefault="00553C88" w:rsidP="00074FF0">
      <w:pPr>
        <w:pStyle w:val="Randnummer"/>
        <w:spacing w:line="360" w:lineRule="auto"/>
        <w:rPr>
          <w:rStyle w:val="KleinKapitaalAuteursCtrlAltK"/>
        </w:rPr>
      </w:pPr>
      <w:r>
        <w:rPr>
          <w:rStyle w:val="KleinKapitaalAuteursCtrlAltK"/>
        </w:rPr>
        <w:t xml:space="preserve">Organisatie </w:t>
      </w:r>
      <w:r w:rsidR="00FC4879">
        <w:rPr>
          <w:rStyle w:val="KleinKapitaalAuteursCtrlAltK"/>
        </w:rPr>
        <w:t>–</w:t>
      </w:r>
      <w:r>
        <w:rPr>
          <w:rStyle w:val="KleinKapitaalAuteursCtrlAltK"/>
        </w:rPr>
        <w:t xml:space="preserve"> </w:t>
      </w:r>
      <w:r w:rsidR="00FC4879">
        <w:rPr>
          <w:rStyle w:val="KleinKapitaalAuteursCtrlAltK"/>
          <w:smallCaps w:val="0"/>
        </w:rPr>
        <w:t xml:space="preserve">Net zoals in België, is ook in Nederland de bevoegdheid om een aanvullende pensioenregeling in te richten niet gesitueerd bij slechts één enkele inrichter. Zo wordt er op het niveau van de sociale partners een onderscheid gemaakt tussen de </w:t>
      </w:r>
      <w:r w:rsidR="00A95EF4">
        <w:rPr>
          <w:rStyle w:val="KleinKapitaalAuteursCtrlAltK"/>
          <w:smallCaps w:val="0"/>
        </w:rPr>
        <w:t>verplicht gestelde</w:t>
      </w:r>
      <w:r w:rsidR="00FC4879">
        <w:rPr>
          <w:rStyle w:val="KleinKapitaalAuteursCtrlAltK"/>
          <w:smallCaps w:val="0"/>
        </w:rPr>
        <w:t xml:space="preserve"> bedrijfstakpensioenen en de niet-</w:t>
      </w:r>
      <w:r w:rsidR="00A95EF4">
        <w:rPr>
          <w:rStyle w:val="KleinKapitaalAuteursCtrlAltK"/>
          <w:smallCaps w:val="0"/>
        </w:rPr>
        <w:t>verplicht gestelde</w:t>
      </w:r>
      <w:r w:rsidR="00FC4879">
        <w:rPr>
          <w:rStyle w:val="KleinKapitaalAuteursCtrlAltK"/>
          <w:smallCaps w:val="0"/>
        </w:rPr>
        <w:t xml:space="preserve"> bedrijfstakpensioenen.</w:t>
      </w:r>
      <w:r w:rsidR="00FC4879">
        <w:rPr>
          <w:rStyle w:val="Voetnootmarkering"/>
          <w:lang w:val="nl-NL"/>
        </w:rPr>
        <w:footnoteReference w:id="246"/>
      </w:r>
    </w:p>
    <w:p w14:paraId="7B3C2E54" w14:textId="2CDFF152" w:rsidR="00A7560B" w:rsidRPr="0058444E" w:rsidRDefault="00A7560B" w:rsidP="00A7560B">
      <w:pPr>
        <w:pStyle w:val="Kop3"/>
      </w:pPr>
      <w:bookmarkStart w:id="99" w:name="_Toc228784132"/>
      <w:r w:rsidRPr="0058444E">
        <w:t xml:space="preserve">Afdeling II. </w:t>
      </w:r>
      <w:r w:rsidR="008431E9">
        <w:t>Juridische structuur en solidariteitsmechanismen</w:t>
      </w:r>
      <w:bookmarkEnd w:id="99"/>
    </w:p>
    <w:p w14:paraId="29CE7D39" w14:textId="1081BE90" w:rsidR="005D2604" w:rsidRPr="0058444E" w:rsidRDefault="005D2604" w:rsidP="00430653">
      <w:pPr>
        <w:pStyle w:val="Kop4"/>
        <w:numPr>
          <w:ilvl w:val="3"/>
          <w:numId w:val="25"/>
        </w:numPr>
      </w:pPr>
      <w:bookmarkStart w:id="100" w:name="_Toc228784133"/>
      <w:r w:rsidRPr="0058444E">
        <w:t>Verplicht aanvullend pensioen</w:t>
      </w:r>
      <w:bookmarkEnd w:id="100"/>
    </w:p>
    <w:p w14:paraId="50C07A07" w14:textId="08832DC7" w:rsidR="00A7560B" w:rsidRDefault="003E7440" w:rsidP="005D2604">
      <w:pPr>
        <w:pStyle w:val="Randnummer"/>
        <w:spacing w:line="360" w:lineRule="auto"/>
      </w:pPr>
      <w:r>
        <w:rPr>
          <w:rStyle w:val="KleinKapitaalAuteursCtrlAltK"/>
        </w:rPr>
        <w:t xml:space="preserve">Verplichtstelling - </w:t>
      </w:r>
      <w:r w:rsidR="007E2603" w:rsidRPr="0058444E">
        <w:t>Nederland kan gezien worden als een goed voorbeeld om na te gaan of de verplichtstelling van de aanvullende pensioenen soelaas zou kunnen brengen voor België. In Nederland bestaat er een quasi-verplichtstelling van de aanvullende pensioenen door middel van</w:t>
      </w:r>
      <w:r w:rsidR="0097509D">
        <w:t xml:space="preserve"> </w:t>
      </w:r>
      <w:r w:rsidR="00E33E83">
        <w:t xml:space="preserve">het </w:t>
      </w:r>
      <w:r w:rsidR="0097509D">
        <w:t>bedrijfstakpensioenfonds</w:t>
      </w:r>
      <w:r w:rsidR="00C77CF6">
        <w:t xml:space="preserve"> met een uniforme premie</w:t>
      </w:r>
      <w:r w:rsidR="007E2603" w:rsidRPr="0058444E">
        <w:t>.</w:t>
      </w:r>
      <w:r w:rsidR="007E2603" w:rsidRPr="0058444E">
        <w:rPr>
          <w:rStyle w:val="Voetnootmarkering"/>
        </w:rPr>
        <w:footnoteReference w:id="247"/>
      </w:r>
      <w:r w:rsidR="004C7288" w:rsidRPr="0058444E">
        <w:t xml:space="preserve"> De keuze van verplichtstelling via bedrijfstakpensioenfondsen werd ingevoerd in 1949.</w:t>
      </w:r>
      <w:r w:rsidR="004C7288" w:rsidRPr="0058444E">
        <w:rPr>
          <w:rStyle w:val="Voetnootmarkering"/>
        </w:rPr>
        <w:footnoteReference w:id="248"/>
      </w:r>
      <w:r w:rsidR="00F46D05" w:rsidRPr="0058444E">
        <w:t xml:space="preserve"> Deze verplichtstelling werd ingevoerd om de concurrentie tussen bedrijven per bedrijfstak te kunnen uitschakelen.</w:t>
      </w:r>
      <w:r w:rsidR="00F46D05" w:rsidRPr="0058444E">
        <w:rPr>
          <w:rStyle w:val="Voetnootmarkering"/>
        </w:rPr>
        <w:footnoteReference w:id="249"/>
      </w:r>
      <w:r w:rsidR="001053E1">
        <w:t xml:space="preserve"> Het houdt in dat iedere werkgever en werknemer die onder de werkingssfeer van de bedrijfstak vallen, verplicht moeten deelnemen aan de pensioenregeling, ongeacht van het statuut van arbeider dan wel bediende.</w:t>
      </w:r>
      <w:r w:rsidR="001053E1">
        <w:rPr>
          <w:rStyle w:val="Voetnootmarkering"/>
        </w:rPr>
        <w:footnoteReference w:id="250"/>
      </w:r>
    </w:p>
    <w:p w14:paraId="06889B12" w14:textId="4A4F3356" w:rsidR="003F3762" w:rsidRDefault="003F3762" w:rsidP="003F3762">
      <w:pPr>
        <w:pStyle w:val="Randnummer"/>
        <w:numPr>
          <w:ilvl w:val="0"/>
          <w:numId w:val="0"/>
        </w:numPr>
        <w:spacing w:line="360" w:lineRule="auto"/>
        <w:ind w:left="357"/>
      </w:pPr>
      <w:r>
        <w:t>Concreet neemt ongeveer 80% van de werknemers met een pensioenovereenkomst deel aan een bedrijfstakpensioenfonds. Sociale partners die een belangrijke meerderheid in de bedrijfstak van de werkzame personen vertegenwoordigen kunnen aan de minister van SZW</w:t>
      </w:r>
      <w:r w:rsidR="00E83C58">
        <w:rPr>
          <w:rStyle w:val="Voetnootmarkering"/>
        </w:rPr>
        <w:footnoteReference w:id="251"/>
      </w:r>
      <w:r>
        <w:t xml:space="preserve"> gezamenlijk vragen om de deelname aan het bedrijfstakpensioenfonds verplicht te stellen.</w:t>
      </w:r>
      <w:r>
        <w:rPr>
          <w:rStyle w:val="Voetnootmarkering"/>
        </w:rPr>
        <w:footnoteReference w:id="252"/>
      </w:r>
      <w:r w:rsidR="00ED4B10">
        <w:t xml:space="preserve"> Om zo een aanvraag in te dienen moeten de aangesloten werkgevers samen ten minste 60% van de werknemers in de bedrijfstak vertegenwoordigen.</w:t>
      </w:r>
      <w:r w:rsidR="00ED4B10">
        <w:rPr>
          <w:rStyle w:val="Voetnootmarkering"/>
        </w:rPr>
        <w:footnoteReference w:id="253"/>
      </w:r>
    </w:p>
    <w:p w14:paraId="72668D43" w14:textId="390FD2EE" w:rsidR="00ED4B10" w:rsidRPr="0058444E" w:rsidRDefault="00ED4B10" w:rsidP="009B3C53">
      <w:pPr>
        <w:pStyle w:val="Randnummer"/>
        <w:spacing w:line="360" w:lineRule="auto"/>
      </w:pPr>
      <w:r>
        <w:rPr>
          <w:rStyle w:val="KleinKapitaalAuteursCtrlAltK"/>
        </w:rPr>
        <w:t xml:space="preserve">Wettelijke afgedwongen solidariteit – </w:t>
      </w:r>
      <w:r>
        <w:rPr>
          <w:rStyle w:val="KleinKapitaalAuteursCtrlAltK"/>
          <w:smallCaps w:val="0"/>
        </w:rPr>
        <w:t xml:space="preserve">De solidariteit van de tweede pijler in de bedrijfstakpensioenfondsen komt dan eigenlijk neer op wettelijk afgedwongen solidariteit. Zo zijn kleine ondernemingen op grond van de wet verplicht deel te nemen aan de pensioenregeling in de </w:t>
      </w:r>
      <w:r w:rsidR="00376831">
        <w:rPr>
          <w:rStyle w:val="KleinKapitaalAuteursCtrlAltK"/>
          <w:smallCaps w:val="0"/>
        </w:rPr>
        <w:t>bedrijfstak</w:t>
      </w:r>
      <w:r>
        <w:rPr>
          <w:rStyle w:val="KleinKapitaalAuteursCtrlAltK"/>
          <w:smallCaps w:val="0"/>
        </w:rPr>
        <w:t>.</w:t>
      </w:r>
      <w:r w:rsidR="00C71626">
        <w:rPr>
          <w:rStyle w:val="Voetnootmarkering"/>
          <w:lang w:val="nl-NL"/>
        </w:rPr>
        <w:footnoteReference w:id="254"/>
      </w:r>
    </w:p>
    <w:p w14:paraId="6639F54A" w14:textId="75F18ADD" w:rsidR="0097509D" w:rsidRPr="00870906" w:rsidRDefault="004A5550" w:rsidP="006C06CC">
      <w:pPr>
        <w:pStyle w:val="Randnummer"/>
        <w:spacing w:line="360" w:lineRule="auto"/>
        <w:rPr>
          <w:rStyle w:val="KleinKapitaalAuteursCtrlAltK"/>
        </w:rPr>
      </w:pPr>
      <w:r>
        <w:rPr>
          <w:rStyle w:val="KleinKapitaalAuteursCtrlAltK"/>
        </w:rPr>
        <w:t xml:space="preserve">Grondgedachten verplichtingstelling </w:t>
      </w:r>
      <w:r w:rsidR="006C06CC">
        <w:rPr>
          <w:rStyle w:val="KleinKapitaalAuteursCtrlAltK"/>
        </w:rPr>
        <w:t>–</w:t>
      </w:r>
      <w:r>
        <w:rPr>
          <w:rStyle w:val="KleinKapitaalAuteursCtrlAltK"/>
        </w:rPr>
        <w:t xml:space="preserve"> </w:t>
      </w:r>
      <w:r w:rsidR="006C06CC">
        <w:rPr>
          <w:rStyle w:val="KleinKapitaalAuteursCtrlAltK"/>
          <w:smallCaps w:val="0"/>
        </w:rPr>
        <w:t>Met deze verplichtingstelling wil de Nederlandse wetgever de concurrentie elimineren die er bestond op de arbeidsvoorwaarden betreffende het pensioen in de bedrijfstak. Daarnaast heeft de wetgever deze verplichting ingevoerd met het sociale belang van eenzelfde pensioenvoorziening voor iedereen in een bedrijfstak in het achterhoofd.</w:t>
      </w:r>
      <w:r w:rsidR="006C06CC">
        <w:rPr>
          <w:rStyle w:val="Voetnootmarkering"/>
          <w:lang w:val="nl-NL"/>
        </w:rPr>
        <w:footnoteReference w:id="255"/>
      </w:r>
    </w:p>
    <w:p w14:paraId="4CB98E7F" w14:textId="588E54F5" w:rsidR="00870906" w:rsidRPr="001D2B62" w:rsidRDefault="00870906" w:rsidP="00870906">
      <w:pPr>
        <w:pStyle w:val="Randnummer"/>
        <w:numPr>
          <w:ilvl w:val="0"/>
          <w:numId w:val="0"/>
        </w:numPr>
        <w:spacing w:line="360" w:lineRule="auto"/>
        <w:ind w:left="357"/>
        <w:rPr>
          <w:rStyle w:val="KleinKapitaalAuteursCtrlAltK"/>
        </w:rPr>
      </w:pPr>
      <w:r>
        <w:rPr>
          <w:rStyle w:val="KleinKapitaalAuteursCtrlAltK"/>
          <w:smallCaps w:val="0"/>
        </w:rPr>
        <w:t>De economische gedachte om concurrentie tegen te gaan heeft ook een sociale component. Het dwingend voorschrijven van een pensioenregeling voor de gehele bedrijfstak voorkomt namelijk dat sommige werknemers geen pensioenvoorziening treffen.</w:t>
      </w:r>
    </w:p>
    <w:p w14:paraId="40997B7D" w14:textId="55C1E919" w:rsidR="001D2B62" w:rsidRPr="009B3C53" w:rsidRDefault="001D2B62" w:rsidP="001D2B62">
      <w:pPr>
        <w:pStyle w:val="Randnummer"/>
        <w:numPr>
          <w:ilvl w:val="0"/>
          <w:numId w:val="0"/>
        </w:numPr>
        <w:spacing w:line="360" w:lineRule="auto"/>
        <w:ind w:left="357"/>
        <w:rPr>
          <w:rStyle w:val="KleinKapitaalAuteursCtrlAltK"/>
        </w:rPr>
      </w:pPr>
      <w:r>
        <w:rPr>
          <w:rStyle w:val="KleinKapitaalAuteursCtrlAltK"/>
          <w:smallCaps w:val="0"/>
        </w:rPr>
        <w:t>Op dit vlak onderscheidt Nederland zich van de Belgische dualiteit waarbij arbeiders vaak in sectorale plannen zitten en bedienden in ondernemingsplannen. In Nederland wordt de solidariteit namelijk niet gezocht tussen statuten, maar op het niveau van de gehele bedrijfstak, waarbij concurrentie op de arbeidsvoorwaarde pensioen volledig wordt geëlimineerd.</w:t>
      </w:r>
      <w:r w:rsidR="00AD5C0D">
        <w:rPr>
          <w:rStyle w:val="KleinKapitaalAuteursCtrlAltK"/>
          <w:smallCaps w:val="0"/>
        </w:rPr>
        <w:t xml:space="preserve"> </w:t>
      </w:r>
    </w:p>
    <w:p w14:paraId="5FDC66BF" w14:textId="6A92BE26" w:rsidR="00430653" w:rsidRPr="0058444E" w:rsidRDefault="00F81B10" w:rsidP="00430653">
      <w:pPr>
        <w:pStyle w:val="Kop4"/>
      </w:pPr>
      <w:bookmarkStart w:id="101" w:name="_Toc228784134"/>
      <w:r>
        <w:t>De doorsneepremie als instrument voor gelijkheid</w:t>
      </w:r>
      <w:bookmarkEnd w:id="101"/>
    </w:p>
    <w:p w14:paraId="519970AC" w14:textId="27FBFC19" w:rsidR="00430653" w:rsidRPr="0058444E" w:rsidRDefault="0074382C" w:rsidP="00F5135B">
      <w:pPr>
        <w:pStyle w:val="Randnummer"/>
        <w:spacing w:line="360" w:lineRule="auto"/>
        <w:rPr>
          <w:rStyle w:val="KleinKapitaalAuteursCtrlAltK"/>
          <w:smallCaps w:val="0"/>
          <w:lang w:val="nl-BE"/>
        </w:rPr>
      </w:pPr>
      <w:r w:rsidRPr="0058444E">
        <w:rPr>
          <w:rStyle w:val="KleinKapitaalAuteursCtrlAltK"/>
          <w:lang w:val="nl-BE"/>
        </w:rPr>
        <w:t xml:space="preserve">Wetgeving Europese Unie – </w:t>
      </w:r>
      <w:r w:rsidR="003063AD" w:rsidRPr="0058444E">
        <w:rPr>
          <w:rStyle w:val="KleinKapitaalAuteursCtrlAltK"/>
          <w:smallCaps w:val="0"/>
          <w:lang w:val="nl-BE"/>
        </w:rPr>
        <w:t>De aanvullende pensioenvoorziening werd tot laat in de 20</w:t>
      </w:r>
      <w:r w:rsidR="003063AD" w:rsidRPr="0058444E">
        <w:rPr>
          <w:rStyle w:val="KleinKapitaalAuteursCtrlAltK"/>
          <w:smallCaps w:val="0"/>
          <w:vertAlign w:val="superscript"/>
          <w:lang w:val="nl-BE"/>
        </w:rPr>
        <w:t>e</w:t>
      </w:r>
      <w:r w:rsidR="003063AD" w:rsidRPr="0058444E">
        <w:rPr>
          <w:rStyle w:val="KleinKapitaalAuteursCtrlAltK"/>
          <w:smallCaps w:val="0"/>
          <w:lang w:val="nl-BE"/>
        </w:rPr>
        <w:t xml:space="preserve"> eeuw gekenmerkt door veel gevallen van ongelijke behandeling.</w:t>
      </w:r>
      <w:r w:rsidR="00F5135B" w:rsidRPr="0058444E">
        <w:rPr>
          <w:rStyle w:val="KleinKapitaalAuteursCtrlAltK"/>
          <w:smallCaps w:val="0"/>
          <w:lang w:val="nl-BE"/>
        </w:rPr>
        <w:t xml:space="preserve"> Vandaag zijn al deze vormen van ongelijke behandeling aangepakt aan de hand van de wetgeving van de Europese Unie.</w:t>
      </w:r>
      <w:r w:rsidR="00F5135B" w:rsidRPr="0058444E">
        <w:rPr>
          <w:rStyle w:val="Voetnootmarkering"/>
        </w:rPr>
        <w:footnoteReference w:id="256"/>
      </w:r>
      <w:r w:rsidR="00F5135B" w:rsidRPr="0058444E">
        <w:rPr>
          <w:rStyle w:val="KleinKapitaalAuteursCtrlAltK"/>
          <w:smallCaps w:val="0"/>
          <w:lang w:val="nl-BE"/>
        </w:rPr>
        <w:t xml:space="preserve"> Met name het artikel over gelijke beloning in het EEG-verdrag, de EU-richtlijnen inzake gelijke behandeling en de rechtspraak van het Hof van Justitie van de EU speelde een prominente rol. Deze ontwikkelingen werden in Nederland weergegeven in wetgeving van meer algemene aard zoals de Algemene Wet Gelijke Behandeling en de Wet gelijke behandeling van mannen en vrouwen (WGB). </w:t>
      </w:r>
    </w:p>
    <w:p w14:paraId="1D570D8A" w14:textId="7EC6296F" w:rsidR="00AF12AC" w:rsidRDefault="00AF12AC" w:rsidP="00AF12AC">
      <w:pPr>
        <w:pStyle w:val="Randnummer"/>
        <w:numPr>
          <w:ilvl w:val="0"/>
          <w:numId w:val="0"/>
        </w:numPr>
        <w:spacing w:line="360" w:lineRule="auto"/>
        <w:ind w:left="357"/>
        <w:rPr>
          <w:rStyle w:val="KleinKapitaalAuteursCtrlAltK"/>
          <w:smallCaps w:val="0"/>
          <w:lang w:val="nl-BE"/>
        </w:rPr>
      </w:pPr>
      <w:r w:rsidRPr="0058444E">
        <w:rPr>
          <w:rStyle w:val="KleinKapitaalAuteursCtrlAltK"/>
          <w:smallCaps w:val="0"/>
          <w:lang w:val="nl-BE"/>
        </w:rPr>
        <w:t>Toch blijven er ondanks de alsmaar nieuwe wettelijke regelingen en ontwikkeling van jurisprudentie steeds weer nieuwe gevallen van open of verborgen discriminaties in pensioenregelingen aan het licht treden.</w:t>
      </w:r>
      <w:r w:rsidRPr="0058444E">
        <w:rPr>
          <w:rStyle w:val="Voetnootmarkering"/>
        </w:rPr>
        <w:footnoteReference w:id="257"/>
      </w:r>
    </w:p>
    <w:p w14:paraId="5CB0B116" w14:textId="2B240961" w:rsidR="00870906" w:rsidRPr="00A63031" w:rsidRDefault="00870906" w:rsidP="002A1A93">
      <w:pPr>
        <w:pStyle w:val="Randnummer"/>
        <w:spacing w:line="360" w:lineRule="auto"/>
        <w:rPr>
          <w:rStyle w:val="KleinKapitaalAuteursCtrlAltK"/>
        </w:rPr>
      </w:pPr>
      <w:r>
        <w:rPr>
          <w:rStyle w:val="KleinKapitaalAuteursCtrlAltK"/>
        </w:rPr>
        <w:t xml:space="preserve">Doorsneepremie – </w:t>
      </w:r>
      <w:r w:rsidR="00743080">
        <w:rPr>
          <w:rStyle w:val="KleinKapitaalAuteursCtrlAltK"/>
          <w:smallCaps w:val="0"/>
        </w:rPr>
        <w:t xml:space="preserve">De Nederlandse wetgever </w:t>
      </w:r>
      <w:r>
        <w:rPr>
          <w:rStyle w:val="KleinKapitaalAuteursCtrlAltK"/>
          <w:smallCaps w:val="0"/>
        </w:rPr>
        <w:t>tracht</w:t>
      </w:r>
      <w:r w:rsidR="00737C1D">
        <w:rPr>
          <w:rStyle w:val="KleinKapitaalAuteursCtrlAltK"/>
          <w:smallCaps w:val="0"/>
        </w:rPr>
        <w:t>te gedurende lange tijd</w:t>
      </w:r>
      <w:r>
        <w:rPr>
          <w:rStyle w:val="KleinKapitaalAuteursCtrlAltK"/>
          <w:smallCaps w:val="0"/>
        </w:rPr>
        <w:t xml:space="preserve"> de solidariteit en de gelijkheid binnen het Nederlandse stelsel te realiseren dankzij de doorsneepremie.</w:t>
      </w:r>
      <w:r w:rsidR="002A1A93">
        <w:rPr>
          <w:rStyle w:val="Voetnootmarkering"/>
          <w:lang w:val="nl-NL"/>
        </w:rPr>
        <w:footnoteReference w:id="258"/>
      </w:r>
      <w:r w:rsidR="00145A0E">
        <w:rPr>
          <w:rStyle w:val="KleinKapitaalAuteursCtrlAltK"/>
          <w:smallCaps w:val="0"/>
        </w:rPr>
        <w:t xml:space="preserve"> Op basis van artikel 8 van de Wet Bpf 2000 </w:t>
      </w:r>
      <w:r w:rsidR="00737C1D">
        <w:rPr>
          <w:rStyle w:val="KleinKapitaalAuteursCtrlAltK"/>
          <w:smallCaps w:val="0"/>
        </w:rPr>
        <w:t>was</w:t>
      </w:r>
      <w:r w:rsidR="00145A0E">
        <w:rPr>
          <w:rStyle w:val="KleinKapitaalAuteursCtrlAltK"/>
          <w:smallCaps w:val="0"/>
        </w:rPr>
        <w:t xml:space="preserve"> de verschuldigde bijdrage voor alle deelnemers gelijk, of weergeeft het een gelijk percentage van het loon.</w:t>
      </w:r>
      <w:r w:rsidR="00A63031">
        <w:rPr>
          <w:rStyle w:val="Voetnootmarkering"/>
          <w:lang w:val="nl-NL"/>
        </w:rPr>
        <w:footnoteReference w:id="259"/>
      </w:r>
    </w:p>
    <w:p w14:paraId="32FF3C20" w14:textId="04719A43" w:rsidR="00A63031" w:rsidRDefault="00A63031" w:rsidP="00A63031">
      <w:pPr>
        <w:pStyle w:val="Randnummer"/>
        <w:numPr>
          <w:ilvl w:val="0"/>
          <w:numId w:val="0"/>
        </w:numPr>
        <w:spacing w:line="360" w:lineRule="auto"/>
        <w:ind w:left="357"/>
        <w:rPr>
          <w:rStyle w:val="KleinKapitaalAuteursCtrlAltK"/>
          <w:smallCaps w:val="0"/>
        </w:rPr>
      </w:pPr>
      <w:r>
        <w:rPr>
          <w:rStyle w:val="KleinKapitaalAuteursCtrlAltK"/>
          <w:smallCaps w:val="0"/>
        </w:rPr>
        <w:t>Via dit mechanisme w</w:t>
      </w:r>
      <w:r w:rsidR="00737C1D">
        <w:rPr>
          <w:rStyle w:val="KleinKapitaalAuteursCtrlAltK"/>
          <w:smallCaps w:val="0"/>
        </w:rPr>
        <w:t xml:space="preserve">erd </w:t>
      </w:r>
      <w:r>
        <w:rPr>
          <w:rStyle w:val="KleinKapitaalAuteursCtrlAltK"/>
          <w:smallCaps w:val="0"/>
        </w:rPr>
        <w:t>er in Nederland gezorgd voor een aanzienlijke inkomens – en risico-overdracht. Het zorg</w:t>
      </w:r>
      <w:r w:rsidR="00737C1D">
        <w:rPr>
          <w:rStyle w:val="KleinKapitaalAuteursCtrlAltK"/>
          <w:smallCaps w:val="0"/>
        </w:rPr>
        <w:t>de</w:t>
      </w:r>
      <w:r>
        <w:rPr>
          <w:rStyle w:val="KleinKapitaalAuteursCtrlAltK"/>
          <w:smallCaps w:val="0"/>
        </w:rPr>
        <w:t xml:space="preserve"> er namelijk voor dat er een inkomensoverdracht tot stand w</w:t>
      </w:r>
      <w:r w:rsidR="00956633">
        <w:rPr>
          <w:rStyle w:val="KleinKapitaalAuteursCtrlAltK"/>
          <w:smallCaps w:val="0"/>
        </w:rPr>
        <w:t>erd</w:t>
      </w:r>
      <w:r>
        <w:rPr>
          <w:rStyle w:val="KleinKapitaalAuteursCtrlAltK"/>
          <w:smallCaps w:val="0"/>
        </w:rPr>
        <w:t xml:space="preserve"> gebracht van jong naar oud. De doorsneepremie w</w:t>
      </w:r>
      <w:r w:rsidR="00737C1D">
        <w:rPr>
          <w:rStyle w:val="KleinKapitaalAuteursCtrlAltK"/>
          <w:smallCaps w:val="0"/>
        </w:rPr>
        <w:t>erd</w:t>
      </w:r>
      <w:r>
        <w:rPr>
          <w:rStyle w:val="KleinKapitaalAuteursCtrlAltK"/>
          <w:smallCaps w:val="0"/>
        </w:rPr>
        <w:t xml:space="preserve"> naar rato van de loonnorm of van de som van de pensioengrondslagen verdeeld over de aangesloten werkgevers.</w:t>
      </w:r>
      <w:r w:rsidR="00E96556">
        <w:rPr>
          <w:rStyle w:val="Voetnootmarkering"/>
          <w:lang w:val="nl-NL"/>
        </w:rPr>
        <w:footnoteReference w:id="260"/>
      </w:r>
    </w:p>
    <w:p w14:paraId="3EDEE51A" w14:textId="4DA316AD" w:rsidR="00A63031" w:rsidRDefault="00A63031" w:rsidP="00A63031">
      <w:pPr>
        <w:pStyle w:val="Randnummer"/>
        <w:numPr>
          <w:ilvl w:val="0"/>
          <w:numId w:val="0"/>
        </w:numPr>
        <w:spacing w:line="360" w:lineRule="auto"/>
        <w:ind w:left="357"/>
        <w:rPr>
          <w:rStyle w:val="KleinKapitaalAuteursCtrlAltK"/>
          <w:smallCaps w:val="0"/>
        </w:rPr>
      </w:pPr>
      <w:r>
        <w:rPr>
          <w:rStyle w:val="KleinKapitaalAuteursCtrlAltK"/>
          <w:smallCaps w:val="0"/>
        </w:rPr>
        <w:t>Via dit systeem beta</w:t>
      </w:r>
      <w:r w:rsidR="00737C1D">
        <w:rPr>
          <w:rStyle w:val="KleinKapitaalAuteursCtrlAltK"/>
          <w:smallCaps w:val="0"/>
        </w:rPr>
        <w:t>alden</w:t>
      </w:r>
      <w:r>
        <w:rPr>
          <w:rStyle w:val="KleinKapitaalAuteursCtrlAltK"/>
          <w:smallCaps w:val="0"/>
        </w:rPr>
        <w:t xml:space="preserve"> jongeren actuarieel gezien meer premie dan hun feitelijke opbouw kost, terwijl ouderen minder beta</w:t>
      </w:r>
      <w:r w:rsidR="00737C1D">
        <w:rPr>
          <w:rStyle w:val="KleinKapitaalAuteursCtrlAltK"/>
          <w:smallCaps w:val="0"/>
        </w:rPr>
        <w:t>alden</w:t>
      </w:r>
      <w:r>
        <w:rPr>
          <w:rStyle w:val="Voetnootmarkering"/>
          <w:lang w:val="nl-NL"/>
        </w:rPr>
        <w:footnoteReference w:id="261"/>
      </w:r>
      <w:r w:rsidR="00AC1F7C">
        <w:rPr>
          <w:rStyle w:val="KleinKapitaalAuteursCtrlAltK"/>
          <w:smallCaps w:val="0"/>
        </w:rPr>
        <w:t xml:space="preserve"> Op deze manier w</w:t>
      </w:r>
      <w:r w:rsidR="00737C1D">
        <w:rPr>
          <w:rStyle w:val="KleinKapitaalAuteursCtrlAltK"/>
          <w:smallCaps w:val="0"/>
        </w:rPr>
        <w:t xml:space="preserve">erden </w:t>
      </w:r>
      <w:r w:rsidR="00AC1F7C">
        <w:rPr>
          <w:rStyle w:val="KleinKapitaalAuteursCtrlAltK"/>
          <w:smallCaps w:val="0"/>
        </w:rPr>
        <w:t xml:space="preserve">de pensioenkosten over de gehele bedrijfstak gemiddeld. Bedrijven gekenmerkt door een jong personeelbestand subsidiëren bedrijven met een oud personeelbestand. </w:t>
      </w:r>
    </w:p>
    <w:p w14:paraId="0152B573" w14:textId="2992D215" w:rsidR="00737C1D" w:rsidRDefault="00737C1D" w:rsidP="00737C1D">
      <w:pPr>
        <w:pStyle w:val="Kop4"/>
        <w:rPr>
          <w:rStyle w:val="KleinKapitaalAuteursCtrlAltK"/>
          <w:smallCaps w:val="0"/>
        </w:rPr>
      </w:pPr>
      <w:bookmarkStart w:id="102" w:name="_Toc228784135"/>
      <w:r>
        <w:rPr>
          <w:rStyle w:val="KleinKapitaalAuteursCtrlAltK"/>
          <w:smallCaps w:val="0"/>
        </w:rPr>
        <w:t>Afschaffing van de doorsneesystematiek en invoering van de gelijke premie</w:t>
      </w:r>
      <w:bookmarkEnd w:id="102"/>
    </w:p>
    <w:p w14:paraId="020EAC56" w14:textId="18FB16AC" w:rsidR="00737C1D" w:rsidRDefault="00737C1D" w:rsidP="00EC7D04">
      <w:pPr>
        <w:pStyle w:val="Randnummer"/>
        <w:spacing w:line="360" w:lineRule="auto"/>
        <w:rPr>
          <w:rStyle w:val="KleinKapitaalAuteursCtrlAltK"/>
          <w:smallCaps w:val="0"/>
        </w:rPr>
      </w:pPr>
      <w:r>
        <w:rPr>
          <w:rStyle w:val="KleinKapitaalAuteursCtrlAltK"/>
        </w:rPr>
        <w:t xml:space="preserve">Wet toekomst pensioenen </w:t>
      </w:r>
      <w:r w:rsidR="00EC7D04">
        <w:rPr>
          <w:rStyle w:val="KleinKapitaalAuteursCtrlAltK"/>
        </w:rPr>
        <w:t xml:space="preserve">– </w:t>
      </w:r>
      <w:r w:rsidR="00EC7D04" w:rsidRPr="00EC7D04">
        <w:rPr>
          <w:rStyle w:val="KleinKapitaalAuteursCtrlAltK"/>
          <w:smallCaps w:val="0"/>
        </w:rPr>
        <w:t xml:space="preserve">Met de invoering van de Wet </w:t>
      </w:r>
      <w:r w:rsidR="00085563">
        <w:rPr>
          <w:rStyle w:val="KleinKapitaalAuteursCtrlAltK"/>
          <w:smallCaps w:val="0"/>
        </w:rPr>
        <w:t>T</w:t>
      </w:r>
      <w:r w:rsidR="00EC7D04" w:rsidRPr="00EC7D04">
        <w:rPr>
          <w:rStyle w:val="KleinKapitaalAuteursCtrlAltK"/>
          <w:smallCaps w:val="0"/>
        </w:rPr>
        <w:t xml:space="preserve">oekomst </w:t>
      </w:r>
      <w:r w:rsidR="00085563">
        <w:rPr>
          <w:rStyle w:val="KleinKapitaalAuteursCtrlAltK"/>
          <w:smallCaps w:val="0"/>
        </w:rPr>
        <w:t>P</w:t>
      </w:r>
      <w:r w:rsidR="00EC7D04" w:rsidRPr="00EC7D04">
        <w:rPr>
          <w:rStyle w:val="KleinKapitaalAuteursCtrlAltK"/>
          <w:smallCaps w:val="0"/>
        </w:rPr>
        <w:t>ensioenen wordt er komaf gemaakt met deze doorsneesystematiek.</w:t>
      </w:r>
      <w:r w:rsidR="00EC7D04">
        <w:rPr>
          <w:rStyle w:val="KleinKapitaalAuteursCtrlAltK"/>
          <w:smallCaps w:val="0"/>
        </w:rPr>
        <w:t xml:space="preserve"> De afschaffing komt er in het kader van de dis</w:t>
      </w:r>
      <w:r w:rsidR="00640D8A">
        <w:rPr>
          <w:rStyle w:val="KleinKapitaalAuteursCtrlAltK"/>
          <w:smallCaps w:val="0"/>
        </w:rPr>
        <w:t>cus</w:t>
      </w:r>
      <w:r w:rsidR="00EC7D04">
        <w:rPr>
          <w:rStyle w:val="KleinKapitaalAuteursCtrlAltK"/>
          <w:smallCaps w:val="0"/>
        </w:rPr>
        <w:t>sie omtrent de gelijkheid van deze regeling.</w:t>
      </w:r>
      <w:r w:rsidR="00EC7D04">
        <w:rPr>
          <w:rStyle w:val="Voetnootmarkering"/>
          <w:lang w:val="nl-NL"/>
        </w:rPr>
        <w:footnoteReference w:id="262"/>
      </w:r>
    </w:p>
    <w:p w14:paraId="79A60DC1" w14:textId="73A17A21" w:rsidR="00640D8A" w:rsidRDefault="00640D8A" w:rsidP="00640D8A">
      <w:pPr>
        <w:pStyle w:val="Randnummer"/>
        <w:numPr>
          <w:ilvl w:val="0"/>
          <w:numId w:val="0"/>
        </w:numPr>
        <w:spacing w:line="360" w:lineRule="auto"/>
        <w:ind w:left="357"/>
        <w:rPr>
          <w:rStyle w:val="KleinKapitaalAuteursCtrlAltK"/>
          <w:smallCaps w:val="0"/>
        </w:rPr>
      </w:pPr>
      <w:r>
        <w:rPr>
          <w:rStyle w:val="KleinKapitaalAuteursCtrlAltK"/>
          <w:smallCaps w:val="0"/>
        </w:rPr>
        <w:t>Onder het oude systeem bouwde iedereen voor dezelfde premie evenveel pensioen op, wat leidde tot een onzichtbare overdracht van jong naar oud gezien de jongeren actuarieel te veel betaalden voor hun op</w:t>
      </w:r>
      <w:r w:rsidR="00C73DA0">
        <w:rPr>
          <w:rStyle w:val="KleinKapitaalAuteursCtrlAltK"/>
          <w:smallCaps w:val="0"/>
        </w:rPr>
        <w:t>ge</w:t>
      </w:r>
      <w:r>
        <w:rPr>
          <w:rStyle w:val="KleinKapitaalAuteursCtrlAltK"/>
          <w:smallCaps w:val="0"/>
        </w:rPr>
        <w:t>bouwd</w:t>
      </w:r>
      <w:r w:rsidR="00A2604B">
        <w:rPr>
          <w:rStyle w:val="KleinKapitaalAuteursCtrlAltK"/>
          <w:smallCaps w:val="0"/>
        </w:rPr>
        <w:t xml:space="preserve"> pensioen.</w:t>
      </w:r>
    </w:p>
    <w:p w14:paraId="7887408C" w14:textId="5DA5C999" w:rsidR="00640D8A" w:rsidRPr="003C22D6" w:rsidRDefault="00640D8A" w:rsidP="00640D8A">
      <w:pPr>
        <w:pStyle w:val="Randnummer"/>
        <w:spacing w:line="360" w:lineRule="auto"/>
        <w:rPr>
          <w:rStyle w:val="KleinKapitaalAuteursCtrlAltK"/>
        </w:rPr>
      </w:pPr>
      <w:r>
        <w:rPr>
          <w:rStyle w:val="KleinKapitaalAuteursCtrlAltK"/>
        </w:rPr>
        <w:t xml:space="preserve">Nieuwe premienorm – </w:t>
      </w:r>
      <w:r>
        <w:rPr>
          <w:rStyle w:val="KleinKapitaalAuteursCtrlAltK"/>
          <w:smallCaps w:val="0"/>
        </w:rPr>
        <w:t>Dankzij de invoering van de Wtp in 2023 wordt er een vlakke premie ingevoerd. De pensioenpremie in de basisregeling moet hierdoor voor alle deelnemers een gelijk percentage van het pensioengevend loon bedragen, ongeacht de leeftijd.</w:t>
      </w:r>
      <w:r>
        <w:rPr>
          <w:rStyle w:val="Voetnootmarkering"/>
          <w:lang w:val="nl-NL"/>
        </w:rPr>
        <w:footnoteReference w:id="263"/>
      </w:r>
      <w:r>
        <w:rPr>
          <w:rStyle w:val="KleinKapitaalAuteursCtrlAltK"/>
          <w:smallCaps w:val="0"/>
        </w:rPr>
        <w:t xml:space="preserve"> Omdat de premie van een jongere werknemer langer kan renderen, zal een gelijke premie resulteren in een degressieve opbouw: de pensioenwaarde die wordt verworven met de premie zal dalen naarmate de werknemer ouder wordt.</w:t>
      </w:r>
      <w:r>
        <w:rPr>
          <w:rStyle w:val="Voetnootmarkering"/>
          <w:lang w:val="nl-NL"/>
        </w:rPr>
        <w:footnoteReference w:id="264"/>
      </w:r>
    </w:p>
    <w:p w14:paraId="171888CD" w14:textId="255B90CA" w:rsidR="003C22D6" w:rsidRPr="00640D8A" w:rsidRDefault="003C22D6" w:rsidP="003C22D6">
      <w:pPr>
        <w:pStyle w:val="Randnummer"/>
        <w:numPr>
          <w:ilvl w:val="0"/>
          <w:numId w:val="0"/>
        </w:numPr>
        <w:spacing w:line="360" w:lineRule="auto"/>
        <w:ind w:left="357"/>
        <w:rPr>
          <w:rStyle w:val="KleinKapitaalAuteursCtrlAltK"/>
        </w:rPr>
      </w:pPr>
      <w:r>
        <w:rPr>
          <w:rStyle w:val="KleinKapitaalAuteursCtrlAltK"/>
          <w:smallCaps w:val="0"/>
        </w:rPr>
        <w:t>Dit indirect onderscheid op grond van leeftijd wordt door de wetgever uitdrukkelijk gerechtvaardigd om de arbeidsmarktpositie van de oudere werknemers te beschermen.</w:t>
      </w:r>
      <w:r>
        <w:rPr>
          <w:rStyle w:val="Voetnootmarkering"/>
          <w:lang w:val="nl-NL"/>
        </w:rPr>
        <w:footnoteReference w:id="265"/>
      </w:r>
    </w:p>
    <w:p w14:paraId="740F207D" w14:textId="7EE9CD45" w:rsidR="005F55C0" w:rsidRDefault="00891907" w:rsidP="00891907">
      <w:pPr>
        <w:pStyle w:val="Kop4"/>
        <w:rPr>
          <w:rStyle w:val="KleinKapitaalAuteursCtrlAltK"/>
          <w:smallCaps w:val="0"/>
          <w:lang w:val="nl-BE"/>
        </w:rPr>
      </w:pPr>
      <w:bookmarkStart w:id="103" w:name="_Toc228784136"/>
      <w:r>
        <w:rPr>
          <w:rStyle w:val="KleinKapitaalAuteursCtrlAltK"/>
          <w:smallCaps w:val="0"/>
          <w:lang w:val="nl-BE"/>
        </w:rPr>
        <w:t>Het controvers</w:t>
      </w:r>
      <w:r w:rsidR="00653E4C">
        <w:rPr>
          <w:rStyle w:val="KleinKapitaalAuteursCtrlAltK"/>
          <w:smallCaps w:val="0"/>
          <w:lang w:val="nl-BE"/>
        </w:rPr>
        <w:t>ieel ‘invaar’ mechanisme</w:t>
      </w:r>
      <w:bookmarkEnd w:id="103"/>
    </w:p>
    <w:p w14:paraId="1B759AB3" w14:textId="229C1EE5" w:rsidR="00653E4C" w:rsidRPr="00164A76" w:rsidRDefault="00D951B5" w:rsidP="00164A76">
      <w:pPr>
        <w:pStyle w:val="Randnummer"/>
        <w:spacing w:line="360" w:lineRule="auto"/>
        <w:rPr>
          <w:rStyle w:val="KleinKapitaalAuteursCtrlAltK"/>
          <w:smallCaps w:val="0"/>
          <w:lang w:val="nl-BE"/>
        </w:rPr>
      </w:pPr>
      <w:r>
        <w:rPr>
          <w:rStyle w:val="KleinKapitaalAuteursCtrlAltK"/>
        </w:rPr>
        <w:t xml:space="preserve">‘Invaren’ </w:t>
      </w:r>
      <w:r w:rsidR="009956F8">
        <w:rPr>
          <w:rStyle w:val="KleinKapitaalAuteursCtrlAltK"/>
        </w:rPr>
        <w:t>–</w:t>
      </w:r>
      <w:r>
        <w:rPr>
          <w:rStyle w:val="KleinKapitaalAuteursCtrlAltK"/>
        </w:rPr>
        <w:t xml:space="preserve"> </w:t>
      </w:r>
      <w:r w:rsidR="009956F8">
        <w:rPr>
          <w:rStyle w:val="KleinKapitaalAuteursCtrlAltK"/>
          <w:smallCaps w:val="0"/>
        </w:rPr>
        <w:t xml:space="preserve">Om de overgang naar het nieuwe stelsel te voltooien voorziet de Wtp in het </w:t>
      </w:r>
      <w:r w:rsidR="001A66E7">
        <w:rPr>
          <w:rStyle w:val="KleinKapitaalAuteursCtrlAltK"/>
          <w:smallCaps w:val="0"/>
        </w:rPr>
        <w:t>mechanisme</w:t>
      </w:r>
      <w:r w:rsidR="009956F8">
        <w:rPr>
          <w:rStyle w:val="KleinKapitaalAuteursCtrlAltK"/>
          <w:smallCaps w:val="0"/>
        </w:rPr>
        <w:t xml:space="preserve"> van ‘invaren’.</w:t>
      </w:r>
      <w:r w:rsidR="00F41219">
        <w:rPr>
          <w:rStyle w:val="Voetnootmarkering"/>
          <w:lang w:val="nl-NL"/>
        </w:rPr>
        <w:footnoteReference w:id="266"/>
      </w:r>
      <w:r w:rsidR="004B61BA">
        <w:rPr>
          <w:rStyle w:val="KleinKapitaalAuteursCtrlAltK"/>
          <w:smallCaps w:val="0"/>
        </w:rPr>
        <w:t xml:space="preserve"> Hierbij worden reeds opgebouwde pensioenrechten collectief omgezet naar aanspraken in de nieuwe premieovereenkomst.</w:t>
      </w:r>
      <w:r w:rsidR="004B61BA">
        <w:rPr>
          <w:rStyle w:val="Voetnootmarkering"/>
          <w:lang w:val="nl-NL"/>
        </w:rPr>
        <w:footnoteReference w:id="267"/>
      </w:r>
      <w:r w:rsidR="004B61BA">
        <w:rPr>
          <w:rStyle w:val="KleinKapitaalAuteursCtrlAltK"/>
          <w:smallCaps w:val="0"/>
        </w:rPr>
        <w:t xml:space="preserve"> In tegenstelling tot de algemene regels, heeft de Nederlandse wetgever voor deze transitie het individuele bezwaarrecht uitgeschakeld.</w:t>
      </w:r>
      <w:r w:rsidR="004B61BA">
        <w:rPr>
          <w:rStyle w:val="Voetnootmarkering"/>
          <w:lang w:val="nl-NL"/>
        </w:rPr>
        <w:footnoteReference w:id="268"/>
      </w:r>
      <w:r w:rsidR="00C07B7E">
        <w:rPr>
          <w:rStyle w:val="KleinKapitaalAuteursCtrlAltK"/>
          <w:smallCaps w:val="0"/>
        </w:rPr>
        <w:t xml:space="preserve"> Dit met als doel om te voorkomen dat oude</w:t>
      </w:r>
      <w:r w:rsidR="00C07B7E" w:rsidRPr="00164A76">
        <w:rPr>
          <w:rStyle w:val="KleinKapitaalAuteursCtrlAltK"/>
          <w:smallCaps w:val="0"/>
        </w:rPr>
        <w:t xml:space="preserve"> regelingen als ‘sterfhuisconstructies’ zouden achterblijven en hierdoor de collectieve levensvatbaarheid van het systeem zouden ondermijnen.</w:t>
      </w:r>
    </w:p>
    <w:p w14:paraId="6D15A582" w14:textId="76557C3E" w:rsidR="00011717" w:rsidRPr="005A2890" w:rsidRDefault="006E1251" w:rsidP="004B61BA">
      <w:pPr>
        <w:pStyle w:val="Randnummer"/>
        <w:spacing w:line="360" w:lineRule="auto"/>
        <w:rPr>
          <w:rStyle w:val="KleinKapitaalAuteursCtrlAltK"/>
          <w:smallCaps w:val="0"/>
          <w:lang w:val="nl-BE"/>
        </w:rPr>
      </w:pPr>
      <w:r>
        <w:rPr>
          <w:rStyle w:val="KleinKapitaalAuteursCtrlAltK"/>
        </w:rPr>
        <w:t xml:space="preserve">Juridische risico’s van schrappen van bezwaarrecht – </w:t>
      </w:r>
      <w:r>
        <w:rPr>
          <w:rStyle w:val="KleinKapitaalAuteursCtrlAltK"/>
          <w:smallCaps w:val="0"/>
        </w:rPr>
        <w:t>Door het ontbreken van het bezwaarrecht wordt een golf van juridische procedures verwacht, wat kan leiden tot een aanzienlijke extra belasting van de civiele rechter. Daarnaast kan de introductie van het systeem van degressieve opbouw leiden tot generatie</w:t>
      </w:r>
      <w:r w:rsidR="00120433">
        <w:rPr>
          <w:rStyle w:val="KleinKapitaalAuteursCtrlAltK"/>
          <w:smallCaps w:val="0"/>
        </w:rPr>
        <w:t>-</w:t>
      </w:r>
      <w:r>
        <w:rPr>
          <w:rStyle w:val="KleinKapitaalAuteursCtrlAltK"/>
          <w:smallCaps w:val="0"/>
        </w:rPr>
        <w:t>effecten</w:t>
      </w:r>
      <w:r w:rsidR="00120433">
        <w:rPr>
          <w:rStyle w:val="KleinKapitaalAuteursCtrlAltK"/>
          <w:smallCaps w:val="0"/>
        </w:rPr>
        <w:t>,</w:t>
      </w:r>
      <w:r>
        <w:rPr>
          <w:rStyle w:val="KleinKapitaalAuteursCtrlAltK"/>
          <w:smallCaps w:val="0"/>
        </w:rPr>
        <w:t xml:space="preserve"> waardoor claims </w:t>
      </w:r>
      <w:r w:rsidR="00120433">
        <w:rPr>
          <w:rStyle w:val="KleinKapitaalAuteursCtrlAltK"/>
          <w:smallCaps w:val="0"/>
        </w:rPr>
        <w:t xml:space="preserve">kunnen </w:t>
      </w:r>
      <w:r>
        <w:rPr>
          <w:rStyle w:val="KleinKapitaalAuteursCtrlAltK"/>
          <w:smallCaps w:val="0"/>
        </w:rPr>
        <w:t>worden ingesteld op basis van het verbod op leeftijdsdiscriminatie.</w:t>
      </w:r>
      <w:r>
        <w:rPr>
          <w:rStyle w:val="Voetnootmarkering"/>
          <w:lang w:val="nl-NL"/>
        </w:rPr>
        <w:footnoteReference w:id="269"/>
      </w:r>
      <w:r w:rsidR="00EC5D0C">
        <w:rPr>
          <w:rStyle w:val="KleinKapitaalAuteursCtrlAltK"/>
          <w:smallCaps w:val="0"/>
        </w:rPr>
        <w:t xml:space="preserve"> Of het zo ver zal komen</w:t>
      </w:r>
      <w:r w:rsidR="00120433">
        <w:rPr>
          <w:rStyle w:val="KleinKapitaalAuteursCtrlAltK"/>
          <w:smallCaps w:val="0"/>
        </w:rPr>
        <w:t>, zal de tijd moeten uitwijzen.</w:t>
      </w:r>
    </w:p>
    <w:p w14:paraId="46CEB65E" w14:textId="401358E4" w:rsidR="005A2890" w:rsidRDefault="005A2890" w:rsidP="005A2890">
      <w:pPr>
        <w:pStyle w:val="Kop3"/>
      </w:pPr>
      <w:bookmarkStart w:id="104" w:name="_Toc228784137"/>
      <w:r>
        <w:t>Afdeling III. concluderende analyse</w:t>
      </w:r>
      <w:bookmarkEnd w:id="104"/>
      <w:r>
        <w:t xml:space="preserve"> </w:t>
      </w:r>
    </w:p>
    <w:p w14:paraId="36E9678D" w14:textId="26C98BDF" w:rsidR="005A2890" w:rsidRPr="000F25B9" w:rsidRDefault="004E1D78" w:rsidP="004E1D78">
      <w:pPr>
        <w:pStyle w:val="Randnummer"/>
        <w:spacing w:line="360" w:lineRule="auto"/>
        <w:rPr>
          <w:rStyle w:val="KleinKapitaalAuteursCtrlAltK"/>
        </w:rPr>
      </w:pPr>
      <w:r w:rsidRPr="004E1D78">
        <w:rPr>
          <w:rStyle w:val="KleinKapitaalAuteursCtrlAltK"/>
        </w:rPr>
        <w:t>Focus op actuariële eenmaking</w:t>
      </w:r>
      <w:r>
        <w:rPr>
          <w:rStyle w:val="KleinKapitaalAuteursCtrlAltK"/>
        </w:rPr>
        <w:t xml:space="preserve"> – </w:t>
      </w:r>
      <w:r>
        <w:rPr>
          <w:rStyle w:val="KleinKapitaalAuteursCtrlAltK"/>
          <w:smallCaps w:val="0"/>
        </w:rPr>
        <w:t>De analyse heeft zich in Nederland voornamelijk toegespitst op de tweede pensioenpijler daar er nooit een structureel onderscheid gemaakt werd tussen arbeiders en bedienden zoals in België</w:t>
      </w:r>
      <w:r w:rsidR="000C215A">
        <w:rPr>
          <w:rStyle w:val="KleinKapitaalAuteursCtrlAltK"/>
          <w:smallCaps w:val="0"/>
        </w:rPr>
        <w:t xml:space="preserve">, </w:t>
      </w:r>
      <w:r>
        <w:rPr>
          <w:rStyle w:val="KleinKapitaalAuteursCtrlAltK"/>
          <w:smallCaps w:val="0"/>
        </w:rPr>
        <w:t>Luxemburg</w:t>
      </w:r>
      <w:r w:rsidR="000C215A">
        <w:rPr>
          <w:rStyle w:val="KleinKapitaalAuteursCtrlAltK"/>
          <w:smallCaps w:val="0"/>
        </w:rPr>
        <w:t xml:space="preserve"> en Duitsland.</w:t>
      </w:r>
      <w:r w:rsidR="000F25B9">
        <w:rPr>
          <w:rStyle w:val="KleinKapitaalAuteursCtrlAltK"/>
          <w:smallCaps w:val="0"/>
        </w:rPr>
        <w:t xml:space="preserve"> Waar de Belgische discussie tot op de dag van vandaag vastgeketend blijft aan het wegwerken van het historische onderscheid tussen arbeiders en bedienden tegen de deadline van 2030, concentreert Nederland zich op een </w:t>
      </w:r>
      <w:r w:rsidR="00431481">
        <w:rPr>
          <w:rStyle w:val="KleinKapitaalAuteursCtrlAltK"/>
          <w:smallCaps w:val="0"/>
        </w:rPr>
        <w:t>systee</w:t>
      </w:r>
      <w:r w:rsidR="00657586">
        <w:rPr>
          <w:rStyle w:val="KleinKapitaalAuteursCtrlAltK"/>
          <w:smallCaps w:val="0"/>
        </w:rPr>
        <w:t xml:space="preserve">m </w:t>
      </w:r>
      <w:r w:rsidR="00431481">
        <w:rPr>
          <w:rStyle w:val="KleinKapitaalAuteursCtrlAltK"/>
          <w:smallCaps w:val="0"/>
        </w:rPr>
        <w:t>brede</w:t>
      </w:r>
      <w:r w:rsidR="000F25B9">
        <w:rPr>
          <w:rStyle w:val="KleinKapitaalAuteursCtrlAltK"/>
          <w:smallCaps w:val="0"/>
        </w:rPr>
        <w:t xml:space="preserve"> en actuariële eenmaking van het systeem.</w:t>
      </w:r>
      <w:r w:rsidR="000F25B9">
        <w:rPr>
          <w:rStyle w:val="Voetnootmarkering"/>
          <w:lang w:val="nl-NL"/>
        </w:rPr>
        <w:footnoteReference w:id="270"/>
      </w:r>
    </w:p>
    <w:p w14:paraId="70A1DF93" w14:textId="38C8C296" w:rsidR="000F25B9" w:rsidRPr="00C80262" w:rsidRDefault="000F25B9" w:rsidP="004E1D78">
      <w:pPr>
        <w:pStyle w:val="Randnummer"/>
        <w:spacing w:line="360" w:lineRule="auto"/>
        <w:rPr>
          <w:rStyle w:val="KleinKapitaalAuteursCtrlAltK"/>
        </w:rPr>
      </w:pPr>
      <w:r w:rsidRPr="000F25B9">
        <w:rPr>
          <w:rStyle w:val="KleinKapitaalAuteursCtrlAltK"/>
        </w:rPr>
        <w:t xml:space="preserve">Speciaal weigeringsrecht versus invaarmechanisme </w:t>
      </w:r>
      <w:r w:rsidR="00294AA5">
        <w:rPr>
          <w:rStyle w:val="KleinKapitaalAuteursCtrlAltK"/>
        </w:rPr>
        <w:t xml:space="preserve">– </w:t>
      </w:r>
      <w:r w:rsidR="00294AA5" w:rsidRPr="00294AA5">
        <w:rPr>
          <w:rStyle w:val="KleinKapitaalAuteursCtrlAltK"/>
          <w:smallCaps w:val="0"/>
        </w:rPr>
        <w:t>Een cruciaal verschil tussen beide landen speelt zich af op het vlak van de methodiek van de transitie. De Belgische wetgever hanteert met het speciaal weigeringsrecht een “permissieve” aanpak, waarbij het individuele recht op rechtszekerheid zwaarder doorweegt dan de snelheid van de collectieve harmonisatie.</w:t>
      </w:r>
      <w:r w:rsidR="00294AA5">
        <w:rPr>
          <w:rStyle w:val="KleinKapitaalAuteursCtrlAltK"/>
          <w:smallCaps w:val="0"/>
        </w:rPr>
        <w:t xml:space="preserve"> In Nederland daarentegen kiest de Wet </w:t>
      </w:r>
      <w:r w:rsidR="000C215A">
        <w:rPr>
          <w:rStyle w:val="KleinKapitaalAuteursCtrlAltK"/>
          <w:smallCaps w:val="0"/>
        </w:rPr>
        <w:t>T</w:t>
      </w:r>
      <w:r w:rsidR="00294AA5">
        <w:rPr>
          <w:rStyle w:val="KleinKapitaalAuteursCtrlAltK"/>
          <w:smallCaps w:val="0"/>
        </w:rPr>
        <w:t xml:space="preserve">oekomst </w:t>
      </w:r>
      <w:r w:rsidR="000C215A">
        <w:rPr>
          <w:rStyle w:val="KleinKapitaalAuteursCtrlAltK"/>
          <w:smallCaps w:val="0"/>
        </w:rPr>
        <w:t>P</w:t>
      </w:r>
      <w:r w:rsidR="00294AA5">
        <w:rPr>
          <w:rStyle w:val="KleinKapitaalAuteursCtrlAltK"/>
          <w:smallCaps w:val="0"/>
        </w:rPr>
        <w:t>ensioenen voor het diametraal tegenovergestelde pad: om de collectieve levensvatbaarheid van het systeem te garanderen, wordt het individuele bezwaarrecht uitgeschakeld</w:t>
      </w:r>
      <w:r w:rsidR="00945A69">
        <w:rPr>
          <w:rStyle w:val="KleinKapitaalAuteursCtrlAltK"/>
          <w:smallCaps w:val="0"/>
        </w:rPr>
        <w:t>.</w:t>
      </w:r>
      <w:r w:rsidR="00294AA5">
        <w:rPr>
          <w:rStyle w:val="KleinKapitaalAuteursCtrlAltK"/>
          <w:smallCaps w:val="0"/>
        </w:rPr>
        <w:t xml:space="preserve"> Hoewel dit de transitie versnelt, gaat het gepaard met significante juridische risico’s. </w:t>
      </w:r>
    </w:p>
    <w:p w14:paraId="39733FC9" w14:textId="147C6F69" w:rsidR="00C80262" w:rsidRPr="00DC2C7A" w:rsidRDefault="00C80262" w:rsidP="004E1D78">
      <w:pPr>
        <w:pStyle w:val="Randnummer"/>
        <w:spacing w:line="360" w:lineRule="auto"/>
        <w:rPr>
          <w:rStyle w:val="KleinKapitaalAuteursCtrlAltK"/>
        </w:rPr>
      </w:pPr>
      <w:r>
        <w:rPr>
          <w:rStyle w:val="KleinKapitaalAuteursCtrlAltK"/>
        </w:rPr>
        <w:t xml:space="preserve">Bedrijfstaksolidariteit </w:t>
      </w:r>
      <w:r w:rsidR="00CE2AB6">
        <w:rPr>
          <w:rStyle w:val="KleinKapitaalAuteursCtrlAltK"/>
        </w:rPr>
        <w:t>–</w:t>
      </w:r>
      <w:r>
        <w:rPr>
          <w:rStyle w:val="KleinKapitaalAuteursCtrlAltK"/>
        </w:rPr>
        <w:t xml:space="preserve"> </w:t>
      </w:r>
      <w:r w:rsidR="00CE2AB6">
        <w:rPr>
          <w:rStyle w:val="KleinKapitaalAuteursCtrlAltK"/>
          <w:smallCaps w:val="0"/>
        </w:rPr>
        <w:t>Daarnaast biedt het systeem van bedrijfstaksolidariteit een les voor de Belgische sectorale knelpunten. Nederland toont met dit systeem aan dat een effectieve tweede pijler rust op het elimineren van concurrentie op arbeidsvoorwaarden binnen een gehele sector.</w:t>
      </w:r>
    </w:p>
    <w:p w14:paraId="5277E00D" w14:textId="0BC70250" w:rsidR="006E3567" w:rsidRPr="000F25B9" w:rsidRDefault="00DC2C7A" w:rsidP="00C407F0">
      <w:pPr>
        <w:pStyle w:val="Randnummer"/>
        <w:spacing w:line="360" w:lineRule="auto"/>
        <w:rPr>
          <w:rStyle w:val="KleinKapitaalAuteursCtrlAltK"/>
        </w:rPr>
      </w:pPr>
      <w:r>
        <w:rPr>
          <w:rStyle w:val="KleinKapitaalAuteursCtrlAltK"/>
        </w:rPr>
        <w:t xml:space="preserve">Besluit </w:t>
      </w:r>
      <w:r w:rsidR="005C59BF">
        <w:rPr>
          <w:rStyle w:val="KleinKapitaalAuteursCtrlAltK"/>
        </w:rPr>
        <w:t>–</w:t>
      </w:r>
      <w:r>
        <w:rPr>
          <w:rStyle w:val="KleinKapitaalAuteursCtrlAltK"/>
        </w:rPr>
        <w:t xml:space="preserve"> </w:t>
      </w:r>
      <w:r w:rsidR="005C59BF">
        <w:rPr>
          <w:rStyle w:val="KleinKapitaalAuteursCtrlAltK"/>
          <w:smallCaps w:val="0"/>
        </w:rPr>
        <w:t xml:space="preserve">De Nederlandse ervaring leert ons dat harmonisatie geen eindpunt is, maar een continu proces waarbij het bewaken van de balans tussen individuele rechten en collectieve solidariteit de grootste uitdaging blijft. </w:t>
      </w:r>
      <w:r w:rsidR="00E300F7">
        <w:rPr>
          <w:rStyle w:val="KleinKapitaalAuteursCtrlAltK"/>
          <w:smallCaps w:val="0"/>
        </w:rPr>
        <w:t>Hoewel zij niet te maken krijgen met de discriminatie tussen het statutair verschil tussen arbeiders en bedienden kent de tweede pensioenpijler in Nederland haar eigen uitdagingen</w:t>
      </w:r>
      <w:r w:rsidR="00C77E32">
        <w:rPr>
          <w:rStyle w:val="KleinKapitaalAuteursCtrlAltK"/>
          <w:smallCaps w:val="0"/>
        </w:rPr>
        <w:t>.</w:t>
      </w:r>
      <w:r w:rsidR="00C407F0">
        <w:rPr>
          <w:rStyle w:val="KleinKapitaalAuteursCtrlAltK"/>
        </w:rPr>
        <w:br w:type="page"/>
      </w:r>
    </w:p>
    <w:p w14:paraId="562FE8ED" w14:textId="03A43B97" w:rsidR="00D2211A" w:rsidRDefault="00D2211A" w:rsidP="00D2211A">
      <w:pPr>
        <w:pStyle w:val="Kop2"/>
        <w:rPr>
          <w:lang w:val="nl-NL"/>
        </w:rPr>
      </w:pPr>
      <w:bookmarkStart w:id="105" w:name="_Toc228784138"/>
      <w:r>
        <w:rPr>
          <w:lang w:val="nl-NL"/>
        </w:rPr>
        <w:t>Duitsland</w:t>
      </w:r>
      <w:bookmarkEnd w:id="105"/>
    </w:p>
    <w:p w14:paraId="31C26351" w14:textId="40E03D49" w:rsidR="00D2211A" w:rsidRPr="00D2211A" w:rsidRDefault="00D2211A" w:rsidP="00D2211A">
      <w:pPr>
        <w:pStyle w:val="Kop3"/>
        <w:rPr>
          <w:lang w:val="nl-NL"/>
        </w:rPr>
      </w:pPr>
      <w:bookmarkStart w:id="106" w:name="_Toc228784139"/>
      <w:r>
        <w:rPr>
          <w:lang w:val="nl-NL"/>
        </w:rPr>
        <w:t xml:space="preserve">Afdeling I. </w:t>
      </w:r>
      <w:r w:rsidR="0057073A">
        <w:rPr>
          <w:lang w:val="nl-NL"/>
        </w:rPr>
        <w:t>Historische evolutie</w:t>
      </w:r>
      <w:bookmarkEnd w:id="106"/>
      <w:r w:rsidR="0057073A">
        <w:rPr>
          <w:lang w:val="nl-NL"/>
        </w:rPr>
        <w:t xml:space="preserve"> </w:t>
      </w:r>
    </w:p>
    <w:p w14:paraId="585B095B" w14:textId="65C250DA" w:rsidR="00D2211A" w:rsidRDefault="00D2211A" w:rsidP="00D2211A">
      <w:pPr>
        <w:pStyle w:val="Randnummer"/>
        <w:spacing w:line="360" w:lineRule="auto"/>
        <w:rPr>
          <w:rStyle w:val="KleinKapitaalAuteursCtrlAltK"/>
          <w:smallCaps w:val="0"/>
        </w:rPr>
      </w:pPr>
      <w:r>
        <w:rPr>
          <w:rStyle w:val="KleinKapitaalAuteursCtrlAltK"/>
        </w:rPr>
        <w:t xml:space="preserve">Soortgelijke evolutie – </w:t>
      </w:r>
      <w:r>
        <w:rPr>
          <w:rStyle w:val="KleinKapitaalAuteursCtrlAltK"/>
          <w:smallCaps w:val="0"/>
        </w:rPr>
        <w:t>In Duitsland heeft er zich een soortgelijke evolutie voorgedaan als in België. Ook daar werd onder impuls van het “</w:t>
      </w:r>
      <w:r>
        <w:rPr>
          <w:rStyle w:val="KleinKapitaalAuteursCtrlAltK"/>
          <w:i/>
          <w:iCs/>
          <w:smallCaps w:val="0"/>
        </w:rPr>
        <w:t>Bundesverfassunsgericht”</w:t>
      </w:r>
      <w:r>
        <w:rPr>
          <w:rStyle w:val="KleinKapitaalAuteursCtrlAltK"/>
          <w:smallCaps w:val="0"/>
        </w:rPr>
        <w:t>, te vergelijken met het Belgisch Grondwettelijk Hof, het historisch onderscheid tussen arbeiders en bedienden ongrondwettig bevonden.</w:t>
      </w:r>
      <w:r>
        <w:rPr>
          <w:rStyle w:val="Voetnootmarkering"/>
          <w:lang w:val="nl-NL"/>
        </w:rPr>
        <w:footnoteReference w:id="271"/>
      </w:r>
      <w:r>
        <w:rPr>
          <w:rStyle w:val="KleinKapitaalAuteursCtrlAltK"/>
          <w:smallCaps w:val="0"/>
        </w:rPr>
        <w:t xml:space="preserve"> </w:t>
      </w:r>
      <w:r w:rsidR="00FE1B67">
        <w:rPr>
          <w:rStyle w:val="KleinKapitaalAuteursCtrlAltK"/>
          <w:smallCaps w:val="0"/>
        </w:rPr>
        <w:t xml:space="preserve">Met het oog op het beantwoorden van de centrale onderzoeksvraag is het dan ook zeer nuttig om na te gaan hoe de Duitse wetgever is omgegaan met deze ongrondwettigheid. </w:t>
      </w:r>
    </w:p>
    <w:p w14:paraId="7B816C5D" w14:textId="7738BC79" w:rsidR="00D2211A" w:rsidRDefault="00D2211A" w:rsidP="00D2211A">
      <w:pPr>
        <w:pStyle w:val="Randnummer"/>
        <w:numPr>
          <w:ilvl w:val="0"/>
          <w:numId w:val="0"/>
        </w:numPr>
        <w:spacing w:line="360" w:lineRule="auto"/>
        <w:ind w:left="357"/>
        <w:rPr>
          <w:rStyle w:val="KleinKapitaalAuteursCtrlAltK"/>
          <w:smallCaps w:val="0"/>
        </w:rPr>
      </w:pPr>
      <w:r>
        <w:rPr>
          <w:rStyle w:val="KleinKapitaalAuteursCtrlAltK"/>
          <w:smallCaps w:val="0"/>
        </w:rPr>
        <w:t>Het Duits mijlpaalarrest werd geruime tijd voor het arrest van het Grondwettelijk Hof uitgesproken waardoor de evolutie hier een vroegere startdatum kent dan in België.</w:t>
      </w:r>
      <w:r w:rsidR="0088255F">
        <w:rPr>
          <w:rStyle w:val="KleinKapitaalAuteursCtrlAltK"/>
          <w:smallCaps w:val="0"/>
        </w:rPr>
        <w:t xml:space="preserve"> De positie van arbeiders en bedienden was in Duitsland vóór het arrest van 30 mei 1990 redelijk vergelijkbaar met het Belgisch systeem. Net zoals in België bestond er een onderscheid tussen arbeiders en bedienden, dat gebaseerd was op basis van het al dan niet presteren van een fysieke dan wel intellectuele arbeid.</w:t>
      </w:r>
      <w:r w:rsidR="0088255F">
        <w:rPr>
          <w:rStyle w:val="Voetnootmarkering"/>
          <w:lang w:val="nl-NL"/>
        </w:rPr>
        <w:footnoteReference w:id="272"/>
      </w:r>
    </w:p>
    <w:p w14:paraId="629E5DF6" w14:textId="24984092" w:rsidR="004108C4" w:rsidRDefault="004108C4" w:rsidP="00D2211A">
      <w:pPr>
        <w:pStyle w:val="Randnummer"/>
        <w:numPr>
          <w:ilvl w:val="0"/>
          <w:numId w:val="0"/>
        </w:numPr>
        <w:spacing w:line="360" w:lineRule="auto"/>
        <w:ind w:left="357"/>
        <w:rPr>
          <w:rStyle w:val="KleinKapitaalAuteursCtrlAltK"/>
          <w:smallCaps w:val="0"/>
        </w:rPr>
      </w:pPr>
      <w:r>
        <w:rPr>
          <w:rStyle w:val="KleinKapitaalAuteursCtrlAltK"/>
          <w:smallCaps w:val="0"/>
        </w:rPr>
        <w:t xml:space="preserve">We zagen in Duitsland dat de </w:t>
      </w:r>
      <w:r w:rsidRPr="006455EF">
        <w:rPr>
          <w:rStyle w:val="KleinKapitaalAuteursCtrlAltK"/>
          <w:i/>
          <w:iCs/>
          <w:smallCaps w:val="0"/>
        </w:rPr>
        <w:t>Arbeiters</w:t>
      </w:r>
      <w:r>
        <w:rPr>
          <w:rStyle w:val="KleinKapitaalAuteursCtrlAltK"/>
          <w:smallCaps w:val="0"/>
        </w:rPr>
        <w:t xml:space="preserve"> (arbeiders) en de</w:t>
      </w:r>
      <w:r w:rsidRPr="006455EF">
        <w:rPr>
          <w:rStyle w:val="KleinKapitaalAuteursCtrlAltK"/>
          <w:i/>
          <w:iCs/>
          <w:smallCaps w:val="0"/>
        </w:rPr>
        <w:t xml:space="preserve"> Angestellten</w:t>
      </w:r>
      <w:r>
        <w:rPr>
          <w:rStyle w:val="KleinKapitaalAuteursCtrlAltK"/>
          <w:smallCaps w:val="0"/>
        </w:rPr>
        <w:t xml:space="preserve"> (bedienden) net zoals in België verschillend behandeld werden op het vlak van de opzeggingstermijnen.</w:t>
      </w:r>
      <w:r w:rsidR="00441666">
        <w:rPr>
          <w:rStyle w:val="Voetnootmarkering"/>
          <w:lang w:val="nl-NL"/>
        </w:rPr>
        <w:footnoteReference w:id="273"/>
      </w:r>
      <w:r>
        <w:rPr>
          <w:rStyle w:val="KleinKapitaalAuteursCtrlAltK"/>
          <w:smallCaps w:val="0"/>
        </w:rPr>
        <w:t xml:space="preserve"> </w:t>
      </w:r>
      <w:r w:rsidR="000F620B">
        <w:rPr>
          <w:rStyle w:val="KleinKapitaalAuteursCtrlAltK"/>
          <w:smallCaps w:val="0"/>
        </w:rPr>
        <w:t xml:space="preserve">Het onderscheid was in Duitsland echter kleiner dan in België. </w:t>
      </w:r>
      <w:r w:rsidR="000969CC">
        <w:rPr>
          <w:rStyle w:val="KleinKapitaalAuteursCtrlAltK"/>
          <w:smallCaps w:val="0"/>
        </w:rPr>
        <w:t xml:space="preserve">De </w:t>
      </w:r>
      <w:r w:rsidR="000969CC" w:rsidRPr="000969CC">
        <w:rPr>
          <w:rStyle w:val="KleinKapitaalAuteursCtrlAltK"/>
          <w:i/>
          <w:iCs/>
          <w:smallCaps w:val="0"/>
        </w:rPr>
        <w:t>Angestellten</w:t>
      </w:r>
      <w:r w:rsidR="000969CC">
        <w:rPr>
          <w:rStyle w:val="KleinKapitaalAuteursCtrlAltK"/>
          <w:smallCaps w:val="0"/>
        </w:rPr>
        <w:t xml:space="preserve"> genoten traditioneel van gunstigere arbeidsvoorwaarden.</w:t>
      </w:r>
    </w:p>
    <w:p w14:paraId="1D7223E7" w14:textId="7D10789B" w:rsidR="00FE1B67" w:rsidRDefault="001C5976" w:rsidP="00FD3853">
      <w:pPr>
        <w:pStyle w:val="Randnummer"/>
        <w:spacing w:line="360" w:lineRule="auto"/>
        <w:rPr>
          <w:lang w:val="nl-NL"/>
        </w:rPr>
      </w:pPr>
      <w:r w:rsidRPr="006F4257">
        <w:rPr>
          <w:rStyle w:val="KleinKapitaalAuteursCtrlAltK"/>
          <w:i/>
          <w:iCs/>
        </w:rPr>
        <w:t>BVerfG</w:t>
      </w:r>
      <w:r>
        <w:rPr>
          <w:rStyle w:val="KleinKapitaalAuteursCtrlAltK"/>
        </w:rPr>
        <w:t xml:space="preserve"> - </w:t>
      </w:r>
      <w:r w:rsidR="00FE1B67">
        <w:rPr>
          <w:lang w:val="nl-NL"/>
        </w:rPr>
        <w:t xml:space="preserve">Op 30 mei 1990 besliste het </w:t>
      </w:r>
      <w:r w:rsidR="00FE1B67" w:rsidRPr="006F4257">
        <w:rPr>
          <w:i/>
          <w:iCs/>
          <w:lang w:val="nl-NL"/>
        </w:rPr>
        <w:t>BverfG</w:t>
      </w:r>
      <w:r w:rsidR="00FE1B67">
        <w:rPr>
          <w:lang w:val="nl-NL"/>
        </w:rPr>
        <w:t xml:space="preserve"> dat §622 tweede lid BGB in strijd was met het Duitse grondwettelijk gelijkheidsbeginsel.</w:t>
      </w:r>
      <w:r w:rsidR="00AC5E66">
        <w:rPr>
          <w:rStyle w:val="Voetnootmarkering"/>
          <w:lang w:val="nl-NL"/>
        </w:rPr>
        <w:footnoteReference w:id="274"/>
      </w:r>
      <w:r w:rsidR="00AC5E66">
        <w:rPr>
          <w:lang w:val="nl-NL"/>
        </w:rPr>
        <w:t xml:space="preserve"> Dit werd beslist naar aanleiding van een vraag </w:t>
      </w:r>
      <w:r w:rsidR="00DA0BCE">
        <w:rPr>
          <w:lang w:val="nl-NL"/>
        </w:rPr>
        <w:t>dat</w:t>
      </w:r>
      <w:r w:rsidR="00AC5E66">
        <w:rPr>
          <w:lang w:val="nl-NL"/>
        </w:rPr>
        <w:t xml:space="preserve"> werd voorgelegd in het kader van het verschil in opzeggingstermijnen voor </w:t>
      </w:r>
      <w:r w:rsidR="00AC5E66" w:rsidRPr="00D8397A">
        <w:rPr>
          <w:i/>
          <w:iCs/>
          <w:lang w:val="nl-NL"/>
        </w:rPr>
        <w:t>Arbeiters</w:t>
      </w:r>
      <w:r w:rsidR="00AC5E66">
        <w:rPr>
          <w:lang w:val="nl-NL"/>
        </w:rPr>
        <w:t xml:space="preserve"> en </w:t>
      </w:r>
      <w:r w:rsidR="00AC5E66" w:rsidRPr="00D8397A">
        <w:rPr>
          <w:i/>
          <w:iCs/>
          <w:lang w:val="nl-NL"/>
        </w:rPr>
        <w:t>Angestellten</w:t>
      </w:r>
      <w:r w:rsidR="00AC5E66">
        <w:rPr>
          <w:lang w:val="nl-NL"/>
        </w:rPr>
        <w:t>.</w:t>
      </w:r>
      <w:r w:rsidR="00AC5E66">
        <w:rPr>
          <w:rStyle w:val="Voetnootmarkering"/>
          <w:lang w:val="nl-NL"/>
        </w:rPr>
        <w:footnoteReference w:id="275"/>
      </w:r>
      <w:r w:rsidR="00FD3853">
        <w:rPr>
          <w:lang w:val="nl-NL"/>
        </w:rPr>
        <w:t xml:space="preserve"> Net zoals de Belgische wetgever kreeg ook de Duitse wetgever een dwingende termijn opgelegd. H</w:t>
      </w:r>
      <w:r w:rsidR="0058063D">
        <w:rPr>
          <w:lang w:val="nl-NL"/>
        </w:rPr>
        <w:t>ij</w:t>
      </w:r>
      <w:r w:rsidR="00FD3853">
        <w:rPr>
          <w:lang w:val="nl-NL"/>
        </w:rPr>
        <w:t xml:space="preserve"> moest namelijk tegen 30 juni 1993 §622 tweede lid BGB in overeenstemming brengen met de grondwet.</w:t>
      </w:r>
      <w:r w:rsidR="00FD3853">
        <w:rPr>
          <w:rStyle w:val="Voetnootmarkering"/>
          <w:lang w:val="nl-NL"/>
        </w:rPr>
        <w:footnoteReference w:id="276"/>
      </w:r>
      <w:r w:rsidR="00FD3853">
        <w:rPr>
          <w:lang w:val="nl-NL"/>
        </w:rPr>
        <w:t xml:space="preserve"> Uit haar uitleg bij het arrest laat het </w:t>
      </w:r>
      <w:r w:rsidR="00FD3853" w:rsidRPr="00DA0BCE">
        <w:rPr>
          <w:i/>
          <w:iCs/>
          <w:lang w:val="nl-NL"/>
        </w:rPr>
        <w:t xml:space="preserve">BverfG </w:t>
      </w:r>
      <w:r w:rsidR="00FD3853">
        <w:rPr>
          <w:lang w:val="nl-NL"/>
        </w:rPr>
        <w:t xml:space="preserve">blijken dat het van mening is dat </w:t>
      </w:r>
      <w:r w:rsidR="00FD3853" w:rsidRPr="00312F63">
        <w:rPr>
          <w:i/>
          <w:iCs/>
          <w:lang w:val="nl-NL"/>
        </w:rPr>
        <w:t>Angestellten</w:t>
      </w:r>
      <w:r w:rsidR="00FD3853">
        <w:rPr>
          <w:lang w:val="nl-NL"/>
        </w:rPr>
        <w:t xml:space="preserve"> beter beschermd zijn dan </w:t>
      </w:r>
      <w:r w:rsidR="00FD3853" w:rsidRPr="00312F63">
        <w:rPr>
          <w:i/>
          <w:iCs/>
          <w:lang w:val="nl-NL"/>
        </w:rPr>
        <w:t xml:space="preserve">Arbeiters </w:t>
      </w:r>
      <w:r w:rsidR="00FD3853">
        <w:rPr>
          <w:lang w:val="nl-NL"/>
        </w:rPr>
        <w:t>omwille van een zekere samenhang van langere opzeggingstermijnen met een goed gekozen tijdstip.</w:t>
      </w:r>
      <w:r w:rsidR="00BF2262">
        <w:rPr>
          <w:lang w:val="nl-NL"/>
        </w:rPr>
        <w:t xml:space="preserve"> </w:t>
      </w:r>
      <w:r w:rsidR="009E7C5A">
        <w:rPr>
          <w:lang w:val="nl-NL"/>
        </w:rPr>
        <w:t xml:space="preserve">In Duitsland hadden </w:t>
      </w:r>
      <w:r w:rsidR="009E7C5A">
        <w:rPr>
          <w:i/>
          <w:iCs/>
          <w:lang w:val="nl-NL"/>
        </w:rPr>
        <w:t>Angest</w:t>
      </w:r>
      <w:r w:rsidR="007511F9">
        <w:rPr>
          <w:i/>
          <w:iCs/>
          <w:lang w:val="nl-NL"/>
        </w:rPr>
        <w:t xml:space="preserve">ellten </w:t>
      </w:r>
      <w:r w:rsidR="007511F9">
        <w:rPr>
          <w:lang w:val="nl-NL"/>
        </w:rPr>
        <w:t>traditioneel langere opzeggingstermijnen waarbij deze werden gekoppeld aan een gunstig ontslagmoment. Hierdoor kregen bedienden in de praktijk meer tijd om nieuw werk te zoeken</w:t>
      </w:r>
      <w:r w:rsidR="00161D74">
        <w:rPr>
          <w:lang w:val="nl-NL"/>
        </w:rPr>
        <w:t xml:space="preserve"> en een beter gestructureerde overgang naar een nieuwe job.</w:t>
      </w:r>
    </w:p>
    <w:p w14:paraId="6B821EA4" w14:textId="66F35D6A" w:rsidR="00D8397A" w:rsidRDefault="001C5976" w:rsidP="00FD3853">
      <w:pPr>
        <w:pStyle w:val="Randnummer"/>
        <w:spacing w:line="360" w:lineRule="auto"/>
        <w:rPr>
          <w:lang w:val="nl-NL"/>
        </w:rPr>
      </w:pPr>
      <w:r>
        <w:rPr>
          <w:rStyle w:val="KleinKapitaalAuteursCtrlAltK"/>
        </w:rPr>
        <w:t xml:space="preserve">Rechtvaardiging mogelijk? - </w:t>
      </w:r>
      <w:r w:rsidR="00FD3853">
        <w:rPr>
          <w:lang w:val="nl-NL"/>
        </w:rPr>
        <w:t xml:space="preserve">Gezien het </w:t>
      </w:r>
      <w:r w:rsidR="00FD3853" w:rsidRPr="007327DD">
        <w:rPr>
          <w:i/>
          <w:iCs/>
          <w:lang w:val="nl-NL"/>
        </w:rPr>
        <w:t>BverfG</w:t>
      </w:r>
      <w:r w:rsidR="00FD3853">
        <w:rPr>
          <w:lang w:val="nl-NL"/>
        </w:rPr>
        <w:t xml:space="preserve"> oordeelde dat er een duidelijk verschil in behandeling aanwezig was, </w:t>
      </w:r>
      <w:r w:rsidR="00BB0B69">
        <w:rPr>
          <w:lang w:val="nl-NL"/>
        </w:rPr>
        <w:t>bepaalde het vervolgens</w:t>
      </w:r>
      <w:r w:rsidR="00FD3853">
        <w:rPr>
          <w:lang w:val="nl-NL"/>
        </w:rPr>
        <w:t xml:space="preserve"> of dit onderscheid objectief kon worden gerechtvaardigd.</w:t>
      </w:r>
      <w:r w:rsidR="00FD3853">
        <w:rPr>
          <w:rStyle w:val="Voetnootmarkering"/>
          <w:lang w:val="nl-NL"/>
        </w:rPr>
        <w:footnoteReference w:id="277"/>
      </w:r>
      <w:r w:rsidR="001634DE">
        <w:rPr>
          <w:lang w:val="nl-NL"/>
        </w:rPr>
        <w:t xml:space="preserve"> In </w:t>
      </w:r>
      <w:r w:rsidR="00847CD3">
        <w:rPr>
          <w:lang w:val="nl-NL"/>
        </w:rPr>
        <w:t>zijn</w:t>
      </w:r>
      <w:r w:rsidR="001634DE">
        <w:rPr>
          <w:lang w:val="nl-NL"/>
        </w:rPr>
        <w:t xml:space="preserve"> arrest overloopt het de verschillende mogelijke rechtvaardigingsgronden en komt het vervolgens tot de conclusie dat §622 lid 2</w:t>
      </w:r>
      <w:r w:rsidR="003649BA">
        <w:rPr>
          <w:lang w:val="nl-NL"/>
        </w:rPr>
        <w:t xml:space="preserve"> </w:t>
      </w:r>
      <w:r w:rsidR="001634DE">
        <w:rPr>
          <w:lang w:val="nl-NL"/>
        </w:rPr>
        <w:t xml:space="preserve">BGB onverenigbaar was met art. 3 lid 1 van de grondwet. </w:t>
      </w:r>
      <w:r w:rsidR="00D8397A">
        <w:rPr>
          <w:lang w:val="nl-NL"/>
        </w:rPr>
        <w:t xml:space="preserve">Normaliter moet in dit geval een norm nietig verklaard worden. Dit geldt echter niet wanneer de schending van de Grondwet wordt veroorzaakt door een combinatie van meerdere wettelijke voorschriften, die op verschillende wijzen kunnen worden gecorrigeerd. Dit was volgens het </w:t>
      </w:r>
      <w:r w:rsidR="00D8397A" w:rsidRPr="00BB0B69">
        <w:rPr>
          <w:i/>
          <w:iCs/>
          <w:lang w:val="nl-NL"/>
        </w:rPr>
        <w:t>BverfG</w:t>
      </w:r>
      <w:r w:rsidR="00D8397A">
        <w:rPr>
          <w:lang w:val="nl-NL"/>
        </w:rPr>
        <w:t xml:space="preserve"> het geval.</w:t>
      </w:r>
      <w:r w:rsidR="00D8397A">
        <w:rPr>
          <w:rStyle w:val="Voetnootmarkering"/>
          <w:lang w:val="nl-NL"/>
        </w:rPr>
        <w:footnoteReference w:id="278"/>
      </w:r>
    </w:p>
    <w:p w14:paraId="0DFDE465" w14:textId="066192FD" w:rsidR="00FD3853" w:rsidRDefault="001634DE" w:rsidP="005062C7">
      <w:pPr>
        <w:pStyle w:val="Randnummer"/>
        <w:numPr>
          <w:ilvl w:val="0"/>
          <w:numId w:val="0"/>
        </w:numPr>
        <w:spacing w:line="360" w:lineRule="auto"/>
        <w:ind w:left="357"/>
        <w:rPr>
          <w:lang w:val="nl-NL"/>
        </w:rPr>
      </w:pPr>
      <w:r>
        <w:rPr>
          <w:lang w:val="nl-NL"/>
        </w:rPr>
        <w:t>Een simpele nietigverklaring van het artikel zou de bestaande ongelijkheid echter niet wegwerken, maar eerder versterken.</w:t>
      </w:r>
      <w:r>
        <w:rPr>
          <w:rStyle w:val="Voetnootmarkering"/>
          <w:lang w:val="nl-NL"/>
        </w:rPr>
        <w:footnoteReference w:id="279"/>
      </w:r>
      <w:r>
        <w:rPr>
          <w:lang w:val="nl-NL"/>
        </w:rPr>
        <w:t xml:space="preserve"> Daarom werd er besloten dat de ongrondwettigheid enkel weggewerkt kon worden door de wetgever. Deze zou dan nieuwe wettelijke voorschriften dienen uit te werken. </w:t>
      </w:r>
      <w:r w:rsidR="000F620B">
        <w:rPr>
          <w:lang w:val="nl-NL"/>
        </w:rPr>
        <w:t>De wetgever kreeg een termijn van drie jaar om zijn wetgeving aan te passen waarbij alle mogelijke gronden om het onderscheid te rechtvaardigen werden verworpen.</w:t>
      </w:r>
    </w:p>
    <w:p w14:paraId="3234C684" w14:textId="15BD5907" w:rsidR="001634DE" w:rsidRDefault="008F3EB6" w:rsidP="00FD3853">
      <w:pPr>
        <w:pStyle w:val="Randnummer"/>
        <w:spacing w:line="360" w:lineRule="auto"/>
        <w:rPr>
          <w:lang w:val="nl-NL"/>
        </w:rPr>
      </w:pPr>
      <w:r>
        <w:rPr>
          <w:rStyle w:val="KleinKapitaalAuteursCtrlAltK"/>
        </w:rPr>
        <w:t xml:space="preserve">Hervorming - </w:t>
      </w:r>
      <w:r w:rsidR="001634DE">
        <w:rPr>
          <w:lang w:val="nl-NL"/>
        </w:rPr>
        <w:t>De wetgever kreeg tot 30 juni 1993 om een nieuwe regeling uit te werken.</w:t>
      </w:r>
      <w:r w:rsidR="001634DE">
        <w:rPr>
          <w:rStyle w:val="Voetnootmarkering"/>
          <w:lang w:val="nl-NL"/>
        </w:rPr>
        <w:footnoteReference w:id="280"/>
      </w:r>
      <w:r w:rsidR="001634DE">
        <w:rPr>
          <w:lang w:val="nl-NL"/>
        </w:rPr>
        <w:t xml:space="preserve"> Aangezien het wegwerken van de ongrondwettige ongelijke behandeling van </w:t>
      </w:r>
      <w:r w:rsidR="001634DE" w:rsidRPr="00FA3385">
        <w:rPr>
          <w:i/>
          <w:iCs/>
          <w:lang w:val="nl-NL"/>
        </w:rPr>
        <w:t>Arbeiters</w:t>
      </w:r>
      <w:r w:rsidR="001634DE">
        <w:rPr>
          <w:lang w:val="nl-NL"/>
        </w:rPr>
        <w:t xml:space="preserve"> en </w:t>
      </w:r>
      <w:r w:rsidR="001634DE" w:rsidRPr="00FA3385">
        <w:rPr>
          <w:i/>
          <w:iCs/>
          <w:lang w:val="nl-NL"/>
        </w:rPr>
        <w:t>Angestellten</w:t>
      </w:r>
      <w:r w:rsidR="001634DE">
        <w:rPr>
          <w:lang w:val="nl-NL"/>
        </w:rPr>
        <w:t xml:space="preserve"> moeilijker was dan verwacht werd deze deadline niet gehaald en zocht men toevlucht tot een bemiddelingscomité.</w:t>
      </w:r>
      <w:r w:rsidR="001634DE">
        <w:rPr>
          <w:rStyle w:val="Voetnootmarkering"/>
          <w:lang w:val="nl-NL"/>
        </w:rPr>
        <w:footnoteReference w:id="281"/>
      </w:r>
      <w:r w:rsidR="001634DE">
        <w:rPr>
          <w:lang w:val="nl-NL"/>
        </w:rPr>
        <w:t xml:space="preserve"> Deze beslissing bleek echter de juiste want op 7 oktober 1993 werden de opzeggingstermijnen voor beide statuten wettelijk gelijkgesteld door middel van: </w:t>
      </w:r>
      <w:r w:rsidR="001634DE">
        <w:rPr>
          <w:i/>
          <w:iCs/>
          <w:lang w:val="nl-NL"/>
        </w:rPr>
        <w:t xml:space="preserve">“Das Gesetz zur Vereinheitlichung der Kündigungsfristen von </w:t>
      </w:r>
      <w:proofErr w:type="spellStart"/>
      <w:r w:rsidR="001634DE">
        <w:rPr>
          <w:i/>
          <w:iCs/>
          <w:lang w:val="nl-NL"/>
        </w:rPr>
        <w:t>Arbeiter</w:t>
      </w:r>
      <w:proofErr w:type="spellEnd"/>
      <w:r w:rsidR="001634DE">
        <w:rPr>
          <w:i/>
          <w:iCs/>
          <w:lang w:val="nl-NL"/>
        </w:rPr>
        <w:t xml:space="preserve"> </w:t>
      </w:r>
      <w:proofErr w:type="spellStart"/>
      <w:r w:rsidR="001634DE">
        <w:rPr>
          <w:i/>
          <w:iCs/>
          <w:lang w:val="nl-NL"/>
        </w:rPr>
        <w:t>und</w:t>
      </w:r>
      <w:proofErr w:type="spellEnd"/>
      <w:r w:rsidR="001634DE">
        <w:rPr>
          <w:i/>
          <w:iCs/>
          <w:lang w:val="nl-NL"/>
        </w:rPr>
        <w:t xml:space="preserve"> </w:t>
      </w:r>
      <w:proofErr w:type="spellStart"/>
      <w:r w:rsidR="001634DE">
        <w:rPr>
          <w:i/>
          <w:iCs/>
          <w:lang w:val="nl-NL"/>
        </w:rPr>
        <w:t>Angestellten</w:t>
      </w:r>
      <w:proofErr w:type="spellEnd"/>
      <w:r w:rsidR="001634DE">
        <w:rPr>
          <w:i/>
          <w:iCs/>
          <w:lang w:val="nl-NL"/>
        </w:rPr>
        <w:t>”.</w:t>
      </w:r>
      <w:r w:rsidR="001634DE" w:rsidRPr="0016473B">
        <w:rPr>
          <w:rStyle w:val="Voetnootmarkering"/>
          <w:lang w:val="nl-NL"/>
        </w:rPr>
        <w:footnoteReference w:id="282"/>
      </w:r>
      <w:r w:rsidR="001C5976">
        <w:rPr>
          <w:i/>
          <w:iCs/>
          <w:lang w:val="nl-NL"/>
        </w:rPr>
        <w:t xml:space="preserve"> </w:t>
      </w:r>
      <w:r w:rsidR="001C5976">
        <w:rPr>
          <w:lang w:val="nl-NL"/>
        </w:rPr>
        <w:t>Hierbij werd het ontslagrecht hervormd, en zorgde dit globaal genomen voor een verlenging van de opzeggingstermijnen voor arbeiders en een inkorting van de opzeggingstermijnen voor bedienden.</w:t>
      </w:r>
      <w:r w:rsidR="003463E6">
        <w:rPr>
          <w:lang w:val="nl-NL"/>
        </w:rPr>
        <w:t xml:space="preserve"> Naast de opzeggingstermijnen werden ook het gewaarborgd loon en de regeling van nachtarbeid gelijkgeschakeld.</w:t>
      </w:r>
      <w:r w:rsidR="003463E6">
        <w:rPr>
          <w:rStyle w:val="Voetnootmarkering"/>
          <w:lang w:val="nl-NL"/>
        </w:rPr>
        <w:footnoteReference w:id="283"/>
      </w:r>
    </w:p>
    <w:p w14:paraId="19949F22" w14:textId="1D9A3964" w:rsidR="00C15261" w:rsidRDefault="00585D03" w:rsidP="00410222">
      <w:pPr>
        <w:pStyle w:val="Randnummer"/>
        <w:numPr>
          <w:ilvl w:val="0"/>
          <w:numId w:val="0"/>
        </w:numPr>
        <w:spacing w:line="360" w:lineRule="auto"/>
        <w:ind w:left="357"/>
        <w:rPr>
          <w:lang w:val="nl-NL"/>
        </w:rPr>
      </w:pPr>
      <w:r>
        <w:rPr>
          <w:lang w:val="nl-NL"/>
        </w:rPr>
        <w:t xml:space="preserve">Reeds in 2001 had het statutaire onderscheid tussen arbeiders en bedienden in Duitsland geen belangrijke betekenis meer. Er kan gesteld worden dat het onderscheid tussen arbeider/bediende in het Belgische </w:t>
      </w:r>
      <w:proofErr w:type="spellStart"/>
      <w:r>
        <w:rPr>
          <w:lang w:val="nl-NL"/>
        </w:rPr>
        <w:t>sociaal-economische</w:t>
      </w:r>
      <w:proofErr w:type="spellEnd"/>
      <w:r>
        <w:rPr>
          <w:lang w:val="nl-NL"/>
        </w:rPr>
        <w:t xml:space="preserve"> leven een veel belangrijkere betekenis leek te hebben dan in Duitsland</w:t>
      </w:r>
      <w:r w:rsidR="00D360B4">
        <w:rPr>
          <w:lang w:val="nl-NL"/>
        </w:rPr>
        <w:t xml:space="preserve"> daar er tot op vandaag vast gehou</w:t>
      </w:r>
      <w:r w:rsidR="00D93AAC">
        <w:rPr>
          <w:lang w:val="nl-NL"/>
        </w:rPr>
        <w:t>den wordt aan dit onderscheid in België.</w:t>
      </w:r>
      <w:r>
        <w:rPr>
          <w:rStyle w:val="Voetnootmarkering"/>
          <w:lang w:val="nl-NL"/>
        </w:rPr>
        <w:footnoteReference w:id="284"/>
      </w:r>
    </w:p>
    <w:p w14:paraId="247B806B" w14:textId="0F32CAB0" w:rsidR="000D7F7C" w:rsidRDefault="00C15261" w:rsidP="00C15261">
      <w:pPr>
        <w:pStyle w:val="Randnummer"/>
        <w:spacing w:line="360" w:lineRule="auto"/>
        <w:rPr>
          <w:rStyle w:val="KleinKapitaalAuteursCtrlAltK"/>
          <w:smallCaps w:val="0"/>
        </w:rPr>
      </w:pPr>
      <w:r>
        <w:rPr>
          <w:rStyle w:val="KleinKapitaalAuteursCtrlAltK"/>
        </w:rPr>
        <w:t xml:space="preserve">Evaluatie eenheidsstatuut – </w:t>
      </w:r>
      <w:r w:rsidRPr="00C15261">
        <w:rPr>
          <w:rStyle w:val="KleinKapitaalAuteursCtrlAltK"/>
          <w:smallCaps w:val="0"/>
        </w:rPr>
        <w:t xml:space="preserve">Duitsland werkt met </w:t>
      </w:r>
      <w:r w:rsidR="00711A7F">
        <w:rPr>
          <w:rStyle w:val="KleinKapitaalAuteursCtrlAltK"/>
          <w:smallCaps w:val="0"/>
        </w:rPr>
        <w:t>deze</w:t>
      </w:r>
      <w:r w:rsidRPr="00C15261">
        <w:rPr>
          <w:rStyle w:val="KleinKapitaalAuteursCtrlAltK"/>
          <w:smallCaps w:val="0"/>
        </w:rPr>
        <w:t xml:space="preserve"> nieuwe wetgeving per direct de ongrondwettigheid op het vlak van opzeggingstermijnen weg. De Duitse regeling is sneller van toepassing en kent geen overgangsperiode zoals wij deze in België kennen.</w:t>
      </w:r>
    </w:p>
    <w:p w14:paraId="15C33B7D" w14:textId="1F7F1E51" w:rsidR="00D73503" w:rsidRDefault="00D73503" w:rsidP="00D73503">
      <w:pPr>
        <w:pStyle w:val="Kop3"/>
        <w:rPr>
          <w:rStyle w:val="KleinKapitaalAuteursCtrlAltK"/>
          <w:smallCaps/>
        </w:rPr>
      </w:pPr>
      <w:bookmarkStart w:id="107" w:name="_Toc228784140"/>
      <w:r>
        <w:rPr>
          <w:rStyle w:val="KleinKapitaalAuteursCtrlAltK"/>
          <w:smallCaps/>
        </w:rPr>
        <w:t xml:space="preserve">Afdeling II. </w:t>
      </w:r>
      <w:r w:rsidR="00AB611A">
        <w:rPr>
          <w:rStyle w:val="KleinKapitaalAuteursCtrlAltK"/>
          <w:smallCaps/>
        </w:rPr>
        <w:t>Juridisch kader van de bedrijfsvoorziening</w:t>
      </w:r>
      <w:bookmarkEnd w:id="107"/>
    </w:p>
    <w:p w14:paraId="2BB11109" w14:textId="77777777" w:rsidR="006927D4" w:rsidRDefault="00D171D0" w:rsidP="006927D4">
      <w:pPr>
        <w:pStyle w:val="Randnummer"/>
        <w:spacing w:line="360" w:lineRule="auto"/>
        <w:rPr>
          <w:rStyle w:val="KleinKapitaalAuteursCtrlAltK"/>
          <w:smallCaps w:val="0"/>
        </w:rPr>
      </w:pPr>
      <w:r>
        <w:rPr>
          <w:rStyle w:val="KleinKapitaalAuteursCtrlAltK"/>
        </w:rPr>
        <w:t xml:space="preserve">Pensioenopbouw </w:t>
      </w:r>
      <w:r w:rsidR="003F6954">
        <w:rPr>
          <w:rStyle w:val="KleinKapitaalAuteursCtrlAltK"/>
        </w:rPr>
        <w:t>–</w:t>
      </w:r>
      <w:r>
        <w:rPr>
          <w:rStyle w:val="KleinKapitaalAuteursCtrlAltK"/>
        </w:rPr>
        <w:t xml:space="preserve"> </w:t>
      </w:r>
      <w:r w:rsidR="003F6954">
        <w:rPr>
          <w:rStyle w:val="KleinKapitaalAuteursCtrlAltK"/>
          <w:smallCaps w:val="0"/>
        </w:rPr>
        <w:t>Net als in België steunt het Duitse pensioensysteem op drie pijlers</w:t>
      </w:r>
      <w:r w:rsidR="00AE5377">
        <w:rPr>
          <w:rStyle w:val="KleinKapitaalAuteursCtrlAltK"/>
          <w:smallCaps w:val="0"/>
        </w:rPr>
        <w:t xml:space="preserve">. Het </w:t>
      </w:r>
      <w:r w:rsidR="00AE5377" w:rsidRPr="00A85661">
        <w:rPr>
          <w:rStyle w:val="KleinKapitaalAuteursCtrlAltK"/>
          <w:i/>
          <w:iCs/>
          <w:smallCaps w:val="0"/>
        </w:rPr>
        <w:t xml:space="preserve">Betriebsrentengesetz </w:t>
      </w:r>
      <w:r w:rsidR="00AE5377">
        <w:rPr>
          <w:rStyle w:val="KleinKapitaalAuteursCtrlAltK"/>
          <w:smallCaps w:val="0"/>
        </w:rPr>
        <w:t>(BetrAVF) of de Duitse Wet op Bedrijfspensioenen, is de centrale Duitse wet die de aanvullende ouderdomsvoorziening via werkgevers regelt. Zij werd ingevoerd</w:t>
      </w:r>
      <w:r w:rsidR="00D668F4">
        <w:rPr>
          <w:rStyle w:val="KleinKapitaalAuteursCtrlAltK"/>
          <w:smallCaps w:val="0"/>
        </w:rPr>
        <w:t xml:space="preserve"> in 1974 en vormt de juridische basis voor bedrijfspensioenen, dat de aanvulling vormen op het wettelijk pensioenstelsel.</w:t>
      </w:r>
      <w:r w:rsidR="00E4059A">
        <w:rPr>
          <w:rStyle w:val="Voetnootmarkering"/>
          <w:lang w:val="nl-NL"/>
        </w:rPr>
        <w:footnoteReference w:id="285"/>
      </w:r>
    </w:p>
    <w:p w14:paraId="17431745" w14:textId="3C02D37F" w:rsidR="00A1715E" w:rsidRDefault="00A1715E" w:rsidP="00A1715E">
      <w:pPr>
        <w:pStyle w:val="Randnummer"/>
        <w:numPr>
          <w:ilvl w:val="0"/>
          <w:numId w:val="0"/>
        </w:numPr>
        <w:spacing w:line="360" w:lineRule="auto"/>
        <w:ind w:left="357"/>
        <w:rPr>
          <w:rStyle w:val="KleinKapitaalAuteursCtrlAltK"/>
          <w:smallCaps w:val="0"/>
        </w:rPr>
      </w:pPr>
      <w:r>
        <w:rPr>
          <w:rStyle w:val="KleinKapitaalAuteursCtrlAltK"/>
          <w:smallCaps w:val="0"/>
        </w:rPr>
        <w:t xml:space="preserve">Het Duitse aanvullende pensioenstelsel, de </w:t>
      </w:r>
      <w:r w:rsidRPr="00A85661">
        <w:rPr>
          <w:rStyle w:val="KleinKapitaalAuteursCtrlAltK"/>
          <w:i/>
          <w:iCs/>
          <w:smallCaps w:val="0"/>
        </w:rPr>
        <w:t>Betriebliche Alter</w:t>
      </w:r>
      <w:r w:rsidR="00A2231C">
        <w:rPr>
          <w:rStyle w:val="KleinKapitaalAuteursCtrlAltK"/>
          <w:i/>
          <w:iCs/>
          <w:smallCaps w:val="0"/>
        </w:rPr>
        <w:t>s</w:t>
      </w:r>
      <w:r w:rsidRPr="00A85661">
        <w:rPr>
          <w:rStyle w:val="KleinKapitaalAuteursCtrlAltK"/>
          <w:i/>
          <w:iCs/>
          <w:smallCaps w:val="0"/>
        </w:rPr>
        <w:t>versorgung</w:t>
      </w:r>
      <w:r>
        <w:rPr>
          <w:rStyle w:val="KleinKapitaalAuteursCtrlAltK"/>
          <w:smallCaps w:val="0"/>
        </w:rPr>
        <w:t>, is een vrijwillige regeling via de werkgever.</w:t>
      </w:r>
      <w:r w:rsidR="00995C70">
        <w:rPr>
          <w:rStyle w:val="Voetnootmarkering"/>
          <w:lang w:val="nl-NL"/>
        </w:rPr>
        <w:footnoteReference w:id="286"/>
      </w:r>
    </w:p>
    <w:p w14:paraId="106D5482" w14:textId="520BE4EF" w:rsidR="000D7F7C" w:rsidRDefault="00636C1C" w:rsidP="006927D4">
      <w:pPr>
        <w:pStyle w:val="Randnummer"/>
        <w:spacing w:line="360" w:lineRule="auto"/>
        <w:rPr>
          <w:rStyle w:val="KleinKapitaalAuteursCtrlAltK"/>
          <w:smallCaps w:val="0"/>
        </w:rPr>
      </w:pPr>
      <w:r w:rsidRPr="00636C1C">
        <w:rPr>
          <w:rStyle w:val="KleinKapitaalAuteursCtrlAltK"/>
        </w:rPr>
        <w:t xml:space="preserve">Vrijwilligheid </w:t>
      </w:r>
      <w:r w:rsidRPr="006927D4">
        <w:rPr>
          <w:rStyle w:val="KleinKapitaalAuteursCtrlAltK"/>
          <w:smallCaps w:val="0"/>
        </w:rPr>
        <w:t xml:space="preserve">- De Duitse </w:t>
      </w:r>
      <w:r w:rsidRPr="00A354F9">
        <w:rPr>
          <w:rStyle w:val="KleinKapitaalAuteursCtrlAltK"/>
          <w:i/>
          <w:iCs/>
          <w:smallCaps w:val="0"/>
        </w:rPr>
        <w:t>Betriebliche Altersvorsorge (BAV)</w:t>
      </w:r>
      <w:r w:rsidRPr="006927D4">
        <w:rPr>
          <w:rStyle w:val="KleinKapitaalAuteursCtrlAltK"/>
          <w:smallCaps w:val="0"/>
        </w:rPr>
        <w:t xml:space="preserve"> rust op een traditie van </w:t>
      </w:r>
      <w:r w:rsidR="00E81726" w:rsidRPr="006927D4">
        <w:rPr>
          <w:rStyle w:val="KleinKapitaalAuteursCtrlAltK"/>
          <w:smallCaps w:val="0"/>
        </w:rPr>
        <w:t>vrijwilligheid.</w:t>
      </w:r>
      <w:r w:rsidR="00E81726">
        <w:rPr>
          <w:rStyle w:val="Voetnootmarkering"/>
          <w:lang w:val="nl-NL"/>
        </w:rPr>
        <w:footnoteReference w:id="287"/>
      </w:r>
      <w:r w:rsidR="0059012E" w:rsidRPr="006927D4">
        <w:rPr>
          <w:rStyle w:val="KleinKapitaalAuteursCtrlAltK"/>
          <w:smallCaps w:val="0"/>
        </w:rPr>
        <w:t xml:space="preserve"> Vóór de grote hervorming van 2001 diende de BAV hoofdzakelijk als een extra aanvulling bovenop de wettelijke pensioenverzekering (GRV), waarbij de focus lag op het binden van gekwalificeerde bedienden aan de onderneming.</w:t>
      </w:r>
      <w:r w:rsidR="0059012E">
        <w:rPr>
          <w:rStyle w:val="Voetnootmarkering"/>
          <w:lang w:val="nl-NL"/>
        </w:rPr>
        <w:footnoteReference w:id="288"/>
      </w:r>
      <w:r w:rsidR="006927D4" w:rsidRPr="006927D4">
        <w:rPr>
          <w:rStyle w:val="KleinKapitaalAuteursCtrlAltK"/>
          <w:smallCaps w:val="0"/>
        </w:rPr>
        <w:t xml:space="preserve"> Dit leidde tot een verdeling waarbij werknemers in grote industriële bedrijven met hoge inkomens konden profiteren van deze regeling, terwijl arbeiders en vrouwen in de kou bleven staan. </w:t>
      </w:r>
    </w:p>
    <w:p w14:paraId="2569E109" w14:textId="0116648A" w:rsidR="00711A01" w:rsidRPr="00FB3D2C" w:rsidRDefault="000F2A35" w:rsidP="00FB3D2C">
      <w:pPr>
        <w:pStyle w:val="Randnummer"/>
        <w:spacing w:line="360" w:lineRule="auto"/>
        <w:rPr>
          <w:rStyle w:val="KleinKapitaalAuteursCtrlAltK"/>
        </w:rPr>
      </w:pPr>
      <w:r w:rsidRPr="000F2A35">
        <w:rPr>
          <w:rStyle w:val="KleinKapitaalAuteursCtrlAltK"/>
        </w:rPr>
        <w:t xml:space="preserve">Paradigmaverschuiving </w:t>
      </w:r>
      <w:r w:rsidR="00662272">
        <w:rPr>
          <w:rStyle w:val="KleinKapitaalAuteursCtrlAltK"/>
        </w:rPr>
        <w:t>–</w:t>
      </w:r>
      <w:r w:rsidRPr="000F2A35">
        <w:rPr>
          <w:rStyle w:val="KleinKapitaalAuteursCtrlAltK"/>
        </w:rPr>
        <w:t xml:space="preserve"> </w:t>
      </w:r>
      <w:r w:rsidR="00662272" w:rsidRPr="00F77B9B">
        <w:rPr>
          <w:rStyle w:val="KleinKapitaalAuteursCtrlAltK"/>
          <w:smallCaps w:val="0"/>
        </w:rPr>
        <w:t>Vanwege de onhoudbaarheid van het wettelijke pensioenstelsel</w:t>
      </w:r>
      <w:r w:rsidR="00C16313">
        <w:rPr>
          <w:rStyle w:val="KleinKapitaalAuteursCtrlAltK"/>
          <w:smallCaps w:val="0"/>
        </w:rPr>
        <w:t xml:space="preserve"> werd het pensioe</w:t>
      </w:r>
      <w:r w:rsidR="00C0399B">
        <w:rPr>
          <w:rStyle w:val="KleinKapitaalAuteursCtrlAltK"/>
          <w:smallCaps w:val="0"/>
        </w:rPr>
        <w:t>nniveau van de eerste pijler stelselmatig verlaagd.</w:t>
      </w:r>
      <w:r w:rsidR="00C0399B">
        <w:rPr>
          <w:rStyle w:val="Voetnootmarkering"/>
          <w:lang w:val="nl-NL"/>
        </w:rPr>
        <w:footnoteReference w:id="289"/>
      </w:r>
      <w:r w:rsidR="00FE26E8">
        <w:rPr>
          <w:rStyle w:val="KleinKapitaalAuteursCtrlAltK"/>
          <w:smallCaps w:val="0"/>
        </w:rPr>
        <w:t xml:space="preserve"> Om dit gat te kunnen dichten werd de rol van de BAV versterkt. </w:t>
      </w:r>
      <w:r w:rsidR="00212EFA">
        <w:rPr>
          <w:rStyle w:val="KleinKapitaalAuteursCtrlAltK"/>
          <w:smallCaps w:val="0"/>
        </w:rPr>
        <w:t xml:space="preserve">Zo </w:t>
      </w:r>
      <w:r w:rsidR="00E854B3">
        <w:rPr>
          <w:rStyle w:val="KleinKapitaalAuteursCtrlAltK"/>
          <w:smallCaps w:val="0"/>
        </w:rPr>
        <w:t>werd er een wettelijk recht op loonruil (</w:t>
      </w:r>
      <w:r w:rsidR="00E854B3" w:rsidRPr="00E854B3">
        <w:rPr>
          <w:rStyle w:val="KleinKapitaalAuteursCtrlAltK"/>
          <w:i/>
          <w:iCs/>
          <w:smallCaps w:val="0"/>
        </w:rPr>
        <w:t>Entgeltumwandlung</w:t>
      </w:r>
      <w:r w:rsidR="00E854B3">
        <w:rPr>
          <w:rStyle w:val="KleinKapitaalAuteursCtrlAltK"/>
          <w:smallCaps w:val="0"/>
        </w:rPr>
        <w:t>) ingevoerd voor alle werknemers. Dit is een cruciaal instrument om de daling van het wettelijke pensioenniveau te compenseren.</w:t>
      </w:r>
      <w:r w:rsidR="00E854B3">
        <w:rPr>
          <w:rStyle w:val="Voetnootmarkering"/>
          <w:lang w:val="nl-NL"/>
        </w:rPr>
        <w:footnoteReference w:id="290"/>
      </w:r>
      <w:r w:rsidR="0000567F">
        <w:rPr>
          <w:rStyle w:val="KleinKapitaalAuteursCtrlAltK"/>
          <w:smallCaps w:val="0"/>
        </w:rPr>
        <w:t xml:space="preserve"> Het houdt in dat werknemers het recht hebben om delen van hun brutoloon te gebruiken voor een pensi</w:t>
      </w:r>
      <w:r w:rsidR="00711A01">
        <w:rPr>
          <w:rStyle w:val="KleinKapitaalAuteursCtrlAltK"/>
          <w:smallCaps w:val="0"/>
        </w:rPr>
        <w:t>oentoezegging van de werkgever.</w:t>
      </w:r>
      <w:r w:rsidR="00FB3D2C">
        <w:rPr>
          <w:rStyle w:val="KleinKapitaalAuteursCtrlAltK"/>
        </w:rPr>
        <w:t xml:space="preserve"> </w:t>
      </w:r>
      <w:r w:rsidR="00711A01" w:rsidRPr="00FB3D2C">
        <w:rPr>
          <w:rStyle w:val="KleinKapitaalAuteursCtrlAltK"/>
          <w:smallCaps w:val="0"/>
        </w:rPr>
        <w:t>Daarnaast werden ook de regels omtrent het definitief verwerven van pensioenrechten versoepeld</w:t>
      </w:r>
      <w:r w:rsidR="001C5F00" w:rsidRPr="00FB3D2C">
        <w:rPr>
          <w:rStyle w:val="KleinKapitaalAuteursCtrlAltK"/>
          <w:smallCaps w:val="0"/>
        </w:rPr>
        <w:t>, op deze manier werd de toegang voor arbeiders en vrouwen verbeterd.</w:t>
      </w:r>
      <w:r w:rsidR="00131E30">
        <w:rPr>
          <w:rStyle w:val="Voetnootmarkering"/>
          <w:lang w:val="nl-NL"/>
        </w:rPr>
        <w:footnoteReference w:id="291"/>
      </w:r>
    </w:p>
    <w:p w14:paraId="6BD2D502" w14:textId="0B33DD0A" w:rsidR="00F16535" w:rsidRPr="00F16535" w:rsidRDefault="00F16535" w:rsidP="00F16535">
      <w:pPr>
        <w:pStyle w:val="Randnummer"/>
        <w:numPr>
          <w:ilvl w:val="0"/>
          <w:numId w:val="0"/>
        </w:numPr>
        <w:spacing w:line="360" w:lineRule="auto"/>
        <w:ind w:left="357"/>
        <w:rPr>
          <w:rStyle w:val="KleinKapitaalAuteursCtrlAltK"/>
        </w:rPr>
      </w:pPr>
      <w:r>
        <w:rPr>
          <w:rStyle w:val="KleinKapitaalAuteursCtrlAltK"/>
          <w:smallCaps w:val="0"/>
        </w:rPr>
        <w:t xml:space="preserve">Duitsland vertrouwde sterk op het systeem van de vrijwillige loonruil. </w:t>
      </w:r>
      <w:r w:rsidR="00D864FC">
        <w:rPr>
          <w:rStyle w:val="KleinKapitaalAuteursCtrlAltK"/>
          <w:smallCaps w:val="0"/>
        </w:rPr>
        <w:t>Doorheen de loop der jaren is echter gebleken</w:t>
      </w:r>
      <w:r>
        <w:rPr>
          <w:rStyle w:val="KleinKapitaalAuteursCtrlAltK"/>
          <w:smallCaps w:val="0"/>
        </w:rPr>
        <w:t xml:space="preserve"> dat </w:t>
      </w:r>
      <w:r w:rsidR="004310C8">
        <w:rPr>
          <w:rStyle w:val="KleinKapitaalAuteursCtrlAltK"/>
          <w:smallCaps w:val="0"/>
        </w:rPr>
        <w:t>dit model sinds 2005 is gestagneerd waardoor slechts iets meer dan de helft van de werknemers beschikt over een bedrijfspensioen.</w:t>
      </w:r>
      <w:r w:rsidR="004310C8">
        <w:rPr>
          <w:rStyle w:val="Voetnootmarkering"/>
          <w:lang w:val="nl-NL"/>
        </w:rPr>
        <w:footnoteReference w:id="292"/>
      </w:r>
    </w:p>
    <w:p w14:paraId="57C09A9B" w14:textId="5A9F759B" w:rsidR="005406F0" w:rsidRPr="00FA7CD8" w:rsidRDefault="00B4747C" w:rsidP="009E4709">
      <w:pPr>
        <w:pStyle w:val="Randnummer"/>
        <w:spacing w:line="360" w:lineRule="auto"/>
        <w:rPr>
          <w:rStyle w:val="KleinKapitaalAuteursCtrlAltK"/>
        </w:rPr>
      </w:pPr>
      <w:r>
        <w:rPr>
          <w:rStyle w:val="KleinKapitaalAuteursCtrlAltK"/>
        </w:rPr>
        <w:t xml:space="preserve">Nieuwe ongelijkheid – </w:t>
      </w:r>
      <w:r w:rsidRPr="007E0002">
        <w:rPr>
          <w:rStyle w:val="KleinKapitaalAuteursCtrlAltK"/>
          <w:smallCaps w:val="0"/>
        </w:rPr>
        <w:t>Hoewel het onderscheid tussen arbeiders en bedienden formeel verdwenen is in Duitsland, is er nu sprake van een nieuwe ongelijkheid, gebaseerd op sector</w:t>
      </w:r>
      <w:r w:rsidR="00F3210F">
        <w:rPr>
          <w:rStyle w:val="KleinKapitaalAuteursCtrlAltK"/>
          <w:smallCaps w:val="0"/>
        </w:rPr>
        <w:t>-</w:t>
      </w:r>
      <w:r w:rsidRPr="007E0002">
        <w:rPr>
          <w:rStyle w:val="KleinKapitaalAuteursCtrlAltK"/>
          <w:smallCaps w:val="0"/>
        </w:rPr>
        <w:t xml:space="preserve"> en bedrijfsgrootte in plaats van </w:t>
      </w:r>
      <w:r w:rsidR="00F3210F">
        <w:rPr>
          <w:rStyle w:val="KleinKapitaalAuteursCtrlAltK"/>
          <w:smallCaps w:val="0"/>
        </w:rPr>
        <w:t xml:space="preserve">op het </w:t>
      </w:r>
      <w:r w:rsidRPr="007E0002">
        <w:rPr>
          <w:rStyle w:val="KleinKapitaalAuteursCtrlAltK"/>
          <w:smallCaps w:val="0"/>
        </w:rPr>
        <w:t>statuut.</w:t>
      </w:r>
      <w:r w:rsidR="00E21F34">
        <w:rPr>
          <w:rStyle w:val="KleinKapitaalAuteursCtrlAltK"/>
          <w:smallCaps w:val="0"/>
        </w:rPr>
        <w:t xml:space="preserve"> Waar het statutaire onderscheid tussen arbeiders en bedienden verdwenen is, </w:t>
      </w:r>
      <w:r w:rsidR="00EC3597">
        <w:rPr>
          <w:rStyle w:val="KleinKapitaalAuteursCtrlAltK"/>
          <w:smallCaps w:val="0"/>
        </w:rPr>
        <w:t>is de ongelijkheid verschoven van een juridisch statuut naar sectorale verschillen en de machtspositie van de sociale partners binnen een bedrijfstak.</w:t>
      </w:r>
      <w:r w:rsidR="00EC3597">
        <w:rPr>
          <w:rStyle w:val="Voetnootmarkering"/>
          <w:lang w:val="nl-NL"/>
        </w:rPr>
        <w:footnoteReference w:id="293"/>
      </w:r>
    </w:p>
    <w:p w14:paraId="37829DDA" w14:textId="6CCF3076" w:rsidR="00431481" w:rsidRPr="00431481" w:rsidRDefault="00274314" w:rsidP="005C101B">
      <w:pPr>
        <w:pStyle w:val="Randnummer"/>
        <w:spacing w:line="360" w:lineRule="auto"/>
        <w:rPr>
          <w:rStyle w:val="KleinKapitaalAuteursCtrlAltK"/>
        </w:rPr>
      </w:pPr>
      <w:r w:rsidRPr="00F920E9">
        <w:rPr>
          <w:rStyle w:val="KleinKapitaalAuteursCtrlAltK"/>
          <w:i/>
          <w:iCs/>
          <w:smallCaps w:val="0"/>
          <w:lang w:val="nl-BE"/>
        </w:rPr>
        <w:t>Betriebsrentenstärkungsgesetz</w:t>
      </w:r>
      <w:r>
        <w:rPr>
          <w:rStyle w:val="KleinKapitaalAuteursCtrlAltK"/>
          <w:i/>
          <w:iCs/>
          <w:smallCaps w:val="0"/>
        </w:rPr>
        <w:t xml:space="preserve"> (BRSG II) </w:t>
      </w:r>
      <w:r w:rsidR="002E031B">
        <w:rPr>
          <w:rStyle w:val="KleinKapitaalAuteursCtrlAltK"/>
          <w:i/>
          <w:iCs/>
          <w:smallCaps w:val="0"/>
        </w:rPr>
        <w:t>–</w:t>
      </w:r>
      <w:r>
        <w:rPr>
          <w:rStyle w:val="KleinKapitaalAuteursCtrlAltK"/>
          <w:i/>
          <w:iCs/>
          <w:smallCaps w:val="0"/>
        </w:rPr>
        <w:t xml:space="preserve"> </w:t>
      </w:r>
      <w:r w:rsidR="00B35E87">
        <w:rPr>
          <w:rStyle w:val="KleinKapitaalAuteursCtrlAltK"/>
          <w:smallCaps w:val="0"/>
        </w:rPr>
        <w:t>De Duitse Tweede Wet ter Versterking van de Bedrijfspensioenen (BRSG II) vormt een cruciaal wetgev</w:t>
      </w:r>
      <w:r w:rsidR="00675DA2">
        <w:rPr>
          <w:rStyle w:val="KleinKapitaalAuteursCtrlAltK"/>
          <w:smallCaps w:val="0"/>
        </w:rPr>
        <w:t>end</w:t>
      </w:r>
      <w:r w:rsidR="00B35E87">
        <w:rPr>
          <w:rStyle w:val="KleinKapitaalAuteursCtrlAltK"/>
          <w:smallCaps w:val="0"/>
        </w:rPr>
        <w:t xml:space="preserve"> initiatief om de huidige stagnatie in de verspreiding van de aanvullende pensioenen te doorbreken.</w:t>
      </w:r>
      <w:r w:rsidR="00223B14">
        <w:rPr>
          <w:rStyle w:val="KleinKapitaalAuteursCtrlAltK"/>
          <w:smallCaps w:val="0"/>
        </w:rPr>
        <w:t xml:space="preserve"> De toegevoegde waarde van deze wet ligt primair in het realiseren van een bredere verspreiding en een hoger rendement. Concreet tracht het de drempel</w:t>
      </w:r>
      <w:r w:rsidR="00675DA2">
        <w:rPr>
          <w:rStyle w:val="KleinKapitaalAuteursCtrlAltK"/>
          <w:smallCaps w:val="0"/>
        </w:rPr>
        <w:t xml:space="preserve"> </w:t>
      </w:r>
      <w:r w:rsidR="00223B14">
        <w:rPr>
          <w:rStyle w:val="KleinKapitaalAuteursCtrlAltK"/>
          <w:smallCaps w:val="0"/>
        </w:rPr>
        <w:t>voor deelname aan sociale partnermodellen te verlagen, waardoor ook werkgevers die niet door een cao gebonden zijn eenvoudiger toegang krijgen</w:t>
      </w:r>
      <w:r w:rsidR="00E15705">
        <w:rPr>
          <w:rStyle w:val="KleinKapitaalAuteursCtrlAltK"/>
          <w:smallCaps w:val="0"/>
        </w:rPr>
        <w:t xml:space="preserve"> tot het aanvullend pensioen.</w:t>
      </w:r>
      <w:r w:rsidR="00673D80">
        <w:rPr>
          <w:rStyle w:val="Voetnootmarkering"/>
          <w:lang w:val="nl-NL"/>
        </w:rPr>
        <w:footnoteReference w:id="294"/>
      </w:r>
    </w:p>
    <w:p w14:paraId="06EEC4E7" w14:textId="4DBB0988" w:rsidR="000D7F7C" w:rsidRDefault="00734BA6" w:rsidP="00734BA6">
      <w:pPr>
        <w:pStyle w:val="Kop3"/>
        <w:rPr>
          <w:lang w:val="nl-NL"/>
        </w:rPr>
      </w:pPr>
      <w:bookmarkStart w:id="108" w:name="_Toc228784141"/>
      <w:r>
        <w:rPr>
          <w:lang w:val="nl-NL"/>
        </w:rPr>
        <w:t>Afdeling III. Concluderende analyse</w:t>
      </w:r>
      <w:bookmarkEnd w:id="108"/>
    </w:p>
    <w:p w14:paraId="38784D6C" w14:textId="278B4C77" w:rsidR="00734BA6" w:rsidRDefault="002839C5" w:rsidP="00DE00BD">
      <w:pPr>
        <w:pStyle w:val="Randnummer"/>
        <w:spacing w:line="360" w:lineRule="auto"/>
        <w:rPr>
          <w:rStyle w:val="KleinKapitaalAuteursCtrlAltK"/>
          <w:smallCaps w:val="0"/>
        </w:rPr>
      </w:pPr>
      <w:r>
        <w:rPr>
          <w:rStyle w:val="KleinKapitaalAuteursCtrlAltK"/>
        </w:rPr>
        <w:t xml:space="preserve">Vergelijking met België – </w:t>
      </w:r>
      <w:r w:rsidRPr="00B66288">
        <w:rPr>
          <w:rStyle w:val="KleinKapitaalAuteursCtrlAltK"/>
          <w:smallCaps w:val="0"/>
        </w:rPr>
        <w:t xml:space="preserve">De rechtsvergelijking tussen beide landen toont aan dat </w:t>
      </w:r>
      <w:r w:rsidR="00B66288" w:rsidRPr="00B66288">
        <w:rPr>
          <w:rStyle w:val="KleinKapitaalAuteursCtrlAltK"/>
          <w:smallCaps w:val="0"/>
        </w:rPr>
        <w:t>er een gelijkaardig pad werd bewandeld vanuit een historisch gedualiseerd systeem, maar dat de uitkomsten aanzienlijk verschillen wat betreft de effectieve dekking en gelijkheid in de tweede pensioenpijler.</w:t>
      </w:r>
    </w:p>
    <w:p w14:paraId="67934A76" w14:textId="3D148384" w:rsidR="00DE00BD" w:rsidRDefault="00DE00BD" w:rsidP="00DE00BD">
      <w:pPr>
        <w:pStyle w:val="Randnummer"/>
        <w:spacing w:line="360" w:lineRule="auto"/>
        <w:rPr>
          <w:rStyle w:val="KleinKapitaalAuteursCtrlAltK"/>
          <w:smallCaps w:val="0"/>
        </w:rPr>
      </w:pPr>
      <w:r w:rsidRPr="00DE00BD">
        <w:rPr>
          <w:rStyle w:val="KleinKapitaalAuteursCtrlAltK"/>
        </w:rPr>
        <w:t xml:space="preserve">Formele versus materiële gelijkheid </w:t>
      </w:r>
      <w:r w:rsidR="005006F6">
        <w:rPr>
          <w:rStyle w:val="KleinKapitaalAuteursCtrlAltK"/>
        </w:rPr>
        <w:t>–</w:t>
      </w:r>
      <w:r w:rsidRPr="00DE00BD">
        <w:rPr>
          <w:rStyle w:val="KleinKapitaalAuteursCtrlAltK"/>
        </w:rPr>
        <w:t xml:space="preserve"> </w:t>
      </w:r>
      <w:r w:rsidR="005006F6">
        <w:rPr>
          <w:rStyle w:val="KleinKapitaalAuteursCtrlAltK"/>
          <w:smallCaps w:val="0"/>
        </w:rPr>
        <w:t xml:space="preserve">Duitsland heeft het statutaire onderscheid tussen </w:t>
      </w:r>
      <w:r w:rsidR="005006F6">
        <w:rPr>
          <w:rStyle w:val="KleinKapitaalAuteursCtrlAltK"/>
          <w:i/>
          <w:iCs/>
          <w:smallCaps w:val="0"/>
        </w:rPr>
        <w:t xml:space="preserve">Arbeiter </w:t>
      </w:r>
      <w:r w:rsidR="005006F6">
        <w:rPr>
          <w:rStyle w:val="KleinKapitaalAuteursCtrlAltK"/>
          <w:smallCaps w:val="0"/>
        </w:rPr>
        <w:t xml:space="preserve">en </w:t>
      </w:r>
      <w:r w:rsidR="005006F6">
        <w:rPr>
          <w:rStyle w:val="KleinKapitaalAuteursCtrlAltK"/>
          <w:i/>
          <w:iCs/>
          <w:smallCaps w:val="0"/>
        </w:rPr>
        <w:t xml:space="preserve">Angestellten </w:t>
      </w:r>
      <w:r w:rsidR="005006F6">
        <w:rPr>
          <w:rStyle w:val="KleinKapitaalAuteursCtrlAltK"/>
          <w:smallCaps w:val="0"/>
        </w:rPr>
        <w:t xml:space="preserve">reeds in de jaren ’90 opgeheven </w:t>
      </w:r>
      <w:r w:rsidR="00694C35">
        <w:rPr>
          <w:rStyle w:val="KleinKapitaalAuteursCtrlAltK"/>
          <w:smallCaps w:val="0"/>
        </w:rPr>
        <w:t xml:space="preserve">na een arrest van het </w:t>
      </w:r>
      <w:r w:rsidR="00694C35" w:rsidRPr="00694C35">
        <w:rPr>
          <w:rStyle w:val="KleinKapitaalAuteursCtrlAltK"/>
          <w:i/>
          <w:iCs/>
          <w:smallCaps w:val="0"/>
        </w:rPr>
        <w:t>Bundesverfassungsgericht.</w:t>
      </w:r>
      <w:r w:rsidR="000E64A5">
        <w:rPr>
          <w:rStyle w:val="KleinKapitaalAuteursCtrlAltK"/>
          <w:i/>
          <w:iCs/>
          <w:smallCaps w:val="0"/>
        </w:rPr>
        <w:t xml:space="preserve"> </w:t>
      </w:r>
      <w:r w:rsidR="000E64A5">
        <w:rPr>
          <w:rStyle w:val="KleinKapitaalAuteursCtrlAltK"/>
          <w:smallCaps w:val="0"/>
        </w:rPr>
        <w:t xml:space="preserve">Sinds 2001 bestaat er nagenoeg geen juridisch onderscheid meer tussen beide statuten. België daarentegen bevindt zich nog midden in dit proces, waarbij de volledige harmonisatie van de aanvullende pensioenen pas tegen 2030 behaald moet worden. </w:t>
      </w:r>
    </w:p>
    <w:p w14:paraId="04C85D74" w14:textId="4EAD3E84" w:rsidR="00C75FFF" w:rsidRDefault="009E4709" w:rsidP="00C75FFF">
      <w:pPr>
        <w:pStyle w:val="Randnummer"/>
        <w:numPr>
          <w:ilvl w:val="0"/>
          <w:numId w:val="0"/>
        </w:numPr>
        <w:spacing w:line="360" w:lineRule="auto"/>
        <w:ind w:left="357"/>
        <w:rPr>
          <w:rStyle w:val="KleinKapitaalAuteursCtrlAltK"/>
          <w:smallCaps w:val="0"/>
        </w:rPr>
      </w:pPr>
      <w:r>
        <w:rPr>
          <w:rStyle w:val="KleinKapitaalAuteursCtrlAltK"/>
          <w:smallCaps w:val="0"/>
        </w:rPr>
        <w:t>De Duitse ervaring leert dat het opheffen van het verschil in juridisch statuut niet automatisch leidt tot sociale gelijkheid. Zo is de ongelijkheid in de pensioenopbouw daar verschoven van een statutaire kloof naar een sectorale kloof</w:t>
      </w:r>
      <w:r w:rsidR="00247A6C">
        <w:rPr>
          <w:rStyle w:val="KleinKapitaalAuteursCtrlAltK"/>
          <w:smallCaps w:val="0"/>
        </w:rPr>
        <w:t xml:space="preserve"> waarbij er verschillen zijn ontstaan op basis van de sector waarin men werkt en de grootte van het bedrijf</w:t>
      </w:r>
      <w:r w:rsidR="0077320E">
        <w:rPr>
          <w:rStyle w:val="KleinKapitaalAuteursCtrlAltK"/>
          <w:smallCaps w:val="0"/>
        </w:rPr>
        <w:t>.</w:t>
      </w:r>
      <w:r w:rsidR="0077320E">
        <w:rPr>
          <w:rStyle w:val="Voetnootmarkering"/>
          <w:lang w:val="nl-NL"/>
        </w:rPr>
        <w:footnoteReference w:id="295"/>
      </w:r>
    </w:p>
    <w:p w14:paraId="56B71A8E" w14:textId="7F7A2704" w:rsidR="000E64A5" w:rsidRDefault="00C75FFF" w:rsidP="00DE00BD">
      <w:pPr>
        <w:pStyle w:val="Randnummer"/>
        <w:spacing w:line="360" w:lineRule="auto"/>
        <w:rPr>
          <w:rStyle w:val="KleinKapitaalAuteursCtrlAltK"/>
          <w:smallCaps w:val="0"/>
        </w:rPr>
      </w:pPr>
      <w:r>
        <w:rPr>
          <w:rStyle w:val="KleinKapitaalAuteursCtrlAltK"/>
        </w:rPr>
        <w:t xml:space="preserve">Duitsland als waarschuwend voorbeeld </w:t>
      </w:r>
      <w:r w:rsidR="003D7880">
        <w:rPr>
          <w:rStyle w:val="KleinKapitaalAuteursCtrlAltK"/>
        </w:rPr>
        <w:t>–</w:t>
      </w:r>
      <w:r>
        <w:rPr>
          <w:rStyle w:val="KleinKapitaalAuteursCtrlAltK"/>
        </w:rPr>
        <w:t xml:space="preserve"> </w:t>
      </w:r>
      <w:r w:rsidR="003D7880">
        <w:rPr>
          <w:rStyle w:val="KleinKapitaalAuteursCtrlAltK"/>
          <w:smallCaps w:val="0"/>
        </w:rPr>
        <w:t xml:space="preserve">De Belgische wetgever kan Duitsland gebruiken als waarschuwend voorbeeld. De </w:t>
      </w:r>
      <w:r w:rsidR="003D7880">
        <w:rPr>
          <w:rStyle w:val="KleinKapitaalAuteursCtrlAltK"/>
          <w:i/>
          <w:iCs/>
          <w:smallCaps w:val="0"/>
        </w:rPr>
        <w:t>cut-off</w:t>
      </w:r>
      <w:r w:rsidR="003D7880" w:rsidRPr="000B384F">
        <w:rPr>
          <w:rStyle w:val="KleinKapitaalAuteursCtrlAltK"/>
          <w:i/>
          <w:iCs/>
          <w:smallCaps w:val="0"/>
        </w:rPr>
        <w:t xml:space="preserve"> date</w:t>
      </w:r>
      <w:r w:rsidR="003D7880">
        <w:rPr>
          <w:rStyle w:val="KleinKapitaalAuteursCtrlAltK"/>
          <w:smallCaps w:val="0"/>
        </w:rPr>
        <w:t xml:space="preserve"> zoals wij deze kennen in België zal niet volstaan om gelijkheid te realiseren zolang er structurele verschillen blijven bestaan tussen sectoren en de vrijblijvendheid van de opbouw.</w:t>
      </w:r>
    </w:p>
    <w:p w14:paraId="3458189E" w14:textId="674E0D17" w:rsidR="003D7880" w:rsidRPr="00DE00BD" w:rsidRDefault="003D7880" w:rsidP="00785192">
      <w:pPr>
        <w:pStyle w:val="Randnummer"/>
        <w:numPr>
          <w:ilvl w:val="0"/>
          <w:numId w:val="0"/>
        </w:numPr>
        <w:spacing w:line="360" w:lineRule="auto"/>
        <w:ind w:left="357"/>
        <w:rPr>
          <w:lang w:val="nl-NL"/>
        </w:rPr>
      </w:pPr>
      <w:r>
        <w:rPr>
          <w:rStyle w:val="KleinKapitaalAuteursCtrlAltK"/>
          <w:smallCaps w:val="0"/>
        </w:rPr>
        <w:t>Om een effectieve tweede pijler te garanderen, lijkt een beweging richting meer solidariteit en verplichtingstelling effectiever dan het Duitse model van vrijwillige loonruil.</w:t>
      </w:r>
      <w:r w:rsidR="00785192">
        <w:rPr>
          <w:rStyle w:val="KleinKapitaalAuteursCtrlAltK"/>
          <w:smallCaps w:val="0"/>
        </w:rPr>
        <w:br w:type="page"/>
      </w:r>
    </w:p>
    <w:p w14:paraId="72F78275" w14:textId="4B7E70D9" w:rsidR="000D7F7C" w:rsidRDefault="006C79F2" w:rsidP="006C79F2">
      <w:pPr>
        <w:pStyle w:val="Kop2"/>
        <w:rPr>
          <w:lang w:val="nl-NL"/>
        </w:rPr>
      </w:pPr>
      <w:bookmarkStart w:id="109" w:name="_Toc228784142"/>
      <w:r>
        <w:rPr>
          <w:lang w:val="nl-NL"/>
        </w:rPr>
        <w:t>Synthese en lessen voor België</w:t>
      </w:r>
      <w:bookmarkEnd w:id="109"/>
    </w:p>
    <w:p w14:paraId="7BA740F2" w14:textId="4CFFAC11" w:rsidR="000D7F7C" w:rsidRPr="003F4744" w:rsidRDefault="0087786C" w:rsidP="00C4387D">
      <w:pPr>
        <w:pStyle w:val="Randnummer"/>
        <w:spacing w:line="360" w:lineRule="auto"/>
        <w:rPr>
          <w:rStyle w:val="KleinKapitaalAuteursCtrlAltK"/>
        </w:rPr>
      </w:pPr>
      <w:r>
        <w:rPr>
          <w:rStyle w:val="KleinKapitaalAuteursCtrlAltK"/>
        </w:rPr>
        <w:t>Drie landen, drie modellen</w:t>
      </w:r>
      <w:r w:rsidR="00386216">
        <w:rPr>
          <w:rStyle w:val="KleinKapitaalAuteursCtrlAltK"/>
        </w:rPr>
        <w:t xml:space="preserve"> </w:t>
      </w:r>
      <w:r w:rsidR="008B4ED2">
        <w:rPr>
          <w:rStyle w:val="KleinKapitaalAuteursCtrlAltK"/>
        </w:rPr>
        <w:t>–</w:t>
      </w:r>
      <w:r w:rsidR="00D04945">
        <w:rPr>
          <w:rStyle w:val="KleinKapitaalAuteursCtrlAltK"/>
        </w:rPr>
        <w:t xml:space="preserve"> </w:t>
      </w:r>
      <w:r>
        <w:rPr>
          <w:rStyle w:val="KleinKapitaalAuteursCtrlAltK"/>
          <w:smallCaps w:val="0"/>
        </w:rPr>
        <w:t xml:space="preserve">Het rechtsvergelijkend onderzoek brengt drie fundamenteel verschillende benaderingen aan het licht. Luxemburg koos bij de invoering van haar eenheidsstatuut in 2008 bewust voor een grote vrijblijvendheid door de aanvullende pensioenen via artikel 19 </w:t>
      </w:r>
      <w:r w:rsidR="0062451B">
        <w:rPr>
          <w:rStyle w:val="KleinKapitaalAuteursCtrlAltK"/>
          <w:smallCaps w:val="0"/>
        </w:rPr>
        <w:t xml:space="preserve">van de wet van 13 mei 2008 </w:t>
      </w:r>
      <w:r w:rsidR="00CA4FBF">
        <w:rPr>
          <w:rStyle w:val="KleinKapitaalAuteursCtrlAltK"/>
          <w:smallCaps w:val="0"/>
        </w:rPr>
        <w:t xml:space="preserve">expliciet buiten het eenheidsstatuut te </w:t>
      </w:r>
      <w:r w:rsidR="00AA3782">
        <w:rPr>
          <w:rStyle w:val="KleinKapitaalAuteursCtrlAltK"/>
          <w:smallCaps w:val="0"/>
        </w:rPr>
        <w:t>plaatsen</w:t>
      </w:r>
      <w:r w:rsidR="00CA4FBF">
        <w:rPr>
          <w:rStyle w:val="KleinKapitaalAuteursCtrlAltK"/>
          <w:smallCaps w:val="0"/>
        </w:rPr>
        <w:t xml:space="preserve">. Het ontbreken van deadlines en een sturende overheidsrol heeft er toe geleid dat de harmonisatie in Luxemburg grotendeels dode letter bleef. Duitsland schafte het statutair onderscheid tussen </w:t>
      </w:r>
      <w:r w:rsidR="00CA4FBF">
        <w:rPr>
          <w:rStyle w:val="KleinKapitaalAuteursCtrlAltK"/>
          <w:i/>
          <w:iCs/>
          <w:smallCaps w:val="0"/>
        </w:rPr>
        <w:t xml:space="preserve">Arbeiter </w:t>
      </w:r>
      <w:r w:rsidR="00CA4FBF">
        <w:rPr>
          <w:rStyle w:val="KleinKapitaalAuteursCtrlAltK"/>
          <w:smallCaps w:val="0"/>
        </w:rPr>
        <w:t xml:space="preserve">en </w:t>
      </w:r>
      <w:r w:rsidR="00CA4FBF">
        <w:rPr>
          <w:rStyle w:val="KleinKapitaalAuteursCtrlAltK"/>
          <w:i/>
          <w:iCs/>
          <w:smallCaps w:val="0"/>
        </w:rPr>
        <w:t xml:space="preserve">Angestellten </w:t>
      </w:r>
      <w:r w:rsidR="00CA4FBF">
        <w:rPr>
          <w:rStyle w:val="KleinKapitaalAuteursCtrlAltK"/>
          <w:smallCaps w:val="0"/>
        </w:rPr>
        <w:t xml:space="preserve">na het arrest van het </w:t>
      </w:r>
      <w:r w:rsidR="00CA4FBF" w:rsidRPr="00CA4FBF">
        <w:rPr>
          <w:rStyle w:val="KleinKapitaalAuteursCtrlAltK"/>
          <w:smallCaps w:val="0"/>
        </w:rPr>
        <w:t>BVerfG</w:t>
      </w:r>
      <w:r w:rsidR="00CA4FBF">
        <w:rPr>
          <w:rStyle w:val="KleinKapitaalAuteursCtrlAltK"/>
          <w:smallCaps w:val="0"/>
        </w:rPr>
        <w:t xml:space="preserve"> snel </w:t>
      </w:r>
      <w:r w:rsidR="00C04DEF">
        <w:rPr>
          <w:rStyle w:val="KleinKapitaalAuteursCtrlAltK"/>
          <w:smallCaps w:val="0"/>
        </w:rPr>
        <w:t>af, maar toont op zijn beurt aan dat formele juridische gelijkheid niet synoniem staat aan materiële gelijkheid. De ongelijkheid verschoof er van het statuut naar sectora</w:t>
      </w:r>
      <w:r w:rsidR="005F12AE">
        <w:rPr>
          <w:rStyle w:val="KleinKapitaalAuteursCtrlAltK"/>
          <w:smallCaps w:val="0"/>
        </w:rPr>
        <w:t xml:space="preserve">le machtsverhoudingen en bedrijfsgrootte, wat voor België een cruciale waarschuwing inhoudt. </w:t>
      </w:r>
      <w:r w:rsidRPr="00CA4FBF">
        <w:rPr>
          <w:rStyle w:val="KleinKapitaalAuteursCtrlAltK"/>
          <w:smallCaps w:val="0"/>
        </w:rPr>
        <w:t>Nederland</w:t>
      </w:r>
      <w:r w:rsidR="005F12AE">
        <w:rPr>
          <w:rStyle w:val="KleinKapitaalAuteursCtrlAltK"/>
          <w:smallCaps w:val="0"/>
        </w:rPr>
        <w:t xml:space="preserve"> </w:t>
      </w:r>
      <w:r w:rsidR="008B4ED2" w:rsidRPr="00CA4FBF">
        <w:rPr>
          <w:rStyle w:val="KleinKapitaalAuteursCtrlAltK"/>
          <w:smallCaps w:val="0"/>
        </w:rPr>
        <w:t>positioneert</w:t>
      </w:r>
      <w:r w:rsidR="008B4ED2">
        <w:rPr>
          <w:rStyle w:val="KleinKapitaalAuteursCtrlAltK"/>
          <w:smallCaps w:val="0"/>
        </w:rPr>
        <w:t xml:space="preserve"> zich als </w:t>
      </w:r>
      <w:r w:rsidR="005F12AE">
        <w:rPr>
          <w:rStyle w:val="KleinKapitaalAuteursCtrlAltK"/>
          <w:smallCaps w:val="0"/>
        </w:rPr>
        <w:t xml:space="preserve">het meest inspirerende voorbeeld door de quasi-verplichtstelling van de tweede pijler via bedrijfstakpensioenfondsen, gecombineerd met een collectieve transitielogica die individuele bezwaarrechten uitschakelt ten voordele van een integrale, breed gedragen hervorming. </w:t>
      </w:r>
      <w:r w:rsidR="00C4387D">
        <w:rPr>
          <w:rStyle w:val="KleinKapitaalAuteursCtrlAltK"/>
          <w:smallCaps w:val="0"/>
        </w:rPr>
        <w:t xml:space="preserve"> </w:t>
      </w:r>
    </w:p>
    <w:p w14:paraId="7EBD8CEF" w14:textId="377F4F9A" w:rsidR="00106AA1" w:rsidRPr="00742233" w:rsidRDefault="00106AA1" w:rsidP="0000150F">
      <w:pPr>
        <w:pStyle w:val="Randnummer"/>
        <w:spacing w:line="360" w:lineRule="auto"/>
        <w:rPr>
          <w:rStyle w:val="KleinKapitaalAuteursCtrlAltK"/>
        </w:rPr>
      </w:pPr>
      <w:r>
        <w:rPr>
          <w:rStyle w:val="KleinKapitaalAuteursCtrlAltK"/>
        </w:rPr>
        <w:t xml:space="preserve">Beleidsaanbevelingen </w:t>
      </w:r>
      <w:r w:rsidR="00A31EA5">
        <w:rPr>
          <w:rStyle w:val="KleinKapitaalAuteursCtrlAltK"/>
        </w:rPr>
        <w:t>–</w:t>
      </w:r>
      <w:r>
        <w:rPr>
          <w:rStyle w:val="KleinKapitaalAuteursCtrlAltK"/>
        </w:rPr>
        <w:t xml:space="preserve"> </w:t>
      </w:r>
      <w:r w:rsidR="00A31EA5">
        <w:rPr>
          <w:rStyle w:val="KleinKapitaalAuteursCtrlAltK"/>
          <w:smallCaps w:val="0"/>
        </w:rPr>
        <w:t xml:space="preserve">Vanuit de rechtsvergelijking kan geconcludeerd worden dat inspiratie vanuit onze buurlanden noodzakelijk is om de Belgische impasse te doorbreken. </w:t>
      </w:r>
      <w:r w:rsidR="0000150F">
        <w:rPr>
          <w:rStyle w:val="KleinKapitaalAuteursCtrlAltK"/>
          <w:smallCaps w:val="0"/>
        </w:rPr>
        <w:t xml:space="preserve">Zo acht ik het vanzelfsprekend dat een succesvolle harmonisatie een verschuiving vereist </w:t>
      </w:r>
      <w:r w:rsidR="00951AA9">
        <w:rPr>
          <w:rStyle w:val="KleinKapitaalAuteursCtrlAltK"/>
          <w:smallCaps w:val="0"/>
        </w:rPr>
        <w:t>van een individuele naar een collectieve logica</w:t>
      </w:r>
      <w:r w:rsidR="000C5C66">
        <w:rPr>
          <w:rStyle w:val="KleinKapitaalAuteursCtrlAltK"/>
          <w:smallCaps w:val="0"/>
        </w:rPr>
        <w:t>,</w:t>
      </w:r>
      <w:r w:rsidR="00951AA9">
        <w:rPr>
          <w:rStyle w:val="KleinKapitaalAuteursCtrlAltK"/>
          <w:smallCaps w:val="0"/>
        </w:rPr>
        <w:t xml:space="preserve"> zoals onder het Nederlands model, ondersteund door dwingende overheidssturing</w:t>
      </w:r>
      <w:r w:rsidR="000C5C66">
        <w:rPr>
          <w:rStyle w:val="KleinKapitaalAuteursCtrlAltK"/>
          <w:smallCaps w:val="0"/>
        </w:rPr>
        <w:t xml:space="preserve"> waarbij z</w:t>
      </w:r>
      <w:r w:rsidR="00123D6A">
        <w:rPr>
          <w:rStyle w:val="KleinKapitaalAuteursCtrlAltK"/>
          <w:smallCaps w:val="0"/>
        </w:rPr>
        <w:t>e</w:t>
      </w:r>
      <w:r w:rsidR="000C5C66">
        <w:rPr>
          <w:rStyle w:val="KleinKapitaalAuteursCtrlAltK"/>
          <w:smallCaps w:val="0"/>
        </w:rPr>
        <w:t xml:space="preserve">ker niet wordt aangeleund naar Luxemburg. </w:t>
      </w:r>
      <w:r w:rsidR="00E16813">
        <w:rPr>
          <w:rStyle w:val="KleinKapitaalAuteursCtrlAltK"/>
          <w:smallCaps w:val="0"/>
        </w:rPr>
        <w:t>Hier</w:t>
      </w:r>
      <w:r w:rsidR="009630BE">
        <w:rPr>
          <w:rStyle w:val="KleinKapitaalAuteursCtrlAltK"/>
          <w:smallCaps w:val="0"/>
        </w:rPr>
        <w:t>na</w:t>
      </w:r>
      <w:r w:rsidR="00E16813">
        <w:rPr>
          <w:rStyle w:val="KleinKapitaalAuteursCtrlAltK"/>
          <w:smallCaps w:val="0"/>
        </w:rPr>
        <w:t xml:space="preserve"> formuleer ik drie aanbevelingen voor de beleidsmakers </w:t>
      </w:r>
      <w:r w:rsidR="00742233">
        <w:rPr>
          <w:rStyle w:val="KleinKapitaalAuteursCtrlAltK"/>
          <w:smallCaps w:val="0"/>
        </w:rPr>
        <w:t>zodat ze kunnen komen tot een succesvolle harmonisatie.</w:t>
      </w:r>
      <w:r w:rsidR="000D694C">
        <w:rPr>
          <w:rStyle w:val="Voetnootmarkering"/>
          <w:lang w:val="nl-NL"/>
        </w:rPr>
        <w:footnoteReference w:id="296"/>
      </w:r>
    </w:p>
    <w:p w14:paraId="11CA4DDB" w14:textId="0EC93A1C" w:rsidR="00742233" w:rsidRDefault="00742233" w:rsidP="00742233">
      <w:pPr>
        <w:pStyle w:val="Randnummer"/>
        <w:numPr>
          <w:ilvl w:val="0"/>
          <w:numId w:val="0"/>
        </w:numPr>
        <w:spacing w:line="360" w:lineRule="auto"/>
        <w:ind w:left="357"/>
        <w:rPr>
          <w:rStyle w:val="KleinKapitaalAuteursCtrlAltK"/>
          <w:smallCaps w:val="0"/>
        </w:rPr>
      </w:pPr>
      <w:r w:rsidRPr="00B92771">
        <w:rPr>
          <w:rStyle w:val="KleinKapitaalAuteursCtrlAltK"/>
          <w:smallCaps w:val="0"/>
          <w:u w:val="single"/>
        </w:rPr>
        <w:t xml:space="preserve">1. </w:t>
      </w:r>
      <w:r w:rsidR="00B92771" w:rsidRPr="00B92771">
        <w:rPr>
          <w:rStyle w:val="KleinKapitaalAuteursCtrlAltK"/>
          <w:smallCaps w:val="0"/>
          <w:u w:val="single"/>
        </w:rPr>
        <w:t>Versterk de wettelijke sturing van de harmonisering</w:t>
      </w:r>
      <w:r w:rsidR="00B92771">
        <w:rPr>
          <w:rStyle w:val="KleinKapitaalAuteursCtrlAltK"/>
          <w:smallCaps w:val="0"/>
        </w:rPr>
        <w:t>:</w:t>
      </w:r>
      <w:r w:rsidR="00B92771" w:rsidRPr="008C5827">
        <w:rPr>
          <w:rStyle w:val="KleinKapitaalAuteursCtrlAltK"/>
          <w:smallCaps w:val="0"/>
        </w:rPr>
        <w:t xml:space="preserve"> </w:t>
      </w:r>
      <w:r w:rsidR="00DC4F70" w:rsidRPr="008C5827">
        <w:rPr>
          <w:rStyle w:val="KleinKapitaalAuteursCtrlAltK"/>
          <w:smallCaps w:val="0"/>
        </w:rPr>
        <w:t xml:space="preserve">Maak van de huidige harmonisering onder de WAP een meer afdwingbaar kader, met bindende minimumvereisten. </w:t>
      </w:r>
      <w:r w:rsidR="009D4C5D" w:rsidRPr="008C5827">
        <w:rPr>
          <w:rStyle w:val="KleinKapitaalAuteursCtrlAltK"/>
          <w:smallCaps w:val="0"/>
        </w:rPr>
        <w:t>In België is de harmonisering sterk afhankelijk van de sociale partners w</w:t>
      </w:r>
      <w:r w:rsidR="00EF61EB" w:rsidRPr="008C5827">
        <w:rPr>
          <w:rStyle w:val="KleinKapitaalAuteursCtrlAltK"/>
          <w:smallCaps w:val="0"/>
        </w:rPr>
        <w:t>a</w:t>
      </w:r>
      <w:r w:rsidR="009D4C5D" w:rsidRPr="008C5827">
        <w:rPr>
          <w:rStyle w:val="KleinKapitaalAuteursCtrlAltK"/>
          <w:smallCaps w:val="0"/>
        </w:rPr>
        <w:t>t leidt tot een ongelijk tempo in harmonisatie en blijvende verschillen.</w:t>
      </w:r>
    </w:p>
    <w:p w14:paraId="23D7A321" w14:textId="643CB8FA" w:rsidR="003B4A85" w:rsidRDefault="005158A1" w:rsidP="00742233">
      <w:pPr>
        <w:pStyle w:val="Randnummer"/>
        <w:numPr>
          <w:ilvl w:val="0"/>
          <w:numId w:val="0"/>
        </w:numPr>
        <w:spacing w:line="360" w:lineRule="auto"/>
        <w:ind w:left="357"/>
        <w:rPr>
          <w:rStyle w:val="KleinKapitaalAuteursCtrlAltK"/>
          <w:smallCaps w:val="0"/>
        </w:rPr>
      </w:pPr>
      <w:r>
        <w:rPr>
          <w:rStyle w:val="KleinKapitaalAuteursCtrlAltK"/>
          <w:smallCaps w:val="0"/>
        </w:rPr>
        <w:t>Eén</w:t>
      </w:r>
      <w:r w:rsidR="00493DD5">
        <w:rPr>
          <w:rStyle w:val="KleinKapitaalAuteursCtrlAltK"/>
          <w:smallCaps w:val="0"/>
        </w:rPr>
        <w:t xml:space="preserve"> van de meest fundamentele structurele zwaktes van het huidige harmonisatieproces ligt in het overwegend faciliterende karakter van het wettelijk kader. Hoewel de wetgever een duidelijk discriminatieverbod heeft ingesteld, blijft de concrete invulling hiervan grotendeels afhankelijk van de sociale partners. Zoals uit deze masterproef blijkt, leidt deze keuze tot een asymmetrisch en gefragmenteerd harmonisatietraject, waarbij</w:t>
      </w:r>
      <w:r w:rsidR="00034E4C">
        <w:rPr>
          <w:rStyle w:val="KleinKapitaalAuteursCtrlAltK"/>
          <w:smallCaps w:val="0"/>
        </w:rPr>
        <w:t xml:space="preserve"> bepaalde sectoren sneller vooruitgang boeken dan andere. </w:t>
      </w:r>
    </w:p>
    <w:p w14:paraId="578E04DA" w14:textId="4CF3FA92" w:rsidR="00566478" w:rsidRDefault="0089725F" w:rsidP="003B5610">
      <w:pPr>
        <w:pStyle w:val="Randnummer"/>
        <w:numPr>
          <w:ilvl w:val="0"/>
          <w:numId w:val="0"/>
        </w:numPr>
        <w:spacing w:line="360" w:lineRule="auto"/>
        <w:ind w:left="357"/>
        <w:rPr>
          <w:rStyle w:val="KleinKapitaalAuteursCtrlAltK"/>
          <w:smallCaps w:val="0"/>
        </w:rPr>
      </w:pPr>
      <w:r>
        <w:rPr>
          <w:rStyle w:val="KleinKapitaalAuteursCtrlAltK"/>
          <w:smallCaps w:val="0"/>
        </w:rPr>
        <w:t xml:space="preserve">De huidige regeling kenmerkt zich door een gebrek aan bindende minimumvereisten. De WAP legt wel een einddoel </w:t>
      </w:r>
      <w:r w:rsidR="00B507E9">
        <w:rPr>
          <w:rStyle w:val="KleinKapitaalAuteursCtrlAltK"/>
          <w:smallCaps w:val="0"/>
        </w:rPr>
        <w:t>op,</w:t>
      </w:r>
      <w:r>
        <w:rPr>
          <w:rStyle w:val="KleinKapitaalAuteursCtrlAltK"/>
          <w:smallCaps w:val="0"/>
        </w:rPr>
        <w:t xml:space="preserve"> maar concretiseert niet hoe deze gelijkheid bereikt moet worden. Dit cre</w:t>
      </w:r>
      <w:r w:rsidR="006E2486">
        <w:rPr>
          <w:rStyle w:val="KleinKapitaalAuteursCtrlAltK"/>
          <w:smallCaps w:val="0"/>
        </w:rPr>
        <w:t xml:space="preserve">ëert ruimte voor minimale aanpassingen die formeel wel voldoen aan de wet, maar materieel </w:t>
      </w:r>
      <w:r w:rsidR="00566478">
        <w:rPr>
          <w:rStyle w:val="KleinKapitaalAuteursCtrlAltK"/>
          <w:smallCaps w:val="0"/>
        </w:rPr>
        <w:t>weinig bijdragen aan daadwerkelijke gelijkheid.</w:t>
      </w:r>
    </w:p>
    <w:p w14:paraId="592E482E" w14:textId="7CE91C1C" w:rsidR="007E4838" w:rsidRDefault="007E4838" w:rsidP="003B5610">
      <w:pPr>
        <w:pStyle w:val="Randnummer"/>
        <w:numPr>
          <w:ilvl w:val="0"/>
          <w:numId w:val="0"/>
        </w:numPr>
        <w:spacing w:line="360" w:lineRule="auto"/>
        <w:ind w:left="357"/>
        <w:rPr>
          <w:rStyle w:val="KleinKapitaalAuteursCtrlAltK"/>
          <w:smallCaps w:val="0"/>
        </w:rPr>
      </w:pPr>
      <w:r>
        <w:rPr>
          <w:rStyle w:val="KleinKapitaalAuteursCtrlAltK"/>
          <w:smallCaps w:val="0"/>
        </w:rPr>
        <w:t>Een dergelijke hervorming impliceert geen uitschakeling van de sociale partners, maar wel een herpositionering van hun rol. In lijn met Nederland bijvoorbeeld</w:t>
      </w:r>
      <w:r w:rsidR="00834F57">
        <w:rPr>
          <w:rStyle w:val="KleinKapitaalAuteursCtrlAltK"/>
          <w:smallCaps w:val="0"/>
        </w:rPr>
        <w:t>,</w:t>
      </w:r>
      <w:r>
        <w:rPr>
          <w:rStyle w:val="KleinKapitaalAuteursCtrlAltK"/>
          <w:smallCaps w:val="0"/>
        </w:rPr>
        <w:t xml:space="preserve"> zouden zij moeten opereren binnen duidelijke wettelijke krijtlijnen</w:t>
      </w:r>
      <w:r w:rsidR="00A86BFA">
        <w:rPr>
          <w:rStyle w:val="KleinKapitaalAuteursCtrlAltK"/>
          <w:smallCaps w:val="0"/>
        </w:rPr>
        <w:t>.</w:t>
      </w:r>
    </w:p>
    <w:p w14:paraId="6B58DC6D" w14:textId="086430AE" w:rsidR="00B92771" w:rsidRDefault="00B92771" w:rsidP="00742233">
      <w:pPr>
        <w:pStyle w:val="Randnummer"/>
        <w:numPr>
          <w:ilvl w:val="0"/>
          <w:numId w:val="0"/>
        </w:numPr>
        <w:spacing w:line="360" w:lineRule="auto"/>
        <w:ind w:left="357"/>
        <w:rPr>
          <w:rStyle w:val="KleinKapitaalAuteursCtrlAltK"/>
          <w:smallCaps w:val="0"/>
        </w:rPr>
      </w:pPr>
      <w:r w:rsidRPr="006D0360">
        <w:rPr>
          <w:rStyle w:val="KleinKapitaalAuteursCtrlAltK"/>
          <w:smallCaps w:val="0"/>
          <w:u w:val="single"/>
        </w:rPr>
        <w:t>2. Hervorm</w:t>
      </w:r>
      <w:r w:rsidR="009D4C5D" w:rsidRPr="006D0360">
        <w:rPr>
          <w:rStyle w:val="KleinKapitaalAuteursCtrlAltK"/>
          <w:smallCaps w:val="0"/>
          <w:u w:val="single"/>
        </w:rPr>
        <w:t xml:space="preserve"> het paritair landschap:</w:t>
      </w:r>
      <w:r w:rsidR="009D4C5D">
        <w:rPr>
          <w:rStyle w:val="KleinKapitaalAuteursCtrlAltK"/>
          <w:smallCaps w:val="0"/>
        </w:rPr>
        <w:t xml:space="preserve"> </w:t>
      </w:r>
      <w:r w:rsidR="002205FA" w:rsidRPr="00222138">
        <w:rPr>
          <w:rStyle w:val="KleinKapitaalAuteursCtrlAltK"/>
          <w:smallCaps w:val="0"/>
        </w:rPr>
        <w:t xml:space="preserve">In België zijn de paritaire comités historisch gescheiden, dit brengt automatisch een tweedeling met zich mee. </w:t>
      </w:r>
      <w:r w:rsidR="006D0360" w:rsidRPr="00222138">
        <w:rPr>
          <w:rStyle w:val="KleinKapitaalAuteursCtrlAltK"/>
          <w:smallCaps w:val="0"/>
        </w:rPr>
        <w:t>Indien de overheid de beleidsrichting stuurt in de zin van gemengde pensioenplannen en fusies tussen arbeiders en bediendensectoren zal de harmonisatie automatisch vlotter verlopen.</w:t>
      </w:r>
      <w:r w:rsidR="006D0360">
        <w:rPr>
          <w:rStyle w:val="KleinKapitaalAuteursCtrlAltK"/>
          <w:smallCaps w:val="0"/>
        </w:rPr>
        <w:t xml:space="preserve"> </w:t>
      </w:r>
    </w:p>
    <w:p w14:paraId="0D3BC825" w14:textId="77777777" w:rsidR="00F13E1E" w:rsidRDefault="005F1AB7" w:rsidP="00742233">
      <w:pPr>
        <w:pStyle w:val="Randnummer"/>
        <w:numPr>
          <w:ilvl w:val="0"/>
          <w:numId w:val="0"/>
        </w:numPr>
        <w:spacing w:line="360" w:lineRule="auto"/>
        <w:ind w:left="357"/>
        <w:rPr>
          <w:rStyle w:val="KleinKapitaalAuteursCtrlAltK"/>
          <w:smallCaps w:val="0"/>
        </w:rPr>
      </w:pPr>
      <w:r>
        <w:rPr>
          <w:rStyle w:val="KleinKapitaalAuteursCtrlAltK"/>
          <w:smallCaps w:val="0"/>
        </w:rPr>
        <w:t>Het rechtsvergelijkend onderzoekt toont aan dat landen zonder deze institutionele scheiding zoals Nederland en Duitsland</w:t>
      </w:r>
      <w:r w:rsidR="00F13E1E">
        <w:rPr>
          <w:rStyle w:val="KleinKapitaalAuteursCtrlAltK"/>
          <w:smallCaps w:val="0"/>
        </w:rPr>
        <w:t xml:space="preserve"> een meer homogeen pensioenlandschap kennen. Deze voorbeelden illustreren dat institutionele integratie noodzakelijk is voor effectieve harmonisatie. </w:t>
      </w:r>
    </w:p>
    <w:p w14:paraId="2EE8B8EE" w14:textId="641A978C" w:rsidR="005F1AB7" w:rsidRPr="00386988" w:rsidRDefault="00F13E1E" w:rsidP="00742233">
      <w:pPr>
        <w:pStyle w:val="Randnummer"/>
        <w:numPr>
          <w:ilvl w:val="0"/>
          <w:numId w:val="0"/>
        </w:numPr>
        <w:spacing w:line="360" w:lineRule="auto"/>
        <w:ind w:left="357"/>
        <w:rPr>
          <w:rStyle w:val="KleinKapitaalAuteursCtrlAltK"/>
          <w:smallCaps w:val="0"/>
        </w:rPr>
      </w:pPr>
      <w:r>
        <w:rPr>
          <w:rStyle w:val="KleinKapitaalAuteursCtrlAltK"/>
          <w:smallCaps w:val="0"/>
        </w:rPr>
        <w:t>Daarom verdient het mijn</w:t>
      </w:r>
      <w:r w:rsidR="005158A1">
        <w:rPr>
          <w:rStyle w:val="KleinKapitaalAuteursCtrlAltK"/>
          <w:smallCaps w:val="0"/>
        </w:rPr>
        <w:t>s</w:t>
      </w:r>
      <w:r>
        <w:rPr>
          <w:rStyle w:val="KleinKapitaalAuteursCtrlAltK"/>
          <w:smallCaps w:val="0"/>
        </w:rPr>
        <w:t xml:space="preserve"> inziens </w:t>
      </w:r>
      <w:r w:rsidR="00232495">
        <w:rPr>
          <w:rStyle w:val="KleinKapitaalAuteursCtrlAltK"/>
          <w:smallCaps w:val="0"/>
        </w:rPr>
        <w:t>aanbeveling om het Belgische paritaire landschap dringend te hervormen, onder meer door fusies tussen paritaire comit</w:t>
      </w:r>
      <w:r w:rsidR="00E24F5A">
        <w:rPr>
          <w:rStyle w:val="KleinKapitaalAuteursCtrlAltK"/>
          <w:smallCaps w:val="0"/>
        </w:rPr>
        <w:t xml:space="preserve">és </w:t>
      </w:r>
      <w:r w:rsidR="002C330D">
        <w:rPr>
          <w:rStyle w:val="KleinKapitaalAuteursCtrlAltK"/>
          <w:smallCaps w:val="0"/>
        </w:rPr>
        <w:t>en het stimul</w:t>
      </w:r>
      <w:r w:rsidR="00C107DB">
        <w:rPr>
          <w:rStyle w:val="KleinKapitaalAuteursCtrlAltK"/>
          <w:smallCaps w:val="0"/>
        </w:rPr>
        <w:t xml:space="preserve">eren van gemengde pensioenplannen. Door deze structurele scheidingslijnen af te bouwen, kan de harmonisatie versnellen maar ook duurzamer worden verankerd. </w:t>
      </w:r>
    </w:p>
    <w:p w14:paraId="1D7DE80B" w14:textId="14CC1DAA" w:rsidR="00A73EA0" w:rsidRDefault="00D37CF6" w:rsidP="00C430FE">
      <w:pPr>
        <w:pStyle w:val="Randnummer"/>
        <w:numPr>
          <w:ilvl w:val="0"/>
          <w:numId w:val="0"/>
        </w:numPr>
        <w:spacing w:line="360" w:lineRule="auto"/>
        <w:ind w:left="357"/>
        <w:rPr>
          <w:rStyle w:val="KleinKapitaalAuteursCtrlAltK"/>
          <w:i/>
          <w:iCs/>
          <w:smallCaps w:val="0"/>
        </w:rPr>
      </w:pPr>
      <w:r w:rsidRPr="00D37CF6">
        <w:rPr>
          <w:rStyle w:val="KleinKapitaalAuteursCtrlAltK"/>
          <w:smallCaps w:val="0"/>
          <w:u w:val="single"/>
        </w:rPr>
        <w:t xml:space="preserve">3. Beperk </w:t>
      </w:r>
      <w:r w:rsidR="007816AA">
        <w:rPr>
          <w:rStyle w:val="KleinKapitaalAuteursCtrlAltK"/>
          <w:smallCaps w:val="0"/>
          <w:u w:val="single"/>
        </w:rPr>
        <w:t xml:space="preserve">de kloof </w:t>
      </w:r>
      <w:r w:rsidRPr="00D37CF6">
        <w:rPr>
          <w:rStyle w:val="KleinKapitaalAuteursCtrlAltK"/>
          <w:smallCaps w:val="0"/>
          <w:u w:val="single"/>
        </w:rPr>
        <w:t>tussen sectorale en ondernemingspensioenen:</w:t>
      </w:r>
      <w:r w:rsidR="000D6AC7">
        <w:rPr>
          <w:rStyle w:val="KleinKapitaalAuteursCtrlAltK"/>
          <w:smallCaps w:val="0"/>
        </w:rPr>
        <w:t xml:space="preserve"> </w:t>
      </w:r>
      <w:r w:rsidR="000D6AC7" w:rsidRPr="00E4386D">
        <w:rPr>
          <w:rStyle w:val="KleinKapitaalAuteursCtrlAltK"/>
          <w:smallCaps w:val="0"/>
        </w:rPr>
        <w:t>Als de kloof weggewerkt wordt tussen de sectorale plannen, waar vaker arbeiders onder vallen, en ondernemingsplannen, waar va</w:t>
      </w:r>
      <w:r w:rsidR="00106C26">
        <w:rPr>
          <w:rStyle w:val="KleinKapitaalAuteursCtrlAltK"/>
          <w:smallCaps w:val="0"/>
        </w:rPr>
        <w:t>ker</w:t>
      </w:r>
      <w:r w:rsidR="000D6AC7" w:rsidRPr="00E4386D">
        <w:rPr>
          <w:rStyle w:val="KleinKapitaalAuteursCtrlAltK"/>
          <w:smallCaps w:val="0"/>
        </w:rPr>
        <w:t xml:space="preserve"> bedienden onder vallen, </w:t>
      </w:r>
      <w:r w:rsidR="001B59D5" w:rsidRPr="00E4386D">
        <w:rPr>
          <w:rStyle w:val="KleinKapitaalAuteursCtrlAltK"/>
          <w:smallCaps w:val="0"/>
        </w:rPr>
        <w:t>zal harmonisatie eenvoudiger zijn. Dit kan gedaan worden aan de hand van minimumstandaarden voor sectorale plannen maar ook door het invoeren van transparantieverplichtingen</w:t>
      </w:r>
      <w:r w:rsidR="00106C26">
        <w:rPr>
          <w:rStyle w:val="KleinKapitaalAuteursCtrlAltK"/>
          <w:smallCaps w:val="0"/>
        </w:rPr>
        <w:t xml:space="preserve"> voor alle inrichters</w:t>
      </w:r>
      <w:r w:rsidR="001B59D5" w:rsidRPr="00E4386D">
        <w:rPr>
          <w:rStyle w:val="KleinKapitaalAuteursCtrlAltK"/>
          <w:smallCaps w:val="0"/>
        </w:rPr>
        <w:t>.</w:t>
      </w:r>
      <w:r w:rsidR="00106C26">
        <w:rPr>
          <w:rStyle w:val="KleinKapitaalAuteursCtrlAltK"/>
          <w:smallCaps w:val="0"/>
        </w:rPr>
        <w:t xml:space="preserve"> Dankzij deze transparantieverplichtingen zal er meer en duidelijkere informatie beschikbaar zijn over pensioenplannen, zodat verschillen ook </w:t>
      </w:r>
      <w:r w:rsidR="003928DF">
        <w:rPr>
          <w:rStyle w:val="KleinKapitaalAuteursCtrlAltK"/>
          <w:smallCaps w:val="0"/>
        </w:rPr>
        <w:t>e</w:t>
      </w:r>
      <w:r w:rsidR="00106C26">
        <w:rPr>
          <w:rStyle w:val="KleinKapitaalAuteursCtrlAltK"/>
          <w:smallCaps w:val="0"/>
        </w:rPr>
        <w:t>cht zichtbaar</w:t>
      </w:r>
      <w:r w:rsidR="003928DF">
        <w:rPr>
          <w:rStyle w:val="KleinKapitaalAuteursCtrlAltK"/>
          <w:smallCaps w:val="0"/>
        </w:rPr>
        <w:t xml:space="preserve"> zijn</w:t>
      </w:r>
      <w:r w:rsidR="00106C26">
        <w:rPr>
          <w:rStyle w:val="KleinKapitaalAuteursCtrlAltK"/>
          <w:smallCaps w:val="0"/>
        </w:rPr>
        <w:t xml:space="preserve"> en vergelijkbaar worden.</w:t>
      </w:r>
    </w:p>
    <w:p w14:paraId="55E63244" w14:textId="77777777" w:rsidR="00DE659E" w:rsidRDefault="0084638D" w:rsidP="00C430FE">
      <w:pPr>
        <w:pStyle w:val="Randnummer"/>
        <w:numPr>
          <w:ilvl w:val="0"/>
          <w:numId w:val="0"/>
        </w:numPr>
        <w:spacing w:line="360" w:lineRule="auto"/>
        <w:ind w:left="357"/>
        <w:rPr>
          <w:rStyle w:val="KleinKapitaalAuteursCtrlAltK"/>
          <w:smallCaps w:val="0"/>
        </w:rPr>
      </w:pPr>
      <w:r>
        <w:rPr>
          <w:rStyle w:val="KleinKapitaalAuteursCtrlAltK"/>
          <w:smallCaps w:val="0"/>
        </w:rPr>
        <w:t xml:space="preserve">Zoals is gebleken uit </w:t>
      </w:r>
      <w:r w:rsidR="001B0E54">
        <w:rPr>
          <w:rStyle w:val="KleinKapitaalAuteursCtrlAltK"/>
          <w:smallCaps w:val="0"/>
        </w:rPr>
        <w:t xml:space="preserve">mijn onderzoek zijn ondernemingsplannen doorgaans gunstiger qua bijdrage en opbouw, waardoor deze dualiteit een belangrijke bron van blijvende ongelijkheid vormt. </w:t>
      </w:r>
      <w:r w:rsidR="00DE659E">
        <w:rPr>
          <w:rStyle w:val="KleinKapitaalAuteursCtrlAltK"/>
          <w:smallCaps w:val="0"/>
        </w:rPr>
        <w:t xml:space="preserve">Dit bemoeilijkt de harmonisatie gezien de verschillen niet enkel voortvloeien uit het statuut van arbeider dan wel bediende, maar ook uit het organisatieniveau van de pensioenregeling. </w:t>
      </w:r>
    </w:p>
    <w:p w14:paraId="30BF4F1A" w14:textId="7CEECC16" w:rsidR="00B92771" w:rsidRPr="00C430FE" w:rsidRDefault="00B81BBB" w:rsidP="004D1E41">
      <w:pPr>
        <w:pStyle w:val="Randnummer"/>
        <w:spacing w:line="360" w:lineRule="auto"/>
        <w:rPr>
          <w:rStyle w:val="KleinKapitaalAuteursCtrlAltK"/>
          <w:smallCaps w:val="0"/>
        </w:rPr>
      </w:pPr>
      <w:r>
        <w:rPr>
          <w:rStyle w:val="KleinKapitaalAuteursCtrlAltK"/>
        </w:rPr>
        <w:t>Besluit -</w:t>
      </w:r>
      <w:r w:rsidR="005171F4">
        <w:rPr>
          <w:rStyle w:val="KleinKapitaalAuteursCtrlAltK"/>
        </w:rPr>
        <w:t xml:space="preserve"> </w:t>
      </w:r>
      <w:r w:rsidR="004D1E41">
        <w:rPr>
          <w:rStyle w:val="KleinKapitaalAuteursCtrlAltK"/>
          <w:smallCaps w:val="0"/>
        </w:rPr>
        <w:t>De complexiteit van de Belgische harmonisatieoefening toont aan dat een succesvolle hervorming een verschuiving vereist van een individuele naar een collectieve logica, ondersteund door dwingende overheidssturing. De deadline van 2030 mag niet gezien worden als een eindpunt, maar als een vertrekpunt voor de structurele hervormingen die werkelijke sociale gelijkheid tussen arbeiders en bedienden in de tweede pensioenpijler kunnen realiseren</w:t>
      </w:r>
      <w:r w:rsidR="004C414C">
        <w:rPr>
          <w:rStyle w:val="KleinKapitaalAuteursCtrlAltK"/>
          <w:smallCaps w:val="0"/>
        </w:rPr>
        <w:t>.</w:t>
      </w:r>
      <w:r w:rsidR="00C430FE">
        <w:rPr>
          <w:rStyle w:val="KleinKapitaalAuteursCtrlAltK"/>
          <w:smallCaps w:val="0"/>
        </w:rPr>
        <w:br w:type="page"/>
      </w:r>
    </w:p>
    <w:p w14:paraId="71C42F0D" w14:textId="13D2F7A8" w:rsidR="003601E6" w:rsidRDefault="003601E6" w:rsidP="003601E6">
      <w:pPr>
        <w:pStyle w:val="Kop1"/>
        <w:numPr>
          <w:ilvl w:val="0"/>
          <w:numId w:val="0"/>
        </w:numPr>
        <w:rPr>
          <w:rStyle w:val="KleinKapitaalAuteursCtrlAltK"/>
        </w:rPr>
      </w:pPr>
      <w:bookmarkStart w:id="110" w:name="_Toc228784143"/>
      <w:r>
        <w:rPr>
          <w:rStyle w:val="KleinKapitaalAuteursCtrlAltK"/>
        </w:rPr>
        <w:t>Besluit</w:t>
      </w:r>
      <w:bookmarkEnd w:id="110"/>
    </w:p>
    <w:p w14:paraId="71E7B24A" w14:textId="61AEB93D" w:rsidR="003601E6" w:rsidRDefault="00031C62" w:rsidP="00596B34">
      <w:pPr>
        <w:pStyle w:val="12ptvoor"/>
        <w:spacing w:line="360" w:lineRule="auto"/>
        <w:rPr>
          <w:lang w:val="nl-NL"/>
        </w:rPr>
      </w:pPr>
      <w:r>
        <w:rPr>
          <w:lang w:val="nl-NL"/>
        </w:rPr>
        <w:t xml:space="preserve">De centrale onderzoeksvraag </w:t>
      </w:r>
      <w:r w:rsidR="00E011D3">
        <w:rPr>
          <w:lang w:val="nl-NL"/>
        </w:rPr>
        <w:t xml:space="preserve">peilt naar de mate waarin de </w:t>
      </w:r>
      <w:r w:rsidR="00245889">
        <w:rPr>
          <w:lang w:val="nl-NL"/>
        </w:rPr>
        <w:t>W</w:t>
      </w:r>
      <w:r w:rsidR="00E011D3">
        <w:rPr>
          <w:lang w:val="nl-NL"/>
        </w:rPr>
        <w:t>et op het Eenheidsstatuut heeft bijgedragen aan de harmonisatie van de aanvullende pensioenen in België</w:t>
      </w:r>
      <w:r w:rsidR="008A4FAC">
        <w:rPr>
          <w:lang w:val="nl-NL"/>
        </w:rPr>
        <w:t>, welke structurele verschillen er vandaag nog bestaan, en welke lessen normatief en rechtsvergelijkend kunnen worden getrokken uit het beleid in Luxemburg, Nederland en Duitsland.</w:t>
      </w:r>
      <w:r w:rsidR="00524E01">
        <w:rPr>
          <w:lang w:val="nl-NL"/>
        </w:rPr>
        <w:t xml:space="preserve"> Op basis van de </w:t>
      </w:r>
      <w:r w:rsidR="002765D7">
        <w:rPr>
          <w:lang w:val="nl-NL"/>
        </w:rPr>
        <w:t xml:space="preserve">in deze masterproef </w:t>
      </w:r>
      <w:r w:rsidR="00524E01">
        <w:rPr>
          <w:lang w:val="nl-NL"/>
        </w:rPr>
        <w:t>gevoerde analyse kan worden geconcludeerd dat de wet van 5 mei 2014 de noodzakelijke juridische fundamenten heeft gelegd</w:t>
      </w:r>
      <w:r w:rsidR="002D6B56">
        <w:rPr>
          <w:lang w:val="nl-NL"/>
        </w:rPr>
        <w:t xml:space="preserve"> voor de harmonisatie van de aanvullende pensioenen tussen arbeiders en bedienden. Desalniettemin blijft de weg naar daadwerkelijke sociale gelijkheid bezaaid met structurele hindernissen en kan worden</w:t>
      </w:r>
      <w:r w:rsidR="00635F5E">
        <w:rPr>
          <w:lang w:val="nl-NL"/>
        </w:rPr>
        <w:t xml:space="preserve"> </w:t>
      </w:r>
      <w:r w:rsidR="00F933DD">
        <w:rPr>
          <w:lang w:val="nl-NL"/>
        </w:rPr>
        <w:t xml:space="preserve">vastgesteld </w:t>
      </w:r>
      <w:r w:rsidR="002D6B56">
        <w:rPr>
          <w:lang w:val="nl-NL"/>
        </w:rPr>
        <w:t xml:space="preserve">dat de beoogde materiële gelijkheid </w:t>
      </w:r>
      <w:r w:rsidR="00A40BBF">
        <w:rPr>
          <w:lang w:val="nl-NL"/>
        </w:rPr>
        <w:t>nog niet bereikt werd</w:t>
      </w:r>
      <w:r w:rsidR="002D6B56">
        <w:rPr>
          <w:lang w:val="nl-NL"/>
        </w:rPr>
        <w:t>.</w:t>
      </w:r>
    </w:p>
    <w:p w14:paraId="02B02B3A" w14:textId="2E3C5ACB" w:rsidR="005B0AC1" w:rsidRPr="005B0AC1" w:rsidRDefault="005B0AC1" w:rsidP="00596B34">
      <w:pPr>
        <w:pStyle w:val="12ptvoor"/>
        <w:spacing w:line="360" w:lineRule="auto"/>
        <w:rPr>
          <w:b/>
          <w:bCs/>
          <w:lang w:val="nl-NL"/>
        </w:rPr>
      </w:pPr>
      <w:r>
        <w:rPr>
          <w:b/>
          <w:bCs/>
          <w:lang w:val="nl-NL"/>
        </w:rPr>
        <w:t xml:space="preserve">De bijdrage van </w:t>
      </w:r>
      <w:r w:rsidR="00BF0F62">
        <w:rPr>
          <w:b/>
          <w:bCs/>
          <w:lang w:val="nl-NL"/>
        </w:rPr>
        <w:t>de Wet op het Eenheidsstatuut</w:t>
      </w:r>
    </w:p>
    <w:p w14:paraId="349C3B9D" w14:textId="23B91847" w:rsidR="00B11E51" w:rsidRDefault="00B11E51" w:rsidP="00596B34">
      <w:pPr>
        <w:pStyle w:val="12ptvoor"/>
        <w:spacing w:line="360" w:lineRule="auto"/>
        <w:rPr>
          <w:lang w:val="nl-NL"/>
        </w:rPr>
      </w:pPr>
      <w:r>
        <w:rPr>
          <w:lang w:val="nl-NL"/>
        </w:rPr>
        <w:t>De wet van 5 mei 2014 heeft, door de invoering van de artikelen 14/1 tot en met 14/4 in de Wet op de Aanvullende Pensioenen, een expliciete juridische grondslag gecreëerd voor de opheffing van het onderscheid tussen arbeiders en bedienden in de aanvullende pensioenen. Het louter statuut van arbeider of bediende kan sindsdien niet langer als objectieve rechtvaardigingsgrond dienen voor een verschil in pensioenrechten. Deze juridische verankering is reëel en verdient erkenning als een essentiële stap in het harmonisatieproces</w:t>
      </w:r>
      <w:r w:rsidR="007E5993">
        <w:rPr>
          <w:lang w:val="nl-NL"/>
        </w:rPr>
        <w:t>.</w:t>
      </w:r>
    </w:p>
    <w:p w14:paraId="078659B2" w14:textId="6DC8EE34" w:rsidR="003B4A65" w:rsidRDefault="007E5993" w:rsidP="00596B34">
      <w:pPr>
        <w:pStyle w:val="12ptvoor"/>
        <w:spacing w:line="360" w:lineRule="auto"/>
        <w:rPr>
          <w:lang w:val="nl-NL"/>
        </w:rPr>
      </w:pPr>
      <w:r>
        <w:rPr>
          <w:lang w:val="nl-NL"/>
        </w:rPr>
        <w:t>Toch kan niet voorbijgegaan worden aan de fundamentele beperkingen van de gekozen wetgevingstechniek. De wetgever opteerde voor een gefaseerde aanpak, waarbij de regie van de harmonisatie in overwegende mate werd overgedragen aan de sociale partners</w:t>
      </w:r>
      <w:r w:rsidR="001D243A">
        <w:rPr>
          <w:lang w:val="nl-NL"/>
        </w:rPr>
        <w:t xml:space="preserve">. Deze aanpak sluit weliswaar aan bij de Belgische traditie van sociaal overleg, maar heeft geleid tot een harmonisatietraject dat gekenmerkt wordt door een onaanvaardbaar trage uitvoering. </w:t>
      </w:r>
      <w:r w:rsidR="00030D57">
        <w:rPr>
          <w:lang w:val="nl-NL"/>
        </w:rPr>
        <w:t xml:space="preserve">Het uitstel van de oorspronkelijke einddatum van 1 januari 2025 naar 1 januari 2030 illustreert </w:t>
      </w:r>
      <w:r w:rsidR="00251188">
        <w:rPr>
          <w:lang w:val="nl-NL"/>
        </w:rPr>
        <w:t>op een pijnlijke wijze dat een juridisch kader zonder voldoende sturende overheidsinterventie ontoereikend is om structurele ongelijkheden effectief weg te werken.</w:t>
      </w:r>
    </w:p>
    <w:p w14:paraId="10059FD1" w14:textId="0DC31E83" w:rsidR="005B0AC1" w:rsidRPr="005B0AC1" w:rsidRDefault="005B0AC1" w:rsidP="00596B34">
      <w:pPr>
        <w:pStyle w:val="12ptvoor"/>
        <w:spacing w:line="360" w:lineRule="auto"/>
        <w:rPr>
          <w:b/>
          <w:bCs/>
          <w:lang w:val="nl-NL"/>
        </w:rPr>
      </w:pPr>
      <w:r>
        <w:rPr>
          <w:b/>
          <w:bCs/>
          <w:lang w:val="nl-NL"/>
        </w:rPr>
        <w:t>Resterende structurele verschillen</w:t>
      </w:r>
    </w:p>
    <w:p w14:paraId="2355F19C" w14:textId="68234881" w:rsidR="003B4A65" w:rsidRDefault="003B4A65" w:rsidP="00596B34">
      <w:pPr>
        <w:pStyle w:val="12ptvoor"/>
        <w:spacing w:line="360" w:lineRule="auto"/>
        <w:rPr>
          <w:lang w:val="nl-NL"/>
        </w:rPr>
      </w:pPr>
      <w:r>
        <w:rPr>
          <w:lang w:val="nl-NL"/>
        </w:rPr>
        <w:t>Het onderzoek heeft aangetoond dat er vier concrete en onderling samenhangende structurele knelpunten bestaan die de volledige harmonisatie belemmeren.</w:t>
      </w:r>
    </w:p>
    <w:p w14:paraId="0B2B4E69" w14:textId="67266464" w:rsidR="003B4A65" w:rsidRDefault="003B4A65" w:rsidP="00596B34">
      <w:pPr>
        <w:pStyle w:val="12ptvoor"/>
        <w:spacing w:line="360" w:lineRule="auto"/>
        <w:rPr>
          <w:lang w:val="nl-NL"/>
        </w:rPr>
      </w:pPr>
      <w:r>
        <w:rPr>
          <w:lang w:val="nl-NL"/>
        </w:rPr>
        <w:t>Een eerste knelpunt betreft de institutionele versnippering van het paritaire landschap. De meerderheid van de paritaire comités is nog steeds exclusief bevoegd voor ofwel arbeiders ofwel bedienden. Deze historisch gegroeide opdeling maakt sectorale harmonisatie structureel complex</w:t>
      </w:r>
      <w:r w:rsidR="00B53EC2">
        <w:rPr>
          <w:lang w:val="nl-NL"/>
        </w:rPr>
        <w:t xml:space="preserve">. Zolang deze institutionele architectuur niet hervormd wordt, zal de harmonisatie een moeizame en gefragmenteerde aangelegenheid blijven. </w:t>
      </w:r>
    </w:p>
    <w:p w14:paraId="09FA621F" w14:textId="47028609" w:rsidR="00B53EC2" w:rsidRDefault="00B53EC2" w:rsidP="00596B34">
      <w:pPr>
        <w:pStyle w:val="12ptvoor"/>
        <w:spacing w:line="360" w:lineRule="auto"/>
        <w:rPr>
          <w:lang w:val="nl-NL"/>
        </w:rPr>
      </w:pPr>
      <w:r>
        <w:rPr>
          <w:lang w:val="nl-NL"/>
        </w:rPr>
        <w:t>Een tweede knelpunt is het structureel ongelijk onderhandelingsniveau tussen de pensioenregelingen voor arbeiders en bedienden. Bedienden genieten overwegen</w:t>
      </w:r>
      <w:r w:rsidR="008A5815">
        <w:rPr>
          <w:lang w:val="nl-NL"/>
        </w:rPr>
        <w:t>d</w:t>
      </w:r>
      <w:r>
        <w:rPr>
          <w:lang w:val="nl-NL"/>
        </w:rPr>
        <w:t xml:space="preserve"> van gunstigere pensioenregelingen op ondernemingsniveau, terwijl arbeiders aangewezen zijn op sectorale plannen die kwalitatief minder gunstig zijn. Deze dualiteit vloeit niet enkel </w:t>
      </w:r>
      <w:r w:rsidR="00981ADD">
        <w:rPr>
          <w:lang w:val="nl-NL"/>
        </w:rPr>
        <w:t>voort uit het s</w:t>
      </w:r>
      <w:r w:rsidR="001B1A3D">
        <w:rPr>
          <w:lang w:val="nl-NL"/>
        </w:rPr>
        <w:t>tatutair onderscheid</w:t>
      </w:r>
      <w:r w:rsidR="00981ADD">
        <w:rPr>
          <w:lang w:val="nl-NL"/>
        </w:rPr>
        <w:t xml:space="preserve"> zelf, maar ook uit het organisatieniveau van de pensioenregeling.</w:t>
      </w:r>
      <w:r w:rsidR="00CF65FC">
        <w:rPr>
          <w:lang w:val="nl-NL"/>
        </w:rPr>
        <w:t xml:space="preserve"> De harmonisatie vereist dus ook een overbrugging van de kloof tussen sector- en ondernemingsplannen.</w:t>
      </w:r>
    </w:p>
    <w:p w14:paraId="1027B8FB" w14:textId="4811A9A1" w:rsidR="000D79FD" w:rsidRDefault="000D79FD" w:rsidP="00596B34">
      <w:pPr>
        <w:pStyle w:val="12ptvoor"/>
        <w:spacing w:line="360" w:lineRule="auto"/>
        <w:rPr>
          <w:lang w:val="nl-NL"/>
        </w:rPr>
      </w:pPr>
      <w:r>
        <w:rPr>
          <w:lang w:val="nl-NL"/>
        </w:rPr>
        <w:t>Een derde knelpunt betreft de kwalitatieve kloof in pen</w:t>
      </w:r>
      <w:r w:rsidR="00C92AB9">
        <w:rPr>
          <w:lang w:val="nl-NL"/>
        </w:rPr>
        <w:t xml:space="preserve">sioenopbouw. Hoewel de verspreiding van de aanvullende pensioenen de afgelopen decennia aanzienlijk is toegenomen, is de kwaliteit van de opbouw </w:t>
      </w:r>
      <w:r w:rsidR="009942C4">
        <w:rPr>
          <w:lang w:val="nl-NL"/>
        </w:rPr>
        <w:t xml:space="preserve">onvoldoende meegegroeid. Zoals cijfers van de FSMA illustreren, bedroeg de gemiddelde eenmalige kapitaaluitkering voor een sectoraal vaste-bijdrageplan slechts een fractie van wat een redelijk aanvullend pensioen zou moeten bieden. </w:t>
      </w:r>
    </w:p>
    <w:p w14:paraId="423A55E1" w14:textId="58F625B6" w:rsidR="00B62081" w:rsidRPr="008820C5" w:rsidRDefault="00B62081" w:rsidP="00596B34">
      <w:pPr>
        <w:pStyle w:val="12ptvoor"/>
        <w:spacing w:line="360" w:lineRule="auto"/>
        <w:rPr>
          <w:lang w:val="nl-NL"/>
        </w:rPr>
      </w:pPr>
      <w:r>
        <w:rPr>
          <w:lang w:val="nl-NL"/>
        </w:rPr>
        <w:t>Een vierde en bijzonder hardnekkig knelpunt vormt het speciaal weigeringsrecht neergelegd in artikel 16 WAP. Dit biedt individuele werknemers de mogelijkheid om aansluiting bij het geharmoniseerde pensioenstelsel te weigeren, waardoor de d</w:t>
      </w:r>
      <w:r w:rsidR="008820C5">
        <w:rPr>
          <w:lang w:val="nl-NL"/>
        </w:rPr>
        <w:t xml:space="preserve">iscriminerende verschillen in de praktijk nog tot ver na de </w:t>
      </w:r>
      <w:r w:rsidR="008820C5">
        <w:rPr>
          <w:i/>
          <w:iCs/>
          <w:lang w:val="nl-NL"/>
        </w:rPr>
        <w:t xml:space="preserve">cut-off date </w:t>
      </w:r>
      <w:r w:rsidR="008820C5">
        <w:rPr>
          <w:lang w:val="nl-NL"/>
        </w:rPr>
        <w:t>kunnen blijven voortbestaan. Het weigeringsrecht werd oorspronkelijk ingevoerd om de rechtszekerheid van bestaande pensioenrechten te garanderen, maar heeft in de praktijk de kenmerken aangenomen van een structurele ontsnappingsroute die de beoogde gelijkheid kan uithollen.</w:t>
      </w:r>
    </w:p>
    <w:p w14:paraId="33946F22" w14:textId="4394809D" w:rsidR="005B0AC1" w:rsidRPr="005B0AC1" w:rsidRDefault="005B0AC1" w:rsidP="00596B34">
      <w:pPr>
        <w:pStyle w:val="12ptvoor"/>
        <w:spacing w:line="360" w:lineRule="auto"/>
        <w:rPr>
          <w:b/>
          <w:bCs/>
          <w:lang w:val="nl-NL"/>
        </w:rPr>
      </w:pPr>
      <w:r>
        <w:rPr>
          <w:b/>
          <w:bCs/>
          <w:lang w:val="nl-NL"/>
        </w:rPr>
        <w:t>Rechtsvergelijkend perspectief: drie modellen, drie lessen</w:t>
      </w:r>
    </w:p>
    <w:p w14:paraId="2E4EFA48" w14:textId="5034DABD" w:rsidR="00967C66" w:rsidRDefault="00554C62" w:rsidP="00596B34">
      <w:pPr>
        <w:pStyle w:val="12ptvoor"/>
        <w:spacing w:line="360" w:lineRule="auto"/>
        <w:rPr>
          <w:lang w:val="nl-NL"/>
        </w:rPr>
      </w:pPr>
      <w:r>
        <w:rPr>
          <w:lang w:val="nl-NL"/>
        </w:rPr>
        <w:t>Het rechtsvergelijkend onderzoek heeft drie fundamenteel verschillende nationale benaderingen aan het licht gebracht, die elk een specifieke les bieden voor de Belgische beleidsmakers.</w:t>
      </w:r>
    </w:p>
    <w:p w14:paraId="3BFF7E2F" w14:textId="53A4CAE7" w:rsidR="004B0068" w:rsidRDefault="004B0068" w:rsidP="00596B34">
      <w:pPr>
        <w:pStyle w:val="12ptvoor"/>
        <w:spacing w:line="360" w:lineRule="auto"/>
        <w:rPr>
          <w:lang w:val="nl-NL"/>
        </w:rPr>
      </w:pPr>
      <w:r>
        <w:rPr>
          <w:lang w:val="nl-NL"/>
        </w:rPr>
        <w:t xml:space="preserve">Luxemburg koos bij de invoering van het eenheidsstatuut in 2008 voor een vrijblijvende aanpak door de aanvullende pensioenen expliciet buiten het harmonisatiekader te houden. Het ontbreken van overheidssturing heeft ertoe geleid dat de harmonisatie in Luxemburg grotendeels dode letter bleef. Dit vormt een waarschuwend voorbeeld van hoe een juridisch kader zonder afdwingbare minimumvereisten en zonder overheidscontrole onvermijdelijk tot stagnatie leidt. </w:t>
      </w:r>
    </w:p>
    <w:p w14:paraId="61A1F575" w14:textId="57868464" w:rsidR="002D5804" w:rsidRDefault="002D5804" w:rsidP="00596B34">
      <w:pPr>
        <w:pStyle w:val="12ptvoor"/>
        <w:spacing w:line="360" w:lineRule="auto"/>
        <w:rPr>
          <w:lang w:val="nl-NL"/>
        </w:rPr>
      </w:pPr>
      <w:r>
        <w:rPr>
          <w:lang w:val="nl-NL"/>
        </w:rPr>
        <w:t xml:space="preserve">Duitsland schafte het statutair onderscheid reeds in de jaren negentig af naar aanleiding van het arrest van het </w:t>
      </w:r>
      <w:r>
        <w:rPr>
          <w:i/>
          <w:iCs/>
          <w:lang w:val="nl-NL"/>
        </w:rPr>
        <w:t>Bundesverfassungsgeric</w:t>
      </w:r>
      <w:r w:rsidR="00D172E9">
        <w:rPr>
          <w:i/>
          <w:iCs/>
          <w:lang w:val="nl-NL"/>
        </w:rPr>
        <w:t xml:space="preserve">ht </w:t>
      </w:r>
      <w:r w:rsidR="00D172E9">
        <w:rPr>
          <w:lang w:val="nl-NL"/>
        </w:rPr>
        <w:t xml:space="preserve">van 30 mei 1990. </w:t>
      </w:r>
      <w:r w:rsidR="00541673">
        <w:rPr>
          <w:lang w:val="nl-NL"/>
        </w:rPr>
        <w:t>De Duitse</w:t>
      </w:r>
      <w:r w:rsidR="0096587F">
        <w:rPr>
          <w:lang w:val="nl-NL"/>
        </w:rPr>
        <w:t xml:space="preserve"> </w:t>
      </w:r>
      <w:r w:rsidR="00541673">
        <w:rPr>
          <w:lang w:val="nl-NL"/>
        </w:rPr>
        <w:t xml:space="preserve">ervaring toont echter aan dat formele juridische gelijkheid niet automatisch samenvalt met materiële gelijkheid. De ongelijkheid in pensioenopbouw verschoof er van een statutaire kloof naar sectorale machtsverhoudingen en bedrijfsgrootte. </w:t>
      </w:r>
      <w:r w:rsidR="00F816FC">
        <w:rPr>
          <w:lang w:val="nl-NL"/>
        </w:rPr>
        <w:t xml:space="preserve">Dit toont aan dat de </w:t>
      </w:r>
      <w:r w:rsidR="00F816FC">
        <w:rPr>
          <w:i/>
          <w:iCs/>
          <w:lang w:val="nl-NL"/>
        </w:rPr>
        <w:t xml:space="preserve">cut-off date </w:t>
      </w:r>
      <w:r w:rsidR="00F816FC">
        <w:rPr>
          <w:lang w:val="nl-NL"/>
        </w:rPr>
        <w:t xml:space="preserve">van 1 januari 2030 </w:t>
      </w:r>
      <w:r w:rsidR="007D659D">
        <w:rPr>
          <w:lang w:val="nl-NL"/>
        </w:rPr>
        <w:t>in België n</w:t>
      </w:r>
      <w:r w:rsidR="00F816FC">
        <w:rPr>
          <w:lang w:val="nl-NL"/>
        </w:rPr>
        <w:t xml:space="preserve">iet zal volstaan om gelijkheid te realiseren zolang structurele verschillen tussen sectoren en de vrijblijvendheid van pensioenopbouw blijven bestaan. </w:t>
      </w:r>
    </w:p>
    <w:p w14:paraId="6754D462" w14:textId="0E353864" w:rsidR="00F816FC" w:rsidRDefault="00AC701F" w:rsidP="00596B34">
      <w:pPr>
        <w:pStyle w:val="12ptvoor"/>
        <w:spacing w:line="360" w:lineRule="auto"/>
        <w:rPr>
          <w:lang w:val="nl-NL"/>
        </w:rPr>
      </w:pPr>
      <w:r>
        <w:rPr>
          <w:lang w:val="nl-NL"/>
        </w:rPr>
        <w:t>Nederland positioneert zich als het meest inspirerende voorbeeld dankzij haar quasi-verplichtstelling van de tweede pijler via bedrijfstakpensioenfondsen</w:t>
      </w:r>
      <w:r w:rsidR="009F1D9A">
        <w:rPr>
          <w:lang w:val="nl-NL"/>
        </w:rPr>
        <w:t>. Nederland heeft een systeem ontwikkeld waarin gelijkheid geen correctiemechanisme is, maar een inherent structureel uitgangspunt. Hoewel het model gepaard gaat met andere juridische uitdagingen – in het bijzonder inzake het invaarmechanisme</w:t>
      </w:r>
      <w:r w:rsidR="00194B6C">
        <w:rPr>
          <w:lang w:val="nl-NL"/>
        </w:rPr>
        <w:t xml:space="preserve"> – biedt het een overtuigend alternatief voor de Belgische aanpak. </w:t>
      </w:r>
    </w:p>
    <w:p w14:paraId="49BCE25D" w14:textId="63DBB7B2" w:rsidR="00194B6C" w:rsidRPr="00194B6C" w:rsidRDefault="00BD3E3B" w:rsidP="00596B34">
      <w:pPr>
        <w:pStyle w:val="12ptvoor"/>
        <w:spacing w:line="360" w:lineRule="auto"/>
        <w:rPr>
          <w:b/>
          <w:bCs/>
          <w:lang w:val="nl-NL"/>
        </w:rPr>
      </w:pPr>
      <w:r>
        <w:rPr>
          <w:b/>
          <w:bCs/>
          <w:lang w:val="nl-NL"/>
        </w:rPr>
        <w:t>Conclusie</w:t>
      </w:r>
    </w:p>
    <w:p w14:paraId="130B6967" w14:textId="0A96FCED" w:rsidR="00C86B0C" w:rsidRDefault="00C86B0C" w:rsidP="00596B34">
      <w:pPr>
        <w:pStyle w:val="12ptvoor"/>
        <w:spacing w:line="360" w:lineRule="auto"/>
        <w:rPr>
          <w:lang w:val="nl-NL"/>
        </w:rPr>
      </w:pPr>
      <w:r>
        <w:rPr>
          <w:lang w:val="nl-NL"/>
        </w:rPr>
        <w:t xml:space="preserve">Ondanks dat de </w:t>
      </w:r>
      <w:r w:rsidR="0068290C">
        <w:rPr>
          <w:lang w:val="nl-NL"/>
        </w:rPr>
        <w:t>W</w:t>
      </w:r>
      <w:r>
        <w:rPr>
          <w:lang w:val="nl-NL"/>
        </w:rPr>
        <w:t>et op het Eenheidsstatuut het noodzakelijke startschot heeft gegeven tot harmonisatie, is deze nog lang niet voltooid. De mate van succes zal afhangen van de bereidheid om in de resterende vier ja</w:t>
      </w:r>
      <w:r w:rsidR="007D5956">
        <w:rPr>
          <w:lang w:val="nl-NL"/>
        </w:rPr>
        <w:t>ar</w:t>
      </w:r>
      <w:r>
        <w:rPr>
          <w:lang w:val="nl-NL"/>
        </w:rPr>
        <w:t xml:space="preserve"> </w:t>
      </w:r>
      <w:r w:rsidR="00AF6F89">
        <w:rPr>
          <w:lang w:val="nl-NL"/>
        </w:rPr>
        <w:t xml:space="preserve">de structurele </w:t>
      </w:r>
      <w:r w:rsidR="00C12A24">
        <w:rPr>
          <w:lang w:val="nl-NL"/>
        </w:rPr>
        <w:t>barrières</w:t>
      </w:r>
      <w:r w:rsidR="00AF6F89">
        <w:rPr>
          <w:lang w:val="nl-NL"/>
        </w:rPr>
        <w:t xml:space="preserve"> aan te pakken in de paritaire comités en de kloof te dichten tussen sectorplannen en ondernemingsplannen. </w:t>
      </w:r>
      <w:r w:rsidR="001B1446">
        <w:rPr>
          <w:lang w:val="nl-NL"/>
        </w:rPr>
        <w:t xml:space="preserve">Normatief gezien zou België er baat bij hebben om het weigeringsrecht kritisch te heroverwegen naar het Nederlands model, om te vermijden dat de beoogde gelijkheid slechts een papieren werkelijkheid blijft. </w:t>
      </w:r>
    </w:p>
    <w:p w14:paraId="74A2B890" w14:textId="61C9C58D" w:rsidR="00DF4FEC" w:rsidRDefault="00355187" w:rsidP="00596B34">
      <w:pPr>
        <w:pStyle w:val="12ptvoor"/>
        <w:spacing w:line="360" w:lineRule="auto"/>
        <w:rPr>
          <w:lang w:val="nl-NL"/>
        </w:rPr>
      </w:pPr>
      <w:r>
        <w:rPr>
          <w:lang w:val="nl-NL"/>
        </w:rPr>
        <w:t>Er</w:t>
      </w:r>
      <w:r w:rsidR="00DF4FEC">
        <w:rPr>
          <w:lang w:val="nl-NL"/>
        </w:rPr>
        <w:t xml:space="preserve"> kan worden geconcludeerd dat België drie zaken vereist om tot een succesvolle harmonisatie te bekomen. De wetgever dient het wettelijk kader te versterken met bindende minimumvereisten en een actieve overheidscontrole, waarbij de sociale partners wel een rol behouden maar binnen duidelijkere lijnen </w:t>
      </w:r>
      <w:r w:rsidR="00697CC3">
        <w:rPr>
          <w:lang w:val="nl-NL"/>
        </w:rPr>
        <w:t xml:space="preserve">opereren. Daarnaast is </w:t>
      </w:r>
      <w:r w:rsidR="0027049F">
        <w:rPr>
          <w:lang w:val="nl-NL"/>
        </w:rPr>
        <w:t>de</w:t>
      </w:r>
      <w:r w:rsidR="00697CC3">
        <w:rPr>
          <w:lang w:val="nl-NL"/>
        </w:rPr>
        <w:t xml:space="preserve"> hervorming van het paritair landschap onvermijdelijk, door fusies te stimuleren en gemengde pensioenplannen aan te moedigen. Tot slot dient de kloof tussen sectorale en ondernemingspensioenplannen verkleind te worden via minimumstandaarden en transparantieverplichtingen. </w:t>
      </w:r>
    </w:p>
    <w:p w14:paraId="3BACEFC2" w14:textId="23DB9E27" w:rsidR="000D7F7C" w:rsidRPr="00C6679E" w:rsidRDefault="00240EAA" w:rsidP="00596B34">
      <w:pPr>
        <w:pStyle w:val="Randnummer"/>
        <w:numPr>
          <w:ilvl w:val="0"/>
          <w:numId w:val="0"/>
        </w:numPr>
        <w:spacing w:line="360" w:lineRule="auto"/>
        <w:rPr>
          <w:lang w:val="nl-NL"/>
        </w:rPr>
      </w:pPr>
      <w:r>
        <w:rPr>
          <w:lang w:val="nl-NL"/>
        </w:rPr>
        <w:t xml:space="preserve">Tot slot zal het behalen van de deadline van 2030 geen garantie zijn op sociale rechtvaardigheid, maar betekent het slechts de start van een systeem waarin </w:t>
      </w:r>
      <w:r w:rsidR="00894EA8">
        <w:rPr>
          <w:lang w:val="nl-NL"/>
        </w:rPr>
        <w:t xml:space="preserve">de </w:t>
      </w:r>
      <w:r>
        <w:rPr>
          <w:lang w:val="nl-NL"/>
        </w:rPr>
        <w:t>kwaliteit</w:t>
      </w:r>
      <w:r w:rsidR="00F81154">
        <w:rPr>
          <w:lang w:val="nl-NL"/>
        </w:rPr>
        <w:t xml:space="preserve"> van de pensioenopbouw niet langer louter mag afhangen van een onderscheid tussen handenarbeid dan wel hoofdarbeid. </w:t>
      </w:r>
      <w:r w:rsidR="00C6679E">
        <w:rPr>
          <w:lang w:val="nl-NL"/>
        </w:rPr>
        <w:br w:type="page"/>
      </w:r>
    </w:p>
    <w:p w14:paraId="0AF533D5" w14:textId="75E01419" w:rsidR="000D7F7C" w:rsidRDefault="000D7F7C" w:rsidP="000D7F7C">
      <w:pPr>
        <w:pStyle w:val="Kop1"/>
        <w:numPr>
          <w:ilvl w:val="0"/>
          <w:numId w:val="0"/>
        </w:numPr>
        <w:rPr>
          <w:lang w:val="nl-NL"/>
        </w:rPr>
      </w:pPr>
      <w:bookmarkStart w:id="111" w:name="_Toc228784144"/>
      <w:r>
        <w:rPr>
          <w:lang w:val="nl-NL"/>
        </w:rPr>
        <w:t>Bibliografie</w:t>
      </w:r>
      <w:bookmarkEnd w:id="111"/>
    </w:p>
    <w:p w14:paraId="52AB4B2B" w14:textId="7856415E" w:rsidR="000D7F7C" w:rsidRDefault="00D37FB3" w:rsidP="00D37FB3">
      <w:pPr>
        <w:pStyle w:val="Kop3"/>
        <w:rPr>
          <w:b/>
          <w:bCs/>
          <w:u w:val="single"/>
          <w:lang w:val="nl-NL"/>
        </w:rPr>
      </w:pPr>
      <w:bookmarkStart w:id="112" w:name="_Toc228784145"/>
      <w:r>
        <w:rPr>
          <w:b/>
          <w:bCs/>
          <w:u w:val="single"/>
          <w:lang w:val="nl-NL"/>
        </w:rPr>
        <w:t>Wetgeving</w:t>
      </w:r>
      <w:bookmarkEnd w:id="112"/>
    </w:p>
    <w:p w14:paraId="7DEF6BC2" w14:textId="751C3092" w:rsidR="00D37FB3" w:rsidRDefault="002A37B0" w:rsidP="00D37FB3">
      <w:pPr>
        <w:pStyle w:val="Randnummer"/>
        <w:numPr>
          <w:ilvl w:val="0"/>
          <w:numId w:val="0"/>
        </w:numPr>
        <w:ind w:left="357" w:hanging="357"/>
        <w:rPr>
          <w:u w:val="single"/>
          <w:lang w:val="nl-NL"/>
        </w:rPr>
      </w:pPr>
      <w:r>
        <w:rPr>
          <w:u w:val="single"/>
          <w:lang w:val="nl-NL"/>
        </w:rPr>
        <w:t>BELGIË:</w:t>
      </w:r>
    </w:p>
    <w:p w14:paraId="1BEB3F91" w14:textId="78354543" w:rsidR="00D56F6E" w:rsidRDefault="00D56F6E" w:rsidP="00D37FB3">
      <w:pPr>
        <w:pStyle w:val="Randnummer"/>
        <w:numPr>
          <w:ilvl w:val="0"/>
          <w:numId w:val="0"/>
        </w:numPr>
        <w:ind w:left="357" w:hanging="357"/>
        <w:rPr>
          <w:u w:val="single"/>
          <w:lang w:val="nl-NL"/>
        </w:rPr>
      </w:pPr>
      <w:r>
        <w:rPr>
          <w:u w:val="single"/>
          <w:lang w:val="nl-NL"/>
        </w:rPr>
        <w:t>Wetgeving</w:t>
      </w:r>
    </w:p>
    <w:p w14:paraId="0A44629C" w14:textId="09E1E8A8" w:rsidR="00D56B45" w:rsidRPr="00D56B45" w:rsidRDefault="00D56B45" w:rsidP="00BD746F">
      <w:pPr>
        <w:pStyle w:val="12ptvoor"/>
        <w:spacing w:line="360" w:lineRule="auto"/>
        <w:rPr>
          <w:lang w:val="nl-NL"/>
        </w:rPr>
      </w:pPr>
      <w:r>
        <w:rPr>
          <w:lang w:val="nl-NL"/>
        </w:rPr>
        <w:t xml:space="preserve">Wet 5 december 1968 betreffende de collectieve arbeidsovereenkomsten en de paritaire comités, </w:t>
      </w:r>
      <w:r>
        <w:rPr>
          <w:i/>
          <w:iCs/>
          <w:lang w:val="nl-NL"/>
        </w:rPr>
        <w:t xml:space="preserve">BS </w:t>
      </w:r>
      <w:r>
        <w:rPr>
          <w:lang w:val="nl-NL"/>
        </w:rPr>
        <w:t>15 januari 1969.</w:t>
      </w:r>
    </w:p>
    <w:p w14:paraId="437105AB" w14:textId="72D5AC6A" w:rsidR="00BD746F" w:rsidRDefault="00BD746F" w:rsidP="00BD746F">
      <w:pPr>
        <w:pStyle w:val="12ptvoor"/>
        <w:spacing w:line="360" w:lineRule="auto"/>
        <w:rPr>
          <w:lang w:val="nl-NL"/>
        </w:rPr>
      </w:pPr>
      <w:r>
        <w:rPr>
          <w:lang w:val="nl-NL"/>
        </w:rPr>
        <w:t xml:space="preserve">Wet 6 april 1994 betreffende de aanvullende pensioenen, </w:t>
      </w:r>
      <w:r>
        <w:rPr>
          <w:i/>
          <w:iCs/>
          <w:lang w:val="nl-NL"/>
        </w:rPr>
        <w:t xml:space="preserve">BS </w:t>
      </w:r>
      <w:r>
        <w:rPr>
          <w:lang w:val="nl-NL"/>
        </w:rPr>
        <w:t>29 april 1994.</w:t>
      </w:r>
    </w:p>
    <w:p w14:paraId="3E739F69" w14:textId="64027808" w:rsidR="00A66045" w:rsidRDefault="00A66045" w:rsidP="00BD746F">
      <w:pPr>
        <w:pStyle w:val="12ptvoor"/>
        <w:spacing w:line="360" w:lineRule="auto"/>
        <w:rPr>
          <w:lang w:val="nl-NL"/>
        </w:rPr>
      </w:pPr>
      <w:r>
        <w:rPr>
          <w:lang w:val="nl-NL"/>
        </w:rPr>
        <w:t xml:space="preserve">Wet 26 juli 1996 tot bevordering van de werkgelegenheid en tot preventieve vrijwaring van het concurrentievermogen, </w:t>
      </w:r>
      <w:r>
        <w:rPr>
          <w:i/>
          <w:iCs/>
          <w:lang w:val="nl-NL"/>
        </w:rPr>
        <w:t xml:space="preserve">BS </w:t>
      </w:r>
      <w:r>
        <w:rPr>
          <w:lang w:val="nl-NL"/>
        </w:rPr>
        <w:t xml:space="preserve">1 augustus 1996, zoals gewijzigd door de wet van 19 maart 2017, </w:t>
      </w:r>
      <w:r>
        <w:rPr>
          <w:i/>
          <w:iCs/>
          <w:lang w:val="nl-NL"/>
        </w:rPr>
        <w:t xml:space="preserve">BS </w:t>
      </w:r>
      <w:r>
        <w:rPr>
          <w:lang w:val="nl-NL"/>
        </w:rPr>
        <w:t xml:space="preserve">29 maart 2017. </w:t>
      </w:r>
    </w:p>
    <w:p w14:paraId="7CF021CA" w14:textId="70699E0F" w:rsidR="00E93FC4" w:rsidRDefault="00560FED" w:rsidP="00BD746F">
      <w:pPr>
        <w:pStyle w:val="12ptvoor"/>
        <w:spacing w:line="360" w:lineRule="auto"/>
        <w:rPr>
          <w:lang w:val="nl-NL"/>
        </w:rPr>
      </w:pPr>
      <w:r>
        <w:rPr>
          <w:lang w:val="nl-NL"/>
        </w:rPr>
        <w:t>Wet 5 mei 2014 tot wijziging van het rustpensioen en het overlevingspensioen en tot invoering van de overgangsuitkering in de pensioenregeling voor werknemers en houdende geleidelijke opheffing van de verschillen in behandeling die berusten op het onderscheid tussen werklieden en bedienden inzake aanvullende pensioen</w:t>
      </w:r>
      <w:r w:rsidR="005D31F3">
        <w:rPr>
          <w:lang w:val="nl-NL"/>
        </w:rPr>
        <w:t xml:space="preserve">en, </w:t>
      </w:r>
      <w:r w:rsidR="005D31F3">
        <w:rPr>
          <w:i/>
          <w:iCs/>
          <w:lang w:val="nl-NL"/>
        </w:rPr>
        <w:t xml:space="preserve">BS </w:t>
      </w:r>
      <w:r w:rsidR="005D31F3">
        <w:rPr>
          <w:lang w:val="nl-NL"/>
        </w:rPr>
        <w:t>9 mei 2014.</w:t>
      </w:r>
    </w:p>
    <w:p w14:paraId="503579A8" w14:textId="5DFB29BC" w:rsidR="00E93FC4" w:rsidRPr="00E93FC4" w:rsidRDefault="00E93FC4" w:rsidP="00BD746F">
      <w:pPr>
        <w:pStyle w:val="12ptvoor"/>
        <w:spacing w:line="360" w:lineRule="auto"/>
        <w:rPr>
          <w:lang w:val="nl-NL"/>
        </w:rPr>
      </w:pPr>
      <w:r>
        <w:rPr>
          <w:lang w:val="nl-NL"/>
        </w:rPr>
        <w:t xml:space="preserve">Wet van 12 december 2021 tot uitvoering van het sociaal akkoord in het kader van de interprofessionele onderhandelingen voor de periode 2021-2022, </w:t>
      </w:r>
      <w:r>
        <w:rPr>
          <w:i/>
          <w:iCs/>
          <w:lang w:val="nl-NL"/>
        </w:rPr>
        <w:t xml:space="preserve">BS </w:t>
      </w:r>
      <w:r>
        <w:rPr>
          <w:lang w:val="nl-NL"/>
        </w:rPr>
        <w:t>31 december 2021.</w:t>
      </w:r>
    </w:p>
    <w:p w14:paraId="145CE92A" w14:textId="1FA11F4E" w:rsidR="00E93FC4" w:rsidRPr="00A66045" w:rsidRDefault="00A66045" w:rsidP="00BD746F">
      <w:pPr>
        <w:pStyle w:val="12ptvoor"/>
        <w:spacing w:line="360" w:lineRule="auto"/>
      </w:pPr>
      <w:r w:rsidRPr="00A66045">
        <w:t>CAO nr. 158 van 15 juli 2021, a</w:t>
      </w:r>
      <w:r>
        <w:t xml:space="preserve">lgemeen verbindend verklaard bij KB van 16 september 2021, </w:t>
      </w:r>
      <w:r>
        <w:rPr>
          <w:i/>
          <w:iCs/>
        </w:rPr>
        <w:t xml:space="preserve">BS </w:t>
      </w:r>
      <w:r>
        <w:t>4 oktober 2021.</w:t>
      </w:r>
    </w:p>
    <w:p w14:paraId="006E38B0" w14:textId="77777777" w:rsidR="00DE5B90" w:rsidRPr="00A66045" w:rsidRDefault="00DE5B90" w:rsidP="00D37FB3">
      <w:pPr>
        <w:pStyle w:val="Randnummer"/>
        <w:numPr>
          <w:ilvl w:val="0"/>
          <w:numId w:val="0"/>
        </w:numPr>
        <w:ind w:left="357" w:hanging="357"/>
      </w:pPr>
    </w:p>
    <w:p w14:paraId="70FC534A" w14:textId="574A8952" w:rsidR="00023B5C" w:rsidRPr="00E863E6" w:rsidRDefault="00023B5C" w:rsidP="00D37FB3">
      <w:pPr>
        <w:pStyle w:val="Randnummer"/>
        <w:numPr>
          <w:ilvl w:val="0"/>
          <w:numId w:val="0"/>
        </w:numPr>
        <w:ind w:left="357" w:hanging="357"/>
        <w:rPr>
          <w:u w:val="single"/>
        </w:rPr>
      </w:pPr>
      <w:r w:rsidRPr="00E863E6">
        <w:rPr>
          <w:u w:val="single"/>
        </w:rPr>
        <w:t xml:space="preserve">Parlementaire stukken </w:t>
      </w:r>
    </w:p>
    <w:p w14:paraId="37A07854" w14:textId="77777777" w:rsidR="00BD746F" w:rsidRDefault="00BD746F" w:rsidP="00BD746F">
      <w:pPr>
        <w:pStyle w:val="12ptvoor"/>
        <w:spacing w:line="360" w:lineRule="auto"/>
        <w:rPr>
          <w:lang w:val="nl-NL"/>
        </w:rPr>
      </w:pPr>
      <w:r>
        <w:rPr>
          <w:lang w:val="nl-NL"/>
        </w:rPr>
        <w:t>Wetsontwerp betreffende de aanvullende pensioenen, KAMER, 2000-2001, nr. 50-1340/001.</w:t>
      </w:r>
    </w:p>
    <w:p w14:paraId="760C3B31" w14:textId="72B9E040" w:rsidR="00023B5C" w:rsidRDefault="00240E97" w:rsidP="00BD746F">
      <w:pPr>
        <w:pStyle w:val="12ptvoor"/>
        <w:spacing w:line="360" w:lineRule="auto"/>
        <w:rPr>
          <w:lang w:val="nl-NL"/>
        </w:rPr>
      </w:pPr>
      <w:r>
        <w:rPr>
          <w:lang w:val="nl-NL"/>
        </w:rPr>
        <w:t xml:space="preserve">Wetsontwerp betreffende de invoering van een eenheidsstatuut tussen arbeiders en bedienden inzake de opzeggingstermijnen en </w:t>
      </w:r>
      <w:r w:rsidR="00247BE5">
        <w:rPr>
          <w:lang w:val="nl-NL"/>
        </w:rPr>
        <w:t xml:space="preserve">de </w:t>
      </w:r>
      <w:proofErr w:type="spellStart"/>
      <w:r w:rsidR="00247BE5">
        <w:rPr>
          <w:lang w:val="nl-NL"/>
        </w:rPr>
        <w:t>carensdag</w:t>
      </w:r>
      <w:proofErr w:type="spellEnd"/>
      <w:r w:rsidR="00247BE5">
        <w:rPr>
          <w:lang w:val="nl-NL"/>
        </w:rPr>
        <w:t xml:space="preserve"> en begeleidende maatregelen, KAMER, 2013-2014, 21 november 2013, nr. 3144/001.</w:t>
      </w:r>
    </w:p>
    <w:p w14:paraId="13CC637B" w14:textId="553FC75A" w:rsidR="00BD746F" w:rsidRDefault="00BD746F" w:rsidP="00BD746F">
      <w:pPr>
        <w:pStyle w:val="12ptvoor"/>
        <w:spacing w:line="360" w:lineRule="auto"/>
        <w:rPr>
          <w:lang w:val="nl-NL"/>
        </w:rPr>
      </w:pPr>
      <w:r>
        <w:rPr>
          <w:lang w:val="nl-NL"/>
        </w:rPr>
        <w:t>Wetsontwerp tot wijziging van het rustpensioen en het overlevingspensioen en tot invoering van de overgangsuitkering in de pensioenregeling voor werknemers, Amendementen, KAMER 2013-2014, nr. 53-3399/002.</w:t>
      </w:r>
    </w:p>
    <w:p w14:paraId="67802AC4" w14:textId="7CC3CFFD" w:rsidR="00E672B2" w:rsidRDefault="00E672B2" w:rsidP="00BD746F">
      <w:pPr>
        <w:pStyle w:val="12ptvoor"/>
        <w:spacing w:line="360" w:lineRule="auto"/>
        <w:rPr>
          <w:lang w:val="nl-NL"/>
        </w:rPr>
      </w:pPr>
      <w:proofErr w:type="spellStart"/>
      <w:r>
        <w:rPr>
          <w:lang w:val="nl-NL"/>
        </w:rPr>
        <w:t>MvT</w:t>
      </w:r>
      <w:proofErr w:type="spellEnd"/>
      <w:r>
        <w:rPr>
          <w:lang w:val="nl-NL"/>
        </w:rPr>
        <w:t xml:space="preserve"> KAMER 2013-2014, DOC 53 3144/001. </w:t>
      </w:r>
    </w:p>
    <w:p w14:paraId="4AF3CA7B" w14:textId="318DE435" w:rsidR="000C0CCC" w:rsidRDefault="00E672B2" w:rsidP="00BD746F">
      <w:pPr>
        <w:pStyle w:val="12ptvoor"/>
        <w:spacing w:line="360" w:lineRule="auto"/>
        <w:rPr>
          <w:lang w:val="nl-NL"/>
        </w:rPr>
      </w:pPr>
      <w:proofErr w:type="spellStart"/>
      <w:r>
        <w:rPr>
          <w:lang w:val="nl-NL"/>
        </w:rPr>
        <w:t>MvT</w:t>
      </w:r>
      <w:proofErr w:type="spellEnd"/>
      <w:r>
        <w:rPr>
          <w:lang w:val="nl-NL"/>
        </w:rPr>
        <w:t xml:space="preserve"> KAMER 2021-2022, nr. 55-2304/001.</w:t>
      </w:r>
    </w:p>
    <w:p w14:paraId="7D1F3907" w14:textId="77777777" w:rsidR="00676DBB" w:rsidRDefault="00676DBB" w:rsidP="00BD746F">
      <w:pPr>
        <w:pStyle w:val="12ptvoor"/>
        <w:spacing w:line="360" w:lineRule="auto"/>
        <w:rPr>
          <w:lang w:val="nl-NL"/>
        </w:rPr>
      </w:pPr>
    </w:p>
    <w:p w14:paraId="254C6D45" w14:textId="5FB87675" w:rsidR="000C0CCC" w:rsidRDefault="000C0CCC" w:rsidP="00BD746F">
      <w:pPr>
        <w:pStyle w:val="12ptvoor"/>
        <w:spacing w:line="360" w:lineRule="auto"/>
        <w:rPr>
          <w:u w:val="single"/>
          <w:lang w:val="nl-NL"/>
        </w:rPr>
      </w:pPr>
      <w:r>
        <w:rPr>
          <w:u w:val="single"/>
          <w:lang w:val="nl-NL"/>
        </w:rPr>
        <w:t>Beleidsdocumenten</w:t>
      </w:r>
      <w:r w:rsidR="002A020B">
        <w:rPr>
          <w:u w:val="single"/>
          <w:lang w:val="nl-NL"/>
        </w:rPr>
        <w:t xml:space="preserve"> &amp; rapporten</w:t>
      </w:r>
    </w:p>
    <w:p w14:paraId="6CED9DEE" w14:textId="2EB9112A" w:rsidR="00940EC3" w:rsidRDefault="00940EC3" w:rsidP="00BD746F">
      <w:pPr>
        <w:pStyle w:val="12ptvoor"/>
        <w:spacing w:line="360" w:lineRule="auto"/>
        <w:rPr>
          <w:lang w:val="nl-NL"/>
        </w:rPr>
      </w:pPr>
      <w:r>
        <w:rPr>
          <w:lang w:val="nl-NL"/>
        </w:rPr>
        <w:t>FSMA, Jaarlijks sectoroverzicht ‘De tweede pensioenpijler in beeld’, 2021</w:t>
      </w:r>
      <w:r w:rsidR="005A7DD8">
        <w:rPr>
          <w:lang w:val="nl-NL"/>
        </w:rPr>
        <w:t xml:space="preserve">, </w:t>
      </w:r>
      <w:r w:rsidR="005A7DD8" w:rsidRPr="005A7DD8">
        <w:rPr>
          <w:lang w:val="nl-NL"/>
        </w:rPr>
        <w:t>https://www.fsma.be/sites/default/files/media/files/2021-11/sectoroverzicht_2021.pdf</w:t>
      </w:r>
      <w:r w:rsidR="00253190">
        <w:rPr>
          <w:lang w:val="nl-NL"/>
        </w:rPr>
        <w:t>.</w:t>
      </w:r>
    </w:p>
    <w:p w14:paraId="2474CDF2" w14:textId="3DC61BD3" w:rsidR="00377A81" w:rsidRDefault="00377A81" w:rsidP="00BD746F">
      <w:pPr>
        <w:pStyle w:val="12ptvoor"/>
        <w:spacing w:line="360" w:lineRule="auto"/>
        <w:rPr>
          <w:lang w:val="nl-NL"/>
        </w:rPr>
      </w:pPr>
      <w:r>
        <w:rPr>
          <w:lang w:val="nl-NL"/>
        </w:rPr>
        <w:t xml:space="preserve">FSMA, Jaarlijks sectoroverzicht ‘De tweede pensioenpijler in beeld’, situatie op 1 januari 2024, FSMA, </w:t>
      </w:r>
      <w:r w:rsidR="006379AB">
        <w:rPr>
          <w:lang w:val="nl-NL"/>
        </w:rPr>
        <w:t xml:space="preserve">2024, </w:t>
      </w:r>
      <w:r w:rsidR="00BE2F80" w:rsidRPr="00BE2F80">
        <w:rPr>
          <w:lang w:val="nl-NL"/>
        </w:rPr>
        <w:t>https://www.fsma.be/sites/default/files/media/files/2024-11/sectoroverzicht_2024.pdf</w:t>
      </w:r>
      <w:r w:rsidR="00BE2F80">
        <w:rPr>
          <w:lang w:val="nl-NL"/>
        </w:rPr>
        <w:t>.</w:t>
      </w:r>
    </w:p>
    <w:p w14:paraId="2754E812" w14:textId="712F5CA9" w:rsidR="000176C2" w:rsidRDefault="000176C2" w:rsidP="00BD746F">
      <w:pPr>
        <w:pStyle w:val="12ptvoor"/>
        <w:spacing w:line="360" w:lineRule="auto"/>
        <w:rPr>
          <w:lang w:val="nl-NL"/>
        </w:rPr>
      </w:pPr>
      <w:r>
        <w:rPr>
          <w:lang w:val="nl-NL"/>
        </w:rPr>
        <w:t>FSMA, Tweejaarlijks verslag betreffende de sectorale pensioenstelsels, 2019</w:t>
      </w:r>
      <w:r w:rsidR="00362BFB">
        <w:rPr>
          <w:lang w:val="nl-NL"/>
        </w:rPr>
        <w:t xml:space="preserve">, </w:t>
      </w:r>
      <w:r w:rsidR="00362BFB" w:rsidRPr="00362BFB">
        <w:rPr>
          <w:lang w:val="nl-NL"/>
        </w:rPr>
        <w:t>https://www.fsma.be/sites/default/files/legacy/content/NL/fsma_sp_2019_nl.pdf</w:t>
      </w:r>
      <w:r w:rsidR="00362BFB">
        <w:rPr>
          <w:lang w:val="nl-NL"/>
        </w:rPr>
        <w:t xml:space="preserve">. </w:t>
      </w:r>
    </w:p>
    <w:p w14:paraId="5DBAE5DC" w14:textId="44914C94" w:rsidR="000176C2" w:rsidRDefault="000176C2" w:rsidP="00BD746F">
      <w:pPr>
        <w:pStyle w:val="12ptvoor"/>
        <w:spacing w:line="360" w:lineRule="auto"/>
        <w:rPr>
          <w:lang w:val="nl-NL"/>
        </w:rPr>
      </w:pPr>
      <w:r>
        <w:rPr>
          <w:lang w:val="nl-NL"/>
        </w:rPr>
        <w:t>FOD WASO, Doorlichting van de sectorale aanvullende pensioenstelsels, 2017</w:t>
      </w:r>
      <w:r w:rsidR="00362BFB">
        <w:rPr>
          <w:lang w:val="nl-NL"/>
        </w:rPr>
        <w:t xml:space="preserve">, </w:t>
      </w:r>
      <w:r w:rsidR="00ED6FDB" w:rsidRPr="00ED6FDB">
        <w:rPr>
          <w:lang w:val="nl-NL"/>
        </w:rPr>
        <w:t>https://werk.belgie.be/nl/news/doorlichting-sectorale-aanvullende-pensioenen</w:t>
      </w:r>
      <w:r w:rsidR="00ED6FDB">
        <w:rPr>
          <w:lang w:val="nl-NL"/>
        </w:rPr>
        <w:t>.</w:t>
      </w:r>
    </w:p>
    <w:p w14:paraId="72198210" w14:textId="5EA737D4" w:rsidR="00B035C5" w:rsidRPr="00E20926" w:rsidRDefault="00B035C5" w:rsidP="00BD746F">
      <w:pPr>
        <w:pStyle w:val="12ptvoor"/>
        <w:spacing w:line="360" w:lineRule="auto"/>
        <w:rPr>
          <w:lang w:val="nl-NL"/>
        </w:rPr>
      </w:pPr>
      <w:r>
        <w:rPr>
          <w:lang w:val="nl-NL"/>
        </w:rPr>
        <w:t xml:space="preserve">FEDERALE OVERHEIDSDIENST WERKGELEGENHEID, ARBEID EN SOCIAAL OVERLEG (FOD WASO), </w:t>
      </w:r>
      <w:r w:rsidR="00E20926">
        <w:rPr>
          <w:lang w:val="nl-NL"/>
        </w:rPr>
        <w:t>Rapportering over de resultaten van het sectoraal overleg in 2017 en 2018, FOD WASO, september 2019</w:t>
      </w:r>
      <w:r w:rsidR="006B771D">
        <w:rPr>
          <w:lang w:val="nl-NL"/>
        </w:rPr>
        <w:t xml:space="preserve">, </w:t>
      </w:r>
      <w:r w:rsidR="006B771D" w:rsidRPr="006B771D">
        <w:rPr>
          <w:lang w:val="nl-NL"/>
        </w:rPr>
        <w:t>https://werk.belgie.be/sites/default/files/nl/modules_pages/publicaties/document/rapporteringresultatensectoraaloverleg2017.pdf?id=47964</w:t>
      </w:r>
      <w:r w:rsidR="006B771D">
        <w:rPr>
          <w:lang w:val="nl-NL"/>
        </w:rPr>
        <w:t>.</w:t>
      </w:r>
    </w:p>
    <w:p w14:paraId="57F544EE" w14:textId="1B39332F" w:rsidR="000176C2" w:rsidRDefault="000176C2" w:rsidP="00BD746F">
      <w:pPr>
        <w:pStyle w:val="12ptvoor"/>
        <w:spacing w:line="360" w:lineRule="auto"/>
        <w:rPr>
          <w:lang w:val="nl-NL"/>
        </w:rPr>
      </w:pPr>
      <w:r>
        <w:rPr>
          <w:lang w:val="nl-NL"/>
        </w:rPr>
        <w:t>NATIONALE ARBEIDSRAAD, Rapport nr. 97, 7 juni 2016</w:t>
      </w:r>
      <w:r w:rsidR="000371FB">
        <w:rPr>
          <w:lang w:val="nl-NL"/>
        </w:rPr>
        <w:t xml:space="preserve">, </w:t>
      </w:r>
      <w:r w:rsidR="000371FB" w:rsidRPr="000371FB">
        <w:rPr>
          <w:lang w:val="nl-NL"/>
        </w:rPr>
        <w:t>https://cnt-nar.be/sites/default/files/documents/RAPPORT/rapport-097-NL.pdf</w:t>
      </w:r>
      <w:r w:rsidR="000371FB">
        <w:rPr>
          <w:lang w:val="nl-NL"/>
        </w:rPr>
        <w:t>.</w:t>
      </w:r>
    </w:p>
    <w:p w14:paraId="5CA7A3D6" w14:textId="4F67ACA8" w:rsidR="00437D4F" w:rsidRDefault="00437D4F" w:rsidP="00BD746F">
      <w:pPr>
        <w:pStyle w:val="12ptvoor"/>
        <w:spacing w:line="360" w:lineRule="auto"/>
        <w:rPr>
          <w:lang w:val="nl-NL"/>
        </w:rPr>
      </w:pPr>
      <w:r>
        <w:rPr>
          <w:lang w:val="nl-NL"/>
        </w:rPr>
        <w:t>NATIONALE ARBEIDSRAAD, Rapport nr. 110</w:t>
      </w:r>
      <w:r w:rsidR="00722C06">
        <w:rPr>
          <w:lang w:val="nl-NL"/>
        </w:rPr>
        <w:t xml:space="preserve"> – Harmonisering statuut arbeider/bediende – Aanvullende pensioenen – Art. 14/4 §2 van de WAP – </w:t>
      </w:r>
      <w:r w:rsidR="00105A51">
        <w:rPr>
          <w:lang w:val="nl-NL"/>
        </w:rPr>
        <w:t>Evaluatie, NAR, 26 juni 2018</w:t>
      </w:r>
      <w:r w:rsidR="00B27F1B">
        <w:rPr>
          <w:lang w:val="nl-NL"/>
        </w:rPr>
        <w:t xml:space="preserve">, nr. 2.922, </w:t>
      </w:r>
      <w:hyperlink r:id="rId12" w:history="1">
        <w:r w:rsidR="00D3390F" w:rsidRPr="0002203A">
          <w:rPr>
            <w:rStyle w:val="Hyperlink"/>
            <w:lang w:val="nl-NL"/>
          </w:rPr>
          <w:t>https://cnt-nar.be/sites/default/files/documents/RAPPORT/rapport-110-NL.pdf</w:t>
        </w:r>
      </w:hyperlink>
      <w:r w:rsidR="009F4C78">
        <w:rPr>
          <w:lang w:val="nl-NL"/>
        </w:rPr>
        <w:t>.</w:t>
      </w:r>
    </w:p>
    <w:p w14:paraId="645869DE" w14:textId="64EA1DC9" w:rsidR="00D3390F" w:rsidRDefault="00D3390F" w:rsidP="00D3390F">
      <w:pPr>
        <w:pStyle w:val="12ptvoor"/>
        <w:spacing w:line="360" w:lineRule="auto"/>
        <w:rPr>
          <w:lang w:val="nl-NL"/>
        </w:rPr>
      </w:pPr>
      <w:r>
        <w:rPr>
          <w:lang w:val="nl-NL"/>
        </w:rPr>
        <w:t xml:space="preserve">NATIONALE ARBEIDSRAAD, Rapport nr. 117 – Harmonisering statuut arbeider/bediende – Aanvullende pensioenen – Art. 14/4 §2 van de WAP – Evaluatie, NAR, 26 </w:t>
      </w:r>
      <w:r w:rsidR="000D7ABD">
        <w:rPr>
          <w:lang w:val="nl-NL"/>
        </w:rPr>
        <w:t xml:space="preserve">mei 2020 </w:t>
      </w:r>
      <w:r>
        <w:rPr>
          <w:lang w:val="nl-NL"/>
        </w:rPr>
        <w:t xml:space="preserve">, nr. </w:t>
      </w:r>
      <w:r w:rsidR="00114725">
        <w:rPr>
          <w:lang w:val="nl-NL"/>
        </w:rPr>
        <w:t>3.080</w:t>
      </w:r>
      <w:r>
        <w:rPr>
          <w:lang w:val="nl-NL"/>
        </w:rPr>
        <w:t xml:space="preserve">, </w:t>
      </w:r>
      <w:r w:rsidR="00114725" w:rsidRPr="00114725">
        <w:rPr>
          <w:lang w:val="nl-NL"/>
        </w:rPr>
        <w:t>https://cnt-nar.be/sites/default/files/documents/nl/rapport-117-NL.pdf</w:t>
      </w:r>
      <w:r w:rsidR="00114725">
        <w:rPr>
          <w:lang w:val="nl-NL"/>
        </w:rPr>
        <w:t>.</w:t>
      </w:r>
    </w:p>
    <w:p w14:paraId="671556C8" w14:textId="0878E5A6" w:rsidR="00D3390F" w:rsidRDefault="00EA69C8" w:rsidP="00BD746F">
      <w:pPr>
        <w:pStyle w:val="12ptvoor"/>
        <w:spacing w:line="360" w:lineRule="auto"/>
        <w:rPr>
          <w:lang w:val="nl-NL"/>
        </w:rPr>
      </w:pPr>
      <w:r>
        <w:rPr>
          <w:lang w:val="nl-NL"/>
        </w:rPr>
        <w:t xml:space="preserve">NATIONALE ARBEIDSRAAD, Rapport nr. 127 – Harmonisering statuut arbeider/bediende – Aanvullende pensioenen – Art. 14/4 §2 van de WAP – Evaluatie, NAR, </w:t>
      </w:r>
      <w:r w:rsidR="00692F8E">
        <w:rPr>
          <w:lang w:val="nl-NL"/>
        </w:rPr>
        <w:t>28 juni 2022</w:t>
      </w:r>
      <w:r>
        <w:rPr>
          <w:lang w:val="nl-NL"/>
        </w:rPr>
        <w:t xml:space="preserve">, nr. 3.080, </w:t>
      </w:r>
      <w:r w:rsidR="00405E4A" w:rsidRPr="00405E4A">
        <w:rPr>
          <w:lang w:val="nl-NL"/>
        </w:rPr>
        <w:t>https://cnt-nar.be/sites/default/files/documents/nl/rapport-127-NL.pdf</w:t>
      </w:r>
      <w:r w:rsidR="00405E4A">
        <w:rPr>
          <w:lang w:val="nl-NL"/>
        </w:rPr>
        <w:t>.</w:t>
      </w:r>
    </w:p>
    <w:p w14:paraId="2A234FB6" w14:textId="7B5F0078" w:rsidR="00EC2A8E" w:rsidRDefault="007316AD" w:rsidP="00BD746F">
      <w:pPr>
        <w:pStyle w:val="12ptvoor"/>
        <w:spacing w:line="360" w:lineRule="auto"/>
        <w:rPr>
          <w:lang w:val="nl-NL"/>
        </w:rPr>
      </w:pPr>
      <w:r>
        <w:rPr>
          <w:lang w:val="nl-NL"/>
        </w:rPr>
        <w:t xml:space="preserve">NATIONALE ARBEIDSRAAD, Rapport nr. 136 – Harmonisering statuut arbeider/bediende – Aanvullende pensioenen – Art. 14/4 §2 van de WAP – Evaluatie, NAR, 25 juni 2024, nr. 3.080, </w:t>
      </w:r>
      <w:r w:rsidR="00EC2A8E" w:rsidRPr="00EC2A8E">
        <w:rPr>
          <w:lang w:val="nl-NL"/>
        </w:rPr>
        <w:t>https://cnt-nar.be/sites/default/files/documents/nl/Rapport-136-N.pdf</w:t>
      </w:r>
      <w:r w:rsidR="00EC2A8E">
        <w:rPr>
          <w:lang w:val="nl-NL"/>
        </w:rPr>
        <w:t>.</w:t>
      </w:r>
    </w:p>
    <w:p w14:paraId="2C694103" w14:textId="0C45CD9C" w:rsidR="000C0CCC" w:rsidRDefault="00690D8D" w:rsidP="00BD746F">
      <w:pPr>
        <w:pStyle w:val="12ptvoor"/>
        <w:spacing w:line="360" w:lineRule="auto"/>
        <w:rPr>
          <w:lang w:val="nl-NL"/>
        </w:rPr>
      </w:pPr>
      <w:r>
        <w:rPr>
          <w:lang w:val="nl-NL"/>
        </w:rPr>
        <w:t xml:space="preserve">NATIONALE ARBEIDSRAAD, Advies voorontwerp tot instelling van een wettelijk kader voor geleidelijke opheffing van de verschillen in behandeling die berusten op het onderscheid tussen arbeiders en bedienden inzake aanvullende pensioenen, 12 februari 2014, nr. 1893, </w:t>
      </w:r>
      <w:hyperlink r:id="rId13" w:history="1">
        <w:r w:rsidR="007B5A16" w:rsidRPr="00512756">
          <w:rPr>
            <w:rStyle w:val="Hyperlink"/>
            <w:lang w:val="nl-NL"/>
          </w:rPr>
          <w:t>https://cnt-nar.be/sites/default/files/documents/ADVIES/advies-1893.pdf</w:t>
        </w:r>
      </w:hyperlink>
      <w:r w:rsidR="007B5A16">
        <w:rPr>
          <w:lang w:val="nl-NL"/>
        </w:rPr>
        <w:t xml:space="preserve">. </w:t>
      </w:r>
    </w:p>
    <w:p w14:paraId="34E6F2C3" w14:textId="50D53C8B" w:rsidR="00E84757" w:rsidRDefault="00E84757" w:rsidP="00BD746F">
      <w:pPr>
        <w:pStyle w:val="12ptvoor"/>
        <w:spacing w:line="360" w:lineRule="auto"/>
        <w:rPr>
          <w:lang w:val="nl-NL"/>
        </w:rPr>
      </w:pPr>
      <w:r>
        <w:rPr>
          <w:lang w:val="nl-NL"/>
        </w:rPr>
        <w:t>NATIONALE ARBEIDSRAAD, Advies nr. 2.155 – Harmonisering statuut arbeider/bediende – Aanvullende pensioenen – Toepassing van de wet van 5 mei 2014</w:t>
      </w:r>
      <w:r w:rsidR="00AA3606">
        <w:rPr>
          <w:lang w:val="nl-NL"/>
        </w:rPr>
        <w:t xml:space="preserve"> – Interpretatieproblemen, NAR, 17 december 2019, </w:t>
      </w:r>
      <w:r w:rsidR="007D4FC9">
        <w:rPr>
          <w:lang w:val="nl-NL"/>
        </w:rPr>
        <w:t xml:space="preserve">nr. 3.080, </w:t>
      </w:r>
      <w:r w:rsidR="006923AF" w:rsidRPr="006923AF">
        <w:rPr>
          <w:lang w:val="nl-NL"/>
        </w:rPr>
        <w:t>https://cnt-nar.be/sites/default/files/documents/nl/rapport-117-NL.pdf</w:t>
      </w:r>
      <w:r w:rsidR="006923AF">
        <w:rPr>
          <w:lang w:val="nl-NL"/>
        </w:rPr>
        <w:t>.</w:t>
      </w:r>
    </w:p>
    <w:p w14:paraId="54200A2B" w14:textId="6624BD88" w:rsidR="007B5A16" w:rsidRDefault="00CB3C28" w:rsidP="00BD746F">
      <w:pPr>
        <w:pStyle w:val="12ptvoor"/>
        <w:spacing w:line="360" w:lineRule="auto"/>
        <w:rPr>
          <w:lang w:val="nl-NL"/>
        </w:rPr>
      </w:pPr>
      <w:r>
        <w:rPr>
          <w:lang w:val="nl-NL"/>
        </w:rPr>
        <w:t>NATIONALE ARBEIDSRAAD</w:t>
      </w:r>
      <w:r w:rsidR="00F71C95">
        <w:rPr>
          <w:lang w:val="nl-NL"/>
        </w:rPr>
        <w:t xml:space="preserve">, </w:t>
      </w:r>
      <w:r>
        <w:rPr>
          <w:lang w:val="nl-NL"/>
        </w:rPr>
        <w:t>Advies nr. 2</w:t>
      </w:r>
      <w:r w:rsidR="00E84757">
        <w:rPr>
          <w:lang w:val="nl-NL"/>
        </w:rPr>
        <w:t>.</w:t>
      </w:r>
      <w:r>
        <w:rPr>
          <w:lang w:val="nl-NL"/>
        </w:rPr>
        <w:t>237 – Afsprakenkader van 25 juni 2021 – Uitvoering, 15 juli 2021</w:t>
      </w:r>
      <w:r w:rsidR="008F2E29">
        <w:rPr>
          <w:lang w:val="nl-NL"/>
        </w:rPr>
        <w:t xml:space="preserve">, nr. 3.249, </w:t>
      </w:r>
      <w:r w:rsidR="006E5935" w:rsidRPr="006E5935">
        <w:rPr>
          <w:lang w:val="nl-NL"/>
        </w:rPr>
        <w:t>https://cnt-nar.be/sites/default/files/documents/ADVIES/advies-2237.pdf</w:t>
      </w:r>
      <w:r w:rsidR="006E5935">
        <w:rPr>
          <w:lang w:val="nl-NL"/>
        </w:rPr>
        <w:t xml:space="preserve">. </w:t>
      </w:r>
    </w:p>
    <w:p w14:paraId="1EBC2980" w14:textId="25176857" w:rsidR="003B2DF2" w:rsidRDefault="003B2DF2" w:rsidP="00BD746F">
      <w:pPr>
        <w:pStyle w:val="12ptvoor"/>
        <w:spacing w:line="360" w:lineRule="auto"/>
      </w:pPr>
      <w:r>
        <w:rPr>
          <w:lang w:val="nl-NL"/>
        </w:rPr>
        <w:t xml:space="preserve">FEDERALE REGERING, Regeerakkoord 2014, 9 oktober 2014, </w:t>
      </w:r>
      <w:hyperlink r:id="rId14" w:history="1">
        <w:r w:rsidR="00B5790F" w:rsidRPr="00B5790F">
          <w:rPr>
            <w:rStyle w:val="Hyperlink"/>
          </w:rPr>
          <w:t>https://cnt-nar.be/sites/default/files/documents/nl/2014-10-09-Boordtabel.pdf</w:t>
        </w:r>
      </w:hyperlink>
      <w:r w:rsidR="00B5790F" w:rsidRPr="00B5790F">
        <w:t>.</w:t>
      </w:r>
    </w:p>
    <w:p w14:paraId="6FBE3A1B" w14:textId="77777777" w:rsidR="00B5790F" w:rsidRDefault="00B5790F" w:rsidP="00BD746F">
      <w:pPr>
        <w:pStyle w:val="12ptvoor"/>
        <w:spacing w:line="360" w:lineRule="auto"/>
        <w:rPr>
          <w:lang w:val="nl-NL"/>
        </w:rPr>
      </w:pPr>
    </w:p>
    <w:p w14:paraId="3024A5B7" w14:textId="77777777" w:rsidR="00C73AB0" w:rsidRDefault="00C73AB0" w:rsidP="00C73AB0">
      <w:pPr>
        <w:pStyle w:val="Randnummer"/>
        <w:numPr>
          <w:ilvl w:val="0"/>
          <w:numId w:val="0"/>
        </w:numPr>
        <w:ind w:left="357" w:hanging="357"/>
        <w:rPr>
          <w:u w:val="single"/>
          <w:lang w:val="fr-BE"/>
        </w:rPr>
      </w:pPr>
      <w:r w:rsidRPr="00730EC1">
        <w:rPr>
          <w:u w:val="single"/>
          <w:lang w:val="fr-BE"/>
        </w:rPr>
        <w:t>LUXEMBURG</w:t>
      </w:r>
    </w:p>
    <w:p w14:paraId="08F62F28" w14:textId="2FF6328D" w:rsidR="00C73AB0" w:rsidRPr="00730EC1" w:rsidRDefault="00C73AB0" w:rsidP="00C73AB0">
      <w:pPr>
        <w:pStyle w:val="Randnummer"/>
        <w:numPr>
          <w:ilvl w:val="0"/>
          <w:numId w:val="0"/>
        </w:numPr>
        <w:ind w:left="357" w:hanging="357"/>
        <w:rPr>
          <w:u w:val="single"/>
          <w:lang w:val="fr-BE"/>
        </w:rPr>
      </w:pPr>
      <w:proofErr w:type="spellStart"/>
      <w:r>
        <w:rPr>
          <w:u w:val="single"/>
          <w:lang w:val="fr-BE"/>
        </w:rPr>
        <w:t>Wet</w:t>
      </w:r>
      <w:r w:rsidR="00D56F6E">
        <w:rPr>
          <w:u w:val="single"/>
          <w:lang w:val="fr-BE"/>
        </w:rPr>
        <w:t>geving</w:t>
      </w:r>
      <w:proofErr w:type="spellEnd"/>
    </w:p>
    <w:p w14:paraId="677BC48E" w14:textId="77777777" w:rsidR="00C73AB0" w:rsidRDefault="00C73AB0" w:rsidP="00C73AB0">
      <w:pPr>
        <w:pStyle w:val="12ptvoor"/>
        <w:rPr>
          <w:lang w:val="fr-BE"/>
        </w:rPr>
      </w:pPr>
      <w:r w:rsidRPr="00387986">
        <w:rPr>
          <w:lang w:val="fr-BE"/>
        </w:rPr>
        <w:t xml:space="preserve">Loi du 24 juin 1970 portant réglementation du contrat de louage de services des ouvriers, </w:t>
      </w:r>
      <w:r w:rsidRPr="00387986">
        <w:rPr>
          <w:i/>
          <w:iCs/>
          <w:lang w:val="fr-BE"/>
        </w:rPr>
        <w:t xml:space="preserve">Mémorial </w:t>
      </w:r>
      <w:r w:rsidRPr="00387986">
        <w:rPr>
          <w:lang w:val="fr-BE"/>
        </w:rPr>
        <w:t>A35, 30 juin 1970</w:t>
      </w:r>
      <w:r>
        <w:rPr>
          <w:lang w:val="fr-BE"/>
        </w:rPr>
        <w:t>.</w:t>
      </w:r>
    </w:p>
    <w:p w14:paraId="1230702D" w14:textId="77777777" w:rsidR="00C73AB0" w:rsidRDefault="00C73AB0" w:rsidP="00C73AB0">
      <w:pPr>
        <w:pStyle w:val="12ptvoor"/>
        <w:rPr>
          <w:lang w:val="fr-BE"/>
        </w:rPr>
      </w:pPr>
      <w:r>
        <w:rPr>
          <w:lang w:val="fr-BE"/>
        </w:rPr>
        <w:t xml:space="preserve">Loi du 8 juin 1999 relative aux régimes complémentaires de pension, </w:t>
      </w:r>
      <w:r>
        <w:rPr>
          <w:i/>
          <w:iCs/>
          <w:lang w:val="fr-BE"/>
        </w:rPr>
        <w:t xml:space="preserve">Mémorial </w:t>
      </w:r>
      <w:r>
        <w:rPr>
          <w:lang w:val="fr-BE"/>
        </w:rPr>
        <w:t>A74, 17 juin 1999.</w:t>
      </w:r>
    </w:p>
    <w:p w14:paraId="674C3A19" w14:textId="77777777" w:rsidR="00C73AB0" w:rsidRDefault="00C73AB0" w:rsidP="00C73AB0">
      <w:pPr>
        <w:pStyle w:val="12ptvoor"/>
        <w:rPr>
          <w:lang w:val="fr-BE"/>
        </w:rPr>
      </w:pPr>
      <w:r>
        <w:rPr>
          <w:lang w:val="fr-BE"/>
        </w:rPr>
        <w:t xml:space="preserve">Loi du 13 mai 2008 portant introduction d’un statut unique pour les salariés du secteur privé et modifiant, </w:t>
      </w:r>
      <w:r>
        <w:rPr>
          <w:i/>
          <w:iCs/>
          <w:lang w:val="fr-BE"/>
        </w:rPr>
        <w:t xml:space="preserve">Mémorial </w:t>
      </w:r>
      <w:r>
        <w:rPr>
          <w:lang w:val="fr-BE"/>
        </w:rPr>
        <w:t>A60, 15 mai 2008.</w:t>
      </w:r>
    </w:p>
    <w:p w14:paraId="28B0F50A" w14:textId="77777777" w:rsidR="00D56F6E" w:rsidRDefault="00D56F6E" w:rsidP="00C73AB0">
      <w:pPr>
        <w:pStyle w:val="12ptvoor"/>
        <w:rPr>
          <w:lang w:val="fr-BE"/>
        </w:rPr>
      </w:pPr>
    </w:p>
    <w:p w14:paraId="725DC36B" w14:textId="4096299E" w:rsidR="00C73AB0" w:rsidRDefault="00D61F40" w:rsidP="00C73AB0">
      <w:pPr>
        <w:pStyle w:val="12ptvoor"/>
        <w:rPr>
          <w:u w:val="single"/>
          <w:lang w:val="fr-BE"/>
        </w:rPr>
      </w:pPr>
      <w:proofErr w:type="spellStart"/>
      <w:r>
        <w:rPr>
          <w:u w:val="single"/>
          <w:lang w:val="fr-BE"/>
        </w:rPr>
        <w:t>Beleidsdocumenten</w:t>
      </w:r>
      <w:proofErr w:type="spellEnd"/>
    </w:p>
    <w:p w14:paraId="74E54318" w14:textId="77777777" w:rsidR="00D56F6E" w:rsidRDefault="00D56F6E" w:rsidP="00D56F6E">
      <w:pPr>
        <w:pStyle w:val="12ptvoor"/>
        <w:rPr>
          <w:lang w:val="fr-BE"/>
        </w:rPr>
      </w:pPr>
      <w:r>
        <w:rPr>
          <w:lang w:val="fr-BE"/>
        </w:rPr>
        <w:t xml:space="preserve">Projet de loi portant introduction d’un statut unique pour les salariés du secteur privé, Chambre des Députés, </w:t>
      </w:r>
      <w:proofErr w:type="spellStart"/>
      <w:r>
        <w:rPr>
          <w:lang w:val="fr-BE"/>
        </w:rPr>
        <w:t>sess</w:t>
      </w:r>
      <w:proofErr w:type="spellEnd"/>
      <w:r>
        <w:rPr>
          <w:lang w:val="fr-BE"/>
        </w:rPr>
        <w:t>. Ord. 2006-2007, n° 5750/00.</w:t>
      </w:r>
    </w:p>
    <w:p w14:paraId="0B3E6CEC" w14:textId="7211BAC3" w:rsidR="00D56F6E" w:rsidRPr="00BA4BDB" w:rsidRDefault="00D56F6E" w:rsidP="00C73AB0">
      <w:pPr>
        <w:pStyle w:val="12ptvoor"/>
        <w:rPr>
          <w:lang w:val="fr-BE"/>
        </w:rPr>
      </w:pPr>
      <w:r>
        <w:rPr>
          <w:lang w:val="fr-BE"/>
        </w:rPr>
        <w:t xml:space="preserve">Projet de loi portant introduction d’un statut unique pour les salariés du secteur privé, Chambre des Députés, Avis de la Chambre des métiers, </w:t>
      </w:r>
      <w:proofErr w:type="spellStart"/>
      <w:r>
        <w:rPr>
          <w:lang w:val="fr-BE"/>
        </w:rPr>
        <w:t>sess</w:t>
      </w:r>
      <w:proofErr w:type="spellEnd"/>
      <w:r>
        <w:rPr>
          <w:lang w:val="fr-BE"/>
        </w:rPr>
        <w:t xml:space="preserve">. Ord. 2006-2007, n°5750/02. </w:t>
      </w:r>
    </w:p>
    <w:p w14:paraId="7DA68B2C" w14:textId="275195A8" w:rsidR="00466287" w:rsidRPr="00466287" w:rsidRDefault="005B5917" w:rsidP="00C73AB0">
      <w:pPr>
        <w:pStyle w:val="12ptvoor"/>
        <w:rPr>
          <w:lang w:val="fr-BE"/>
        </w:rPr>
      </w:pPr>
      <w:r>
        <w:rPr>
          <w:lang w:val="fr-BE"/>
        </w:rPr>
        <w:t>L’INSPECTION GÉNÉRALE DE LA SÉCURITÉ SOCIALE, ‘La loi du 8 juin 1999 relative aux régimes complémentaires de pension’, Bulletin Luxembourgeo</w:t>
      </w:r>
      <w:r w:rsidR="00D61F40">
        <w:rPr>
          <w:lang w:val="fr-BE"/>
        </w:rPr>
        <w:t xml:space="preserve">is des questions sociales, vol. 12, </w:t>
      </w:r>
      <w:r w:rsidR="00264E1C">
        <w:rPr>
          <w:lang w:val="fr-BE"/>
        </w:rPr>
        <w:t xml:space="preserve">2002, </w:t>
      </w:r>
      <w:r w:rsidR="00264E1C" w:rsidRPr="00264E1C">
        <w:rPr>
          <w:lang w:val="fr-BE"/>
        </w:rPr>
        <w:t>https://www.aloss.lu/app/uploads/2024/12/BLQS_12.pdf</w:t>
      </w:r>
      <w:r w:rsidR="00264E1C">
        <w:rPr>
          <w:lang w:val="fr-BE"/>
        </w:rPr>
        <w:t xml:space="preserve">. </w:t>
      </w:r>
    </w:p>
    <w:p w14:paraId="13E4FBAC" w14:textId="2D36C054" w:rsidR="00C73AB0" w:rsidRDefault="00466287" w:rsidP="00F1144A">
      <w:pPr>
        <w:pStyle w:val="12ptvoor"/>
        <w:rPr>
          <w:lang w:val="fr-BE"/>
        </w:rPr>
      </w:pPr>
      <w:r>
        <w:rPr>
          <w:lang w:val="fr-BE"/>
        </w:rPr>
        <w:t>L’</w:t>
      </w:r>
      <w:r w:rsidR="00C73AB0">
        <w:rPr>
          <w:lang w:val="fr-BE"/>
        </w:rPr>
        <w:t xml:space="preserve">INSPECTION GÉNÉRALE DE LA SÉCURITÉ SOCIALE, </w:t>
      </w:r>
      <w:r w:rsidR="00C73AB0">
        <w:rPr>
          <w:i/>
          <w:iCs/>
          <w:lang w:val="fr-BE"/>
        </w:rPr>
        <w:t xml:space="preserve">Lettre circulaire </w:t>
      </w:r>
      <w:r w:rsidR="00C73AB0">
        <w:rPr>
          <w:lang w:val="fr-BE"/>
        </w:rPr>
        <w:t xml:space="preserve">2009/01, </w:t>
      </w:r>
      <w:proofErr w:type="spellStart"/>
      <w:r w:rsidR="00C73AB0">
        <w:rPr>
          <w:lang w:val="fr-BE"/>
        </w:rPr>
        <w:t>maart</w:t>
      </w:r>
      <w:proofErr w:type="spellEnd"/>
      <w:r w:rsidR="00C73AB0">
        <w:rPr>
          <w:lang w:val="fr-BE"/>
        </w:rPr>
        <w:t xml:space="preserve"> 2009</w:t>
      </w:r>
      <w:r w:rsidR="0006687B">
        <w:rPr>
          <w:lang w:val="fr-BE"/>
        </w:rPr>
        <w:t xml:space="preserve">, </w:t>
      </w:r>
      <w:r w:rsidR="0006687B" w:rsidRPr="0006687B">
        <w:rPr>
          <w:lang w:val="fr-BE"/>
        </w:rPr>
        <w:t>https://www.urssaf.fr/files/live/sites/urssaffr/files/outils-documentation/outils/lettres-circulaires/2009/ref_lc2009-012.pdf</w:t>
      </w:r>
      <w:r w:rsidR="0006687B">
        <w:rPr>
          <w:lang w:val="fr-BE"/>
        </w:rPr>
        <w:t>.</w:t>
      </w:r>
    </w:p>
    <w:p w14:paraId="64A0F125" w14:textId="77777777" w:rsidR="00BA4BDB" w:rsidRPr="00C73AB0" w:rsidRDefault="00BA4BDB" w:rsidP="00F1144A">
      <w:pPr>
        <w:pStyle w:val="12ptvoor"/>
        <w:rPr>
          <w:lang w:val="fr-BE"/>
        </w:rPr>
      </w:pPr>
    </w:p>
    <w:p w14:paraId="36F306AF" w14:textId="004E64C3" w:rsidR="002A37B0" w:rsidRDefault="002A37B0" w:rsidP="00D37FB3">
      <w:pPr>
        <w:pStyle w:val="Randnummer"/>
        <w:numPr>
          <w:ilvl w:val="0"/>
          <w:numId w:val="0"/>
        </w:numPr>
        <w:ind w:left="357" w:hanging="357"/>
        <w:rPr>
          <w:u w:val="single"/>
          <w:lang w:val="nl-NL"/>
        </w:rPr>
      </w:pPr>
      <w:r>
        <w:rPr>
          <w:u w:val="single"/>
          <w:lang w:val="nl-NL"/>
        </w:rPr>
        <w:t>NEDERLAND</w:t>
      </w:r>
    </w:p>
    <w:p w14:paraId="6E097A96" w14:textId="3E639725" w:rsidR="00C84D8D" w:rsidRDefault="00C84D8D" w:rsidP="00D37FB3">
      <w:pPr>
        <w:pStyle w:val="Randnummer"/>
        <w:numPr>
          <w:ilvl w:val="0"/>
          <w:numId w:val="0"/>
        </w:numPr>
        <w:ind w:left="357" w:hanging="357"/>
        <w:rPr>
          <w:u w:val="single"/>
          <w:lang w:val="nl-NL"/>
        </w:rPr>
      </w:pPr>
      <w:r>
        <w:rPr>
          <w:u w:val="single"/>
          <w:lang w:val="nl-NL"/>
        </w:rPr>
        <w:t>Wetgeving</w:t>
      </w:r>
    </w:p>
    <w:p w14:paraId="48D3135E" w14:textId="70CC89C1" w:rsidR="00CA165B" w:rsidRPr="00CA165B" w:rsidRDefault="00CA165B" w:rsidP="00DC1E02">
      <w:pPr>
        <w:pStyle w:val="12ptvoor"/>
      </w:pPr>
      <w:r>
        <w:t xml:space="preserve">Wet van den 13den Juli 1907 op de arbeidsovereenkomst, </w:t>
      </w:r>
      <w:r>
        <w:rPr>
          <w:i/>
          <w:iCs/>
        </w:rPr>
        <w:t xml:space="preserve">SB </w:t>
      </w:r>
      <w:r>
        <w:t>193</w:t>
      </w:r>
      <w:r w:rsidR="006940D8">
        <w:t xml:space="preserve">. </w:t>
      </w:r>
    </w:p>
    <w:p w14:paraId="575F9C9A" w14:textId="521D4B00" w:rsidR="00C84D8D" w:rsidRDefault="00DC1E02" w:rsidP="00DC1E02">
      <w:pPr>
        <w:pStyle w:val="12ptvoor"/>
      </w:pPr>
      <w:r w:rsidRPr="00DC1E02">
        <w:t xml:space="preserve">Wet van 3 juni 2023 toekomst pensioenen, </w:t>
      </w:r>
      <w:r w:rsidRPr="00DC1E02">
        <w:rPr>
          <w:i/>
          <w:iCs/>
        </w:rPr>
        <w:t>Stb.</w:t>
      </w:r>
      <w:r w:rsidRPr="00DC1E02">
        <w:t xml:space="preserve"> 2023, 216; inwerkingtreding bij Besluit van 22 juni 2023, </w:t>
      </w:r>
      <w:r w:rsidRPr="00DC1E02">
        <w:rPr>
          <w:i/>
          <w:iCs/>
        </w:rPr>
        <w:t>Stb.</w:t>
      </w:r>
      <w:r w:rsidRPr="00DC1E02">
        <w:t xml:space="preserve"> 2023, 218</w:t>
      </w:r>
      <w:r w:rsidR="00F863B8">
        <w:t>.</w:t>
      </w:r>
    </w:p>
    <w:p w14:paraId="1F8D134A" w14:textId="77777777" w:rsidR="00C73AB0" w:rsidRPr="00C84D8D" w:rsidRDefault="00C73AB0" w:rsidP="00DC1E02">
      <w:pPr>
        <w:pStyle w:val="12ptvoor"/>
        <w:rPr>
          <w:lang w:val="nl-NL"/>
        </w:rPr>
      </w:pPr>
    </w:p>
    <w:p w14:paraId="06DF3AA0" w14:textId="7D2D85D9" w:rsidR="003C3A13" w:rsidRDefault="003C3A13" w:rsidP="00D37FB3">
      <w:pPr>
        <w:pStyle w:val="Randnummer"/>
        <w:numPr>
          <w:ilvl w:val="0"/>
          <w:numId w:val="0"/>
        </w:numPr>
        <w:ind w:left="357" w:hanging="357"/>
        <w:rPr>
          <w:u w:val="single"/>
          <w:lang w:val="nl-NL"/>
        </w:rPr>
      </w:pPr>
      <w:r>
        <w:rPr>
          <w:u w:val="single"/>
          <w:lang w:val="nl-NL"/>
        </w:rPr>
        <w:t>Parlementaire stukken</w:t>
      </w:r>
    </w:p>
    <w:p w14:paraId="10E53ACE" w14:textId="77777777" w:rsidR="003C3A13" w:rsidRDefault="003C3A13" w:rsidP="0003681B">
      <w:pPr>
        <w:pStyle w:val="12ptvoor"/>
        <w:rPr>
          <w:lang w:val="nl-NL"/>
        </w:rPr>
      </w:pPr>
      <w:r>
        <w:rPr>
          <w:lang w:val="nl-NL"/>
        </w:rPr>
        <w:t xml:space="preserve">Kamerstukken II 1999-2000, 27 073, nr.3. </w:t>
      </w:r>
    </w:p>
    <w:p w14:paraId="450DA7C2" w14:textId="77777777" w:rsidR="003C3A13" w:rsidRDefault="003C3A13" w:rsidP="0003681B">
      <w:pPr>
        <w:pStyle w:val="12ptvoor"/>
        <w:rPr>
          <w:lang w:val="nl-NL"/>
        </w:rPr>
      </w:pPr>
      <w:r>
        <w:rPr>
          <w:lang w:val="nl-NL"/>
        </w:rPr>
        <w:t xml:space="preserve">Kamerstukken II 2021/22, 36067, nr. 3. </w:t>
      </w:r>
    </w:p>
    <w:p w14:paraId="58640A1F" w14:textId="5DF967D6" w:rsidR="003C3A13" w:rsidRDefault="00D36A65" w:rsidP="0003681B">
      <w:pPr>
        <w:pStyle w:val="12ptvoor"/>
        <w:rPr>
          <w:lang w:val="nl-NL"/>
        </w:rPr>
      </w:pPr>
      <w:r w:rsidRPr="00D36A65">
        <w:t xml:space="preserve">SOCIAAL-ECONOMISCHE RAAD, </w:t>
      </w:r>
      <w:r w:rsidRPr="00D36A65">
        <w:rPr>
          <w:i/>
          <w:iCs/>
        </w:rPr>
        <w:t>Advies Toekomst pensioenstelsel</w:t>
      </w:r>
      <w:r w:rsidRPr="00D36A65">
        <w:t xml:space="preserve">, 19 juni 2015, nr. 15/01, </w:t>
      </w:r>
      <w:hyperlink r:id="rId15" w:history="1">
        <w:r w:rsidR="00A50698" w:rsidRPr="007A4568">
          <w:rPr>
            <w:rStyle w:val="Hyperlink"/>
          </w:rPr>
          <w:t>https://www.ser.nl/nl/publicaties/adviezen/2010-2019/2015/toekomst-pensioenstelse</w:t>
        </w:r>
        <w:r w:rsidR="00A50698" w:rsidRPr="007A4568">
          <w:rPr>
            <w:rStyle w:val="Hyperlink"/>
            <w:lang w:val="nl-NL"/>
          </w:rPr>
          <w:t>l</w:t>
        </w:r>
      </w:hyperlink>
      <w:r w:rsidR="00A50698">
        <w:rPr>
          <w:lang w:val="nl-NL"/>
        </w:rPr>
        <w:t xml:space="preserve"> (geraadpleegd op 24 april 2026).</w:t>
      </w:r>
    </w:p>
    <w:p w14:paraId="6AABC759" w14:textId="67A898A5" w:rsidR="00A50698" w:rsidRPr="00A50698" w:rsidRDefault="00A50698" w:rsidP="0003681B">
      <w:pPr>
        <w:pStyle w:val="12ptvoor"/>
        <w:rPr>
          <w:lang w:val="nl-NL"/>
        </w:rPr>
      </w:pPr>
      <w:r w:rsidRPr="00A50698">
        <w:t xml:space="preserve">INFORMATEUR, </w:t>
      </w:r>
      <w:r w:rsidRPr="00A50698">
        <w:rPr>
          <w:i/>
          <w:iCs/>
        </w:rPr>
        <w:t>Vertrouwen in de toekomst: regeerakkoord 2017-2021 VVD, CDA, D66 en ChristenUnie</w:t>
      </w:r>
      <w:r w:rsidRPr="00A50698">
        <w:t xml:space="preserve">, 10 oktober 2017, </w:t>
      </w:r>
      <w:hyperlink r:id="rId16" w:history="1">
        <w:r w:rsidRPr="00A50698">
          <w:rPr>
            <w:rStyle w:val="Hyperlink"/>
          </w:rPr>
          <w:t>https://www.kabinetsformatie2017.nl/documenten/publicaties/2017/10/10/regeerakkoord</w:t>
        </w:r>
      </w:hyperlink>
      <w:r w:rsidRPr="00A50698">
        <w:t xml:space="preserve"> (geraadpleegd op</w:t>
      </w:r>
      <w:r>
        <w:t xml:space="preserve"> 24 april 2026). </w:t>
      </w:r>
    </w:p>
    <w:p w14:paraId="47404604" w14:textId="77777777" w:rsidR="00387986" w:rsidRPr="00965761" w:rsidRDefault="00387986" w:rsidP="00387986">
      <w:pPr>
        <w:pStyle w:val="12ptvoor"/>
        <w:rPr>
          <w:u w:val="single"/>
        </w:rPr>
      </w:pPr>
    </w:p>
    <w:p w14:paraId="5C003ADF" w14:textId="07CAD30F" w:rsidR="002A37B0" w:rsidRPr="00F920E9" w:rsidRDefault="002A37B0" w:rsidP="00387986">
      <w:pPr>
        <w:pStyle w:val="12ptvoor"/>
        <w:rPr>
          <w:u w:val="single"/>
          <w:lang w:val="de-LI"/>
        </w:rPr>
      </w:pPr>
      <w:r w:rsidRPr="00F920E9">
        <w:rPr>
          <w:u w:val="single"/>
          <w:lang w:val="de-LI"/>
        </w:rPr>
        <w:t>DUITSLAND</w:t>
      </w:r>
    </w:p>
    <w:p w14:paraId="198ACE4A" w14:textId="50197BCE" w:rsidR="00C73AB0" w:rsidRPr="00F920E9" w:rsidRDefault="00C73AB0" w:rsidP="00387986">
      <w:pPr>
        <w:pStyle w:val="12ptvoor"/>
        <w:rPr>
          <w:u w:val="single"/>
          <w:lang w:val="de-LI"/>
        </w:rPr>
      </w:pPr>
      <w:proofErr w:type="spellStart"/>
      <w:r w:rsidRPr="00F920E9">
        <w:rPr>
          <w:u w:val="single"/>
          <w:lang w:val="de-LI"/>
        </w:rPr>
        <w:t>Wetgeving</w:t>
      </w:r>
      <w:proofErr w:type="spellEnd"/>
    </w:p>
    <w:p w14:paraId="167CA361" w14:textId="1E5A3362" w:rsidR="00131C8B" w:rsidRPr="00F920E9" w:rsidRDefault="00131C8B" w:rsidP="007B1437">
      <w:pPr>
        <w:pStyle w:val="12ptvoor"/>
        <w:spacing w:line="360" w:lineRule="auto"/>
        <w:rPr>
          <w:lang w:val="de-LI"/>
        </w:rPr>
      </w:pPr>
      <w:r w:rsidRPr="00F920E9">
        <w:rPr>
          <w:lang w:val="de-LI"/>
        </w:rPr>
        <w:t xml:space="preserve">Gesetz zur Verbesserung der betrieblichen Altersversorgung van 19 </w:t>
      </w:r>
      <w:proofErr w:type="spellStart"/>
      <w:r w:rsidRPr="00F920E9">
        <w:rPr>
          <w:lang w:val="de-LI"/>
        </w:rPr>
        <w:t>december</w:t>
      </w:r>
      <w:proofErr w:type="spellEnd"/>
      <w:r w:rsidRPr="00F920E9">
        <w:rPr>
          <w:lang w:val="de-LI"/>
        </w:rPr>
        <w:t xml:space="preserve"> 1974, BGB1.I 1974, 3610. </w:t>
      </w:r>
    </w:p>
    <w:p w14:paraId="74453B62" w14:textId="759CABED" w:rsidR="00A66045" w:rsidRPr="00F920E9" w:rsidRDefault="00A66045" w:rsidP="007B1437">
      <w:pPr>
        <w:pStyle w:val="12ptvoor"/>
        <w:spacing w:line="360" w:lineRule="auto"/>
        <w:rPr>
          <w:lang w:val="de-LI"/>
        </w:rPr>
      </w:pPr>
      <w:r w:rsidRPr="00F920E9">
        <w:rPr>
          <w:lang w:val="de-LI"/>
        </w:rPr>
        <w:t xml:space="preserve">Gesetz zur </w:t>
      </w:r>
      <w:r w:rsidR="00131C8B" w:rsidRPr="00F920E9">
        <w:rPr>
          <w:lang w:val="de-LI"/>
        </w:rPr>
        <w:t>Vereinheitlichung der Kündigungsfristen vom 7 Oktober 1993, BGB1, I, S.1668.</w:t>
      </w:r>
    </w:p>
    <w:p w14:paraId="731A47A2" w14:textId="77777777" w:rsidR="00C73AB0" w:rsidRPr="00F920E9" w:rsidRDefault="00C73AB0" w:rsidP="007B1437">
      <w:pPr>
        <w:pStyle w:val="12ptvoor"/>
        <w:spacing w:line="360" w:lineRule="auto"/>
        <w:rPr>
          <w:u w:val="single"/>
          <w:lang w:val="de-LI"/>
        </w:rPr>
      </w:pPr>
    </w:p>
    <w:p w14:paraId="3E4A7F2E" w14:textId="76A6527F" w:rsidR="00C73AB0" w:rsidRPr="00F920E9" w:rsidRDefault="00C73AB0" w:rsidP="007B1437">
      <w:pPr>
        <w:pStyle w:val="12ptvoor"/>
        <w:spacing w:line="360" w:lineRule="auto"/>
        <w:rPr>
          <w:u w:val="single"/>
          <w:lang w:val="de-LI"/>
        </w:rPr>
      </w:pPr>
      <w:proofErr w:type="spellStart"/>
      <w:r w:rsidRPr="00F920E9">
        <w:rPr>
          <w:u w:val="single"/>
          <w:lang w:val="de-LI"/>
        </w:rPr>
        <w:t>Parlementaire</w:t>
      </w:r>
      <w:proofErr w:type="spellEnd"/>
      <w:r w:rsidRPr="00F920E9">
        <w:rPr>
          <w:u w:val="single"/>
          <w:lang w:val="de-LI"/>
        </w:rPr>
        <w:t xml:space="preserve"> </w:t>
      </w:r>
      <w:proofErr w:type="spellStart"/>
      <w:r w:rsidRPr="00F920E9">
        <w:rPr>
          <w:u w:val="single"/>
          <w:lang w:val="de-LI"/>
        </w:rPr>
        <w:t>stukken</w:t>
      </w:r>
      <w:proofErr w:type="spellEnd"/>
    </w:p>
    <w:p w14:paraId="67DB9160" w14:textId="6092A15C" w:rsidR="00B5790F" w:rsidRDefault="007B1437" w:rsidP="007B1437">
      <w:pPr>
        <w:pStyle w:val="12ptvoor"/>
        <w:spacing w:line="360" w:lineRule="auto"/>
      </w:pPr>
      <w:r w:rsidRPr="00F920E9">
        <w:rPr>
          <w:lang w:val="de-LI"/>
        </w:rPr>
        <w:t xml:space="preserve">BUNDESMINISTERIUM DER FINANZEN, 'Die zweite Betriebsrentenstärkungsgesetz: Schritte zu einer höheren Verbreitung und höheren Renditen', </w:t>
      </w:r>
      <w:r w:rsidRPr="00F920E9">
        <w:rPr>
          <w:i/>
          <w:iCs/>
          <w:lang w:val="de-LI"/>
        </w:rPr>
        <w:t>BMF Monatsbericht</w:t>
      </w:r>
      <w:r w:rsidRPr="00F920E9">
        <w:rPr>
          <w:lang w:val="de-LI"/>
        </w:rPr>
        <w:t xml:space="preserve"> 23. </w:t>
      </w:r>
      <w:r w:rsidRPr="007B1437">
        <w:t xml:space="preserve">September 2025, </w:t>
      </w:r>
      <w:hyperlink r:id="rId17" w:history="1">
        <w:r w:rsidRPr="007B1437">
          <w:rPr>
            <w:rStyle w:val="Hyperlink"/>
          </w:rPr>
          <w:t>https://www.bundesministerium.de/Monatsberichte/2025/09/…</w:t>
        </w:r>
      </w:hyperlink>
      <w:r w:rsidRPr="007B1437">
        <w:t xml:space="preserve"> (geraadpleegd op 22 april 2026)</w:t>
      </w:r>
    </w:p>
    <w:p w14:paraId="59889448" w14:textId="77777777" w:rsidR="00C73AB0" w:rsidRDefault="00C73AB0" w:rsidP="007B1437">
      <w:pPr>
        <w:pStyle w:val="12ptvoor"/>
        <w:spacing w:line="360" w:lineRule="auto"/>
      </w:pPr>
    </w:p>
    <w:p w14:paraId="026D13F6" w14:textId="3087688F" w:rsidR="00C73AB0" w:rsidRDefault="008754EC" w:rsidP="007B1437">
      <w:pPr>
        <w:pStyle w:val="12ptvoor"/>
        <w:spacing w:line="360" w:lineRule="auto"/>
        <w:rPr>
          <w:u w:val="single"/>
          <w:lang w:val="nl-NL"/>
        </w:rPr>
      </w:pPr>
      <w:r>
        <w:rPr>
          <w:u w:val="single"/>
          <w:lang w:val="nl-NL"/>
        </w:rPr>
        <w:t>EU</w:t>
      </w:r>
    </w:p>
    <w:p w14:paraId="3F5D191E" w14:textId="6A582942" w:rsidR="00093162" w:rsidRPr="008754EC" w:rsidRDefault="00151333" w:rsidP="007B1437">
      <w:pPr>
        <w:pStyle w:val="12ptvoor"/>
        <w:spacing w:line="360" w:lineRule="auto"/>
        <w:rPr>
          <w:lang w:val="nl-NL"/>
        </w:rPr>
      </w:pPr>
      <w:r>
        <w:rPr>
          <w:lang w:val="nl-NL"/>
        </w:rPr>
        <w:t xml:space="preserve">Richtlijn 2000/78/EG van de Raad van 27 november 2000 tot instelling van een algemeen kader voor gelijke behandeling in arbeid en beroep, </w:t>
      </w:r>
      <w:r w:rsidR="00E1315F">
        <w:rPr>
          <w:lang w:val="nl-NL"/>
        </w:rPr>
        <w:t>PB L 303, 2 december 2000.</w:t>
      </w:r>
      <w:r w:rsidR="00553853">
        <w:rPr>
          <w:lang w:val="nl-NL"/>
        </w:rPr>
        <w:br w:type="page"/>
      </w:r>
    </w:p>
    <w:p w14:paraId="1E2B40A4" w14:textId="0017DBB5" w:rsidR="00D37FB3" w:rsidRDefault="00D37FB3" w:rsidP="00D37FB3">
      <w:pPr>
        <w:pStyle w:val="Kop3"/>
        <w:rPr>
          <w:b/>
          <w:bCs/>
          <w:u w:val="single"/>
          <w:lang w:val="nl-NL"/>
        </w:rPr>
      </w:pPr>
      <w:bookmarkStart w:id="113" w:name="_Toc228784146"/>
      <w:r>
        <w:rPr>
          <w:b/>
          <w:bCs/>
          <w:u w:val="single"/>
          <w:lang w:val="nl-NL"/>
        </w:rPr>
        <w:t>Rechtspraak</w:t>
      </w:r>
      <w:bookmarkEnd w:id="113"/>
    </w:p>
    <w:p w14:paraId="0D8F8883" w14:textId="046FA800" w:rsidR="00887231" w:rsidRDefault="00F27969" w:rsidP="00887231">
      <w:pPr>
        <w:pStyle w:val="Randnummer"/>
        <w:numPr>
          <w:ilvl w:val="0"/>
          <w:numId w:val="0"/>
        </w:numPr>
        <w:ind w:left="357" w:hanging="357"/>
        <w:rPr>
          <w:u w:val="single"/>
          <w:lang w:val="nl-NL"/>
        </w:rPr>
      </w:pPr>
      <w:r>
        <w:rPr>
          <w:u w:val="single"/>
          <w:lang w:val="nl-NL"/>
        </w:rPr>
        <w:t>BELGIË</w:t>
      </w:r>
    </w:p>
    <w:p w14:paraId="16318FC7" w14:textId="7DD9F738" w:rsidR="00F27969" w:rsidRDefault="00815592" w:rsidP="00887231">
      <w:pPr>
        <w:pStyle w:val="Randnummer"/>
        <w:numPr>
          <w:ilvl w:val="0"/>
          <w:numId w:val="0"/>
        </w:numPr>
        <w:ind w:left="357" w:hanging="357"/>
        <w:rPr>
          <w:lang w:val="nl-NL"/>
        </w:rPr>
      </w:pPr>
      <w:proofErr w:type="spellStart"/>
      <w:r>
        <w:rPr>
          <w:lang w:val="nl-NL"/>
        </w:rPr>
        <w:t>Arbitragehof</w:t>
      </w:r>
      <w:proofErr w:type="spellEnd"/>
      <w:r>
        <w:rPr>
          <w:lang w:val="nl-NL"/>
        </w:rPr>
        <w:t xml:space="preserve"> 8 juli 1993, nr. 56/93.</w:t>
      </w:r>
    </w:p>
    <w:p w14:paraId="22235C48" w14:textId="3DC790EA" w:rsidR="00815592" w:rsidRDefault="00815592" w:rsidP="005C0A29">
      <w:pPr>
        <w:pStyle w:val="12ptvoor"/>
        <w:rPr>
          <w:lang w:val="nl-NL"/>
        </w:rPr>
      </w:pPr>
      <w:proofErr w:type="spellStart"/>
      <w:r>
        <w:rPr>
          <w:lang w:val="nl-NL"/>
        </w:rPr>
        <w:t>Arbitragehof</w:t>
      </w:r>
      <w:proofErr w:type="spellEnd"/>
      <w:r>
        <w:rPr>
          <w:lang w:val="nl-NL"/>
        </w:rPr>
        <w:t xml:space="preserve"> 21 juni 2001, nr. 84/2001.</w:t>
      </w:r>
    </w:p>
    <w:p w14:paraId="71C08C75" w14:textId="77777777" w:rsidR="005C0A29" w:rsidRDefault="005C0A29" w:rsidP="005C0A29">
      <w:pPr>
        <w:pStyle w:val="12ptvoor"/>
      </w:pPr>
      <w:proofErr w:type="spellStart"/>
      <w:r>
        <w:t>GwH</w:t>
      </w:r>
      <w:proofErr w:type="spellEnd"/>
      <w:r>
        <w:t xml:space="preserve"> 7 juli 2011, </w:t>
      </w:r>
      <w:r>
        <w:rPr>
          <w:i/>
          <w:iCs/>
        </w:rPr>
        <w:t xml:space="preserve">RW 2011-12, </w:t>
      </w:r>
      <w:r>
        <w:t>VERSTRAELEN S., ‘Toen barstte de bom: het Grondwettelijk Hof handhaaft in een prejudicieel arrest de gevolgen van een vastgestelde ongrondwettigheid’;</w:t>
      </w:r>
      <w:r w:rsidRPr="00EF64E9">
        <w:t xml:space="preserve"> </w:t>
      </w:r>
      <w:r>
        <w:t>Wetsontwerp betreffende de invoering van een eenheidsstatuut tussen arbeiders en bedienden inzake de opzeggingstermijnen en de carensdag en begeleidende maatregelen</w:t>
      </w:r>
      <w:r w:rsidRPr="00B03C6F">
        <w:t xml:space="preserve"> </w:t>
      </w:r>
    </w:p>
    <w:p w14:paraId="2445CDD7" w14:textId="0195FABB" w:rsidR="00815592" w:rsidRDefault="00B03C6F" w:rsidP="005C0A29">
      <w:pPr>
        <w:pStyle w:val="12ptvoor"/>
      </w:pPr>
      <w:proofErr w:type="spellStart"/>
      <w:r w:rsidRPr="00B03C6F">
        <w:t>GwH</w:t>
      </w:r>
      <w:proofErr w:type="spellEnd"/>
      <w:r w:rsidRPr="00B03C6F">
        <w:t xml:space="preserve"> 14 november 2024, nr. 122/2024, ECLI:BE:GHCC:2024:ARR.122, </w:t>
      </w:r>
      <w:r w:rsidRPr="00B03C6F">
        <w:rPr>
          <w:i/>
          <w:iCs/>
        </w:rPr>
        <w:t xml:space="preserve">NJW </w:t>
      </w:r>
      <w:r w:rsidRPr="00B03C6F">
        <w:t>2025/516, 121, noot DE WIL</w:t>
      </w:r>
      <w:r>
        <w:t>DE I.</w:t>
      </w:r>
    </w:p>
    <w:p w14:paraId="61DCFF59" w14:textId="77777777" w:rsidR="00D10B0A" w:rsidRDefault="00D10B0A" w:rsidP="005C0A29">
      <w:pPr>
        <w:pStyle w:val="12ptvoor"/>
      </w:pPr>
    </w:p>
    <w:p w14:paraId="26FA5991" w14:textId="4A104E5B" w:rsidR="00D10B0A" w:rsidRDefault="00D10B0A" w:rsidP="005C0A29">
      <w:pPr>
        <w:pStyle w:val="12ptvoor"/>
        <w:rPr>
          <w:u w:val="single"/>
        </w:rPr>
      </w:pPr>
      <w:r>
        <w:rPr>
          <w:u w:val="single"/>
        </w:rPr>
        <w:t>LUXEMBURG</w:t>
      </w:r>
    </w:p>
    <w:p w14:paraId="00220E28" w14:textId="77777777" w:rsidR="00D10B0A" w:rsidRPr="00965761" w:rsidRDefault="00D10B0A" w:rsidP="00D10B0A">
      <w:pPr>
        <w:pStyle w:val="Voetnoottekst"/>
        <w:rPr>
          <w:sz w:val="24"/>
          <w:szCs w:val="24"/>
        </w:rPr>
      </w:pPr>
    </w:p>
    <w:p w14:paraId="4AD826FD" w14:textId="7AA01D04" w:rsidR="00D10B0A" w:rsidRPr="00D10B0A" w:rsidRDefault="00D10B0A" w:rsidP="00D10B0A">
      <w:pPr>
        <w:pStyle w:val="Voetnoottekst"/>
        <w:rPr>
          <w:sz w:val="24"/>
          <w:szCs w:val="24"/>
          <w:lang w:val="fr-BE"/>
        </w:rPr>
      </w:pPr>
      <w:r w:rsidRPr="00D10B0A">
        <w:rPr>
          <w:sz w:val="24"/>
          <w:szCs w:val="24"/>
          <w:lang w:val="fr-BE"/>
        </w:rPr>
        <w:t>Arrêt Cour Constitutionnelle du</w:t>
      </w:r>
      <w:r w:rsidR="005B1C8D">
        <w:rPr>
          <w:sz w:val="24"/>
          <w:szCs w:val="24"/>
          <w:lang w:val="fr-BE"/>
        </w:rPr>
        <w:t xml:space="preserve"> </w:t>
      </w:r>
      <w:r w:rsidRPr="00D10B0A">
        <w:rPr>
          <w:sz w:val="24"/>
          <w:szCs w:val="24"/>
          <w:lang w:val="fr-BE"/>
        </w:rPr>
        <w:t>18 juin 2004, 21/04 Mémorial A116, 12 juillet 2004, 1766.</w:t>
      </w:r>
    </w:p>
    <w:p w14:paraId="72A9C623" w14:textId="77777777" w:rsidR="00945D82" w:rsidRPr="00D10B0A" w:rsidRDefault="00945D82" w:rsidP="00887231">
      <w:pPr>
        <w:pStyle w:val="Randnummer"/>
        <w:numPr>
          <w:ilvl w:val="0"/>
          <w:numId w:val="0"/>
        </w:numPr>
        <w:ind w:left="357" w:hanging="357"/>
        <w:rPr>
          <w:lang w:val="fr-BE"/>
        </w:rPr>
      </w:pPr>
    </w:p>
    <w:p w14:paraId="095F8B57" w14:textId="0026821A" w:rsidR="00945D82" w:rsidRPr="00F920E9" w:rsidRDefault="00945D82" w:rsidP="00887231">
      <w:pPr>
        <w:pStyle w:val="Randnummer"/>
        <w:numPr>
          <w:ilvl w:val="0"/>
          <w:numId w:val="0"/>
        </w:numPr>
        <w:ind w:left="357" w:hanging="357"/>
        <w:rPr>
          <w:u w:val="single"/>
          <w:lang w:val="de-LI"/>
        </w:rPr>
      </w:pPr>
      <w:r w:rsidRPr="00F920E9">
        <w:rPr>
          <w:u w:val="single"/>
          <w:lang w:val="de-LI"/>
        </w:rPr>
        <w:t>DUITSLAND</w:t>
      </w:r>
    </w:p>
    <w:p w14:paraId="3ACD4FBE" w14:textId="3AE10E7A" w:rsidR="00945D82" w:rsidRPr="00F920E9" w:rsidRDefault="00945D82" w:rsidP="00887231">
      <w:pPr>
        <w:pStyle w:val="Randnummer"/>
        <w:numPr>
          <w:ilvl w:val="0"/>
          <w:numId w:val="0"/>
        </w:numPr>
        <w:ind w:left="357" w:hanging="357"/>
        <w:rPr>
          <w:lang w:val="de-LI"/>
        </w:rPr>
      </w:pPr>
      <w:r w:rsidRPr="00F920E9">
        <w:rPr>
          <w:lang w:val="de-LI"/>
        </w:rPr>
        <w:t xml:space="preserve">BVerfG 30 Mai 1990, NJW 1990, 2246. </w:t>
      </w:r>
    </w:p>
    <w:p w14:paraId="3C14F24C" w14:textId="77777777" w:rsidR="00BE1515" w:rsidRPr="00F920E9" w:rsidRDefault="00BE1515" w:rsidP="00887231">
      <w:pPr>
        <w:pStyle w:val="Randnummer"/>
        <w:numPr>
          <w:ilvl w:val="0"/>
          <w:numId w:val="0"/>
        </w:numPr>
        <w:ind w:left="357" w:hanging="357"/>
        <w:rPr>
          <w:lang w:val="de-LI"/>
        </w:rPr>
      </w:pPr>
    </w:p>
    <w:p w14:paraId="1F600D0E" w14:textId="3A85FCEF" w:rsidR="00815592" w:rsidRPr="00F920E9" w:rsidRDefault="00815592" w:rsidP="00887231">
      <w:pPr>
        <w:pStyle w:val="Randnummer"/>
        <w:numPr>
          <w:ilvl w:val="0"/>
          <w:numId w:val="0"/>
        </w:numPr>
        <w:ind w:left="357" w:hanging="357"/>
        <w:rPr>
          <w:u w:val="single"/>
          <w:lang w:val="de-LI"/>
        </w:rPr>
      </w:pPr>
      <w:r w:rsidRPr="00F920E9">
        <w:rPr>
          <w:u w:val="single"/>
          <w:lang w:val="de-LI"/>
        </w:rPr>
        <w:t>E</w:t>
      </w:r>
      <w:r w:rsidR="00472079" w:rsidRPr="00F920E9">
        <w:rPr>
          <w:u w:val="single"/>
          <w:lang w:val="de-LI"/>
        </w:rPr>
        <w:t>HRM</w:t>
      </w:r>
    </w:p>
    <w:p w14:paraId="2E7A8585" w14:textId="2FE937DD" w:rsidR="00945D82" w:rsidRPr="00945D82" w:rsidRDefault="00945D82" w:rsidP="00D04790">
      <w:pPr>
        <w:pStyle w:val="Randnummer"/>
        <w:numPr>
          <w:ilvl w:val="0"/>
          <w:numId w:val="0"/>
        </w:numPr>
        <w:ind w:left="357" w:hanging="357"/>
        <w:rPr>
          <w:i/>
          <w:iCs/>
        </w:rPr>
      </w:pPr>
      <w:r w:rsidRPr="00F920E9">
        <w:rPr>
          <w:lang w:val="de-LI"/>
        </w:rPr>
        <w:t xml:space="preserve">EHRM </w:t>
      </w:r>
      <w:proofErr w:type="spellStart"/>
      <w:r w:rsidRPr="00F920E9">
        <w:rPr>
          <w:lang w:val="de-LI"/>
        </w:rPr>
        <w:t>besl</w:t>
      </w:r>
      <w:proofErr w:type="spellEnd"/>
      <w:r w:rsidRPr="00F920E9">
        <w:rPr>
          <w:lang w:val="de-LI"/>
        </w:rPr>
        <w:t xml:space="preserve">. </w:t>
      </w:r>
      <w:r>
        <w:t xml:space="preserve">16 maart 2000, </w:t>
      </w:r>
      <w:r>
        <w:rPr>
          <w:i/>
          <w:iCs/>
        </w:rPr>
        <w:t>Walden t. Liechtenstein</w:t>
      </w:r>
    </w:p>
    <w:p w14:paraId="1DDF5741" w14:textId="1B4107CA" w:rsidR="00945D82" w:rsidRDefault="00815592" w:rsidP="00D04790">
      <w:pPr>
        <w:pStyle w:val="Randnummer"/>
        <w:numPr>
          <w:ilvl w:val="0"/>
          <w:numId w:val="0"/>
        </w:numPr>
        <w:ind w:left="357" w:hanging="357"/>
        <w:rPr>
          <w:i/>
          <w:iCs/>
        </w:rPr>
      </w:pPr>
      <w:r w:rsidRPr="00472079">
        <w:t>EHRM 12 april 2005</w:t>
      </w:r>
      <w:r w:rsidR="00472079" w:rsidRPr="00472079">
        <w:t xml:space="preserve">, </w:t>
      </w:r>
      <w:proofErr w:type="spellStart"/>
      <w:r w:rsidR="00472079" w:rsidRPr="00472079">
        <w:rPr>
          <w:i/>
          <w:iCs/>
        </w:rPr>
        <w:t>Stec</w:t>
      </w:r>
      <w:proofErr w:type="spellEnd"/>
      <w:r w:rsidR="00472079" w:rsidRPr="00472079">
        <w:rPr>
          <w:i/>
          <w:iCs/>
        </w:rPr>
        <w:t xml:space="preserve"> e</w:t>
      </w:r>
      <w:r w:rsidR="00F71C95">
        <w:rPr>
          <w:i/>
          <w:iCs/>
        </w:rPr>
        <w:t>.</w:t>
      </w:r>
      <w:r w:rsidR="00472079" w:rsidRPr="00472079">
        <w:rPr>
          <w:i/>
          <w:iCs/>
        </w:rPr>
        <w:t>a./Verenig</w:t>
      </w:r>
      <w:r w:rsidR="00472079">
        <w:rPr>
          <w:i/>
          <w:iCs/>
        </w:rPr>
        <w:t>d Koninkrijk</w:t>
      </w:r>
    </w:p>
    <w:p w14:paraId="74011659" w14:textId="2110D59B" w:rsidR="00D04790" w:rsidRPr="00472079" w:rsidRDefault="00D04790" w:rsidP="00D04790">
      <w:pPr>
        <w:pStyle w:val="Randnummer"/>
        <w:numPr>
          <w:ilvl w:val="0"/>
          <w:numId w:val="0"/>
        </w:numPr>
        <w:ind w:left="357" w:hanging="357"/>
        <w:rPr>
          <w:i/>
          <w:iCs/>
        </w:rPr>
      </w:pPr>
      <w:r>
        <w:rPr>
          <w:i/>
          <w:iCs/>
        </w:rPr>
        <w:br w:type="page"/>
      </w:r>
    </w:p>
    <w:p w14:paraId="78238DC4" w14:textId="38BACE68" w:rsidR="00D37FB3" w:rsidRDefault="00D37FB3" w:rsidP="00D37FB3">
      <w:pPr>
        <w:pStyle w:val="Kop3"/>
        <w:ind w:left="0" w:firstLine="0"/>
        <w:rPr>
          <w:b/>
          <w:bCs/>
          <w:u w:val="single"/>
          <w:lang w:val="nl-NL"/>
        </w:rPr>
      </w:pPr>
      <w:bookmarkStart w:id="114" w:name="_Toc228784147"/>
      <w:r>
        <w:rPr>
          <w:b/>
          <w:bCs/>
          <w:u w:val="single"/>
          <w:lang w:val="nl-NL"/>
        </w:rPr>
        <w:t>Rechtsleer</w:t>
      </w:r>
      <w:bookmarkEnd w:id="114"/>
    </w:p>
    <w:p w14:paraId="74C366AC" w14:textId="5094AF1A" w:rsidR="0014459B" w:rsidRDefault="0014459B" w:rsidP="0014459B">
      <w:pPr>
        <w:pStyle w:val="Randnummer"/>
        <w:numPr>
          <w:ilvl w:val="0"/>
          <w:numId w:val="0"/>
        </w:numPr>
        <w:ind w:left="357" w:hanging="357"/>
        <w:rPr>
          <w:u w:val="single"/>
          <w:lang w:val="nl-NL"/>
        </w:rPr>
      </w:pPr>
      <w:r>
        <w:rPr>
          <w:u w:val="single"/>
          <w:lang w:val="nl-NL"/>
        </w:rPr>
        <w:t>BELGIË</w:t>
      </w:r>
    </w:p>
    <w:p w14:paraId="608C8619" w14:textId="4712DFB9" w:rsidR="004440B6" w:rsidRDefault="004440B6" w:rsidP="0014459B">
      <w:pPr>
        <w:pStyle w:val="Randnummer"/>
        <w:numPr>
          <w:ilvl w:val="0"/>
          <w:numId w:val="0"/>
        </w:numPr>
        <w:ind w:left="357" w:hanging="357"/>
        <w:rPr>
          <w:u w:val="single"/>
          <w:lang w:val="nl-NL"/>
        </w:rPr>
      </w:pPr>
      <w:r>
        <w:rPr>
          <w:u w:val="single"/>
          <w:lang w:val="nl-NL"/>
        </w:rPr>
        <w:t>Boeken</w:t>
      </w:r>
    </w:p>
    <w:p w14:paraId="530BA761" w14:textId="595E06B7" w:rsidR="0014459B" w:rsidRDefault="0014459B" w:rsidP="00864505">
      <w:pPr>
        <w:pStyle w:val="12ptvoor"/>
      </w:pPr>
      <w:r w:rsidRPr="00EF64E9">
        <w:t>ANKAERT E., PLETS I. en</w:t>
      </w:r>
      <w:r>
        <w:t xml:space="preserve"> DE JONGHE M. e.a., </w:t>
      </w:r>
      <w:r w:rsidRPr="00545903">
        <w:rPr>
          <w:i/>
          <w:iCs/>
        </w:rPr>
        <w:t>10 jaar Wet Eenheidsstatuut, Beëindiging arbeidsovereenkomsten onbepaalde duur sinds de Wet Eenheidsstatuut: duidelijke regels en oude/nieuwe discussiepunten</w:t>
      </w:r>
      <w:r>
        <w:t xml:space="preserve">, </w:t>
      </w:r>
      <w:r w:rsidR="0056668E">
        <w:t>d</w:t>
      </w:r>
      <w:r>
        <w:t xml:space="preserve">ie </w:t>
      </w:r>
      <w:proofErr w:type="spellStart"/>
      <w:r>
        <w:t>Keure</w:t>
      </w:r>
      <w:proofErr w:type="spellEnd"/>
      <w:r>
        <w:t>, 2024.</w:t>
      </w:r>
    </w:p>
    <w:p w14:paraId="19C9C211" w14:textId="6705DAC4" w:rsidR="004440B6" w:rsidRDefault="00892673" w:rsidP="0014459B">
      <w:pPr>
        <w:pStyle w:val="Randnummer"/>
        <w:numPr>
          <w:ilvl w:val="0"/>
          <w:numId w:val="0"/>
        </w:numPr>
        <w:ind w:left="357" w:hanging="357"/>
      </w:pPr>
      <w:r>
        <w:t xml:space="preserve">BLANPAIN R., </w:t>
      </w:r>
      <w:r>
        <w:rPr>
          <w:i/>
          <w:iCs/>
        </w:rPr>
        <w:t xml:space="preserve">Sire, zijn er domme werknemers in ons land?, </w:t>
      </w:r>
      <w:r>
        <w:t xml:space="preserve">die </w:t>
      </w:r>
      <w:proofErr w:type="spellStart"/>
      <w:r>
        <w:t>Keure</w:t>
      </w:r>
      <w:proofErr w:type="spellEnd"/>
      <w:r>
        <w:t xml:space="preserve">, 2001. </w:t>
      </w:r>
    </w:p>
    <w:p w14:paraId="18081D1F" w14:textId="7B19F98F" w:rsidR="00F716E9" w:rsidRPr="00B06FCB" w:rsidRDefault="00F716E9" w:rsidP="00DB74E0">
      <w:pPr>
        <w:pStyle w:val="12ptvoor"/>
      </w:pPr>
      <w:r w:rsidRPr="00B06FCB">
        <w:t xml:space="preserve">CRIEL P. en LEGARDIEN C., </w:t>
      </w:r>
      <w:r w:rsidRPr="00B06FCB">
        <w:rPr>
          <w:i/>
          <w:iCs/>
        </w:rPr>
        <w:t xml:space="preserve">Het eenheidsstatuut, </w:t>
      </w:r>
      <w:r w:rsidRPr="00B06FCB">
        <w:t>Kluwer, 2014.</w:t>
      </w:r>
    </w:p>
    <w:p w14:paraId="2DB4E5D5" w14:textId="5EBEA424" w:rsidR="00F716E9" w:rsidRDefault="00F716E9" w:rsidP="00DB74E0">
      <w:pPr>
        <w:pStyle w:val="12ptvoor"/>
      </w:pPr>
      <w:r>
        <w:t xml:space="preserve">DE BRABANTER V., GIESELINCK G., PETRY V., ROELS P. en STEVENS Y., </w:t>
      </w:r>
      <w:r>
        <w:rPr>
          <w:i/>
          <w:iCs/>
        </w:rPr>
        <w:t xml:space="preserve">Aanvullende pensioenen voor werknemers, </w:t>
      </w:r>
      <w:r>
        <w:t>Kluwer, 2004</w:t>
      </w:r>
      <w:r w:rsidR="00BF12DB">
        <w:t>.</w:t>
      </w:r>
    </w:p>
    <w:p w14:paraId="461FAAB2" w14:textId="5C55F9AD" w:rsidR="00F716E9" w:rsidRDefault="00F716E9" w:rsidP="00DB74E0">
      <w:pPr>
        <w:pStyle w:val="12ptvoor"/>
      </w:pPr>
      <w:r w:rsidRPr="00F716E9">
        <w:t>DE CORTE R. en DE GROOT</w:t>
      </w:r>
      <w:r>
        <w:t xml:space="preserve">E B., </w:t>
      </w:r>
      <w:r>
        <w:rPr>
          <w:i/>
          <w:iCs/>
        </w:rPr>
        <w:t xml:space="preserve">Het eenheidsstatuut arbeiders-bedienden: gevolgen voor overheidswerkgevers, </w:t>
      </w:r>
      <w:proofErr w:type="spellStart"/>
      <w:r>
        <w:t>Politeia</w:t>
      </w:r>
      <w:proofErr w:type="spellEnd"/>
      <w:r>
        <w:t>, 2014.</w:t>
      </w:r>
    </w:p>
    <w:p w14:paraId="79CE36E8" w14:textId="7F9475F5" w:rsidR="00F716E9" w:rsidRDefault="00993550" w:rsidP="00DB74E0">
      <w:pPr>
        <w:pStyle w:val="12ptvoor"/>
      </w:pPr>
      <w:r>
        <w:t xml:space="preserve">DE SOMVIELE I. en VAN DAMME A., </w:t>
      </w:r>
      <w:r>
        <w:rPr>
          <w:i/>
          <w:iCs/>
        </w:rPr>
        <w:t xml:space="preserve">Aanvullende pensioenen: een basishandleiding, </w:t>
      </w:r>
      <w:r>
        <w:t>Wolters Kluwer, 2016.</w:t>
      </w:r>
    </w:p>
    <w:p w14:paraId="6B50DCD4" w14:textId="04B0D595" w:rsidR="00993550" w:rsidRDefault="00EF5B84" w:rsidP="00DB74E0">
      <w:pPr>
        <w:pStyle w:val="12ptvoor"/>
      </w:pPr>
      <w:r>
        <w:t xml:space="preserve">DE WORTELAER J., </w:t>
      </w:r>
      <w:r>
        <w:rPr>
          <w:i/>
          <w:iCs/>
        </w:rPr>
        <w:t xml:space="preserve">De wet van 26 december 2013 betreffende het eenheidsstatuut, </w:t>
      </w:r>
      <w:r>
        <w:t>Kluwer; 2014.</w:t>
      </w:r>
    </w:p>
    <w:p w14:paraId="6BC57D20" w14:textId="6A86E915" w:rsidR="00EF0669" w:rsidRPr="00EF0669" w:rsidRDefault="00EF0669" w:rsidP="00DB74E0">
      <w:pPr>
        <w:pStyle w:val="12ptvoor"/>
      </w:pPr>
      <w:r>
        <w:t xml:space="preserve">DE WILDE I. en WEEMAES J., </w:t>
      </w:r>
      <w:r>
        <w:rPr>
          <w:i/>
          <w:iCs/>
        </w:rPr>
        <w:t xml:space="preserve">Het eenheidsstatuut arbeiders-bedienden (gevolgen voor overheidswerkgevers), </w:t>
      </w:r>
      <w:proofErr w:type="spellStart"/>
      <w:r w:rsidR="0013544E">
        <w:t>Politeia</w:t>
      </w:r>
      <w:proofErr w:type="spellEnd"/>
      <w:r w:rsidR="0013544E">
        <w:t>, 2014.</w:t>
      </w:r>
    </w:p>
    <w:p w14:paraId="4FFD1F9E" w14:textId="5807AFF3" w:rsidR="00EF5B84" w:rsidRDefault="00EF5B84" w:rsidP="00DB74E0">
      <w:pPr>
        <w:pStyle w:val="12ptvoor"/>
        <w:rPr>
          <w:lang w:val="fr-BE"/>
        </w:rPr>
      </w:pPr>
      <w:r w:rsidRPr="00B02648">
        <w:rPr>
          <w:lang w:val="fr-BE"/>
        </w:rPr>
        <w:t>DE</w:t>
      </w:r>
      <w:r w:rsidR="00B02648" w:rsidRPr="00B02648">
        <w:rPr>
          <w:lang w:val="fr-BE"/>
        </w:rPr>
        <w:t xml:space="preserve">VOET C., </w:t>
      </w:r>
      <w:r w:rsidR="00B02648" w:rsidRPr="00B02648">
        <w:rPr>
          <w:i/>
          <w:iCs/>
          <w:lang w:val="fr-BE"/>
        </w:rPr>
        <w:t>Répertoire pratique d</w:t>
      </w:r>
      <w:r w:rsidR="00B02648">
        <w:rPr>
          <w:i/>
          <w:iCs/>
          <w:lang w:val="fr-BE"/>
        </w:rPr>
        <w:t xml:space="preserve">u droit Belge: </w:t>
      </w:r>
      <w:r w:rsidR="00060AE2">
        <w:rPr>
          <w:i/>
          <w:iCs/>
          <w:lang w:val="fr-BE"/>
        </w:rPr>
        <w:t xml:space="preserve">Pensions complémentaires professionnelles, </w:t>
      </w:r>
      <w:r w:rsidR="00060AE2">
        <w:rPr>
          <w:lang w:val="fr-BE"/>
        </w:rPr>
        <w:t xml:space="preserve">Larcier, 2020. </w:t>
      </w:r>
    </w:p>
    <w:p w14:paraId="26EA5429" w14:textId="08BDC7CE" w:rsidR="00E732CF" w:rsidRPr="00E732CF" w:rsidRDefault="00E732CF" w:rsidP="00DB74E0">
      <w:pPr>
        <w:pStyle w:val="12ptvoor"/>
      </w:pPr>
      <w:r>
        <w:t xml:space="preserve">GIESELINK G., PEETERS H., VAN GESTEL V., BERGHMAN J. en VAN BUGGENHOUT B., </w:t>
      </w:r>
      <w:r>
        <w:rPr>
          <w:i/>
          <w:iCs/>
        </w:rPr>
        <w:t xml:space="preserve">Onzichtbare pensioenen in België. Een onderzoek naar de aard, de omvang en de verdeling van de tweede en derde pensioenpijler, </w:t>
      </w:r>
      <w:proofErr w:type="spellStart"/>
      <w:r>
        <w:t>Academia</w:t>
      </w:r>
      <w:proofErr w:type="spellEnd"/>
      <w:r>
        <w:t xml:space="preserve"> Press, 2003.</w:t>
      </w:r>
    </w:p>
    <w:p w14:paraId="767B6244" w14:textId="0D1E21E9" w:rsidR="00060AE2" w:rsidRDefault="00060AE2" w:rsidP="00DB74E0">
      <w:pPr>
        <w:pStyle w:val="12ptvoor"/>
      </w:pPr>
      <w:r w:rsidRPr="002A605E">
        <w:t xml:space="preserve">HENDRICKX </w:t>
      </w:r>
      <w:r w:rsidR="002A605E" w:rsidRPr="002A605E">
        <w:t xml:space="preserve">C., </w:t>
      </w:r>
      <w:r w:rsidR="002A605E" w:rsidRPr="002A605E">
        <w:rPr>
          <w:i/>
          <w:iCs/>
        </w:rPr>
        <w:t>Aanvullende pensioenen: ee</w:t>
      </w:r>
      <w:r w:rsidR="002A605E">
        <w:rPr>
          <w:i/>
          <w:iCs/>
        </w:rPr>
        <w:t xml:space="preserve">n fiscaal-juridische analyse vanuit Belgisch en Europees perspectief, </w:t>
      </w:r>
      <w:proofErr w:type="spellStart"/>
      <w:r w:rsidR="002A605E">
        <w:t>Larcier</w:t>
      </w:r>
      <w:proofErr w:type="spellEnd"/>
      <w:r w:rsidR="002A605E">
        <w:t xml:space="preserve">, 2018. </w:t>
      </w:r>
    </w:p>
    <w:p w14:paraId="265D1C8D" w14:textId="385162F4" w:rsidR="002A605E" w:rsidRDefault="002A605E" w:rsidP="00DB74E0">
      <w:pPr>
        <w:pStyle w:val="12ptvoor"/>
      </w:pPr>
      <w:r>
        <w:t xml:space="preserve">HEYLEN D., VERREYT I. en VERMEULEN L., </w:t>
      </w:r>
      <w:r>
        <w:rPr>
          <w:i/>
          <w:iCs/>
        </w:rPr>
        <w:t xml:space="preserve">De beëindiging van de arbeidsovereenkomst onder het eenheidsstatuut, </w:t>
      </w:r>
      <w:proofErr w:type="spellStart"/>
      <w:r>
        <w:t>Intersentia</w:t>
      </w:r>
      <w:proofErr w:type="spellEnd"/>
      <w:r>
        <w:t xml:space="preserve">, 2014. </w:t>
      </w:r>
    </w:p>
    <w:p w14:paraId="3A9650CF" w14:textId="2477DD3C" w:rsidR="002A605E" w:rsidRDefault="002A605E" w:rsidP="00DB74E0">
      <w:pPr>
        <w:pStyle w:val="12ptvoor"/>
      </w:pPr>
      <w:r>
        <w:t xml:space="preserve">HEYLEN D., MERTENS C., OPGENHAFFEN T., VAN LOOIJ J. en WIJNANTS W., </w:t>
      </w:r>
      <w:r>
        <w:rPr>
          <w:i/>
          <w:iCs/>
        </w:rPr>
        <w:t xml:space="preserve">Socialezekerheidsrecht toegepast, </w:t>
      </w:r>
      <w:proofErr w:type="spellStart"/>
      <w:r>
        <w:t>Intersentia</w:t>
      </w:r>
      <w:proofErr w:type="spellEnd"/>
      <w:r>
        <w:t xml:space="preserve">, 2023. </w:t>
      </w:r>
    </w:p>
    <w:p w14:paraId="30BA3C1E" w14:textId="254B1FC1" w:rsidR="002A605E" w:rsidRDefault="001957D0" w:rsidP="00DB74E0">
      <w:pPr>
        <w:pStyle w:val="12ptvoor"/>
      </w:pPr>
      <w:r>
        <w:t xml:space="preserve">KESTEMONT L. en SCHOUKENS P., </w:t>
      </w:r>
      <w:r>
        <w:rPr>
          <w:i/>
          <w:iCs/>
        </w:rPr>
        <w:t xml:space="preserve">Rechtswetenschappelijk schrijven, </w:t>
      </w:r>
      <w:proofErr w:type="spellStart"/>
      <w:r>
        <w:t>Acco</w:t>
      </w:r>
      <w:proofErr w:type="spellEnd"/>
      <w:r>
        <w:t xml:space="preserve">, 2021. </w:t>
      </w:r>
    </w:p>
    <w:p w14:paraId="096F21DA" w14:textId="2435111D" w:rsidR="001957D0" w:rsidRDefault="001957D0" w:rsidP="00DB74E0">
      <w:pPr>
        <w:pStyle w:val="12ptvoor"/>
      </w:pPr>
      <w:r>
        <w:t xml:space="preserve">KNOOPS S., </w:t>
      </w:r>
      <w:r>
        <w:rPr>
          <w:i/>
          <w:iCs/>
        </w:rPr>
        <w:t xml:space="preserve">De toepassing en handhaving van het gelijkheidsbeginsel bij aanvullende pensioenen, </w:t>
      </w:r>
      <w:proofErr w:type="spellStart"/>
      <w:r>
        <w:t>Intersentia</w:t>
      </w:r>
      <w:proofErr w:type="spellEnd"/>
      <w:r>
        <w:t xml:space="preserve">, 2024. </w:t>
      </w:r>
    </w:p>
    <w:p w14:paraId="4679A901" w14:textId="55A10EB0" w:rsidR="001957D0" w:rsidRDefault="00C53217" w:rsidP="00DB74E0">
      <w:pPr>
        <w:pStyle w:val="12ptvoor"/>
      </w:pPr>
      <w:r>
        <w:t xml:space="preserve">KUIP S.W., </w:t>
      </w:r>
      <w:r>
        <w:rPr>
          <w:i/>
          <w:iCs/>
        </w:rPr>
        <w:t xml:space="preserve">Ontslagrecht met bijzondere aandacht voor de dringende reden, </w:t>
      </w:r>
      <w:r>
        <w:t xml:space="preserve">Kluwer, 1993. </w:t>
      </w:r>
    </w:p>
    <w:p w14:paraId="1AEEA2B9" w14:textId="77777777" w:rsidR="00E63B38" w:rsidRDefault="00E63B38" w:rsidP="00DB74E0">
      <w:pPr>
        <w:pStyle w:val="12ptvoor"/>
      </w:pPr>
      <w:r w:rsidRPr="00E63B38">
        <w:t xml:space="preserve">MERLA C. en LAEREMANS E., </w:t>
      </w:r>
      <w:r w:rsidRPr="00E63B38">
        <w:rPr>
          <w:i/>
          <w:iCs/>
        </w:rPr>
        <w:t>De aan</w:t>
      </w:r>
      <w:r>
        <w:rPr>
          <w:i/>
          <w:iCs/>
        </w:rPr>
        <w:t xml:space="preserve">vullende pensioenen voor werknemers, </w:t>
      </w:r>
      <w:r>
        <w:t xml:space="preserve">Wolters Kluwer, 2019. </w:t>
      </w:r>
    </w:p>
    <w:p w14:paraId="374CB2F8" w14:textId="620AC159" w:rsidR="00BF618E" w:rsidRDefault="00BF618E" w:rsidP="00DB74E0">
      <w:pPr>
        <w:pStyle w:val="12ptvoor"/>
      </w:pPr>
      <w:r>
        <w:t xml:space="preserve">STEVENS Y., </w:t>
      </w:r>
      <w:r>
        <w:rPr>
          <w:i/>
          <w:iCs/>
        </w:rPr>
        <w:t xml:space="preserve">Gelijkheid en solidariteit in aanvullende werknemerspensioenen: van loon naar sociale bescherming, </w:t>
      </w:r>
      <w:proofErr w:type="spellStart"/>
      <w:r>
        <w:t>onuitg</w:t>
      </w:r>
      <w:proofErr w:type="spellEnd"/>
      <w:r>
        <w:t>. Doctoraatsthesis rechten KU Leuven, 2002.</w:t>
      </w:r>
    </w:p>
    <w:p w14:paraId="4FE551D9" w14:textId="77777777" w:rsidR="00E63B38" w:rsidRDefault="00E63B38" w:rsidP="00DB74E0">
      <w:pPr>
        <w:pStyle w:val="12ptvoor"/>
      </w:pPr>
      <w:r>
        <w:t xml:space="preserve">TIJSSEN H., </w:t>
      </w:r>
      <w:r>
        <w:rPr>
          <w:i/>
          <w:iCs/>
        </w:rPr>
        <w:t xml:space="preserve">De juridische dissertatie onder de loep, </w:t>
      </w:r>
      <w:r>
        <w:t xml:space="preserve">Boom Juridische uitgevers, 2009. </w:t>
      </w:r>
    </w:p>
    <w:p w14:paraId="2B81C5FA" w14:textId="03414B01" w:rsidR="00E63B38" w:rsidRDefault="00E63B38" w:rsidP="00DB74E0">
      <w:pPr>
        <w:pStyle w:val="12ptvoor"/>
      </w:pPr>
      <w:r>
        <w:t xml:space="preserve">VAN AGGELEN E.S., </w:t>
      </w:r>
      <w:r>
        <w:rPr>
          <w:i/>
          <w:iCs/>
        </w:rPr>
        <w:t xml:space="preserve">Het personeel toepassingsgebied van aanvullende pensioenregeling voor werknemers, </w:t>
      </w:r>
      <w:r>
        <w:t xml:space="preserve">die </w:t>
      </w:r>
      <w:proofErr w:type="spellStart"/>
      <w:r>
        <w:t>Keure</w:t>
      </w:r>
      <w:proofErr w:type="spellEnd"/>
      <w:r>
        <w:t>, 2022.</w:t>
      </w:r>
    </w:p>
    <w:p w14:paraId="3E288955" w14:textId="594838AC" w:rsidR="00D76CCC" w:rsidRDefault="00E63B38" w:rsidP="00DB74E0">
      <w:pPr>
        <w:pStyle w:val="12ptvoor"/>
      </w:pPr>
      <w:r>
        <w:t xml:space="preserve">VAN DEN BUSSCHE B., </w:t>
      </w:r>
      <w:r>
        <w:rPr>
          <w:i/>
          <w:iCs/>
        </w:rPr>
        <w:t>Alternatieve verlonings</w:t>
      </w:r>
      <w:r w:rsidR="0002304E">
        <w:rPr>
          <w:i/>
          <w:iCs/>
        </w:rPr>
        <w:t xml:space="preserve">technieken: hoe houden mijn werknemers netto meer over?, </w:t>
      </w:r>
      <w:r w:rsidR="0002304E">
        <w:t>Wolters Kluwer, 2024.</w:t>
      </w:r>
    </w:p>
    <w:p w14:paraId="1F10F55C" w14:textId="1C307A44" w:rsidR="00892673" w:rsidRDefault="00031445" w:rsidP="00DB74E0">
      <w:pPr>
        <w:pStyle w:val="12ptvoor"/>
      </w:pPr>
      <w:r>
        <w:t xml:space="preserve">VAN KERREBROECK N. en VERWILGHEN M., </w:t>
      </w:r>
      <w:r>
        <w:rPr>
          <w:i/>
          <w:iCs/>
        </w:rPr>
        <w:t xml:space="preserve">De harmonisatie van het statuut arbeider en bediende : een stand van zaken na de Wet Eenheidsstatuut, </w:t>
      </w:r>
      <w:proofErr w:type="spellStart"/>
      <w:r>
        <w:t>Intersentia</w:t>
      </w:r>
      <w:proofErr w:type="spellEnd"/>
      <w:r>
        <w:t xml:space="preserve">, 2014. </w:t>
      </w:r>
    </w:p>
    <w:p w14:paraId="572E38CC" w14:textId="3216DFA4" w:rsidR="009C163A" w:rsidRPr="00766605" w:rsidRDefault="00766605" w:rsidP="00DB74E0">
      <w:pPr>
        <w:pStyle w:val="12ptvoor"/>
      </w:pPr>
      <w:r>
        <w:t xml:space="preserve">WERBROUCK J.M., </w:t>
      </w:r>
      <w:r>
        <w:rPr>
          <w:i/>
          <w:iCs/>
        </w:rPr>
        <w:t xml:space="preserve">Het multidimensionale pensioenbegrip, </w:t>
      </w:r>
      <w:r>
        <w:t xml:space="preserve">Boom Juridisch, 2022. </w:t>
      </w:r>
    </w:p>
    <w:p w14:paraId="32B844A8" w14:textId="77777777" w:rsidR="003F119D" w:rsidRDefault="003F119D" w:rsidP="009C163A">
      <w:pPr>
        <w:pStyle w:val="12ptvoor"/>
        <w:rPr>
          <w:u w:val="single"/>
        </w:rPr>
      </w:pPr>
    </w:p>
    <w:p w14:paraId="267338E9" w14:textId="149BA93D" w:rsidR="004440B6" w:rsidRPr="0087371B" w:rsidRDefault="00A6032C" w:rsidP="009C163A">
      <w:pPr>
        <w:pStyle w:val="12ptvoor"/>
        <w:rPr>
          <w:u w:val="single"/>
          <w:lang w:val="fr-BE"/>
        </w:rPr>
      </w:pPr>
      <w:proofErr w:type="spellStart"/>
      <w:r w:rsidRPr="0087371B">
        <w:rPr>
          <w:u w:val="single"/>
          <w:lang w:val="fr-BE"/>
        </w:rPr>
        <w:t>Verzamelwerken</w:t>
      </w:r>
      <w:proofErr w:type="spellEnd"/>
    </w:p>
    <w:p w14:paraId="77F0A27F" w14:textId="7E8A77FF" w:rsidR="00A6032C" w:rsidRDefault="00A6032C" w:rsidP="009C163A">
      <w:pPr>
        <w:pStyle w:val="12ptvoor"/>
        <w:rPr>
          <w:lang w:val="fr-BE"/>
        </w:rPr>
      </w:pPr>
      <w:r w:rsidRPr="00E1199B">
        <w:rPr>
          <w:lang w:val="fr-BE"/>
        </w:rPr>
        <w:t>CLESSE J. en MORTIER A</w:t>
      </w:r>
      <w:r>
        <w:rPr>
          <w:lang w:val="fr-BE"/>
        </w:rPr>
        <w:t>., ‘La loi du 12 avril 2011. Une étape vers l’abolition de la distinction entre ouvriers et employés in CLESSE J. en DUMONT M. (</w:t>
      </w:r>
      <w:proofErr w:type="spellStart"/>
      <w:r>
        <w:rPr>
          <w:lang w:val="fr-BE"/>
        </w:rPr>
        <w:t>eds</w:t>
      </w:r>
      <w:proofErr w:type="spellEnd"/>
      <w:r>
        <w:rPr>
          <w:lang w:val="fr-BE"/>
        </w:rPr>
        <w:t xml:space="preserve">.), </w:t>
      </w:r>
      <w:r>
        <w:rPr>
          <w:i/>
          <w:iCs/>
          <w:lang w:val="fr-BE"/>
        </w:rPr>
        <w:t xml:space="preserve">Questions choisies de droit social: CUP 133, </w:t>
      </w:r>
      <w:proofErr w:type="spellStart"/>
      <w:r>
        <w:rPr>
          <w:lang w:val="fr-BE"/>
        </w:rPr>
        <w:t>Anthemis</w:t>
      </w:r>
      <w:proofErr w:type="spellEnd"/>
      <w:r>
        <w:rPr>
          <w:lang w:val="fr-BE"/>
        </w:rPr>
        <w:t xml:space="preserve">, 2012, 13. </w:t>
      </w:r>
    </w:p>
    <w:p w14:paraId="474BE7FE" w14:textId="77777777" w:rsidR="00A6032C" w:rsidRPr="002F73AA" w:rsidRDefault="00A6032C" w:rsidP="009C163A">
      <w:pPr>
        <w:pStyle w:val="12ptvoor"/>
      </w:pPr>
      <w:r>
        <w:t xml:space="preserve">DE BROECK G., ‘De wet van 3 juli 1978 en de toenadering van de statuten van werkman en bediende’ in X (ed.), </w:t>
      </w:r>
      <w:r>
        <w:rPr>
          <w:i/>
          <w:iCs/>
        </w:rPr>
        <w:t xml:space="preserve">Handleiding bij de wet van 3 juli 1978 betreffende de arbeidsovereenkomsten: analyse en commentaar, </w:t>
      </w:r>
      <w:r>
        <w:t>Kluwer, 1979. 9.</w:t>
      </w:r>
    </w:p>
    <w:p w14:paraId="7BDD5867" w14:textId="77777777" w:rsidR="00A6032C" w:rsidRPr="00BF12DB" w:rsidRDefault="00A6032C" w:rsidP="009C163A">
      <w:pPr>
        <w:pStyle w:val="12ptvoor"/>
      </w:pPr>
      <w:r>
        <w:t xml:space="preserve">DE VOS M., ‘Het </w:t>
      </w:r>
      <w:proofErr w:type="spellStart"/>
      <w:r>
        <w:t>arbitragehof</w:t>
      </w:r>
      <w:proofErr w:type="spellEnd"/>
      <w:r>
        <w:t xml:space="preserve"> en het arbeidsrecht’ in RIGAUX M. en HUMBLET P. (</w:t>
      </w:r>
      <w:proofErr w:type="spellStart"/>
      <w:r>
        <w:t>eds</w:t>
      </w:r>
      <w:proofErr w:type="spellEnd"/>
      <w:r>
        <w:t xml:space="preserve">.), </w:t>
      </w:r>
      <w:r>
        <w:rPr>
          <w:i/>
          <w:iCs/>
        </w:rPr>
        <w:t xml:space="preserve">Actuele problemen van het arbeidsrecht 6, </w:t>
      </w:r>
      <w:proofErr w:type="spellStart"/>
      <w:r>
        <w:t>Intersentia</w:t>
      </w:r>
      <w:proofErr w:type="spellEnd"/>
      <w:r>
        <w:t>, 2001, 89.</w:t>
      </w:r>
    </w:p>
    <w:p w14:paraId="06F49D47" w14:textId="77777777" w:rsidR="00A6032C" w:rsidRPr="00930475" w:rsidRDefault="00A6032C" w:rsidP="009C163A">
      <w:pPr>
        <w:pStyle w:val="12ptvoor"/>
      </w:pPr>
      <w:r w:rsidRPr="00930475">
        <w:t>DERDE I., ‘Het eenheidsstatuut’ in O</w:t>
      </w:r>
      <w:r>
        <w:t xml:space="preserve">RDE VAN ADVOCATEN TE KORTRIJK (ed.), </w:t>
      </w:r>
      <w:r>
        <w:rPr>
          <w:i/>
          <w:iCs/>
        </w:rPr>
        <w:t xml:space="preserve">Sociaal en arbeidsrecht, </w:t>
      </w:r>
      <w:proofErr w:type="spellStart"/>
      <w:r>
        <w:t>Intersentia</w:t>
      </w:r>
      <w:proofErr w:type="spellEnd"/>
      <w:r>
        <w:t xml:space="preserve">, 2014, 3. </w:t>
      </w:r>
    </w:p>
    <w:p w14:paraId="196473EE" w14:textId="6EF295C9" w:rsidR="00A6032C" w:rsidRDefault="00A6032C" w:rsidP="009C163A">
      <w:pPr>
        <w:pStyle w:val="12ptvoor"/>
        <w:rPr>
          <w:lang w:val="fr-BE"/>
        </w:rPr>
      </w:pPr>
      <w:r>
        <w:rPr>
          <w:lang w:val="fr-BE"/>
        </w:rPr>
        <w:t xml:space="preserve">DOYEN P., ‘Origines de la loi du 8 juin 1999 et évolutions’ in BERNS L., BLEY P. en CONTRERAS A. e.a., </w:t>
      </w:r>
      <w:r>
        <w:rPr>
          <w:i/>
          <w:iCs/>
          <w:lang w:val="fr-BE"/>
        </w:rPr>
        <w:t xml:space="preserve">Régimes complémentaires de pension au Luxembourg: Bilan et perspectives dix ans après la loi-cadre, </w:t>
      </w:r>
      <w:proofErr w:type="spellStart"/>
      <w:r>
        <w:rPr>
          <w:lang w:val="fr-BE"/>
        </w:rPr>
        <w:t>Anthemis</w:t>
      </w:r>
      <w:proofErr w:type="spellEnd"/>
      <w:r>
        <w:rPr>
          <w:lang w:val="fr-BE"/>
        </w:rPr>
        <w:t>, 2009, 20.</w:t>
      </w:r>
    </w:p>
    <w:p w14:paraId="3DC03F89" w14:textId="77777777" w:rsidR="00A6032C" w:rsidRDefault="00A6032C" w:rsidP="009C163A">
      <w:pPr>
        <w:pStyle w:val="12ptvoor"/>
      </w:pPr>
      <w:r w:rsidRPr="00D07D18">
        <w:t xml:space="preserve">GHISLAIN S., ‘Bijlage 5 – Proces van </w:t>
      </w:r>
      <w:r>
        <w:t>harmonisatie tussen arbeiders en bedienden inzake aanvullende pensioenen’ in VAN KERREBROECK N. en VERWILGHEN M. (</w:t>
      </w:r>
      <w:proofErr w:type="spellStart"/>
      <w:r>
        <w:t>eds</w:t>
      </w:r>
      <w:proofErr w:type="spellEnd"/>
      <w:r>
        <w:t xml:space="preserve">.), </w:t>
      </w:r>
      <w:r>
        <w:rPr>
          <w:i/>
          <w:iCs/>
        </w:rPr>
        <w:t xml:space="preserve">De harmonisatie van het statuut arbeider en bediende, </w:t>
      </w:r>
      <w:proofErr w:type="spellStart"/>
      <w:r>
        <w:t>Larcier</w:t>
      </w:r>
      <w:proofErr w:type="spellEnd"/>
      <w:r>
        <w:t>, 2014, 280.</w:t>
      </w:r>
    </w:p>
    <w:p w14:paraId="13524EF4" w14:textId="77777777" w:rsidR="00A6032C" w:rsidRDefault="00A6032C" w:rsidP="009C163A">
      <w:pPr>
        <w:pStyle w:val="12ptvoor"/>
        <w:rPr>
          <w:lang w:val="en-GB"/>
        </w:rPr>
      </w:pPr>
      <w:r w:rsidRPr="009D6A37">
        <w:rPr>
          <w:lang w:val="en-GB"/>
        </w:rPr>
        <w:t>HAJDÚ J., ‘Social Partners’ involv</w:t>
      </w:r>
      <w:r>
        <w:rPr>
          <w:lang w:val="en-GB"/>
        </w:rPr>
        <w:t xml:space="preserve">ement in the EU-level social policy issues, focusing on pensions and unemployment’ in TER HAAR B. </w:t>
      </w:r>
      <w:proofErr w:type="spellStart"/>
      <w:r>
        <w:rPr>
          <w:lang w:val="en-GB"/>
        </w:rPr>
        <w:t>en</w:t>
      </w:r>
      <w:proofErr w:type="spellEnd"/>
      <w:r>
        <w:rPr>
          <w:lang w:val="en-GB"/>
        </w:rPr>
        <w:t xml:space="preserve"> KUN A. (eds.), </w:t>
      </w:r>
      <w:r>
        <w:rPr>
          <w:i/>
          <w:iCs/>
          <w:lang w:val="en-GB"/>
        </w:rPr>
        <w:t xml:space="preserve">EU collective labour law, </w:t>
      </w:r>
      <w:r>
        <w:rPr>
          <w:lang w:val="en-GB"/>
        </w:rPr>
        <w:t xml:space="preserve">Edward Elgar, 2021, 215. </w:t>
      </w:r>
    </w:p>
    <w:p w14:paraId="011F2A67" w14:textId="6220D728" w:rsidR="00B75A53" w:rsidRPr="00B75A53" w:rsidRDefault="00B75A53" w:rsidP="009C163A">
      <w:pPr>
        <w:pStyle w:val="12ptvoor"/>
      </w:pPr>
      <w:r w:rsidRPr="00B75A53">
        <w:t>HENDRICKX C. en VANDENDIJK M</w:t>
      </w:r>
      <w:r>
        <w:t xml:space="preserve">., </w:t>
      </w:r>
      <w:r>
        <w:rPr>
          <w:i/>
          <w:iCs/>
        </w:rPr>
        <w:t xml:space="preserve">Aanvullende pensioenen, </w:t>
      </w:r>
      <w:proofErr w:type="spellStart"/>
      <w:r>
        <w:t>Larcier</w:t>
      </w:r>
      <w:proofErr w:type="spellEnd"/>
      <w:r>
        <w:t>, 2017.</w:t>
      </w:r>
    </w:p>
    <w:p w14:paraId="14E243B3" w14:textId="22078056" w:rsidR="00A6032C" w:rsidRPr="00A6032C" w:rsidRDefault="00A6032C" w:rsidP="009C163A">
      <w:pPr>
        <w:pStyle w:val="12ptvoor"/>
      </w:pPr>
      <w:r>
        <w:t xml:space="preserve">PETRY V. en DE VREESE J., ‘Aanvullende pensioenen voor werknemers: een tango met drie’ in VAN GYSEGEM J. (ed.), </w:t>
      </w:r>
      <w:r>
        <w:rPr>
          <w:i/>
          <w:iCs/>
        </w:rPr>
        <w:t xml:space="preserve">De Wet Aanvullende Pensioenen is 10 jaar oud, </w:t>
      </w:r>
      <w:r>
        <w:t>Kluwer, 2014, 14.</w:t>
      </w:r>
    </w:p>
    <w:p w14:paraId="34143CA2" w14:textId="77777777" w:rsidR="00A6032C" w:rsidRDefault="00A6032C" w:rsidP="009C163A">
      <w:pPr>
        <w:pStyle w:val="12ptvoor"/>
      </w:pPr>
      <w:r>
        <w:t xml:space="preserve">RAUWS W., ‘De toekomst van het arbeidsovereenkomstenrecht’ in DEBAENST B. (ed.), </w:t>
      </w:r>
      <w:r>
        <w:rPr>
          <w:i/>
          <w:iCs/>
        </w:rPr>
        <w:t xml:space="preserve">Van statuut tot contract: de arbeidsovereenkomst in België vanuit rechtshistorisch perspectief, </w:t>
      </w:r>
      <w:r>
        <w:t xml:space="preserve">die </w:t>
      </w:r>
      <w:proofErr w:type="spellStart"/>
      <w:r>
        <w:t>Keure</w:t>
      </w:r>
      <w:proofErr w:type="spellEnd"/>
      <w:r>
        <w:t>, 2013, 144.</w:t>
      </w:r>
    </w:p>
    <w:p w14:paraId="0766DF35" w14:textId="77777777" w:rsidR="00A6032C" w:rsidRDefault="00A6032C" w:rsidP="009C163A">
      <w:pPr>
        <w:pStyle w:val="12ptvoor"/>
      </w:pPr>
      <w:r>
        <w:t xml:space="preserve">STEVENS Y. en VAN BUGGENHOUT B., ‘Gelijke beloning en aanvullende regelingen voor sociale zekerheid’ in VANACHTER O. (ed.), </w:t>
      </w:r>
      <w:r>
        <w:rPr>
          <w:i/>
          <w:iCs/>
        </w:rPr>
        <w:t xml:space="preserve">Gelijke behandeling en arbeidsverhoudingen, </w:t>
      </w:r>
      <w:proofErr w:type="spellStart"/>
      <w:r>
        <w:t>Intersentia</w:t>
      </w:r>
      <w:proofErr w:type="spellEnd"/>
      <w:r>
        <w:t xml:space="preserve">, 1999, 120. </w:t>
      </w:r>
    </w:p>
    <w:p w14:paraId="7F9B655C" w14:textId="25B5D54D" w:rsidR="00D52ACF" w:rsidRDefault="00D52ACF" w:rsidP="009C163A">
      <w:pPr>
        <w:pStyle w:val="12ptvoor"/>
      </w:pPr>
      <w:r>
        <w:t xml:space="preserve">STEVENS Y., ‘Deel III. Aanvullende pensioenen’ in PUT J., VERDEYEN V. en STEVENS Y., </w:t>
      </w:r>
      <w:r>
        <w:rPr>
          <w:i/>
          <w:iCs/>
        </w:rPr>
        <w:t xml:space="preserve">Praktijkboek sociale zekerheid. Voor de onderneming en de sociale adviseur, </w:t>
      </w:r>
      <w:r>
        <w:t>Kluwer, 2018, 71.</w:t>
      </w:r>
    </w:p>
    <w:p w14:paraId="76451E5F" w14:textId="5E8357D2" w:rsidR="00A6032C" w:rsidRPr="00F40871" w:rsidRDefault="00F40871" w:rsidP="009C163A">
      <w:pPr>
        <w:pStyle w:val="12ptvoor"/>
      </w:pPr>
      <w:r>
        <w:t>STEVENS Y., ‘Groeipijnen en uitdagingen van de aanvullende pensioenen in België’ in BARBAIX R., WEYTS B. en WUYTS D. (</w:t>
      </w:r>
      <w:proofErr w:type="spellStart"/>
      <w:r>
        <w:t>eds</w:t>
      </w:r>
      <w:proofErr w:type="spellEnd"/>
      <w:r>
        <w:t xml:space="preserve">.), </w:t>
      </w:r>
      <w:r>
        <w:rPr>
          <w:i/>
          <w:iCs/>
        </w:rPr>
        <w:t xml:space="preserve">De groepsverzekering als aanvullend pensioen, </w:t>
      </w:r>
      <w:proofErr w:type="spellStart"/>
      <w:r>
        <w:t>Intersentia</w:t>
      </w:r>
      <w:proofErr w:type="spellEnd"/>
      <w:r>
        <w:t>, 2014, 1.</w:t>
      </w:r>
    </w:p>
    <w:p w14:paraId="41E3CB79" w14:textId="77777777" w:rsidR="005272E8" w:rsidRDefault="005272E8" w:rsidP="005272E8">
      <w:pPr>
        <w:pStyle w:val="12ptvoor"/>
      </w:pPr>
      <w:r>
        <w:t>VAN LIMBERGHEN G., ‘In min of in meer: wettelijke en aanvullende pensioenen’ in VAN EECKHOUTTE W. en RIGUAX M; (</w:t>
      </w:r>
      <w:proofErr w:type="spellStart"/>
      <w:r>
        <w:t>eds</w:t>
      </w:r>
      <w:proofErr w:type="spellEnd"/>
      <w:r>
        <w:t xml:space="preserve">.), </w:t>
      </w:r>
      <w:r>
        <w:rPr>
          <w:i/>
          <w:iCs/>
        </w:rPr>
        <w:t xml:space="preserve">Sociaal recht: niets dan uitdagingen: postuniversitaire cyclus W. </w:t>
      </w:r>
      <w:proofErr w:type="spellStart"/>
      <w:r>
        <w:rPr>
          <w:i/>
          <w:iCs/>
        </w:rPr>
        <w:t>Delva</w:t>
      </w:r>
      <w:proofErr w:type="spellEnd"/>
      <w:r>
        <w:rPr>
          <w:i/>
          <w:iCs/>
        </w:rPr>
        <w:t xml:space="preserve"> 1995-1996, </w:t>
      </w:r>
      <w:proofErr w:type="spellStart"/>
      <w:r>
        <w:t>Mys</w:t>
      </w:r>
      <w:proofErr w:type="spellEnd"/>
      <w:r>
        <w:t xml:space="preserve"> en </w:t>
      </w:r>
      <w:proofErr w:type="spellStart"/>
      <w:r>
        <w:t>Breesch</w:t>
      </w:r>
      <w:proofErr w:type="spellEnd"/>
      <w:r>
        <w:t>, 1996, 609.</w:t>
      </w:r>
    </w:p>
    <w:p w14:paraId="5B01A969" w14:textId="77777777" w:rsidR="005272E8" w:rsidRDefault="005272E8" w:rsidP="005272E8">
      <w:pPr>
        <w:pStyle w:val="12ptvoor"/>
      </w:pPr>
      <w:r>
        <w:t>VANDENBERGEN A. en WERNIERS A., ‘Inspraak van de werknemers en transparantie: moet iedereen een pensioenexpert zijn of hebben?’ in DE RIDDER C., DE VREES J., DUDEN E. e.a. (</w:t>
      </w:r>
      <w:proofErr w:type="spellStart"/>
      <w:r>
        <w:t>eds</w:t>
      </w:r>
      <w:proofErr w:type="spellEnd"/>
      <w:r>
        <w:t xml:space="preserve">.), </w:t>
      </w:r>
      <w:r>
        <w:rPr>
          <w:i/>
          <w:iCs/>
        </w:rPr>
        <w:t xml:space="preserve">De wet aanvullende pensioenen is 10 jaar oud, </w:t>
      </w:r>
      <w:r>
        <w:t xml:space="preserve">Wolters Kluwer, 2014, 161. </w:t>
      </w:r>
    </w:p>
    <w:p w14:paraId="69CD13C8" w14:textId="77777777" w:rsidR="005272E8" w:rsidRPr="00A721AE" w:rsidRDefault="005272E8" w:rsidP="005272E8">
      <w:pPr>
        <w:pStyle w:val="12ptvoor"/>
        <w:rPr>
          <w:lang w:val="fr-BE"/>
        </w:rPr>
      </w:pPr>
      <w:r w:rsidRPr="00A721AE">
        <w:rPr>
          <w:lang w:val="fr-BE"/>
        </w:rPr>
        <w:t>VIÉRIN T., RYSSELINCK V. en STEISEL M., ‘Le statut un</w:t>
      </w:r>
      <w:r>
        <w:rPr>
          <w:lang w:val="fr-BE"/>
        </w:rPr>
        <w:t>ique – Promesse de changements’ in VANNES V. en LAGASSE F. (</w:t>
      </w:r>
      <w:proofErr w:type="spellStart"/>
      <w:r>
        <w:rPr>
          <w:lang w:val="fr-BE"/>
        </w:rPr>
        <w:t>eds</w:t>
      </w:r>
      <w:proofErr w:type="spellEnd"/>
      <w:r>
        <w:rPr>
          <w:lang w:val="fr-BE"/>
        </w:rPr>
        <w:t xml:space="preserve">.), </w:t>
      </w:r>
      <w:r>
        <w:rPr>
          <w:i/>
          <w:iCs/>
          <w:lang w:val="fr-BE"/>
        </w:rPr>
        <w:t xml:space="preserve">Le point sur les différents aspects pressants des relations individuelles et collectives de travail, </w:t>
      </w:r>
      <w:proofErr w:type="spellStart"/>
      <w:r>
        <w:rPr>
          <w:lang w:val="fr-BE"/>
        </w:rPr>
        <w:t>Edi.Pro</w:t>
      </w:r>
      <w:proofErr w:type="spellEnd"/>
      <w:r>
        <w:rPr>
          <w:lang w:val="fr-BE"/>
        </w:rPr>
        <w:t>, 2017,17.</w:t>
      </w:r>
    </w:p>
    <w:p w14:paraId="6A6E2952" w14:textId="77777777" w:rsidR="00A6032C" w:rsidRPr="005272E8" w:rsidRDefault="00A6032C" w:rsidP="009C163A">
      <w:pPr>
        <w:pStyle w:val="12ptvoor"/>
        <w:rPr>
          <w:lang w:val="fr-BE"/>
        </w:rPr>
      </w:pPr>
    </w:p>
    <w:p w14:paraId="2DF656CD" w14:textId="4E6E6918" w:rsidR="00A6032C" w:rsidRPr="009C163A" w:rsidRDefault="004440B6" w:rsidP="009C163A">
      <w:pPr>
        <w:pStyle w:val="12ptvoor"/>
        <w:rPr>
          <w:u w:val="single"/>
        </w:rPr>
      </w:pPr>
      <w:r w:rsidRPr="009C163A">
        <w:rPr>
          <w:u w:val="single"/>
        </w:rPr>
        <w:t>Tijdschriften</w:t>
      </w:r>
    </w:p>
    <w:p w14:paraId="54541B3D" w14:textId="70F5C95E" w:rsidR="00233095" w:rsidRDefault="00233095" w:rsidP="009C163A">
      <w:pPr>
        <w:pStyle w:val="12ptvoor"/>
      </w:pPr>
      <w:r>
        <w:t xml:space="preserve">BAERT M., ‘Het toepassingsgebied van de overgangsregeling uit de wet eenheidsstatuut’, </w:t>
      </w:r>
      <w:r>
        <w:rPr>
          <w:i/>
          <w:iCs/>
        </w:rPr>
        <w:t xml:space="preserve">RABG </w:t>
      </w:r>
      <w:r>
        <w:t>2022/14-15, 1068.</w:t>
      </w:r>
    </w:p>
    <w:p w14:paraId="7F762D0C" w14:textId="59A9AFBA" w:rsidR="001875AD" w:rsidRPr="001875AD" w:rsidRDefault="001875AD" w:rsidP="009C163A">
      <w:pPr>
        <w:pStyle w:val="12ptvoor"/>
      </w:pPr>
      <w:r>
        <w:t xml:space="preserve">BAYART C., ‘De opmars van het discriminatierecht in arbeidsverhoudingen. Europees discriminatierecht van de tweede generatie en aandachtspunten voor de Belgische wetgever bij de implementatie in de Belgische rechtsorde’, </w:t>
      </w:r>
      <w:r>
        <w:rPr>
          <w:i/>
          <w:iCs/>
        </w:rPr>
        <w:t xml:space="preserve">JTT </w:t>
      </w:r>
      <w:r>
        <w:t>2002, 31</w:t>
      </w:r>
      <w:r w:rsidR="00B52E10">
        <w:t>4.</w:t>
      </w:r>
    </w:p>
    <w:p w14:paraId="331A71C8" w14:textId="74BB6665" w:rsidR="004440B6" w:rsidRDefault="004440B6" w:rsidP="009C163A">
      <w:pPr>
        <w:pStyle w:val="12ptvoor"/>
      </w:pPr>
      <w:r w:rsidRPr="004440B6">
        <w:t xml:space="preserve">BERGHMAN J., PEETERS H., MUTSAERTS A., D'HOINE P. en PATTYN B., 'De pensioenbescherming in België: overzicht en uitdagingen', </w:t>
      </w:r>
      <w:r w:rsidRPr="004440B6">
        <w:rPr>
          <w:i/>
          <w:iCs/>
        </w:rPr>
        <w:t>BTSZ</w:t>
      </w:r>
      <w:r w:rsidRPr="004440B6">
        <w:t xml:space="preserve"> 2012, 99.</w:t>
      </w:r>
    </w:p>
    <w:p w14:paraId="1D13DC4B" w14:textId="77777777" w:rsidR="00CE2A5C" w:rsidRPr="000A171B" w:rsidRDefault="00CE2A5C" w:rsidP="009C163A">
      <w:pPr>
        <w:pStyle w:val="12ptvoor"/>
      </w:pPr>
      <w:r>
        <w:t xml:space="preserve">BERGHMAN J. en PEETERS H., ‘De drie pijlers van het Belgische pensioenlandschap. Overzicht en uitdagingen, </w:t>
      </w:r>
      <w:r>
        <w:rPr>
          <w:i/>
          <w:iCs/>
        </w:rPr>
        <w:t>BTSZ</w:t>
      </w:r>
      <w:r>
        <w:t xml:space="preserve"> 2012/54, 5.</w:t>
      </w:r>
    </w:p>
    <w:p w14:paraId="39A57F5D" w14:textId="5AFA0990" w:rsidR="00CE2A5C" w:rsidRDefault="00C1290C" w:rsidP="009C163A">
      <w:pPr>
        <w:pStyle w:val="12ptvoor"/>
      </w:pPr>
      <w:r>
        <w:t xml:space="preserve">BORTELS H., ‘Het Grondwettelijk Hof, een buitengewone wetgever’, </w:t>
      </w:r>
      <w:r>
        <w:rPr>
          <w:i/>
          <w:iCs/>
        </w:rPr>
        <w:t xml:space="preserve">TBP </w:t>
      </w:r>
      <w:r>
        <w:t xml:space="preserve">2012, 42. </w:t>
      </w:r>
    </w:p>
    <w:p w14:paraId="50D0517C" w14:textId="1EE2C71E" w:rsidR="00C1290C" w:rsidRDefault="00C1290C" w:rsidP="009C163A">
      <w:pPr>
        <w:pStyle w:val="12ptvoor"/>
      </w:pPr>
      <w:r w:rsidRPr="00C1290C">
        <w:t>CATTOIR H. en TRUYERS A., ‘Verandering</w:t>
      </w:r>
      <w:r>
        <w:t xml:space="preserve">en in het landschap van de paritaire comités – Vervanging van het paritair comité nr. 218 door het paritair comité nr. 200 per 1 april 2015’, </w:t>
      </w:r>
      <w:r>
        <w:rPr>
          <w:i/>
          <w:iCs/>
        </w:rPr>
        <w:t xml:space="preserve">Or. </w:t>
      </w:r>
      <w:r>
        <w:t xml:space="preserve">2015/4, 74. </w:t>
      </w:r>
    </w:p>
    <w:p w14:paraId="681E33D0" w14:textId="6B719561" w:rsidR="006C2CCB" w:rsidRDefault="006C2CCB" w:rsidP="00CE2A5C">
      <w:pPr>
        <w:pStyle w:val="Randnummer"/>
        <w:numPr>
          <w:ilvl w:val="0"/>
          <w:numId w:val="0"/>
        </w:numPr>
      </w:pPr>
      <w:r>
        <w:t xml:space="preserve">CUYPERS D., ‘Het onderscheid tussen werklieden en bedienden’ </w:t>
      </w:r>
      <w:r>
        <w:rPr>
          <w:i/>
          <w:iCs/>
        </w:rPr>
        <w:t xml:space="preserve">Or. </w:t>
      </w:r>
      <w:r>
        <w:t xml:space="preserve">2014/6, 151. </w:t>
      </w:r>
    </w:p>
    <w:p w14:paraId="38EA066C" w14:textId="02E004E7" w:rsidR="00EB2940" w:rsidRDefault="00B75A53" w:rsidP="00CE2A5C">
      <w:pPr>
        <w:pStyle w:val="Randnummer"/>
        <w:numPr>
          <w:ilvl w:val="0"/>
          <w:numId w:val="0"/>
        </w:numPr>
      </w:pPr>
      <w:r w:rsidRPr="00B95CF9">
        <w:t xml:space="preserve">CUYPERS D., ’15 jaar grondwettelijke kritiek op het onderscheid tussen werklieden en bedienden. Stand van zaken’ </w:t>
      </w:r>
      <w:r w:rsidRPr="00B95CF9">
        <w:rPr>
          <w:i/>
          <w:iCs/>
        </w:rPr>
        <w:t xml:space="preserve">Soc. Kron. </w:t>
      </w:r>
      <w:r w:rsidRPr="00B95CF9">
        <w:t>2009, afl. 7, (357) 360</w:t>
      </w:r>
      <w:r>
        <w:t>.</w:t>
      </w:r>
    </w:p>
    <w:p w14:paraId="133D86EB" w14:textId="3370AAE0" w:rsidR="001E5D04" w:rsidRDefault="001E5D04" w:rsidP="00CE2A5C">
      <w:pPr>
        <w:pStyle w:val="Randnummer"/>
        <w:numPr>
          <w:ilvl w:val="0"/>
          <w:numId w:val="0"/>
        </w:numPr>
      </w:pPr>
      <w:r>
        <w:t xml:space="preserve">DE SOMVIELE I., ‘PC 200 effent pad voor harmonisatietraject arbeiders en bedienden’, </w:t>
      </w:r>
      <w:r>
        <w:rPr>
          <w:i/>
          <w:iCs/>
        </w:rPr>
        <w:t xml:space="preserve">Life &amp; Benefits </w:t>
      </w:r>
      <w:r>
        <w:t>2019, afl. 10, 6.</w:t>
      </w:r>
    </w:p>
    <w:p w14:paraId="40CE3533" w14:textId="62A455BD" w:rsidR="00B52E10" w:rsidRPr="00B52E10" w:rsidRDefault="00B52E10" w:rsidP="00CE2A5C">
      <w:pPr>
        <w:pStyle w:val="Randnummer"/>
        <w:numPr>
          <w:ilvl w:val="0"/>
          <w:numId w:val="0"/>
        </w:numPr>
      </w:pPr>
      <w:r w:rsidRPr="00B52E10">
        <w:t>DE SOMVIELE I., ‘Cruciale sectorale onderhan</w:t>
      </w:r>
      <w:r>
        <w:t xml:space="preserve">delingen voor het eenheidsstatuut op het vlak van aanvullende pensioenen’, </w:t>
      </w:r>
      <w:r>
        <w:rPr>
          <w:i/>
          <w:iCs/>
        </w:rPr>
        <w:t xml:space="preserve">Or. </w:t>
      </w:r>
      <w:r>
        <w:t>2019</w:t>
      </w:r>
      <w:r w:rsidR="009F5FEB">
        <w:t>, afl. 2, 41.</w:t>
      </w:r>
    </w:p>
    <w:p w14:paraId="70A581FA" w14:textId="65DE0587" w:rsidR="00B75A53" w:rsidRDefault="00B75A53" w:rsidP="00CE2A5C">
      <w:pPr>
        <w:pStyle w:val="Randnummer"/>
        <w:numPr>
          <w:ilvl w:val="0"/>
          <w:numId w:val="0"/>
        </w:numPr>
      </w:pPr>
      <w:r w:rsidRPr="005F05F5">
        <w:t xml:space="preserve">DE SOMVIELE I. en VAN DAMME A., ‘In 10 jaar tijd naar een eenheidsstatuut op vlak van aanvullende pensioenen’, </w:t>
      </w:r>
      <w:r w:rsidRPr="005F05F5">
        <w:rPr>
          <w:i/>
          <w:iCs/>
        </w:rPr>
        <w:t>Or</w:t>
      </w:r>
      <w:r>
        <w:rPr>
          <w:i/>
          <w:iCs/>
        </w:rPr>
        <w:t>.</w:t>
      </w:r>
      <w:r w:rsidRPr="005F05F5">
        <w:rPr>
          <w:i/>
          <w:iCs/>
        </w:rPr>
        <w:t xml:space="preserve"> </w:t>
      </w:r>
      <w:r w:rsidRPr="005F05F5">
        <w:t>2014, afl. 6, 151</w:t>
      </w:r>
      <w:r>
        <w:t>.</w:t>
      </w:r>
    </w:p>
    <w:p w14:paraId="6A170014" w14:textId="6B7AE56C" w:rsidR="006C2CCB" w:rsidRDefault="006C2CCB" w:rsidP="00CE2A5C">
      <w:pPr>
        <w:pStyle w:val="Randnummer"/>
        <w:numPr>
          <w:ilvl w:val="0"/>
          <w:numId w:val="0"/>
        </w:numPr>
      </w:pPr>
      <w:r>
        <w:t xml:space="preserve">DE WILDE I., ‘Geleidelijke harmonisering onderscheid arbeiders en bedienden uit Wet Aanvullende Pensioenen niet ongrondwettig’, </w:t>
      </w:r>
      <w:r>
        <w:rPr>
          <w:i/>
          <w:iCs/>
        </w:rPr>
        <w:t xml:space="preserve">NJW </w:t>
      </w:r>
      <w:r w:rsidR="004B2353">
        <w:t>2025</w:t>
      </w:r>
      <w:r w:rsidR="00545903">
        <w:t>/</w:t>
      </w:r>
      <w:r w:rsidR="004B2353">
        <w:t>516,124</w:t>
      </w:r>
      <w:r w:rsidR="00023B90">
        <w:t xml:space="preserve"> </w:t>
      </w:r>
    </w:p>
    <w:p w14:paraId="166B5EB6" w14:textId="2636E516" w:rsidR="00C353D9" w:rsidRDefault="00406747" w:rsidP="00CE2A5C">
      <w:pPr>
        <w:pStyle w:val="Randnummer"/>
        <w:numPr>
          <w:ilvl w:val="0"/>
          <w:numId w:val="0"/>
        </w:numPr>
        <w:rPr>
          <w:lang w:val="fr-BE"/>
        </w:rPr>
      </w:pPr>
      <w:r w:rsidRPr="00406747">
        <w:rPr>
          <w:lang w:val="fr-BE"/>
        </w:rPr>
        <w:t>DELOGNE F., ‘Régimes complémentaires d</w:t>
      </w:r>
      <w:r>
        <w:rPr>
          <w:lang w:val="fr-BE"/>
        </w:rPr>
        <w:t>e pension (2</w:t>
      </w:r>
      <w:r w:rsidRPr="00406747">
        <w:rPr>
          <w:vertAlign w:val="superscript"/>
          <w:lang w:val="fr-BE"/>
        </w:rPr>
        <w:t>e</w:t>
      </w:r>
      <w:r>
        <w:rPr>
          <w:lang w:val="fr-BE"/>
        </w:rPr>
        <w:t xml:space="preserve"> partie)</w:t>
      </w:r>
      <w:r w:rsidR="00575A93">
        <w:rPr>
          <w:lang w:val="fr-BE"/>
        </w:rPr>
        <w:t>:</w:t>
      </w:r>
      <w:r>
        <w:rPr>
          <w:lang w:val="fr-BE"/>
        </w:rPr>
        <w:t xml:space="preserve"> statut unique ouvriers/employés et informations des alliés sur leurs droits à pension’, </w:t>
      </w:r>
      <w:proofErr w:type="spellStart"/>
      <w:r>
        <w:rPr>
          <w:i/>
          <w:iCs/>
          <w:lang w:val="fr-BE"/>
        </w:rPr>
        <w:t>For.Ass</w:t>
      </w:r>
      <w:proofErr w:type="spellEnd"/>
      <w:r>
        <w:rPr>
          <w:i/>
          <w:iCs/>
          <w:lang w:val="fr-BE"/>
        </w:rPr>
        <w:t xml:space="preserve">. </w:t>
      </w:r>
      <w:r>
        <w:rPr>
          <w:lang w:val="fr-BE"/>
        </w:rPr>
        <w:t>2014/147, 185.</w:t>
      </w:r>
    </w:p>
    <w:p w14:paraId="1FC8933A" w14:textId="22FF5483" w:rsidR="00D3420E" w:rsidRPr="00D3420E" w:rsidRDefault="00D3420E" w:rsidP="00CE2A5C">
      <w:pPr>
        <w:pStyle w:val="Randnummer"/>
        <w:numPr>
          <w:ilvl w:val="0"/>
          <w:numId w:val="0"/>
        </w:numPr>
      </w:pPr>
      <w:r>
        <w:rPr>
          <w:lang w:val="fr-BE"/>
        </w:rPr>
        <w:t xml:space="preserve">DOYEN P., ‘Pensions complémentaires d’entreprises : l’arrivée à maturité?’ </w:t>
      </w:r>
      <w:proofErr w:type="spellStart"/>
      <w:r w:rsidRPr="00D3420E">
        <w:rPr>
          <w:i/>
          <w:iCs/>
        </w:rPr>
        <w:t>T.Verz</w:t>
      </w:r>
      <w:proofErr w:type="spellEnd"/>
      <w:r w:rsidRPr="00D3420E">
        <w:t>.</w:t>
      </w:r>
      <w:r>
        <w:t xml:space="preserve"> 2014, afl. 3, nr.388. </w:t>
      </w:r>
    </w:p>
    <w:p w14:paraId="355BCD96" w14:textId="6CB19B39" w:rsidR="00406747" w:rsidRDefault="00406747" w:rsidP="00CE2A5C">
      <w:pPr>
        <w:pStyle w:val="Randnummer"/>
        <w:numPr>
          <w:ilvl w:val="0"/>
          <w:numId w:val="0"/>
        </w:numPr>
      </w:pPr>
      <w:r w:rsidRPr="008E5598">
        <w:t xml:space="preserve">EECKLOO K., </w:t>
      </w:r>
      <w:r w:rsidR="008E5598">
        <w:t xml:space="preserve">‘Categorale selectiviteit in de aanvullende sociale verzekeringen: de juridische houdbaarheid en rechtvaardiging van beroepscategorieën in de aanvullende sociale verzekeringen’, </w:t>
      </w:r>
      <w:r w:rsidR="008E5598">
        <w:rPr>
          <w:i/>
          <w:iCs/>
        </w:rPr>
        <w:t xml:space="preserve">Jura </w:t>
      </w:r>
      <w:proofErr w:type="spellStart"/>
      <w:r w:rsidR="008E5598">
        <w:rPr>
          <w:i/>
          <w:iCs/>
        </w:rPr>
        <w:t>Falc</w:t>
      </w:r>
      <w:proofErr w:type="spellEnd"/>
      <w:r w:rsidR="008E5598">
        <w:rPr>
          <w:i/>
          <w:iCs/>
        </w:rPr>
        <w:t xml:space="preserve">. </w:t>
      </w:r>
      <w:r w:rsidR="008E5598">
        <w:t>1998</w:t>
      </w:r>
      <w:r w:rsidR="006D651B">
        <w:t xml:space="preserve">-1999/3, 348. </w:t>
      </w:r>
    </w:p>
    <w:p w14:paraId="3E35CA6D" w14:textId="3F35CB33" w:rsidR="006D651B" w:rsidRDefault="006D651B" w:rsidP="00CE2A5C">
      <w:pPr>
        <w:pStyle w:val="Randnummer"/>
        <w:numPr>
          <w:ilvl w:val="0"/>
          <w:numId w:val="0"/>
        </w:numPr>
      </w:pPr>
      <w:r>
        <w:t>ENGELS C., ‘Het onderscheid werkman/bediende: een ongrondwettige discriminatie in strijd</w:t>
      </w:r>
      <w:r w:rsidR="0078556D">
        <w:t xml:space="preserve"> met de artikelen 6 en 6bis van de Belgische Grondwet’, </w:t>
      </w:r>
      <w:r w:rsidR="0078556D">
        <w:rPr>
          <w:i/>
          <w:iCs/>
        </w:rPr>
        <w:t xml:space="preserve">RW </w:t>
      </w:r>
      <w:r w:rsidR="0078556D">
        <w:t xml:space="preserve">1991-1992/22, 735. </w:t>
      </w:r>
    </w:p>
    <w:p w14:paraId="2FEF421E" w14:textId="6627BD00" w:rsidR="008D491C" w:rsidRDefault="002142C9" w:rsidP="00CE2A5C">
      <w:pPr>
        <w:pStyle w:val="Randnummer"/>
        <w:numPr>
          <w:ilvl w:val="0"/>
          <w:numId w:val="0"/>
        </w:numPr>
      </w:pPr>
      <w:r>
        <w:t xml:space="preserve">GILLES R., ‘Het statuut arbeider en bediende: ook het collectief arbeidsrecht zal een bijdrage moeten leveren’, </w:t>
      </w:r>
      <w:r>
        <w:rPr>
          <w:i/>
          <w:iCs/>
        </w:rPr>
        <w:t xml:space="preserve">Kijk Uit </w:t>
      </w:r>
      <w:r>
        <w:t xml:space="preserve">2001, 5. </w:t>
      </w:r>
    </w:p>
    <w:p w14:paraId="3C5F6EE0" w14:textId="476A859D" w:rsidR="00CD12AB" w:rsidRDefault="00CD12AB" w:rsidP="00CE2A5C">
      <w:pPr>
        <w:pStyle w:val="Randnummer"/>
        <w:numPr>
          <w:ilvl w:val="0"/>
          <w:numId w:val="0"/>
        </w:numPr>
      </w:pPr>
      <w:r w:rsidRPr="00CD12AB">
        <w:t xml:space="preserve">LENAERTS H., 'Dualiteit van het juridisch statuut van werklieden en bedienden: schematisch overzicht der vreemde wetgeving', </w:t>
      </w:r>
      <w:r w:rsidRPr="00CD12AB">
        <w:rPr>
          <w:i/>
          <w:iCs/>
        </w:rPr>
        <w:t>TSR</w:t>
      </w:r>
      <w:r w:rsidRPr="00CD12AB">
        <w:t xml:space="preserve"> 1959, 23</w:t>
      </w:r>
      <w:r>
        <w:t>.</w:t>
      </w:r>
    </w:p>
    <w:p w14:paraId="5FF9DA86" w14:textId="42D33F59" w:rsidR="0066149F" w:rsidRPr="00362BFB" w:rsidRDefault="0066149F" w:rsidP="00545903">
      <w:pPr>
        <w:pStyle w:val="12ptvoor"/>
        <w:rPr>
          <w:lang w:val="fr-BE"/>
        </w:rPr>
      </w:pPr>
      <w:r>
        <w:t xml:space="preserve">KNOOPS S., ‘Het eenheidsstatuut tussen arbeiders en bedienden in aanvullende pensioenen: tijd om de eindspurt in te zetten’, </w:t>
      </w:r>
      <w:r>
        <w:rPr>
          <w:i/>
          <w:iCs/>
        </w:rPr>
        <w:t xml:space="preserve">Soc. </w:t>
      </w:r>
      <w:r w:rsidRPr="00362BFB">
        <w:rPr>
          <w:i/>
          <w:iCs/>
          <w:lang w:val="fr-BE"/>
        </w:rPr>
        <w:t xml:space="preserve">Kron. </w:t>
      </w:r>
      <w:r w:rsidRPr="00362BFB">
        <w:rPr>
          <w:lang w:val="fr-BE"/>
        </w:rPr>
        <w:t>2021/5-</w:t>
      </w:r>
      <w:r w:rsidR="00545903" w:rsidRPr="00362BFB">
        <w:rPr>
          <w:lang w:val="fr-BE"/>
        </w:rPr>
        <w:t>6</w:t>
      </w:r>
      <w:r w:rsidRPr="00362BFB">
        <w:rPr>
          <w:lang w:val="fr-BE"/>
        </w:rPr>
        <w:t>, 181.</w:t>
      </w:r>
    </w:p>
    <w:p w14:paraId="412B6839" w14:textId="394A32B1" w:rsidR="00206E0E" w:rsidRPr="00206E0E" w:rsidRDefault="00206E0E" w:rsidP="00545903">
      <w:pPr>
        <w:pStyle w:val="12ptvoor"/>
        <w:rPr>
          <w:lang w:val="fr-BE"/>
        </w:rPr>
      </w:pPr>
      <w:r w:rsidRPr="00206E0E">
        <w:rPr>
          <w:lang w:val="fr-BE"/>
        </w:rPr>
        <w:t xml:space="preserve">PAQUES S., ‘Le point sur l’harmonisation ouvrier/employé dans les pensions complémentaires’, </w:t>
      </w:r>
      <w:r w:rsidRPr="00206E0E">
        <w:rPr>
          <w:i/>
          <w:iCs/>
          <w:lang w:val="fr-BE"/>
        </w:rPr>
        <w:t xml:space="preserve">Ors. </w:t>
      </w:r>
      <w:r w:rsidRPr="00206E0E">
        <w:rPr>
          <w:lang w:val="fr-BE"/>
        </w:rPr>
        <w:t xml:space="preserve">2017, </w:t>
      </w:r>
      <w:proofErr w:type="spellStart"/>
      <w:r w:rsidRPr="00206E0E">
        <w:rPr>
          <w:lang w:val="fr-BE"/>
        </w:rPr>
        <w:t>afl</w:t>
      </w:r>
      <w:proofErr w:type="spellEnd"/>
      <w:r w:rsidRPr="00206E0E">
        <w:rPr>
          <w:lang w:val="fr-BE"/>
        </w:rPr>
        <w:t>. 6, 7.</w:t>
      </w:r>
    </w:p>
    <w:p w14:paraId="61AE1F0C" w14:textId="0643B30A" w:rsidR="004C49D7" w:rsidRDefault="0008007E" w:rsidP="00545903">
      <w:pPr>
        <w:pStyle w:val="12ptvoor"/>
      </w:pPr>
      <w:r>
        <w:t xml:space="preserve">ROELS P., ‘Naar een eenheidsstatuut voor aanvullende pensioenen’ </w:t>
      </w:r>
      <w:r>
        <w:rPr>
          <w:i/>
          <w:iCs/>
        </w:rPr>
        <w:t xml:space="preserve">Life &amp; Benefits </w:t>
      </w:r>
      <w:r>
        <w:t>2014/4, 1</w:t>
      </w:r>
      <w:r w:rsidR="004C49D7">
        <w:t>.</w:t>
      </w:r>
    </w:p>
    <w:p w14:paraId="65EE767B" w14:textId="3333D9C8" w:rsidR="00C9721F" w:rsidRPr="00C9721F" w:rsidRDefault="00C9721F" w:rsidP="00545903">
      <w:pPr>
        <w:pStyle w:val="12ptvoor"/>
        <w:rPr>
          <w:lang w:val="fr-BE"/>
        </w:rPr>
      </w:pPr>
      <w:r w:rsidRPr="00C9721F">
        <w:rPr>
          <w:lang w:val="fr-BE"/>
        </w:rPr>
        <w:t>ROELAND A., ‘</w:t>
      </w:r>
      <w:proofErr w:type="spellStart"/>
      <w:r w:rsidRPr="00C9721F">
        <w:rPr>
          <w:lang w:val="fr-BE"/>
        </w:rPr>
        <w:t>Satut</w:t>
      </w:r>
      <w:proofErr w:type="spellEnd"/>
      <w:r w:rsidRPr="00C9721F">
        <w:rPr>
          <w:lang w:val="fr-BE"/>
        </w:rPr>
        <w:t xml:space="preserve"> unique e</w:t>
      </w:r>
      <w:r>
        <w:rPr>
          <w:lang w:val="fr-BE"/>
        </w:rPr>
        <w:t>t discriminations (II)</w:t>
      </w:r>
      <w:r w:rsidR="00C92ECA">
        <w:rPr>
          <w:lang w:val="fr-BE"/>
        </w:rPr>
        <w:t>:</w:t>
      </w:r>
      <w:r>
        <w:rPr>
          <w:lang w:val="fr-BE"/>
        </w:rPr>
        <w:t xml:space="preserve"> de l’arrêt du 7 juillet 2011 jusqu’à l’adoption de la loi sur le statut unique’ in </w:t>
      </w:r>
      <w:r>
        <w:rPr>
          <w:i/>
          <w:iCs/>
          <w:lang w:val="fr-BE"/>
        </w:rPr>
        <w:t xml:space="preserve">Bulletin de l’Ordre des Experts-comptables et comptables brevetés de Belgique, </w:t>
      </w:r>
      <w:proofErr w:type="spellStart"/>
      <w:r>
        <w:rPr>
          <w:lang w:val="fr-BE"/>
        </w:rPr>
        <w:t>Anthemis</w:t>
      </w:r>
      <w:proofErr w:type="spellEnd"/>
      <w:r>
        <w:rPr>
          <w:lang w:val="fr-BE"/>
        </w:rPr>
        <w:t>, 2014, 5.</w:t>
      </w:r>
    </w:p>
    <w:p w14:paraId="4263E4C8" w14:textId="0568E7D2" w:rsidR="0014459B" w:rsidRDefault="00AA1D22" w:rsidP="00545903">
      <w:pPr>
        <w:pStyle w:val="12ptvoor"/>
        <w:rPr>
          <w:lang w:val="nl-NL"/>
        </w:rPr>
      </w:pPr>
      <w:r>
        <w:rPr>
          <w:lang w:val="nl-NL"/>
        </w:rPr>
        <w:t xml:space="preserve">SCHOLS J. en VAN LANCKER W., ‘De tweede pensioenpijler: de blinde vlek in de pensioenhervorming’, </w:t>
      </w:r>
      <w:r>
        <w:rPr>
          <w:i/>
          <w:iCs/>
          <w:lang w:val="nl-NL"/>
        </w:rPr>
        <w:t xml:space="preserve">Samenleving en politiek </w:t>
      </w:r>
      <w:r>
        <w:rPr>
          <w:lang w:val="nl-NL"/>
        </w:rPr>
        <w:t>2025/6, 61.</w:t>
      </w:r>
    </w:p>
    <w:p w14:paraId="038AFD9C" w14:textId="10C59A4E" w:rsidR="00C9721F" w:rsidRDefault="00185515" w:rsidP="00545903">
      <w:pPr>
        <w:pStyle w:val="12ptvoor"/>
        <w:rPr>
          <w:lang w:val="nl-NL"/>
        </w:rPr>
      </w:pPr>
      <w:r>
        <w:rPr>
          <w:lang w:val="nl-NL"/>
        </w:rPr>
        <w:t xml:space="preserve">STEVENS Y., ‘Het pensioenreglement als rechtsbron van aanvullende pensioenen’ </w:t>
      </w:r>
      <w:r>
        <w:rPr>
          <w:i/>
          <w:iCs/>
          <w:lang w:val="nl-NL"/>
        </w:rPr>
        <w:t xml:space="preserve">TSR </w:t>
      </w:r>
      <w:r>
        <w:rPr>
          <w:lang w:val="nl-NL"/>
        </w:rPr>
        <w:t xml:space="preserve">2017/1-2, 504. </w:t>
      </w:r>
    </w:p>
    <w:p w14:paraId="2057DA52" w14:textId="655F2EE3" w:rsidR="00EB2940" w:rsidRDefault="00EB2940" w:rsidP="00545903">
      <w:pPr>
        <w:pStyle w:val="12ptvoor"/>
        <w:rPr>
          <w:lang w:val="nl-NL"/>
        </w:rPr>
      </w:pPr>
      <w:r>
        <w:t>VAN DAMME A. en DE SOMVIELE I., ‘</w:t>
      </w:r>
      <w:proofErr w:type="spellStart"/>
      <w:r>
        <w:t>Externalisatie</w:t>
      </w:r>
      <w:proofErr w:type="spellEnd"/>
      <w:r>
        <w:t xml:space="preserve"> van het aanvullend pensioen: hoe beschermd zijn uw pensioenrechten in tijden van crisis?’, </w:t>
      </w:r>
      <w:r>
        <w:rPr>
          <w:i/>
          <w:iCs/>
        </w:rPr>
        <w:t xml:space="preserve">Or. </w:t>
      </w:r>
      <w:r>
        <w:t>2009, afl. 7, 173.</w:t>
      </w:r>
    </w:p>
    <w:p w14:paraId="124A7A89" w14:textId="6C3E6EEA" w:rsidR="003767C6" w:rsidRPr="003767C6" w:rsidRDefault="003767C6" w:rsidP="00545903">
      <w:pPr>
        <w:pStyle w:val="12ptvoor"/>
        <w:rPr>
          <w:lang w:val="nl-NL"/>
        </w:rPr>
      </w:pPr>
      <w:r>
        <w:rPr>
          <w:lang w:val="nl-NL"/>
        </w:rPr>
        <w:t xml:space="preserve">VAN GESTEL R.A.J. en VRANKEN J.B.M., ‘Rechtswetenschappelijke artikelen’, </w:t>
      </w:r>
      <w:r>
        <w:rPr>
          <w:i/>
          <w:iCs/>
          <w:lang w:val="nl-NL"/>
        </w:rPr>
        <w:t xml:space="preserve">NJB </w:t>
      </w:r>
      <w:r>
        <w:rPr>
          <w:lang w:val="nl-NL"/>
        </w:rPr>
        <w:t xml:space="preserve">2007, 1454. </w:t>
      </w:r>
    </w:p>
    <w:p w14:paraId="3351AFAD" w14:textId="2F4C45EC" w:rsidR="001F0ACB" w:rsidRDefault="00E5532E" w:rsidP="00545903">
      <w:pPr>
        <w:pStyle w:val="12ptvoor"/>
        <w:rPr>
          <w:lang w:val="nl-NL"/>
        </w:rPr>
      </w:pPr>
      <w:r>
        <w:rPr>
          <w:lang w:val="nl-NL"/>
        </w:rPr>
        <w:t>VAN HIEL I., ‘Afsluitingsdatum voor ongelijke behandeling arbeiders/bedienden bij opbouw aanvullend pensioen houdt stand</w:t>
      </w:r>
      <w:r w:rsidR="00885615">
        <w:rPr>
          <w:lang w:val="nl-NL"/>
        </w:rPr>
        <w:t xml:space="preserve">’, </w:t>
      </w:r>
      <w:r w:rsidR="00885615">
        <w:rPr>
          <w:i/>
          <w:iCs/>
          <w:lang w:val="nl-NL"/>
        </w:rPr>
        <w:t xml:space="preserve">Juristenkrant </w:t>
      </w:r>
      <w:r w:rsidR="00885615">
        <w:rPr>
          <w:lang w:val="nl-NL"/>
        </w:rPr>
        <w:t xml:space="preserve">2024/500, 5. </w:t>
      </w:r>
    </w:p>
    <w:p w14:paraId="099C1D03" w14:textId="7BCE5EA9" w:rsidR="004B5A96" w:rsidRDefault="00885615" w:rsidP="00C336A0">
      <w:pPr>
        <w:pStyle w:val="12ptvoor"/>
        <w:rPr>
          <w:lang w:val="nl-NL"/>
        </w:rPr>
      </w:pPr>
      <w:r>
        <w:rPr>
          <w:lang w:val="nl-NL"/>
        </w:rPr>
        <w:t xml:space="preserve">WOUTERS O. en CRAUWELS A., ‘Vijf jaar toepassing van de ontslagregels onder de Wet Eenheidsstatuut (WES), </w:t>
      </w:r>
      <w:r>
        <w:rPr>
          <w:i/>
          <w:iCs/>
          <w:lang w:val="nl-NL"/>
        </w:rPr>
        <w:t xml:space="preserve">Or. </w:t>
      </w:r>
      <w:r>
        <w:rPr>
          <w:lang w:val="nl-NL"/>
        </w:rPr>
        <w:t>2019/7-8, 215.</w:t>
      </w:r>
    </w:p>
    <w:p w14:paraId="3515F34D" w14:textId="77777777" w:rsidR="002D7EAF" w:rsidRDefault="002D7EAF" w:rsidP="00C336A0">
      <w:pPr>
        <w:pStyle w:val="12ptvoor"/>
        <w:rPr>
          <w:lang w:val="nl-NL"/>
        </w:rPr>
      </w:pPr>
    </w:p>
    <w:p w14:paraId="4BFABAE9" w14:textId="77777777" w:rsidR="002D7EAF" w:rsidRPr="00123826" w:rsidRDefault="002D7EAF" w:rsidP="002D7EAF">
      <w:pPr>
        <w:pStyle w:val="Randnummer"/>
        <w:numPr>
          <w:ilvl w:val="0"/>
          <w:numId w:val="0"/>
        </w:numPr>
        <w:rPr>
          <w:u w:val="single"/>
          <w:lang w:val="fr-BE"/>
        </w:rPr>
      </w:pPr>
      <w:r w:rsidRPr="00123826">
        <w:rPr>
          <w:u w:val="single"/>
          <w:lang w:val="fr-BE"/>
        </w:rPr>
        <w:t>LUXEMBURG</w:t>
      </w:r>
    </w:p>
    <w:p w14:paraId="6CE15788" w14:textId="77777777" w:rsidR="002D7EAF" w:rsidRPr="000E7FF4" w:rsidRDefault="002D7EAF" w:rsidP="002D7EAF">
      <w:pPr>
        <w:pStyle w:val="Randnummer"/>
        <w:numPr>
          <w:ilvl w:val="0"/>
          <w:numId w:val="0"/>
        </w:numPr>
        <w:rPr>
          <w:lang w:val="fr-BE"/>
        </w:rPr>
      </w:pPr>
      <w:r w:rsidRPr="00123826">
        <w:rPr>
          <w:u w:val="single"/>
          <w:lang w:val="fr-BE"/>
        </w:rPr>
        <w:t>Boeken</w:t>
      </w:r>
    </w:p>
    <w:p w14:paraId="1BE7E2E9" w14:textId="77777777" w:rsidR="002D7EAF" w:rsidRDefault="002D7EAF" w:rsidP="002D7EAF">
      <w:pPr>
        <w:pStyle w:val="Randnummer"/>
        <w:numPr>
          <w:ilvl w:val="0"/>
          <w:numId w:val="0"/>
        </w:numPr>
        <w:rPr>
          <w:lang w:val="fr-BE"/>
        </w:rPr>
      </w:pPr>
      <w:r w:rsidRPr="00EB3B4D">
        <w:rPr>
          <w:lang w:val="fr-BE"/>
        </w:rPr>
        <w:t xml:space="preserve">BERNS L. en SCHMIT P., </w:t>
      </w:r>
      <w:r>
        <w:rPr>
          <w:lang w:val="fr-BE"/>
        </w:rPr>
        <w:t>‘</w:t>
      </w:r>
      <w:r w:rsidRPr="00EB3B4D">
        <w:rPr>
          <w:lang w:val="fr-BE"/>
        </w:rPr>
        <w:t>Les régimes complémentaires des p</w:t>
      </w:r>
      <w:r>
        <w:rPr>
          <w:lang w:val="fr-BE"/>
        </w:rPr>
        <w:t xml:space="preserve">ensions sous l’aspect du droit du travail’ in </w:t>
      </w:r>
      <w:r>
        <w:rPr>
          <w:i/>
          <w:iCs/>
          <w:lang w:val="fr-BE"/>
        </w:rPr>
        <w:t xml:space="preserve">Régimes complémentaires de pension au Luxembourg – Bilan et perspectives dix ans après la loi-cadre, </w:t>
      </w:r>
      <w:proofErr w:type="spellStart"/>
      <w:r>
        <w:rPr>
          <w:lang w:val="fr-BE"/>
        </w:rPr>
        <w:t>Anthemis</w:t>
      </w:r>
      <w:proofErr w:type="spellEnd"/>
      <w:r>
        <w:rPr>
          <w:lang w:val="fr-BE"/>
        </w:rPr>
        <w:t>, 2009.</w:t>
      </w:r>
    </w:p>
    <w:p w14:paraId="29F8CAB4" w14:textId="77777777" w:rsidR="002D7EAF" w:rsidRDefault="002D7EAF" w:rsidP="002D7EAF">
      <w:pPr>
        <w:pStyle w:val="Randnummer"/>
        <w:numPr>
          <w:ilvl w:val="0"/>
          <w:numId w:val="0"/>
        </w:numPr>
        <w:rPr>
          <w:lang w:val="fr-BE"/>
        </w:rPr>
      </w:pPr>
      <w:r w:rsidRPr="002954DB">
        <w:rPr>
          <w:lang w:val="fr-BE"/>
        </w:rPr>
        <w:t xml:space="preserve">DOYEN P., </w:t>
      </w:r>
      <w:r w:rsidRPr="002954DB">
        <w:rPr>
          <w:i/>
          <w:iCs/>
          <w:lang w:val="fr-BE"/>
        </w:rPr>
        <w:t>Les pensions complémentaires au Grand-Duché de Luxembourg,</w:t>
      </w:r>
      <w:r w:rsidRPr="002954DB">
        <w:rPr>
          <w:lang w:val="fr-BE"/>
        </w:rPr>
        <w:t xml:space="preserve"> Kluwer, 2007</w:t>
      </w:r>
      <w:r>
        <w:rPr>
          <w:lang w:val="fr-BE"/>
        </w:rPr>
        <w:t>.</w:t>
      </w:r>
    </w:p>
    <w:p w14:paraId="48852EDC" w14:textId="340E37FB" w:rsidR="002D7EAF" w:rsidRDefault="00B02504" w:rsidP="002D7EAF">
      <w:pPr>
        <w:pStyle w:val="Randnummer"/>
        <w:numPr>
          <w:ilvl w:val="0"/>
          <w:numId w:val="0"/>
        </w:numPr>
        <w:rPr>
          <w:lang w:val="fr-BE"/>
        </w:rPr>
      </w:pPr>
      <w:r w:rsidRPr="00B02504">
        <w:rPr>
          <w:lang w:val="fr-BE"/>
        </w:rPr>
        <w:t>VAN PEER M. en HÉLARD H., ‘Évolution</w:t>
      </w:r>
      <w:r>
        <w:rPr>
          <w:lang w:val="fr-BE"/>
        </w:rPr>
        <w:t xml:space="preserve"> de design et du financement des régimes complémentaires de pension entre 1999 et 2009’ in BERNS L., BLEY P. en CONTRERAS A., e.a. (</w:t>
      </w:r>
      <w:proofErr w:type="spellStart"/>
      <w:r>
        <w:rPr>
          <w:lang w:val="fr-BE"/>
        </w:rPr>
        <w:t>eds</w:t>
      </w:r>
      <w:proofErr w:type="spellEnd"/>
      <w:r>
        <w:rPr>
          <w:lang w:val="fr-BE"/>
        </w:rPr>
        <w:t xml:space="preserve">.), </w:t>
      </w:r>
      <w:r>
        <w:rPr>
          <w:i/>
          <w:iCs/>
          <w:lang w:val="fr-BE"/>
        </w:rPr>
        <w:t>Régimes complémentaires de pension au Luxembourg</w:t>
      </w:r>
      <w:r w:rsidR="000E7FF4">
        <w:rPr>
          <w:i/>
          <w:iCs/>
          <w:lang w:val="fr-BE"/>
        </w:rPr>
        <w:t xml:space="preserve"> : Bilan et perspectives dix ans après la loi-cadre, </w:t>
      </w:r>
      <w:proofErr w:type="spellStart"/>
      <w:r w:rsidR="000E7FF4">
        <w:rPr>
          <w:lang w:val="fr-BE"/>
        </w:rPr>
        <w:t>Anthemis</w:t>
      </w:r>
      <w:proofErr w:type="spellEnd"/>
      <w:r w:rsidR="000E7FF4">
        <w:rPr>
          <w:lang w:val="fr-BE"/>
        </w:rPr>
        <w:t>, 2009.</w:t>
      </w:r>
    </w:p>
    <w:p w14:paraId="34E19A89" w14:textId="77777777" w:rsidR="00C92ECA" w:rsidRPr="000E7FF4" w:rsidRDefault="00C92ECA" w:rsidP="002D7EAF">
      <w:pPr>
        <w:pStyle w:val="Randnummer"/>
        <w:numPr>
          <w:ilvl w:val="0"/>
          <w:numId w:val="0"/>
        </w:numPr>
        <w:rPr>
          <w:lang w:val="fr-BE"/>
        </w:rPr>
      </w:pPr>
    </w:p>
    <w:p w14:paraId="38639519" w14:textId="77777777" w:rsidR="002D7EAF" w:rsidRPr="0096587F" w:rsidRDefault="002D7EAF" w:rsidP="002D7EAF">
      <w:pPr>
        <w:pStyle w:val="Randnummer"/>
        <w:numPr>
          <w:ilvl w:val="0"/>
          <w:numId w:val="0"/>
        </w:numPr>
        <w:rPr>
          <w:u w:val="single"/>
          <w:lang w:val="fr-BE"/>
        </w:rPr>
      </w:pPr>
      <w:proofErr w:type="spellStart"/>
      <w:r w:rsidRPr="0096587F">
        <w:rPr>
          <w:u w:val="single"/>
          <w:lang w:val="fr-BE"/>
        </w:rPr>
        <w:t>Tijdschriften</w:t>
      </w:r>
      <w:proofErr w:type="spellEnd"/>
    </w:p>
    <w:p w14:paraId="5F5BBE7D" w14:textId="77777777" w:rsidR="002D7EAF" w:rsidRPr="00ED0E92" w:rsidRDefault="002D7EAF" w:rsidP="002D7EAF">
      <w:pPr>
        <w:pStyle w:val="Randnummer"/>
        <w:numPr>
          <w:ilvl w:val="0"/>
          <w:numId w:val="0"/>
        </w:numPr>
        <w:rPr>
          <w:u w:val="single"/>
          <w:lang w:val="fr-BE"/>
        </w:rPr>
      </w:pPr>
      <w:r w:rsidRPr="00ED0E92">
        <w:rPr>
          <w:lang w:val="fr-BE"/>
        </w:rPr>
        <w:t xml:space="preserve">REUTER A., ‘Mise en œuvre par le Centre commun de la sécurité sociale du statut unique pour les salarié du secteur privé’, </w:t>
      </w:r>
      <w:r w:rsidRPr="00ED0E92">
        <w:rPr>
          <w:i/>
          <w:iCs/>
          <w:lang w:val="fr-BE"/>
        </w:rPr>
        <w:t xml:space="preserve">Bulletin Luxembourgeois des questions sociales (BLQS) </w:t>
      </w:r>
      <w:r w:rsidRPr="00ED0E92">
        <w:rPr>
          <w:lang w:val="fr-BE"/>
        </w:rPr>
        <w:t>2009, vol. 25, 3-62</w:t>
      </w:r>
      <w:r>
        <w:rPr>
          <w:lang w:val="fr-BE"/>
        </w:rPr>
        <w:t>.</w:t>
      </w:r>
    </w:p>
    <w:p w14:paraId="5DA7BC84" w14:textId="77777777" w:rsidR="002D7EAF" w:rsidRDefault="002D7EAF" w:rsidP="002D7EAF">
      <w:pPr>
        <w:pStyle w:val="Randnummer"/>
        <w:numPr>
          <w:ilvl w:val="0"/>
          <w:numId w:val="0"/>
        </w:numPr>
        <w:rPr>
          <w:lang w:val="fr-BE"/>
        </w:rPr>
      </w:pPr>
      <w:r w:rsidRPr="00ED0E92">
        <w:rPr>
          <w:lang w:val="fr-BE"/>
        </w:rPr>
        <w:t xml:space="preserve">SCHMIT P., ‘Développement d’un cadre méthodologique commun pour les institutions de sécurité sociale’, </w:t>
      </w:r>
      <w:r w:rsidRPr="00ED0E92">
        <w:rPr>
          <w:i/>
          <w:iCs/>
          <w:lang w:val="fr-BE"/>
        </w:rPr>
        <w:t xml:space="preserve">Bulletin Luxembourgeois des questions sociales (BLQS) </w:t>
      </w:r>
      <w:r w:rsidRPr="00ED0E92">
        <w:rPr>
          <w:lang w:val="fr-BE"/>
        </w:rPr>
        <w:t>2009, vol. 25, 71-110.</w:t>
      </w:r>
    </w:p>
    <w:p w14:paraId="3AEDB30D" w14:textId="3C1877FE" w:rsidR="002D7EAF" w:rsidRPr="002D7EAF" w:rsidRDefault="002D7EAF" w:rsidP="00A14AF4">
      <w:pPr>
        <w:pStyle w:val="Randnummer"/>
        <w:numPr>
          <w:ilvl w:val="0"/>
          <w:numId w:val="0"/>
        </w:numPr>
        <w:rPr>
          <w:lang w:val="fr-BE"/>
        </w:rPr>
      </w:pPr>
      <w:r>
        <w:rPr>
          <w:lang w:val="fr-BE"/>
        </w:rPr>
        <w:t xml:space="preserve">SPIRINELLI F., </w:t>
      </w:r>
      <w:r>
        <w:rPr>
          <w:i/>
          <w:iCs/>
          <w:lang w:val="fr-BE"/>
        </w:rPr>
        <w:t xml:space="preserve">Le système de retraite. </w:t>
      </w:r>
      <w:r w:rsidR="00A14AF4">
        <w:rPr>
          <w:i/>
          <w:iCs/>
          <w:lang w:val="fr-BE"/>
        </w:rPr>
        <w:t>Présentation</w:t>
      </w:r>
      <w:r>
        <w:rPr>
          <w:i/>
          <w:iCs/>
          <w:lang w:val="fr-BE"/>
        </w:rPr>
        <w:t xml:space="preserve"> et état des lieux de l’assurance vieillesse au Luxembourg, Note de recherche scientifique </w:t>
      </w:r>
      <w:r>
        <w:rPr>
          <w:lang w:val="fr-BE"/>
        </w:rPr>
        <w:t xml:space="preserve">nr. 045, Luxemburg, Cellule scientifique de la Chambre des députés, 2025, 1-47. </w:t>
      </w:r>
    </w:p>
    <w:p w14:paraId="7C560B68" w14:textId="474E0DE2" w:rsidR="00C53217" w:rsidRPr="00123826" w:rsidRDefault="00C53217" w:rsidP="00D37FB3">
      <w:pPr>
        <w:pStyle w:val="Randnummer"/>
        <w:numPr>
          <w:ilvl w:val="0"/>
          <w:numId w:val="0"/>
        </w:numPr>
        <w:ind w:left="357" w:hanging="357"/>
        <w:rPr>
          <w:u w:val="single"/>
          <w:lang w:val="en-GB"/>
        </w:rPr>
      </w:pPr>
      <w:r w:rsidRPr="00123826">
        <w:rPr>
          <w:u w:val="single"/>
          <w:lang w:val="en-GB"/>
        </w:rPr>
        <w:t>NEDERLAND</w:t>
      </w:r>
    </w:p>
    <w:p w14:paraId="520277A0" w14:textId="29A42F25" w:rsidR="00DB4BFE" w:rsidRPr="00123826" w:rsidRDefault="00DB4BFE" w:rsidP="00D37FB3">
      <w:pPr>
        <w:pStyle w:val="Randnummer"/>
        <w:numPr>
          <w:ilvl w:val="0"/>
          <w:numId w:val="0"/>
        </w:numPr>
        <w:ind w:left="357" w:hanging="357"/>
        <w:rPr>
          <w:u w:val="single"/>
          <w:lang w:val="en-GB"/>
        </w:rPr>
      </w:pPr>
      <w:r w:rsidRPr="00123826">
        <w:rPr>
          <w:u w:val="single"/>
          <w:lang w:val="en-GB"/>
        </w:rPr>
        <w:t>Boeken:</w:t>
      </w:r>
    </w:p>
    <w:p w14:paraId="77BB0F4A" w14:textId="0F3FA7E3" w:rsidR="00B8734D" w:rsidRDefault="00B8734D" w:rsidP="00E77E8B">
      <w:pPr>
        <w:pStyle w:val="12ptvoor"/>
        <w:rPr>
          <w:lang w:val="en-GB"/>
        </w:rPr>
      </w:pPr>
      <w:r w:rsidRPr="00B8734D">
        <w:rPr>
          <w:lang w:val="en-GB"/>
        </w:rPr>
        <w:t xml:space="preserve">DE DEKEN J., “The Netherlands – The Challenges Posed by the </w:t>
      </w:r>
      <w:proofErr w:type="spellStart"/>
      <w:r w:rsidRPr="00B8734D">
        <w:rPr>
          <w:lang w:val="en-GB"/>
        </w:rPr>
        <w:t>Unintented</w:t>
      </w:r>
      <w:proofErr w:type="spellEnd"/>
      <w:r w:rsidRPr="00B8734D">
        <w:rPr>
          <w:lang w:val="en-GB"/>
        </w:rPr>
        <w:t xml:space="preserve"> Universal Financialization of Retirement Provision” in NATALI D. (ed.), </w:t>
      </w:r>
      <w:r w:rsidRPr="00B8734D">
        <w:rPr>
          <w:i/>
          <w:iCs/>
          <w:lang w:val="en-GB"/>
        </w:rPr>
        <w:t>The New Pension Mix in Europe. Recent R</w:t>
      </w:r>
      <w:r w:rsidR="00737F9D">
        <w:rPr>
          <w:i/>
          <w:iCs/>
          <w:lang w:val="en-GB"/>
        </w:rPr>
        <w:t>e</w:t>
      </w:r>
      <w:r w:rsidRPr="00B8734D">
        <w:rPr>
          <w:i/>
          <w:iCs/>
          <w:lang w:val="en-GB"/>
        </w:rPr>
        <w:t>forms, Their distributional Effects and Political Dynamics,</w:t>
      </w:r>
      <w:r w:rsidRPr="00B8734D">
        <w:rPr>
          <w:lang w:val="en-GB"/>
        </w:rPr>
        <w:t xml:space="preserve"> Peter Lang, 2017</w:t>
      </w:r>
      <w:r>
        <w:rPr>
          <w:lang w:val="en-GB"/>
        </w:rPr>
        <w:t>.</w:t>
      </w:r>
    </w:p>
    <w:p w14:paraId="6145E365" w14:textId="77777777" w:rsidR="00B428D4" w:rsidRPr="00737F9D" w:rsidRDefault="00B428D4" w:rsidP="00B428D4">
      <w:pPr>
        <w:pStyle w:val="Voetnoottekst"/>
        <w:rPr>
          <w:lang w:val="en-GB"/>
        </w:rPr>
      </w:pPr>
    </w:p>
    <w:p w14:paraId="2C8893FF" w14:textId="36E40205" w:rsidR="00B428D4" w:rsidRPr="00B428D4" w:rsidRDefault="00B428D4" w:rsidP="00B428D4">
      <w:pPr>
        <w:pStyle w:val="Voetnoottekst"/>
        <w:rPr>
          <w:sz w:val="24"/>
          <w:szCs w:val="24"/>
        </w:rPr>
      </w:pPr>
      <w:r w:rsidRPr="00B428D4">
        <w:rPr>
          <w:sz w:val="24"/>
          <w:szCs w:val="24"/>
        </w:rPr>
        <w:t>DE LANGE H. en SCHOLS E., “Verboden onderscheid in pensioenregelingen” in TEN WOLDE R.,</w:t>
      </w:r>
      <w:r w:rsidRPr="00B428D4">
        <w:rPr>
          <w:i/>
          <w:iCs/>
          <w:sz w:val="24"/>
          <w:szCs w:val="24"/>
        </w:rPr>
        <w:t xml:space="preserve"> Encyclopedie van ongelijkheden, TPV </w:t>
      </w:r>
      <w:r w:rsidRPr="00B428D4">
        <w:rPr>
          <w:sz w:val="24"/>
          <w:szCs w:val="24"/>
        </w:rPr>
        <w:t>2004</w:t>
      </w:r>
      <w:r>
        <w:rPr>
          <w:sz w:val="24"/>
          <w:szCs w:val="24"/>
        </w:rPr>
        <w:t>.</w:t>
      </w:r>
    </w:p>
    <w:p w14:paraId="1F7E10F3" w14:textId="327BEF3F" w:rsidR="003C389D" w:rsidRDefault="003C389D" w:rsidP="00E77E8B">
      <w:pPr>
        <w:pStyle w:val="12ptvoor"/>
      </w:pPr>
      <w:r w:rsidRPr="0058444E">
        <w:t xml:space="preserve">DEVREESE A., </w:t>
      </w:r>
      <w:r w:rsidRPr="0058444E">
        <w:rPr>
          <w:i/>
          <w:iCs/>
        </w:rPr>
        <w:t>Bovenwettelijke pensioenen in Nederland,</w:t>
      </w:r>
      <w:r w:rsidRPr="0058444E">
        <w:t xml:space="preserve"> Katholieke Universiteit Brabant/ Studierichting Sociale Zekerheidswetenschap</w:t>
      </w:r>
      <w:r w:rsidR="00415AEE">
        <w:t>, 1989.</w:t>
      </w:r>
    </w:p>
    <w:p w14:paraId="19B0370E" w14:textId="43C6303A" w:rsidR="00021BB7" w:rsidRPr="00092E63" w:rsidRDefault="00021BB7" w:rsidP="00E77E8B">
      <w:pPr>
        <w:pStyle w:val="12ptvoor"/>
      </w:pPr>
      <w:r>
        <w:t xml:space="preserve">HEEMSKERK M., </w:t>
      </w:r>
      <w:r w:rsidR="00092E63">
        <w:rPr>
          <w:i/>
          <w:iCs/>
        </w:rPr>
        <w:t>Pensioenrecht,</w:t>
      </w:r>
      <w:r w:rsidR="00092E63">
        <w:t xml:space="preserve"> Boom Juridisch,</w:t>
      </w:r>
      <w:r w:rsidR="004F60B6">
        <w:t xml:space="preserve"> 2020.</w:t>
      </w:r>
    </w:p>
    <w:p w14:paraId="055229E0" w14:textId="1893C361" w:rsidR="00E623EA" w:rsidRDefault="00AD08A6" w:rsidP="00E77E8B">
      <w:pPr>
        <w:pStyle w:val="12ptvoor"/>
      </w:pPr>
      <w:r>
        <w:t xml:space="preserve">HEERMA VAN VOSS G. en BARENTSEN B., </w:t>
      </w:r>
      <w:r>
        <w:rPr>
          <w:i/>
          <w:iCs/>
        </w:rPr>
        <w:t>Inleiding Nederlands sociaal recht, 10</w:t>
      </w:r>
      <w:r w:rsidRPr="001C036B">
        <w:rPr>
          <w:i/>
          <w:iCs/>
          <w:vertAlign w:val="superscript"/>
        </w:rPr>
        <w:t>e</w:t>
      </w:r>
      <w:r>
        <w:rPr>
          <w:i/>
          <w:iCs/>
        </w:rPr>
        <w:t xml:space="preserve"> druk,</w:t>
      </w:r>
      <w:r>
        <w:t xml:space="preserve"> Boom Juridisch, 2015.</w:t>
      </w:r>
    </w:p>
    <w:p w14:paraId="496075A9" w14:textId="461172C1" w:rsidR="00C65959" w:rsidRDefault="00C65959" w:rsidP="00E77E8B">
      <w:pPr>
        <w:pStyle w:val="12ptvoor"/>
      </w:pPr>
      <w:r w:rsidRPr="0058444E">
        <w:t xml:space="preserve">JACOBS A., </w:t>
      </w:r>
      <w:r w:rsidRPr="0058444E">
        <w:rPr>
          <w:i/>
          <w:iCs/>
        </w:rPr>
        <w:t xml:space="preserve">Pensioenrecht, </w:t>
      </w:r>
      <w:r w:rsidRPr="0058444E">
        <w:t>Kluwer, 2017</w:t>
      </w:r>
      <w:r>
        <w:t>;</w:t>
      </w:r>
    </w:p>
    <w:p w14:paraId="013E6706" w14:textId="2C082981" w:rsidR="006012A7" w:rsidRDefault="006012A7" w:rsidP="00E77E8B">
      <w:pPr>
        <w:pStyle w:val="12ptvoor"/>
      </w:pPr>
      <w:r w:rsidRPr="00C4593D">
        <w:t>JANSEN C.J.H., “Hoofdstuk 2: Over de opkomst van pensioenen in Nederland” in MAATMAN R.H., BAUER R.M.M.J, BUSCH D. en VERBURG L.G. (</w:t>
      </w:r>
      <w:proofErr w:type="spellStart"/>
      <w:r w:rsidRPr="00C4593D">
        <w:t>eds</w:t>
      </w:r>
      <w:proofErr w:type="spellEnd"/>
      <w:r w:rsidRPr="00C4593D">
        <w:t xml:space="preserve">.), </w:t>
      </w:r>
      <w:r w:rsidRPr="00C4593D">
        <w:rPr>
          <w:i/>
          <w:iCs/>
        </w:rPr>
        <w:t>Onderneming en pensioen,</w:t>
      </w:r>
      <w:r w:rsidRPr="00C4593D">
        <w:t xml:space="preserve"> Kluwer, 2011</w:t>
      </w:r>
      <w:r>
        <w:t>.</w:t>
      </w:r>
    </w:p>
    <w:p w14:paraId="770DFEF7" w14:textId="3B536BEA" w:rsidR="00F06DA7" w:rsidRPr="00E623EA" w:rsidRDefault="00F06DA7" w:rsidP="00E77E8B">
      <w:pPr>
        <w:pStyle w:val="12ptvoor"/>
      </w:pPr>
      <w:r w:rsidRPr="0058444E">
        <w:t xml:space="preserve">LUTJENS E., </w:t>
      </w:r>
      <w:r>
        <w:t>‘</w:t>
      </w:r>
      <w:r w:rsidRPr="0058444E">
        <w:t>Nederland als leerschool: Wet betreffende de verplichte deelneming in een bedrijfspensioenfonds</w:t>
      </w:r>
      <w:r>
        <w:t>’</w:t>
      </w:r>
      <w:r w:rsidRPr="0058444E">
        <w:t xml:space="preserve"> in STEVENS Y. en VAN BUGGENHOUT B. (</w:t>
      </w:r>
      <w:proofErr w:type="spellStart"/>
      <w:r w:rsidRPr="0058444E">
        <w:t>eds</w:t>
      </w:r>
      <w:proofErr w:type="spellEnd"/>
      <w:r w:rsidRPr="0058444E">
        <w:t xml:space="preserve">.), </w:t>
      </w:r>
      <w:r w:rsidRPr="0058444E">
        <w:rPr>
          <w:i/>
          <w:iCs/>
        </w:rPr>
        <w:t>Sectorpensioenen,</w:t>
      </w:r>
      <w:r w:rsidRPr="0058444E">
        <w:t xml:space="preserve"> die </w:t>
      </w:r>
      <w:proofErr w:type="spellStart"/>
      <w:r w:rsidRPr="0058444E">
        <w:t>Keure</w:t>
      </w:r>
      <w:proofErr w:type="spellEnd"/>
      <w:r w:rsidRPr="0058444E">
        <w:t>, 2000</w:t>
      </w:r>
      <w:r>
        <w:t>.</w:t>
      </w:r>
    </w:p>
    <w:p w14:paraId="3A0F1565" w14:textId="321206B7" w:rsidR="00C53217" w:rsidRDefault="00C53217" w:rsidP="00E77E8B">
      <w:pPr>
        <w:pStyle w:val="12ptvoor"/>
        <w:rPr>
          <w:lang w:val="nl-NL"/>
        </w:rPr>
      </w:pPr>
      <w:r>
        <w:rPr>
          <w:lang w:val="nl-NL"/>
        </w:rPr>
        <w:t>MAATMAN R.H., HEEMSKERK M., KNOEF M.G.</w:t>
      </w:r>
      <w:r w:rsidR="00896A57">
        <w:rPr>
          <w:lang w:val="nl-NL"/>
        </w:rPr>
        <w:t xml:space="preserve"> en NIJMAN T.E., </w:t>
      </w:r>
      <w:r w:rsidR="00896A57">
        <w:rPr>
          <w:i/>
          <w:iCs/>
          <w:lang w:val="nl-NL"/>
        </w:rPr>
        <w:t xml:space="preserve">Pensioen 2025, </w:t>
      </w:r>
      <w:r w:rsidR="00896A57">
        <w:rPr>
          <w:lang w:val="nl-NL"/>
        </w:rPr>
        <w:t xml:space="preserve">Kluwer, 2019. </w:t>
      </w:r>
    </w:p>
    <w:p w14:paraId="7B54A7A1" w14:textId="42B5489A" w:rsidR="00BF0EEB" w:rsidRDefault="00BF0EEB" w:rsidP="00E77E8B">
      <w:pPr>
        <w:pStyle w:val="12ptvoor"/>
        <w:rPr>
          <w:lang w:val="nl-NL"/>
        </w:rPr>
      </w:pPr>
      <w:r>
        <w:rPr>
          <w:lang w:val="nl-NL"/>
        </w:rPr>
        <w:t xml:space="preserve">MAATMAN R.H., HEEMSKERK M., KNOEF M.G. en NIJMAN T.E., </w:t>
      </w:r>
      <w:r>
        <w:rPr>
          <w:i/>
          <w:iCs/>
          <w:lang w:val="nl-NL"/>
        </w:rPr>
        <w:t xml:space="preserve">Pensioen 2025, </w:t>
      </w:r>
      <w:r>
        <w:rPr>
          <w:lang w:val="nl-NL"/>
        </w:rPr>
        <w:t xml:space="preserve">Kluwer, 2022. </w:t>
      </w:r>
    </w:p>
    <w:p w14:paraId="485C284E" w14:textId="1EB487D0" w:rsidR="00C773D6" w:rsidRDefault="00C773D6" w:rsidP="00E77E8B">
      <w:pPr>
        <w:pStyle w:val="12ptvoor"/>
        <w:rPr>
          <w:lang w:val="nl-NL"/>
        </w:rPr>
      </w:pPr>
      <w:r>
        <w:t xml:space="preserve">LUTJENS E., </w:t>
      </w:r>
      <w:r>
        <w:rPr>
          <w:i/>
          <w:iCs/>
        </w:rPr>
        <w:t xml:space="preserve">De wet </w:t>
      </w:r>
      <w:proofErr w:type="spellStart"/>
      <w:r>
        <w:rPr>
          <w:i/>
          <w:iCs/>
        </w:rPr>
        <w:t>Bpf</w:t>
      </w:r>
      <w:proofErr w:type="spellEnd"/>
      <w:r>
        <w:rPr>
          <w:i/>
          <w:iCs/>
        </w:rPr>
        <w:t xml:space="preserve">, </w:t>
      </w:r>
      <w:r>
        <w:t>Kluwer, 1999.</w:t>
      </w:r>
    </w:p>
    <w:p w14:paraId="7852CEBE" w14:textId="58DDF387" w:rsidR="00302538" w:rsidRDefault="00302538" w:rsidP="00E77E8B">
      <w:pPr>
        <w:pStyle w:val="12ptvoor"/>
      </w:pPr>
      <w:r w:rsidRPr="009704EC">
        <w:t xml:space="preserve">OFFERHAUS E.J., </w:t>
      </w:r>
      <w:r w:rsidRPr="009704EC">
        <w:rPr>
          <w:i/>
          <w:iCs/>
        </w:rPr>
        <w:t xml:space="preserve">Bedrijfspensioenfondsen </w:t>
      </w:r>
      <w:r w:rsidRPr="009704EC">
        <w:t>Van Veen &amp; Scheffers, 1953.</w:t>
      </w:r>
    </w:p>
    <w:p w14:paraId="6EBB56A1" w14:textId="5A305DA8" w:rsidR="00B56B14" w:rsidRPr="00302538" w:rsidRDefault="00B56B14" w:rsidP="00E77E8B">
      <w:pPr>
        <w:pStyle w:val="12ptvoor"/>
      </w:pPr>
      <w:r>
        <w:t xml:space="preserve">SCHUURMAN B., DOUMA S. en FREUDENTHAL R., </w:t>
      </w:r>
      <w:r>
        <w:rPr>
          <w:i/>
          <w:iCs/>
        </w:rPr>
        <w:t xml:space="preserve">Pensioen in de loonsfeer, </w:t>
      </w:r>
      <w:r>
        <w:t>Wolters Kluwer, 2019.</w:t>
      </w:r>
    </w:p>
    <w:p w14:paraId="1F99B539" w14:textId="77777777" w:rsidR="009704EC" w:rsidRDefault="009E53C6" w:rsidP="009704EC">
      <w:pPr>
        <w:pStyle w:val="12ptvoor"/>
      </w:pPr>
      <w:r w:rsidRPr="0058444E">
        <w:t xml:space="preserve">THIERRY H., </w:t>
      </w:r>
      <w:r w:rsidRPr="0058444E">
        <w:rPr>
          <w:i/>
          <w:iCs/>
        </w:rPr>
        <w:t>Pensioen- en spaarfondsen,</w:t>
      </w:r>
      <w:r w:rsidRPr="0058444E">
        <w:t xml:space="preserve"> </w:t>
      </w:r>
      <w:r>
        <w:t xml:space="preserve">Alphen aan Den Rijn, </w:t>
      </w:r>
      <w:r w:rsidRPr="0058444E">
        <w:t>1950</w:t>
      </w:r>
      <w:r>
        <w:t>.</w:t>
      </w:r>
    </w:p>
    <w:p w14:paraId="7A915549" w14:textId="58AC5A67" w:rsidR="00302538" w:rsidRDefault="00302538" w:rsidP="009704EC">
      <w:pPr>
        <w:pStyle w:val="12ptvoor"/>
      </w:pPr>
      <w:r w:rsidRPr="0058444E">
        <w:t xml:space="preserve">VERSTEGEN G.J.H., </w:t>
      </w:r>
      <w:r>
        <w:t>‘</w:t>
      </w:r>
      <w:r w:rsidRPr="0058444E">
        <w:t>Bedrijfspensioenfondsen. Geschiedenis en werkingssfeer</w:t>
      </w:r>
      <w:r>
        <w:t>’</w:t>
      </w:r>
      <w:r w:rsidRPr="0058444E">
        <w:t xml:space="preserve"> in X, </w:t>
      </w:r>
      <w:r w:rsidRPr="0058444E">
        <w:rPr>
          <w:i/>
          <w:iCs/>
        </w:rPr>
        <w:t>Tussen AOW en pensioenplicht,</w:t>
      </w:r>
      <w:r w:rsidRPr="0058444E">
        <w:t>, 1980</w:t>
      </w:r>
      <w:r>
        <w:t>.</w:t>
      </w:r>
    </w:p>
    <w:p w14:paraId="24661F15" w14:textId="485CAB66" w:rsidR="00DB4BFE" w:rsidRDefault="00620BAB" w:rsidP="00E77E8B">
      <w:pPr>
        <w:pStyle w:val="12ptvoor"/>
        <w:rPr>
          <w:lang w:val="nl-NL"/>
        </w:rPr>
      </w:pPr>
      <w:r>
        <w:rPr>
          <w:lang w:val="nl-NL"/>
        </w:rPr>
        <w:t xml:space="preserve">WIJNBEEK W., ‘Wet toekomst pensioenen is in aanvaring met het recht’, SSRN </w:t>
      </w:r>
      <w:proofErr w:type="spellStart"/>
      <w:r w:rsidR="002D7400">
        <w:rPr>
          <w:lang w:val="nl-NL"/>
        </w:rPr>
        <w:t>Working</w:t>
      </w:r>
      <w:proofErr w:type="spellEnd"/>
      <w:r w:rsidR="002D7400">
        <w:rPr>
          <w:lang w:val="nl-NL"/>
        </w:rPr>
        <w:t xml:space="preserve"> Paper </w:t>
      </w:r>
      <w:r>
        <w:rPr>
          <w:lang w:val="nl-NL"/>
        </w:rPr>
        <w:t xml:space="preserve">2025. </w:t>
      </w:r>
    </w:p>
    <w:p w14:paraId="39D0569F" w14:textId="77777777" w:rsidR="00496FE1" w:rsidRDefault="00496FE1" w:rsidP="00E77E8B">
      <w:pPr>
        <w:pStyle w:val="12ptvoor"/>
        <w:rPr>
          <w:lang w:val="nl-NL"/>
        </w:rPr>
      </w:pPr>
    </w:p>
    <w:p w14:paraId="6605935D" w14:textId="6A25A5F9" w:rsidR="00DB4BFE" w:rsidRPr="00DB4BFE" w:rsidRDefault="00DB4BFE" w:rsidP="00D37FB3">
      <w:pPr>
        <w:pStyle w:val="Randnummer"/>
        <w:numPr>
          <w:ilvl w:val="0"/>
          <w:numId w:val="0"/>
        </w:numPr>
        <w:ind w:left="357" w:hanging="357"/>
        <w:rPr>
          <w:u w:val="single"/>
          <w:lang w:val="nl-NL"/>
        </w:rPr>
      </w:pPr>
      <w:r>
        <w:rPr>
          <w:u w:val="single"/>
          <w:lang w:val="nl-NL"/>
        </w:rPr>
        <w:t>Tijdschriften;</w:t>
      </w:r>
    </w:p>
    <w:p w14:paraId="2FAFF8F5" w14:textId="7AFD901D" w:rsidR="00DB4BFE" w:rsidRDefault="00DB4BFE" w:rsidP="00771C2D">
      <w:pPr>
        <w:pStyle w:val="Randnummer"/>
        <w:numPr>
          <w:ilvl w:val="0"/>
          <w:numId w:val="0"/>
        </w:numPr>
        <w:ind w:left="357" w:hanging="357"/>
      </w:pPr>
      <w:r>
        <w:t xml:space="preserve">GOUDSWAARD K., ‘Hoe ziet het Nederlandse pensioenstelsel er in de toekomst uit?’, </w:t>
      </w:r>
      <w:r>
        <w:rPr>
          <w:i/>
          <w:iCs/>
        </w:rPr>
        <w:t xml:space="preserve">Tijdschrift voor Openbare Financiën </w:t>
      </w:r>
      <w:r>
        <w:t xml:space="preserve">2013/2, 61. </w:t>
      </w:r>
    </w:p>
    <w:p w14:paraId="67E00D38" w14:textId="7DB6B657" w:rsidR="00823067" w:rsidRDefault="00823067" w:rsidP="00771C2D">
      <w:pPr>
        <w:pStyle w:val="Randnummer"/>
        <w:numPr>
          <w:ilvl w:val="0"/>
          <w:numId w:val="0"/>
        </w:numPr>
        <w:ind w:left="357" w:hanging="357"/>
      </w:pPr>
      <w:r>
        <w:t xml:space="preserve">HEEMSKERK M., ‘Op zoek naar de grenzen van de solidariteit in het aanvullend </w:t>
      </w:r>
      <w:proofErr w:type="spellStart"/>
      <w:r>
        <w:t>pensioen’n</w:t>
      </w:r>
      <w:proofErr w:type="spellEnd"/>
      <w:r>
        <w:t xml:space="preserve"> </w:t>
      </w:r>
      <w:r>
        <w:rPr>
          <w:i/>
          <w:iCs/>
        </w:rPr>
        <w:t xml:space="preserve">WPNR </w:t>
      </w:r>
      <w:r>
        <w:t>2013/69</w:t>
      </w:r>
      <w:r w:rsidR="00D005CA">
        <w:t xml:space="preserve">68, 223. </w:t>
      </w:r>
    </w:p>
    <w:p w14:paraId="1889BB5E" w14:textId="095A5B98" w:rsidR="00E623EA" w:rsidRPr="00823067" w:rsidRDefault="00E623EA" w:rsidP="00771C2D">
      <w:pPr>
        <w:pStyle w:val="Randnummer"/>
        <w:numPr>
          <w:ilvl w:val="0"/>
          <w:numId w:val="0"/>
        </w:numPr>
        <w:ind w:left="357" w:hanging="357"/>
      </w:pPr>
      <w:r>
        <w:t xml:space="preserve">KWEKEL P.J., ‘De drie pijlers van de oudedagsvoorziening volop in beweging’, </w:t>
      </w:r>
      <w:r>
        <w:rPr>
          <w:i/>
          <w:iCs/>
        </w:rPr>
        <w:t xml:space="preserve">Fiscaal tijdschrift vermogen </w:t>
      </w:r>
      <w:r>
        <w:t>2013/2, 1.</w:t>
      </w:r>
    </w:p>
    <w:p w14:paraId="2BBF9F86" w14:textId="415D3466" w:rsidR="00771C2D" w:rsidRPr="00833C4C" w:rsidRDefault="00771C2D" w:rsidP="00771C2D">
      <w:pPr>
        <w:pStyle w:val="Randnummer"/>
        <w:numPr>
          <w:ilvl w:val="0"/>
          <w:numId w:val="0"/>
        </w:numPr>
        <w:ind w:left="357" w:hanging="357"/>
      </w:pPr>
      <w:r>
        <w:t xml:space="preserve">VAN DEN HEUVEL-WARREN J., </w:t>
      </w:r>
      <w:r>
        <w:rPr>
          <w:i/>
          <w:iCs/>
        </w:rPr>
        <w:t xml:space="preserve">De pensioenvoorziening in Nederland, Duitsland, het Verenigd Koninkrijk en Zwitserland: een rechtsvergelijkend onderzoek: </w:t>
      </w:r>
      <w:proofErr w:type="spellStart"/>
      <w:r>
        <w:rPr>
          <w:i/>
          <w:iCs/>
        </w:rPr>
        <w:t>Netspar</w:t>
      </w:r>
      <w:proofErr w:type="spellEnd"/>
      <w:r>
        <w:rPr>
          <w:i/>
          <w:iCs/>
        </w:rPr>
        <w:t xml:space="preserve"> Design Paper 222, </w:t>
      </w:r>
      <w:proofErr w:type="spellStart"/>
      <w:r>
        <w:t>Netspar</w:t>
      </w:r>
      <w:proofErr w:type="spellEnd"/>
      <w:r>
        <w:t>, 2023.</w:t>
      </w:r>
    </w:p>
    <w:p w14:paraId="2498AA7C" w14:textId="6745AB7E" w:rsidR="00C773D6" w:rsidRPr="00BB6205" w:rsidRDefault="00BB6205" w:rsidP="00C773D6">
      <w:pPr>
        <w:pStyle w:val="Randnummer"/>
        <w:numPr>
          <w:ilvl w:val="0"/>
          <w:numId w:val="0"/>
        </w:numPr>
        <w:ind w:left="357" w:hanging="357"/>
      </w:pPr>
      <w:r>
        <w:t xml:space="preserve">VAN EWIJCK C., </w:t>
      </w:r>
      <w:r>
        <w:rPr>
          <w:i/>
          <w:iCs/>
        </w:rPr>
        <w:t xml:space="preserve">Compensatie afschaffing doorsneesystematiek en evenwichtige transitie: </w:t>
      </w:r>
      <w:proofErr w:type="spellStart"/>
      <w:r>
        <w:rPr>
          <w:i/>
          <w:iCs/>
        </w:rPr>
        <w:t>Netspar</w:t>
      </w:r>
      <w:proofErr w:type="spellEnd"/>
      <w:r>
        <w:rPr>
          <w:i/>
          <w:iCs/>
        </w:rPr>
        <w:t xml:space="preserve"> Board Brief </w:t>
      </w:r>
      <w:r>
        <w:t xml:space="preserve">03/2023, </w:t>
      </w:r>
      <w:proofErr w:type="spellStart"/>
      <w:r>
        <w:t>Netspar</w:t>
      </w:r>
      <w:proofErr w:type="spellEnd"/>
      <w:r>
        <w:t>, 2023.</w:t>
      </w:r>
    </w:p>
    <w:p w14:paraId="0256674C" w14:textId="1EA70B37" w:rsidR="0018285F" w:rsidRDefault="0018285F" w:rsidP="0018285F">
      <w:pPr>
        <w:pStyle w:val="Randnummer"/>
        <w:numPr>
          <w:ilvl w:val="0"/>
          <w:numId w:val="0"/>
        </w:numPr>
      </w:pPr>
      <w:r>
        <w:t xml:space="preserve">LUTJENS E., ‘Wet toekomst pensioenen’ </w:t>
      </w:r>
      <w:r>
        <w:rPr>
          <w:i/>
          <w:iCs/>
        </w:rPr>
        <w:t>NJB</w:t>
      </w:r>
      <w:r w:rsidR="00296A3F">
        <w:rPr>
          <w:i/>
          <w:iCs/>
        </w:rPr>
        <w:t xml:space="preserve"> </w:t>
      </w:r>
      <w:r w:rsidR="00296A3F">
        <w:t xml:space="preserve">2023/2544, 3. </w:t>
      </w:r>
    </w:p>
    <w:p w14:paraId="4F99F5E6" w14:textId="35C47A54" w:rsidR="00E342C9" w:rsidRPr="006D4A3F" w:rsidRDefault="00E342C9" w:rsidP="0018285F">
      <w:pPr>
        <w:pStyle w:val="Randnummer"/>
        <w:numPr>
          <w:ilvl w:val="0"/>
          <w:numId w:val="0"/>
        </w:numPr>
      </w:pPr>
      <w:r w:rsidRPr="006D4A3F">
        <w:t>LUTJENS E., ‘Verplichte pensio</w:t>
      </w:r>
      <w:r w:rsidR="006D4A3F" w:rsidRPr="006D4A3F">
        <w:t>enfondsen e</w:t>
      </w:r>
      <w:r w:rsidR="006D4A3F">
        <w:t xml:space="preserve">n de Pensioenwet’, </w:t>
      </w:r>
      <w:r w:rsidR="006D4A3F">
        <w:rPr>
          <w:i/>
          <w:iCs/>
        </w:rPr>
        <w:t xml:space="preserve">WPNR </w:t>
      </w:r>
      <w:r w:rsidR="006D4A3F">
        <w:t>2007, 6704.</w:t>
      </w:r>
    </w:p>
    <w:p w14:paraId="0F6C073A" w14:textId="2C5E539F" w:rsidR="00CC7124" w:rsidRDefault="00CC7124" w:rsidP="0018285F">
      <w:pPr>
        <w:pStyle w:val="Randnummer"/>
        <w:numPr>
          <w:ilvl w:val="0"/>
          <w:numId w:val="0"/>
        </w:numPr>
        <w:rPr>
          <w:lang w:val="en-GB"/>
        </w:rPr>
      </w:pPr>
      <w:r w:rsidRPr="00CC7124">
        <w:rPr>
          <w:lang w:val="en-GB"/>
        </w:rPr>
        <w:t xml:space="preserve">NATALI D., KEUNE M., PAVOLINI E. </w:t>
      </w:r>
      <w:proofErr w:type="spellStart"/>
      <w:r w:rsidRPr="00CC7124">
        <w:rPr>
          <w:lang w:val="en-GB"/>
        </w:rPr>
        <w:t>en</w:t>
      </w:r>
      <w:proofErr w:type="spellEnd"/>
      <w:r w:rsidRPr="00CC7124">
        <w:rPr>
          <w:lang w:val="en-GB"/>
        </w:rPr>
        <w:t xml:space="preserve"> SEELEIB KAISER M., ‘Sixty years after </w:t>
      </w:r>
      <w:proofErr w:type="spellStart"/>
      <w:r w:rsidRPr="00CC7124">
        <w:rPr>
          <w:lang w:val="en-GB"/>
        </w:rPr>
        <w:t>Titmuss</w:t>
      </w:r>
      <w:proofErr w:type="spellEnd"/>
      <w:r w:rsidRPr="00CC7124">
        <w:rPr>
          <w:lang w:val="en-GB"/>
        </w:rPr>
        <w:t>: New findings on occupational we</w:t>
      </w:r>
      <w:r>
        <w:rPr>
          <w:lang w:val="en-GB"/>
        </w:rPr>
        <w:t xml:space="preserve">lfare in Europe’, </w:t>
      </w:r>
      <w:r>
        <w:rPr>
          <w:i/>
          <w:iCs/>
          <w:lang w:val="en-GB"/>
        </w:rPr>
        <w:t xml:space="preserve">Soc Policy Admin </w:t>
      </w:r>
      <w:r>
        <w:rPr>
          <w:lang w:val="en-GB"/>
        </w:rPr>
        <w:t>2018/2, 438.</w:t>
      </w:r>
    </w:p>
    <w:p w14:paraId="24D49795" w14:textId="77777777" w:rsidR="00496FE1" w:rsidRPr="00965761" w:rsidRDefault="00496FE1" w:rsidP="0018285F">
      <w:pPr>
        <w:pStyle w:val="Randnummer"/>
        <w:numPr>
          <w:ilvl w:val="0"/>
          <w:numId w:val="0"/>
        </w:numPr>
        <w:rPr>
          <w:lang w:val="en-GB"/>
        </w:rPr>
      </w:pPr>
    </w:p>
    <w:p w14:paraId="61519510" w14:textId="11EC2EEC" w:rsidR="001F0ACB" w:rsidRPr="00F920E9" w:rsidRDefault="001F0ACB" w:rsidP="00D37FB3">
      <w:pPr>
        <w:pStyle w:val="Randnummer"/>
        <w:numPr>
          <w:ilvl w:val="0"/>
          <w:numId w:val="0"/>
        </w:numPr>
        <w:ind w:left="357" w:hanging="357"/>
        <w:rPr>
          <w:u w:val="single"/>
          <w:lang w:val="de-LI"/>
        </w:rPr>
      </w:pPr>
      <w:r w:rsidRPr="00F920E9">
        <w:rPr>
          <w:u w:val="single"/>
          <w:lang w:val="de-LI"/>
        </w:rPr>
        <w:t>DUITSLAND</w:t>
      </w:r>
    </w:p>
    <w:p w14:paraId="72FDA751" w14:textId="66427611" w:rsidR="00663C8F" w:rsidRPr="00F920E9" w:rsidRDefault="00663C8F" w:rsidP="00D37FB3">
      <w:pPr>
        <w:pStyle w:val="Randnummer"/>
        <w:numPr>
          <w:ilvl w:val="0"/>
          <w:numId w:val="0"/>
        </w:numPr>
        <w:ind w:left="357" w:hanging="357"/>
        <w:rPr>
          <w:u w:val="single"/>
          <w:lang w:val="de-LI"/>
        </w:rPr>
      </w:pPr>
      <w:r w:rsidRPr="00F920E9">
        <w:rPr>
          <w:u w:val="single"/>
          <w:lang w:val="de-LI"/>
        </w:rPr>
        <w:t>Boeken</w:t>
      </w:r>
    </w:p>
    <w:p w14:paraId="6445A872" w14:textId="01496111" w:rsidR="00B42AF9" w:rsidRPr="00F920E9" w:rsidRDefault="00370039" w:rsidP="00647A09">
      <w:pPr>
        <w:pStyle w:val="12ptvoor"/>
        <w:rPr>
          <w:lang w:val="de-LI"/>
        </w:rPr>
      </w:pPr>
      <w:r w:rsidRPr="00F920E9">
        <w:rPr>
          <w:lang w:val="de-LI"/>
        </w:rPr>
        <w:t>BLANK F., HOFMANN M. en BUNTENBACH A. (</w:t>
      </w:r>
      <w:proofErr w:type="spellStart"/>
      <w:r w:rsidRPr="00F920E9">
        <w:rPr>
          <w:lang w:val="de-LI"/>
        </w:rPr>
        <w:t>eds</w:t>
      </w:r>
      <w:proofErr w:type="spellEnd"/>
      <w:r w:rsidRPr="00F920E9">
        <w:rPr>
          <w:lang w:val="de-LI"/>
        </w:rPr>
        <w:t xml:space="preserve">.), </w:t>
      </w:r>
      <w:r w:rsidRPr="00F920E9">
        <w:rPr>
          <w:i/>
          <w:iCs/>
          <w:lang w:val="de-LI"/>
        </w:rPr>
        <w:t>Neustart in der Rentenpolitik</w:t>
      </w:r>
      <w:r w:rsidR="007C7410" w:rsidRPr="00F920E9">
        <w:rPr>
          <w:i/>
          <w:iCs/>
          <w:lang w:val="de-LI"/>
        </w:rPr>
        <w:t xml:space="preserve">: Analysen und Perspektiven, </w:t>
      </w:r>
      <w:r w:rsidR="007C7410" w:rsidRPr="00F920E9">
        <w:rPr>
          <w:lang w:val="de-LI"/>
        </w:rPr>
        <w:t xml:space="preserve">Nomos, 2020. </w:t>
      </w:r>
    </w:p>
    <w:p w14:paraId="204B0726" w14:textId="72135F57" w:rsidR="001F0ACB" w:rsidRDefault="005A00B4" w:rsidP="00647A09">
      <w:pPr>
        <w:pStyle w:val="12ptvoor"/>
      </w:pPr>
      <w:r w:rsidRPr="002A605E">
        <w:t xml:space="preserve">JACOBS A.T.J.M., </w:t>
      </w:r>
      <w:r w:rsidRPr="002A605E">
        <w:rPr>
          <w:i/>
          <w:iCs/>
        </w:rPr>
        <w:t>Inlei</w:t>
      </w:r>
      <w:r>
        <w:rPr>
          <w:i/>
          <w:iCs/>
        </w:rPr>
        <w:t xml:space="preserve">ding tot het Duitse arbeidsrecht, </w:t>
      </w:r>
      <w:r>
        <w:t>Gouda Quint, 1993.</w:t>
      </w:r>
    </w:p>
    <w:p w14:paraId="1B2DCC70" w14:textId="4AE47B2E" w:rsidR="00F2023E" w:rsidRPr="00F920E9" w:rsidRDefault="00F2023E" w:rsidP="00647A09">
      <w:pPr>
        <w:pStyle w:val="12ptvoor"/>
        <w:rPr>
          <w:lang w:val="de-LI"/>
        </w:rPr>
      </w:pPr>
      <w:r w:rsidRPr="00F920E9">
        <w:rPr>
          <w:lang w:val="de-LI"/>
        </w:rPr>
        <w:t xml:space="preserve">RIEDMANN A., BILGER F., en SCHMIDT S., </w:t>
      </w:r>
      <w:r w:rsidRPr="00F920E9">
        <w:rPr>
          <w:i/>
          <w:iCs/>
          <w:lang w:val="de-LI"/>
        </w:rPr>
        <w:t xml:space="preserve">Verbreitung der Altersvorsorge 2023: Endbericht, </w:t>
      </w:r>
      <w:r w:rsidRPr="00F920E9">
        <w:rPr>
          <w:lang w:val="de-LI"/>
        </w:rPr>
        <w:t>Bundesministerium für Arbeit und Soziales, 2024.</w:t>
      </w:r>
    </w:p>
    <w:p w14:paraId="6DA3E185" w14:textId="60213566" w:rsidR="0024182C" w:rsidRPr="00F920E9" w:rsidRDefault="0024182C" w:rsidP="00647A09">
      <w:pPr>
        <w:pStyle w:val="12ptvoor"/>
        <w:rPr>
          <w:lang w:val="de-LI"/>
        </w:rPr>
      </w:pPr>
      <w:r w:rsidRPr="00F920E9">
        <w:rPr>
          <w:lang w:val="de-LI"/>
        </w:rPr>
        <w:t xml:space="preserve">WISS T., </w:t>
      </w:r>
      <w:r w:rsidRPr="00F920E9">
        <w:rPr>
          <w:i/>
          <w:iCs/>
          <w:lang w:val="de-LI"/>
        </w:rPr>
        <w:t xml:space="preserve">Neustart in der Rentenpolitik: Analysen und Perspektiven, </w:t>
      </w:r>
      <w:r w:rsidRPr="00F920E9">
        <w:rPr>
          <w:lang w:val="de-LI"/>
        </w:rPr>
        <w:t xml:space="preserve">Nomos, </w:t>
      </w:r>
      <w:r w:rsidR="00317DDA" w:rsidRPr="00F920E9">
        <w:rPr>
          <w:lang w:val="de-LI"/>
        </w:rPr>
        <w:t xml:space="preserve">2020. </w:t>
      </w:r>
    </w:p>
    <w:p w14:paraId="009815AA" w14:textId="77777777" w:rsidR="00762D99" w:rsidRPr="00F920E9" w:rsidRDefault="00762D99" w:rsidP="00D37FB3">
      <w:pPr>
        <w:pStyle w:val="Randnummer"/>
        <w:numPr>
          <w:ilvl w:val="0"/>
          <w:numId w:val="0"/>
        </w:numPr>
        <w:ind w:left="357" w:hanging="357"/>
        <w:rPr>
          <w:lang w:val="de-LI"/>
        </w:rPr>
      </w:pPr>
    </w:p>
    <w:p w14:paraId="64B76311" w14:textId="6617CD6C" w:rsidR="00663C8F" w:rsidRPr="00F920E9" w:rsidRDefault="00762D99" w:rsidP="00663C8F">
      <w:pPr>
        <w:pStyle w:val="Randnummer"/>
        <w:numPr>
          <w:ilvl w:val="0"/>
          <w:numId w:val="0"/>
        </w:numPr>
        <w:ind w:left="357" w:hanging="357"/>
        <w:rPr>
          <w:u w:val="single"/>
          <w:lang w:val="de-LI"/>
        </w:rPr>
      </w:pPr>
      <w:proofErr w:type="spellStart"/>
      <w:r w:rsidRPr="00F920E9">
        <w:rPr>
          <w:u w:val="single"/>
          <w:lang w:val="de-LI"/>
        </w:rPr>
        <w:t>Tijdschriften</w:t>
      </w:r>
      <w:proofErr w:type="spellEnd"/>
    </w:p>
    <w:p w14:paraId="662DF0ED" w14:textId="64755C63" w:rsidR="00762D99" w:rsidRPr="00F920E9" w:rsidRDefault="00D32EC4" w:rsidP="00762D99">
      <w:pPr>
        <w:pStyle w:val="Randnummer"/>
        <w:numPr>
          <w:ilvl w:val="0"/>
          <w:numId w:val="0"/>
        </w:numPr>
        <w:rPr>
          <w:lang w:val="de-LI"/>
        </w:rPr>
      </w:pPr>
      <w:r w:rsidRPr="00F920E9">
        <w:rPr>
          <w:lang w:val="de-LI"/>
        </w:rPr>
        <w:t xml:space="preserve">KNORR G., ‘Die gesetzliche Neuregelung der Kündigungsfristen’, </w:t>
      </w:r>
      <w:r w:rsidRPr="00F920E9">
        <w:rPr>
          <w:i/>
          <w:iCs/>
          <w:lang w:val="de-LI"/>
        </w:rPr>
        <w:t>Zeitschrift</w:t>
      </w:r>
      <w:r w:rsidR="00703A56" w:rsidRPr="00F920E9">
        <w:rPr>
          <w:i/>
          <w:iCs/>
          <w:lang w:val="de-LI"/>
        </w:rPr>
        <w:t xml:space="preserve"> für </w:t>
      </w:r>
      <w:proofErr w:type="spellStart"/>
      <w:r w:rsidR="00703A56" w:rsidRPr="00F920E9">
        <w:rPr>
          <w:i/>
          <w:iCs/>
          <w:lang w:val="de-LI"/>
        </w:rPr>
        <w:t>Traifrecht</w:t>
      </w:r>
      <w:proofErr w:type="spellEnd"/>
      <w:r w:rsidR="00703A56" w:rsidRPr="00F920E9">
        <w:rPr>
          <w:i/>
          <w:iCs/>
          <w:lang w:val="de-LI"/>
        </w:rPr>
        <w:t xml:space="preserve"> </w:t>
      </w:r>
      <w:r w:rsidR="00703A56" w:rsidRPr="00F920E9">
        <w:rPr>
          <w:lang w:val="de-LI"/>
        </w:rPr>
        <w:t xml:space="preserve">1994, 269. </w:t>
      </w:r>
    </w:p>
    <w:p w14:paraId="66273425" w14:textId="7AB2FBAB" w:rsidR="00703A56" w:rsidRPr="00F920E9" w:rsidRDefault="00703A56" w:rsidP="00762D99">
      <w:pPr>
        <w:pStyle w:val="Randnummer"/>
        <w:numPr>
          <w:ilvl w:val="0"/>
          <w:numId w:val="0"/>
        </w:numPr>
        <w:rPr>
          <w:lang w:val="de-LI"/>
        </w:rPr>
      </w:pPr>
      <w:r w:rsidRPr="00F920E9">
        <w:rPr>
          <w:lang w:val="de-LI"/>
        </w:rPr>
        <w:t xml:space="preserve">LEIBER S., ‘Formen und Verbreitung der betrieblichen Altersvorsorge – Eine Zwischenbilanz’, </w:t>
      </w:r>
      <w:r w:rsidRPr="00F920E9">
        <w:rPr>
          <w:i/>
          <w:iCs/>
          <w:lang w:val="de-LI"/>
        </w:rPr>
        <w:t xml:space="preserve">WSI Mitteilungen </w:t>
      </w:r>
      <w:r w:rsidRPr="00F920E9">
        <w:rPr>
          <w:lang w:val="de-LI"/>
        </w:rPr>
        <w:t xml:space="preserve">2005/6, 314. </w:t>
      </w:r>
    </w:p>
    <w:p w14:paraId="78FCEA95" w14:textId="77777777" w:rsidR="00641872" w:rsidRPr="00F920E9" w:rsidRDefault="006B2BC6" w:rsidP="00762D99">
      <w:pPr>
        <w:pStyle w:val="Randnummer"/>
        <w:numPr>
          <w:ilvl w:val="0"/>
          <w:numId w:val="0"/>
        </w:numPr>
        <w:rPr>
          <w:lang w:val="de-LI"/>
        </w:rPr>
      </w:pPr>
      <w:r w:rsidRPr="00F920E9">
        <w:rPr>
          <w:lang w:val="de-LI"/>
        </w:rPr>
        <w:t>PREIS U. en KRAMER M., ‘Das neue Kündigungsfristengesetz</w:t>
      </w:r>
      <w:r w:rsidR="00710F5B" w:rsidRPr="00F920E9">
        <w:rPr>
          <w:lang w:val="de-LI"/>
        </w:rPr>
        <w:t xml:space="preserve">’, </w:t>
      </w:r>
      <w:r w:rsidR="00710F5B" w:rsidRPr="00F920E9">
        <w:rPr>
          <w:i/>
          <w:iCs/>
          <w:lang w:val="de-LI"/>
        </w:rPr>
        <w:t xml:space="preserve">D.B. </w:t>
      </w:r>
      <w:r w:rsidR="00710F5B" w:rsidRPr="00F920E9">
        <w:rPr>
          <w:lang w:val="de-LI"/>
        </w:rPr>
        <w:t>1993, 2.</w:t>
      </w:r>
    </w:p>
    <w:p w14:paraId="6563DDC9" w14:textId="77777777" w:rsidR="00641872" w:rsidRPr="00F920E9" w:rsidRDefault="00641872" w:rsidP="00762D99">
      <w:pPr>
        <w:pStyle w:val="Randnummer"/>
        <w:numPr>
          <w:ilvl w:val="0"/>
          <w:numId w:val="0"/>
        </w:numPr>
        <w:rPr>
          <w:lang w:val="de-LI"/>
        </w:rPr>
      </w:pPr>
    </w:p>
    <w:p w14:paraId="78F6974D" w14:textId="4E0C7C57" w:rsidR="00641872" w:rsidRPr="00F920E9" w:rsidRDefault="00641872" w:rsidP="00762D99">
      <w:pPr>
        <w:pStyle w:val="Randnummer"/>
        <w:numPr>
          <w:ilvl w:val="0"/>
          <w:numId w:val="0"/>
        </w:numPr>
        <w:rPr>
          <w:u w:val="single"/>
          <w:lang w:val="de-LI"/>
        </w:rPr>
      </w:pPr>
      <w:r w:rsidRPr="00F920E9">
        <w:rPr>
          <w:u w:val="single"/>
          <w:lang w:val="de-LI"/>
        </w:rPr>
        <w:t>Media</w:t>
      </w:r>
    </w:p>
    <w:p w14:paraId="27175212" w14:textId="26BC4FBB" w:rsidR="00641872" w:rsidRPr="00F920E9" w:rsidRDefault="00641872" w:rsidP="00641872">
      <w:pPr>
        <w:pStyle w:val="12ptvoor"/>
        <w:rPr>
          <w:lang w:val="de-LI"/>
        </w:rPr>
      </w:pPr>
      <w:r w:rsidRPr="00F920E9">
        <w:rPr>
          <w:lang w:val="de-LI"/>
        </w:rPr>
        <w:t xml:space="preserve">LV 1871, ‘Ist die Betriebliche Altersvorsorge Pflicht?’, lv1871.de, </w:t>
      </w:r>
      <w:r w:rsidR="00401C53" w:rsidRPr="00F920E9">
        <w:rPr>
          <w:lang w:val="de-LI"/>
        </w:rPr>
        <w:t xml:space="preserve">https://www.lv1871.de/betriebliche-altersvorsorge/fragen/pflicht/. </w:t>
      </w:r>
    </w:p>
    <w:p w14:paraId="727B2FF3" w14:textId="768C8BA1" w:rsidR="00641872" w:rsidRPr="00F920E9" w:rsidRDefault="00641872" w:rsidP="00762D99">
      <w:pPr>
        <w:pStyle w:val="Randnummer"/>
        <w:numPr>
          <w:ilvl w:val="0"/>
          <w:numId w:val="0"/>
        </w:numPr>
        <w:rPr>
          <w:u w:val="single"/>
          <w:lang w:val="de-LI"/>
        </w:rPr>
        <w:sectPr w:rsidR="00641872" w:rsidRPr="00F920E9" w:rsidSect="003241EF">
          <w:pgSz w:w="11906" w:h="16838" w:code="9"/>
          <w:pgMar w:top="1418" w:right="1134" w:bottom="1418" w:left="1134" w:header="709" w:footer="833" w:gutter="0"/>
          <w:pgNumType w:start="1"/>
          <w:cols w:space="708"/>
          <w:docGrid w:linePitch="360"/>
        </w:sectPr>
      </w:pPr>
    </w:p>
    <w:p w14:paraId="363FFBE4" w14:textId="4E6B53D3" w:rsidR="00E56877" w:rsidRPr="00E56877" w:rsidRDefault="003C07C5" w:rsidP="00E56877">
      <w:pPr>
        <w:pStyle w:val="Kop1"/>
        <w:numPr>
          <w:ilvl w:val="0"/>
          <w:numId w:val="0"/>
        </w:numPr>
      </w:pPr>
      <w:bookmarkStart w:id="115" w:name="_Toc228784148"/>
      <w:r>
        <w:t>Bijlage. Gebruik van GenAi</w:t>
      </w:r>
      <w:bookmarkEnd w:id="115"/>
    </w:p>
    <w:p w14:paraId="6AF1E481" w14:textId="77777777" w:rsidR="00382321" w:rsidRPr="00AE18E3" w:rsidRDefault="00382321" w:rsidP="00382321">
      <w:pPr>
        <w:jc w:val="center"/>
        <w:rPr>
          <w:rFonts w:asciiTheme="minorHAnsi" w:hAnsiTheme="minorHAnsi" w:cstheme="minorHAnsi"/>
          <w:b/>
          <w:bCs/>
        </w:rPr>
      </w:pPr>
      <w:r w:rsidRPr="00AE18E3">
        <w:rPr>
          <w:rFonts w:asciiTheme="minorHAnsi" w:hAnsiTheme="minorHAnsi" w:cstheme="minorHAnsi"/>
          <w:b/>
          <w:bCs/>
        </w:rPr>
        <w:t xml:space="preserve">Gebruik van </w:t>
      </w:r>
      <w:proofErr w:type="spellStart"/>
      <w:r w:rsidRPr="00AE18E3">
        <w:rPr>
          <w:rFonts w:asciiTheme="minorHAnsi" w:hAnsiTheme="minorHAnsi" w:cstheme="minorHAnsi"/>
          <w:b/>
          <w:bCs/>
        </w:rPr>
        <w:t>GenAI</w:t>
      </w:r>
      <w:proofErr w:type="spellEnd"/>
      <w:r w:rsidRPr="00AE18E3">
        <w:rPr>
          <w:rFonts w:asciiTheme="minorHAnsi" w:hAnsiTheme="minorHAnsi" w:cstheme="minorHAnsi"/>
          <w:b/>
          <w:bCs/>
        </w:rPr>
        <w:t xml:space="preserve"> bij een schrijfopdracht</w:t>
      </w:r>
    </w:p>
    <w:p w14:paraId="5CD8252B" w14:textId="77777777" w:rsidR="00382321" w:rsidRPr="00AE18E3" w:rsidRDefault="00382321" w:rsidP="00382321">
      <w:pPr>
        <w:rPr>
          <w:rFonts w:asciiTheme="minorHAnsi" w:hAnsiTheme="minorHAnsi" w:cstheme="minorHAnsi"/>
          <w:i/>
          <w:iCs/>
        </w:rPr>
      </w:pPr>
      <w:r w:rsidRPr="00AE18E3">
        <w:rPr>
          <w:rFonts w:asciiTheme="minorHAnsi" w:hAnsiTheme="minorHAnsi" w:cstheme="minorHAnsi"/>
          <w:i/>
          <w:iCs/>
        </w:rPr>
        <w:t xml:space="preserve">Conform de afspraken gemaakt in de universiteit en faculteit, communiceren studenten transparant over het gebruik van </w:t>
      </w:r>
      <w:proofErr w:type="spellStart"/>
      <w:r w:rsidRPr="00AE18E3">
        <w:rPr>
          <w:rFonts w:asciiTheme="minorHAnsi" w:hAnsiTheme="minorHAnsi" w:cstheme="minorHAnsi"/>
          <w:i/>
          <w:iCs/>
        </w:rPr>
        <w:t>GenAI</w:t>
      </w:r>
      <w:proofErr w:type="spellEnd"/>
      <w:r w:rsidRPr="00AE18E3">
        <w:rPr>
          <w:rFonts w:asciiTheme="minorHAnsi" w:hAnsiTheme="minorHAnsi" w:cstheme="minorHAnsi"/>
          <w:i/>
          <w:iCs/>
        </w:rPr>
        <w:t xml:space="preserve">.  Ze voegen dit ingevulde formulier toe als bijlage aan hun schrijfopdracht. Alle </w:t>
      </w:r>
      <w:proofErr w:type="spellStart"/>
      <w:r w:rsidRPr="00AE18E3">
        <w:rPr>
          <w:rFonts w:asciiTheme="minorHAnsi" w:hAnsiTheme="minorHAnsi" w:cstheme="minorHAnsi"/>
          <w:i/>
          <w:iCs/>
        </w:rPr>
        <w:t>aanvinkopties</w:t>
      </w:r>
      <w:proofErr w:type="spellEnd"/>
      <w:r w:rsidRPr="00AE18E3">
        <w:rPr>
          <w:rFonts w:asciiTheme="minorHAnsi" w:hAnsiTheme="minorHAnsi" w:cstheme="minorHAnsi"/>
          <w:i/>
          <w:iCs/>
        </w:rPr>
        <w:t xml:space="preserve"> zijn toegelaten op voorwaarde dat studenten de gedragscode en </w:t>
      </w:r>
      <w:hyperlink r:id="rId18" w:history="1">
        <w:r w:rsidRPr="00AE18E3">
          <w:rPr>
            <w:rStyle w:val="Hyperlink"/>
            <w:rFonts w:asciiTheme="minorHAnsi" w:hAnsiTheme="minorHAnsi" w:cstheme="minorHAnsi"/>
            <w:i w:val="0"/>
            <w:iCs/>
          </w:rPr>
          <w:t>de KU Leuven richtlijnen</w:t>
        </w:r>
      </w:hyperlink>
      <w:r w:rsidRPr="00AE18E3">
        <w:rPr>
          <w:rFonts w:asciiTheme="minorHAnsi" w:hAnsiTheme="minorHAnsi" w:cstheme="minorHAnsi"/>
          <w:i/>
          <w:iCs/>
        </w:rPr>
        <w:t xml:space="preserve"> volgen.</w:t>
      </w:r>
    </w:p>
    <w:p w14:paraId="6B16C9A5" w14:textId="77777777" w:rsidR="00382321" w:rsidRPr="00AE18E3" w:rsidRDefault="00382321" w:rsidP="00382321">
      <w:pPr>
        <w:tabs>
          <w:tab w:val="left" w:pos="5740"/>
        </w:tabs>
        <w:rPr>
          <w:rFonts w:asciiTheme="minorHAnsi" w:hAnsiTheme="minorHAnsi" w:cstheme="minorHAnsi"/>
        </w:rPr>
      </w:pPr>
      <w:r w:rsidRPr="00AE18E3">
        <w:rPr>
          <w:rFonts w:asciiTheme="minorHAnsi" w:hAnsiTheme="minorHAnsi" w:cstheme="minorHAnsi"/>
          <w:b/>
          <w:bCs/>
        </w:rPr>
        <w:t>Naam student</w:t>
      </w:r>
      <w:r w:rsidRPr="00AE18E3">
        <w:rPr>
          <w:rFonts w:asciiTheme="minorHAnsi" w:hAnsiTheme="minorHAnsi" w:cstheme="minorHAnsi"/>
        </w:rPr>
        <w:t xml:space="preserve">: </w:t>
      </w:r>
      <w:sdt>
        <w:sdtPr>
          <w:rPr>
            <w:rFonts w:asciiTheme="minorHAnsi" w:hAnsiTheme="minorHAnsi" w:cstheme="minorHAnsi"/>
          </w:rPr>
          <w:id w:val="1994217062"/>
          <w:placeholder>
            <w:docPart w:val="C4F3B80314874202A739CCEB590B90B7"/>
          </w:placeholder>
          <w:text/>
        </w:sdtPr>
        <w:sdtContent>
          <w:r w:rsidRPr="00AE18E3">
            <w:rPr>
              <w:rFonts w:asciiTheme="minorHAnsi" w:hAnsiTheme="minorHAnsi" w:cstheme="minorHAnsi"/>
            </w:rPr>
            <w:t>Xanthe Godts</w:t>
          </w:r>
        </w:sdtContent>
      </w:sdt>
      <w:r w:rsidRPr="00AE18E3">
        <w:rPr>
          <w:rFonts w:asciiTheme="minorHAnsi" w:hAnsiTheme="minorHAnsi" w:cstheme="minorHAnsi"/>
        </w:rPr>
        <w:tab/>
      </w:r>
    </w:p>
    <w:p w14:paraId="6442B5C7" w14:textId="09BBFC92" w:rsidR="00382321" w:rsidRPr="00AE18E3" w:rsidRDefault="00382321" w:rsidP="00382321">
      <w:pPr>
        <w:rPr>
          <w:rFonts w:asciiTheme="minorHAnsi" w:hAnsiTheme="minorHAnsi" w:cstheme="minorHAnsi"/>
        </w:rPr>
      </w:pPr>
      <w:r w:rsidRPr="00AE18E3">
        <w:rPr>
          <w:rFonts w:asciiTheme="minorHAnsi" w:hAnsiTheme="minorHAnsi" w:cstheme="minorHAnsi"/>
          <w:b/>
          <w:bCs/>
        </w:rPr>
        <w:t>Studentnummer</w:t>
      </w:r>
      <w:r w:rsidRPr="00AE18E3">
        <w:rPr>
          <w:rFonts w:asciiTheme="minorHAnsi" w:hAnsiTheme="minorHAnsi" w:cstheme="minorHAnsi"/>
        </w:rPr>
        <w:t xml:space="preserve">: </w:t>
      </w:r>
      <w:sdt>
        <w:sdtPr>
          <w:rPr>
            <w:rFonts w:asciiTheme="minorHAnsi" w:hAnsiTheme="minorHAnsi" w:cstheme="minorHAnsi"/>
          </w:rPr>
          <w:id w:val="-2108647896"/>
          <w:placeholder>
            <w:docPart w:val="A9ED696DE5624C69B6A208EA88B8BC81"/>
          </w:placeholder>
          <w:text/>
        </w:sdtPr>
        <w:sdtContent>
          <w:r w:rsidR="00526A62">
            <w:rPr>
              <w:rFonts w:asciiTheme="minorHAnsi" w:hAnsiTheme="minorHAnsi" w:cstheme="minorHAnsi"/>
            </w:rPr>
            <w:t>r</w:t>
          </w:r>
          <w:r w:rsidRPr="00AE18E3">
            <w:rPr>
              <w:rFonts w:asciiTheme="minorHAnsi" w:hAnsiTheme="minorHAnsi" w:cstheme="minorHAnsi"/>
            </w:rPr>
            <w:t>0838211</w:t>
          </w:r>
        </w:sdtContent>
      </w:sdt>
    </w:p>
    <w:p w14:paraId="6E44706D" w14:textId="77777777" w:rsidR="00382321" w:rsidRPr="00AE18E3" w:rsidRDefault="00382321" w:rsidP="00382321">
      <w:pPr>
        <w:rPr>
          <w:rFonts w:asciiTheme="minorHAnsi" w:hAnsiTheme="minorHAnsi" w:cstheme="minorHAnsi"/>
        </w:rPr>
      </w:pPr>
      <w:r w:rsidRPr="00AE18E3">
        <w:rPr>
          <w:rFonts w:asciiTheme="minorHAnsi" w:hAnsiTheme="minorHAnsi" w:cstheme="minorHAnsi"/>
        </w:rPr>
        <w:t>Geef met "X" aan:</w:t>
      </w:r>
    </w:p>
    <w:p w14:paraId="5299FD55" w14:textId="77777777" w:rsidR="00382321" w:rsidRPr="00AE18E3" w:rsidRDefault="00000000" w:rsidP="00382321">
      <w:pPr>
        <w:ind w:left="708"/>
        <w:rPr>
          <w:rFonts w:asciiTheme="minorHAnsi" w:hAnsiTheme="minorHAnsi" w:cstheme="minorHAnsi"/>
        </w:rPr>
      </w:pPr>
      <w:sdt>
        <w:sdtPr>
          <w:rPr>
            <w:rFonts w:asciiTheme="minorHAnsi" w:hAnsiTheme="minorHAnsi" w:cstheme="minorHAnsi"/>
          </w:rPr>
          <w:id w:val="1685312903"/>
          <w14:checkbox>
            <w14:checked w14:val="0"/>
            <w14:checkedState w14:val="2612" w14:font="MS Gothic"/>
            <w14:uncheckedState w14:val="2610" w14:font="MS Gothic"/>
          </w14:checkbox>
        </w:sdtPr>
        <w:sdtContent>
          <w:r w:rsidR="00382321" w:rsidRPr="00AE18E3">
            <w:rPr>
              <w:rFonts w:ascii="Segoe UI Symbol" w:eastAsia="MS Gothic" w:hAnsi="Segoe UI Symbol" w:cs="Segoe UI Symbol"/>
            </w:rPr>
            <w:t>☐</w:t>
          </w:r>
        </w:sdtContent>
      </w:sdt>
      <w:r w:rsidR="00382321" w:rsidRPr="00AE18E3">
        <w:rPr>
          <w:rFonts w:asciiTheme="minorHAnsi" w:hAnsiTheme="minorHAnsi" w:cstheme="minorHAnsi"/>
        </w:rPr>
        <w:t xml:space="preserve"> Ik heb </w:t>
      </w:r>
      <w:r w:rsidR="00382321" w:rsidRPr="00AE18E3">
        <w:rPr>
          <w:rFonts w:asciiTheme="minorHAnsi" w:hAnsiTheme="minorHAnsi" w:cstheme="minorHAnsi"/>
          <w:b/>
          <w:bCs/>
        </w:rPr>
        <w:t>geen</w:t>
      </w:r>
      <w:r w:rsidR="00382321" w:rsidRPr="00AE18E3">
        <w:rPr>
          <w:rFonts w:asciiTheme="minorHAnsi" w:hAnsiTheme="minorHAnsi" w:cstheme="minorHAnsi"/>
        </w:rPr>
        <w:t xml:space="preserve"> AI </w:t>
      </w:r>
      <w:proofErr w:type="spellStart"/>
      <w:r w:rsidR="00382321" w:rsidRPr="00AE18E3">
        <w:rPr>
          <w:rFonts w:asciiTheme="minorHAnsi" w:hAnsiTheme="minorHAnsi" w:cstheme="minorHAnsi"/>
        </w:rPr>
        <w:t>Writing</w:t>
      </w:r>
      <w:proofErr w:type="spellEnd"/>
      <w:r w:rsidR="00382321" w:rsidRPr="00AE18E3">
        <w:rPr>
          <w:rFonts w:asciiTheme="minorHAnsi" w:hAnsiTheme="minorHAnsi" w:cstheme="minorHAnsi"/>
        </w:rPr>
        <w:t>/</w:t>
      </w:r>
      <w:proofErr w:type="spellStart"/>
      <w:r w:rsidR="00382321" w:rsidRPr="00AE18E3">
        <w:rPr>
          <w:rFonts w:asciiTheme="minorHAnsi" w:hAnsiTheme="minorHAnsi" w:cstheme="minorHAnsi"/>
        </w:rPr>
        <w:t>Coding</w:t>
      </w:r>
      <w:proofErr w:type="spellEnd"/>
      <w:r w:rsidR="00382321" w:rsidRPr="00AE18E3">
        <w:rPr>
          <w:rFonts w:asciiTheme="minorHAnsi" w:hAnsiTheme="minorHAnsi" w:cstheme="minorHAnsi"/>
        </w:rPr>
        <w:t>/</w:t>
      </w:r>
      <w:proofErr w:type="spellStart"/>
      <w:r w:rsidR="00382321" w:rsidRPr="00AE18E3">
        <w:rPr>
          <w:rFonts w:asciiTheme="minorHAnsi" w:hAnsiTheme="minorHAnsi" w:cstheme="minorHAnsi"/>
        </w:rPr>
        <w:t>Visualisation</w:t>
      </w:r>
      <w:proofErr w:type="spellEnd"/>
      <w:r w:rsidR="00382321" w:rsidRPr="00AE18E3">
        <w:rPr>
          <w:rFonts w:asciiTheme="minorHAnsi" w:hAnsiTheme="minorHAnsi" w:cstheme="minorHAnsi"/>
        </w:rPr>
        <w:t>-assistent gebruikt.</w:t>
      </w:r>
    </w:p>
    <w:p w14:paraId="789889E8" w14:textId="77777777" w:rsidR="00382321" w:rsidRPr="00AE18E3" w:rsidRDefault="00000000" w:rsidP="00382321">
      <w:pPr>
        <w:ind w:left="708"/>
        <w:rPr>
          <w:rFonts w:asciiTheme="minorHAnsi" w:hAnsiTheme="minorHAnsi" w:cstheme="minorHAnsi"/>
        </w:rPr>
      </w:pPr>
      <w:sdt>
        <w:sdtPr>
          <w:rPr>
            <w:rFonts w:asciiTheme="minorHAnsi" w:hAnsiTheme="minorHAnsi" w:cstheme="minorHAnsi"/>
          </w:rPr>
          <w:id w:val="1301816976"/>
          <w14:checkbox>
            <w14:checked w14:val="1"/>
            <w14:checkedState w14:val="2612" w14:font="MS Gothic"/>
            <w14:uncheckedState w14:val="2610" w14:font="MS Gothic"/>
          </w14:checkbox>
        </w:sdtPr>
        <w:sdtContent>
          <w:r w:rsidR="00382321" w:rsidRPr="00AE18E3">
            <w:rPr>
              <w:rFonts w:ascii="Segoe UI Symbol" w:eastAsia="MS Gothic" w:hAnsi="Segoe UI Symbol" w:cs="Segoe UI Symbol"/>
            </w:rPr>
            <w:t>☒</w:t>
          </w:r>
        </w:sdtContent>
      </w:sdt>
      <w:r w:rsidR="00382321" w:rsidRPr="00AE18E3">
        <w:rPr>
          <w:rFonts w:asciiTheme="minorHAnsi" w:hAnsiTheme="minorHAnsi" w:cstheme="minorHAnsi"/>
        </w:rPr>
        <w:t xml:space="preserve"> Ik heb </w:t>
      </w:r>
      <w:r w:rsidR="00382321" w:rsidRPr="00AE18E3">
        <w:rPr>
          <w:rFonts w:asciiTheme="minorHAnsi" w:hAnsiTheme="minorHAnsi" w:cstheme="minorHAnsi"/>
          <w:b/>
          <w:bCs/>
        </w:rPr>
        <w:t>wel</w:t>
      </w:r>
      <w:r w:rsidR="00382321" w:rsidRPr="00AE18E3">
        <w:rPr>
          <w:rFonts w:asciiTheme="minorHAnsi" w:hAnsiTheme="minorHAnsi" w:cstheme="minorHAnsi"/>
        </w:rPr>
        <w:t xml:space="preserve"> een AI </w:t>
      </w:r>
      <w:proofErr w:type="spellStart"/>
      <w:r w:rsidR="00382321" w:rsidRPr="00AE18E3">
        <w:rPr>
          <w:rFonts w:asciiTheme="minorHAnsi" w:hAnsiTheme="minorHAnsi" w:cstheme="minorHAnsi"/>
        </w:rPr>
        <w:t>Writing</w:t>
      </w:r>
      <w:proofErr w:type="spellEnd"/>
      <w:r w:rsidR="00382321" w:rsidRPr="00AE18E3">
        <w:rPr>
          <w:rFonts w:asciiTheme="minorHAnsi" w:hAnsiTheme="minorHAnsi" w:cstheme="minorHAnsi"/>
        </w:rPr>
        <w:t>/</w:t>
      </w:r>
      <w:proofErr w:type="spellStart"/>
      <w:r w:rsidR="00382321" w:rsidRPr="00AE18E3">
        <w:rPr>
          <w:rFonts w:asciiTheme="minorHAnsi" w:hAnsiTheme="minorHAnsi" w:cstheme="minorHAnsi"/>
        </w:rPr>
        <w:t>Coding</w:t>
      </w:r>
      <w:proofErr w:type="spellEnd"/>
      <w:r w:rsidR="00382321" w:rsidRPr="00AE18E3">
        <w:rPr>
          <w:rFonts w:asciiTheme="minorHAnsi" w:hAnsiTheme="minorHAnsi" w:cstheme="minorHAnsi"/>
        </w:rPr>
        <w:t>/</w:t>
      </w:r>
      <w:proofErr w:type="spellStart"/>
      <w:r w:rsidR="00382321" w:rsidRPr="00AE18E3">
        <w:rPr>
          <w:rFonts w:asciiTheme="minorHAnsi" w:hAnsiTheme="minorHAnsi" w:cstheme="minorHAnsi"/>
        </w:rPr>
        <w:t>Visualisation</w:t>
      </w:r>
      <w:proofErr w:type="spellEnd"/>
      <w:r w:rsidR="00382321" w:rsidRPr="00AE18E3">
        <w:rPr>
          <w:rFonts w:asciiTheme="minorHAnsi" w:hAnsiTheme="minorHAnsi" w:cstheme="minorHAnsi"/>
        </w:rPr>
        <w:t xml:space="preserve">-assistent gebruikt. Geef in dat geval aan welke (bijv. </w:t>
      </w:r>
      <w:proofErr w:type="spellStart"/>
      <w:r w:rsidR="00382321" w:rsidRPr="00AE18E3">
        <w:rPr>
          <w:rFonts w:asciiTheme="minorHAnsi" w:hAnsiTheme="minorHAnsi" w:cstheme="minorHAnsi"/>
        </w:rPr>
        <w:t>ChatGPT</w:t>
      </w:r>
      <w:proofErr w:type="spellEnd"/>
      <w:r w:rsidR="00382321" w:rsidRPr="00AE18E3">
        <w:rPr>
          <w:rFonts w:asciiTheme="minorHAnsi" w:hAnsiTheme="minorHAnsi" w:cstheme="minorHAnsi"/>
        </w:rPr>
        <w:t>/GPT4/</w:t>
      </w:r>
      <w:proofErr w:type="spellStart"/>
      <w:r w:rsidR="00382321" w:rsidRPr="00AE18E3">
        <w:rPr>
          <w:rFonts w:asciiTheme="minorHAnsi" w:hAnsiTheme="minorHAnsi" w:cstheme="minorHAnsi"/>
        </w:rPr>
        <w:t>Grammarly</w:t>
      </w:r>
      <w:proofErr w:type="spellEnd"/>
      <w:r w:rsidR="00382321" w:rsidRPr="00AE18E3">
        <w:rPr>
          <w:rFonts w:asciiTheme="minorHAnsi" w:hAnsiTheme="minorHAnsi" w:cstheme="minorHAnsi"/>
        </w:rPr>
        <w:t xml:space="preserve">...): </w:t>
      </w:r>
      <w:sdt>
        <w:sdtPr>
          <w:rPr>
            <w:rFonts w:asciiTheme="minorHAnsi" w:hAnsiTheme="minorHAnsi" w:cstheme="minorHAnsi"/>
          </w:rPr>
          <w:id w:val="921309113"/>
          <w:placeholder>
            <w:docPart w:val="873A575E49F741B2BC6F5307A65CC2E0"/>
          </w:placeholder>
          <w:text/>
        </w:sdtPr>
        <w:sdtContent>
          <w:proofErr w:type="spellStart"/>
          <w:r w:rsidR="00382321" w:rsidRPr="00AE18E3">
            <w:rPr>
              <w:rFonts w:asciiTheme="minorHAnsi" w:hAnsiTheme="minorHAnsi" w:cstheme="minorHAnsi"/>
            </w:rPr>
            <w:t>ChatGPT</w:t>
          </w:r>
          <w:proofErr w:type="spellEnd"/>
          <w:r w:rsidR="00382321" w:rsidRPr="00AE18E3">
            <w:rPr>
              <w:rFonts w:asciiTheme="minorHAnsi" w:hAnsiTheme="minorHAnsi" w:cstheme="minorHAnsi"/>
            </w:rPr>
            <w:t xml:space="preserve"> en </w:t>
          </w:r>
          <w:proofErr w:type="spellStart"/>
          <w:r w:rsidR="00382321" w:rsidRPr="00AE18E3">
            <w:rPr>
              <w:rFonts w:asciiTheme="minorHAnsi" w:hAnsiTheme="minorHAnsi" w:cstheme="minorHAnsi"/>
            </w:rPr>
            <w:t>NotebookLM</w:t>
          </w:r>
          <w:proofErr w:type="spellEnd"/>
        </w:sdtContent>
      </w:sdt>
    </w:p>
    <w:p w14:paraId="0EEF75EE" w14:textId="77777777" w:rsidR="00382321" w:rsidRPr="00AE18E3" w:rsidRDefault="00382321" w:rsidP="00382321">
      <w:pPr>
        <w:rPr>
          <w:rFonts w:asciiTheme="minorHAnsi" w:hAnsiTheme="minorHAnsi" w:cstheme="minorHAnsi"/>
        </w:rPr>
      </w:pPr>
      <w:r w:rsidRPr="00AE18E3">
        <w:rPr>
          <w:rFonts w:asciiTheme="minorHAnsi" w:hAnsiTheme="minorHAnsi" w:cstheme="minorHAnsi"/>
        </w:rPr>
        <w:t xml:space="preserve">Geef met "X" aan (mogelijk meerdere keren) op welke manier je de AI </w:t>
      </w:r>
      <w:proofErr w:type="spellStart"/>
      <w:r w:rsidRPr="00AE18E3">
        <w:rPr>
          <w:rFonts w:asciiTheme="minorHAnsi" w:hAnsiTheme="minorHAnsi" w:cstheme="minorHAnsi"/>
        </w:rPr>
        <w:t>Writing</w:t>
      </w:r>
      <w:proofErr w:type="spellEnd"/>
      <w:r w:rsidRPr="00AE18E3">
        <w:rPr>
          <w:rFonts w:asciiTheme="minorHAnsi" w:hAnsiTheme="minorHAnsi" w:cstheme="minorHAnsi"/>
        </w:rPr>
        <w:t>/</w:t>
      </w:r>
      <w:proofErr w:type="spellStart"/>
      <w:r w:rsidRPr="00AE18E3">
        <w:rPr>
          <w:rFonts w:asciiTheme="minorHAnsi" w:hAnsiTheme="minorHAnsi" w:cstheme="minorHAnsi"/>
        </w:rPr>
        <w:t>Coding</w:t>
      </w:r>
      <w:proofErr w:type="spellEnd"/>
      <w:r w:rsidRPr="00AE18E3">
        <w:rPr>
          <w:rFonts w:asciiTheme="minorHAnsi" w:hAnsiTheme="minorHAnsi" w:cstheme="minorHAnsi"/>
        </w:rPr>
        <w:t>/</w:t>
      </w:r>
      <w:proofErr w:type="spellStart"/>
      <w:r w:rsidRPr="00AE18E3">
        <w:rPr>
          <w:rFonts w:asciiTheme="minorHAnsi" w:hAnsiTheme="minorHAnsi" w:cstheme="minorHAnsi"/>
        </w:rPr>
        <w:t>Visualisation</w:t>
      </w:r>
      <w:proofErr w:type="spellEnd"/>
      <w:r w:rsidRPr="00AE18E3">
        <w:rPr>
          <w:rFonts w:asciiTheme="minorHAnsi" w:hAnsiTheme="minorHAnsi" w:cstheme="minorHAnsi"/>
        </w:rPr>
        <w:t>-assistent hebt gebruikt:</w:t>
      </w:r>
    </w:p>
    <w:p w14:paraId="138BEDA0" w14:textId="77777777" w:rsidR="00382321" w:rsidRPr="00AE18E3" w:rsidRDefault="00000000" w:rsidP="00382321">
      <w:pPr>
        <w:ind w:left="708"/>
        <w:rPr>
          <w:rFonts w:asciiTheme="minorHAnsi" w:hAnsiTheme="minorHAnsi" w:cstheme="minorHAnsi"/>
        </w:rPr>
      </w:pPr>
      <w:sdt>
        <w:sdtPr>
          <w:rPr>
            <w:rFonts w:asciiTheme="minorHAnsi" w:hAnsiTheme="minorHAnsi" w:cstheme="minorHAnsi"/>
          </w:rPr>
          <w:id w:val="1043785360"/>
          <w14:checkbox>
            <w14:checked w14:val="1"/>
            <w14:checkedState w14:val="2612" w14:font="MS Gothic"/>
            <w14:uncheckedState w14:val="2610" w14:font="MS Gothic"/>
          </w14:checkbox>
        </w:sdtPr>
        <w:sdtContent>
          <w:r w:rsidR="00382321" w:rsidRPr="00AE18E3">
            <w:rPr>
              <w:rFonts w:ascii="Segoe UI Symbol" w:eastAsia="MS Gothic" w:hAnsi="Segoe UI Symbol" w:cs="Segoe UI Symbol"/>
            </w:rPr>
            <w:t>☒</w:t>
          </w:r>
        </w:sdtContent>
      </w:sdt>
      <w:r w:rsidR="00382321" w:rsidRPr="00AE18E3">
        <w:rPr>
          <w:rFonts w:asciiTheme="minorHAnsi" w:hAnsiTheme="minorHAnsi" w:cstheme="minorHAnsi"/>
        </w:rPr>
        <w:t xml:space="preserve"> Als hulp bij </w:t>
      </w:r>
      <w:r w:rsidR="00382321" w:rsidRPr="00AE18E3">
        <w:rPr>
          <w:rFonts w:asciiTheme="minorHAnsi" w:hAnsiTheme="minorHAnsi" w:cstheme="minorHAnsi"/>
          <w:b/>
          <w:bCs/>
        </w:rPr>
        <w:t>de verwoording van de tekst</w:t>
      </w:r>
      <w:r w:rsidR="00382321" w:rsidRPr="00AE18E3">
        <w:rPr>
          <w:rFonts w:asciiTheme="minorHAnsi" w:hAnsiTheme="minorHAnsi" w:cstheme="minorHAnsi"/>
        </w:rPr>
        <w:br/>
      </w:r>
      <w:r w:rsidR="00382321" w:rsidRPr="00AE18E3">
        <w:rPr>
          <w:rFonts w:asciiTheme="minorHAnsi" w:hAnsiTheme="minorHAnsi" w:cstheme="minorHAnsi"/>
          <w:u w:val="single"/>
        </w:rPr>
        <w:t>Gedragscode:</w:t>
      </w:r>
      <w:r w:rsidR="00382321" w:rsidRPr="00AE18E3">
        <w:rPr>
          <w:rFonts w:asciiTheme="minorHAnsi" w:hAnsiTheme="minorHAnsi" w:cstheme="minorHAnsi"/>
        </w:rPr>
        <w:t xml:space="preserve"> Deze toepassing is vergelijkbaar met het gebruik van spellingscontrolesoftware</w:t>
      </w:r>
    </w:p>
    <w:p w14:paraId="7A27D582" w14:textId="277013EA" w:rsidR="00382321" w:rsidRPr="00AE18E3" w:rsidRDefault="00000000" w:rsidP="00382321">
      <w:pPr>
        <w:ind w:left="708"/>
        <w:rPr>
          <w:rFonts w:asciiTheme="minorHAnsi" w:hAnsiTheme="minorHAnsi" w:cstheme="minorHAnsi"/>
        </w:rPr>
      </w:pPr>
      <w:sdt>
        <w:sdtPr>
          <w:rPr>
            <w:rFonts w:asciiTheme="minorHAnsi" w:hAnsiTheme="minorHAnsi" w:cstheme="minorHAnsi"/>
          </w:rPr>
          <w:id w:val="-569033664"/>
          <w14:checkbox>
            <w14:checked w14:val="1"/>
            <w14:checkedState w14:val="2612" w14:font="MS Gothic"/>
            <w14:uncheckedState w14:val="2610" w14:font="MS Gothic"/>
          </w14:checkbox>
        </w:sdtPr>
        <w:sdtContent>
          <w:r w:rsidR="00375277">
            <w:rPr>
              <w:rFonts w:ascii="MS Gothic" w:eastAsia="MS Gothic" w:hAnsi="MS Gothic" w:cstheme="minorHAnsi" w:hint="eastAsia"/>
            </w:rPr>
            <w:t>☒</w:t>
          </w:r>
        </w:sdtContent>
      </w:sdt>
      <w:r w:rsidR="00382321" w:rsidRPr="00AE18E3">
        <w:rPr>
          <w:rFonts w:asciiTheme="minorHAnsi" w:hAnsiTheme="minorHAnsi" w:cstheme="minorHAnsi"/>
        </w:rPr>
        <w:t xml:space="preserve"> Als </w:t>
      </w:r>
      <w:r w:rsidR="00382321" w:rsidRPr="00AE18E3">
        <w:rPr>
          <w:rFonts w:asciiTheme="minorHAnsi" w:hAnsiTheme="minorHAnsi" w:cstheme="minorHAnsi"/>
          <w:b/>
          <w:bCs/>
        </w:rPr>
        <w:t>zoekmachine</w:t>
      </w:r>
      <w:r w:rsidR="00382321" w:rsidRPr="00AE18E3">
        <w:rPr>
          <w:rFonts w:asciiTheme="minorHAnsi" w:hAnsiTheme="minorHAnsi" w:cstheme="minorHAnsi"/>
        </w:rPr>
        <w:t xml:space="preserve"> om meer te leren over een onderwerp of om </w:t>
      </w:r>
      <w:r w:rsidR="00382321" w:rsidRPr="00AE18E3">
        <w:rPr>
          <w:rFonts w:asciiTheme="minorHAnsi" w:hAnsiTheme="minorHAnsi" w:cstheme="minorHAnsi"/>
          <w:b/>
          <w:bCs/>
        </w:rPr>
        <w:t xml:space="preserve">nieuwe ideeën </w:t>
      </w:r>
      <w:r w:rsidR="00382321" w:rsidRPr="00AE18E3">
        <w:rPr>
          <w:rFonts w:asciiTheme="minorHAnsi" w:hAnsiTheme="minorHAnsi" w:cstheme="minorHAnsi"/>
        </w:rPr>
        <w:t>op te doen</w:t>
      </w:r>
      <w:r w:rsidR="00382321" w:rsidRPr="00AE18E3">
        <w:rPr>
          <w:rFonts w:asciiTheme="minorHAnsi" w:hAnsiTheme="minorHAnsi" w:cstheme="minorHAnsi"/>
        </w:rPr>
        <w:br/>
      </w:r>
      <w:r w:rsidR="00382321" w:rsidRPr="00AE18E3">
        <w:rPr>
          <w:rFonts w:asciiTheme="minorHAnsi" w:hAnsiTheme="minorHAnsi" w:cstheme="minorHAnsi"/>
          <w:u w:val="single"/>
        </w:rPr>
        <w:t>Gedragscode:</w:t>
      </w:r>
      <w:r w:rsidR="00382321" w:rsidRPr="00AE18E3">
        <w:rPr>
          <w:rFonts w:asciiTheme="minorHAnsi" w:hAnsiTheme="minorHAnsi" w:cstheme="minorHAnsi"/>
        </w:rPr>
        <w:t xml:space="preserve"> Deze toepassing is vergelijkbaar met een Google-zoekopdracht of het raadplegen van Wikipedia. Houd er rekening mee dat de output van </w:t>
      </w:r>
      <w:proofErr w:type="spellStart"/>
      <w:r w:rsidR="00382321" w:rsidRPr="00AE18E3">
        <w:rPr>
          <w:rFonts w:asciiTheme="minorHAnsi" w:hAnsiTheme="minorHAnsi" w:cstheme="minorHAnsi"/>
        </w:rPr>
        <w:t>GenAI</w:t>
      </w:r>
      <w:proofErr w:type="spellEnd"/>
      <w:r w:rsidR="00382321" w:rsidRPr="00AE18E3">
        <w:rPr>
          <w:rFonts w:asciiTheme="minorHAnsi" w:hAnsiTheme="minorHAnsi" w:cstheme="minorHAnsi"/>
        </w:rPr>
        <w:t xml:space="preserve"> evolueert en na verloop van tijd kan veranderen. Verifieer ook steeds of het idee nieuw is of niet. Het idee is waarschijnlijk gerelateerd aan bestaand werk, dat moet worden geciteerd.</w:t>
      </w:r>
    </w:p>
    <w:p w14:paraId="6536D9E1" w14:textId="49C81FBA" w:rsidR="00382321" w:rsidRPr="00AE18E3" w:rsidRDefault="00000000" w:rsidP="00AE18E3">
      <w:pPr>
        <w:ind w:left="708"/>
        <w:jc w:val="left"/>
        <w:rPr>
          <w:rFonts w:asciiTheme="minorHAnsi" w:hAnsiTheme="minorHAnsi" w:cstheme="minorHAnsi"/>
        </w:rPr>
      </w:pPr>
      <w:sdt>
        <w:sdtPr>
          <w:rPr>
            <w:rFonts w:asciiTheme="minorHAnsi" w:hAnsiTheme="minorHAnsi" w:cstheme="minorHAnsi"/>
          </w:rPr>
          <w:id w:val="923374862"/>
          <w14:checkbox>
            <w14:checked w14:val="0"/>
            <w14:checkedState w14:val="2612" w14:font="MS Gothic"/>
            <w14:uncheckedState w14:val="2610" w14:font="MS Gothic"/>
          </w14:checkbox>
        </w:sdtPr>
        <w:sdtContent>
          <w:r w:rsidR="00E12DDD">
            <w:rPr>
              <w:rFonts w:ascii="MS Gothic" w:eastAsia="MS Gothic" w:hAnsi="MS Gothic" w:cstheme="minorHAnsi" w:hint="eastAsia"/>
            </w:rPr>
            <w:t>☐</w:t>
          </w:r>
        </w:sdtContent>
      </w:sdt>
      <w:r w:rsidR="00382321" w:rsidRPr="00AE18E3">
        <w:rPr>
          <w:rFonts w:asciiTheme="minorHAnsi" w:hAnsiTheme="minorHAnsi" w:cstheme="minorHAnsi"/>
        </w:rPr>
        <w:t xml:space="preserve"> Voor </w:t>
      </w:r>
      <w:r w:rsidR="00382321" w:rsidRPr="00AE18E3">
        <w:rPr>
          <w:rFonts w:asciiTheme="minorHAnsi" w:hAnsiTheme="minorHAnsi" w:cstheme="minorHAnsi"/>
          <w:b/>
          <w:bCs/>
        </w:rPr>
        <w:t>literatuuronderzoek</w:t>
      </w:r>
      <w:r w:rsidR="00382321" w:rsidRPr="00AE18E3">
        <w:rPr>
          <w:rFonts w:asciiTheme="minorHAnsi" w:hAnsiTheme="minorHAnsi" w:cstheme="minorHAnsi"/>
        </w:rPr>
        <w:br/>
      </w:r>
      <w:r w:rsidR="00382321" w:rsidRPr="00AE18E3">
        <w:rPr>
          <w:rFonts w:asciiTheme="minorHAnsi" w:hAnsiTheme="minorHAnsi" w:cstheme="minorHAnsi"/>
          <w:u w:val="single"/>
        </w:rPr>
        <w:t>Gedragscode:</w:t>
      </w:r>
      <w:r w:rsidR="00382321" w:rsidRPr="00AE18E3">
        <w:rPr>
          <w:rFonts w:asciiTheme="minorHAnsi" w:hAnsiTheme="minorHAnsi" w:cstheme="minorHAnsi"/>
        </w:rPr>
        <w:t xml:space="preserve"> Deze toepassing is vergelijkbaar met een Google </w:t>
      </w:r>
      <w:proofErr w:type="spellStart"/>
      <w:r w:rsidR="00382321" w:rsidRPr="00AE18E3">
        <w:rPr>
          <w:rFonts w:asciiTheme="minorHAnsi" w:hAnsiTheme="minorHAnsi" w:cstheme="minorHAnsi"/>
        </w:rPr>
        <w:t>Scholar</w:t>
      </w:r>
      <w:proofErr w:type="spellEnd"/>
      <w:r w:rsidR="00382321" w:rsidRPr="00AE18E3">
        <w:rPr>
          <w:rFonts w:asciiTheme="minorHAnsi" w:hAnsiTheme="minorHAnsi" w:cstheme="minorHAnsi"/>
        </w:rPr>
        <w:t xml:space="preserve">-zoekopdracht. Door </w:t>
      </w:r>
      <w:proofErr w:type="spellStart"/>
      <w:r w:rsidR="00382321" w:rsidRPr="00AE18E3">
        <w:rPr>
          <w:rFonts w:asciiTheme="minorHAnsi" w:hAnsiTheme="minorHAnsi" w:cstheme="minorHAnsi"/>
        </w:rPr>
        <w:t>GenAI</w:t>
      </w:r>
      <w:proofErr w:type="spellEnd"/>
      <w:r w:rsidR="00382321" w:rsidRPr="00AE18E3">
        <w:rPr>
          <w:rFonts w:asciiTheme="minorHAnsi" w:hAnsiTheme="minorHAnsi" w:cstheme="minorHAnsi"/>
        </w:rPr>
        <w:t xml:space="preserve"> gegenereerde tekst heeft mogelijk geen of verkeerde referenties. Het is jouw verantwoordelijkheid om de afwezigheid van referenties na te gaan of de correctheid te verifiëren.</w:t>
      </w:r>
    </w:p>
    <w:p w14:paraId="04517E1C" w14:textId="77777777" w:rsidR="00382321" w:rsidRPr="00AE18E3" w:rsidRDefault="00000000" w:rsidP="00AE18E3">
      <w:pPr>
        <w:ind w:left="708"/>
        <w:jc w:val="left"/>
        <w:rPr>
          <w:rFonts w:asciiTheme="minorHAnsi" w:hAnsiTheme="minorHAnsi" w:cstheme="minorHAnsi"/>
        </w:rPr>
      </w:pPr>
      <w:sdt>
        <w:sdtPr>
          <w:rPr>
            <w:rFonts w:asciiTheme="minorHAnsi" w:hAnsiTheme="minorHAnsi" w:cstheme="minorHAnsi"/>
          </w:rPr>
          <w:id w:val="-1205396697"/>
          <w14:checkbox>
            <w14:checked w14:val="0"/>
            <w14:checkedState w14:val="2612" w14:font="MS Gothic"/>
            <w14:uncheckedState w14:val="2610" w14:font="MS Gothic"/>
          </w14:checkbox>
        </w:sdtPr>
        <w:sdtContent>
          <w:r w:rsidR="00382321" w:rsidRPr="00AE18E3">
            <w:rPr>
              <w:rFonts w:ascii="Segoe UI Symbol" w:eastAsia="MS Gothic" w:hAnsi="Segoe UI Symbol" w:cs="Segoe UI Symbol"/>
            </w:rPr>
            <w:t>☐</w:t>
          </w:r>
        </w:sdtContent>
      </w:sdt>
      <w:r w:rsidR="00382321" w:rsidRPr="00AE18E3">
        <w:rPr>
          <w:rFonts w:asciiTheme="minorHAnsi" w:hAnsiTheme="minorHAnsi" w:cstheme="minorHAnsi"/>
        </w:rPr>
        <w:t xml:space="preserve"> Om </w:t>
      </w:r>
      <w:r w:rsidR="00382321" w:rsidRPr="00AE18E3">
        <w:rPr>
          <w:rFonts w:asciiTheme="minorHAnsi" w:hAnsiTheme="minorHAnsi" w:cstheme="minorHAnsi"/>
          <w:b/>
          <w:bCs/>
        </w:rPr>
        <w:t xml:space="preserve">programmeercode </w:t>
      </w:r>
      <w:r w:rsidR="00382321" w:rsidRPr="00AE18E3">
        <w:rPr>
          <w:rFonts w:asciiTheme="minorHAnsi" w:hAnsiTheme="minorHAnsi" w:cstheme="minorHAnsi"/>
        </w:rPr>
        <w:t>te genereren</w:t>
      </w:r>
      <w:r w:rsidR="00382321" w:rsidRPr="00AE18E3">
        <w:rPr>
          <w:rFonts w:asciiTheme="minorHAnsi" w:hAnsiTheme="minorHAnsi" w:cstheme="minorHAnsi"/>
        </w:rPr>
        <w:br/>
      </w:r>
      <w:r w:rsidR="00382321" w:rsidRPr="00AE18E3">
        <w:rPr>
          <w:rFonts w:asciiTheme="minorHAnsi" w:hAnsiTheme="minorHAnsi" w:cstheme="minorHAnsi"/>
          <w:u w:val="single"/>
        </w:rPr>
        <w:t>Gedragscode:</w:t>
      </w:r>
      <w:r w:rsidR="00382321" w:rsidRPr="00AE18E3">
        <w:rPr>
          <w:rFonts w:asciiTheme="minorHAnsi" w:hAnsiTheme="minorHAnsi" w:cstheme="minorHAnsi"/>
        </w:rPr>
        <w:t xml:space="preserve"> Vermeld het gebruik van </w:t>
      </w:r>
      <w:proofErr w:type="spellStart"/>
      <w:r w:rsidR="00382321" w:rsidRPr="00AE18E3">
        <w:rPr>
          <w:rFonts w:asciiTheme="minorHAnsi" w:hAnsiTheme="minorHAnsi" w:cstheme="minorHAnsi"/>
        </w:rPr>
        <w:t>GenAI</w:t>
      </w:r>
      <w:proofErr w:type="spellEnd"/>
      <w:r w:rsidR="00382321" w:rsidRPr="00AE18E3">
        <w:rPr>
          <w:rFonts w:asciiTheme="minorHAnsi" w:hAnsiTheme="minorHAnsi" w:cstheme="minorHAnsi"/>
        </w:rPr>
        <w:t xml:space="preserve"> correct en citeer.</w:t>
      </w:r>
    </w:p>
    <w:p w14:paraId="455FA4D4" w14:textId="77777777" w:rsidR="00382321" w:rsidRPr="00AE18E3" w:rsidRDefault="00000000" w:rsidP="00AE18E3">
      <w:pPr>
        <w:ind w:left="708"/>
        <w:jc w:val="left"/>
        <w:rPr>
          <w:rFonts w:asciiTheme="minorHAnsi" w:hAnsiTheme="minorHAnsi" w:cstheme="minorHAnsi"/>
        </w:rPr>
      </w:pPr>
      <w:sdt>
        <w:sdtPr>
          <w:rPr>
            <w:rFonts w:asciiTheme="minorHAnsi" w:hAnsiTheme="minorHAnsi" w:cstheme="minorHAnsi"/>
          </w:rPr>
          <w:id w:val="-2124296859"/>
          <w14:checkbox>
            <w14:checked w14:val="0"/>
            <w14:checkedState w14:val="2612" w14:font="MS Gothic"/>
            <w14:uncheckedState w14:val="2610" w14:font="MS Gothic"/>
          </w14:checkbox>
        </w:sdtPr>
        <w:sdtContent>
          <w:r w:rsidR="00382321" w:rsidRPr="00AE18E3">
            <w:rPr>
              <w:rFonts w:ascii="Segoe UI Symbol" w:eastAsia="MS Gothic" w:hAnsi="Segoe UI Symbol" w:cs="Segoe UI Symbol"/>
            </w:rPr>
            <w:t>☐</w:t>
          </w:r>
        </w:sdtContent>
      </w:sdt>
      <w:r w:rsidR="00382321" w:rsidRPr="00AE18E3">
        <w:rPr>
          <w:rFonts w:asciiTheme="minorHAnsi" w:hAnsiTheme="minorHAnsi" w:cstheme="minorHAnsi"/>
        </w:rPr>
        <w:t xml:space="preserve"> Om </w:t>
      </w:r>
      <w:r w:rsidR="00382321" w:rsidRPr="00AE18E3">
        <w:rPr>
          <w:rFonts w:asciiTheme="minorHAnsi" w:hAnsiTheme="minorHAnsi" w:cstheme="minorHAnsi"/>
          <w:b/>
          <w:bCs/>
        </w:rPr>
        <w:t>grafieken</w:t>
      </w:r>
      <w:r w:rsidR="00382321" w:rsidRPr="00AE18E3">
        <w:rPr>
          <w:rFonts w:asciiTheme="minorHAnsi" w:hAnsiTheme="minorHAnsi" w:cstheme="minorHAnsi"/>
        </w:rPr>
        <w:t xml:space="preserve"> te genereren</w:t>
      </w:r>
      <w:r w:rsidR="00382321" w:rsidRPr="00AE18E3">
        <w:rPr>
          <w:rFonts w:asciiTheme="minorHAnsi" w:hAnsiTheme="minorHAnsi" w:cstheme="minorHAnsi"/>
        </w:rPr>
        <w:br/>
      </w:r>
      <w:r w:rsidR="00382321" w:rsidRPr="00AE18E3">
        <w:rPr>
          <w:rFonts w:asciiTheme="minorHAnsi" w:hAnsiTheme="minorHAnsi" w:cstheme="minorHAnsi"/>
          <w:u w:val="single"/>
        </w:rPr>
        <w:t>Gedragscode:</w:t>
      </w:r>
      <w:r w:rsidR="00382321" w:rsidRPr="00AE18E3">
        <w:rPr>
          <w:rFonts w:asciiTheme="minorHAnsi" w:hAnsiTheme="minorHAnsi" w:cstheme="minorHAnsi"/>
        </w:rPr>
        <w:t xml:space="preserve"> Vermeld het gebruik van </w:t>
      </w:r>
      <w:proofErr w:type="spellStart"/>
      <w:r w:rsidR="00382321" w:rsidRPr="00AE18E3">
        <w:rPr>
          <w:rFonts w:asciiTheme="minorHAnsi" w:hAnsiTheme="minorHAnsi" w:cstheme="minorHAnsi"/>
        </w:rPr>
        <w:t>GenAI</w:t>
      </w:r>
      <w:proofErr w:type="spellEnd"/>
      <w:r w:rsidR="00382321" w:rsidRPr="00AE18E3">
        <w:rPr>
          <w:rFonts w:asciiTheme="minorHAnsi" w:hAnsiTheme="minorHAnsi" w:cstheme="minorHAnsi"/>
        </w:rPr>
        <w:t xml:space="preserve"> correct en citeer.</w:t>
      </w:r>
    </w:p>
    <w:p w14:paraId="01433CC0" w14:textId="77777777" w:rsidR="00382321" w:rsidRPr="00AE18E3" w:rsidRDefault="00000000" w:rsidP="00AE18E3">
      <w:pPr>
        <w:ind w:left="708"/>
        <w:jc w:val="left"/>
        <w:rPr>
          <w:rFonts w:asciiTheme="minorHAnsi" w:hAnsiTheme="minorHAnsi" w:cstheme="minorHAnsi"/>
        </w:rPr>
      </w:pPr>
      <w:sdt>
        <w:sdtPr>
          <w:rPr>
            <w:rFonts w:asciiTheme="minorHAnsi" w:hAnsiTheme="minorHAnsi" w:cstheme="minorHAnsi"/>
          </w:rPr>
          <w:id w:val="-1681348807"/>
          <w14:checkbox>
            <w14:checked w14:val="0"/>
            <w14:checkedState w14:val="2612" w14:font="MS Gothic"/>
            <w14:uncheckedState w14:val="2610" w14:font="MS Gothic"/>
          </w14:checkbox>
        </w:sdtPr>
        <w:sdtContent>
          <w:r w:rsidR="00382321" w:rsidRPr="00AE18E3">
            <w:rPr>
              <w:rFonts w:ascii="Segoe UI Symbol" w:eastAsia="MS Gothic" w:hAnsi="Segoe UI Symbol" w:cs="Segoe UI Symbol"/>
            </w:rPr>
            <w:t>☐</w:t>
          </w:r>
        </w:sdtContent>
      </w:sdt>
      <w:r w:rsidR="00382321" w:rsidRPr="00AE18E3">
        <w:rPr>
          <w:rFonts w:asciiTheme="minorHAnsi" w:hAnsiTheme="minorHAnsi" w:cstheme="minorHAnsi"/>
        </w:rPr>
        <w:t xml:space="preserve"> Om </w:t>
      </w:r>
      <w:r w:rsidR="00382321" w:rsidRPr="00AE18E3">
        <w:rPr>
          <w:rFonts w:asciiTheme="minorHAnsi" w:hAnsiTheme="minorHAnsi" w:cstheme="minorHAnsi"/>
          <w:b/>
          <w:bCs/>
        </w:rPr>
        <w:t>tekstblokken</w:t>
      </w:r>
      <w:r w:rsidR="00382321" w:rsidRPr="00AE18E3">
        <w:rPr>
          <w:rFonts w:asciiTheme="minorHAnsi" w:hAnsiTheme="minorHAnsi" w:cstheme="minorHAnsi"/>
        </w:rPr>
        <w:t xml:space="preserve"> te genereren</w:t>
      </w:r>
      <w:r w:rsidR="00382321" w:rsidRPr="00AE18E3">
        <w:rPr>
          <w:rFonts w:asciiTheme="minorHAnsi" w:hAnsiTheme="minorHAnsi" w:cstheme="minorHAnsi"/>
        </w:rPr>
        <w:br/>
      </w:r>
      <w:r w:rsidR="00382321" w:rsidRPr="00AE18E3">
        <w:rPr>
          <w:rFonts w:asciiTheme="minorHAnsi" w:hAnsiTheme="minorHAnsi" w:cstheme="minorHAnsi"/>
          <w:u w:val="single"/>
        </w:rPr>
        <w:t>Gedragscode:</w:t>
      </w:r>
      <w:r w:rsidR="00382321" w:rsidRPr="00AE18E3">
        <w:rPr>
          <w:rFonts w:asciiTheme="minorHAnsi" w:hAnsiTheme="minorHAnsi" w:cstheme="minorHAnsi"/>
        </w:rPr>
        <w:t xml:space="preserve"> </w:t>
      </w:r>
      <w:r w:rsidR="00382321" w:rsidRPr="00AE18E3">
        <w:rPr>
          <w:rFonts w:asciiTheme="minorHAnsi" w:hAnsiTheme="minorHAnsi" w:cstheme="minorHAnsi"/>
          <w:b/>
          <w:bCs/>
        </w:rPr>
        <w:t xml:space="preserve">Het invoegen van tekstblokken zonder aanhalingstekens van tekst die gegenereerd is via </w:t>
      </w:r>
      <w:proofErr w:type="spellStart"/>
      <w:r w:rsidR="00382321" w:rsidRPr="00AE18E3">
        <w:rPr>
          <w:rFonts w:asciiTheme="minorHAnsi" w:hAnsiTheme="minorHAnsi" w:cstheme="minorHAnsi"/>
          <w:b/>
          <w:bCs/>
        </w:rPr>
        <w:t>GenAI</w:t>
      </w:r>
      <w:proofErr w:type="spellEnd"/>
      <w:r w:rsidR="00382321" w:rsidRPr="00AE18E3">
        <w:rPr>
          <w:rFonts w:asciiTheme="minorHAnsi" w:hAnsiTheme="minorHAnsi" w:cstheme="minorHAnsi"/>
          <w:b/>
          <w:bCs/>
        </w:rPr>
        <w:t xml:space="preserve"> in je werk is niet toegestaan.</w:t>
      </w:r>
      <w:r w:rsidR="00382321" w:rsidRPr="00AE18E3">
        <w:rPr>
          <w:rFonts w:asciiTheme="minorHAnsi" w:hAnsiTheme="minorHAnsi" w:cstheme="minorHAnsi"/>
        </w:rPr>
        <w:t xml:space="preserve"> Artikel 84 van het examenreglement bepaalt dat je werk moet worden beoordeeld op basis van je eigen kennis. Als het echt nodig is om een tekstblok geproduceerd door </w:t>
      </w:r>
      <w:proofErr w:type="spellStart"/>
      <w:r w:rsidR="00382321" w:rsidRPr="00AE18E3">
        <w:rPr>
          <w:rFonts w:asciiTheme="minorHAnsi" w:hAnsiTheme="minorHAnsi" w:cstheme="minorHAnsi"/>
        </w:rPr>
        <w:t>GenAI</w:t>
      </w:r>
      <w:proofErr w:type="spellEnd"/>
      <w:r w:rsidR="00382321" w:rsidRPr="00AE18E3">
        <w:rPr>
          <w:rFonts w:asciiTheme="minorHAnsi" w:hAnsiTheme="minorHAnsi" w:cstheme="minorHAnsi"/>
        </w:rPr>
        <w:t xml:space="preserve"> in te voegen, vermeld je dit als citaat met aanhalingstekens. Beperk ook dit echter tot een minimum.</w:t>
      </w:r>
    </w:p>
    <w:p w14:paraId="0B7E3C2A" w14:textId="76E8BB86" w:rsidR="00382321" w:rsidRPr="00AE18E3" w:rsidRDefault="00000000" w:rsidP="00AE18E3">
      <w:pPr>
        <w:ind w:left="708"/>
        <w:jc w:val="left"/>
        <w:rPr>
          <w:rFonts w:asciiTheme="minorHAnsi" w:hAnsiTheme="minorHAnsi" w:cstheme="minorHAnsi"/>
        </w:rPr>
      </w:pPr>
      <w:sdt>
        <w:sdtPr>
          <w:rPr>
            <w:rFonts w:asciiTheme="minorHAnsi" w:hAnsiTheme="minorHAnsi" w:cstheme="minorHAnsi"/>
          </w:rPr>
          <w:id w:val="-979386961"/>
          <w14:checkbox>
            <w14:checked w14:val="1"/>
            <w14:checkedState w14:val="2612" w14:font="MS Gothic"/>
            <w14:uncheckedState w14:val="2610" w14:font="MS Gothic"/>
          </w14:checkbox>
        </w:sdtPr>
        <w:sdtContent>
          <w:r w:rsidR="00382321" w:rsidRPr="00AE18E3">
            <w:rPr>
              <w:rFonts w:ascii="Segoe UI Symbol" w:eastAsia="MS Gothic" w:hAnsi="Segoe UI Symbol" w:cs="Segoe UI Symbol"/>
            </w:rPr>
            <w:t>☒</w:t>
          </w:r>
        </w:sdtContent>
      </w:sdt>
      <w:r w:rsidR="00382321" w:rsidRPr="00AE18E3">
        <w:rPr>
          <w:rFonts w:asciiTheme="minorHAnsi" w:hAnsiTheme="minorHAnsi" w:cstheme="minorHAnsi"/>
        </w:rPr>
        <w:t xml:space="preserve"> </w:t>
      </w:r>
      <w:r w:rsidR="00382321" w:rsidRPr="00AE18E3">
        <w:rPr>
          <w:rFonts w:asciiTheme="minorHAnsi" w:hAnsiTheme="minorHAnsi" w:cstheme="minorHAnsi"/>
          <w:b/>
          <w:bCs/>
        </w:rPr>
        <w:t>Andere</w:t>
      </w:r>
      <w:r w:rsidR="00382321" w:rsidRPr="00AE18E3">
        <w:rPr>
          <w:rFonts w:asciiTheme="minorHAnsi" w:hAnsiTheme="minorHAnsi" w:cstheme="minorHAnsi"/>
        </w:rPr>
        <w:br/>
      </w:r>
      <w:r w:rsidR="00382321" w:rsidRPr="00AE18E3">
        <w:rPr>
          <w:rFonts w:asciiTheme="minorHAnsi" w:hAnsiTheme="minorHAnsi" w:cstheme="minorHAnsi"/>
          <w:u w:val="single"/>
        </w:rPr>
        <w:t>Gedragscode:</w:t>
      </w:r>
      <w:r w:rsidR="00382321" w:rsidRPr="00AE18E3">
        <w:rPr>
          <w:rFonts w:asciiTheme="minorHAnsi" w:hAnsiTheme="minorHAnsi" w:cstheme="minorHAnsi"/>
        </w:rPr>
        <w:t xml:space="preserve"> Neem contact op met je promotor. Leg uit hoe je voldoet aan artikel 84 van de examenregeling. Leg uit wat het nut of de toegevoegde waarde van het gebruik van de AI-tool is: </w:t>
      </w:r>
      <w:sdt>
        <w:sdtPr>
          <w:rPr>
            <w:rFonts w:asciiTheme="minorHAnsi" w:hAnsiTheme="minorHAnsi" w:cstheme="minorHAnsi"/>
          </w:rPr>
          <w:id w:val="-1382629397"/>
          <w:placeholder>
            <w:docPart w:val="873A575E49F741B2BC6F5307A65CC2E0"/>
          </w:placeholder>
          <w:text/>
        </w:sdtPr>
        <w:sdtContent>
          <w:r w:rsidR="00382321" w:rsidRPr="00AE18E3">
            <w:rPr>
              <w:rFonts w:asciiTheme="minorHAnsi" w:hAnsiTheme="minorHAnsi" w:cstheme="minorHAnsi"/>
            </w:rPr>
            <w:t>Voor het vertalen van bepaalde anderstalige passages in het Duits en Frans naar het Nederlands</w:t>
          </w:r>
          <w:r w:rsidR="006B7015">
            <w:rPr>
              <w:rFonts w:asciiTheme="minorHAnsi" w:hAnsiTheme="minorHAnsi" w:cstheme="minorHAnsi"/>
            </w:rPr>
            <w:t xml:space="preserve"> alsook voor het nalezen van mijn tekst en het controleren op </w:t>
          </w:r>
          <w:r w:rsidR="00F47A2F">
            <w:rPr>
              <w:rFonts w:asciiTheme="minorHAnsi" w:hAnsiTheme="minorHAnsi" w:cstheme="minorHAnsi"/>
            </w:rPr>
            <w:t>grammaticale fouten.</w:t>
          </w:r>
        </w:sdtContent>
      </w:sdt>
    </w:p>
    <w:p w14:paraId="04D6C365" w14:textId="77777777" w:rsidR="00382321" w:rsidRPr="00AE18E3" w:rsidRDefault="00382321" w:rsidP="00382321">
      <w:pPr>
        <w:rPr>
          <w:rFonts w:asciiTheme="minorHAnsi" w:hAnsiTheme="minorHAnsi" w:cstheme="minorHAnsi"/>
          <w:b/>
        </w:rPr>
      </w:pPr>
      <w:r w:rsidRPr="00AE18E3">
        <w:rPr>
          <w:rFonts w:asciiTheme="minorHAnsi" w:hAnsiTheme="minorHAnsi" w:cstheme="minorHAnsi"/>
          <w:b/>
        </w:rPr>
        <w:t>Bijkomende richtlijnen en opmerkingen:</w:t>
      </w:r>
    </w:p>
    <w:p w14:paraId="3E12B825" w14:textId="77777777" w:rsidR="00382321" w:rsidRPr="00AE18E3" w:rsidRDefault="00382321" w:rsidP="00382321">
      <w:pPr>
        <w:numPr>
          <w:ilvl w:val="0"/>
          <w:numId w:val="28"/>
        </w:numPr>
        <w:spacing w:after="160" w:line="259" w:lineRule="auto"/>
        <w:jc w:val="left"/>
        <w:rPr>
          <w:rFonts w:asciiTheme="minorHAnsi" w:hAnsiTheme="minorHAnsi" w:cstheme="minorHAnsi"/>
        </w:rPr>
      </w:pPr>
      <w:proofErr w:type="spellStart"/>
      <w:r w:rsidRPr="00AE18E3">
        <w:rPr>
          <w:rFonts w:asciiTheme="minorHAnsi" w:hAnsiTheme="minorHAnsi" w:cstheme="minorHAnsi"/>
        </w:rPr>
        <w:t>GenAI</w:t>
      </w:r>
      <w:proofErr w:type="spellEnd"/>
      <w:r w:rsidRPr="00AE18E3">
        <w:rPr>
          <w:rFonts w:asciiTheme="minorHAnsi" w:hAnsiTheme="minorHAnsi" w:cstheme="minorHAnsi"/>
        </w:rPr>
        <w:t xml:space="preserve"> kan niet worden gebruikt met betrekking tot gegevens of onderwerpen die onder een </w:t>
      </w:r>
      <w:r w:rsidRPr="00AE18E3">
        <w:rPr>
          <w:rFonts w:asciiTheme="minorHAnsi" w:hAnsiTheme="minorHAnsi" w:cstheme="minorHAnsi"/>
          <w:b/>
          <w:bCs/>
        </w:rPr>
        <w:t>geheimhoudingsovereenkomst</w:t>
      </w:r>
      <w:r w:rsidRPr="00AE18E3">
        <w:rPr>
          <w:rFonts w:asciiTheme="minorHAnsi" w:hAnsiTheme="minorHAnsi" w:cstheme="minorHAnsi"/>
        </w:rPr>
        <w:t xml:space="preserve"> vallen.</w:t>
      </w:r>
    </w:p>
    <w:p w14:paraId="6F2F3958" w14:textId="77777777" w:rsidR="00382321" w:rsidRPr="00AE18E3" w:rsidRDefault="00382321" w:rsidP="00382321">
      <w:pPr>
        <w:numPr>
          <w:ilvl w:val="0"/>
          <w:numId w:val="28"/>
        </w:numPr>
        <w:spacing w:after="160" w:line="259" w:lineRule="auto"/>
        <w:jc w:val="left"/>
        <w:rPr>
          <w:rFonts w:asciiTheme="minorHAnsi" w:hAnsiTheme="minorHAnsi" w:cstheme="minorHAnsi"/>
          <w:b/>
          <w:bCs/>
        </w:rPr>
      </w:pPr>
      <w:proofErr w:type="spellStart"/>
      <w:r w:rsidRPr="00AE18E3">
        <w:rPr>
          <w:rFonts w:asciiTheme="minorHAnsi" w:hAnsiTheme="minorHAnsi" w:cstheme="minorHAnsi"/>
        </w:rPr>
        <w:t>GenAI</w:t>
      </w:r>
      <w:proofErr w:type="spellEnd"/>
      <w:r w:rsidRPr="00AE18E3">
        <w:rPr>
          <w:rFonts w:asciiTheme="minorHAnsi" w:hAnsiTheme="minorHAnsi" w:cstheme="minorHAnsi"/>
        </w:rPr>
        <w:t xml:space="preserve"> kan niet worden gebruikt met betrekking tot gevoelige of persoonlijke gegevens vanwege </w:t>
      </w:r>
      <w:proofErr w:type="spellStart"/>
      <w:r w:rsidRPr="00AE18E3">
        <w:rPr>
          <w:rFonts w:asciiTheme="minorHAnsi" w:hAnsiTheme="minorHAnsi" w:cstheme="minorHAnsi"/>
          <w:b/>
          <w:bCs/>
        </w:rPr>
        <w:t>privacykwesties</w:t>
      </w:r>
      <w:proofErr w:type="spellEnd"/>
      <w:r w:rsidRPr="00AE18E3">
        <w:rPr>
          <w:rFonts w:asciiTheme="minorHAnsi" w:hAnsiTheme="minorHAnsi" w:cstheme="minorHAnsi"/>
          <w:b/>
          <w:bCs/>
        </w:rPr>
        <w:t>.</w:t>
      </w:r>
    </w:p>
    <w:p w14:paraId="01B7DBA9" w14:textId="77777777" w:rsidR="00382321" w:rsidRPr="00AE18E3" w:rsidRDefault="00382321" w:rsidP="00382321">
      <w:pPr>
        <w:numPr>
          <w:ilvl w:val="0"/>
          <w:numId w:val="28"/>
        </w:numPr>
        <w:spacing w:after="160" w:line="259" w:lineRule="auto"/>
        <w:jc w:val="left"/>
        <w:rPr>
          <w:rFonts w:asciiTheme="minorHAnsi" w:hAnsiTheme="minorHAnsi" w:cstheme="minorHAnsi"/>
        </w:rPr>
      </w:pPr>
      <w:r w:rsidRPr="00AE18E3">
        <w:rPr>
          <w:rFonts w:asciiTheme="minorHAnsi" w:hAnsiTheme="minorHAnsi" w:cstheme="minorHAnsi"/>
        </w:rPr>
        <w:t xml:space="preserve">Neem een </w:t>
      </w:r>
      <w:r w:rsidRPr="00AE18E3">
        <w:rPr>
          <w:rFonts w:asciiTheme="minorHAnsi" w:hAnsiTheme="minorHAnsi" w:cstheme="minorHAnsi"/>
          <w:b/>
          <w:bCs/>
        </w:rPr>
        <w:t>wetenschappelijke en kritische houding</w:t>
      </w:r>
      <w:r w:rsidRPr="00AE18E3">
        <w:rPr>
          <w:rFonts w:asciiTheme="minorHAnsi" w:hAnsiTheme="minorHAnsi" w:cstheme="minorHAnsi"/>
        </w:rPr>
        <w:t xml:space="preserve"> aan bij interactie met </w:t>
      </w:r>
      <w:proofErr w:type="spellStart"/>
      <w:r w:rsidRPr="00AE18E3">
        <w:rPr>
          <w:rFonts w:asciiTheme="minorHAnsi" w:hAnsiTheme="minorHAnsi" w:cstheme="minorHAnsi"/>
        </w:rPr>
        <w:t>GenAI</w:t>
      </w:r>
      <w:proofErr w:type="spellEnd"/>
      <w:r w:rsidRPr="00AE18E3">
        <w:rPr>
          <w:rFonts w:asciiTheme="minorHAnsi" w:hAnsiTheme="minorHAnsi" w:cstheme="minorHAnsi"/>
        </w:rPr>
        <w:t xml:space="preserve"> en het interpreteren van de output ervan.</w:t>
      </w:r>
    </w:p>
    <w:p w14:paraId="05728B16" w14:textId="77777777" w:rsidR="00382321" w:rsidRPr="00AE18E3" w:rsidRDefault="00382321" w:rsidP="00382321">
      <w:pPr>
        <w:numPr>
          <w:ilvl w:val="0"/>
          <w:numId w:val="28"/>
        </w:numPr>
        <w:spacing w:after="160" w:line="259" w:lineRule="auto"/>
        <w:jc w:val="left"/>
        <w:rPr>
          <w:rFonts w:asciiTheme="minorHAnsi" w:hAnsiTheme="minorHAnsi" w:cstheme="minorHAnsi"/>
        </w:rPr>
      </w:pPr>
      <w:r w:rsidRPr="00AE18E3">
        <w:rPr>
          <w:rFonts w:asciiTheme="minorHAnsi" w:hAnsiTheme="minorHAnsi" w:cstheme="minorHAnsi"/>
        </w:rPr>
        <w:t xml:space="preserve">Als student ben je verantwoordelijk voor naleving van </w:t>
      </w:r>
      <w:r w:rsidRPr="00AE18E3">
        <w:rPr>
          <w:rFonts w:asciiTheme="minorHAnsi" w:hAnsiTheme="minorHAnsi" w:cstheme="minorHAnsi"/>
          <w:b/>
          <w:bCs/>
        </w:rPr>
        <w:t>artikel 84 van het OER</w:t>
      </w:r>
      <w:r w:rsidRPr="00AE18E3">
        <w:rPr>
          <w:rFonts w:asciiTheme="minorHAnsi" w:hAnsiTheme="minorHAnsi" w:cstheme="minorHAnsi"/>
        </w:rPr>
        <w:t>: je werk moet je eigen kennis weerspiegelen. Hou er rekening mee dat plagiaatregels ook van toepassing zijn op het gebruik van AI-tools.</w:t>
      </w:r>
    </w:p>
    <w:p w14:paraId="164E7050" w14:textId="77777777" w:rsidR="00382321" w:rsidRPr="00AE18E3" w:rsidRDefault="00382321" w:rsidP="00382321">
      <w:pPr>
        <w:numPr>
          <w:ilvl w:val="1"/>
          <w:numId w:val="28"/>
        </w:numPr>
        <w:spacing w:after="160" w:line="259" w:lineRule="auto"/>
        <w:jc w:val="left"/>
        <w:rPr>
          <w:rFonts w:asciiTheme="minorHAnsi" w:hAnsiTheme="minorHAnsi" w:cstheme="minorHAnsi"/>
        </w:rPr>
      </w:pPr>
      <w:r w:rsidRPr="00AE18E3">
        <w:rPr>
          <w:rFonts w:asciiTheme="minorHAnsi" w:hAnsiTheme="minorHAnsi" w:cstheme="minorHAnsi"/>
        </w:rPr>
        <w:t>Examenreglement artikel 84: " Elk gedrag van individuele studenten waardoor zij een juist oordeel omtrent de kennis, het inzicht en/of de vaardigheden van henzelf of van andere studenten geheel of gedeeltelijk onmogelijk maken of onmogelijk pogen te maken, wordt als een onregelmatigheid beschouwd die aanleiding kan geven tot een aangepaste sanctie. Een bijzondere vorm van een dergelijke onregelmatigheid is plagiaat, namelijk de overname zonder adequate bronvermelding van het werk (ideeën, teksten, structuren, ontwerpen, beelden, plannen, codes, ...) van anderen of van eerder werk van zichzelf, op identieke wijze of onder licht gewijzigde vorm. Elk bezit tijdens een examen van een niet-toegestaan hulpmiddel (zie artikel 65) wordt als een onregelmatigheid beschouwd.”</w:t>
      </w:r>
    </w:p>
    <w:p w14:paraId="7C7A7431" w14:textId="5A3762B3" w:rsidR="007F68BC" w:rsidRPr="00710F5B" w:rsidRDefault="00382321" w:rsidP="00382321">
      <w:pPr>
        <w:pStyle w:val="Randnummer"/>
        <w:numPr>
          <w:ilvl w:val="0"/>
          <w:numId w:val="0"/>
        </w:numPr>
        <w:rPr>
          <w:lang w:val="nl-NL"/>
        </w:rPr>
      </w:pPr>
      <w:r w:rsidRPr="00AE18E3">
        <w:rPr>
          <w:rFonts w:asciiTheme="minorHAnsi" w:hAnsiTheme="minorHAnsi" w:cstheme="minorHAnsi"/>
          <w:b/>
          <w:bCs/>
        </w:rPr>
        <w:t xml:space="preserve">KU Leuven richtlijnen voor het citeren en refereren van </w:t>
      </w:r>
      <w:proofErr w:type="spellStart"/>
      <w:r w:rsidRPr="00AE18E3">
        <w:rPr>
          <w:rFonts w:asciiTheme="minorHAnsi" w:hAnsiTheme="minorHAnsi" w:cstheme="minorHAnsi"/>
          <w:b/>
          <w:bCs/>
        </w:rPr>
        <w:t>GenAI</w:t>
      </w:r>
      <w:proofErr w:type="spellEnd"/>
      <w:r w:rsidRPr="00AE18E3">
        <w:rPr>
          <w:rFonts w:asciiTheme="minorHAnsi" w:hAnsiTheme="minorHAnsi" w:cstheme="minorHAnsi"/>
          <w:b/>
          <w:bCs/>
        </w:rPr>
        <w:t xml:space="preserve"> tools, en andere informatie: </w:t>
      </w:r>
      <w:hyperlink r:id="rId19" w:history="1">
        <w:r w:rsidRPr="00AE18E3">
          <w:rPr>
            <w:rStyle w:val="Hyperlink"/>
            <w:rFonts w:asciiTheme="minorHAnsi" w:hAnsiTheme="minorHAnsi" w:cstheme="minorHAnsi"/>
          </w:rPr>
          <w:t>https://www.kuleuven.be/onderwijs/student/onderwijstools/artificiele-intelligentie</w:t>
        </w:r>
      </w:hyperlink>
    </w:p>
    <w:sectPr w:rsidR="007F68BC" w:rsidRPr="00710F5B" w:rsidSect="003241EF">
      <w:pgSz w:w="11906" w:h="16838" w:code="9"/>
      <w:pgMar w:top="1418" w:right="1134" w:bottom="1418" w:left="1134" w:header="709" w:footer="83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24013" w14:textId="77777777" w:rsidR="008319CE" w:rsidRPr="0058444E" w:rsidRDefault="008319CE">
      <w:r w:rsidRPr="0058444E">
        <w:separator/>
      </w:r>
    </w:p>
  </w:endnote>
  <w:endnote w:type="continuationSeparator" w:id="0">
    <w:p w14:paraId="22D635BB" w14:textId="77777777" w:rsidR="008319CE" w:rsidRPr="0058444E" w:rsidRDefault="008319CE">
      <w:r w:rsidRPr="005844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FE8A" w14:textId="77777777" w:rsidR="00B31FE7" w:rsidRPr="0058444E" w:rsidRDefault="00B31FE7" w:rsidP="00C70E1B">
    <w:pPr>
      <w:pStyle w:val="Voetteks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324944"/>
      <w:docPartObj>
        <w:docPartGallery w:val="Page Numbers (Bottom of Page)"/>
        <w:docPartUnique/>
      </w:docPartObj>
    </w:sdtPr>
    <w:sdtContent>
      <w:p w14:paraId="5C213BF0" w14:textId="47FD82CB" w:rsidR="00FF7338" w:rsidRDefault="00FF7338">
        <w:pPr>
          <w:pStyle w:val="Voettekst"/>
          <w:jc w:val="right"/>
        </w:pPr>
        <w:r>
          <w:fldChar w:fldCharType="begin"/>
        </w:r>
        <w:r>
          <w:instrText>PAGE   \* MERGEFORMAT</w:instrText>
        </w:r>
        <w:r>
          <w:fldChar w:fldCharType="separate"/>
        </w:r>
        <w:r>
          <w:rPr>
            <w:lang w:val="nl-NL"/>
          </w:rPr>
          <w:t>2</w:t>
        </w:r>
        <w:r>
          <w:fldChar w:fldCharType="end"/>
        </w:r>
      </w:p>
    </w:sdtContent>
  </w:sdt>
  <w:p w14:paraId="6FCD6CC3" w14:textId="77777777" w:rsidR="00FF7338" w:rsidRPr="0058444E" w:rsidRDefault="00FF7338" w:rsidP="00C70E1B">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438F2" w14:textId="77777777" w:rsidR="008319CE" w:rsidRPr="0058444E" w:rsidRDefault="008319CE">
      <w:r w:rsidRPr="0058444E">
        <w:separator/>
      </w:r>
    </w:p>
  </w:footnote>
  <w:footnote w:type="continuationSeparator" w:id="0">
    <w:p w14:paraId="2BC4F200" w14:textId="77777777" w:rsidR="008319CE" w:rsidRPr="0058444E" w:rsidRDefault="008319CE">
      <w:r w:rsidRPr="0058444E">
        <w:continuationSeparator/>
      </w:r>
    </w:p>
  </w:footnote>
  <w:footnote w:id="1">
    <w:p w14:paraId="229B8719" w14:textId="71254E61" w:rsidR="006C1D57" w:rsidRPr="00282E0A" w:rsidRDefault="006C1D57" w:rsidP="006C1D57">
      <w:pPr>
        <w:pStyle w:val="Voetnoottekst"/>
      </w:pPr>
      <w:r>
        <w:rPr>
          <w:rStyle w:val="Voetnootmarkering"/>
        </w:rPr>
        <w:footnoteRef/>
      </w:r>
      <w:r w:rsidR="001B510E">
        <w:t xml:space="preserve"> </w:t>
      </w:r>
      <w:proofErr w:type="spellStart"/>
      <w:r>
        <w:t>Arbitragehof</w:t>
      </w:r>
      <w:proofErr w:type="spellEnd"/>
      <w:r>
        <w:t xml:space="preserve"> 8 juli 19</w:t>
      </w:r>
      <w:r w:rsidR="009347A7">
        <w:t>9</w:t>
      </w:r>
      <w:r>
        <w:t>3, nr. 56/93; Wetsontwerp betreffende de invoering van een eenheidsstatuut tussen arbeiders en bedienden inzake de opzeggingstermijnen en de carensdag en begeleidende maatregelen, KAMER, 2013-2014, 21 november 2013,</w:t>
      </w:r>
      <w:r w:rsidRPr="00FB36DB">
        <w:t xml:space="preserve"> </w:t>
      </w:r>
      <w:r>
        <w:t xml:space="preserve">3144/001, 8; </w:t>
      </w:r>
      <w:r w:rsidRPr="00EF64E9">
        <w:t>ANKAERT E., PLETS I. en</w:t>
      </w:r>
      <w:r>
        <w:t xml:space="preserve"> DE JONGHE M. e.a., </w:t>
      </w:r>
      <w:r>
        <w:rPr>
          <w:i/>
          <w:iCs/>
        </w:rPr>
        <w:t>10 jaar Wet Eenheidsstatuut, Beëindiging arbeidsovereenkomsten onbepaalde duur sinds de Wet Eenheidsstatuut: duidelijke regels en oude/nieuwe discussiepunten</w:t>
      </w:r>
      <w:r w:rsidR="009347A7">
        <w:rPr>
          <w:i/>
          <w:iCs/>
        </w:rPr>
        <w:t>,</w:t>
      </w:r>
      <w:r>
        <w:t xml:space="preserve"> </w:t>
      </w:r>
      <w:r w:rsidR="00507989">
        <w:t>d</w:t>
      </w:r>
      <w:r>
        <w:t xml:space="preserve">ie </w:t>
      </w:r>
      <w:proofErr w:type="spellStart"/>
      <w:r>
        <w:t>Keure</w:t>
      </w:r>
      <w:proofErr w:type="spellEnd"/>
      <w:r>
        <w:t xml:space="preserve">, 2024, 150; </w:t>
      </w:r>
      <w:r w:rsidRPr="00EB460B">
        <w:t xml:space="preserve">CUYPERS D., ‘15 jaar grondwettelijke kritiek op het onderscheid tussen werklieden en bedienden. Stand van zaken’, </w:t>
      </w:r>
      <w:proofErr w:type="spellStart"/>
      <w:r w:rsidRPr="00EB460B">
        <w:rPr>
          <w:i/>
          <w:iCs/>
        </w:rPr>
        <w:t>Soc.Kron</w:t>
      </w:r>
      <w:proofErr w:type="spellEnd"/>
      <w:r w:rsidRPr="00EB460B">
        <w:rPr>
          <w:i/>
          <w:iCs/>
        </w:rPr>
        <w:t xml:space="preserve">. </w:t>
      </w:r>
      <w:r w:rsidRPr="00EB460B">
        <w:t xml:space="preserve">2009, afl. 7, 358; </w:t>
      </w:r>
      <w:r>
        <w:t xml:space="preserve">DE WORTELAER J., </w:t>
      </w:r>
      <w:r>
        <w:rPr>
          <w:i/>
          <w:iCs/>
        </w:rPr>
        <w:t>De wet van 26 december 2013 betreffende het eenheidsstatuut</w:t>
      </w:r>
      <w:r>
        <w:t>, Kluwer, 2014, 1; WOUTERS O</w:t>
      </w:r>
      <w:r w:rsidR="008035B0">
        <w:t>.</w:t>
      </w:r>
      <w:r>
        <w:t xml:space="preserve"> en CRAUWELS A., “Vijf jaar toepassing van de ontslagregels onder de Wet Eenheidsstatuut (WES), </w:t>
      </w:r>
      <w:r>
        <w:rPr>
          <w:i/>
          <w:iCs/>
        </w:rPr>
        <w:t xml:space="preserve">Or. </w:t>
      </w:r>
      <w:r>
        <w:t>2019, afl. 7-8, 215.</w:t>
      </w:r>
    </w:p>
  </w:footnote>
  <w:footnote w:id="2">
    <w:p w14:paraId="439A8C9E" w14:textId="36B54FE0" w:rsidR="006C1D57" w:rsidRPr="00EB460B" w:rsidRDefault="006C1D57" w:rsidP="006C1D57">
      <w:pPr>
        <w:pStyle w:val="Voetnoottekst"/>
      </w:pPr>
      <w:r>
        <w:rPr>
          <w:rStyle w:val="Voetnootmarkering"/>
        </w:rPr>
        <w:footnoteRef/>
      </w:r>
      <w:r w:rsidR="001B510E">
        <w:t xml:space="preserve"> </w:t>
      </w:r>
      <w:r>
        <w:t>Wetsontwerp betreffende de invoering van een eenheidsstatuut tussen arbeiders en bedienden inzake de opzeggingstermijnen en de carensdag en begeleidende maatregelen, KAMER, 2013-2014, 21 november 2013,</w:t>
      </w:r>
      <w:r w:rsidRPr="00FB36DB">
        <w:t xml:space="preserve"> </w:t>
      </w:r>
      <w:r>
        <w:t xml:space="preserve">3144/001, 8; HEYLEN D., VERREYT I. en VERMEULEN L., </w:t>
      </w:r>
      <w:r>
        <w:rPr>
          <w:i/>
          <w:iCs/>
        </w:rPr>
        <w:t>De beëindiging van de arbeidsovereenkomst onder het eenheidsstatuut</w:t>
      </w:r>
      <w:r>
        <w:t xml:space="preserve">, </w:t>
      </w:r>
      <w:proofErr w:type="spellStart"/>
      <w:r>
        <w:t>Intersentia</w:t>
      </w:r>
      <w:proofErr w:type="spellEnd"/>
      <w:r>
        <w:t xml:space="preserve">, 2014, 37; </w:t>
      </w:r>
      <w:r w:rsidRPr="000B705F">
        <w:t xml:space="preserve">KNOOPS S., </w:t>
      </w:r>
      <w:r w:rsidRPr="000B705F">
        <w:rPr>
          <w:i/>
          <w:iCs/>
        </w:rPr>
        <w:t>De toepa</w:t>
      </w:r>
      <w:r>
        <w:rPr>
          <w:i/>
          <w:iCs/>
        </w:rPr>
        <w:t>ssing en handhaving van het gelijkheidsbeginsel bij aanvullende pensioenen,</w:t>
      </w:r>
      <w:r w:rsidR="00D82737">
        <w:rPr>
          <w:i/>
          <w:iCs/>
        </w:rPr>
        <w:t xml:space="preserve"> </w:t>
      </w:r>
      <w:proofErr w:type="spellStart"/>
      <w:r>
        <w:t>Intersentia</w:t>
      </w:r>
      <w:proofErr w:type="spellEnd"/>
      <w:r>
        <w:t xml:space="preserve">, 2024, 337; </w:t>
      </w:r>
      <w:r w:rsidRPr="00EB460B">
        <w:t xml:space="preserve">CUYPERS D., </w:t>
      </w:r>
      <w:r>
        <w:t>‘</w:t>
      </w:r>
      <w:r w:rsidRPr="00EB460B">
        <w:t>15 jaar grondwettelijke kritiek op het onderscheid tussen werklieden en bedienden. Stand van zaken</w:t>
      </w:r>
      <w:r>
        <w:t>.’</w:t>
      </w:r>
      <w:r w:rsidRPr="00EB460B">
        <w:t xml:space="preserve">, </w:t>
      </w:r>
      <w:proofErr w:type="spellStart"/>
      <w:r w:rsidRPr="00EB460B">
        <w:rPr>
          <w:i/>
          <w:iCs/>
        </w:rPr>
        <w:t>Soc.Kron</w:t>
      </w:r>
      <w:proofErr w:type="spellEnd"/>
      <w:r w:rsidRPr="00EB460B">
        <w:rPr>
          <w:i/>
          <w:iCs/>
        </w:rPr>
        <w:t xml:space="preserve">. </w:t>
      </w:r>
      <w:r w:rsidRPr="00EB460B">
        <w:t>2009, afl. 7, 357</w:t>
      </w:r>
      <w:r>
        <w:t>.</w:t>
      </w:r>
    </w:p>
  </w:footnote>
  <w:footnote w:id="3">
    <w:p w14:paraId="1B116EA1" w14:textId="64C608C8" w:rsidR="006C1D57" w:rsidRPr="001C761A" w:rsidRDefault="006C1D57" w:rsidP="006C1D57">
      <w:pPr>
        <w:pStyle w:val="Voetnoottekst"/>
      </w:pPr>
      <w:r>
        <w:rPr>
          <w:rStyle w:val="Voetnootmarkering"/>
        </w:rPr>
        <w:footnoteRef/>
      </w:r>
      <w:r w:rsidR="001B510E">
        <w:t xml:space="preserve"> </w:t>
      </w:r>
      <w:proofErr w:type="spellStart"/>
      <w:r w:rsidR="000221F5">
        <w:t>GwH</w:t>
      </w:r>
      <w:proofErr w:type="spellEnd"/>
      <w:r w:rsidR="000221F5">
        <w:t xml:space="preserve"> </w:t>
      </w:r>
      <w:r w:rsidR="003113A2">
        <w:t>7</w:t>
      </w:r>
      <w:r w:rsidR="000221F5">
        <w:t xml:space="preserve"> juli 2011, </w:t>
      </w:r>
      <w:r w:rsidR="000221F5">
        <w:rPr>
          <w:i/>
          <w:iCs/>
        </w:rPr>
        <w:t>RW 2011</w:t>
      </w:r>
      <w:r w:rsidR="002D72D0">
        <w:rPr>
          <w:i/>
          <w:iCs/>
        </w:rPr>
        <w:t xml:space="preserve">-12, </w:t>
      </w:r>
      <w:r w:rsidR="002D72D0">
        <w:t>VERSTRAELEN S., ‘Toen barstte de bom: het Grondwettelijk Hof handhaaft in een prejudicieel arrest de gevolgen van een vastgestelde ongrondwettigheid</w:t>
      </w:r>
      <w:r w:rsidR="003113A2">
        <w:t>’;</w:t>
      </w:r>
      <w:r w:rsidRPr="00EF64E9">
        <w:t xml:space="preserve"> </w:t>
      </w:r>
      <w:r>
        <w:t>Wetsontwerp betreffende de invoering van een eenheidsstatuut tussen arbeiders en bedienden inzake de opzeggingstermijnen en de carensdag en begeleidende maatregelen, KAMER, 2013-2014, 21 november 2013,</w:t>
      </w:r>
      <w:r w:rsidRPr="00FB36DB">
        <w:t xml:space="preserve"> </w:t>
      </w:r>
      <w:r>
        <w:t xml:space="preserve">3144/001, 10; </w:t>
      </w:r>
      <w:r w:rsidRPr="00EF64E9">
        <w:t>ANKAERT E., PLETS I. en</w:t>
      </w:r>
      <w:r>
        <w:t xml:space="preserve"> DE JONGHE M. e.a., </w:t>
      </w:r>
      <w:r>
        <w:rPr>
          <w:i/>
          <w:iCs/>
        </w:rPr>
        <w:t>10 jaar Wet Eenheidsstatuut, Beëindiging arbeidsovereenkomsten onbepaalde duur sinds de Wet Eenheidsstatuut: duidelijke regels en oude/nieuwe discussiepunten</w:t>
      </w:r>
      <w:r>
        <w:t xml:space="preserve">, Die </w:t>
      </w:r>
      <w:proofErr w:type="spellStart"/>
      <w:r>
        <w:t>Keure</w:t>
      </w:r>
      <w:proofErr w:type="spellEnd"/>
      <w:r>
        <w:t xml:space="preserve">, 2024, 61; DE WORTELAER J., </w:t>
      </w:r>
      <w:r>
        <w:rPr>
          <w:i/>
          <w:iCs/>
        </w:rPr>
        <w:t xml:space="preserve">De wet van 26 december 2013 betreffende het eenheidsstatuut, </w:t>
      </w:r>
      <w:r>
        <w:t>Mechelen, Kluwer, 2014, 2; ROELAND A., ‘</w:t>
      </w:r>
      <w:proofErr w:type="spellStart"/>
      <w:r>
        <w:t>Statut</w:t>
      </w:r>
      <w:proofErr w:type="spellEnd"/>
      <w:r>
        <w:t xml:space="preserve"> </w:t>
      </w:r>
      <w:proofErr w:type="spellStart"/>
      <w:r>
        <w:t>unique</w:t>
      </w:r>
      <w:proofErr w:type="spellEnd"/>
      <w:r>
        <w:t xml:space="preserve"> et </w:t>
      </w:r>
      <w:proofErr w:type="spellStart"/>
      <w:r>
        <w:t>discriminations</w:t>
      </w:r>
      <w:proofErr w:type="spellEnd"/>
      <w:r>
        <w:t xml:space="preserve"> (II) : de </w:t>
      </w:r>
      <w:proofErr w:type="spellStart"/>
      <w:r>
        <w:t>l’arrêt</w:t>
      </w:r>
      <w:proofErr w:type="spellEnd"/>
      <w:r>
        <w:t xml:space="preserve"> du 7 </w:t>
      </w:r>
      <w:proofErr w:type="spellStart"/>
      <w:r>
        <w:t>juillet</w:t>
      </w:r>
      <w:proofErr w:type="spellEnd"/>
      <w:r>
        <w:t xml:space="preserve"> 2011 </w:t>
      </w:r>
      <w:proofErr w:type="spellStart"/>
      <w:r>
        <w:t>jusqu’à</w:t>
      </w:r>
      <w:proofErr w:type="spellEnd"/>
      <w:r>
        <w:t xml:space="preserve"> </w:t>
      </w:r>
      <w:proofErr w:type="spellStart"/>
      <w:r>
        <w:t>l’adoption</w:t>
      </w:r>
      <w:proofErr w:type="spellEnd"/>
      <w:r>
        <w:t xml:space="preserve"> de la </w:t>
      </w:r>
      <w:proofErr w:type="spellStart"/>
      <w:r>
        <w:t>loi</w:t>
      </w:r>
      <w:proofErr w:type="spellEnd"/>
      <w:r>
        <w:t xml:space="preserve"> </w:t>
      </w:r>
      <w:proofErr w:type="spellStart"/>
      <w:r>
        <w:t>sur</w:t>
      </w:r>
      <w:proofErr w:type="spellEnd"/>
      <w:r>
        <w:t xml:space="preserve"> </w:t>
      </w:r>
      <w:proofErr w:type="spellStart"/>
      <w:r>
        <w:t>le</w:t>
      </w:r>
      <w:proofErr w:type="spellEnd"/>
      <w:r>
        <w:t xml:space="preserve"> </w:t>
      </w:r>
      <w:proofErr w:type="spellStart"/>
      <w:r>
        <w:t>statut</w:t>
      </w:r>
      <w:proofErr w:type="spellEnd"/>
      <w:r>
        <w:t xml:space="preserve"> </w:t>
      </w:r>
      <w:proofErr w:type="spellStart"/>
      <w:r>
        <w:t>unique</w:t>
      </w:r>
      <w:proofErr w:type="spellEnd"/>
      <w:r>
        <w:t xml:space="preserve">’ in </w:t>
      </w:r>
      <w:r>
        <w:rPr>
          <w:i/>
          <w:iCs/>
        </w:rPr>
        <w:t xml:space="preserve">Bulletin de </w:t>
      </w:r>
      <w:proofErr w:type="spellStart"/>
      <w:r>
        <w:rPr>
          <w:i/>
          <w:iCs/>
        </w:rPr>
        <w:t>l’Ordre</w:t>
      </w:r>
      <w:proofErr w:type="spellEnd"/>
      <w:r>
        <w:rPr>
          <w:i/>
          <w:iCs/>
        </w:rPr>
        <w:t xml:space="preserve"> des Experts-</w:t>
      </w:r>
      <w:proofErr w:type="spellStart"/>
      <w:r>
        <w:rPr>
          <w:i/>
          <w:iCs/>
        </w:rPr>
        <w:t>comptables</w:t>
      </w:r>
      <w:proofErr w:type="spellEnd"/>
      <w:r>
        <w:rPr>
          <w:i/>
          <w:iCs/>
        </w:rPr>
        <w:t xml:space="preserve"> et </w:t>
      </w:r>
      <w:proofErr w:type="spellStart"/>
      <w:r>
        <w:rPr>
          <w:i/>
          <w:iCs/>
        </w:rPr>
        <w:t>comptables</w:t>
      </w:r>
      <w:proofErr w:type="spellEnd"/>
      <w:r>
        <w:rPr>
          <w:i/>
          <w:iCs/>
        </w:rPr>
        <w:t xml:space="preserve"> </w:t>
      </w:r>
      <w:proofErr w:type="spellStart"/>
      <w:r>
        <w:rPr>
          <w:i/>
          <w:iCs/>
        </w:rPr>
        <w:t>brevetés</w:t>
      </w:r>
      <w:proofErr w:type="spellEnd"/>
      <w:r>
        <w:rPr>
          <w:i/>
          <w:iCs/>
        </w:rPr>
        <w:t xml:space="preserve"> de </w:t>
      </w:r>
      <w:proofErr w:type="spellStart"/>
      <w:r>
        <w:rPr>
          <w:i/>
          <w:iCs/>
        </w:rPr>
        <w:t>Belgique</w:t>
      </w:r>
      <w:proofErr w:type="spellEnd"/>
      <w:r>
        <w:rPr>
          <w:i/>
          <w:iCs/>
        </w:rPr>
        <w:t xml:space="preserve"> ,</w:t>
      </w:r>
      <w:r>
        <w:t xml:space="preserve"> </w:t>
      </w:r>
      <w:proofErr w:type="spellStart"/>
      <w:r>
        <w:t>Anthemis</w:t>
      </w:r>
      <w:proofErr w:type="spellEnd"/>
      <w:r>
        <w:t xml:space="preserve">, 2014, 5; VAN DEN BUSSCHE B., </w:t>
      </w:r>
      <w:r>
        <w:rPr>
          <w:i/>
          <w:iCs/>
        </w:rPr>
        <w:t>Alternatieve verloningstechnieken. Hoe houden mijn werknemers netto meer over?</w:t>
      </w:r>
      <w:r>
        <w:t>, Wolters Kluwer, 2024, 344; WOUTERS O</w:t>
      </w:r>
      <w:r w:rsidR="000C3A95">
        <w:t xml:space="preserve">. </w:t>
      </w:r>
      <w:r>
        <w:t xml:space="preserve">en CRAUWELS A., ‘Vijf jaar toepassing van de ontslagregels onder de Wet Eenheidsstatuut (WES)’, </w:t>
      </w:r>
      <w:r>
        <w:rPr>
          <w:i/>
          <w:iCs/>
        </w:rPr>
        <w:t xml:space="preserve">Or. </w:t>
      </w:r>
      <w:r>
        <w:t>2019, afl. 7-8, 215.</w:t>
      </w:r>
    </w:p>
  </w:footnote>
  <w:footnote w:id="4">
    <w:p w14:paraId="06CDD92E" w14:textId="1C4BDAA4" w:rsidR="006C1D57" w:rsidRPr="008E0561" w:rsidRDefault="006C1D57" w:rsidP="006C1D57">
      <w:pPr>
        <w:pStyle w:val="Voetnoottekst"/>
        <w:rPr>
          <w:lang w:val="fr-BE"/>
        </w:rPr>
      </w:pPr>
      <w:r>
        <w:rPr>
          <w:rStyle w:val="Voetnootmarkering"/>
        </w:rPr>
        <w:footnoteRef/>
      </w:r>
      <w:r w:rsidR="001B510E">
        <w:t xml:space="preserve"> </w:t>
      </w:r>
      <w:r w:rsidRPr="00955694">
        <w:t xml:space="preserve">BORTELS H., </w:t>
      </w:r>
      <w:r>
        <w:t>‘</w:t>
      </w:r>
      <w:r w:rsidRPr="00955694">
        <w:t>Het Grondwettelijk Hof, een buitengewone wetgever</w:t>
      </w:r>
      <w:r>
        <w:t>’</w:t>
      </w:r>
      <w:r w:rsidRPr="00955694">
        <w:t>,</w:t>
      </w:r>
      <w:r>
        <w:t xml:space="preserve"> </w:t>
      </w:r>
      <w:r>
        <w:rPr>
          <w:i/>
          <w:iCs/>
        </w:rPr>
        <w:t xml:space="preserve">T.B.P. </w:t>
      </w:r>
      <w:r>
        <w:t xml:space="preserve">2012, 42; </w:t>
      </w:r>
      <w:r w:rsidRPr="00955694">
        <w:t xml:space="preserve">CLESSE J. en MORTIER A., </w:t>
      </w:r>
      <w:r>
        <w:t>‘</w:t>
      </w:r>
      <w:r w:rsidRPr="00955694">
        <w:t xml:space="preserve">La </w:t>
      </w:r>
      <w:proofErr w:type="spellStart"/>
      <w:r w:rsidRPr="00955694">
        <w:t>loi</w:t>
      </w:r>
      <w:proofErr w:type="spellEnd"/>
      <w:r w:rsidRPr="00955694">
        <w:t xml:space="preserve"> du 12 </w:t>
      </w:r>
      <w:proofErr w:type="spellStart"/>
      <w:r w:rsidRPr="00955694">
        <w:t>avril</w:t>
      </w:r>
      <w:proofErr w:type="spellEnd"/>
      <w:r w:rsidRPr="00955694">
        <w:t xml:space="preserve"> 2011. </w:t>
      </w:r>
      <w:r>
        <w:rPr>
          <w:lang w:val="fr-BE"/>
        </w:rPr>
        <w:t xml:space="preserve">Une étape vers l’abolition de la distinction entre ouvriers et employés’ </w:t>
      </w:r>
      <w:r>
        <w:rPr>
          <w:i/>
          <w:iCs/>
          <w:lang w:val="fr-BE"/>
        </w:rPr>
        <w:t xml:space="preserve">op.cit., </w:t>
      </w:r>
      <w:r>
        <w:rPr>
          <w:lang w:val="fr-BE"/>
        </w:rPr>
        <w:t>nr. 13, 15</w:t>
      </w:r>
      <w:r w:rsidRPr="008E0561">
        <w:rPr>
          <w:lang w:val="fr-BE"/>
        </w:rPr>
        <w:t xml:space="preserve">; ROELAND A., </w:t>
      </w:r>
      <w:r>
        <w:rPr>
          <w:lang w:val="fr-BE"/>
        </w:rPr>
        <w:t>‘</w:t>
      </w:r>
      <w:r w:rsidRPr="008E0561">
        <w:rPr>
          <w:lang w:val="fr-BE"/>
        </w:rPr>
        <w:t>Statut unique et discriminations (II) : de l’arrêt du 7 juillet 2011 jusqu’à l’adoption de la loi sur le statut unique</w:t>
      </w:r>
      <w:r>
        <w:rPr>
          <w:lang w:val="fr-BE"/>
        </w:rPr>
        <w:t>’</w:t>
      </w:r>
      <w:r w:rsidRPr="008E0561">
        <w:rPr>
          <w:lang w:val="fr-BE"/>
        </w:rPr>
        <w:t xml:space="preserve"> in </w:t>
      </w:r>
      <w:r w:rsidRPr="008E0561">
        <w:rPr>
          <w:i/>
          <w:iCs/>
          <w:lang w:val="fr-BE"/>
        </w:rPr>
        <w:t>Bulletin de l’Ordre des Experts-comptables et comptables brevetés de Belgique ,</w:t>
      </w:r>
      <w:r w:rsidRPr="008E0561">
        <w:rPr>
          <w:lang w:val="fr-BE"/>
        </w:rPr>
        <w:t xml:space="preserve"> </w:t>
      </w:r>
      <w:proofErr w:type="spellStart"/>
      <w:r w:rsidRPr="008E0561">
        <w:rPr>
          <w:lang w:val="fr-BE"/>
        </w:rPr>
        <w:t>Anthemis</w:t>
      </w:r>
      <w:proofErr w:type="spellEnd"/>
      <w:r w:rsidRPr="008E0561">
        <w:rPr>
          <w:lang w:val="fr-BE"/>
        </w:rPr>
        <w:t>, 2014, 5</w:t>
      </w:r>
      <w:r>
        <w:rPr>
          <w:lang w:val="fr-BE"/>
        </w:rPr>
        <w:t>.</w:t>
      </w:r>
    </w:p>
  </w:footnote>
  <w:footnote w:id="5">
    <w:p w14:paraId="04ADD8DE" w14:textId="250F9454" w:rsidR="005A4E00" w:rsidRPr="009B48BA" w:rsidRDefault="005A4E00" w:rsidP="005A4E00">
      <w:pPr>
        <w:pStyle w:val="Voetnoottekst"/>
      </w:pPr>
      <w:r>
        <w:rPr>
          <w:rStyle w:val="Voetnootmarkering"/>
        </w:rPr>
        <w:footnoteRef/>
      </w:r>
      <w:r w:rsidR="001B510E">
        <w:t xml:space="preserve"> </w:t>
      </w:r>
      <w:r>
        <w:t xml:space="preserve">HEYLEN D., VERREYT I. en VERMEULEN L., </w:t>
      </w:r>
      <w:r>
        <w:rPr>
          <w:i/>
          <w:iCs/>
        </w:rPr>
        <w:t>De beëindiging van de arbeidsovereenkomst onder het eenheidsstatuut,</w:t>
      </w:r>
      <w:r>
        <w:t xml:space="preserve"> </w:t>
      </w:r>
      <w:proofErr w:type="spellStart"/>
      <w:r>
        <w:t>Intersentia</w:t>
      </w:r>
      <w:proofErr w:type="spellEnd"/>
      <w:r>
        <w:t xml:space="preserve">, 2014, 38; VAN DEN BUSSCHE B., </w:t>
      </w:r>
      <w:r>
        <w:rPr>
          <w:i/>
          <w:iCs/>
        </w:rPr>
        <w:t>Alternatieve verloningstechnieken. Hoe houden mijn werknemers netto meer over?,</w:t>
      </w:r>
      <w:r>
        <w:t xml:space="preserve"> Wolters Kluwer, 2024, 344; VAN KERREBROECK N., VERWILGHEN M., </w:t>
      </w:r>
      <w:r>
        <w:rPr>
          <w:i/>
          <w:iCs/>
        </w:rPr>
        <w:t>De harmonisatie van het statuut arbeider en bediende: Een stand van zaken na de Wet Eenheidsstatuut,</w:t>
      </w:r>
      <w:r>
        <w:t xml:space="preserve"> </w:t>
      </w:r>
      <w:proofErr w:type="spellStart"/>
      <w:r>
        <w:t>Larcier</w:t>
      </w:r>
      <w:proofErr w:type="spellEnd"/>
      <w:r>
        <w:t>, 2014, 277.</w:t>
      </w:r>
    </w:p>
  </w:footnote>
  <w:footnote w:id="6">
    <w:p w14:paraId="1C65682F" w14:textId="61BA30AE" w:rsidR="005A4E00" w:rsidRPr="000B705F" w:rsidRDefault="005A4E00" w:rsidP="005A4E00">
      <w:pPr>
        <w:pStyle w:val="Voetnoottekst"/>
      </w:pPr>
      <w:r>
        <w:rPr>
          <w:rStyle w:val="Voetnootmarkering"/>
        </w:rPr>
        <w:footnoteRef/>
      </w:r>
      <w:r w:rsidR="001B510E">
        <w:t xml:space="preserve"> </w:t>
      </w:r>
      <w:r w:rsidRPr="000B705F">
        <w:t xml:space="preserve">KNOOPS S., </w:t>
      </w:r>
      <w:r w:rsidRPr="000B705F">
        <w:rPr>
          <w:i/>
          <w:iCs/>
        </w:rPr>
        <w:t>De toepa</w:t>
      </w:r>
      <w:r>
        <w:rPr>
          <w:i/>
          <w:iCs/>
        </w:rPr>
        <w:t>ssing en handhaving van het gelijkheidsbeginsel bij aanvullende pensioenen,</w:t>
      </w:r>
      <w:r>
        <w:t xml:space="preserve"> </w:t>
      </w:r>
      <w:proofErr w:type="spellStart"/>
      <w:r>
        <w:t>Intersentia</w:t>
      </w:r>
      <w:proofErr w:type="spellEnd"/>
      <w:r>
        <w:t>, 2024, 376; WOUTERS O</w:t>
      </w:r>
      <w:r w:rsidR="00D34490">
        <w:t>.</w:t>
      </w:r>
      <w:r>
        <w:t xml:space="preserve"> en CRAUWELS A., ‘Vijf jaar toepassing van de ontslagregels onder de Wet Eenheidsstatuut (WES)’, </w:t>
      </w:r>
      <w:r>
        <w:rPr>
          <w:i/>
          <w:iCs/>
        </w:rPr>
        <w:t xml:space="preserve">Or. </w:t>
      </w:r>
      <w:r>
        <w:t>2019, afl. 7-8, 215</w:t>
      </w:r>
      <w:r w:rsidR="00BA1CEA">
        <w:t>.</w:t>
      </w:r>
    </w:p>
  </w:footnote>
  <w:footnote w:id="7">
    <w:p w14:paraId="7C992C24" w14:textId="1FBABDD3" w:rsidR="00EE0E36" w:rsidRPr="00FC0F1A" w:rsidRDefault="00EE0E36">
      <w:pPr>
        <w:pStyle w:val="Voetnoottekst"/>
      </w:pPr>
      <w:r>
        <w:rPr>
          <w:rStyle w:val="Voetnootmarkering"/>
        </w:rPr>
        <w:footnoteRef/>
      </w:r>
      <w:r>
        <w:t xml:space="preserve"> </w:t>
      </w:r>
      <w:r w:rsidR="00FC0F1A">
        <w:t xml:space="preserve">Wet van 5 mei 2014 tot wijziging van het rustpensioen en het overlevingspensioen en tot invoering van de overgangsuitkering in de pensioenregeling voor werknemers en houdende geleidelijke opheffing van de verschillen in behandeling die berusten op het onderscheid tussen werklieden en bedienden inzake aanvullende pensioenen, </w:t>
      </w:r>
      <w:r w:rsidR="00FC0F1A">
        <w:rPr>
          <w:i/>
          <w:iCs/>
        </w:rPr>
        <w:t xml:space="preserve">BS </w:t>
      </w:r>
      <w:r w:rsidR="00FC0F1A">
        <w:t>9 mei 2014.</w:t>
      </w:r>
    </w:p>
  </w:footnote>
  <w:footnote w:id="8">
    <w:p w14:paraId="23F95D97" w14:textId="3EEA7F11" w:rsidR="005A4E00" w:rsidRPr="00D34490" w:rsidRDefault="005A4E00" w:rsidP="005A4E00">
      <w:pPr>
        <w:pStyle w:val="Voetnoottekst"/>
        <w:rPr>
          <w:lang w:val="fr-BE"/>
        </w:rPr>
      </w:pPr>
      <w:r>
        <w:rPr>
          <w:rStyle w:val="Voetnootmarkering"/>
        </w:rPr>
        <w:footnoteRef/>
      </w:r>
      <w:r w:rsidR="001B510E">
        <w:t xml:space="preserve"> </w:t>
      </w:r>
      <w:r>
        <w:t xml:space="preserve">Wet van 5 mei 2014 tot wijziging van het rustpensioen en het overlevingspensioen en tot invoering van de overgangsuitkering in de pensioenregeling voor werknemers en houdende geleidelijke opheffing van de verschillen in behandeling die berusten op het onderscheid tussen werklieden en bedienden inzake aanvullende pensioenen, </w:t>
      </w:r>
      <w:r>
        <w:rPr>
          <w:i/>
          <w:iCs/>
        </w:rPr>
        <w:t xml:space="preserve">BS </w:t>
      </w:r>
      <w:r>
        <w:t xml:space="preserve">9 mei 2014; VAN DEN BUSSCHE B., </w:t>
      </w:r>
      <w:r>
        <w:rPr>
          <w:i/>
          <w:iCs/>
        </w:rPr>
        <w:t xml:space="preserve">Alternatieve verloningstechnieken. </w:t>
      </w:r>
      <w:r w:rsidRPr="00D34490">
        <w:rPr>
          <w:i/>
          <w:iCs/>
          <w:lang w:val="fr-BE"/>
        </w:rPr>
        <w:t xml:space="preserve">Hoe </w:t>
      </w:r>
      <w:proofErr w:type="spellStart"/>
      <w:r w:rsidRPr="00D34490">
        <w:rPr>
          <w:i/>
          <w:iCs/>
          <w:lang w:val="fr-BE"/>
        </w:rPr>
        <w:t>houden</w:t>
      </w:r>
      <w:proofErr w:type="spellEnd"/>
      <w:r w:rsidRPr="00D34490">
        <w:rPr>
          <w:i/>
          <w:iCs/>
          <w:lang w:val="fr-BE"/>
        </w:rPr>
        <w:t xml:space="preserve"> </w:t>
      </w:r>
      <w:proofErr w:type="spellStart"/>
      <w:r w:rsidRPr="00D34490">
        <w:rPr>
          <w:i/>
          <w:iCs/>
          <w:lang w:val="fr-BE"/>
        </w:rPr>
        <w:t>mijn</w:t>
      </w:r>
      <w:proofErr w:type="spellEnd"/>
      <w:r w:rsidRPr="00D34490">
        <w:rPr>
          <w:i/>
          <w:iCs/>
          <w:lang w:val="fr-BE"/>
        </w:rPr>
        <w:t xml:space="preserve"> </w:t>
      </w:r>
      <w:proofErr w:type="spellStart"/>
      <w:r w:rsidRPr="00D34490">
        <w:rPr>
          <w:i/>
          <w:iCs/>
          <w:lang w:val="fr-BE"/>
        </w:rPr>
        <w:t>werknemers</w:t>
      </w:r>
      <w:proofErr w:type="spellEnd"/>
      <w:r w:rsidRPr="00D34490">
        <w:rPr>
          <w:i/>
          <w:iCs/>
          <w:lang w:val="fr-BE"/>
        </w:rPr>
        <w:t xml:space="preserve"> </w:t>
      </w:r>
      <w:proofErr w:type="spellStart"/>
      <w:r w:rsidRPr="00D34490">
        <w:rPr>
          <w:i/>
          <w:iCs/>
          <w:lang w:val="fr-BE"/>
        </w:rPr>
        <w:t>netto</w:t>
      </w:r>
      <w:proofErr w:type="spellEnd"/>
      <w:r w:rsidRPr="00D34490">
        <w:rPr>
          <w:i/>
          <w:iCs/>
          <w:lang w:val="fr-BE"/>
        </w:rPr>
        <w:t xml:space="preserve"> </w:t>
      </w:r>
      <w:proofErr w:type="spellStart"/>
      <w:r w:rsidRPr="00D34490">
        <w:rPr>
          <w:i/>
          <w:iCs/>
          <w:lang w:val="fr-BE"/>
        </w:rPr>
        <w:t>meer</w:t>
      </w:r>
      <w:proofErr w:type="spellEnd"/>
      <w:r w:rsidRPr="00D34490">
        <w:rPr>
          <w:i/>
          <w:iCs/>
          <w:lang w:val="fr-BE"/>
        </w:rPr>
        <w:t xml:space="preserve"> over?,</w:t>
      </w:r>
      <w:r w:rsidRPr="00D34490">
        <w:rPr>
          <w:lang w:val="fr-BE"/>
        </w:rPr>
        <w:t xml:space="preserve"> Wolters Kluwer, 2024, 344.</w:t>
      </w:r>
    </w:p>
  </w:footnote>
  <w:footnote w:id="9">
    <w:p w14:paraId="6B015110" w14:textId="451992AE" w:rsidR="00F61C40" w:rsidRPr="002645C4" w:rsidRDefault="00F61C40" w:rsidP="00F61C40">
      <w:pPr>
        <w:pStyle w:val="Voetnoottekst"/>
        <w:rPr>
          <w:lang w:val="fr-BE"/>
        </w:rPr>
      </w:pPr>
      <w:r>
        <w:rPr>
          <w:rStyle w:val="Voetnootmarkering"/>
        </w:rPr>
        <w:footnoteRef/>
      </w:r>
      <w:r w:rsidR="001B510E">
        <w:rPr>
          <w:lang w:val="fr-BE"/>
        </w:rPr>
        <w:t xml:space="preserve"> </w:t>
      </w:r>
      <w:r w:rsidRPr="00312734">
        <w:rPr>
          <w:lang w:val="fr-BE"/>
        </w:rPr>
        <w:t xml:space="preserve">DOYEN </w:t>
      </w:r>
      <w:proofErr w:type="spellStart"/>
      <w:r w:rsidRPr="00312734">
        <w:rPr>
          <w:lang w:val="fr-BE"/>
        </w:rPr>
        <w:t>P.,</w:t>
      </w:r>
      <w:r w:rsidR="00D34490" w:rsidRPr="00312734">
        <w:rPr>
          <w:lang w:val="fr-BE"/>
        </w:rPr>
        <w:t>’</w:t>
      </w:r>
      <w:r w:rsidRPr="00312734">
        <w:rPr>
          <w:lang w:val="fr-BE"/>
        </w:rPr>
        <w:t>Origines</w:t>
      </w:r>
      <w:proofErr w:type="spellEnd"/>
      <w:r w:rsidRPr="00312734">
        <w:rPr>
          <w:lang w:val="fr-BE"/>
        </w:rPr>
        <w:t xml:space="preserve"> de la loi du 8 juin 1999 et évolutions</w:t>
      </w:r>
      <w:r w:rsidR="00D34490" w:rsidRPr="00312734">
        <w:rPr>
          <w:lang w:val="fr-BE"/>
        </w:rPr>
        <w:t>’</w:t>
      </w:r>
      <w:r w:rsidRPr="00312734">
        <w:rPr>
          <w:lang w:val="fr-BE"/>
        </w:rPr>
        <w:t xml:space="preserve">, in </w:t>
      </w:r>
      <w:r w:rsidRPr="00312734">
        <w:rPr>
          <w:i/>
          <w:iCs/>
          <w:lang w:val="fr-BE"/>
        </w:rPr>
        <w:t>Régimes complémentaires de pension au Luxembourg – Bilan et perspectives dix ans après la loi-cadre,</w:t>
      </w:r>
      <w:r w:rsidRPr="00312734">
        <w:rPr>
          <w:lang w:val="fr-BE"/>
        </w:rPr>
        <w:t xml:space="preserve"> </w:t>
      </w:r>
      <w:proofErr w:type="spellStart"/>
      <w:r w:rsidRPr="00312734">
        <w:rPr>
          <w:lang w:val="fr-BE"/>
        </w:rPr>
        <w:t>Anthemis</w:t>
      </w:r>
      <w:proofErr w:type="spellEnd"/>
      <w:r w:rsidRPr="00312734">
        <w:rPr>
          <w:lang w:val="fr-BE"/>
        </w:rPr>
        <w:t>, 2009, 20</w:t>
      </w:r>
      <w:r w:rsidR="00312734" w:rsidRPr="00312734">
        <w:rPr>
          <w:lang w:val="fr-BE"/>
        </w:rPr>
        <w:t>.</w:t>
      </w:r>
    </w:p>
  </w:footnote>
  <w:footnote w:id="10">
    <w:p w14:paraId="2C8FBC63" w14:textId="18D8DDEF" w:rsidR="00F61C40" w:rsidRPr="00832749" w:rsidRDefault="00F61C40" w:rsidP="00F61C40">
      <w:pPr>
        <w:pStyle w:val="Voetnoottekst"/>
      </w:pPr>
      <w:r>
        <w:rPr>
          <w:rStyle w:val="Voetnootmarkering"/>
        </w:rPr>
        <w:footnoteRef/>
      </w:r>
      <w:r w:rsidR="00C56749">
        <w:t xml:space="preserve"> </w:t>
      </w:r>
      <w:r>
        <w:t xml:space="preserve">Wetsontwerp betreffende de aanvullende pensioenen, </w:t>
      </w:r>
      <w:r w:rsidR="00157429">
        <w:t xml:space="preserve">KAMER </w:t>
      </w:r>
      <w:r>
        <w:t>2000-2001, nr. 50-1340/001, 38</w:t>
      </w:r>
      <w:r w:rsidR="00C220AF">
        <w:t>.</w:t>
      </w:r>
    </w:p>
  </w:footnote>
  <w:footnote w:id="11">
    <w:p w14:paraId="213AF942" w14:textId="287E859F" w:rsidR="00F61C40" w:rsidRPr="005F05F5" w:rsidRDefault="00F61C40" w:rsidP="00F61C40">
      <w:pPr>
        <w:pStyle w:val="Voetnoottekst"/>
      </w:pPr>
      <w:r>
        <w:rPr>
          <w:rStyle w:val="Voetnootmarkering"/>
        </w:rPr>
        <w:footnoteRef/>
      </w:r>
      <w:r w:rsidR="00C56749">
        <w:t xml:space="preserve"> </w:t>
      </w:r>
      <w:r w:rsidRPr="005F05F5">
        <w:t xml:space="preserve">DE SOMVIELE I. en VAN DAMME A., </w:t>
      </w:r>
      <w:r w:rsidR="00C220AF" w:rsidRPr="005F05F5">
        <w:t>‘</w:t>
      </w:r>
      <w:r w:rsidRPr="005F05F5">
        <w:t>In 10 jaar tijd naar een eenheidsstatuut op vlak van aanvullende pensioenen</w:t>
      </w:r>
      <w:r w:rsidR="00C220AF" w:rsidRPr="005F05F5">
        <w:t>’</w:t>
      </w:r>
      <w:r w:rsidRPr="005F05F5">
        <w:t xml:space="preserve">, </w:t>
      </w:r>
      <w:r w:rsidRPr="005F05F5">
        <w:rPr>
          <w:i/>
          <w:iCs/>
        </w:rPr>
        <w:t>Or</w:t>
      </w:r>
      <w:r w:rsidR="00D76ABB">
        <w:rPr>
          <w:i/>
          <w:iCs/>
        </w:rPr>
        <w:t>.</w:t>
      </w:r>
      <w:r w:rsidRPr="005F05F5">
        <w:rPr>
          <w:i/>
          <w:iCs/>
        </w:rPr>
        <w:t xml:space="preserve"> </w:t>
      </w:r>
      <w:r w:rsidRPr="005F05F5">
        <w:t>2014, afl. 6, 151</w:t>
      </w:r>
      <w:r w:rsidR="00C220AF" w:rsidRPr="005F05F5">
        <w:t>.</w:t>
      </w:r>
    </w:p>
  </w:footnote>
  <w:footnote w:id="12">
    <w:p w14:paraId="36AB5296" w14:textId="52C6E401" w:rsidR="00E139C2" w:rsidRPr="0058444E" w:rsidRDefault="00E139C2" w:rsidP="00E139C2">
      <w:pPr>
        <w:pStyle w:val="Voetnoottekst"/>
      </w:pPr>
      <w:r w:rsidRPr="005F05F5">
        <w:rPr>
          <w:rStyle w:val="Voetnootmarkering"/>
        </w:rPr>
        <w:footnoteRef/>
      </w:r>
      <w:r w:rsidR="00C56749">
        <w:t xml:space="preserve"> </w:t>
      </w:r>
      <w:r w:rsidRPr="005F05F5">
        <w:t xml:space="preserve">ANKAERT E., PLETS I. en DE JONGHE M. e.a., </w:t>
      </w:r>
      <w:r w:rsidRPr="005F05F5">
        <w:rPr>
          <w:i/>
          <w:iCs/>
        </w:rPr>
        <w:t xml:space="preserve">10 jaar Wet Eenheidsstatuut, Beëindiging arbeidsovereenkomsten onbepaalde duur sinds de Wet Eenheidsstatuut: duidelijke regels en oude/nieuwe discussiepunten, </w:t>
      </w:r>
      <w:r w:rsidRPr="005F05F5">
        <w:t xml:space="preserve">Die </w:t>
      </w:r>
      <w:proofErr w:type="spellStart"/>
      <w:r w:rsidRPr="005F05F5">
        <w:t>Keure</w:t>
      </w:r>
      <w:proofErr w:type="spellEnd"/>
      <w:r w:rsidRPr="005F05F5">
        <w:t xml:space="preserve">, 2024, 155; </w:t>
      </w:r>
      <w:bookmarkStart w:id="7" w:name="_Hlk223532737"/>
      <w:r w:rsidRPr="005F05F5">
        <w:t xml:space="preserve">DE WILDE I., ‘Geleidelijke harmonisering onderscheid arbeiders en bedienden uit Wet Aanvullende Pensioenen niet ongrondwettig’, </w:t>
      </w:r>
      <w:r w:rsidRPr="005F05F5">
        <w:rPr>
          <w:i/>
          <w:iCs/>
        </w:rPr>
        <w:t xml:space="preserve">NJW </w:t>
      </w:r>
      <w:r w:rsidRPr="005F05F5">
        <w:t>2025, afl</w:t>
      </w:r>
      <w:r w:rsidR="00311D75">
        <w:t>.</w:t>
      </w:r>
      <w:r w:rsidRPr="005F05F5">
        <w:t xml:space="preserve"> 516, 124;</w:t>
      </w:r>
      <w:bookmarkEnd w:id="7"/>
      <w:r w:rsidRPr="005F05F5">
        <w:t xml:space="preserve"> </w:t>
      </w:r>
      <w:bookmarkStart w:id="8" w:name="_Hlk223532840"/>
      <w:r w:rsidRPr="005F05F5">
        <w:t xml:space="preserve">VAN DEN BUSSCHE B., </w:t>
      </w:r>
      <w:r w:rsidRPr="005F05F5">
        <w:rPr>
          <w:i/>
          <w:iCs/>
        </w:rPr>
        <w:t xml:space="preserve">Alternatieve verloningstechnieken. Hoe houden mijn werknemers netto meer over?, </w:t>
      </w:r>
      <w:r w:rsidRPr="005F05F5">
        <w:t>Wolters Kluwer, 2024, 344</w:t>
      </w:r>
      <w:bookmarkEnd w:id="8"/>
      <w:r w:rsidR="005F05F5" w:rsidRPr="005F05F5">
        <w:t>.</w:t>
      </w:r>
    </w:p>
  </w:footnote>
  <w:footnote w:id="13">
    <w:p w14:paraId="658C236D" w14:textId="3AAC4568" w:rsidR="00E139C2" w:rsidRPr="0058444E" w:rsidRDefault="00E139C2" w:rsidP="00E139C2">
      <w:pPr>
        <w:pStyle w:val="Voetnoottekst"/>
      </w:pPr>
      <w:bookmarkStart w:id="9" w:name="_Hlk223532928"/>
      <w:r w:rsidRPr="0058444E">
        <w:rPr>
          <w:rStyle w:val="Voetnootmarkering"/>
        </w:rPr>
        <w:footnoteRef/>
      </w:r>
      <w:r w:rsidR="00C56749">
        <w:t xml:space="preserve"> </w:t>
      </w:r>
      <w:r w:rsidRPr="00186822">
        <w:t xml:space="preserve">NATIONALE ARBEIDSRAAD, </w:t>
      </w:r>
      <w:r w:rsidRPr="00186822">
        <w:rPr>
          <w:i/>
          <w:iCs/>
        </w:rPr>
        <w:t xml:space="preserve">Advies voorontwerp van wet tot instelling van een wettelijk kader voor geleidelijke opheffing van de verschillen in behandeling die berusten op het onderscheid tussen arbeiders en bedienden inzake aanvullende pensioenen, </w:t>
      </w:r>
      <w:r w:rsidRPr="00186822">
        <w:t xml:space="preserve">12 februari 2014, nr. 1893, </w:t>
      </w:r>
      <w:r w:rsidR="008A3BBC" w:rsidRPr="00186822">
        <w:t>https://cnt-nar.be/sites/default/files/documents/ADVIES/advies-1893.</w:t>
      </w:r>
      <w:r w:rsidR="008A3BBC" w:rsidRPr="007E30A6">
        <w:t xml:space="preserve">pdf </w:t>
      </w:r>
      <w:hyperlink r:id="rId1" w:history="1"/>
      <w:r w:rsidRPr="007E30A6">
        <w:t xml:space="preserve">; </w:t>
      </w:r>
      <w:bookmarkEnd w:id="9"/>
      <w:r w:rsidRPr="007E30A6">
        <w:t xml:space="preserve">DE WILDE I., ‘Geleidelijke harmonisering onderscheid arbeiders en bedienden uit Wet Aanvullende Pensioenen niet ongrondwettig’, </w:t>
      </w:r>
      <w:r w:rsidRPr="007E30A6">
        <w:rPr>
          <w:i/>
          <w:iCs/>
        </w:rPr>
        <w:t xml:space="preserve">NJW </w:t>
      </w:r>
      <w:r w:rsidRPr="007E30A6">
        <w:t>2025, afl</w:t>
      </w:r>
      <w:r w:rsidR="007E2E9B">
        <w:t>.</w:t>
      </w:r>
      <w:r w:rsidRPr="007E30A6">
        <w:t xml:space="preserve"> 516, 124; </w:t>
      </w:r>
      <w:bookmarkStart w:id="10" w:name="_Hlk223533248"/>
      <w:r w:rsidRPr="007E30A6">
        <w:t xml:space="preserve">VAN HIEL I., ‘Afsluitingsdatum voor ongelijke behandeling arbeiders/bedienden bij opbouw aanvullend pensioen houdt stand.’, </w:t>
      </w:r>
      <w:r w:rsidRPr="007E30A6">
        <w:rPr>
          <w:i/>
          <w:iCs/>
        </w:rPr>
        <w:t xml:space="preserve">Juristenkrant </w:t>
      </w:r>
      <w:r w:rsidRPr="007E30A6">
        <w:t>2024, afl. 500, 5</w:t>
      </w:r>
      <w:bookmarkEnd w:id="10"/>
      <w:r w:rsidRPr="007E30A6">
        <w:t xml:space="preserve">; </w:t>
      </w:r>
      <w:bookmarkStart w:id="11" w:name="_Hlk223533297"/>
      <w:r w:rsidRPr="007E30A6">
        <w:t xml:space="preserve">VAN KERREBROECK N., en VERWILGHEN M., </w:t>
      </w:r>
      <w:r w:rsidRPr="007E30A6">
        <w:rPr>
          <w:i/>
          <w:iCs/>
        </w:rPr>
        <w:t>De harmonisatie van het statuut arbeider en bediende</w:t>
      </w:r>
      <w:r w:rsidRPr="007E30A6">
        <w:t xml:space="preserve">, </w:t>
      </w:r>
      <w:proofErr w:type="spellStart"/>
      <w:r w:rsidRPr="007E30A6">
        <w:t>Intersentia</w:t>
      </w:r>
      <w:proofErr w:type="spellEnd"/>
      <w:r w:rsidRPr="007E30A6">
        <w:t>, 2014, 279</w:t>
      </w:r>
      <w:bookmarkEnd w:id="11"/>
      <w:r w:rsidR="00D76ABB" w:rsidRPr="007E30A6">
        <w:t>.</w:t>
      </w:r>
    </w:p>
  </w:footnote>
  <w:footnote w:id="14">
    <w:p w14:paraId="48264D8A" w14:textId="61B9F0C8" w:rsidR="00600AF7" w:rsidRPr="009D3D2C" w:rsidRDefault="00600AF7">
      <w:pPr>
        <w:pStyle w:val="Voetnoottekst"/>
      </w:pPr>
      <w:r>
        <w:rPr>
          <w:rStyle w:val="Voetnootmarkering"/>
        </w:rPr>
        <w:footnoteRef/>
      </w:r>
      <w:r w:rsidR="004D1522">
        <w:t xml:space="preserve"> </w:t>
      </w:r>
      <w:r w:rsidR="00A81C08" w:rsidRPr="00AD1AE4">
        <w:t xml:space="preserve">BERGHMAN J. en PEETERS H., </w:t>
      </w:r>
      <w:r w:rsidR="00407032" w:rsidRPr="00AD1AE4">
        <w:t>‘</w:t>
      </w:r>
      <w:r w:rsidR="00A81C08" w:rsidRPr="00AD1AE4">
        <w:t>De drie pijlers van het Belgische pensioenlandschap. Overzicht en uitdagingen.</w:t>
      </w:r>
      <w:r w:rsidR="00407032" w:rsidRPr="00AD1AE4">
        <w:t xml:space="preserve">’, </w:t>
      </w:r>
      <w:r w:rsidR="00407032" w:rsidRPr="00AD1AE4">
        <w:rPr>
          <w:i/>
          <w:iCs/>
        </w:rPr>
        <w:t>BTSZ</w:t>
      </w:r>
      <w:r w:rsidR="009D3D2C" w:rsidRPr="00AD1AE4">
        <w:rPr>
          <w:i/>
          <w:iCs/>
        </w:rPr>
        <w:t xml:space="preserve"> </w:t>
      </w:r>
      <w:r w:rsidR="009D3D2C" w:rsidRPr="00AD1AE4">
        <w:t>2012, 1, 5</w:t>
      </w:r>
      <w:r w:rsidR="00AD1AE4" w:rsidRPr="00AD1AE4">
        <w:t>.</w:t>
      </w:r>
    </w:p>
  </w:footnote>
  <w:footnote w:id="15">
    <w:p w14:paraId="1710B6CE" w14:textId="35571873" w:rsidR="00E139C2" w:rsidRDefault="00E139C2" w:rsidP="00E139C2">
      <w:pPr>
        <w:pStyle w:val="Voetnoottekst"/>
      </w:pPr>
      <w:r>
        <w:rPr>
          <w:rStyle w:val="Voetnootmarkering"/>
        </w:rPr>
        <w:footnoteRef/>
      </w:r>
      <w:r w:rsidR="004D1522">
        <w:t xml:space="preserve"> </w:t>
      </w:r>
      <w:r w:rsidRPr="00AD1AE4">
        <w:t xml:space="preserve">ANKAERT E., PLETS I. en DE JONGHE M. e.a., </w:t>
      </w:r>
      <w:r w:rsidRPr="00AD1AE4">
        <w:rPr>
          <w:i/>
          <w:iCs/>
        </w:rPr>
        <w:t xml:space="preserve">10 jaar Wet Eenheidsstatuut, Beëindiging arbeidsovereenkomsten onbepaalde duur sinds de Wet Eenheidsstatuut: duidelijke regels en oude/nieuwe discussiepunten, </w:t>
      </w:r>
      <w:r w:rsidRPr="00AD1AE4">
        <w:t xml:space="preserve">België, Die </w:t>
      </w:r>
      <w:proofErr w:type="spellStart"/>
      <w:r w:rsidRPr="00AD1AE4">
        <w:t>Keure</w:t>
      </w:r>
      <w:proofErr w:type="spellEnd"/>
      <w:r w:rsidRPr="00AD1AE4">
        <w:t xml:space="preserve">, 2024, 166; </w:t>
      </w:r>
      <w:bookmarkStart w:id="13" w:name="_Hlk223533351"/>
      <w:r w:rsidRPr="00AD1AE4">
        <w:t xml:space="preserve">DE SOMVIELE I. en VAN DAMME A., </w:t>
      </w:r>
      <w:r w:rsidRPr="00AD1AE4">
        <w:rPr>
          <w:i/>
          <w:iCs/>
        </w:rPr>
        <w:t>Aanvullende pensioenen: een basishandleiding,</w:t>
      </w:r>
      <w:r w:rsidRPr="00AD1AE4">
        <w:t xml:space="preserve"> Wolters Kluwer, 2016, 5.</w:t>
      </w:r>
      <w:bookmarkEnd w:id="13"/>
    </w:p>
  </w:footnote>
  <w:footnote w:id="16">
    <w:p w14:paraId="2EF314C7" w14:textId="6951CDEA" w:rsidR="00E139C2" w:rsidRPr="000F6C17" w:rsidRDefault="00E139C2" w:rsidP="00E139C2">
      <w:pPr>
        <w:pStyle w:val="Voetnoottekst"/>
      </w:pPr>
      <w:r>
        <w:rPr>
          <w:rStyle w:val="Voetnootmarkering"/>
        </w:rPr>
        <w:footnoteRef/>
      </w:r>
      <w:r w:rsidR="004D1522">
        <w:t xml:space="preserve"> </w:t>
      </w:r>
      <w:proofErr w:type="spellStart"/>
      <w:r w:rsidRPr="00B36042">
        <w:t>GwH</w:t>
      </w:r>
      <w:proofErr w:type="spellEnd"/>
      <w:r w:rsidRPr="00B36042">
        <w:t xml:space="preserve"> 7 juli 2011, nr. 125/2011; VAN KERREBROECK en VERWILGHEN M., </w:t>
      </w:r>
      <w:r w:rsidRPr="00B36042">
        <w:rPr>
          <w:i/>
          <w:iCs/>
        </w:rPr>
        <w:t>De harmonisatie van het statuut arbeider en bediende: Een stand van zaken na de Wet Eenheidsstatuut,</w:t>
      </w:r>
      <w:r w:rsidRPr="00B36042">
        <w:t xml:space="preserve"> </w:t>
      </w:r>
      <w:proofErr w:type="spellStart"/>
      <w:r w:rsidRPr="00B36042">
        <w:t>Larcier</w:t>
      </w:r>
      <w:proofErr w:type="spellEnd"/>
      <w:r w:rsidRPr="00B36042">
        <w:t>, 2014, 19.</w:t>
      </w:r>
    </w:p>
  </w:footnote>
  <w:footnote w:id="17">
    <w:p w14:paraId="098CA151" w14:textId="17C2E85F" w:rsidR="00E139C2" w:rsidRDefault="00E139C2" w:rsidP="00E139C2">
      <w:pPr>
        <w:pStyle w:val="Voetnoottekst"/>
      </w:pPr>
      <w:r>
        <w:rPr>
          <w:rStyle w:val="Voetnootmarkering"/>
        </w:rPr>
        <w:footnoteRef/>
      </w:r>
      <w:r w:rsidR="004D1522">
        <w:t xml:space="preserve"> </w:t>
      </w:r>
      <w:r w:rsidRPr="00DD39E5">
        <w:t xml:space="preserve">ANKAERT E., PLETS I. en DE JONGHE M. e.a., </w:t>
      </w:r>
      <w:r w:rsidRPr="00DD39E5">
        <w:rPr>
          <w:i/>
          <w:iCs/>
        </w:rPr>
        <w:t>10 jaar Wet Eenheidsstatuut, Beëindiging arbeidsovereenkomsten onbepaalde duur sinds de Wet Eenheidsstatuut: duidelijke regels en oude/nieuwe discussiepunten,</w:t>
      </w:r>
      <w:r w:rsidRPr="00DD39E5">
        <w:t xml:space="preserve"> </w:t>
      </w:r>
      <w:r w:rsidR="00DC2421">
        <w:t>d</w:t>
      </w:r>
      <w:r w:rsidRPr="00DD39E5">
        <w:t xml:space="preserve">ie </w:t>
      </w:r>
      <w:proofErr w:type="spellStart"/>
      <w:r w:rsidRPr="00DD39E5">
        <w:t>Keure</w:t>
      </w:r>
      <w:proofErr w:type="spellEnd"/>
      <w:r w:rsidRPr="00DD39E5">
        <w:t xml:space="preserve">, 2024, 159; </w:t>
      </w:r>
      <w:bookmarkStart w:id="14" w:name="_Hlk223533576"/>
      <w:r w:rsidRPr="00DD39E5">
        <w:t xml:space="preserve">DEVOET C., </w:t>
      </w:r>
      <w:r w:rsidRPr="00DD39E5">
        <w:rPr>
          <w:i/>
          <w:iCs/>
        </w:rPr>
        <w:t xml:space="preserve">Répertoire </w:t>
      </w:r>
      <w:proofErr w:type="spellStart"/>
      <w:r w:rsidRPr="00DD39E5">
        <w:rPr>
          <w:i/>
          <w:iCs/>
        </w:rPr>
        <w:t>pratique</w:t>
      </w:r>
      <w:proofErr w:type="spellEnd"/>
      <w:r w:rsidRPr="00DD39E5">
        <w:rPr>
          <w:i/>
          <w:iCs/>
        </w:rPr>
        <w:t xml:space="preserve"> du </w:t>
      </w:r>
      <w:proofErr w:type="spellStart"/>
      <w:r w:rsidRPr="00DD39E5">
        <w:rPr>
          <w:i/>
          <w:iCs/>
        </w:rPr>
        <w:t>droit</w:t>
      </w:r>
      <w:proofErr w:type="spellEnd"/>
      <w:r w:rsidRPr="00DD39E5">
        <w:rPr>
          <w:i/>
          <w:iCs/>
        </w:rPr>
        <w:t xml:space="preserve"> </w:t>
      </w:r>
      <w:proofErr w:type="spellStart"/>
      <w:r w:rsidRPr="00DD39E5">
        <w:rPr>
          <w:i/>
          <w:iCs/>
        </w:rPr>
        <w:t>Belge</w:t>
      </w:r>
      <w:proofErr w:type="spellEnd"/>
      <w:r w:rsidRPr="00DD39E5">
        <w:rPr>
          <w:i/>
          <w:iCs/>
        </w:rPr>
        <w:t xml:space="preserve">: Pensions </w:t>
      </w:r>
      <w:proofErr w:type="spellStart"/>
      <w:r w:rsidRPr="00DD39E5">
        <w:rPr>
          <w:i/>
          <w:iCs/>
        </w:rPr>
        <w:t>complémentaires</w:t>
      </w:r>
      <w:proofErr w:type="spellEnd"/>
      <w:r w:rsidRPr="00DD39E5">
        <w:rPr>
          <w:i/>
          <w:iCs/>
        </w:rPr>
        <w:t xml:space="preserve"> </w:t>
      </w:r>
      <w:proofErr w:type="spellStart"/>
      <w:r w:rsidRPr="00DD39E5">
        <w:rPr>
          <w:i/>
          <w:iCs/>
        </w:rPr>
        <w:t>professionnelles</w:t>
      </w:r>
      <w:proofErr w:type="spellEnd"/>
      <w:r w:rsidRPr="00DD39E5">
        <w:rPr>
          <w:i/>
          <w:iCs/>
        </w:rPr>
        <w:t xml:space="preserve"> (2</w:t>
      </w:r>
      <w:r w:rsidRPr="00DD39E5">
        <w:rPr>
          <w:i/>
          <w:iCs/>
          <w:vertAlign w:val="superscript"/>
        </w:rPr>
        <w:t>e</w:t>
      </w:r>
      <w:r w:rsidRPr="00DD39E5">
        <w:rPr>
          <w:i/>
          <w:iCs/>
        </w:rPr>
        <w:t xml:space="preserve"> </w:t>
      </w:r>
      <w:proofErr w:type="spellStart"/>
      <w:r w:rsidRPr="00DD39E5">
        <w:rPr>
          <w:i/>
          <w:iCs/>
        </w:rPr>
        <w:t>édition</w:t>
      </w:r>
      <w:proofErr w:type="spellEnd"/>
      <w:r w:rsidRPr="00DD39E5">
        <w:rPr>
          <w:i/>
          <w:iCs/>
        </w:rPr>
        <w:t xml:space="preserve"> </w:t>
      </w:r>
      <w:proofErr w:type="spellStart"/>
      <w:r w:rsidRPr="00DD39E5">
        <w:rPr>
          <w:i/>
          <w:iCs/>
        </w:rPr>
        <w:t>refondue</w:t>
      </w:r>
      <w:proofErr w:type="spellEnd"/>
      <w:r w:rsidRPr="00DD39E5">
        <w:rPr>
          <w:i/>
          <w:iCs/>
        </w:rPr>
        <w:t>),</w:t>
      </w:r>
      <w:r w:rsidRPr="00DD39E5">
        <w:t xml:space="preserve"> </w:t>
      </w:r>
      <w:proofErr w:type="spellStart"/>
      <w:r w:rsidRPr="00DD39E5">
        <w:t>Larcier</w:t>
      </w:r>
      <w:proofErr w:type="spellEnd"/>
      <w:r w:rsidRPr="00DD39E5">
        <w:t>, 2020, 242.</w:t>
      </w:r>
      <w:bookmarkEnd w:id="14"/>
    </w:p>
  </w:footnote>
  <w:footnote w:id="18">
    <w:p w14:paraId="15ECE353" w14:textId="40758A26" w:rsidR="00E139C2" w:rsidRDefault="00E139C2" w:rsidP="00E139C2">
      <w:pPr>
        <w:pStyle w:val="Voetnoottekst"/>
      </w:pPr>
      <w:r>
        <w:rPr>
          <w:rStyle w:val="Voetnootmarkering"/>
        </w:rPr>
        <w:footnoteRef/>
      </w:r>
      <w:r w:rsidR="00F5287D">
        <w:t xml:space="preserve"> </w:t>
      </w:r>
      <w:r w:rsidRPr="00A44829">
        <w:t xml:space="preserve">KNOOPS S., </w:t>
      </w:r>
      <w:r w:rsidRPr="00A44829">
        <w:rPr>
          <w:i/>
          <w:iCs/>
        </w:rPr>
        <w:t>Een analyse van het gelijkheidsbeginsel bij aanvullende pensioenen voor deeltijdse en tijdelijke werknemers; voor arbeiders en bedienden en voor jongere en oudere werknemers,</w:t>
      </w:r>
      <w:r w:rsidRPr="00A44829">
        <w:t xml:space="preserve"> </w:t>
      </w:r>
      <w:proofErr w:type="spellStart"/>
      <w:r w:rsidR="00982AF6">
        <w:t>Intersentia</w:t>
      </w:r>
      <w:proofErr w:type="spellEnd"/>
      <w:r w:rsidR="00982AF6">
        <w:t>,</w:t>
      </w:r>
      <w:r w:rsidRPr="00A44829">
        <w:t xml:space="preserve"> 2024, 339.</w:t>
      </w:r>
    </w:p>
  </w:footnote>
  <w:footnote w:id="19">
    <w:p w14:paraId="435FC933" w14:textId="390EE501" w:rsidR="00C3403D" w:rsidRPr="00F17922" w:rsidRDefault="00C3403D" w:rsidP="00C3403D">
      <w:pPr>
        <w:pStyle w:val="Voetnoottekst"/>
      </w:pPr>
      <w:r>
        <w:rPr>
          <w:rStyle w:val="Voetnootmarkering"/>
        </w:rPr>
        <w:footnoteRef/>
      </w:r>
      <w:r w:rsidR="007221D2">
        <w:t xml:space="preserve"> </w:t>
      </w:r>
      <w:r w:rsidRPr="00F17922">
        <w:t xml:space="preserve">TIJSSEN H, </w:t>
      </w:r>
      <w:r w:rsidRPr="00F17922">
        <w:rPr>
          <w:i/>
          <w:iCs/>
        </w:rPr>
        <w:t>De juridische dissertatie onder de loep,</w:t>
      </w:r>
      <w:r w:rsidRPr="00F17922">
        <w:t xml:space="preserve"> Boom Juridische uitgevers, 2009, 58.</w:t>
      </w:r>
    </w:p>
  </w:footnote>
  <w:footnote w:id="20">
    <w:p w14:paraId="4CB68FCE" w14:textId="0B742511" w:rsidR="00C3403D" w:rsidRDefault="00C3403D" w:rsidP="00C3403D">
      <w:pPr>
        <w:pStyle w:val="Voetnoottekst"/>
      </w:pPr>
      <w:r w:rsidRPr="00F17922">
        <w:rPr>
          <w:rStyle w:val="Voetnootmarkering"/>
        </w:rPr>
        <w:footnoteRef/>
      </w:r>
      <w:bookmarkStart w:id="16" w:name="_Hlk223533880"/>
      <w:r w:rsidR="007221D2">
        <w:t xml:space="preserve"> </w:t>
      </w:r>
      <w:r w:rsidRPr="00F17922">
        <w:t xml:space="preserve">VAN GESTEL R.A.J. en VRANKEN J.B.M., ‘Rechtswetenschappelijke artikelen’, </w:t>
      </w:r>
      <w:r w:rsidRPr="00F17922">
        <w:rPr>
          <w:i/>
          <w:iCs/>
        </w:rPr>
        <w:t xml:space="preserve">NJB </w:t>
      </w:r>
      <w:r w:rsidRPr="00F17922">
        <w:t xml:space="preserve">2007, 1454; </w:t>
      </w:r>
      <w:bookmarkStart w:id="17" w:name="_Hlk223533896"/>
      <w:bookmarkEnd w:id="16"/>
      <w:r w:rsidRPr="00F17922">
        <w:t xml:space="preserve">KESTEMONT L. en SCHOUKENS P., </w:t>
      </w:r>
      <w:r w:rsidRPr="00F17922">
        <w:rPr>
          <w:i/>
          <w:iCs/>
        </w:rPr>
        <w:t>Rechtswetenschappelijk schrijven,</w:t>
      </w:r>
      <w:r w:rsidRPr="00F17922">
        <w:t xml:space="preserve"> </w:t>
      </w:r>
      <w:proofErr w:type="spellStart"/>
      <w:r w:rsidRPr="00F17922">
        <w:t>Acco</w:t>
      </w:r>
      <w:proofErr w:type="spellEnd"/>
      <w:r w:rsidRPr="00F17922">
        <w:t>, 2021, 31.</w:t>
      </w:r>
      <w:bookmarkEnd w:id="17"/>
    </w:p>
  </w:footnote>
  <w:footnote w:id="21">
    <w:p w14:paraId="02886495" w14:textId="0052ADD3" w:rsidR="0065183D" w:rsidRDefault="0065183D" w:rsidP="0065183D">
      <w:pPr>
        <w:pStyle w:val="Voetnoottekst"/>
      </w:pPr>
      <w:r>
        <w:rPr>
          <w:rStyle w:val="Voetnootmarkering"/>
        </w:rPr>
        <w:footnoteRef/>
      </w:r>
      <w:r w:rsidRPr="00B6795F">
        <w:t xml:space="preserve">KESTEMONT L. en SCHOUKENS P., </w:t>
      </w:r>
      <w:r w:rsidRPr="00B6795F">
        <w:rPr>
          <w:i/>
          <w:iCs/>
        </w:rPr>
        <w:t>Rechtswetenschappelijk schrijven,</w:t>
      </w:r>
      <w:r w:rsidRPr="00B6795F">
        <w:t xml:space="preserve"> </w:t>
      </w:r>
      <w:proofErr w:type="spellStart"/>
      <w:r w:rsidRPr="00B6795F">
        <w:t>Acco</w:t>
      </w:r>
      <w:proofErr w:type="spellEnd"/>
      <w:r w:rsidRPr="00B6795F">
        <w:t>, 2021, 47</w:t>
      </w:r>
      <w:r w:rsidR="00B6795F" w:rsidRPr="00B6795F">
        <w:t>.</w:t>
      </w:r>
    </w:p>
  </w:footnote>
  <w:footnote w:id="22">
    <w:p w14:paraId="74C705BC" w14:textId="2B84A9F0" w:rsidR="00B14748" w:rsidRPr="00B6795F" w:rsidRDefault="00B14748" w:rsidP="00B14748">
      <w:pPr>
        <w:pStyle w:val="Voetnoottekst"/>
      </w:pPr>
      <w:r>
        <w:rPr>
          <w:rStyle w:val="Voetnootmarkering"/>
        </w:rPr>
        <w:footnoteRef/>
      </w:r>
      <w:r w:rsidR="00C53984">
        <w:t xml:space="preserve"> </w:t>
      </w:r>
      <w:r w:rsidRPr="00B6795F">
        <w:t>RAUWS W., ‘Bijdrage 7. De toekomst van het arbeidsovereenkomstenrecht’ in DEBAENST</w:t>
      </w:r>
      <w:r w:rsidR="00B6795F" w:rsidRPr="00B6795F">
        <w:t xml:space="preserve"> B</w:t>
      </w:r>
      <w:r w:rsidRPr="00B6795F">
        <w:t xml:space="preserve"> (ed.), </w:t>
      </w:r>
      <w:r w:rsidRPr="00B6795F">
        <w:rPr>
          <w:i/>
          <w:iCs/>
        </w:rPr>
        <w:t>Van statuut tot contract. De arbeidsovereenkomst in België vanuit rechtshistorisch perspectief,</w:t>
      </w:r>
      <w:r w:rsidRPr="00B6795F">
        <w:t xml:space="preserve"> die </w:t>
      </w:r>
      <w:proofErr w:type="spellStart"/>
      <w:r w:rsidRPr="00B6795F">
        <w:t>Keure</w:t>
      </w:r>
      <w:proofErr w:type="spellEnd"/>
      <w:r w:rsidRPr="00B6795F">
        <w:t>, 2013, 144.</w:t>
      </w:r>
    </w:p>
  </w:footnote>
  <w:footnote w:id="23">
    <w:p w14:paraId="1233E3E0" w14:textId="1B781EE0" w:rsidR="00B14748" w:rsidRPr="00CD5C2A" w:rsidRDefault="00B14748" w:rsidP="00B14748">
      <w:pPr>
        <w:pStyle w:val="Voetnoottekst"/>
      </w:pPr>
      <w:r>
        <w:rPr>
          <w:rStyle w:val="Voetnootmarkering"/>
        </w:rPr>
        <w:footnoteRef/>
      </w:r>
      <w:bookmarkStart w:id="18" w:name="_Hlk227570051"/>
      <w:bookmarkStart w:id="19" w:name="_Hlk223533992"/>
      <w:r w:rsidR="00C53984">
        <w:t xml:space="preserve"> </w:t>
      </w:r>
      <w:r w:rsidR="007F10E3" w:rsidRPr="001C298F">
        <w:t xml:space="preserve">GOUDSWAARD </w:t>
      </w:r>
      <w:proofErr w:type="spellStart"/>
      <w:r w:rsidR="007F10E3" w:rsidRPr="001C298F">
        <w:t>K.,</w:t>
      </w:r>
      <w:r w:rsidR="00CD5C2A" w:rsidRPr="001C298F">
        <w:t>’Hoe</w:t>
      </w:r>
      <w:proofErr w:type="spellEnd"/>
      <w:r w:rsidR="00CD5C2A" w:rsidRPr="001C298F">
        <w:t xml:space="preserve"> ziet het Nederlandse pensioenstelsel er in de toekomst uit?, </w:t>
      </w:r>
      <w:r w:rsidR="00CD5C2A" w:rsidRPr="001C298F">
        <w:rPr>
          <w:i/>
          <w:iCs/>
        </w:rPr>
        <w:t xml:space="preserve">Tijdschrift voor Openbare Financiën, </w:t>
      </w:r>
      <w:r w:rsidR="001C298F">
        <w:t>2013/2</w:t>
      </w:r>
      <w:r w:rsidR="00CD5C2A" w:rsidRPr="001C298F">
        <w:t>, 61</w:t>
      </w:r>
      <w:r w:rsidR="00243EDA" w:rsidRPr="002128FC">
        <w:rPr>
          <w:i/>
          <w:iCs/>
        </w:rPr>
        <w:t>;</w:t>
      </w:r>
      <w:r w:rsidR="007F10E3" w:rsidRPr="002128FC">
        <w:rPr>
          <w:i/>
          <w:iCs/>
        </w:rPr>
        <w:t xml:space="preserve"> </w:t>
      </w:r>
      <w:bookmarkEnd w:id="18"/>
      <w:r w:rsidRPr="002128FC">
        <w:t>NATALI D., KEUNE M., PAVOLINI E. en SEELEIB-KAISER M., ‘</w:t>
      </w:r>
      <w:proofErr w:type="spellStart"/>
      <w:r w:rsidRPr="002128FC">
        <w:t>Sixty</w:t>
      </w:r>
      <w:proofErr w:type="spellEnd"/>
      <w:r w:rsidRPr="002128FC">
        <w:t xml:space="preserve"> </w:t>
      </w:r>
      <w:proofErr w:type="spellStart"/>
      <w:r w:rsidRPr="002128FC">
        <w:t>years</w:t>
      </w:r>
      <w:proofErr w:type="spellEnd"/>
      <w:r w:rsidRPr="002128FC">
        <w:t xml:space="preserve"> </w:t>
      </w:r>
      <w:proofErr w:type="spellStart"/>
      <w:r w:rsidRPr="002128FC">
        <w:t>after</w:t>
      </w:r>
      <w:proofErr w:type="spellEnd"/>
      <w:r w:rsidRPr="002128FC">
        <w:t xml:space="preserve"> </w:t>
      </w:r>
      <w:proofErr w:type="spellStart"/>
      <w:r w:rsidRPr="002128FC">
        <w:t>Titmuss</w:t>
      </w:r>
      <w:proofErr w:type="spellEnd"/>
      <w:r w:rsidRPr="002128FC">
        <w:t xml:space="preserve">: New </w:t>
      </w:r>
      <w:proofErr w:type="spellStart"/>
      <w:r w:rsidRPr="002128FC">
        <w:t>findings</w:t>
      </w:r>
      <w:proofErr w:type="spellEnd"/>
      <w:r w:rsidRPr="002128FC">
        <w:t xml:space="preserve"> on </w:t>
      </w:r>
      <w:proofErr w:type="spellStart"/>
      <w:r w:rsidRPr="002128FC">
        <w:t>occupational</w:t>
      </w:r>
      <w:proofErr w:type="spellEnd"/>
      <w:r w:rsidRPr="002128FC">
        <w:t xml:space="preserve"> welfare in Europe’, </w:t>
      </w:r>
      <w:proofErr w:type="spellStart"/>
      <w:r w:rsidRPr="002128FC">
        <w:rPr>
          <w:i/>
          <w:iCs/>
        </w:rPr>
        <w:t>Soc</w:t>
      </w:r>
      <w:proofErr w:type="spellEnd"/>
      <w:r w:rsidRPr="002128FC">
        <w:rPr>
          <w:i/>
          <w:iCs/>
        </w:rPr>
        <w:t xml:space="preserve"> Policy </w:t>
      </w:r>
      <w:proofErr w:type="spellStart"/>
      <w:r w:rsidRPr="002128FC">
        <w:rPr>
          <w:i/>
          <w:iCs/>
        </w:rPr>
        <w:t>Admin</w:t>
      </w:r>
      <w:proofErr w:type="spellEnd"/>
      <w:r w:rsidRPr="002128FC">
        <w:rPr>
          <w:i/>
          <w:iCs/>
        </w:rPr>
        <w:t xml:space="preserve"> </w:t>
      </w:r>
      <w:r w:rsidRPr="002128FC">
        <w:t xml:space="preserve">2018, </w:t>
      </w:r>
      <w:r w:rsidR="004D2620" w:rsidRPr="002128FC">
        <w:t>2018/2</w:t>
      </w:r>
      <w:r w:rsidRPr="002128FC">
        <w:t>, 438</w:t>
      </w:r>
      <w:bookmarkEnd w:id="19"/>
      <w:r w:rsidR="004D2620" w:rsidRPr="002128FC">
        <w:t>.</w:t>
      </w:r>
    </w:p>
  </w:footnote>
  <w:footnote w:id="24">
    <w:p w14:paraId="6BB9D579" w14:textId="6A45442D" w:rsidR="00B14748" w:rsidRPr="000B5BCC" w:rsidRDefault="00B14748" w:rsidP="00B14748">
      <w:pPr>
        <w:pStyle w:val="Voetnoottekst"/>
      </w:pPr>
      <w:r>
        <w:rPr>
          <w:rStyle w:val="Voetnootmarkering"/>
        </w:rPr>
        <w:footnoteRef/>
      </w:r>
      <w:r w:rsidR="00C53984">
        <w:t xml:space="preserve"> </w:t>
      </w:r>
      <w:r w:rsidRPr="002128FC">
        <w:t xml:space="preserve">KNOOPS S., </w:t>
      </w:r>
      <w:r w:rsidRPr="002128FC">
        <w:rPr>
          <w:i/>
          <w:iCs/>
        </w:rPr>
        <w:t xml:space="preserve">De toepassing en handhaving van het gelijkheidsbeginsel bij aanvullende pensioenen, </w:t>
      </w:r>
      <w:r w:rsidRPr="002128FC">
        <w:t xml:space="preserve">Brussel, </w:t>
      </w:r>
      <w:proofErr w:type="spellStart"/>
      <w:r w:rsidRPr="002128FC">
        <w:t>Intersentia</w:t>
      </w:r>
      <w:proofErr w:type="spellEnd"/>
      <w:r w:rsidRPr="002128FC">
        <w:t>, 2024, 12.</w:t>
      </w:r>
    </w:p>
  </w:footnote>
  <w:footnote w:id="25">
    <w:p w14:paraId="533F7FA3" w14:textId="7E555327" w:rsidR="00B14748" w:rsidRPr="0062401F" w:rsidRDefault="00B14748" w:rsidP="00B14748">
      <w:pPr>
        <w:pStyle w:val="Voetnoottekst"/>
        <w:rPr>
          <w:color w:val="00B050"/>
        </w:rPr>
      </w:pPr>
      <w:r w:rsidRPr="002128FC">
        <w:rPr>
          <w:rStyle w:val="Voetnootmarkering"/>
        </w:rPr>
        <w:footnoteRef/>
      </w:r>
      <w:r w:rsidR="00C53984">
        <w:t xml:space="preserve"> </w:t>
      </w:r>
      <w:r w:rsidRPr="002128FC">
        <w:t xml:space="preserve">Arrest </w:t>
      </w:r>
      <w:proofErr w:type="spellStart"/>
      <w:r w:rsidRPr="002128FC">
        <w:t>Bundesverfassungsgericht</w:t>
      </w:r>
      <w:proofErr w:type="spellEnd"/>
      <w:r w:rsidRPr="002128FC">
        <w:t xml:space="preserve"> van 30 mei 1990, 82, 126; CUYPERS D., </w:t>
      </w:r>
      <w:r w:rsidR="002128FC" w:rsidRPr="002128FC">
        <w:t>‘</w:t>
      </w:r>
      <w:r w:rsidRPr="002128FC">
        <w:t>Het onderscheid tussen werklieden en bedienden</w:t>
      </w:r>
      <w:r w:rsidR="002128FC" w:rsidRPr="002128FC">
        <w:t>’</w:t>
      </w:r>
      <w:r w:rsidRPr="002128FC">
        <w:t xml:space="preserve">, </w:t>
      </w:r>
      <w:r w:rsidRPr="002128FC">
        <w:rPr>
          <w:i/>
          <w:iCs/>
        </w:rPr>
        <w:t xml:space="preserve">Or. </w:t>
      </w:r>
      <w:r w:rsidRPr="002128FC">
        <w:t xml:space="preserve">1991, 57; ENGELS C., </w:t>
      </w:r>
      <w:r w:rsidR="002128FC" w:rsidRPr="002128FC">
        <w:t>‘</w:t>
      </w:r>
      <w:r w:rsidRPr="002128FC">
        <w:t>Het onderscheid werkman/bediende. Een ongrondwettige discriminatie in strijd met de artikelen 6 en 6bis van de Belgische Grondwet</w:t>
      </w:r>
      <w:r w:rsidR="002128FC" w:rsidRPr="002128FC">
        <w:t>’</w:t>
      </w:r>
      <w:r w:rsidRPr="002128FC">
        <w:t xml:space="preserve">, </w:t>
      </w:r>
      <w:r w:rsidRPr="002128FC">
        <w:rPr>
          <w:i/>
          <w:iCs/>
        </w:rPr>
        <w:t xml:space="preserve">RW </w:t>
      </w:r>
      <w:r w:rsidRPr="002128FC">
        <w:t>1991-</w:t>
      </w:r>
      <w:r w:rsidR="00333A2F">
        <w:t>19</w:t>
      </w:r>
      <w:r w:rsidRPr="002128FC">
        <w:t>92, afl. 22, 735.</w:t>
      </w:r>
    </w:p>
  </w:footnote>
  <w:footnote w:id="26">
    <w:p w14:paraId="7F76A8C6" w14:textId="6296EAE1" w:rsidR="00667491" w:rsidRPr="007D3C96" w:rsidRDefault="00667491" w:rsidP="00667491">
      <w:pPr>
        <w:pStyle w:val="Voetnoottekst"/>
      </w:pPr>
      <w:r w:rsidRPr="0058444E">
        <w:rPr>
          <w:rStyle w:val="Voetnootmarkering"/>
        </w:rPr>
        <w:footnoteRef/>
      </w:r>
      <w:bookmarkStart w:id="23" w:name="_Hlk223535030"/>
      <w:r w:rsidR="00925B32">
        <w:t xml:space="preserve"> </w:t>
      </w:r>
      <w:proofErr w:type="spellStart"/>
      <w:r w:rsidRPr="007D3C96">
        <w:t>Arbitragehof</w:t>
      </w:r>
      <w:proofErr w:type="spellEnd"/>
      <w:r w:rsidRPr="007D3C96">
        <w:t xml:space="preserve"> 8 juli 1993, nr. 56/93</w:t>
      </w:r>
      <w:bookmarkEnd w:id="23"/>
      <w:r w:rsidRPr="007D3C96">
        <w:t xml:space="preserve">; </w:t>
      </w:r>
      <w:bookmarkStart w:id="24" w:name="_Hlk223535044"/>
      <w:proofErr w:type="spellStart"/>
      <w:r w:rsidRPr="007D3C96">
        <w:t>Arbitragehof</w:t>
      </w:r>
      <w:proofErr w:type="spellEnd"/>
      <w:r w:rsidRPr="007D3C96">
        <w:t xml:space="preserve"> 21 juni 2001, nr. 84/2001</w:t>
      </w:r>
      <w:bookmarkEnd w:id="24"/>
      <w:r w:rsidRPr="007D3C96">
        <w:t xml:space="preserve">; </w:t>
      </w:r>
      <w:bookmarkStart w:id="25" w:name="_Hlk223535064"/>
      <w:r w:rsidRPr="007D3C96">
        <w:t xml:space="preserve">DE VOS M., ‘Het </w:t>
      </w:r>
      <w:proofErr w:type="spellStart"/>
      <w:r w:rsidRPr="007D3C96">
        <w:t>arbitragehof</w:t>
      </w:r>
      <w:proofErr w:type="spellEnd"/>
      <w:r w:rsidRPr="007D3C96">
        <w:t xml:space="preserve"> en het arbeidsrecht’, in RIGAUX M. en HUMBLET P. (</w:t>
      </w:r>
      <w:proofErr w:type="spellStart"/>
      <w:r w:rsidRPr="007D3C96">
        <w:t>eds</w:t>
      </w:r>
      <w:proofErr w:type="spellEnd"/>
      <w:r w:rsidRPr="007D3C96">
        <w:t xml:space="preserve">.), </w:t>
      </w:r>
      <w:r w:rsidRPr="007D3C96">
        <w:rPr>
          <w:i/>
          <w:iCs/>
        </w:rPr>
        <w:t>actuele problemen van het arbeidsrecht 6,</w:t>
      </w:r>
      <w:r w:rsidRPr="007D3C96">
        <w:t xml:space="preserve"> </w:t>
      </w:r>
      <w:proofErr w:type="spellStart"/>
      <w:r w:rsidRPr="007D3C96">
        <w:t>Intersentia</w:t>
      </w:r>
      <w:proofErr w:type="spellEnd"/>
      <w:r w:rsidRPr="007D3C96">
        <w:t>, 2001, 89.</w:t>
      </w:r>
      <w:bookmarkEnd w:id="25"/>
    </w:p>
  </w:footnote>
  <w:footnote w:id="27">
    <w:p w14:paraId="0635A5C0" w14:textId="52BD9B38" w:rsidR="00667491" w:rsidRPr="007D3C96" w:rsidRDefault="00667491" w:rsidP="00667491">
      <w:pPr>
        <w:pStyle w:val="Voetnoottekst"/>
      </w:pPr>
      <w:r w:rsidRPr="007D3C96">
        <w:rPr>
          <w:rStyle w:val="Voetnootmarkering"/>
        </w:rPr>
        <w:footnoteRef/>
      </w:r>
      <w:r w:rsidR="00925B32">
        <w:t xml:space="preserve"> </w:t>
      </w:r>
      <w:r w:rsidRPr="007D3C96">
        <w:t xml:space="preserve">ANKAERT E., PLETS I. en DE JONGHE M. e.a., </w:t>
      </w:r>
      <w:r w:rsidRPr="007D3C96">
        <w:rPr>
          <w:i/>
          <w:iCs/>
        </w:rPr>
        <w:t>10 jaar Wet Eenheidsstatuut, Beëindiging arbeidsovereenkomsten onbepaalde duur sinds de Wet Eenheidsstatuut: duidelijke regels en oude/nieuwe discussiepunten,</w:t>
      </w:r>
      <w:r w:rsidRPr="007D3C96">
        <w:t xml:space="preserve"> </w:t>
      </w:r>
      <w:r w:rsidR="0035240D" w:rsidRPr="007D3C96">
        <w:t>d</w:t>
      </w:r>
      <w:r w:rsidRPr="007D3C96">
        <w:t xml:space="preserve">ie </w:t>
      </w:r>
      <w:proofErr w:type="spellStart"/>
      <w:r w:rsidRPr="007D3C96">
        <w:t>Keure</w:t>
      </w:r>
      <w:proofErr w:type="spellEnd"/>
      <w:r w:rsidRPr="007D3C96">
        <w:t xml:space="preserve">, 2024, 155; </w:t>
      </w:r>
      <w:bookmarkStart w:id="26" w:name="_Hlk223535277"/>
      <w:r w:rsidRPr="007D3C96">
        <w:t xml:space="preserve">BLANPAIN R., </w:t>
      </w:r>
      <w:r w:rsidRPr="007D3C96">
        <w:rPr>
          <w:i/>
          <w:iCs/>
        </w:rPr>
        <w:t>Sire, Zijn er domme werknemers in ons land?,</w:t>
      </w:r>
      <w:r w:rsidRPr="007D3C96">
        <w:t xml:space="preserve"> die </w:t>
      </w:r>
      <w:proofErr w:type="spellStart"/>
      <w:r w:rsidRPr="007D3C96">
        <w:t>Keure</w:t>
      </w:r>
      <w:proofErr w:type="spellEnd"/>
      <w:r w:rsidRPr="007D3C96">
        <w:t xml:space="preserve">, 2001, 13; </w:t>
      </w:r>
      <w:bookmarkStart w:id="27" w:name="_Hlk223535300"/>
      <w:bookmarkEnd w:id="26"/>
      <w:r w:rsidRPr="007D3C96">
        <w:t xml:space="preserve">CLESSE J. en MORTIER A., ‘La </w:t>
      </w:r>
      <w:proofErr w:type="spellStart"/>
      <w:r w:rsidRPr="007D3C96">
        <w:t>loi</w:t>
      </w:r>
      <w:proofErr w:type="spellEnd"/>
      <w:r w:rsidRPr="007D3C96">
        <w:t xml:space="preserve"> du 12 </w:t>
      </w:r>
      <w:proofErr w:type="spellStart"/>
      <w:r w:rsidRPr="007D3C96">
        <w:t>avril</w:t>
      </w:r>
      <w:proofErr w:type="spellEnd"/>
      <w:r w:rsidRPr="007D3C96">
        <w:t xml:space="preserve"> 2011. </w:t>
      </w:r>
      <w:r w:rsidRPr="007D3C96">
        <w:rPr>
          <w:lang w:val="fr-BE"/>
        </w:rPr>
        <w:t xml:space="preserve">Une étape vers l’abolition de la distinction entre ouvriers et employés’ in Questions choisies de droit social, </w:t>
      </w:r>
      <w:r w:rsidRPr="007D3C96">
        <w:rPr>
          <w:i/>
          <w:iCs/>
          <w:lang w:val="fr-BE"/>
        </w:rPr>
        <w:t xml:space="preserve">coll. </w:t>
      </w:r>
      <w:r w:rsidRPr="007D3C96">
        <w:rPr>
          <w:i/>
          <w:iCs/>
        </w:rPr>
        <w:t>CUP</w:t>
      </w:r>
      <w:r w:rsidRPr="007D3C96">
        <w:t xml:space="preserve">, nr. 133, Luik, </w:t>
      </w:r>
      <w:proofErr w:type="spellStart"/>
      <w:r w:rsidRPr="007D3C96">
        <w:t>Anthemis</w:t>
      </w:r>
      <w:proofErr w:type="spellEnd"/>
      <w:r w:rsidRPr="007D3C96">
        <w:t>, 2012, 13.</w:t>
      </w:r>
      <w:bookmarkEnd w:id="27"/>
    </w:p>
  </w:footnote>
  <w:footnote w:id="28">
    <w:p w14:paraId="532466EE" w14:textId="4EF8993F" w:rsidR="00667491" w:rsidRPr="007D3C96" w:rsidRDefault="00667491" w:rsidP="00667491">
      <w:pPr>
        <w:pStyle w:val="Voetnoottekst"/>
      </w:pPr>
      <w:r w:rsidRPr="007D3C96">
        <w:rPr>
          <w:rStyle w:val="Voetnootmarkering"/>
        </w:rPr>
        <w:footnoteRef/>
      </w:r>
      <w:r w:rsidR="00925B32">
        <w:t xml:space="preserve"> </w:t>
      </w:r>
      <w:proofErr w:type="spellStart"/>
      <w:r w:rsidRPr="007D3C96">
        <w:t>Arbitragehof</w:t>
      </w:r>
      <w:proofErr w:type="spellEnd"/>
      <w:r w:rsidRPr="007D3C96">
        <w:t xml:space="preserve"> 8 juli 1993, nr. 56/93; BLANPAIN R., </w:t>
      </w:r>
      <w:r w:rsidRPr="007D3C96">
        <w:rPr>
          <w:i/>
          <w:iCs/>
        </w:rPr>
        <w:t>Sire, Zijn er domme werknemers in ons land?,</w:t>
      </w:r>
      <w:r w:rsidRPr="007D3C96">
        <w:t xml:space="preserve"> die </w:t>
      </w:r>
      <w:proofErr w:type="spellStart"/>
      <w:r w:rsidRPr="007D3C96">
        <w:t>Keure</w:t>
      </w:r>
      <w:proofErr w:type="spellEnd"/>
      <w:r w:rsidRPr="007D3C96">
        <w:t>, 2001, 13</w:t>
      </w:r>
      <w:r w:rsidR="00116752">
        <w:t xml:space="preserve">; EECKLOO K., ‘Categoriale selectiviteit in de aanvullende sociale verzekeringen. De juridische houdbaarheid en rechtvaardiging van beroepscategorieën in de aanvullende sociale verzekeringen.’, </w:t>
      </w:r>
      <w:r w:rsidR="00116752">
        <w:rPr>
          <w:i/>
          <w:iCs/>
        </w:rPr>
        <w:t xml:space="preserve">Jura </w:t>
      </w:r>
      <w:proofErr w:type="spellStart"/>
      <w:r w:rsidR="00116752">
        <w:rPr>
          <w:i/>
          <w:iCs/>
        </w:rPr>
        <w:t>Falc</w:t>
      </w:r>
      <w:proofErr w:type="spellEnd"/>
      <w:r w:rsidR="00116752">
        <w:rPr>
          <w:i/>
          <w:iCs/>
        </w:rPr>
        <w:t>.</w:t>
      </w:r>
      <w:r w:rsidR="00116752">
        <w:t xml:space="preserve"> 1998-1999, nr. 3, 348.</w:t>
      </w:r>
    </w:p>
  </w:footnote>
  <w:footnote w:id="29">
    <w:p w14:paraId="368D8A6F" w14:textId="52A9EA7E" w:rsidR="00667491" w:rsidRPr="002C308F" w:rsidRDefault="00667491" w:rsidP="00667491">
      <w:pPr>
        <w:pStyle w:val="Voetnoottekst"/>
      </w:pPr>
      <w:r w:rsidRPr="007D3C96">
        <w:rPr>
          <w:rStyle w:val="Voetnootmarkering"/>
        </w:rPr>
        <w:footnoteRef/>
      </w:r>
      <w:r w:rsidR="005D7803">
        <w:t xml:space="preserve"> </w:t>
      </w:r>
      <w:proofErr w:type="spellStart"/>
      <w:r w:rsidRPr="007D3C96">
        <w:t>GwH</w:t>
      </w:r>
      <w:proofErr w:type="spellEnd"/>
      <w:r w:rsidRPr="007D3C96">
        <w:t xml:space="preserve"> 7 juli 2011, nr. 125/2011; DE WORTELAER J., </w:t>
      </w:r>
      <w:r w:rsidRPr="007D3C96">
        <w:rPr>
          <w:i/>
          <w:iCs/>
        </w:rPr>
        <w:t>De wet van 26 december 2013 betreffende het eenheidsstatuut,</w:t>
      </w:r>
      <w:r w:rsidRPr="007D3C96">
        <w:t xml:space="preserve"> Kluwer, 2014, 3; DE WILDE I. en WEEMAES J., </w:t>
      </w:r>
      <w:r w:rsidRPr="007D3C96">
        <w:rPr>
          <w:i/>
          <w:iCs/>
        </w:rPr>
        <w:t>Het eenheidsstatuut arbeiders – bedienden (gevolgen voor overheidswerkgevers),</w:t>
      </w:r>
      <w:r w:rsidRPr="007D3C96">
        <w:t xml:space="preserve">, </w:t>
      </w:r>
      <w:proofErr w:type="spellStart"/>
      <w:r w:rsidRPr="007D3C96">
        <w:t>Politeia</w:t>
      </w:r>
      <w:proofErr w:type="spellEnd"/>
      <w:r w:rsidRPr="007D3C96">
        <w:t>, 2014, 9; ROELAND A., ‘</w:t>
      </w:r>
      <w:proofErr w:type="spellStart"/>
      <w:r w:rsidRPr="007D3C96">
        <w:t>Statut</w:t>
      </w:r>
      <w:proofErr w:type="spellEnd"/>
      <w:r w:rsidRPr="007D3C96">
        <w:t xml:space="preserve"> </w:t>
      </w:r>
      <w:proofErr w:type="spellStart"/>
      <w:r w:rsidRPr="007D3C96">
        <w:t>unique</w:t>
      </w:r>
      <w:proofErr w:type="spellEnd"/>
      <w:r w:rsidRPr="007D3C96">
        <w:t xml:space="preserve"> et </w:t>
      </w:r>
      <w:proofErr w:type="spellStart"/>
      <w:r w:rsidRPr="007D3C96">
        <w:t>discriminations</w:t>
      </w:r>
      <w:proofErr w:type="spellEnd"/>
      <w:r w:rsidRPr="007D3C96">
        <w:t xml:space="preserve"> (II) : de </w:t>
      </w:r>
      <w:proofErr w:type="spellStart"/>
      <w:r w:rsidRPr="007D3C96">
        <w:t>l’arrêt</w:t>
      </w:r>
      <w:proofErr w:type="spellEnd"/>
      <w:r w:rsidRPr="007D3C96">
        <w:t xml:space="preserve"> du 7 </w:t>
      </w:r>
      <w:proofErr w:type="spellStart"/>
      <w:r w:rsidRPr="007D3C96">
        <w:t>juillet</w:t>
      </w:r>
      <w:proofErr w:type="spellEnd"/>
      <w:r w:rsidRPr="007D3C96">
        <w:t xml:space="preserve"> 2011 </w:t>
      </w:r>
      <w:proofErr w:type="spellStart"/>
      <w:r w:rsidRPr="007D3C96">
        <w:t>jusqu’à</w:t>
      </w:r>
      <w:proofErr w:type="spellEnd"/>
      <w:r w:rsidRPr="007D3C96">
        <w:t xml:space="preserve"> </w:t>
      </w:r>
      <w:proofErr w:type="spellStart"/>
      <w:r w:rsidRPr="007D3C96">
        <w:t>l’adoption</w:t>
      </w:r>
      <w:proofErr w:type="spellEnd"/>
      <w:r w:rsidRPr="007D3C96">
        <w:t xml:space="preserve"> de la </w:t>
      </w:r>
      <w:proofErr w:type="spellStart"/>
      <w:r w:rsidRPr="007D3C96">
        <w:t>loi</w:t>
      </w:r>
      <w:proofErr w:type="spellEnd"/>
      <w:r w:rsidRPr="007D3C96">
        <w:t xml:space="preserve"> </w:t>
      </w:r>
      <w:proofErr w:type="spellStart"/>
      <w:r w:rsidRPr="007D3C96">
        <w:t>sur</w:t>
      </w:r>
      <w:proofErr w:type="spellEnd"/>
      <w:r w:rsidRPr="007D3C96">
        <w:t xml:space="preserve"> </w:t>
      </w:r>
      <w:proofErr w:type="spellStart"/>
      <w:r w:rsidRPr="007D3C96">
        <w:t>le</w:t>
      </w:r>
      <w:proofErr w:type="spellEnd"/>
      <w:r w:rsidRPr="007D3C96">
        <w:t xml:space="preserve"> </w:t>
      </w:r>
      <w:proofErr w:type="spellStart"/>
      <w:r w:rsidRPr="007D3C96">
        <w:t>statut</w:t>
      </w:r>
      <w:proofErr w:type="spellEnd"/>
      <w:r w:rsidRPr="007D3C96">
        <w:t xml:space="preserve"> </w:t>
      </w:r>
      <w:proofErr w:type="spellStart"/>
      <w:r w:rsidRPr="007D3C96">
        <w:t>unique</w:t>
      </w:r>
      <w:proofErr w:type="spellEnd"/>
      <w:r w:rsidRPr="007D3C96">
        <w:t xml:space="preserve">’ in </w:t>
      </w:r>
      <w:r w:rsidRPr="007D3C96">
        <w:rPr>
          <w:i/>
          <w:iCs/>
        </w:rPr>
        <w:t xml:space="preserve">Bulletin de </w:t>
      </w:r>
      <w:proofErr w:type="spellStart"/>
      <w:r w:rsidRPr="007D3C96">
        <w:rPr>
          <w:i/>
          <w:iCs/>
        </w:rPr>
        <w:t>l’Ordre</w:t>
      </w:r>
      <w:proofErr w:type="spellEnd"/>
      <w:r w:rsidRPr="007D3C96">
        <w:rPr>
          <w:i/>
          <w:iCs/>
        </w:rPr>
        <w:t xml:space="preserve"> des Experts-</w:t>
      </w:r>
      <w:proofErr w:type="spellStart"/>
      <w:r w:rsidRPr="007D3C96">
        <w:rPr>
          <w:i/>
          <w:iCs/>
        </w:rPr>
        <w:t>comptables</w:t>
      </w:r>
      <w:proofErr w:type="spellEnd"/>
      <w:r w:rsidRPr="007D3C96">
        <w:rPr>
          <w:i/>
          <w:iCs/>
        </w:rPr>
        <w:t xml:space="preserve"> et </w:t>
      </w:r>
      <w:proofErr w:type="spellStart"/>
      <w:r w:rsidRPr="007D3C96">
        <w:rPr>
          <w:i/>
          <w:iCs/>
        </w:rPr>
        <w:t>comptables</w:t>
      </w:r>
      <w:proofErr w:type="spellEnd"/>
      <w:r w:rsidRPr="007D3C96">
        <w:rPr>
          <w:i/>
          <w:iCs/>
        </w:rPr>
        <w:t xml:space="preserve"> </w:t>
      </w:r>
      <w:proofErr w:type="spellStart"/>
      <w:r w:rsidRPr="007D3C96">
        <w:rPr>
          <w:i/>
          <w:iCs/>
        </w:rPr>
        <w:t>brevetés</w:t>
      </w:r>
      <w:proofErr w:type="spellEnd"/>
      <w:r w:rsidRPr="007D3C96">
        <w:rPr>
          <w:i/>
          <w:iCs/>
        </w:rPr>
        <w:t xml:space="preserve"> de </w:t>
      </w:r>
      <w:proofErr w:type="spellStart"/>
      <w:r w:rsidRPr="002C308F">
        <w:rPr>
          <w:i/>
          <w:iCs/>
        </w:rPr>
        <w:t>Belgique</w:t>
      </w:r>
      <w:proofErr w:type="spellEnd"/>
      <w:r w:rsidRPr="002C308F">
        <w:rPr>
          <w:i/>
          <w:iCs/>
        </w:rPr>
        <w:t xml:space="preserve">, </w:t>
      </w:r>
      <w:r w:rsidRPr="002C308F">
        <w:t xml:space="preserve">Brussel, </w:t>
      </w:r>
      <w:proofErr w:type="spellStart"/>
      <w:r w:rsidRPr="002C308F">
        <w:t>Anthemis</w:t>
      </w:r>
      <w:proofErr w:type="spellEnd"/>
      <w:r w:rsidRPr="002C308F">
        <w:t>, 2014, 5.</w:t>
      </w:r>
    </w:p>
  </w:footnote>
  <w:footnote w:id="30">
    <w:p w14:paraId="6F049339" w14:textId="5B95BD03" w:rsidR="00667491" w:rsidRPr="002C308F" w:rsidRDefault="00667491" w:rsidP="00667491">
      <w:pPr>
        <w:pStyle w:val="Voetnoottekst"/>
      </w:pPr>
      <w:r w:rsidRPr="002C308F">
        <w:rPr>
          <w:rStyle w:val="Voetnootmarkering"/>
        </w:rPr>
        <w:footnoteRef/>
      </w:r>
      <w:r w:rsidR="005D7803">
        <w:t xml:space="preserve"> </w:t>
      </w:r>
      <w:proofErr w:type="spellStart"/>
      <w:r w:rsidRPr="002C308F">
        <w:t>GwH</w:t>
      </w:r>
      <w:proofErr w:type="spellEnd"/>
      <w:r w:rsidRPr="002C308F">
        <w:t xml:space="preserve"> 7 juli 2011, nr. 125/2011; </w:t>
      </w:r>
      <w:bookmarkStart w:id="28" w:name="_Hlk223536594"/>
      <w:r w:rsidRPr="002C308F">
        <w:t xml:space="preserve">CRIEL P., en LEGARDIEN C., </w:t>
      </w:r>
      <w:r w:rsidRPr="002C308F">
        <w:rPr>
          <w:i/>
          <w:iCs/>
        </w:rPr>
        <w:t>Het eenheidsstatuut,</w:t>
      </w:r>
      <w:r w:rsidRPr="002C308F">
        <w:t xml:space="preserve"> Kluwer, 2014, </w:t>
      </w:r>
      <w:bookmarkEnd w:id="28"/>
      <w:r w:rsidRPr="002C308F">
        <w:t xml:space="preserve">81; DE WORTELAER J., </w:t>
      </w:r>
      <w:r w:rsidRPr="002C308F">
        <w:rPr>
          <w:i/>
          <w:iCs/>
        </w:rPr>
        <w:t>De wet van 26 december 2013 betreffende het eenheidsstatuut,</w:t>
      </w:r>
      <w:r w:rsidRPr="002C308F">
        <w:t xml:space="preserve"> Kluwer, 2014, 5.</w:t>
      </w:r>
    </w:p>
  </w:footnote>
  <w:footnote w:id="31">
    <w:p w14:paraId="1D90D5D0" w14:textId="1A8102BF" w:rsidR="00667491" w:rsidRPr="002954DB" w:rsidRDefault="00667491" w:rsidP="00667491">
      <w:pPr>
        <w:pStyle w:val="Voetnoottekst"/>
        <w:rPr>
          <w:lang w:val="fr-BE"/>
        </w:rPr>
      </w:pPr>
      <w:r w:rsidRPr="002C308F">
        <w:rPr>
          <w:rStyle w:val="Voetnootmarkering"/>
        </w:rPr>
        <w:footnoteRef/>
      </w:r>
      <w:r w:rsidR="005D7803">
        <w:rPr>
          <w:lang w:val="fr-BE"/>
        </w:rPr>
        <w:t xml:space="preserve"> </w:t>
      </w:r>
      <w:proofErr w:type="spellStart"/>
      <w:r w:rsidRPr="002C308F">
        <w:rPr>
          <w:lang w:val="fr-BE"/>
        </w:rPr>
        <w:t>GwH</w:t>
      </w:r>
      <w:proofErr w:type="spellEnd"/>
      <w:r w:rsidRPr="002C308F">
        <w:rPr>
          <w:lang w:val="fr-BE"/>
        </w:rPr>
        <w:t xml:space="preserve"> 7 </w:t>
      </w:r>
      <w:proofErr w:type="spellStart"/>
      <w:r w:rsidRPr="002C308F">
        <w:rPr>
          <w:lang w:val="fr-BE"/>
        </w:rPr>
        <w:t>juli</w:t>
      </w:r>
      <w:proofErr w:type="spellEnd"/>
      <w:r w:rsidRPr="002C308F">
        <w:rPr>
          <w:lang w:val="fr-BE"/>
        </w:rPr>
        <w:t xml:space="preserve"> 2011, nr. 125/2011, </w:t>
      </w:r>
      <w:proofErr w:type="spellStart"/>
      <w:r w:rsidRPr="002C308F">
        <w:rPr>
          <w:lang w:val="fr-BE"/>
        </w:rPr>
        <w:t>alinea</w:t>
      </w:r>
      <w:proofErr w:type="spellEnd"/>
      <w:r w:rsidRPr="002C308F">
        <w:rPr>
          <w:lang w:val="fr-BE"/>
        </w:rPr>
        <w:t xml:space="preserve"> A.2.2.; ROELAND A., ‘Statut unique et discriminations (II) : de l’arrêt du 7 juillet 2011 jusqu’à l’adoption de la loi sur le statut unique’ in </w:t>
      </w:r>
      <w:r w:rsidRPr="002C308F">
        <w:rPr>
          <w:i/>
          <w:iCs/>
          <w:lang w:val="fr-BE"/>
        </w:rPr>
        <w:t xml:space="preserve">Bulletin de l’Ordre des Experts-comptables et comptables brevetés de Belgique , </w:t>
      </w:r>
      <w:r w:rsidRPr="002C308F">
        <w:rPr>
          <w:lang w:val="fr-BE"/>
        </w:rPr>
        <w:t xml:space="preserve"> </w:t>
      </w:r>
      <w:proofErr w:type="spellStart"/>
      <w:r w:rsidRPr="002C308F">
        <w:rPr>
          <w:lang w:val="fr-BE"/>
        </w:rPr>
        <w:t>Anthemis</w:t>
      </w:r>
      <w:proofErr w:type="spellEnd"/>
      <w:r w:rsidRPr="002C308F">
        <w:rPr>
          <w:lang w:val="fr-BE"/>
        </w:rPr>
        <w:t>, 2014, 5.</w:t>
      </w:r>
    </w:p>
  </w:footnote>
  <w:footnote w:id="32">
    <w:p w14:paraId="586759D0" w14:textId="62530704" w:rsidR="00667491" w:rsidRPr="0058444E" w:rsidRDefault="00667491" w:rsidP="00667491">
      <w:pPr>
        <w:pStyle w:val="Voetnoottekst"/>
      </w:pPr>
      <w:r w:rsidRPr="0058444E">
        <w:rPr>
          <w:rStyle w:val="Voetnootmarkering"/>
        </w:rPr>
        <w:footnoteRef/>
      </w:r>
      <w:bookmarkStart w:id="29" w:name="_Hlk223536660"/>
      <w:r w:rsidR="005D7803">
        <w:t xml:space="preserve"> </w:t>
      </w:r>
      <w:r w:rsidRPr="007D2E77">
        <w:t xml:space="preserve">EHRM 12 april 2005, </w:t>
      </w:r>
      <w:proofErr w:type="spellStart"/>
      <w:r w:rsidRPr="007D2E77">
        <w:rPr>
          <w:i/>
          <w:iCs/>
        </w:rPr>
        <w:t>Stec</w:t>
      </w:r>
      <w:proofErr w:type="spellEnd"/>
      <w:r w:rsidRPr="007D2E77">
        <w:rPr>
          <w:i/>
          <w:iCs/>
        </w:rPr>
        <w:t xml:space="preserve"> e.a. </w:t>
      </w:r>
      <w:r w:rsidRPr="007D2E77">
        <w:t>t. Verenigd Koninkrijk</w:t>
      </w:r>
      <w:bookmarkEnd w:id="29"/>
      <w:r w:rsidR="007D2E77" w:rsidRPr="007D2E77">
        <w:t>.</w:t>
      </w:r>
    </w:p>
  </w:footnote>
  <w:footnote w:id="33">
    <w:p w14:paraId="0FED64D2" w14:textId="1FDDE7D4" w:rsidR="00667491" w:rsidRPr="006244C3" w:rsidRDefault="00667491" w:rsidP="00667491">
      <w:pPr>
        <w:pStyle w:val="Voetnoottekst"/>
      </w:pPr>
      <w:r w:rsidRPr="0069778C">
        <w:rPr>
          <w:rStyle w:val="Voetnootmarkering"/>
        </w:rPr>
        <w:footnoteRef/>
      </w:r>
      <w:bookmarkStart w:id="30" w:name="_Hlk223536682"/>
      <w:r w:rsidRPr="006244C3">
        <w:t xml:space="preserve">EHRM, </w:t>
      </w:r>
      <w:proofErr w:type="spellStart"/>
      <w:r w:rsidRPr="006244C3">
        <w:t>besl</w:t>
      </w:r>
      <w:proofErr w:type="spellEnd"/>
      <w:r w:rsidRPr="006244C3">
        <w:t xml:space="preserve">. 16 maart 2000, </w:t>
      </w:r>
      <w:r w:rsidRPr="006244C3">
        <w:rPr>
          <w:i/>
          <w:iCs/>
        </w:rPr>
        <w:t xml:space="preserve">Walden </w:t>
      </w:r>
      <w:r w:rsidRPr="006244C3">
        <w:t xml:space="preserve">t. Liechtenstein; </w:t>
      </w:r>
      <w:bookmarkEnd w:id="30"/>
      <w:proofErr w:type="spellStart"/>
      <w:r w:rsidRPr="006244C3">
        <w:t>GwH</w:t>
      </w:r>
      <w:proofErr w:type="spellEnd"/>
      <w:r w:rsidRPr="006244C3">
        <w:t xml:space="preserve"> 7 juli 2011, nr. 125/2011, alinea B.5.4.</w:t>
      </w:r>
    </w:p>
  </w:footnote>
  <w:footnote w:id="34">
    <w:p w14:paraId="35C503CC" w14:textId="049BBEE4" w:rsidR="00667491" w:rsidRPr="006244C3" w:rsidRDefault="00667491" w:rsidP="00667491">
      <w:pPr>
        <w:pStyle w:val="Voetnoottekst"/>
        <w:rPr>
          <w:lang w:val="fr-BE"/>
        </w:rPr>
      </w:pPr>
      <w:r w:rsidRPr="006244C3">
        <w:rPr>
          <w:rStyle w:val="Voetnootmarkering"/>
        </w:rPr>
        <w:footnoteRef/>
      </w:r>
      <w:r w:rsidR="00800F85">
        <w:t xml:space="preserve"> </w:t>
      </w:r>
      <w:r w:rsidRPr="006244C3">
        <w:t xml:space="preserve">ANKAERT E., PLETS I. en DE JONGHE M. e.a., </w:t>
      </w:r>
      <w:r w:rsidRPr="006244C3">
        <w:rPr>
          <w:i/>
          <w:iCs/>
        </w:rPr>
        <w:t>10 jaar Wet Eenheidsstatuut, Beëindiging arbeidsovereenkomsten onbepaalde duur sinds de Wet Eenheidsstatuut: duidelijke regels en oude/nieuwe discussiepunten,</w:t>
      </w:r>
      <w:r w:rsidRPr="006244C3">
        <w:t xml:space="preserve"> </w:t>
      </w:r>
      <w:r w:rsidR="0097412D">
        <w:t>di</w:t>
      </w:r>
      <w:r w:rsidRPr="006244C3">
        <w:t xml:space="preserve">e </w:t>
      </w:r>
      <w:proofErr w:type="spellStart"/>
      <w:r w:rsidRPr="006244C3">
        <w:t>Keure</w:t>
      </w:r>
      <w:proofErr w:type="spellEnd"/>
      <w:r w:rsidRPr="006244C3">
        <w:t>, 2024, 155</w:t>
      </w:r>
      <w:r w:rsidR="006244C3" w:rsidRPr="006244C3">
        <w:t xml:space="preserve">. </w:t>
      </w:r>
      <w:r w:rsidRPr="00A70E76">
        <w:rPr>
          <w:lang w:val="fr-BE"/>
        </w:rPr>
        <w:t xml:space="preserve">ROELAND A., ‘Statut unique et discriminations (II) : de l’arrêt du 7 juillet 2011 jusqu’à l’adoption de la loi sur le statut unique’ in </w:t>
      </w:r>
      <w:r w:rsidRPr="00A70E76">
        <w:rPr>
          <w:i/>
          <w:iCs/>
          <w:lang w:val="fr-BE"/>
        </w:rPr>
        <w:t>Bulletin de l’Ordre des Experts-comptables et comptables brevetés de Belgique ,</w:t>
      </w:r>
      <w:r w:rsidR="0097412D">
        <w:rPr>
          <w:i/>
          <w:iCs/>
          <w:lang w:val="fr-BE"/>
        </w:rPr>
        <w:t xml:space="preserve"> </w:t>
      </w:r>
      <w:proofErr w:type="spellStart"/>
      <w:r w:rsidRPr="00A70E76">
        <w:rPr>
          <w:lang w:val="fr-BE"/>
        </w:rPr>
        <w:t>Anthemis</w:t>
      </w:r>
      <w:proofErr w:type="spellEnd"/>
      <w:r w:rsidRPr="00A70E76">
        <w:rPr>
          <w:lang w:val="fr-BE"/>
        </w:rPr>
        <w:t>, 2014, 5.</w:t>
      </w:r>
    </w:p>
  </w:footnote>
  <w:footnote w:id="35">
    <w:p w14:paraId="702B32A9" w14:textId="65F6D3AB" w:rsidR="00811650" w:rsidRPr="00C46370" w:rsidRDefault="00811650" w:rsidP="00811650">
      <w:pPr>
        <w:pStyle w:val="Voetnoottekst"/>
      </w:pPr>
      <w:r w:rsidRPr="0058444E">
        <w:rPr>
          <w:rStyle w:val="Voetnootmarkering"/>
        </w:rPr>
        <w:footnoteRef/>
      </w:r>
      <w:r w:rsidR="00800F85">
        <w:t xml:space="preserve"> </w:t>
      </w:r>
      <w:r w:rsidRPr="00C46370">
        <w:t xml:space="preserve">Voordien : </w:t>
      </w:r>
      <w:bookmarkStart w:id="32" w:name="_Hlk223536763"/>
      <w:r w:rsidRPr="00C46370">
        <w:t xml:space="preserve">wet van 10 maart 1900 op de arbeidsovereenkomst (voor arbeiders, </w:t>
      </w:r>
      <w:r w:rsidRPr="00C46370">
        <w:rPr>
          <w:i/>
          <w:iCs/>
        </w:rPr>
        <w:t xml:space="preserve">BS </w:t>
      </w:r>
      <w:r w:rsidRPr="00C46370">
        <w:t>14 maart 1990) en het KB van 20 juli 1955 gecoördineerde wetten betreffende het bediendencontract.</w:t>
      </w:r>
    </w:p>
    <w:bookmarkEnd w:id="32"/>
  </w:footnote>
  <w:footnote w:id="36">
    <w:p w14:paraId="44437F78" w14:textId="492332B8" w:rsidR="00811650" w:rsidRPr="0058444E" w:rsidRDefault="00811650" w:rsidP="00811650">
      <w:pPr>
        <w:pStyle w:val="Voetnoottekst"/>
      </w:pPr>
      <w:r w:rsidRPr="0058444E">
        <w:rPr>
          <w:rStyle w:val="Voetnootmarkering"/>
        </w:rPr>
        <w:footnoteRef/>
      </w:r>
      <w:r w:rsidR="00800F85">
        <w:t xml:space="preserve"> </w:t>
      </w:r>
      <w:r w:rsidRPr="007A44C7">
        <w:t xml:space="preserve">BLANPAIN R., </w:t>
      </w:r>
      <w:r w:rsidRPr="007A44C7">
        <w:rPr>
          <w:i/>
          <w:iCs/>
        </w:rPr>
        <w:t>Sire, Zijn er domme werknemers in ons land?,</w:t>
      </w:r>
      <w:r w:rsidRPr="007A44C7">
        <w:t xml:space="preserve"> die </w:t>
      </w:r>
      <w:proofErr w:type="spellStart"/>
      <w:r w:rsidRPr="007A44C7">
        <w:t>Keure</w:t>
      </w:r>
      <w:proofErr w:type="spellEnd"/>
      <w:r w:rsidRPr="007A44C7">
        <w:t>, 2001, 21; VAN KERREBROE</w:t>
      </w:r>
      <w:r w:rsidR="00EB0027">
        <w:t>C</w:t>
      </w:r>
      <w:r w:rsidRPr="007A44C7">
        <w:t xml:space="preserve">K N., en VERWILGHEN M., </w:t>
      </w:r>
      <w:r w:rsidRPr="007A44C7">
        <w:rPr>
          <w:i/>
          <w:iCs/>
        </w:rPr>
        <w:t>De harmonisatie van het statuut arbeider en bediende,</w:t>
      </w:r>
      <w:r w:rsidRPr="007A44C7">
        <w:t xml:space="preserve"> </w:t>
      </w:r>
      <w:proofErr w:type="spellStart"/>
      <w:r w:rsidRPr="007A44C7">
        <w:t>Intersentia</w:t>
      </w:r>
      <w:proofErr w:type="spellEnd"/>
      <w:r w:rsidRPr="007A44C7">
        <w:t>, 2014, 26.</w:t>
      </w:r>
    </w:p>
  </w:footnote>
  <w:footnote w:id="37">
    <w:p w14:paraId="562339F0" w14:textId="665D9063" w:rsidR="00D23D19" w:rsidRPr="00076E4B" w:rsidRDefault="00D23D19" w:rsidP="00D23D19">
      <w:pPr>
        <w:pStyle w:val="Voetnoottekst"/>
      </w:pPr>
      <w:r w:rsidRPr="0058444E">
        <w:rPr>
          <w:rStyle w:val="Voetnootmarkering"/>
        </w:rPr>
        <w:footnoteRef/>
      </w:r>
      <w:r w:rsidR="00800F85">
        <w:t xml:space="preserve"> </w:t>
      </w:r>
      <w:r w:rsidRPr="00132AB7">
        <w:t xml:space="preserve">BLANPAIN R., </w:t>
      </w:r>
      <w:r w:rsidRPr="00132AB7">
        <w:rPr>
          <w:i/>
          <w:iCs/>
        </w:rPr>
        <w:t>Sire, Zijn er domme werknemers in ons land?,</w:t>
      </w:r>
      <w:r w:rsidRPr="00132AB7">
        <w:t xml:space="preserve"> die </w:t>
      </w:r>
      <w:proofErr w:type="spellStart"/>
      <w:r w:rsidRPr="00132AB7">
        <w:t>Keure</w:t>
      </w:r>
      <w:proofErr w:type="spellEnd"/>
      <w:r w:rsidRPr="00132AB7">
        <w:t xml:space="preserve">, 2001, 21; DE WILDE I. en WEEMAES J., </w:t>
      </w:r>
      <w:r w:rsidRPr="00132AB7">
        <w:rPr>
          <w:i/>
          <w:iCs/>
        </w:rPr>
        <w:t>Het eenheidsstatuut arbeiders-bedienden, gevolgen voor overheidswerkgevers,</w:t>
      </w:r>
      <w:r w:rsidRPr="00132AB7">
        <w:t xml:space="preserve"> </w:t>
      </w:r>
      <w:proofErr w:type="spellStart"/>
      <w:r w:rsidRPr="00132AB7">
        <w:t>Politeia</w:t>
      </w:r>
      <w:proofErr w:type="spellEnd"/>
      <w:r w:rsidRPr="00132AB7">
        <w:t xml:space="preserve">, 2014, 24; VAN KERREBROECK N. en VERWILGHEN M., </w:t>
      </w:r>
      <w:r w:rsidRPr="00132AB7">
        <w:rPr>
          <w:i/>
          <w:iCs/>
        </w:rPr>
        <w:t>De harmonisatie van het statuut arbeider en bediende,</w:t>
      </w:r>
      <w:r w:rsidRPr="00132AB7">
        <w:t xml:space="preserve">, </w:t>
      </w:r>
      <w:proofErr w:type="spellStart"/>
      <w:r w:rsidRPr="00132AB7">
        <w:t>Intersentia</w:t>
      </w:r>
      <w:proofErr w:type="spellEnd"/>
      <w:r w:rsidRPr="00132AB7">
        <w:t>, 2014, 27.</w:t>
      </w:r>
    </w:p>
  </w:footnote>
  <w:footnote w:id="38">
    <w:p w14:paraId="2072A280" w14:textId="2E79141C" w:rsidR="00D23D19" w:rsidRPr="00076E4B" w:rsidRDefault="00D23D19" w:rsidP="00D23D19">
      <w:pPr>
        <w:pStyle w:val="Voetnoottekst"/>
      </w:pPr>
      <w:r w:rsidRPr="00076E4B">
        <w:rPr>
          <w:rStyle w:val="Voetnootmarkering"/>
        </w:rPr>
        <w:footnoteRef/>
      </w:r>
      <w:r w:rsidR="00800F85">
        <w:t xml:space="preserve"> </w:t>
      </w:r>
      <w:r w:rsidRPr="00076E4B">
        <w:t>DE WILDE I. en WEEMAES J.,</w:t>
      </w:r>
      <w:r w:rsidR="00EB0027" w:rsidRPr="00076E4B">
        <w:t xml:space="preserve"> </w:t>
      </w:r>
      <w:r w:rsidRPr="00076E4B">
        <w:rPr>
          <w:i/>
          <w:iCs/>
        </w:rPr>
        <w:t>Het eenheidsstatuut arbeiders-bedienden, gevolgen voor overheidswerkgevers</w:t>
      </w:r>
      <w:r w:rsidRPr="00076E4B">
        <w:t xml:space="preserve">, </w:t>
      </w:r>
      <w:proofErr w:type="spellStart"/>
      <w:r w:rsidRPr="00076E4B">
        <w:t>Politeia</w:t>
      </w:r>
      <w:proofErr w:type="spellEnd"/>
      <w:r w:rsidRPr="00076E4B">
        <w:t xml:space="preserve">, 2014, 24; DERDE I., ‘Het eenheidsstatuut’ in Orde van Advocaten te Kortrijk (ed.), </w:t>
      </w:r>
      <w:r w:rsidRPr="00076E4B">
        <w:rPr>
          <w:i/>
          <w:iCs/>
        </w:rPr>
        <w:t>Sociaal en arbeidsrecht,</w:t>
      </w:r>
      <w:r w:rsidRPr="00076E4B">
        <w:t xml:space="preserve"> </w:t>
      </w:r>
      <w:proofErr w:type="spellStart"/>
      <w:r w:rsidRPr="00076E4B">
        <w:t>Intersentia</w:t>
      </w:r>
      <w:proofErr w:type="spellEnd"/>
      <w:r w:rsidRPr="00076E4B">
        <w:t>, 2014, 3.</w:t>
      </w:r>
    </w:p>
  </w:footnote>
  <w:footnote w:id="39">
    <w:p w14:paraId="68D0DB12" w14:textId="78507433" w:rsidR="00D23D19" w:rsidRPr="0058444E" w:rsidRDefault="00D23D19" w:rsidP="00D23D19">
      <w:pPr>
        <w:pStyle w:val="Voetnoottekst"/>
      </w:pPr>
      <w:r w:rsidRPr="00076E4B">
        <w:rPr>
          <w:rStyle w:val="Voetnootmarkering"/>
        </w:rPr>
        <w:footnoteRef/>
      </w:r>
      <w:r w:rsidR="00D87E9C">
        <w:t xml:space="preserve"> </w:t>
      </w:r>
      <w:r w:rsidRPr="00076E4B">
        <w:t xml:space="preserve">BLANPAIN R., </w:t>
      </w:r>
      <w:r w:rsidRPr="00076E4B">
        <w:rPr>
          <w:i/>
          <w:iCs/>
        </w:rPr>
        <w:t>Sire, Zijn er domme werknemers in ons land?,</w:t>
      </w:r>
      <w:r w:rsidRPr="00076E4B">
        <w:t xml:space="preserve"> die </w:t>
      </w:r>
      <w:proofErr w:type="spellStart"/>
      <w:r w:rsidRPr="00076E4B">
        <w:t>Keure</w:t>
      </w:r>
      <w:proofErr w:type="spellEnd"/>
      <w:r w:rsidRPr="00076E4B">
        <w:t xml:space="preserve">, 2001, 21; VAN KERREBROECK N., en VERWILGHEN M., </w:t>
      </w:r>
      <w:r w:rsidRPr="00076E4B">
        <w:rPr>
          <w:i/>
          <w:iCs/>
        </w:rPr>
        <w:t>De harmonisatie van het statuut arbeider en bediende,</w:t>
      </w:r>
      <w:r w:rsidRPr="00076E4B">
        <w:t xml:space="preserve"> </w:t>
      </w:r>
      <w:proofErr w:type="spellStart"/>
      <w:r w:rsidRPr="00076E4B">
        <w:t>Intersentia</w:t>
      </w:r>
      <w:proofErr w:type="spellEnd"/>
      <w:r w:rsidRPr="00076E4B">
        <w:t>, 2014, 189.</w:t>
      </w:r>
    </w:p>
  </w:footnote>
  <w:footnote w:id="40">
    <w:p w14:paraId="2F7121D3" w14:textId="4186CB94" w:rsidR="00D23D19" w:rsidRPr="0058444E" w:rsidRDefault="00D23D19" w:rsidP="00D23D19">
      <w:pPr>
        <w:pStyle w:val="Voetnoottekst"/>
      </w:pPr>
      <w:r w:rsidRPr="0058444E">
        <w:rPr>
          <w:rStyle w:val="Voetnootmarkering"/>
        </w:rPr>
        <w:footnoteRef/>
      </w:r>
      <w:r w:rsidR="00D87E9C">
        <w:t xml:space="preserve"> </w:t>
      </w:r>
      <w:r w:rsidRPr="009E6115">
        <w:t xml:space="preserve">VAN KERREBROECK N., en VERWILGHEN M., </w:t>
      </w:r>
      <w:r w:rsidRPr="009E6115">
        <w:rPr>
          <w:i/>
          <w:iCs/>
        </w:rPr>
        <w:t xml:space="preserve">De harmonisatie van het statuut arbeider en bediende, </w:t>
      </w:r>
      <w:proofErr w:type="spellStart"/>
      <w:r w:rsidRPr="009E6115">
        <w:t>Intersentia</w:t>
      </w:r>
      <w:proofErr w:type="spellEnd"/>
      <w:r w:rsidRPr="009E6115">
        <w:t>, 2014, 189.</w:t>
      </w:r>
    </w:p>
  </w:footnote>
  <w:footnote w:id="41">
    <w:p w14:paraId="222B5ECA" w14:textId="6B3CBAC3" w:rsidR="00D23D19" w:rsidRPr="0058444E" w:rsidRDefault="00D23D19" w:rsidP="00D23D19">
      <w:pPr>
        <w:pStyle w:val="Voetnoottekst"/>
      </w:pPr>
      <w:r w:rsidRPr="0058444E">
        <w:rPr>
          <w:rStyle w:val="Voetnootmarkering"/>
        </w:rPr>
        <w:footnoteRef/>
      </w:r>
      <w:r w:rsidR="00D87E9C">
        <w:t xml:space="preserve"> </w:t>
      </w:r>
      <w:r w:rsidRPr="00C54A66">
        <w:t xml:space="preserve">Artikel 62 Wet Eenheidsstatuut; DE WORTELAER J., </w:t>
      </w:r>
      <w:r w:rsidRPr="00C54A66">
        <w:rPr>
          <w:i/>
          <w:iCs/>
        </w:rPr>
        <w:t xml:space="preserve">De wet van 26 december 2013 betreffende het eenheidsstatuut, </w:t>
      </w:r>
      <w:r w:rsidRPr="00C54A66">
        <w:t xml:space="preserve">Kluwer, 2014, 67; VIÉRIN T., RYSSELINCK V. en STEISEL M., ‘Le </w:t>
      </w:r>
      <w:proofErr w:type="spellStart"/>
      <w:r w:rsidRPr="00C54A66">
        <w:t>statut</w:t>
      </w:r>
      <w:proofErr w:type="spellEnd"/>
      <w:r w:rsidRPr="00C54A66">
        <w:t xml:space="preserve"> </w:t>
      </w:r>
      <w:proofErr w:type="spellStart"/>
      <w:r w:rsidRPr="00C54A66">
        <w:t>unique</w:t>
      </w:r>
      <w:proofErr w:type="spellEnd"/>
      <w:r w:rsidRPr="00C54A66">
        <w:t xml:space="preserve"> – Promesse de </w:t>
      </w:r>
      <w:proofErr w:type="spellStart"/>
      <w:r w:rsidRPr="00C54A66">
        <w:t>changements</w:t>
      </w:r>
      <w:proofErr w:type="spellEnd"/>
      <w:r w:rsidRPr="00C54A66">
        <w:t>’ in  VANNES V. en LAGASSE F. (</w:t>
      </w:r>
      <w:proofErr w:type="spellStart"/>
      <w:r w:rsidRPr="00C54A66">
        <w:t>eds</w:t>
      </w:r>
      <w:proofErr w:type="spellEnd"/>
      <w:r w:rsidRPr="00C54A66">
        <w:t xml:space="preserve">.), </w:t>
      </w:r>
      <w:r w:rsidRPr="00C54A66">
        <w:rPr>
          <w:i/>
          <w:iCs/>
        </w:rPr>
        <w:t xml:space="preserve">Le point </w:t>
      </w:r>
      <w:proofErr w:type="spellStart"/>
      <w:r w:rsidRPr="00C54A66">
        <w:rPr>
          <w:i/>
          <w:iCs/>
        </w:rPr>
        <w:t>sur</w:t>
      </w:r>
      <w:proofErr w:type="spellEnd"/>
      <w:r w:rsidRPr="00C54A66">
        <w:rPr>
          <w:i/>
          <w:iCs/>
        </w:rPr>
        <w:t xml:space="preserve"> les différents </w:t>
      </w:r>
      <w:proofErr w:type="spellStart"/>
      <w:r w:rsidRPr="00C54A66">
        <w:rPr>
          <w:i/>
          <w:iCs/>
        </w:rPr>
        <w:t>aspects</w:t>
      </w:r>
      <w:proofErr w:type="spellEnd"/>
      <w:r w:rsidRPr="00C54A66">
        <w:rPr>
          <w:i/>
          <w:iCs/>
        </w:rPr>
        <w:t xml:space="preserve"> pressants des relations </w:t>
      </w:r>
      <w:proofErr w:type="spellStart"/>
      <w:r w:rsidRPr="00C54A66">
        <w:rPr>
          <w:i/>
          <w:iCs/>
        </w:rPr>
        <w:t>individuelles</w:t>
      </w:r>
      <w:proofErr w:type="spellEnd"/>
      <w:r w:rsidRPr="00C54A66">
        <w:rPr>
          <w:i/>
          <w:iCs/>
        </w:rPr>
        <w:t xml:space="preserve"> et </w:t>
      </w:r>
      <w:proofErr w:type="spellStart"/>
      <w:r w:rsidRPr="00C54A66">
        <w:rPr>
          <w:i/>
          <w:iCs/>
        </w:rPr>
        <w:t>collectives</w:t>
      </w:r>
      <w:proofErr w:type="spellEnd"/>
      <w:r w:rsidRPr="00C54A66">
        <w:rPr>
          <w:i/>
          <w:iCs/>
        </w:rPr>
        <w:t xml:space="preserve"> de </w:t>
      </w:r>
      <w:proofErr w:type="spellStart"/>
      <w:r w:rsidRPr="00C54A66">
        <w:rPr>
          <w:i/>
          <w:iCs/>
        </w:rPr>
        <w:t>travail</w:t>
      </w:r>
      <w:proofErr w:type="spellEnd"/>
      <w:r w:rsidRPr="00C54A66">
        <w:rPr>
          <w:i/>
          <w:iCs/>
        </w:rPr>
        <w:t>,</w:t>
      </w:r>
      <w:r w:rsidRPr="00C54A66">
        <w:t xml:space="preserve"> </w:t>
      </w:r>
      <w:proofErr w:type="spellStart"/>
      <w:r w:rsidRPr="00C54A66">
        <w:t>Edi.Pro</w:t>
      </w:r>
      <w:proofErr w:type="spellEnd"/>
      <w:r w:rsidRPr="00C54A66">
        <w:t>, 2017, 17.</w:t>
      </w:r>
    </w:p>
  </w:footnote>
  <w:footnote w:id="42">
    <w:p w14:paraId="74E03BA1" w14:textId="13D5CE6B" w:rsidR="00D23D19" w:rsidRPr="0058444E" w:rsidRDefault="00D23D19" w:rsidP="00D23D19">
      <w:pPr>
        <w:pStyle w:val="Voetnoottekst"/>
      </w:pPr>
      <w:r w:rsidRPr="0058444E">
        <w:rPr>
          <w:rStyle w:val="Voetnootmarkering"/>
        </w:rPr>
        <w:footnoteRef/>
      </w:r>
      <w:r w:rsidR="00D87E9C">
        <w:t xml:space="preserve"> </w:t>
      </w:r>
      <w:proofErr w:type="spellStart"/>
      <w:r w:rsidRPr="00F04054">
        <w:t>MvT</w:t>
      </w:r>
      <w:proofErr w:type="spellEnd"/>
      <w:r w:rsidRPr="00F04054">
        <w:t>,</w:t>
      </w:r>
      <w:r w:rsidR="00846FD6" w:rsidRPr="00F04054">
        <w:t xml:space="preserve"> </w:t>
      </w:r>
      <w:r w:rsidRPr="00F04054">
        <w:t>K</w:t>
      </w:r>
      <w:r w:rsidR="00846FD6" w:rsidRPr="00F04054">
        <w:t>AMER</w:t>
      </w:r>
      <w:r w:rsidRPr="00F04054">
        <w:t xml:space="preserve"> 2013-</w:t>
      </w:r>
      <w:r w:rsidR="0079675C" w:rsidRPr="00F04054">
        <w:t>20</w:t>
      </w:r>
      <w:r w:rsidRPr="00F04054">
        <w:t xml:space="preserve">14, DOC 53 3144/001, 12; Wetsontwerp betreffende de invoering van een eenheidsstatuut tussen arbeiders en bedienden inzake de opzeggingstermijnen en de carensdag en begeleidende maatregelen, KAMER, 2013-2014, 21 november 2013, 3144/001, 10; DE WORTELAER J., </w:t>
      </w:r>
      <w:r w:rsidRPr="00F04054">
        <w:rPr>
          <w:i/>
          <w:iCs/>
        </w:rPr>
        <w:t>De wet van 26 december 2013 betreffende het eenheidsstatuut,</w:t>
      </w:r>
      <w:r w:rsidRPr="00F04054">
        <w:t xml:space="preserve"> Kluwer, 2014, 71; VAN DEN BUSSCHE B., </w:t>
      </w:r>
      <w:r w:rsidRPr="00F04054">
        <w:rPr>
          <w:i/>
          <w:iCs/>
        </w:rPr>
        <w:t>Alternatieve verloningstechnieken. Hoe houden mijn werknemers netto meer over?,</w:t>
      </w:r>
      <w:r w:rsidR="00846FD6" w:rsidRPr="00F04054">
        <w:rPr>
          <w:i/>
          <w:iCs/>
        </w:rPr>
        <w:t xml:space="preserve"> </w:t>
      </w:r>
      <w:r w:rsidRPr="00F04054">
        <w:t xml:space="preserve">Wolters Kluwer, 2024, 344; VAN KERREBROECK N. en VERWILGHEN M., </w:t>
      </w:r>
      <w:r w:rsidRPr="00F04054">
        <w:rPr>
          <w:i/>
          <w:iCs/>
        </w:rPr>
        <w:t>De harmonisatie van het statuut arbeider en bediende,</w:t>
      </w:r>
      <w:r w:rsidRPr="00F04054">
        <w:t xml:space="preserve"> </w:t>
      </w:r>
      <w:proofErr w:type="spellStart"/>
      <w:r w:rsidRPr="00F04054">
        <w:t>Intersentia</w:t>
      </w:r>
      <w:proofErr w:type="spellEnd"/>
      <w:r w:rsidRPr="00F04054">
        <w:t>, 2014, 31.</w:t>
      </w:r>
    </w:p>
  </w:footnote>
  <w:footnote w:id="43">
    <w:p w14:paraId="595C7DEE" w14:textId="0C5C90DA" w:rsidR="00D23D19" w:rsidRPr="00C10ABB" w:rsidRDefault="00D23D19" w:rsidP="00D23D19">
      <w:pPr>
        <w:pStyle w:val="Voetnoottekst"/>
      </w:pPr>
      <w:r w:rsidRPr="0058444E">
        <w:rPr>
          <w:rStyle w:val="Voetnootmarkering"/>
        </w:rPr>
        <w:footnoteRef/>
      </w:r>
      <w:r w:rsidR="00D87E9C">
        <w:t xml:space="preserve"> </w:t>
      </w:r>
      <w:proofErr w:type="spellStart"/>
      <w:r w:rsidR="005F3839" w:rsidRPr="00C10ABB">
        <w:t>M</w:t>
      </w:r>
      <w:r w:rsidR="00FE1ECA" w:rsidRPr="00C10ABB">
        <w:t>vT</w:t>
      </w:r>
      <w:proofErr w:type="spellEnd"/>
      <w:r w:rsidRPr="00C10ABB">
        <w:rPr>
          <w:i/>
          <w:iCs/>
        </w:rPr>
        <w:t xml:space="preserve"> </w:t>
      </w:r>
      <w:r w:rsidRPr="00C10ABB">
        <w:t>K</w:t>
      </w:r>
      <w:r w:rsidR="00FE1ECA" w:rsidRPr="00C10ABB">
        <w:t xml:space="preserve">AMER </w:t>
      </w:r>
      <w:r w:rsidRPr="00C10ABB">
        <w:t xml:space="preserve">2013-2014, nr. 53-3144/001, 7; DE WILDE I. en WEEMAES J., </w:t>
      </w:r>
      <w:r w:rsidRPr="00C10ABB">
        <w:rPr>
          <w:i/>
          <w:iCs/>
        </w:rPr>
        <w:t>Het eenheidsstatuut arbeiders-bedienden, gevolgen voor overheidswerkgevers,</w:t>
      </w:r>
      <w:r w:rsidRPr="00C10ABB">
        <w:t xml:space="preserve"> </w:t>
      </w:r>
      <w:proofErr w:type="spellStart"/>
      <w:r w:rsidRPr="00C10ABB">
        <w:t>Politeia</w:t>
      </w:r>
      <w:proofErr w:type="spellEnd"/>
      <w:r w:rsidRPr="00C10ABB">
        <w:t>, 2014, 9; ENGELS C., ‘Het onderscheid werkman/bediende. Een ongrondwettige discriminatie in strijd met de artikelen 6 en 6</w:t>
      </w:r>
      <w:r w:rsidRPr="00C10ABB">
        <w:rPr>
          <w:i/>
          <w:iCs/>
        </w:rPr>
        <w:t>bis</w:t>
      </w:r>
      <w:r w:rsidRPr="00C10ABB">
        <w:t xml:space="preserve"> van de Belgische Grondwet’, </w:t>
      </w:r>
      <w:r w:rsidRPr="00C10ABB">
        <w:rPr>
          <w:i/>
          <w:iCs/>
        </w:rPr>
        <w:t xml:space="preserve">RW </w:t>
      </w:r>
      <w:r w:rsidRPr="00C10ABB">
        <w:t>1991-92, afl. 22, 737.</w:t>
      </w:r>
    </w:p>
  </w:footnote>
  <w:footnote w:id="44">
    <w:p w14:paraId="394F0DF2" w14:textId="35ADAF4D" w:rsidR="00E93840" w:rsidRPr="00544B35" w:rsidRDefault="00E93840">
      <w:pPr>
        <w:pStyle w:val="Voetnoottekst"/>
      </w:pPr>
      <w:r>
        <w:rPr>
          <w:rStyle w:val="Voetnootmarkering"/>
        </w:rPr>
        <w:footnoteRef/>
      </w:r>
      <w:r w:rsidR="006E7EA8">
        <w:t xml:space="preserve"> </w:t>
      </w:r>
      <w:r>
        <w:t xml:space="preserve">NAR, </w:t>
      </w:r>
      <w:r>
        <w:rPr>
          <w:i/>
          <w:iCs/>
        </w:rPr>
        <w:t>Advies nr. 1.893 – Voorontwerp van wet tot instelling van een wettelijk kader voor de geleidelijke opheffing van de verschillen in behandeling die berusten op het onderscheid tussen arbeiders en bedienden inzake aanvullende pensioenen</w:t>
      </w:r>
      <w:r w:rsidR="00544B35">
        <w:rPr>
          <w:i/>
          <w:iCs/>
        </w:rPr>
        <w:t xml:space="preserve">, </w:t>
      </w:r>
      <w:r w:rsidR="00544B35">
        <w:t>12 februari 2014; Wetsontwerp tot wijziging van het rustpensioen en het overlevingspensioen en tot invoering van de overgangsuitkering, in de pensioenregeling voor werknemers, Amendementen,</w:t>
      </w:r>
      <w:r w:rsidR="00544B35">
        <w:rPr>
          <w:i/>
          <w:iCs/>
        </w:rPr>
        <w:t xml:space="preserve"> </w:t>
      </w:r>
      <w:r w:rsidR="00544B35">
        <w:t>K</w:t>
      </w:r>
      <w:r w:rsidR="00F74BA6">
        <w:t>AMER</w:t>
      </w:r>
      <w:r w:rsidR="00544B35">
        <w:t>, 2013-2014, nr. 53-33</w:t>
      </w:r>
      <w:r w:rsidR="00AB228E">
        <w:t>99/002, 13-14</w:t>
      </w:r>
      <w:r w:rsidR="00F74BA6">
        <w:t>.</w:t>
      </w:r>
    </w:p>
  </w:footnote>
  <w:footnote w:id="45">
    <w:p w14:paraId="269DD686" w14:textId="632AFE27" w:rsidR="007749D1" w:rsidRPr="00F6487A" w:rsidRDefault="007749D1">
      <w:pPr>
        <w:pStyle w:val="Voetnoottekst"/>
      </w:pPr>
      <w:r>
        <w:rPr>
          <w:rStyle w:val="Voetnootmarkering"/>
        </w:rPr>
        <w:footnoteRef/>
      </w:r>
      <w:r w:rsidR="006E7EA8">
        <w:t xml:space="preserve"> </w:t>
      </w:r>
      <w:r>
        <w:t>Wet van 5 mei 2014</w:t>
      </w:r>
      <w:r w:rsidR="006B26C5">
        <w:t xml:space="preserve"> tot wijziging van het rustpensioen en overlevingspensioen en tot invoering van de overgangsuitkering in de pensioenregeling voor werknemers en houdende geleidelijke opheffing van de verschillen in behandeling die berusten op het onderscheid tussen werklieden en bedienden inzake aanvullende pensioenen, </w:t>
      </w:r>
      <w:r w:rsidR="00F6487A">
        <w:rPr>
          <w:i/>
          <w:iCs/>
        </w:rPr>
        <w:t xml:space="preserve">BS </w:t>
      </w:r>
      <w:r w:rsidR="00F6487A">
        <w:t>9 mei 2014</w:t>
      </w:r>
      <w:r w:rsidR="00770D3C">
        <w:t>.</w:t>
      </w:r>
    </w:p>
  </w:footnote>
  <w:footnote w:id="46">
    <w:p w14:paraId="4C5809C6" w14:textId="03650E90" w:rsidR="00D23D19" w:rsidRPr="0058444E" w:rsidRDefault="00D23D19" w:rsidP="00D23D19">
      <w:pPr>
        <w:pStyle w:val="Voetnoottekst"/>
      </w:pPr>
      <w:r w:rsidRPr="0058444E">
        <w:rPr>
          <w:rStyle w:val="Voetnootmarkering"/>
        </w:rPr>
        <w:footnoteRef/>
      </w:r>
      <w:bookmarkStart w:id="33" w:name="_Hlk224986654"/>
      <w:r w:rsidR="006E7EA8">
        <w:t xml:space="preserve"> </w:t>
      </w:r>
      <w:r w:rsidRPr="00070511">
        <w:t>Amendement nr. 11, Wetsontwerp tot wijziging van he</w:t>
      </w:r>
      <w:r w:rsidR="00770D3C" w:rsidRPr="00070511">
        <w:t xml:space="preserve">t </w:t>
      </w:r>
      <w:r w:rsidRPr="00070511">
        <w:t>rustpensioen en het overlevingspensioen en tot de invoering van de overgangsuitkering, in de pensioenregeling voor werknemers, Amendementen,</w:t>
      </w:r>
      <w:r w:rsidRPr="00070511">
        <w:rPr>
          <w:i/>
          <w:iCs/>
        </w:rPr>
        <w:t xml:space="preserve"> </w:t>
      </w:r>
      <w:r w:rsidRPr="00070511">
        <w:t>K</w:t>
      </w:r>
      <w:r w:rsidR="00770D3C" w:rsidRPr="00070511">
        <w:t>AMER</w:t>
      </w:r>
      <w:r w:rsidRPr="00070511">
        <w:t xml:space="preserve"> 2013-2014, nr. 53-3399/002, 4-53, ingediend op 26 februari 2014;</w:t>
      </w:r>
      <w:bookmarkEnd w:id="33"/>
      <w:r w:rsidRPr="00070511">
        <w:t xml:space="preserve"> ROELAND A., ‘</w:t>
      </w:r>
      <w:proofErr w:type="spellStart"/>
      <w:r w:rsidRPr="00070511">
        <w:t>Statut</w:t>
      </w:r>
      <w:proofErr w:type="spellEnd"/>
      <w:r w:rsidRPr="00070511">
        <w:t xml:space="preserve"> </w:t>
      </w:r>
      <w:proofErr w:type="spellStart"/>
      <w:r w:rsidRPr="00070511">
        <w:t>unique</w:t>
      </w:r>
      <w:proofErr w:type="spellEnd"/>
      <w:r w:rsidRPr="00070511">
        <w:t xml:space="preserve"> et </w:t>
      </w:r>
      <w:proofErr w:type="spellStart"/>
      <w:r w:rsidRPr="00070511">
        <w:t>discriminations</w:t>
      </w:r>
      <w:proofErr w:type="spellEnd"/>
      <w:r w:rsidRPr="00070511">
        <w:t xml:space="preserve"> (II) : de </w:t>
      </w:r>
      <w:proofErr w:type="spellStart"/>
      <w:r w:rsidRPr="00070511">
        <w:t>l’arrêt</w:t>
      </w:r>
      <w:proofErr w:type="spellEnd"/>
      <w:r w:rsidRPr="00070511">
        <w:t xml:space="preserve"> du 7 </w:t>
      </w:r>
      <w:proofErr w:type="spellStart"/>
      <w:r w:rsidRPr="00070511">
        <w:t>juillet</w:t>
      </w:r>
      <w:proofErr w:type="spellEnd"/>
      <w:r w:rsidRPr="00070511">
        <w:t xml:space="preserve"> 2011 </w:t>
      </w:r>
      <w:proofErr w:type="spellStart"/>
      <w:r w:rsidRPr="00070511">
        <w:t>jusqu’à</w:t>
      </w:r>
      <w:proofErr w:type="spellEnd"/>
      <w:r w:rsidRPr="00070511">
        <w:t xml:space="preserve"> </w:t>
      </w:r>
      <w:proofErr w:type="spellStart"/>
      <w:r w:rsidRPr="00070511">
        <w:t>l’adoption</w:t>
      </w:r>
      <w:proofErr w:type="spellEnd"/>
      <w:r w:rsidRPr="00070511">
        <w:t xml:space="preserve"> de la </w:t>
      </w:r>
      <w:proofErr w:type="spellStart"/>
      <w:r w:rsidRPr="00070511">
        <w:t>loi</w:t>
      </w:r>
      <w:proofErr w:type="spellEnd"/>
      <w:r w:rsidRPr="00070511">
        <w:t xml:space="preserve"> </w:t>
      </w:r>
      <w:proofErr w:type="spellStart"/>
      <w:r w:rsidRPr="00070511">
        <w:t>sur</w:t>
      </w:r>
      <w:proofErr w:type="spellEnd"/>
      <w:r w:rsidRPr="00070511">
        <w:t xml:space="preserve"> </w:t>
      </w:r>
      <w:proofErr w:type="spellStart"/>
      <w:r w:rsidRPr="00070511">
        <w:t>le</w:t>
      </w:r>
      <w:proofErr w:type="spellEnd"/>
      <w:r w:rsidRPr="00070511">
        <w:t xml:space="preserve"> </w:t>
      </w:r>
      <w:proofErr w:type="spellStart"/>
      <w:r w:rsidRPr="00070511">
        <w:t>statut</w:t>
      </w:r>
      <w:proofErr w:type="spellEnd"/>
      <w:r w:rsidRPr="00070511">
        <w:t xml:space="preserve"> </w:t>
      </w:r>
      <w:proofErr w:type="spellStart"/>
      <w:r w:rsidRPr="00070511">
        <w:t>unique</w:t>
      </w:r>
      <w:proofErr w:type="spellEnd"/>
      <w:r w:rsidRPr="00070511">
        <w:t xml:space="preserve">’ in </w:t>
      </w:r>
      <w:r w:rsidRPr="00070511">
        <w:rPr>
          <w:i/>
          <w:iCs/>
        </w:rPr>
        <w:t xml:space="preserve">Bulletin de </w:t>
      </w:r>
      <w:proofErr w:type="spellStart"/>
      <w:r w:rsidRPr="00070511">
        <w:rPr>
          <w:i/>
          <w:iCs/>
        </w:rPr>
        <w:t>l’Ordre</w:t>
      </w:r>
      <w:proofErr w:type="spellEnd"/>
      <w:r w:rsidRPr="00070511">
        <w:rPr>
          <w:i/>
          <w:iCs/>
        </w:rPr>
        <w:t xml:space="preserve"> des Experts-</w:t>
      </w:r>
      <w:proofErr w:type="spellStart"/>
      <w:r w:rsidRPr="00070511">
        <w:rPr>
          <w:i/>
          <w:iCs/>
        </w:rPr>
        <w:t>comptables</w:t>
      </w:r>
      <w:proofErr w:type="spellEnd"/>
      <w:r w:rsidRPr="00070511">
        <w:rPr>
          <w:i/>
          <w:iCs/>
        </w:rPr>
        <w:t xml:space="preserve"> et </w:t>
      </w:r>
      <w:proofErr w:type="spellStart"/>
      <w:r w:rsidRPr="00070511">
        <w:rPr>
          <w:i/>
          <w:iCs/>
        </w:rPr>
        <w:t>comptables</w:t>
      </w:r>
      <w:proofErr w:type="spellEnd"/>
      <w:r w:rsidRPr="00070511">
        <w:rPr>
          <w:i/>
          <w:iCs/>
        </w:rPr>
        <w:t xml:space="preserve"> </w:t>
      </w:r>
      <w:proofErr w:type="spellStart"/>
      <w:r w:rsidRPr="00070511">
        <w:rPr>
          <w:i/>
          <w:iCs/>
        </w:rPr>
        <w:t>brevetés</w:t>
      </w:r>
      <w:proofErr w:type="spellEnd"/>
      <w:r w:rsidRPr="00070511">
        <w:rPr>
          <w:i/>
          <w:iCs/>
        </w:rPr>
        <w:t xml:space="preserve"> de </w:t>
      </w:r>
      <w:proofErr w:type="spellStart"/>
      <w:r w:rsidRPr="00070511">
        <w:rPr>
          <w:i/>
          <w:iCs/>
        </w:rPr>
        <w:t>Belgique</w:t>
      </w:r>
      <w:proofErr w:type="spellEnd"/>
      <w:r w:rsidRPr="00070511">
        <w:rPr>
          <w:i/>
          <w:iCs/>
        </w:rPr>
        <w:t xml:space="preserve"> ,</w:t>
      </w:r>
      <w:r w:rsidRPr="00070511">
        <w:t xml:space="preserve"> </w:t>
      </w:r>
      <w:proofErr w:type="spellStart"/>
      <w:r w:rsidRPr="00070511">
        <w:t>Anthemis</w:t>
      </w:r>
      <w:proofErr w:type="spellEnd"/>
      <w:r w:rsidRPr="00070511">
        <w:t xml:space="preserve">, 2014, 5; VAN KERREBROECK N., en VERWILGHEN M., </w:t>
      </w:r>
      <w:r w:rsidRPr="00070511">
        <w:rPr>
          <w:i/>
          <w:iCs/>
        </w:rPr>
        <w:t>De harmonisatie van het statuut arbeider en bediende,</w:t>
      </w:r>
      <w:r w:rsidRPr="00070511">
        <w:t xml:space="preserve"> </w:t>
      </w:r>
      <w:proofErr w:type="spellStart"/>
      <w:r w:rsidRPr="00070511">
        <w:t>Intersentia</w:t>
      </w:r>
      <w:proofErr w:type="spellEnd"/>
      <w:r w:rsidRPr="00070511">
        <w:t>, 2014, 278.</w:t>
      </w:r>
    </w:p>
  </w:footnote>
  <w:footnote w:id="47">
    <w:p w14:paraId="12AE8605" w14:textId="56EC6F78" w:rsidR="00851907" w:rsidRPr="006765F3" w:rsidRDefault="00851907">
      <w:pPr>
        <w:pStyle w:val="Voetnoottekst"/>
      </w:pPr>
      <w:r w:rsidRPr="006765F3">
        <w:rPr>
          <w:rStyle w:val="Voetnootmarkering"/>
        </w:rPr>
        <w:footnoteRef/>
      </w:r>
      <w:r w:rsidR="006E7EA8">
        <w:t xml:space="preserve"> </w:t>
      </w:r>
      <w:r w:rsidRPr="006765F3">
        <w:t xml:space="preserve">ROELS </w:t>
      </w:r>
      <w:proofErr w:type="spellStart"/>
      <w:r w:rsidRPr="006765F3">
        <w:t>P.,</w:t>
      </w:r>
      <w:r w:rsidR="00A33ED3" w:rsidRPr="006765F3">
        <w:t>’</w:t>
      </w:r>
      <w:r w:rsidRPr="006765F3">
        <w:t>Naar</w:t>
      </w:r>
      <w:proofErr w:type="spellEnd"/>
      <w:r w:rsidRPr="006765F3">
        <w:t xml:space="preserve"> een eenheidsstatuut voor aanvullende pensioenen</w:t>
      </w:r>
      <w:r w:rsidR="00A33ED3" w:rsidRPr="006765F3">
        <w:t>’</w:t>
      </w:r>
      <w:r w:rsidRPr="006765F3">
        <w:t xml:space="preserve">, </w:t>
      </w:r>
      <w:r w:rsidRPr="006765F3">
        <w:rPr>
          <w:i/>
          <w:iCs/>
        </w:rPr>
        <w:t xml:space="preserve">Life &amp; Benefits </w:t>
      </w:r>
      <w:r w:rsidRPr="006765F3">
        <w:t>2014, nr.4, 1</w:t>
      </w:r>
      <w:r w:rsidR="0009082C" w:rsidRPr="006765F3">
        <w:t>.</w:t>
      </w:r>
    </w:p>
  </w:footnote>
  <w:footnote w:id="48">
    <w:p w14:paraId="6F07E5C8" w14:textId="1C37FCFB" w:rsidR="00D23D19" w:rsidRPr="0058444E" w:rsidRDefault="00D23D19" w:rsidP="00D23D19">
      <w:pPr>
        <w:pStyle w:val="Voetnoottekst"/>
      </w:pPr>
      <w:r w:rsidRPr="006765F3">
        <w:rPr>
          <w:rStyle w:val="Voetnootmarkering"/>
        </w:rPr>
        <w:footnoteRef/>
      </w:r>
      <w:r w:rsidR="006E7EA8">
        <w:t xml:space="preserve"> </w:t>
      </w:r>
      <w:r w:rsidRPr="006765F3">
        <w:t xml:space="preserve">DE WORTELAER J., </w:t>
      </w:r>
      <w:r w:rsidRPr="006765F3">
        <w:rPr>
          <w:i/>
          <w:iCs/>
        </w:rPr>
        <w:t>De wet van 26 december 2013 betreffende het eenheidsstatuut,</w:t>
      </w:r>
      <w:r w:rsidRPr="006765F3">
        <w:t xml:space="preserve"> Kluwer, 2014, 10; KNOOPS S., </w:t>
      </w:r>
      <w:r w:rsidRPr="006765F3">
        <w:rPr>
          <w:i/>
          <w:iCs/>
        </w:rPr>
        <w:t>De toepassing en handhaving van het gelijkheidsbeginsel bij aanvullende pensioenen,</w:t>
      </w:r>
      <w:r w:rsidRPr="006765F3">
        <w:t xml:space="preserve"> </w:t>
      </w:r>
      <w:proofErr w:type="spellStart"/>
      <w:r w:rsidRPr="006765F3">
        <w:t>Intersentia</w:t>
      </w:r>
      <w:proofErr w:type="spellEnd"/>
      <w:r w:rsidRPr="006765F3">
        <w:t>, 2024, 369.</w:t>
      </w:r>
    </w:p>
  </w:footnote>
  <w:footnote w:id="49">
    <w:p w14:paraId="3376B5C8" w14:textId="483A2A61" w:rsidR="00D23D19" w:rsidRPr="00956110" w:rsidRDefault="00D23D19" w:rsidP="00D23D19">
      <w:pPr>
        <w:pStyle w:val="Voetnoottekst"/>
      </w:pPr>
      <w:r w:rsidRPr="0058444E">
        <w:rPr>
          <w:rStyle w:val="Voetnootmarkering"/>
        </w:rPr>
        <w:footnoteRef/>
      </w:r>
      <w:bookmarkStart w:id="34" w:name="_Hlk224987052"/>
      <w:bookmarkStart w:id="35" w:name="_Hlk210487892"/>
      <w:r w:rsidR="00D3332C">
        <w:t xml:space="preserve"> </w:t>
      </w:r>
      <w:r w:rsidRPr="006F4B99">
        <w:t xml:space="preserve">ANKAERT E., PLETS I. en DE JONGHE M. e.a., </w:t>
      </w:r>
      <w:r w:rsidRPr="006F4B99">
        <w:rPr>
          <w:i/>
          <w:iCs/>
        </w:rPr>
        <w:t xml:space="preserve">10 jaar Wet Eenheidsstatuut, Beëindiging arbeidsovereenkomsten </w:t>
      </w:r>
      <w:r w:rsidRPr="00956110">
        <w:rPr>
          <w:i/>
          <w:iCs/>
        </w:rPr>
        <w:t xml:space="preserve">onbepaalde duur sinds de Wet Eenheidsstatuut: duidelijke regels en oude/nieuwe discussiepunten, </w:t>
      </w:r>
      <w:r w:rsidR="0021627E" w:rsidRPr="00956110">
        <w:t>d</w:t>
      </w:r>
      <w:r w:rsidRPr="00956110">
        <w:t xml:space="preserve">ie </w:t>
      </w:r>
      <w:proofErr w:type="spellStart"/>
      <w:r w:rsidRPr="00956110">
        <w:t>Keure</w:t>
      </w:r>
      <w:proofErr w:type="spellEnd"/>
      <w:r w:rsidRPr="00956110">
        <w:t>, 2024, 155</w:t>
      </w:r>
      <w:bookmarkEnd w:id="34"/>
      <w:r w:rsidRPr="00956110">
        <w:t xml:space="preserve">; DE WILDE </w:t>
      </w:r>
      <w:r w:rsidRPr="004422F1">
        <w:t xml:space="preserve">I., ‘Geleidelijke harmonisering onderscheid arbeiders en bedienden uit Wet Aanvullende Pensioenen niet ongrondwettig’, </w:t>
      </w:r>
      <w:r w:rsidRPr="004422F1">
        <w:rPr>
          <w:i/>
          <w:iCs/>
        </w:rPr>
        <w:t xml:space="preserve">NJW </w:t>
      </w:r>
      <w:r w:rsidRPr="004422F1">
        <w:t>2025, afl</w:t>
      </w:r>
      <w:r w:rsidR="00527585">
        <w:t>.</w:t>
      </w:r>
      <w:r w:rsidRPr="004422F1">
        <w:t xml:space="preserve"> 516</w:t>
      </w:r>
      <w:r w:rsidRPr="00D253D0">
        <w:t xml:space="preserve">, 124; VAN DEN BUSSCHE B., </w:t>
      </w:r>
      <w:r w:rsidRPr="00D253D0">
        <w:rPr>
          <w:i/>
          <w:iCs/>
        </w:rPr>
        <w:t xml:space="preserve">Alternatieve verloningstechnieken. Hoe houden mijn </w:t>
      </w:r>
      <w:r w:rsidRPr="00956110">
        <w:rPr>
          <w:i/>
          <w:iCs/>
        </w:rPr>
        <w:t>werknemers netto meer over?,</w:t>
      </w:r>
      <w:r w:rsidRPr="00956110">
        <w:t xml:space="preserve"> Wolters Kluwer, 2024, 344</w:t>
      </w:r>
      <w:bookmarkEnd w:id="35"/>
      <w:r w:rsidRPr="00956110">
        <w:t>.</w:t>
      </w:r>
    </w:p>
  </w:footnote>
  <w:footnote w:id="50">
    <w:p w14:paraId="6C2881BC" w14:textId="744AFB6B" w:rsidR="00D23D19" w:rsidRPr="0058444E" w:rsidRDefault="00D23D19" w:rsidP="00D23D19">
      <w:pPr>
        <w:pStyle w:val="Voetnoottekst"/>
      </w:pPr>
      <w:bookmarkStart w:id="36" w:name="_Hlk210487961"/>
      <w:r w:rsidRPr="00956110">
        <w:rPr>
          <w:rStyle w:val="Voetnootmarkering"/>
        </w:rPr>
        <w:footnoteRef/>
      </w:r>
      <w:r w:rsidR="00D3332C">
        <w:t xml:space="preserve"> </w:t>
      </w:r>
      <w:r w:rsidRPr="00956110">
        <w:t xml:space="preserve">NATIONALE ARBEIDSRAAD, </w:t>
      </w:r>
      <w:r w:rsidRPr="00956110">
        <w:rPr>
          <w:i/>
          <w:iCs/>
        </w:rPr>
        <w:t xml:space="preserve">Advies voorontwerp van wet tot instelling van een wettelijk kader voor geleidelijke opheffing van de verschillen in behandeling die berusten op het onderscheid tussen arbeiders en bedienden inzake aanvullende pensioenen, </w:t>
      </w:r>
      <w:r w:rsidRPr="00956110">
        <w:t xml:space="preserve">12 februari 2014, nr. 1893, </w:t>
      </w:r>
      <w:hyperlink r:id="rId2" w:history="1">
        <w:r w:rsidRPr="00956110">
          <w:rPr>
            <w:rStyle w:val="Hyperlink"/>
          </w:rPr>
          <w:t>www.cnt-nar.be</w:t>
        </w:r>
      </w:hyperlink>
      <w:r w:rsidRPr="00956110">
        <w:t xml:space="preserve">; DE WILDE I., ‘Geleidelijke harmonisering onderscheid arbeiders en bedienden uit Wet Aanvullende Pensioenen niet ongrondwettig’, </w:t>
      </w:r>
      <w:r w:rsidRPr="00956110">
        <w:rPr>
          <w:i/>
          <w:iCs/>
        </w:rPr>
        <w:t xml:space="preserve">NJW </w:t>
      </w:r>
      <w:r w:rsidRPr="00956110">
        <w:t>2025, afl</w:t>
      </w:r>
      <w:r w:rsidR="00C516A2">
        <w:t>.</w:t>
      </w:r>
      <w:r w:rsidRPr="00956110">
        <w:t xml:space="preserve"> 516, 124; VAN HIEL I., ‘Afsluitingsdatum voor ongelijke behandeling arbeiders/bedienden bij opbouw aanvullend pensioen houdt stand.’, </w:t>
      </w:r>
      <w:r w:rsidRPr="00956110">
        <w:rPr>
          <w:i/>
          <w:iCs/>
        </w:rPr>
        <w:t xml:space="preserve">Juristenkrant </w:t>
      </w:r>
      <w:r w:rsidRPr="00956110">
        <w:t xml:space="preserve">2024, afl. 500, 5; VAN KERREBROECK N., en VERWILGHEN M., </w:t>
      </w:r>
      <w:r w:rsidRPr="00956110">
        <w:rPr>
          <w:i/>
          <w:iCs/>
        </w:rPr>
        <w:t>De harmonisatie van het statuut arbeider en bediende,</w:t>
      </w:r>
      <w:r w:rsidRPr="00956110">
        <w:t xml:space="preserve"> </w:t>
      </w:r>
      <w:proofErr w:type="spellStart"/>
      <w:r w:rsidRPr="00956110">
        <w:t>Intersentia</w:t>
      </w:r>
      <w:proofErr w:type="spellEnd"/>
      <w:r w:rsidRPr="00956110">
        <w:t>, 2014, 279</w:t>
      </w:r>
      <w:bookmarkEnd w:id="36"/>
      <w:r w:rsidRPr="00956110">
        <w:t>.</w:t>
      </w:r>
    </w:p>
  </w:footnote>
  <w:footnote w:id="51">
    <w:p w14:paraId="31C3B3E2" w14:textId="4A94E81F" w:rsidR="001C547A" w:rsidRPr="00A10B8B" w:rsidRDefault="001C547A">
      <w:pPr>
        <w:pStyle w:val="Voetnoottekst"/>
      </w:pPr>
      <w:r w:rsidRPr="0058444E">
        <w:rPr>
          <w:rStyle w:val="Voetnootmarkering"/>
        </w:rPr>
        <w:footnoteRef/>
      </w:r>
      <w:r w:rsidR="007D5C83">
        <w:t xml:space="preserve"> </w:t>
      </w:r>
      <w:r w:rsidRPr="00A10B8B">
        <w:t xml:space="preserve">ANKAERT E., PLETS I. en DE JONGHE M. e.a., </w:t>
      </w:r>
      <w:r w:rsidRPr="00A10B8B">
        <w:rPr>
          <w:i/>
          <w:iCs/>
        </w:rPr>
        <w:t>10 jaar Wet Eenheidsstatuut, Beëindiging arbeidsovereenkomsten onbepaalde duur sinds de Wet Eenheidsstatuut: duidelijke regels en oude/nieuwe discussiepunten,</w:t>
      </w:r>
      <w:r w:rsidRPr="00A10B8B">
        <w:t xml:space="preserve"> </w:t>
      </w:r>
      <w:r w:rsidR="00890903" w:rsidRPr="00A10B8B">
        <w:t>d</w:t>
      </w:r>
      <w:r w:rsidRPr="00A10B8B">
        <w:t xml:space="preserve">ie </w:t>
      </w:r>
      <w:proofErr w:type="spellStart"/>
      <w:r w:rsidRPr="00A10B8B">
        <w:t>Keure</w:t>
      </w:r>
      <w:proofErr w:type="spellEnd"/>
      <w:r w:rsidRPr="00A10B8B">
        <w:t>, 2024, 155</w:t>
      </w:r>
      <w:r w:rsidR="00A10B8B" w:rsidRPr="00A10B8B">
        <w:t>.</w:t>
      </w:r>
    </w:p>
  </w:footnote>
  <w:footnote w:id="52">
    <w:p w14:paraId="3FC19A18" w14:textId="4D99B9C3" w:rsidR="00BF53BF" w:rsidRPr="0058444E" w:rsidRDefault="00BF53BF">
      <w:pPr>
        <w:pStyle w:val="Voetnoottekst"/>
      </w:pPr>
      <w:r w:rsidRPr="0058444E">
        <w:rPr>
          <w:rStyle w:val="Voetnootmarkering"/>
        </w:rPr>
        <w:footnoteRef/>
      </w:r>
      <w:bookmarkStart w:id="38" w:name="_Hlk224988608"/>
      <w:r w:rsidR="007D5C83">
        <w:t xml:space="preserve"> </w:t>
      </w:r>
      <w:r w:rsidRPr="001C7211">
        <w:t xml:space="preserve">BAERT M., </w:t>
      </w:r>
      <w:r w:rsidR="00A10B8B" w:rsidRPr="001C7211">
        <w:t>‘</w:t>
      </w:r>
      <w:r w:rsidRPr="001C7211">
        <w:t>Het toepassingsgebied van de overgangsregeling uit de wet eenheidsstatuut</w:t>
      </w:r>
      <w:r w:rsidR="00A10B8B" w:rsidRPr="001C7211">
        <w:t>’</w:t>
      </w:r>
      <w:r w:rsidRPr="001C7211">
        <w:t xml:space="preserve">, </w:t>
      </w:r>
      <w:r w:rsidRPr="001C7211">
        <w:rPr>
          <w:i/>
          <w:iCs/>
        </w:rPr>
        <w:t xml:space="preserve">R.A.B.G., </w:t>
      </w:r>
      <w:r w:rsidRPr="001C7211">
        <w:t>2022/14-15, 1068</w:t>
      </w:r>
      <w:bookmarkEnd w:id="38"/>
      <w:r w:rsidR="001C7211" w:rsidRPr="001C7211">
        <w:t>.</w:t>
      </w:r>
    </w:p>
  </w:footnote>
  <w:footnote w:id="53">
    <w:p w14:paraId="7B9AB6C8" w14:textId="1D785924" w:rsidR="00E13A3E" w:rsidRPr="0058444E" w:rsidRDefault="00E13A3E">
      <w:pPr>
        <w:pStyle w:val="Voetnoottekst"/>
      </w:pPr>
      <w:r w:rsidRPr="00284059">
        <w:rPr>
          <w:rStyle w:val="Voetnootmarkering"/>
        </w:rPr>
        <w:footnoteRef/>
      </w:r>
      <w:r w:rsidR="007D5C83">
        <w:t xml:space="preserve"> </w:t>
      </w:r>
      <w:r w:rsidRPr="00284059">
        <w:t xml:space="preserve">ANKAERT E., PLETS I. en DE JONGHE M. e.a., </w:t>
      </w:r>
      <w:r w:rsidRPr="00284059">
        <w:rPr>
          <w:i/>
          <w:iCs/>
        </w:rPr>
        <w:t>10 jaar Wet Eenheidsstatuut, Beëindiging arbeidsovereenkomsten onbepaalde duur sinds de Wet Eenheidsstatuut: duidelijke regels en oude/nieuwe discussiepunten,</w:t>
      </w:r>
      <w:r w:rsidR="001C7211" w:rsidRPr="00284059">
        <w:t xml:space="preserve"> </w:t>
      </w:r>
      <w:r w:rsidR="00284059" w:rsidRPr="00284059">
        <w:t>d</w:t>
      </w:r>
      <w:r w:rsidRPr="00284059">
        <w:t xml:space="preserve">ie </w:t>
      </w:r>
      <w:proofErr w:type="spellStart"/>
      <w:r w:rsidRPr="00284059">
        <w:t>Keure</w:t>
      </w:r>
      <w:proofErr w:type="spellEnd"/>
      <w:r w:rsidRPr="00284059">
        <w:t>, 2024, 157</w:t>
      </w:r>
      <w:r w:rsidR="00284059" w:rsidRPr="00284059">
        <w:t>.</w:t>
      </w:r>
    </w:p>
  </w:footnote>
  <w:footnote w:id="54">
    <w:p w14:paraId="390DF6DF" w14:textId="2D0071C0" w:rsidR="00C75A97" w:rsidRDefault="00C75A97">
      <w:pPr>
        <w:pStyle w:val="Voetnoottekst"/>
      </w:pPr>
      <w:r>
        <w:rPr>
          <w:rStyle w:val="Voetnootmarkering"/>
        </w:rPr>
        <w:footnoteRef/>
      </w:r>
      <w:r w:rsidR="007D5C83">
        <w:t xml:space="preserve"> </w:t>
      </w:r>
      <w:r w:rsidR="008C1525" w:rsidRPr="00951560">
        <w:t xml:space="preserve">BERGHMAN J. en PEETERS H., ‘De drie pijlers van het Belgische pensioenlandschap. Overzicht en uitdagingen.’, </w:t>
      </w:r>
      <w:r w:rsidR="008C1525" w:rsidRPr="00951560">
        <w:rPr>
          <w:i/>
          <w:iCs/>
        </w:rPr>
        <w:t xml:space="preserve">BTSZ </w:t>
      </w:r>
      <w:r w:rsidR="008C1525" w:rsidRPr="00951560">
        <w:t>2012, 1, 13</w:t>
      </w:r>
      <w:r w:rsidR="00951560" w:rsidRPr="00951560">
        <w:t>.</w:t>
      </w:r>
    </w:p>
  </w:footnote>
  <w:footnote w:id="55">
    <w:p w14:paraId="55FF6AC5" w14:textId="0518AB05" w:rsidR="00512ADE" w:rsidRDefault="00512ADE">
      <w:pPr>
        <w:pStyle w:val="Voetnoottekst"/>
      </w:pPr>
      <w:r>
        <w:rPr>
          <w:rStyle w:val="Voetnootmarkering"/>
        </w:rPr>
        <w:footnoteRef/>
      </w:r>
      <w:r w:rsidR="007D5C83">
        <w:t xml:space="preserve"> </w:t>
      </w:r>
      <w:proofErr w:type="spellStart"/>
      <w:r w:rsidR="004112D4" w:rsidRPr="004112D4">
        <w:t>MvT</w:t>
      </w:r>
      <w:proofErr w:type="spellEnd"/>
      <w:r w:rsidR="004112D4" w:rsidRPr="004112D4">
        <w:t xml:space="preserve"> </w:t>
      </w:r>
      <w:r w:rsidRPr="004112D4">
        <w:t>K</w:t>
      </w:r>
      <w:r w:rsidR="004112D4" w:rsidRPr="004112D4">
        <w:t>AMER</w:t>
      </w:r>
      <w:r w:rsidRPr="004112D4">
        <w:t xml:space="preserve"> 2021-2022, nr. 55-2304/001, 21</w:t>
      </w:r>
      <w:r w:rsidR="004112D4" w:rsidRPr="004112D4">
        <w:t>.</w:t>
      </w:r>
    </w:p>
  </w:footnote>
  <w:footnote w:id="56">
    <w:p w14:paraId="0E2C4AD8" w14:textId="0B1666B5" w:rsidR="00ED40CA" w:rsidRPr="0058444E" w:rsidRDefault="00ED40CA">
      <w:pPr>
        <w:pStyle w:val="Voetnoottekst"/>
      </w:pPr>
      <w:r w:rsidRPr="0058444E">
        <w:rPr>
          <w:rStyle w:val="Voetnootmarkering"/>
        </w:rPr>
        <w:footnoteRef/>
      </w:r>
      <w:r w:rsidR="00030CFA">
        <w:t xml:space="preserve"> </w:t>
      </w:r>
      <w:r w:rsidRPr="003871E4">
        <w:t xml:space="preserve">NATIONALE ARBEIDSRAAD, </w:t>
      </w:r>
      <w:r w:rsidR="00B55AD4" w:rsidRPr="003871E4">
        <w:rPr>
          <w:i/>
          <w:iCs/>
        </w:rPr>
        <w:t xml:space="preserve">Advies nr. 1893 – Voorontwerp van wet tot instelling van een wettelijk kader voor de geleidelijke opheffing van de verschillen in behandeling die berusten op het onderscheid tussen arbeiders en bedienden inzake aanvullende pensioenen, </w:t>
      </w:r>
      <w:r w:rsidR="00B55AD4" w:rsidRPr="003871E4">
        <w:t>12 februari 2014, 10-11</w:t>
      </w:r>
      <w:r w:rsidR="00724F16" w:rsidRPr="003871E4">
        <w:t>.</w:t>
      </w:r>
    </w:p>
  </w:footnote>
  <w:footnote w:id="57">
    <w:p w14:paraId="7E6FFA91" w14:textId="6E92357B" w:rsidR="008F7CE7" w:rsidRPr="00541165" w:rsidRDefault="008F7CE7">
      <w:pPr>
        <w:pStyle w:val="Voetnoottekst"/>
      </w:pPr>
      <w:r w:rsidRPr="00541165">
        <w:rPr>
          <w:rStyle w:val="Voetnootmarkering"/>
        </w:rPr>
        <w:footnoteRef/>
      </w:r>
      <w:r w:rsidR="00EC23E3">
        <w:t xml:space="preserve"> </w:t>
      </w:r>
      <w:r w:rsidR="002B4F06" w:rsidRPr="00541165">
        <w:t xml:space="preserve">BERGHMAN J. en PEETERS H., ‘De drie pijlers van het Belgische pensioenlandschap. Overzicht en uitdagingen.’, </w:t>
      </w:r>
      <w:r w:rsidR="002B4F06" w:rsidRPr="00541165">
        <w:rPr>
          <w:i/>
          <w:iCs/>
        </w:rPr>
        <w:t xml:space="preserve">BTSZ </w:t>
      </w:r>
      <w:r w:rsidR="002B4F06" w:rsidRPr="00541165">
        <w:t>2012, 1, 5;</w:t>
      </w:r>
      <w:r w:rsidRPr="00541165">
        <w:t xml:space="preserve"> </w:t>
      </w:r>
      <w:r w:rsidR="008B1342">
        <w:t>EECKL</w:t>
      </w:r>
      <w:r w:rsidR="00FF59B9">
        <w:t xml:space="preserve">OO K., ‘Categoriale selectiviteit in de aanvullende sociale verzekeringen. De juridische houdbaarheid </w:t>
      </w:r>
      <w:r w:rsidR="00444D8D">
        <w:t xml:space="preserve">en rechtvaardiging van beroepscategorieën in de aanvullende sociale verzekeringen.’, </w:t>
      </w:r>
      <w:r w:rsidR="00442FCD">
        <w:rPr>
          <w:i/>
          <w:iCs/>
        </w:rPr>
        <w:t xml:space="preserve">Jura </w:t>
      </w:r>
      <w:proofErr w:type="spellStart"/>
      <w:r w:rsidR="00442FCD">
        <w:rPr>
          <w:i/>
          <w:iCs/>
        </w:rPr>
        <w:t>Falc</w:t>
      </w:r>
      <w:proofErr w:type="spellEnd"/>
      <w:r w:rsidR="00442FCD">
        <w:rPr>
          <w:i/>
          <w:iCs/>
        </w:rPr>
        <w:t>.</w:t>
      </w:r>
      <w:r w:rsidR="00442FCD">
        <w:t xml:space="preserve"> 1998-1999</w:t>
      </w:r>
      <w:r w:rsidR="00BC5620">
        <w:t xml:space="preserve">, </w:t>
      </w:r>
      <w:r w:rsidR="00E06B0D">
        <w:t xml:space="preserve">nr. 3, 348; </w:t>
      </w:r>
      <w:r w:rsidRPr="00541165">
        <w:t xml:space="preserve">WERBROUCK J.M., </w:t>
      </w:r>
      <w:r w:rsidRPr="00541165">
        <w:rPr>
          <w:i/>
          <w:iCs/>
        </w:rPr>
        <w:t>Het multidimensionale pensioenbegrip,</w:t>
      </w:r>
      <w:r w:rsidRPr="00541165">
        <w:t xml:space="preserve"> Boom Juridisch, 2022, 249</w:t>
      </w:r>
      <w:r w:rsidR="0030094A" w:rsidRPr="00541165">
        <w:t>.</w:t>
      </w:r>
    </w:p>
  </w:footnote>
  <w:footnote w:id="58">
    <w:p w14:paraId="28B44E32" w14:textId="7A1A92BC" w:rsidR="008F7CE7" w:rsidRPr="00EC23E3" w:rsidRDefault="008F7CE7">
      <w:pPr>
        <w:pStyle w:val="Voetnoottekst"/>
      </w:pPr>
      <w:r w:rsidRPr="00541165">
        <w:rPr>
          <w:rStyle w:val="Voetnootmarkering"/>
        </w:rPr>
        <w:footnoteRef/>
      </w:r>
      <w:r w:rsidR="00EC23E3">
        <w:t xml:space="preserve"> </w:t>
      </w:r>
      <w:r w:rsidR="00761C55">
        <w:t>BERGH</w:t>
      </w:r>
      <w:r w:rsidR="006E11D2">
        <w:t xml:space="preserve">MAN J., PEETERS H., MUTSAERTS A., D’HOINE P. en PATTYN B., ‘De pensioenbescherming in België: overzicht en uitdagingen’, </w:t>
      </w:r>
      <w:r w:rsidR="006E11D2">
        <w:rPr>
          <w:i/>
          <w:iCs/>
        </w:rPr>
        <w:t xml:space="preserve">BTSZ </w:t>
      </w:r>
      <w:r w:rsidR="006E11D2">
        <w:t>2012, 99;</w:t>
      </w:r>
      <w:r w:rsidR="0024182C">
        <w:t xml:space="preserve"> </w:t>
      </w:r>
      <w:r w:rsidRPr="00541165">
        <w:t xml:space="preserve">WERBROUCK J.M., </w:t>
      </w:r>
      <w:r w:rsidRPr="00541165">
        <w:rPr>
          <w:i/>
          <w:iCs/>
        </w:rPr>
        <w:t>Het multidimensionale pensioenbegrip,</w:t>
      </w:r>
      <w:r w:rsidRPr="00541165">
        <w:t xml:space="preserve"> Boom Juridisch, 2022, 249</w:t>
      </w:r>
      <w:r w:rsidR="00541165" w:rsidRPr="00541165">
        <w:t>.</w:t>
      </w:r>
    </w:p>
  </w:footnote>
  <w:footnote w:id="59">
    <w:p w14:paraId="17049781" w14:textId="687C3B98" w:rsidR="00522CDC" w:rsidRPr="00EC23E3" w:rsidRDefault="00522CDC">
      <w:pPr>
        <w:pStyle w:val="Voetnoottekst"/>
      </w:pPr>
      <w:r w:rsidRPr="00EC23E3">
        <w:rPr>
          <w:rStyle w:val="Voetnootmarkering"/>
        </w:rPr>
        <w:footnoteRef/>
      </w:r>
      <w:r w:rsidR="00EC23E3" w:rsidRPr="00EC23E3">
        <w:t xml:space="preserve"> </w:t>
      </w:r>
      <w:r w:rsidRPr="00EC23E3">
        <w:t>VAN DAMME A. en DE SOMVIELE I., ‘</w:t>
      </w:r>
      <w:proofErr w:type="spellStart"/>
      <w:r w:rsidR="00F74767" w:rsidRPr="00EC23E3">
        <w:t>Externalisatie</w:t>
      </w:r>
      <w:proofErr w:type="spellEnd"/>
      <w:r w:rsidR="00F74767" w:rsidRPr="00EC23E3">
        <w:t xml:space="preserve"> van het aanvullend pensioen: hoe beschermd zijn uw pensioenrechten in tijden van crisis?’, </w:t>
      </w:r>
      <w:r w:rsidR="00CB0765" w:rsidRPr="00EC23E3">
        <w:rPr>
          <w:i/>
          <w:iCs/>
        </w:rPr>
        <w:t xml:space="preserve">Or. </w:t>
      </w:r>
      <w:r w:rsidR="00CB0765" w:rsidRPr="00EC23E3">
        <w:t>2009, afl. 7, 173.</w:t>
      </w:r>
    </w:p>
  </w:footnote>
  <w:footnote w:id="60">
    <w:p w14:paraId="0A821A76" w14:textId="01071575" w:rsidR="00DD1CC2" w:rsidRPr="00EC23E3" w:rsidRDefault="00DD1CC2">
      <w:pPr>
        <w:pStyle w:val="Voetnoottekst"/>
      </w:pPr>
      <w:r w:rsidRPr="00EC23E3">
        <w:rPr>
          <w:rStyle w:val="Voetnootmarkering"/>
        </w:rPr>
        <w:footnoteRef/>
      </w:r>
      <w:r w:rsidR="00EC23E3" w:rsidRPr="00EC23E3">
        <w:t xml:space="preserve"> </w:t>
      </w:r>
      <w:r w:rsidRPr="00EC23E3">
        <w:t xml:space="preserve">HEYLEN D., MERTENS C., OPGENHAFFEN T., VAN LOOIJ J. en WIJNANTS W., </w:t>
      </w:r>
      <w:r w:rsidRPr="00EC23E3">
        <w:rPr>
          <w:i/>
          <w:iCs/>
        </w:rPr>
        <w:t>Socialezekerheidsrecht toegepast (achtste editie),</w:t>
      </w:r>
      <w:r w:rsidRPr="00EC23E3">
        <w:t xml:space="preserve"> </w:t>
      </w:r>
      <w:proofErr w:type="spellStart"/>
      <w:r w:rsidRPr="00EC23E3">
        <w:t>Intersentia</w:t>
      </w:r>
      <w:proofErr w:type="spellEnd"/>
      <w:r w:rsidRPr="00EC23E3">
        <w:t>, 2023, 280</w:t>
      </w:r>
      <w:r w:rsidR="00541165" w:rsidRPr="00EC23E3">
        <w:t>.</w:t>
      </w:r>
    </w:p>
  </w:footnote>
  <w:footnote w:id="61">
    <w:p w14:paraId="21B46B3B" w14:textId="68B64583" w:rsidR="00812E26" w:rsidRPr="007E5619" w:rsidRDefault="00812E26">
      <w:pPr>
        <w:pStyle w:val="Voetnoottekst"/>
      </w:pPr>
      <w:r w:rsidRPr="007E5619">
        <w:rPr>
          <w:rStyle w:val="Voetnootmarkering"/>
        </w:rPr>
        <w:footnoteRef/>
      </w:r>
      <w:r w:rsidR="00D60776">
        <w:t xml:space="preserve"> </w:t>
      </w:r>
      <w:r w:rsidR="004369D9">
        <w:t xml:space="preserve">BERGHMAN J., PEETERS H., MUTSAERTS A., D’HOINE P. en PATTYN B., ‘De pensioenbescherming in België: overzicht en uitdagingen’, </w:t>
      </w:r>
      <w:r w:rsidR="004369D9">
        <w:rPr>
          <w:i/>
          <w:iCs/>
        </w:rPr>
        <w:t xml:space="preserve">BTSZ </w:t>
      </w:r>
      <w:r w:rsidR="004369D9">
        <w:t xml:space="preserve">2012, 102; </w:t>
      </w:r>
      <w:r w:rsidRPr="007E5619">
        <w:t xml:space="preserve">HEYLEN D., MERTENS C., OPGENHAFFEN T., VAN LOOIJ J. en WIJNANTS W., </w:t>
      </w:r>
      <w:r w:rsidRPr="007E5619">
        <w:rPr>
          <w:i/>
          <w:iCs/>
        </w:rPr>
        <w:t>Socialezekerheidsrecht toegepast (achtste editie),</w:t>
      </w:r>
      <w:r w:rsidRPr="007E5619">
        <w:t xml:space="preserve"> </w:t>
      </w:r>
      <w:proofErr w:type="spellStart"/>
      <w:r w:rsidRPr="007E5619">
        <w:t>Intersentia</w:t>
      </w:r>
      <w:proofErr w:type="spellEnd"/>
      <w:r w:rsidRPr="007E5619">
        <w:t>, 2023, 280</w:t>
      </w:r>
      <w:r w:rsidR="004200C7">
        <w:t xml:space="preserve">; EECKLOO K., ‘Categoriale selectiviteit in de aanvullende sociale verzekeringen. De juridische houdbaarheid en rechtvaardiging van beroepscategorieën in de aanvullende sociale verzekeringen.’, </w:t>
      </w:r>
      <w:r w:rsidR="004200C7">
        <w:rPr>
          <w:i/>
          <w:iCs/>
        </w:rPr>
        <w:t xml:space="preserve">Jura </w:t>
      </w:r>
      <w:proofErr w:type="spellStart"/>
      <w:r w:rsidR="004200C7">
        <w:rPr>
          <w:i/>
          <w:iCs/>
        </w:rPr>
        <w:t>Falc</w:t>
      </w:r>
      <w:proofErr w:type="spellEnd"/>
      <w:r w:rsidR="004200C7">
        <w:rPr>
          <w:i/>
          <w:iCs/>
        </w:rPr>
        <w:t>.</w:t>
      </w:r>
      <w:r w:rsidR="004200C7">
        <w:t xml:space="preserve"> 1998-1999, nr. 3, 348.</w:t>
      </w:r>
    </w:p>
  </w:footnote>
  <w:footnote w:id="62">
    <w:p w14:paraId="1E80CFE2" w14:textId="3D3EC1D2" w:rsidR="00B821B0" w:rsidRPr="007E5619" w:rsidRDefault="00B821B0">
      <w:pPr>
        <w:pStyle w:val="Voetnoottekst"/>
      </w:pPr>
      <w:r w:rsidRPr="007E5619">
        <w:rPr>
          <w:rStyle w:val="Voetnootmarkering"/>
        </w:rPr>
        <w:footnoteRef/>
      </w:r>
      <w:r w:rsidR="005C015F">
        <w:t xml:space="preserve"> </w:t>
      </w:r>
      <w:r w:rsidR="00E07822">
        <w:t xml:space="preserve">SCHOLS J. en VAN LANCKER W., ‘De tweede pensioenpijler: de blinde vlek in de pensioenhervorming’, </w:t>
      </w:r>
      <w:r w:rsidR="00E07822">
        <w:rPr>
          <w:i/>
          <w:iCs/>
        </w:rPr>
        <w:t>Samenleving en politi</w:t>
      </w:r>
      <w:r w:rsidR="009775B1">
        <w:rPr>
          <w:i/>
          <w:iCs/>
        </w:rPr>
        <w:t xml:space="preserve">ek </w:t>
      </w:r>
      <w:r w:rsidR="009775B1">
        <w:t>2025/6, 61;</w:t>
      </w:r>
      <w:r w:rsidR="00B54E51" w:rsidRPr="00B54E51">
        <w:rPr>
          <w:sz w:val="24"/>
          <w:szCs w:val="24"/>
        </w:rPr>
        <w:t xml:space="preserve"> </w:t>
      </w:r>
      <w:r w:rsidR="00B1271C" w:rsidRPr="00B1271C">
        <w:t>STEVENS Y., 'Groeipijnen en uitdagingen van de aanvullende pensioenen in België' in BARBAIX R., WEYTS B. en WUYTS D. (</w:t>
      </w:r>
      <w:proofErr w:type="spellStart"/>
      <w:r w:rsidR="00B1271C" w:rsidRPr="00B1271C">
        <w:t>eds</w:t>
      </w:r>
      <w:proofErr w:type="spellEnd"/>
      <w:r w:rsidR="00B1271C" w:rsidRPr="00B1271C">
        <w:t xml:space="preserve">.), </w:t>
      </w:r>
      <w:r w:rsidR="00B1271C" w:rsidRPr="00B1271C">
        <w:rPr>
          <w:i/>
          <w:iCs/>
        </w:rPr>
        <w:t>De groepsverzekering als aanvullend pensioen</w:t>
      </w:r>
      <w:r w:rsidR="00B1271C" w:rsidRPr="00B1271C">
        <w:t xml:space="preserve">, </w:t>
      </w:r>
      <w:proofErr w:type="spellStart"/>
      <w:r w:rsidR="00B1271C" w:rsidRPr="00B1271C">
        <w:t>Intersentia</w:t>
      </w:r>
      <w:proofErr w:type="spellEnd"/>
      <w:r w:rsidR="00B1271C" w:rsidRPr="00B1271C">
        <w:t xml:space="preserve">, 2014, </w:t>
      </w:r>
      <w:r w:rsidR="00B1271C">
        <w:t>6.</w:t>
      </w:r>
    </w:p>
  </w:footnote>
  <w:footnote w:id="63">
    <w:p w14:paraId="1ACEEEC9" w14:textId="0457C397" w:rsidR="00DA09EA" w:rsidRPr="007E5619" w:rsidRDefault="00DA09EA">
      <w:pPr>
        <w:pStyle w:val="Voetnoottekst"/>
      </w:pPr>
      <w:r w:rsidRPr="007E5619">
        <w:rPr>
          <w:rStyle w:val="Voetnootmarkering"/>
        </w:rPr>
        <w:footnoteRef/>
      </w:r>
      <w:r w:rsidRPr="007E5619">
        <w:t xml:space="preserve"> </w:t>
      </w:r>
      <w:r w:rsidR="00FE5804">
        <w:t xml:space="preserve">BERGHMAN J., PEETERS H., MUTSAERTS A., D’HOINE P. en PATTYN B., ‘De pensioenbescherming in België: overzicht en uitdagingen’, </w:t>
      </w:r>
      <w:r w:rsidR="00FE5804">
        <w:rPr>
          <w:i/>
          <w:iCs/>
        </w:rPr>
        <w:t xml:space="preserve">BTSZ </w:t>
      </w:r>
      <w:r w:rsidR="00FE5804">
        <w:t xml:space="preserve">2012, 103; </w:t>
      </w:r>
      <w:r w:rsidRPr="007E5619">
        <w:t xml:space="preserve">KNOOPS S., </w:t>
      </w:r>
      <w:r w:rsidRPr="007E5619">
        <w:rPr>
          <w:i/>
          <w:iCs/>
        </w:rPr>
        <w:t xml:space="preserve">De toepassing en handhaving van het gelijkheidsbeginsel bij aanvullende pensioenen, </w:t>
      </w:r>
      <w:r w:rsidRPr="007E5619">
        <w:t xml:space="preserve">Brussel, </w:t>
      </w:r>
      <w:proofErr w:type="spellStart"/>
      <w:r w:rsidRPr="007E5619">
        <w:t>Intersentia</w:t>
      </w:r>
      <w:proofErr w:type="spellEnd"/>
      <w:r w:rsidRPr="007E5619">
        <w:t>, 2024, 36</w:t>
      </w:r>
      <w:r w:rsidR="005763A2" w:rsidRPr="007E5619">
        <w:t>.</w:t>
      </w:r>
    </w:p>
  </w:footnote>
  <w:footnote w:id="64">
    <w:p w14:paraId="026C6401" w14:textId="2B9E6504" w:rsidR="006E13BE" w:rsidRPr="0058444E" w:rsidRDefault="006E13BE">
      <w:pPr>
        <w:pStyle w:val="Voetnoottekst"/>
      </w:pPr>
      <w:r w:rsidRPr="007E5619">
        <w:rPr>
          <w:rStyle w:val="Voetnootmarkering"/>
        </w:rPr>
        <w:footnoteRef/>
      </w:r>
      <w:r w:rsidR="005C015F">
        <w:t xml:space="preserve"> </w:t>
      </w:r>
      <w:r w:rsidR="00F105DC">
        <w:t xml:space="preserve">BERGHMAN J., PEETERS H., MUTSAERTS A., D’HOINE P. en PATTYN B., ‘De pensioenbescherming in België: overzicht en uitdagingen’, </w:t>
      </w:r>
      <w:r w:rsidR="00F105DC">
        <w:rPr>
          <w:i/>
          <w:iCs/>
        </w:rPr>
        <w:t xml:space="preserve">BTSZ </w:t>
      </w:r>
      <w:r w:rsidR="00F105DC">
        <w:t xml:space="preserve">2012, 104; </w:t>
      </w:r>
      <w:r w:rsidR="00441DC2" w:rsidRPr="00441DC2">
        <w:t>STEVENS Y., 'Groeipijnen en uitdagingen van de aanvullende pensioenen in België' in BARBAIX R., WEYTS B. en WUYTS D. (</w:t>
      </w:r>
      <w:proofErr w:type="spellStart"/>
      <w:r w:rsidR="00441DC2" w:rsidRPr="00441DC2">
        <w:t>eds</w:t>
      </w:r>
      <w:proofErr w:type="spellEnd"/>
      <w:r w:rsidR="00441DC2" w:rsidRPr="00441DC2">
        <w:t xml:space="preserve">.), </w:t>
      </w:r>
      <w:r w:rsidR="00441DC2" w:rsidRPr="00441DC2">
        <w:rPr>
          <w:i/>
          <w:iCs/>
        </w:rPr>
        <w:t>De groepsverzekering als aanvullend pensioen</w:t>
      </w:r>
      <w:r w:rsidR="00441DC2" w:rsidRPr="00441DC2">
        <w:t xml:space="preserve">, </w:t>
      </w:r>
      <w:proofErr w:type="spellStart"/>
      <w:r w:rsidR="00441DC2" w:rsidRPr="00441DC2">
        <w:t>Intersentia</w:t>
      </w:r>
      <w:proofErr w:type="spellEnd"/>
      <w:r w:rsidR="00441DC2" w:rsidRPr="00441DC2">
        <w:t xml:space="preserve">, 2014, </w:t>
      </w:r>
      <w:r w:rsidR="00441DC2">
        <w:t>3</w:t>
      </w:r>
      <w:r w:rsidR="00091DE2" w:rsidRPr="00814DA7">
        <w:t xml:space="preserve">; VAN AGGELEN E.S., </w:t>
      </w:r>
      <w:r w:rsidR="00091DE2" w:rsidRPr="00814DA7">
        <w:rPr>
          <w:i/>
          <w:iCs/>
        </w:rPr>
        <w:t xml:space="preserve">Het personeel toepassingsgebied van aanvullende pensioenregelingen voor werknemers, </w:t>
      </w:r>
      <w:r w:rsidR="00091DE2" w:rsidRPr="00814DA7">
        <w:t xml:space="preserve">die </w:t>
      </w:r>
      <w:proofErr w:type="spellStart"/>
      <w:r w:rsidR="00091DE2" w:rsidRPr="00814DA7">
        <w:t>Keure</w:t>
      </w:r>
      <w:proofErr w:type="spellEnd"/>
      <w:r w:rsidR="00091DE2" w:rsidRPr="00814DA7">
        <w:t>, 2022, 3</w:t>
      </w:r>
      <w:r w:rsidR="00091DE2">
        <w:t>5.</w:t>
      </w:r>
    </w:p>
  </w:footnote>
  <w:footnote w:id="65">
    <w:p w14:paraId="31B3A614" w14:textId="35E97FCB" w:rsidR="001D0BC7" w:rsidRPr="009D1AFD" w:rsidRDefault="001D0BC7">
      <w:pPr>
        <w:pStyle w:val="Voetnoottekst"/>
      </w:pPr>
      <w:r w:rsidRPr="00A139D0">
        <w:rPr>
          <w:rStyle w:val="Voetnootmarkering"/>
        </w:rPr>
        <w:footnoteRef/>
      </w:r>
      <w:r w:rsidR="00C91719">
        <w:t xml:space="preserve"> </w:t>
      </w:r>
      <w:r w:rsidR="00441DC2" w:rsidRPr="00441DC2">
        <w:t>STEVENS Y., 'Groeipijnen en uitdagingen van de aanvullende pensioenen in België' in BARBAIX R., WEYTS B. en WUYTS D. (</w:t>
      </w:r>
      <w:proofErr w:type="spellStart"/>
      <w:r w:rsidR="00441DC2" w:rsidRPr="00441DC2">
        <w:t>eds</w:t>
      </w:r>
      <w:proofErr w:type="spellEnd"/>
      <w:r w:rsidR="00441DC2" w:rsidRPr="00441DC2">
        <w:t xml:space="preserve">.), </w:t>
      </w:r>
      <w:r w:rsidR="00441DC2" w:rsidRPr="00441DC2">
        <w:rPr>
          <w:i/>
          <w:iCs/>
        </w:rPr>
        <w:t>De groepsverzekering als aanvullend pensioen</w:t>
      </w:r>
      <w:r w:rsidR="00441DC2" w:rsidRPr="00441DC2">
        <w:t xml:space="preserve">, </w:t>
      </w:r>
      <w:proofErr w:type="spellStart"/>
      <w:r w:rsidR="00441DC2" w:rsidRPr="00441DC2">
        <w:t>Intersentia</w:t>
      </w:r>
      <w:proofErr w:type="spellEnd"/>
      <w:r w:rsidR="00441DC2" w:rsidRPr="00441DC2">
        <w:t xml:space="preserve">, 2014, </w:t>
      </w:r>
      <w:r w:rsidR="00441DC2">
        <w:t>3.</w:t>
      </w:r>
    </w:p>
  </w:footnote>
  <w:footnote w:id="66">
    <w:p w14:paraId="3AD8C9F7" w14:textId="59D84CDC" w:rsidR="00FD3A56" w:rsidRPr="0058444E" w:rsidRDefault="00FD3A56">
      <w:pPr>
        <w:pStyle w:val="Voetnoottekst"/>
      </w:pPr>
      <w:r w:rsidRPr="009D1AFD">
        <w:rPr>
          <w:rStyle w:val="Voetnootmarkering"/>
        </w:rPr>
        <w:footnoteRef/>
      </w:r>
      <w:bookmarkStart w:id="43" w:name="_Hlk227578530"/>
      <w:r w:rsidR="00C91719">
        <w:t xml:space="preserve"> </w:t>
      </w:r>
      <w:r w:rsidR="00753CDB" w:rsidRPr="009D1AFD">
        <w:t>LV1871, ‘</w:t>
      </w:r>
      <w:proofErr w:type="spellStart"/>
      <w:r w:rsidR="0048536A" w:rsidRPr="009D1AFD">
        <w:t>Ist</w:t>
      </w:r>
      <w:proofErr w:type="spellEnd"/>
      <w:r w:rsidR="0048536A" w:rsidRPr="009D1AFD">
        <w:t xml:space="preserve"> die </w:t>
      </w:r>
      <w:proofErr w:type="spellStart"/>
      <w:r w:rsidR="0048536A" w:rsidRPr="009D1AFD">
        <w:t>Betriebliche</w:t>
      </w:r>
      <w:proofErr w:type="spellEnd"/>
      <w:r w:rsidR="0048536A" w:rsidRPr="009D1AFD">
        <w:t xml:space="preserve"> </w:t>
      </w:r>
      <w:proofErr w:type="spellStart"/>
      <w:r w:rsidR="0048536A" w:rsidRPr="009D1AFD">
        <w:t>Altersvorsorge</w:t>
      </w:r>
      <w:proofErr w:type="spellEnd"/>
      <w:r w:rsidR="0048536A" w:rsidRPr="009D1AFD">
        <w:t xml:space="preserve"> </w:t>
      </w:r>
      <w:proofErr w:type="spellStart"/>
      <w:r w:rsidR="0048536A" w:rsidRPr="009D1AFD">
        <w:t>Pflicht</w:t>
      </w:r>
      <w:proofErr w:type="spellEnd"/>
      <w:r w:rsidR="0048536A" w:rsidRPr="009D1AFD">
        <w:t>?’</w:t>
      </w:r>
      <w:r w:rsidR="009E0F2C" w:rsidRPr="009D1AFD">
        <w:t xml:space="preserve">, </w:t>
      </w:r>
      <w:r w:rsidR="001301D8" w:rsidRPr="009D1AFD">
        <w:rPr>
          <w:i/>
          <w:iCs/>
        </w:rPr>
        <w:t>lv</w:t>
      </w:r>
      <w:r w:rsidR="009E0F2C" w:rsidRPr="009D1AFD">
        <w:rPr>
          <w:i/>
          <w:iCs/>
        </w:rPr>
        <w:t>1871</w:t>
      </w:r>
      <w:r w:rsidR="001301D8" w:rsidRPr="009D1AFD">
        <w:rPr>
          <w:i/>
          <w:iCs/>
        </w:rPr>
        <w:t>.de</w:t>
      </w:r>
      <w:r w:rsidR="009E0F2C" w:rsidRPr="009D1AFD">
        <w:t xml:space="preserve">, </w:t>
      </w:r>
      <w:hyperlink r:id="rId3" w:history="1">
        <w:r w:rsidR="00584F07" w:rsidRPr="009D1AFD">
          <w:rPr>
            <w:rStyle w:val="Hyperlink"/>
          </w:rPr>
          <w:t>https://www.lv1871.de/betriebliche-altersvorsorge/fragen/pflicht/</w:t>
        </w:r>
      </w:hyperlink>
      <w:r w:rsidR="00584F07" w:rsidRPr="009D1AFD">
        <w:t xml:space="preserve"> (geraadpleegd op 20 april 2026.)</w:t>
      </w:r>
      <w:r w:rsidR="00BE4AF1" w:rsidRPr="009D1AFD">
        <w:t>;</w:t>
      </w:r>
      <w:r w:rsidR="0048536A" w:rsidRPr="009D1AFD">
        <w:t xml:space="preserve"> </w:t>
      </w:r>
      <w:bookmarkEnd w:id="43"/>
      <w:r w:rsidRPr="009D1AFD">
        <w:t xml:space="preserve">KNOOPS S., </w:t>
      </w:r>
      <w:r w:rsidRPr="009D1AFD">
        <w:rPr>
          <w:i/>
          <w:iCs/>
        </w:rPr>
        <w:t>De toepassing en handhaving van het gelijkheidsbeginsel bij aanvullende pensioenen,</w:t>
      </w:r>
      <w:r w:rsidR="00FF393B">
        <w:rPr>
          <w:i/>
          <w:iCs/>
        </w:rPr>
        <w:t xml:space="preserve"> </w:t>
      </w:r>
      <w:proofErr w:type="spellStart"/>
      <w:r w:rsidRPr="009D1AFD">
        <w:t>Intersentia</w:t>
      </w:r>
      <w:proofErr w:type="spellEnd"/>
      <w:r w:rsidRPr="009D1AFD">
        <w:t>, 2024, 371.</w:t>
      </w:r>
    </w:p>
  </w:footnote>
  <w:footnote w:id="67">
    <w:p w14:paraId="70AEC85D" w14:textId="1E9A18C1" w:rsidR="00493287" w:rsidRPr="00CC1D00" w:rsidRDefault="00493287">
      <w:pPr>
        <w:pStyle w:val="Voetnoottekst"/>
      </w:pPr>
      <w:r w:rsidRPr="0058444E">
        <w:rPr>
          <w:rStyle w:val="Voetnootmarkering"/>
        </w:rPr>
        <w:footnoteRef/>
      </w:r>
      <w:r w:rsidRPr="00CC1D00">
        <w:t xml:space="preserve"> Art. 3, §1, 5°, b) WAP</w:t>
      </w:r>
      <w:r w:rsidR="00861EE1" w:rsidRPr="00CC1D00">
        <w:t xml:space="preserve">; </w:t>
      </w:r>
      <w:r w:rsidR="00CC1D00" w:rsidRPr="00814DA7">
        <w:t xml:space="preserve">VAN AGGELEN E.S., </w:t>
      </w:r>
      <w:r w:rsidR="00CC1D00" w:rsidRPr="00814DA7">
        <w:rPr>
          <w:i/>
          <w:iCs/>
        </w:rPr>
        <w:t xml:space="preserve">Het personeel toepassingsgebied van aanvullende pensioenregelingen voor werknemers, </w:t>
      </w:r>
      <w:r w:rsidR="00CC1D00" w:rsidRPr="00814DA7">
        <w:t xml:space="preserve">die </w:t>
      </w:r>
      <w:proofErr w:type="spellStart"/>
      <w:r w:rsidR="00CC1D00" w:rsidRPr="00814DA7">
        <w:t>Keure</w:t>
      </w:r>
      <w:proofErr w:type="spellEnd"/>
      <w:r w:rsidR="00CC1D00" w:rsidRPr="00814DA7">
        <w:t>, 2022, 3</w:t>
      </w:r>
      <w:r w:rsidR="00CC1D00">
        <w:t>9.</w:t>
      </w:r>
    </w:p>
  </w:footnote>
  <w:footnote w:id="68">
    <w:p w14:paraId="1500D1A1" w14:textId="5A098403" w:rsidR="00EA7189" w:rsidRPr="000C561E" w:rsidRDefault="00EA7189">
      <w:pPr>
        <w:pStyle w:val="Voetnoottekst"/>
      </w:pPr>
      <w:r w:rsidRPr="0058444E">
        <w:rPr>
          <w:rStyle w:val="Voetnootmarkering"/>
        </w:rPr>
        <w:footnoteRef/>
      </w:r>
      <w:r w:rsidR="00C91719" w:rsidRPr="00965761">
        <w:t xml:space="preserve"> </w:t>
      </w:r>
      <w:r w:rsidRPr="00965761">
        <w:t xml:space="preserve">HAJDÚ J., “13. </w:t>
      </w:r>
      <w:proofErr w:type="spellStart"/>
      <w:r w:rsidRPr="000C561E">
        <w:t>Social</w:t>
      </w:r>
      <w:proofErr w:type="spellEnd"/>
      <w:r w:rsidRPr="000C561E">
        <w:t xml:space="preserve"> Partners’ </w:t>
      </w:r>
      <w:proofErr w:type="spellStart"/>
      <w:r w:rsidRPr="000C561E">
        <w:t>involvement</w:t>
      </w:r>
      <w:proofErr w:type="spellEnd"/>
      <w:r w:rsidRPr="000C561E">
        <w:t xml:space="preserve"> in </w:t>
      </w:r>
      <w:proofErr w:type="spellStart"/>
      <w:r w:rsidRPr="000C561E">
        <w:t>the</w:t>
      </w:r>
      <w:proofErr w:type="spellEnd"/>
      <w:r w:rsidRPr="000C561E">
        <w:t xml:space="preserve"> EU-level </w:t>
      </w:r>
      <w:proofErr w:type="spellStart"/>
      <w:r w:rsidRPr="000C561E">
        <w:t>social</w:t>
      </w:r>
      <w:proofErr w:type="spellEnd"/>
      <w:r w:rsidRPr="000C561E">
        <w:t xml:space="preserve"> policy issues, </w:t>
      </w:r>
      <w:proofErr w:type="spellStart"/>
      <w:r w:rsidRPr="000C561E">
        <w:t>focusing</w:t>
      </w:r>
      <w:proofErr w:type="spellEnd"/>
      <w:r w:rsidRPr="000C561E">
        <w:t xml:space="preserve"> on pensions </w:t>
      </w:r>
      <w:proofErr w:type="spellStart"/>
      <w:r w:rsidRPr="000C561E">
        <w:t>and</w:t>
      </w:r>
      <w:proofErr w:type="spellEnd"/>
      <w:r w:rsidRPr="000C561E">
        <w:t xml:space="preserve"> </w:t>
      </w:r>
      <w:proofErr w:type="spellStart"/>
      <w:r w:rsidRPr="000C561E">
        <w:t>unemployment</w:t>
      </w:r>
      <w:proofErr w:type="spellEnd"/>
      <w:r w:rsidRPr="000C561E">
        <w:t xml:space="preserve">” in TER HAAR B. en KUN A., </w:t>
      </w:r>
      <w:r w:rsidRPr="000C561E">
        <w:rPr>
          <w:i/>
          <w:iCs/>
        </w:rPr>
        <w:t xml:space="preserve">EU </w:t>
      </w:r>
      <w:proofErr w:type="spellStart"/>
      <w:r w:rsidRPr="000C561E">
        <w:rPr>
          <w:i/>
          <w:iCs/>
        </w:rPr>
        <w:t>collective</w:t>
      </w:r>
      <w:proofErr w:type="spellEnd"/>
      <w:r w:rsidRPr="000C561E">
        <w:rPr>
          <w:i/>
          <w:iCs/>
        </w:rPr>
        <w:t xml:space="preserve"> </w:t>
      </w:r>
      <w:proofErr w:type="spellStart"/>
      <w:r w:rsidRPr="000C561E">
        <w:rPr>
          <w:i/>
          <w:iCs/>
        </w:rPr>
        <w:t>labour</w:t>
      </w:r>
      <w:proofErr w:type="spellEnd"/>
      <w:r w:rsidRPr="000C561E">
        <w:rPr>
          <w:i/>
          <w:iCs/>
        </w:rPr>
        <w:t xml:space="preserve"> </w:t>
      </w:r>
      <w:proofErr w:type="spellStart"/>
      <w:r w:rsidRPr="000C561E">
        <w:rPr>
          <w:i/>
          <w:iCs/>
        </w:rPr>
        <w:t>law</w:t>
      </w:r>
      <w:proofErr w:type="spellEnd"/>
      <w:r w:rsidRPr="000C561E">
        <w:rPr>
          <w:i/>
          <w:iCs/>
        </w:rPr>
        <w:t xml:space="preserve">, </w:t>
      </w:r>
      <w:proofErr w:type="spellStart"/>
      <w:r w:rsidRPr="000C561E">
        <w:t>Cheltenham</w:t>
      </w:r>
      <w:proofErr w:type="spellEnd"/>
      <w:r w:rsidRPr="000C561E">
        <w:t xml:space="preserve">, Edward </w:t>
      </w:r>
      <w:proofErr w:type="spellStart"/>
      <w:r w:rsidRPr="000C561E">
        <w:t>Elgar</w:t>
      </w:r>
      <w:proofErr w:type="spellEnd"/>
      <w:r w:rsidRPr="000C561E">
        <w:t>, 2021, 215</w:t>
      </w:r>
      <w:r w:rsidR="000C561E" w:rsidRPr="000C561E">
        <w:t xml:space="preserve">; </w:t>
      </w:r>
      <w:r w:rsidR="000C561E" w:rsidRPr="00814DA7">
        <w:t xml:space="preserve">VAN AGGELEN E.S., </w:t>
      </w:r>
      <w:r w:rsidR="000C561E" w:rsidRPr="00814DA7">
        <w:rPr>
          <w:i/>
          <w:iCs/>
        </w:rPr>
        <w:t xml:space="preserve">Het personeel toepassingsgebied van aanvullende pensioenregelingen voor werknemers, </w:t>
      </w:r>
      <w:r w:rsidR="000C561E" w:rsidRPr="00814DA7">
        <w:t xml:space="preserve">die </w:t>
      </w:r>
      <w:proofErr w:type="spellStart"/>
      <w:r w:rsidR="000C561E" w:rsidRPr="00814DA7">
        <w:t>Keure</w:t>
      </w:r>
      <w:proofErr w:type="spellEnd"/>
      <w:r w:rsidR="000C561E" w:rsidRPr="00814DA7">
        <w:t>, 2022, 3</w:t>
      </w:r>
      <w:r w:rsidR="000C561E">
        <w:t>9</w:t>
      </w:r>
      <w:r w:rsidR="00E13AFF">
        <w:t>.</w:t>
      </w:r>
    </w:p>
  </w:footnote>
  <w:footnote w:id="69">
    <w:p w14:paraId="533D4113" w14:textId="3A1A5D1A" w:rsidR="000570A2" w:rsidRPr="005A0CF2" w:rsidRDefault="000570A2">
      <w:pPr>
        <w:pStyle w:val="Voetnoottekst"/>
      </w:pPr>
      <w:r w:rsidRPr="0058444E">
        <w:rPr>
          <w:rStyle w:val="Voetnootmarkering"/>
        </w:rPr>
        <w:footnoteRef/>
      </w:r>
      <w:bookmarkStart w:id="46" w:name="_Hlk225016009"/>
      <w:r w:rsidR="00C91719">
        <w:t xml:space="preserve"> </w:t>
      </w:r>
      <w:r w:rsidRPr="00AC7B89">
        <w:t xml:space="preserve">PETRY V. en DE VREESE J., </w:t>
      </w:r>
      <w:r w:rsidR="00AC7B89" w:rsidRPr="00AC7B89">
        <w:t>‘</w:t>
      </w:r>
      <w:r w:rsidRPr="00AC7B89">
        <w:t xml:space="preserve">Aanvullende pensioenen voor werknemers: een tango met </w:t>
      </w:r>
      <w:proofErr w:type="spellStart"/>
      <w:r w:rsidRPr="00AC7B89">
        <w:t>drie</w:t>
      </w:r>
      <w:r w:rsidR="00AC7B89" w:rsidRPr="00AC7B89">
        <w:t>’</w:t>
      </w:r>
      <w:r w:rsidRPr="00AC7B89">
        <w:t>in</w:t>
      </w:r>
      <w:proofErr w:type="spellEnd"/>
      <w:r w:rsidRPr="00AC7B89">
        <w:t xml:space="preserve"> VAN GYSEGEM J. (ed.), </w:t>
      </w:r>
      <w:r w:rsidRPr="005A0CF2">
        <w:rPr>
          <w:i/>
          <w:iCs/>
        </w:rPr>
        <w:t xml:space="preserve">De Wet Aanvullende Pensioenen is 10 jaar oud, </w:t>
      </w:r>
      <w:r w:rsidRPr="005A0CF2">
        <w:t>Kluwer, 2014, 14</w:t>
      </w:r>
      <w:bookmarkEnd w:id="46"/>
      <w:r w:rsidR="00FA0DC4">
        <w:t xml:space="preserve">; EECKLOO K., ‘Categoriale selectiviteit in de aanvullende sociale verzekeringen. De juridische houdbaarheid en rechtvaardiging van beroepscategorieën in de aanvullende sociale verzekeringen.’, </w:t>
      </w:r>
      <w:r w:rsidR="00FA0DC4">
        <w:rPr>
          <w:i/>
          <w:iCs/>
        </w:rPr>
        <w:t xml:space="preserve">Jura </w:t>
      </w:r>
      <w:proofErr w:type="spellStart"/>
      <w:r w:rsidR="00FA0DC4">
        <w:rPr>
          <w:i/>
          <w:iCs/>
        </w:rPr>
        <w:t>Falc</w:t>
      </w:r>
      <w:proofErr w:type="spellEnd"/>
      <w:r w:rsidR="00FA0DC4">
        <w:rPr>
          <w:i/>
          <w:iCs/>
        </w:rPr>
        <w:t>.</w:t>
      </w:r>
      <w:r w:rsidR="00FA0DC4">
        <w:t xml:space="preserve"> 1998-1999, nr. 3, 3</w:t>
      </w:r>
      <w:r w:rsidR="00B73DB1">
        <w:t>53.</w:t>
      </w:r>
    </w:p>
  </w:footnote>
  <w:footnote w:id="70">
    <w:p w14:paraId="5D0A0189" w14:textId="20728B82" w:rsidR="00EB41AD" w:rsidRPr="0058444E" w:rsidRDefault="00EB41AD" w:rsidP="00EB41AD">
      <w:pPr>
        <w:pStyle w:val="Voetnoottekst"/>
      </w:pPr>
      <w:r w:rsidRPr="005A0CF2">
        <w:rPr>
          <w:rStyle w:val="Voetnootmarkering"/>
        </w:rPr>
        <w:footnoteRef/>
      </w:r>
      <w:bookmarkStart w:id="47" w:name="_Hlk225016052"/>
      <w:r w:rsidR="00C91719">
        <w:t xml:space="preserve"> </w:t>
      </w:r>
      <w:r w:rsidRPr="005A0CF2">
        <w:t xml:space="preserve">STEVENS Y., ‘Het pensioenreglement als rechtsbron van aanvullende pensioenen’, </w:t>
      </w:r>
      <w:r w:rsidRPr="005A0CF2">
        <w:rPr>
          <w:i/>
          <w:iCs/>
        </w:rPr>
        <w:t>TSR</w:t>
      </w:r>
      <w:r w:rsidRPr="005A0CF2">
        <w:t xml:space="preserve"> 2017/1-2, 504; </w:t>
      </w:r>
      <w:bookmarkStart w:id="48" w:name="_Hlk225016072"/>
      <w:bookmarkEnd w:id="47"/>
      <w:r w:rsidRPr="005A0CF2">
        <w:t xml:space="preserve">HENDRICKX C., </w:t>
      </w:r>
      <w:r w:rsidRPr="005A0CF2">
        <w:rPr>
          <w:i/>
          <w:iCs/>
        </w:rPr>
        <w:t>Aanvullende pensioenen : Een fiscaal-juridische analyse vanuit Belgisch en Europees perspectief,</w:t>
      </w:r>
      <w:r w:rsidRPr="005A0CF2">
        <w:t xml:space="preserve"> </w:t>
      </w:r>
      <w:proofErr w:type="spellStart"/>
      <w:r w:rsidRPr="005A0CF2">
        <w:t>Larcier</w:t>
      </w:r>
      <w:proofErr w:type="spellEnd"/>
      <w:r w:rsidRPr="005A0CF2">
        <w:t>, 2018, 1.</w:t>
      </w:r>
      <w:bookmarkEnd w:id="48"/>
    </w:p>
  </w:footnote>
  <w:footnote w:id="71">
    <w:p w14:paraId="63E9BA30" w14:textId="5B78D380" w:rsidR="00EB41AD" w:rsidRPr="0058444E" w:rsidRDefault="00EB41AD" w:rsidP="00EB41AD">
      <w:pPr>
        <w:pStyle w:val="Voetnoottekst"/>
      </w:pPr>
      <w:r w:rsidRPr="0058444E">
        <w:rPr>
          <w:rStyle w:val="Voetnootmarkering"/>
        </w:rPr>
        <w:footnoteRef/>
      </w:r>
      <w:r w:rsidR="008D67BF">
        <w:t xml:space="preserve"> </w:t>
      </w:r>
      <w:r w:rsidRPr="00BE1EC1">
        <w:t xml:space="preserve">Wet van 6 april betreffende de aanvullende pensioenen, </w:t>
      </w:r>
      <w:r w:rsidRPr="00BE1EC1">
        <w:rPr>
          <w:i/>
          <w:iCs/>
        </w:rPr>
        <w:t xml:space="preserve">BS </w:t>
      </w:r>
      <w:r w:rsidRPr="00BE1EC1">
        <w:t xml:space="preserve">29 april 1994; </w:t>
      </w:r>
      <w:r w:rsidR="00D45D52">
        <w:t xml:space="preserve">EECKLOO K., ‘Categoriale selectiviteit in de aanvullende sociale verzekeringen. De juridische houdbaarheid en rechtvaardiging van beroepscategorieën in de aanvullende sociale verzekeringen.’, </w:t>
      </w:r>
      <w:r w:rsidR="00D45D52">
        <w:rPr>
          <w:i/>
          <w:iCs/>
        </w:rPr>
        <w:t xml:space="preserve">Jura </w:t>
      </w:r>
      <w:proofErr w:type="spellStart"/>
      <w:r w:rsidR="00D45D52">
        <w:rPr>
          <w:i/>
          <w:iCs/>
        </w:rPr>
        <w:t>Falc</w:t>
      </w:r>
      <w:proofErr w:type="spellEnd"/>
      <w:r w:rsidR="00D45D52">
        <w:rPr>
          <w:i/>
          <w:iCs/>
        </w:rPr>
        <w:t>.</w:t>
      </w:r>
      <w:r w:rsidR="00D45D52">
        <w:t xml:space="preserve"> 1998-1999, nr. 3, 3</w:t>
      </w:r>
      <w:r w:rsidR="003F497C">
        <w:t xml:space="preserve">53; </w:t>
      </w:r>
      <w:r w:rsidRPr="00BE1EC1">
        <w:t xml:space="preserve">MERLA C. en LAEREMANS E., </w:t>
      </w:r>
      <w:r w:rsidRPr="00BE1EC1">
        <w:rPr>
          <w:i/>
          <w:iCs/>
        </w:rPr>
        <w:t>De aanvullende pensioenen voor werknemers,</w:t>
      </w:r>
      <w:r w:rsidRPr="00BE1EC1">
        <w:t xml:space="preserve"> Wolters Kluwer, 2019, 35; STEVENS Y., ‘Het pensioenreglement als rechtsbron van aanvullende pensioenen’, </w:t>
      </w:r>
      <w:r w:rsidRPr="00BE1EC1">
        <w:rPr>
          <w:i/>
          <w:iCs/>
        </w:rPr>
        <w:t>TSR</w:t>
      </w:r>
      <w:r w:rsidRPr="00BE1EC1">
        <w:t xml:space="preserve"> 2017/1-2, 504.</w:t>
      </w:r>
    </w:p>
  </w:footnote>
  <w:footnote w:id="72">
    <w:p w14:paraId="18989FFA" w14:textId="4556B841" w:rsidR="00EB41AD" w:rsidRPr="00AE0592" w:rsidRDefault="00EB41AD" w:rsidP="00EB41AD">
      <w:pPr>
        <w:pStyle w:val="Voetnoottekst"/>
        <w:rPr>
          <w:lang w:val="fr-BE"/>
        </w:rPr>
      </w:pPr>
      <w:r w:rsidRPr="0058444E">
        <w:rPr>
          <w:rStyle w:val="Voetnootmarkering"/>
        </w:rPr>
        <w:footnoteRef/>
      </w:r>
      <w:r w:rsidR="008D67BF">
        <w:rPr>
          <w:lang w:val="fr-BE"/>
        </w:rPr>
        <w:t xml:space="preserve"> </w:t>
      </w:r>
      <w:r w:rsidRPr="00D96EB1">
        <w:rPr>
          <w:lang w:val="fr-BE"/>
        </w:rPr>
        <w:t xml:space="preserve">DEVOET C., </w:t>
      </w:r>
      <w:r w:rsidRPr="00D96EB1">
        <w:rPr>
          <w:i/>
          <w:iCs/>
          <w:lang w:val="fr-BE"/>
        </w:rPr>
        <w:t>Répertoire pratique du droit Belge: Pensions complémentaires professionnelles (2</w:t>
      </w:r>
      <w:r w:rsidRPr="00D96EB1">
        <w:rPr>
          <w:i/>
          <w:iCs/>
          <w:vertAlign w:val="superscript"/>
          <w:lang w:val="fr-BE"/>
        </w:rPr>
        <w:t>e</w:t>
      </w:r>
      <w:r w:rsidRPr="00D96EB1">
        <w:rPr>
          <w:i/>
          <w:iCs/>
          <w:lang w:val="fr-BE"/>
        </w:rPr>
        <w:t xml:space="preserve"> édition refondue),</w:t>
      </w:r>
      <w:r w:rsidRPr="00D96EB1">
        <w:rPr>
          <w:lang w:val="fr-BE"/>
        </w:rPr>
        <w:t xml:space="preserve"> Larcier, 2020, 27; STEVENS Y., ‘Het </w:t>
      </w:r>
      <w:proofErr w:type="spellStart"/>
      <w:r w:rsidRPr="00D96EB1">
        <w:rPr>
          <w:lang w:val="fr-BE"/>
        </w:rPr>
        <w:t>pensioenreglement</w:t>
      </w:r>
      <w:proofErr w:type="spellEnd"/>
      <w:r w:rsidRPr="00D96EB1">
        <w:rPr>
          <w:lang w:val="fr-BE"/>
        </w:rPr>
        <w:t xml:space="preserve"> </w:t>
      </w:r>
      <w:proofErr w:type="spellStart"/>
      <w:r w:rsidRPr="00D96EB1">
        <w:rPr>
          <w:lang w:val="fr-BE"/>
        </w:rPr>
        <w:t>als</w:t>
      </w:r>
      <w:proofErr w:type="spellEnd"/>
      <w:r w:rsidRPr="00D96EB1">
        <w:rPr>
          <w:lang w:val="fr-BE"/>
        </w:rPr>
        <w:t xml:space="preserve"> </w:t>
      </w:r>
      <w:proofErr w:type="spellStart"/>
      <w:r w:rsidRPr="00D96EB1">
        <w:rPr>
          <w:lang w:val="fr-BE"/>
        </w:rPr>
        <w:t>rechtsbron</w:t>
      </w:r>
      <w:proofErr w:type="spellEnd"/>
      <w:r w:rsidRPr="00D96EB1">
        <w:rPr>
          <w:lang w:val="fr-BE"/>
        </w:rPr>
        <w:t xml:space="preserve"> van </w:t>
      </w:r>
      <w:proofErr w:type="spellStart"/>
      <w:r w:rsidRPr="00D96EB1">
        <w:rPr>
          <w:lang w:val="fr-BE"/>
        </w:rPr>
        <w:t>aanvullende</w:t>
      </w:r>
      <w:proofErr w:type="spellEnd"/>
      <w:r w:rsidRPr="00D96EB1">
        <w:rPr>
          <w:lang w:val="fr-BE"/>
        </w:rPr>
        <w:t xml:space="preserve"> </w:t>
      </w:r>
      <w:proofErr w:type="spellStart"/>
      <w:r w:rsidRPr="00D96EB1">
        <w:rPr>
          <w:lang w:val="fr-BE"/>
        </w:rPr>
        <w:t>pensioenen</w:t>
      </w:r>
      <w:proofErr w:type="spellEnd"/>
      <w:r w:rsidRPr="00D96EB1">
        <w:rPr>
          <w:lang w:val="fr-BE"/>
        </w:rPr>
        <w:t xml:space="preserve">’, </w:t>
      </w:r>
      <w:r w:rsidRPr="00D96EB1">
        <w:rPr>
          <w:i/>
          <w:iCs/>
          <w:lang w:val="fr-BE"/>
        </w:rPr>
        <w:t>TSR</w:t>
      </w:r>
      <w:r w:rsidRPr="00D96EB1">
        <w:rPr>
          <w:lang w:val="fr-BE"/>
        </w:rPr>
        <w:t xml:space="preserve"> 2017/1-2, </w:t>
      </w:r>
      <w:r w:rsidRPr="00AE0592">
        <w:rPr>
          <w:lang w:val="fr-BE"/>
        </w:rPr>
        <w:t>504.</w:t>
      </w:r>
    </w:p>
  </w:footnote>
  <w:footnote w:id="73">
    <w:p w14:paraId="323DF9CF" w14:textId="2AE77EE4" w:rsidR="00EB41AD" w:rsidRPr="00AE0592" w:rsidRDefault="00EB41AD" w:rsidP="00EB41AD">
      <w:pPr>
        <w:pStyle w:val="Voetnoottekst"/>
      </w:pPr>
      <w:r w:rsidRPr="00AE0592">
        <w:rPr>
          <w:rStyle w:val="Voetnootmarkering"/>
        </w:rPr>
        <w:footnoteRef/>
      </w:r>
      <w:r w:rsidR="008D67BF">
        <w:t xml:space="preserve"> </w:t>
      </w:r>
      <w:r w:rsidRPr="00AE0592">
        <w:t xml:space="preserve">Artikel 1 Wet Colla; VANDENBERGEN A. en WERNIERS A. ‘Hoofdstuk 7; Inspraak van de werknemers en transparantie: moet iedereen een pensioenexpert zijn of hebben?’ in DE RIDDER C., DE VREES J., DUDEN E., PETRY V., VAN DAMME A., VANDENBERGEN A., VERMEULEN L., WERNIERS A. (ed.), </w:t>
      </w:r>
      <w:r w:rsidRPr="00AE0592">
        <w:rPr>
          <w:i/>
          <w:iCs/>
        </w:rPr>
        <w:t>De wet aanvullende pensioenen is 10 jaar oud,</w:t>
      </w:r>
      <w:r w:rsidRPr="00AE0592">
        <w:t xml:space="preserve"> Wolters Kluwer, 2014, 161.</w:t>
      </w:r>
    </w:p>
  </w:footnote>
  <w:footnote w:id="74">
    <w:p w14:paraId="0EA558B0" w14:textId="44FA91E0" w:rsidR="00EB41AD" w:rsidRPr="0058444E" w:rsidRDefault="00EB41AD" w:rsidP="00EB41AD">
      <w:pPr>
        <w:pStyle w:val="Voetnoottekst"/>
      </w:pPr>
      <w:r w:rsidRPr="00AE0592">
        <w:rPr>
          <w:rStyle w:val="Voetnootmarkering"/>
        </w:rPr>
        <w:footnoteRef/>
      </w:r>
      <w:r w:rsidR="00926430">
        <w:t xml:space="preserve"> </w:t>
      </w:r>
      <w:r w:rsidRPr="00AE0592">
        <w:t xml:space="preserve">VANDENBERGEN A. en WERNIERS A. ‘Hoofdstuk 7; Inspraak van de werknemers en transparantie: moet iedereen een pensioenexpert zijn of hebben?’ in DE RIDDER C., DE VREES J., DUDEN E., PETRY V., VAN DAMME A., VANDENBERGEN A., VERMEULEN L., WERNIERS A. (ed.), </w:t>
      </w:r>
      <w:r w:rsidRPr="00AE0592">
        <w:rPr>
          <w:i/>
          <w:iCs/>
        </w:rPr>
        <w:t>De wet aanvullende pensioenen is 10 jaar oud,</w:t>
      </w:r>
      <w:r w:rsidRPr="00AE0592">
        <w:t xml:space="preserve"> Wolters Kluwer, 2014, 161.</w:t>
      </w:r>
    </w:p>
  </w:footnote>
  <w:footnote w:id="75">
    <w:p w14:paraId="78480D49" w14:textId="5BBB1B6F" w:rsidR="00EB41AD" w:rsidRPr="00C130DD" w:rsidRDefault="00EB41AD" w:rsidP="00EB41AD">
      <w:pPr>
        <w:pStyle w:val="Voetnoottekst"/>
      </w:pPr>
      <w:r w:rsidRPr="0058444E">
        <w:rPr>
          <w:rStyle w:val="Voetnootmarkering"/>
        </w:rPr>
        <w:footnoteRef/>
      </w:r>
      <w:r w:rsidR="00926430">
        <w:t xml:space="preserve"> </w:t>
      </w:r>
      <w:r w:rsidRPr="00AE0592">
        <w:t xml:space="preserve">DE BRABANTER V., GIESELINK G., PERTRY V., ROELS P en STEVENS Y., </w:t>
      </w:r>
      <w:r w:rsidRPr="00AE0592">
        <w:rPr>
          <w:i/>
          <w:iCs/>
        </w:rPr>
        <w:t xml:space="preserve">Aanvullende pensioenen voor werknemers, </w:t>
      </w:r>
      <w:r w:rsidRPr="00AE0592">
        <w:t xml:space="preserve">Mechelen, Kluwer, 2004, 88; STEVENS Y., ‘Het pensioenreglement als rechtsbron van aanvullende </w:t>
      </w:r>
      <w:r w:rsidRPr="00C130DD">
        <w:t xml:space="preserve">pensioenen’, </w:t>
      </w:r>
      <w:r w:rsidRPr="00C130DD">
        <w:rPr>
          <w:i/>
          <w:iCs/>
        </w:rPr>
        <w:t>TSR</w:t>
      </w:r>
      <w:r w:rsidRPr="00C130DD">
        <w:t xml:space="preserve"> 2017/1-2, 504.</w:t>
      </w:r>
    </w:p>
  </w:footnote>
  <w:footnote w:id="76">
    <w:p w14:paraId="7F328FF1" w14:textId="34186218" w:rsidR="00EB41AD" w:rsidRPr="0058444E" w:rsidRDefault="00EB41AD" w:rsidP="00EB41AD">
      <w:pPr>
        <w:pStyle w:val="Voetnoottekst"/>
      </w:pPr>
      <w:r w:rsidRPr="00C130DD">
        <w:rPr>
          <w:rStyle w:val="Voetnootmarkering"/>
        </w:rPr>
        <w:footnoteRef/>
      </w:r>
      <w:r w:rsidR="00926430">
        <w:t xml:space="preserve"> </w:t>
      </w:r>
      <w:r w:rsidRPr="00C130DD">
        <w:t xml:space="preserve">KNOOPS S., </w:t>
      </w:r>
      <w:r w:rsidRPr="00C130DD">
        <w:rPr>
          <w:i/>
          <w:iCs/>
        </w:rPr>
        <w:t>De toepassing en handhaving van het gelijkheidsbeginsel bij aanvullende pensioenen,</w:t>
      </w:r>
      <w:r w:rsidRPr="00C130DD">
        <w:t xml:space="preserve"> </w:t>
      </w:r>
      <w:proofErr w:type="spellStart"/>
      <w:r w:rsidRPr="00C130DD">
        <w:t>Intersentia</w:t>
      </w:r>
      <w:proofErr w:type="spellEnd"/>
      <w:r w:rsidRPr="00C130DD">
        <w:t>, 2024, 371.</w:t>
      </w:r>
    </w:p>
  </w:footnote>
  <w:footnote w:id="77">
    <w:p w14:paraId="51C91C71" w14:textId="6FA6B021" w:rsidR="00EB41AD" w:rsidRPr="00CD4863" w:rsidRDefault="00EB41AD" w:rsidP="00EB41AD">
      <w:pPr>
        <w:pStyle w:val="Voetnoottekst"/>
      </w:pPr>
      <w:r w:rsidRPr="00CD4863">
        <w:rPr>
          <w:rStyle w:val="Voetnootmarkering"/>
        </w:rPr>
        <w:footnoteRef/>
      </w:r>
      <w:r w:rsidR="00323FDB">
        <w:t xml:space="preserve"> </w:t>
      </w:r>
      <w:r w:rsidRPr="00CD4863">
        <w:t>VAN LIMBERGHEN G., ‘In min of in meer: wettelijke en aanvullende pensioenen’ in VAN EECKHOUTTE W. en RIGAUX M. (</w:t>
      </w:r>
      <w:proofErr w:type="spellStart"/>
      <w:r w:rsidRPr="00CD4863">
        <w:t>eds</w:t>
      </w:r>
      <w:proofErr w:type="spellEnd"/>
      <w:r w:rsidRPr="00CD4863">
        <w:t xml:space="preserve">.), </w:t>
      </w:r>
      <w:r w:rsidRPr="00CD4863">
        <w:rPr>
          <w:i/>
          <w:iCs/>
        </w:rPr>
        <w:t xml:space="preserve">Sociaal recht: niets dan uitdagingen, </w:t>
      </w:r>
      <w:r w:rsidRPr="00CD4863">
        <w:t xml:space="preserve">postuniversitaire cyclus W. </w:t>
      </w:r>
      <w:proofErr w:type="spellStart"/>
      <w:r w:rsidRPr="00CD4863">
        <w:t>Delva</w:t>
      </w:r>
      <w:proofErr w:type="spellEnd"/>
      <w:r w:rsidRPr="00CD4863">
        <w:t xml:space="preserve"> 1995-1996, </w:t>
      </w:r>
      <w:proofErr w:type="spellStart"/>
      <w:r w:rsidRPr="00CD4863">
        <w:t>Mys</w:t>
      </w:r>
      <w:proofErr w:type="spellEnd"/>
      <w:r w:rsidRPr="00CD4863">
        <w:t xml:space="preserve"> en </w:t>
      </w:r>
      <w:proofErr w:type="spellStart"/>
      <w:r w:rsidRPr="00CD4863">
        <w:t>Breesch</w:t>
      </w:r>
      <w:proofErr w:type="spellEnd"/>
      <w:r w:rsidRPr="00CD4863">
        <w:t xml:space="preserve"> 1996, 609.</w:t>
      </w:r>
    </w:p>
  </w:footnote>
  <w:footnote w:id="78">
    <w:p w14:paraId="2B54F9B0" w14:textId="68BFCFD5" w:rsidR="00EB41AD" w:rsidRPr="00CD4863" w:rsidRDefault="00EB41AD" w:rsidP="00EB41AD">
      <w:pPr>
        <w:pStyle w:val="Voetnoottekst"/>
      </w:pPr>
      <w:r w:rsidRPr="00CD4863">
        <w:rPr>
          <w:rStyle w:val="Voetnootmarkering"/>
        </w:rPr>
        <w:footnoteRef/>
      </w:r>
      <w:r w:rsidR="00323FDB">
        <w:t xml:space="preserve"> </w:t>
      </w:r>
      <w:r w:rsidRPr="00CD4863">
        <w:t xml:space="preserve">STEVENS Y. en VAN BUGGENHOUT B., ‘Gelijke beloning en aanvullende regelingen voor sociale zekerheid’, in VANACHTER O. (ed.), </w:t>
      </w:r>
      <w:r w:rsidRPr="00CD4863">
        <w:rPr>
          <w:i/>
          <w:iCs/>
        </w:rPr>
        <w:t>Gelijke behandeling en arbeidsverhoudingen,</w:t>
      </w:r>
      <w:r w:rsidRPr="00CD4863">
        <w:t xml:space="preserve"> </w:t>
      </w:r>
      <w:proofErr w:type="spellStart"/>
      <w:r w:rsidRPr="00CD4863">
        <w:t>Intersentia</w:t>
      </w:r>
      <w:proofErr w:type="spellEnd"/>
      <w:r w:rsidRPr="00CD4863">
        <w:t>, 1999, 120-121.</w:t>
      </w:r>
    </w:p>
  </w:footnote>
  <w:footnote w:id="79">
    <w:p w14:paraId="75FB9838" w14:textId="2195034F" w:rsidR="00EB41AD" w:rsidRPr="0058444E" w:rsidRDefault="00EB41AD" w:rsidP="00EB41AD">
      <w:pPr>
        <w:pStyle w:val="Voetnoottekst"/>
      </w:pPr>
      <w:r w:rsidRPr="00CD4863">
        <w:rPr>
          <w:rStyle w:val="Voetnootmarkering"/>
        </w:rPr>
        <w:footnoteRef/>
      </w:r>
      <w:r w:rsidR="00323FDB">
        <w:t xml:space="preserve"> </w:t>
      </w:r>
      <w:r w:rsidRPr="00CD4863">
        <w:t xml:space="preserve">EECKLOO K., ‘Categorale selectiviteit in de aanvullende sociale verzekeringen. De juridische houdbaarheid en rechtvaardiging van beroepscategorieën in de aanvullende sociale verzekeringen’, </w:t>
      </w:r>
      <w:r w:rsidRPr="00CD4863">
        <w:rPr>
          <w:i/>
          <w:iCs/>
        </w:rPr>
        <w:t xml:space="preserve">Jura </w:t>
      </w:r>
      <w:proofErr w:type="spellStart"/>
      <w:r w:rsidRPr="00CD4863">
        <w:rPr>
          <w:i/>
          <w:iCs/>
        </w:rPr>
        <w:t>Falc</w:t>
      </w:r>
      <w:proofErr w:type="spellEnd"/>
      <w:r w:rsidRPr="00CD4863">
        <w:rPr>
          <w:i/>
          <w:iCs/>
        </w:rPr>
        <w:t xml:space="preserve">. </w:t>
      </w:r>
      <w:r w:rsidRPr="00CD4863">
        <w:t>1998-</w:t>
      </w:r>
      <w:r w:rsidR="00CD4863" w:rsidRPr="00CD4863">
        <w:t>19</w:t>
      </w:r>
      <w:r w:rsidRPr="00CD4863">
        <w:t>99, jg. 35, nr. 3, 348</w:t>
      </w:r>
      <w:r w:rsidR="00CD4863" w:rsidRPr="00CD4863">
        <w:t>.</w:t>
      </w:r>
    </w:p>
  </w:footnote>
  <w:footnote w:id="80">
    <w:p w14:paraId="7170511E" w14:textId="6CACBADF" w:rsidR="00762331" w:rsidRPr="0058444E" w:rsidRDefault="00762331">
      <w:pPr>
        <w:pStyle w:val="Voetnoottekst"/>
      </w:pPr>
      <w:r w:rsidRPr="00F13588">
        <w:rPr>
          <w:rStyle w:val="Voetnootmarkering"/>
        </w:rPr>
        <w:footnoteRef/>
      </w:r>
      <w:r w:rsidR="00323FDB">
        <w:t xml:space="preserve"> </w:t>
      </w:r>
      <w:r w:rsidRPr="00F13588">
        <w:t xml:space="preserve">DE BRABANTER V., GIESELINCK G., PETRY V., ROELS P. en STEVENS Y., </w:t>
      </w:r>
      <w:r w:rsidRPr="00F13588">
        <w:rPr>
          <w:i/>
          <w:iCs/>
        </w:rPr>
        <w:t>Aanvullende pensioenen voor werknemers,</w:t>
      </w:r>
      <w:r w:rsidRPr="00F13588">
        <w:t xml:space="preserve"> Kluwer, 2004, 35</w:t>
      </w:r>
      <w:r w:rsidR="00F13588" w:rsidRPr="00F13588">
        <w:t>.</w:t>
      </w:r>
      <w:r w:rsidRPr="00F13588">
        <w:t xml:space="preserve"> </w:t>
      </w:r>
    </w:p>
  </w:footnote>
  <w:footnote w:id="81">
    <w:p w14:paraId="4BBC6201" w14:textId="7E4832C6" w:rsidR="005C6FF1" w:rsidRPr="0058444E" w:rsidRDefault="005C6FF1">
      <w:pPr>
        <w:pStyle w:val="Voetnoottekst"/>
      </w:pPr>
      <w:r w:rsidRPr="009D08E6">
        <w:rPr>
          <w:rStyle w:val="Voetnootmarkering"/>
        </w:rPr>
        <w:footnoteRef/>
      </w:r>
      <w:r w:rsidR="00323FDB">
        <w:t xml:space="preserve"> </w:t>
      </w:r>
      <w:r w:rsidRPr="009D08E6">
        <w:t xml:space="preserve">KNOOPS S., </w:t>
      </w:r>
      <w:r w:rsidRPr="009D08E6">
        <w:rPr>
          <w:i/>
          <w:iCs/>
        </w:rPr>
        <w:t>De toepassing en handhaving van het gelijkheidsbeginsel bij aanvullende pensioenen,</w:t>
      </w:r>
      <w:r w:rsidRPr="009D08E6">
        <w:t xml:space="preserve"> </w:t>
      </w:r>
      <w:proofErr w:type="spellStart"/>
      <w:r w:rsidRPr="009D08E6">
        <w:t>Intersentia</w:t>
      </w:r>
      <w:proofErr w:type="spellEnd"/>
      <w:r w:rsidRPr="009D08E6">
        <w:t>, 2024, 34</w:t>
      </w:r>
      <w:r w:rsidR="007D59C0" w:rsidRPr="009D08E6">
        <w:t>.</w:t>
      </w:r>
    </w:p>
  </w:footnote>
  <w:footnote w:id="82">
    <w:p w14:paraId="187D756B" w14:textId="398A00A9" w:rsidR="00541CA3" w:rsidRPr="0058444E" w:rsidRDefault="00541CA3">
      <w:pPr>
        <w:pStyle w:val="Voetnoottekst"/>
      </w:pPr>
      <w:r w:rsidRPr="0058444E">
        <w:rPr>
          <w:rStyle w:val="Voetnootmarkering"/>
        </w:rPr>
        <w:footnoteRef/>
      </w:r>
      <w:r w:rsidR="00323FDB">
        <w:t xml:space="preserve"> </w:t>
      </w:r>
      <w:r w:rsidR="00F06B61" w:rsidRPr="00C50366">
        <w:t>Art. 17 en 19 WAP;</w:t>
      </w:r>
    </w:p>
  </w:footnote>
  <w:footnote w:id="83">
    <w:p w14:paraId="15ABD9B3" w14:textId="5BB0FA3F" w:rsidR="00081DB7" w:rsidRPr="0058444E" w:rsidRDefault="00081DB7">
      <w:pPr>
        <w:pStyle w:val="Voetnoottekst"/>
      </w:pPr>
      <w:r w:rsidRPr="0058444E">
        <w:rPr>
          <w:rStyle w:val="Voetnootmarkering"/>
        </w:rPr>
        <w:footnoteRef/>
      </w:r>
      <w:r w:rsidR="007C3FFF">
        <w:t xml:space="preserve"> </w:t>
      </w:r>
      <w:r w:rsidRPr="00C50366">
        <w:t xml:space="preserve">Wetsontwerp betreffende de aanvullende pensioenen, </w:t>
      </w:r>
      <w:r w:rsidRPr="00C50366">
        <w:rPr>
          <w:i/>
          <w:iCs/>
        </w:rPr>
        <w:t xml:space="preserve"> </w:t>
      </w:r>
      <w:r w:rsidRPr="00C50366">
        <w:t>K</w:t>
      </w:r>
      <w:r w:rsidR="00C50366" w:rsidRPr="00C50366">
        <w:t>AMER</w:t>
      </w:r>
      <w:r w:rsidRPr="00C50366">
        <w:t xml:space="preserve"> 2000-2001, nr. 50-1340/001, 15-20</w:t>
      </w:r>
      <w:r w:rsidR="008F1928">
        <w:t xml:space="preserve">; </w:t>
      </w:r>
      <w:r w:rsidR="008F1928" w:rsidRPr="00814DA7">
        <w:t xml:space="preserve">VAN AGGELEN E.S., </w:t>
      </w:r>
      <w:r w:rsidR="008F1928" w:rsidRPr="00814DA7">
        <w:rPr>
          <w:i/>
          <w:iCs/>
        </w:rPr>
        <w:t xml:space="preserve">Het personeel toepassingsgebied van aanvullende pensioenregelingen voor werknemers, </w:t>
      </w:r>
      <w:r w:rsidR="008F1928" w:rsidRPr="00814DA7">
        <w:t xml:space="preserve">die </w:t>
      </w:r>
      <w:proofErr w:type="spellStart"/>
      <w:r w:rsidR="008F1928" w:rsidRPr="00814DA7">
        <w:t>Keure</w:t>
      </w:r>
      <w:proofErr w:type="spellEnd"/>
      <w:r w:rsidR="008F1928" w:rsidRPr="00814DA7">
        <w:t xml:space="preserve">, 2022, </w:t>
      </w:r>
      <w:r w:rsidR="008F1928">
        <w:t>58.</w:t>
      </w:r>
    </w:p>
  </w:footnote>
  <w:footnote w:id="84">
    <w:p w14:paraId="504B4065" w14:textId="2F7D36A7" w:rsidR="00081DB7" w:rsidRPr="0058444E" w:rsidRDefault="00081DB7">
      <w:pPr>
        <w:pStyle w:val="Voetnoottekst"/>
      </w:pPr>
      <w:r w:rsidRPr="0058444E">
        <w:rPr>
          <w:rStyle w:val="Voetnootmarkering"/>
        </w:rPr>
        <w:footnoteRef/>
      </w:r>
      <w:r w:rsidR="007C3FFF">
        <w:t xml:space="preserve"> </w:t>
      </w:r>
      <w:r w:rsidRPr="00814DA7">
        <w:t xml:space="preserve">DE BRABANTER V., GIESELINCK G., PETRY V., ROELS P. en STEVENS Y., </w:t>
      </w:r>
      <w:r w:rsidRPr="00814DA7">
        <w:rPr>
          <w:i/>
          <w:iCs/>
        </w:rPr>
        <w:t xml:space="preserve">Aanvullende pensioenen voor werknemers, </w:t>
      </w:r>
      <w:r w:rsidRPr="00814DA7">
        <w:t xml:space="preserve">Mechelen, Kluwer, 2004, 187; VAN AGGELEN E.S., </w:t>
      </w:r>
      <w:r w:rsidRPr="00814DA7">
        <w:rPr>
          <w:i/>
          <w:iCs/>
        </w:rPr>
        <w:t xml:space="preserve">Het personeel toepassingsgebied van aanvullende pensioenregelingen voor werknemers, </w:t>
      </w:r>
      <w:r w:rsidR="00814DA7" w:rsidRPr="00814DA7">
        <w:t>d</w:t>
      </w:r>
      <w:r w:rsidRPr="00814DA7">
        <w:t xml:space="preserve">ie </w:t>
      </w:r>
      <w:proofErr w:type="spellStart"/>
      <w:r w:rsidRPr="00814DA7">
        <w:t>Keure</w:t>
      </w:r>
      <w:proofErr w:type="spellEnd"/>
      <w:r w:rsidRPr="00814DA7">
        <w:t>, 2022, 38</w:t>
      </w:r>
      <w:r w:rsidR="00814DA7" w:rsidRPr="00814DA7">
        <w:t>.</w:t>
      </w:r>
    </w:p>
  </w:footnote>
  <w:footnote w:id="85">
    <w:p w14:paraId="0F1CAA0B" w14:textId="71A6707E" w:rsidR="00ED6DAD" w:rsidRPr="00F810E1" w:rsidRDefault="00ED6DAD">
      <w:pPr>
        <w:pStyle w:val="Voetnoottekst"/>
      </w:pPr>
      <w:r>
        <w:rPr>
          <w:rStyle w:val="Voetnootmarkering"/>
        </w:rPr>
        <w:footnoteRef/>
      </w:r>
      <w:r w:rsidR="007C3FFF">
        <w:t xml:space="preserve"> </w:t>
      </w:r>
      <w:r>
        <w:t>Art. 19 en art. 31 Wet van 5 december 19</w:t>
      </w:r>
      <w:r w:rsidR="00F810E1">
        <w:t xml:space="preserve">68 betreffende de collectieve arbeidsovereenkomsten en de paritaire comités, </w:t>
      </w:r>
      <w:r w:rsidR="00F810E1">
        <w:rPr>
          <w:i/>
          <w:iCs/>
        </w:rPr>
        <w:t xml:space="preserve">BS </w:t>
      </w:r>
      <w:r w:rsidR="00F810E1">
        <w:t>15 januari 1969</w:t>
      </w:r>
      <w:r w:rsidR="00857EEB">
        <w:t>.</w:t>
      </w:r>
    </w:p>
  </w:footnote>
  <w:footnote w:id="86">
    <w:p w14:paraId="7D358165" w14:textId="19368B16" w:rsidR="00620FA2" w:rsidRPr="007A2AFA" w:rsidRDefault="00620FA2">
      <w:pPr>
        <w:pStyle w:val="Voetnoottekst"/>
        <w:rPr>
          <w:i/>
          <w:iCs/>
        </w:rPr>
      </w:pPr>
      <w:r w:rsidRPr="00AC01F0">
        <w:rPr>
          <w:rStyle w:val="Voetnootmarkering"/>
        </w:rPr>
        <w:footnoteRef/>
      </w:r>
      <w:r w:rsidR="007C3FFF">
        <w:t xml:space="preserve"> </w:t>
      </w:r>
      <w:r w:rsidRPr="007A2AFA">
        <w:t>K</w:t>
      </w:r>
      <w:r w:rsidR="00ED0BA4" w:rsidRPr="007A2AFA">
        <w:t>AMER</w:t>
      </w:r>
      <w:r w:rsidRPr="007A2AFA">
        <w:t xml:space="preserve"> 2021-2022, nr. 55-2304/001, 20</w:t>
      </w:r>
      <w:r w:rsidR="00744C9F" w:rsidRPr="007A2AFA">
        <w:t>;</w:t>
      </w:r>
      <w:r w:rsidR="003E75C1" w:rsidRPr="007A2AFA">
        <w:t xml:space="preserve"> </w:t>
      </w:r>
      <w:r w:rsidR="00F75281" w:rsidRPr="00524C58">
        <w:t xml:space="preserve">KNOOPS S., ‘Het eenheidsstatuut tussen arbeiders en bedienden in aanvullende pensioenen: tijd om de eindspurt in te zetten’, </w:t>
      </w:r>
      <w:proofErr w:type="spellStart"/>
      <w:r w:rsidR="00F75281" w:rsidRPr="00524C58">
        <w:rPr>
          <w:i/>
          <w:iCs/>
        </w:rPr>
        <w:t>Soc.Kron</w:t>
      </w:r>
      <w:proofErr w:type="spellEnd"/>
      <w:r w:rsidR="00F75281" w:rsidRPr="00524C58">
        <w:rPr>
          <w:i/>
          <w:iCs/>
        </w:rPr>
        <w:t xml:space="preserve">. </w:t>
      </w:r>
      <w:r w:rsidR="00F75281" w:rsidRPr="00524C58">
        <w:t>2021, afl. 5-6, 181-203</w:t>
      </w:r>
      <w:r w:rsidR="00F75281">
        <w:t>.</w:t>
      </w:r>
    </w:p>
  </w:footnote>
  <w:footnote w:id="87">
    <w:p w14:paraId="1E7290E5" w14:textId="5C828177" w:rsidR="00CC7FE5" w:rsidRDefault="00CC7FE5">
      <w:pPr>
        <w:pStyle w:val="Voetnoottekst"/>
      </w:pPr>
      <w:r w:rsidRPr="00AC01F0">
        <w:rPr>
          <w:rStyle w:val="Voetnootmarkering"/>
        </w:rPr>
        <w:footnoteRef/>
      </w:r>
      <w:r w:rsidR="007C3FFF">
        <w:t xml:space="preserve"> </w:t>
      </w:r>
      <w:r w:rsidRPr="00AC01F0">
        <w:t>K</w:t>
      </w:r>
      <w:r w:rsidR="00AC01F0" w:rsidRPr="00AC01F0">
        <w:t>AMER</w:t>
      </w:r>
      <w:r w:rsidRPr="00AC01F0">
        <w:t xml:space="preserve"> 2021-2022, nr. 55-2304/001, 20</w:t>
      </w:r>
      <w:r w:rsidR="00AC01F0" w:rsidRPr="00AC01F0">
        <w:t>.</w:t>
      </w:r>
    </w:p>
  </w:footnote>
  <w:footnote w:id="88">
    <w:p w14:paraId="0FBD3B44" w14:textId="4672C54E" w:rsidR="00CC7FE5" w:rsidRPr="008F14FF" w:rsidRDefault="00CC7FE5">
      <w:pPr>
        <w:pStyle w:val="Voetnoottekst"/>
      </w:pPr>
      <w:r>
        <w:rPr>
          <w:rStyle w:val="Voetnootmarkering"/>
        </w:rPr>
        <w:footnoteRef/>
      </w:r>
      <w:bookmarkStart w:id="51" w:name="_Hlk223422504"/>
      <w:r w:rsidR="007C3FFF">
        <w:t xml:space="preserve"> </w:t>
      </w:r>
      <w:r w:rsidRPr="008F14FF">
        <w:t xml:space="preserve">NAR, </w:t>
      </w:r>
      <w:r w:rsidRPr="008F14FF">
        <w:rPr>
          <w:i/>
          <w:iCs/>
        </w:rPr>
        <w:t xml:space="preserve">Advies nr. 1.893 – Zitting van woensdag 12 februari 2014, </w:t>
      </w:r>
      <w:r w:rsidRPr="008F14FF">
        <w:t>12 februari 2014</w:t>
      </w:r>
      <w:bookmarkEnd w:id="51"/>
      <w:r w:rsidR="00B62559">
        <w:t>, nr. 1.893.</w:t>
      </w:r>
    </w:p>
  </w:footnote>
  <w:footnote w:id="89">
    <w:p w14:paraId="3F0D2B86" w14:textId="38E442D5" w:rsidR="00897C5B" w:rsidRDefault="00897C5B">
      <w:pPr>
        <w:pStyle w:val="Voetnoottekst"/>
      </w:pPr>
      <w:r w:rsidRPr="008F14FF">
        <w:rPr>
          <w:rStyle w:val="Voetnootmarkering"/>
        </w:rPr>
        <w:footnoteRef/>
      </w:r>
      <w:r w:rsidR="007C3FFF">
        <w:t xml:space="preserve"> </w:t>
      </w:r>
      <w:r w:rsidRPr="008F14FF">
        <w:t xml:space="preserve">NAR, </w:t>
      </w:r>
      <w:r w:rsidRPr="008F14FF">
        <w:rPr>
          <w:i/>
          <w:iCs/>
        </w:rPr>
        <w:t xml:space="preserve">Advies nr. 1.893 – Zitting van woensdag 12 februari 2014, </w:t>
      </w:r>
      <w:r w:rsidRPr="008F14FF">
        <w:t>12 februari 2014,</w:t>
      </w:r>
      <w:r w:rsidR="00B62559">
        <w:t xml:space="preserve"> nr. 1.893,</w:t>
      </w:r>
      <w:r w:rsidRPr="008F14FF">
        <w:t xml:space="preserve"> 3</w:t>
      </w:r>
      <w:r w:rsidR="008F14FF" w:rsidRPr="008F14FF">
        <w:t>.</w:t>
      </w:r>
    </w:p>
  </w:footnote>
  <w:footnote w:id="90">
    <w:p w14:paraId="6D7CA9B3" w14:textId="4CA526F2" w:rsidR="002B1477" w:rsidRPr="0058444E" w:rsidRDefault="002B1477">
      <w:pPr>
        <w:pStyle w:val="Voetnoottekst"/>
      </w:pPr>
      <w:r w:rsidRPr="0058444E">
        <w:rPr>
          <w:rStyle w:val="Voetnootmarkering"/>
        </w:rPr>
        <w:footnoteRef/>
      </w:r>
      <w:r w:rsidR="002D2AD8">
        <w:t xml:space="preserve"> </w:t>
      </w:r>
      <w:r w:rsidR="00750420">
        <w:t xml:space="preserve">Wetsontwerp eenheidsstatuut nr. 53-3399/002, 28; </w:t>
      </w:r>
      <w:r w:rsidRPr="00524C58">
        <w:t xml:space="preserve">KNOOPS S., </w:t>
      </w:r>
      <w:r w:rsidR="00524C58" w:rsidRPr="00524C58">
        <w:t>‘</w:t>
      </w:r>
      <w:r w:rsidRPr="00524C58">
        <w:t>Het eenheidsstatuut tussen arbeiders en bedienden in aanvullende pensioenen: tijd om de eindspurt in te zetten</w:t>
      </w:r>
      <w:r w:rsidR="00524C58" w:rsidRPr="00524C58">
        <w:t>’</w:t>
      </w:r>
      <w:r w:rsidRPr="00524C58">
        <w:t xml:space="preserve">, </w:t>
      </w:r>
      <w:proofErr w:type="spellStart"/>
      <w:r w:rsidRPr="00524C58">
        <w:rPr>
          <w:i/>
          <w:iCs/>
        </w:rPr>
        <w:t>Soc.Kron</w:t>
      </w:r>
      <w:proofErr w:type="spellEnd"/>
      <w:r w:rsidRPr="00524C58">
        <w:rPr>
          <w:i/>
          <w:iCs/>
        </w:rPr>
        <w:t xml:space="preserve">. </w:t>
      </w:r>
      <w:r w:rsidRPr="00524C58">
        <w:t>2021, afl. 5-6, 181-203</w:t>
      </w:r>
      <w:r w:rsidR="00524C58" w:rsidRPr="00524C58">
        <w:t>.</w:t>
      </w:r>
    </w:p>
  </w:footnote>
  <w:footnote w:id="91">
    <w:p w14:paraId="2A0AFC91" w14:textId="76D3F63D" w:rsidR="006B4609" w:rsidRPr="0058444E" w:rsidRDefault="006B4609">
      <w:pPr>
        <w:pStyle w:val="Voetnoottekst"/>
      </w:pPr>
      <w:r w:rsidRPr="006B22ED">
        <w:rPr>
          <w:rStyle w:val="Voetnootmarkering"/>
        </w:rPr>
        <w:footnoteRef/>
      </w:r>
      <w:r w:rsidR="002D2AD8">
        <w:t xml:space="preserve"> </w:t>
      </w:r>
      <w:r w:rsidRPr="006B22ED">
        <w:t xml:space="preserve">GHISLAIN S., </w:t>
      </w:r>
      <w:r w:rsidR="006B22ED" w:rsidRPr="006B22ED">
        <w:t>‘</w:t>
      </w:r>
      <w:r w:rsidRPr="006B22ED">
        <w:t>Bij</w:t>
      </w:r>
      <w:r w:rsidR="00B04260" w:rsidRPr="006B22ED">
        <w:t>lag</w:t>
      </w:r>
      <w:r w:rsidRPr="006B22ED">
        <w:t>e 5 – Proces van harmonisatie tussen arbeiders en bedienden inzake aanvullende pensioenen</w:t>
      </w:r>
      <w:r w:rsidR="006B22ED" w:rsidRPr="006B22ED">
        <w:t>’</w:t>
      </w:r>
      <w:r w:rsidRPr="006B22ED">
        <w:t xml:space="preserve"> in VAN KERREBROECK N. en VERWILGHEN M. (</w:t>
      </w:r>
      <w:proofErr w:type="spellStart"/>
      <w:r w:rsidRPr="006B22ED">
        <w:t>eds</w:t>
      </w:r>
      <w:proofErr w:type="spellEnd"/>
      <w:r w:rsidRPr="006B22ED">
        <w:t xml:space="preserve">.), </w:t>
      </w:r>
      <w:r w:rsidRPr="006B22ED">
        <w:rPr>
          <w:i/>
          <w:iCs/>
        </w:rPr>
        <w:t xml:space="preserve">De harmonisatie van het statuut arbeider en bediende, </w:t>
      </w:r>
      <w:proofErr w:type="spellStart"/>
      <w:r w:rsidRPr="006B22ED">
        <w:t>Larcier</w:t>
      </w:r>
      <w:proofErr w:type="spellEnd"/>
      <w:r w:rsidRPr="006B22ED">
        <w:t>, 2014, 280</w:t>
      </w:r>
      <w:r w:rsidR="00524C58" w:rsidRPr="006B22ED">
        <w:t>.</w:t>
      </w:r>
    </w:p>
  </w:footnote>
  <w:footnote w:id="92">
    <w:p w14:paraId="37B625C2" w14:textId="08DAD787" w:rsidR="006D7B83" w:rsidRPr="00FE23C1" w:rsidRDefault="006D7B83">
      <w:pPr>
        <w:pStyle w:val="Voetnoottekst"/>
      </w:pPr>
      <w:r>
        <w:rPr>
          <w:rStyle w:val="Voetnootmarkering"/>
        </w:rPr>
        <w:footnoteRef/>
      </w:r>
      <w:r w:rsidRPr="00FE23C1">
        <w:t xml:space="preserve"> </w:t>
      </w:r>
      <w:proofErr w:type="spellStart"/>
      <w:r w:rsidRPr="00FE23C1">
        <w:t>GwH</w:t>
      </w:r>
      <w:proofErr w:type="spellEnd"/>
      <w:r w:rsidRPr="00FE23C1">
        <w:t xml:space="preserve"> 14 november 2024, nr. 122/2024, </w:t>
      </w:r>
      <w:r w:rsidR="00FE23C1" w:rsidRPr="00FE23C1">
        <w:t xml:space="preserve">ECLI:BE:GHCC:2024:ARR.122, </w:t>
      </w:r>
      <w:r w:rsidR="00FE23C1" w:rsidRPr="00FE23C1">
        <w:rPr>
          <w:i/>
          <w:iCs/>
        </w:rPr>
        <w:t xml:space="preserve">NJW </w:t>
      </w:r>
      <w:r w:rsidR="00FE23C1" w:rsidRPr="00FE23C1">
        <w:t>2025/516,121, noot DE WILDE</w:t>
      </w:r>
      <w:r w:rsidR="00FE23C1">
        <w:t xml:space="preserve"> I.</w:t>
      </w:r>
    </w:p>
  </w:footnote>
  <w:footnote w:id="93">
    <w:p w14:paraId="4978B239" w14:textId="3C9A8AAE" w:rsidR="00AA17EC" w:rsidRPr="00D635D4" w:rsidRDefault="00AA17EC" w:rsidP="007D2484">
      <w:pPr>
        <w:rPr>
          <w:b/>
          <w:bCs/>
        </w:rPr>
      </w:pPr>
      <w:r w:rsidRPr="002D2AD8">
        <w:rPr>
          <w:rStyle w:val="Voetnootmarkering"/>
          <w:sz w:val="20"/>
          <w:szCs w:val="20"/>
        </w:rPr>
        <w:footnoteRef/>
      </w:r>
      <w:r w:rsidR="002D2AD8">
        <w:rPr>
          <w:sz w:val="20"/>
          <w:szCs w:val="20"/>
        </w:rPr>
        <w:t xml:space="preserve"> </w:t>
      </w:r>
      <w:r w:rsidRPr="006B610F">
        <w:rPr>
          <w:sz w:val="20"/>
          <w:szCs w:val="20"/>
        </w:rPr>
        <w:t>Art. 14/1 WAP</w:t>
      </w:r>
      <w:r w:rsidR="00DB3021" w:rsidRPr="006B610F">
        <w:rPr>
          <w:sz w:val="20"/>
          <w:szCs w:val="20"/>
        </w:rPr>
        <w:t xml:space="preserve">; NAR, </w:t>
      </w:r>
      <w:r w:rsidR="00DB3021" w:rsidRPr="006B610F">
        <w:rPr>
          <w:i/>
          <w:iCs/>
          <w:sz w:val="20"/>
          <w:szCs w:val="20"/>
        </w:rPr>
        <w:t xml:space="preserve">Advies nr. 1.893 – Zitting van woensdag 12 februari 2014, </w:t>
      </w:r>
      <w:r w:rsidR="00DB3021" w:rsidRPr="006B610F">
        <w:rPr>
          <w:sz w:val="20"/>
          <w:szCs w:val="20"/>
        </w:rPr>
        <w:t>12 februari 2014, 5;</w:t>
      </w:r>
      <w:r w:rsidR="007D2484" w:rsidRPr="006B610F">
        <w:rPr>
          <w:sz w:val="20"/>
          <w:szCs w:val="20"/>
        </w:rPr>
        <w:t xml:space="preserve"> DE SOMVIELE I. </w:t>
      </w:r>
      <w:r w:rsidR="007D2484" w:rsidRPr="00D635D4">
        <w:rPr>
          <w:sz w:val="20"/>
          <w:szCs w:val="20"/>
        </w:rPr>
        <w:t xml:space="preserve">en VAN DAMME A., </w:t>
      </w:r>
      <w:r w:rsidR="006B22ED" w:rsidRPr="00D635D4">
        <w:rPr>
          <w:sz w:val="20"/>
          <w:szCs w:val="20"/>
        </w:rPr>
        <w:t>‘</w:t>
      </w:r>
      <w:r w:rsidR="007D2484" w:rsidRPr="00D635D4">
        <w:rPr>
          <w:sz w:val="20"/>
          <w:szCs w:val="20"/>
        </w:rPr>
        <w:t>In 10 jaar tijd naar een eenheidsstatuut op vlak van aanvullende pensioenen</w:t>
      </w:r>
      <w:r w:rsidR="006B22ED" w:rsidRPr="00D635D4">
        <w:rPr>
          <w:sz w:val="20"/>
          <w:szCs w:val="20"/>
        </w:rPr>
        <w:t>’</w:t>
      </w:r>
      <w:r w:rsidR="007D2484" w:rsidRPr="00D635D4">
        <w:rPr>
          <w:sz w:val="20"/>
          <w:szCs w:val="20"/>
        </w:rPr>
        <w:t xml:space="preserve">, </w:t>
      </w:r>
      <w:r w:rsidR="007D2484" w:rsidRPr="00D635D4">
        <w:rPr>
          <w:i/>
          <w:iCs/>
          <w:sz w:val="20"/>
          <w:szCs w:val="20"/>
        </w:rPr>
        <w:t xml:space="preserve">Or. </w:t>
      </w:r>
      <w:r w:rsidR="007D2484" w:rsidRPr="00D635D4">
        <w:rPr>
          <w:sz w:val="20"/>
          <w:szCs w:val="20"/>
        </w:rPr>
        <w:t>2014, afl. 6, 1</w:t>
      </w:r>
      <w:r w:rsidR="009E2B43" w:rsidRPr="00D635D4">
        <w:rPr>
          <w:sz w:val="20"/>
          <w:szCs w:val="20"/>
        </w:rPr>
        <w:t>56</w:t>
      </w:r>
      <w:r w:rsidR="0083761A">
        <w:rPr>
          <w:sz w:val="20"/>
          <w:szCs w:val="20"/>
        </w:rPr>
        <w:t>.</w:t>
      </w:r>
    </w:p>
  </w:footnote>
  <w:footnote w:id="94">
    <w:p w14:paraId="12586595" w14:textId="0FC70D41" w:rsidR="00A42E34" w:rsidRPr="00D635D4" w:rsidRDefault="00A42E34">
      <w:pPr>
        <w:pStyle w:val="Voetnoottekst"/>
      </w:pPr>
      <w:r w:rsidRPr="00D635D4">
        <w:rPr>
          <w:rStyle w:val="Voetnootmarkering"/>
        </w:rPr>
        <w:footnoteRef/>
      </w:r>
      <w:r w:rsidR="002D2AD8">
        <w:t xml:space="preserve"> </w:t>
      </w:r>
      <w:r w:rsidR="008365E5" w:rsidRPr="00D635D4">
        <w:t>Art 14/3 WAP;</w:t>
      </w:r>
      <w:r w:rsidR="009E5E0E" w:rsidRPr="00D635D4">
        <w:t xml:space="preserve"> DE SOMVIELE I. en VAN DAMME A., </w:t>
      </w:r>
      <w:r w:rsidR="00D635D4" w:rsidRPr="00D635D4">
        <w:t>‘</w:t>
      </w:r>
      <w:r w:rsidR="009E5E0E" w:rsidRPr="00D635D4">
        <w:t>In 10 jaar tijd naar een eenheidsstatuut op vlak van aanvullende pensioenen</w:t>
      </w:r>
      <w:r w:rsidR="00D635D4" w:rsidRPr="00D635D4">
        <w:t>’</w:t>
      </w:r>
      <w:r w:rsidR="009E5E0E" w:rsidRPr="00D635D4">
        <w:t xml:space="preserve">, </w:t>
      </w:r>
      <w:r w:rsidR="009E5E0E" w:rsidRPr="00D635D4">
        <w:rPr>
          <w:i/>
          <w:iCs/>
        </w:rPr>
        <w:t xml:space="preserve">Or. </w:t>
      </w:r>
      <w:r w:rsidR="009E5E0E" w:rsidRPr="00D635D4">
        <w:t>2014, afl. 6, 156;</w:t>
      </w:r>
      <w:r w:rsidR="008365E5" w:rsidRPr="00D635D4">
        <w:t xml:space="preserve"> </w:t>
      </w:r>
      <w:r w:rsidR="00262731" w:rsidRPr="00262731">
        <w:t xml:space="preserve">DE WILDE I., 'Geleidelijke harmonisering onderscheid arbeiders en bedienden uit Wet Aanvullende Pensioenen niet ongrondwettig', </w:t>
      </w:r>
      <w:r w:rsidR="00262731" w:rsidRPr="00262731">
        <w:rPr>
          <w:i/>
          <w:iCs/>
        </w:rPr>
        <w:t>NJW</w:t>
      </w:r>
      <w:r w:rsidR="00262731" w:rsidRPr="00262731">
        <w:t xml:space="preserve"> 2025/516, 124</w:t>
      </w:r>
      <w:r w:rsidR="00760EDE">
        <w:t xml:space="preserve">; </w:t>
      </w:r>
      <w:r w:rsidRPr="00D635D4">
        <w:t xml:space="preserve">KNOOPS S., </w:t>
      </w:r>
      <w:r w:rsidRPr="00D635D4">
        <w:rPr>
          <w:i/>
          <w:iCs/>
        </w:rPr>
        <w:t>De toepassing en handhaving van het gelijkheidsbeginsel bij aanvullende pensioenen,</w:t>
      </w:r>
      <w:r w:rsidRPr="00D635D4">
        <w:t xml:space="preserve"> </w:t>
      </w:r>
      <w:proofErr w:type="spellStart"/>
      <w:r w:rsidRPr="00D635D4">
        <w:t>Intersentia</w:t>
      </w:r>
      <w:proofErr w:type="spellEnd"/>
      <w:r w:rsidRPr="00D635D4">
        <w:t>, 2024, 380</w:t>
      </w:r>
      <w:r w:rsidR="00D635D4" w:rsidRPr="00D635D4">
        <w:t>.</w:t>
      </w:r>
    </w:p>
  </w:footnote>
  <w:footnote w:id="95">
    <w:p w14:paraId="499DEE84" w14:textId="6D7513FA" w:rsidR="00A42E34" w:rsidRPr="00463A7F" w:rsidRDefault="00A42E34">
      <w:pPr>
        <w:pStyle w:val="Voetnoottekst"/>
        <w:rPr>
          <w:color w:val="00B050"/>
        </w:rPr>
      </w:pPr>
      <w:r w:rsidRPr="00D635D4">
        <w:rPr>
          <w:rStyle w:val="Voetnootmarkering"/>
        </w:rPr>
        <w:footnoteRef/>
      </w:r>
      <w:r w:rsidR="00806588">
        <w:t xml:space="preserve"> </w:t>
      </w:r>
      <w:r w:rsidRPr="00D635D4">
        <w:t xml:space="preserve">Art. 14/3 </w:t>
      </w:r>
      <w:r w:rsidRPr="00710E41">
        <w:t>WAP</w:t>
      </w:r>
      <w:r w:rsidR="00710E41" w:rsidRPr="00710E41">
        <w:t xml:space="preserve">; DE WILDE I., 'Geleidelijke harmonisering onderscheid arbeiders en bedienden uit Wet Aanvullende Pensioenen niet ongrondwettig', </w:t>
      </w:r>
      <w:r w:rsidR="00710E41" w:rsidRPr="00710E41">
        <w:rPr>
          <w:i/>
          <w:iCs/>
        </w:rPr>
        <w:t>NJW</w:t>
      </w:r>
      <w:r w:rsidR="00710E41" w:rsidRPr="00710E41">
        <w:t xml:space="preserve"> 2025/516, 124.</w:t>
      </w:r>
    </w:p>
  </w:footnote>
  <w:footnote w:id="96">
    <w:p w14:paraId="3566D26A" w14:textId="3F8C455F" w:rsidR="009C41A0" w:rsidRPr="00E81DE9" w:rsidRDefault="009C41A0">
      <w:pPr>
        <w:pStyle w:val="Voetnoottekst"/>
      </w:pPr>
      <w:r w:rsidRPr="00D846D5">
        <w:rPr>
          <w:rStyle w:val="Voetnootmarkering"/>
        </w:rPr>
        <w:footnoteRef/>
      </w:r>
      <w:r w:rsidR="00806588">
        <w:t xml:space="preserve"> </w:t>
      </w:r>
      <w:r w:rsidRPr="00E81DE9">
        <w:t>Art. 14/3, §1 WAP</w:t>
      </w:r>
      <w:r w:rsidR="00D846D5" w:rsidRPr="00E81DE9">
        <w:t>.</w:t>
      </w:r>
    </w:p>
  </w:footnote>
  <w:footnote w:id="97">
    <w:p w14:paraId="5B2D0A8C" w14:textId="034E288E" w:rsidR="009B566B" w:rsidRPr="00E81DE9" w:rsidRDefault="009B566B">
      <w:pPr>
        <w:pStyle w:val="Voetnoottekst"/>
      </w:pPr>
      <w:r w:rsidRPr="00E81DE9">
        <w:rPr>
          <w:rStyle w:val="Voetnootmarkering"/>
        </w:rPr>
        <w:footnoteRef/>
      </w:r>
      <w:r w:rsidR="00806588">
        <w:t xml:space="preserve"> </w:t>
      </w:r>
      <w:r w:rsidRPr="00E81DE9">
        <w:t xml:space="preserve">NAR, </w:t>
      </w:r>
      <w:r w:rsidRPr="00E81DE9">
        <w:rPr>
          <w:i/>
          <w:iCs/>
        </w:rPr>
        <w:t xml:space="preserve">Advies nr. 1.893 – Zitting van woensdag 12 februari 2014, </w:t>
      </w:r>
      <w:r w:rsidRPr="00E81DE9">
        <w:t>12 februari 2014, 7</w:t>
      </w:r>
      <w:r w:rsidR="00D846D5" w:rsidRPr="00E81DE9">
        <w:t>.</w:t>
      </w:r>
    </w:p>
  </w:footnote>
  <w:footnote w:id="98">
    <w:p w14:paraId="70A3AB99" w14:textId="23CB82CB" w:rsidR="00283FBA" w:rsidRPr="00E81DE9" w:rsidRDefault="00283FBA">
      <w:pPr>
        <w:pStyle w:val="Voetnoottekst"/>
        <w:rPr>
          <w:lang w:val="fr-BE"/>
        </w:rPr>
      </w:pPr>
      <w:r w:rsidRPr="00E81DE9">
        <w:rPr>
          <w:rStyle w:val="Voetnootmarkering"/>
        </w:rPr>
        <w:footnoteRef/>
      </w:r>
      <w:r w:rsidR="00806588">
        <w:rPr>
          <w:lang w:val="fr-BE"/>
        </w:rPr>
        <w:t xml:space="preserve"> </w:t>
      </w:r>
      <w:r w:rsidRPr="00E81DE9">
        <w:rPr>
          <w:lang w:val="fr-BE"/>
        </w:rPr>
        <w:t xml:space="preserve">DELOGNE F., </w:t>
      </w:r>
      <w:r w:rsidR="00D846D5" w:rsidRPr="00E81DE9">
        <w:rPr>
          <w:lang w:val="fr-BE"/>
        </w:rPr>
        <w:t>‘</w:t>
      </w:r>
      <w:r w:rsidRPr="00E81DE9">
        <w:rPr>
          <w:lang w:val="fr-BE"/>
        </w:rPr>
        <w:t>Régimes complémentaires de pension (2</w:t>
      </w:r>
      <w:r w:rsidRPr="00E81DE9">
        <w:rPr>
          <w:vertAlign w:val="superscript"/>
          <w:lang w:val="fr-BE"/>
        </w:rPr>
        <w:t>e</w:t>
      </w:r>
      <w:r w:rsidRPr="00E81DE9">
        <w:rPr>
          <w:lang w:val="fr-BE"/>
        </w:rPr>
        <w:t xml:space="preserve"> partie)</w:t>
      </w:r>
      <w:r w:rsidR="00D846D5" w:rsidRPr="00E81DE9">
        <w:rPr>
          <w:lang w:val="fr-BE"/>
        </w:rPr>
        <w:t>:</w:t>
      </w:r>
      <w:r w:rsidRPr="00E81DE9">
        <w:rPr>
          <w:lang w:val="fr-BE"/>
        </w:rPr>
        <w:t xml:space="preserve"> statut unique ouvriers/employés et informations des alliés sur leurs droits à pension</w:t>
      </w:r>
      <w:r w:rsidR="00D846D5" w:rsidRPr="00E81DE9">
        <w:rPr>
          <w:lang w:val="fr-BE"/>
        </w:rPr>
        <w:t>’</w:t>
      </w:r>
      <w:r w:rsidRPr="00E81DE9">
        <w:rPr>
          <w:lang w:val="fr-BE"/>
        </w:rPr>
        <w:t xml:space="preserve">, </w:t>
      </w:r>
      <w:r w:rsidR="00185291" w:rsidRPr="00E81DE9">
        <w:rPr>
          <w:i/>
          <w:iCs/>
          <w:lang w:val="fr-BE"/>
        </w:rPr>
        <w:t xml:space="preserve">For. </w:t>
      </w:r>
      <w:proofErr w:type="spellStart"/>
      <w:r w:rsidR="00185291" w:rsidRPr="00E81DE9">
        <w:rPr>
          <w:i/>
          <w:iCs/>
          <w:lang w:val="fr-BE"/>
        </w:rPr>
        <w:t>Ass</w:t>
      </w:r>
      <w:proofErr w:type="spellEnd"/>
      <w:r w:rsidR="00185291" w:rsidRPr="00E81DE9">
        <w:rPr>
          <w:i/>
          <w:iCs/>
          <w:lang w:val="fr-BE"/>
        </w:rPr>
        <w:t xml:space="preserve">. </w:t>
      </w:r>
      <w:r w:rsidR="00185291" w:rsidRPr="00E81DE9">
        <w:rPr>
          <w:lang w:val="fr-BE"/>
        </w:rPr>
        <w:t>2014, nr. 147, 185</w:t>
      </w:r>
      <w:r w:rsidR="00D846D5" w:rsidRPr="00E81DE9">
        <w:rPr>
          <w:lang w:val="fr-BE"/>
        </w:rPr>
        <w:t>.</w:t>
      </w:r>
    </w:p>
  </w:footnote>
  <w:footnote w:id="99">
    <w:p w14:paraId="44014D6D" w14:textId="51656A9B" w:rsidR="00B53D08" w:rsidRPr="00AD438F" w:rsidRDefault="00B53D08">
      <w:pPr>
        <w:pStyle w:val="Voetnoottekst"/>
      </w:pPr>
      <w:r w:rsidRPr="00E81DE9">
        <w:rPr>
          <w:rStyle w:val="Voetnootmarkering"/>
        </w:rPr>
        <w:footnoteRef/>
      </w:r>
      <w:r w:rsidR="00806588">
        <w:t xml:space="preserve"> </w:t>
      </w:r>
      <w:r w:rsidRPr="00E81DE9">
        <w:t xml:space="preserve">KNOOPS S., </w:t>
      </w:r>
      <w:r w:rsidRPr="00E81DE9">
        <w:rPr>
          <w:i/>
          <w:iCs/>
        </w:rPr>
        <w:t>De toepassing en handhaving van het gelijkheidsbeginsel bij aanvullende pensioenen,</w:t>
      </w:r>
      <w:r w:rsidRPr="00E81DE9">
        <w:t xml:space="preserve"> </w:t>
      </w:r>
      <w:proofErr w:type="spellStart"/>
      <w:r w:rsidRPr="00E81DE9">
        <w:t>Intersentia</w:t>
      </w:r>
      <w:proofErr w:type="spellEnd"/>
      <w:r w:rsidRPr="00E81DE9">
        <w:t>, 2024, 380</w:t>
      </w:r>
      <w:r w:rsidR="00D846D5" w:rsidRPr="00E81DE9">
        <w:t>.</w:t>
      </w:r>
    </w:p>
  </w:footnote>
  <w:footnote w:id="100">
    <w:p w14:paraId="42BB4724" w14:textId="57198339" w:rsidR="00C530C1" w:rsidRPr="00AD438F" w:rsidRDefault="00C530C1">
      <w:pPr>
        <w:pStyle w:val="Voetnoottekst"/>
      </w:pPr>
      <w:r w:rsidRPr="00AD438F">
        <w:rPr>
          <w:rStyle w:val="Voetnootmarkering"/>
        </w:rPr>
        <w:footnoteRef/>
      </w:r>
      <w:r w:rsidR="00806588">
        <w:t xml:space="preserve"> </w:t>
      </w:r>
      <w:r w:rsidRPr="00AD438F">
        <w:t xml:space="preserve">Wetsontwerp tot wijziging van het rustpensioen en het overlevingspensioen en tot invoering van de overgangsuitkering, in de pensioenregeling voor werknemers, Amendementen, </w:t>
      </w:r>
      <w:r w:rsidR="00902AFE" w:rsidRPr="00902AFE">
        <w:t>KAMER</w:t>
      </w:r>
      <w:r w:rsidRPr="00AD438F">
        <w:t xml:space="preserve"> 2013-2014, nr. 53-3399/002, 17-24</w:t>
      </w:r>
      <w:r w:rsidR="00F579D9">
        <w:t>.</w:t>
      </w:r>
    </w:p>
  </w:footnote>
  <w:footnote w:id="101">
    <w:p w14:paraId="3BB229F6" w14:textId="71E14162" w:rsidR="00DA3D84" w:rsidRPr="00AD438F" w:rsidRDefault="00DA3D84">
      <w:pPr>
        <w:pStyle w:val="Voetnoottekst"/>
      </w:pPr>
      <w:r w:rsidRPr="00AD438F">
        <w:rPr>
          <w:rStyle w:val="Voetnootmarkering"/>
        </w:rPr>
        <w:footnoteRef/>
      </w:r>
      <w:r w:rsidR="00C56975">
        <w:t xml:space="preserve"> </w:t>
      </w:r>
      <w:r w:rsidRPr="00AD438F">
        <w:t xml:space="preserve">NAR, </w:t>
      </w:r>
      <w:r w:rsidRPr="00AD438F">
        <w:rPr>
          <w:i/>
          <w:iCs/>
        </w:rPr>
        <w:t xml:space="preserve">Advies nr. 1.893 – Zitting van woensdag 12 februari 2014, </w:t>
      </w:r>
      <w:r w:rsidRPr="00AD438F">
        <w:t>12 februari 2014, 4</w:t>
      </w:r>
      <w:r w:rsidR="00F579D9">
        <w:t>.</w:t>
      </w:r>
    </w:p>
  </w:footnote>
  <w:footnote w:id="102">
    <w:p w14:paraId="5CFED7A1" w14:textId="69963E1E" w:rsidR="002C7E2A" w:rsidRPr="00AD438F" w:rsidRDefault="002C7E2A" w:rsidP="003B401B">
      <w:pPr>
        <w:rPr>
          <w:b/>
          <w:bCs/>
          <w:sz w:val="20"/>
          <w:szCs w:val="20"/>
        </w:rPr>
      </w:pPr>
      <w:r w:rsidRPr="00C56975">
        <w:rPr>
          <w:rStyle w:val="Voetnootmarkering"/>
          <w:sz w:val="20"/>
          <w:szCs w:val="20"/>
        </w:rPr>
        <w:footnoteRef/>
      </w:r>
      <w:r w:rsidR="00C56975">
        <w:rPr>
          <w:sz w:val="20"/>
          <w:szCs w:val="20"/>
        </w:rPr>
        <w:t xml:space="preserve"> </w:t>
      </w:r>
      <w:r w:rsidRPr="00AD438F">
        <w:rPr>
          <w:sz w:val="20"/>
          <w:szCs w:val="20"/>
        </w:rPr>
        <w:t>Wetsontwerp tot wijziging van het rustpensioen en het overlevingspensioen en tot invoering van de overgangsuitkering, in de pensioenregeling voor werknemers, Amendementen, K</w:t>
      </w:r>
      <w:r w:rsidR="00AD438F" w:rsidRPr="00AD438F">
        <w:rPr>
          <w:sz w:val="20"/>
          <w:szCs w:val="20"/>
        </w:rPr>
        <w:t>AMER</w:t>
      </w:r>
      <w:r w:rsidRPr="00AD438F">
        <w:rPr>
          <w:sz w:val="20"/>
          <w:szCs w:val="20"/>
        </w:rPr>
        <w:t xml:space="preserve"> 2013-2014, nr. 53-3399/002, 17-24;</w:t>
      </w:r>
      <w:r w:rsidR="003B401B" w:rsidRPr="00AD438F">
        <w:rPr>
          <w:sz w:val="20"/>
          <w:szCs w:val="20"/>
        </w:rPr>
        <w:t xml:space="preserve"> DE SOMVIELE I. en VAN DAMME A., </w:t>
      </w:r>
      <w:r w:rsidR="00AD438F" w:rsidRPr="00AD438F">
        <w:rPr>
          <w:sz w:val="20"/>
          <w:szCs w:val="20"/>
        </w:rPr>
        <w:t>‘</w:t>
      </w:r>
      <w:r w:rsidR="003B401B" w:rsidRPr="00AD438F">
        <w:rPr>
          <w:sz w:val="20"/>
          <w:szCs w:val="20"/>
        </w:rPr>
        <w:t>In 10 jaar tijd naar een eenheidsstatuut op vlak van aanvullende pensioenen</w:t>
      </w:r>
      <w:r w:rsidR="00AD438F" w:rsidRPr="00AD438F">
        <w:rPr>
          <w:sz w:val="20"/>
          <w:szCs w:val="20"/>
        </w:rPr>
        <w:t>’</w:t>
      </w:r>
      <w:r w:rsidR="003B401B" w:rsidRPr="00AD438F">
        <w:rPr>
          <w:sz w:val="20"/>
          <w:szCs w:val="20"/>
        </w:rPr>
        <w:t xml:space="preserve">, </w:t>
      </w:r>
      <w:r w:rsidR="003B401B" w:rsidRPr="00AD438F">
        <w:rPr>
          <w:i/>
          <w:iCs/>
          <w:sz w:val="20"/>
          <w:szCs w:val="20"/>
        </w:rPr>
        <w:t xml:space="preserve">Or. </w:t>
      </w:r>
      <w:r w:rsidR="003B401B" w:rsidRPr="00AD438F">
        <w:rPr>
          <w:sz w:val="20"/>
          <w:szCs w:val="20"/>
        </w:rPr>
        <w:t>2014, afl. 6, 156</w:t>
      </w:r>
      <w:r w:rsidR="00AD438F" w:rsidRPr="00AD438F">
        <w:rPr>
          <w:sz w:val="20"/>
          <w:szCs w:val="20"/>
        </w:rPr>
        <w:t>.</w:t>
      </w:r>
    </w:p>
  </w:footnote>
  <w:footnote w:id="103">
    <w:p w14:paraId="2DB24756" w14:textId="18BFC52D" w:rsidR="00361AF8" w:rsidRPr="00AD438F" w:rsidRDefault="00361AF8">
      <w:pPr>
        <w:pStyle w:val="Voetnoottekst"/>
      </w:pPr>
      <w:r w:rsidRPr="00AD438F">
        <w:rPr>
          <w:rStyle w:val="Voetnootmarkering"/>
        </w:rPr>
        <w:footnoteRef/>
      </w:r>
      <w:bookmarkStart w:id="55" w:name="_Hlk225106002"/>
      <w:r w:rsidR="00817504">
        <w:t xml:space="preserve"> </w:t>
      </w:r>
      <w:r w:rsidRPr="00AD438F">
        <w:t xml:space="preserve">Wet van 26 juli 1996 tot bevordering van de werkgelegenheid en tot preventieve vrijwaring van het concurrentievermogen, </w:t>
      </w:r>
      <w:r w:rsidRPr="00AD438F">
        <w:rPr>
          <w:i/>
          <w:iCs/>
        </w:rPr>
        <w:t xml:space="preserve">BS </w:t>
      </w:r>
      <w:r w:rsidRPr="00AD438F">
        <w:t xml:space="preserve">1 augustus 1996, zoals gewijzigd door de wet van 19 maart 2017, </w:t>
      </w:r>
      <w:r w:rsidRPr="00AD438F">
        <w:rPr>
          <w:i/>
          <w:iCs/>
        </w:rPr>
        <w:t xml:space="preserve">BS </w:t>
      </w:r>
      <w:r w:rsidRPr="00AD438F">
        <w:t>29 maart 2017, (Loonnormwet)</w:t>
      </w:r>
      <w:bookmarkEnd w:id="55"/>
      <w:r w:rsidR="00F579D9">
        <w:t>.</w:t>
      </w:r>
    </w:p>
  </w:footnote>
  <w:footnote w:id="104">
    <w:p w14:paraId="22F8259B" w14:textId="0FFC1123" w:rsidR="00405A10" w:rsidRPr="0058444E" w:rsidRDefault="00405A10">
      <w:pPr>
        <w:pStyle w:val="Voetnoottekst"/>
      </w:pPr>
      <w:r w:rsidRPr="00AD438F">
        <w:rPr>
          <w:rStyle w:val="Voetnootmarkering"/>
        </w:rPr>
        <w:footnoteRef/>
      </w:r>
      <w:bookmarkStart w:id="56" w:name="_Hlk225106028"/>
      <w:r w:rsidR="00817504">
        <w:t xml:space="preserve"> </w:t>
      </w:r>
      <w:r w:rsidRPr="00AD438F">
        <w:t xml:space="preserve">DE SOMVIELE I. en VAN DAMME A., </w:t>
      </w:r>
      <w:r w:rsidR="00AD438F" w:rsidRPr="00AD438F">
        <w:t>‘</w:t>
      </w:r>
      <w:r w:rsidRPr="00AD438F">
        <w:t>In 10 jaar tijd naar een eenheidsstatuut op vlak van aanvullende pensioenen</w:t>
      </w:r>
      <w:r w:rsidR="00AD438F" w:rsidRPr="00AD438F">
        <w:t>’,</w:t>
      </w:r>
      <w:r w:rsidRPr="00AD438F">
        <w:t xml:space="preserve"> </w:t>
      </w:r>
      <w:r w:rsidRPr="00AD438F">
        <w:rPr>
          <w:i/>
          <w:iCs/>
        </w:rPr>
        <w:t xml:space="preserve">Or. </w:t>
      </w:r>
      <w:r w:rsidRPr="00AD438F">
        <w:t>2014, afl. 6, 164</w:t>
      </w:r>
      <w:bookmarkEnd w:id="56"/>
      <w:r w:rsidR="00AD438F" w:rsidRPr="00AD438F">
        <w:t>.</w:t>
      </w:r>
    </w:p>
  </w:footnote>
  <w:footnote w:id="105">
    <w:p w14:paraId="43109986" w14:textId="542A319F" w:rsidR="00D96E18" w:rsidRPr="0058444E" w:rsidRDefault="00D96E18">
      <w:pPr>
        <w:pStyle w:val="Voetnoottekst"/>
      </w:pPr>
      <w:r w:rsidRPr="0058444E">
        <w:rPr>
          <w:rStyle w:val="Voetnootmarkering"/>
        </w:rPr>
        <w:footnoteRef/>
      </w:r>
      <w:r w:rsidR="00817504">
        <w:t xml:space="preserve"> </w:t>
      </w:r>
      <w:r w:rsidRPr="00373724">
        <w:t>Wetsontwerp tot wijziging van het rustpensioen en het overlevingspensioen en tot invoering van de overgangsuitkering, in de pensioenregeling voor werknemers, Amendementen,</w:t>
      </w:r>
      <w:r w:rsidRPr="00373724">
        <w:rPr>
          <w:i/>
          <w:iCs/>
        </w:rPr>
        <w:t xml:space="preserve"> </w:t>
      </w:r>
      <w:r w:rsidRPr="00373724">
        <w:t>K</w:t>
      </w:r>
      <w:r w:rsidR="00373724">
        <w:t>AMER</w:t>
      </w:r>
      <w:r w:rsidRPr="00373724">
        <w:t xml:space="preserve"> 2013-2014, nr. 53-3399/002, 19</w:t>
      </w:r>
      <w:r w:rsidR="00373724" w:rsidRPr="00373724">
        <w:t>.</w:t>
      </w:r>
    </w:p>
  </w:footnote>
  <w:footnote w:id="106">
    <w:p w14:paraId="78071A63" w14:textId="71BE8CA8" w:rsidR="008C0123" w:rsidRPr="0058444E" w:rsidRDefault="008C0123">
      <w:pPr>
        <w:pStyle w:val="Voetnoottekst"/>
      </w:pPr>
      <w:r w:rsidRPr="0058444E">
        <w:rPr>
          <w:rStyle w:val="Voetnootmarkering"/>
        </w:rPr>
        <w:footnoteRef/>
      </w:r>
      <w:r w:rsidR="00817504">
        <w:t xml:space="preserve"> </w:t>
      </w:r>
      <w:r w:rsidRPr="00373724">
        <w:t xml:space="preserve">NAR, </w:t>
      </w:r>
      <w:r w:rsidRPr="00373724">
        <w:rPr>
          <w:i/>
          <w:iCs/>
        </w:rPr>
        <w:t xml:space="preserve">Advies nr. 2.237 – Afsprakenkader van 25 juni 2021 – Uitvoering, </w:t>
      </w:r>
      <w:r w:rsidR="007B6372" w:rsidRPr="00373724">
        <w:t xml:space="preserve">15 juli 2021. </w:t>
      </w:r>
    </w:p>
  </w:footnote>
  <w:footnote w:id="107">
    <w:p w14:paraId="1B881A47" w14:textId="4C7A28DA" w:rsidR="00CC7F9C" w:rsidRPr="002954DB" w:rsidRDefault="00CC7F9C" w:rsidP="00CC7F9C">
      <w:pPr>
        <w:pStyle w:val="Voetnoottekst"/>
        <w:rPr>
          <w:lang w:val="fr-BE"/>
        </w:rPr>
      </w:pPr>
      <w:r w:rsidRPr="0058444E">
        <w:rPr>
          <w:rStyle w:val="Voetnootmarkering"/>
        </w:rPr>
        <w:footnoteRef/>
      </w:r>
      <w:bookmarkStart w:id="57" w:name="_Hlk225150303"/>
      <w:r w:rsidR="00817504">
        <w:rPr>
          <w:lang w:val="fr-BE"/>
        </w:rPr>
        <w:t xml:space="preserve"> </w:t>
      </w:r>
      <w:r w:rsidRPr="00373724">
        <w:rPr>
          <w:lang w:val="fr-BE"/>
        </w:rPr>
        <w:t xml:space="preserve">DOYEN </w:t>
      </w:r>
      <w:proofErr w:type="spellStart"/>
      <w:r w:rsidRPr="00373724">
        <w:rPr>
          <w:lang w:val="fr-BE"/>
        </w:rPr>
        <w:t>P.,</w:t>
      </w:r>
      <w:r w:rsidR="00373724" w:rsidRPr="00373724">
        <w:rPr>
          <w:lang w:val="fr-BE"/>
        </w:rPr>
        <w:t>’</w:t>
      </w:r>
      <w:r w:rsidRPr="00373724">
        <w:rPr>
          <w:lang w:val="fr-BE"/>
        </w:rPr>
        <w:t>Pensions</w:t>
      </w:r>
      <w:proofErr w:type="spellEnd"/>
      <w:r w:rsidRPr="00373724">
        <w:rPr>
          <w:lang w:val="fr-BE"/>
        </w:rPr>
        <w:t xml:space="preserve"> complémentaires d’entreprises: l’arrivée à maturité?</w:t>
      </w:r>
      <w:r w:rsidR="00373724" w:rsidRPr="00373724">
        <w:rPr>
          <w:lang w:val="fr-BE"/>
        </w:rPr>
        <w:t>’</w:t>
      </w:r>
      <w:r w:rsidRPr="00373724">
        <w:rPr>
          <w:lang w:val="fr-BE"/>
        </w:rPr>
        <w:t xml:space="preserve">, </w:t>
      </w:r>
      <w:r w:rsidRPr="00373724">
        <w:rPr>
          <w:i/>
          <w:iCs/>
          <w:lang w:val="fr-BE"/>
        </w:rPr>
        <w:t xml:space="preserve">T. </w:t>
      </w:r>
      <w:proofErr w:type="spellStart"/>
      <w:r w:rsidRPr="00373724">
        <w:rPr>
          <w:i/>
          <w:iCs/>
          <w:lang w:val="fr-BE"/>
        </w:rPr>
        <w:t>Verz</w:t>
      </w:r>
      <w:proofErr w:type="spellEnd"/>
      <w:r w:rsidRPr="00373724">
        <w:rPr>
          <w:i/>
          <w:iCs/>
          <w:lang w:val="fr-BE"/>
        </w:rPr>
        <w:t xml:space="preserve">. </w:t>
      </w:r>
      <w:r w:rsidRPr="00373724">
        <w:rPr>
          <w:lang w:val="fr-BE"/>
        </w:rPr>
        <w:t xml:space="preserve">2014, </w:t>
      </w:r>
      <w:proofErr w:type="spellStart"/>
      <w:r w:rsidRPr="00373724">
        <w:rPr>
          <w:lang w:val="fr-BE"/>
        </w:rPr>
        <w:t>af</w:t>
      </w:r>
      <w:r w:rsidR="00FE2930">
        <w:rPr>
          <w:lang w:val="fr-BE"/>
        </w:rPr>
        <w:t>l</w:t>
      </w:r>
      <w:proofErr w:type="spellEnd"/>
      <w:r w:rsidR="00FE2930">
        <w:rPr>
          <w:lang w:val="fr-BE"/>
        </w:rPr>
        <w:t>.</w:t>
      </w:r>
      <w:r w:rsidRPr="00373724">
        <w:rPr>
          <w:lang w:val="fr-BE"/>
        </w:rPr>
        <w:t xml:space="preserve"> 3, nr.388, 272</w:t>
      </w:r>
      <w:bookmarkEnd w:id="57"/>
      <w:r w:rsidR="00373724" w:rsidRPr="00373724">
        <w:rPr>
          <w:lang w:val="fr-BE"/>
        </w:rPr>
        <w:t>.</w:t>
      </w:r>
    </w:p>
  </w:footnote>
  <w:footnote w:id="108">
    <w:p w14:paraId="643E4B39" w14:textId="0C603BCA" w:rsidR="002D6B9B" w:rsidRPr="00EB3E54" w:rsidRDefault="002D6B9B">
      <w:pPr>
        <w:pStyle w:val="Voetnoottekst"/>
      </w:pPr>
      <w:r w:rsidRPr="0058444E">
        <w:rPr>
          <w:rStyle w:val="Voetnootmarkering"/>
        </w:rPr>
        <w:footnoteRef/>
      </w:r>
      <w:r w:rsidR="003466CD">
        <w:t xml:space="preserve"> </w:t>
      </w:r>
      <w:r w:rsidRPr="00373724">
        <w:t xml:space="preserve">Commentaar art. 1 </w:t>
      </w:r>
      <w:r w:rsidRPr="00EB3E54">
        <w:t xml:space="preserve">Collectieve arbeidsovereenkomst nr. 158 van 15 juli 2021 tot toewijzing van een deel van de loonmarge aan het wegwerken van het onderscheid tussen arbeiders en bedienden inzake aanvullende pensioenen, algemeen verbindend verklaard bij KB van 16 september 2021, </w:t>
      </w:r>
      <w:r w:rsidRPr="00EB3E54">
        <w:rPr>
          <w:i/>
          <w:iCs/>
        </w:rPr>
        <w:t xml:space="preserve">BS </w:t>
      </w:r>
      <w:r w:rsidR="005A2F0C" w:rsidRPr="00EB3E54">
        <w:t xml:space="preserve">4 oktober 2021. </w:t>
      </w:r>
    </w:p>
  </w:footnote>
  <w:footnote w:id="109">
    <w:p w14:paraId="0ADA7EB2" w14:textId="62E26A8E" w:rsidR="00002574" w:rsidRPr="00EB3E54" w:rsidRDefault="00002574">
      <w:pPr>
        <w:pStyle w:val="Voetnoottekst"/>
      </w:pPr>
      <w:r w:rsidRPr="00EB3E54">
        <w:rPr>
          <w:rStyle w:val="Voetnootmarkering"/>
        </w:rPr>
        <w:footnoteRef/>
      </w:r>
      <w:r w:rsidR="003466CD" w:rsidRPr="00EB3E54">
        <w:t xml:space="preserve"> </w:t>
      </w:r>
      <w:r w:rsidRPr="00EB3E54">
        <w:t xml:space="preserve">Wetsontwerp tot wijziging van het rustpensioen en het overlevingspensioen en tot invoering van de overgangsuitkering, in de pensioenregeling voor werknemers, Amendementen, </w:t>
      </w:r>
      <w:r w:rsidR="00774DEC" w:rsidRPr="00EB3E54">
        <w:t>KAMER</w:t>
      </w:r>
      <w:r w:rsidRPr="00EB3E54">
        <w:t xml:space="preserve"> 2013-2014, nr. 53-3399/002, 20</w:t>
      </w:r>
      <w:r w:rsidR="00774DEC" w:rsidRPr="00EB3E54">
        <w:t>.</w:t>
      </w:r>
    </w:p>
  </w:footnote>
  <w:footnote w:id="110">
    <w:p w14:paraId="36FCD778" w14:textId="3EF49A9B" w:rsidR="00FD225C" w:rsidRPr="004C79F3" w:rsidRDefault="00FD225C">
      <w:pPr>
        <w:pStyle w:val="Voetnoottekst"/>
      </w:pPr>
      <w:r w:rsidRPr="00EB3E54">
        <w:rPr>
          <w:rStyle w:val="Voetnootmarkering"/>
        </w:rPr>
        <w:footnoteRef/>
      </w:r>
      <w:r w:rsidRPr="00EB3E54">
        <w:t xml:space="preserve"> Zie art. 14/2, §2 en §3 WAP</w:t>
      </w:r>
      <w:r w:rsidR="00774DEC" w:rsidRPr="00EB3E54">
        <w:t>.</w:t>
      </w:r>
    </w:p>
  </w:footnote>
  <w:footnote w:id="111">
    <w:p w14:paraId="76C92A69" w14:textId="235911D1" w:rsidR="007D379F" w:rsidRPr="00486FDB" w:rsidRDefault="007D379F">
      <w:pPr>
        <w:pStyle w:val="Voetnoottekst"/>
      </w:pPr>
      <w:r w:rsidRPr="004C79F3">
        <w:rPr>
          <w:rStyle w:val="Voetnootmarkering"/>
        </w:rPr>
        <w:footnoteRef/>
      </w:r>
      <w:r w:rsidR="008B0695">
        <w:t xml:space="preserve"> </w:t>
      </w:r>
      <w:r w:rsidRPr="004C79F3">
        <w:t xml:space="preserve">DE SOMVIELE I. en VAN DAMME A., “In 10 jaar tijd naar een eenheidsstatuut op vlak van aanvullende pensioenen”, </w:t>
      </w:r>
      <w:r w:rsidRPr="004C79F3">
        <w:rPr>
          <w:i/>
          <w:iCs/>
        </w:rPr>
        <w:t xml:space="preserve">Or. </w:t>
      </w:r>
      <w:r w:rsidRPr="004C79F3">
        <w:t>2014, afl. 6, 155; GHISLAIN S., “Bij</w:t>
      </w:r>
      <w:r w:rsidR="004C79F3" w:rsidRPr="004C79F3">
        <w:t>la</w:t>
      </w:r>
      <w:r w:rsidRPr="004C79F3">
        <w:t xml:space="preserve">ge 5 – Proces van harmonisatie tussen arbeiders en bedienden inzake </w:t>
      </w:r>
      <w:r w:rsidRPr="009238DC">
        <w:t>aanvullende pensioenen” in VAN KERREBROECK N. en VERWILGHEN M., (</w:t>
      </w:r>
      <w:proofErr w:type="spellStart"/>
      <w:r w:rsidRPr="009238DC">
        <w:t>eds</w:t>
      </w:r>
      <w:proofErr w:type="spellEnd"/>
      <w:r w:rsidRPr="009238DC">
        <w:t xml:space="preserve">.), </w:t>
      </w:r>
      <w:r w:rsidRPr="009238DC">
        <w:rPr>
          <w:i/>
          <w:iCs/>
        </w:rPr>
        <w:t xml:space="preserve">De harmonisatie van het statuut </w:t>
      </w:r>
      <w:r w:rsidRPr="00486FDB">
        <w:rPr>
          <w:i/>
          <w:iCs/>
        </w:rPr>
        <w:t>arbeider en bediende,</w:t>
      </w:r>
      <w:r w:rsidRPr="00486FDB">
        <w:t xml:space="preserve"> </w:t>
      </w:r>
      <w:proofErr w:type="spellStart"/>
      <w:r w:rsidRPr="00486FDB">
        <w:t>Larcier</w:t>
      </w:r>
      <w:proofErr w:type="spellEnd"/>
      <w:r w:rsidRPr="00486FDB">
        <w:t>, 2014, 289</w:t>
      </w:r>
      <w:r w:rsidR="009238DC" w:rsidRPr="00486FDB">
        <w:t>.</w:t>
      </w:r>
    </w:p>
  </w:footnote>
  <w:footnote w:id="112">
    <w:p w14:paraId="73D54E92" w14:textId="2B0D456F" w:rsidR="000C3325" w:rsidRPr="00486FDB" w:rsidRDefault="000C3325">
      <w:pPr>
        <w:pStyle w:val="Voetnoottekst"/>
      </w:pPr>
      <w:r w:rsidRPr="00486FDB">
        <w:rPr>
          <w:rStyle w:val="Voetnootmarkering"/>
        </w:rPr>
        <w:footnoteRef/>
      </w:r>
      <w:r w:rsidR="008B0695">
        <w:t xml:space="preserve"> </w:t>
      </w:r>
      <w:r w:rsidRPr="00486FDB">
        <w:t xml:space="preserve">KNOOPS S., </w:t>
      </w:r>
      <w:r w:rsidRPr="00486FDB">
        <w:rPr>
          <w:i/>
          <w:iCs/>
        </w:rPr>
        <w:t>De toepassing en handhaving van het gelijkheidsbeginsel bij aanvullende pensioenen,</w:t>
      </w:r>
      <w:r w:rsidRPr="00486FDB">
        <w:t xml:space="preserve"> </w:t>
      </w:r>
      <w:proofErr w:type="spellStart"/>
      <w:r w:rsidRPr="00486FDB">
        <w:t>Intersentia</w:t>
      </w:r>
      <w:proofErr w:type="spellEnd"/>
      <w:r w:rsidRPr="00486FDB">
        <w:t>, 2024, 394</w:t>
      </w:r>
      <w:r w:rsidR="006452BA" w:rsidRPr="00486FDB">
        <w:t>.</w:t>
      </w:r>
    </w:p>
  </w:footnote>
  <w:footnote w:id="113">
    <w:p w14:paraId="4A1A0F27" w14:textId="372D8A3E" w:rsidR="00E061A9" w:rsidRPr="00486FDB" w:rsidRDefault="00E061A9">
      <w:pPr>
        <w:pStyle w:val="Voetnoottekst"/>
      </w:pPr>
      <w:r w:rsidRPr="00486FDB">
        <w:rPr>
          <w:rStyle w:val="Voetnootmarkering"/>
        </w:rPr>
        <w:footnoteRef/>
      </w:r>
      <w:r w:rsidR="008B0695">
        <w:t xml:space="preserve"> </w:t>
      </w:r>
      <w:r w:rsidRPr="00486FDB">
        <w:t>Wetsontwerp tot wijziging van het rustpensioen en het overlevingspensioen en tot invoering van de overgangsuitkering, in de pensioenregeling voor werknemers, Amendementen, K</w:t>
      </w:r>
      <w:r w:rsidR="009B6FFB" w:rsidRPr="00486FDB">
        <w:t>AMER</w:t>
      </w:r>
      <w:r w:rsidRPr="00486FDB">
        <w:t xml:space="preserve"> 2013-2014, nr. 53-3399/002, 23</w:t>
      </w:r>
      <w:r w:rsidR="009B6FFB" w:rsidRPr="00486FDB">
        <w:t>.</w:t>
      </w:r>
    </w:p>
  </w:footnote>
  <w:footnote w:id="114">
    <w:p w14:paraId="157CF828" w14:textId="691D3AF9" w:rsidR="00B34F2C" w:rsidRPr="00486FDB" w:rsidRDefault="00B34F2C">
      <w:pPr>
        <w:pStyle w:val="Voetnoottekst"/>
      </w:pPr>
      <w:r w:rsidRPr="00486FDB">
        <w:rPr>
          <w:rStyle w:val="Voetnootmarkering"/>
        </w:rPr>
        <w:footnoteRef/>
      </w:r>
      <w:r w:rsidR="008B0695">
        <w:t xml:space="preserve"> </w:t>
      </w:r>
      <w:r w:rsidRPr="00486FDB">
        <w:t xml:space="preserve">Wetsontwerp tot wijziging van het rustpensioen en het overlevingspensioen en tot invoering van de overgangsuitkering, in de pensioenregeling voor werknemers, Amendementen, </w:t>
      </w:r>
      <w:r w:rsidR="009B6FFB" w:rsidRPr="00486FDB">
        <w:t>KAMER</w:t>
      </w:r>
      <w:r w:rsidRPr="00486FDB">
        <w:t xml:space="preserve"> 2013-2014, nr. 53-3399/002, 27;</w:t>
      </w:r>
      <w:r w:rsidR="001F48A1" w:rsidRPr="00486FDB">
        <w:t xml:space="preserve"> KNOOPS S., ‘Het eenheidsstatuut tussen arbeiders en bedienden in aanvullende pensioenen: tijd om de eindspurt in te zetten’, </w:t>
      </w:r>
      <w:proofErr w:type="spellStart"/>
      <w:r w:rsidR="001F48A1" w:rsidRPr="00486FDB">
        <w:rPr>
          <w:i/>
          <w:iCs/>
        </w:rPr>
        <w:t>Soc.Kron</w:t>
      </w:r>
      <w:proofErr w:type="spellEnd"/>
      <w:r w:rsidR="001F48A1" w:rsidRPr="00486FDB">
        <w:rPr>
          <w:i/>
          <w:iCs/>
        </w:rPr>
        <w:t xml:space="preserve">. </w:t>
      </w:r>
      <w:r w:rsidR="001F48A1" w:rsidRPr="00486FDB">
        <w:t>2021, afl. 5-6, 181-203.</w:t>
      </w:r>
    </w:p>
  </w:footnote>
  <w:footnote w:id="115">
    <w:p w14:paraId="350673CB" w14:textId="5FCB07AB" w:rsidR="008F48A3" w:rsidRPr="003C5A50" w:rsidRDefault="008F48A3">
      <w:pPr>
        <w:pStyle w:val="Voetnoottekst"/>
      </w:pPr>
      <w:r w:rsidRPr="00486FDB">
        <w:rPr>
          <w:rStyle w:val="Voetnootmarkering"/>
        </w:rPr>
        <w:footnoteRef/>
      </w:r>
      <w:r w:rsidR="00152A42">
        <w:t xml:space="preserve"> </w:t>
      </w:r>
      <w:r w:rsidR="00611251" w:rsidRPr="00486FDB">
        <w:t>Art 14 WAP</w:t>
      </w:r>
      <w:r w:rsidR="00611251" w:rsidRPr="003C5A50">
        <w:t xml:space="preserve">; </w:t>
      </w:r>
      <w:r w:rsidRPr="003C5A50">
        <w:t xml:space="preserve">KNOOPS S., </w:t>
      </w:r>
      <w:r w:rsidRPr="003C5A50">
        <w:rPr>
          <w:i/>
          <w:iCs/>
        </w:rPr>
        <w:t xml:space="preserve">De toepassing en handhaving van het gelijkheidsbeginsel bij aanvullende pensioenen, </w:t>
      </w:r>
      <w:proofErr w:type="spellStart"/>
      <w:r w:rsidRPr="003C5A50">
        <w:t>Intersentia</w:t>
      </w:r>
      <w:proofErr w:type="spellEnd"/>
      <w:r w:rsidRPr="003C5A50">
        <w:t>, 2024, 398</w:t>
      </w:r>
      <w:r w:rsidR="00486FDB" w:rsidRPr="003C5A50">
        <w:t>.</w:t>
      </w:r>
    </w:p>
  </w:footnote>
  <w:footnote w:id="116">
    <w:p w14:paraId="0B3A9D82" w14:textId="2DF07C7D" w:rsidR="004B706F" w:rsidRPr="007014A0" w:rsidRDefault="004B706F">
      <w:pPr>
        <w:pStyle w:val="Voetnoottekst"/>
        <w:rPr>
          <w:lang w:val="fr-BE"/>
        </w:rPr>
      </w:pPr>
      <w:r w:rsidRPr="003C5A50">
        <w:rPr>
          <w:rStyle w:val="Voetnootmarkering"/>
        </w:rPr>
        <w:footnoteRef/>
      </w:r>
      <w:r w:rsidR="00152A42" w:rsidRPr="003C5A50">
        <w:rPr>
          <w:lang w:val="fr-BE"/>
        </w:rPr>
        <w:t xml:space="preserve"> </w:t>
      </w:r>
      <w:r w:rsidRPr="003C5A50">
        <w:rPr>
          <w:lang w:val="fr-BE"/>
        </w:rPr>
        <w:t xml:space="preserve">DE SOMVIELE I. en VAN DAMME A., </w:t>
      </w:r>
      <w:r w:rsidR="00D4458D" w:rsidRPr="003C5A50">
        <w:rPr>
          <w:lang w:val="fr-BE"/>
        </w:rPr>
        <w:t>‘</w:t>
      </w:r>
      <w:r w:rsidRPr="003C5A50">
        <w:rPr>
          <w:lang w:val="fr-BE"/>
        </w:rPr>
        <w:t xml:space="preserve">In 10 </w:t>
      </w:r>
      <w:proofErr w:type="spellStart"/>
      <w:r w:rsidRPr="003C5A50">
        <w:rPr>
          <w:lang w:val="fr-BE"/>
        </w:rPr>
        <w:t>jaar</w:t>
      </w:r>
      <w:proofErr w:type="spellEnd"/>
      <w:r w:rsidRPr="003C5A50">
        <w:rPr>
          <w:lang w:val="fr-BE"/>
        </w:rPr>
        <w:t xml:space="preserve"> </w:t>
      </w:r>
      <w:proofErr w:type="spellStart"/>
      <w:r w:rsidRPr="003C5A50">
        <w:rPr>
          <w:lang w:val="fr-BE"/>
        </w:rPr>
        <w:t>tijd</w:t>
      </w:r>
      <w:proofErr w:type="spellEnd"/>
      <w:r w:rsidRPr="003C5A50">
        <w:rPr>
          <w:lang w:val="fr-BE"/>
        </w:rPr>
        <w:t xml:space="preserve"> </w:t>
      </w:r>
      <w:proofErr w:type="spellStart"/>
      <w:r w:rsidRPr="003C5A50">
        <w:rPr>
          <w:lang w:val="fr-BE"/>
        </w:rPr>
        <w:t>naar</w:t>
      </w:r>
      <w:proofErr w:type="spellEnd"/>
      <w:r w:rsidRPr="003C5A50">
        <w:rPr>
          <w:lang w:val="fr-BE"/>
        </w:rPr>
        <w:t xml:space="preserve"> </w:t>
      </w:r>
      <w:proofErr w:type="spellStart"/>
      <w:r w:rsidRPr="003C5A50">
        <w:rPr>
          <w:lang w:val="fr-BE"/>
        </w:rPr>
        <w:t>een</w:t>
      </w:r>
      <w:proofErr w:type="spellEnd"/>
      <w:r w:rsidRPr="003C5A50">
        <w:rPr>
          <w:lang w:val="fr-BE"/>
        </w:rPr>
        <w:t xml:space="preserve"> </w:t>
      </w:r>
      <w:proofErr w:type="spellStart"/>
      <w:r w:rsidRPr="003C5A50">
        <w:rPr>
          <w:lang w:val="fr-BE"/>
        </w:rPr>
        <w:t>eenheidsstatuut</w:t>
      </w:r>
      <w:proofErr w:type="spellEnd"/>
      <w:r w:rsidRPr="003C5A50">
        <w:rPr>
          <w:lang w:val="fr-BE"/>
        </w:rPr>
        <w:t xml:space="preserve"> op </w:t>
      </w:r>
      <w:proofErr w:type="spellStart"/>
      <w:r w:rsidRPr="003C5A50">
        <w:rPr>
          <w:lang w:val="fr-BE"/>
        </w:rPr>
        <w:t>vlak</w:t>
      </w:r>
      <w:proofErr w:type="spellEnd"/>
      <w:r w:rsidRPr="003C5A50">
        <w:rPr>
          <w:lang w:val="fr-BE"/>
        </w:rPr>
        <w:t xml:space="preserve"> van </w:t>
      </w:r>
      <w:proofErr w:type="spellStart"/>
      <w:r w:rsidRPr="003C5A50">
        <w:rPr>
          <w:lang w:val="fr-BE"/>
        </w:rPr>
        <w:t>aanvullende</w:t>
      </w:r>
      <w:proofErr w:type="spellEnd"/>
      <w:r w:rsidRPr="003C5A50">
        <w:rPr>
          <w:lang w:val="fr-BE"/>
        </w:rPr>
        <w:t xml:space="preserve"> </w:t>
      </w:r>
      <w:proofErr w:type="spellStart"/>
      <w:r w:rsidRPr="003C5A50">
        <w:rPr>
          <w:lang w:val="fr-BE"/>
        </w:rPr>
        <w:t>pensioenen</w:t>
      </w:r>
      <w:proofErr w:type="spellEnd"/>
      <w:r w:rsidR="00D4458D" w:rsidRPr="003C5A50">
        <w:rPr>
          <w:lang w:val="fr-BE"/>
        </w:rPr>
        <w:t>’</w:t>
      </w:r>
      <w:r w:rsidRPr="003C5A50">
        <w:rPr>
          <w:lang w:val="fr-BE"/>
        </w:rPr>
        <w:t xml:space="preserve">, </w:t>
      </w:r>
      <w:r w:rsidRPr="003C5A50">
        <w:rPr>
          <w:i/>
          <w:iCs/>
          <w:lang w:val="fr-BE"/>
        </w:rPr>
        <w:t xml:space="preserve">Or. </w:t>
      </w:r>
      <w:r w:rsidRPr="003C5A50">
        <w:rPr>
          <w:lang w:val="fr-BE"/>
        </w:rPr>
        <w:t xml:space="preserve">2014, </w:t>
      </w:r>
      <w:proofErr w:type="spellStart"/>
      <w:r w:rsidRPr="003C5A50">
        <w:rPr>
          <w:lang w:val="fr-BE"/>
        </w:rPr>
        <w:t>afl</w:t>
      </w:r>
      <w:proofErr w:type="spellEnd"/>
      <w:r w:rsidRPr="003C5A50">
        <w:rPr>
          <w:lang w:val="fr-BE"/>
        </w:rPr>
        <w:t xml:space="preserve">. 154; </w:t>
      </w:r>
      <w:r w:rsidR="002E0C16" w:rsidRPr="003C5A50">
        <w:rPr>
          <w:lang w:val="fr-BE"/>
        </w:rPr>
        <w:t xml:space="preserve">DELOGNE F., </w:t>
      </w:r>
      <w:r w:rsidR="00D4458D" w:rsidRPr="003C5A50">
        <w:rPr>
          <w:lang w:val="fr-BE"/>
        </w:rPr>
        <w:t>‘</w:t>
      </w:r>
      <w:r w:rsidR="002E0C16" w:rsidRPr="003C5A50">
        <w:rPr>
          <w:lang w:val="fr-BE"/>
        </w:rPr>
        <w:t>Régimes complémentaires de pension (2</w:t>
      </w:r>
      <w:r w:rsidR="002E0C16" w:rsidRPr="003C5A50">
        <w:rPr>
          <w:vertAlign w:val="superscript"/>
          <w:lang w:val="fr-BE"/>
        </w:rPr>
        <w:t>e</w:t>
      </w:r>
      <w:r w:rsidR="002E0C16" w:rsidRPr="003C5A50">
        <w:rPr>
          <w:lang w:val="fr-BE"/>
        </w:rPr>
        <w:t xml:space="preserve"> partie): Statut unique ouvriers/employés et informations des alliés sur leurs droits à pension</w:t>
      </w:r>
      <w:r w:rsidR="00D4458D" w:rsidRPr="003C5A50">
        <w:rPr>
          <w:lang w:val="fr-BE"/>
        </w:rPr>
        <w:t>’</w:t>
      </w:r>
      <w:r w:rsidR="002E0C16" w:rsidRPr="003C5A50">
        <w:rPr>
          <w:lang w:val="fr-BE"/>
        </w:rPr>
        <w:t xml:space="preserve">, </w:t>
      </w:r>
      <w:proofErr w:type="spellStart"/>
      <w:r w:rsidR="002E0C16" w:rsidRPr="003C5A50">
        <w:rPr>
          <w:i/>
          <w:iCs/>
          <w:lang w:val="fr-BE"/>
        </w:rPr>
        <w:t>For.ass</w:t>
      </w:r>
      <w:proofErr w:type="spellEnd"/>
      <w:r w:rsidR="002E0C16" w:rsidRPr="003C5A50">
        <w:rPr>
          <w:i/>
          <w:iCs/>
          <w:lang w:val="fr-BE"/>
        </w:rPr>
        <w:t xml:space="preserve">. </w:t>
      </w:r>
      <w:r w:rsidR="002E0C16" w:rsidRPr="003C5A50">
        <w:rPr>
          <w:lang w:val="fr-BE"/>
        </w:rPr>
        <w:t>2014, nr</w:t>
      </w:r>
      <w:r w:rsidR="002E0C16" w:rsidRPr="007014A0">
        <w:rPr>
          <w:lang w:val="fr-BE"/>
        </w:rPr>
        <w:t>. 147, 186</w:t>
      </w:r>
      <w:r w:rsidR="00D4458D" w:rsidRPr="007014A0">
        <w:rPr>
          <w:lang w:val="fr-BE"/>
        </w:rPr>
        <w:t>.</w:t>
      </w:r>
    </w:p>
  </w:footnote>
  <w:footnote w:id="117">
    <w:p w14:paraId="5CDDF27F" w14:textId="05A615A6" w:rsidR="009E5331" w:rsidRDefault="009E5331">
      <w:pPr>
        <w:pStyle w:val="Voetnoottekst"/>
      </w:pPr>
      <w:r w:rsidRPr="007014A0">
        <w:rPr>
          <w:rStyle w:val="Voetnootmarkering"/>
        </w:rPr>
        <w:footnoteRef/>
      </w:r>
      <w:r w:rsidR="00152A42">
        <w:t xml:space="preserve"> </w:t>
      </w:r>
      <w:r w:rsidR="006729C6" w:rsidRPr="007014A0">
        <w:t xml:space="preserve">Wetsontwerp tot wijziging van het rustpensioen en het overlevingspensioen en tot invoering van de overgangsuitkering, in de pensioenregeling voor werknemers, Amendementen, </w:t>
      </w:r>
      <w:r w:rsidR="00D4458D" w:rsidRPr="007014A0">
        <w:t>KAMER</w:t>
      </w:r>
      <w:r w:rsidR="006729C6" w:rsidRPr="007014A0">
        <w:t xml:space="preserve"> 2013-2014, nr. 53-3399/002, 32</w:t>
      </w:r>
      <w:r w:rsidR="00D4458D" w:rsidRPr="007014A0">
        <w:t>.</w:t>
      </w:r>
    </w:p>
  </w:footnote>
  <w:footnote w:id="118">
    <w:p w14:paraId="41E317E9" w14:textId="3A88BE5B" w:rsidR="006330D9" w:rsidRPr="004B1C5E" w:rsidRDefault="006330D9">
      <w:pPr>
        <w:pStyle w:val="Voetnoottekst"/>
      </w:pPr>
      <w:r w:rsidRPr="004B1C5E">
        <w:rPr>
          <w:rStyle w:val="Voetnootmarkering"/>
        </w:rPr>
        <w:footnoteRef/>
      </w:r>
      <w:r w:rsidR="00C6573B">
        <w:t xml:space="preserve"> </w:t>
      </w:r>
      <w:r w:rsidRPr="004B1C5E">
        <w:t xml:space="preserve">Wetsontwerp tot wijziging van het rustpensioen en het overlevingspensioen en tot invoering van de overgangsuitkering, in de pensioenregeling voor werknemers, Amendementen, </w:t>
      </w:r>
      <w:r w:rsidR="00507487" w:rsidRPr="004B1C5E">
        <w:t xml:space="preserve">KAMER </w:t>
      </w:r>
      <w:r w:rsidRPr="004B1C5E">
        <w:t>2013-2014, nr. 53-3399/002, 21</w:t>
      </w:r>
      <w:r w:rsidR="00507487" w:rsidRPr="004B1C5E">
        <w:t>.</w:t>
      </w:r>
    </w:p>
  </w:footnote>
  <w:footnote w:id="119">
    <w:p w14:paraId="202B802E" w14:textId="2AFB86CC" w:rsidR="00D1788E" w:rsidRPr="001F0CFA" w:rsidRDefault="00D1788E">
      <w:pPr>
        <w:pStyle w:val="Voetnoottekst"/>
      </w:pPr>
      <w:r w:rsidRPr="004B1C5E">
        <w:rPr>
          <w:rStyle w:val="Voetnootmarkering"/>
        </w:rPr>
        <w:footnoteRef/>
      </w:r>
      <w:r w:rsidR="00C6573B">
        <w:t xml:space="preserve"> </w:t>
      </w:r>
      <w:r w:rsidR="00385B3B" w:rsidRPr="004B1C5E">
        <w:t>HENDRI</w:t>
      </w:r>
      <w:r w:rsidR="006235DC" w:rsidRPr="004B1C5E">
        <w:t xml:space="preserve">CKX C. en VANDENDIJK M., </w:t>
      </w:r>
      <w:r w:rsidR="006235DC" w:rsidRPr="004B1C5E">
        <w:rPr>
          <w:i/>
          <w:iCs/>
        </w:rPr>
        <w:t xml:space="preserve">Aanvullende pensioenen. Een fiscaal-juridische analyse vanuit Belgisch en Europees perspectief, </w:t>
      </w:r>
      <w:proofErr w:type="spellStart"/>
      <w:r w:rsidR="006235DC" w:rsidRPr="004B1C5E">
        <w:t>Larcier</w:t>
      </w:r>
      <w:proofErr w:type="spellEnd"/>
      <w:r w:rsidR="003A64B9" w:rsidRPr="004B1C5E">
        <w:t xml:space="preserve">, 2017, 40; </w:t>
      </w:r>
      <w:r w:rsidRPr="004B1C5E">
        <w:t xml:space="preserve">KNOOPS S., </w:t>
      </w:r>
      <w:r w:rsidRPr="004B1C5E">
        <w:rPr>
          <w:i/>
          <w:iCs/>
        </w:rPr>
        <w:t xml:space="preserve">De toepassing en handhaving van het gelijkheidsbeginsel bij aanvullende </w:t>
      </w:r>
      <w:r w:rsidRPr="001F0CFA">
        <w:rPr>
          <w:i/>
          <w:iCs/>
        </w:rPr>
        <w:t xml:space="preserve">pensioenen, </w:t>
      </w:r>
      <w:proofErr w:type="spellStart"/>
      <w:r w:rsidRPr="001F0CFA">
        <w:t>Intersentia</w:t>
      </w:r>
      <w:proofErr w:type="spellEnd"/>
      <w:r w:rsidRPr="001F0CFA">
        <w:t xml:space="preserve">, 2024, 400; </w:t>
      </w:r>
      <w:r w:rsidR="00AE4C15" w:rsidRPr="001F0CFA">
        <w:t xml:space="preserve">VAN AGGELEN E.S., </w:t>
      </w:r>
      <w:r w:rsidR="00AE4C15" w:rsidRPr="001F0CFA">
        <w:rPr>
          <w:i/>
          <w:iCs/>
        </w:rPr>
        <w:t>Het personeel toepassingsgebied van aanvullende pensioenregelingen voor werknemers,</w:t>
      </w:r>
      <w:r w:rsidR="00AE4C15" w:rsidRPr="001F0CFA">
        <w:t xml:space="preserve"> </w:t>
      </w:r>
      <w:r w:rsidR="004B1C5E" w:rsidRPr="001F0CFA">
        <w:t>d</w:t>
      </w:r>
      <w:r w:rsidR="00AE4C15" w:rsidRPr="001F0CFA">
        <w:t xml:space="preserve">ie </w:t>
      </w:r>
      <w:proofErr w:type="spellStart"/>
      <w:r w:rsidR="00AE4C15" w:rsidRPr="001F0CFA">
        <w:t>Keure</w:t>
      </w:r>
      <w:proofErr w:type="spellEnd"/>
      <w:r w:rsidR="00AE4C15" w:rsidRPr="001F0CFA">
        <w:t>, 2022, 38</w:t>
      </w:r>
      <w:r w:rsidR="004B1C5E" w:rsidRPr="001F0CFA">
        <w:t>.</w:t>
      </w:r>
    </w:p>
  </w:footnote>
  <w:footnote w:id="120">
    <w:p w14:paraId="4B41BD0B" w14:textId="0E6EFC81" w:rsidR="00FF4E25" w:rsidRPr="001F0CFA" w:rsidRDefault="00FF4E25">
      <w:pPr>
        <w:pStyle w:val="Voetnoottekst"/>
      </w:pPr>
      <w:r w:rsidRPr="001F0CFA">
        <w:rPr>
          <w:rStyle w:val="Voetnootmarkering"/>
        </w:rPr>
        <w:footnoteRef/>
      </w:r>
      <w:r w:rsidR="00C6573B">
        <w:t xml:space="preserve"> </w:t>
      </w:r>
      <w:r w:rsidRPr="001F0CFA">
        <w:t xml:space="preserve">Wetsontwerp betreffende de aanvullende pensioenen, </w:t>
      </w:r>
      <w:r w:rsidR="00B273AB" w:rsidRPr="001F0CFA">
        <w:t>KAMER</w:t>
      </w:r>
      <w:r w:rsidRPr="001F0CFA">
        <w:t xml:space="preserve"> 2000-2001, nr. 50-1340/001, 17; DE BRABANTER V., GIESELINCK G., PERTRY V., ROELS P. en STEVENS Y., </w:t>
      </w:r>
      <w:r w:rsidRPr="001F0CFA">
        <w:rPr>
          <w:i/>
          <w:iCs/>
        </w:rPr>
        <w:t xml:space="preserve">Aanvullende pensioenen voor werknemers, </w:t>
      </w:r>
      <w:r w:rsidRPr="001F0CFA">
        <w:t xml:space="preserve">Kluwer, 2004; </w:t>
      </w:r>
      <w:r w:rsidR="007B4129" w:rsidRPr="001F0CFA">
        <w:t xml:space="preserve">HENDRICKX C. en VANDENDIJK M., </w:t>
      </w:r>
      <w:r w:rsidR="007B4129" w:rsidRPr="001F0CFA">
        <w:rPr>
          <w:i/>
          <w:iCs/>
        </w:rPr>
        <w:t>Aanvullende pensioenen. Een fiscaal – juridische analyse vanuit Belgisch en Europees perspectief,</w:t>
      </w:r>
      <w:r w:rsidR="007B4129" w:rsidRPr="001F0CFA">
        <w:t xml:space="preserve"> </w:t>
      </w:r>
      <w:proofErr w:type="spellStart"/>
      <w:r w:rsidR="007B4129" w:rsidRPr="001F0CFA">
        <w:t>Larcier</w:t>
      </w:r>
      <w:proofErr w:type="spellEnd"/>
      <w:r w:rsidR="007B4129" w:rsidRPr="001F0CFA">
        <w:t>, 2017, 40</w:t>
      </w:r>
      <w:r w:rsidR="001F0CFA" w:rsidRPr="001F0CFA">
        <w:t>.</w:t>
      </w:r>
    </w:p>
  </w:footnote>
  <w:footnote w:id="121">
    <w:p w14:paraId="7E11E308" w14:textId="52D9A3C6" w:rsidR="00E86703" w:rsidRPr="0058444E" w:rsidRDefault="00E86703">
      <w:pPr>
        <w:pStyle w:val="Voetnoottekst"/>
      </w:pPr>
      <w:r w:rsidRPr="001F0CFA">
        <w:rPr>
          <w:rStyle w:val="Voetnootmarkering"/>
        </w:rPr>
        <w:footnoteRef/>
      </w:r>
      <w:r w:rsidR="00C6573B">
        <w:t xml:space="preserve"> </w:t>
      </w:r>
      <w:r w:rsidRPr="001F0CFA">
        <w:t>FSMA, Jaarlijks sectoroverzicht ‘De tweede pensioenpijler in beeld’, situatie op</w:t>
      </w:r>
      <w:r w:rsidR="000246BE" w:rsidRPr="001F0CFA">
        <w:t xml:space="preserve"> 1 januari 2021, </w:t>
      </w:r>
      <w:hyperlink r:id="rId4" w:history="1">
        <w:r w:rsidR="000246BE" w:rsidRPr="001F0CFA">
          <w:rPr>
            <w:rStyle w:val="Hyperlink"/>
          </w:rPr>
          <w:t>https://www.fsma.be/sites/default/files/media/files/2024-11/sectoroverzicht_2024.pdf</w:t>
        </w:r>
      </w:hyperlink>
      <w:r w:rsidR="000246BE" w:rsidRPr="001F0CFA">
        <w:t xml:space="preserve"> </w:t>
      </w:r>
    </w:p>
  </w:footnote>
  <w:footnote w:id="122">
    <w:p w14:paraId="7CFCF5F6" w14:textId="7DE48AC4" w:rsidR="004E1D94" w:rsidRPr="00B95CF9" w:rsidRDefault="004E1D94">
      <w:pPr>
        <w:pStyle w:val="Voetnoottekst"/>
      </w:pPr>
      <w:r w:rsidRPr="00B95CF9">
        <w:rPr>
          <w:rStyle w:val="Voetnootmarkering"/>
        </w:rPr>
        <w:footnoteRef/>
      </w:r>
      <w:r w:rsidR="0017061D">
        <w:t xml:space="preserve"> </w:t>
      </w:r>
      <w:r w:rsidR="00223EBE" w:rsidRPr="00B95CF9">
        <w:t xml:space="preserve">KNOOPS S., </w:t>
      </w:r>
      <w:r w:rsidR="001F0CFA" w:rsidRPr="00B95CF9">
        <w:t>‘</w:t>
      </w:r>
      <w:r w:rsidR="00223EBE" w:rsidRPr="00B95CF9">
        <w:t>Het eenheidsstatuut tussen arbeiders en bedienden in aanvullende pensioenen: tijd om de eindspurt in te zetten</w:t>
      </w:r>
      <w:r w:rsidR="001F0CFA" w:rsidRPr="00B95CF9">
        <w:t>’</w:t>
      </w:r>
      <w:r w:rsidR="00223EBE" w:rsidRPr="00B95CF9">
        <w:t xml:space="preserve">, </w:t>
      </w:r>
      <w:proofErr w:type="spellStart"/>
      <w:r w:rsidR="00223EBE" w:rsidRPr="00B95CF9">
        <w:rPr>
          <w:i/>
          <w:iCs/>
        </w:rPr>
        <w:t>Soc.Kron</w:t>
      </w:r>
      <w:proofErr w:type="spellEnd"/>
      <w:r w:rsidR="00223EBE" w:rsidRPr="00B95CF9">
        <w:rPr>
          <w:i/>
          <w:iCs/>
        </w:rPr>
        <w:t xml:space="preserve">. </w:t>
      </w:r>
      <w:r w:rsidR="00223EBE" w:rsidRPr="00B95CF9">
        <w:t>2021, afl. 5-6, 181-203</w:t>
      </w:r>
      <w:r w:rsidR="001F0CFA" w:rsidRPr="00B95CF9">
        <w:t>.</w:t>
      </w:r>
    </w:p>
  </w:footnote>
  <w:footnote w:id="123">
    <w:p w14:paraId="477CC6E5" w14:textId="756A2609" w:rsidR="00BE2845" w:rsidRPr="00B95CF9" w:rsidRDefault="00BE2845">
      <w:pPr>
        <w:pStyle w:val="Voetnoottekst"/>
      </w:pPr>
      <w:r w:rsidRPr="00B95CF9">
        <w:rPr>
          <w:rStyle w:val="Voetnootmarkering"/>
        </w:rPr>
        <w:footnoteRef/>
      </w:r>
      <w:r w:rsidR="0017061D">
        <w:t xml:space="preserve"> </w:t>
      </w:r>
      <w:r w:rsidRPr="00B95CF9">
        <w:t xml:space="preserve">Art. 35 wet van 5 december 1968 betreffende de collectieve arbeidsovereenkomsten en de paritaire comités, </w:t>
      </w:r>
      <w:r w:rsidRPr="00B95CF9">
        <w:rPr>
          <w:i/>
          <w:iCs/>
        </w:rPr>
        <w:t xml:space="preserve">BS </w:t>
      </w:r>
      <w:r w:rsidRPr="00B95CF9">
        <w:t>15 januari 1969</w:t>
      </w:r>
      <w:r w:rsidR="001F0CFA" w:rsidRPr="00B95CF9">
        <w:t>.</w:t>
      </w:r>
    </w:p>
  </w:footnote>
  <w:footnote w:id="124">
    <w:p w14:paraId="0235B572" w14:textId="044225AD" w:rsidR="00AA52E0" w:rsidRPr="00B95CF9" w:rsidRDefault="00AA52E0">
      <w:pPr>
        <w:pStyle w:val="Voetnoottekst"/>
      </w:pPr>
      <w:r w:rsidRPr="00B95CF9">
        <w:rPr>
          <w:rStyle w:val="Voetnootmarkering"/>
        </w:rPr>
        <w:footnoteRef/>
      </w:r>
      <w:r w:rsidR="0017061D">
        <w:t xml:space="preserve"> </w:t>
      </w:r>
      <w:r w:rsidR="00E7774C" w:rsidRPr="00B95CF9">
        <w:t xml:space="preserve">CATTOIR H. en TRUYERS A., </w:t>
      </w:r>
      <w:r w:rsidR="00850803" w:rsidRPr="00B95CF9">
        <w:t>‘</w:t>
      </w:r>
      <w:r w:rsidR="00E7774C" w:rsidRPr="00B95CF9">
        <w:t>Veranderingen in het landschap van de paritaire comités – Vervanging van het paritair comité nr. 218 door het paritair comité nr. 200 per 1 april 2015</w:t>
      </w:r>
      <w:r w:rsidR="00850803" w:rsidRPr="00B95CF9">
        <w:t>’</w:t>
      </w:r>
      <w:r w:rsidR="00E7774C" w:rsidRPr="00B95CF9">
        <w:t xml:space="preserve">, </w:t>
      </w:r>
      <w:r w:rsidR="00E7774C" w:rsidRPr="00B95CF9">
        <w:rPr>
          <w:i/>
          <w:iCs/>
        </w:rPr>
        <w:t xml:space="preserve">Or. </w:t>
      </w:r>
      <w:r w:rsidR="00E7774C" w:rsidRPr="00B95CF9">
        <w:t>2015, afl. 4, 74-75;</w:t>
      </w:r>
      <w:r w:rsidRPr="00B95CF9">
        <w:t xml:space="preserve"> DE BROECK G., </w:t>
      </w:r>
      <w:r w:rsidR="00850803" w:rsidRPr="00B95CF9">
        <w:t>‘</w:t>
      </w:r>
      <w:r w:rsidRPr="00B95CF9">
        <w:t>De wet van 3 juli 1978 en de toenadering van de statuten van werkman en bediende</w:t>
      </w:r>
      <w:r w:rsidR="00850803" w:rsidRPr="00B95CF9">
        <w:t>’</w:t>
      </w:r>
      <w:r w:rsidRPr="00B95CF9">
        <w:t xml:space="preserve"> in X., </w:t>
      </w:r>
      <w:r w:rsidRPr="00B95CF9">
        <w:rPr>
          <w:i/>
          <w:iCs/>
        </w:rPr>
        <w:t>Handleiding bij de wet van 3 juli 1978 betreffende de arbeidsovereenkomsten: analyse en commentaar. Studiedagen van 13 en 14 oktober 1978,</w:t>
      </w:r>
      <w:r w:rsidRPr="00B95CF9">
        <w:t xml:space="preserve"> Kluwer, 1979, 9</w:t>
      </w:r>
      <w:r w:rsidR="00850803" w:rsidRPr="00B95CF9">
        <w:t>.</w:t>
      </w:r>
    </w:p>
  </w:footnote>
  <w:footnote w:id="125">
    <w:p w14:paraId="7674E58A" w14:textId="43AC8CB8" w:rsidR="001821C8" w:rsidRPr="00B95CF9" w:rsidRDefault="001821C8">
      <w:pPr>
        <w:pStyle w:val="Voetnoottekst"/>
      </w:pPr>
      <w:r w:rsidRPr="00B95CF9">
        <w:rPr>
          <w:rStyle w:val="Voetnootmarkering"/>
        </w:rPr>
        <w:footnoteRef/>
      </w:r>
      <w:r w:rsidR="0017061D">
        <w:t xml:space="preserve"> </w:t>
      </w:r>
      <w:r w:rsidRPr="00B95CF9">
        <w:t xml:space="preserve">CUYPERS D., ’15 jaar grondwettelijke kritiek op het onderscheid tussen werklieden en bedienden. Stand van zaken’ </w:t>
      </w:r>
      <w:proofErr w:type="spellStart"/>
      <w:r w:rsidRPr="00B95CF9">
        <w:rPr>
          <w:i/>
          <w:iCs/>
        </w:rPr>
        <w:t>Soc.Kron</w:t>
      </w:r>
      <w:proofErr w:type="spellEnd"/>
      <w:r w:rsidRPr="00B95CF9">
        <w:rPr>
          <w:i/>
          <w:iCs/>
        </w:rPr>
        <w:t xml:space="preserve">. </w:t>
      </w:r>
      <w:r w:rsidRPr="00B95CF9">
        <w:t>2009, afl. 7, (357</w:t>
      </w:r>
      <w:r w:rsidR="004A5114" w:rsidRPr="00B95CF9">
        <w:t xml:space="preserve">) 360; FEDERALE OVERHEIDSDIENST WERKGELEGENHEID, ARBEID EN SOCIAAL OVERLEG, </w:t>
      </w:r>
      <w:r w:rsidR="004A5114" w:rsidRPr="00B95CF9">
        <w:rPr>
          <w:i/>
          <w:iCs/>
        </w:rPr>
        <w:t xml:space="preserve">Rapportering over de resultaten van het sectoraal overleg in 2017 en 2018, </w:t>
      </w:r>
      <w:r w:rsidR="004A5114" w:rsidRPr="00B95CF9">
        <w:t>september 2019, 6.</w:t>
      </w:r>
    </w:p>
  </w:footnote>
  <w:footnote w:id="126">
    <w:p w14:paraId="27672294" w14:textId="7E99D25E" w:rsidR="00140591" w:rsidRPr="0058444E" w:rsidRDefault="00140591">
      <w:pPr>
        <w:pStyle w:val="Voetnoottekst"/>
      </w:pPr>
      <w:r w:rsidRPr="00B95CF9">
        <w:rPr>
          <w:rStyle w:val="Voetnootmarkering"/>
        </w:rPr>
        <w:footnoteRef/>
      </w:r>
      <w:r w:rsidR="0017061D">
        <w:t xml:space="preserve"> </w:t>
      </w:r>
      <w:r w:rsidRPr="00B95CF9">
        <w:t xml:space="preserve">ENGELS C., </w:t>
      </w:r>
      <w:r w:rsidR="00B95CF9" w:rsidRPr="00B95CF9">
        <w:t>‘</w:t>
      </w:r>
      <w:r w:rsidRPr="00B95CF9">
        <w:t>Het onderscheid werkman/bediende. Een ongrondwettige discriminatie in strijd met de artikelen 6 en 6</w:t>
      </w:r>
      <w:r w:rsidRPr="00B95CF9">
        <w:rPr>
          <w:i/>
          <w:iCs/>
        </w:rPr>
        <w:t xml:space="preserve">bis </w:t>
      </w:r>
      <w:r w:rsidRPr="00B95CF9">
        <w:t>van de Belgische Grondwet</w:t>
      </w:r>
      <w:r w:rsidR="00B95CF9" w:rsidRPr="00B95CF9">
        <w:t>’</w:t>
      </w:r>
      <w:r w:rsidRPr="00B95CF9">
        <w:t xml:space="preserve">, </w:t>
      </w:r>
      <w:r w:rsidRPr="00B95CF9">
        <w:rPr>
          <w:i/>
          <w:iCs/>
        </w:rPr>
        <w:t xml:space="preserve">RW </w:t>
      </w:r>
      <w:r w:rsidRPr="00B95CF9">
        <w:t>1991-92, afl. 22, 732;</w:t>
      </w:r>
      <w:r w:rsidR="00C30A1A" w:rsidRPr="00B95CF9">
        <w:t xml:space="preserve"> GILLES R., </w:t>
      </w:r>
      <w:r w:rsidR="00B95CF9" w:rsidRPr="00B95CF9">
        <w:t>‘</w:t>
      </w:r>
      <w:r w:rsidR="00C30A1A" w:rsidRPr="00B95CF9">
        <w:t>Het statuut arbeider en bediende. Ook het collectief arbeidsrecht zal een bijdrage moeten leveren</w:t>
      </w:r>
      <w:r w:rsidR="00B95CF9" w:rsidRPr="00B95CF9">
        <w:t>’</w:t>
      </w:r>
      <w:r w:rsidR="00C30A1A" w:rsidRPr="00B95CF9">
        <w:t xml:space="preserve">, </w:t>
      </w:r>
      <w:r w:rsidR="00C30A1A" w:rsidRPr="00B95CF9">
        <w:rPr>
          <w:i/>
          <w:iCs/>
        </w:rPr>
        <w:t xml:space="preserve">Kijk Uit </w:t>
      </w:r>
      <w:r w:rsidR="00C30A1A" w:rsidRPr="00B95CF9">
        <w:t>2001, 6</w:t>
      </w:r>
      <w:r w:rsidR="00B95CF9" w:rsidRPr="00B95CF9">
        <w:t>.</w:t>
      </w:r>
    </w:p>
  </w:footnote>
  <w:footnote w:id="127">
    <w:p w14:paraId="16DC7A04" w14:textId="40BAEA50" w:rsidR="00F9448C" w:rsidRPr="001F4DDA" w:rsidRDefault="00F9448C">
      <w:pPr>
        <w:pStyle w:val="Voetnoottekst"/>
      </w:pPr>
      <w:r w:rsidRPr="00CF3000">
        <w:rPr>
          <w:rStyle w:val="Voetnootmarkering"/>
        </w:rPr>
        <w:footnoteRef/>
      </w:r>
      <w:r w:rsidR="00795FBA">
        <w:t xml:space="preserve"> </w:t>
      </w:r>
      <w:r w:rsidR="005F331D" w:rsidRPr="00CF3000">
        <w:t xml:space="preserve">FEDERALE REGERING, </w:t>
      </w:r>
      <w:r w:rsidR="005F331D" w:rsidRPr="00CF3000">
        <w:rPr>
          <w:i/>
          <w:iCs/>
        </w:rPr>
        <w:t xml:space="preserve">Regeerakkoord 2014, </w:t>
      </w:r>
      <w:r w:rsidR="00292341" w:rsidRPr="00CF3000">
        <w:t xml:space="preserve">9 oktober 2014, </w:t>
      </w:r>
      <w:r w:rsidR="00DE76B2" w:rsidRPr="00CF3000">
        <w:t xml:space="preserve">16, </w:t>
      </w:r>
      <w:hyperlink r:id="rId5" w:anchor=":~:text=Dat%20comit%C3%A9%20zal%20tripartite%20worden,van%20de%20sociale%20partners%2C%20van" w:history="1">
        <w:r w:rsidR="003A1C96" w:rsidRPr="00CF3000">
          <w:rPr>
            <w:rStyle w:val="Hyperlink"/>
          </w:rPr>
          <w:t>https://cnt-nar.be/sites/default/files/documents/nl/2014-10-09-Boordtabel.pdf#:~:text=Dat%20comit%C3%A9%20zal%20tripartite%20worden,van%20de%20sociale%20partners%2C%20van</w:t>
        </w:r>
      </w:hyperlink>
      <w:r w:rsidR="003A1C96" w:rsidRPr="00CF3000">
        <w:t>.</w:t>
      </w:r>
      <w:r w:rsidR="00152973" w:rsidRPr="00CF3000">
        <w:t xml:space="preserve">; CATTOIR H. en TRUYERS A., ‘Veranderingen in het landschap van de paritaire comités – Vervanging van het paritair </w:t>
      </w:r>
      <w:r w:rsidR="00152973" w:rsidRPr="001F4DDA">
        <w:t>comité nr. 218 door het paritair comité nr. 200 per 1 april 201</w:t>
      </w:r>
      <w:r w:rsidR="00080D27" w:rsidRPr="001F4DDA">
        <w:t xml:space="preserve">5’, </w:t>
      </w:r>
      <w:r w:rsidR="00080D27" w:rsidRPr="001F4DDA">
        <w:rPr>
          <w:i/>
          <w:iCs/>
        </w:rPr>
        <w:t xml:space="preserve">Or. </w:t>
      </w:r>
      <w:r w:rsidR="00080D27" w:rsidRPr="001F4DDA">
        <w:t>2015, afl. 4, 80.</w:t>
      </w:r>
    </w:p>
  </w:footnote>
  <w:footnote w:id="128">
    <w:p w14:paraId="4AA46A65" w14:textId="5DBBC9B1" w:rsidR="00556594" w:rsidRPr="0058444E" w:rsidRDefault="00556594">
      <w:pPr>
        <w:pStyle w:val="Voetnoottekst"/>
      </w:pPr>
      <w:r w:rsidRPr="001F4DDA">
        <w:rPr>
          <w:rStyle w:val="Voetnootmarkering"/>
        </w:rPr>
        <w:footnoteRef/>
      </w:r>
      <w:r w:rsidR="00795FBA">
        <w:t xml:space="preserve"> </w:t>
      </w:r>
      <w:r w:rsidRPr="001F4DDA">
        <w:t xml:space="preserve">ENGELS C., </w:t>
      </w:r>
      <w:r w:rsidR="001F4DDA" w:rsidRPr="001F4DDA">
        <w:t>‘</w:t>
      </w:r>
      <w:r w:rsidRPr="001F4DDA">
        <w:t>Het onderscheid werkman/bediende. Een ongrondwettige discriminatie in strijd met de artikelen 6 en 6bis van de Belgische Grondwet</w:t>
      </w:r>
      <w:r w:rsidR="001F4DDA" w:rsidRPr="001F4DDA">
        <w:t>’</w:t>
      </w:r>
      <w:r w:rsidRPr="001F4DDA">
        <w:t xml:space="preserve">, </w:t>
      </w:r>
      <w:r w:rsidRPr="001F4DDA">
        <w:rPr>
          <w:i/>
          <w:iCs/>
        </w:rPr>
        <w:t xml:space="preserve">RW </w:t>
      </w:r>
      <w:r w:rsidRPr="001F4DDA">
        <w:t>1991-92, afl. 22, 73</w:t>
      </w:r>
      <w:r w:rsidR="001F4DDA" w:rsidRPr="001F4DDA">
        <w:t>.</w:t>
      </w:r>
    </w:p>
  </w:footnote>
  <w:footnote w:id="129">
    <w:p w14:paraId="6B1A5AC2" w14:textId="43B38447" w:rsidR="009C4737" w:rsidRPr="00E711A7" w:rsidRDefault="009C4737">
      <w:pPr>
        <w:pStyle w:val="Voetnoottekst"/>
      </w:pPr>
      <w:r w:rsidRPr="0058444E">
        <w:rPr>
          <w:rStyle w:val="Voetnootmarkering"/>
        </w:rPr>
        <w:footnoteRef/>
      </w:r>
      <w:r w:rsidR="00795FBA">
        <w:t xml:space="preserve"> </w:t>
      </w:r>
      <w:r w:rsidRPr="0006408A">
        <w:t xml:space="preserve">KNOOPS S., </w:t>
      </w:r>
      <w:r w:rsidR="00732C76" w:rsidRPr="0006408A">
        <w:t>‘</w:t>
      </w:r>
      <w:r w:rsidRPr="0006408A">
        <w:t>Het eenheidsstatuut tussen arbeiders en bedienden in aanvullende pensioenen: tijd om de eindspurt in te zetten</w:t>
      </w:r>
      <w:r w:rsidR="00732C76" w:rsidRPr="0006408A">
        <w:t>’</w:t>
      </w:r>
      <w:r w:rsidRPr="00E711A7">
        <w:t xml:space="preserve">, </w:t>
      </w:r>
      <w:r w:rsidRPr="00E711A7">
        <w:rPr>
          <w:i/>
          <w:iCs/>
        </w:rPr>
        <w:t>Soc.</w:t>
      </w:r>
      <w:r w:rsidR="001418EB">
        <w:rPr>
          <w:i/>
          <w:iCs/>
        </w:rPr>
        <w:t xml:space="preserve"> </w:t>
      </w:r>
      <w:r w:rsidRPr="00E711A7">
        <w:rPr>
          <w:i/>
          <w:iCs/>
        </w:rPr>
        <w:t xml:space="preserve">Kron. </w:t>
      </w:r>
      <w:r w:rsidRPr="00E711A7">
        <w:t>2021, afl. 5-6, 181-203</w:t>
      </w:r>
      <w:r w:rsidR="00732C76" w:rsidRPr="00E711A7">
        <w:t>.</w:t>
      </w:r>
    </w:p>
  </w:footnote>
  <w:footnote w:id="130">
    <w:p w14:paraId="4396534C" w14:textId="36CBCE3B" w:rsidR="00CE3CE9" w:rsidRPr="00E711A7" w:rsidRDefault="00CE3CE9">
      <w:pPr>
        <w:pStyle w:val="Voetnoottekst"/>
      </w:pPr>
      <w:r w:rsidRPr="00E711A7">
        <w:rPr>
          <w:rStyle w:val="Voetnootmarkering"/>
        </w:rPr>
        <w:footnoteRef/>
      </w:r>
      <w:r w:rsidR="00795FBA">
        <w:t xml:space="preserve"> </w:t>
      </w:r>
      <w:r w:rsidR="008B2B60" w:rsidRPr="00E711A7">
        <w:t xml:space="preserve">DE SOMVIELE I. en VAN DAMME A., </w:t>
      </w:r>
      <w:r w:rsidR="00732C76" w:rsidRPr="00E711A7">
        <w:t>‘</w:t>
      </w:r>
      <w:r w:rsidR="008B2B60" w:rsidRPr="00E711A7">
        <w:t>In 10 jaar tijd naar een eenheidsstatuut op vlak van aanvullende pensioenen</w:t>
      </w:r>
      <w:r w:rsidR="00732C76" w:rsidRPr="00E711A7">
        <w:t>’</w:t>
      </w:r>
      <w:r w:rsidR="008B2B60" w:rsidRPr="00E711A7">
        <w:t xml:space="preserve">, </w:t>
      </w:r>
      <w:r w:rsidR="008B2B60" w:rsidRPr="00E711A7">
        <w:rPr>
          <w:i/>
          <w:iCs/>
        </w:rPr>
        <w:t xml:space="preserve">Or. </w:t>
      </w:r>
      <w:r w:rsidR="008B2B60" w:rsidRPr="00E711A7">
        <w:t xml:space="preserve">2014, afl. 162; </w:t>
      </w:r>
      <w:r w:rsidRPr="00E711A7">
        <w:t xml:space="preserve">KNOOPS S., “Het eenheidsstatuut tussen arbeiders en bedienden in aanvullende pensioenen: tijd om de eindspurt in te zetten”, </w:t>
      </w:r>
      <w:r w:rsidRPr="00E711A7">
        <w:rPr>
          <w:i/>
          <w:iCs/>
        </w:rPr>
        <w:t>Soc.</w:t>
      </w:r>
      <w:r w:rsidR="001418EB">
        <w:rPr>
          <w:i/>
          <w:iCs/>
        </w:rPr>
        <w:t xml:space="preserve"> </w:t>
      </w:r>
      <w:r w:rsidRPr="00E711A7">
        <w:rPr>
          <w:i/>
          <w:iCs/>
        </w:rPr>
        <w:t xml:space="preserve">Kron. </w:t>
      </w:r>
      <w:r w:rsidRPr="00E711A7">
        <w:t>2021, afl. 5-6, 181-203</w:t>
      </w:r>
      <w:r w:rsidR="0006408A" w:rsidRPr="00E711A7">
        <w:t>.</w:t>
      </w:r>
    </w:p>
  </w:footnote>
  <w:footnote w:id="131">
    <w:p w14:paraId="22C67754" w14:textId="692E56F3" w:rsidR="002B757F" w:rsidRPr="00E711A7" w:rsidRDefault="002B757F">
      <w:pPr>
        <w:pStyle w:val="Voetnoottekst"/>
      </w:pPr>
      <w:r w:rsidRPr="00E711A7">
        <w:rPr>
          <w:rStyle w:val="Voetnootmarkering"/>
        </w:rPr>
        <w:footnoteRef/>
      </w:r>
      <w:r w:rsidR="00795FBA">
        <w:t xml:space="preserve"> </w:t>
      </w:r>
      <w:r w:rsidRPr="00E711A7">
        <w:t xml:space="preserve">FSMA, </w:t>
      </w:r>
      <w:r w:rsidRPr="00E711A7">
        <w:rPr>
          <w:i/>
          <w:iCs/>
        </w:rPr>
        <w:t xml:space="preserve">Tweejaarlijks verslag betreffende de sectorale pensioenstelsels, </w:t>
      </w:r>
      <w:r w:rsidRPr="00E711A7">
        <w:t xml:space="preserve">2019, 32-35; </w:t>
      </w:r>
      <w:r w:rsidR="00DE6921" w:rsidRPr="00E711A7">
        <w:t xml:space="preserve">KNOOPS S., </w:t>
      </w:r>
      <w:r w:rsidR="00E711A7" w:rsidRPr="00E711A7">
        <w:t>‘</w:t>
      </w:r>
      <w:r w:rsidR="00DE6921" w:rsidRPr="00E711A7">
        <w:t>Het eenheidsstatuut tussen arbeiders en bedienden in aanvullende pensioenen: tijd om de eindspurt in te zetten</w:t>
      </w:r>
      <w:r w:rsidR="00E711A7" w:rsidRPr="00E711A7">
        <w:t>’</w:t>
      </w:r>
      <w:r w:rsidR="00DE6921" w:rsidRPr="00E711A7">
        <w:t xml:space="preserve">, </w:t>
      </w:r>
      <w:proofErr w:type="spellStart"/>
      <w:r w:rsidR="00DE6921" w:rsidRPr="00E711A7">
        <w:rPr>
          <w:i/>
          <w:iCs/>
        </w:rPr>
        <w:t>Soc.Kron</w:t>
      </w:r>
      <w:proofErr w:type="spellEnd"/>
      <w:r w:rsidR="00DE6921" w:rsidRPr="00E711A7">
        <w:rPr>
          <w:i/>
          <w:iCs/>
        </w:rPr>
        <w:t xml:space="preserve">. </w:t>
      </w:r>
      <w:r w:rsidR="00DE6921" w:rsidRPr="00E711A7">
        <w:t>2021, afl. 5-6, 181-203</w:t>
      </w:r>
      <w:r w:rsidR="00E711A7" w:rsidRPr="00E711A7">
        <w:t>.</w:t>
      </w:r>
    </w:p>
  </w:footnote>
  <w:footnote w:id="132">
    <w:p w14:paraId="23AC9F47" w14:textId="31CA8C63" w:rsidR="00A00A9A" w:rsidRPr="00A00A9A" w:rsidRDefault="00A00A9A">
      <w:pPr>
        <w:pStyle w:val="Voetnoottekst"/>
      </w:pPr>
      <w:r w:rsidRPr="00E711A7">
        <w:rPr>
          <w:rStyle w:val="Voetnootmarkering"/>
        </w:rPr>
        <w:footnoteRef/>
      </w:r>
      <w:r w:rsidR="00795FBA">
        <w:t xml:space="preserve"> </w:t>
      </w:r>
      <w:r w:rsidRPr="00E711A7">
        <w:t xml:space="preserve">GILLES R., “Het statuut arbeider en bediende. Ook het collectief arbeidsrecht zal een bijdrage moeten leveren”, </w:t>
      </w:r>
      <w:r w:rsidRPr="00E711A7">
        <w:rPr>
          <w:i/>
          <w:iCs/>
        </w:rPr>
        <w:t xml:space="preserve">Kijk Uit </w:t>
      </w:r>
      <w:r w:rsidRPr="00E711A7">
        <w:t>2001, 5-6</w:t>
      </w:r>
      <w:r w:rsidR="00E711A7" w:rsidRPr="00E711A7">
        <w:t>.</w:t>
      </w:r>
    </w:p>
  </w:footnote>
  <w:footnote w:id="133">
    <w:p w14:paraId="387F6A81" w14:textId="49AD44DE" w:rsidR="00DA5E4C" w:rsidRPr="009378F6" w:rsidRDefault="00DA5E4C">
      <w:pPr>
        <w:pStyle w:val="Voetnoottekst"/>
      </w:pPr>
      <w:r w:rsidRPr="00CC0C6E">
        <w:rPr>
          <w:rStyle w:val="Voetnootmarkering"/>
        </w:rPr>
        <w:footnoteRef/>
      </w:r>
      <w:r w:rsidR="009E1240">
        <w:t xml:space="preserve"> </w:t>
      </w:r>
      <w:r w:rsidR="00F53104" w:rsidRPr="00CC0C6E">
        <w:t>N</w:t>
      </w:r>
      <w:r w:rsidRPr="00CC0C6E">
        <w:t xml:space="preserve">AR, </w:t>
      </w:r>
      <w:r w:rsidRPr="009378F6">
        <w:rPr>
          <w:i/>
          <w:iCs/>
        </w:rPr>
        <w:t xml:space="preserve">Rapport Nr. 97 – Harmonisering statuut arbeider /bediende – Aanvullende pensioenen – Art. 14/4 §2 van de WAP – Evaluatie, </w:t>
      </w:r>
      <w:r w:rsidRPr="009378F6">
        <w:t xml:space="preserve">7 juni 2016, 5-6 en de bijlagen; </w:t>
      </w:r>
      <w:bookmarkStart w:id="63" w:name="_Hlk225153830"/>
      <w:r w:rsidRPr="009378F6">
        <w:t xml:space="preserve">FEDERALE OVERHEIDSDIENST WERKGELEGENHEID, ARBEID EN SOCIAAL OVERLEG (FOD WASO), </w:t>
      </w:r>
      <w:r w:rsidRPr="009378F6">
        <w:rPr>
          <w:i/>
          <w:iCs/>
        </w:rPr>
        <w:t xml:space="preserve">2016 – Doorlichting van de sectorale aanvullende pensioenstelsels, </w:t>
      </w:r>
      <w:r w:rsidRPr="009378F6">
        <w:t>8 mei 2017</w:t>
      </w:r>
      <w:bookmarkEnd w:id="63"/>
      <w:r w:rsidR="00F53104" w:rsidRPr="009378F6">
        <w:t>.</w:t>
      </w:r>
    </w:p>
  </w:footnote>
  <w:footnote w:id="134">
    <w:p w14:paraId="2224534A" w14:textId="4832318E" w:rsidR="00295DB5" w:rsidRPr="009378F6" w:rsidRDefault="00295DB5" w:rsidP="00295DB5">
      <w:pPr>
        <w:pStyle w:val="Voetnoottekst"/>
      </w:pPr>
      <w:r w:rsidRPr="009378F6">
        <w:rPr>
          <w:rStyle w:val="Voetnootmarkering"/>
        </w:rPr>
        <w:footnoteRef/>
      </w:r>
      <w:r w:rsidR="009378F6" w:rsidRPr="009378F6">
        <w:t xml:space="preserve"> </w:t>
      </w:r>
      <w:r w:rsidRPr="009378F6">
        <w:t xml:space="preserve">KNOOPS S., </w:t>
      </w:r>
      <w:r w:rsidR="00F53104" w:rsidRPr="009378F6">
        <w:t>‘</w:t>
      </w:r>
      <w:r w:rsidRPr="009378F6">
        <w:t>Het eenheidsstatuut tussen arbeiders en bedienden in aanvullende pensioenen: tijd om de eindspurt in te zetten</w:t>
      </w:r>
      <w:r w:rsidR="00F53104" w:rsidRPr="009378F6">
        <w:t>’</w:t>
      </w:r>
      <w:r w:rsidRPr="009378F6">
        <w:t xml:space="preserve">, </w:t>
      </w:r>
      <w:proofErr w:type="spellStart"/>
      <w:r w:rsidRPr="009378F6">
        <w:rPr>
          <w:i/>
          <w:iCs/>
        </w:rPr>
        <w:t>Soc.Kron</w:t>
      </w:r>
      <w:proofErr w:type="spellEnd"/>
      <w:r w:rsidRPr="009378F6">
        <w:rPr>
          <w:i/>
          <w:iCs/>
        </w:rPr>
        <w:t xml:space="preserve">. </w:t>
      </w:r>
      <w:r w:rsidRPr="009378F6">
        <w:t>2021, afl. 5-6, 181-203</w:t>
      </w:r>
      <w:r w:rsidR="00F53104" w:rsidRPr="009378F6">
        <w:t>.</w:t>
      </w:r>
    </w:p>
  </w:footnote>
  <w:footnote w:id="135">
    <w:p w14:paraId="75C6DC31" w14:textId="552E01FF" w:rsidR="00635DDE" w:rsidRPr="009378F6" w:rsidRDefault="00635DDE">
      <w:pPr>
        <w:pStyle w:val="Voetnoottekst"/>
        <w:rPr>
          <w:lang w:val="fr-BE"/>
        </w:rPr>
      </w:pPr>
      <w:r w:rsidRPr="009378F6">
        <w:rPr>
          <w:rStyle w:val="Voetnootmarkering"/>
        </w:rPr>
        <w:footnoteRef/>
      </w:r>
      <w:r w:rsidR="009378F6" w:rsidRPr="009378F6">
        <w:rPr>
          <w:lang w:val="fr-BE"/>
        </w:rPr>
        <w:t xml:space="preserve"> </w:t>
      </w:r>
      <w:r w:rsidRPr="009378F6">
        <w:rPr>
          <w:lang w:val="fr-BE"/>
        </w:rPr>
        <w:t xml:space="preserve">DOYEN P., </w:t>
      </w:r>
      <w:r w:rsidR="00F53104" w:rsidRPr="009378F6">
        <w:rPr>
          <w:lang w:val="fr-BE"/>
        </w:rPr>
        <w:t>‘</w:t>
      </w:r>
      <w:r w:rsidRPr="009378F6">
        <w:rPr>
          <w:lang w:val="fr-BE"/>
        </w:rPr>
        <w:t>Pensions complémentaires d’entreprises: l’arrivée à maturité</w:t>
      </w:r>
      <w:r w:rsidR="00CC0C6E" w:rsidRPr="009378F6">
        <w:rPr>
          <w:lang w:val="fr-BE"/>
        </w:rPr>
        <w:t>?</w:t>
      </w:r>
      <w:r w:rsidR="00F53104" w:rsidRPr="009378F6">
        <w:rPr>
          <w:lang w:val="fr-BE"/>
        </w:rPr>
        <w:t>’</w:t>
      </w:r>
      <w:r w:rsidRPr="009378F6">
        <w:rPr>
          <w:lang w:val="fr-BE"/>
        </w:rPr>
        <w:t xml:space="preserve">, </w:t>
      </w:r>
      <w:r w:rsidRPr="009378F6">
        <w:rPr>
          <w:i/>
          <w:iCs/>
          <w:lang w:val="fr-BE"/>
        </w:rPr>
        <w:t xml:space="preserve">T. </w:t>
      </w:r>
      <w:proofErr w:type="spellStart"/>
      <w:r w:rsidRPr="009378F6">
        <w:rPr>
          <w:i/>
          <w:iCs/>
          <w:lang w:val="fr-BE"/>
        </w:rPr>
        <w:t>Verz</w:t>
      </w:r>
      <w:proofErr w:type="spellEnd"/>
      <w:r w:rsidRPr="009378F6">
        <w:rPr>
          <w:i/>
          <w:iCs/>
          <w:lang w:val="fr-BE"/>
        </w:rPr>
        <w:t xml:space="preserve">. </w:t>
      </w:r>
      <w:r w:rsidRPr="009378F6">
        <w:rPr>
          <w:lang w:val="fr-BE"/>
        </w:rPr>
        <w:t>2014, afl.3, nr. 388, 273</w:t>
      </w:r>
      <w:r w:rsidR="00F53104" w:rsidRPr="009378F6">
        <w:rPr>
          <w:lang w:val="fr-BE"/>
        </w:rPr>
        <w:t>.</w:t>
      </w:r>
    </w:p>
  </w:footnote>
  <w:footnote w:id="136">
    <w:p w14:paraId="0FAF8606" w14:textId="5374A37A" w:rsidR="008C7129" w:rsidRPr="009378F6" w:rsidRDefault="008C7129">
      <w:pPr>
        <w:pStyle w:val="Voetnoottekst"/>
      </w:pPr>
      <w:r w:rsidRPr="009378F6">
        <w:rPr>
          <w:rStyle w:val="Voetnootmarkering"/>
        </w:rPr>
        <w:footnoteRef/>
      </w:r>
      <w:r w:rsidR="009378F6" w:rsidRPr="009378F6">
        <w:t xml:space="preserve"> </w:t>
      </w:r>
      <w:r w:rsidR="00AF54E7" w:rsidRPr="009378F6">
        <w:t xml:space="preserve">KNOOPS S., </w:t>
      </w:r>
      <w:r w:rsidR="00F53104" w:rsidRPr="009378F6">
        <w:t>‘</w:t>
      </w:r>
      <w:r w:rsidR="00AF54E7" w:rsidRPr="009378F6">
        <w:t>Het eenheidsstatuut tussen arbeiders en bedienden in aanvullende pensioenen: tijd om de eindspurt in te zetten</w:t>
      </w:r>
      <w:r w:rsidR="00F53104" w:rsidRPr="009378F6">
        <w:t>’</w:t>
      </w:r>
      <w:r w:rsidR="00AF54E7" w:rsidRPr="009378F6">
        <w:t xml:space="preserve">, </w:t>
      </w:r>
      <w:proofErr w:type="spellStart"/>
      <w:r w:rsidR="00AF54E7" w:rsidRPr="009378F6">
        <w:rPr>
          <w:i/>
          <w:iCs/>
        </w:rPr>
        <w:t>Soc.Kron</w:t>
      </w:r>
      <w:proofErr w:type="spellEnd"/>
      <w:r w:rsidR="00AF54E7" w:rsidRPr="009378F6">
        <w:rPr>
          <w:i/>
          <w:iCs/>
        </w:rPr>
        <w:t xml:space="preserve">. </w:t>
      </w:r>
      <w:r w:rsidR="00AF54E7" w:rsidRPr="009378F6">
        <w:t>2021, afl. 5-6, 181-203</w:t>
      </w:r>
      <w:r w:rsidR="00F53104" w:rsidRPr="009378F6">
        <w:t>.</w:t>
      </w:r>
    </w:p>
  </w:footnote>
  <w:footnote w:id="137">
    <w:p w14:paraId="01E7F919" w14:textId="5E6262F1" w:rsidR="00AF54E7" w:rsidRPr="00F920E9" w:rsidRDefault="00AF54E7">
      <w:pPr>
        <w:pStyle w:val="Voetnoottekst"/>
        <w:rPr>
          <w:lang w:val="fr-BE"/>
        </w:rPr>
      </w:pPr>
      <w:r w:rsidRPr="009378F6">
        <w:rPr>
          <w:rStyle w:val="Voetnootmarkering"/>
        </w:rPr>
        <w:footnoteRef/>
      </w:r>
      <w:r w:rsidR="009378F6" w:rsidRPr="00F920E9">
        <w:rPr>
          <w:lang w:val="fr-BE"/>
        </w:rPr>
        <w:t xml:space="preserve"> </w:t>
      </w:r>
      <w:r w:rsidRPr="00F920E9">
        <w:rPr>
          <w:lang w:val="fr-BE"/>
        </w:rPr>
        <w:t>DOYEN P., “Pensions complémentaires d’entr</w:t>
      </w:r>
      <w:r w:rsidR="00BB4773" w:rsidRPr="00F920E9">
        <w:rPr>
          <w:lang w:val="fr-BE"/>
        </w:rPr>
        <w:t>e</w:t>
      </w:r>
      <w:r w:rsidRPr="00F920E9">
        <w:rPr>
          <w:lang w:val="fr-BE"/>
        </w:rPr>
        <w:t>prises: l’arrivée à maturité?</w:t>
      </w:r>
      <w:r w:rsidR="00CC0C6E" w:rsidRPr="00F920E9">
        <w:rPr>
          <w:lang w:val="fr-BE"/>
        </w:rPr>
        <w:t>’</w:t>
      </w:r>
      <w:r w:rsidRPr="00F920E9">
        <w:rPr>
          <w:lang w:val="fr-BE"/>
        </w:rPr>
        <w:t xml:space="preserve">, </w:t>
      </w:r>
      <w:proofErr w:type="spellStart"/>
      <w:r w:rsidRPr="00F920E9">
        <w:rPr>
          <w:i/>
          <w:iCs/>
          <w:lang w:val="fr-BE"/>
        </w:rPr>
        <w:t>T.Verz</w:t>
      </w:r>
      <w:proofErr w:type="spellEnd"/>
      <w:r w:rsidRPr="00F920E9">
        <w:rPr>
          <w:i/>
          <w:iCs/>
          <w:lang w:val="fr-BE"/>
        </w:rPr>
        <w:t xml:space="preserve">. </w:t>
      </w:r>
      <w:r w:rsidRPr="00F920E9">
        <w:rPr>
          <w:lang w:val="fr-BE"/>
        </w:rPr>
        <w:t xml:space="preserve">2014, </w:t>
      </w:r>
      <w:proofErr w:type="spellStart"/>
      <w:r w:rsidRPr="00F920E9">
        <w:rPr>
          <w:lang w:val="fr-BE"/>
        </w:rPr>
        <w:t>afl</w:t>
      </w:r>
      <w:proofErr w:type="spellEnd"/>
      <w:r w:rsidRPr="00F920E9">
        <w:rPr>
          <w:lang w:val="fr-BE"/>
        </w:rPr>
        <w:t>. 3, nr.388, 273;</w:t>
      </w:r>
      <w:r w:rsidR="00712464" w:rsidRPr="00F920E9">
        <w:rPr>
          <w:lang w:val="fr-BE"/>
        </w:rPr>
        <w:t xml:space="preserve"> FSMA, </w:t>
      </w:r>
      <w:proofErr w:type="spellStart"/>
      <w:r w:rsidR="00712464" w:rsidRPr="00F920E9">
        <w:rPr>
          <w:i/>
          <w:iCs/>
          <w:lang w:val="fr-BE"/>
        </w:rPr>
        <w:t>Tweejaarlijks</w:t>
      </w:r>
      <w:proofErr w:type="spellEnd"/>
      <w:r w:rsidR="00712464" w:rsidRPr="00F920E9">
        <w:rPr>
          <w:i/>
          <w:iCs/>
          <w:lang w:val="fr-BE"/>
        </w:rPr>
        <w:t xml:space="preserve"> </w:t>
      </w:r>
      <w:proofErr w:type="spellStart"/>
      <w:r w:rsidR="00712464" w:rsidRPr="00F920E9">
        <w:rPr>
          <w:i/>
          <w:iCs/>
          <w:lang w:val="fr-BE"/>
        </w:rPr>
        <w:t>verslag</w:t>
      </w:r>
      <w:proofErr w:type="spellEnd"/>
      <w:r w:rsidR="00712464" w:rsidRPr="00F920E9">
        <w:rPr>
          <w:i/>
          <w:iCs/>
          <w:lang w:val="fr-BE"/>
        </w:rPr>
        <w:t xml:space="preserve"> </w:t>
      </w:r>
      <w:proofErr w:type="spellStart"/>
      <w:r w:rsidR="00712464" w:rsidRPr="00F920E9">
        <w:rPr>
          <w:i/>
          <w:iCs/>
          <w:lang w:val="fr-BE"/>
        </w:rPr>
        <w:t>betreffende</w:t>
      </w:r>
      <w:proofErr w:type="spellEnd"/>
      <w:r w:rsidR="00712464" w:rsidRPr="00F920E9">
        <w:rPr>
          <w:i/>
          <w:iCs/>
          <w:lang w:val="fr-BE"/>
        </w:rPr>
        <w:t xml:space="preserve"> de </w:t>
      </w:r>
      <w:proofErr w:type="spellStart"/>
      <w:r w:rsidR="00712464" w:rsidRPr="00F920E9">
        <w:rPr>
          <w:i/>
          <w:iCs/>
          <w:lang w:val="fr-BE"/>
        </w:rPr>
        <w:t>sectorale</w:t>
      </w:r>
      <w:proofErr w:type="spellEnd"/>
      <w:r w:rsidR="00712464" w:rsidRPr="00F920E9">
        <w:rPr>
          <w:i/>
          <w:iCs/>
          <w:lang w:val="fr-BE"/>
        </w:rPr>
        <w:t xml:space="preserve"> </w:t>
      </w:r>
      <w:proofErr w:type="spellStart"/>
      <w:r w:rsidR="00712464" w:rsidRPr="00F920E9">
        <w:rPr>
          <w:i/>
          <w:iCs/>
          <w:lang w:val="fr-BE"/>
        </w:rPr>
        <w:t>pensioenstelsels</w:t>
      </w:r>
      <w:proofErr w:type="spellEnd"/>
      <w:r w:rsidR="00712464" w:rsidRPr="00F920E9">
        <w:rPr>
          <w:i/>
          <w:iCs/>
          <w:lang w:val="fr-BE"/>
        </w:rPr>
        <w:t xml:space="preserve">, </w:t>
      </w:r>
      <w:proofErr w:type="spellStart"/>
      <w:r w:rsidR="00712464" w:rsidRPr="00F920E9">
        <w:rPr>
          <w:lang w:val="fr-BE"/>
        </w:rPr>
        <w:t>juli</w:t>
      </w:r>
      <w:proofErr w:type="spellEnd"/>
      <w:r w:rsidR="00712464" w:rsidRPr="00F920E9">
        <w:rPr>
          <w:lang w:val="fr-BE"/>
        </w:rPr>
        <w:t xml:space="preserve"> 2023, </w:t>
      </w:r>
      <w:hyperlink r:id="rId6" w:history="1">
        <w:r w:rsidR="00712464" w:rsidRPr="00F920E9">
          <w:rPr>
            <w:rStyle w:val="Hyperlink"/>
            <w:lang w:val="fr-BE"/>
          </w:rPr>
          <w:t>https://www.fsma.be/nl/tweejaarlijkse-verslagen</w:t>
        </w:r>
      </w:hyperlink>
      <w:r w:rsidR="00712464" w:rsidRPr="00F920E9">
        <w:rPr>
          <w:lang w:val="fr-BE"/>
        </w:rPr>
        <w:t xml:space="preserve">, 21. </w:t>
      </w:r>
    </w:p>
  </w:footnote>
  <w:footnote w:id="138">
    <w:p w14:paraId="3C66D8D2" w14:textId="651F488C" w:rsidR="00F37868" w:rsidRPr="004524A1" w:rsidRDefault="00F37868">
      <w:pPr>
        <w:pStyle w:val="Voetnoottekst"/>
        <w:rPr>
          <w:color w:val="00B050"/>
        </w:rPr>
      </w:pPr>
      <w:r w:rsidRPr="009378F6">
        <w:rPr>
          <w:rStyle w:val="Voetnootmarkering"/>
        </w:rPr>
        <w:footnoteRef/>
      </w:r>
      <w:r w:rsidRPr="009378F6">
        <w:t xml:space="preserve"> FSMA, </w:t>
      </w:r>
      <w:r w:rsidRPr="009378F6">
        <w:rPr>
          <w:i/>
          <w:iCs/>
        </w:rPr>
        <w:t xml:space="preserve">Tweejaarlijks verslag betreffende de sectorale pensioenstelsels, </w:t>
      </w:r>
      <w:r w:rsidRPr="009378F6">
        <w:t>2019, 8, 10, 72</w:t>
      </w:r>
      <w:r w:rsidR="00CC0C6E" w:rsidRPr="009378F6">
        <w:t>.</w:t>
      </w:r>
    </w:p>
  </w:footnote>
  <w:footnote w:id="139">
    <w:p w14:paraId="3814E777" w14:textId="103C29C1" w:rsidR="00E33F72" w:rsidRPr="00475A5B" w:rsidRDefault="00E33F72">
      <w:pPr>
        <w:pStyle w:val="Voetnoottekst"/>
      </w:pPr>
      <w:r w:rsidRPr="00475A5B">
        <w:rPr>
          <w:rStyle w:val="Voetnootmarkering"/>
        </w:rPr>
        <w:footnoteRef/>
      </w:r>
      <w:r w:rsidR="00F23539">
        <w:t xml:space="preserve"> </w:t>
      </w:r>
      <w:r w:rsidRPr="00475A5B">
        <w:t xml:space="preserve">FSMA, </w:t>
      </w:r>
      <w:r w:rsidRPr="00475A5B">
        <w:rPr>
          <w:i/>
          <w:iCs/>
        </w:rPr>
        <w:t xml:space="preserve">Tweejaarlijks verslag betreffende de sectorale pensioenstelsels, </w:t>
      </w:r>
      <w:r w:rsidRPr="00475A5B">
        <w:t xml:space="preserve">juli 2023, </w:t>
      </w:r>
      <w:hyperlink r:id="rId7" w:history="1">
        <w:r w:rsidRPr="00475A5B">
          <w:rPr>
            <w:rStyle w:val="Hyperlink"/>
          </w:rPr>
          <w:t>https://www.fsma.be/nl/tweejaarlijkse-verslagen</w:t>
        </w:r>
      </w:hyperlink>
      <w:r w:rsidRPr="00475A5B">
        <w:t>, 21.</w:t>
      </w:r>
    </w:p>
  </w:footnote>
  <w:footnote w:id="140">
    <w:p w14:paraId="50E56A11" w14:textId="6F1A9692" w:rsidR="006064E0" w:rsidRPr="00475A5B" w:rsidRDefault="006064E0" w:rsidP="006064E0">
      <w:pPr>
        <w:pStyle w:val="Voetnoottekst"/>
      </w:pPr>
      <w:r w:rsidRPr="00475A5B">
        <w:rPr>
          <w:rStyle w:val="Voetnootmarkering"/>
        </w:rPr>
        <w:footnoteRef/>
      </w:r>
      <w:r w:rsidR="00F23539">
        <w:t xml:space="preserve"> </w:t>
      </w:r>
      <w:r w:rsidRPr="00475A5B">
        <w:t xml:space="preserve">FSMA, </w:t>
      </w:r>
      <w:r w:rsidRPr="00475A5B">
        <w:rPr>
          <w:i/>
          <w:iCs/>
        </w:rPr>
        <w:t xml:space="preserve">Tweejaarlijks verslag betreffende de sectorale pensioenstelsels, </w:t>
      </w:r>
      <w:r w:rsidRPr="00475A5B">
        <w:t xml:space="preserve">2019, 8, 10. </w:t>
      </w:r>
    </w:p>
  </w:footnote>
  <w:footnote w:id="141">
    <w:p w14:paraId="13361E48" w14:textId="6A0F477D" w:rsidR="001B64F5" w:rsidRPr="00475A5B" w:rsidRDefault="001B64F5">
      <w:pPr>
        <w:pStyle w:val="Voetnoottekst"/>
      </w:pPr>
      <w:r w:rsidRPr="00475A5B">
        <w:rPr>
          <w:rStyle w:val="Voetnootmarkering"/>
        </w:rPr>
        <w:footnoteRef/>
      </w:r>
      <w:r w:rsidR="00F23539">
        <w:t xml:space="preserve"> </w:t>
      </w:r>
      <w:r w:rsidRPr="00475A5B">
        <w:t xml:space="preserve">KNOOPS S., </w:t>
      </w:r>
      <w:r w:rsidRPr="00475A5B">
        <w:rPr>
          <w:i/>
          <w:iCs/>
        </w:rPr>
        <w:t xml:space="preserve">Een analyse van het gelijkheidsbeginsel bij aanvullende pensioenen voor deeltijdse en tijdelijke werknemers, voor arbeiders en bedienden en voor jongere en oudere werknemers, </w:t>
      </w:r>
      <w:r w:rsidRPr="00475A5B">
        <w:t>Antwerpen, Universiteit Antwerpen, 2024</w:t>
      </w:r>
      <w:r w:rsidR="00C653BE" w:rsidRPr="00475A5B">
        <w:t>, 410</w:t>
      </w:r>
      <w:r w:rsidR="00475A5B" w:rsidRPr="00475A5B">
        <w:t>.</w:t>
      </w:r>
    </w:p>
  </w:footnote>
  <w:footnote w:id="142">
    <w:p w14:paraId="54FB333A" w14:textId="43C626F2" w:rsidR="009E2E03" w:rsidRPr="0058444E" w:rsidRDefault="009E2E03">
      <w:pPr>
        <w:pStyle w:val="Voetnoottekst"/>
      </w:pPr>
      <w:r w:rsidRPr="00475A5B">
        <w:rPr>
          <w:rStyle w:val="Voetnootmarkering"/>
        </w:rPr>
        <w:footnoteRef/>
      </w:r>
      <w:bookmarkStart w:id="66" w:name="_Hlk227664762"/>
      <w:r w:rsidR="00F23539">
        <w:t xml:space="preserve"> </w:t>
      </w:r>
      <w:r w:rsidRPr="00475A5B">
        <w:t xml:space="preserve">DE SOMVIELE I., “PC 200 effent pad voor harmonisatietraject arbeiders en bedienden”, </w:t>
      </w:r>
      <w:r w:rsidRPr="00475A5B">
        <w:rPr>
          <w:i/>
          <w:iCs/>
        </w:rPr>
        <w:t>Life &amp; Benefits</w:t>
      </w:r>
      <w:r w:rsidRPr="00475A5B">
        <w:t xml:space="preserve"> 2019, afl. 10, 6;</w:t>
      </w:r>
      <w:r w:rsidR="006336DE" w:rsidRPr="00475A5B">
        <w:t xml:space="preserve"> </w:t>
      </w:r>
      <w:bookmarkEnd w:id="66"/>
      <w:r w:rsidR="006336DE" w:rsidRPr="00475A5B">
        <w:t xml:space="preserve">KNOOPS S., </w:t>
      </w:r>
      <w:r w:rsidR="006336DE" w:rsidRPr="00475A5B">
        <w:rPr>
          <w:i/>
          <w:iCs/>
        </w:rPr>
        <w:t xml:space="preserve">Een analyse van het gelijkheidsbeginsel bij aanvullende pensioenen voor deeltijdse en tijdelijke werknemers, voor arbeiders en bedienden en voor jongere en oudere werknemers, </w:t>
      </w:r>
      <w:proofErr w:type="spellStart"/>
      <w:r w:rsidR="00F23539">
        <w:t>Intersentia</w:t>
      </w:r>
      <w:proofErr w:type="spellEnd"/>
      <w:r w:rsidR="00F23539">
        <w:t>,</w:t>
      </w:r>
      <w:r w:rsidR="006336DE" w:rsidRPr="00475A5B">
        <w:t xml:space="preserve"> 2024, 410</w:t>
      </w:r>
      <w:r w:rsidR="00475A5B" w:rsidRPr="00475A5B">
        <w:t>.</w:t>
      </w:r>
    </w:p>
  </w:footnote>
  <w:footnote w:id="143">
    <w:p w14:paraId="74FA13F5" w14:textId="76CBF551" w:rsidR="00E2792F" w:rsidRPr="00A4237A" w:rsidRDefault="00E2792F">
      <w:pPr>
        <w:pStyle w:val="Voetnoottekst"/>
      </w:pPr>
      <w:r>
        <w:rPr>
          <w:rStyle w:val="Voetnootmarkering"/>
        </w:rPr>
        <w:footnoteRef/>
      </w:r>
      <w:r w:rsidR="0047762A">
        <w:t xml:space="preserve"> </w:t>
      </w:r>
      <w:r w:rsidRPr="00A61C9D">
        <w:t xml:space="preserve">KNOOPS S., </w:t>
      </w:r>
      <w:r w:rsidRPr="00A61C9D">
        <w:rPr>
          <w:i/>
          <w:iCs/>
        </w:rPr>
        <w:t xml:space="preserve">De toepassing en handhaving van het gelijkheidsbeginsel bij aanvullende pensioenen, </w:t>
      </w:r>
      <w:r w:rsidRPr="00A61C9D">
        <w:t xml:space="preserve">Brussel, </w:t>
      </w:r>
      <w:proofErr w:type="spellStart"/>
      <w:r w:rsidRPr="00A61C9D">
        <w:t>Intersentia</w:t>
      </w:r>
      <w:proofErr w:type="spellEnd"/>
      <w:r w:rsidRPr="00A61C9D">
        <w:t>, 2024, 411;</w:t>
      </w:r>
      <w:r w:rsidR="00A4237A" w:rsidRPr="00A61C9D">
        <w:t xml:space="preserve"> PAQUES S., ‘Le point </w:t>
      </w:r>
      <w:proofErr w:type="spellStart"/>
      <w:r w:rsidR="00A4237A" w:rsidRPr="00A61C9D">
        <w:t>sur</w:t>
      </w:r>
      <w:proofErr w:type="spellEnd"/>
      <w:r w:rsidR="00A4237A" w:rsidRPr="00A61C9D">
        <w:t xml:space="preserve"> </w:t>
      </w:r>
      <w:proofErr w:type="spellStart"/>
      <w:r w:rsidR="00A4237A" w:rsidRPr="00A61C9D">
        <w:t>l’harmonisation</w:t>
      </w:r>
      <w:proofErr w:type="spellEnd"/>
      <w:r w:rsidR="00A4237A" w:rsidRPr="00A61C9D">
        <w:t xml:space="preserve"> </w:t>
      </w:r>
      <w:proofErr w:type="spellStart"/>
      <w:r w:rsidR="00A4237A" w:rsidRPr="00A61C9D">
        <w:t>ouvrier</w:t>
      </w:r>
      <w:proofErr w:type="spellEnd"/>
      <w:r w:rsidR="00A4237A" w:rsidRPr="00A61C9D">
        <w:t>/em</w:t>
      </w:r>
      <w:r w:rsidR="00DD5AF5">
        <w:t>p</w:t>
      </w:r>
      <w:r w:rsidR="00A4237A" w:rsidRPr="00A61C9D">
        <w:t xml:space="preserve">loyé dans les pensions </w:t>
      </w:r>
      <w:proofErr w:type="spellStart"/>
      <w:r w:rsidR="00A4237A" w:rsidRPr="00A61C9D">
        <w:t>complémentaires</w:t>
      </w:r>
      <w:proofErr w:type="spellEnd"/>
      <w:r w:rsidR="00A4237A" w:rsidRPr="00A61C9D">
        <w:t xml:space="preserve">’, </w:t>
      </w:r>
      <w:proofErr w:type="spellStart"/>
      <w:r w:rsidR="00A4237A" w:rsidRPr="00A61C9D">
        <w:rPr>
          <w:i/>
          <w:iCs/>
        </w:rPr>
        <w:t>Ors</w:t>
      </w:r>
      <w:proofErr w:type="spellEnd"/>
      <w:r w:rsidR="00A4237A" w:rsidRPr="00A61C9D">
        <w:rPr>
          <w:i/>
          <w:iCs/>
        </w:rPr>
        <w:t xml:space="preserve">. </w:t>
      </w:r>
      <w:r w:rsidR="00A4237A" w:rsidRPr="00A61C9D">
        <w:t>2017, afl. 6, 7.</w:t>
      </w:r>
    </w:p>
  </w:footnote>
  <w:footnote w:id="144">
    <w:p w14:paraId="71263B0E" w14:textId="5F9154CB" w:rsidR="005D1EE6" w:rsidRPr="00E87A1F" w:rsidRDefault="005D1EE6">
      <w:pPr>
        <w:pStyle w:val="Voetnoottekst"/>
      </w:pPr>
      <w:r w:rsidRPr="006E3BB2">
        <w:rPr>
          <w:rStyle w:val="Voetnootmarkering"/>
        </w:rPr>
        <w:footnoteRef/>
      </w:r>
      <w:r w:rsidR="0047762A">
        <w:t xml:space="preserve"> </w:t>
      </w:r>
      <w:r w:rsidRPr="006E3BB2">
        <w:t xml:space="preserve">DE SOMVIELE I. en VAN DAMME A., </w:t>
      </w:r>
      <w:r w:rsidR="00A61C9D" w:rsidRPr="006E3BB2">
        <w:t>‘</w:t>
      </w:r>
      <w:r w:rsidRPr="006E3BB2">
        <w:t>In 10 jaar tijd naar een eenheidsstatuut op vlak van aanvullende pensioenen</w:t>
      </w:r>
      <w:r w:rsidR="00A61C9D" w:rsidRPr="006E3BB2">
        <w:t>’</w:t>
      </w:r>
      <w:r w:rsidRPr="006E3BB2">
        <w:t xml:space="preserve">, </w:t>
      </w:r>
      <w:r w:rsidRPr="006E3BB2">
        <w:rPr>
          <w:i/>
          <w:iCs/>
        </w:rPr>
        <w:t xml:space="preserve">Or. </w:t>
      </w:r>
      <w:r w:rsidRPr="006E3BB2">
        <w:t xml:space="preserve">2014, afl. 6, 162; DE SOMVIELE I. en VAN DAMME A., </w:t>
      </w:r>
      <w:r w:rsidR="00383D15" w:rsidRPr="006E3BB2">
        <w:rPr>
          <w:i/>
          <w:iCs/>
        </w:rPr>
        <w:t xml:space="preserve">Aanvullende pensioenen: een basishandleiding, </w:t>
      </w:r>
      <w:r w:rsidR="00383D15" w:rsidRPr="006E3BB2">
        <w:t xml:space="preserve">Mechelen, Kluwer, 2016, 70; </w:t>
      </w:r>
      <w:r w:rsidR="005E50C8" w:rsidRPr="006E3BB2">
        <w:t xml:space="preserve">DE SOMVIELE I., </w:t>
      </w:r>
      <w:r w:rsidR="006E3BB2" w:rsidRPr="006E3BB2">
        <w:t>‘</w:t>
      </w:r>
      <w:r w:rsidR="005E50C8" w:rsidRPr="006E3BB2">
        <w:t>PC 200 effent pad voor harmonisatietraject arbeiders en bedienden</w:t>
      </w:r>
      <w:r w:rsidR="006E3BB2" w:rsidRPr="006E3BB2">
        <w:t>’</w:t>
      </w:r>
      <w:r w:rsidR="005E50C8" w:rsidRPr="006E3BB2">
        <w:t xml:space="preserve">, </w:t>
      </w:r>
      <w:r w:rsidR="005E50C8" w:rsidRPr="006E3BB2">
        <w:rPr>
          <w:i/>
          <w:iCs/>
        </w:rPr>
        <w:t xml:space="preserve">Life &amp; </w:t>
      </w:r>
      <w:r w:rsidR="005E50C8" w:rsidRPr="00E87A1F">
        <w:rPr>
          <w:i/>
          <w:iCs/>
        </w:rPr>
        <w:t>Benefits</w:t>
      </w:r>
      <w:r w:rsidR="005E50C8" w:rsidRPr="00E87A1F">
        <w:t xml:space="preserve"> 2019, afl. 10, 6</w:t>
      </w:r>
      <w:r w:rsidR="006E3BB2" w:rsidRPr="00E87A1F">
        <w:t>.</w:t>
      </w:r>
    </w:p>
  </w:footnote>
  <w:footnote w:id="145">
    <w:p w14:paraId="606B35B8" w14:textId="656EDE7D" w:rsidR="00BA624B" w:rsidRPr="00BA624B" w:rsidRDefault="00BA624B">
      <w:pPr>
        <w:pStyle w:val="Voetnoottekst"/>
      </w:pPr>
      <w:r w:rsidRPr="00E87A1F">
        <w:rPr>
          <w:rStyle w:val="Voetnootmarkering"/>
        </w:rPr>
        <w:footnoteRef/>
      </w:r>
      <w:r w:rsidR="0047762A">
        <w:t xml:space="preserve"> </w:t>
      </w:r>
      <w:r w:rsidRPr="00E87A1F">
        <w:t xml:space="preserve">NAR, </w:t>
      </w:r>
      <w:r w:rsidRPr="00E87A1F">
        <w:rPr>
          <w:i/>
          <w:iCs/>
        </w:rPr>
        <w:t xml:space="preserve">Advies nr. 1.893 – Voorontwerp van wet tot instelling van een wettelijk kader voor de geleidelijke opheffing van de verschillen in behandeling die berusten op het onderscheid tussen arbeiders en bedienden inzake aanvullende pensioenen, </w:t>
      </w:r>
      <w:r w:rsidRPr="00E87A1F">
        <w:t>12 februari 2014, 9</w:t>
      </w:r>
      <w:r w:rsidR="00E87A1F" w:rsidRPr="00E87A1F">
        <w:t>.</w:t>
      </w:r>
    </w:p>
  </w:footnote>
  <w:footnote w:id="146">
    <w:p w14:paraId="49F202F4" w14:textId="23459DDC" w:rsidR="00F87FEB" w:rsidRPr="0099153D" w:rsidRDefault="00F87FEB">
      <w:pPr>
        <w:pStyle w:val="Voetnoottekst"/>
      </w:pPr>
      <w:r>
        <w:rPr>
          <w:rStyle w:val="Voetnootmarkering"/>
        </w:rPr>
        <w:footnoteRef/>
      </w:r>
      <w:r w:rsidRPr="0099153D">
        <w:t xml:space="preserve"> </w:t>
      </w:r>
      <w:r w:rsidRPr="00274264">
        <w:t>Art. 3 §1 5° a) en art.</w:t>
      </w:r>
      <w:r w:rsidR="00EF4BB4" w:rsidRPr="00274264">
        <w:t>7/1 WAP, art 8/1 WAP</w:t>
      </w:r>
      <w:r w:rsidR="0099153D" w:rsidRPr="00274264">
        <w:t xml:space="preserve">; ROELS P. </w:t>
      </w:r>
      <w:r w:rsidR="00274264" w:rsidRPr="00274264">
        <w:t>‘</w:t>
      </w:r>
      <w:r w:rsidR="0099153D" w:rsidRPr="00274264">
        <w:t>Naar een eenheidsstatuut voor aanvullende pensioenen</w:t>
      </w:r>
      <w:r w:rsidR="00274264" w:rsidRPr="00274264">
        <w:t>’</w:t>
      </w:r>
      <w:r w:rsidR="0099153D" w:rsidRPr="00274264">
        <w:t xml:space="preserve">, </w:t>
      </w:r>
      <w:r w:rsidR="0099153D" w:rsidRPr="00274264">
        <w:rPr>
          <w:i/>
          <w:iCs/>
        </w:rPr>
        <w:t xml:space="preserve">Life &amp; Benefits </w:t>
      </w:r>
      <w:r w:rsidR="0099153D" w:rsidRPr="00274264">
        <w:t>2014, nr.4, 3</w:t>
      </w:r>
      <w:r w:rsidR="00274264" w:rsidRPr="00274264">
        <w:t>.</w:t>
      </w:r>
    </w:p>
  </w:footnote>
  <w:footnote w:id="147">
    <w:p w14:paraId="1F837321" w14:textId="695A4D14" w:rsidR="00C07D5D" w:rsidRPr="0068256D" w:rsidRDefault="00C07D5D">
      <w:pPr>
        <w:pStyle w:val="Voetnoottekst"/>
        <w:rPr>
          <w:lang w:val="fr-BE"/>
        </w:rPr>
      </w:pPr>
      <w:r w:rsidRPr="008046EA">
        <w:rPr>
          <w:rStyle w:val="Voetnootmarkering"/>
        </w:rPr>
        <w:footnoteRef/>
      </w:r>
      <w:r w:rsidR="0047762A">
        <w:rPr>
          <w:lang w:val="fr-BE"/>
        </w:rPr>
        <w:t xml:space="preserve"> </w:t>
      </w:r>
      <w:r w:rsidR="0068256D" w:rsidRPr="008046EA">
        <w:rPr>
          <w:lang w:val="fr-BE"/>
        </w:rPr>
        <w:t xml:space="preserve">DELOGNE F., </w:t>
      </w:r>
      <w:r w:rsidR="00D94D2A" w:rsidRPr="008046EA">
        <w:rPr>
          <w:lang w:val="fr-BE"/>
        </w:rPr>
        <w:t>‘</w:t>
      </w:r>
      <w:r w:rsidR="0068256D" w:rsidRPr="008046EA">
        <w:rPr>
          <w:lang w:val="fr-BE"/>
        </w:rPr>
        <w:t>Régimes complémentaires de pension (2</w:t>
      </w:r>
      <w:r w:rsidR="0068256D" w:rsidRPr="008046EA">
        <w:rPr>
          <w:vertAlign w:val="superscript"/>
          <w:lang w:val="fr-BE"/>
        </w:rPr>
        <w:t>e</w:t>
      </w:r>
      <w:r w:rsidR="0068256D" w:rsidRPr="008046EA">
        <w:rPr>
          <w:lang w:val="fr-BE"/>
        </w:rPr>
        <w:t xml:space="preserve"> partie): Statut unique ouvriers/employés et informations alliés dur leurs droits à pension</w:t>
      </w:r>
      <w:r w:rsidR="00D94D2A" w:rsidRPr="008046EA">
        <w:rPr>
          <w:lang w:val="fr-BE"/>
        </w:rPr>
        <w:t>’</w:t>
      </w:r>
      <w:r w:rsidR="007C67B5" w:rsidRPr="008046EA">
        <w:rPr>
          <w:lang w:val="fr-BE"/>
        </w:rPr>
        <w:t xml:space="preserve">, </w:t>
      </w:r>
      <w:proofErr w:type="spellStart"/>
      <w:r w:rsidR="007C67B5" w:rsidRPr="008046EA">
        <w:rPr>
          <w:i/>
          <w:iCs/>
          <w:lang w:val="fr-BE"/>
        </w:rPr>
        <w:t>For.ass</w:t>
      </w:r>
      <w:proofErr w:type="spellEnd"/>
      <w:r w:rsidR="007C67B5" w:rsidRPr="008046EA">
        <w:rPr>
          <w:i/>
          <w:iCs/>
          <w:lang w:val="fr-BE"/>
        </w:rPr>
        <w:t xml:space="preserve">. </w:t>
      </w:r>
      <w:r w:rsidR="007C67B5" w:rsidRPr="008046EA">
        <w:rPr>
          <w:lang w:val="fr-BE"/>
        </w:rPr>
        <w:t xml:space="preserve">2014, nr. 147,187; </w:t>
      </w:r>
      <w:r w:rsidRPr="008046EA">
        <w:rPr>
          <w:lang w:val="fr-BE"/>
        </w:rPr>
        <w:t xml:space="preserve">KNOOPS S., </w:t>
      </w:r>
      <w:r w:rsidRPr="008046EA">
        <w:rPr>
          <w:i/>
          <w:iCs/>
          <w:lang w:val="fr-BE"/>
        </w:rPr>
        <w:t xml:space="preserve">De </w:t>
      </w:r>
      <w:proofErr w:type="spellStart"/>
      <w:r w:rsidRPr="008046EA">
        <w:rPr>
          <w:i/>
          <w:iCs/>
          <w:lang w:val="fr-BE"/>
        </w:rPr>
        <w:t>toepassing</w:t>
      </w:r>
      <w:proofErr w:type="spellEnd"/>
      <w:r w:rsidRPr="008046EA">
        <w:rPr>
          <w:i/>
          <w:iCs/>
          <w:lang w:val="fr-BE"/>
        </w:rPr>
        <w:t xml:space="preserve"> en </w:t>
      </w:r>
      <w:proofErr w:type="spellStart"/>
      <w:r w:rsidRPr="008046EA">
        <w:rPr>
          <w:i/>
          <w:iCs/>
          <w:lang w:val="fr-BE"/>
        </w:rPr>
        <w:t>handhaving</w:t>
      </w:r>
      <w:proofErr w:type="spellEnd"/>
      <w:r w:rsidRPr="008046EA">
        <w:rPr>
          <w:i/>
          <w:iCs/>
          <w:lang w:val="fr-BE"/>
        </w:rPr>
        <w:t xml:space="preserve"> van het </w:t>
      </w:r>
      <w:proofErr w:type="spellStart"/>
      <w:r w:rsidRPr="008046EA">
        <w:rPr>
          <w:i/>
          <w:iCs/>
          <w:lang w:val="fr-BE"/>
        </w:rPr>
        <w:t>gelijkheidsbeginsel</w:t>
      </w:r>
      <w:proofErr w:type="spellEnd"/>
      <w:r w:rsidRPr="008046EA">
        <w:rPr>
          <w:i/>
          <w:iCs/>
          <w:lang w:val="fr-BE"/>
        </w:rPr>
        <w:t xml:space="preserve"> </w:t>
      </w:r>
      <w:proofErr w:type="spellStart"/>
      <w:r w:rsidRPr="008046EA">
        <w:rPr>
          <w:i/>
          <w:iCs/>
          <w:lang w:val="fr-BE"/>
        </w:rPr>
        <w:t>bij</w:t>
      </w:r>
      <w:proofErr w:type="spellEnd"/>
      <w:r w:rsidRPr="008046EA">
        <w:rPr>
          <w:i/>
          <w:iCs/>
          <w:lang w:val="fr-BE"/>
        </w:rPr>
        <w:t xml:space="preserve"> </w:t>
      </w:r>
      <w:proofErr w:type="spellStart"/>
      <w:r w:rsidRPr="008046EA">
        <w:rPr>
          <w:i/>
          <w:iCs/>
          <w:lang w:val="fr-BE"/>
        </w:rPr>
        <w:t>aanvullende</w:t>
      </w:r>
      <w:proofErr w:type="spellEnd"/>
      <w:r w:rsidRPr="008046EA">
        <w:rPr>
          <w:i/>
          <w:iCs/>
          <w:lang w:val="fr-BE"/>
        </w:rPr>
        <w:t xml:space="preserve"> </w:t>
      </w:r>
      <w:proofErr w:type="spellStart"/>
      <w:r w:rsidRPr="008046EA">
        <w:rPr>
          <w:i/>
          <w:iCs/>
          <w:lang w:val="fr-BE"/>
        </w:rPr>
        <w:t>pensioenen</w:t>
      </w:r>
      <w:proofErr w:type="spellEnd"/>
      <w:r w:rsidRPr="008046EA">
        <w:rPr>
          <w:i/>
          <w:iCs/>
          <w:lang w:val="fr-BE"/>
        </w:rPr>
        <w:t>,</w:t>
      </w:r>
      <w:r w:rsidRPr="008046EA">
        <w:rPr>
          <w:lang w:val="fr-BE"/>
        </w:rPr>
        <w:t xml:space="preserve"> </w:t>
      </w:r>
      <w:proofErr w:type="spellStart"/>
      <w:r w:rsidRPr="008046EA">
        <w:rPr>
          <w:lang w:val="fr-BE"/>
        </w:rPr>
        <w:t>Intersentia</w:t>
      </w:r>
      <w:proofErr w:type="spellEnd"/>
      <w:r w:rsidRPr="008046EA">
        <w:rPr>
          <w:lang w:val="fr-BE"/>
        </w:rPr>
        <w:t>, 2024, 378</w:t>
      </w:r>
      <w:r w:rsidR="008046EA" w:rsidRPr="008046EA">
        <w:rPr>
          <w:lang w:val="fr-BE"/>
        </w:rPr>
        <w:t>.</w:t>
      </w:r>
    </w:p>
  </w:footnote>
  <w:footnote w:id="148">
    <w:p w14:paraId="7FCF1C8C" w14:textId="43C71975" w:rsidR="00C07D5D" w:rsidRPr="0053399D" w:rsidRDefault="00C07D5D">
      <w:pPr>
        <w:pStyle w:val="Voetnoottekst"/>
      </w:pPr>
      <w:r>
        <w:rPr>
          <w:rStyle w:val="Voetnootmarkering"/>
        </w:rPr>
        <w:footnoteRef/>
      </w:r>
      <w:bookmarkStart w:id="69" w:name="_Hlk227665171"/>
      <w:r w:rsidR="0047762A">
        <w:t xml:space="preserve"> </w:t>
      </w:r>
      <w:r w:rsidRPr="00B80AC5">
        <w:t>Wetsontwerp tot wijziging van het rustpensioen en het overlevingspensioen en tot invoeri</w:t>
      </w:r>
      <w:r w:rsidR="008046EA" w:rsidRPr="00B80AC5">
        <w:t>n</w:t>
      </w:r>
      <w:r w:rsidRPr="00B80AC5">
        <w:t xml:space="preserve">g van de overgangsuitkering, in de pensioenregeling voor werknemers, Amendementen, </w:t>
      </w:r>
      <w:r w:rsidR="0053399D" w:rsidRPr="00B80AC5">
        <w:t>K</w:t>
      </w:r>
      <w:r w:rsidR="0047762A">
        <w:t>AMER</w:t>
      </w:r>
      <w:r w:rsidR="0053399D" w:rsidRPr="00B80AC5">
        <w:t xml:space="preserve"> 2013-2014, nr. 53-3399/002, 41; </w:t>
      </w:r>
      <w:bookmarkEnd w:id="69"/>
      <w:r w:rsidR="0053399D" w:rsidRPr="00B80AC5">
        <w:t xml:space="preserve">ROELS P., </w:t>
      </w:r>
      <w:r w:rsidR="00B80AC5" w:rsidRPr="00B80AC5">
        <w:t>‘</w:t>
      </w:r>
      <w:r w:rsidR="0053399D" w:rsidRPr="00B80AC5">
        <w:t>Eenheidsstatuut – Wisselwerking tussen sector- en ondernemingsstelsels</w:t>
      </w:r>
      <w:r w:rsidR="00B80AC5" w:rsidRPr="00B80AC5">
        <w:t>’</w:t>
      </w:r>
      <w:r w:rsidR="0053399D" w:rsidRPr="00B80AC5">
        <w:t xml:space="preserve">, </w:t>
      </w:r>
      <w:r w:rsidR="0053399D" w:rsidRPr="00B80AC5">
        <w:rPr>
          <w:i/>
          <w:iCs/>
        </w:rPr>
        <w:t xml:space="preserve">Life &amp; Benefits </w:t>
      </w:r>
      <w:r w:rsidR="0053399D" w:rsidRPr="00B80AC5">
        <w:t>2015, afl. 2, 6</w:t>
      </w:r>
      <w:r w:rsidR="00B80AC5" w:rsidRPr="00B80AC5">
        <w:t>.</w:t>
      </w:r>
    </w:p>
  </w:footnote>
  <w:footnote w:id="149">
    <w:p w14:paraId="13886596" w14:textId="2F654009" w:rsidR="00EE13E1" w:rsidRPr="00F97F3F" w:rsidRDefault="00EE13E1">
      <w:pPr>
        <w:pStyle w:val="Voetnoottekst"/>
        <w:rPr>
          <w:lang w:val="fr-BE"/>
        </w:rPr>
      </w:pPr>
      <w:r w:rsidRPr="00F97F3F">
        <w:rPr>
          <w:rStyle w:val="Voetnootmarkering"/>
        </w:rPr>
        <w:footnoteRef/>
      </w:r>
      <w:r w:rsidR="00D5661A">
        <w:rPr>
          <w:lang w:val="fr-BE"/>
        </w:rPr>
        <w:t xml:space="preserve"> </w:t>
      </w:r>
      <w:r w:rsidRPr="00F97F3F">
        <w:rPr>
          <w:lang w:val="fr-BE"/>
        </w:rPr>
        <w:t xml:space="preserve">DELOGNE F., </w:t>
      </w:r>
      <w:r w:rsidR="00053E17" w:rsidRPr="00F97F3F">
        <w:rPr>
          <w:lang w:val="fr-BE"/>
        </w:rPr>
        <w:t>‘</w:t>
      </w:r>
      <w:r w:rsidRPr="00F97F3F">
        <w:rPr>
          <w:lang w:val="fr-BE"/>
        </w:rPr>
        <w:t>Régimes complémentaires de pension (2</w:t>
      </w:r>
      <w:r w:rsidRPr="00F97F3F">
        <w:rPr>
          <w:vertAlign w:val="superscript"/>
          <w:lang w:val="fr-BE"/>
        </w:rPr>
        <w:t>e</w:t>
      </w:r>
      <w:r w:rsidRPr="00F97F3F">
        <w:rPr>
          <w:lang w:val="fr-BE"/>
        </w:rPr>
        <w:t xml:space="preserve"> partie): statut unique ouvriers/employés et informations des alliés sur leurs droits à pension</w:t>
      </w:r>
      <w:r w:rsidR="00053E17" w:rsidRPr="00F97F3F">
        <w:rPr>
          <w:lang w:val="fr-BE"/>
        </w:rPr>
        <w:t>’</w:t>
      </w:r>
      <w:r w:rsidRPr="00F97F3F">
        <w:rPr>
          <w:lang w:val="fr-BE"/>
        </w:rPr>
        <w:t xml:space="preserve">, </w:t>
      </w:r>
      <w:proofErr w:type="spellStart"/>
      <w:r w:rsidRPr="00F97F3F">
        <w:rPr>
          <w:i/>
          <w:iCs/>
          <w:lang w:val="fr-BE"/>
        </w:rPr>
        <w:t>For.ass</w:t>
      </w:r>
      <w:proofErr w:type="spellEnd"/>
      <w:r w:rsidRPr="00F97F3F">
        <w:rPr>
          <w:i/>
          <w:iCs/>
          <w:lang w:val="fr-BE"/>
        </w:rPr>
        <w:t xml:space="preserve">. </w:t>
      </w:r>
      <w:r w:rsidRPr="00F97F3F">
        <w:rPr>
          <w:lang w:val="fr-BE"/>
        </w:rPr>
        <w:t>2014, nr.147, 187</w:t>
      </w:r>
      <w:r w:rsidR="00053E17" w:rsidRPr="00F97F3F">
        <w:rPr>
          <w:lang w:val="fr-BE"/>
        </w:rPr>
        <w:t>.</w:t>
      </w:r>
    </w:p>
  </w:footnote>
  <w:footnote w:id="150">
    <w:p w14:paraId="4FA0A704" w14:textId="5A565942" w:rsidR="00993C6D" w:rsidRPr="00F97F3F" w:rsidRDefault="00993C6D">
      <w:pPr>
        <w:pStyle w:val="Voetnoottekst"/>
      </w:pPr>
      <w:r w:rsidRPr="00F97F3F">
        <w:rPr>
          <w:rStyle w:val="Voetnootmarkering"/>
        </w:rPr>
        <w:footnoteRef/>
      </w:r>
      <w:r w:rsidR="00D5661A">
        <w:t xml:space="preserve"> </w:t>
      </w:r>
      <w:r w:rsidRPr="00F97F3F">
        <w:t xml:space="preserve">ROELS P., </w:t>
      </w:r>
      <w:r w:rsidR="00F97F3F" w:rsidRPr="00F97F3F">
        <w:t>‘</w:t>
      </w:r>
      <w:r w:rsidRPr="00F97F3F">
        <w:t>Naar een eenheidsstatuut voor aanvullende pensioenen</w:t>
      </w:r>
      <w:r w:rsidR="00F97F3F" w:rsidRPr="00F97F3F">
        <w:t>’</w:t>
      </w:r>
      <w:r w:rsidRPr="00F97F3F">
        <w:t xml:space="preserve">, </w:t>
      </w:r>
      <w:r w:rsidRPr="00F97F3F">
        <w:rPr>
          <w:i/>
          <w:iCs/>
        </w:rPr>
        <w:t xml:space="preserve">Life &amp; Benefits </w:t>
      </w:r>
      <w:r w:rsidRPr="00F97F3F">
        <w:t>2014, nr. 4, 3</w:t>
      </w:r>
      <w:r w:rsidR="00F97F3F" w:rsidRPr="00F97F3F">
        <w:t>.</w:t>
      </w:r>
    </w:p>
  </w:footnote>
  <w:footnote w:id="151">
    <w:p w14:paraId="01E70925" w14:textId="274C80BB" w:rsidR="00B0340B" w:rsidRPr="00F97F3F" w:rsidRDefault="00B0340B">
      <w:pPr>
        <w:pStyle w:val="Voetnoottekst"/>
      </w:pPr>
      <w:r w:rsidRPr="00F97F3F">
        <w:rPr>
          <w:rStyle w:val="Voetnootmarkering"/>
        </w:rPr>
        <w:footnoteRef/>
      </w:r>
      <w:r w:rsidR="00D5661A">
        <w:t xml:space="preserve"> </w:t>
      </w:r>
      <w:r w:rsidRPr="00F97F3F">
        <w:t xml:space="preserve">DE SOMVIELE I., </w:t>
      </w:r>
      <w:r w:rsidR="00F97F3F" w:rsidRPr="00F97F3F">
        <w:t>‘</w:t>
      </w:r>
      <w:r w:rsidRPr="00F97F3F">
        <w:t>Cruciale sectorale onderhandelingen voor het eenheidsstatuut op het vlak van aanvullende pensioenen</w:t>
      </w:r>
      <w:r w:rsidR="00F97F3F" w:rsidRPr="00F97F3F">
        <w:t>’</w:t>
      </w:r>
      <w:r w:rsidRPr="00F97F3F">
        <w:t xml:space="preserve">, </w:t>
      </w:r>
      <w:r w:rsidRPr="00F97F3F">
        <w:rPr>
          <w:i/>
          <w:iCs/>
        </w:rPr>
        <w:t xml:space="preserve">Or. </w:t>
      </w:r>
      <w:r w:rsidRPr="00F97F3F">
        <w:t>2019, a</w:t>
      </w:r>
      <w:r w:rsidR="007525DC">
        <w:t>fl</w:t>
      </w:r>
      <w:r w:rsidRPr="00F97F3F">
        <w:t>. 2, 41</w:t>
      </w:r>
      <w:r w:rsidR="00F97F3F" w:rsidRPr="00F97F3F">
        <w:t>.</w:t>
      </w:r>
    </w:p>
  </w:footnote>
  <w:footnote w:id="152">
    <w:p w14:paraId="7BACAF0D" w14:textId="67AFE594" w:rsidR="002954DB" w:rsidRPr="00F97F3F" w:rsidRDefault="002954DB" w:rsidP="002954DB">
      <w:pPr>
        <w:pStyle w:val="Voetnoottekst"/>
      </w:pPr>
      <w:r w:rsidRPr="00F97F3F">
        <w:rPr>
          <w:rStyle w:val="Voetnootmarkering"/>
        </w:rPr>
        <w:footnoteRef/>
      </w:r>
      <w:r w:rsidR="00D5661A">
        <w:t xml:space="preserve"> </w:t>
      </w:r>
      <w:r w:rsidRPr="00F97F3F">
        <w:t xml:space="preserve">KNOOPS S., </w:t>
      </w:r>
      <w:r w:rsidRPr="00F97F3F">
        <w:rPr>
          <w:i/>
          <w:iCs/>
        </w:rPr>
        <w:t xml:space="preserve">De toepassing en handhaving van het gelijkheidsbeginsel bij aanvullende pensioenen, </w:t>
      </w:r>
      <w:proofErr w:type="spellStart"/>
      <w:r w:rsidRPr="00F97F3F">
        <w:t>Intersentia</w:t>
      </w:r>
      <w:proofErr w:type="spellEnd"/>
      <w:r w:rsidRPr="00F97F3F">
        <w:t>, 2024, 379</w:t>
      </w:r>
      <w:r w:rsidR="00F97F3F" w:rsidRPr="00F97F3F">
        <w:t>.</w:t>
      </w:r>
    </w:p>
  </w:footnote>
  <w:footnote w:id="153">
    <w:p w14:paraId="300504D1" w14:textId="62074531" w:rsidR="002954DB" w:rsidRPr="002954DB" w:rsidRDefault="002954DB">
      <w:pPr>
        <w:pStyle w:val="Voetnoottekst"/>
      </w:pPr>
      <w:r w:rsidRPr="00F97F3F">
        <w:rPr>
          <w:rStyle w:val="Voetnootmarkering"/>
        </w:rPr>
        <w:footnoteRef/>
      </w:r>
      <w:r w:rsidR="00D5661A">
        <w:t xml:space="preserve"> </w:t>
      </w:r>
      <w:r w:rsidRPr="00F97F3F">
        <w:t xml:space="preserve">NAR, </w:t>
      </w:r>
      <w:r w:rsidRPr="00F97F3F">
        <w:rPr>
          <w:i/>
          <w:iCs/>
        </w:rPr>
        <w:t xml:space="preserve">Rapport Nr. 97 – Harmonisering statuut arbeider/bediende – Aanvullende pensioenen – Art. 14/4 §2 van de WAP – Evaluatie, </w:t>
      </w:r>
      <w:r w:rsidRPr="00F97F3F">
        <w:t xml:space="preserve">7 juni 2016, 4; DE SOMVIELE I. en VAN DAMME A., </w:t>
      </w:r>
      <w:r w:rsidR="00F97F3F" w:rsidRPr="00F97F3F">
        <w:t>‘</w:t>
      </w:r>
      <w:r w:rsidRPr="00F97F3F">
        <w:t>In 10 jaar tijd naar een eenheidsstatuut op vlak van aanvullende pensioenen</w:t>
      </w:r>
      <w:r w:rsidR="00F97F3F" w:rsidRPr="00F97F3F">
        <w:t>’</w:t>
      </w:r>
      <w:r w:rsidRPr="00F97F3F">
        <w:t xml:space="preserve">, </w:t>
      </w:r>
      <w:r w:rsidRPr="00F97F3F">
        <w:rPr>
          <w:i/>
          <w:iCs/>
        </w:rPr>
        <w:t xml:space="preserve">Or. </w:t>
      </w:r>
      <w:r w:rsidRPr="00F97F3F">
        <w:t>2014, afl. 6, 163</w:t>
      </w:r>
      <w:r w:rsidR="00F97F3F" w:rsidRPr="00F97F3F">
        <w:t>.</w:t>
      </w:r>
    </w:p>
  </w:footnote>
  <w:footnote w:id="154">
    <w:p w14:paraId="0AA0180B" w14:textId="4BF64E41" w:rsidR="00A36874" w:rsidRPr="00A36874" w:rsidRDefault="00A36874">
      <w:pPr>
        <w:pStyle w:val="Voetnoottekst"/>
      </w:pPr>
      <w:r w:rsidRPr="00F97F3F">
        <w:rPr>
          <w:rStyle w:val="Voetnootmarkering"/>
        </w:rPr>
        <w:footnoteRef/>
      </w:r>
      <w:r w:rsidR="00D5661A">
        <w:t xml:space="preserve"> </w:t>
      </w:r>
      <w:r w:rsidRPr="00F97F3F">
        <w:t xml:space="preserve">Art. 24 Wet van 12 december 2021 tot uitvoering van het sociaal akkoord in het kader van de interprofessionele onderhandelingen voor de periode 2021-2022, </w:t>
      </w:r>
      <w:r w:rsidRPr="00F97F3F">
        <w:rPr>
          <w:i/>
          <w:iCs/>
        </w:rPr>
        <w:t xml:space="preserve">BS </w:t>
      </w:r>
      <w:r w:rsidRPr="00F97F3F">
        <w:t>31 december 2021</w:t>
      </w:r>
      <w:r w:rsidR="00F97F3F" w:rsidRPr="00F97F3F">
        <w:t>.</w:t>
      </w:r>
    </w:p>
  </w:footnote>
  <w:footnote w:id="155">
    <w:p w14:paraId="4D3DA2C5" w14:textId="3209197B" w:rsidR="00D00932" w:rsidRPr="00D00932" w:rsidRDefault="00D00932">
      <w:pPr>
        <w:pStyle w:val="Voetnoottekst"/>
      </w:pPr>
      <w:r>
        <w:rPr>
          <w:rStyle w:val="Voetnootmarkering"/>
        </w:rPr>
        <w:footnoteRef/>
      </w:r>
      <w:r w:rsidR="001600BE">
        <w:t xml:space="preserve"> </w:t>
      </w:r>
      <w:r w:rsidRPr="006B4DBE">
        <w:t xml:space="preserve">NAR, </w:t>
      </w:r>
      <w:r w:rsidRPr="006B4DBE">
        <w:rPr>
          <w:i/>
          <w:iCs/>
        </w:rPr>
        <w:t xml:space="preserve">Advies nr. 1.893 – Voorontwerp van wet tot instelling van een wettelijk kader voor de geleidelijke opheffing van de verschillen in behandeling die berusten op het onderscheid tussen arbeiders en bedienden inzake aanvullende pensioenen, </w:t>
      </w:r>
      <w:r w:rsidRPr="006B4DBE">
        <w:t xml:space="preserve">12 februari 2014, 8-9; DE SOMVIELE I. en VAN DAMME A., </w:t>
      </w:r>
      <w:r w:rsidR="006B4DBE" w:rsidRPr="006B4DBE">
        <w:t>‘</w:t>
      </w:r>
      <w:r w:rsidRPr="006B4DBE">
        <w:t>In 10 jaar tijd naar een eenheidsstatuut op vlak van aanvullende pensioenen</w:t>
      </w:r>
      <w:r w:rsidR="006B4DBE" w:rsidRPr="006B4DBE">
        <w:t>’</w:t>
      </w:r>
      <w:r w:rsidRPr="006B4DBE">
        <w:t xml:space="preserve">, </w:t>
      </w:r>
      <w:r w:rsidRPr="006B4DBE">
        <w:rPr>
          <w:i/>
          <w:iCs/>
        </w:rPr>
        <w:t>Or.</w:t>
      </w:r>
      <w:r w:rsidRPr="006B4DBE">
        <w:t xml:space="preserve"> 2014, afl. 6, 163</w:t>
      </w:r>
      <w:r w:rsidR="006B4DBE" w:rsidRPr="006B4DBE">
        <w:t>.</w:t>
      </w:r>
    </w:p>
  </w:footnote>
  <w:footnote w:id="156">
    <w:p w14:paraId="2F08A201" w14:textId="22234E9D" w:rsidR="00704954" w:rsidRPr="00704954" w:rsidRDefault="00704954">
      <w:pPr>
        <w:pStyle w:val="Voetnoottekst"/>
      </w:pPr>
      <w:r w:rsidRPr="006B4DBE">
        <w:rPr>
          <w:rStyle w:val="Voetnootmarkering"/>
        </w:rPr>
        <w:footnoteRef/>
      </w:r>
      <w:r w:rsidR="001600BE">
        <w:t xml:space="preserve"> </w:t>
      </w:r>
      <w:r w:rsidRPr="006B4DBE">
        <w:t xml:space="preserve">DELOGNE F., </w:t>
      </w:r>
      <w:r w:rsidR="006B4DBE" w:rsidRPr="006B4DBE">
        <w:t>‘</w:t>
      </w:r>
      <w:r w:rsidRPr="006B4DBE">
        <w:t xml:space="preserve">Régimes </w:t>
      </w:r>
      <w:proofErr w:type="spellStart"/>
      <w:r w:rsidRPr="006B4DBE">
        <w:t>complémentaires</w:t>
      </w:r>
      <w:proofErr w:type="spellEnd"/>
      <w:r w:rsidRPr="006B4DBE">
        <w:t xml:space="preserve"> de pension: </w:t>
      </w:r>
      <w:proofErr w:type="spellStart"/>
      <w:r w:rsidRPr="006B4DBE">
        <w:t>statut</w:t>
      </w:r>
      <w:proofErr w:type="spellEnd"/>
      <w:r w:rsidRPr="006B4DBE">
        <w:t xml:space="preserve"> </w:t>
      </w:r>
      <w:proofErr w:type="spellStart"/>
      <w:r w:rsidRPr="006B4DBE">
        <w:t>unique</w:t>
      </w:r>
      <w:proofErr w:type="spellEnd"/>
      <w:r w:rsidRPr="006B4DBE">
        <w:t xml:space="preserve"> </w:t>
      </w:r>
      <w:proofErr w:type="spellStart"/>
      <w:r w:rsidRPr="006B4DBE">
        <w:t>ouvriers</w:t>
      </w:r>
      <w:proofErr w:type="spellEnd"/>
      <w:r w:rsidRPr="006B4DBE">
        <w:t xml:space="preserve">/employés et </w:t>
      </w:r>
      <w:proofErr w:type="spellStart"/>
      <w:r w:rsidRPr="006B4DBE">
        <w:t>informations</w:t>
      </w:r>
      <w:proofErr w:type="spellEnd"/>
      <w:r w:rsidRPr="006B4DBE">
        <w:t xml:space="preserve"> des </w:t>
      </w:r>
      <w:proofErr w:type="spellStart"/>
      <w:r w:rsidRPr="006B4DBE">
        <w:t>alliés</w:t>
      </w:r>
      <w:proofErr w:type="spellEnd"/>
      <w:r w:rsidRPr="006B4DBE">
        <w:t xml:space="preserve"> </w:t>
      </w:r>
      <w:proofErr w:type="spellStart"/>
      <w:r w:rsidRPr="006B4DBE">
        <w:t>sur</w:t>
      </w:r>
      <w:proofErr w:type="spellEnd"/>
      <w:r w:rsidRPr="006B4DBE">
        <w:t xml:space="preserve"> </w:t>
      </w:r>
      <w:proofErr w:type="spellStart"/>
      <w:r w:rsidRPr="006B4DBE">
        <w:t>leurs</w:t>
      </w:r>
      <w:proofErr w:type="spellEnd"/>
      <w:r w:rsidRPr="006B4DBE">
        <w:t xml:space="preserve"> </w:t>
      </w:r>
      <w:proofErr w:type="spellStart"/>
      <w:r w:rsidRPr="006B4DBE">
        <w:t>droits</w:t>
      </w:r>
      <w:proofErr w:type="spellEnd"/>
      <w:r w:rsidRPr="006B4DBE">
        <w:t xml:space="preserve"> à pension</w:t>
      </w:r>
      <w:r w:rsidR="006B4DBE" w:rsidRPr="006B4DBE">
        <w:t>’</w:t>
      </w:r>
      <w:r w:rsidRPr="006B4DBE">
        <w:t xml:space="preserve">, </w:t>
      </w:r>
      <w:proofErr w:type="spellStart"/>
      <w:r w:rsidRPr="006B4DBE">
        <w:rPr>
          <w:i/>
          <w:iCs/>
        </w:rPr>
        <w:t>For.ass</w:t>
      </w:r>
      <w:proofErr w:type="spellEnd"/>
      <w:r w:rsidRPr="006B4DBE">
        <w:rPr>
          <w:i/>
          <w:iCs/>
        </w:rPr>
        <w:t xml:space="preserve">. </w:t>
      </w:r>
      <w:r w:rsidRPr="006B4DBE">
        <w:t xml:space="preserve">2014, nr.147, 187; GHISLAIN S., </w:t>
      </w:r>
      <w:r w:rsidR="00997306">
        <w:t>‘</w:t>
      </w:r>
      <w:r w:rsidRPr="006B4DBE">
        <w:t>Bijlage 5 – Proces van harmonisatie tussen arbeiders en bedienden inzake aanvullende pensioenen</w:t>
      </w:r>
      <w:r w:rsidR="00997306">
        <w:t>’</w:t>
      </w:r>
      <w:r w:rsidRPr="006B4DBE">
        <w:t xml:space="preserve"> in VAN KERREBROECK N. en VERWILGHEN M. (</w:t>
      </w:r>
      <w:proofErr w:type="spellStart"/>
      <w:r w:rsidRPr="006B4DBE">
        <w:t>eds</w:t>
      </w:r>
      <w:proofErr w:type="spellEnd"/>
      <w:r w:rsidRPr="006B4DBE">
        <w:t xml:space="preserve">.), </w:t>
      </w:r>
      <w:r w:rsidRPr="006B4DBE">
        <w:rPr>
          <w:i/>
          <w:iCs/>
        </w:rPr>
        <w:t>De harmonisatie van het statuut arbeider en bediende,</w:t>
      </w:r>
      <w:r w:rsidRPr="006B4DBE">
        <w:t xml:space="preserve"> </w:t>
      </w:r>
      <w:proofErr w:type="spellStart"/>
      <w:r w:rsidRPr="006B4DBE">
        <w:t>Larcier</w:t>
      </w:r>
      <w:proofErr w:type="spellEnd"/>
      <w:r w:rsidRPr="006B4DBE">
        <w:t>, 2014, 287</w:t>
      </w:r>
      <w:r w:rsidR="006B4DBE" w:rsidRPr="006B4DBE">
        <w:t>.</w:t>
      </w:r>
    </w:p>
  </w:footnote>
  <w:footnote w:id="157">
    <w:p w14:paraId="6B73005F" w14:textId="3F8BB497" w:rsidR="005C52FB" w:rsidRPr="00902E19" w:rsidRDefault="005C52FB">
      <w:pPr>
        <w:pStyle w:val="Voetnoottekst"/>
        <w:rPr>
          <w:color w:val="00B050"/>
        </w:rPr>
      </w:pPr>
      <w:r>
        <w:rPr>
          <w:rStyle w:val="Voetnootmarkering"/>
        </w:rPr>
        <w:footnoteRef/>
      </w:r>
      <w:r w:rsidR="001600BE">
        <w:t xml:space="preserve"> </w:t>
      </w:r>
      <w:r w:rsidRPr="00997306">
        <w:t xml:space="preserve">NAR, </w:t>
      </w:r>
      <w:r w:rsidRPr="00997306">
        <w:rPr>
          <w:i/>
          <w:iCs/>
        </w:rPr>
        <w:t xml:space="preserve">Advies nr. 2.155 – Harmonisering statuut arbeider/bediende – Aanvullende pensioenen – Toepassing van de wet van 5 mei 2014 – Interpretatieproblemen, </w:t>
      </w:r>
      <w:r w:rsidRPr="00997306">
        <w:t>17 december 2019, 11-12</w:t>
      </w:r>
      <w:r w:rsidR="00342D92">
        <w:t xml:space="preserve">; </w:t>
      </w:r>
      <w:r w:rsidR="00506EF7" w:rsidRPr="0058444E">
        <w:t>;</w:t>
      </w:r>
      <w:r w:rsidR="00506EF7">
        <w:t xml:space="preserve"> </w:t>
      </w:r>
      <w:r w:rsidR="000B73A6">
        <w:t xml:space="preserve">STEVENS Y., </w:t>
      </w:r>
      <w:r w:rsidR="00952309">
        <w:t xml:space="preserve">‘Deel III. Aanvullende pensioenen’ in PUT J., VERDEYEN V. en STEVENS Y., </w:t>
      </w:r>
      <w:r w:rsidR="00952309">
        <w:rPr>
          <w:i/>
          <w:iCs/>
        </w:rPr>
        <w:t xml:space="preserve">Praktijkboek sociale zekerheid. Voor de onderneming en de sociale adviseur, </w:t>
      </w:r>
      <w:r w:rsidR="00952309">
        <w:t>Kluwer, 2018, 721</w:t>
      </w:r>
      <w:r w:rsidR="004E415A">
        <w:t xml:space="preserve">; </w:t>
      </w:r>
      <w:r w:rsidR="00506EF7">
        <w:t xml:space="preserve">VAN AGGELEN E.S., </w:t>
      </w:r>
      <w:r w:rsidR="00506EF7">
        <w:rPr>
          <w:i/>
          <w:iCs/>
        </w:rPr>
        <w:t>Het personeel toepassingsgebied van aanvullende pensioenregelingen voor werknemers,</w:t>
      </w:r>
      <w:r w:rsidR="00506EF7">
        <w:t xml:space="preserve"> die </w:t>
      </w:r>
      <w:proofErr w:type="spellStart"/>
      <w:r w:rsidR="00506EF7">
        <w:t>Keure</w:t>
      </w:r>
      <w:proofErr w:type="spellEnd"/>
      <w:r w:rsidR="00506EF7">
        <w:t xml:space="preserve">, 2022, </w:t>
      </w:r>
      <w:r w:rsidR="00BB4FB6">
        <w:t>60.</w:t>
      </w:r>
    </w:p>
  </w:footnote>
  <w:footnote w:id="158">
    <w:p w14:paraId="42F1568C" w14:textId="6D9BD4FD" w:rsidR="00AE3519" w:rsidRDefault="008F53D5">
      <w:pPr>
        <w:pStyle w:val="Voetnoottekst"/>
      </w:pPr>
      <w:r w:rsidRPr="00AA1F2E">
        <w:rPr>
          <w:rStyle w:val="Voetnootmarkering"/>
        </w:rPr>
        <w:footnoteRef/>
      </w:r>
      <w:r w:rsidR="001600BE">
        <w:t xml:space="preserve"> </w:t>
      </w:r>
      <w:r w:rsidR="00997306" w:rsidRPr="00AA1F2E">
        <w:t>K</w:t>
      </w:r>
      <w:r w:rsidRPr="00AA1F2E">
        <w:t xml:space="preserve">NOOPS S., </w:t>
      </w:r>
      <w:r w:rsidRPr="00AA1F2E">
        <w:rPr>
          <w:i/>
          <w:iCs/>
        </w:rPr>
        <w:t xml:space="preserve">De toepassing en handhaving van het gelijkheidsbeginsel bij aanvullende pensioenen, </w:t>
      </w:r>
      <w:proofErr w:type="spellStart"/>
      <w:r w:rsidRPr="00AA1F2E">
        <w:t>Intersentia</w:t>
      </w:r>
      <w:proofErr w:type="spellEnd"/>
      <w:r w:rsidRPr="00AA1F2E">
        <w:t xml:space="preserve">, 2024, </w:t>
      </w:r>
      <w:r w:rsidR="00AE3519" w:rsidRPr="00AA1F2E">
        <w:t>382</w:t>
      </w:r>
      <w:r w:rsidR="00506EF7">
        <w:t>.</w:t>
      </w:r>
    </w:p>
  </w:footnote>
  <w:footnote w:id="159">
    <w:p w14:paraId="55818AD4" w14:textId="0E46E50D" w:rsidR="0024113B" w:rsidRPr="0024113B" w:rsidRDefault="0024113B">
      <w:pPr>
        <w:pStyle w:val="Voetnoottekst"/>
      </w:pPr>
      <w:r w:rsidRPr="00AA1F2E">
        <w:rPr>
          <w:rStyle w:val="Voetnootmarkering"/>
        </w:rPr>
        <w:footnoteRef/>
      </w:r>
      <w:r w:rsidR="001600BE">
        <w:t xml:space="preserve"> </w:t>
      </w:r>
      <w:r w:rsidRPr="00AA1F2E">
        <w:t xml:space="preserve">DE BRABANTER V., GIESELINCK G., PERTRY V., ROELS P., en STEVENS Y., </w:t>
      </w:r>
      <w:r w:rsidRPr="00AA1F2E">
        <w:rPr>
          <w:i/>
          <w:iCs/>
        </w:rPr>
        <w:t>Aanvullende pensioenen voor werknemers,</w:t>
      </w:r>
      <w:r w:rsidRPr="00AA1F2E">
        <w:t xml:space="preserve"> Kluwer, 2004, 188</w:t>
      </w:r>
      <w:r w:rsidR="00AA1F2E" w:rsidRPr="00AA1F2E">
        <w:t>.</w:t>
      </w:r>
    </w:p>
  </w:footnote>
  <w:footnote w:id="160">
    <w:p w14:paraId="34B4611E" w14:textId="3D7A0E39" w:rsidR="00392E42" w:rsidRPr="00392E42" w:rsidRDefault="00392E42">
      <w:pPr>
        <w:pStyle w:val="Voetnoottekst"/>
        <w:rPr>
          <w:lang w:val="fr-BE"/>
        </w:rPr>
      </w:pPr>
      <w:r>
        <w:rPr>
          <w:rStyle w:val="Voetnootmarkering"/>
        </w:rPr>
        <w:footnoteRef/>
      </w:r>
      <w:r w:rsidR="00AD661A">
        <w:rPr>
          <w:lang w:val="fr-BE"/>
        </w:rPr>
        <w:t xml:space="preserve"> </w:t>
      </w:r>
      <w:r w:rsidRPr="00117A4D">
        <w:rPr>
          <w:lang w:val="fr-BE"/>
        </w:rPr>
        <w:t xml:space="preserve">NAR, </w:t>
      </w:r>
      <w:proofErr w:type="spellStart"/>
      <w:r w:rsidRPr="00117A4D">
        <w:rPr>
          <w:i/>
          <w:iCs/>
          <w:lang w:val="fr-BE"/>
        </w:rPr>
        <w:t>Advies</w:t>
      </w:r>
      <w:proofErr w:type="spellEnd"/>
      <w:r w:rsidRPr="00117A4D">
        <w:rPr>
          <w:i/>
          <w:iCs/>
          <w:lang w:val="fr-BE"/>
        </w:rPr>
        <w:t xml:space="preserve"> nr. 2.155 – </w:t>
      </w:r>
      <w:proofErr w:type="spellStart"/>
      <w:r w:rsidRPr="00117A4D">
        <w:rPr>
          <w:i/>
          <w:iCs/>
          <w:lang w:val="fr-BE"/>
        </w:rPr>
        <w:t>Harmonisering</w:t>
      </w:r>
      <w:proofErr w:type="spellEnd"/>
      <w:r w:rsidRPr="00117A4D">
        <w:rPr>
          <w:i/>
          <w:iCs/>
          <w:lang w:val="fr-BE"/>
        </w:rPr>
        <w:t xml:space="preserve"> </w:t>
      </w:r>
      <w:proofErr w:type="spellStart"/>
      <w:r w:rsidRPr="00117A4D">
        <w:rPr>
          <w:i/>
          <w:iCs/>
          <w:lang w:val="fr-BE"/>
        </w:rPr>
        <w:t>statuut</w:t>
      </w:r>
      <w:proofErr w:type="spellEnd"/>
      <w:r w:rsidRPr="00117A4D">
        <w:rPr>
          <w:i/>
          <w:iCs/>
          <w:lang w:val="fr-BE"/>
        </w:rPr>
        <w:t xml:space="preserve"> </w:t>
      </w:r>
      <w:proofErr w:type="spellStart"/>
      <w:r w:rsidRPr="00117A4D">
        <w:rPr>
          <w:i/>
          <w:iCs/>
          <w:lang w:val="fr-BE"/>
        </w:rPr>
        <w:t>arbeider</w:t>
      </w:r>
      <w:proofErr w:type="spellEnd"/>
      <w:r w:rsidRPr="00117A4D">
        <w:rPr>
          <w:i/>
          <w:iCs/>
          <w:lang w:val="fr-BE"/>
        </w:rPr>
        <w:t>/</w:t>
      </w:r>
      <w:proofErr w:type="spellStart"/>
      <w:r w:rsidRPr="00117A4D">
        <w:rPr>
          <w:i/>
          <w:iCs/>
          <w:lang w:val="fr-BE"/>
        </w:rPr>
        <w:t>bediende</w:t>
      </w:r>
      <w:proofErr w:type="spellEnd"/>
      <w:r w:rsidRPr="00117A4D">
        <w:rPr>
          <w:i/>
          <w:iCs/>
          <w:lang w:val="fr-BE"/>
        </w:rPr>
        <w:t xml:space="preserve"> – </w:t>
      </w:r>
      <w:proofErr w:type="spellStart"/>
      <w:r w:rsidRPr="00117A4D">
        <w:rPr>
          <w:i/>
          <w:iCs/>
          <w:lang w:val="fr-BE"/>
        </w:rPr>
        <w:t>Aanvullende</w:t>
      </w:r>
      <w:proofErr w:type="spellEnd"/>
      <w:r w:rsidRPr="00117A4D">
        <w:rPr>
          <w:i/>
          <w:iCs/>
          <w:lang w:val="fr-BE"/>
        </w:rPr>
        <w:t xml:space="preserve"> </w:t>
      </w:r>
      <w:proofErr w:type="spellStart"/>
      <w:r w:rsidRPr="00117A4D">
        <w:rPr>
          <w:i/>
          <w:iCs/>
          <w:lang w:val="fr-BE"/>
        </w:rPr>
        <w:t>pensioenen</w:t>
      </w:r>
      <w:proofErr w:type="spellEnd"/>
      <w:r w:rsidRPr="00117A4D">
        <w:rPr>
          <w:i/>
          <w:iCs/>
          <w:lang w:val="fr-BE"/>
        </w:rPr>
        <w:t xml:space="preserve"> – </w:t>
      </w:r>
      <w:proofErr w:type="spellStart"/>
      <w:r w:rsidRPr="00117A4D">
        <w:rPr>
          <w:i/>
          <w:iCs/>
          <w:lang w:val="fr-BE"/>
        </w:rPr>
        <w:t>Toepassing</w:t>
      </w:r>
      <w:proofErr w:type="spellEnd"/>
      <w:r w:rsidRPr="00117A4D">
        <w:rPr>
          <w:i/>
          <w:iCs/>
          <w:lang w:val="fr-BE"/>
        </w:rPr>
        <w:t xml:space="preserve"> van de </w:t>
      </w:r>
      <w:proofErr w:type="spellStart"/>
      <w:r w:rsidRPr="00117A4D">
        <w:rPr>
          <w:i/>
          <w:iCs/>
          <w:lang w:val="fr-BE"/>
        </w:rPr>
        <w:t>wet</w:t>
      </w:r>
      <w:proofErr w:type="spellEnd"/>
      <w:r w:rsidRPr="00117A4D">
        <w:rPr>
          <w:i/>
          <w:iCs/>
          <w:lang w:val="fr-BE"/>
        </w:rPr>
        <w:t xml:space="preserve"> van 5 </w:t>
      </w:r>
      <w:proofErr w:type="spellStart"/>
      <w:r w:rsidRPr="00117A4D">
        <w:rPr>
          <w:i/>
          <w:iCs/>
          <w:lang w:val="fr-BE"/>
        </w:rPr>
        <w:t>mei</w:t>
      </w:r>
      <w:proofErr w:type="spellEnd"/>
      <w:r w:rsidRPr="00117A4D">
        <w:rPr>
          <w:i/>
          <w:iCs/>
          <w:lang w:val="fr-BE"/>
        </w:rPr>
        <w:t xml:space="preserve"> 2014 – </w:t>
      </w:r>
      <w:proofErr w:type="spellStart"/>
      <w:r w:rsidRPr="00117A4D">
        <w:rPr>
          <w:i/>
          <w:iCs/>
          <w:lang w:val="fr-BE"/>
        </w:rPr>
        <w:t>Interpretatieproblemen</w:t>
      </w:r>
      <w:proofErr w:type="spellEnd"/>
      <w:r w:rsidRPr="00117A4D">
        <w:rPr>
          <w:i/>
          <w:iCs/>
          <w:lang w:val="fr-BE"/>
        </w:rPr>
        <w:t xml:space="preserve">, </w:t>
      </w:r>
      <w:r w:rsidRPr="00117A4D">
        <w:rPr>
          <w:lang w:val="fr-BE"/>
        </w:rPr>
        <w:t xml:space="preserve">17 </w:t>
      </w:r>
      <w:proofErr w:type="spellStart"/>
      <w:r w:rsidRPr="00117A4D">
        <w:rPr>
          <w:lang w:val="fr-BE"/>
        </w:rPr>
        <w:t>december</w:t>
      </w:r>
      <w:proofErr w:type="spellEnd"/>
      <w:r w:rsidRPr="00117A4D">
        <w:rPr>
          <w:lang w:val="fr-BE"/>
        </w:rPr>
        <w:t xml:space="preserve"> 2019, 11-12; DELOGNE F., </w:t>
      </w:r>
      <w:r w:rsidR="00117A4D" w:rsidRPr="00117A4D">
        <w:rPr>
          <w:lang w:val="fr-BE"/>
        </w:rPr>
        <w:t>‘</w:t>
      </w:r>
      <w:r w:rsidRPr="00117A4D">
        <w:rPr>
          <w:lang w:val="fr-BE"/>
        </w:rPr>
        <w:t>Régimes complémentaires de pension (2</w:t>
      </w:r>
      <w:r w:rsidRPr="00117A4D">
        <w:rPr>
          <w:vertAlign w:val="superscript"/>
          <w:lang w:val="fr-BE"/>
        </w:rPr>
        <w:t>e</w:t>
      </w:r>
      <w:r w:rsidRPr="00117A4D">
        <w:rPr>
          <w:lang w:val="fr-BE"/>
        </w:rPr>
        <w:t xml:space="preserve"> partie) : statut unique ouvriers/employés et informations des alliés dur leurs droits à pension</w:t>
      </w:r>
      <w:r w:rsidR="00117A4D" w:rsidRPr="00117A4D">
        <w:rPr>
          <w:lang w:val="fr-BE"/>
        </w:rPr>
        <w:t>’</w:t>
      </w:r>
      <w:r w:rsidRPr="00117A4D">
        <w:rPr>
          <w:lang w:val="fr-BE"/>
        </w:rPr>
        <w:t xml:space="preserve">, </w:t>
      </w:r>
      <w:proofErr w:type="spellStart"/>
      <w:r w:rsidRPr="00117A4D">
        <w:rPr>
          <w:i/>
          <w:iCs/>
          <w:lang w:val="fr-BE"/>
        </w:rPr>
        <w:t>For.ass</w:t>
      </w:r>
      <w:proofErr w:type="spellEnd"/>
      <w:r w:rsidRPr="00117A4D">
        <w:rPr>
          <w:i/>
          <w:iCs/>
          <w:lang w:val="fr-BE"/>
        </w:rPr>
        <w:t xml:space="preserve">. </w:t>
      </w:r>
      <w:r w:rsidRPr="00117A4D">
        <w:rPr>
          <w:lang w:val="fr-BE"/>
        </w:rPr>
        <w:t>2014, nr. 147, 188</w:t>
      </w:r>
      <w:r w:rsidR="00117A4D" w:rsidRPr="00117A4D">
        <w:rPr>
          <w:lang w:val="fr-BE"/>
        </w:rPr>
        <w:t>.</w:t>
      </w:r>
    </w:p>
  </w:footnote>
  <w:footnote w:id="161">
    <w:p w14:paraId="24FE64B5" w14:textId="61913DF1" w:rsidR="00947CB5" w:rsidRPr="00AD661A" w:rsidRDefault="00947CB5">
      <w:pPr>
        <w:pStyle w:val="Voetnoottekst"/>
      </w:pPr>
      <w:r>
        <w:rPr>
          <w:rStyle w:val="Voetnootmarkering"/>
        </w:rPr>
        <w:footnoteRef/>
      </w:r>
      <w:r w:rsidR="00AD661A">
        <w:t xml:space="preserve"> </w:t>
      </w:r>
      <w:r w:rsidRPr="00372878">
        <w:t xml:space="preserve">NAR, </w:t>
      </w:r>
      <w:r w:rsidRPr="00372878">
        <w:rPr>
          <w:i/>
          <w:iCs/>
        </w:rPr>
        <w:t xml:space="preserve">Rapport nr. 97 – Harmonisering statuut arbeider/bediende – Aanvullende pensioenen – Art. 14/4 §2 van de WAP – Evaluatie, </w:t>
      </w:r>
      <w:r w:rsidRPr="00372878">
        <w:t xml:space="preserve">7 juni 2016; NAR, </w:t>
      </w:r>
      <w:r w:rsidRPr="00372878">
        <w:rPr>
          <w:i/>
          <w:iCs/>
        </w:rPr>
        <w:t xml:space="preserve">Rapport nr. 110 – Harmonisering statuut arbeider/bediende – Aanvullende pensioenen – Art. 14/4 §2 van de WAP – Evaluatie, </w:t>
      </w:r>
      <w:r w:rsidRPr="00372878">
        <w:t>26 juni 2018</w:t>
      </w:r>
      <w:r w:rsidR="00404DF5">
        <w:t>, nr. 2.922</w:t>
      </w:r>
      <w:r w:rsidRPr="00372878">
        <w:t xml:space="preserve">; </w:t>
      </w:r>
      <w:bookmarkStart w:id="70" w:name="_Hlk227665698"/>
      <w:r w:rsidRPr="00372878">
        <w:t xml:space="preserve">NAR, </w:t>
      </w:r>
      <w:r w:rsidRPr="00372878">
        <w:rPr>
          <w:i/>
          <w:iCs/>
        </w:rPr>
        <w:t xml:space="preserve">Rapport nr. 117 – Harmonisering statuut arbeider/bediende – Aanvullende pensioenen – Art. 14/4 §2 van de WAP – Evaluatie, </w:t>
      </w:r>
      <w:r w:rsidRPr="00372878">
        <w:t>26 mei 2020</w:t>
      </w:r>
      <w:r w:rsidR="00BA04A2">
        <w:t>, nr. 3.080</w:t>
      </w:r>
      <w:r w:rsidRPr="00372878">
        <w:t xml:space="preserve">; </w:t>
      </w:r>
      <w:bookmarkStart w:id="71" w:name="_Hlk227665715"/>
      <w:bookmarkEnd w:id="70"/>
      <w:r w:rsidRPr="00372878">
        <w:t xml:space="preserve">NAR, </w:t>
      </w:r>
      <w:r w:rsidRPr="00372878">
        <w:rPr>
          <w:i/>
          <w:iCs/>
        </w:rPr>
        <w:t xml:space="preserve">Rapport nr. 127 – Harmonisering statuut arbeider/bediende – Aanvullende pensioenen – Art. 14/4 §2 van de WAP – Evaluatie, </w:t>
      </w:r>
      <w:r w:rsidRPr="00372878">
        <w:t>28 juni 2022</w:t>
      </w:r>
      <w:r w:rsidR="00405E4A">
        <w:t>, nr. 3.080</w:t>
      </w:r>
      <w:r w:rsidRPr="00372878">
        <w:t xml:space="preserve">; </w:t>
      </w:r>
      <w:bookmarkStart w:id="72" w:name="_Hlk227665731"/>
      <w:bookmarkEnd w:id="71"/>
      <w:r w:rsidRPr="00372878">
        <w:t xml:space="preserve">NAR, </w:t>
      </w:r>
      <w:r w:rsidRPr="00372878">
        <w:rPr>
          <w:i/>
          <w:iCs/>
        </w:rPr>
        <w:t xml:space="preserve">Rapport nr. 136 – Harmonisering statuut arbeider/bediende – Aanvullende pensioenen – Art. 14/4 §2 van de WAP – </w:t>
      </w:r>
      <w:r w:rsidRPr="00AD661A">
        <w:rPr>
          <w:i/>
          <w:iCs/>
        </w:rPr>
        <w:t xml:space="preserve">Evaluatie, </w:t>
      </w:r>
      <w:r w:rsidR="00526CB5" w:rsidRPr="00AD661A">
        <w:t>25 juni 2024</w:t>
      </w:r>
      <w:bookmarkEnd w:id="72"/>
      <w:r w:rsidR="00602CE3">
        <w:t>, nr. 3.080.</w:t>
      </w:r>
    </w:p>
  </w:footnote>
  <w:footnote w:id="162">
    <w:p w14:paraId="1124A6E4" w14:textId="74096616" w:rsidR="002E475E" w:rsidRPr="00AD661A" w:rsidRDefault="002E475E">
      <w:pPr>
        <w:pStyle w:val="Voetnoottekst"/>
      </w:pPr>
      <w:r w:rsidRPr="00AD661A">
        <w:rPr>
          <w:rStyle w:val="Voetnootmarkering"/>
        </w:rPr>
        <w:footnoteRef/>
      </w:r>
      <w:r w:rsidR="00AD661A" w:rsidRPr="00AD661A">
        <w:t xml:space="preserve"> </w:t>
      </w:r>
      <w:r w:rsidRPr="00AD661A">
        <w:t xml:space="preserve">NAR, </w:t>
      </w:r>
      <w:r w:rsidRPr="00AD661A">
        <w:rPr>
          <w:i/>
          <w:iCs/>
        </w:rPr>
        <w:t xml:space="preserve">Rapport Nr. 97 – Harmonisering statuut arbeider/bediende – Aanvullende pensioenen – Art. 14/4 §2 van de WAP – Evaluatie, </w:t>
      </w:r>
      <w:r w:rsidRPr="00AD661A">
        <w:t>7 juni 2016, bijlage 1, 5-6</w:t>
      </w:r>
      <w:r w:rsidR="00507284" w:rsidRPr="00AD661A">
        <w:t>.</w:t>
      </w:r>
    </w:p>
  </w:footnote>
  <w:footnote w:id="163">
    <w:p w14:paraId="3A5AA4A3" w14:textId="279E4E22" w:rsidR="002D4FCA" w:rsidRPr="002D4FCA" w:rsidRDefault="002D4FCA">
      <w:pPr>
        <w:pStyle w:val="Voetnoottekst"/>
      </w:pPr>
      <w:r w:rsidRPr="00AD661A">
        <w:rPr>
          <w:rStyle w:val="Voetnootmarkering"/>
        </w:rPr>
        <w:footnoteRef/>
      </w:r>
      <w:r w:rsidR="00AD661A" w:rsidRPr="00AD661A">
        <w:t xml:space="preserve"> </w:t>
      </w:r>
      <w:r w:rsidRPr="00AD661A">
        <w:t xml:space="preserve">NAR, </w:t>
      </w:r>
      <w:r w:rsidRPr="00AD661A">
        <w:rPr>
          <w:i/>
          <w:iCs/>
        </w:rPr>
        <w:t xml:space="preserve">Rapport Nr. 127 – Harmonisering statuut arbeider/bediende – Aanvullende pensioenen – Art 14/4 §2 van de WAP – Evaluatie, </w:t>
      </w:r>
      <w:r w:rsidRPr="00AD661A">
        <w:t xml:space="preserve">28 juni </w:t>
      </w:r>
      <w:r w:rsidRPr="00AC64CD">
        <w:t>2022, bijlage 21/31.</w:t>
      </w:r>
    </w:p>
  </w:footnote>
  <w:footnote w:id="164">
    <w:p w14:paraId="19743BA5" w14:textId="00CA7785" w:rsidR="00AD01A7" w:rsidRPr="008F5A8E" w:rsidRDefault="00AD01A7">
      <w:pPr>
        <w:pStyle w:val="Voetnoottekst"/>
      </w:pPr>
      <w:r>
        <w:rPr>
          <w:rStyle w:val="Voetnootmarkering"/>
        </w:rPr>
        <w:footnoteRef/>
      </w:r>
      <w:r w:rsidR="00DC3B74">
        <w:t xml:space="preserve"> </w:t>
      </w:r>
      <w:r w:rsidRPr="008F5A8E">
        <w:t xml:space="preserve">KNOOPS S., </w:t>
      </w:r>
      <w:r w:rsidRPr="008F5A8E">
        <w:rPr>
          <w:i/>
          <w:iCs/>
        </w:rPr>
        <w:t xml:space="preserve">De toepassing en handhaving van het gelijkheidsbeginsel bij aanvullende pensioenen, </w:t>
      </w:r>
      <w:proofErr w:type="spellStart"/>
      <w:r w:rsidRPr="008F5A8E">
        <w:t>Intersentia</w:t>
      </w:r>
      <w:proofErr w:type="spellEnd"/>
      <w:r w:rsidRPr="008F5A8E">
        <w:t>, 2024, 428</w:t>
      </w:r>
      <w:r w:rsidR="008F5A8E" w:rsidRPr="008F5A8E">
        <w:t>.</w:t>
      </w:r>
    </w:p>
  </w:footnote>
  <w:footnote w:id="165">
    <w:p w14:paraId="19E0BA29" w14:textId="7257E242" w:rsidR="00AB7B79" w:rsidRPr="008F5A8E" w:rsidRDefault="00AB7B79">
      <w:pPr>
        <w:pStyle w:val="Voetnoottekst"/>
      </w:pPr>
      <w:r w:rsidRPr="008F5A8E">
        <w:rPr>
          <w:rStyle w:val="Voetnootmarkering"/>
        </w:rPr>
        <w:footnoteRef/>
      </w:r>
      <w:r w:rsidR="00DC3B74">
        <w:t xml:space="preserve"> </w:t>
      </w:r>
      <w:r w:rsidRPr="008F5A8E">
        <w:t xml:space="preserve">KNOOPS S., </w:t>
      </w:r>
      <w:r w:rsidRPr="008F5A8E">
        <w:rPr>
          <w:i/>
          <w:iCs/>
        </w:rPr>
        <w:t xml:space="preserve">De toepassing en handhaving van het gelijkheidsbeginsel bij aanvullende pensioenen, </w:t>
      </w:r>
      <w:proofErr w:type="spellStart"/>
      <w:r w:rsidRPr="008F5A8E">
        <w:t>Intersentia</w:t>
      </w:r>
      <w:proofErr w:type="spellEnd"/>
      <w:r w:rsidRPr="008F5A8E">
        <w:t>, 2024, 413</w:t>
      </w:r>
      <w:r w:rsidR="008F5A8E" w:rsidRPr="008F5A8E">
        <w:t>.</w:t>
      </w:r>
    </w:p>
  </w:footnote>
  <w:footnote w:id="166">
    <w:p w14:paraId="43A8C570" w14:textId="56FDA288" w:rsidR="00667281" w:rsidRDefault="00667281">
      <w:pPr>
        <w:pStyle w:val="Voetnoottekst"/>
      </w:pPr>
      <w:r w:rsidRPr="008F5A8E">
        <w:rPr>
          <w:rStyle w:val="Voetnootmarkering"/>
        </w:rPr>
        <w:footnoteRef/>
      </w:r>
      <w:r w:rsidRPr="008F5A8E">
        <w:t xml:space="preserve"> KNOOPS S., </w:t>
      </w:r>
      <w:r w:rsidRPr="008F5A8E">
        <w:rPr>
          <w:i/>
          <w:iCs/>
        </w:rPr>
        <w:t xml:space="preserve">De toepassing en handhaving van het gelijkheidsbeginsel bij aanvullende pensioenen, </w:t>
      </w:r>
      <w:proofErr w:type="spellStart"/>
      <w:r w:rsidRPr="008F5A8E">
        <w:t>Intersentia</w:t>
      </w:r>
      <w:proofErr w:type="spellEnd"/>
      <w:r w:rsidRPr="008F5A8E">
        <w:t>, 2024, 414</w:t>
      </w:r>
      <w:r w:rsidR="008F5A8E" w:rsidRPr="008F5A8E">
        <w:t>.</w:t>
      </w:r>
    </w:p>
  </w:footnote>
  <w:footnote w:id="167">
    <w:p w14:paraId="7F162DC1" w14:textId="2B817E13" w:rsidR="00667281" w:rsidRPr="00CE7E95" w:rsidRDefault="00667281">
      <w:pPr>
        <w:pStyle w:val="Voetnoottekst"/>
      </w:pPr>
      <w:r>
        <w:rPr>
          <w:rStyle w:val="Voetnootmarkering"/>
        </w:rPr>
        <w:footnoteRef/>
      </w:r>
      <w:r w:rsidR="002B1183">
        <w:t xml:space="preserve"> </w:t>
      </w:r>
      <w:r w:rsidRPr="00CE7E95">
        <w:t xml:space="preserve">NAR, </w:t>
      </w:r>
      <w:r w:rsidRPr="00CE7E95">
        <w:rPr>
          <w:i/>
          <w:iCs/>
        </w:rPr>
        <w:t xml:space="preserve">Rapport nr. 136 – Harmonisering statuut arbeider/bediende – Aanvullende pensioenen – Art. 14/4 §2 van de WAP – Evaluatie, </w:t>
      </w:r>
      <w:r w:rsidRPr="00CE7E95">
        <w:t>25 juni 2024</w:t>
      </w:r>
      <w:r w:rsidR="00602CE3">
        <w:t>, nr. 3.080.</w:t>
      </w:r>
    </w:p>
  </w:footnote>
  <w:footnote w:id="168">
    <w:p w14:paraId="57C02D26" w14:textId="64136702" w:rsidR="00156E24" w:rsidRPr="00CE7E95" w:rsidRDefault="00156E24">
      <w:pPr>
        <w:pStyle w:val="Voetnoottekst"/>
      </w:pPr>
      <w:r w:rsidRPr="00CE7E95">
        <w:rPr>
          <w:rStyle w:val="Voetnootmarkering"/>
        </w:rPr>
        <w:footnoteRef/>
      </w:r>
      <w:r w:rsidR="002B1183">
        <w:t xml:space="preserve"> </w:t>
      </w:r>
      <w:r w:rsidRPr="00CE7E95">
        <w:t xml:space="preserve">NAR, </w:t>
      </w:r>
      <w:r w:rsidRPr="00CE7E95">
        <w:rPr>
          <w:i/>
          <w:iCs/>
        </w:rPr>
        <w:t xml:space="preserve">Rapport nr. 136 – Harmonisering statuut arbeider/bediende – Aanvullende pensioenen – Art. 14/4 §2 van de WAP – Evaluatie, </w:t>
      </w:r>
      <w:r w:rsidRPr="00CE7E95">
        <w:t xml:space="preserve">25 juni 2024, </w:t>
      </w:r>
      <w:r w:rsidR="00602CE3">
        <w:t xml:space="preserve">nr. 2.080, </w:t>
      </w:r>
      <w:r w:rsidRPr="00CE7E95">
        <w:t>7</w:t>
      </w:r>
      <w:r w:rsidR="00152037" w:rsidRPr="00CE7E95">
        <w:t>.</w:t>
      </w:r>
    </w:p>
  </w:footnote>
  <w:footnote w:id="169">
    <w:p w14:paraId="3D9F3859" w14:textId="2B6B1979" w:rsidR="006C4D8F" w:rsidRPr="00CE7E95" w:rsidRDefault="006C4D8F">
      <w:pPr>
        <w:pStyle w:val="Voetnoottekst"/>
      </w:pPr>
      <w:r w:rsidRPr="00CE7E95">
        <w:rPr>
          <w:rStyle w:val="Voetnootmarkering"/>
        </w:rPr>
        <w:footnoteRef/>
      </w:r>
      <w:r w:rsidR="002B1183">
        <w:t xml:space="preserve"> </w:t>
      </w:r>
      <w:r w:rsidR="0086248E" w:rsidRPr="00CE7E95">
        <w:t xml:space="preserve">NAR, </w:t>
      </w:r>
      <w:r w:rsidR="0086248E" w:rsidRPr="00CE7E95">
        <w:rPr>
          <w:i/>
          <w:iCs/>
        </w:rPr>
        <w:t xml:space="preserve">Advies nr. 2.155 – Harmonisering statuut arbeider/bediende – Aanvullende pensioenen – Toepassing van de wet van 5 mei 2014 – Interpretatieproblemen, </w:t>
      </w:r>
      <w:r w:rsidR="0086248E" w:rsidRPr="00CE7E95">
        <w:t>17 december 2019, 16</w:t>
      </w:r>
      <w:r w:rsidR="006F70EF">
        <w:t>;</w:t>
      </w:r>
      <w:r w:rsidR="00370600">
        <w:t xml:space="preserve"> </w:t>
      </w:r>
      <w:r w:rsidR="00370600" w:rsidRPr="006B4DBE">
        <w:t xml:space="preserve">DE SOMVIELE I. en VAN DAMME A., ‘In 10 jaar tijd naar een eenheidsstatuut op vlak van aanvullende pensioenen’, </w:t>
      </w:r>
      <w:r w:rsidR="00370600" w:rsidRPr="006B4DBE">
        <w:rPr>
          <w:i/>
          <w:iCs/>
        </w:rPr>
        <w:t>Or.</w:t>
      </w:r>
      <w:r w:rsidR="00370600" w:rsidRPr="006B4DBE">
        <w:t xml:space="preserve"> 2014, afl. 6, 16</w:t>
      </w:r>
      <w:r w:rsidR="008E53D4">
        <w:t>1.</w:t>
      </w:r>
    </w:p>
  </w:footnote>
  <w:footnote w:id="170">
    <w:p w14:paraId="0820BC85" w14:textId="7EDF1EA9" w:rsidR="00BB77B8" w:rsidRPr="00CE7E95" w:rsidRDefault="00BB77B8">
      <w:pPr>
        <w:pStyle w:val="Voetnoottekst"/>
      </w:pPr>
      <w:r w:rsidRPr="00CE7E95">
        <w:rPr>
          <w:rStyle w:val="Voetnootmarkering"/>
        </w:rPr>
        <w:footnoteRef/>
      </w:r>
      <w:r w:rsidR="002B1183">
        <w:t xml:space="preserve"> </w:t>
      </w:r>
      <w:r w:rsidRPr="00CE7E95">
        <w:t xml:space="preserve">KNOOPS S., </w:t>
      </w:r>
      <w:r w:rsidRPr="00CE7E95">
        <w:rPr>
          <w:i/>
          <w:iCs/>
        </w:rPr>
        <w:t>De toepassing en handhaving van het gelijkheidsbeginsel bij aanvullende pensioenen,</w:t>
      </w:r>
      <w:r w:rsidRPr="00CE7E95">
        <w:t xml:space="preserve"> </w:t>
      </w:r>
      <w:proofErr w:type="spellStart"/>
      <w:r w:rsidRPr="00CE7E95">
        <w:t>Intersentia</w:t>
      </w:r>
      <w:proofErr w:type="spellEnd"/>
      <w:r w:rsidRPr="00CE7E95">
        <w:t>, 2024, 415</w:t>
      </w:r>
      <w:r w:rsidR="00556D7A" w:rsidRPr="00CE7E95">
        <w:t>.</w:t>
      </w:r>
    </w:p>
  </w:footnote>
  <w:footnote w:id="171">
    <w:p w14:paraId="42536DCE" w14:textId="50A830E8" w:rsidR="00DD5D70" w:rsidRPr="00DD5D70" w:rsidRDefault="00DD5D70">
      <w:pPr>
        <w:pStyle w:val="Voetnoottekst"/>
        <w:rPr>
          <w:i/>
          <w:iCs/>
        </w:rPr>
      </w:pPr>
      <w:r w:rsidRPr="00CE7E95">
        <w:rPr>
          <w:rStyle w:val="Voetnootmarkering"/>
        </w:rPr>
        <w:footnoteRef/>
      </w:r>
      <w:bookmarkStart w:id="74" w:name="_Hlk227665819"/>
      <w:r w:rsidR="002B1183">
        <w:t xml:space="preserve"> </w:t>
      </w:r>
      <w:r w:rsidRPr="00CE7E95">
        <w:t xml:space="preserve">BAYART C., </w:t>
      </w:r>
      <w:r w:rsidR="006D5D5B" w:rsidRPr="00CE7E95">
        <w:t>‘</w:t>
      </w:r>
      <w:r w:rsidRPr="00CE7E95">
        <w:t>De opmars van het discriminatierecht in arbeidsverhoudingen. Europees discriminatierecht van de tweede generatie en aandachtspunten voor de Belgische wetgever bij de implementatie in de Belgische rechtsorde</w:t>
      </w:r>
      <w:r w:rsidR="006D5D5B" w:rsidRPr="00CE7E95">
        <w:t>’</w:t>
      </w:r>
      <w:r w:rsidRPr="00CE7E95">
        <w:t xml:space="preserve">, </w:t>
      </w:r>
      <w:r w:rsidRPr="00CE7E95">
        <w:rPr>
          <w:i/>
          <w:iCs/>
        </w:rPr>
        <w:t>JTT</w:t>
      </w:r>
      <w:r w:rsidRPr="00CE7E95">
        <w:t xml:space="preserve"> 2002, 314-315</w:t>
      </w:r>
      <w:bookmarkEnd w:id="74"/>
      <w:r w:rsidR="006D5D5B" w:rsidRPr="00CE7E95">
        <w:t>.</w:t>
      </w:r>
    </w:p>
  </w:footnote>
  <w:footnote w:id="172">
    <w:p w14:paraId="506098EE" w14:textId="458EF67B" w:rsidR="003F7670" w:rsidRPr="000B6909" w:rsidRDefault="003F7670">
      <w:pPr>
        <w:pStyle w:val="Voetnoottekst"/>
      </w:pPr>
      <w:r w:rsidRPr="000B6909">
        <w:rPr>
          <w:rStyle w:val="Voetnootmarkering"/>
        </w:rPr>
        <w:footnoteRef/>
      </w:r>
      <w:r w:rsidR="00337AD3">
        <w:t xml:space="preserve"> </w:t>
      </w:r>
      <w:r w:rsidRPr="000B6909">
        <w:t>Wetsontwerp tot wijziging van het rustpensioen en overlevingspensioen en tot invoering van de overgangsuitkering, in de pensioenregeling voor werknemers, Amendementen,</w:t>
      </w:r>
      <w:r w:rsidRPr="000B6909">
        <w:rPr>
          <w:i/>
          <w:iCs/>
        </w:rPr>
        <w:t xml:space="preserve"> </w:t>
      </w:r>
      <w:r w:rsidRPr="000B6909">
        <w:t>K</w:t>
      </w:r>
      <w:r w:rsidR="00911261" w:rsidRPr="000B6909">
        <w:t xml:space="preserve">AMER </w:t>
      </w:r>
      <w:r w:rsidRPr="000B6909">
        <w:t>2013-2014, nr. 53-3399/002, 39</w:t>
      </w:r>
      <w:r w:rsidR="00911261" w:rsidRPr="000B6909">
        <w:t>.</w:t>
      </w:r>
    </w:p>
  </w:footnote>
  <w:footnote w:id="173">
    <w:p w14:paraId="4D79F1B3" w14:textId="1892B5F6" w:rsidR="009D7521" w:rsidRPr="000B6909" w:rsidRDefault="009D7521">
      <w:pPr>
        <w:pStyle w:val="Voetnoottekst"/>
      </w:pPr>
      <w:r w:rsidRPr="000B6909">
        <w:rPr>
          <w:rStyle w:val="Voetnootmarkering"/>
        </w:rPr>
        <w:footnoteRef/>
      </w:r>
      <w:r w:rsidR="00337AD3">
        <w:t xml:space="preserve"> </w:t>
      </w:r>
      <w:r w:rsidRPr="000B6909">
        <w:t xml:space="preserve">DE SOMVIELE I., en VAN DAMME A., </w:t>
      </w:r>
      <w:r w:rsidR="00911261" w:rsidRPr="000B6909">
        <w:t>‘</w:t>
      </w:r>
      <w:r w:rsidRPr="000B6909">
        <w:t>In 10 jaar tijd naar een eenheidsstatuut op vlak van aanvullende pensioenen</w:t>
      </w:r>
      <w:r w:rsidR="00911261" w:rsidRPr="000B6909">
        <w:t>’</w:t>
      </w:r>
      <w:r w:rsidRPr="000B6909">
        <w:t xml:space="preserve">, </w:t>
      </w:r>
      <w:r w:rsidRPr="000B6909">
        <w:rPr>
          <w:i/>
          <w:iCs/>
        </w:rPr>
        <w:t xml:space="preserve">Or. </w:t>
      </w:r>
      <w:r w:rsidRPr="000B6909">
        <w:t>2014, afl. 6, 157</w:t>
      </w:r>
      <w:r w:rsidR="00911261" w:rsidRPr="000B6909">
        <w:t>.</w:t>
      </w:r>
    </w:p>
  </w:footnote>
  <w:footnote w:id="174">
    <w:p w14:paraId="62FA43E1" w14:textId="4F5B59B6" w:rsidR="00C327AB" w:rsidRPr="000B6909" w:rsidRDefault="00C327AB">
      <w:pPr>
        <w:pStyle w:val="Voetnoottekst"/>
      </w:pPr>
      <w:r w:rsidRPr="000B6909">
        <w:rPr>
          <w:rStyle w:val="Voetnootmarkering"/>
        </w:rPr>
        <w:footnoteRef/>
      </w:r>
      <w:r w:rsidR="00337AD3">
        <w:t xml:space="preserve"> </w:t>
      </w:r>
      <w:r w:rsidRPr="000B6909">
        <w:t xml:space="preserve">GHISLAIN S., </w:t>
      </w:r>
      <w:r w:rsidR="00911261" w:rsidRPr="000B6909">
        <w:t>‘</w:t>
      </w:r>
      <w:r w:rsidRPr="000B6909">
        <w:t>Bijlage 5 – Proces van harmonisatie tussen arbeiders en bedienden inzake aanvullende pensioenen</w:t>
      </w:r>
      <w:r w:rsidR="00911261" w:rsidRPr="000B6909">
        <w:t>’</w:t>
      </w:r>
      <w:r w:rsidRPr="000B6909">
        <w:t xml:space="preserve"> in VAN KERREBROECK N. en VERWILGHEN M. (</w:t>
      </w:r>
      <w:proofErr w:type="spellStart"/>
      <w:r w:rsidRPr="000B6909">
        <w:t>eds</w:t>
      </w:r>
      <w:proofErr w:type="spellEnd"/>
      <w:r w:rsidRPr="000B6909">
        <w:t xml:space="preserve">.), </w:t>
      </w:r>
      <w:r w:rsidRPr="000B6909">
        <w:rPr>
          <w:i/>
          <w:iCs/>
        </w:rPr>
        <w:t xml:space="preserve">De harmonisatie van het statuut arbeider en bediende, </w:t>
      </w:r>
      <w:proofErr w:type="spellStart"/>
      <w:r w:rsidRPr="000B6909">
        <w:t>Larcier</w:t>
      </w:r>
      <w:proofErr w:type="spellEnd"/>
      <w:r w:rsidRPr="000B6909">
        <w:t>, 2014, 283</w:t>
      </w:r>
      <w:r w:rsidR="000B6909" w:rsidRPr="000B6909">
        <w:t>.</w:t>
      </w:r>
    </w:p>
  </w:footnote>
  <w:footnote w:id="175">
    <w:p w14:paraId="71B40BFB" w14:textId="7E8D6F8F" w:rsidR="00F71668" w:rsidRPr="00F71668" w:rsidRDefault="00F71668">
      <w:pPr>
        <w:pStyle w:val="Voetnoottekst"/>
        <w:rPr>
          <w:lang w:val="fr-BE"/>
        </w:rPr>
      </w:pPr>
      <w:r w:rsidRPr="000B6909">
        <w:rPr>
          <w:rStyle w:val="Voetnootmarkering"/>
        </w:rPr>
        <w:footnoteRef/>
      </w:r>
      <w:r w:rsidR="00337AD3">
        <w:rPr>
          <w:lang w:val="fr-BE"/>
        </w:rPr>
        <w:t xml:space="preserve"> </w:t>
      </w:r>
      <w:r w:rsidRPr="000B6909">
        <w:rPr>
          <w:lang w:val="fr-BE"/>
        </w:rPr>
        <w:t xml:space="preserve">PÂQUES S. </w:t>
      </w:r>
      <w:r w:rsidR="000B6909" w:rsidRPr="000B6909">
        <w:rPr>
          <w:lang w:val="fr-BE"/>
        </w:rPr>
        <w:t>‘</w:t>
      </w:r>
      <w:r w:rsidRPr="000B6909">
        <w:rPr>
          <w:lang w:val="fr-BE"/>
        </w:rPr>
        <w:t>Le point sur l’harmonisation ouvrier/employé dans les pensions complémentaires</w:t>
      </w:r>
      <w:r w:rsidR="000B6909" w:rsidRPr="000B6909">
        <w:rPr>
          <w:lang w:val="fr-BE"/>
        </w:rPr>
        <w:t>’</w:t>
      </w:r>
      <w:r w:rsidRPr="000B6909">
        <w:rPr>
          <w:lang w:val="fr-BE"/>
        </w:rPr>
        <w:t xml:space="preserve">, </w:t>
      </w:r>
      <w:r w:rsidRPr="000B6909">
        <w:rPr>
          <w:i/>
          <w:iCs/>
          <w:lang w:val="fr-BE"/>
        </w:rPr>
        <w:t xml:space="preserve">Ors. </w:t>
      </w:r>
      <w:r w:rsidRPr="000B6909">
        <w:rPr>
          <w:lang w:val="fr-BE"/>
        </w:rPr>
        <w:t xml:space="preserve">2017, </w:t>
      </w:r>
      <w:proofErr w:type="spellStart"/>
      <w:r w:rsidRPr="000B6909">
        <w:rPr>
          <w:lang w:val="fr-BE"/>
        </w:rPr>
        <w:t>afl</w:t>
      </w:r>
      <w:proofErr w:type="spellEnd"/>
      <w:r w:rsidRPr="000B6909">
        <w:rPr>
          <w:lang w:val="fr-BE"/>
        </w:rPr>
        <w:t>. 6, 5.</w:t>
      </w:r>
    </w:p>
  </w:footnote>
  <w:footnote w:id="176">
    <w:p w14:paraId="58FD161D" w14:textId="7D183D74" w:rsidR="00B25F07" w:rsidRPr="00273C32" w:rsidRDefault="00B25F07" w:rsidP="00B25F07">
      <w:pPr>
        <w:pStyle w:val="Voetnoottekst"/>
      </w:pPr>
      <w:r w:rsidRPr="00273C32">
        <w:rPr>
          <w:rStyle w:val="Voetnootmarkering"/>
        </w:rPr>
        <w:footnoteRef/>
      </w:r>
      <w:r w:rsidR="00F74D26">
        <w:t xml:space="preserve"> </w:t>
      </w:r>
      <w:r w:rsidRPr="00273C32">
        <w:t xml:space="preserve">Wetsontwerp tot wijziging van het rustpensioen en overlevingspensioen en tot invoering van de overgangsuitkering, in de pensioenregeling voor werknemers, Amendementen, </w:t>
      </w:r>
      <w:r w:rsidRPr="00273C32">
        <w:rPr>
          <w:i/>
          <w:iCs/>
        </w:rPr>
        <w:t xml:space="preserve"> </w:t>
      </w:r>
      <w:r w:rsidRPr="00273C32">
        <w:t>K</w:t>
      </w:r>
      <w:r w:rsidR="0062018E" w:rsidRPr="00273C32">
        <w:t xml:space="preserve">AMER </w:t>
      </w:r>
      <w:r w:rsidRPr="00273C32">
        <w:t xml:space="preserve">2013-2014, nr. 53-3399/002, 39; DE SOMVIELE I., en VAN DAMME A., “In 10 jaar tijd naar een eenheidsstatuut op vlak van aanvullende pensioenen”, </w:t>
      </w:r>
      <w:r w:rsidRPr="00273C32">
        <w:rPr>
          <w:i/>
          <w:iCs/>
        </w:rPr>
        <w:t xml:space="preserve">Or. </w:t>
      </w:r>
      <w:r w:rsidRPr="00273C32">
        <w:t>2014, afl. 6, 157</w:t>
      </w:r>
      <w:r w:rsidR="0062018E" w:rsidRPr="00273C32">
        <w:t>.</w:t>
      </w:r>
    </w:p>
  </w:footnote>
  <w:footnote w:id="177">
    <w:p w14:paraId="67B5B875" w14:textId="25FA861A" w:rsidR="00F37FE6" w:rsidRPr="00273C32" w:rsidRDefault="00F37FE6">
      <w:pPr>
        <w:pStyle w:val="Voetnoottekst"/>
      </w:pPr>
      <w:r w:rsidRPr="00273C32">
        <w:rPr>
          <w:rStyle w:val="Voetnootmarkering"/>
        </w:rPr>
        <w:footnoteRef/>
      </w:r>
      <w:r w:rsidR="00F74D26">
        <w:t xml:space="preserve"> </w:t>
      </w:r>
      <w:r w:rsidRPr="00273C32">
        <w:t>Art 14/4, §1, laatste lid WAP; Wetsontwerp tot wijziging van het rustpensioen en overlevingspensioen en tot invoering van de overgangsuitkering, in de pensioenregeling voor werknemers, Amendementen,</w:t>
      </w:r>
      <w:r w:rsidRPr="00273C32">
        <w:rPr>
          <w:i/>
          <w:iCs/>
        </w:rPr>
        <w:t xml:space="preserve">. </w:t>
      </w:r>
      <w:r w:rsidRPr="00273C32">
        <w:t>K</w:t>
      </w:r>
      <w:r w:rsidR="0062018E" w:rsidRPr="00273C32">
        <w:t>AMER</w:t>
      </w:r>
      <w:r w:rsidRPr="00273C32">
        <w:t xml:space="preserve"> 2013-2014, nr. 53-3399/002, 39</w:t>
      </w:r>
      <w:r w:rsidR="0062018E" w:rsidRPr="00273C32">
        <w:t>.</w:t>
      </w:r>
    </w:p>
  </w:footnote>
  <w:footnote w:id="178">
    <w:p w14:paraId="6212F80F" w14:textId="16F749C5" w:rsidR="00323C2C" w:rsidRPr="00273C32" w:rsidRDefault="00323C2C">
      <w:pPr>
        <w:pStyle w:val="Voetnoottekst"/>
      </w:pPr>
      <w:r w:rsidRPr="00273C32">
        <w:rPr>
          <w:rStyle w:val="Voetnootmarkering"/>
        </w:rPr>
        <w:footnoteRef/>
      </w:r>
      <w:r w:rsidR="00F74D26">
        <w:t xml:space="preserve"> </w:t>
      </w:r>
      <w:r w:rsidRPr="00273C32">
        <w:t xml:space="preserve">GHISLAIN S., </w:t>
      </w:r>
      <w:r w:rsidR="0062018E" w:rsidRPr="00273C32">
        <w:t>‘</w:t>
      </w:r>
      <w:r w:rsidRPr="00273C32">
        <w:t>Bijlage 5 – Proces van harmonisatie tussen arbeiders en bedienden inzake aanvullende pensioenen</w:t>
      </w:r>
      <w:r w:rsidR="0062018E" w:rsidRPr="00273C32">
        <w:t>’</w:t>
      </w:r>
      <w:r w:rsidRPr="00273C32">
        <w:t xml:space="preserve"> in VAN KERREBROECK N. en VERWILGHEN M. (</w:t>
      </w:r>
      <w:proofErr w:type="spellStart"/>
      <w:r w:rsidRPr="00273C32">
        <w:t>eds</w:t>
      </w:r>
      <w:proofErr w:type="spellEnd"/>
      <w:r w:rsidRPr="00273C32">
        <w:t xml:space="preserve">.), </w:t>
      </w:r>
      <w:r w:rsidRPr="00273C32">
        <w:rPr>
          <w:i/>
          <w:iCs/>
        </w:rPr>
        <w:t>De harmonisatie van het statuut arbeider en bediende,</w:t>
      </w:r>
      <w:r w:rsidRPr="00273C32">
        <w:t xml:space="preserve"> </w:t>
      </w:r>
      <w:proofErr w:type="spellStart"/>
      <w:r w:rsidRPr="00273C32">
        <w:t>Larcier</w:t>
      </w:r>
      <w:proofErr w:type="spellEnd"/>
      <w:r w:rsidRPr="00273C32">
        <w:t>, 2014, 286</w:t>
      </w:r>
      <w:r w:rsidR="0062018E" w:rsidRPr="00273C32">
        <w:t>.</w:t>
      </w:r>
    </w:p>
  </w:footnote>
  <w:footnote w:id="179">
    <w:p w14:paraId="1F46BB2C" w14:textId="27D5D87E" w:rsidR="006678E9" w:rsidRPr="00273C32" w:rsidRDefault="006678E9">
      <w:pPr>
        <w:pStyle w:val="Voetnoottekst"/>
      </w:pPr>
      <w:r w:rsidRPr="00273C32">
        <w:rPr>
          <w:rStyle w:val="Voetnootmarkering"/>
        </w:rPr>
        <w:footnoteRef/>
      </w:r>
      <w:bookmarkStart w:id="75" w:name="_Hlk215488679"/>
      <w:r w:rsidR="00F74D26">
        <w:t xml:space="preserve"> </w:t>
      </w:r>
      <w:r w:rsidRPr="00273C32">
        <w:t>Wetsontwerp tot wijziging van het rustpensioen en overlevingspensioen en tot invoering van de overgangsuitkering, in de pensioenregeling voor werknemers, Amendementen,</w:t>
      </w:r>
      <w:r w:rsidRPr="00273C32">
        <w:rPr>
          <w:i/>
          <w:iCs/>
        </w:rPr>
        <w:t xml:space="preserve"> </w:t>
      </w:r>
      <w:r w:rsidRPr="00273C32">
        <w:t>K</w:t>
      </w:r>
      <w:r w:rsidR="001F59C2" w:rsidRPr="00273C32">
        <w:t>AMER</w:t>
      </w:r>
      <w:r w:rsidRPr="00273C32">
        <w:t xml:space="preserve"> 2013-2014, nr. 53-3399/002, 42-43</w:t>
      </w:r>
      <w:bookmarkEnd w:id="75"/>
      <w:r w:rsidR="00375E17" w:rsidRPr="00273C32">
        <w:t>.</w:t>
      </w:r>
    </w:p>
  </w:footnote>
  <w:footnote w:id="180">
    <w:p w14:paraId="2127B278" w14:textId="51DF3004" w:rsidR="000723A9" w:rsidRPr="00BD37B0" w:rsidRDefault="000723A9">
      <w:pPr>
        <w:pStyle w:val="Voetnoottekst"/>
        <w:rPr>
          <w:color w:val="00B050"/>
        </w:rPr>
      </w:pPr>
      <w:r w:rsidRPr="00273C32">
        <w:rPr>
          <w:rStyle w:val="Voetnootmarkering"/>
        </w:rPr>
        <w:footnoteRef/>
      </w:r>
      <w:r w:rsidR="00F74D26">
        <w:t xml:space="preserve"> </w:t>
      </w:r>
      <w:r w:rsidRPr="00273C32">
        <w:t>Wetsontwerp tot wijziging van het rustpensioen en overlevingspensioen en tot invoering van de overgangsuitkering, in de pensioenregeling voor werknemers, Amendementen, K</w:t>
      </w:r>
      <w:r w:rsidR="00273C32" w:rsidRPr="00273C32">
        <w:t>AMER</w:t>
      </w:r>
      <w:r w:rsidRPr="00273C32">
        <w:t xml:space="preserve"> 2013-2014, nr. 53-3399/002, 42-43</w:t>
      </w:r>
      <w:r w:rsidR="00273C32" w:rsidRPr="00273C32">
        <w:t>.</w:t>
      </w:r>
    </w:p>
  </w:footnote>
  <w:footnote w:id="181">
    <w:p w14:paraId="0EB57E01" w14:textId="2B8BC540" w:rsidR="00993C4D" w:rsidRPr="0095463C" w:rsidRDefault="00993C4D">
      <w:pPr>
        <w:pStyle w:val="Voetnoottekst"/>
      </w:pPr>
      <w:r>
        <w:rPr>
          <w:rStyle w:val="Voetnootmarkering"/>
        </w:rPr>
        <w:footnoteRef/>
      </w:r>
      <w:r w:rsidR="009F298C">
        <w:t xml:space="preserve"> </w:t>
      </w:r>
      <w:r w:rsidRPr="0095463C">
        <w:t>Wetsontwerp tot wijziging van het rustpensioen en overlevingspensioen en tot invoering van de overgangsuitkering, in de pensioenregeling voor werknemers, Amendementen,</w:t>
      </w:r>
      <w:r w:rsidR="0095463C" w:rsidRPr="0095463C">
        <w:t xml:space="preserve"> </w:t>
      </w:r>
      <w:r w:rsidRPr="0095463C">
        <w:t>K</w:t>
      </w:r>
      <w:r w:rsidR="0095463C" w:rsidRPr="0095463C">
        <w:t>AMER</w:t>
      </w:r>
      <w:r w:rsidRPr="0095463C">
        <w:t xml:space="preserve"> 2013-2014, nr. 53-3399/002, 4</w:t>
      </w:r>
      <w:r w:rsidR="0095463C" w:rsidRPr="0095463C">
        <w:t>.</w:t>
      </w:r>
    </w:p>
  </w:footnote>
  <w:footnote w:id="182">
    <w:p w14:paraId="55A3DA89" w14:textId="2C1AEBB0" w:rsidR="002B1A71" w:rsidRPr="002B1A71" w:rsidRDefault="002B1A71">
      <w:pPr>
        <w:pStyle w:val="Voetnoottekst"/>
      </w:pPr>
      <w:r w:rsidRPr="0095463C">
        <w:rPr>
          <w:rStyle w:val="Voetnootmarkering"/>
        </w:rPr>
        <w:footnoteRef/>
      </w:r>
      <w:r w:rsidR="009F298C">
        <w:t xml:space="preserve"> </w:t>
      </w:r>
      <w:r w:rsidRPr="0095463C">
        <w:t xml:space="preserve">KNOOPS S., </w:t>
      </w:r>
      <w:r w:rsidRPr="0095463C">
        <w:rPr>
          <w:i/>
          <w:iCs/>
        </w:rPr>
        <w:t>De toepassing en handhaving van het gelijkheidsbeginsel bij aanvullende pensioenen,</w:t>
      </w:r>
      <w:r w:rsidRPr="0095463C">
        <w:t xml:space="preserve"> </w:t>
      </w:r>
      <w:proofErr w:type="spellStart"/>
      <w:r w:rsidRPr="0095463C">
        <w:t>Intersentia</w:t>
      </w:r>
      <w:proofErr w:type="spellEnd"/>
      <w:r w:rsidRPr="0095463C">
        <w:t>, 2024, 459</w:t>
      </w:r>
      <w:r w:rsidR="0095463C" w:rsidRPr="0095463C">
        <w:t>.</w:t>
      </w:r>
    </w:p>
  </w:footnote>
  <w:footnote w:id="183">
    <w:p w14:paraId="71959EA8" w14:textId="71DD48A8" w:rsidR="00AC7C1D" w:rsidRPr="00BD7ACC" w:rsidRDefault="00AC7C1D">
      <w:pPr>
        <w:pStyle w:val="Voetnoottekst"/>
        <w:rPr>
          <w:lang w:val="fr-BE"/>
        </w:rPr>
      </w:pPr>
      <w:r>
        <w:rPr>
          <w:rStyle w:val="Voetnootmarkering"/>
        </w:rPr>
        <w:footnoteRef/>
      </w:r>
      <w:r w:rsidR="00EF4822">
        <w:rPr>
          <w:lang w:val="fr-BE"/>
        </w:rPr>
        <w:t xml:space="preserve"> </w:t>
      </w:r>
      <w:r w:rsidRPr="00BD7ACC">
        <w:rPr>
          <w:lang w:val="fr-BE"/>
        </w:rPr>
        <w:t xml:space="preserve">PÂQUES S. </w:t>
      </w:r>
      <w:r w:rsidR="00BD7ACC" w:rsidRPr="00BD7ACC">
        <w:rPr>
          <w:lang w:val="fr-BE"/>
        </w:rPr>
        <w:t>‘</w:t>
      </w:r>
      <w:r w:rsidRPr="00BD7ACC">
        <w:rPr>
          <w:lang w:val="fr-BE"/>
        </w:rPr>
        <w:t>Le point sur l’harmonisation ouvrier/employé dans les pensions complémentaires</w:t>
      </w:r>
      <w:r w:rsidR="00BD7ACC" w:rsidRPr="00BD7ACC">
        <w:rPr>
          <w:lang w:val="fr-BE"/>
        </w:rPr>
        <w:t>’</w:t>
      </w:r>
      <w:r w:rsidRPr="00BD7ACC">
        <w:rPr>
          <w:lang w:val="fr-BE"/>
        </w:rPr>
        <w:t xml:space="preserve">, </w:t>
      </w:r>
      <w:r w:rsidRPr="00BD7ACC">
        <w:rPr>
          <w:i/>
          <w:iCs/>
          <w:lang w:val="fr-BE"/>
        </w:rPr>
        <w:t xml:space="preserve">Ors. </w:t>
      </w:r>
      <w:r w:rsidRPr="00BD7ACC">
        <w:rPr>
          <w:lang w:val="fr-BE"/>
        </w:rPr>
        <w:t xml:space="preserve">2017, </w:t>
      </w:r>
      <w:proofErr w:type="spellStart"/>
      <w:r w:rsidRPr="00BD7ACC">
        <w:rPr>
          <w:lang w:val="fr-BE"/>
        </w:rPr>
        <w:t>afl</w:t>
      </w:r>
      <w:proofErr w:type="spellEnd"/>
      <w:r w:rsidRPr="00BD7ACC">
        <w:rPr>
          <w:lang w:val="fr-BE"/>
        </w:rPr>
        <w:t>. 6, 5.</w:t>
      </w:r>
    </w:p>
  </w:footnote>
  <w:footnote w:id="184">
    <w:p w14:paraId="51E01150" w14:textId="51394666" w:rsidR="00DF2929" w:rsidRPr="00BD7ACC" w:rsidRDefault="00DF2929">
      <w:pPr>
        <w:pStyle w:val="Voetnoottekst"/>
      </w:pPr>
      <w:r w:rsidRPr="00BD7ACC">
        <w:rPr>
          <w:rStyle w:val="Voetnootmarkering"/>
        </w:rPr>
        <w:footnoteRef/>
      </w:r>
      <w:r w:rsidR="00EF4822">
        <w:t xml:space="preserve"> </w:t>
      </w:r>
      <w:r w:rsidRPr="00BD7ACC">
        <w:t xml:space="preserve">NAR, </w:t>
      </w:r>
      <w:r w:rsidRPr="00BD7ACC">
        <w:rPr>
          <w:i/>
          <w:iCs/>
        </w:rPr>
        <w:t xml:space="preserve">Advies nr. 2.155 – Harmonisering statuut arbeider/bediende – Aanvullende pensioenen – Art. 14/4, §2 van de WAP – Evaluatie, </w:t>
      </w:r>
      <w:r w:rsidRPr="00BD7ACC">
        <w:t>28 juni 2022, 8</w:t>
      </w:r>
      <w:r w:rsidR="00BD7ACC" w:rsidRPr="00BD7ACC">
        <w:t>.</w:t>
      </w:r>
    </w:p>
  </w:footnote>
  <w:footnote w:id="185">
    <w:p w14:paraId="70EB39FA" w14:textId="1D4E8A27" w:rsidR="003F7E1B" w:rsidRPr="003F7E1B" w:rsidRDefault="003F7E1B">
      <w:pPr>
        <w:pStyle w:val="Voetnoottekst"/>
      </w:pPr>
      <w:r w:rsidRPr="00BD7ACC">
        <w:rPr>
          <w:rStyle w:val="Voetnootmarkering"/>
        </w:rPr>
        <w:footnoteRef/>
      </w:r>
      <w:r w:rsidR="00EF4822">
        <w:t xml:space="preserve"> </w:t>
      </w:r>
      <w:r w:rsidRPr="00BD7ACC">
        <w:t xml:space="preserve">KNOOPS S., </w:t>
      </w:r>
      <w:r w:rsidRPr="00BD7ACC">
        <w:rPr>
          <w:i/>
          <w:iCs/>
        </w:rPr>
        <w:t xml:space="preserve">De toepassing en handhaving van het gelijkheidsbeginsel bij aanvullende pensioenen, </w:t>
      </w:r>
      <w:proofErr w:type="spellStart"/>
      <w:r w:rsidRPr="00BD7ACC">
        <w:t>Intersentia</w:t>
      </w:r>
      <w:proofErr w:type="spellEnd"/>
      <w:r w:rsidRPr="00BD7ACC">
        <w:t>, 2024, 415;</w:t>
      </w:r>
      <w:bookmarkStart w:id="77" w:name="_Hlk227666159"/>
      <w:r w:rsidR="00BD7ACC" w:rsidRPr="00BD7ACC">
        <w:t xml:space="preserve"> </w:t>
      </w:r>
      <w:r w:rsidRPr="00BD7ACC">
        <w:t xml:space="preserve">STEVENS Y., </w:t>
      </w:r>
      <w:r w:rsidRPr="00BD7ACC">
        <w:rPr>
          <w:i/>
          <w:iCs/>
        </w:rPr>
        <w:t xml:space="preserve">Gelijkheid en </w:t>
      </w:r>
      <w:proofErr w:type="spellStart"/>
      <w:r w:rsidRPr="00BD7ACC">
        <w:rPr>
          <w:i/>
          <w:iCs/>
        </w:rPr>
        <w:t>solidaritiet</w:t>
      </w:r>
      <w:proofErr w:type="spellEnd"/>
      <w:r w:rsidRPr="00BD7ACC">
        <w:rPr>
          <w:i/>
          <w:iCs/>
        </w:rPr>
        <w:t xml:space="preserve"> in aanvullende werknemerspensioenen: van loon naar sociale bescherming, </w:t>
      </w:r>
      <w:proofErr w:type="spellStart"/>
      <w:r w:rsidRPr="00BD7ACC">
        <w:t>onuitg</w:t>
      </w:r>
      <w:proofErr w:type="spellEnd"/>
      <w:r w:rsidRPr="00BD7ACC">
        <w:t>. Doctoraatsthesis rechten KU Leuven 2002, 525</w:t>
      </w:r>
      <w:bookmarkEnd w:id="77"/>
      <w:r w:rsidR="00BD7ACC" w:rsidRPr="00BD7ACC">
        <w:t>.</w:t>
      </w:r>
    </w:p>
  </w:footnote>
  <w:footnote w:id="186">
    <w:p w14:paraId="18F04B1C" w14:textId="6916BE80" w:rsidR="00012E66" w:rsidRPr="00BD7ACC" w:rsidRDefault="00012E66">
      <w:pPr>
        <w:pStyle w:val="Voetnoottekst"/>
      </w:pPr>
      <w:r>
        <w:rPr>
          <w:rStyle w:val="Voetnootmarkering"/>
        </w:rPr>
        <w:footnoteRef/>
      </w:r>
      <w:r w:rsidR="00EF4822">
        <w:t xml:space="preserve"> </w:t>
      </w:r>
      <w:r w:rsidRPr="00BD7ACC">
        <w:t xml:space="preserve">NAR, </w:t>
      </w:r>
      <w:r w:rsidRPr="00BD7ACC">
        <w:rPr>
          <w:i/>
          <w:iCs/>
        </w:rPr>
        <w:t xml:space="preserve">Advies nr. 2.155 – Harmonisering statuut arbeider/bediende – Aanvullende pensioenen – Toepassing van de wet van 5 mei 2014 – Interpretatieproblemen, </w:t>
      </w:r>
      <w:r w:rsidRPr="00BD7ACC">
        <w:t>17 december 2019</w:t>
      </w:r>
      <w:r w:rsidR="00BD7ACC" w:rsidRPr="00BD7ACC">
        <w:t>.</w:t>
      </w:r>
    </w:p>
  </w:footnote>
  <w:footnote w:id="187">
    <w:p w14:paraId="7F3E219F" w14:textId="28972784" w:rsidR="003C7A54" w:rsidRDefault="003C7A54">
      <w:pPr>
        <w:pStyle w:val="Voetnoottekst"/>
      </w:pPr>
      <w:r w:rsidRPr="00BD7ACC">
        <w:rPr>
          <w:rStyle w:val="Voetnootmarkering"/>
        </w:rPr>
        <w:footnoteRef/>
      </w:r>
      <w:r w:rsidR="00EF4822">
        <w:t xml:space="preserve"> </w:t>
      </w:r>
      <w:r w:rsidRPr="00BD7ACC">
        <w:t xml:space="preserve">NAR, </w:t>
      </w:r>
      <w:r w:rsidRPr="00BD7ACC">
        <w:rPr>
          <w:i/>
          <w:iCs/>
        </w:rPr>
        <w:t xml:space="preserve">Advies nr. 2.155 – Harmonisering statuut arbeider/bediende – Aanvullende pensioenen – Toepassing van de wet van 5 mei 2014 – Interpretatieproblemen, </w:t>
      </w:r>
      <w:r w:rsidRPr="00BD7ACC">
        <w:t>17 december 2019</w:t>
      </w:r>
      <w:r w:rsidR="00BD7ACC" w:rsidRPr="00BD7ACC">
        <w:t>.</w:t>
      </w:r>
    </w:p>
  </w:footnote>
  <w:footnote w:id="188">
    <w:p w14:paraId="216F9B3A" w14:textId="164CFA47" w:rsidR="00280DE4" w:rsidRPr="00994909" w:rsidRDefault="00280DE4">
      <w:pPr>
        <w:pStyle w:val="Voetnoottekst"/>
      </w:pPr>
      <w:r>
        <w:rPr>
          <w:rStyle w:val="Voetnootmarkering"/>
        </w:rPr>
        <w:footnoteRef/>
      </w:r>
      <w:r w:rsidR="00560B31">
        <w:t xml:space="preserve"> </w:t>
      </w:r>
      <w:r w:rsidRPr="00994909">
        <w:t>Artikel 16 §3, lid 1 WAP</w:t>
      </w:r>
      <w:r w:rsidR="006A0539">
        <w:t xml:space="preserve">; </w:t>
      </w:r>
      <w:r w:rsidR="006A0539" w:rsidRPr="00BD7ACC">
        <w:t xml:space="preserve">KNOOPS S., </w:t>
      </w:r>
      <w:r w:rsidR="006A0539" w:rsidRPr="00BD7ACC">
        <w:rPr>
          <w:i/>
          <w:iCs/>
        </w:rPr>
        <w:t xml:space="preserve">De toepassing en handhaving van het gelijkheidsbeginsel bij aanvullende pensioenen, </w:t>
      </w:r>
      <w:proofErr w:type="spellStart"/>
      <w:r w:rsidR="006A0539" w:rsidRPr="00BD7ACC">
        <w:t>Intersentia</w:t>
      </w:r>
      <w:proofErr w:type="spellEnd"/>
      <w:r w:rsidR="006A0539" w:rsidRPr="00BD7ACC">
        <w:t>, 2024, 4</w:t>
      </w:r>
      <w:r w:rsidR="006A0539">
        <w:t>95</w:t>
      </w:r>
      <w:r w:rsidR="00B547D4">
        <w:t xml:space="preserve">. </w:t>
      </w:r>
      <w:r w:rsidR="00B547D4" w:rsidRPr="00273C32">
        <w:t xml:space="preserve">DE SOMVIELE I., en VAN DAMME A., “In 10 jaar tijd naar een eenheidsstatuut op vlak van aanvullende pensioenen”, </w:t>
      </w:r>
      <w:r w:rsidR="00B547D4" w:rsidRPr="00273C32">
        <w:rPr>
          <w:i/>
          <w:iCs/>
        </w:rPr>
        <w:t xml:space="preserve">Or. </w:t>
      </w:r>
      <w:r w:rsidR="00B547D4" w:rsidRPr="00273C32">
        <w:t>2014, afl. 6, 15</w:t>
      </w:r>
      <w:r w:rsidR="00667274">
        <w:t>9.</w:t>
      </w:r>
    </w:p>
  </w:footnote>
  <w:footnote w:id="189">
    <w:p w14:paraId="7C0C34A6" w14:textId="6703F6EC" w:rsidR="00914340" w:rsidRPr="001E52A9" w:rsidRDefault="00914340">
      <w:pPr>
        <w:pStyle w:val="Voetnoottekst"/>
      </w:pPr>
      <w:r w:rsidRPr="00994909">
        <w:rPr>
          <w:rStyle w:val="Voetnootmarkering"/>
        </w:rPr>
        <w:footnoteRef/>
      </w:r>
      <w:r w:rsidR="00560B31" w:rsidRPr="001E52A9">
        <w:t xml:space="preserve"> </w:t>
      </w:r>
      <w:r w:rsidR="00EC61D9" w:rsidRPr="001E52A9">
        <w:t>Art 16 §3, lid 1 WAP</w:t>
      </w:r>
      <w:r w:rsidR="001E52A9" w:rsidRPr="001E52A9">
        <w:t xml:space="preserve">; </w:t>
      </w:r>
      <w:r w:rsidR="001E52A9" w:rsidRPr="00BD7ACC">
        <w:t xml:space="preserve">KNOOPS S., </w:t>
      </w:r>
      <w:r w:rsidR="001E52A9" w:rsidRPr="00BD7ACC">
        <w:rPr>
          <w:i/>
          <w:iCs/>
        </w:rPr>
        <w:t xml:space="preserve">De toepassing en handhaving van het gelijkheidsbeginsel bij aanvullende pensioenen, </w:t>
      </w:r>
      <w:proofErr w:type="spellStart"/>
      <w:r w:rsidR="001E52A9" w:rsidRPr="00BD7ACC">
        <w:t>Intersentia</w:t>
      </w:r>
      <w:proofErr w:type="spellEnd"/>
      <w:r w:rsidR="001E52A9" w:rsidRPr="00BD7ACC">
        <w:t>, 2024, 4</w:t>
      </w:r>
      <w:r w:rsidR="001E52A9">
        <w:t>96</w:t>
      </w:r>
      <w:r w:rsidR="00EC106E">
        <w:t xml:space="preserve">; </w:t>
      </w:r>
      <w:r w:rsidR="00EC106E" w:rsidRPr="00273C32">
        <w:t xml:space="preserve">DE SOMVIELE I., en VAN DAMME A., “In 10 jaar tijd naar een eenheidsstatuut op vlak van aanvullende pensioenen”, </w:t>
      </w:r>
      <w:r w:rsidR="00EC106E" w:rsidRPr="00273C32">
        <w:rPr>
          <w:i/>
          <w:iCs/>
        </w:rPr>
        <w:t xml:space="preserve">Or. </w:t>
      </w:r>
      <w:r w:rsidR="00EC106E" w:rsidRPr="00273C32">
        <w:t>2014, afl. 6, 15</w:t>
      </w:r>
      <w:r w:rsidR="00EC106E">
        <w:t>9.</w:t>
      </w:r>
    </w:p>
  </w:footnote>
  <w:footnote w:id="190">
    <w:p w14:paraId="6067CFED" w14:textId="34AE6677" w:rsidR="00F50F34" w:rsidRPr="00F50F34" w:rsidRDefault="00F50F34">
      <w:pPr>
        <w:pStyle w:val="Voetnoottekst"/>
        <w:rPr>
          <w:lang w:val="fr-BE"/>
        </w:rPr>
      </w:pPr>
      <w:r w:rsidRPr="00994909">
        <w:rPr>
          <w:rStyle w:val="Voetnootmarkering"/>
        </w:rPr>
        <w:footnoteRef/>
      </w:r>
      <w:r w:rsidR="00C85401">
        <w:rPr>
          <w:lang w:val="fr-BE"/>
        </w:rPr>
        <w:t xml:space="preserve"> </w:t>
      </w:r>
      <w:r w:rsidR="0053175F" w:rsidRPr="00994909">
        <w:rPr>
          <w:lang w:val="fr-BE"/>
        </w:rPr>
        <w:t>Art 14/2 §2 WAP;</w:t>
      </w:r>
      <w:r w:rsidRPr="00994909">
        <w:rPr>
          <w:lang w:val="fr-BE"/>
        </w:rPr>
        <w:t xml:space="preserve"> DELOGNE F., </w:t>
      </w:r>
      <w:r w:rsidR="00994909" w:rsidRPr="00994909">
        <w:rPr>
          <w:lang w:val="fr-BE"/>
        </w:rPr>
        <w:t>‘</w:t>
      </w:r>
      <w:r w:rsidRPr="00994909">
        <w:rPr>
          <w:lang w:val="fr-BE"/>
        </w:rPr>
        <w:t>Régimes complémentaires de pension (2</w:t>
      </w:r>
      <w:r w:rsidRPr="00994909">
        <w:rPr>
          <w:vertAlign w:val="superscript"/>
          <w:lang w:val="fr-BE"/>
        </w:rPr>
        <w:t>e</w:t>
      </w:r>
      <w:r w:rsidRPr="00994909">
        <w:rPr>
          <w:lang w:val="fr-BE"/>
        </w:rPr>
        <w:t xml:space="preserve"> partie: Statut unique ouvriers/employés et informations des alliés dur leurs droits à pension</w:t>
      </w:r>
      <w:r w:rsidR="00994909" w:rsidRPr="00994909">
        <w:rPr>
          <w:lang w:val="fr-BE"/>
        </w:rPr>
        <w:t>’</w:t>
      </w:r>
      <w:r w:rsidRPr="00994909">
        <w:rPr>
          <w:lang w:val="fr-BE"/>
        </w:rPr>
        <w:t xml:space="preserve">, </w:t>
      </w:r>
      <w:proofErr w:type="spellStart"/>
      <w:r w:rsidRPr="00994909">
        <w:rPr>
          <w:i/>
          <w:iCs/>
          <w:lang w:val="fr-BE"/>
        </w:rPr>
        <w:t>For.ass</w:t>
      </w:r>
      <w:proofErr w:type="spellEnd"/>
      <w:r w:rsidRPr="00994909">
        <w:rPr>
          <w:i/>
          <w:iCs/>
          <w:lang w:val="fr-BE"/>
        </w:rPr>
        <w:t xml:space="preserve">. </w:t>
      </w:r>
      <w:r w:rsidRPr="00994909">
        <w:rPr>
          <w:lang w:val="fr-BE"/>
        </w:rPr>
        <w:t xml:space="preserve">2014 , nr. 147, 186; DOYEN P., </w:t>
      </w:r>
      <w:r w:rsidR="00994909" w:rsidRPr="00994909">
        <w:rPr>
          <w:lang w:val="fr-BE"/>
        </w:rPr>
        <w:t>‘</w:t>
      </w:r>
      <w:r w:rsidRPr="00994909">
        <w:rPr>
          <w:lang w:val="fr-BE"/>
        </w:rPr>
        <w:t>Pensions complémentaires d’entreprises: l’</w:t>
      </w:r>
      <w:proofErr w:type="spellStart"/>
      <w:r w:rsidRPr="00994909">
        <w:rPr>
          <w:lang w:val="fr-BE"/>
        </w:rPr>
        <w:t>arrivéé</w:t>
      </w:r>
      <w:proofErr w:type="spellEnd"/>
      <w:r w:rsidRPr="00994909">
        <w:rPr>
          <w:lang w:val="fr-BE"/>
        </w:rPr>
        <w:t xml:space="preserve"> à maturité?</w:t>
      </w:r>
      <w:r w:rsidR="00994909" w:rsidRPr="00994909">
        <w:rPr>
          <w:lang w:val="fr-BE"/>
        </w:rPr>
        <w:t>’</w:t>
      </w:r>
      <w:r w:rsidRPr="00994909">
        <w:rPr>
          <w:lang w:val="fr-BE"/>
        </w:rPr>
        <w:t xml:space="preserve">, </w:t>
      </w:r>
      <w:proofErr w:type="spellStart"/>
      <w:r w:rsidRPr="00994909">
        <w:rPr>
          <w:i/>
          <w:iCs/>
          <w:lang w:val="fr-BE"/>
        </w:rPr>
        <w:t>T.Verz</w:t>
      </w:r>
      <w:proofErr w:type="spellEnd"/>
      <w:r w:rsidRPr="00994909">
        <w:rPr>
          <w:i/>
          <w:iCs/>
          <w:lang w:val="fr-BE"/>
        </w:rPr>
        <w:t xml:space="preserve">. </w:t>
      </w:r>
      <w:r w:rsidRPr="00994909">
        <w:rPr>
          <w:lang w:val="fr-BE"/>
        </w:rPr>
        <w:t xml:space="preserve">2014, </w:t>
      </w:r>
      <w:proofErr w:type="spellStart"/>
      <w:r w:rsidRPr="00994909">
        <w:rPr>
          <w:lang w:val="fr-BE"/>
        </w:rPr>
        <w:t>afl</w:t>
      </w:r>
      <w:proofErr w:type="spellEnd"/>
      <w:r w:rsidRPr="00994909">
        <w:rPr>
          <w:lang w:val="fr-BE"/>
        </w:rPr>
        <w:t>. 3, nr. 388, 274</w:t>
      </w:r>
      <w:r w:rsidR="00994909" w:rsidRPr="00994909">
        <w:rPr>
          <w:lang w:val="fr-BE"/>
        </w:rPr>
        <w:t>.</w:t>
      </w:r>
    </w:p>
  </w:footnote>
  <w:footnote w:id="191">
    <w:p w14:paraId="56A33D8B" w14:textId="61A93DA2" w:rsidR="000846AD" w:rsidRDefault="000846AD">
      <w:pPr>
        <w:pStyle w:val="Voetnoottekst"/>
      </w:pPr>
      <w:r>
        <w:rPr>
          <w:rStyle w:val="Voetnootmarkering"/>
        </w:rPr>
        <w:footnoteRef/>
      </w:r>
      <w:r w:rsidR="00C85401">
        <w:t xml:space="preserve"> </w:t>
      </w:r>
      <w:r w:rsidR="005A37EF" w:rsidRPr="0058444E">
        <w:t xml:space="preserve">KNOOPS S., </w:t>
      </w:r>
      <w:r w:rsidR="005A37EF" w:rsidRPr="0058444E">
        <w:rPr>
          <w:i/>
          <w:iCs/>
        </w:rPr>
        <w:t xml:space="preserve">De toepassing en handhaving van het gelijkheidsbeginsel bij aanvullende pensioenen, </w:t>
      </w:r>
      <w:proofErr w:type="spellStart"/>
      <w:r w:rsidR="005A37EF" w:rsidRPr="0058444E">
        <w:t>Intersentia</w:t>
      </w:r>
      <w:proofErr w:type="spellEnd"/>
      <w:r w:rsidR="005A37EF" w:rsidRPr="0058444E">
        <w:t xml:space="preserve">, 2024, </w:t>
      </w:r>
      <w:r w:rsidR="005A37EF">
        <w:t>456</w:t>
      </w:r>
      <w:r w:rsidR="009F3AF3">
        <w:t>.</w:t>
      </w:r>
    </w:p>
  </w:footnote>
  <w:footnote w:id="192">
    <w:p w14:paraId="7AF8496A" w14:textId="0E472B01" w:rsidR="00AD6893" w:rsidRDefault="00AD6893">
      <w:pPr>
        <w:pStyle w:val="Voetnoottekst"/>
      </w:pPr>
      <w:r>
        <w:rPr>
          <w:rStyle w:val="Voetnootmarkering"/>
        </w:rPr>
        <w:footnoteRef/>
      </w:r>
      <w:r>
        <w:t xml:space="preserve"> Art. 16 §3, laatste lid WAP</w:t>
      </w:r>
      <w:r w:rsidR="002C6E27">
        <w:t xml:space="preserve">; </w:t>
      </w:r>
      <w:r w:rsidR="002C6E27" w:rsidRPr="00273C32">
        <w:t xml:space="preserve">DE SOMVIELE I., en VAN DAMME A., “In 10 jaar tijd naar een eenheidsstatuut op vlak van aanvullende pensioenen”, </w:t>
      </w:r>
      <w:r w:rsidR="002C6E27" w:rsidRPr="00273C32">
        <w:rPr>
          <w:i/>
          <w:iCs/>
        </w:rPr>
        <w:t xml:space="preserve">Or. </w:t>
      </w:r>
      <w:r w:rsidR="002C6E27" w:rsidRPr="00273C32">
        <w:t>2014, afl. 6, 1</w:t>
      </w:r>
      <w:r w:rsidR="002C6E27">
        <w:t>60.</w:t>
      </w:r>
    </w:p>
  </w:footnote>
  <w:footnote w:id="193">
    <w:p w14:paraId="6ED783AB" w14:textId="6E48FA6D" w:rsidR="008D12B1" w:rsidRPr="004C28D0" w:rsidRDefault="008D12B1">
      <w:pPr>
        <w:pStyle w:val="Voetnoottekst"/>
      </w:pPr>
      <w:r w:rsidRPr="004C28D0">
        <w:rPr>
          <w:rStyle w:val="Voetnootmarkering"/>
        </w:rPr>
        <w:footnoteRef/>
      </w:r>
      <w:r w:rsidR="007F5B79">
        <w:t xml:space="preserve"> </w:t>
      </w:r>
      <w:r w:rsidR="00F25F3B" w:rsidRPr="004C28D0">
        <w:t>Wetsontwerp tot wijziging van het rustpensioen en het overlevingspensioen en tot invoering van de overgangsuitkering, in de pensioenregeling voor werknemers, Amendementen,</w:t>
      </w:r>
      <w:r w:rsidR="00F25F3B" w:rsidRPr="004C28D0">
        <w:rPr>
          <w:i/>
          <w:iCs/>
        </w:rPr>
        <w:t xml:space="preserve">. </w:t>
      </w:r>
      <w:r w:rsidR="00F25F3B" w:rsidRPr="004C28D0">
        <w:t>K</w:t>
      </w:r>
      <w:r w:rsidR="004C28D0" w:rsidRPr="004C28D0">
        <w:t xml:space="preserve">AMER </w:t>
      </w:r>
      <w:r w:rsidR="00F25F3B" w:rsidRPr="004C28D0">
        <w:t>2013-2014, nr. 53-3399/002, 32-33</w:t>
      </w:r>
      <w:r w:rsidR="004C28D0" w:rsidRPr="004C28D0">
        <w:t>.</w:t>
      </w:r>
    </w:p>
  </w:footnote>
  <w:footnote w:id="194">
    <w:p w14:paraId="677B1A4C" w14:textId="00BC2AA7" w:rsidR="00537F9E" w:rsidRPr="004C28D0" w:rsidRDefault="00537F9E">
      <w:pPr>
        <w:pStyle w:val="Voetnoottekst"/>
      </w:pPr>
      <w:r w:rsidRPr="004C28D0">
        <w:rPr>
          <w:rStyle w:val="Voetnootmarkering"/>
        </w:rPr>
        <w:footnoteRef/>
      </w:r>
      <w:r w:rsidR="007F5B79">
        <w:t xml:space="preserve"> </w:t>
      </w:r>
      <w:r w:rsidRPr="004C28D0">
        <w:t>Wetsontwerp tot wijziging van het rustpensioen en overlevingspensioen en tot invoering van de overgangsuitkering, in de pensioenregeling voor werknemers, Amendementen,</w:t>
      </w:r>
      <w:r w:rsidRPr="004C28D0">
        <w:rPr>
          <w:i/>
          <w:iCs/>
        </w:rPr>
        <w:t xml:space="preserve"> </w:t>
      </w:r>
      <w:r w:rsidRPr="004C28D0">
        <w:t>K</w:t>
      </w:r>
      <w:r w:rsidR="004C28D0" w:rsidRPr="004C28D0">
        <w:t>AMER</w:t>
      </w:r>
      <w:r w:rsidRPr="004C28D0">
        <w:t xml:space="preserve"> 2013-2014, nr. 53-3399/002, 4</w:t>
      </w:r>
      <w:r w:rsidR="004B5DB3" w:rsidRPr="004C28D0">
        <w:t>6</w:t>
      </w:r>
      <w:r w:rsidR="004C28D0" w:rsidRPr="004C28D0">
        <w:t>.</w:t>
      </w:r>
    </w:p>
  </w:footnote>
  <w:footnote w:id="195">
    <w:p w14:paraId="757EF09D" w14:textId="4DBCF04E" w:rsidR="00642FB6" w:rsidRPr="007F5B79" w:rsidRDefault="00642FB6">
      <w:pPr>
        <w:pStyle w:val="Voetnoottekst"/>
      </w:pPr>
      <w:r w:rsidRPr="004C28D0">
        <w:rPr>
          <w:rStyle w:val="Voetnootmarkering"/>
        </w:rPr>
        <w:footnoteRef/>
      </w:r>
      <w:r w:rsidR="007F5B79">
        <w:t xml:space="preserve"> </w:t>
      </w:r>
      <w:r w:rsidRPr="004C28D0">
        <w:t xml:space="preserve">KNOOPS S., </w:t>
      </w:r>
      <w:r w:rsidRPr="004C28D0">
        <w:rPr>
          <w:i/>
          <w:iCs/>
        </w:rPr>
        <w:t>De toepassing en handhaving van het gelijkheidsbeginsel bij aanvullende pensioenen,</w:t>
      </w:r>
      <w:r w:rsidRPr="004C28D0">
        <w:t xml:space="preserve"> </w:t>
      </w:r>
      <w:proofErr w:type="spellStart"/>
      <w:r w:rsidRPr="004C28D0">
        <w:t>Intersentia</w:t>
      </w:r>
      <w:proofErr w:type="spellEnd"/>
      <w:r w:rsidRPr="004C28D0">
        <w:t xml:space="preserve">, 2024, 459; </w:t>
      </w:r>
      <w:r w:rsidR="00C84341" w:rsidRPr="004C28D0">
        <w:t xml:space="preserve">DE SOMVIELE I., en VAN DAMME A., </w:t>
      </w:r>
      <w:r w:rsidR="004C28D0" w:rsidRPr="004C28D0">
        <w:t>‘</w:t>
      </w:r>
      <w:r w:rsidR="00C84341" w:rsidRPr="004C28D0">
        <w:t xml:space="preserve">In 10 jaar tijd naar een eenheidsstatuut op vlak van aanvullende </w:t>
      </w:r>
      <w:r w:rsidR="00C84341" w:rsidRPr="007F5B79">
        <w:t>pensioenen</w:t>
      </w:r>
      <w:r w:rsidR="004C28D0" w:rsidRPr="007F5B79">
        <w:t>’</w:t>
      </w:r>
      <w:r w:rsidR="00C84341" w:rsidRPr="007F5B79">
        <w:t xml:space="preserve">, </w:t>
      </w:r>
      <w:r w:rsidR="00C84341" w:rsidRPr="007F5B79">
        <w:rPr>
          <w:i/>
          <w:iCs/>
        </w:rPr>
        <w:t xml:space="preserve">Or. </w:t>
      </w:r>
      <w:r w:rsidR="00C84341" w:rsidRPr="007F5B79">
        <w:t>2014, afl. 6, 160</w:t>
      </w:r>
      <w:r w:rsidR="004C28D0" w:rsidRPr="007F5B79">
        <w:t>.</w:t>
      </w:r>
    </w:p>
  </w:footnote>
  <w:footnote w:id="196">
    <w:p w14:paraId="0C6C3D8F" w14:textId="76748218" w:rsidR="007029D1" w:rsidRPr="00260198" w:rsidRDefault="007029D1">
      <w:pPr>
        <w:pStyle w:val="Voetnoottekst"/>
        <w:rPr>
          <w:color w:val="00B050"/>
        </w:rPr>
      </w:pPr>
      <w:r w:rsidRPr="007F5B79">
        <w:rPr>
          <w:rStyle w:val="Voetnootmarkering"/>
        </w:rPr>
        <w:footnoteRef/>
      </w:r>
      <w:r w:rsidR="007F5B79">
        <w:t xml:space="preserve"> </w:t>
      </w:r>
      <w:r w:rsidRPr="007F5B79">
        <w:t>Wetsontwerp tot wijziging van het rustpensioen en het overlevingspensioen en tot invoering van de overgangsuitkering, in de pensioenregeling voor werknemers, Amendementen, K</w:t>
      </w:r>
      <w:r w:rsidR="004C28D0" w:rsidRPr="007F5B79">
        <w:t>AMER</w:t>
      </w:r>
      <w:r w:rsidRPr="007F5B79">
        <w:t xml:space="preserve"> 2013-2014, nr. 53-3399/002, 32-33</w:t>
      </w:r>
      <w:r w:rsidR="008076EA">
        <w:t xml:space="preserve">; </w:t>
      </w:r>
      <w:r w:rsidR="008076EA" w:rsidRPr="004C28D0">
        <w:t xml:space="preserve">KNOOPS S., </w:t>
      </w:r>
      <w:r w:rsidR="008076EA" w:rsidRPr="004C28D0">
        <w:rPr>
          <w:i/>
          <w:iCs/>
        </w:rPr>
        <w:t>De toepassing en handhaving van het gelijkheidsbeginsel bij aanvullende pensioenen,</w:t>
      </w:r>
      <w:r w:rsidR="008076EA" w:rsidRPr="004C28D0">
        <w:t xml:space="preserve"> </w:t>
      </w:r>
      <w:proofErr w:type="spellStart"/>
      <w:r w:rsidR="008076EA" w:rsidRPr="004C28D0">
        <w:t>Intersentia</w:t>
      </w:r>
      <w:proofErr w:type="spellEnd"/>
      <w:r w:rsidR="008076EA" w:rsidRPr="004C28D0">
        <w:t xml:space="preserve">, 2024, </w:t>
      </w:r>
      <w:r w:rsidR="008076EA">
        <w:t>502.</w:t>
      </w:r>
    </w:p>
  </w:footnote>
  <w:footnote w:id="197">
    <w:p w14:paraId="05494476" w14:textId="562A29DD" w:rsidR="00E971DB" w:rsidRDefault="00E971DB">
      <w:pPr>
        <w:pStyle w:val="Voetnoottekst"/>
      </w:pPr>
      <w:r w:rsidRPr="002B014D">
        <w:rPr>
          <w:rStyle w:val="Voetnootmarkering"/>
        </w:rPr>
        <w:footnoteRef/>
      </w:r>
      <w:r w:rsidR="007E64CA">
        <w:t xml:space="preserve"> </w:t>
      </w:r>
      <w:r w:rsidRPr="002B014D">
        <w:t>Wetsontwerp tot wijziging van het rustpensioen en het overlevingspensioen en tot invoering van de overgangsuitkering, in de pensioenregeling voor werknemers, Amendementen,</w:t>
      </w:r>
      <w:r w:rsidRPr="002B014D">
        <w:rPr>
          <w:i/>
          <w:iCs/>
        </w:rPr>
        <w:t xml:space="preserve"> </w:t>
      </w:r>
      <w:r w:rsidRPr="002B014D">
        <w:t>K</w:t>
      </w:r>
      <w:r w:rsidR="004C28D0" w:rsidRPr="002B014D">
        <w:t xml:space="preserve">AMER </w:t>
      </w:r>
      <w:r w:rsidRPr="002B014D">
        <w:t>2013-2014, nr. 53-3399/002, 32-33</w:t>
      </w:r>
      <w:r w:rsidR="004C28D0" w:rsidRPr="002B014D">
        <w:t>.</w:t>
      </w:r>
    </w:p>
  </w:footnote>
  <w:footnote w:id="198">
    <w:p w14:paraId="19DE80B3" w14:textId="2A94DC74" w:rsidR="005F035D" w:rsidRPr="00D443F9" w:rsidRDefault="005F035D">
      <w:pPr>
        <w:pStyle w:val="Voetnoottekst"/>
      </w:pPr>
      <w:r w:rsidRPr="00D443F9">
        <w:rPr>
          <w:rStyle w:val="Voetnootmarkering"/>
        </w:rPr>
        <w:footnoteRef/>
      </w:r>
      <w:r w:rsidR="007E64CA">
        <w:t xml:space="preserve"> </w:t>
      </w:r>
      <w:r w:rsidRPr="00D443F9">
        <w:t xml:space="preserve">KNOOPS S., </w:t>
      </w:r>
      <w:r w:rsidRPr="00D443F9">
        <w:rPr>
          <w:i/>
          <w:iCs/>
        </w:rPr>
        <w:t xml:space="preserve">De toepassing en handhaving van het gelijkheidsbeginsel bij aanvullende pensioenen, </w:t>
      </w:r>
      <w:proofErr w:type="spellStart"/>
      <w:r w:rsidRPr="00D443F9">
        <w:t>Intersentia</w:t>
      </w:r>
      <w:proofErr w:type="spellEnd"/>
      <w:r w:rsidRPr="00D443F9">
        <w:t>, 2024, 503</w:t>
      </w:r>
      <w:r w:rsidR="00D443F9" w:rsidRPr="00D443F9">
        <w:t>.</w:t>
      </w:r>
    </w:p>
  </w:footnote>
  <w:footnote w:id="199">
    <w:p w14:paraId="63935AFE" w14:textId="2BDA0776" w:rsidR="002F1BE8" w:rsidRPr="002F1BE8" w:rsidRDefault="002F1BE8">
      <w:pPr>
        <w:pStyle w:val="Voetnoottekst"/>
      </w:pPr>
      <w:r w:rsidRPr="00D443F9">
        <w:rPr>
          <w:rStyle w:val="Voetnootmarkering"/>
        </w:rPr>
        <w:footnoteRef/>
      </w:r>
      <w:r w:rsidR="007E64CA">
        <w:t xml:space="preserve"> </w:t>
      </w:r>
      <w:r w:rsidRPr="00D443F9">
        <w:t xml:space="preserve">DE SOMVIELE I. en VAN DAMME A., </w:t>
      </w:r>
      <w:r w:rsidR="00D443F9" w:rsidRPr="00D443F9">
        <w:t>‘</w:t>
      </w:r>
      <w:r w:rsidRPr="00D443F9">
        <w:t>In 10 jaar tijd naar een eenheidsstatuut op vlak van aanvullende pensioenen</w:t>
      </w:r>
      <w:r w:rsidR="00D443F9" w:rsidRPr="00D443F9">
        <w:t>’</w:t>
      </w:r>
      <w:r w:rsidRPr="00D443F9">
        <w:t xml:space="preserve">, </w:t>
      </w:r>
      <w:r w:rsidRPr="00D443F9">
        <w:rPr>
          <w:i/>
          <w:iCs/>
        </w:rPr>
        <w:t xml:space="preserve">Or. </w:t>
      </w:r>
      <w:r w:rsidRPr="00D443F9">
        <w:t>2014, afl. 6, 160</w:t>
      </w:r>
      <w:r w:rsidR="00D443F9" w:rsidRPr="00D443F9">
        <w:t>.</w:t>
      </w:r>
    </w:p>
  </w:footnote>
  <w:footnote w:id="200">
    <w:p w14:paraId="7132097E" w14:textId="13884F61" w:rsidR="00061F6D" w:rsidRPr="0058444E" w:rsidRDefault="00061F6D">
      <w:pPr>
        <w:pStyle w:val="Voetnoottekst"/>
      </w:pPr>
      <w:r w:rsidRPr="00686B30">
        <w:rPr>
          <w:rStyle w:val="Voetnootmarkering"/>
        </w:rPr>
        <w:footnoteRef/>
      </w:r>
      <w:bookmarkStart w:id="83" w:name="_Hlk227678046"/>
      <w:r w:rsidR="003540E7">
        <w:t xml:space="preserve"> </w:t>
      </w:r>
      <w:r w:rsidRPr="00686B30">
        <w:t>Richtlijn 2000/78/EG van de Raad van 27 november 2000 tot instelling van een algemeen kader voor gelijke behandeling in arbeid en beroep</w:t>
      </w:r>
      <w:r w:rsidR="00164607" w:rsidRPr="00686B30">
        <w:t>.</w:t>
      </w:r>
      <w:bookmarkEnd w:id="83"/>
    </w:p>
  </w:footnote>
  <w:footnote w:id="201">
    <w:p w14:paraId="5C104C3E" w14:textId="4C8D1DF2" w:rsidR="00A30CC1" w:rsidRPr="00F920E9" w:rsidRDefault="00A30CC1">
      <w:pPr>
        <w:pStyle w:val="Voetnoottekst"/>
        <w:rPr>
          <w:lang w:val="fr-BE"/>
        </w:rPr>
      </w:pPr>
      <w:r w:rsidRPr="00686B30">
        <w:rPr>
          <w:rStyle w:val="Voetnootmarkering"/>
        </w:rPr>
        <w:footnoteRef/>
      </w:r>
      <w:r w:rsidR="000543C0">
        <w:t xml:space="preserve"> </w:t>
      </w:r>
      <w:r w:rsidRPr="00686B30">
        <w:t xml:space="preserve">RAUWS </w:t>
      </w:r>
      <w:proofErr w:type="spellStart"/>
      <w:r w:rsidRPr="00686B30">
        <w:t>W.,</w:t>
      </w:r>
      <w:r w:rsidR="00686B30" w:rsidRPr="00686B30">
        <w:t>’</w:t>
      </w:r>
      <w:r w:rsidRPr="00686B30">
        <w:t>Bijdrage</w:t>
      </w:r>
      <w:proofErr w:type="spellEnd"/>
      <w:r w:rsidRPr="00686B30">
        <w:t xml:space="preserve"> 7. De toekomst van het arbeidsovereenkomstenrecht</w:t>
      </w:r>
      <w:r w:rsidR="00686B30" w:rsidRPr="00686B30">
        <w:t>’</w:t>
      </w:r>
      <w:r w:rsidRPr="00686B30">
        <w:t xml:space="preserve"> in DEBAENST B. (ed.), </w:t>
      </w:r>
      <w:r w:rsidRPr="00686B30">
        <w:rPr>
          <w:i/>
          <w:iCs/>
        </w:rPr>
        <w:t xml:space="preserve">Van status tot contract. </w:t>
      </w:r>
      <w:r w:rsidRPr="00F920E9">
        <w:rPr>
          <w:i/>
          <w:iCs/>
          <w:lang w:val="fr-BE"/>
        </w:rPr>
        <w:t xml:space="preserve">De </w:t>
      </w:r>
      <w:proofErr w:type="spellStart"/>
      <w:r w:rsidRPr="00F920E9">
        <w:rPr>
          <w:i/>
          <w:iCs/>
          <w:lang w:val="fr-BE"/>
        </w:rPr>
        <w:t>arbeidsovereenkomst</w:t>
      </w:r>
      <w:proofErr w:type="spellEnd"/>
      <w:r w:rsidRPr="00F920E9">
        <w:rPr>
          <w:i/>
          <w:iCs/>
          <w:lang w:val="fr-BE"/>
        </w:rPr>
        <w:t xml:space="preserve"> in </w:t>
      </w:r>
      <w:proofErr w:type="spellStart"/>
      <w:r w:rsidRPr="00F920E9">
        <w:rPr>
          <w:i/>
          <w:iCs/>
          <w:lang w:val="fr-BE"/>
        </w:rPr>
        <w:t>België</w:t>
      </w:r>
      <w:proofErr w:type="spellEnd"/>
      <w:r w:rsidRPr="00F920E9">
        <w:rPr>
          <w:i/>
          <w:iCs/>
          <w:lang w:val="fr-BE"/>
        </w:rPr>
        <w:t xml:space="preserve"> </w:t>
      </w:r>
      <w:proofErr w:type="spellStart"/>
      <w:r w:rsidRPr="00F920E9">
        <w:rPr>
          <w:i/>
          <w:iCs/>
          <w:lang w:val="fr-BE"/>
        </w:rPr>
        <w:t>vanuit</w:t>
      </w:r>
      <w:proofErr w:type="spellEnd"/>
      <w:r w:rsidRPr="00F920E9">
        <w:rPr>
          <w:i/>
          <w:iCs/>
          <w:lang w:val="fr-BE"/>
        </w:rPr>
        <w:t xml:space="preserve"> </w:t>
      </w:r>
      <w:proofErr w:type="spellStart"/>
      <w:r w:rsidRPr="00F920E9">
        <w:rPr>
          <w:i/>
          <w:iCs/>
          <w:lang w:val="fr-BE"/>
        </w:rPr>
        <w:t>rechtshistorisch</w:t>
      </w:r>
      <w:proofErr w:type="spellEnd"/>
      <w:r w:rsidRPr="00F920E9">
        <w:rPr>
          <w:i/>
          <w:iCs/>
          <w:lang w:val="fr-BE"/>
        </w:rPr>
        <w:t xml:space="preserve"> </w:t>
      </w:r>
      <w:proofErr w:type="spellStart"/>
      <w:r w:rsidRPr="00F920E9">
        <w:rPr>
          <w:i/>
          <w:iCs/>
          <w:lang w:val="fr-BE"/>
        </w:rPr>
        <w:t>perspectief</w:t>
      </w:r>
      <w:proofErr w:type="spellEnd"/>
      <w:r w:rsidRPr="00F920E9">
        <w:rPr>
          <w:i/>
          <w:iCs/>
          <w:lang w:val="fr-BE"/>
        </w:rPr>
        <w:t>,</w:t>
      </w:r>
      <w:r w:rsidRPr="00F920E9">
        <w:rPr>
          <w:lang w:val="fr-BE"/>
        </w:rPr>
        <w:t xml:space="preserve"> die </w:t>
      </w:r>
      <w:proofErr w:type="spellStart"/>
      <w:r w:rsidRPr="00F920E9">
        <w:rPr>
          <w:lang w:val="fr-BE"/>
        </w:rPr>
        <w:t>Keure</w:t>
      </w:r>
      <w:proofErr w:type="spellEnd"/>
      <w:r w:rsidRPr="00F920E9">
        <w:rPr>
          <w:lang w:val="fr-BE"/>
        </w:rPr>
        <w:t>, 2013, 144</w:t>
      </w:r>
      <w:r w:rsidR="00686B30" w:rsidRPr="00F920E9">
        <w:rPr>
          <w:lang w:val="fr-BE"/>
        </w:rPr>
        <w:t>.</w:t>
      </w:r>
    </w:p>
  </w:footnote>
  <w:footnote w:id="202">
    <w:p w14:paraId="1FE47829" w14:textId="0CA029BA" w:rsidR="0022166C" w:rsidRPr="00F920E9" w:rsidRDefault="0022166C">
      <w:pPr>
        <w:pStyle w:val="Voetnoottekst"/>
        <w:rPr>
          <w:lang w:val="fr-BE"/>
        </w:rPr>
      </w:pPr>
      <w:r w:rsidRPr="00686B30">
        <w:rPr>
          <w:rStyle w:val="Voetnootmarkering"/>
        </w:rPr>
        <w:footnoteRef/>
      </w:r>
      <w:bookmarkStart w:id="86" w:name="_Hlk227678167"/>
      <w:r w:rsidR="000543C0" w:rsidRPr="00F920E9">
        <w:rPr>
          <w:lang w:val="fr-BE"/>
        </w:rPr>
        <w:t xml:space="preserve"> </w:t>
      </w:r>
      <w:r w:rsidRPr="00F920E9">
        <w:rPr>
          <w:lang w:val="fr-BE"/>
        </w:rPr>
        <w:t xml:space="preserve">Loi du 24 juin 1970 portant réglementation du contrat de louage de services des ouvriers, </w:t>
      </w:r>
      <w:r w:rsidRPr="00F920E9">
        <w:rPr>
          <w:i/>
          <w:iCs/>
          <w:lang w:val="fr-BE"/>
        </w:rPr>
        <w:t xml:space="preserve">Mémorial </w:t>
      </w:r>
      <w:r w:rsidRPr="00F920E9">
        <w:rPr>
          <w:lang w:val="fr-BE"/>
        </w:rPr>
        <w:t xml:space="preserve">A35, 30 juin 1970, 882; </w:t>
      </w:r>
      <w:bookmarkEnd w:id="86"/>
      <w:r w:rsidR="00905F6B" w:rsidRPr="00F920E9">
        <w:rPr>
          <w:lang w:val="fr-BE"/>
        </w:rPr>
        <w:t xml:space="preserve">DOYEN P., </w:t>
      </w:r>
      <w:r w:rsidR="00686B30" w:rsidRPr="00F920E9">
        <w:rPr>
          <w:lang w:val="fr-BE"/>
        </w:rPr>
        <w:t>‘</w:t>
      </w:r>
      <w:r w:rsidR="00905F6B" w:rsidRPr="00F920E9">
        <w:rPr>
          <w:lang w:val="fr-BE"/>
        </w:rPr>
        <w:t>Origines de la loi du 8 juin 1999 et évolutions</w:t>
      </w:r>
      <w:r w:rsidR="00686B30" w:rsidRPr="00F920E9">
        <w:rPr>
          <w:lang w:val="fr-BE"/>
        </w:rPr>
        <w:t>’</w:t>
      </w:r>
      <w:r w:rsidR="00905F6B" w:rsidRPr="00F920E9">
        <w:rPr>
          <w:lang w:val="fr-BE"/>
        </w:rPr>
        <w:t xml:space="preserve"> in </w:t>
      </w:r>
      <w:r w:rsidR="00905F6B" w:rsidRPr="00F920E9">
        <w:rPr>
          <w:i/>
          <w:iCs/>
          <w:lang w:val="fr-BE"/>
        </w:rPr>
        <w:t>Régimes complémentaires de pension au Luxembourg – Bilan et perspective dix ans après la loi-cadre,</w:t>
      </w:r>
      <w:r w:rsidR="00905F6B" w:rsidRPr="00F920E9">
        <w:rPr>
          <w:lang w:val="fr-BE"/>
        </w:rPr>
        <w:t xml:space="preserve"> Anthémis, 2009, 21; </w:t>
      </w:r>
      <w:r w:rsidRPr="00F920E9">
        <w:rPr>
          <w:lang w:val="fr-BE"/>
        </w:rPr>
        <w:t xml:space="preserve">LENAERTS H., </w:t>
      </w:r>
      <w:proofErr w:type="spellStart"/>
      <w:r w:rsidRPr="00F920E9">
        <w:rPr>
          <w:i/>
          <w:iCs/>
          <w:lang w:val="fr-BE"/>
        </w:rPr>
        <w:t>Dualiteit</w:t>
      </w:r>
      <w:proofErr w:type="spellEnd"/>
      <w:r w:rsidRPr="00F920E9">
        <w:rPr>
          <w:i/>
          <w:iCs/>
          <w:lang w:val="fr-BE"/>
        </w:rPr>
        <w:t xml:space="preserve"> van het </w:t>
      </w:r>
      <w:proofErr w:type="spellStart"/>
      <w:r w:rsidRPr="00F920E9">
        <w:rPr>
          <w:i/>
          <w:iCs/>
          <w:lang w:val="fr-BE"/>
        </w:rPr>
        <w:t>juridisch</w:t>
      </w:r>
      <w:proofErr w:type="spellEnd"/>
      <w:r w:rsidRPr="00F920E9">
        <w:rPr>
          <w:i/>
          <w:iCs/>
          <w:lang w:val="fr-BE"/>
        </w:rPr>
        <w:t xml:space="preserve"> </w:t>
      </w:r>
      <w:proofErr w:type="spellStart"/>
      <w:r w:rsidRPr="00F920E9">
        <w:rPr>
          <w:i/>
          <w:iCs/>
          <w:lang w:val="fr-BE"/>
        </w:rPr>
        <w:t>statuut</w:t>
      </w:r>
      <w:proofErr w:type="spellEnd"/>
      <w:r w:rsidRPr="00F920E9">
        <w:rPr>
          <w:i/>
          <w:iCs/>
          <w:lang w:val="fr-BE"/>
        </w:rPr>
        <w:t xml:space="preserve"> van </w:t>
      </w:r>
      <w:proofErr w:type="spellStart"/>
      <w:r w:rsidRPr="00F920E9">
        <w:rPr>
          <w:i/>
          <w:iCs/>
          <w:lang w:val="fr-BE"/>
        </w:rPr>
        <w:t>werklieden</w:t>
      </w:r>
      <w:proofErr w:type="spellEnd"/>
      <w:r w:rsidRPr="00F920E9">
        <w:rPr>
          <w:i/>
          <w:iCs/>
          <w:lang w:val="fr-BE"/>
        </w:rPr>
        <w:t xml:space="preserve"> en </w:t>
      </w:r>
      <w:proofErr w:type="spellStart"/>
      <w:r w:rsidRPr="00F920E9">
        <w:rPr>
          <w:i/>
          <w:iCs/>
          <w:lang w:val="fr-BE"/>
        </w:rPr>
        <w:t>bedienden</w:t>
      </w:r>
      <w:proofErr w:type="spellEnd"/>
      <w:r w:rsidRPr="00F920E9">
        <w:rPr>
          <w:i/>
          <w:iCs/>
          <w:lang w:val="fr-BE"/>
        </w:rPr>
        <w:t xml:space="preserve">: </w:t>
      </w:r>
      <w:proofErr w:type="spellStart"/>
      <w:r w:rsidRPr="00F920E9">
        <w:rPr>
          <w:i/>
          <w:iCs/>
          <w:lang w:val="fr-BE"/>
        </w:rPr>
        <w:t>schematisch</w:t>
      </w:r>
      <w:proofErr w:type="spellEnd"/>
      <w:r w:rsidRPr="00F920E9">
        <w:rPr>
          <w:i/>
          <w:iCs/>
          <w:lang w:val="fr-BE"/>
        </w:rPr>
        <w:t xml:space="preserve"> </w:t>
      </w:r>
      <w:proofErr w:type="spellStart"/>
      <w:r w:rsidRPr="00F920E9">
        <w:rPr>
          <w:i/>
          <w:iCs/>
          <w:lang w:val="fr-BE"/>
        </w:rPr>
        <w:t>overzicht</w:t>
      </w:r>
      <w:proofErr w:type="spellEnd"/>
      <w:r w:rsidRPr="00F920E9">
        <w:rPr>
          <w:i/>
          <w:iCs/>
          <w:lang w:val="fr-BE"/>
        </w:rPr>
        <w:t xml:space="preserve"> der </w:t>
      </w:r>
      <w:proofErr w:type="spellStart"/>
      <w:r w:rsidRPr="00F920E9">
        <w:rPr>
          <w:i/>
          <w:iCs/>
          <w:lang w:val="fr-BE"/>
        </w:rPr>
        <w:t>vreemde</w:t>
      </w:r>
      <w:proofErr w:type="spellEnd"/>
      <w:r w:rsidRPr="00F920E9">
        <w:rPr>
          <w:i/>
          <w:iCs/>
          <w:lang w:val="fr-BE"/>
        </w:rPr>
        <w:t xml:space="preserve"> </w:t>
      </w:r>
      <w:proofErr w:type="spellStart"/>
      <w:r w:rsidRPr="00F920E9">
        <w:rPr>
          <w:i/>
          <w:iCs/>
          <w:lang w:val="fr-BE"/>
        </w:rPr>
        <w:t>wetgeving</w:t>
      </w:r>
      <w:proofErr w:type="spellEnd"/>
      <w:r w:rsidRPr="00F920E9">
        <w:rPr>
          <w:i/>
          <w:iCs/>
          <w:lang w:val="fr-BE"/>
        </w:rPr>
        <w:t>,</w:t>
      </w:r>
      <w:r w:rsidRPr="00F920E9">
        <w:rPr>
          <w:lang w:val="fr-BE"/>
        </w:rPr>
        <w:t xml:space="preserve"> </w:t>
      </w:r>
      <w:proofErr w:type="spellStart"/>
      <w:r w:rsidRPr="00F920E9">
        <w:rPr>
          <w:lang w:val="fr-BE"/>
        </w:rPr>
        <w:t>Geschrift</w:t>
      </w:r>
      <w:proofErr w:type="spellEnd"/>
      <w:r w:rsidRPr="00F920E9">
        <w:rPr>
          <w:lang w:val="fr-BE"/>
        </w:rPr>
        <w:t xml:space="preserve"> </w:t>
      </w:r>
      <w:proofErr w:type="spellStart"/>
      <w:r w:rsidRPr="00F920E9">
        <w:rPr>
          <w:lang w:val="fr-BE"/>
        </w:rPr>
        <w:t>voor</w:t>
      </w:r>
      <w:proofErr w:type="spellEnd"/>
      <w:r w:rsidRPr="00F920E9">
        <w:rPr>
          <w:lang w:val="fr-BE"/>
        </w:rPr>
        <w:t xml:space="preserve"> </w:t>
      </w:r>
      <w:proofErr w:type="spellStart"/>
      <w:r w:rsidRPr="00F920E9">
        <w:rPr>
          <w:lang w:val="fr-BE"/>
        </w:rPr>
        <w:t>sociaal</w:t>
      </w:r>
      <w:proofErr w:type="spellEnd"/>
      <w:r w:rsidRPr="00F920E9">
        <w:rPr>
          <w:lang w:val="fr-BE"/>
        </w:rPr>
        <w:t xml:space="preserve"> </w:t>
      </w:r>
      <w:proofErr w:type="spellStart"/>
      <w:r w:rsidRPr="00F920E9">
        <w:rPr>
          <w:lang w:val="fr-BE"/>
        </w:rPr>
        <w:t>recht</w:t>
      </w:r>
      <w:proofErr w:type="spellEnd"/>
      <w:r w:rsidRPr="00F920E9">
        <w:rPr>
          <w:lang w:val="fr-BE"/>
        </w:rPr>
        <w:t xml:space="preserve"> en van de </w:t>
      </w:r>
      <w:proofErr w:type="spellStart"/>
      <w:r w:rsidRPr="00F920E9">
        <w:rPr>
          <w:lang w:val="fr-BE"/>
        </w:rPr>
        <w:t>arbeidsgerechten</w:t>
      </w:r>
      <w:proofErr w:type="spellEnd"/>
      <w:r w:rsidRPr="00F920E9">
        <w:rPr>
          <w:lang w:val="fr-BE"/>
        </w:rPr>
        <w:t xml:space="preserve">, </w:t>
      </w:r>
      <w:r w:rsidR="00FB5801" w:rsidRPr="00F920E9">
        <w:rPr>
          <w:i/>
          <w:iCs/>
          <w:lang w:val="fr-BE"/>
        </w:rPr>
        <w:t xml:space="preserve">TSR </w:t>
      </w:r>
      <w:r w:rsidRPr="00F920E9">
        <w:rPr>
          <w:lang w:val="fr-BE"/>
        </w:rPr>
        <w:t>1959, 23</w:t>
      </w:r>
      <w:r w:rsidR="00686B30" w:rsidRPr="00F920E9">
        <w:rPr>
          <w:lang w:val="fr-BE"/>
        </w:rPr>
        <w:t>.</w:t>
      </w:r>
    </w:p>
  </w:footnote>
  <w:footnote w:id="203">
    <w:p w14:paraId="44208C25" w14:textId="776D7FD6" w:rsidR="00DF197A" w:rsidRPr="000E769A" w:rsidRDefault="00DF197A">
      <w:pPr>
        <w:pStyle w:val="Voetnoottekst"/>
      </w:pPr>
      <w:r w:rsidRPr="000E769A">
        <w:rPr>
          <w:rStyle w:val="Voetnootmarkering"/>
        </w:rPr>
        <w:footnoteRef/>
      </w:r>
      <w:r w:rsidR="000543C0">
        <w:t xml:space="preserve"> </w:t>
      </w:r>
      <w:r w:rsidRPr="000E769A">
        <w:t xml:space="preserve">KNOOPS S., </w:t>
      </w:r>
      <w:r w:rsidRPr="000E769A">
        <w:rPr>
          <w:i/>
          <w:iCs/>
        </w:rPr>
        <w:t xml:space="preserve">De toepassing en handhaving van het gelijkheidsbeginsel bij aanvullende pensioenen, </w:t>
      </w:r>
      <w:proofErr w:type="spellStart"/>
      <w:r w:rsidRPr="000E769A">
        <w:t>Intersentia</w:t>
      </w:r>
      <w:proofErr w:type="spellEnd"/>
      <w:r w:rsidRPr="000E769A">
        <w:t>, 2024, 516</w:t>
      </w:r>
      <w:r w:rsidR="000E769A" w:rsidRPr="000E769A">
        <w:t>.</w:t>
      </w:r>
    </w:p>
  </w:footnote>
  <w:footnote w:id="204">
    <w:p w14:paraId="3C9039BE" w14:textId="73403F40" w:rsidR="00616E9D" w:rsidRPr="000221E4" w:rsidRDefault="00616E9D">
      <w:pPr>
        <w:pStyle w:val="Voetnoottekst"/>
        <w:rPr>
          <w:lang w:val="fr-BE"/>
        </w:rPr>
      </w:pPr>
      <w:r w:rsidRPr="000E769A">
        <w:rPr>
          <w:rStyle w:val="Voetnootmarkering"/>
        </w:rPr>
        <w:footnoteRef/>
      </w:r>
      <w:r w:rsidR="000543C0">
        <w:rPr>
          <w:lang w:val="fr-BE"/>
        </w:rPr>
        <w:t xml:space="preserve"> </w:t>
      </w:r>
      <w:r w:rsidRPr="000E769A">
        <w:rPr>
          <w:lang w:val="fr-BE"/>
        </w:rPr>
        <w:t>Loi du 8 juin 1999 relative aux régimes complémentaires de pension</w:t>
      </w:r>
      <w:r w:rsidR="00DF3B43" w:rsidRPr="000E769A">
        <w:rPr>
          <w:lang w:val="fr-BE"/>
        </w:rPr>
        <w:t xml:space="preserve">, </w:t>
      </w:r>
      <w:r w:rsidR="00DF3B43" w:rsidRPr="000E769A">
        <w:rPr>
          <w:i/>
          <w:iCs/>
          <w:lang w:val="fr-BE"/>
        </w:rPr>
        <w:t xml:space="preserve">Mémorial </w:t>
      </w:r>
      <w:r w:rsidR="00DF3B43" w:rsidRPr="000E769A">
        <w:rPr>
          <w:lang w:val="fr-BE"/>
        </w:rPr>
        <w:t>A74, 17 ju</w:t>
      </w:r>
      <w:r w:rsidR="000543C0">
        <w:rPr>
          <w:lang w:val="fr-BE"/>
        </w:rPr>
        <w:t xml:space="preserve">in </w:t>
      </w:r>
      <w:r w:rsidR="00DF3B43" w:rsidRPr="000E769A">
        <w:rPr>
          <w:lang w:val="fr-BE"/>
        </w:rPr>
        <w:t>1999</w:t>
      </w:r>
      <w:r w:rsidR="002D400A">
        <w:rPr>
          <w:lang w:val="fr-BE"/>
        </w:rPr>
        <w:t xml:space="preserve">; </w:t>
      </w:r>
      <w:r w:rsidR="00D936EA">
        <w:rPr>
          <w:lang w:val="fr-BE"/>
        </w:rPr>
        <w:t xml:space="preserve">SPIRINELLI F., </w:t>
      </w:r>
      <w:r w:rsidR="00D936EA">
        <w:rPr>
          <w:i/>
          <w:iCs/>
          <w:lang w:val="fr-BE"/>
        </w:rPr>
        <w:t xml:space="preserve">Le système de retraite. </w:t>
      </w:r>
      <w:proofErr w:type="spellStart"/>
      <w:r w:rsidR="00D936EA">
        <w:rPr>
          <w:i/>
          <w:iCs/>
          <w:lang w:val="fr-BE"/>
        </w:rPr>
        <w:t>Prensentation</w:t>
      </w:r>
      <w:proofErr w:type="spellEnd"/>
      <w:r w:rsidR="00D936EA">
        <w:rPr>
          <w:i/>
          <w:iCs/>
          <w:lang w:val="fr-BE"/>
        </w:rPr>
        <w:t xml:space="preserve"> et état des lieux de l’assurance vieillesse au </w:t>
      </w:r>
      <w:r w:rsidR="000221E4">
        <w:rPr>
          <w:i/>
          <w:iCs/>
          <w:lang w:val="fr-BE"/>
        </w:rPr>
        <w:t xml:space="preserve">Luxembourg, Note de recherche scientifique </w:t>
      </w:r>
      <w:r w:rsidR="000221E4">
        <w:rPr>
          <w:lang w:val="fr-BE"/>
        </w:rPr>
        <w:t xml:space="preserve">nr. 045, Cellule scientifique de la Chambre des députés, 2025, </w:t>
      </w:r>
      <w:r w:rsidR="006E656C">
        <w:rPr>
          <w:lang w:val="fr-BE"/>
        </w:rPr>
        <w:t>2.</w:t>
      </w:r>
    </w:p>
  </w:footnote>
  <w:footnote w:id="205">
    <w:p w14:paraId="3B7114AE" w14:textId="02C77DE7" w:rsidR="00BD4199" w:rsidRPr="000E769A" w:rsidRDefault="00BD4199">
      <w:pPr>
        <w:pStyle w:val="Voetnoottekst"/>
        <w:rPr>
          <w:lang w:val="fr-BE"/>
        </w:rPr>
      </w:pPr>
      <w:r w:rsidRPr="000E769A">
        <w:rPr>
          <w:rStyle w:val="Voetnootmarkering"/>
        </w:rPr>
        <w:footnoteRef/>
      </w:r>
      <w:bookmarkStart w:id="87" w:name="_Hlk227750277"/>
      <w:r w:rsidR="000543C0">
        <w:rPr>
          <w:lang w:val="fr-BE"/>
        </w:rPr>
        <w:t xml:space="preserve"> </w:t>
      </w:r>
      <w:r w:rsidR="00E922A9" w:rsidRPr="000E769A">
        <w:rPr>
          <w:lang w:val="fr-BE"/>
        </w:rPr>
        <w:t xml:space="preserve">L’INSPECTION GENERALE DE LA SECURITE SOCIALE, </w:t>
      </w:r>
      <w:r w:rsidR="000E769A" w:rsidRPr="000E769A">
        <w:rPr>
          <w:lang w:val="fr-BE"/>
        </w:rPr>
        <w:t>‘</w:t>
      </w:r>
      <w:r w:rsidR="00E922A9" w:rsidRPr="000E769A">
        <w:rPr>
          <w:lang w:val="fr-BE"/>
        </w:rPr>
        <w:t>La loi du 8 juin 1999 relative aux régimes complémentaires de pension</w:t>
      </w:r>
      <w:r w:rsidR="000E769A" w:rsidRPr="000E769A">
        <w:rPr>
          <w:lang w:val="fr-BE"/>
        </w:rPr>
        <w:t>’</w:t>
      </w:r>
      <w:r w:rsidR="001F00E9" w:rsidRPr="000E769A">
        <w:rPr>
          <w:lang w:val="fr-BE"/>
        </w:rPr>
        <w:t xml:space="preserve">, </w:t>
      </w:r>
      <w:r w:rsidR="001F00E9" w:rsidRPr="000E769A">
        <w:rPr>
          <w:i/>
          <w:iCs/>
          <w:lang w:val="fr-BE"/>
        </w:rPr>
        <w:t xml:space="preserve">Bulletin Luxembourgeois des questions sociales </w:t>
      </w:r>
      <w:r w:rsidR="001F00E9" w:rsidRPr="000E769A">
        <w:rPr>
          <w:lang w:val="fr-BE"/>
        </w:rPr>
        <w:t>2002, vol. 12,4</w:t>
      </w:r>
      <w:bookmarkEnd w:id="87"/>
      <w:r w:rsidR="000E769A" w:rsidRPr="000E769A">
        <w:rPr>
          <w:lang w:val="fr-BE"/>
        </w:rPr>
        <w:t>.</w:t>
      </w:r>
    </w:p>
  </w:footnote>
  <w:footnote w:id="206">
    <w:p w14:paraId="613F4C70" w14:textId="3A35BFF0" w:rsidR="000B5ACD" w:rsidRPr="000E769A" w:rsidRDefault="000B5ACD">
      <w:pPr>
        <w:pStyle w:val="Voetnoottekst"/>
        <w:rPr>
          <w:lang w:val="fr-BE"/>
        </w:rPr>
      </w:pPr>
      <w:r w:rsidRPr="000E769A">
        <w:rPr>
          <w:rStyle w:val="Voetnootmarkering"/>
        </w:rPr>
        <w:footnoteRef/>
      </w:r>
      <w:r w:rsidR="000543C0">
        <w:rPr>
          <w:lang w:val="fr-BE"/>
        </w:rPr>
        <w:t xml:space="preserve"> </w:t>
      </w:r>
      <w:r w:rsidRPr="000E769A">
        <w:rPr>
          <w:lang w:val="fr-BE"/>
        </w:rPr>
        <w:t xml:space="preserve">DOYEN P., </w:t>
      </w:r>
      <w:r w:rsidR="000E769A" w:rsidRPr="000E769A">
        <w:rPr>
          <w:lang w:val="fr-BE"/>
        </w:rPr>
        <w:t>‘</w:t>
      </w:r>
      <w:r w:rsidRPr="000E769A">
        <w:rPr>
          <w:lang w:val="fr-BE"/>
        </w:rPr>
        <w:t>Origines de la loi du 8 juin 1999 et évolutions</w:t>
      </w:r>
      <w:r w:rsidR="000E769A" w:rsidRPr="000E769A">
        <w:rPr>
          <w:lang w:val="fr-BE"/>
        </w:rPr>
        <w:t>’</w:t>
      </w:r>
      <w:r w:rsidRPr="000E769A">
        <w:rPr>
          <w:lang w:val="fr-BE"/>
        </w:rPr>
        <w:t xml:space="preserve"> in </w:t>
      </w:r>
      <w:r w:rsidRPr="000E769A">
        <w:rPr>
          <w:i/>
          <w:iCs/>
          <w:lang w:val="fr-BE"/>
        </w:rPr>
        <w:t>Régimes complémentaires de pension au Luxembourg – Bilan et perspective dix ans après la loi-cadre,</w:t>
      </w:r>
      <w:r w:rsidR="00C01D35">
        <w:rPr>
          <w:i/>
          <w:iCs/>
          <w:lang w:val="fr-BE"/>
        </w:rPr>
        <w:t xml:space="preserve"> </w:t>
      </w:r>
      <w:r w:rsidRPr="000E769A">
        <w:rPr>
          <w:lang w:val="fr-BE"/>
        </w:rPr>
        <w:t>Anthémis, 2009, 36</w:t>
      </w:r>
      <w:r w:rsidR="000E769A" w:rsidRPr="000E769A">
        <w:rPr>
          <w:lang w:val="fr-BE"/>
        </w:rPr>
        <w:t>.</w:t>
      </w:r>
    </w:p>
  </w:footnote>
  <w:footnote w:id="207">
    <w:p w14:paraId="25EBDA48" w14:textId="47996EE0" w:rsidR="00EC64C3" w:rsidRPr="0058444E" w:rsidRDefault="00EC64C3">
      <w:pPr>
        <w:pStyle w:val="Voetnoottekst"/>
      </w:pPr>
      <w:r w:rsidRPr="000E769A">
        <w:rPr>
          <w:rStyle w:val="Voetnootmarkering"/>
        </w:rPr>
        <w:footnoteRef/>
      </w:r>
      <w:r w:rsidR="000543C0">
        <w:t xml:space="preserve"> </w:t>
      </w:r>
      <w:r w:rsidRPr="000E769A">
        <w:t xml:space="preserve">KNOOPS S., </w:t>
      </w:r>
      <w:r w:rsidRPr="000E769A">
        <w:rPr>
          <w:i/>
          <w:iCs/>
        </w:rPr>
        <w:t xml:space="preserve">De toepassing en handhaving van het gelijkheidsbeginsel bij aanvullende pensioenen, </w:t>
      </w:r>
      <w:proofErr w:type="spellStart"/>
      <w:r w:rsidRPr="000E769A">
        <w:t>Intersentia</w:t>
      </w:r>
      <w:proofErr w:type="spellEnd"/>
      <w:r w:rsidRPr="000E769A">
        <w:t>, 2024, 517</w:t>
      </w:r>
      <w:r w:rsidR="000E769A" w:rsidRPr="000E769A">
        <w:t>.</w:t>
      </w:r>
    </w:p>
  </w:footnote>
  <w:footnote w:id="208">
    <w:p w14:paraId="74900E42" w14:textId="0081BDA0" w:rsidR="00DC2399" w:rsidRPr="008C5BE8" w:rsidRDefault="00DC2399">
      <w:pPr>
        <w:pStyle w:val="Voetnoottekst"/>
      </w:pPr>
      <w:r w:rsidRPr="0058444E">
        <w:rPr>
          <w:rStyle w:val="Voetnootmarkering"/>
        </w:rPr>
        <w:footnoteRef/>
      </w:r>
      <w:r w:rsidR="00CE2FDC">
        <w:t xml:space="preserve"> </w:t>
      </w:r>
      <w:r w:rsidRPr="008C5BE8">
        <w:t xml:space="preserve">KNOOPS S., </w:t>
      </w:r>
      <w:r w:rsidRPr="008C5BE8">
        <w:rPr>
          <w:i/>
          <w:iCs/>
        </w:rPr>
        <w:t>De toepassing en handhaving van het gelijkheidsbeginsel bij aanvullende pensioenen,</w:t>
      </w:r>
      <w:r w:rsidRPr="008C5BE8">
        <w:t xml:space="preserve"> </w:t>
      </w:r>
      <w:proofErr w:type="spellStart"/>
      <w:r w:rsidRPr="008C5BE8">
        <w:t>Intersentia</w:t>
      </w:r>
      <w:proofErr w:type="spellEnd"/>
      <w:r w:rsidRPr="008C5BE8">
        <w:t>, 2024, 517</w:t>
      </w:r>
      <w:r w:rsidR="00300F93" w:rsidRPr="008C5BE8">
        <w:t>.</w:t>
      </w:r>
    </w:p>
  </w:footnote>
  <w:footnote w:id="209">
    <w:p w14:paraId="14326A0C" w14:textId="5341CF1E" w:rsidR="004C6C8E" w:rsidRPr="008C5BE8" w:rsidRDefault="004C6C8E">
      <w:pPr>
        <w:pStyle w:val="Voetnoottekst"/>
        <w:rPr>
          <w:lang w:val="fr-BE"/>
        </w:rPr>
      </w:pPr>
      <w:r w:rsidRPr="008C5BE8">
        <w:rPr>
          <w:rStyle w:val="Voetnootmarkering"/>
        </w:rPr>
        <w:footnoteRef/>
      </w:r>
      <w:r w:rsidR="00CE2FDC">
        <w:rPr>
          <w:lang w:val="fr-BE"/>
        </w:rPr>
        <w:t xml:space="preserve"> </w:t>
      </w:r>
      <w:r w:rsidRPr="008C5BE8">
        <w:rPr>
          <w:lang w:val="fr-BE"/>
        </w:rPr>
        <w:t>Arr</w:t>
      </w:r>
      <w:r w:rsidR="000935FB">
        <w:rPr>
          <w:lang w:val="fr-BE"/>
        </w:rPr>
        <w:t>êt</w:t>
      </w:r>
      <w:r w:rsidRPr="008C5BE8">
        <w:rPr>
          <w:lang w:val="fr-BE"/>
        </w:rPr>
        <w:t xml:space="preserve"> Cour Constitutionnelle </w:t>
      </w:r>
      <w:r w:rsidR="00A43E5A">
        <w:rPr>
          <w:lang w:val="fr-BE"/>
        </w:rPr>
        <w:t>du</w:t>
      </w:r>
      <w:r w:rsidRPr="008C5BE8">
        <w:rPr>
          <w:lang w:val="fr-BE"/>
        </w:rPr>
        <w:t xml:space="preserve"> 18 ju</w:t>
      </w:r>
      <w:r w:rsidR="00A43E5A">
        <w:rPr>
          <w:lang w:val="fr-BE"/>
        </w:rPr>
        <w:t>in</w:t>
      </w:r>
      <w:r w:rsidRPr="008C5BE8">
        <w:rPr>
          <w:lang w:val="fr-BE"/>
        </w:rPr>
        <w:t xml:space="preserve"> 2004, 21/04 Mémorial A 116, 12 ju</w:t>
      </w:r>
      <w:r w:rsidR="00A43E5A">
        <w:rPr>
          <w:lang w:val="fr-BE"/>
        </w:rPr>
        <w:t xml:space="preserve">illet </w:t>
      </w:r>
      <w:r w:rsidRPr="008C5BE8">
        <w:rPr>
          <w:lang w:val="fr-BE"/>
        </w:rPr>
        <w:t>2004, 1766</w:t>
      </w:r>
      <w:r w:rsidR="008C5BE8" w:rsidRPr="008C5BE8">
        <w:rPr>
          <w:lang w:val="fr-BE"/>
        </w:rPr>
        <w:t>.</w:t>
      </w:r>
    </w:p>
  </w:footnote>
  <w:footnote w:id="210">
    <w:p w14:paraId="089F5B4E" w14:textId="1EB381A9" w:rsidR="00BD6597" w:rsidRPr="00BD6597" w:rsidRDefault="00BD6597">
      <w:pPr>
        <w:pStyle w:val="Voetnoottekst"/>
        <w:rPr>
          <w:lang w:val="fr-BE"/>
        </w:rPr>
      </w:pPr>
      <w:r w:rsidRPr="008C5BE8">
        <w:rPr>
          <w:rStyle w:val="Voetnootmarkering"/>
        </w:rPr>
        <w:footnoteRef/>
      </w:r>
      <w:r w:rsidR="00CE2FDC">
        <w:rPr>
          <w:lang w:val="fr-BE"/>
        </w:rPr>
        <w:t xml:space="preserve"> </w:t>
      </w:r>
      <w:r w:rsidRPr="008C5BE8">
        <w:rPr>
          <w:lang w:val="fr-BE"/>
        </w:rPr>
        <w:t>Arr</w:t>
      </w:r>
      <w:r w:rsidR="00A43E5A">
        <w:rPr>
          <w:lang w:val="fr-BE"/>
        </w:rPr>
        <w:t>êt</w:t>
      </w:r>
      <w:r w:rsidRPr="008C5BE8">
        <w:rPr>
          <w:lang w:val="fr-BE"/>
        </w:rPr>
        <w:t xml:space="preserve"> Cour Constitutionnelle </w:t>
      </w:r>
      <w:r w:rsidR="00A43E5A">
        <w:rPr>
          <w:lang w:val="fr-BE"/>
        </w:rPr>
        <w:t>du</w:t>
      </w:r>
      <w:r w:rsidRPr="008C5BE8">
        <w:rPr>
          <w:lang w:val="fr-BE"/>
        </w:rPr>
        <w:t>18 ju</w:t>
      </w:r>
      <w:r w:rsidR="00A43E5A">
        <w:rPr>
          <w:lang w:val="fr-BE"/>
        </w:rPr>
        <w:t>in</w:t>
      </w:r>
      <w:r w:rsidRPr="008C5BE8">
        <w:rPr>
          <w:lang w:val="fr-BE"/>
        </w:rPr>
        <w:t xml:space="preserve"> 2004, 21/04 Mémorial A116, 12 ju</w:t>
      </w:r>
      <w:r w:rsidR="00A43E5A">
        <w:rPr>
          <w:lang w:val="fr-BE"/>
        </w:rPr>
        <w:t>illet</w:t>
      </w:r>
      <w:r w:rsidRPr="008C5BE8">
        <w:rPr>
          <w:lang w:val="fr-BE"/>
        </w:rPr>
        <w:t xml:space="preserve"> 2004, 1766</w:t>
      </w:r>
      <w:r w:rsidR="008C5BE8" w:rsidRPr="008C5BE8">
        <w:rPr>
          <w:lang w:val="fr-BE"/>
        </w:rPr>
        <w:t>.</w:t>
      </w:r>
    </w:p>
  </w:footnote>
  <w:footnote w:id="211">
    <w:p w14:paraId="34F5B7E2" w14:textId="28EC740F" w:rsidR="0044799D" w:rsidRPr="00ED0E92" w:rsidRDefault="0044799D">
      <w:pPr>
        <w:pStyle w:val="Voetnoottekst"/>
        <w:rPr>
          <w:lang w:val="fr-BE"/>
        </w:rPr>
      </w:pPr>
      <w:r w:rsidRPr="0058444E">
        <w:rPr>
          <w:rStyle w:val="Voetnootmarkering"/>
        </w:rPr>
        <w:footnoteRef/>
      </w:r>
      <w:bookmarkStart w:id="89" w:name="_Hlk227678650"/>
      <w:r w:rsidR="00CE2FDC">
        <w:rPr>
          <w:lang w:val="fr-BE"/>
        </w:rPr>
        <w:t xml:space="preserve"> </w:t>
      </w:r>
      <w:bookmarkEnd w:id="89"/>
      <w:r w:rsidR="00CE2FDC">
        <w:rPr>
          <w:lang w:val="fr-BE"/>
        </w:rPr>
        <w:t xml:space="preserve">Loi du 13 mai 2008 portant introduction d’un statut unique pour les salariés du secteur privé et modifiant, </w:t>
      </w:r>
      <w:proofErr w:type="spellStart"/>
      <w:r w:rsidR="00CE2FDC">
        <w:rPr>
          <w:i/>
          <w:iCs/>
          <w:lang w:val="fr-BE"/>
        </w:rPr>
        <w:t>Memorial</w:t>
      </w:r>
      <w:proofErr w:type="spellEnd"/>
      <w:r w:rsidR="00CE2FDC">
        <w:rPr>
          <w:i/>
          <w:iCs/>
          <w:lang w:val="fr-BE"/>
        </w:rPr>
        <w:t xml:space="preserve"> </w:t>
      </w:r>
      <w:r w:rsidR="00CE2FDC">
        <w:rPr>
          <w:lang w:val="fr-BE"/>
        </w:rPr>
        <w:t>A60, 15 mai 2008</w:t>
      </w:r>
      <w:r w:rsidR="00FF64F1">
        <w:rPr>
          <w:lang w:val="fr-BE"/>
        </w:rPr>
        <w:t xml:space="preserve">; </w:t>
      </w:r>
      <w:r w:rsidRPr="00ED0E92">
        <w:rPr>
          <w:lang w:val="fr-BE"/>
        </w:rPr>
        <w:t xml:space="preserve">DOYEN P., </w:t>
      </w:r>
      <w:r w:rsidR="00410C09" w:rsidRPr="00ED0E92">
        <w:rPr>
          <w:lang w:val="fr-BE"/>
        </w:rPr>
        <w:t>‘P</w:t>
      </w:r>
      <w:r w:rsidRPr="00ED0E92">
        <w:rPr>
          <w:lang w:val="fr-BE"/>
        </w:rPr>
        <w:t>ensions complémentaires d’entreprises: l’arrivée à maturité?</w:t>
      </w:r>
      <w:r w:rsidR="00410C09" w:rsidRPr="00ED0E92">
        <w:rPr>
          <w:lang w:val="fr-BE"/>
        </w:rPr>
        <w:t>’</w:t>
      </w:r>
      <w:r w:rsidRPr="00ED0E92">
        <w:rPr>
          <w:lang w:val="fr-BE"/>
        </w:rPr>
        <w:t xml:space="preserve">, </w:t>
      </w:r>
      <w:r w:rsidRPr="00ED0E92">
        <w:rPr>
          <w:i/>
          <w:iCs/>
          <w:lang w:val="fr-BE"/>
        </w:rPr>
        <w:t xml:space="preserve">T. </w:t>
      </w:r>
      <w:proofErr w:type="spellStart"/>
      <w:r w:rsidRPr="00ED0E92">
        <w:rPr>
          <w:i/>
          <w:iCs/>
          <w:lang w:val="fr-BE"/>
        </w:rPr>
        <w:t>Verz</w:t>
      </w:r>
      <w:proofErr w:type="spellEnd"/>
      <w:r w:rsidRPr="00ED0E92">
        <w:rPr>
          <w:i/>
          <w:iCs/>
          <w:lang w:val="fr-BE"/>
        </w:rPr>
        <w:t xml:space="preserve">. </w:t>
      </w:r>
      <w:r w:rsidRPr="00ED0E92">
        <w:rPr>
          <w:lang w:val="fr-BE"/>
        </w:rPr>
        <w:t xml:space="preserve">2014, </w:t>
      </w:r>
      <w:proofErr w:type="spellStart"/>
      <w:r w:rsidRPr="00ED0E92">
        <w:rPr>
          <w:lang w:val="fr-BE"/>
        </w:rPr>
        <w:t>a</w:t>
      </w:r>
      <w:r w:rsidR="007525DC">
        <w:rPr>
          <w:lang w:val="fr-BE"/>
        </w:rPr>
        <w:t>fl</w:t>
      </w:r>
      <w:proofErr w:type="spellEnd"/>
      <w:r w:rsidR="0013353F">
        <w:rPr>
          <w:lang w:val="fr-BE"/>
        </w:rPr>
        <w:t>.</w:t>
      </w:r>
      <w:r w:rsidRPr="00ED0E92">
        <w:rPr>
          <w:lang w:val="fr-BE"/>
        </w:rPr>
        <w:t xml:space="preserve"> 3, nr. 388, 272</w:t>
      </w:r>
      <w:r w:rsidR="00410C09" w:rsidRPr="00ED0E92">
        <w:rPr>
          <w:lang w:val="fr-BE"/>
        </w:rPr>
        <w:t>.</w:t>
      </w:r>
    </w:p>
  </w:footnote>
  <w:footnote w:id="212">
    <w:p w14:paraId="594C3EB9" w14:textId="792CAFF6" w:rsidR="0084777B" w:rsidRPr="009A7C86" w:rsidRDefault="0084777B">
      <w:pPr>
        <w:pStyle w:val="Voetnoottekst"/>
        <w:rPr>
          <w:lang w:val="fr-BE"/>
        </w:rPr>
      </w:pPr>
      <w:r w:rsidRPr="00ED0E92">
        <w:rPr>
          <w:rStyle w:val="Voetnootmarkering"/>
        </w:rPr>
        <w:footnoteRef/>
      </w:r>
      <w:bookmarkStart w:id="90" w:name="_Hlk227678748"/>
      <w:r w:rsidR="00CE2FDC">
        <w:rPr>
          <w:lang w:val="fr-BE"/>
        </w:rPr>
        <w:t xml:space="preserve"> </w:t>
      </w:r>
      <w:r w:rsidRPr="00ED0E92">
        <w:rPr>
          <w:lang w:val="fr-BE"/>
        </w:rPr>
        <w:t xml:space="preserve">REUTER A., </w:t>
      </w:r>
      <w:r w:rsidR="00410C09" w:rsidRPr="00ED0E92">
        <w:rPr>
          <w:lang w:val="fr-BE"/>
        </w:rPr>
        <w:t>‘</w:t>
      </w:r>
      <w:r w:rsidRPr="00ED0E92">
        <w:rPr>
          <w:lang w:val="fr-BE"/>
        </w:rPr>
        <w:t>Mise en œuvre par le Centre commun de la sécurité sociale du statut unique pour les salarié du secteur privé</w:t>
      </w:r>
      <w:r w:rsidR="00410C09" w:rsidRPr="00ED0E92">
        <w:rPr>
          <w:lang w:val="fr-BE"/>
        </w:rPr>
        <w:t>’</w:t>
      </w:r>
      <w:r w:rsidRPr="00ED0E92">
        <w:rPr>
          <w:lang w:val="fr-BE"/>
        </w:rPr>
        <w:t xml:space="preserve">, </w:t>
      </w:r>
      <w:r w:rsidRPr="00ED0E92">
        <w:rPr>
          <w:i/>
          <w:iCs/>
          <w:lang w:val="fr-BE"/>
        </w:rPr>
        <w:t xml:space="preserve">Bulletin Luxembourgeois des questions sociales (BLQS) </w:t>
      </w:r>
      <w:r w:rsidRPr="00ED0E92">
        <w:rPr>
          <w:lang w:val="fr-BE"/>
        </w:rPr>
        <w:t>2009, vol. 25, 3-62</w:t>
      </w:r>
      <w:bookmarkEnd w:id="90"/>
      <w:r w:rsidRPr="00ED0E92">
        <w:rPr>
          <w:lang w:val="fr-BE"/>
        </w:rPr>
        <w:t xml:space="preserve">; </w:t>
      </w:r>
      <w:bookmarkStart w:id="91" w:name="_Hlk227678790"/>
      <w:r w:rsidRPr="00ED0E92">
        <w:rPr>
          <w:lang w:val="fr-BE"/>
        </w:rPr>
        <w:t xml:space="preserve">SCHMIT P., </w:t>
      </w:r>
      <w:r w:rsidR="00410C09" w:rsidRPr="00ED0E92">
        <w:rPr>
          <w:lang w:val="fr-BE"/>
        </w:rPr>
        <w:t>‘</w:t>
      </w:r>
      <w:r w:rsidRPr="00ED0E92">
        <w:rPr>
          <w:lang w:val="fr-BE"/>
        </w:rPr>
        <w:t>Développement d’un cadre méthodologique commun pour les institutions de sécurité sociale</w:t>
      </w:r>
      <w:r w:rsidR="00ED0E92" w:rsidRPr="00ED0E92">
        <w:rPr>
          <w:lang w:val="fr-BE"/>
        </w:rPr>
        <w:t>’</w:t>
      </w:r>
      <w:r w:rsidRPr="00ED0E92">
        <w:rPr>
          <w:lang w:val="fr-BE"/>
        </w:rPr>
        <w:t xml:space="preserve">, </w:t>
      </w:r>
      <w:r w:rsidRPr="00ED0E92">
        <w:rPr>
          <w:i/>
          <w:iCs/>
          <w:lang w:val="fr-BE"/>
        </w:rPr>
        <w:t xml:space="preserve">Bulletin Luxembourgeois des questions sociales </w:t>
      </w:r>
      <w:r w:rsidRPr="009A7C86">
        <w:rPr>
          <w:i/>
          <w:iCs/>
          <w:lang w:val="fr-BE"/>
        </w:rPr>
        <w:t xml:space="preserve">(BLQS) </w:t>
      </w:r>
      <w:r w:rsidRPr="009A7C86">
        <w:rPr>
          <w:lang w:val="fr-BE"/>
        </w:rPr>
        <w:t>2009, vol. 25, 71-110</w:t>
      </w:r>
      <w:bookmarkEnd w:id="91"/>
      <w:r w:rsidR="00ED0E92" w:rsidRPr="009A7C86">
        <w:rPr>
          <w:lang w:val="fr-BE"/>
        </w:rPr>
        <w:t>.</w:t>
      </w:r>
    </w:p>
  </w:footnote>
  <w:footnote w:id="213">
    <w:p w14:paraId="4B5EA59C" w14:textId="77828DF7" w:rsidR="007E7947" w:rsidRPr="00E55E67" w:rsidRDefault="007E7947">
      <w:pPr>
        <w:pStyle w:val="Voetnoottekst"/>
        <w:rPr>
          <w:lang w:val="fr-BE"/>
        </w:rPr>
      </w:pPr>
      <w:r w:rsidRPr="009A7C86">
        <w:rPr>
          <w:rStyle w:val="Voetnootmarkering"/>
        </w:rPr>
        <w:footnoteRef/>
      </w:r>
      <w:r w:rsidR="00CE2FDC">
        <w:rPr>
          <w:lang w:val="fr-BE"/>
        </w:rPr>
        <w:t xml:space="preserve"> </w:t>
      </w:r>
      <w:r w:rsidR="006F3A4F" w:rsidRPr="00D57B83">
        <w:rPr>
          <w:lang w:val="fr-BE"/>
        </w:rPr>
        <w:t>DOYEN P.,</w:t>
      </w:r>
      <w:r w:rsidR="00D57B83" w:rsidRPr="00D57B83">
        <w:rPr>
          <w:lang w:val="fr-BE"/>
        </w:rPr>
        <w:t xml:space="preserve"> ‘Pensions complémentaires d’entreprises: l’arriv</w:t>
      </w:r>
      <w:r w:rsidR="00D57B83">
        <w:rPr>
          <w:lang w:val="fr-BE"/>
        </w:rPr>
        <w:t xml:space="preserve">ée à maturité ?’, </w:t>
      </w:r>
      <w:proofErr w:type="spellStart"/>
      <w:r w:rsidR="00D57B83">
        <w:rPr>
          <w:i/>
          <w:iCs/>
          <w:lang w:val="fr-BE"/>
        </w:rPr>
        <w:t>T.Verz</w:t>
      </w:r>
      <w:proofErr w:type="spellEnd"/>
      <w:r w:rsidR="00D57B83">
        <w:rPr>
          <w:i/>
          <w:iCs/>
          <w:lang w:val="fr-BE"/>
        </w:rPr>
        <w:t xml:space="preserve">. </w:t>
      </w:r>
      <w:r w:rsidR="00D57B83">
        <w:rPr>
          <w:lang w:val="fr-BE"/>
        </w:rPr>
        <w:t xml:space="preserve">2014, </w:t>
      </w:r>
      <w:proofErr w:type="spellStart"/>
      <w:r w:rsidR="00D57B83">
        <w:rPr>
          <w:lang w:val="fr-BE"/>
        </w:rPr>
        <w:t>afl</w:t>
      </w:r>
      <w:proofErr w:type="spellEnd"/>
      <w:r w:rsidR="00D57B83">
        <w:rPr>
          <w:lang w:val="fr-BE"/>
        </w:rPr>
        <w:t xml:space="preserve">. 3, nr. 388, 272; </w:t>
      </w:r>
      <w:r w:rsidRPr="00D57B83">
        <w:rPr>
          <w:lang w:val="fr-BE"/>
        </w:rPr>
        <w:t xml:space="preserve">KNOOPS S., </w:t>
      </w:r>
      <w:r w:rsidRPr="00D57B83">
        <w:rPr>
          <w:i/>
          <w:iCs/>
          <w:lang w:val="fr-BE"/>
        </w:rPr>
        <w:t xml:space="preserve">De </w:t>
      </w:r>
      <w:proofErr w:type="spellStart"/>
      <w:r w:rsidRPr="00D57B83">
        <w:rPr>
          <w:i/>
          <w:iCs/>
          <w:lang w:val="fr-BE"/>
        </w:rPr>
        <w:t>toepassing</w:t>
      </w:r>
      <w:proofErr w:type="spellEnd"/>
      <w:r w:rsidRPr="00D57B83">
        <w:rPr>
          <w:i/>
          <w:iCs/>
          <w:lang w:val="fr-BE"/>
        </w:rPr>
        <w:t xml:space="preserve"> en </w:t>
      </w:r>
      <w:proofErr w:type="spellStart"/>
      <w:r w:rsidRPr="00D57B83">
        <w:rPr>
          <w:i/>
          <w:iCs/>
          <w:lang w:val="fr-BE"/>
        </w:rPr>
        <w:t>handhaving</w:t>
      </w:r>
      <w:proofErr w:type="spellEnd"/>
      <w:r w:rsidRPr="00D57B83">
        <w:rPr>
          <w:i/>
          <w:iCs/>
          <w:lang w:val="fr-BE"/>
        </w:rPr>
        <w:t xml:space="preserve"> van het </w:t>
      </w:r>
      <w:proofErr w:type="spellStart"/>
      <w:r w:rsidRPr="00D57B83">
        <w:rPr>
          <w:i/>
          <w:iCs/>
          <w:lang w:val="fr-BE"/>
        </w:rPr>
        <w:t>gelijkheidsbeginsel</w:t>
      </w:r>
      <w:proofErr w:type="spellEnd"/>
      <w:r w:rsidRPr="00D57B83">
        <w:rPr>
          <w:i/>
          <w:iCs/>
          <w:lang w:val="fr-BE"/>
        </w:rPr>
        <w:t xml:space="preserve"> </w:t>
      </w:r>
      <w:proofErr w:type="spellStart"/>
      <w:r w:rsidRPr="00D57B83">
        <w:rPr>
          <w:i/>
          <w:iCs/>
          <w:lang w:val="fr-BE"/>
        </w:rPr>
        <w:t>bij</w:t>
      </w:r>
      <w:proofErr w:type="spellEnd"/>
      <w:r w:rsidRPr="00D57B83">
        <w:rPr>
          <w:i/>
          <w:iCs/>
          <w:lang w:val="fr-BE"/>
        </w:rPr>
        <w:t xml:space="preserve"> </w:t>
      </w:r>
      <w:proofErr w:type="spellStart"/>
      <w:r w:rsidRPr="00D57B83">
        <w:rPr>
          <w:i/>
          <w:iCs/>
          <w:lang w:val="fr-BE"/>
        </w:rPr>
        <w:t>aanvullende</w:t>
      </w:r>
      <w:proofErr w:type="spellEnd"/>
      <w:r w:rsidRPr="00D57B83">
        <w:rPr>
          <w:i/>
          <w:iCs/>
          <w:lang w:val="fr-BE"/>
        </w:rPr>
        <w:t xml:space="preserve"> </w:t>
      </w:r>
      <w:proofErr w:type="spellStart"/>
      <w:r w:rsidRPr="00D57B83">
        <w:rPr>
          <w:i/>
          <w:iCs/>
          <w:lang w:val="fr-BE"/>
        </w:rPr>
        <w:t>pensioenen</w:t>
      </w:r>
      <w:proofErr w:type="spellEnd"/>
      <w:r w:rsidRPr="00D57B83">
        <w:rPr>
          <w:i/>
          <w:iCs/>
          <w:lang w:val="fr-BE"/>
        </w:rPr>
        <w:t xml:space="preserve">, </w:t>
      </w:r>
      <w:proofErr w:type="spellStart"/>
      <w:r w:rsidRPr="00D57B83">
        <w:rPr>
          <w:lang w:val="fr-BE"/>
        </w:rPr>
        <w:t>Intersentia</w:t>
      </w:r>
      <w:proofErr w:type="spellEnd"/>
      <w:r w:rsidRPr="00D57B83">
        <w:rPr>
          <w:lang w:val="fr-BE"/>
        </w:rPr>
        <w:t>, 2024, 51</w:t>
      </w:r>
      <w:r w:rsidR="00B01084" w:rsidRPr="00D57B83">
        <w:rPr>
          <w:lang w:val="fr-BE"/>
        </w:rPr>
        <w:t>8</w:t>
      </w:r>
      <w:r w:rsidR="00E55E67" w:rsidRPr="00D57B83">
        <w:rPr>
          <w:lang w:val="fr-BE"/>
        </w:rPr>
        <w:t xml:space="preserve">; SPIRINELLI F., </w:t>
      </w:r>
      <w:r w:rsidR="00E55E67" w:rsidRPr="00D57B83">
        <w:rPr>
          <w:i/>
          <w:iCs/>
          <w:lang w:val="fr-BE"/>
        </w:rPr>
        <w:t xml:space="preserve">Le système de retraite. </w:t>
      </w:r>
      <w:proofErr w:type="spellStart"/>
      <w:r w:rsidR="00E55E67">
        <w:rPr>
          <w:i/>
          <w:iCs/>
          <w:lang w:val="fr-BE"/>
        </w:rPr>
        <w:t>Prensentation</w:t>
      </w:r>
      <w:proofErr w:type="spellEnd"/>
      <w:r w:rsidR="00E55E67">
        <w:rPr>
          <w:i/>
          <w:iCs/>
          <w:lang w:val="fr-BE"/>
        </w:rPr>
        <w:t xml:space="preserve"> et état des lieux de l’assurance vieillesse au Luxembourg, Note de recherche scientifique </w:t>
      </w:r>
      <w:r w:rsidR="00E55E67">
        <w:rPr>
          <w:lang w:val="fr-BE"/>
        </w:rPr>
        <w:t xml:space="preserve">nr. 045, Cellule scientifique de la Chambre des députés, 2025,34. </w:t>
      </w:r>
    </w:p>
  </w:footnote>
  <w:footnote w:id="214">
    <w:p w14:paraId="6CD082D7" w14:textId="2A14D2FF" w:rsidR="00C84A7D" w:rsidRPr="00D14F30" w:rsidRDefault="00C84A7D">
      <w:pPr>
        <w:pStyle w:val="Voetnoottekst"/>
        <w:rPr>
          <w:lang w:val="fr-BE"/>
        </w:rPr>
      </w:pPr>
      <w:r w:rsidRPr="00C572EC">
        <w:rPr>
          <w:rStyle w:val="Voetnootmarkering"/>
        </w:rPr>
        <w:footnoteRef/>
      </w:r>
      <w:r w:rsidR="00644B51">
        <w:rPr>
          <w:lang w:val="fr-BE"/>
        </w:rPr>
        <w:t xml:space="preserve"> </w:t>
      </w:r>
      <w:r w:rsidR="00064D5D">
        <w:rPr>
          <w:lang w:val="fr-BE"/>
        </w:rPr>
        <w:t>Loi du 13 mai 2008 portant introduction d’un statut unique pour les salariés du secteur privé et modifiant</w:t>
      </w:r>
      <w:r w:rsidR="00D14F30">
        <w:rPr>
          <w:lang w:val="fr-BE"/>
        </w:rPr>
        <w:t xml:space="preserve">, </w:t>
      </w:r>
      <w:proofErr w:type="spellStart"/>
      <w:r w:rsidR="00D14F30">
        <w:rPr>
          <w:i/>
          <w:iCs/>
          <w:lang w:val="fr-BE"/>
        </w:rPr>
        <w:t>Memorial</w:t>
      </w:r>
      <w:proofErr w:type="spellEnd"/>
      <w:r w:rsidR="00D14F30">
        <w:rPr>
          <w:i/>
          <w:iCs/>
          <w:lang w:val="fr-BE"/>
        </w:rPr>
        <w:t xml:space="preserve"> </w:t>
      </w:r>
      <w:r w:rsidR="00D14F30">
        <w:rPr>
          <w:lang w:val="fr-BE"/>
        </w:rPr>
        <w:t>A60, 15 mai 2008.</w:t>
      </w:r>
    </w:p>
  </w:footnote>
  <w:footnote w:id="215">
    <w:p w14:paraId="127F7E57" w14:textId="7BEF469E" w:rsidR="00AC0889" w:rsidRPr="00D14F30" w:rsidRDefault="00AC0889">
      <w:pPr>
        <w:pStyle w:val="Voetnoottekst"/>
        <w:rPr>
          <w:lang w:val="fr-BE"/>
        </w:rPr>
      </w:pPr>
      <w:r w:rsidRPr="00C572EC">
        <w:rPr>
          <w:rStyle w:val="Voetnootmarkering"/>
        </w:rPr>
        <w:footnoteRef/>
      </w:r>
      <w:r w:rsidR="00644B51">
        <w:rPr>
          <w:lang w:val="fr-BE"/>
        </w:rPr>
        <w:t xml:space="preserve"> </w:t>
      </w:r>
      <w:r w:rsidR="00D14F30">
        <w:rPr>
          <w:lang w:val="fr-BE"/>
        </w:rPr>
        <w:t xml:space="preserve">Loi du 13 mai 2008 portant introduction d’un statut unique pour les salariés du secteur privé et modifiant, </w:t>
      </w:r>
      <w:proofErr w:type="spellStart"/>
      <w:r w:rsidR="00D14F30">
        <w:rPr>
          <w:i/>
          <w:iCs/>
          <w:lang w:val="fr-BE"/>
        </w:rPr>
        <w:t>Memorial</w:t>
      </w:r>
      <w:proofErr w:type="spellEnd"/>
      <w:r w:rsidR="00D14F30">
        <w:rPr>
          <w:i/>
          <w:iCs/>
          <w:lang w:val="fr-BE"/>
        </w:rPr>
        <w:t xml:space="preserve"> </w:t>
      </w:r>
      <w:r w:rsidR="00D14F30">
        <w:rPr>
          <w:lang w:val="fr-BE"/>
        </w:rPr>
        <w:t>A60, 15 mai 2008.</w:t>
      </w:r>
    </w:p>
  </w:footnote>
  <w:footnote w:id="216">
    <w:p w14:paraId="071EB95E" w14:textId="25750E44" w:rsidR="00422040" w:rsidRPr="00C572EC" w:rsidRDefault="00422040">
      <w:pPr>
        <w:pStyle w:val="Voetnoottekst"/>
        <w:rPr>
          <w:lang w:val="fr-BE"/>
        </w:rPr>
      </w:pPr>
      <w:r w:rsidRPr="00C572EC">
        <w:rPr>
          <w:rStyle w:val="Voetnootmarkering"/>
        </w:rPr>
        <w:footnoteRef/>
      </w:r>
      <w:r w:rsidR="00644B51">
        <w:rPr>
          <w:lang w:val="fr-BE"/>
        </w:rPr>
        <w:t xml:space="preserve"> </w:t>
      </w:r>
      <w:r w:rsidR="009F0CAE" w:rsidRPr="00C572EC">
        <w:rPr>
          <w:lang w:val="fr-BE"/>
        </w:rPr>
        <w:t xml:space="preserve">Projet de loi portant introduction d’un statut unique pour les salariés du secteur privé, Chambre des Députés, </w:t>
      </w:r>
      <w:proofErr w:type="spellStart"/>
      <w:r w:rsidR="009F0CAE" w:rsidRPr="00C572EC">
        <w:rPr>
          <w:lang w:val="fr-BE"/>
        </w:rPr>
        <w:t>sess</w:t>
      </w:r>
      <w:proofErr w:type="spellEnd"/>
      <w:r w:rsidR="009F0CAE" w:rsidRPr="00C572EC">
        <w:rPr>
          <w:lang w:val="fr-BE"/>
        </w:rPr>
        <w:t>. Ord. 2006-2007, n° 5750/00, 101</w:t>
      </w:r>
      <w:r w:rsidR="00C572EC">
        <w:rPr>
          <w:lang w:val="fr-BE"/>
        </w:rPr>
        <w:t>.</w:t>
      </w:r>
    </w:p>
  </w:footnote>
  <w:footnote w:id="217">
    <w:p w14:paraId="291CBC6F" w14:textId="16B10BB7" w:rsidR="00D7513D" w:rsidRPr="00C74CA0" w:rsidRDefault="00D7513D">
      <w:pPr>
        <w:pStyle w:val="Voetnoottekst"/>
        <w:rPr>
          <w:lang w:val="fr-BE"/>
        </w:rPr>
      </w:pPr>
      <w:r w:rsidRPr="0058444E">
        <w:rPr>
          <w:rStyle w:val="Voetnootmarkering"/>
        </w:rPr>
        <w:footnoteRef/>
      </w:r>
      <w:r w:rsidR="00644B51">
        <w:rPr>
          <w:lang w:val="fr-BE"/>
        </w:rPr>
        <w:t xml:space="preserve"> </w:t>
      </w:r>
      <w:r w:rsidRPr="002954DB">
        <w:rPr>
          <w:lang w:val="fr-BE"/>
        </w:rPr>
        <w:t xml:space="preserve">Projet de loi portant introduction d’un statut unique pour les salariés du secteur privé, Chambre des Députés, </w:t>
      </w:r>
      <w:proofErr w:type="spellStart"/>
      <w:r w:rsidRPr="002954DB">
        <w:rPr>
          <w:lang w:val="fr-BE"/>
        </w:rPr>
        <w:t>sess</w:t>
      </w:r>
      <w:proofErr w:type="spellEnd"/>
      <w:r w:rsidRPr="002954DB">
        <w:rPr>
          <w:lang w:val="fr-BE"/>
        </w:rPr>
        <w:t xml:space="preserve">. </w:t>
      </w:r>
      <w:r w:rsidRPr="00C74CA0">
        <w:rPr>
          <w:lang w:val="fr-BE"/>
        </w:rPr>
        <w:t>Ord. 2006-2007, n° 5750/00, 101</w:t>
      </w:r>
      <w:r w:rsidR="00C572EC">
        <w:rPr>
          <w:lang w:val="fr-BE"/>
        </w:rPr>
        <w:t>.</w:t>
      </w:r>
    </w:p>
  </w:footnote>
  <w:footnote w:id="218">
    <w:p w14:paraId="61E5F0BC" w14:textId="211B2A1F" w:rsidR="00942148" w:rsidRPr="00253217" w:rsidRDefault="00942148">
      <w:pPr>
        <w:pStyle w:val="Voetnoottekst"/>
        <w:rPr>
          <w:lang w:val="fr-BE"/>
        </w:rPr>
      </w:pPr>
      <w:r>
        <w:rPr>
          <w:rStyle w:val="Voetnootmarkering"/>
        </w:rPr>
        <w:footnoteRef/>
      </w:r>
      <w:r w:rsidR="00644B51">
        <w:rPr>
          <w:lang w:val="fr-BE"/>
        </w:rPr>
        <w:t xml:space="preserve"> </w:t>
      </w:r>
      <w:r w:rsidRPr="00942148">
        <w:rPr>
          <w:lang w:val="fr-BE"/>
        </w:rPr>
        <w:t>Projet de loi portant introdu</w:t>
      </w:r>
      <w:r>
        <w:rPr>
          <w:lang w:val="fr-BE"/>
        </w:rPr>
        <w:t xml:space="preserve">ction d’un statut unique pour les salariés du secteur privé, Chambre des Députés, Avis de la Chambre des métiers, </w:t>
      </w:r>
      <w:proofErr w:type="spellStart"/>
      <w:r>
        <w:rPr>
          <w:lang w:val="fr-BE"/>
        </w:rPr>
        <w:t>sess</w:t>
      </w:r>
      <w:proofErr w:type="spellEnd"/>
      <w:r>
        <w:rPr>
          <w:lang w:val="fr-BE"/>
        </w:rPr>
        <w:t xml:space="preserve">. ord. </w:t>
      </w:r>
      <w:r w:rsidR="00CF29FB">
        <w:rPr>
          <w:lang w:val="fr-BE"/>
        </w:rPr>
        <w:t>2006-2007, n°5750/02, 30</w:t>
      </w:r>
      <w:r w:rsidR="00EB3B4D">
        <w:rPr>
          <w:lang w:val="fr-BE"/>
        </w:rPr>
        <w:t xml:space="preserve">. </w:t>
      </w:r>
      <w:r w:rsidR="00EB3B4D" w:rsidRPr="00EB3B4D">
        <w:rPr>
          <w:lang w:val="fr-BE"/>
        </w:rPr>
        <w:t xml:space="preserve">BERNS L. en SCHMIT P., </w:t>
      </w:r>
      <w:r w:rsidR="00C572EC">
        <w:rPr>
          <w:lang w:val="fr-BE"/>
        </w:rPr>
        <w:t>‘</w:t>
      </w:r>
      <w:r w:rsidR="00EB3B4D" w:rsidRPr="00EB3B4D">
        <w:rPr>
          <w:lang w:val="fr-BE"/>
        </w:rPr>
        <w:t>Les régimes complémentaires des p</w:t>
      </w:r>
      <w:r w:rsidR="00EB3B4D">
        <w:rPr>
          <w:lang w:val="fr-BE"/>
        </w:rPr>
        <w:t>ensions sous l’aspect du droit du travail</w:t>
      </w:r>
      <w:r w:rsidR="00C572EC">
        <w:rPr>
          <w:lang w:val="fr-BE"/>
        </w:rPr>
        <w:t>’</w:t>
      </w:r>
      <w:r w:rsidR="00EB3B4D">
        <w:rPr>
          <w:lang w:val="fr-BE"/>
        </w:rPr>
        <w:t xml:space="preserve"> in </w:t>
      </w:r>
      <w:r w:rsidR="00EB3B4D">
        <w:rPr>
          <w:i/>
          <w:iCs/>
          <w:lang w:val="fr-BE"/>
        </w:rPr>
        <w:t xml:space="preserve">Régimes complémentaires de pension au Luxembourg </w:t>
      </w:r>
      <w:r w:rsidR="00253217">
        <w:rPr>
          <w:i/>
          <w:iCs/>
          <w:lang w:val="fr-BE"/>
        </w:rPr>
        <w:t>– Bilan et perspectives dix ans après la loi-cadre,</w:t>
      </w:r>
      <w:r w:rsidR="00253217">
        <w:rPr>
          <w:lang w:val="fr-BE"/>
        </w:rPr>
        <w:t xml:space="preserve"> </w:t>
      </w:r>
      <w:proofErr w:type="spellStart"/>
      <w:r w:rsidR="00253217">
        <w:rPr>
          <w:lang w:val="fr-BE"/>
        </w:rPr>
        <w:t>Anthemis</w:t>
      </w:r>
      <w:proofErr w:type="spellEnd"/>
      <w:r w:rsidR="00253217">
        <w:rPr>
          <w:lang w:val="fr-BE"/>
        </w:rPr>
        <w:t>, 2009, 117</w:t>
      </w:r>
      <w:r w:rsidR="00C572EC">
        <w:rPr>
          <w:lang w:val="fr-BE"/>
        </w:rPr>
        <w:t>.</w:t>
      </w:r>
    </w:p>
  </w:footnote>
  <w:footnote w:id="219">
    <w:p w14:paraId="20ADE2F8" w14:textId="6CBFB7E7" w:rsidR="00586A27" w:rsidRPr="0051502C" w:rsidRDefault="00586A27">
      <w:pPr>
        <w:pStyle w:val="Voetnoottekst"/>
      </w:pPr>
      <w:r>
        <w:rPr>
          <w:rStyle w:val="Voetnootmarkering"/>
        </w:rPr>
        <w:footnoteRef/>
      </w:r>
      <w:r w:rsidR="00A33D2B">
        <w:rPr>
          <w:lang w:val="fr-BE"/>
        </w:rPr>
        <w:t xml:space="preserve"> </w:t>
      </w:r>
      <w:r>
        <w:rPr>
          <w:lang w:val="fr-BE"/>
        </w:rPr>
        <w:t>P</w:t>
      </w:r>
      <w:r w:rsidRPr="002954DB">
        <w:rPr>
          <w:lang w:val="fr-BE"/>
        </w:rPr>
        <w:t xml:space="preserve">rojet de loi portant introduction d’un statut unique pour les salariés du secteur privé, Chambre des Députés, </w:t>
      </w:r>
      <w:proofErr w:type="spellStart"/>
      <w:r w:rsidRPr="002954DB">
        <w:rPr>
          <w:lang w:val="fr-BE"/>
        </w:rPr>
        <w:t>sess</w:t>
      </w:r>
      <w:proofErr w:type="spellEnd"/>
      <w:r w:rsidRPr="002954DB">
        <w:rPr>
          <w:lang w:val="fr-BE"/>
        </w:rPr>
        <w:t xml:space="preserve">. </w:t>
      </w:r>
      <w:proofErr w:type="spellStart"/>
      <w:r w:rsidRPr="0051502C">
        <w:t>Ord</w:t>
      </w:r>
      <w:proofErr w:type="spellEnd"/>
      <w:r w:rsidRPr="0051502C">
        <w:t>. 2006-2007, n° 5750/00, 11</w:t>
      </w:r>
      <w:r w:rsidR="0077623F">
        <w:t>.</w:t>
      </w:r>
    </w:p>
  </w:footnote>
  <w:footnote w:id="220">
    <w:p w14:paraId="2E071E30" w14:textId="5ECA4695" w:rsidR="00B01084" w:rsidRPr="0058444E" w:rsidRDefault="00B01084">
      <w:pPr>
        <w:pStyle w:val="Voetnoottekst"/>
      </w:pPr>
      <w:r w:rsidRPr="0058444E">
        <w:rPr>
          <w:rStyle w:val="Voetnootmarkering"/>
        </w:rPr>
        <w:footnoteRef/>
      </w:r>
      <w:r w:rsidR="001C7002">
        <w:t xml:space="preserve"> </w:t>
      </w:r>
      <w:r w:rsidRPr="0058444E">
        <w:t xml:space="preserve">KNOOPS S., </w:t>
      </w:r>
      <w:r w:rsidRPr="0058444E">
        <w:rPr>
          <w:i/>
          <w:iCs/>
        </w:rPr>
        <w:t xml:space="preserve">De toepassing en handhaving van het gelijkheidsbeginsel bij aanvullende pensioenen, </w:t>
      </w:r>
      <w:proofErr w:type="spellStart"/>
      <w:r w:rsidRPr="0058444E">
        <w:t>Intersentia</w:t>
      </w:r>
      <w:proofErr w:type="spellEnd"/>
      <w:r w:rsidRPr="0058444E">
        <w:t>, 2024, 519</w:t>
      </w:r>
      <w:r w:rsidR="0077623F">
        <w:t>.</w:t>
      </w:r>
    </w:p>
  </w:footnote>
  <w:footnote w:id="221">
    <w:p w14:paraId="1ED3CEA6" w14:textId="1102A4AA" w:rsidR="00F9314E" w:rsidRPr="002954DB" w:rsidRDefault="00F9314E">
      <w:pPr>
        <w:pStyle w:val="Voetnoottekst"/>
        <w:rPr>
          <w:lang w:val="fr-BE"/>
        </w:rPr>
      </w:pPr>
      <w:r w:rsidRPr="0058444E">
        <w:rPr>
          <w:rStyle w:val="Voetnootmarkering"/>
        </w:rPr>
        <w:footnoteRef/>
      </w:r>
      <w:r w:rsidR="001C7002">
        <w:rPr>
          <w:lang w:val="fr-BE"/>
        </w:rPr>
        <w:t xml:space="preserve"> </w:t>
      </w:r>
      <w:r w:rsidRPr="002954DB">
        <w:rPr>
          <w:lang w:val="fr-BE"/>
        </w:rPr>
        <w:t xml:space="preserve">VAN PEER M. en HÉLARD H., </w:t>
      </w:r>
      <w:r w:rsidR="00EA294E">
        <w:rPr>
          <w:lang w:val="fr-BE"/>
        </w:rPr>
        <w:t>‘</w:t>
      </w:r>
      <w:r w:rsidR="00E55B83" w:rsidRPr="002954DB">
        <w:rPr>
          <w:lang w:val="fr-BE"/>
        </w:rPr>
        <w:t>évol</w:t>
      </w:r>
      <w:r w:rsidR="009479CF" w:rsidRPr="002954DB">
        <w:rPr>
          <w:lang w:val="fr-BE"/>
        </w:rPr>
        <w:t>ution de design et du financement des régimes complémentaires de pension entre 1999 et 2009</w:t>
      </w:r>
      <w:r w:rsidR="00EA294E">
        <w:rPr>
          <w:lang w:val="fr-BE"/>
        </w:rPr>
        <w:t xml:space="preserve">’ </w:t>
      </w:r>
      <w:r w:rsidR="009479CF" w:rsidRPr="002954DB">
        <w:rPr>
          <w:lang w:val="fr-BE"/>
        </w:rPr>
        <w:t xml:space="preserve">in </w:t>
      </w:r>
      <w:r w:rsidR="009479CF" w:rsidRPr="002954DB">
        <w:rPr>
          <w:i/>
          <w:iCs/>
          <w:lang w:val="fr-BE"/>
        </w:rPr>
        <w:t>Régimes complémentaires de pension au Luxembourg – Bilan et perspective dix ans après la loi-cadre</w:t>
      </w:r>
      <w:r w:rsidR="009479CF" w:rsidRPr="002954DB">
        <w:rPr>
          <w:lang w:val="fr-BE"/>
        </w:rPr>
        <w:t xml:space="preserve">, </w:t>
      </w:r>
      <w:proofErr w:type="spellStart"/>
      <w:r w:rsidR="009479CF" w:rsidRPr="002954DB">
        <w:rPr>
          <w:lang w:val="fr-BE"/>
        </w:rPr>
        <w:t>Anthemis</w:t>
      </w:r>
      <w:proofErr w:type="spellEnd"/>
      <w:r w:rsidR="009479CF" w:rsidRPr="002954DB">
        <w:rPr>
          <w:lang w:val="fr-BE"/>
        </w:rPr>
        <w:t>, 2009, 160</w:t>
      </w:r>
      <w:r w:rsidR="00EA294E">
        <w:rPr>
          <w:lang w:val="fr-BE"/>
        </w:rPr>
        <w:t>.</w:t>
      </w:r>
    </w:p>
  </w:footnote>
  <w:footnote w:id="222">
    <w:p w14:paraId="288F754D" w14:textId="2D73BBC4" w:rsidR="005A54B5" w:rsidRPr="002954DB" w:rsidRDefault="005A54B5">
      <w:pPr>
        <w:pStyle w:val="Voetnoottekst"/>
        <w:rPr>
          <w:lang w:val="fr-BE"/>
        </w:rPr>
      </w:pPr>
      <w:r w:rsidRPr="0058444E">
        <w:rPr>
          <w:rStyle w:val="Voetnootmarkering"/>
        </w:rPr>
        <w:footnoteRef/>
      </w:r>
      <w:r w:rsidR="001C7002">
        <w:rPr>
          <w:lang w:val="fr-BE"/>
        </w:rPr>
        <w:t xml:space="preserve"> </w:t>
      </w:r>
      <w:r w:rsidRPr="002954DB">
        <w:rPr>
          <w:lang w:val="fr-BE"/>
        </w:rPr>
        <w:t xml:space="preserve">DOYEN P., </w:t>
      </w:r>
      <w:r w:rsidRPr="002954DB">
        <w:rPr>
          <w:i/>
          <w:iCs/>
          <w:lang w:val="fr-BE"/>
        </w:rPr>
        <w:t>Les pensions complémentaires au Grand-Duché de Luxembourg,</w:t>
      </w:r>
      <w:r w:rsidRPr="002954DB">
        <w:rPr>
          <w:lang w:val="fr-BE"/>
        </w:rPr>
        <w:t xml:space="preserve"> Kluwer, 2007, 42; VAN PEER M. en HÉLAR</w:t>
      </w:r>
      <w:r w:rsidR="00386DFF">
        <w:rPr>
          <w:lang w:val="fr-BE"/>
        </w:rPr>
        <w:t>D</w:t>
      </w:r>
      <w:r w:rsidRPr="002954DB">
        <w:rPr>
          <w:lang w:val="fr-BE"/>
        </w:rPr>
        <w:t xml:space="preserve"> H., </w:t>
      </w:r>
      <w:r w:rsidR="00386DFF">
        <w:rPr>
          <w:lang w:val="fr-BE"/>
        </w:rPr>
        <w:t>‘</w:t>
      </w:r>
      <w:r w:rsidRPr="002954DB">
        <w:rPr>
          <w:lang w:val="fr-BE"/>
        </w:rPr>
        <w:t>évolution de design et du financement des régimes complémentaires de pension entre 1999 et 2009</w:t>
      </w:r>
      <w:r w:rsidR="00386DFF">
        <w:rPr>
          <w:lang w:val="fr-BE"/>
        </w:rPr>
        <w:t>’</w:t>
      </w:r>
      <w:r w:rsidRPr="002954DB">
        <w:rPr>
          <w:lang w:val="fr-BE"/>
        </w:rPr>
        <w:t xml:space="preserve"> in </w:t>
      </w:r>
      <w:r w:rsidRPr="002954DB">
        <w:rPr>
          <w:i/>
          <w:iCs/>
          <w:lang w:val="fr-BE"/>
        </w:rPr>
        <w:t>Régimes complémentaires de pension au Luxembourg – Bilan et perspective dix ans après la loi-cadre,</w:t>
      </w:r>
      <w:r w:rsidRPr="002954DB">
        <w:rPr>
          <w:lang w:val="fr-BE"/>
        </w:rPr>
        <w:t xml:space="preserve"> </w:t>
      </w:r>
      <w:proofErr w:type="spellStart"/>
      <w:r w:rsidRPr="002954DB">
        <w:rPr>
          <w:lang w:val="fr-BE"/>
        </w:rPr>
        <w:t>Anthemis</w:t>
      </w:r>
      <w:proofErr w:type="spellEnd"/>
      <w:r w:rsidRPr="002954DB">
        <w:rPr>
          <w:lang w:val="fr-BE"/>
        </w:rPr>
        <w:t>, 2009, 160</w:t>
      </w:r>
      <w:r w:rsidR="00386DFF">
        <w:rPr>
          <w:lang w:val="fr-BE"/>
        </w:rPr>
        <w:t>.</w:t>
      </w:r>
    </w:p>
  </w:footnote>
  <w:footnote w:id="223">
    <w:p w14:paraId="07838C9B" w14:textId="4BF715E9" w:rsidR="00C74CA0" w:rsidRPr="00C74CA0" w:rsidRDefault="00C74CA0">
      <w:pPr>
        <w:pStyle w:val="Voetnoottekst"/>
        <w:rPr>
          <w:lang w:val="fr-BE"/>
        </w:rPr>
      </w:pPr>
      <w:r>
        <w:rPr>
          <w:rStyle w:val="Voetnootmarkering"/>
        </w:rPr>
        <w:footnoteRef/>
      </w:r>
      <w:r w:rsidR="001C7002">
        <w:rPr>
          <w:lang w:val="fr-BE"/>
        </w:rPr>
        <w:t xml:space="preserve"> </w:t>
      </w:r>
      <w:r w:rsidRPr="00C74CA0">
        <w:rPr>
          <w:lang w:val="fr-BE"/>
        </w:rPr>
        <w:t>INSPECTION GÉNÉRALE DE LA SÉCURIT</w:t>
      </w:r>
      <w:r>
        <w:rPr>
          <w:lang w:val="fr-BE"/>
        </w:rPr>
        <w:t xml:space="preserve">É SOCIALE, Lettre circulaire 2009/01, </w:t>
      </w:r>
      <w:proofErr w:type="spellStart"/>
      <w:r>
        <w:rPr>
          <w:lang w:val="fr-BE"/>
        </w:rPr>
        <w:t>maart</w:t>
      </w:r>
      <w:proofErr w:type="spellEnd"/>
      <w:r>
        <w:rPr>
          <w:lang w:val="fr-BE"/>
        </w:rPr>
        <w:t xml:space="preserve"> 2009, 2; DOYEN P., </w:t>
      </w:r>
      <w:r>
        <w:rPr>
          <w:i/>
          <w:iCs/>
          <w:lang w:val="fr-BE"/>
        </w:rPr>
        <w:t>Les pensions complémentaires au Grand-Duché de Luxembourg,</w:t>
      </w:r>
      <w:r>
        <w:rPr>
          <w:lang w:val="fr-BE"/>
        </w:rPr>
        <w:t xml:space="preserve"> Kluwer, 2007</w:t>
      </w:r>
      <w:r w:rsidR="00386DFF">
        <w:rPr>
          <w:lang w:val="fr-BE"/>
        </w:rPr>
        <w:t>.</w:t>
      </w:r>
      <w:r>
        <w:rPr>
          <w:lang w:val="fr-BE"/>
        </w:rPr>
        <w:t xml:space="preserve"> </w:t>
      </w:r>
    </w:p>
  </w:footnote>
  <w:footnote w:id="224">
    <w:p w14:paraId="0587079D" w14:textId="61105EF7" w:rsidR="002C62DE" w:rsidRPr="002C62DE" w:rsidRDefault="002C62DE">
      <w:pPr>
        <w:pStyle w:val="Voetnoottekst"/>
        <w:rPr>
          <w:lang w:val="fr-BE"/>
        </w:rPr>
      </w:pPr>
      <w:r>
        <w:rPr>
          <w:rStyle w:val="Voetnootmarkering"/>
        </w:rPr>
        <w:footnoteRef/>
      </w:r>
      <w:r w:rsidR="001C7002">
        <w:rPr>
          <w:lang w:val="fr-BE"/>
        </w:rPr>
        <w:t xml:space="preserve"> </w:t>
      </w:r>
      <w:r w:rsidRPr="00942148">
        <w:rPr>
          <w:lang w:val="fr-BE"/>
        </w:rPr>
        <w:t>Projet de loi portant introdu</w:t>
      </w:r>
      <w:r>
        <w:rPr>
          <w:lang w:val="fr-BE"/>
        </w:rPr>
        <w:t xml:space="preserve">ction d’un statut unique pour les salariés du secteur privé, Chambre des Députés, Avis de la Chambre des métiers, </w:t>
      </w:r>
      <w:proofErr w:type="spellStart"/>
      <w:r>
        <w:rPr>
          <w:lang w:val="fr-BE"/>
        </w:rPr>
        <w:t>sess</w:t>
      </w:r>
      <w:proofErr w:type="spellEnd"/>
      <w:r>
        <w:rPr>
          <w:lang w:val="fr-BE"/>
        </w:rPr>
        <w:t>. ord. 2006-2007, n°5750/02, 11</w:t>
      </w:r>
      <w:r w:rsidR="00386DFF">
        <w:rPr>
          <w:lang w:val="fr-BE"/>
        </w:rPr>
        <w:t>.</w:t>
      </w:r>
    </w:p>
  </w:footnote>
  <w:footnote w:id="225">
    <w:p w14:paraId="7982AE4E" w14:textId="4C1802F8" w:rsidR="009C5BCC" w:rsidRPr="001C722D" w:rsidRDefault="009C5BCC">
      <w:pPr>
        <w:pStyle w:val="Voetnoottekst"/>
        <w:rPr>
          <w:lang w:val="fr-BE"/>
        </w:rPr>
      </w:pPr>
      <w:r>
        <w:rPr>
          <w:rStyle w:val="Voetnootmarkering"/>
        </w:rPr>
        <w:footnoteRef/>
      </w:r>
      <w:r w:rsidR="001C7002">
        <w:rPr>
          <w:lang w:val="fr-BE"/>
        </w:rPr>
        <w:t xml:space="preserve"> </w:t>
      </w:r>
      <w:r>
        <w:rPr>
          <w:lang w:val="fr-BE"/>
        </w:rPr>
        <w:t>INSPECTION G</w:t>
      </w:r>
      <w:r w:rsidR="00172699">
        <w:rPr>
          <w:lang w:val="fr-BE"/>
        </w:rPr>
        <w:t xml:space="preserve">ÉNÉRALE DE LA SÉCURITÉ SOCIALE, </w:t>
      </w:r>
      <w:r w:rsidR="00172699">
        <w:rPr>
          <w:i/>
          <w:iCs/>
          <w:lang w:val="fr-BE"/>
        </w:rPr>
        <w:t xml:space="preserve">La loi du 8 juin 1999 relative aux régimes complémentaires de pension, Bulletin Luxembourgeois des questions sociales </w:t>
      </w:r>
      <w:r w:rsidR="00172699">
        <w:rPr>
          <w:lang w:val="fr-BE"/>
        </w:rPr>
        <w:t>2002, vol. 12</w:t>
      </w:r>
      <w:r w:rsidR="00857F5D">
        <w:rPr>
          <w:lang w:val="fr-BE"/>
        </w:rPr>
        <w:t>,56</w:t>
      </w:r>
      <w:r w:rsidR="001C722D">
        <w:rPr>
          <w:lang w:val="fr-BE"/>
        </w:rPr>
        <w:t xml:space="preserve"> ; </w:t>
      </w:r>
      <w:r w:rsidR="001C722D" w:rsidRPr="001C722D">
        <w:rPr>
          <w:lang w:val="fr-BE"/>
        </w:rPr>
        <w:t xml:space="preserve">KNOOPS S., </w:t>
      </w:r>
      <w:r w:rsidR="001C722D" w:rsidRPr="001C722D">
        <w:rPr>
          <w:i/>
          <w:iCs/>
          <w:lang w:val="fr-BE"/>
        </w:rPr>
        <w:t xml:space="preserve">De </w:t>
      </w:r>
      <w:proofErr w:type="spellStart"/>
      <w:r w:rsidR="001C722D" w:rsidRPr="001C722D">
        <w:rPr>
          <w:i/>
          <w:iCs/>
          <w:lang w:val="fr-BE"/>
        </w:rPr>
        <w:t>toepassing</w:t>
      </w:r>
      <w:proofErr w:type="spellEnd"/>
      <w:r w:rsidR="001C722D" w:rsidRPr="001C722D">
        <w:rPr>
          <w:i/>
          <w:iCs/>
          <w:lang w:val="fr-BE"/>
        </w:rPr>
        <w:t xml:space="preserve"> en </w:t>
      </w:r>
      <w:proofErr w:type="spellStart"/>
      <w:r w:rsidR="001C722D" w:rsidRPr="001C722D">
        <w:rPr>
          <w:i/>
          <w:iCs/>
          <w:lang w:val="fr-BE"/>
        </w:rPr>
        <w:t>handhaving</w:t>
      </w:r>
      <w:proofErr w:type="spellEnd"/>
      <w:r w:rsidR="001C722D" w:rsidRPr="001C722D">
        <w:rPr>
          <w:i/>
          <w:iCs/>
          <w:lang w:val="fr-BE"/>
        </w:rPr>
        <w:t xml:space="preserve"> van het </w:t>
      </w:r>
      <w:proofErr w:type="spellStart"/>
      <w:r w:rsidR="001C722D" w:rsidRPr="001C722D">
        <w:rPr>
          <w:i/>
          <w:iCs/>
          <w:lang w:val="fr-BE"/>
        </w:rPr>
        <w:t>gelijkheidsbeginsel</w:t>
      </w:r>
      <w:proofErr w:type="spellEnd"/>
      <w:r w:rsidR="001C722D" w:rsidRPr="001C722D">
        <w:rPr>
          <w:i/>
          <w:iCs/>
          <w:lang w:val="fr-BE"/>
        </w:rPr>
        <w:t xml:space="preserve"> </w:t>
      </w:r>
      <w:proofErr w:type="spellStart"/>
      <w:r w:rsidR="001C722D" w:rsidRPr="001C722D">
        <w:rPr>
          <w:i/>
          <w:iCs/>
          <w:lang w:val="fr-BE"/>
        </w:rPr>
        <w:t>bij</w:t>
      </w:r>
      <w:proofErr w:type="spellEnd"/>
      <w:r w:rsidR="001C722D" w:rsidRPr="001C722D">
        <w:rPr>
          <w:i/>
          <w:iCs/>
          <w:lang w:val="fr-BE"/>
        </w:rPr>
        <w:t xml:space="preserve"> </w:t>
      </w:r>
      <w:proofErr w:type="spellStart"/>
      <w:r w:rsidR="001C722D" w:rsidRPr="001C722D">
        <w:rPr>
          <w:i/>
          <w:iCs/>
          <w:lang w:val="fr-BE"/>
        </w:rPr>
        <w:t>aanvullende</w:t>
      </w:r>
      <w:proofErr w:type="spellEnd"/>
      <w:r w:rsidR="001C722D" w:rsidRPr="001C722D">
        <w:rPr>
          <w:i/>
          <w:iCs/>
          <w:lang w:val="fr-BE"/>
        </w:rPr>
        <w:t xml:space="preserve"> </w:t>
      </w:r>
      <w:proofErr w:type="spellStart"/>
      <w:r w:rsidR="001C722D" w:rsidRPr="001C722D">
        <w:rPr>
          <w:i/>
          <w:iCs/>
          <w:lang w:val="fr-BE"/>
        </w:rPr>
        <w:t>pensioenen</w:t>
      </w:r>
      <w:proofErr w:type="spellEnd"/>
      <w:r w:rsidR="001C722D" w:rsidRPr="001C722D">
        <w:rPr>
          <w:i/>
          <w:iCs/>
          <w:lang w:val="fr-BE"/>
        </w:rPr>
        <w:t xml:space="preserve">, </w:t>
      </w:r>
      <w:proofErr w:type="spellStart"/>
      <w:r w:rsidR="001C722D" w:rsidRPr="001C722D">
        <w:rPr>
          <w:lang w:val="fr-BE"/>
        </w:rPr>
        <w:t>Intersentia</w:t>
      </w:r>
      <w:proofErr w:type="spellEnd"/>
      <w:r w:rsidR="001C722D" w:rsidRPr="001C722D">
        <w:rPr>
          <w:lang w:val="fr-BE"/>
        </w:rPr>
        <w:t>, 2024, 51</w:t>
      </w:r>
      <w:r w:rsidR="00CF2770">
        <w:rPr>
          <w:lang w:val="fr-BE"/>
        </w:rPr>
        <w:t>7.</w:t>
      </w:r>
    </w:p>
  </w:footnote>
  <w:footnote w:id="226">
    <w:p w14:paraId="2F309381" w14:textId="5036CABF" w:rsidR="007F764A" w:rsidRPr="007F764A" w:rsidRDefault="007F764A">
      <w:pPr>
        <w:pStyle w:val="Voetnoottekst"/>
        <w:rPr>
          <w:lang w:val="fr-BE"/>
        </w:rPr>
      </w:pPr>
      <w:r>
        <w:rPr>
          <w:rStyle w:val="Voetnootmarkering"/>
        </w:rPr>
        <w:footnoteRef/>
      </w:r>
      <w:r w:rsidR="001C7002">
        <w:rPr>
          <w:lang w:val="fr-BE"/>
        </w:rPr>
        <w:t xml:space="preserve"> </w:t>
      </w:r>
      <w:r w:rsidRPr="00942148">
        <w:rPr>
          <w:lang w:val="fr-BE"/>
        </w:rPr>
        <w:t>Projet de loi portant introdu</w:t>
      </w:r>
      <w:r>
        <w:rPr>
          <w:lang w:val="fr-BE"/>
        </w:rPr>
        <w:t xml:space="preserve">ction d’un statut unique pour les salariés du secteur privé, Chambre des Députés, Avis de la Chambre des métiers, </w:t>
      </w:r>
      <w:proofErr w:type="spellStart"/>
      <w:r>
        <w:rPr>
          <w:lang w:val="fr-BE"/>
        </w:rPr>
        <w:t>sess</w:t>
      </w:r>
      <w:proofErr w:type="spellEnd"/>
      <w:r>
        <w:rPr>
          <w:lang w:val="fr-BE"/>
        </w:rPr>
        <w:t>. ord. 2006-2007, n°5750/02, 12.</w:t>
      </w:r>
    </w:p>
  </w:footnote>
  <w:footnote w:id="227">
    <w:p w14:paraId="54FA1A03" w14:textId="0C583337" w:rsidR="00D71321" w:rsidRPr="00D71321" w:rsidRDefault="00D71321">
      <w:pPr>
        <w:pStyle w:val="Voetnoottekst"/>
        <w:rPr>
          <w:lang w:val="fr-BE"/>
        </w:rPr>
      </w:pPr>
      <w:r>
        <w:rPr>
          <w:rStyle w:val="Voetnootmarkering"/>
        </w:rPr>
        <w:footnoteRef/>
      </w:r>
      <w:r w:rsidR="00447152">
        <w:rPr>
          <w:lang w:val="fr-BE"/>
        </w:rPr>
        <w:t xml:space="preserve"> </w:t>
      </w:r>
      <w:r w:rsidRPr="00942148">
        <w:rPr>
          <w:lang w:val="fr-BE"/>
        </w:rPr>
        <w:t>Projet de loi portant introdu</w:t>
      </w:r>
      <w:r>
        <w:rPr>
          <w:lang w:val="fr-BE"/>
        </w:rPr>
        <w:t xml:space="preserve">ction d’un statut unique pour les salariés du secteur privé, Chambre des Députés, Avis de la Chambre des métiers, </w:t>
      </w:r>
      <w:proofErr w:type="spellStart"/>
      <w:r>
        <w:rPr>
          <w:lang w:val="fr-BE"/>
        </w:rPr>
        <w:t>sess</w:t>
      </w:r>
      <w:proofErr w:type="spellEnd"/>
      <w:r>
        <w:rPr>
          <w:lang w:val="fr-BE"/>
        </w:rPr>
        <w:t>. ord. 2006-2007, n°5750/02, 1</w:t>
      </w:r>
      <w:r w:rsidR="008E2ABA">
        <w:rPr>
          <w:lang w:val="fr-BE"/>
        </w:rPr>
        <w:t>2</w:t>
      </w:r>
      <w:r w:rsidR="00094EEC">
        <w:rPr>
          <w:lang w:val="fr-BE"/>
        </w:rPr>
        <w:t>.</w:t>
      </w:r>
    </w:p>
  </w:footnote>
  <w:footnote w:id="228">
    <w:p w14:paraId="3CD8005E" w14:textId="2EB18A24" w:rsidR="005927B0" w:rsidRPr="0058444E" w:rsidRDefault="005927B0">
      <w:pPr>
        <w:pStyle w:val="Voetnoottekst"/>
      </w:pPr>
      <w:r w:rsidRPr="0058444E">
        <w:rPr>
          <w:rStyle w:val="Voetnootmarkering"/>
        </w:rPr>
        <w:footnoteRef/>
      </w:r>
      <w:r w:rsidR="00447152">
        <w:t xml:space="preserve"> </w:t>
      </w:r>
      <w:r w:rsidRPr="0058444E">
        <w:t xml:space="preserve">KNOOPS S., </w:t>
      </w:r>
      <w:r w:rsidRPr="0058444E">
        <w:rPr>
          <w:i/>
          <w:iCs/>
        </w:rPr>
        <w:t>De toepassing en handhaving van het gelijkheidsbeginsel bij aanvullende pensioenen,</w:t>
      </w:r>
      <w:r w:rsidRPr="0058444E">
        <w:t xml:space="preserve"> </w:t>
      </w:r>
      <w:proofErr w:type="spellStart"/>
      <w:r w:rsidRPr="0058444E">
        <w:t>Intersentia</w:t>
      </w:r>
      <w:proofErr w:type="spellEnd"/>
      <w:r w:rsidRPr="0058444E">
        <w:t>, 2024, 519</w:t>
      </w:r>
      <w:r w:rsidR="00720129">
        <w:t>.</w:t>
      </w:r>
    </w:p>
  </w:footnote>
  <w:footnote w:id="229">
    <w:p w14:paraId="255C299E" w14:textId="6C0D53A7" w:rsidR="00023CDE" w:rsidRPr="00C34B3B" w:rsidRDefault="00023CDE">
      <w:pPr>
        <w:pStyle w:val="Voetnoottekst"/>
        <w:rPr>
          <w:lang w:val="fr-BE"/>
        </w:rPr>
      </w:pPr>
      <w:r>
        <w:rPr>
          <w:rStyle w:val="Voetnootmarkering"/>
        </w:rPr>
        <w:footnoteRef/>
      </w:r>
      <w:r w:rsidR="00447152">
        <w:rPr>
          <w:lang w:val="fr-BE"/>
        </w:rPr>
        <w:t xml:space="preserve"> </w:t>
      </w:r>
      <w:r w:rsidRPr="00C34B3B">
        <w:rPr>
          <w:lang w:val="fr-BE"/>
        </w:rPr>
        <w:t xml:space="preserve">VAN PEER M. en HÉLARD H., </w:t>
      </w:r>
      <w:r w:rsidR="00720129">
        <w:rPr>
          <w:lang w:val="fr-BE"/>
        </w:rPr>
        <w:t>‘</w:t>
      </w:r>
      <w:r w:rsidR="00C34B3B" w:rsidRPr="00C34B3B">
        <w:rPr>
          <w:lang w:val="fr-BE"/>
        </w:rPr>
        <w:t>Évolution</w:t>
      </w:r>
      <w:r w:rsidR="00C34B3B">
        <w:rPr>
          <w:lang w:val="fr-BE"/>
        </w:rPr>
        <w:t xml:space="preserve"> de design et du financement des régimes complémentaires de pension entre 1999 et 2009</w:t>
      </w:r>
      <w:r w:rsidR="00720129">
        <w:rPr>
          <w:lang w:val="fr-BE"/>
        </w:rPr>
        <w:t>’</w:t>
      </w:r>
      <w:r w:rsidR="00C34B3B">
        <w:rPr>
          <w:lang w:val="fr-BE"/>
        </w:rPr>
        <w:t xml:space="preserve"> in </w:t>
      </w:r>
      <w:r w:rsidR="00C34B3B">
        <w:rPr>
          <w:i/>
          <w:iCs/>
          <w:lang w:val="fr-BE"/>
        </w:rPr>
        <w:t>Régimes complémentaires de pension au Luxembourg – Bilan et perspectives dix ans après la loi-cadre,</w:t>
      </w:r>
      <w:r w:rsidR="008C079F">
        <w:rPr>
          <w:lang w:val="fr-BE"/>
        </w:rPr>
        <w:t xml:space="preserve"> </w:t>
      </w:r>
      <w:proofErr w:type="spellStart"/>
      <w:r w:rsidR="008C079F">
        <w:rPr>
          <w:lang w:val="fr-BE"/>
        </w:rPr>
        <w:t>Anthemis</w:t>
      </w:r>
      <w:proofErr w:type="spellEnd"/>
      <w:r w:rsidR="008C079F">
        <w:rPr>
          <w:lang w:val="fr-BE"/>
        </w:rPr>
        <w:t>, 2009, 160</w:t>
      </w:r>
      <w:r w:rsidR="00720129">
        <w:rPr>
          <w:lang w:val="fr-BE"/>
        </w:rPr>
        <w:t>.</w:t>
      </w:r>
    </w:p>
  </w:footnote>
  <w:footnote w:id="230">
    <w:p w14:paraId="4A1FDE01" w14:textId="5E1BF482" w:rsidR="00DE26EC" w:rsidRPr="0058444E" w:rsidRDefault="00DE26EC">
      <w:pPr>
        <w:pStyle w:val="Voetnoottekst"/>
      </w:pPr>
      <w:r w:rsidRPr="0058444E">
        <w:rPr>
          <w:rStyle w:val="Voetnootmarkering"/>
        </w:rPr>
        <w:footnoteRef/>
      </w:r>
      <w:r w:rsidR="006377D7">
        <w:t xml:space="preserve"> </w:t>
      </w:r>
      <w:r w:rsidRPr="0058444E">
        <w:t xml:space="preserve">KNOOPS S., </w:t>
      </w:r>
      <w:r w:rsidRPr="0058444E">
        <w:rPr>
          <w:i/>
          <w:iCs/>
        </w:rPr>
        <w:t xml:space="preserve">De toepassing en handhaving van het gelijkheidsbeginsel bij aanvullende pensioenen, </w:t>
      </w:r>
      <w:proofErr w:type="spellStart"/>
      <w:r w:rsidRPr="0058444E">
        <w:t>Intersentia</w:t>
      </w:r>
      <w:proofErr w:type="spellEnd"/>
      <w:r w:rsidRPr="0058444E">
        <w:t>, 2024, 520</w:t>
      </w:r>
      <w:r w:rsidR="00720129">
        <w:t>.</w:t>
      </w:r>
    </w:p>
  </w:footnote>
  <w:footnote w:id="231">
    <w:p w14:paraId="385E8315" w14:textId="24C219BA" w:rsidR="00832A37" w:rsidRPr="00D449EE" w:rsidRDefault="00832A37">
      <w:pPr>
        <w:pStyle w:val="Voetnoottekst"/>
      </w:pPr>
      <w:r w:rsidRPr="0058444E">
        <w:rPr>
          <w:rStyle w:val="Voetnootmarkering"/>
        </w:rPr>
        <w:footnoteRef/>
      </w:r>
      <w:r w:rsidR="000628A7">
        <w:t xml:space="preserve"> </w:t>
      </w:r>
      <w:r w:rsidRPr="0058444E">
        <w:t xml:space="preserve">Melbourne </w:t>
      </w:r>
      <w:proofErr w:type="spellStart"/>
      <w:r w:rsidRPr="0058444E">
        <w:t>Mercer</w:t>
      </w:r>
      <w:proofErr w:type="spellEnd"/>
      <w:r w:rsidRPr="0058444E">
        <w:t xml:space="preserve"> Global Pensions Index 2018; HEEMSKERK M., </w:t>
      </w:r>
      <w:r w:rsidRPr="0058444E">
        <w:rPr>
          <w:i/>
          <w:iCs/>
        </w:rPr>
        <w:t>Pensioenrecht,</w:t>
      </w:r>
      <w:r w:rsidRPr="0058444E">
        <w:t xml:space="preserve"> Boom Juridisch, 2019, 58;</w:t>
      </w:r>
      <w:r w:rsidR="000628A7">
        <w:t xml:space="preserve"> </w:t>
      </w:r>
      <w:r w:rsidR="00284BCA">
        <w:t>GOUDSWAARD K.P.,</w:t>
      </w:r>
      <w:r w:rsidR="006D1BC2">
        <w:t xml:space="preserve"> ‘Hoe ziet het Nederlandse pensioenstelsel er in de toekomst uit’, </w:t>
      </w:r>
      <w:r w:rsidR="006D1BC2">
        <w:rPr>
          <w:i/>
          <w:iCs/>
        </w:rPr>
        <w:t>Tijdschrift voor Openbare financiën</w:t>
      </w:r>
      <w:r w:rsidR="00D449EE">
        <w:t xml:space="preserve"> 2013, 45(2), 61-74</w:t>
      </w:r>
      <w:r w:rsidR="00482A89">
        <w:t>.</w:t>
      </w:r>
    </w:p>
  </w:footnote>
  <w:footnote w:id="232">
    <w:p w14:paraId="7FA0C4CF" w14:textId="4561C2DF" w:rsidR="00B45ADA" w:rsidRPr="00B45ADA" w:rsidRDefault="00B45ADA">
      <w:pPr>
        <w:pStyle w:val="Voetnoottekst"/>
      </w:pPr>
      <w:r>
        <w:rPr>
          <w:rStyle w:val="Voetnootmarkering"/>
        </w:rPr>
        <w:footnoteRef/>
      </w:r>
      <w:r w:rsidR="000628A7">
        <w:t xml:space="preserve"> </w:t>
      </w:r>
      <w:r>
        <w:t xml:space="preserve">Wet van den 13den juli 1907 betreffende de wet op de arbeidsovereenkomst, </w:t>
      </w:r>
      <w:r>
        <w:rPr>
          <w:i/>
          <w:iCs/>
        </w:rPr>
        <w:t xml:space="preserve">SB 193, </w:t>
      </w:r>
      <w:hyperlink r:id="rId8" w:anchor=":~:text=Wet%20van%20den%20131e11%20Juli,%3Ewerklieden%20en%20daarmede%20samenhangende%20artikelen" w:history="1">
        <w:r w:rsidR="00A804DD" w:rsidRPr="007A4B6A">
          <w:rPr>
            <w:rStyle w:val="Hyperlink"/>
            <w:iCs/>
          </w:rPr>
          <w:t>https://assets.budh.nl/tijdschriften/arbac/bles_1.pdf#:~:text=Wet%20van%20den%20131e11%20Juli,%3Ewerklieden%20en%20daarmede%20samenhangende%20artikelen</w:t>
        </w:r>
      </w:hyperlink>
      <w:r w:rsidR="00482A89">
        <w:rPr>
          <w:i/>
          <w:iCs/>
        </w:rPr>
        <w:t>.</w:t>
      </w:r>
    </w:p>
  </w:footnote>
  <w:footnote w:id="233">
    <w:p w14:paraId="3F3AE250" w14:textId="527DB7BB" w:rsidR="0065586A" w:rsidRPr="009B5DC3" w:rsidRDefault="0065586A" w:rsidP="0065586A">
      <w:pPr>
        <w:pStyle w:val="Voetnoottekst"/>
      </w:pPr>
      <w:r>
        <w:rPr>
          <w:rStyle w:val="Voetnootmarkering"/>
        </w:rPr>
        <w:footnoteRef/>
      </w:r>
      <w:r w:rsidR="000628A7">
        <w:t xml:space="preserve"> </w:t>
      </w:r>
      <w:r>
        <w:t xml:space="preserve">HEERMA VAN VOSS G. en BARENTSEN B., </w:t>
      </w:r>
      <w:r>
        <w:rPr>
          <w:i/>
          <w:iCs/>
        </w:rPr>
        <w:t>Inleiding Nederlands sociaal recht, 10</w:t>
      </w:r>
      <w:r w:rsidRPr="001C036B">
        <w:rPr>
          <w:i/>
          <w:iCs/>
          <w:vertAlign w:val="superscript"/>
        </w:rPr>
        <w:t>e</w:t>
      </w:r>
      <w:r>
        <w:rPr>
          <w:i/>
          <w:iCs/>
        </w:rPr>
        <w:t xml:space="preserve"> druk,</w:t>
      </w:r>
      <w:r>
        <w:t xml:space="preserve"> Boom Juridisch, 2015, 51</w:t>
      </w:r>
      <w:r w:rsidR="00DB29A3">
        <w:t xml:space="preserve">; </w:t>
      </w:r>
      <w:r w:rsidR="009B5DC3">
        <w:t xml:space="preserve">SCHUURMAN B., DOUMA S. en FREUDENTHAL R., </w:t>
      </w:r>
      <w:r w:rsidR="009B5DC3">
        <w:rPr>
          <w:i/>
          <w:iCs/>
        </w:rPr>
        <w:t xml:space="preserve">Pensioen in de loonsfeer, </w:t>
      </w:r>
      <w:r w:rsidR="00B56B14">
        <w:t>Wolters Kluwer, 2019, 2.</w:t>
      </w:r>
    </w:p>
  </w:footnote>
  <w:footnote w:id="234">
    <w:p w14:paraId="2F8BFE41" w14:textId="3BFE6F27" w:rsidR="00611B07" w:rsidRPr="0058444E" w:rsidRDefault="00611B07">
      <w:pPr>
        <w:pStyle w:val="Voetnoottekst"/>
      </w:pPr>
      <w:r w:rsidRPr="0058444E">
        <w:rPr>
          <w:rStyle w:val="Voetnootmarkering"/>
        </w:rPr>
        <w:footnoteRef/>
      </w:r>
      <w:r w:rsidR="000628A7">
        <w:t xml:space="preserve"> </w:t>
      </w:r>
      <w:r w:rsidRPr="0058444E">
        <w:t xml:space="preserve">HEEMSKERK M., </w:t>
      </w:r>
      <w:r w:rsidRPr="0058444E">
        <w:rPr>
          <w:i/>
          <w:iCs/>
        </w:rPr>
        <w:t>Pensioenrecht,</w:t>
      </w:r>
      <w:r w:rsidRPr="0058444E">
        <w:t xml:space="preserve"> Boom Juridisch, 2019, 58;</w:t>
      </w:r>
      <w:r w:rsidR="00343DB1" w:rsidRPr="00343DB1">
        <w:t xml:space="preserve"> </w:t>
      </w:r>
      <w:r w:rsidR="00343DB1">
        <w:t xml:space="preserve">HEERMA VAN VOSS G. en BARENTSEN B., </w:t>
      </w:r>
      <w:r w:rsidR="00343DB1">
        <w:rPr>
          <w:i/>
          <w:iCs/>
        </w:rPr>
        <w:t>Inleiding Nederlands sociaal recht, 10</w:t>
      </w:r>
      <w:r w:rsidR="00343DB1" w:rsidRPr="001C036B">
        <w:rPr>
          <w:i/>
          <w:iCs/>
          <w:vertAlign w:val="superscript"/>
        </w:rPr>
        <w:t>e</w:t>
      </w:r>
      <w:r w:rsidR="00343DB1">
        <w:rPr>
          <w:i/>
          <w:iCs/>
        </w:rPr>
        <w:t xml:space="preserve"> druk,</w:t>
      </w:r>
      <w:r w:rsidR="00343DB1">
        <w:t xml:space="preserve"> Boom Juridisch, 2015, 51</w:t>
      </w:r>
      <w:r w:rsidR="00981014">
        <w:t>.</w:t>
      </w:r>
    </w:p>
  </w:footnote>
  <w:footnote w:id="235">
    <w:p w14:paraId="5B8E0605" w14:textId="5356E89E" w:rsidR="00A804DD" w:rsidRPr="00A804DD" w:rsidRDefault="00A804DD">
      <w:pPr>
        <w:pStyle w:val="Voetnoottekst"/>
      </w:pPr>
      <w:r>
        <w:rPr>
          <w:rStyle w:val="Voetnootmarkering"/>
        </w:rPr>
        <w:footnoteRef/>
      </w:r>
      <w:r w:rsidR="000628A7">
        <w:t xml:space="preserve"> </w:t>
      </w:r>
      <w:r>
        <w:t xml:space="preserve">KWEKEL P.J., </w:t>
      </w:r>
      <w:r w:rsidR="00981014">
        <w:t>‘</w:t>
      </w:r>
      <w:r>
        <w:t>De drie pijlers van de oudedagsvoorziening volop in beweging</w:t>
      </w:r>
      <w:r w:rsidR="00981014">
        <w:t>’</w:t>
      </w:r>
      <w:r>
        <w:t xml:space="preserve">, </w:t>
      </w:r>
      <w:r>
        <w:rPr>
          <w:i/>
          <w:iCs/>
        </w:rPr>
        <w:t xml:space="preserve">Fiscaal tijdschrift vermogen </w:t>
      </w:r>
      <w:r>
        <w:t>2013/2, 1</w:t>
      </w:r>
      <w:r w:rsidR="00981014">
        <w:t>.</w:t>
      </w:r>
    </w:p>
  </w:footnote>
  <w:footnote w:id="236">
    <w:p w14:paraId="21DED91A" w14:textId="5D4F8A57" w:rsidR="00D2549B" w:rsidRPr="001A185D" w:rsidRDefault="00D2549B">
      <w:pPr>
        <w:pStyle w:val="Voetnoottekst"/>
      </w:pPr>
      <w:r w:rsidRPr="0058444E">
        <w:rPr>
          <w:rStyle w:val="Voetnootmarkering"/>
        </w:rPr>
        <w:footnoteRef/>
      </w:r>
      <w:r w:rsidR="00FC4135">
        <w:t xml:space="preserve"> </w:t>
      </w:r>
      <w:r w:rsidRPr="0058444E">
        <w:t xml:space="preserve">HEEMSKERK M., </w:t>
      </w:r>
      <w:r w:rsidRPr="0058444E">
        <w:rPr>
          <w:i/>
          <w:iCs/>
        </w:rPr>
        <w:t>Pensioenrecht,</w:t>
      </w:r>
      <w:r w:rsidRPr="0058444E">
        <w:t xml:space="preserve"> Boom Juridisch, 2019, 65;</w:t>
      </w:r>
      <w:r w:rsidR="00644DF4">
        <w:t xml:space="preserve"> VAN AGGELEN E.S., </w:t>
      </w:r>
      <w:r w:rsidR="00644DF4">
        <w:rPr>
          <w:i/>
          <w:iCs/>
        </w:rPr>
        <w:t>Het personeel toepassingsgebied van aanvullende pensioenregelingen voor werknemers</w:t>
      </w:r>
      <w:r w:rsidR="001A185D">
        <w:rPr>
          <w:i/>
          <w:iCs/>
        </w:rPr>
        <w:t xml:space="preserve">, </w:t>
      </w:r>
      <w:r w:rsidR="001A185D">
        <w:t xml:space="preserve">Doctoraatsthesis, </w:t>
      </w:r>
      <w:r w:rsidR="00357E8C">
        <w:t>d</w:t>
      </w:r>
      <w:r w:rsidR="001A185D">
        <w:t xml:space="preserve">ie </w:t>
      </w:r>
      <w:proofErr w:type="spellStart"/>
      <w:r w:rsidR="001A185D">
        <w:t>Keure</w:t>
      </w:r>
      <w:proofErr w:type="spellEnd"/>
      <w:r w:rsidR="001A185D">
        <w:t>, 2022, 25</w:t>
      </w:r>
      <w:r w:rsidR="00C607FD">
        <w:t>.</w:t>
      </w:r>
    </w:p>
  </w:footnote>
  <w:footnote w:id="237">
    <w:p w14:paraId="5F062DDE" w14:textId="4CD1699D" w:rsidR="00A804DD" w:rsidRPr="0058444E" w:rsidRDefault="00A804DD" w:rsidP="00A804DD">
      <w:pPr>
        <w:pStyle w:val="Voetnoottekst"/>
      </w:pPr>
      <w:r w:rsidRPr="0058444E">
        <w:rPr>
          <w:rStyle w:val="Voetnootmarkering"/>
        </w:rPr>
        <w:footnoteRef/>
      </w:r>
      <w:r w:rsidR="00FC4135">
        <w:t xml:space="preserve"> </w:t>
      </w:r>
      <w:r w:rsidR="00FD0C44" w:rsidRPr="00FD0C44">
        <w:t xml:space="preserve">SOCIAAL-ECONOMISCHE RAAD, </w:t>
      </w:r>
      <w:r w:rsidR="00FD0C44" w:rsidRPr="00FD0C44">
        <w:rPr>
          <w:i/>
          <w:iCs/>
        </w:rPr>
        <w:t>Advies Toekomst pensioenstelsel</w:t>
      </w:r>
      <w:r w:rsidR="00FD0C44" w:rsidRPr="00FD0C44">
        <w:t xml:space="preserve">, 2015, nr. 15/01, </w:t>
      </w:r>
      <w:hyperlink r:id="rId9" w:history="1">
        <w:r w:rsidR="00FD0C44" w:rsidRPr="00FD0C44">
          <w:rPr>
            <w:rStyle w:val="Hyperlink"/>
          </w:rPr>
          <w:t>https://www.ser.nl/nl/publicaties/adviezen/2010-2019/2015/toekomst-pensioenstelsel</w:t>
        </w:r>
      </w:hyperlink>
      <w:r w:rsidR="000D770C">
        <w:t xml:space="preserve"> (geraadpleegd op 24 april 2026); </w:t>
      </w:r>
      <w:r w:rsidR="000C321D" w:rsidRPr="000C321D">
        <w:t xml:space="preserve">INFORMATEUR, </w:t>
      </w:r>
      <w:r w:rsidR="000C321D" w:rsidRPr="000C321D">
        <w:rPr>
          <w:i/>
          <w:iCs/>
        </w:rPr>
        <w:t>Vertrouwen in de toekomst: regeerakkoord 2017-2021 VVD, CDA, D66 en ChristenUnie</w:t>
      </w:r>
      <w:r w:rsidR="000C321D" w:rsidRPr="000C321D">
        <w:t xml:space="preserve">, 10 oktober 2017, </w:t>
      </w:r>
      <w:hyperlink r:id="rId10" w:history="1">
        <w:r w:rsidR="000C321D" w:rsidRPr="000C321D">
          <w:rPr>
            <w:rStyle w:val="Hyperlink"/>
          </w:rPr>
          <w:t>https://www.kabinetsformatie2017.nl/documenten/publicaties/2017/10/10/regeerakkoord</w:t>
        </w:r>
      </w:hyperlink>
      <w:r w:rsidR="000C321D" w:rsidRPr="000C321D">
        <w:t xml:space="preserve"> (geraadpleegd op </w:t>
      </w:r>
      <w:r w:rsidR="000C321D">
        <w:t>24 april 2026).</w:t>
      </w:r>
    </w:p>
  </w:footnote>
  <w:footnote w:id="238">
    <w:p w14:paraId="0B1A95B0" w14:textId="45C02C6E" w:rsidR="00A804DD" w:rsidRPr="0058444E" w:rsidRDefault="00A804DD" w:rsidP="00A804DD">
      <w:pPr>
        <w:pStyle w:val="Voetnoottekst"/>
      </w:pPr>
      <w:r w:rsidRPr="0058444E">
        <w:rPr>
          <w:rStyle w:val="Voetnootmarkering"/>
        </w:rPr>
        <w:footnoteRef/>
      </w:r>
      <w:r w:rsidR="00FC4135">
        <w:t xml:space="preserve"> </w:t>
      </w:r>
      <w:r w:rsidRPr="0058444E">
        <w:t xml:space="preserve">HEEMSKERK M., </w:t>
      </w:r>
      <w:r w:rsidRPr="0058444E">
        <w:rPr>
          <w:i/>
          <w:iCs/>
        </w:rPr>
        <w:t>Pensioenrecht,</w:t>
      </w:r>
      <w:r w:rsidRPr="0058444E">
        <w:t xml:space="preserve"> Boom Juridisch, 2019, 59</w:t>
      </w:r>
      <w:r w:rsidR="007E356F">
        <w:t>.</w:t>
      </w:r>
    </w:p>
  </w:footnote>
  <w:footnote w:id="239">
    <w:p w14:paraId="0001DB4C" w14:textId="787562CE" w:rsidR="00834B5D" w:rsidRPr="00234CFA" w:rsidRDefault="00834B5D">
      <w:pPr>
        <w:pStyle w:val="Voetnoottekst"/>
        <w:rPr>
          <w:lang w:val="en-GB"/>
        </w:rPr>
      </w:pPr>
      <w:r>
        <w:rPr>
          <w:rStyle w:val="Voetnootmarkering"/>
        </w:rPr>
        <w:footnoteRef/>
      </w:r>
      <w:r w:rsidR="00FC4135">
        <w:t xml:space="preserve"> </w:t>
      </w:r>
      <w:r w:rsidR="000B63C6" w:rsidRPr="000B63C6">
        <w:t xml:space="preserve">Wet van 3 juni 2023 toekomst pensioenen, </w:t>
      </w:r>
      <w:r w:rsidR="000B63C6" w:rsidRPr="000B63C6">
        <w:rPr>
          <w:i/>
          <w:iCs/>
        </w:rPr>
        <w:t>Stb.</w:t>
      </w:r>
      <w:r w:rsidR="000B63C6" w:rsidRPr="000B63C6">
        <w:t xml:space="preserve"> 2023, 216; inwerkingtreding bij Besluit van 22 juni 2023, </w:t>
      </w:r>
      <w:r w:rsidR="000B63C6" w:rsidRPr="000B63C6">
        <w:rPr>
          <w:i/>
          <w:iCs/>
        </w:rPr>
        <w:t>Stb.</w:t>
      </w:r>
      <w:r w:rsidR="000B63C6" w:rsidRPr="000B63C6">
        <w:t xml:space="preserve"> 2023, 218</w:t>
      </w:r>
      <w:r w:rsidR="00F85031" w:rsidRPr="000B63C6">
        <w:t xml:space="preserve">; LUTJENS E., </w:t>
      </w:r>
      <w:r w:rsidR="007E356F" w:rsidRPr="000B63C6">
        <w:t>‘</w:t>
      </w:r>
      <w:r w:rsidR="00F85031" w:rsidRPr="000B63C6">
        <w:t>Wet toekomst pensioenen</w:t>
      </w:r>
      <w:r w:rsidR="007E356F" w:rsidRPr="000B63C6">
        <w:t>’</w:t>
      </w:r>
      <w:r w:rsidR="00F85031" w:rsidRPr="000B63C6">
        <w:t xml:space="preserve">, </w:t>
      </w:r>
      <w:r w:rsidR="00F85031" w:rsidRPr="000B63C6">
        <w:rPr>
          <w:i/>
          <w:iCs/>
        </w:rPr>
        <w:t xml:space="preserve">NJB </w:t>
      </w:r>
      <w:r w:rsidR="00F85031" w:rsidRPr="000B63C6">
        <w:t xml:space="preserve">2023/2544, 2023, 1; </w:t>
      </w:r>
      <w:r w:rsidR="000C6904" w:rsidRPr="00B8734D">
        <w:t>DE DEKEN J.,</w:t>
      </w:r>
      <w:r w:rsidR="00234CFA" w:rsidRPr="00B8734D">
        <w:t xml:space="preserve"> “The Netherlands – The </w:t>
      </w:r>
      <w:proofErr w:type="spellStart"/>
      <w:r w:rsidR="00234CFA" w:rsidRPr="00B8734D">
        <w:t>Challenges</w:t>
      </w:r>
      <w:proofErr w:type="spellEnd"/>
      <w:r w:rsidR="00234CFA" w:rsidRPr="00B8734D">
        <w:t xml:space="preserve"> </w:t>
      </w:r>
      <w:proofErr w:type="spellStart"/>
      <w:r w:rsidR="00234CFA" w:rsidRPr="00B8734D">
        <w:t>Posed</w:t>
      </w:r>
      <w:proofErr w:type="spellEnd"/>
      <w:r w:rsidR="00234CFA" w:rsidRPr="00B8734D">
        <w:t xml:space="preserve"> </w:t>
      </w:r>
      <w:proofErr w:type="spellStart"/>
      <w:r w:rsidR="00234CFA" w:rsidRPr="00B8734D">
        <w:t>by</w:t>
      </w:r>
      <w:proofErr w:type="spellEnd"/>
      <w:r w:rsidR="00234CFA" w:rsidRPr="00B8734D">
        <w:t xml:space="preserve"> </w:t>
      </w:r>
      <w:proofErr w:type="spellStart"/>
      <w:r w:rsidR="00234CFA" w:rsidRPr="00B8734D">
        <w:t>the</w:t>
      </w:r>
      <w:proofErr w:type="spellEnd"/>
      <w:r w:rsidR="00234CFA" w:rsidRPr="00B8734D">
        <w:t xml:space="preserve"> </w:t>
      </w:r>
      <w:proofErr w:type="spellStart"/>
      <w:r w:rsidR="00234CFA" w:rsidRPr="00B8734D">
        <w:t>Unintented</w:t>
      </w:r>
      <w:proofErr w:type="spellEnd"/>
      <w:r w:rsidR="00234CFA" w:rsidRPr="00B8734D">
        <w:t xml:space="preserve"> Universal </w:t>
      </w:r>
      <w:proofErr w:type="spellStart"/>
      <w:r w:rsidR="00234CFA" w:rsidRPr="00B8734D">
        <w:t>Financialization</w:t>
      </w:r>
      <w:proofErr w:type="spellEnd"/>
      <w:r w:rsidR="00234CFA" w:rsidRPr="00B8734D">
        <w:t xml:space="preserve"> of </w:t>
      </w:r>
      <w:proofErr w:type="spellStart"/>
      <w:r w:rsidR="00234CFA" w:rsidRPr="00B8734D">
        <w:t>Retirement</w:t>
      </w:r>
      <w:proofErr w:type="spellEnd"/>
      <w:r w:rsidR="00234CFA" w:rsidRPr="00B8734D">
        <w:t xml:space="preserve"> </w:t>
      </w:r>
      <w:proofErr w:type="spellStart"/>
      <w:r w:rsidR="00234CFA" w:rsidRPr="00B8734D">
        <w:t>Provision</w:t>
      </w:r>
      <w:proofErr w:type="spellEnd"/>
      <w:r w:rsidR="00234CFA" w:rsidRPr="00B8734D">
        <w:t xml:space="preserve">” in NATALI D. (ed.), </w:t>
      </w:r>
      <w:r w:rsidR="00234CFA" w:rsidRPr="00B8734D">
        <w:rPr>
          <w:i/>
          <w:iCs/>
        </w:rPr>
        <w:t xml:space="preserve">The New Pension Mix in Europe. </w:t>
      </w:r>
      <w:r w:rsidR="00234CFA" w:rsidRPr="00B8734D">
        <w:rPr>
          <w:i/>
          <w:iCs/>
          <w:lang w:val="en-GB"/>
        </w:rPr>
        <w:t xml:space="preserve">Recent </w:t>
      </w:r>
      <w:proofErr w:type="spellStart"/>
      <w:r w:rsidR="00234CFA" w:rsidRPr="00B8734D">
        <w:rPr>
          <w:i/>
          <w:iCs/>
          <w:lang w:val="en-GB"/>
        </w:rPr>
        <w:t>Rzforms</w:t>
      </w:r>
      <w:proofErr w:type="spellEnd"/>
      <w:r w:rsidR="00234CFA" w:rsidRPr="00B8734D">
        <w:rPr>
          <w:i/>
          <w:iCs/>
          <w:lang w:val="en-GB"/>
        </w:rPr>
        <w:t>, Their distributional Effects and Political Dynamics,</w:t>
      </w:r>
      <w:r w:rsidR="00234CFA" w:rsidRPr="00B8734D">
        <w:rPr>
          <w:lang w:val="en-GB"/>
        </w:rPr>
        <w:t xml:space="preserve"> Peter Lan</w:t>
      </w:r>
      <w:r w:rsidR="00B8734D" w:rsidRPr="00B8734D">
        <w:rPr>
          <w:lang w:val="en-GB"/>
        </w:rPr>
        <w:t>g</w:t>
      </w:r>
      <w:r w:rsidR="00234CFA" w:rsidRPr="00B8734D">
        <w:rPr>
          <w:lang w:val="en-GB"/>
        </w:rPr>
        <w:t>, 2017, 162</w:t>
      </w:r>
      <w:r w:rsidR="00B8734D" w:rsidRPr="00B8734D">
        <w:rPr>
          <w:lang w:val="en-GB"/>
        </w:rPr>
        <w:t>.</w:t>
      </w:r>
    </w:p>
  </w:footnote>
  <w:footnote w:id="240">
    <w:p w14:paraId="214BB3D3" w14:textId="4A5C79CA" w:rsidR="00575B91" w:rsidRPr="00BC1EDA" w:rsidRDefault="00575B91">
      <w:pPr>
        <w:pStyle w:val="Voetnoottekst"/>
      </w:pPr>
      <w:r>
        <w:rPr>
          <w:rStyle w:val="Voetnootmarkering"/>
        </w:rPr>
        <w:footnoteRef/>
      </w:r>
      <w:bookmarkStart w:id="95" w:name="_Hlk227759958"/>
      <w:r w:rsidR="00FC4135">
        <w:t xml:space="preserve"> </w:t>
      </w:r>
      <w:r w:rsidR="00DA29BF" w:rsidRPr="00A86A95">
        <w:t xml:space="preserve">VAN EWIJK C., </w:t>
      </w:r>
      <w:r w:rsidR="00DA29BF" w:rsidRPr="00A86A95">
        <w:rPr>
          <w:i/>
          <w:iCs/>
        </w:rPr>
        <w:t xml:space="preserve">Compensatie afschaffing doorsneesystematiek en evenwichtige transitie: </w:t>
      </w:r>
      <w:proofErr w:type="spellStart"/>
      <w:r w:rsidR="00DA29BF" w:rsidRPr="00A86A95">
        <w:rPr>
          <w:i/>
          <w:iCs/>
        </w:rPr>
        <w:t>Netspar</w:t>
      </w:r>
      <w:proofErr w:type="spellEnd"/>
      <w:r w:rsidR="00DA29BF" w:rsidRPr="00A86A95">
        <w:rPr>
          <w:i/>
          <w:iCs/>
        </w:rPr>
        <w:t xml:space="preserve"> Board Brief 03/20</w:t>
      </w:r>
      <w:r w:rsidR="00BC1EDA" w:rsidRPr="00A86A95">
        <w:rPr>
          <w:i/>
          <w:iCs/>
        </w:rPr>
        <w:t xml:space="preserve">23, </w:t>
      </w:r>
      <w:proofErr w:type="spellStart"/>
      <w:r w:rsidR="00BC1EDA" w:rsidRPr="00A86A95">
        <w:t>Netspar</w:t>
      </w:r>
      <w:proofErr w:type="spellEnd"/>
      <w:r w:rsidR="00BC1EDA" w:rsidRPr="00A86A95">
        <w:t>, 2023, 5</w:t>
      </w:r>
      <w:bookmarkEnd w:id="95"/>
      <w:r w:rsidR="00A86A95">
        <w:t>.</w:t>
      </w:r>
    </w:p>
  </w:footnote>
  <w:footnote w:id="241">
    <w:p w14:paraId="685AD562" w14:textId="530AF4B7" w:rsidR="006C5FF3" w:rsidRPr="009D0F72" w:rsidRDefault="006C5FF3">
      <w:pPr>
        <w:pStyle w:val="Voetnoottekst"/>
      </w:pPr>
      <w:r w:rsidRPr="0058444E">
        <w:rPr>
          <w:rStyle w:val="Voetnootmarkering"/>
        </w:rPr>
        <w:footnoteRef/>
      </w:r>
      <w:r w:rsidR="00FC4135">
        <w:t xml:space="preserve"> </w:t>
      </w:r>
      <w:r w:rsidRPr="0058444E">
        <w:t xml:space="preserve">JACOBS A., </w:t>
      </w:r>
      <w:r w:rsidRPr="0058444E">
        <w:rPr>
          <w:i/>
          <w:iCs/>
        </w:rPr>
        <w:t xml:space="preserve">Pensioenrecht, </w:t>
      </w:r>
      <w:r w:rsidRPr="0058444E">
        <w:t>Kluwer, 2017, 44;</w:t>
      </w:r>
      <w:bookmarkStart w:id="97" w:name="_Hlk228265884"/>
      <w:r w:rsidRPr="00C4593D">
        <w:t xml:space="preserve"> </w:t>
      </w:r>
      <w:bookmarkStart w:id="98" w:name="_Hlk227752188"/>
      <w:r w:rsidR="0020784F" w:rsidRPr="00C4593D">
        <w:t xml:space="preserve">JANSEN C.J.H., “Hoofdstuk </w:t>
      </w:r>
      <w:r w:rsidR="009D0F72" w:rsidRPr="00C4593D">
        <w:t>2: Over de opkomst van pensioenen in Nederland” in MAATMAN R.H., BAUER R.M.M.J, BUSCH D. en VERBURG L.G. (</w:t>
      </w:r>
      <w:proofErr w:type="spellStart"/>
      <w:r w:rsidR="009D0F72" w:rsidRPr="00C4593D">
        <w:t>eds</w:t>
      </w:r>
      <w:proofErr w:type="spellEnd"/>
      <w:r w:rsidR="009D0F72" w:rsidRPr="00C4593D">
        <w:t xml:space="preserve">.), </w:t>
      </w:r>
      <w:r w:rsidR="009D0F72" w:rsidRPr="00C4593D">
        <w:rPr>
          <w:i/>
          <w:iCs/>
        </w:rPr>
        <w:t>Onderneming en pensioen,</w:t>
      </w:r>
      <w:r w:rsidR="009D0F72" w:rsidRPr="00C4593D">
        <w:t xml:space="preserve"> Kluw</w:t>
      </w:r>
      <w:r w:rsidR="00475322" w:rsidRPr="00C4593D">
        <w:t>er, 2011, 17</w:t>
      </w:r>
      <w:bookmarkEnd w:id="98"/>
      <w:r w:rsidR="00C4593D" w:rsidRPr="00C4593D">
        <w:t>.</w:t>
      </w:r>
      <w:bookmarkEnd w:id="97"/>
    </w:p>
  </w:footnote>
  <w:footnote w:id="242">
    <w:p w14:paraId="639B047D" w14:textId="68D0D96A" w:rsidR="0070633A" w:rsidRPr="0058444E" w:rsidRDefault="0070633A">
      <w:pPr>
        <w:pStyle w:val="Voetnoottekst"/>
      </w:pPr>
      <w:r w:rsidRPr="0058444E">
        <w:rPr>
          <w:rStyle w:val="Voetnootmarkering"/>
        </w:rPr>
        <w:footnoteRef/>
      </w:r>
      <w:r w:rsidR="006E512D">
        <w:t xml:space="preserve"> </w:t>
      </w:r>
      <w:r w:rsidRPr="0058444E">
        <w:t xml:space="preserve">THIERRY H., </w:t>
      </w:r>
      <w:r w:rsidRPr="0058444E">
        <w:rPr>
          <w:i/>
          <w:iCs/>
        </w:rPr>
        <w:t>Pensioen- en spaarfondsen,</w:t>
      </w:r>
      <w:r w:rsidRPr="0058444E">
        <w:t xml:space="preserve"> </w:t>
      </w:r>
      <w:r w:rsidR="006B1E27">
        <w:t xml:space="preserve">Alphen aan </w:t>
      </w:r>
      <w:r w:rsidR="009E53C6">
        <w:t xml:space="preserve">Den Rijn, </w:t>
      </w:r>
      <w:r w:rsidRPr="0058444E">
        <w:t xml:space="preserve">1950, 177; OFFERHAUS E.J., </w:t>
      </w:r>
      <w:r w:rsidRPr="0058444E">
        <w:rPr>
          <w:i/>
          <w:iCs/>
        </w:rPr>
        <w:t>Bedrijfspensioenfondsen</w:t>
      </w:r>
      <w:r w:rsidR="00BD2BB0">
        <w:rPr>
          <w:i/>
          <w:iCs/>
        </w:rPr>
        <w:t xml:space="preserve"> </w:t>
      </w:r>
      <w:r w:rsidR="00BD2BB0">
        <w:t xml:space="preserve">Van Veen </w:t>
      </w:r>
      <w:r w:rsidR="00762C2E">
        <w:t>&amp; Scheffers</w:t>
      </w:r>
      <w:r w:rsidRPr="0058444E">
        <w:t>, 1953</w:t>
      </w:r>
      <w:r w:rsidR="00047549">
        <w:t>.</w:t>
      </w:r>
    </w:p>
  </w:footnote>
  <w:footnote w:id="243">
    <w:p w14:paraId="551C7021" w14:textId="4FF29EEB" w:rsidR="00E118E1" w:rsidRPr="0058444E" w:rsidRDefault="00E118E1">
      <w:pPr>
        <w:pStyle w:val="Voetnoottekst"/>
      </w:pPr>
      <w:r w:rsidRPr="0058444E">
        <w:rPr>
          <w:rStyle w:val="Voetnootmarkering"/>
        </w:rPr>
        <w:footnoteRef/>
      </w:r>
      <w:r w:rsidR="00E5691F">
        <w:t xml:space="preserve"> </w:t>
      </w:r>
      <w:r w:rsidRPr="0058444E">
        <w:t xml:space="preserve">JACOBS A., </w:t>
      </w:r>
      <w:r w:rsidRPr="0058444E">
        <w:rPr>
          <w:i/>
          <w:iCs/>
        </w:rPr>
        <w:t xml:space="preserve">Pensioenrecht, </w:t>
      </w:r>
      <w:r w:rsidRPr="0058444E">
        <w:t>Kluwer, 2017, 35</w:t>
      </w:r>
      <w:r w:rsidR="000727C0">
        <w:t>.</w:t>
      </w:r>
    </w:p>
  </w:footnote>
  <w:footnote w:id="244">
    <w:p w14:paraId="3F90451C" w14:textId="29C7903D" w:rsidR="0068573E" w:rsidRPr="0058444E" w:rsidRDefault="0068573E">
      <w:pPr>
        <w:pStyle w:val="Voetnoottekst"/>
      </w:pPr>
      <w:r w:rsidRPr="0058444E">
        <w:rPr>
          <w:rStyle w:val="Voetnootmarkering"/>
        </w:rPr>
        <w:footnoteRef/>
      </w:r>
      <w:r w:rsidR="00E5691F">
        <w:t xml:space="preserve"> </w:t>
      </w:r>
      <w:r w:rsidRPr="0058444E">
        <w:t xml:space="preserve">JACOBS A., </w:t>
      </w:r>
      <w:r w:rsidRPr="0058444E">
        <w:rPr>
          <w:i/>
          <w:iCs/>
        </w:rPr>
        <w:t xml:space="preserve">Pensioenrecht, </w:t>
      </w:r>
      <w:r w:rsidRPr="0058444E">
        <w:t>2017, 37</w:t>
      </w:r>
      <w:r w:rsidR="008A38D6">
        <w:t xml:space="preserve">; SCHUURMAN B., DOUMA S. en FREUDENTHAL R., </w:t>
      </w:r>
      <w:r w:rsidR="008A38D6">
        <w:rPr>
          <w:i/>
          <w:iCs/>
        </w:rPr>
        <w:t xml:space="preserve">Pensioen in de loonsfeer, </w:t>
      </w:r>
      <w:r w:rsidR="008A38D6">
        <w:t xml:space="preserve">Wolters Kluwer, 2019, 3. </w:t>
      </w:r>
    </w:p>
  </w:footnote>
  <w:footnote w:id="245">
    <w:p w14:paraId="34A1C9BF" w14:textId="13476362" w:rsidR="002658E2" w:rsidRDefault="002658E2">
      <w:pPr>
        <w:pStyle w:val="Voetnoottekst"/>
      </w:pPr>
      <w:r>
        <w:rPr>
          <w:rStyle w:val="Voetnootmarkering"/>
        </w:rPr>
        <w:footnoteRef/>
      </w:r>
      <w:r w:rsidR="00E5691F">
        <w:t xml:space="preserve"> </w:t>
      </w:r>
      <w:r w:rsidR="006620A1">
        <w:t xml:space="preserve">GOUDSWAARD K.P., ‘Hoe ziet het Nederlandse pensioenstelsel er in de toekomst uit’, </w:t>
      </w:r>
      <w:r w:rsidR="006620A1">
        <w:rPr>
          <w:i/>
          <w:iCs/>
        </w:rPr>
        <w:t>Tijdschrift voor Openbare financiën</w:t>
      </w:r>
      <w:r w:rsidR="006620A1">
        <w:t xml:space="preserve"> 2013, 45(2), 61-74; SCHUURMAN B., DOUMA S. en FREUDENTHAL R., </w:t>
      </w:r>
      <w:r w:rsidR="006620A1">
        <w:rPr>
          <w:i/>
          <w:iCs/>
        </w:rPr>
        <w:t xml:space="preserve">Pensioen in de loonsfeer, </w:t>
      </w:r>
      <w:r w:rsidR="006620A1">
        <w:t xml:space="preserve">Wolters Kluwer, 2019, 11; </w:t>
      </w:r>
      <w:r w:rsidR="00597BE3">
        <w:t xml:space="preserve">KWEKEL P.J., “De drie pijlers van de oudedagsvoorziening volop in beweging”, </w:t>
      </w:r>
      <w:r w:rsidR="00597BE3">
        <w:rPr>
          <w:i/>
          <w:iCs/>
        </w:rPr>
        <w:t xml:space="preserve">Fiscaal tijdschrift vermogen </w:t>
      </w:r>
      <w:r w:rsidR="00597BE3">
        <w:t>2013/2, 5;</w:t>
      </w:r>
      <w:r w:rsidR="00232C95" w:rsidRPr="00232C95">
        <w:t xml:space="preserve"> </w:t>
      </w:r>
    </w:p>
  </w:footnote>
  <w:footnote w:id="246">
    <w:p w14:paraId="7A3E44EB" w14:textId="34BC5908" w:rsidR="00FC4879" w:rsidRDefault="00FC4879">
      <w:pPr>
        <w:pStyle w:val="Voetnoottekst"/>
      </w:pPr>
      <w:r>
        <w:rPr>
          <w:rStyle w:val="Voetnootmarkering"/>
        </w:rPr>
        <w:footnoteRef/>
      </w:r>
      <w:r w:rsidR="00E5691F">
        <w:t xml:space="preserve"> </w:t>
      </w:r>
      <w:r>
        <w:t xml:space="preserve">HEERMA VAN VOSS G. en BARENTSEN B., </w:t>
      </w:r>
      <w:r>
        <w:rPr>
          <w:i/>
          <w:iCs/>
        </w:rPr>
        <w:t>Inleiding Nederlands sociaal recht, 10</w:t>
      </w:r>
      <w:r w:rsidRPr="001C036B">
        <w:rPr>
          <w:i/>
          <w:iCs/>
          <w:vertAlign w:val="superscript"/>
        </w:rPr>
        <w:t>e</w:t>
      </w:r>
      <w:r>
        <w:rPr>
          <w:i/>
          <w:iCs/>
        </w:rPr>
        <w:t xml:space="preserve"> druk,</w:t>
      </w:r>
      <w:r>
        <w:t xml:space="preserve"> Boom Juridisch, 2015, 51</w:t>
      </w:r>
      <w:r w:rsidR="000727C0">
        <w:t>.</w:t>
      </w:r>
    </w:p>
  </w:footnote>
  <w:footnote w:id="247">
    <w:p w14:paraId="6E74CAAA" w14:textId="38B044C0" w:rsidR="007E2603" w:rsidRPr="0058444E" w:rsidRDefault="007E2603">
      <w:pPr>
        <w:pStyle w:val="Voetnoottekst"/>
      </w:pPr>
      <w:r w:rsidRPr="0058444E">
        <w:rPr>
          <w:rStyle w:val="Voetnootmarkering"/>
        </w:rPr>
        <w:footnoteRef/>
      </w:r>
      <w:r w:rsidR="00E5691F">
        <w:t xml:space="preserve"> </w:t>
      </w:r>
      <w:r w:rsidR="00461279">
        <w:t xml:space="preserve">GIESELINK G., PEETERS H., VAN GESTEL V., BERGHMAN J. en </w:t>
      </w:r>
      <w:r w:rsidR="0021446C">
        <w:t xml:space="preserve">VAN BUGGENHOUT B., </w:t>
      </w:r>
      <w:r w:rsidR="0021446C">
        <w:rPr>
          <w:i/>
          <w:iCs/>
        </w:rPr>
        <w:t xml:space="preserve">Onzichtbare pensioenen in België. Een onderzoek naar de aard, de omvang en de verdeling van de tweede en derde pensioenpijler, </w:t>
      </w:r>
      <w:proofErr w:type="spellStart"/>
      <w:r w:rsidR="0021446C">
        <w:t>Academia</w:t>
      </w:r>
      <w:proofErr w:type="spellEnd"/>
      <w:r w:rsidR="0021446C">
        <w:t xml:space="preserve"> Press, 2003, 123;</w:t>
      </w:r>
      <w:r w:rsidRPr="0058444E">
        <w:t xml:space="preserve"> </w:t>
      </w:r>
      <w:r w:rsidR="0097509D">
        <w:t xml:space="preserve">HEEMSKERK M., </w:t>
      </w:r>
      <w:r w:rsidR="00615FF0">
        <w:t>‘</w:t>
      </w:r>
      <w:r w:rsidR="0097509D">
        <w:t>Op zoek naar de grenzen van de solidariteit in het aanvullend pensioen</w:t>
      </w:r>
      <w:r w:rsidR="00615FF0">
        <w:t>’</w:t>
      </w:r>
      <w:r w:rsidR="0097509D">
        <w:t xml:space="preserve">, </w:t>
      </w:r>
      <w:r w:rsidR="0097509D">
        <w:rPr>
          <w:i/>
          <w:iCs/>
        </w:rPr>
        <w:t xml:space="preserve">WPNR </w:t>
      </w:r>
      <w:r w:rsidR="0097509D">
        <w:t>2013/6968, 223;</w:t>
      </w:r>
      <w:r w:rsidR="007B40BF">
        <w:t xml:space="preserve"> SCHUURMAN B., DOUMA S. en FREUDENTHAL R., </w:t>
      </w:r>
      <w:r w:rsidR="007B40BF">
        <w:rPr>
          <w:i/>
          <w:iCs/>
        </w:rPr>
        <w:t xml:space="preserve">Pensioen in de loonsfeer, </w:t>
      </w:r>
      <w:r w:rsidR="007B40BF">
        <w:t xml:space="preserve">Wolters Kluwer, 2019, </w:t>
      </w:r>
      <w:r w:rsidR="00BE235F">
        <w:t xml:space="preserve">3; </w:t>
      </w:r>
      <w:r w:rsidR="000D510D" w:rsidRPr="000D510D">
        <w:t>STEVENS Y., 'Groeipijnen en uitdagingen van de aanvullende pensioenen in België' in BARBAIX R., WEYTS B. en WUYTS D. (</w:t>
      </w:r>
      <w:proofErr w:type="spellStart"/>
      <w:r w:rsidR="000D510D" w:rsidRPr="000D510D">
        <w:t>eds</w:t>
      </w:r>
      <w:proofErr w:type="spellEnd"/>
      <w:r w:rsidR="000D510D" w:rsidRPr="000D510D">
        <w:t xml:space="preserve">.), </w:t>
      </w:r>
      <w:r w:rsidR="000D510D" w:rsidRPr="000D510D">
        <w:rPr>
          <w:i/>
          <w:iCs/>
        </w:rPr>
        <w:t>De groepsverzekering als aanvullend pensioen</w:t>
      </w:r>
      <w:r w:rsidR="000D510D" w:rsidRPr="000D510D">
        <w:t xml:space="preserve">, </w:t>
      </w:r>
      <w:proofErr w:type="spellStart"/>
      <w:r w:rsidR="000D510D" w:rsidRPr="000D510D">
        <w:t>Intersentia</w:t>
      </w:r>
      <w:proofErr w:type="spellEnd"/>
      <w:r w:rsidR="000D510D" w:rsidRPr="000D510D">
        <w:t xml:space="preserve">, 2014, </w:t>
      </w:r>
      <w:r w:rsidR="000D510D">
        <w:t>4</w:t>
      </w:r>
      <w:r w:rsidR="002B574A">
        <w:t xml:space="preserve">; </w:t>
      </w:r>
      <w:r w:rsidR="002B574A" w:rsidRPr="00814DA7">
        <w:t xml:space="preserve">; VAN AGGELEN E.S., </w:t>
      </w:r>
      <w:r w:rsidR="002B574A" w:rsidRPr="00814DA7">
        <w:rPr>
          <w:i/>
          <w:iCs/>
        </w:rPr>
        <w:t xml:space="preserve">Het personeel toepassingsgebied van aanvullende pensioenregelingen voor werknemers, </w:t>
      </w:r>
      <w:r w:rsidR="002B574A" w:rsidRPr="00814DA7">
        <w:t xml:space="preserve">die </w:t>
      </w:r>
      <w:proofErr w:type="spellStart"/>
      <w:r w:rsidR="002B574A" w:rsidRPr="00814DA7">
        <w:t>Keure</w:t>
      </w:r>
      <w:proofErr w:type="spellEnd"/>
      <w:r w:rsidR="002B574A" w:rsidRPr="00814DA7">
        <w:t xml:space="preserve">, 2022, </w:t>
      </w:r>
      <w:r w:rsidR="002B574A">
        <w:t>7.</w:t>
      </w:r>
    </w:p>
  </w:footnote>
  <w:footnote w:id="248">
    <w:p w14:paraId="78568A88" w14:textId="2B7FD9FA" w:rsidR="004C7288" w:rsidRPr="0058444E" w:rsidRDefault="004C7288">
      <w:pPr>
        <w:pStyle w:val="Voetnoottekst"/>
      </w:pPr>
      <w:r w:rsidRPr="0058444E">
        <w:rPr>
          <w:rStyle w:val="Voetnootmarkering"/>
        </w:rPr>
        <w:footnoteRef/>
      </w:r>
      <w:r w:rsidR="00E33E83">
        <w:t xml:space="preserve"> </w:t>
      </w:r>
      <w:r w:rsidRPr="0058444E">
        <w:t xml:space="preserve">VERSTEGEN G.J.H., </w:t>
      </w:r>
      <w:r w:rsidR="00F058F0">
        <w:t>‘</w:t>
      </w:r>
      <w:r w:rsidRPr="0058444E">
        <w:t>Bedrijfspensioenfondsen. Geschiedenis en werkingssfeer</w:t>
      </w:r>
      <w:r w:rsidR="00F058F0">
        <w:t>’</w:t>
      </w:r>
      <w:r w:rsidRPr="0058444E">
        <w:t xml:space="preserve"> in X, </w:t>
      </w:r>
      <w:r w:rsidRPr="0058444E">
        <w:rPr>
          <w:i/>
          <w:iCs/>
        </w:rPr>
        <w:t>Tussen AOW en pensioenplicht,</w:t>
      </w:r>
      <w:r w:rsidRPr="0058444E">
        <w:t>, 1980, 32</w:t>
      </w:r>
      <w:r w:rsidR="005852EF" w:rsidRPr="0058444E">
        <w:t>;</w:t>
      </w:r>
      <w:r w:rsidR="00D74550" w:rsidRPr="0058444E">
        <w:t xml:space="preserve"> DEVREESE A., </w:t>
      </w:r>
      <w:r w:rsidR="00D74550" w:rsidRPr="0058444E">
        <w:rPr>
          <w:i/>
          <w:iCs/>
        </w:rPr>
        <w:t>Bovenwettelijke pensioenen in Nederland,</w:t>
      </w:r>
      <w:r w:rsidR="00D74550" w:rsidRPr="0058444E">
        <w:t xml:space="preserve"> Katholieke Universiteit Brabant/ Studierichting Sociale Zekerheidswetenschap, 326</w:t>
      </w:r>
      <w:r w:rsidR="003C389D">
        <w:t>.</w:t>
      </w:r>
    </w:p>
  </w:footnote>
  <w:footnote w:id="249">
    <w:p w14:paraId="42444743" w14:textId="62DA0583" w:rsidR="00F46D05" w:rsidRPr="0058444E" w:rsidRDefault="00F46D05">
      <w:pPr>
        <w:pStyle w:val="Voetnoottekst"/>
      </w:pPr>
      <w:r w:rsidRPr="0058444E">
        <w:rPr>
          <w:rStyle w:val="Voetnootmarkering"/>
        </w:rPr>
        <w:footnoteRef/>
      </w:r>
      <w:r w:rsidR="00E33E83">
        <w:t xml:space="preserve"> </w:t>
      </w:r>
      <w:r w:rsidRPr="0058444E">
        <w:t xml:space="preserve">LUTJENS E., </w:t>
      </w:r>
      <w:r w:rsidR="00986D2B">
        <w:t>‘</w:t>
      </w:r>
      <w:r w:rsidRPr="0058444E">
        <w:t>Nederland als leerschool: Wet betreffende de verplichte deelneming in een bedrijfspensioenfonds</w:t>
      </w:r>
      <w:r w:rsidR="00986D2B">
        <w:t>’</w:t>
      </w:r>
      <w:r w:rsidRPr="0058444E">
        <w:t xml:space="preserve"> in</w:t>
      </w:r>
      <w:r w:rsidR="00D633AB" w:rsidRPr="0058444E">
        <w:t xml:space="preserve"> STEVENS Y. en VAN BUGGENHOUT B. (</w:t>
      </w:r>
      <w:proofErr w:type="spellStart"/>
      <w:r w:rsidR="00D633AB" w:rsidRPr="0058444E">
        <w:t>eds</w:t>
      </w:r>
      <w:proofErr w:type="spellEnd"/>
      <w:r w:rsidR="00D633AB" w:rsidRPr="0058444E">
        <w:t xml:space="preserve">.), </w:t>
      </w:r>
      <w:r w:rsidR="00D633AB" w:rsidRPr="0058444E">
        <w:rPr>
          <w:i/>
          <w:iCs/>
        </w:rPr>
        <w:t>Sectorpensioenen,</w:t>
      </w:r>
      <w:r w:rsidR="00D633AB" w:rsidRPr="0058444E">
        <w:t xml:space="preserve"> die </w:t>
      </w:r>
      <w:proofErr w:type="spellStart"/>
      <w:r w:rsidR="00D633AB" w:rsidRPr="0058444E">
        <w:t>Keure</w:t>
      </w:r>
      <w:proofErr w:type="spellEnd"/>
      <w:r w:rsidR="00D633AB" w:rsidRPr="0058444E">
        <w:t>, 2000, 157</w:t>
      </w:r>
      <w:r w:rsidR="00986D2B">
        <w:t>.</w:t>
      </w:r>
    </w:p>
  </w:footnote>
  <w:footnote w:id="250">
    <w:p w14:paraId="7CEB91F1" w14:textId="61126D8C" w:rsidR="001053E1" w:rsidRPr="001053E1" w:rsidRDefault="001053E1">
      <w:pPr>
        <w:pStyle w:val="Voetnoottekst"/>
      </w:pPr>
      <w:r>
        <w:rPr>
          <w:rStyle w:val="Voetnootmarkering"/>
        </w:rPr>
        <w:footnoteRef/>
      </w:r>
      <w:r w:rsidR="00E33E83">
        <w:t xml:space="preserve"> </w:t>
      </w:r>
      <w:r>
        <w:t xml:space="preserve">LUTJENS E., </w:t>
      </w:r>
      <w:r w:rsidR="005F2506">
        <w:t>‘</w:t>
      </w:r>
      <w:r>
        <w:t>Verplichte pensioenfondsen en de Pensioenwet</w:t>
      </w:r>
      <w:r w:rsidR="005F2506">
        <w:t>’</w:t>
      </w:r>
      <w:r>
        <w:t xml:space="preserve">, </w:t>
      </w:r>
      <w:r>
        <w:rPr>
          <w:i/>
          <w:iCs/>
        </w:rPr>
        <w:t xml:space="preserve">WPNR </w:t>
      </w:r>
      <w:r>
        <w:t>2007, 6704</w:t>
      </w:r>
      <w:r w:rsidR="005F2506">
        <w:t>.</w:t>
      </w:r>
    </w:p>
  </w:footnote>
  <w:footnote w:id="251">
    <w:p w14:paraId="5B7152C4" w14:textId="69F4E74E" w:rsidR="00E83C58" w:rsidRDefault="00E83C58">
      <w:pPr>
        <w:pStyle w:val="Voetnoottekst"/>
      </w:pPr>
      <w:r>
        <w:rPr>
          <w:rStyle w:val="Voetnootmarkering"/>
        </w:rPr>
        <w:footnoteRef/>
      </w:r>
      <w:r>
        <w:t xml:space="preserve"> </w:t>
      </w:r>
      <w:r w:rsidR="00FB7AEB">
        <w:t>Sociale Zaken en Werkgelegenheid</w:t>
      </w:r>
    </w:p>
  </w:footnote>
  <w:footnote w:id="252">
    <w:p w14:paraId="35FE12C5" w14:textId="1B017079" w:rsidR="003F3762" w:rsidRDefault="003F3762">
      <w:pPr>
        <w:pStyle w:val="Voetnoottekst"/>
      </w:pPr>
      <w:r>
        <w:rPr>
          <w:rStyle w:val="Voetnootmarkering"/>
        </w:rPr>
        <w:footnoteRef/>
      </w:r>
      <w:r w:rsidR="00E33E83">
        <w:t xml:space="preserve"> </w:t>
      </w:r>
      <w:r>
        <w:t xml:space="preserve">Art 2 wet </w:t>
      </w:r>
      <w:proofErr w:type="spellStart"/>
      <w:r>
        <w:t>Bpf</w:t>
      </w:r>
      <w:proofErr w:type="spellEnd"/>
      <w:r>
        <w:t xml:space="preserve"> 2000; HEEMSKERK M., </w:t>
      </w:r>
      <w:r w:rsidR="00BF0E3D">
        <w:t>‘</w:t>
      </w:r>
      <w:r>
        <w:t>Op zoek naar de grenzen van de solidariteit in het aanvullend pensioen</w:t>
      </w:r>
      <w:r w:rsidR="00BF0E3D">
        <w:t>’</w:t>
      </w:r>
      <w:r>
        <w:t xml:space="preserve">, </w:t>
      </w:r>
      <w:r>
        <w:rPr>
          <w:i/>
          <w:iCs/>
        </w:rPr>
        <w:t xml:space="preserve">WPNR </w:t>
      </w:r>
      <w:r>
        <w:t>2013/6968, 223;</w:t>
      </w:r>
    </w:p>
  </w:footnote>
  <w:footnote w:id="253">
    <w:p w14:paraId="4C6FBB5B" w14:textId="214498EB" w:rsidR="00ED4B10" w:rsidRDefault="00ED4B10">
      <w:pPr>
        <w:pStyle w:val="Voetnoottekst"/>
      </w:pPr>
      <w:r>
        <w:rPr>
          <w:rStyle w:val="Voetnootmarkering"/>
        </w:rPr>
        <w:footnoteRef/>
      </w:r>
      <w:r w:rsidR="00E33E83">
        <w:t xml:space="preserve"> </w:t>
      </w:r>
      <w:r>
        <w:t xml:space="preserve">HEEMSKERK M., </w:t>
      </w:r>
      <w:r w:rsidR="00B83CDB">
        <w:t>‘</w:t>
      </w:r>
      <w:r>
        <w:t>Op zoek naar de grenzen van de solidariteit in het aanvullend pensioen</w:t>
      </w:r>
      <w:r w:rsidR="00B83CDB">
        <w:t>’</w:t>
      </w:r>
      <w:r>
        <w:t xml:space="preserve">, </w:t>
      </w:r>
      <w:r>
        <w:rPr>
          <w:i/>
          <w:iCs/>
        </w:rPr>
        <w:t xml:space="preserve">WPNR </w:t>
      </w:r>
      <w:r>
        <w:t>2013/6968, 223</w:t>
      </w:r>
      <w:r w:rsidR="00B83CDB">
        <w:t>.</w:t>
      </w:r>
    </w:p>
  </w:footnote>
  <w:footnote w:id="254">
    <w:p w14:paraId="5674A13E" w14:textId="5FAB235F" w:rsidR="00C71626" w:rsidRDefault="00C71626">
      <w:pPr>
        <w:pStyle w:val="Voetnoottekst"/>
      </w:pPr>
      <w:r>
        <w:rPr>
          <w:rStyle w:val="Voetnootmarkering"/>
        </w:rPr>
        <w:footnoteRef/>
      </w:r>
      <w:r w:rsidR="00E33E83">
        <w:t xml:space="preserve"> </w:t>
      </w:r>
      <w:r>
        <w:t xml:space="preserve">HEEMSKERK M., </w:t>
      </w:r>
      <w:r w:rsidR="00B83CDB">
        <w:t>‘</w:t>
      </w:r>
      <w:r>
        <w:t>Op zoek naar de grenzen van de solidariteit in het aanvullend pensioen</w:t>
      </w:r>
      <w:r w:rsidR="00B83CDB">
        <w:t>’</w:t>
      </w:r>
      <w:r>
        <w:t xml:space="preserve">, </w:t>
      </w:r>
      <w:r>
        <w:rPr>
          <w:i/>
          <w:iCs/>
        </w:rPr>
        <w:t xml:space="preserve">WPNR </w:t>
      </w:r>
      <w:r>
        <w:t>2013/6968, 223</w:t>
      </w:r>
      <w:r w:rsidR="00B83CDB">
        <w:t>.</w:t>
      </w:r>
    </w:p>
  </w:footnote>
  <w:footnote w:id="255">
    <w:p w14:paraId="4E693D1D" w14:textId="4378CF99" w:rsidR="006C06CC" w:rsidRPr="006C06CC" w:rsidRDefault="006C06CC">
      <w:pPr>
        <w:pStyle w:val="Voetnoottekst"/>
      </w:pPr>
      <w:r>
        <w:rPr>
          <w:rStyle w:val="Voetnootmarkering"/>
        </w:rPr>
        <w:footnoteRef/>
      </w:r>
      <w:r w:rsidR="00E33E83">
        <w:t xml:space="preserve"> </w:t>
      </w:r>
      <w:r>
        <w:t xml:space="preserve">LUTJENS E., </w:t>
      </w:r>
      <w:r>
        <w:rPr>
          <w:i/>
          <w:iCs/>
        </w:rPr>
        <w:t xml:space="preserve">De wet </w:t>
      </w:r>
      <w:proofErr w:type="spellStart"/>
      <w:r>
        <w:rPr>
          <w:i/>
          <w:iCs/>
        </w:rPr>
        <w:t>Bpf</w:t>
      </w:r>
      <w:proofErr w:type="spellEnd"/>
      <w:r>
        <w:rPr>
          <w:i/>
          <w:iCs/>
        </w:rPr>
        <w:t>,</w:t>
      </w:r>
      <w:r w:rsidR="00B83CDB">
        <w:rPr>
          <w:i/>
          <w:iCs/>
        </w:rPr>
        <w:t xml:space="preserve"> </w:t>
      </w:r>
      <w:r>
        <w:t>Kluwer, 1999, 37</w:t>
      </w:r>
      <w:r w:rsidR="00B83CDB">
        <w:t>.</w:t>
      </w:r>
    </w:p>
  </w:footnote>
  <w:footnote w:id="256">
    <w:p w14:paraId="1FF81580" w14:textId="0B324C9E" w:rsidR="00F5135B" w:rsidRPr="0058444E" w:rsidRDefault="00F5135B">
      <w:pPr>
        <w:pStyle w:val="Voetnoottekst"/>
      </w:pPr>
      <w:r w:rsidRPr="0058444E">
        <w:rPr>
          <w:rStyle w:val="Voetnootmarkering"/>
        </w:rPr>
        <w:footnoteRef/>
      </w:r>
      <w:r w:rsidR="00A476C7">
        <w:t xml:space="preserve"> </w:t>
      </w:r>
      <w:r w:rsidRPr="0058444E">
        <w:t xml:space="preserve">JACOBS A., </w:t>
      </w:r>
      <w:r w:rsidRPr="0058444E">
        <w:rPr>
          <w:i/>
          <w:iCs/>
        </w:rPr>
        <w:t>Pensioenrecht,</w:t>
      </w:r>
      <w:r w:rsidRPr="0058444E">
        <w:t xml:space="preserve"> Kluwer, 2017, 101</w:t>
      </w:r>
      <w:r w:rsidR="00C1342C">
        <w:t>.</w:t>
      </w:r>
    </w:p>
  </w:footnote>
  <w:footnote w:id="257">
    <w:p w14:paraId="13308CC6" w14:textId="23B1F5D5" w:rsidR="00AF12AC" w:rsidRPr="00AF12AC" w:rsidRDefault="00A476C7">
      <w:pPr>
        <w:pStyle w:val="Voetnoottekst"/>
      </w:pPr>
      <w:r>
        <w:t xml:space="preserve"> </w:t>
      </w:r>
      <w:r w:rsidR="00AF12AC" w:rsidRPr="0058444E">
        <w:rPr>
          <w:rStyle w:val="Voetnootmarkering"/>
        </w:rPr>
        <w:footnoteRef/>
      </w:r>
      <w:r w:rsidR="00AF12AC" w:rsidRPr="0058444E">
        <w:t xml:space="preserve">DE LANGE H. en SCHOLS E., </w:t>
      </w:r>
      <w:r w:rsidR="00355FA8">
        <w:t>‘</w:t>
      </w:r>
      <w:r w:rsidR="00AF12AC" w:rsidRPr="0058444E">
        <w:t>Verboden onderscheid in pensioenregelingen</w:t>
      </w:r>
      <w:r w:rsidR="00355FA8">
        <w:t>’</w:t>
      </w:r>
      <w:r w:rsidR="00AF12AC" w:rsidRPr="0058444E">
        <w:t xml:space="preserve"> in TEN WOLDE R.,</w:t>
      </w:r>
      <w:r w:rsidR="00AF12AC" w:rsidRPr="0058444E">
        <w:rPr>
          <w:i/>
          <w:iCs/>
        </w:rPr>
        <w:t xml:space="preserve"> Encyclopedie van ongelijkheden, TPV </w:t>
      </w:r>
      <w:r w:rsidR="00AF12AC" w:rsidRPr="0058444E">
        <w:t>2004, 2</w:t>
      </w:r>
      <w:r w:rsidR="00C1342C">
        <w:t>.</w:t>
      </w:r>
    </w:p>
  </w:footnote>
  <w:footnote w:id="258">
    <w:p w14:paraId="747467FE" w14:textId="7D30BB33" w:rsidR="002A1A93" w:rsidRDefault="002A1A93">
      <w:pPr>
        <w:pStyle w:val="Voetnoottekst"/>
      </w:pPr>
      <w:r>
        <w:rPr>
          <w:rStyle w:val="Voetnootmarkering"/>
        </w:rPr>
        <w:footnoteRef/>
      </w:r>
      <w:r w:rsidR="00A476C7">
        <w:t xml:space="preserve"> </w:t>
      </w:r>
      <w:r>
        <w:t>Kamerstukken II 1999-2000, 27 073, nr.3, p.3,</w:t>
      </w:r>
      <w:r w:rsidR="00874936">
        <w:t xml:space="preserve">; GOUDSWAARD K.P., ‘Hoe ziet het Nederlandse pensioenstelsel er in de toekomst uit’, </w:t>
      </w:r>
      <w:r w:rsidR="00874936">
        <w:rPr>
          <w:i/>
          <w:iCs/>
        </w:rPr>
        <w:t>Tijdschrift voor Openbare financiën</w:t>
      </w:r>
      <w:r w:rsidR="00874936">
        <w:t xml:space="preserve"> 2013, 45(2), 68;</w:t>
      </w:r>
      <w:r w:rsidR="00D6630F" w:rsidRPr="00D6630F">
        <w:t xml:space="preserve"> </w:t>
      </w:r>
      <w:r w:rsidR="00D6630F">
        <w:t xml:space="preserve">HEEMSKERK M., </w:t>
      </w:r>
      <w:r w:rsidR="00AC0D3F">
        <w:t>‘</w:t>
      </w:r>
      <w:r w:rsidR="00D6630F">
        <w:t>Op zoek naar de grenzen van de solidariteit in het aanvullend pensioen</w:t>
      </w:r>
      <w:r w:rsidR="00AC0D3F">
        <w:t>’</w:t>
      </w:r>
      <w:r w:rsidR="00D6630F">
        <w:t xml:space="preserve">, </w:t>
      </w:r>
      <w:r w:rsidR="00D6630F">
        <w:rPr>
          <w:i/>
          <w:iCs/>
        </w:rPr>
        <w:t xml:space="preserve">WPNR </w:t>
      </w:r>
      <w:r w:rsidR="00D6630F">
        <w:t>2013/6968, 224</w:t>
      </w:r>
      <w:r w:rsidR="00AC0D3F">
        <w:t>.</w:t>
      </w:r>
    </w:p>
  </w:footnote>
  <w:footnote w:id="259">
    <w:p w14:paraId="02FCACBA" w14:textId="518A9707" w:rsidR="00A63031" w:rsidRDefault="00A63031">
      <w:pPr>
        <w:pStyle w:val="Voetnoottekst"/>
      </w:pPr>
      <w:r>
        <w:rPr>
          <w:rStyle w:val="Voetnootmarkering"/>
        </w:rPr>
        <w:footnoteRef/>
      </w:r>
      <w:r w:rsidR="00A476C7">
        <w:t xml:space="preserve"> </w:t>
      </w:r>
      <w:r>
        <w:t xml:space="preserve">Art 8 Wet </w:t>
      </w:r>
      <w:proofErr w:type="spellStart"/>
      <w:r>
        <w:t>Bpf</w:t>
      </w:r>
      <w:proofErr w:type="spellEnd"/>
      <w:r>
        <w:t xml:space="preserve"> 2000; </w:t>
      </w:r>
    </w:p>
  </w:footnote>
  <w:footnote w:id="260">
    <w:p w14:paraId="4A0B032D" w14:textId="0576B929" w:rsidR="00E96556" w:rsidRDefault="00E96556">
      <w:pPr>
        <w:pStyle w:val="Voetnoottekst"/>
      </w:pPr>
      <w:r>
        <w:rPr>
          <w:rStyle w:val="Voetnootmarkering"/>
        </w:rPr>
        <w:footnoteRef/>
      </w:r>
      <w:r w:rsidR="00BC1769">
        <w:t xml:space="preserve"> </w:t>
      </w:r>
      <w:r w:rsidR="004B75FD">
        <w:t xml:space="preserve">Kamerstukken II 1999-2000, 27 073, nr.3, 3; HEEMSKERK M., </w:t>
      </w:r>
      <w:r w:rsidR="005647CC">
        <w:t>‘</w:t>
      </w:r>
      <w:r w:rsidR="004B75FD">
        <w:t>Op zoek naar de grenzen van de solidariteit in het aanvullend pensioen</w:t>
      </w:r>
      <w:r w:rsidR="005647CC">
        <w:t>’</w:t>
      </w:r>
      <w:r w:rsidR="004B75FD">
        <w:t xml:space="preserve">, </w:t>
      </w:r>
      <w:r w:rsidR="004B75FD">
        <w:rPr>
          <w:i/>
          <w:iCs/>
        </w:rPr>
        <w:t xml:space="preserve">WPNR </w:t>
      </w:r>
      <w:r w:rsidR="004B75FD">
        <w:t>2013/6968, 223</w:t>
      </w:r>
      <w:r w:rsidR="005647CC">
        <w:t>.</w:t>
      </w:r>
    </w:p>
  </w:footnote>
  <w:footnote w:id="261">
    <w:p w14:paraId="21DA15BF" w14:textId="36AA0820" w:rsidR="00A63031" w:rsidRDefault="00A63031">
      <w:pPr>
        <w:pStyle w:val="Voetnoottekst"/>
      </w:pPr>
      <w:r>
        <w:rPr>
          <w:rStyle w:val="Voetnootmarkering"/>
        </w:rPr>
        <w:footnoteRef/>
      </w:r>
      <w:r w:rsidR="00BC1769">
        <w:t xml:space="preserve"> </w:t>
      </w:r>
      <w:r>
        <w:t xml:space="preserve">HEEMSKERK M., </w:t>
      </w:r>
      <w:r w:rsidR="00A418ED">
        <w:t>‘</w:t>
      </w:r>
      <w:r>
        <w:t>Op zoek naar de grenzen van de solidariteit in het aanvullend pensioen</w:t>
      </w:r>
      <w:r w:rsidR="00A418ED">
        <w:t>’</w:t>
      </w:r>
      <w:r>
        <w:t xml:space="preserve">, </w:t>
      </w:r>
      <w:r>
        <w:rPr>
          <w:i/>
          <w:iCs/>
        </w:rPr>
        <w:t xml:space="preserve">WPNR </w:t>
      </w:r>
      <w:r>
        <w:t>2013/6968, 224</w:t>
      </w:r>
      <w:r w:rsidR="00A418ED">
        <w:t xml:space="preserve">; </w:t>
      </w:r>
      <w:r w:rsidR="00241274" w:rsidRPr="00A418ED">
        <w:t xml:space="preserve">VAN EWIJK C., </w:t>
      </w:r>
      <w:r w:rsidR="00241274" w:rsidRPr="00A418ED">
        <w:rPr>
          <w:i/>
          <w:iCs/>
        </w:rPr>
        <w:t xml:space="preserve">Compensatie afschaffing doorsneesystematiek en evenwichtige transitie: </w:t>
      </w:r>
      <w:proofErr w:type="spellStart"/>
      <w:r w:rsidR="00241274" w:rsidRPr="00A418ED">
        <w:rPr>
          <w:i/>
          <w:iCs/>
        </w:rPr>
        <w:t>Netspar</w:t>
      </w:r>
      <w:proofErr w:type="spellEnd"/>
      <w:r w:rsidR="00241274" w:rsidRPr="00A418ED">
        <w:rPr>
          <w:i/>
          <w:iCs/>
        </w:rPr>
        <w:t xml:space="preserve"> Board Brief 03/2023, </w:t>
      </w:r>
      <w:proofErr w:type="spellStart"/>
      <w:r w:rsidR="00241274" w:rsidRPr="00A418ED">
        <w:t>Netspar</w:t>
      </w:r>
      <w:proofErr w:type="spellEnd"/>
      <w:r w:rsidR="00241274" w:rsidRPr="00A418ED">
        <w:t>, 2023, 5</w:t>
      </w:r>
      <w:r w:rsidR="00A418ED">
        <w:t>.</w:t>
      </w:r>
    </w:p>
  </w:footnote>
  <w:footnote w:id="262">
    <w:p w14:paraId="571A3109" w14:textId="5460C843" w:rsidR="00EC7D04" w:rsidRPr="00EC7D04" w:rsidRDefault="00EC7D04">
      <w:pPr>
        <w:pStyle w:val="Voetnoottekst"/>
      </w:pPr>
      <w:r>
        <w:rPr>
          <w:rStyle w:val="Voetnootmarkering"/>
        </w:rPr>
        <w:footnoteRef/>
      </w:r>
      <w:r w:rsidR="00BC1769">
        <w:t xml:space="preserve"> </w:t>
      </w:r>
      <w:r>
        <w:t xml:space="preserve">LUTJENS E., </w:t>
      </w:r>
      <w:r w:rsidR="0070277F">
        <w:t>‘</w:t>
      </w:r>
      <w:r>
        <w:t>Wet toekomst pensioenen</w:t>
      </w:r>
      <w:r w:rsidR="0070277F">
        <w:t>’</w:t>
      </w:r>
      <w:r>
        <w:t xml:space="preserve">, </w:t>
      </w:r>
      <w:r>
        <w:rPr>
          <w:i/>
          <w:iCs/>
        </w:rPr>
        <w:t xml:space="preserve">NJB </w:t>
      </w:r>
      <w:r>
        <w:t xml:space="preserve">2023/2544, 2023, 3; </w:t>
      </w:r>
      <w:r w:rsidR="00085563" w:rsidRPr="0070277F">
        <w:t xml:space="preserve">VAN EWIJK C., </w:t>
      </w:r>
      <w:r w:rsidR="00085563" w:rsidRPr="0070277F">
        <w:rPr>
          <w:i/>
          <w:iCs/>
        </w:rPr>
        <w:t xml:space="preserve">Compensatie afschaffing doorsneesystematiek en evenwichtige transitie: </w:t>
      </w:r>
      <w:proofErr w:type="spellStart"/>
      <w:r w:rsidR="00085563" w:rsidRPr="0070277F">
        <w:rPr>
          <w:i/>
          <w:iCs/>
        </w:rPr>
        <w:t>Netspar</w:t>
      </w:r>
      <w:proofErr w:type="spellEnd"/>
      <w:r w:rsidR="00085563" w:rsidRPr="0070277F">
        <w:rPr>
          <w:i/>
          <w:iCs/>
        </w:rPr>
        <w:t xml:space="preserve"> Board Brief 03/2023, </w:t>
      </w:r>
      <w:proofErr w:type="spellStart"/>
      <w:r w:rsidR="00085563" w:rsidRPr="0070277F">
        <w:t>Netspar</w:t>
      </w:r>
      <w:proofErr w:type="spellEnd"/>
      <w:r w:rsidR="00085563" w:rsidRPr="0070277F">
        <w:t>, 2023, 6</w:t>
      </w:r>
      <w:r w:rsidR="0070277F">
        <w:t>.</w:t>
      </w:r>
    </w:p>
  </w:footnote>
  <w:footnote w:id="263">
    <w:p w14:paraId="180F83E0" w14:textId="1FEF8E94" w:rsidR="00640D8A" w:rsidRDefault="00640D8A">
      <w:pPr>
        <w:pStyle w:val="Voetnoottekst"/>
      </w:pPr>
      <w:r>
        <w:rPr>
          <w:rStyle w:val="Voetnootmarkering"/>
        </w:rPr>
        <w:footnoteRef/>
      </w:r>
      <w:r w:rsidR="00BC1769">
        <w:t xml:space="preserve"> </w:t>
      </w:r>
      <w:r>
        <w:t xml:space="preserve">LUTJENS E., “Wet toekomst pensioenen”, </w:t>
      </w:r>
      <w:r>
        <w:rPr>
          <w:i/>
          <w:iCs/>
        </w:rPr>
        <w:t xml:space="preserve">NJB </w:t>
      </w:r>
      <w:r>
        <w:t>2023/2544, 2023, 3</w:t>
      </w:r>
      <w:r w:rsidR="0070277F">
        <w:t>.</w:t>
      </w:r>
    </w:p>
  </w:footnote>
  <w:footnote w:id="264">
    <w:p w14:paraId="2A012883" w14:textId="443D8E3F" w:rsidR="00640D8A" w:rsidRPr="00640D8A" w:rsidRDefault="00640D8A">
      <w:pPr>
        <w:pStyle w:val="Voetnoottekst"/>
      </w:pPr>
      <w:r>
        <w:rPr>
          <w:rStyle w:val="Voetnootmarkering"/>
        </w:rPr>
        <w:footnoteRef/>
      </w:r>
      <w:r w:rsidR="00BC1769">
        <w:t xml:space="preserve"> </w:t>
      </w:r>
      <w:r w:rsidR="0060188E" w:rsidRPr="0060188E">
        <w:t>Kamerstukken II 2021-2022, 36067, nr. 3, 20-21</w:t>
      </w:r>
      <w:r w:rsidR="0060188E">
        <w:t>.</w:t>
      </w:r>
    </w:p>
  </w:footnote>
  <w:footnote w:id="265">
    <w:p w14:paraId="44CE6256" w14:textId="0886CF7F" w:rsidR="003C22D6" w:rsidRPr="003C22D6" w:rsidRDefault="003C22D6">
      <w:pPr>
        <w:pStyle w:val="Voetnoottekst"/>
      </w:pPr>
      <w:r>
        <w:rPr>
          <w:rStyle w:val="Voetnootmarkering"/>
        </w:rPr>
        <w:footnoteRef/>
      </w:r>
      <w:r w:rsidR="00BC1769">
        <w:t xml:space="preserve"> </w:t>
      </w:r>
      <w:r w:rsidR="0060188E" w:rsidRPr="0060188E">
        <w:t xml:space="preserve">Kamerstukken II 2021-2022, 36067, nr. 3, </w:t>
      </w:r>
      <w:r w:rsidR="0060188E">
        <w:t>175;</w:t>
      </w:r>
      <w:r w:rsidR="007125E7" w:rsidRPr="0060188E">
        <w:t xml:space="preserve"> VAN EWIJK C., </w:t>
      </w:r>
      <w:r w:rsidR="007125E7" w:rsidRPr="0060188E">
        <w:rPr>
          <w:i/>
          <w:iCs/>
        </w:rPr>
        <w:t xml:space="preserve">Compensatie afschaffing doorsneesystematiek en evenwichtige transitie: </w:t>
      </w:r>
      <w:proofErr w:type="spellStart"/>
      <w:r w:rsidR="007125E7" w:rsidRPr="0060188E">
        <w:rPr>
          <w:i/>
          <w:iCs/>
        </w:rPr>
        <w:t>Netspar</w:t>
      </w:r>
      <w:proofErr w:type="spellEnd"/>
      <w:r w:rsidR="007125E7" w:rsidRPr="0060188E">
        <w:rPr>
          <w:i/>
          <w:iCs/>
        </w:rPr>
        <w:t xml:space="preserve"> Board Brief 03/2023, </w:t>
      </w:r>
      <w:proofErr w:type="spellStart"/>
      <w:r w:rsidR="007125E7" w:rsidRPr="0060188E">
        <w:t>Netspar</w:t>
      </w:r>
      <w:proofErr w:type="spellEnd"/>
      <w:r w:rsidR="007125E7" w:rsidRPr="0060188E">
        <w:t>, 2023, 8</w:t>
      </w:r>
      <w:r w:rsidR="0060188E" w:rsidRPr="0060188E">
        <w:t>.</w:t>
      </w:r>
    </w:p>
  </w:footnote>
  <w:footnote w:id="266">
    <w:p w14:paraId="22293035" w14:textId="6D3BCBDC" w:rsidR="00F41219" w:rsidRPr="00325AD2" w:rsidRDefault="00F41219">
      <w:pPr>
        <w:pStyle w:val="Voetnoottekst"/>
      </w:pPr>
      <w:r>
        <w:rPr>
          <w:rStyle w:val="Voetnootmarkering"/>
        </w:rPr>
        <w:footnoteRef/>
      </w:r>
      <w:r w:rsidR="009E387E">
        <w:t xml:space="preserve"> </w:t>
      </w:r>
      <w:r>
        <w:t xml:space="preserve">LUTJENS E., “Wet toekomst pensioenen”, </w:t>
      </w:r>
      <w:r>
        <w:rPr>
          <w:i/>
          <w:iCs/>
        </w:rPr>
        <w:t xml:space="preserve">NJB </w:t>
      </w:r>
      <w:r>
        <w:t xml:space="preserve">2023/2544, 2023, 9; MAATMAN R.H., HEEMSKERK M., KNOEF M.G. en NIJMAN T.E., </w:t>
      </w:r>
      <w:r>
        <w:rPr>
          <w:i/>
          <w:iCs/>
        </w:rPr>
        <w:t xml:space="preserve">Pensioen 2025, </w:t>
      </w:r>
      <w:r>
        <w:t xml:space="preserve">Kluwer, 2022, 362; </w:t>
      </w:r>
      <w:r w:rsidR="00325AD2">
        <w:t xml:space="preserve">WIJNBEEK W., ‘Wet toekomst pensioenen is in aanvaring met het recht’, </w:t>
      </w:r>
      <w:r w:rsidR="00325AD2">
        <w:rPr>
          <w:i/>
          <w:iCs/>
        </w:rPr>
        <w:t xml:space="preserve">SSRN </w:t>
      </w:r>
      <w:r w:rsidR="00325AD2">
        <w:t xml:space="preserve">2025, </w:t>
      </w:r>
      <w:hyperlink r:id="rId11" w:history="1">
        <w:r w:rsidR="00F165E4" w:rsidRPr="00512756">
          <w:rPr>
            <w:rStyle w:val="Hyperlink"/>
          </w:rPr>
          <w:t>https://papers.ssrn.com/sol3/papers.cfm?abstract_id=5171649</w:t>
        </w:r>
      </w:hyperlink>
      <w:r w:rsidR="00F165E4">
        <w:t xml:space="preserve"> (geraadpleegd op 26 april 2026).</w:t>
      </w:r>
    </w:p>
  </w:footnote>
  <w:footnote w:id="267">
    <w:p w14:paraId="69D4DEFB" w14:textId="2A089841" w:rsidR="004B61BA" w:rsidRDefault="004B61BA">
      <w:pPr>
        <w:pStyle w:val="Voetnoottekst"/>
      </w:pPr>
      <w:r>
        <w:rPr>
          <w:rStyle w:val="Voetnootmarkering"/>
        </w:rPr>
        <w:footnoteRef/>
      </w:r>
      <w:r w:rsidR="009E387E">
        <w:t xml:space="preserve"> </w:t>
      </w:r>
      <w:r>
        <w:t xml:space="preserve">LUTJENS E., </w:t>
      </w:r>
      <w:r w:rsidR="00C650CC">
        <w:t>‘</w:t>
      </w:r>
      <w:r>
        <w:t>Wet toekomst pensioenen</w:t>
      </w:r>
      <w:r w:rsidR="00C650CC">
        <w:t>’</w:t>
      </w:r>
      <w:r>
        <w:t xml:space="preserve">, </w:t>
      </w:r>
      <w:r>
        <w:rPr>
          <w:i/>
          <w:iCs/>
        </w:rPr>
        <w:t xml:space="preserve">NJB </w:t>
      </w:r>
      <w:r>
        <w:t>2023/2544, 2023, 9;</w:t>
      </w:r>
      <w:r w:rsidR="00721119">
        <w:t xml:space="preserve"> WIJNBEEK W., ‘Wet toekomst pensioenen is in aanvaring met het recht’, </w:t>
      </w:r>
      <w:r w:rsidR="00721119">
        <w:rPr>
          <w:i/>
          <w:iCs/>
        </w:rPr>
        <w:t xml:space="preserve">SSRN </w:t>
      </w:r>
      <w:r w:rsidR="00721119">
        <w:t xml:space="preserve">2025, </w:t>
      </w:r>
      <w:hyperlink r:id="rId12" w:history="1">
        <w:r w:rsidR="00721119" w:rsidRPr="00512756">
          <w:rPr>
            <w:rStyle w:val="Hyperlink"/>
          </w:rPr>
          <w:t>https://papers.ssrn.com/sol3/papers.cfm?abstract_id=5171649</w:t>
        </w:r>
      </w:hyperlink>
      <w:r w:rsidR="00721119">
        <w:t xml:space="preserve"> (geraadpleegd op 26 april 2026)</w:t>
      </w:r>
      <w:r w:rsidR="00C650CC">
        <w:t>.</w:t>
      </w:r>
    </w:p>
  </w:footnote>
  <w:footnote w:id="268">
    <w:p w14:paraId="22C82F86" w14:textId="26C5CDA8" w:rsidR="004B61BA" w:rsidRPr="004B61BA" w:rsidRDefault="004B61BA">
      <w:pPr>
        <w:pStyle w:val="Voetnoottekst"/>
      </w:pPr>
      <w:r>
        <w:rPr>
          <w:rStyle w:val="Voetnootmarkering"/>
        </w:rPr>
        <w:footnoteRef/>
      </w:r>
      <w:r w:rsidR="009E387E">
        <w:t xml:space="preserve"> </w:t>
      </w:r>
      <w:r>
        <w:t>Art. 150l lid 5 Pensioenwet;</w:t>
      </w:r>
      <w:r w:rsidR="00C650CC" w:rsidRPr="00C650CC">
        <w:rPr>
          <w:sz w:val="24"/>
          <w:szCs w:val="24"/>
        </w:rPr>
        <w:t xml:space="preserve"> </w:t>
      </w:r>
      <w:r w:rsidR="00C650CC" w:rsidRPr="00C650CC">
        <w:t xml:space="preserve">Kamerstukken II 2021-2022, 36067, nr. 3, </w:t>
      </w:r>
      <w:r w:rsidR="00C650CC">
        <w:t>92-95</w:t>
      </w:r>
      <w:r>
        <w:t>;</w:t>
      </w:r>
      <w:r w:rsidR="00BE488B" w:rsidRPr="00BE488B">
        <w:t xml:space="preserve"> </w:t>
      </w:r>
      <w:r w:rsidR="00F55B02">
        <w:t xml:space="preserve">HEEMSKERK M., </w:t>
      </w:r>
      <w:r w:rsidR="00F53F7F">
        <w:rPr>
          <w:i/>
          <w:iCs/>
        </w:rPr>
        <w:t xml:space="preserve">Pensioenrecht, </w:t>
      </w:r>
      <w:r w:rsidR="00F53F7F">
        <w:t>Boo</w:t>
      </w:r>
      <w:r w:rsidR="00C650CC">
        <w:t xml:space="preserve">m </w:t>
      </w:r>
      <w:r w:rsidR="00F53F7F">
        <w:t xml:space="preserve">Juridisch, </w:t>
      </w:r>
      <w:r w:rsidR="0033521B">
        <w:t xml:space="preserve">2020, 252; </w:t>
      </w:r>
      <w:r w:rsidR="00BE488B">
        <w:t xml:space="preserve">WIJNBEEK W., ‘Wet toekomst pensioenen is in aanvaring met het recht’, </w:t>
      </w:r>
      <w:r w:rsidR="00BE488B">
        <w:rPr>
          <w:i/>
          <w:iCs/>
        </w:rPr>
        <w:t xml:space="preserve">SSRN </w:t>
      </w:r>
      <w:r w:rsidR="00BE488B">
        <w:t xml:space="preserve">2025, </w:t>
      </w:r>
      <w:hyperlink r:id="rId13" w:history="1">
        <w:r w:rsidR="00BE488B" w:rsidRPr="00512756">
          <w:rPr>
            <w:rStyle w:val="Hyperlink"/>
          </w:rPr>
          <w:t>https://papers.ssrn.com/sol3/papers.cfm?abstract_id=5171649</w:t>
        </w:r>
      </w:hyperlink>
      <w:r w:rsidR="00BE488B">
        <w:t xml:space="preserve"> (geraadpleegd op 26 april 2026)</w:t>
      </w:r>
      <w:r w:rsidR="00C650CC">
        <w:t>.</w:t>
      </w:r>
    </w:p>
  </w:footnote>
  <w:footnote w:id="269">
    <w:p w14:paraId="26B6C5B7" w14:textId="6AE527CA" w:rsidR="006E1251" w:rsidRDefault="006E1251">
      <w:pPr>
        <w:pStyle w:val="Voetnoottekst"/>
      </w:pPr>
      <w:r>
        <w:rPr>
          <w:rStyle w:val="Voetnootmarkering"/>
        </w:rPr>
        <w:footnoteRef/>
      </w:r>
      <w:r w:rsidR="00F910DF">
        <w:t xml:space="preserve"> </w:t>
      </w:r>
      <w:r>
        <w:t xml:space="preserve">LUTJENS E., “Wet toekomst pensioenen”, </w:t>
      </w:r>
      <w:r>
        <w:rPr>
          <w:i/>
          <w:iCs/>
        </w:rPr>
        <w:t xml:space="preserve">NJB </w:t>
      </w:r>
      <w:r>
        <w:t>2023/2544, 2023, 10</w:t>
      </w:r>
      <w:r w:rsidR="00C650CC">
        <w:t>.</w:t>
      </w:r>
    </w:p>
  </w:footnote>
  <w:footnote w:id="270">
    <w:p w14:paraId="78B8CD2A" w14:textId="74346814" w:rsidR="000F25B9" w:rsidRDefault="000F25B9">
      <w:pPr>
        <w:pStyle w:val="Voetnoottekst"/>
      </w:pPr>
      <w:r>
        <w:rPr>
          <w:rStyle w:val="Voetnootmarkering"/>
        </w:rPr>
        <w:footnoteRef/>
      </w:r>
      <w:r w:rsidR="00F910DF">
        <w:t xml:space="preserve"> </w:t>
      </w:r>
      <w:r>
        <w:t xml:space="preserve">HEEMSKERK M., </w:t>
      </w:r>
      <w:r w:rsidR="00C650CC">
        <w:t>‘</w:t>
      </w:r>
      <w:r>
        <w:t>Op zoek naar de grenzen van de solidariteit in het aanvullend pensioen</w:t>
      </w:r>
      <w:r w:rsidR="00C650CC">
        <w:t>’</w:t>
      </w:r>
      <w:r>
        <w:t xml:space="preserve">, </w:t>
      </w:r>
      <w:r>
        <w:rPr>
          <w:i/>
          <w:iCs/>
        </w:rPr>
        <w:t xml:space="preserve">WPNR </w:t>
      </w:r>
      <w:r>
        <w:t>2013/6968, 224</w:t>
      </w:r>
      <w:r w:rsidR="00C650CC">
        <w:t>.</w:t>
      </w:r>
    </w:p>
  </w:footnote>
  <w:footnote w:id="271">
    <w:p w14:paraId="6FF0E17F" w14:textId="06584126" w:rsidR="00D2211A" w:rsidRPr="00E33F5F" w:rsidRDefault="00D2211A">
      <w:pPr>
        <w:pStyle w:val="Voetnoottekst"/>
      </w:pPr>
      <w:r>
        <w:rPr>
          <w:rStyle w:val="Voetnootmarkering"/>
        </w:rPr>
        <w:footnoteRef/>
      </w:r>
      <w:r w:rsidR="006B24E8">
        <w:t xml:space="preserve"> </w:t>
      </w:r>
      <w:proofErr w:type="spellStart"/>
      <w:r w:rsidRPr="00E33F5F">
        <w:t>BVerfG</w:t>
      </w:r>
      <w:proofErr w:type="spellEnd"/>
      <w:r w:rsidRPr="00E33F5F">
        <w:t xml:space="preserve"> 30 Mai 1990, </w:t>
      </w:r>
      <w:r w:rsidRPr="00E33F5F">
        <w:rPr>
          <w:i/>
          <w:iCs/>
        </w:rPr>
        <w:t xml:space="preserve">N.J.W; </w:t>
      </w:r>
      <w:r w:rsidRPr="00E33F5F">
        <w:t>1990, 2246</w:t>
      </w:r>
      <w:r w:rsidR="00E33F5F" w:rsidRPr="00C05D8C">
        <w:t xml:space="preserve">; RAUWS W., ‘Bijdrage 7. De toekomst van het arbeidsovereenkomstenrecht’ in B. DEBAENST (ed.), </w:t>
      </w:r>
      <w:r w:rsidR="00E33F5F" w:rsidRPr="00C05D8C">
        <w:rPr>
          <w:i/>
          <w:iCs/>
        </w:rPr>
        <w:t xml:space="preserve">Van statuut tot contract. De arbeidsovereenkomst in België vanuit rechtshistorisch perspectief, </w:t>
      </w:r>
      <w:r w:rsidR="00E33F5F" w:rsidRPr="00C05D8C">
        <w:t xml:space="preserve">die </w:t>
      </w:r>
      <w:proofErr w:type="spellStart"/>
      <w:r w:rsidR="00E33F5F" w:rsidRPr="00C05D8C">
        <w:t>Keure</w:t>
      </w:r>
      <w:proofErr w:type="spellEnd"/>
      <w:r w:rsidR="00E33F5F" w:rsidRPr="00C05D8C">
        <w:t>, 2013, 146</w:t>
      </w:r>
      <w:r w:rsidR="00C05D8C">
        <w:t>.</w:t>
      </w:r>
    </w:p>
  </w:footnote>
  <w:footnote w:id="272">
    <w:p w14:paraId="59B42709" w14:textId="02C7F360" w:rsidR="0088255F" w:rsidRPr="0088255F" w:rsidRDefault="0088255F">
      <w:pPr>
        <w:pStyle w:val="Voetnoottekst"/>
      </w:pPr>
      <w:r>
        <w:rPr>
          <w:rStyle w:val="Voetnootmarkering"/>
        </w:rPr>
        <w:footnoteRef/>
      </w:r>
      <w:r w:rsidR="006B24E8">
        <w:t xml:space="preserve"> </w:t>
      </w:r>
      <w:r w:rsidRPr="0088255F">
        <w:t xml:space="preserve">JACOBS A.T.J.M., </w:t>
      </w:r>
      <w:r w:rsidRPr="0088255F">
        <w:rPr>
          <w:i/>
          <w:iCs/>
        </w:rPr>
        <w:t>Inlei</w:t>
      </w:r>
      <w:r>
        <w:rPr>
          <w:i/>
          <w:iCs/>
        </w:rPr>
        <w:t>ding tot het Duitse arbeidsrecht,</w:t>
      </w:r>
      <w:r>
        <w:t xml:space="preserve"> Gouda Quint bv, 1993, 58: </w:t>
      </w:r>
      <w:r w:rsidR="00D72FB4" w:rsidRPr="00C05D8C">
        <w:t xml:space="preserve">RAUWS W., ‘Bijdrage 7. De toekomst van het arbeidsovereenkomstenrecht’ in B. DEBAENST (ed.), </w:t>
      </w:r>
      <w:r w:rsidR="00D72FB4" w:rsidRPr="00C05D8C">
        <w:rPr>
          <w:i/>
          <w:iCs/>
        </w:rPr>
        <w:t>Van statuut tot contract. De arbeidsovereenkomst in België vanuit rechtshistorisch perspectief,</w:t>
      </w:r>
      <w:r w:rsidR="00D72FB4" w:rsidRPr="00C05D8C">
        <w:t xml:space="preserve"> die </w:t>
      </w:r>
      <w:proofErr w:type="spellStart"/>
      <w:r w:rsidR="00D72FB4" w:rsidRPr="00C05D8C">
        <w:t>Keure</w:t>
      </w:r>
      <w:proofErr w:type="spellEnd"/>
      <w:r w:rsidR="00D72FB4" w:rsidRPr="00C05D8C">
        <w:t>, 2013, 146</w:t>
      </w:r>
      <w:r w:rsidR="00C05D8C">
        <w:t>.</w:t>
      </w:r>
    </w:p>
  </w:footnote>
  <w:footnote w:id="273">
    <w:p w14:paraId="2C27496F" w14:textId="24717A65" w:rsidR="00441666" w:rsidRPr="00A03281" w:rsidRDefault="00441666">
      <w:pPr>
        <w:pStyle w:val="Voetnoottekst"/>
      </w:pPr>
      <w:r>
        <w:rPr>
          <w:rStyle w:val="Voetnootmarkering"/>
        </w:rPr>
        <w:footnoteRef/>
      </w:r>
      <w:r w:rsidR="006B24E8">
        <w:t xml:space="preserve"> </w:t>
      </w:r>
      <w:r w:rsidRPr="00441666">
        <w:t xml:space="preserve">BLANPAIN R., </w:t>
      </w:r>
      <w:r w:rsidRPr="00441666">
        <w:rPr>
          <w:i/>
          <w:iCs/>
        </w:rPr>
        <w:t>Sire, zijn er</w:t>
      </w:r>
      <w:r>
        <w:rPr>
          <w:i/>
          <w:iCs/>
        </w:rPr>
        <w:t xml:space="preserve"> domme werknemers in ons land?,</w:t>
      </w:r>
      <w:r>
        <w:t xml:space="preserve">, </w:t>
      </w:r>
      <w:r w:rsidR="00C05D8C">
        <w:t>d</w:t>
      </w:r>
      <w:r>
        <w:t xml:space="preserve">ie </w:t>
      </w:r>
      <w:proofErr w:type="spellStart"/>
      <w:r>
        <w:t>Keure</w:t>
      </w:r>
      <w:proofErr w:type="spellEnd"/>
      <w:r>
        <w:t xml:space="preserve">, 2001, 37; </w:t>
      </w:r>
      <w:r w:rsidR="00A03281">
        <w:t xml:space="preserve">JACOBS A.T.J.M, </w:t>
      </w:r>
      <w:r w:rsidR="00A03281">
        <w:rPr>
          <w:i/>
          <w:iCs/>
        </w:rPr>
        <w:t>Inleiding tot het Duitse arbeidsrecht,</w:t>
      </w:r>
      <w:r w:rsidR="00A03281">
        <w:t xml:space="preserve"> Gouda Quint, 1993, 58</w:t>
      </w:r>
      <w:r w:rsidR="00C05D8C">
        <w:t>.</w:t>
      </w:r>
    </w:p>
  </w:footnote>
  <w:footnote w:id="274">
    <w:p w14:paraId="6FF52462" w14:textId="13B08C5D" w:rsidR="00AC5E66" w:rsidRPr="00F920E9" w:rsidRDefault="00AC5E66">
      <w:pPr>
        <w:pStyle w:val="Voetnoottekst"/>
        <w:rPr>
          <w:lang w:val="de-LI"/>
        </w:rPr>
      </w:pPr>
      <w:r>
        <w:rPr>
          <w:rStyle w:val="Voetnootmarkering"/>
        </w:rPr>
        <w:footnoteRef/>
      </w:r>
      <w:r w:rsidR="006B24E8" w:rsidRPr="00F920E9">
        <w:rPr>
          <w:lang w:val="de-LI"/>
        </w:rPr>
        <w:t xml:space="preserve"> </w:t>
      </w:r>
      <w:r w:rsidRPr="00F920E9">
        <w:rPr>
          <w:lang w:val="de-LI"/>
        </w:rPr>
        <w:t>Art 3 Abs. 1 GG</w:t>
      </w:r>
      <w:r w:rsidR="00C05D8C" w:rsidRPr="00F920E9">
        <w:rPr>
          <w:lang w:val="de-LI"/>
        </w:rPr>
        <w:t>.</w:t>
      </w:r>
    </w:p>
  </w:footnote>
  <w:footnote w:id="275">
    <w:p w14:paraId="65C9918A" w14:textId="77057CC9" w:rsidR="00AC5E66" w:rsidRPr="00F920E9" w:rsidRDefault="00AC5E66">
      <w:pPr>
        <w:pStyle w:val="Voetnoottekst"/>
        <w:rPr>
          <w:lang w:val="de-LI"/>
        </w:rPr>
      </w:pPr>
      <w:r>
        <w:rPr>
          <w:rStyle w:val="Voetnootmarkering"/>
        </w:rPr>
        <w:footnoteRef/>
      </w:r>
      <w:r w:rsidR="006B24E8" w:rsidRPr="00F920E9">
        <w:rPr>
          <w:lang w:val="de-LI"/>
        </w:rPr>
        <w:t xml:space="preserve"> </w:t>
      </w:r>
      <w:r w:rsidRPr="00F920E9">
        <w:rPr>
          <w:lang w:val="de-LI"/>
        </w:rPr>
        <w:t xml:space="preserve">BVerfG 30 Mai 1990, </w:t>
      </w:r>
      <w:r w:rsidRPr="00F920E9">
        <w:rPr>
          <w:i/>
          <w:iCs/>
          <w:lang w:val="de-LI"/>
        </w:rPr>
        <w:t>N.J.W.</w:t>
      </w:r>
      <w:r w:rsidRPr="00F920E9">
        <w:rPr>
          <w:lang w:val="de-LI"/>
        </w:rPr>
        <w:t xml:space="preserve"> 1190, 2246</w:t>
      </w:r>
      <w:r w:rsidR="00A73DBB" w:rsidRPr="00F920E9">
        <w:rPr>
          <w:lang w:val="de-LI"/>
        </w:rPr>
        <w:t>; KNORR G., ‘Die gesetzliche Neuregelung der Kün</w:t>
      </w:r>
      <w:r w:rsidR="00E5701B" w:rsidRPr="00F920E9">
        <w:rPr>
          <w:lang w:val="de-LI"/>
        </w:rPr>
        <w:t xml:space="preserve">digungsfristen’, </w:t>
      </w:r>
      <w:r w:rsidR="00E5701B" w:rsidRPr="00F920E9">
        <w:rPr>
          <w:i/>
          <w:iCs/>
          <w:lang w:val="de-LI"/>
        </w:rPr>
        <w:t xml:space="preserve">Zeitschrift für Tarifrecht </w:t>
      </w:r>
      <w:r w:rsidR="00E5701B" w:rsidRPr="00F920E9">
        <w:rPr>
          <w:lang w:val="de-LI"/>
        </w:rPr>
        <w:t>1994, 269.</w:t>
      </w:r>
    </w:p>
  </w:footnote>
  <w:footnote w:id="276">
    <w:p w14:paraId="393A968B" w14:textId="7E7749DF" w:rsidR="00FD3853" w:rsidRPr="00FD3853" w:rsidRDefault="00FD3853">
      <w:pPr>
        <w:pStyle w:val="Voetnoottekst"/>
      </w:pPr>
      <w:r>
        <w:rPr>
          <w:rStyle w:val="Voetnootmarkering"/>
        </w:rPr>
        <w:footnoteRef/>
      </w:r>
      <w:r w:rsidR="00DF080D">
        <w:t xml:space="preserve"> </w:t>
      </w:r>
      <w:r>
        <w:t xml:space="preserve">KUIP S.W., </w:t>
      </w:r>
      <w:r>
        <w:rPr>
          <w:i/>
          <w:iCs/>
        </w:rPr>
        <w:t>Ontslagrecht met bijzondere aandacht voor de dringende reden,</w:t>
      </w:r>
      <w:r>
        <w:t xml:space="preserve"> Kluwer, 1993, 297-298</w:t>
      </w:r>
      <w:r w:rsidR="00F66AFE">
        <w:t>.</w:t>
      </w:r>
    </w:p>
  </w:footnote>
  <w:footnote w:id="277">
    <w:p w14:paraId="3E06774A" w14:textId="78B3ECA1" w:rsidR="00FD3853" w:rsidRPr="00F920E9" w:rsidRDefault="00FD3853">
      <w:pPr>
        <w:pStyle w:val="Voetnoottekst"/>
        <w:rPr>
          <w:lang w:val="de-LI"/>
        </w:rPr>
      </w:pPr>
      <w:r>
        <w:rPr>
          <w:rStyle w:val="Voetnootmarkering"/>
        </w:rPr>
        <w:footnoteRef/>
      </w:r>
      <w:r w:rsidRPr="00F920E9">
        <w:rPr>
          <w:lang w:val="de-LI"/>
        </w:rPr>
        <w:t xml:space="preserve"> BVerfG 30 Mai 1990, </w:t>
      </w:r>
      <w:r w:rsidRPr="00F920E9">
        <w:rPr>
          <w:i/>
          <w:iCs/>
          <w:lang w:val="de-LI"/>
        </w:rPr>
        <w:t xml:space="preserve">N.J.W., </w:t>
      </w:r>
      <w:r w:rsidRPr="00F920E9">
        <w:rPr>
          <w:lang w:val="de-LI"/>
        </w:rPr>
        <w:t>1990, 2246.</w:t>
      </w:r>
    </w:p>
  </w:footnote>
  <w:footnote w:id="278">
    <w:p w14:paraId="045A8720" w14:textId="15964567" w:rsidR="00D8397A" w:rsidRPr="00F920E9" w:rsidRDefault="00D8397A">
      <w:pPr>
        <w:pStyle w:val="Voetnoottekst"/>
        <w:rPr>
          <w:lang w:val="de-LI"/>
        </w:rPr>
      </w:pPr>
      <w:r>
        <w:rPr>
          <w:rStyle w:val="Voetnootmarkering"/>
        </w:rPr>
        <w:footnoteRef/>
      </w:r>
      <w:r w:rsidRPr="00F920E9">
        <w:rPr>
          <w:lang w:val="de-LI"/>
        </w:rPr>
        <w:t xml:space="preserve"> BVerfG 30 Mai 1990, </w:t>
      </w:r>
      <w:r w:rsidRPr="00F920E9">
        <w:rPr>
          <w:i/>
          <w:iCs/>
          <w:lang w:val="de-LI"/>
        </w:rPr>
        <w:t xml:space="preserve">N.J.W., </w:t>
      </w:r>
      <w:r w:rsidRPr="00F920E9">
        <w:rPr>
          <w:lang w:val="de-LI"/>
        </w:rPr>
        <w:t>1990, 2246.</w:t>
      </w:r>
    </w:p>
  </w:footnote>
  <w:footnote w:id="279">
    <w:p w14:paraId="01BC3ECF" w14:textId="413F743D" w:rsidR="001634DE" w:rsidRPr="00F920E9" w:rsidRDefault="001634DE">
      <w:pPr>
        <w:pStyle w:val="Voetnoottekst"/>
        <w:rPr>
          <w:lang w:val="de-LI"/>
        </w:rPr>
      </w:pPr>
      <w:r>
        <w:rPr>
          <w:rStyle w:val="Voetnootmarkering"/>
        </w:rPr>
        <w:footnoteRef/>
      </w:r>
      <w:r w:rsidRPr="00F920E9">
        <w:rPr>
          <w:lang w:val="de-LI"/>
        </w:rPr>
        <w:t xml:space="preserve"> § 82 Abs. 1 en § 78 Abs. 1 BVerfG</w:t>
      </w:r>
      <w:r w:rsidR="002F0898" w:rsidRPr="00F920E9">
        <w:rPr>
          <w:lang w:val="de-LI"/>
        </w:rPr>
        <w:t>.</w:t>
      </w:r>
    </w:p>
  </w:footnote>
  <w:footnote w:id="280">
    <w:p w14:paraId="1AEC28D2" w14:textId="7B080F18" w:rsidR="001634DE" w:rsidRPr="00F920E9" w:rsidRDefault="001634DE">
      <w:pPr>
        <w:pStyle w:val="Voetnoottekst"/>
        <w:rPr>
          <w:lang w:val="de-LI"/>
        </w:rPr>
      </w:pPr>
      <w:r>
        <w:rPr>
          <w:rStyle w:val="Voetnootmarkering"/>
        </w:rPr>
        <w:footnoteRef/>
      </w:r>
      <w:r w:rsidRPr="00F920E9">
        <w:rPr>
          <w:lang w:val="de-LI"/>
        </w:rPr>
        <w:t xml:space="preserve"> BVerfG 30 Mai 1990, N.J.W. 1190, 2246</w:t>
      </w:r>
      <w:r w:rsidR="0016473B">
        <w:rPr>
          <w:lang w:val="de-LI"/>
        </w:rPr>
        <w:t>.</w:t>
      </w:r>
    </w:p>
  </w:footnote>
  <w:footnote w:id="281">
    <w:p w14:paraId="4D2876D4" w14:textId="6F422FF8" w:rsidR="001634DE" w:rsidRPr="00F920E9" w:rsidRDefault="001634DE">
      <w:pPr>
        <w:pStyle w:val="Voetnoottekst"/>
        <w:rPr>
          <w:lang w:val="de-LI"/>
        </w:rPr>
      </w:pPr>
      <w:r>
        <w:rPr>
          <w:rStyle w:val="Voetnootmarkering"/>
        </w:rPr>
        <w:footnoteRef/>
      </w:r>
      <w:r w:rsidRPr="00F920E9">
        <w:rPr>
          <w:lang w:val="de-LI"/>
        </w:rPr>
        <w:t xml:space="preserve"> PREIS U. en KRAMER M., </w:t>
      </w:r>
      <w:r w:rsidR="002F0898" w:rsidRPr="00F920E9">
        <w:rPr>
          <w:lang w:val="de-LI"/>
        </w:rPr>
        <w:t>‘</w:t>
      </w:r>
      <w:r w:rsidRPr="00F920E9">
        <w:rPr>
          <w:lang w:val="de-LI"/>
        </w:rPr>
        <w:t>Das neue Kündigungsfristengesetz</w:t>
      </w:r>
      <w:r w:rsidR="002F0898" w:rsidRPr="00F920E9">
        <w:rPr>
          <w:lang w:val="de-LI"/>
        </w:rPr>
        <w:t>’</w:t>
      </w:r>
      <w:r w:rsidRPr="00F920E9">
        <w:rPr>
          <w:lang w:val="de-LI"/>
        </w:rPr>
        <w:t xml:space="preserve">, </w:t>
      </w:r>
      <w:r w:rsidRPr="00F920E9">
        <w:rPr>
          <w:i/>
          <w:iCs/>
          <w:lang w:val="de-LI"/>
        </w:rPr>
        <w:t xml:space="preserve">D.B. </w:t>
      </w:r>
      <w:r w:rsidRPr="00F920E9">
        <w:rPr>
          <w:lang w:val="de-LI"/>
        </w:rPr>
        <w:t>1993, S. 2</w:t>
      </w:r>
      <w:r w:rsidR="002F0898" w:rsidRPr="00F920E9">
        <w:rPr>
          <w:lang w:val="de-LI"/>
        </w:rPr>
        <w:t>.</w:t>
      </w:r>
    </w:p>
  </w:footnote>
  <w:footnote w:id="282">
    <w:p w14:paraId="6F3BC5E2" w14:textId="4159E679" w:rsidR="001634DE" w:rsidRPr="00F920E9" w:rsidRDefault="001634DE">
      <w:pPr>
        <w:pStyle w:val="Voetnoottekst"/>
        <w:rPr>
          <w:lang w:val="de-LI"/>
        </w:rPr>
      </w:pPr>
      <w:r>
        <w:rPr>
          <w:rStyle w:val="Voetnootmarkering"/>
        </w:rPr>
        <w:footnoteRef/>
      </w:r>
      <w:r w:rsidR="00DF080D" w:rsidRPr="00F920E9">
        <w:rPr>
          <w:lang w:val="de-LI"/>
        </w:rPr>
        <w:t xml:space="preserve"> </w:t>
      </w:r>
      <w:r w:rsidRPr="00F920E9">
        <w:rPr>
          <w:lang w:val="de-LI"/>
        </w:rPr>
        <w:t>Gesetz zur Vereinheitlichung der Kündigungsfristen von Arbeitern und Angestellten vom 7 Oktober 1993, BGBl. I, S. 1668</w:t>
      </w:r>
      <w:r w:rsidR="008D7C5E" w:rsidRPr="00F920E9">
        <w:rPr>
          <w:lang w:val="de-LI"/>
        </w:rPr>
        <w:t xml:space="preserve">; KNORR G., </w:t>
      </w:r>
      <w:r w:rsidR="00123826" w:rsidRPr="00F920E9">
        <w:rPr>
          <w:lang w:val="de-LI"/>
        </w:rPr>
        <w:t>‘</w:t>
      </w:r>
      <w:r w:rsidR="008D7C5E" w:rsidRPr="00F920E9">
        <w:rPr>
          <w:lang w:val="de-LI"/>
        </w:rPr>
        <w:t>Die gesetzliche Neuregelung der Kündigungsfristen</w:t>
      </w:r>
      <w:r w:rsidR="00123826" w:rsidRPr="00F920E9">
        <w:rPr>
          <w:lang w:val="de-LI"/>
        </w:rPr>
        <w:t>’</w:t>
      </w:r>
      <w:r w:rsidR="008D7C5E" w:rsidRPr="00F920E9">
        <w:rPr>
          <w:lang w:val="de-LI"/>
        </w:rPr>
        <w:t xml:space="preserve">, </w:t>
      </w:r>
      <w:r w:rsidR="008D7C5E" w:rsidRPr="00F920E9">
        <w:rPr>
          <w:i/>
          <w:iCs/>
          <w:lang w:val="de-LI"/>
        </w:rPr>
        <w:t>Zeitschrift für Tarifrecht</w:t>
      </w:r>
      <w:r w:rsidR="008D7C5E" w:rsidRPr="00F920E9">
        <w:rPr>
          <w:lang w:val="de-LI"/>
        </w:rPr>
        <w:t xml:space="preserve"> 1994, 269.</w:t>
      </w:r>
    </w:p>
  </w:footnote>
  <w:footnote w:id="283">
    <w:p w14:paraId="1C0D1878" w14:textId="3071320F" w:rsidR="003463E6" w:rsidRDefault="003463E6">
      <w:pPr>
        <w:pStyle w:val="Voetnoottekst"/>
      </w:pPr>
      <w:r>
        <w:rPr>
          <w:rStyle w:val="Voetnootmarkering"/>
        </w:rPr>
        <w:footnoteRef/>
      </w:r>
      <w:r w:rsidR="005E63CC">
        <w:t xml:space="preserve"> </w:t>
      </w:r>
      <w:r w:rsidRPr="00441666">
        <w:t xml:space="preserve">BLANPAIN R., </w:t>
      </w:r>
      <w:r w:rsidRPr="00441666">
        <w:rPr>
          <w:i/>
          <w:iCs/>
        </w:rPr>
        <w:t>Sire, zijn er</w:t>
      </w:r>
      <w:r>
        <w:rPr>
          <w:i/>
          <w:iCs/>
        </w:rPr>
        <w:t xml:space="preserve"> domme werknemers in ons land?,</w:t>
      </w:r>
      <w:r>
        <w:t xml:space="preserve"> </w:t>
      </w:r>
      <w:r w:rsidR="00123826">
        <w:t>d</w:t>
      </w:r>
      <w:r>
        <w:t xml:space="preserve">ie </w:t>
      </w:r>
      <w:proofErr w:type="spellStart"/>
      <w:r>
        <w:t>Keure</w:t>
      </w:r>
      <w:proofErr w:type="spellEnd"/>
      <w:r>
        <w:t>, 2001, 37</w:t>
      </w:r>
      <w:r w:rsidR="00123826">
        <w:t>.</w:t>
      </w:r>
    </w:p>
  </w:footnote>
  <w:footnote w:id="284">
    <w:p w14:paraId="25A35408" w14:textId="019A3A3A" w:rsidR="00585D03" w:rsidRDefault="00585D03">
      <w:pPr>
        <w:pStyle w:val="Voetnoottekst"/>
      </w:pPr>
      <w:r>
        <w:rPr>
          <w:rStyle w:val="Voetnootmarkering"/>
        </w:rPr>
        <w:footnoteRef/>
      </w:r>
      <w:r w:rsidR="005E63CC">
        <w:t xml:space="preserve"> </w:t>
      </w:r>
      <w:r w:rsidRPr="00441666">
        <w:t xml:space="preserve">BLANPAIN R., </w:t>
      </w:r>
      <w:r w:rsidRPr="00441666">
        <w:rPr>
          <w:i/>
          <w:iCs/>
        </w:rPr>
        <w:t>Sire, zijn er</w:t>
      </w:r>
      <w:r>
        <w:rPr>
          <w:i/>
          <w:iCs/>
        </w:rPr>
        <w:t xml:space="preserve"> domme werknemers in ons land?, </w:t>
      </w:r>
      <w:r w:rsidR="000B4006">
        <w:t>d</w:t>
      </w:r>
      <w:r>
        <w:t xml:space="preserve">ie </w:t>
      </w:r>
      <w:proofErr w:type="spellStart"/>
      <w:r>
        <w:t>Keure</w:t>
      </w:r>
      <w:proofErr w:type="spellEnd"/>
      <w:r>
        <w:t>, 2001, 38</w:t>
      </w:r>
      <w:r w:rsidR="000B4006">
        <w:t>.</w:t>
      </w:r>
    </w:p>
  </w:footnote>
  <w:footnote w:id="285">
    <w:p w14:paraId="0189EB84" w14:textId="0C7E4C10" w:rsidR="00E4059A" w:rsidRPr="00CD18DB" w:rsidRDefault="00E4059A">
      <w:pPr>
        <w:pStyle w:val="Voetnoottekst"/>
      </w:pPr>
      <w:r>
        <w:rPr>
          <w:rStyle w:val="Voetnootmarkering"/>
        </w:rPr>
        <w:footnoteRef/>
      </w:r>
      <w:r w:rsidR="005E63CC">
        <w:t xml:space="preserve"> </w:t>
      </w:r>
      <w:r w:rsidR="00257C6E">
        <w:t>Wet van 19 december 1974 ter verbetering van bedrijfspensioenregelingen</w:t>
      </w:r>
      <w:r w:rsidR="00FD07DD">
        <w:t xml:space="preserve">, Duitsland, </w:t>
      </w:r>
      <w:r w:rsidR="00CD18DB">
        <w:rPr>
          <w:i/>
          <w:iCs/>
        </w:rPr>
        <w:t xml:space="preserve">DS </w:t>
      </w:r>
      <w:r w:rsidR="00CD18DB">
        <w:t>19 dece</w:t>
      </w:r>
      <w:r w:rsidR="00D26305">
        <w:t>m</w:t>
      </w:r>
      <w:r w:rsidR="00CD18DB">
        <w:t xml:space="preserve">ber 1974, </w:t>
      </w:r>
      <w:hyperlink r:id="rId14" w:history="1">
        <w:r w:rsidR="00B04625" w:rsidRPr="00C636CF">
          <w:rPr>
            <w:rStyle w:val="Hyperlink"/>
          </w:rPr>
          <w:t>https://www.gesetze-im-internet.de/betravg/BetrAVG.pdf</w:t>
        </w:r>
      </w:hyperlink>
      <w:r w:rsidR="00DF3D81">
        <w:t xml:space="preserve">; </w:t>
      </w:r>
      <w:r w:rsidR="00DF3D81" w:rsidRPr="00DF3D81">
        <w:t>BLANK F., HOFMANN M. en BUNTENBACH A. (</w:t>
      </w:r>
      <w:proofErr w:type="spellStart"/>
      <w:r w:rsidR="00DF3D81" w:rsidRPr="00DF3D81">
        <w:t>eds</w:t>
      </w:r>
      <w:proofErr w:type="spellEnd"/>
      <w:r w:rsidR="00DF3D81" w:rsidRPr="00DF3D81">
        <w:t xml:space="preserve">.), </w:t>
      </w:r>
      <w:proofErr w:type="spellStart"/>
      <w:r w:rsidR="00DF3D81" w:rsidRPr="00DF3D81">
        <w:rPr>
          <w:i/>
          <w:iCs/>
        </w:rPr>
        <w:t>Neustart</w:t>
      </w:r>
      <w:proofErr w:type="spellEnd"/>
      <w:r w:rsidR="00DF3D81" w:rsidRPr="00DF3D81">
        <w:rPr>
          <w:i/>
          <w:iCs/>
        </w:rPr>
        <w:t xml:space="preserve"> in der </w:t>
      </w:r>
      <w:proofErr w:type="spellStart"/>
      <w:r w:rsidR="00DF3D81" w:rsidRPr="00DF3D81">
        <w:rPr>
          <w:i/>
          <w:iCs/>
        </w:rPr>
        <w:t>Rentenpolitik</w:t>
      </w:r>
      <w:proofErr w:type="spellEnd"/>
      <w:r w:rsidR="00DF3D81" w:rsidRPr="00DF3D81">
        <w:rPr>
          <w:i/>
          <w:iCs/>
        </w:rPr>
        <w:t xml:space="preserve">: Analysen </w:t>
      </w:r>
      <w:proofErr w:type="spellStart"/>
      <w:r w:rsidR="00DF3D81" w:rsidRPr="00DF3D81">
        <w:rPr>
          <w:i/>
          <w:iCs/>
        </w:rPr>
        <w:t>und</w:t>
      </w:r>
      <w:proofErr w:type="spellEnd"/>
      <w:r w:rsidR="00DF3D81" w:rsidRPr="00DF3D81">
        <w:rPr>
          <w:i/>
          <w:iCs/>
        </w:rPr>
        <w:t xml:space="preserve"> </w:t>
      </w:r>
      <w:proofErr w:type="spellStart"/>
      <w:r w:rsidR="00DF3D81" w:rsidRPr="00DF3D81">
        <w:rPr>
          <w:i/>
          <w:iCs/>
        </w:rPr>
        <w:t>Perspektiven</w:t>
      </w:r>
      <w:proofErr w:type="spellEnd"/>
      <w:r w:rsidR="00DF3D81" w:rsidRPr="00DF3D81">
        <w:t>,</w:t>
      </w:r>
      <w:r w:rsidR="00DE0447">
        <w:t xml:space="preserve">, </w:t>
      </w:r>
      <w:proofErr w:type="spellStart"/>
      <w:r w:rsidR="00DE0447">
        <w:t>Nomos</w:t>
      </w:r>
      <w:proofErr w:type="spellEnd"/>
      <w:r w:rsidR="00DE0447">
        <w:t>, 2020,</w:t>
      </w:r>
      <w:r w:rsidR="0019223A">
        <w:t xml:space="preserve"> 47</w:t>
      </w:r>
    </w:p>
  </w:footnote>
  <w:footnote w:id="286">
    <w:p w14:paraId="10145BE5" w14:textId="26737111" w:rsidR="00995C70" w:rsidRPr="00FE0DA9" w:rsidRDefault="00995C70">
      <w:pPr>
        <w:pStyle w:val="Voetnoottekst"/>
      </w:pPr>
      <w:r>
        <w:rPr>
          <w:rStyle w:val="Voetnootmarkering"/>
        </w:rPr>
        <w:footnoteRef/>
      </w:r>
      <w:r w:rsidR="005E63CC">
        <w:t xml:space="preserve"> </w:t>
      </w:r>
      <w:r w:rsidR="00FE0DA9">
        <w:t xml:space="preserve">VAN DEN HEUVEL-WARREN J., </w:t>
      </w:r>
      <w:r w:rsidR="00FE0DA9">
        <w:rPr>
          <w:i/>
          <w:iCs/>
        </w:rPr>
        <w:t xml:space="preserve">De pensioenvoorziening in Nederland, Duitsland, het Verenigd Koninkrijk en Zwitserland: een rechtsvergelijkend onderzoek : </w:t>
      </w:r>
      <w:proofErr w:type="spellStart"/>
      <w:r w:rsidR="00FE0DA9">
        <w:rPr>
          <w:i/>
          <w:iCs/>
        </w:rPr>
        <w:t>Netspar</w:t>
      </w:r>
      <w:proofErr w:type="spellEnd"/>
      <w:r w:rsidR="00FE0DA9">
        <w:rPr>
          <w:i/>
          <w:iCs/>
        </w:rPr>
        <w:t xml:space="preserve"> Design Paper 222, </w:t>
      </w:r>
      <w:proofErr w:type="spellStart"/>
      <w:r w:rsidR="00FE0DA9">
        <w:t>Netspar</w:t>
      </w:r>
      <w:proofErr w:type="spellEnd"/>
      <w:r w:rsidR="00FE0DA9">
        <w:t>, 2023</w:t>
      </w:r>
      <w:r w:rsidR="001E0184">
        <w:t>, 31</w:t>
      </w:r>
      <w:r w:rsidR="00D26305">
        <w:t>.</w:t>
      </w:r>
    </w:p>
  </w:footnote>
  <w:footnote w:id="287">
    <w:p w14:paraId="5651AEA9" w14:textId="35C55A24" w:rsidR="00E81726" w:rsidRPr="00F920E9" w:rsidRDefault="00E81726">
      <w:pPr>
        <w:pStyle w:val="Voetnoottekst"/>
        <w:rPr>
          <w:lang w:val="de-LI"/>
        </w:rPr>
      </w:pPr>
      <w:r>
        <w:rPr>
          <w:rStyle w:val="Voetnootmarkering"/>
        </w:rPr>
        <w:footnoteRef/>
      </w:r>
      <w:r w:rsidR="005E63CC" w:rsidRPr="00F920E9">
        <w:rPr>
          <w:lang w:val="de-LI"/>
        </w:rPr>
        <w:t xml:space="preserve"> </w:t>
      </w:r>
      <w:r w:rsidR="008A32DB" w:rsidRPr="00F920E9">
        <w:rPr>
          <w:lang w:val="de-LI"/>
        </w:rPr>
        <w:t xml:space="preserve">LEIBER S., </w:t>
      </w:r>
      <w:r w:rsidR="00D26305" w:rsidRPr="00F920E9">
        <w:rPr>
          <w:lang w:val="de-LI"/>
        </w:rPr>
        <w:t>‘</w:t>
      </w:r>
      <w:r w:rsidR="00B80651" w:rsidRPr="00F920E9">
        <w:rPr>
          <w:lang w:val="de-LI"/>
        </w:rPr>
        <w:t>Formen und Verbreitung der betrieblichen Altersvorsorge – Eine Zwischenbilanz</w:t>
      </w:r>
      <w:r w:rsidR="00D26305" w:rsidRPr="00F920E9">
        <w:rPr>
          <w:lang w:val="de-LI"/>
        </w:rPr>
        <w:t>’</w:t>
      </w:r>
      <w:r w:rsidR="00556885" w:rsidRPr="00F920E9">
        <w:rPr>
          <w:lang w:val="de-LI"/>
        </w:rPr>
        <w:t xml:space="preserve">, </w:t>
      </w:r>
      <w:r w:rsidR="00556885" w:rsidRPr="00F920E9">
        <w:rPr>
          <w:i/>
          <w:iCs/>
          <w:lang w:val="de-LI"/>
        </w:rPr>
        <w:t xml:space="preserve">WSI Mitteilungen </w:t>
      </w:r>
      <w:r w:rsidR="00556885" w:rsidRPr="00F920E9">
        <w:rPr>
          <w:lang w:val="de-LI"/>
        </w:rPr>
        <w:t xml:space="preserve">6/2005, </w:t>
      </w:r>
      <w:r w:rsidR="00216164" w:rsidRPr="00F920E9">
        <w:rPr>
          <w:lang w:val="de-LI"/>
        </w:rPr>
        <w:t>314</w:t>
      </w:r>
      <w:r w:rsidR="00D26305" w:rsidRPr="00F920E9">
        <w:rPr>
          <w:lang w:val="de-LI"/>
        </w:rPr>
        <w:t>.</w:t>
      </w:r>
    </w:p>
  </w:footnote>
  <w:footnote w:id="288">
    <w:p w14:paraId="1A2367B9" w14:textId="6F1FDD0F" w:rsidR="0059012E" w:rsidRPr="00F920E9" w:rsidRDefault="0059012E">
      <w:pPr>
        <w:pStyle w:val="Voetnoottekst"/>
        <w:rPr>
          <w:i/>
          <w:iCs/>
          <w:lang w:val="de-LI"/>
        </w:rPr>
      </w:pPr>
      <w:r>
        <w:rPr>
          <w:rStyle w:val="Voetnootmarkering"/>
        </w:rPr>
        <w:footnoteRef/>
      </w:r>
      <w:r w:rsidR="005E63CC" w:rsidRPr="00F920E9">
        <w:rPr>
          <w:lang w:val="de-LI"/>
        </w:rPr>
        <w:t xml:space="preserve"> </w:t>
      </w:r>
      <w:r w:rsidRPr="00F920E9">
        <w:rPr>
          <w:lang w:val="de-LI"/>
        </w:rPr>
        <w:t xml:space="preserve">LEIBER S., </w:t>
      </w:r>
      <w:r w:rsidR="00D26305" w:rsidRPr="00F920E9">
        <w:rPr>
          <w:lang w:val="de-LI"/>
        </w:rPr>
        <w:t>‘</w:t>
      </w:r>
      <w:r w:rsidRPr="00F920E9">
        <w:rPr>
          <w:lang w:val="de-LI"/>
        </w:rPr>
        <w:t>Formen und Verbreitung der betrieblichen Altersvorsorge – Eine Zwischenbilanz</w:t>
      </w:r>
      <w:r w:rsidR="00D26305" w:rsidRPr="00F920E9">
        <w:rPr>
          <w:lang w:val="de-LI"/>
        </w:rPr>
        <w:t>’</w:t>
      </w:r>
      <w:r w:rsidRPr="00F920E9">
        <w:rPr>
          <w:lang w:val="de-LI"/>
        </w:rPr>
        <w:t xml:space="preserve">, </w:t>
      </w:r>
      <w:r w:rsidRPr="00F920E9">
        <w:rPr>
          <w:i/>
          <w:iCs/>
          <w:lang w:val="de-LI"/>
        </w:rPr>
        <w:t xml:space="preserve">WSI Mitteilungen </w:t>
      </w:r>
      <w:r w:rsidRPr="00F920E9">
        <w:rPr>
          <w:lang w:val="de-LI"/>
        </w:rPr>
        <w:t>6/2005, 314</w:t>
      </w:r>
      <w:r w:rsidR="00926DF6" w:rsidRPr="00F920E9">
        <w:rPr>
          <w:lang w:val="de-LI"/>
        </w:rPr>
        <w:t xml:space="preserve">; RIEDMANN A., BILGER F., en SCHMIDT S., </w:t>
      </w:r>
      <w:r w:rsidR="00926DF6" w:rsidRPr="00F920E9">
        <w:rPr>
          <w:i/>
          <w:iCs/>
          <w:lang w:val="de-LI"/>
        </w:rPr>
        <w:t xml:space="preserve">Verbreitung der Altersvorsorge 2023: Endbericht, </w:t>
      </w:r>
      <w:r w:rsidR="00926DF6" w:rsidRPr="00F920E9">
        <w:rPr>
          <w:lang w:val="de-LI"/>
        </w:rPr>
        <w:t>Bundes</w:t>
      </w:r>
      <w:r w:rsidR="00B507C1" w:rsidRPr="00F920E9">
        <w:rPr>
          <w:lang w:val="de-LI"/>
        </w:rPr>
        <w:t xml:space="preserve">ministerium für Arbeit und Soziales, 2024, </w:t>
      </w:r>
      <w:r w:rsidR="00E2668D" w:rsidRPr="00F920E9">
        <w:rPr>
          <w:lang w:val="de-LI"/>
        </w:rPr>
        <w:t>15.</w:t>
      </w:r>
    </w:p>
  </w:footnote>
  <w:footnote w:id="289">
    <w:p w14:paraId="6D7F34C3" w14:textId="0655434F" w:rsidR="00C0399B" w:rsidRPr="00DD625D" w:rsidRDefault="00C0399B">
      <w:pPr>
        <w:pStyle w:val="Voetnoottekst"/>
        <w:rPr>
          <w:lang w:val="de-LI"/>
        </w:rPr>
      </w:pPr>
      <w:r>
        <w:rPr>
          <w:rStyle w:val="Voetnootmarkering"/>
        </w:rPr>
        <w:footnoteRef/>
      </w:r>
      <w:r w:rsidR="00BD3D86" w:rsidRPr="00F920E9">
        <w:rPr>
          <w:lang w:val="de-LI"/>
        </w:rPr>
        <w:t xml:space="preserve"> </w:t>
      </w:r>
      <w:r w:rsidR="007A211A" w:rsidRPr="00DD625D">
        <w:rPr>
          <w:lang w:val="de-LI"/>
        </w:rPr>
        <w:t xml:space="preserve">WISS T., </w:t>
      </w:r>
      <w:r w:rsidR="007A211A" w:rsidRPr="00DD625D">
        <w:rPr>
          <w:i/>
          <w:iCs/>
          <w:lang w:val="de-LI"/>
        </w:rPr>
        <w:t>Neustart in der Rentenpolitik, Analysen und Perspektiven,</w:t>
      </w:r>
      <w:r w:rsidR="00664FE1" w:rsidRPr="00DD625D">
        <w:rPr>
          <w:lang w:val="de-LI"/>
        </w:rPr>
        <w:t xml:space="preserve">, Nomos, 2020, </w:t>
      </w:r>
      <w:r w:rsidR="00A95960" w:rsidRPr="00DD625D">
        <w:rPr>
          <w:lang w:val="de-LI"/>
        </w:rPr>
        <w:t>20</w:t>
      </w:r>
      <w:r w:rsidR="00D26305" w:rsidRPr="00DD625D">
        <w:rPr>
          <w:lang w:val="de-LI"/>
        </w:rPr>
        <w:t>7.</w:t>
      </w:r>
      <w:r w:rsidR="00A95960" w:rsidRPr="00DD625D">
        <w:rPr>
          <w:lang w:val="de-LI"/>
        </w:rPr>
        <w:t xml:space="preserve"> </w:t>
      </w:r>
    </w:p>
  </w:footnote>
  <w:footnote w:id="290">
    <w:p w14:paraId="61C16635" w14:textId="1003E3CD" w:rsidR="00E854B3" w:rsidRPr="00DD625D" w:rsidRDefault="00E854B3">
      <w:pPr>
        <w:pStyle w:val="Voetnoottekst"/>
        <w:rPr>
          <w:lang w:val="de-LI"/>
        </w:rPr>
      </w:pPr>
      <w:r w:rsidRPr="00DD625D">
        <w:rPr>
          <w:rStyle w:val="Voetnootmarkering"/>
          <w:lang w:val="de-LI"/>
        </w:rPr>
        <w:footnoteRef/>
      </w:r>
      <w:r w:rsidR="00BD3D86" w:rsidRPr="00DD625D">
        <w:rPr>
          <w:lang w:val="de-LI"/>
        </w:rPr>
        <w:t xml:space="preserve"> </w:t>
      </w:r>
      <w:r w:rsidR="000B0AD0" w:rsidRPr="00DD625D">
        <w:rPr>
          <w:lang w:val="de-LI"/>
        </w:rPr>
        <w:t xml:space="preserve">LEIBER S., </w:t>
      </w:r>
      <w:r w:rsidR="003F2276" w:rsidRPr="00DD625D">
        <w:rPr>
          <w:lang w:val="de-LI"/>
        </w:rPr>
        <w:t>‘</w:t>
      </w:r>
      <w:r w:rsidR="000B0AD0" w:rsidRPr="00DD625D">
        <w:rPr>
          <w:lang w:val="de-LI"/>
        </w:rPr>
        <w:t>Formen und Verbreitung der betrieblichen Altersvorsorge – Eine Zwischenbilanz</w:t>
      </w:r>
      <w:r w:rsidR="003F2276" w:rsidRPr="00DD625D">
        <w:rPr>
          <w:lang w:val="de-LI"/>
        </w:rPr>
        <w:t>’</w:t>
      </w:r>
      <w:r w:rsidR="000B0AD0" w:rsidRPr="00DD625D">
        <w:rPr>
          <w:lang w:val="de-LI"/>
        </w:rPr>
        <w:t xml:space="preserve">, </w:t>
      </w:r>
      <w:r w:rsidR="000B0AD0" w:rsidRPr="00DD625D">
        <w:rPr>
          <w:i/>
          <w:iCs/>
          <w:lang w:val="de-LI"/>
        </w:rPr>
        <w:t xml:space="preserve">WSI Mitteilungen </w:t>
      </w:r>
      <w:r w:rsidR="000B0AD0" w:rsidRPr="00DD625D">
        <w:rPr>
          <w:lang w:val="de-LI"/>
        </w:rPr>
        <w:t>6/2005, 314;</w:t>
      </w:r>
      <w:r w:rsidR="00242784" w:rsidRPr="00DD625D">
        <w:rPr>
          <w:lang w:val="de-LI"/>
        </w:rPr>
        <w:t xml:space="preserve"> VAN DEN HEUVEL-WARREN J., </w:t>
      </w:r>
      <w:r w:rsidR="00242784" w:rsidRPr="00DD625D">
        <w:rPr>
          <w:i/>
          <w:iCs/>
          <w:lang w:val="de-LI"/>
        </w:rPr>
        <w:t xml:space="preserve">De </w:t>
      </w:r>
      <w:proofErr w:type="spellStart"/>
      <w:r w:rsidR="00242784" w:rsidRPr="00DD625D">
        <w:rPr>
          <w:i/>
          <w:iCs/>
          <w:lang w:val="de-LI"/>
        </w:rPr>
        <w:t>pensioenvoorziening</w:t>
      </w:r>
      <w:proofErr w:type="spellEnd"/>
      <w:r w:rsidR="00242784" w:rsidRPr="00DD625D">
        <w:rPr>
          <w:i/>
          <w:iCs/>
          <w:lang w:val="de-LI"/>
        </w:rPr>
        <w:t xml:space="preserve"> in </w:t>
      </w:r>
      <w:proofErr w:type="spellStart"/>
      <w:r w:rsidR="00242784" w:rsidRPr="00DD625D">
        <w:rPr>
          <w:i/>
          <w:iCs/>
          <w:lang w:val="de-LI"/>
        </w:rPr>
        <w:t>Nederland</w:t>
      </w:r>
      <w:proofErr w:type="spellEnd"/>
      <w:r w:rsidR="00242784" w:rsidRPr="00DD625D">
        <w:rPr>
          <w:i/>
          <w:iCs/>
          <w:lang w:val="de-LI"/>
        </w:rPr>
        <w:t xml:space="preserve">, </w:t>
      </w:r>
      <w:proofErr w:type="spellStart"/>
      <w:r w:rsidR="00242784" w:rsidRPr="00DD625D">
        <w:rPr>
          <w:i/>
          <w:iCs/>
          <w:lang w:val="de-LI"/>
        </w:rPr>
        <w:t>Duitsland</w:t>
      </w:r>
      <w:proofErr w:type="spellEnd"/>
      <w:r w:rsidR="00242784" w:rsidRPr="00DD625D">
        <w:rPr>
          <w:i/>
          <w:iCs/>
          <w:lang w:val="de-LI"/>
        </w:rPr>
        <w:t xml:space="preserve">, </w:t>
      </w:r>
      <w:proofErr w:type="spellStart"/>
      <w:r w:rsidR="00242784" w:rsidRPr="00DD625D">
        <w:rPr>
          <w:i/>
          <w:iCs/>
          <w:lang w:val="de-LI"/>
        </w:rPr>
        <w:t>het</w:t>
      </w:r>
      <w:proofErr w:type="spellEnd"/>
      <w:r w:rsidR="00242784" w:rsidRPr="00DD625D">
        <w:rPr>
          <w:i/>
          <w:iCs/>
          <w:lang w:val="de-LI"/>
        </w:rPr>
        <w:t xml:space="preserve"> </w:t>
      </w:r>
      <w:proofErr w:type="spellStart"/>
      <w:r w:rsidR="00242784" w:rsidRPr="00DD625D">
        <w:rPr>
          <w:i/>
          <w:iCs/>
          <w:lang w:val="de-LI"/>
        </w:rPr>
        <w:t>Verenigd</w:t>
      </w:r>
      <w:proofErr w:type="spellEnd"/>
      <w:r w:rsidR="00242784" w:rsidRPr="00DD625D">
        <w:rPr>
          <w:i/>
          <w:iCs/>
          <w:lang w:val="de-LI"/>
        </w:rPr>
        <w:t xml:space="preserve"> </w:t>
      </w:r>
      <w:proofErr w:type="spellStart"/>
      <w:r w:rsidR="00242784" w:rsidRPr="00DD625D">
        <w:rPr>
          <w:i/>
          <w:iCs/>
          <w:lang w:val="de-LI"/>
        </w:rPr>
        <w:t>Koninkrijk</w:t>
      </w:r>
      <w:proofErr w:type="spellEnd"/>
      <w:r w:rsidR="00242784" w:rsidRPr="00DD625D">
        <w:rPr>
          <w:i/>
          <w:iCs/>
          <w:lang w:val="de-LI"/>
        </w:rPr>
        <w:t xml:space="preserve"> en </w:t>
      </w:r>
      <w:proofErr w:type="spellStart"/>
      <w:r w:rsidR="00242784" w:rsidRPr="00DD625D">
        <w:rPr>
          <w:i/>
          <w:iCs/>
          <w:lang w:val="de-LI"/>
        </w:rPr>
        <w:t>Zwitserland</w:t>
      </w:r>
      <w:proofErr w:type="spellEnd"/>
      <w:r w:rsidR="00242784" w:rsidRPr="00DD625D">
        <w:rPr>
          <w:i/>
          <w:iCs/>
          <w:lang w:val="de-LI"/>
        </w:rPr>
        <w:t xml:space="preserve">: </w:t>
      </w:r>
      <w:proofErr w:type="spellStart"/>
      <w:r w:rsidR="00242784" w:rsidRPr="00DD625D">
        <w:rPr>
          <w:i/>
          <w:iCs/>
          <w:lang w:val="de-LI"/>
        </w:rPr>
        <w:t>een</w:t>
      </w:r>
      <w:proofErr w:type="spellEnd"/>
      <w:r w:rsidR="00242784" w:rsidRPr="00DD625D">
        <w:rPr>
          <w:i/>
          <w:iCs/>
          <w:lang w:val="de-LI"/>
        </w:rPr>
        <w:t xml:space="preserve"> </w:t>
      </w:r>
      <w:proofErr w:type="spellStart"/>
      <w:r w:rsidR="00242784" w:rsidRPr="00DD625D">
        <w:rPr>
          <w:i/>
          <w:iCs/>
          <w:lang w:val="de-LI"/>
        </w:rPr>
        <w:t>rechtsvergelijkend</w:t>
      </w:r>
      <w:proofErr w:type="spellEnd"/>
      <w:r w:rsidR="00242784" w:rsidRPr="00DD625D">
        <w:rPr>
          <w:i/>
          <w:iCs/>
          <w:lang w:val="de-LI"/>
        </w:rPr>
        <w:t xml:space="preserve"> </w:t>
      </w:r>
      <w:proofErr w:type="spellStart"/>
      <w:r w:rsidR="00242784" w:rsidRPr="00DD625D">
        <w:rPr>
          <w:i/>
          <w:iCs/>
          <w:lang w:val="de-LI"/>
        </w:rPr>
        <w:t>onderzoek</w:t>
      </w:r>
      <w:proofErr w:type="spellEnd"/>
      <w:r w:rsidR="00242784" w:rsidRPr="00DD625D">
        <w:rPr>
          <w:i/>
          <w:iCs/>
          <w:lang w:val="de-LI"/>
        </w:rPr>
        <w:t xml:space="preserve"> : </w:t>
      </w:r>
      <w:proofErr w:type="spellStart"/>
      <w:r w:rsidR="00242784" w:rsidRPr="00DD625D">
        <w:rPr>
          <w:i/>
          <w:iCs/>
          <w:lang w:val="de-LI"/>
        </w:rPr>
        <w:t>Netspar</w:t>
      </w:r>
      <w:proofErr w:type="spellEnd"/>
      <w:r w:rsidR="00242784" w:rsidRPr="00DD625D">
        <w:rPr>
          <w:i/>
          <w:iCs/>
          <w:lang w:val="de-LI"/>
        </w:rPr>
        <w:t xml:space="preserve"> Design Paper 222, </w:t>
      </w:r>
      <w:proofErr w:type="spellStart"/>
      <w:r w:rsidR="00242784" w:rsidRPr="00DD625D">
        <w:rPr>
          <w:lang w:val="de-LI"/>
        </w:rPr>
        <w:t>Netspar</w:t>
      </w:r>
      <w:proofErr w:type="spellEnd"/>
      <w:r w:rsidR="00242784" w:rsidRPr="00DD625D">
        <w:rPr>
          <w:lang w:val="de-LI"/>
        </w:rPr>
        <w:t>, 2023, 3</w:t>
      </w:r>
      <w:r w:rsidR="00481465" w:rsidRPr="00DD625D">
        <w:rPr>
          <w:lang w:val="de-LI"/>
        </w:rPr>
        <w:t>2</w:t>
      </w:r>
      <w:r w:rsidR="003F2276" w:rsidRPr="00DD625D">
        <w:rPr>
          <w:lang w:val="de-LI"/>
        </w:rPr>
        <w:t>.</w:t>
      </w:r>
    </w:p>
  </w:footnote>
  <w:footnote w:id="291">
    <w:p w14:paraId="7835CE8D" w14:textId="0046E87F" w:rsidR="00131E30" w:rsidRPr="00DD625D" w:rsidRDefault="00131E30">
      <w:pPr>
        <w:pStyle w:val="Voetnoottekst"/>
        <w:rPr>
          <w:lang w:val="de-LI"/>
        </w:rPr>
      </w:pPr>
      <w:r w:rsidRPr="00DD625D">
        <w:rPr>
          <w:rStyle w:val="Voetnootmarkering"/>
          <w:lang w:val="de-LI"/>
        </w:rPr>
        <w:footnoteRef/>
      </w:r>
      <w:r w:rsidR="00BD3D86" w:rsidRPr="00DD625D">
        <w:rPr>
          <w:lang w:val="de-LI"/>
        </w:rPr>
        <w:t xml:space="preserve"> </w:t>
      </w:r>
      <w:r w:rsidRPr="00DD625D">
        <w:rPr>
          <w:lang w:val="de-LI"/>
        </w:rPr>
        <w:t xml:space="preserve">LEIBER S., </w:t>
      </w:r>
      <w:r w:rsidR="003F2276" w:rsidRPr="00DD625D">
        <w:rPr>
          <w:lang w:val="de-LI"/>
        </w:rPr>
        <w:t>‘</w:t>
      </w:r>
      <w:r w:rsidRPr="00DD625D">
        <w:rPr>
          <w:lang w:val="de-LI"/>
        </w:rPr>
        <w:t>Formen und Verbreitung der betrieblichen Altersvorsorge – Eine Zwischenbilanz</w:t>
      </w:r>
      <w:r w:rsidR="003F2276" w:rsidRPr="00DD625D">
        <w:rPr>
          <w:lang w:val="de-LI"/>
        </w:rPr>
        <w:t>’</w:t>
      </w:r>
      <w:r w:rsidRPr="00DD625D">
        <w:rPr>
          <w:lang w:val="de-LI"/>
        </w:rPr>
        <w:t xml:space="preserve">, </w:t>
      </w:r>
      <w:r w:rsidRPr="00DD625D">
        <w:rPr>
          <w:i/>
          <w:iCs/>
          <w:lang w:val="de-LI"/>
        </w:rPr>
        <w:t xml:space="preserve">WSI Mitteilungen </w:t>
      </w:r>
      <w:r w:rsidRPr="00DD625D">
        <w:rPr>
          <w:lang w:val="de-LI"/>
        </w:rPr>
        <w:t>6/2005, 315</w:t>
      </w:r>
      <w:r w:rsidR="003E6761" w:rsidRPr="00DD625D">
        <w:rPr>
          <w:lang w:val="de-LI"/>
        </w:rPr>
        <w:t xml:space="preserve">; RIEDMANN A., BILGER F., en SCHMIDT S., </w:t>
      </w:r>
      <w:r w:rsidR="003E6761" w:rsidRPr="00DD625D">
        <w:rPr>
          <w:i/>
          <w:iCs/>
          <w:lang w:val="de-LI"/>
        </w:rPr>
        <w:t xml:space="preserve">Verbreitung der Altersvorsorge 2023: Endbericht, </w:t>
      </w:r>
      <w:r w:rsidR="003E6761" w:rsidRPr="00DD625D">
        <w:rPr>
          <w:lang w:val="de-LI"/>
        </w:rPr>
        <w:t>Bundesministerium für Arbeit und Soziales, 2024, 15.</w:t>
      </w:r>
    </w:p>
  </w:footnote>
  <w:footnote w:id="292">
    <w:p w14:paraId="7F9FC00A" w14:textId="3B520C61" w:rsidR="004310C8" w:rsidRPr="00DD625D" w:rsidRDefault="004310C8">
      <w:pPr>
        <w:pStyle w:val="Voetnoottekst"/>
        <w:rPr>
          <w:lang w:val="de-LI"/>
        </w:rPr>
      </w:pPr>
      <w:r w:rsidRPr="00DD625D">
        <w:rPr>
          <w:rStyle w:val="Voetnootmarkering"/>
          <w:lang w:val="de-LI"/>
        </w:rPr>
        <w:footnoteRef/>
      </w:r>
      <w:r w:rsidR="00BD3D86" w:rsidRPr="00DD625D">
        <w:rPr>
          <w:lang w:val="de-LI"/>
        </w:rPr>
        <w:t xml:space="preserve"> </w:t>
      </w:r>
      <w:r w:rsidRPr="00DD625D">
        <w:rPr>
          <w:lang w:val="de-LI"/>
        </w:rPr>
        <w:t xml:space="preserve">WISS T., </w:t>
      </w:r>
      <w:r w:rsidRPr="00DD625D">
        <w:rPr>
          <w:i/>
          <w:iCs/>
          <w:lang w:val="de-LI"/>
        </w:rPr>
        <w:t>Neustart in der Rentenpolitik, Analysen und Perspektiven,</w:t>
      </w:r>
      <w:r w:rsidRPr="00DD625D">
        <w:rPr>
          <w:lang w:val="de-LI"/>
        </w:rPr>
        <w:t>, Nomos, 2020, 224</w:t>
      </w:r>
      <w:r w:rsidR="00A32F24" w:rsidRPr="00DD625D">
        <w:rPr>
          <w:lang w:val="de-LI"/>
        </w:rPr>
        <w:t xml:space="preserve">; RIEDMANN A., BILGER F., en SCHMIDT S., </w:t>
      </w:r>
      <w:r w:rsidR="00A32F24" w:rsidRPr="00DD625D">
        <w:rPr>
          <w:i/>
          <w:iCs/>
          <w:lang w:val="de-LI"/>
        </w:rPr>
        <w:t xml:space="preserve">Verbreitung der Altersvorsorge 2023: Endbericht, </w:t>
      </w:r>
      <w:r w:rsidR="00A32F24" w:rsidRPr="00DD625D">
        <w:rPr>
          <w:lang w:val="de-LI"/>
        </w:rPr>
        <w:t>Bundesministerium für Arbeit und Soziales, 2024, 15.</w:t>
      </w:r>
    </w:p>
  </w:footnote>
  <w:footnote w:id="293">
    <w:p w14:paraId="090FDCA4" w14:textId="55B1C094" w:rsidR="00EC3597" w:rsidRPr="00F920E9" w:rsidRDefault="00EC3597">
      <w:pPr>
        <w:pStyle w:val="Voetnoottekst"/>
        <w:rPr>
          <w:lang w:val="de-LI"/>
        </w:rPr>
      </w:pPr>
      <w:r w:rsidRPr="00DD625D">
        <w:rPr>
          <w:rStyle w:val="Voetnootmarkering"/>
          <w:lang w:val="de-LI"/>
        </w:rPr>
        <w:footnoteRef/>
      </w:r>
      <w:r w:rsidR="00BD3D86" w:rsidRPr="00DD625D">
        <w:rPr>
          <w:lang w:val="de-LI"/>
        </w:rPr>
        <w:t xml:space="preserve"> </w:t>
      </w:r>
      <w:r w:rsidRPr="00DD625D">
        <w:rPr>
          <w:lang w:val="de-LI"/>
        </w:rPr>
        <w:t xml:space="preserve">WISS T., </w:t>
      </w:r>
      <w:r w:rsidRPr="00DD625D">
        <w:rPr>
          <w:i/>
          <w:iCs/>
          <w:lang w:val="de-LI"/>
        </w:rPr>
        <w:t xml:space="preserve">Neustart in der Rentenpolitik, Analysen und Perspektiven, </w:t>
      </w:r>
      <w:r w:rsidRPr="00DD625D">
        <w:rPr>
          <w:lang w:val="de-LI"/>
        </w:rPr>
        <w:t>Baden-Baden, Nomos, 2020, 2</w:t>
      </w:r>
      <w:r w:rsidR="008E665A" w:rsidRPr="00DD625D">
        <w:rPr>
          <w:lang w:val="de-LI"/>
        </w:rPr>
        <w:t>24;</w:t>
      </w:r>
      <w:r w:rsidR="002D064D" w:rsidRPr="00DD625D">
        <w:rPr>
          <w:lang w:val="de-LI"/>
        </w:rPr>
        <w:t xml:space="preserve"> RIEDMANN A., BILGER F., en SCHMIDT S., </w:t>
      </w:r>
      <w:r w:rsidR="002D064D" w:rsidRPr="00DD625D">
        <w:rPr>
          <w:i/>
          <w:iCs/>
          <w:lang w:val="de-LI"/>
        </w:rPr>
        <w:t xml:space="preserve">Verbreitung der Altersvorsorge 2023: Endbericht, </w:t>
      </w:r>
      <w:r w:rsidR="002D064D" w:rsidRPr="00DD625D">
        <w:rPr>
          <w:lang w:val="de-LI"/>
        </w:rPr>
        <w:t>Bundesministerium für Arbeit und Soziales, 2024, 15.</w:t>
      </w:r>
    </w:p>
  </w:footnote>
  <w:footnote w:id="294">
    <w:p w14:paraId="27175602" w14:textId="1F35BFBD" w:rsidR="00673D80" w:rsidRPr="00F920E9" w:rsidRDefault="00673D80">
      <w:pPr>
        <w:pStyle w:val="Voetnoottekst"/>
        <w:rPr>
          <w:lang w:val="de-LI"/>
        </w:rPr>
      </w:pPr>
      <w:r>
        <w:rPr>
          <w:rStyle w:val="Voetnootmarkering"/>
        </w:rPr>
        <w:footnoteRef/>
      </w:r>
      <w:r w:rsidR="00BD3D86" w:rsidRPr="00F920E9">
        <w:rPr>
          <w:lang w:val="de-LI"/>
        </w:rPr>
        <w:t xml:space="preserve"> </w:t>
      </w:r>
      <w:r w:rsidRPr="00F920E9">
        <w:rPr>
          <w:lang w:val="de-LI"/>
        </w:rPr>
        <w:t xml:space="preserve">BUNDESMINISTERIUM DER FINANZEN, </w:t>
      </w:r>
      <w:r w:rsidRPr="00F920E9">
        <w:rPr>
          <w:i/>
          <w:iCs/>
          <w:lang w:val="de-LI"/>
        </w:rPr>
        <w:t xml:space="preserve">De </w:t>
      </w:r>
      <w:proofErr w:type="spellStart"/>
      <w:r w:rsidRPr="00F920E9">
        <w:rPr>
          <w:i/>
          <w:iCs/>
          <w:lang w:val="de-LI"/>
        </w:rPr>
        <w:t>tweede</w:t>
      </w:r>
      <w:proofErr w:type="spellEnd"/>
      <w:r w:rsidRPr="00F920E9">
        <w:rPr>
          <w:i/>
          <w:iCs/>
          <w:lang w:val="de-LI"/>
        </w:rPr>
        <w:t xml:space="preserve"> </w:t>
      </w:r>
      <w:proofErr w:type="spellStart"/>
      <w:r w:rsidRPr="00F920E9">
        <w:rPr>
          <w:i/>
          <w:iCs/>
          <w:lang w:val="de-LI"/>
        </w:rPr>
        <w:t>wet</w:t>
      </w:r>
      <w:proofErr w:type="spellEnd"/>
      <w:r w:rsidRPr="00F920E9">
        <w:rPr>
          <w:i/>
          <w:iCs/>
          <w:lang w:val="de-LI"/>
        </w:rPr>
        <w:t xml:space="preserve"> </w:t>
      </w:r>
      <w:proofErr w:type="spellStart"/>
      <w:r w:rsidRPr="00F920E9">
        <w:rPr>
          <w:i/>
          <w:iCs/>
          <w:lang w:val="de-LI"/>
        </w:rPr>
        <w:t>ter</w:t>
      </w:r>
      <w:proofErr w:type="spellEnd"/>
      <w:r w:rsidRPr="00F920E9">
        <w:rPr>
          <w:i/>
          <w:iCs/>
          <w:lang w:val="de-LI"/>
        </w:rPr>
        <w:t xml:space="preserve"> </w:t>
      </w:r>
      <w:proofErr w:type="spellStart"/>
      <w:r w:rsidRPr="00F920E9">
        <w:rPr>
          <w:i/>
          <w:iCs/>
          <w:lang w:val="de-LI"/>
        </w:rPr>
        <w:t>versterking</w:t>
      </w:r>
      <w:proofErr w:type="spellEnd"/>
      <w:r w:rsidRPr="00F920E9">
        <w:rPr>
          <w:i/>
          <w:iCs/>
          <w:lang w:val="de-LI"/>
        </w:rPr>
        <w:t xml:space="preserve"> van de </w:t>
      </w:r>
      <w:proofErr w:type="spellStart"/>
      <w:r w:rsidRPr="00F920E9">
        <w:rPr>
          <w:i/>
          <w:iCs/>
          <w:lang w:val="de-LI"/>
        </w:rPr>
        <w:t>bedrijfspensioenen</w:t>
      </w:r>
      <w:proofErr w:type="spellEnd"/>
      <w:r w:rsidRPr="00F920E9">
        <w:rPr>
          <w:i/>
          <w:iCs/>
          <w:lang w:val="de-LI"/>
        </w:rPr>
        <w:t xml:space="preserve">: </w:t>
      </w:r>
      <w:proofErr w:type="spellStart"/>
      <w:r w:rsidRPr="00F920E9">
        <w:rPr>
          <w:i/>
          <w:iCs/>
          <w:lang w:val="de-LI"/>
        </w:rPr>
        <w:t>stappen</w:t>
      </w:r>
      <w:proofErr w:type="spellEnd"/>
      <w:r w:rsidRPr="00F920E9">
        <w:rPr>
          <w:i/>
          <w:iCs/>
          <w:lang w:val="de-LI"/>
        </w:rPr>
        <w:t xml:space="preserve"> </w:t>
      </w:r>
      <w:proofErr w:type="spellStart"/>
      <w:r w:rsidRPr="00F920E9">
        <w:rPr>
          <w:i/>
          <w:iCs/>
          <w:lang w:val="de-LI"/>
        </w:rPr>
        <w:t>naar</w:t>
      </w:r>
      <w:proofErr w:type="spellEnd"/>
      <w:r w:rsidRPr="00F920E9">
        <w:rPr>
          <w:i/>
          <w:iCs/>
          <w:lang w:val="de-LI"/>
        </w:rPr>
        <w:t xml:space="preserve"> </w:t>
      </w:r>
      <w:proofErr w:type="spellStart"/>
      <w:r w:rsidRPr="00F920E9">
        <w:rPr>
          <w:i/>
          <w:iCs/>
          <w:lang w:val="de-LI"/>
        </w:rPr>
        <w:t>een</w:t>
      </w:r>
      <w:proofErr w:type="spellEnd"/>
      <w:r w:rsidRPr="00F920E9">
        <w:rPr>
          <w:i/>
          <w:iCs/>
          <w:lang w:val="de-LI"/>
        </w:rPr>
        <w:t xml:space="preserve"> </w:t>
      </w:r>
      <w:proofErr w:type="spellStart"/>
      <w:r w:rsidRPr="00F920E9">
        <w:rPr>
          <w:i/>
          <w:iCs/>
          <w:lang w:val="de-LI"/>
        </w:rPr>
        <w:t>groter</w:t>
      </w:r>
      <w:proofErr w:type="spellEnd"/>
      <w:r w:rsidRPr="00F920E9">
        <w:rPr>
          <w:i/>
          <w:iCs/>
          <w:lang w:val="de-LI"/>
        </w:rPr>
        <w:t xml:space="preserve"> </w:t>
      </w:r>
      <w:proofErr w:type="spellStart"/>
      <w:r w:rsidRPr="00F920E9">
        <w:rPr>
          <w:i/>
          <w:iCs/>
          <w:lang w:val="de-LI"/>
        </w:rPr>
        <w:t>bereik</w:t>
      </w:r>
      <w:proofErr w:type="spellEnd"/>
      <w:r w:rsidRPr="00F920E9">
        <w:rPr>
          <w:i/>
          <w:iCs/>
          <w:lang w:val="de-LI"/>
        </w:rPr>
        <w:t xml:space="preserve"> en </w:t>
      </w:r>
      <w:proofErr w:type="spellStart"/>
      <w:r w:rsidRPr="00F920E9">
        <w:rPr>
          <w:i/>
          <w:iCs/>
          <w:lang w:val="de-LI"/>
        </w:rPr>
        <w:t>hogere</w:t>
      </w:r>
      <w:proofErr w:type="spellEnd"/>
      <w:r w:rsidRPr="00F920E9">
        <w:rPr>
          <w:i/>
          <w:iCs/>
          <w:lang w:val="de-LI"/>
        </w:rPr>
        <w:t xml:space="preserve"> </w:t>
      </w:r>
      <w:proofErr w:type="spellStart"/>
      <w:r w:rsidRPr="00F920E9">
        <w:rPr>
          <w:i/>
          <w:iCs/>
          <w:lang w:val="de-LI"/>
        </w:rPr>
        <w:t>rendementen</w:t>
      </w:r>
      <w:proofErr w:type="spellEnd"/>
      <w:r w:rsidRPr="00F920E9">
        <w:rPr>
          <w:i/>
          <w:iCs/>
          <w:lang w:val="de-LI"/>
        </w:rPr>
        <w:t xml:space="preserve">: BMF </w:t>
      </w:r>
      <w:proofErr w:type="spellStart"/>
      <w:r w:rsidRPr="00F920E9">
        <w:rPr>
          <w:i/>
          <w:iCs/>
          <w:lang w:val="de-LI"/>
        </w:rPr>
        <w:t>Maandelijks</w:t>
      </w:r>
      <w:proofErr w:type="spellEnd"/>
      <w:r w:rsidRPr="00F920E9">
        <w:rPr>
          <w:i/>
          <w:iCs/>
          <w:lang w:val="de-LI"/>
        </w:rPr>
        <w:t xml:space="preserve"> Rapport </w:t>
      </w:r>
      <w:proofErr w:type="spellStart"/>
      <w:r w:rsidRPr="00F920E9">
        <w:rPr>
          <w:i/>
          <w:iCs/>
          <w:lang w:val="de-LI"/>
        </w:rPr>
        <w:t>september</w:t>
      </w:r>
      <w:proofErr w:type="spellEnd"/>
      <w:r w:rsidRPr="00F920E9">
        <w:rPr>
          <w:i/>
          <w:iCs/>
          <w:lang w:val="de-LI"/>
        </w:rPr>
        <w:t xml:space="preserve"> 2025</w:t>
      </w:r>
      <w:r w:rsidRPr="00F920E9">
        <w:rPr>
          <w:lang w:val="de-LI"/>
        </w:rPr>
        <w:t xml:space="preserve">, 23 </w:t>
      </w:r>
      <w:proofErr w:type="spellStart"/>
      <w:r w:rsidRPr="00F920E9">
        <w:rPr>
          <w:lang w:val="de-LI"/>
        </w:rPr>
        <w:t>september</w:t>
      </w:r>
      <w:proofErr w:type="spellEnd"/>
      <w:r w:rsidRPr="00F920E9">
        <w:rPr>
          <w:lang w:val="de-LI"/>
        </w:rPr>
        <w:t xml:space="preserve"> 2025</w:t>
      </w:r>
      <w:r w:rsidR="00323CF7" w:rsidRPr="00F920E9">
        <w:rPr>
          <w:lang w:val="de-LI"/>
        </w:rPr>
        <w:t xml:space="preserve">, </w:t>
      </w:r>
      <w:hyperlink r:id="rId15" w:history="1">
        <w:r w:rsidR="00323CF7" w:rsidRPr="00F920E9">
          <w:rPr>
            <w:rStyle w:val="Hyperlink"/>
            <w:lang w:val="de-LI"/>
          </w:rPr>
          <w:t>https://www.bundesfinanzministerium.de/Monatsberichte/2025/09/Inhalte/Analysen_Berichte/b01-betriebsrentenstaerkungsgesetz.htm</w:t>
        </w:r>
      </w:hyperlink>
      <w:r w:rsidR="00323CF7" w:rsidRPr="00F920E9">
        <w:rPr>
          <w:lang w:val="de-LI"/>
        </w:rPr>
        <w:t xml:space="preserve"> (</w:t>
      </w:r>
      <w:proofErr w:type="spellStart"/>
      <w:r w:rsidR="00323CF7" w:rsidRPr="00F920E9">
        <w:rPr>
          <w:lang w:val="de-LI"/>
        </w:rPr>
        <w:t>Geraadpleegd</w:t>
      </w:r>
      <w:proofErr w:type="spellEnd"/>
      <w:r w:rsidR="00323CF7" w:rsidRPr="00F920E9">
        <w:rPr>
          <w:lang w:val="de-LI"/>
        </w:rPr>
        <w:t xml:space="preserve"> </w:t>
      </w:r>
      <w:proofErr w:type="spellStart"/>
      <w:r w:rsidR="00323CF7" w:rsidRPr="00F920E9">
        <w:rPr>
          <w:lang w:val="de-LI"/>
        </w:rPr>
        <w:t>op</w:t>
      </w:r>
      <w:proofErr w:type="spellEnd"/>
      <w:r w:rsidR="00323CF7" w:rsidRPr="00F920E9">
        <w:rPr>
          <w:lang w:val="de-LI"/>
        </w:rPr>
        <w:t xml:space="preserve"> 22 </w:t>
      </w:r>
      <w:proofErr w:type="spellStart"/>
      <w:r w:rsidR="00323CF7" w:rsidRPr="00F920E9">
        <w:rPr>
          <w:lang w:val="de-LI"/>
        </w:rPr>
        <w:t>april</w:t>
      </w:r>
      <w:proofErr w:type="spellEnd"/>
      <w:r w:rsidR="00323CF7" w:rsidRPr="00F920E9">
        <w:rPr>
          <w:lang w:val="de-LI"/>
        </w:rPr>
        <w:t xml:space="preserve"> 2026)</w:t>
      </w:r>
      <w:r w:rsidR="00824327" w:rsidRPr="00F920E9">
        <w:rPr>
          <w:lang w:val="de-LI"/>
        </w:rPr>
        <w:t xml:space="preserve">; RIEDMANN A., BILGER F., en SCHMIDT S., </w:t>
      </w:r>
      <w:r w:rsidR="00824327" w:rsidRPr="00F920E9">
        <w:rPr>
          <w:i/>
          <w:iCs/>
          <w:lang w:val="de-LI"/>
        </w:rPr>
        <w:t xml:space="preserve">Verbreitung der Altersvorsorge 2023: Endbericht, </w:t>
      </w:r>
      <w:r w:rsidR="00824327" w:rsidRPr="00F920E9">
        <w:rPr>
          <w:lang w:val="de-LI"/>
        </w:rPr>
        <w:t>Bundesministerium für Arbeit und Soziales, 2024, 15.</w:t>
      </w:r>
    </w:p>
  </w:footnote>
  <w:footnote w:id="295">
    <w:p w14:paraId="674427CA" w14:textId="1BA7DFF1" w:rsidR="0077320E" w:rsidRDefault="0077320E">
      <w:pPr>
        <w:pStyle w:val="Voetnoottekst"/>
      </w:pPr>
      <w:r>
        <w:rPr>
          <w:rStyle w:val="Voetnootmarkering"/>
        </w:rPr>
        <w:footnoteRef/>
      </w:r>
      <w:r>
        <w:t xml:space="preserve"> </w:t>
      </w:r>
      <w:r w:rsidRPr="00673D80">
        <w:t xml:space="preserve">BUNDESMINISTERIUM DER FINANZEN, </w:t>
      </w:r>
      <w:r w:rsidRPr="00673D80">
        <w:rPr>
          <w:i/>
          <w:iCs/>
        </w:rPr>
        <w:t>De tweede wet ter versterking van de bedrijfspensioenen: stappen naar een groter bereik en hogere rendementen: BMF Maandelijks Rapport september 2025</w:t>
      </w:r>
      <w:r w:rsidRPr="00673D80">
        <w:t>, 23 september 2025</w:t>
      </w:r>
      <w:r>
        <w:t xml:space="preserve">, </w:t>
      </w:r>
      <w:hyperlink r:id="rId16" w:history="1">
        <w:r w:rsidRPr="00FF35AB">
          <w:rPr>
            <w:rStyle w:val="Hyperlink"/>
          </w:rPr>
          <w:t>https://www.bundesfinanzministerium.de/Monatsberichte/2025/09/Inhalte/Analysen_Berichte/b01-betriebsrentenstaerkungsgesetz.htm</w:t>
        </w:r>
      </w:hyperlink>
      <w:r>
        <w:t xml:space="preserve"> (Geraadpleegd op 22 april 2026).</w:t>
      </w:r>
    </w:p>
  </w:footnote>
  <w:footnote w:id="296">
    <w:p w14:paraId="5616FC26" w14:textId="2F62DDC2" w:rsidR="000D694C" w:rsidRDefault="000D694C">
      <w:pPr>
        <w:pStyle w:val="Voetnoottekst"/>
      </w:pPr>
      <w:r>
        <w:rPr>
          <w:rStyle w:val="Voetnootmarkering"/>
        </w:rPr>
        <w:footnoteRef/>
      </w:r>
      <w:r>
        <w:t xml:space="preserve"> Deze aanbevelingen worden geformuleerd vanuit sociaalzekerheidsrechtelijk perspectief</w:t>
      </w:r>
      <w:r w:rsidR="00783081">
        <w:t>, waarbij de klemtoon ligt op het waarborgen van de solidaire pensioenopbouw en het realiseren van materiële gelijkhe</w:t>
      </w:r>
      <w:r w:rsidR="00F43B2C">
        <w:t>id tussen arbeiders en bedienden. Hierbij dient te worden opgemerkt dat mogelijke belemmeringen of noodzakelijke technische aanpassingen vanuit andere rechtsdiscipline</w:t>
      </w:r>
      <w:r w:rsidR="00245150">
        <w:t>s</w:t>
      </w:r>
      <w:r w:rsidR="00F43B2C">
        <w:t xml:space="preserve"> in het kader van deze analyse buiten beschouwing worden gelaten.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B871E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366D430"/>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C34BEF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DB500DE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BB62B1E"/>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349872"/>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18CF0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62576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76411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A208A65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383212"/>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3D10ADC"/>
    <w:multiLevelType w:val="multilevel"/>
    <w:tmpl w:val="AF36485A"/>
    <w:lvl w:ilvl="0">
      <w:start w:val="1"/>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2" w15:restartNumberingAfterBreak="0">
    <w:nsid w:val="16197710"/>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9FF00E1"/>
    <w:multiLevelType w:val="hybridMultilevel"/>
    <w:tmpl w:val="5B403E8E"/>
    <w:lvl w:ilvl="0" w:tplc="C97892C6">
      <w:start w:val="2"/>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D6B4914"/>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3739540C"/>
    <w:multiLevelType w:val="hybridMultilevel"/>
    <w:tmpl w:val="F1CA98E6"/>
    <w:lvl w:ilvl="0" w:tplc="55BCA88A">
      <w:start w:val="1"/>
      <w:numFmt w:val="decimal"/>
      <w:pStyle w:val="Nummer"/>
      <w:lvlText w:val="%1."/>
      <w:lvlJc w:val="left"/>
      <w:pPr>
        <w:tabs>
          <w:tab w:val="num" w:pos="357"/>
        </w:tabs>
        <w:ind w:left="0" w:firstLine="0"/>
      </w:pPr>
      <w:rPr>
        <w:rFonts w:hint="default"/>
        <w:b/>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071662E"/>
    <w:multiLevelType w:val="multilevel"/>
    <w:tmpl w:val="B5B20C44"/>
    <w:lvl w:ilvl="0">
      <w:start w:val="1"/>
      <w:numFmt w:val="upperRoman"/>
      <w:pStyle w:val="Kop1"/>
      <w:suff w:val="space"/>
      <w:lvlText w:val="Deel %1:"/>
      <w:lvlJc w:val="left"/>
      <w:pPr>
        <w:ind w:left="0" w:firstLine="0"/>
      </w:pPr>
      <w:rPr>
        <w:rFonts w:hint="default"/>
      </w:rPr>
    </w:lvl>
    <w:lvl w:ilvl="1">
      <w:start w:val="1"/>
      <w:numFmt w:val="upperRoman"/>
      <w:pStyle w:val="Kop2"/>
      <w:suff w:val="space"/>
      <w:lvlText w:val="Hoofdstuk %2."/>
      <w:lvlJc w:val="left"/>
      <w:pPr>
        <w:ind w:left="0" w:firstLine="0"/>
      </w:pPr>
      <w:rPr>
        <w:rFonts w:hint="default"/>
      </w:rPr>
    </w:lvl>
    <w:lvl w:ilvl="2">
      <w:start w:val="1"/>
      <w:numFmt w:val="upperRoman"/>
      <w:suff w:val="space"/>
      <w:lvlText w:val="Afdeling %3."/>
      <w:lvlJc w:val="left"/>
      <w:pPr>
        <w:ind w:left="0" w:firstLine="0"/>
      </w:pPr>
      <w:rPr>
        <w:rFonts w:hint="default"/>
      </w:rPr>
    </w:lvl>
    <w:lvl w:ilvl="3">
      <w:start w:val="1"/>
      <w:numFmt w:val="decimal"/>
      <w:pStyle w:val="Kop4"/>
      <w:suff w:val="space"/>
      <w:lvlText w:val="§%4."/>
      <w:lvlJc w:val="left"/>
      <w:pPr>
        <w:ind w:left="0" w:firstLine="0"/>
      </w:pPr>
      <w:rPr>
        <w:rFonts w:hint="default"/>
      </w:rPr>
    </w:lvl>
    <w:lvl w:ilvl="4">
      <w:start w:val="1"/>
      <w:numFmt w:val="upperLetter"/>
      <w:pStyle w:val="Kop5"/>
      <w:suff w:val="space"/>
      <w:lvlText w:val="%5."/>
      <w:lvlJc w:val="left"/>
      <w:pPr>
        <w:ind w:left="0" w:firstLine="0"/>
      </w:pPr>
      <w:rPr>
        <w:rFonts w:hint="default"/>
      </w:rPr>
    </w:lvl>
    <w:lvl w:ilvl="5">
      <w:start w:val="1"/>
      <w:numFmt w:val="decimal"/>
      <w:pStyle w:val="Kop6"/>
      <w:suff w:val="space"/>
      <w:lvlText w:val="%6."/>
      <w:lvlJc w:val="left"/>
      <w:pPr>
        <w:ind w:left="0" w:firstLine="0"/>
      </w:pPr>
      <w:rPr>
        <w:rFonts w:hint="default"/>
      </w:rPr>
    </w:lvl>
    <w:lvl w:ilvl="6">
      <w:start w:val="1"/>
      <w:numFmt w:val="lowerLetter"/>
      <w:pStyle w:val="Kop7"/>
      <w:suff w:val="space"/>
      <w:lvlText w:val="%7."/>
      <w:lvlJc w:val="left"/>
      <w:pPr>
        <w:ind w:left="0" w:firstLine="0"/>
      </w:pPr>
      <w:rPr>
        <w:rFonts w:hint="default"/>
      </w:rPr>
    </w:lvl>
    <w:lvl w:ilvl="7">
      <w:start w:val="1"/>
      <w:numFmt w:val="lowerRoman"/>
      <w:pStyle w:val="Kop8"/>
      <w:suff w:val="space"/>
      <w:lvlText w:val="%8."/>
      <w:lvlJc w:val="left"/>
      <w:pPr>
        <w:ind w:left="0" w:firstLine="709"/>
      </w:pPr>
      <w:rPr>
        <w:rFonts w:hint="default"/>
      </w:rPr>
    </w:lvl>
    <w:lvl w:ilvl="8">
      <w:start w:val="1"/>
      <w:numFmt w:val="none"/>
      <w:pStyle w:val="Kop9"/>
      <w:suff w:val="nothing"/>
      <w:lvlText w:val=""/>
      <w:lvlJc w:val="left"/>
      <w:pPr>
        <w:ind w:left="0" w:firstLine="0"/>
      </w:pPr>
      <w:rPr>
        <w:rFonts w:hint="default"/>
      </w:rPr>
    </w:lvl>
  </w:abstractNum>
  <w:abstractNum w:abstractNumId="17" w15:restartNumberingAfterBreak="0">
    <w:nsid w:val="4DCE27A5"/>
    <w:multiLevelType w:val="hybridMultilevel"/>
    <w:tmpl w:val="0B5ACAC4"/>
    <w:lvl w:ilvl="0" w:tplc="F5F41F52">
      <w:numFmt w:val="bullet"/>
      <w:lvlText w:val="-"/>
      <w:lvlJc w:val="left"/>
      <w:pPr>
        <w:ind w:left="717" w:hanging="360"/>
      </w:pPr>
      <w:rPr>
        <w:rFonts w:ascii="Times New Roman" w:eastAsia="Times New Roman" w:hAnsi="Times New Roman" w:cs="Times New Roman" w:hint="default"/>
      </w:rPr>
    </w:lvl>
    <w:lvl w:ilvl="1" w:tplc="08130003" w:tentative="1">
      <w:start w:val="1"/>
      <w:numFmt w:val="bullet"/>
      <w:lvlText w:val="o"/>
      <w:lvlJc w:val="left"/>
      <w:pPr>
        <w:ind w:left="1437" w:hanging="360"/>
      </w:pPr>
      <w:rPr>
        <w:rFonts w:ascii="Courier New" w:hAnsi="Courier New" w:cs="Courier New" w:hint="default"/>
      </w:rPr>
    </w:lvl>
    <w:lvl w:ilvl="2" w:tplc="08130005" w:tentative="1">
      <w:start w:val="1"/>
      <w:numFmt w:val="bullet"/>
      <w:lvlText w:val=""/>
      <w:lvlJc w:val="left"/>
      <w:pPr>
        <w:ind w:left="2157" w:hanging="360"/>
      </w:pPr>
      <w:rPr>
        <w:rFonts w:ascii="Wingdings" w:hAnsi="Wingdings" w:hint="default"/>
      </w:rPr>
    </w:lvl>
    <w:lvl w:ilvl="3" w:tplc="08130001" w:tentative="1">
      <w:start w:val="1"/>
      <w:numFmt w:val="bullet"/>
      <w:lvlText w:val=""/>
      <w:lvlJc w:val="left"/>
      <w:pPr>
        <w:ind w:left="2877" w:hanging="360"/>
      </w:pPr>
      <w:rPr>
        <w:rFonts w:ascii="Symbol" w:hAnsi="Symbol" w:hint="default"/>
      </w:rPr>
    </w:lvl>
    <w:lvl w:ilvl="4" w:tplc="08130003" w:tentative="1">
      <w:start w:val="1"/>
      <w:numFmt w:val="bullet"/>
      <w:lvlText w:val="o"/>
      <w:lvlJc w:val="left"/>
      <w:pPr>
        <w:ind w:left="3597" w:hanging="360"/>
      </w:pPr>
      <w:rPr>
        <w:rFonts w:ascii="Courier New" w:hAnsi="Courier New" w:cs="Courier New" w:hint="default"/>
      </w:rPr>
    </w:lvl>
    <w:lvl w:ilvl="5" w:tplc="08130005" w:tentative="1">
      <w:start w:val="1"/>
      <w:numFmt w:val="bullet"/>
      <w:lvlText w:val=""/>
      <w:lvlJc w:val="left"/>
      <w:pPr>
        <w:ind w:left="4317" w:hanging="360"/>
      </w:pPr>
      <w:rPr>
        <w:rFonts w:ascii="Wingdings" w:hAnsi="Wingdings" w:hint="default"/>
      </w:rPr>
    </w:lvl>
    <w:lvl w:ilvl="6" w:tplc="08130001" w:tentative="1">
      <w:start w:val="1"/>
      <w:numFmt w:val="bullet"/>
      <w:lvlText w:val=""/>
      <w:lvlJc w:val="left"/>
      <w:pPr>
        <w:ind w:left="5037" w:hanging="360"/>
      </w:pPr>
      <w:rPr>
        <w:rFonts w:ascii="Symbol" w:hAnsi="Symbol" w:hint="default"/>
      </w:rPr>
    </w:lvl>
    <w:lvl w:ilvl="7" w:tplc="08130003" w:tentative="1">
      <w:start w:val="1"/>
      <w:numFmt w:val="bullet"/>
      <w:lvlText w:val="o"/>
      <w:lvlJc w:val="left"/>
      <w:pPr>
        <w:ind w:left="5757" w:hanging="360"/>
      </w:pPr>
      <w:rPr>
        <w:rFonts w:ascii="Courier New" w:hAnsi="Courier New" w:cs="Courier New" w:hint="default"/>
      </w:rPr>
    </w:lvl>
    <w:lvl w:ilvl="8" w:tplc="08130005" w:tentative="1">
      <w:start w:val="1"/>
      <w:numFmt w:val="bullet"/>
      <w:lvlText w:val=""/>
      <w:lvlJc w:val="left"/>
      <w:pPr>
        <w:ind w:left="6477" w:hanging="360"/>
      </w:pPr>
      <w:rPr>
        <w:rFonts w:ascii="Wingdings" w:hAnsi="Wingdings" w:hint="default"/>
      </w:rPr>
    </w:lvl>
  </w:abstractNum>
  <w:abstractNum w:abstractNumId="18" w15:restartNumberingAfterBreak="0">
    <w:nsid w:val="5FC31295"/>
    <w:multiLevelType w:val="hybridMultilevel"/>
    <w:tmpl w:val="274874BC"/>
    <w:lvl w:ilvl="0" w:tplc="AD949D2E">
      <w:start w:val="1"/>
      <w:numFmt w:val="decimal"/>
      <w:pStyle w:val="Randnummer"/>
      <w:lvlText w:val="%1."/>
      <w:lvlJc w:val="right"/>
      <w:pPr>
        <w:ind w:left="502" w:hanging="360"/>
      </w:pPr>
      <w:rPr>
        <w:rFonts w:ascii="Times New Roman" w:hAnsi="Times New Roman" w:cs="Times New Roman" w:hint="default"/>
        <w:b w:val="0"/>
        <w:bCs w:val="0"/>
        <w:i w:val="0"/>
        <w:iCs w:val="0"/>
        <w:caps w:val="0"/>
        <w:strike w:val="0"/>
        <w:dstrike w:val="0"/>
        <w:vanish w:val="0"/>
        <w:color w:val="000000"/>
        <w:spacing w:val="0"/>
        <w:kern w:val="0"/>
        <w:position w:val="0"/>
        <w:u w:val="none"/>
        <w:vertAlign w:val="baseline"/>
        <w:em w:val="none"/>
      </w:rPr>
    </w:lvl>
    <w:lvl w:ilvl="1" w:tplc="08130019" w:tentative="1">
      <w:start w:val="1"/>
      <w:numFmt w:val="lowerLetter"/>
      <w:lvlText w:val="%2."/>
      <w:lvlJc w:val="left"/>
      <w:pPr>
        <w:ind w:left="1582" w:hanging="360"/>
      </w:pPr>
    </w:lvl>
    <w:lvl w:ilvl="2" w:tplc="0813001B" w:tentative="1">
      <w:start w:val="1"/>
      <w:numFmt w:val="lowerRoman"/>
      <w:lvlText w:val="%3."/>
      <w:lvlJc w:val="right"/>
      <w:pPr>
        <w:ind w:left="2302" w:hanging="180"/>
      </w:pPr>
    </w:lvl>
    <w:lvl w:ilvl="3" w:tplc="0813000F" w:tentative="1">
      <w:start w:val="1"/>
      <w:numFmt w:val="decimal"/>
      <w:lvlText w:val="%4."/>
      <w:lvlJc w:val="left"/>
      <w:pPr>
        <w:ind w:left="3022" w:hanging="360"/>
      </w:pPr>
    </w:lvl>
    <w:lvl w:ilvl="4" w:tplc="08130019" w:tentative="1">
      <w:start w:val="1"/>
      <w:numFmt w:val="lowerLetter"/>
      <w:lvlText w:val="%5."/>
      <w:lvlJc w:val="left"/>
      <w:pPr>
        <w:ind w:left="3742" w:hanging="360"/>
      </w:pPr>
    </w:lvl>
    <w:lvl w:ilvl="5" w:tplc="0813001B" w:tentative="1">
      <w:start w:val="1"/>
      <w:numFmt w:val="lowerRoman"/>
      <w:lvlText w:val="%6."/>
      <w:lvlJc w:val="right"/>
      <w:pPr>
        <w:ind w:left="4462" w:hanging="180"/>
      </w:pPr>
    </w:lvl>
    <w:lvl w:ilvl="6" w:tplc="0813000F" w:tentative="1">
      <w:start w:val="1"/>
      <w:numFmt w:val="decimal"/>
      <w:lvlText w:val="%7."/>
      <w:lvlJc w:val="left"/>
      <w:pPr>
        <w:ind w:left="5182" w:hanging="360"/>
      </w:pPr>
    </w:lvl>
    <w:lvl w:ilvl="7" w:tplc="08130019" w:tentative="1">
      <w:start w:val="1"/>
      <w:numFmt w:val="lowerLetter"/>
      <w:lvlText w:val="%8."/>
      <w:lvlJc w:val="left"/>
      <w:pPr>
        <w:ind w:left="5902" w:hanging="360"/>
      </w:pPr>
    </w:lvl>
    <w:lvl w:ilvl="8" w:tplc="0813001B" w:tentative="1">
      <w:start w:val="1"/>
      <w:numFmt w:val="lowerRoman"/>
      <w:lvlText w:val="%9."/>
      <w:lvlJc w:val="right"/>
      <w:pPr>
        <w:ind w:left="6622" w:hanging="180"/>
      </w:pPr>
    </w:lvl>
  </w:abstractNum>
  <w:abstractNum w:abstractNumId="19" w15:restartNumberingAfterBreak="0">
    <w:nsid w:val="61961321"/>
    <w:multiLevelType w:val="hybridMultilevel"/>
    <w:tmpl w:val="4DFC52AE"/>
    <w:lvl w:ilvl="0" w:tplc="188C3406">
      <w:numFmt w:val="bullet"/>
      <w:lvlText w:val="-"/>
      <w:lvlJc w:val="left"/>
      <w:pPr>
        <w:ind w:left="717" w:hanging="360"/>
      </w:pPr>
      <w:rPr>
        <w:rFonts w:ascii="Times New Roman" w:eastAsia="Times New Roman" w:hAnsi="Times New Roman" w:cs="Times New Roman" w:hint="default"/>
      </w:rPr>
    </w:lvl>
    <w:lvl w:ilvl="1" w:tplc="08130003" w:tentative="1">
      <w:start w:val="1"/>
      <w:numFmt w:val="bullet"/>
      <w:lvlText w:val="o"/>
      <w:lvlJc w:val="left"/>
      <w:pPr>
        <w:ind w:left="1437" w:hanging="360"/>
      </w:pPr>
      <w:rPr>
        <w:rFonts w:ascii="Courier New" w:hAnsi="Courier New" w:cs="Courier New" w:hint="default"/>
      </w:rPr>
    </w:lvl>
    <w:lvl w:ilvl="2" w:tplc="08130005" w:tentative="1">
      <w:start w:val="1"/>
      <w:numFmt w:val="bullet"/>
      <w:lvlText w:val=""/>
      <w:lvlJc w:val="left"/>
      <w:pPr>
        <w:ind w:left="2157" w:hanging="360"/>
      </w:pPr>
      <w:rPr>
        <w:rFonts w:ascii="Wingdings" w:hAnsi="Wingdings" w:hint="default"/>
      </w:rPr>
    </w:lvl>
    <w:lvl w:ilvl="3" w:tplc="08130001" w:tentative="1">
      <w:start w:val="1"/>
      <w:numFmt w:val="bullet"/>
      <w:lvlText w:val=""/>
      <w:lvlJc w:val="left"/>
      <w:pPr>
        <w:ind w:left="2877" w:hanging="360"/>
      </w:pPr>
      <w:rPr>
        <w:rFonts w:ascii="Symbol" w:hAnsi="Symbol" w:hint="default"/>
      </w:rPr>
    </w:lvl>
    <w:lvl w:ilvl="4" w:tplc="08130003" w:tentative="1">
      <w:start w:val="1"/>
      <w:numFmt w:val="bullet"/>
      <w:lvlText w:val="o"/>
      <w:lvlJc w:val="left"/>
      <w:pPr>
        <w:ind w:left="3597" w:hanging="360"/>
      </w:pPr>
      <w:rPr>
        <w:rFonts w:ascii="Courier New" w:hAnsi="Courier New" w:cs="Courier New" w:hint="default"/>
      </w:rPr>
    </w:lvl>
    <w:lvl w:ilvl="5" w:tplc="08130005" w:tentative="1">
      <w:start w:val="1"/>
      <w:numFmt w:val="bullet"/>
      <w:lvlText w:val=""/>
      <w:lvlJc w:val="left"/>
      <w:pPr>
        <w:ind w:left="4317" w:hanging="360"/>
      </w:pPr>
      <w:rPr>
        <w:rFonts w:ascii="Wingdings" w:hAnsi="Wingdings" w:hint="default"/>
      </w:rPr>
    </w:lvl>
    <w:lvl w:ilvl="6" w:tplc="08130001" w:tentative="1">
      <w:start w:val="1"/>
      <w:numFmt w:val="bullet"/>
      <w:lvlText w:val=""/>
      <w:lvlJc w:val="left"/>
      <w:pPr>
        <w:ind w:left="5037" w:hanging="360"/>
      </w:pPr>
      <w:rPr>
        <w:rFonts w:ascii="Symbol" w:hAnsi="Symbol" w:hint="default"/>
      </w:rPr>
    </w:lvl>
    <w:lvl w:ilvl="7" w:tplc="08130003" w:tentative="1">
      <w:start w:val="1"/>
      <w:numFmt w:val="bullet"/>
      <w:lvlText w:val="o"/>
      <w:lvlJc w:val="left"/>
      <w:pPr>
        <w:ind w:left="5757" w:hanging="360"/>
      </w:pPr>
      <w:rPr>
        <w:rFonts w:ascii="Courier New" w:hAnsi="Courier New" w:cs="Courier New" w:hint="default"/>
      </w:rPr>
    </w:lvl>
    <w:lvl w:ilvl="8" w:tplc="08130005" w:tentative="1">
      <w:start w:val="1"/>
      <w:numFmt w:val="bullet"/>
      <w:lvlText w:val=""/>
      <w:lvlJc w:val="left"/>
      <w:pPr>
        <w:ind w:left="6477" w:hanging="360"/>
      </w:pPr>
      <w:rPr>
        <w:rFonts w:ascii="Wingdings" w:hAnsi="Wingdings" w:hint="default"/>
      </w:rPr>
    </w:lvl>
  </w:abstractNum>
  <w:abstractNum w:abstractNumId="20" w15:restartNumberingAfterBreak="0">
    <w:nsid w:val="6E174127"/>
    <w:multiLevelType w:val="hybridMultilevel"/>
    <w:tmpl w:val="40C421BA"/>
    <w:lvl w:ilvl="0" w:tplc="4DC86CD2">
      <w:numFmt w:val="bullet"/>
      <w:lvlText w:val="-"/>
      <w:lvlJc w:val="left"/>
      <w:pPr>
        <w:ind w:left="717" w:hanging="360"/>
      </w:pPr>
      <w:rPr>
        <w:rFonts w:ascii="Times New Roman" w:eastAsia="Times New Roman" w:hAnsi="Times New Roman" w:cs="Times New Roman" w:hint="default"/>
      </w:rPr>
    </w:lvl>
    <w:lvl w:ilvl="1" w:tplc="08130003" w:tentative="1">
      <w:start w:val="1"/>
      <w:numFmt w:val="bullet"/>
      <w:lvlText w:val="o"/>
      <w:lvlJc w:val="left"/>
      <w:pPr>
        <w:ind w:left="1437" w:hanging="360"/>
      </w:pPr>
      <w:rPr>
        <w:rFonts w:ascii="Courier New" w:hAnsi="Courier New" w:cs="Courier New" w:hint="default"/>
      </w:rPr>
    </w:lvl>
    <w:lvl w:ilvl="2" w:tplc="08130005" w:tentative="1">
      <w:start w:val="1"/>
      <w:numFmt w:val="bullet"/>
      <w:lvlText w:val=""/>
      <w:lvlJc w:val="left"/>
      <w:pPr>
        <w:ind w:left="2157" w:hanging="360"/>
      </w:pPr>
      <w:rPr>
        <w:rFonts w:ascii="Wingdings" w:hAnsi="Wingdings" w:hint="default"/>
      </w:rPr>
    </w:lvl>
    <w:lvl w:ilvl="3" w:tplc="08130001" w:tentative="1">
      <w:start w:val="1"/>
      <w:numFmt w:val="bullet"/>
      <w:lvlText w:val=""/>
      <w:lvlJc w:val="left"/>
      <w:pPr>
        <w:ind w:left="2877" w:hanging="360"/>
      </w:pPr>
      <w:rPr>
        <w:rFonts w:ascii="Symbol" w:hAnsi="Symbol" w:hint="default"/>
      </w:rPr>
    </w:lvl>
    <w:lvl w:ilvl="4" w:tplc="08130003" w:tentative="1">
      <w:start w:val="1"/>
      <w:numFmt w:val="bullet"/>
      <w:lvlText w:val="o"/>
      <w:lvlJc w:val="left"/>
      <w:pPr>
        <w:ind w:left="3597" w:hanging="360"/>
      </w:pPr>
      <w:rPr>
        <w:rFonts w:ascii="Courier New" w:hAnsi="Courier New" w:cs="Courier New" w:hint="default"/>
      </w:rPr>
    </w:lvl>
    <w:lvl w:ilvl="5" w:tplc="08130005" w:tentative="1">
      <w:start w:val="1"/>
      <w:numFmt w:val="bullet"/>
      <w:lvlText w:val=""/>
      <w:lvlJc w:val="left"/>
      <w:pPr>
        <w:ind w:left="4317" w:hanging="360"/>
      </w:pPr>
      <w:rPr>
        <w:rFonts w:ascii="Wingdings" w:hAnsi="Wingdings" w:hint="default"/>
      </w:rPr>
    </w:lvl>
    <w:lvl w:ilvl="6" w:tplc="08130001" w:tentative="1">
      <w:start w:val="1"/>
      <w:numFmt w:val="bullet"/>
      <w:lvlText w:val=""/>
      <w:lvlJc w:val="left"/>
      <w:pPr>
        <w:ind w:left="5037" w:hanging="360"/>
      </w:pPr>
      <w:rPr>
        <w:rFonts w:ascii="Symbol" w:hAnsi="Symbol" w:hint="default"/>
      </w:rPr>
    </w:lvl>
    <w:lvl w:ilvl="7" w:tplc="08130003" w:tentative="1">
      <w:start w:val="1"/>
      <w:numFmt w:val="bullet"/>
      <w:lvlText w:val="o"/>
      <w:lvlJc w:val="left"/>
      <w:pPr>
        <w:ind w:left="5757" w:hanging="360"/>
      </w:pPr>
      <w:rPr>
        <w:rFonts w:ascii="Courier New" w:hAnsi="Courier New" w:cs="Courier New" w:hint="default"/>
      </w:rPr>
    </w:lvl>
    <w:lvl w:ilvl="8" w:tplc="08130005" w:tentative="1">
      <w:start w:val="1"/>
      <w:numFmt w:val="bullet"/>
      <w:lvlText w:val=""/>
      <w:lvlJc w:val="left"/>
      <w:pPr>
        <w:ind w:left="6477" w:hanging="360"/>
      </w:pPr>
      <w:rPr>
        <w:rFonts w:ascii="Wingdings" w:hAnsi="Wingdings" w:hint="default"/>
      </w:rPr>
    </w:lvl>
  </w:abstractNum>
  <w:abstractNum w:abstractNumId="21" w15:restartNumberingAfterBreak="0">
    <w:nsid w:val="775F48F2"/>
    <w:multiLevelType w:val="hybridMultilevel"/>
    <w:tmpl w:val="DEA4BD7E"/>
    <w:lvl w:ilvl="0" w:tplc="1B5ABFA0">
      <w:numFmt w:val="bullet"/>
      <w:lvlText w:val="-"/>
      <w:lvlJc w:val="left"/>
      <w:pPr>
        <w:ind w:left="717" w:hanging="360"/>
      </w:pPr>
      <w:rPr>
        <w:rFonts w:ascii="Times New Roman" w:eastAsia="Times New Roman" w:hAnsi="Times New Roman" w:cs="Times New Roman" w:hint="default"/>
      </w:rPr>
    </w:lvl>
    <w:lvl w:ilvl="1" w:tplc="08130003" w:tentative="1">
      <w:start w:val="1"/>
      <w:numFmt w:val="bullet"/>
      <w:lvlText w:val="o"/>
      <w:lvlJc w:val="left"/>
      <w:pPr>
        <w:ind w:left="1437" w:hanging="360"/>
      </w:pPr>
      <w:rPr>
        <w:rFonts w:ascii="Courier New" w:hAnsi="Courier New" w:cs="Courier New" w:hint="default"/>
      </w:rPr>
    </w:lvl>
    <w:lvl w:ilvl="2" w:tplc="08130005" w:tentative="1">
      <w:start w:val="1"/>
      <w:numFmt w:val="bullet"/>
      <w:lvlText w:val=""/>
      <w:lvlJc w:val="left"/>
      <w:pPr>
        <w:ind w:left="2157" w:hanging="360"/>
      </w:pPr>
      <w:rPr>
        <w:rFonts w:ascii="Wingdings" w:hAnsi="Wingdings" w:hint="default"/>
      </w:rPr>
    </w:lvl>
    <w:lvl w:ilvl="3" w:tplc="08130001" w:tentative="1">
      <w:start w:val="1"/>
      <w:numFmt w:val="bullet"/>
      <w:lvlText w:val=""/>
      <w:lvlJc w:val="left"/>
      <w:pPr>
        <w:ind w:left="2877" w:hanging="360"/>
      </w:pPr>
      <w:rPr>
        <w:rFonts w:ascii="Symbol" w:hAnsi="Symbol" w:hint="default"/>
      </w:rPr>
    </w:lvl>
    <w:lvl w:ilvl="4" w:tplc="08130003" w:tentative="1">
      <w:start w:val="1"/>
      <w:numFmt w:val="bullet"/>
      <w:lvlText w:val="o"/>
      <w:lvlJc w:val="left"/>
      <w:pPr>
        <w:ind w:left="3597" w:hanging="360"/>
      </w:pPr>
      <w:rPr>
        <w:rFonts w:ascii="Courier New" w:hAnsi="Courier New" w:cs="Courier New" w:hint="default"/>
      </w:rPr>
    </w:lvl>
    <w:lvl w:ilvl="5" w:tplc="08130005" w:tentative="1">
      <w:start w:val="1"/>
      <w:numFmt w:val="bullet"/>
      <w:lvlText w:val=""/>
      <w:lvlJc w:val="left"/>
      <w:pPr>
        <w:ind w:left="4317" w:hanging="360"/>
      </w:pPr>
      <w:rPr>
        <w:rFonts w:ascii="Wingdings" w:hAnsi="Wingdings" w:hint="default"/>
      </w:rPr>
    </w:lvl>
    <w:lvl w:ilvl="6" w:tplc="08130001" w:tentative="1">
      <w:start w:val="1"/>
      <w:numFmt w:val="bullet"/>
      <w:lvlText w:val=""/>
      <w:lvlJc w:val="left"/>
      <w:pPr>
        <w:ind w:left="5037" w:hanging="360"/>
      </w:pPr>
      <w:rPr>
        <w:rFonts w:ascii="Symbol" w:hAnsi="Symbol" w:hint="default"/>
      </w:rPr>
    </w:lvl>
    <w:lvl w:ilvl="7" w:tplc="08130003" w:tentative="1">
      <w:start w:val="1"/>
      <w:numFmt w:val="bullet"/>
      <w:lvlText w:val="o"/>
      <w:lvlJc w:val="left"/>
      <w:pPr>
        <w:ind w:left="5757" w:hanging="360"/>
      </w:pPr>
      <w:rPr>
        <w:rFonts w:ascii="Courier New" w:hAnsi="Courier New" w:cs="Courier New" w:hint="default"/>
      </w:rPr>
    </w:lvl>
    <w:lvl w:ilvl="8" w:tplc="08130005" w:tentative="1">
      <w:start w:val="1"/>
      <w:numFmt w:val="bullet"/>
      <w:lvlText w:val=""/>
      <w:lvlJc w:val="left"/>
      <w:pPr>
        <w:ind w:left="6477" w:hanging="360"/>
      </w:pPr>
      <w:rPr>
        <w:rFonts w:ascii="Wingdings" w:hAnsi="Wingdings" w:hint="default"/>
      </w:rPr>
    </w:lvl>
  </w:abstractNum>
  <w:abstractNum w:abstractNumId="22" w15:restartNumberingAfterBreak="0">
    <w:nsid w:val="7C046B56"/>
    <w:multiLevelType w:val="hybridMultilevel"/>
    <w:tmpl w:val="25CA0C28"/>
    <w:lvl w:ilvl="0" w:tplc="0A420BB0">
      <w:start w:val="2"/>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60138446">
    <w:abstractNumId w:val="15"/>
  </w:num>
  <w:num w:numId="2" w16cid:durableId="535508511">
    <w:abstractNumId w:val="18"/>
  </w:num>
  <w:num w:numId="3" w16cid:durableId="1772897038">
    <w:abstractNumId w:val="12"/>
  </w:num>
  <w:num w:numId="4" w16cid:durableId="1831947043">
    <w:abstractNumId w:val="10"/>
  </w:num>
  <w:num w:numId="5" w16cid:durableId="885990686">
    <w:abstractNumId w:val="14"/>
  </w:num>
  <w:num w:numId="6" w16cid:durableId="374617944">
    <w:abstractNumId w:val="16"/>
  </w:num>
  <w:num w:numId="7" w16cid:durableId="945842034">
    <w:abstractNumId w:val="9"/>
  </w:num>
  <w:num w:numId="8" w16cid:durableId="409739689">
    <w:abstractNumId w:val="7"/>
  </w:num>
  <w:num w:numId="9" w16cid:durableId="156919337">
    <w:abstractNumId w:val="6"/>
  </w:num>
  <w:num w:numId="10" w16cid:durableId="1769891626">
    <w:abstractNumId w:val="5"/>
  </w:num>
  <w:num w:numId="11" w16cid:durableId="969356750">
    <w:abstractNumId w:val="4"/>
  </w:num>
  <w:num w:numId="12" w16cid:durableId="644161167">
    <w:abstractNumId w:val="8"/>
  </w:num>
  <w:num w:numId="13" w16cid:durableId="1972862677">
    <w:abstractNumId w:val="3"/>
  </w:num>
  <w:num w:numId="14" w16cid:durableId="945771099">
    <w:abstractNumId w:val="2"/>
  </w:num>
  <w:num w:numId="15" w16cid:durableId="1746298356">
    <w:abstractNumId w:val="1"/>
  </w:num>
  <w:num w:numId="16" w16cid:durableId="1743259025">
    <w:abstractNumId w:val="0"/>
  </w:num>
  <w:num w:numId="17" w16cid:durableId="551342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4191226">
    <w:abstractNumId w:val="21"/>
  </w:num>
  <w:num w:numId="19" w16cid:durableId="159078694">
    <w:abstractNumId w:val="11"/>
  </w:num>
  <w:num w:numId="20" w16cid:durableId="440951637">
    <w:abstractNumId w:val="17"/>
  </w:num>
  <w:num w:numId="21" w16cid:durableId="1949657105">
    <w:abstractNumId w:val="20"/>
  </w:num>
  <w:num w:numId="22" w16cid:durableId="1038509852">
    <w:abstractNumId w:val="13"/>
  </w:num>
  <w:num w:numId="23" w16cid:durableId="328682244">
    <w:abstractNumId w:val="19"/>
  </w:num>
  <w:num w:numId="24" w16cid:durableId="19710133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767339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20297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485685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3791588">
    <w:abstractNumId w:val="22"/>
  </w:num>
  <w:num w:numId="29" w16cid:durableId="15446347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BFE"/>
    <w:rsid w:val="000002D3"/>
    <w:rsid w:val="000005CC"/>
    <w:rsid w:val="0000150F"/>
    <w:rsid w:val="000020DA"/>
    <w:rsid w:val="000022D2"/>
    <w:rsid w:val="00002574"/>
    <w:rsid w:val="00003345"/>
    <w:rsid w:val="000033CB"/>
    <w:rsid w:val="00003816"/>
    <w:rsid w:val="00004AB4"/>
    <w:rsid w:val="0000567F"/>
    <w:rsid w:val="000062A0"/>
    <w:rsid w:val="0000648A"/>
    <w:rsid w:val="0000657E"/>
    <w:rsid w:val="00006697"/>
    <w:rsid w:val="00006741"/>
    <w:rsid w:val="00007107"/>
    <w:rsid w:val="000079E7"/>
    <w:rsid w:val="00010EF9"/>
    <w:rsid w:val="00011490"/>
    <w:rsid w:val="000116E5"/>
    <w:rsid w:val="00011717"/>
    <w:rsid w:val="00011C1C"/>
    <w:rsid w:val="00012944"/>
    <w:rsid w:val="00012989"/>
    <w:rsid w:val="00012B5E"/>
    <w:rsid w:val="00012E66"/>
    <w:rsid w:val="000139D7"/>
    <w:rsid w:val="00013A9B"/>
    <w:rsid w:val="00013ABC"/>
    <w:rsid w:val="0001423B"/>
    <w:rsid w:val="00014281"/>
    <w:rsid w:val="00014E25"/>
    <w:rsid w:val="00016337"/>
    <w:rsid w:val="000176C2"/>
    <w:rsid w:val="00020AC1"/>
    <w:rsid w:val="00020F1D"/>
    <w:rsid w:val="00021BB7"/>
    <w:rsid w:val="000221E4"/>
    <w:rsid w:val="000221F5"/>
    <w:rsid w:val="0002304E"/>
    <w:rsid w:val="000231B4"/>
    <w:rsid w:val="00023418"/>
    <w:rsid w:val="00023B5C"/>
    <w:rsid w:val="00023B90"/>
    <w:rsid w:val="00023CDE"/>
    <w:rsid w:val="00023E1A"/>
    <w:rsid w:val="00023E45"/>
    <w:rsid w:val="000246BE"/>
    <w:rsid w:val="00024B02"/>
    <w:rsid w:val="00024B25"/>
    <w:rsid w:val="00024C78"/>
    <w:rsid w:val="00025687"/>
    <w:rsid w:val="00025A59"/>
    <w:rsid w:val="00025A5D"/>
    <w:rsid w:val="00025D85"/>
    <w:rsid w:val="0002606C"/>
    <w:rsid w:val="00026361"/>
    <w:rsid w:val="00026921"/>
    <w:rsid w:val="00030123"/>
    <w:rsid w:val="0003084D"/>
    <w:rsid w:val="00030CFA"/>
    <w:rsid w:val="00030D57"/>
    <w:rsid w:val="00030F2D"/>
    <w:rsid w:val="000312D5"/>
    <w:rsid w:val="00031445"/>
    <w:rsid w:val="00031C62"/>
    <w:rsid w:val="00031F51"/>
    <w:rsid w:val="00033DE3"/>
    <w:rsid w:val="0003486C"/>
    <w:rsid w:val="00034E4C"/>
    <w:rsid w:val="0003635D"/>
    <w:rsid w:val="0003681B"/>
    <w:rsid w:val="000369DB"/>
    <w:rsid w:val="00036FD4"/>
    <w:rsid w:val="000371FB"/>
    <w:rsid w:val="00037EFF"/>
    <w:rsid w:val="00037F41"/>
    <w:rsid w:val="00040A69"/>
    <w:rsid w:val="00041068"/>
    <w:rsid w:val="00041FEF"/>
    <w:rsid w:val="00042318"/>
    <w:rsid w:val="000428F0"/>
    <w:rsid w:val="00042D18"/>
    <w:rsid w:val="0004308F"/>
    <w:rsid w:val="00044861"/>
    <w:rsid w:val="000448B6"/>
    <w:rsid w:val="00044CEC"/>
    <w:rsid w:val="000450F4"/>
    <w:rsid w:val="00046327"/>
    <w:rsid w:val="00046681"/>
    <w:rsid w:val="00046EF2"/>
    <w:rsid w:val="00047549"/>
    <w:rsid w:val="000508C3"/>
    <w:rsid w:val="00050CB0"/>
    <w:rsid w:val="00050E51"/>
    <w:rsid w:val="00051AEB"/>
    <w:rsid w:val="00051C1E"/>
    <w:rsid w:val="00052FE3"/>
    <w:rsid w:val="00053E17"/>
    <w:rsid w:val="000542E7"/>
    <w:rsid w:val="000543C0"/>
    <w:rsid w:val="0005475F"/>
    <w:rsid w:val="00054A18"/>
    <w:rsid w:val="000557DE"/>
    <w:rsid w:val="00056A6A"/>
    <w:rsid w:val="000570A2"/>
    <w:rsid w:val="00060AE2"/>
    <w:rsid w:val="00061540"/>
    <w:rsid w:val="0006190F"/>
    <w:rsid w:val="00061F6D"/>
    <w:rsid w:val="00062699"/>
    <w:rsid w:val="000628A7"/>
    <w:rsid w:val="00062F8A"/>
    <w:rsid w:val="0006408A"/>
    <w:rsid w:val="00064340"/>
    <w:rsid w:val="000643A8"/>
    <w:rsid w:val="00064416"/>
    <w:rsid w:val="000646EF"/>
    <w:rsid w:val="00064D5D"/>
    <w:rsid w:val="00064E46"/>
    <w:rsid w:val="00064E50"/>
    <w:rsid w:val="00065762"/>
    <w:rsid w:val="00065F7D"/>
    <w:rsid w:val="000660F2"/>
    <w:rsid w:val="0006687B"/>
    <w:rsid w:val="000669E4"/>
    <w:rsid w:val="00067235"/>
    <w:rsid w:val="0006738A"/>
    <w:rsid w:val="00067851"/>
    <w:rsid w:val="00067C08"/>
    <w:rsid w:val="00070511"/>
    <w:rsid w:val="000708A2"/>
    <w:rsid w:val="000709B4"/>
    <w:rsid w:val="00071E0F"/>
    <w:rsid w:val="000723A9"/>
    <w:rsid w:val="000727C0"/>
    <w:rsid w:val="000730E8"/>
    <w:rsid w:val="000733B1"/>
    <w:rsid w:val="00073531"/>
    <w:rsid w:val="00073681"/>
    <w:rsid w:val="000738A0"/>
    <w:rsid w:val="00074C69"/>
    <w:rsid w:val="00074F10"/>
    <w:rsid w:val="00074FF0"/>
    <w:rsid w:val="00076E4B"/>
    <w:rsid w:val="0007775F"/>
    <w:rsid w:val="0007779B"/>
    <w:rsid w:val="0008007E"/>
    <w:rsid w:val="00080D27"/>
    <w:rsid w:val="00081DB7"/>
    <w:rsid w:val="00082A25"/>
    <w:rsid w:val="00084344"/>
    <w:rsid w:val="000846AD"/>
    <w:rsid w:val="0008544C"/>
    <w:rsid w:val="00085563"/>
    <w:rsid w:val="00086567"/>
    <w:rsid w:val="00087946"/>
    <w:rsid w:val="00090115"/>
    <w:rsid w:val="000903C1"/>
    <w:rsid w:val="000904E7"/>
    <w:rsid w:val="00090644"/>
    <w:rsid w:val="0009082C"/>
    <w:rsid w:val="00090FD7"/>
    <w:rsid w:val="00091028"/>
    <w:rsid w:val="00091087"/>
    <w:rsid w:val="00091650"/>
    <w:rsid w:val="000917BE"/>
    <w:rsid w:val="00091B6F"/>
    <w:rsid w:val="00091DE2"/>
    <w:rsid w:val="00091F35"/>
    <w:rsid w:val="00092994"/>
    <w:rsid w:val="00092C73"/>
    <w:rsid w:val="00092E63"/>
    <w:rsid w:val="00093162"/>
    <w:rsid w:val="000935FB"/>
    <w:rsid w:val="00093B7D"/>
    <w:rsid w:val="00093E6F"/>
    <w:rsid w:val="00094EEC"/>
    <w:rsid w:val="00094F53"/>
    <w:rsid w:val="0009563E"/>
    <w:rsid w:val="00096515"/>
    <w:rsid w:val="000969CC"/>
    <w:rsid w:val="000A0142"/>
    <w:rsid w:val="000A0E7B"/>
    <w:rsid w:val="000A0F82"/>
    <w:rsid w:val="000A151C"/>
    <w:rsid w:val="000A171B"/>
    <w:rsid w:val="000A1D79"/>
    <w:rsid w:val="000A2C77"/>
    <w:rsid w:val="000A3E6F"/>
    <w:rsid w:val="000A3F03"/>
    <w:rsid w:val="000A4ABD"/>
    <w:rsid w:val="000A54A0"/>
    <w:rsid w:val="000A5752"/>
    <w:rsid w:val="000A5EA2"/>
    <w:rsid w:val="000A764A"/>
    <w:rsid w:val="000A7B35"/>
    <w:rsid w:val="000B0547"/>
    <w:rsid w:val="000B0891"/>
    <w:rsid w:val="000B0AD0"/>
    <w:rsid w:val="000B0DFF"/>
    <w:rsid w:val="000B17A6"/>
    <w:rsid w:val="000B1B37"/>
    <w:rsid w:val="000B1CEF"/>
    <w:rsid w:val="000B2783"/>
    <w:rsid w:val="000B384F"/>
    <w:rsid w:val="000B3928"/>
    <w:rsid w:val="000B4006"/>
    <w:rsid w:val="000B5ACD"/>
    <w:rsid w:val="000B5BCC"/>
    <w:rsid w:val="000B63C6"/>
    <w:rsid w:val="000B67D5"/>
    <w:rsid w:val="000B6909"/>
    <w:rsid w:val="000B6FFB"/>
    <w:rsid w:val="000B705F"/>
    <w:rsid w:val="000B73A6"/>
    <w:rsid w:val="000C0151"/>
    <w:rsid w:val="000C035E"/>
    <w:rsid w:val="000C0B06"/>
    <w:rsid w:val="000C0C7F"/>
    <w:rsid w:val="000C0CCC"/>
    <w:rsid w:val="000C119F"/>
    <w:rsid w:val="000C215A"/>
    <w:rsid w:val="000C321D"/>
    <w:rsid w:val="000C3325"/>
    <w:rsid w:val="000C361F"/>
    <w:rsid w:val="000C3A95"/>
    <w:rsid w:val="000C4721"/>
    <w:rsid w:val="000C4B80"/>
    <w:rsid w:val="000C561E"/>
    <w:rsid w:val="000C5C66"/>
    <w:rsid w:val="000C6904"/>
    <w:rsid w:val="000C6DEA"/>
    <w:rsid w:val="000C72E2"/>
    <w:rsid w:val="000C7551"/>
    <w:rsid w:val="000C7BF3"/>
    <w:rsid w:val="000C7C2B"/>
    <w:rsid w:val="000D06EF"/>
    <w:rsid w:val="000D0FB0"/>
    <w:rsid w:val="000D1AF4"/>
    <w:rsid w:val="000D29C3"/>
    <w:rsid w:val="000D48DD"/>
    <w:rsid w:val="000D48EB"/>
    <w:rsid w:val="000D510D"/>
    <w:rsid w:val="000D533C"/>
    <w:rsid w:val="000D62CE"/>
    <w:rsid w:val="000D694C"/>
    <w:rsid w:val="000D6AC7"/>
    <w:rsid w:val="000D71D2"/>
    <w:rsid w:val="000D770C"/>
    <w:rsid w:val="000D79FD"/>
    <w:rsid w:val="000D7ABD"/>
    <w:rsid w:val="000D7F7C"/>
    <w:rsid w:val="000E0F78"/>
    <w:rsid w:val="000E1F40"/>
    <w:rsid w:val="000E2341"/>
    <w:rsid w:val="000E29E9"/>
    <w:rsid w:val="000E3E79"/>
    <w:rsid w:val="000E5C41"/>
    <w:rsid w:val="000E64A5"/>
    <w:rsid w:val="000E684C"/>
    <w:rsid w:val="000E73D5"/>
    <w:rsid w:val="000E769A"/>
    <w:rsid w:val="000E78E5"/>
    <w:rsid w:val="000E7A9B"/>
    <w:rsid w:val="000E7E47"/>
    <w:rsid w:val="000E7FF4"/>
    <w:rsid w:val="000F142C"/>
    <w:rsid w:val="000F233F"/>
    <w:rsid w:val="000F25B9"/>
    <w:rsid w:val="000F2A35"/>
    <w:rsid w:val="000F2CFF"/>
    <w:rsid w:val="000F375E"/>
    <w:rsid w:val="000F3CAB"/>
    <w:rsid w:val="000F4241"/>
    <w:rsid w:val="000F4ECA"/>
    <w:rsid w:val="000F4F23"/>
    <w:rsid w:val="000F5228"/>
    <w:rsid w:val="000F620B"/>
    <w:rsid w:val="000F627F"/>
    <w:rsid w:val="000F6656"/>
    <w:rsid w:val="000F68D8"/>
    <w:rsid w:val="000F6C17"/>
    <w:rsid w:val="000F734C"/>
    <w:rsid w:val="000F7637"/>
    <w:rsid w:val="0010014E"/>
    <w:rsid w:val="001004A3"/>
    <w:rsid w:val="00100902"/>
    <w:rsid w:val="001009D7"/>
    <w:rsid w:val="00103082"/>
    <w:rsid w:val="00104776"/>
    <w:rsid w:val="00104A03"/>
    <w:rsid w:val="001053E1"/>
    <w:rsid w:val="001055D1"/>
    <w:rsid w:val="00105A51"/>
    <w:rsid w:val="00106515"/>
    <w:rsid w:val="00106AA1"/>
    <w:rsid w:val="00106C26"/>
    <w:rsid w:val="00107623"/>
    <w:rsid w:val="00110C97"/>
    <w:rsid w:val="001123C0"/>
    <w:rsid w:val="00112968"/>
    <w:rsid w:val="0011299A"/>
    <w:rsid w:val="0011360B"/>
    <w:rsid w:val="00113625"/>
    <w:rsid w:val="00113CBE"/>
    <w:rsid w:val="00114725"/>
    <w:rsid w:val="00114A07"/>
    <w:rsid w:val="00114E80"/>
    <w:rsid w:val="00115C8E"/>
    <w:rsid w:val="00116752"/>
    <w:rsid w:val="00117032"/>
    <w:rsid w:val="00117174"/>
    <w:rsid w:val="00117A4D"/>
    <w:rsid w:val="00117CC3"/>
    <w:rsid w:val="00120433"/>
    <w:rsid w:val="001231B5"/>
    <w:rsid w:val="001234C7"/>
    <w:rsid w:val="00123544"/>
    <w:rsid w:val="0012374A"/>
    <w:rsid w:val="00123826"/>
    <w:rsid w:val="00123B64"/>
    <w:rsid w:val="00123D6A"/>
    <w:rsid w:val="00124142"/>
    <w:rsid w:val="00124768"/>
    <w:rsid w:val="00124870"/>
    <w:rsid w:val="00124B33"/>
    <w:rsid w:val="00125712"/>
    <w:rsid w:val="00125797"/>
    <w:rsid w:val="00126286"/>
    <w:rsid w:val="00127177"/>
    <w:rsid w:val="001279F0"/>
    <w:rsid w:val="00127D9B"/>
    <w:rsid w:val="001301D8"/>
    <w:rsid w:val="001304C1"/>
    <w:rsid w:val="0013135B"/>
    <w:rsid w:val="00131C8B"/>
    <w:rsid w:val="00131E30"/>
    <w:rsid w:val="00132268"/>
    <w:rsid w:val="00132272"/>
    <w:rsid w:val="001328E2"/>
    <w:rsid w:val="00132AB7"/>
    <w:rsid w:val="0013353F"/>
    <w:rsid w:val="00133DD0"/>
    <w:rsid w:val="0013544E"/>
    <w:rsid w:val="001358AB"/>
    <w:rsid w:val="00137B05"/>
    <w:rsid w:val="00137F05"/>
    <w:rsid w:val="00137F42"/>
    <w:rsid w:val="001402F2"/>
    <w:rsid w:val="001403AF"/>
    <w:rsid w:val="00140591"/>
    <w:rsid w:val="001418EB"/>
    <w:rsid w:val="001426DE"/>
    <w:rsid w:val="00142EE3"/>
    <w:rsid w:val="00143A70"/>
    <w:rsid w:val="0014459B"/>
    <w:rsid w:val="00144B1B"/>
    <w:rsid w:val="00145845"/>
    <w:rsid w:val="00145A0E"/>
    <w:rsid w:val="001466AF"/>
    <w:rsid w:val="00146C4D"/>
    <w:rsid w:val="001478B9"/>
    <w:rsid w:val="00147FCC"/>
    <w:rsid w:val="001507EC"/>
    <w:rsid w:val="00150B59"/>
    <w:rsid w:val="00151333"/>
    <w:rsid w:val="00151C0C"/>
    <w:rsid w:val="00152037"/>
    <w:rsid w:val="00152973"/>
    <w:rsid w:val="00152A42"/>
    <w:rsid w:val="00152DF4"/>
    <w:rsid w:val="00152E2C"/>
    <w:rsid w:val="00152E41"/>
    <w:rsid w:val="00152F86"/>
    <w:rsid w:val="001536E9"/>
    <w:rsid w:val="00154C4E"/>
    <w:rsid w:val="00154CBC"/>
    <w:rsid w:val="00155493"/>
    <w:rsid w:val="001557DC"/>
    <w:rsid w:val="0015632D"/>
    <w:rsid w:val="001564E5"/>
    <w:rsid w:val="00156615"/>
    <w:rsid w:val="00156E24"/>
    <w:rsid w:val="001571A9"/>
    <w:rsid w:val="00157429"/>
    <w:rsid w:val="001578A1"/>
    <w:rsid w:val="00157B65"/>
    <w:rsid w:val="001600BE"/>
    <w:rsid w:val="00161115"/>
    <w:rsid w:val="00161D74"/>
    <w:rsid w:val="001624DB"/>
    <w:rsid w:val="00162593"/>
    <w:rsid w:val="001634DE"/>
    <w:rsid w:val="00163A55"/>
    <w:rsid w:val="00164607"/>
    <w:rsid w:val="0016473B"/>
    <w:rsid w:val="00164A76"/>
    <w:rsid w:val="00164D5E"/>
    <w:rsid w:val="0016570F"/>
    <w:rsid w:val="001659E5"/>
    <w:rsid w:val="00165BD3"/>
    <w:rsid w:val="00166DA7"/>
    <w:rsid w:val="001679A9"/>
    <w:rsid w:val="0017061D"/>
    <w:rsid w:val="00171F8D"/>
    <w:rsid w:val="001721FB"/>
    <w:rsid w:val="00172699"/>
    <w:rsid w:val="001730CD"/>
    <w:rsid w:val="0017354C"/>
    <w:rsid w:val="00173DD9"/>
    <w:rsid w:val="00174FEF"/>
    <w:rsid w:val="0017577F"/>
    <w:rsid w:val="001760F3"/>
    <w:rsid w:val="001767CF"/>
    <w:rsid w:val="00176F87"/>
    <w:rsid w:val="0017788C"/>
    <w:rsid w:val="00177A0D"/>
    <w:rsid w:val="00181339"/>
    <w:rsid w:val="001818EA"/>
    <w:rsid w:val="001821C8"/>
    <w:rsid w:val="0018285F"/>
    <w:rsid w:val="00182C20"/>
    <w:rsid w:val="00184176"/>
    <w:rsid w:val="001846B4"/>
    <w:rsid w:val="00184C6A"/>
    <w:rsid w:val="00184EFC"/>
    <w:rsid w:val="00185291"/>
    <w:rsid w:val="001853AB"/>
    <w:rsid w:val="00185515"/>
    <w:rsid w:val="00185905"/>
    <w:rsid w:val="001867E7"/>
    <w:rsid w:val="00186822"/>
    <w:rsid w:val="001875AD"/>
    <w:rsid w:val="00190FCA"/>
    <w:rsid w:val="0019223A"/>
    <w:rsid w:val="001922E6"/>
    <w:rsid w:val="00192649"/>
    <w:rsid w:val="00193FBF"/>
    <w:rsid w:val="00194B6C"/>
    <w:rsid w:val="001957D0"/>
    <w:rsid w:val="00195D54"/>
    <w:rsid w:val="001973C7"/>
    <w:rsid w:val="00197C99"/>
    <w:rsid w:val="00197F9A"/>
    <w:rsid w:val="001A0F76"/>
    <w:rsid w:val="001A185D"/>
    <w:rsid w:val="001A18C3"/>
    <w:rsid w:val="001A2427"/>
    <w:rsid w:val="001A24F8"/>
    <w:rsid w:val="001A2C8B"/>
    <w:rsid w:val="001A2FB2"/>
    <w:rsid w:val="001A37E2"/>
    <w:rsid w:val="001A4182"/>
    <w:rsid w:val="001A46C2"/>
    <w:rsid w:val="001A522F"/>
    <w:rsid w:val="001A5547"/>
    <w:rsid w:val="001A5A65"/>
    <w:rsid w:val="001A66E7"/>
    <w:rsid w:val="001A68CE"/>
    <w:rsid w:val="001A6F1B"/>
    <w:rsid w:val="001A6F2A"/>
    <w:rsid w:val="001A7294"/>
    <w:rsid w:val="001A79AF"/>
    <w:rsid w:val="001A7B1B"/>
    <w:rsid w:val="001A7C0A"/>
    <w:rsid w:val="001B0182"/>
    <w:rsid w:val="001B0A58"/>
    <w:rsid w:val="001B0E54"/>
    <w:rsid w:val="001B1434"/>
    <w:rsid w:val="001B1446"/>
    <w:rsid w:val="001B1A3D"/>
    <w:rsid w:val="001B2222"/>
    <w:rsid w:val="001B3267"/>
    <w:rsid w:val="001B3639"/>
    <w:rsid w:val="001B43FD"/>
    <w:rsid w:val="001B44C3"/>
    <w:rsid w:val="001B49B6"/>
    <w:rsid w:val="001B4ACD"/>
    <w:rsid w:val="001B4B71"/>
    <w:rsid w:val="001B50FD"/>
    <w:rsid w:val="001B510E"/>
    <w:rsid w:val="001B59D5"/>
    <w:rsid w:val="001B6004"/>
    <w:rsid w:val="001B64F5"/>
    <w:rsid w:val="001B71A7"/>
    <w:rsid w:val="001C036B"/>
    <w:rsid w:val="001C0991"/>
    <w:rsid w:val="001C1437"/>
    <w:rsid w:val="001C1C96"/>
    <w:rsid w:val="001C22A1"/>
    <w:rsid w:val="001C23D6"/>
    <w:rsid w:val="001C24AA"/>
    <w:rsid w:val="001C298F"/>
    <w:rsid w:val="001C2BC0"/>
    <w:rsid w:val="001C2C7E"/>
    <w:rsid w:val="001C2EBC"/>
    <w:rsid w:val="001C3051"/>
    <w:rsid w:val="001C3EE6"/>
    <w:rsid w:val="001C4A09"/>
    <w:rsid w:val="001C547A"/>
    <w:rsid w:val="001C5949"/>
    <w:rsid w:val="001C5976"/>
    <w:rsid w:val="001C5F00"/>
    <w:rsid w:val="001C69CF"/>
    <w:rsid w:val="001C6D87"/>
    <w:rsid w:val="001C7002"/>
    <w:rsid w:val="001C7211"/>
    <w:rsid w:val="001C722D"/>
    <w:rsid w:val="001C724B"/>
    <w:rsid w:val="001C727E"/>
    <w:rsid w:val="001C74B7"/>
    <w:rsid w:val="001C761A"/>
    <w:rsid w:val="001C7703"/>
    <w:rsid w:val="001D0483"/>
    <w:rsid w:val="001D0BC7"/>
    <w:rsid w:val="001D1C13"/>
    <w:rsid w:val="001D243A"/>
    <w:rsid w:val="001D2B62"/>
    <w:rsid w:val="001D42B4"/>
    <w:rsid w:val="001D49BE"/>
    <w:rsid w:val="001D4ACC"/>
    <w:rsid w:val="001D5F61"/>
    <w:rsid w:val="001D623C"/>
    <w:rsid w:val="001D63A3"/>
    <w:rsid w:val="001D6A11"/>
    <w:rsid w:val="001D6B15"/>
    <w:rsid w:val="001D764F"/>
    <w:rsid w:val="001D7B7B"/>
    <w:rsid w:val="001E0184"/>
    <w:rsid w:val="001E048E"/>
    <w:rsid w:val="001E1804"/>
    <w:rsid w:val="001E2092"/>
    <w:rsid w:val="001E2AC1"/>
    <w:rsid w:val="001E4787"/>
    <w:rsid w:val="001E48D6"/>
    <w:rsid w:val="001E52A9"/>
    <w:rsid w:val="001E53A2"/>
    <w:rsid w:val="001E553C"/>
    <w:rsid w:val="001E5D04"/>
    <w:rsid w:val="001E5EFB"/>
    <w:rsid w:val="001E669F"/>
    <w:rsid w:val="001E6B49"/>
    <w:rsid w:val="001F0065"/>
    <w:rsid w:val="001F00E9"/>
    <w:rsid w:val="001F0ACB"/>
    <w:rsid w:val="001F0C55"/>
    <w:rsid w:val="001F0CFA"/>
    <w:rsid w:val="001F20B6"/>
    <w:rsid w:val="001F3F8F"/>
    <w:rsid w:val="001F460B"/>
    <w:rsid w:val="001F48A1"/>
    <w:rsid w:val="001F4DDA"/>
    <w:rsid w:val="001F59C2"/>
    <w:rsid w:val="001F6059"/>
    <w:rsid w:val="001F6C39"/>
    <w:rsid w:val="00200878"/>
    <w:rsid w:val="00200A33"/>
    <w:rsid w:val="00200C0F"/>
    <w:rsid w:val="002011A2"/>
    <w:rsid w:val="002011EF"/>
    <w:rsid w:val="0020176B"/>
    <w:rsid w:val="0020204F"/>
    <w:rsid w:val="00202D47"/>
    <w:rsid w:val="002035EF"/>
    <w:rsid w:val="00204045"/>
    <w:rsid w:val="0020428C"/>
    <w:rsid w:val="00204D01"/>
    <w:rsid w:val="00204FAD"/>
    <w:rsid w:val="00206654"/>
    <w:rsid w:val="00206E0A"/>
    <w:rsid w:val="00206E0E"/>
    <w:rsid w:val="0020784F"/>
    <w:rsid w:val="00207C28"/>
    <w:rsid w:val="00207D66"/>
    <w:rsid w:val="0021065C"/>
    <w:rsid w:val="002109CE"/>
    <w:rsid w:val="00210ED2"/>
    <w:rsid w:val="002115D5"/>
    <w:rsid w:val="00211F19"/>
    <w:rsid w:val="002128FC"/>
    <w:rsid w:val="00212EFA"/>
    <w:rsid w:val="00212FDB"/>
    <w:rsid w:val="00213956"/>
    <w:rsid w:val="00213A48"/>
    <w:rsid w:val="002142C9"/>
    <w:rsid w:val="0021446C"/>
    <w:rsid w:val="002144B1"/>
    <w:rsid w:val="0021459A"/>
    <w:rsid w:val="00214B10"/>
    <w:rsid w:val="0021528B"/>
    <w:rsid w:val="00215AE6"/>
    <w:rsid w:val="00215D8C"/>
    <w:rsid w:val="00216164"/>
    <w:rsid w:val="0021627E"/>
    <w:rsid w:val="0021628D"/>
    <w:rsid w:val="00216D5D"/>
    <w:rsid w:val="00216F30"/>
    <w:rsid w:val="00220417"/>
    <w:rsid w:val="00220578"/>
    <w:rsid w:val="002205FA"/>
    <w:rsid w:val="00220B4A"/>
    <w:rsid w:val="00220BB2"/>
    <w:rsid w:val="0022166C"/>
    <w:rsid w:val="00221822"/>
    <w:rsid w:val="00222025"/>
    <w:rsid w:val="00222138"/>
    <w:rsid w:val="0022219F"/>
    <w:rsid w:val="00222486"/>
    <w:rsid w:val="002226F1"/>
    <w:rsid w:val="00222BDA"/>
    <w:rsid w:val="0022359D"/>
    <w:rsid w:val="00223B14"/>
    <w:rsid w:val="00223EBE"/>
    <w:rsid w:val="002243C0"/>
    <w:rsid w:val="0022468B"/>
    <w:rsid w:val="00225120"/>
    <w:rsid w:val="00226F02"/>
    <w:rsid w:val="00226F28"/>
    <w:rsid w:val="00227E52"/>
    <w:rsid w:val="00230296"/>
    <w:rsid w:val="00230344"/>
    <w:rsid w:val="0023043C"/>
    <w:rsid w:val="002304BC"/>
    <w:rsid w:val="002310F1"/>
    <w:rsid w:val="00231417"/>
    <w:rsid w:val="002322E0"/>
    <w:rsid w:val="00232495"/>
    <w:rsid w:val="002328EF"/>
    <w:rsid w:val="00232C95"/>
    <w:rsid w:val="00232E29"/>
    <w:rsid w:val="00232F1A"/>
    <w:rsid w:val="00233095"/>
    <w:rsid w:val="002332FC"/>
    <w:rsid w:val="002338AE"/>
    <w:rsid w:val="00233F96"/>
    <w:rsid w:val="00234113"/>
    <w:rsid w:val="00234CFA"/>
    <w:rsid w:val="00234D95"/>
    <w:rsid w:val="00234E72"/>
    <w:rsid w:val="00236178"/>
    <w:rsid w:val="00236530"/>
    <w:rsid w:val="00236BB5"/>
    <w:rsid w:val="00237254"/>
    <w:rsid w:val="002376B8"/>
    <w:rsid w:val="002406E4"/>
    <w:rsid w:val="00240E97"/>
    <w:rsid w:val="00240EAA"/>
    <w:rsid w:val="0024113B"/>
    <w:rsid w:val="00241274"/>
    <w:rsid w:val="0024182C"/>
    <w:rsid w:val="00241D9B"/>
    <w:rsid w:val="00242784"/>
    <w:rsid w:val="00243B6C"/>
    <w:rsid w:val="00243EDA"/>
    <w:rsid w:val="0024494F"/>
    <w:rsid w:val="00245150"/>
    <w:rsid w:val="00245889"/>
    <w:rsid w:val="00246B07"/>
    <w:rsid w:val="0024712B"/>
    <w:rsid w:val="0024737B"/>
    <w:rsid w:val="002478B8"/>
    <w:rsid w:val="00247A6C"/>
    <w:rsid w:val="00247BE5"/>
    <w:rsid w:val="00251188"/>
    <w:rsid w:val="0025180D"/>
    <w:rsid w:val="0025249A"/>
    <w:rsid w:val="00252E75"/>
    <w:rsid w:val="00253190"/>
    <w:rsid w:val="00253217"/>
    <w:rsid w:val="002538C8"/>
    <w:rsid w:val="002540BD"/>
    <w:rsid w:val="00255DAC"/>
    <w:rsid w:val="002562BC"/>
    <w:rsid w:val="00256A60"/>
    <w:rsid w:val="00256DB9"/>
    <w:rsid w:val="0025737A"/>
    <w:rsid w:val="00257C6E"/>
    <w:rsid w:val="0026002D"/>
    <w:rsid w:val="00260066"/>
    <w:rsid w:val="00260198"/>
    <w:rsid w:val="00260B25"/>
    <w:rsid w:val="00260E1B"/>
    <w:rsid w:val="00260FF9"/>
    <w:rsid w:val="002616F5"/>
    <w:rsid w:val="002621AB"/>
    <w:rsid w:val="00262612"/>
    <w:rsid w:val="00262731"/>
    <w:rsid w:val="00263675"/>
    <w:rsid w:val="00263BA1"/>
    <w:rsid w:val="002642C8"/>
    <w:rsid w:val="002645C4"/>
    <w:rsid w:val="002649D1"/>
    <w:rsid w:val="00264B09"/>
    <w:rsid w:val="00264CF1"/>
    <w:rsid w:val="00264DC7"/>
    <w:rsid w:val="00264E1C"/>
    <w:rsid w:val="002658E2"/>
    <w:rsid w:val="002663DD"/>
    <w:rsid w:val="00266CB3"/>
    <w:rsid w:val="00266F9D"/>
    <w:rsid w:val="0026752F"/>
    <w:rsid w:val="00267999"/>
    <w:rsid w:val="0027049F"/>
    <w:rsid w:val="002704EB"/>
    <w:rsid w:val="00270EB6"/>
    <w:rsid w:val="00272F5D"/>
    <w:rsid w:val="0027353A"/>
    <w:rsid w:val="00273C32"/>
    <w:rsid w:val="00274264"/>
    <w:rsid w:val="00274314"/>
    <w:rsid w:val="00274790"/>
    <w:rsid w:val="00274FB0"/>
    <w:rsid w:val="0027593D"/>
    <w:rsid w:val="002765D7"/>
    <w:rsid w:val="00280BB8"/>
    <w:rsid w:val="00280DE4"/>
    <w:rsid w:val="00281018"/>
    <w:rsid w:val="00281C4C"/>
    <w:rsid w:val="00282187"/>
    <w:rsid w:val="002828A1"/>
    <w:rsid w:val="00282D4F"/>
    <w:rsid w:val="002839C5"/>
    <w:rsid w:val="00283FBA"/>
    <w:rsid w:val="00284059"/>
    <w:rsid w:val="00284560"/>
    <w:rsid w:val="002846BD"/>
    <w:rsid w:val="00284BCA"/>
    <w:rsid w:val="00285646"/>
    <w:rsid w:val="002859E7"/>
    <w:rsid w:val="00285CCA"/>
    <w:rsid w:val="002860CF"/>
    <w:rsid w:val="002870F3"/>
    <w:rsid w:val="002915CC"/>
    <w:rsid w:val="002915F2"/>
    <w:rsid w:val="002919C1"/>
    <w:rsid w:val="00292341"/>
    <w:rsid w:val="002923C4"/>
    <w:rsid w:val="00292749"/>
    <w:rsid w:val="002929EE"/>
    <w:rsid w:val="00293C3A"/>
    <w:rsid w:val="0029401B"/>
    <w:rsid w:val="00294488"/>
    <w:rsid w:val="00294743"/>
    <w:rsid w:val="002948AB"/>
    <w:rsid w:val="00294AA5"/>
    <w:rsid w:val="00294C46"/>
    <w:rsid w:val="00294F4E"/>
    <w:rsid w:val="002954C3"/>
    <w:rsid w:val="002954DB"/>
    <w:rsid w:val="00295DB5"/>
    <w:rsid w:val="00296A3F"/>
    <w:rsid w:val="00296E6B"/>
    <w:rsid w:val="002A020B"/>
    <w:rsid w:val="002A0426"/>
    <w:rsid w:val="002A0530"/>
    <w:rsid w:val="002A05F6"/>
    <w:rsid w:val="002A1A93"/>
    <w:rsid w:val="002A2153"/>
    <w:rsid w:val="002A2B5F"/>
    <w:rsid w:val="002A33F4"/>
    <w:rsid w:val="002A37B0"/>
    <w:rsid w:val="002A3A27"/>
    <w:rsid w:val="002A4340"/>
    <w:rsid w:val="002A4652"/>
    <w:rsid w:val="002A474D"/>
    <w:rsid w:val="002A4F91"/>
    <w:rsid w:val="002A5724"/>
    <w:rsid w:val="002A5A3B"/>
    <w:rsid w:val="002A5D16"/>
    <w:rsid w:val="002A5F1B"/>
    <w:rsid w:val="002A605E"/>
    <w:rsid w:val="002A6E6A"/>
    <w:rsid w:val="002A759C"/>
    <w:rsid w:val="002A76B3"/>
    <w:rsid w:val="002A77E8"/>
    <w:rsid w:val="002B014D"/>
    <w:rsid w:val="002B1183"/>
    <w:rsid w:val="002B1477"/>
    <w:rsid w:val="002B1A71"/>
    <w:rsid w:val="002B1B15"/>
    <w:rsid w:val="002B2143"/>
    <w:rsid w:val="002B22C2"/>
    <w:rsid w:val="002B2704"/>
    <w:rsid w:val="002B2A69"/>
    <w:rsid w:val="002B3BC0"/>
    <w:rsid w:val="002B42D9"/>
    <w:rsid w:val="002B4F06"/>
    <w:rsid w:val="002B529F"/>
    <w:rsid w:val="002B574A"/>
    <w:rsid w:val="002B62D5"/>
    <w:rsid w:val="002B7142"/>
    <w:rsid w:val="002B757F"/>
    <w:rsid w:val="002B7D50"/>
    <w:rsid w:val="002B7DFC"/>
    <w:rsid w:val="002C0E5D"/>
    <w:rsid w:val="002C1004"/>
    <w:rsid w:val="002C308F"/>
    <w:rsid w:val="002C330D"/>
    <w:rsid w:val="002C5219"/>
    <w:rsid w:val="002C52D4"/>
    <w:rsid w:val="002C5B10"/>
    <w:rsid w:val="002C5BA3"/>
    <w:rsid w:val="002C5EA0"/>
    <w:rsid w:val="002C5FC3"/>
    <w:rsid w:val="002C62DE"/>
    <w:rsid w:val="002C6366"/>
    <w:rsid w:val="002C685E"/>
    <w:rsid w:val="002C6E27"/>
    <w:rsid w:val="002C74FB"/>
    <w:rsid w:val="002C7DCC"/>
    <w:rsid w:val="002C7E2A"/>
    <w:rsid w:val="002D002D"/>
    <w:rsid w:val="002D064D"/>
    <w:rsid w:val="002D098B"/>
    <w:rsid w:val="002D112C"/>
    <w:rsid w:val="002D2AD8"/>
    <w:rsid w:val="002D400A"/>
    <w:rsid w:val="002D446D"/>
    <w:rsid w:val="002D4691"/>
    <w:rsid w:val="002D485B"/>
    <w:rsid w:val="002D4A1F"/>
    <w:rsid w:val="002D4FCA"/>
    <w:rsid w:val="002D5804"/>
    <w:rsid w:val="002D5899"/>
    <w:rsid w:val="002D5D9B"/>
    <w:rsid w:val="002D62A1"/>
    <w:rsid w:val="002D6B3D"/>
    <w:rsid w:val="002D6B56"/>
    <w:rsid w:val="002D6B9B"/>
    <w:rsid w:val="002D72D0"/>
    <w:rsid w:val="002D7400"/>
    <w:rsid w:val="002D7EAF"/>
    <w:rsid w:val="002E031B"/>
    <w:rsid w:val="002E0C16"/>
    <w:rsid w:val="002E153F"/>
    <w:rsid w:val="002E1F61"/>
    <w:rsid w:val="002E32FA"/>
    <w:rsid w:val="002E475E"/>
    <w:rsid w:val="002E4A9F"/>
    <w:rsid w:val="002E5414"/>
    <w:rsid w:val="002E56C4"/>
    <w:rsid w:val="002E5F02"/>
    <w:rsid w:val="002E6F1E"/>
    <w:rsid w:val="002F0898"/>
    <w:rsid w:val="002F0B8C"/>
    <w:rsid w:val="002F1BE8"/>
    <w:rsid w:val="002F324A"/>
    <w:rsid w:val="002F3382"/>
    <w:rsid w:val="002F4CF7"/>
    <w:rsid w:val="002F53F3"/>
    <w:rsid w:val="002F5941"/>
    <w:rsid w:val="002F6695"/>
    <w:rsid w:val="002F737C"/>
    <w:rsid w:val="002F73AA"/>
    <w:rsid w:val="002F799B"/>
    <w:rsid w:val="00300623"/>
    <w:rsid w:val="0030094A"/>
    <w:rsid w:val="00300BC2"/>
    <w:rsid w:val="00300F93"/>
    <w:rsid w:val="003014FA"/>
    <w:rsid w:val="0030208A"/>
    <w:rsid w:val="00302538"/>
    <w:rsid w:val="0030293F"/>
    <w:rsid w:val="00302B3A"/>
    <w:rsid w:val="00302C2E"/>
    <w:rsid w:val="00302F2B"/>
    <w:rsid w:val="00303F90"/>
    <w:rsid w:val="0030460F"/>
    <w:rsid w:val="003057AE"/>
    <w:rsid w:val="00306220"/>
    <w:rsid w:val="003063AD"/>
    <w:rsid w:val="00307004"/>
    <w:rsid w:val="00307ED9"/>
    <w:rsid w:val="0031002F"/>
    <w:rsid w:val="003100FA"/>
    <w:rsid w:val="00310747"/>
    <w:rsid w:val="003113A2"/>
    <w:rsid w:val="003113CC"/>
    <w:rsid w:val="00311D75"/>
    <w:rsid w:val="00312734"/>
    <w:rsid w:val="00312AAE"/>
    <w:rsid w:val="00312F63"/>
    <w:rsid w:val="00314D1F"/>
    <w:rsid w:val="00314F8A"/>
    <w:rsid w:val="0031556C"/>
    <w:rsid w:val="003156AF"/>
    <w:rsid w:val="003159DC"/>
    <w:rsid w:val="00315C63"/>
    <w:rsid w:val="00316A08"/>
    <w:rsid w:val="00316E4F"/>
    <w:rsid w:val="00316EA7"/>
    <w:rsid w:val="0031718F"/>
    <w:rsid w:val="00317346"/>
    <w:rsid w:val="003173FA"/>
    <w:rsid w:val="0031764F"/>
    <w:rsid w:val="0031787B"/>
    <w:rsid w:val="00317A90"/>
    <w:rsid w:val="00317DDA"/>
    <w:rsid w:val="00320784"/>
    <w:rsid w:val="00320FB6"/>
    <w:rsid w:val="00320FC0"/>
    <w:rsid w:val="003217E3"/>
    <w:rsid w:val="003224ED"/>
    <w:rsid w:val="00323C2C"/>
    <w:rsid w:val="00323CF7"/>
    <w:rsid w:val="00323FDB"/>
    <w:rsid w:val="003241EF"/>
    <w:rsid w:val="00325A69"/>
    <w:rsid w:val="00325AD2"/>
    <w:rsid w:val="00325B26"/>
    <w:rsid w:val="00325BC4"/>
    <w:rsid w:val="00325BFF"/>
    <w:rsid w:val="00325EA2"/>
    <w:rsid w:val="00326B63"/>
    <w:rsid w:val="00326C34"/>
    <w:rsid w:val="00327659"/>
    <w:rsid w:val="00327CED"/>
    <w:rsid w:val="00332961"/>
    <w:rsid w:val="00332A11"/>
    <w:rsid w:val="003337B4"/>
    <w:rsid w:val="00333A2F"/>
    <w:rsid w:val="00333EA4"/>
    <w:rsid w:val="003344E9"/>
    <w:rsid w:val="0033461D"/>
    <w:rsid w:val="00334814"/>
    <w:rsid w:val="0033521B"/>
    <w:rsid w:val="00335761"/>
    <w:rsid w:val="00335926"/>
    <w:rsid w:val="00335BFE"/>
    <w:rsid w:val="00336A08"/>
    <w:rsid w:val="00337AD3"/>
    <w:rsid w:val="003407E4"/>
    <w:rsid w:val="00340EDC"/>
    <w:rsid w:val="003427DA"/>
    <w:rsid w:val="00342D92"/>
    <w:rsid w:val="00343BC7"/>
    <w:rsid w:val="00343D86"/>
    <w:rsid w:val="00343DAA"/>
    <w:rsid w:val="00343DB1"/>
    <w:rsid w:val="00344F84"/>
    <w:rsid w:val="00345785"/>
    <w:rsid w:val="00345B17"/>
    <w:rsid w:val="00345F2A"/>
    <w:rsid w:val="003463E6"/>
    <w:rsid w:val="003466CD"/>
    <w:rsid w:val="00346D47"/>
    <w:rsid w:val="003470CA"/>
    <w:rsid w:val="00347AF1"/>
    <w:rsid w:val="00351F30"/>
    <w:rsid w:val="00352274"/>
    <w:rsid w:val="0035240D"/>
    <w:rsid w:val="0035319C"/>
    <w:rsid w:val="00353830"/>
    <w:rsid w:val="00353D78"/>
    <w:rsid w:val="003540E7"/>
    <w:rsid w:val="00354586"/>
    <w:rsid w:val="00355187"/>
    <w:rsid w:val="00355FA8"/>
    <w:rsid w:val="0035658C"/>
    <w:rsid w:val="00356C2B"/>
    <w:rsid w:val="003570D8"/>
    <w:rsid w:val="00357195"/>
    <w:rsid w:val="00357E8C"/>
    <w:rsid w:val="003601E6"/>
    <w:rsid w:val="00360624"/>
    <w:rsid w:val="003606C7"/>
    <w:rsid w:val="00360BD2"/>
    <w:rsid w:val="003610C3"/>
    <w:rsid w:val="00361416"/>
    <w:rsid w:val="00361AF8"/>
    <w:rsid w:val="00361E91"/>
    <w:rsid w:val="0036283A"/>
    <w:rsid w:val="00362BFB"/>
    <w:rsid w:val="00362E16"/>
    <w:rsid w:val="003649BA"/>
    <w:rsid w:val="003673C2"/>
    <w:rsid w:val="00370039"/>
    <w:rsid w:val="00370600"/>
    <w:rsid w:val="003714B4"/>
    <w:rsid w:val="00371923"/>
    <w:rsid w:val="00371C6C"/>
    <w:rsid w:val="00372878"/>
    <w:rsid w:val="0037288E"/>
    <w:rsid w:val="003736E2"/>
    <w:rsid w:val="00373724"/>
    <w:rsid w:val="00374840"/>
    <w:rsid w:val="00375277"/>
    <w:rsid w:val="00375380"/>
    <w:rsid w:val="003755ED"/>
    <w:rsid w:val="0037563D"/>
    <w:rsid w:val="00375E17"/>
    <w:rsid w:val="003767C6"/>
    <w:rsid w:val="00376831"/>
    <w:rsid w:val="00377A81"/>
    <w:rsid w:val="003804D5"/>
    <w:rsid w:val="00380E07"/>
    <w:rsid w:val="00380E63"/>
    <w:rsid w:val="0038112E"/>
    <w:rsid w:val="0038145D"/>
    <w:rsid w:val="00382321"/>
    <w:rsid w:val="003824B5"/>
    <w:rsid w:val="00382BB3"/>
    <w:rsid w:val="00383185"/>
    <w:rsid w:val="00383D15"/>
    <w:rsid w:val="00384640"/>
    <w:rsid w:val="0038487D"/>
    <w:rsid w:val="0038502E"/>
    <w:rsid w:val="00385B3B"/>
    <w:rsid w:val="003861A5"/>
    <w:rsid w:val="00386216"/>
    <w:rsid w:val="00386988"/>
    <w:rsid w:val="00386DFF"/>
    <w:rsid w:val="003871E4"/>
    <w:rsid w:val="00387986"/>
    <w:rsid w:val="00387F8E"/>
    <w:rsid w:val="00390BB2"/>
    <w:rsid w:val="00392483"/>
    <w:rsid w:val="003928DF"/>
    <w:rsid w:val="00392E42"/>
    <w:rsid w:val="00393545"/>
    <w:rsid w:val="003941CD"/>
    <w:rsid w:val="00395E9F"/>
    <w:rsid w:val="00396571"/>
    <w:rsid w:val="00397413"/>
    <w:rsid w:val="00397EAB"/>
    <w:rsid w:val="003A00BE"/>
    <w:rsid w:val="003A0DB1"/>
    <w:rsid w:val="003A1C96"/>
    <w:rsid w:val="003A37BA"/>
    <w:rsid w:val="003A4B52"/>
    <w:rsid w:val="003A4C9B"/>
    <w:rsid w:val="003A64B9"/>
    <w:rsid w:val="003A68C2"/>
    <w:rsid w:val="003A6F6D"/>
    <w:rsid w:val="003A70B8"/>
    <w:rsid w:val="003A7D9F"/>
    <w:rsid w:val="003B0582"/>
    <w:rsid w:val="003B07EB"/>
    <w:rsid w:val="003B0ABA"/>
    <w:rsid w:val="003B0C43"/>
    <w:rsid w:val="003B27CD"/>
    <w:rsid w:val="003B2DF2"/>
    <w:rsid w:val="003B2E0A"/>
    <w:rsid w:val="003B314C"/>
    <w:rsid w:val="003B3E66"/>
    <w:rsid w:val="003B401B"/>
    <w:rsid w:val="003B44BA"/>
    <w:rsid w:val="003B49AA"/>
    <w:rsid w:val="003B4A65"/>
    <w:rsid w:val="003B4A85"/>
    <w:rsid w:val="003B5610"/>
    <w:rsid w:val="003B6CD1"/>
    <w:rsid w:val="003B70E8"/>
    <w:rsid w:val="003B721A"/>
    <w:rsid w:val="003B774C"/>
    <w:rsid w:val="003B7E76"/>
    <w:rsid w:val="003B7F89"/>
    <w:rsid w:val="003B7FD2"/>
    <w:rsid w:val="003C01EE"/>
    <w:rsid w:val="003C07C5"/>
    <w:rsid w:val="003C1282"/>
    <w:rsid w:val="003C22D6"/>
    <w:rsid w:val="003C29A9"/>
    <w:rsid w:val="003C3046"/>
    <w:rsid w:val="003C3185"/>
    <w:rsid w:val="003C34EB"/>
    <w:rsid w:val="003C389D"/>
    <w:rsid w:val="003C3A13"/>
    <w:rsid w:val="003C4995"/>
    <w:rsid w:val="003C5257"/>
    <w:rsid w:val="003C533B"/>
    <w:rsid w:val="003C5A50"/>
    <w:rsid w:val="003C5A8D"/>
    <w:rsid w:val="003C78DC"/>
    <w:rsid w:val="003C7A54"/>
    <w:rsid w:val="003D09DA"/>
    <w:rsid w:val="003D241D"/>
    <w:rsid w:val="003D28E7"/>
    <w:rsid w:val="003D2AAB"/>
    <w:rsid w:val="003D34BA"/>
    <w:rsid w:val="003D42F9"/>
    <w:rsid w:val="003D49A6"/>
    <w:rsid w:val="003D4BD7"/>
    <w:rsid w:val="003D53A8"/>
    <w:rsid w:val="003D5781"/>
    <w:rsid w:val="003D67DD"/>
    <w:rsid w:val="003D6BCF"/>
    <w:rsid w:val="003D70CB"/>
    <w:rsid w:val="003D74CD"/>
    <w:rsid w:val="003D7880"/>
    <w:rsid w:val="003D7B65"/>
    <w:rsid w:val="003D7FE3"/>
    <w:rsid w:val="003E0C16"/>
    <w:rsid w:val="003E1A57"/>
    <w:rsid w:val="003E1C69"/>
    <w:rsid w:val="003E25C5"/>
    <w:rsid w:val="003E2DC0"/>
    <w:rsid w:val="003E3B46"/>
    <w:rsid w:val="003E41A4"/>
    <w:rsid w:val="003E4960"/>
    <w:rsid w:val="003E4B25"/>
    <w:rsid w:val="003E5645"/>
    <w:rsid w:val="003E642C"/>
    <w:rsid w:val="003E6761"/>
    <w:rsid w:val="003E6B3F"/>
    <w:rsid w:val="003E7217"/>
    <w:rsid w:val="003E7440"/>
    <w:rsid w:val="003E75C1"/>
    <w:rsid w:val="003F04BC"/>
    <w:rsid w:val="003F09BF"/>
    <w:rsid w:val="003F119D"/>
    <w:rsid w:val="003F1E46"/>
    <w:rsid w:val="003F2276"/>
    <w:rsid w:val="003F2748"/>
    <w:rsid w:val="003F2A95"/>
    <w:rsid w:val="003F2EF9"/>
    <w:rsid w:val="003F33A0"/>
    <w:rsid w:val="003F357A"/>
    <w:rsid w:val="003F3762"/>
    <w:rsid w:val="003F3C41"/>
    <w:rsid w:val="003F41F0"/>
    <w:rsid w:val="003F4486"/>
    <w:rsid w:val="003F44F6"/>
    <w:rsid w:val="003F4744"/>
    <w:rsid w:val="003F497C"/>
    <w:rsid w:val="003F4F1F"/>
    <w:rsid w:val="003F63A0"/>
    <w:rsid w:val="003F6954"/>
    <w:rsid w:val="003F6982"/>
    <w:rsid w:val="003F7336"/>
    <w:rsid w:val="003F7670"/>
    <w:rsid w:val="003F7736"/>
    <w:rsid w:val="003F7E1B"/>
    <w:rsid w:val="003F7F2F"/>
    <w:rsid w:val="00400A50"/>
    <w:rsid w:val="00401061"/>
    <w:rsid w:val="00401C53"/>
    <w:rsid w:val="0040200A"/>
    <w:rsid w:val="004025DA"/>
    <w:rsid w:val="00403180"/>
    <w:rsid w:val="00403238"/>
    <w:rsid w:val="004036F1"/>
    <w:rsid w:val="00403A1A"/>
    <w:rsid w:val="00404538"/>
    <w:rsid w:val="00404686"/>
    <w:rsid w:val="00404B4D"/>
    <w:rsid w:val="00404DF5"/>
    <w:rsid w:val="00405996"/>
    <w:rsid w:val="00405A10"/>
    <w:rsid w:val="00405E4A"/>
    <w:rsid w:val="004063FE"/>
    <w:rsid w:val="00406747"/>
    <w:rsid w:val="004069FD"/>
    <w:rsid w:val="00407032"/>
    <w:rsid w:val="00410222"/>
    <w:rsid w:val="0041037A"/>
    <w:rsid w:val="004108C4"/>
    <w:rsid w:val="00410B28"/>
    <w:rsid w:val="00410C09"/>
    <w:rsid w:val="004112D4"/>
    <w:rsid w:val="00411C0D"/>
    <w:rsid w:val="0041221F"/>
    <w:rsid w:val="0041269C"/>
    <w:rsid w:val="00413E2F"/>
    <w:rsid w:val="0041464A"/>
    <w:rsid w:val="00414F64"/>
    <w:rsid w:val="00414F9F"/>
    <w:rsid w:val="00415A8E"/>
    <w:rsid w:val="00415AEE"/>
    <w:rsid w:val="0041661C"/>
    <w:rsid w:val="00416B37"/>
    <w:rsid w:val="00417B22"/>
    <w:rsid w:val="004200C7"/>
    <w:rsid w:val="004200EA"/>
    <w:rsid w:val="0042025D"/>
    <w:rsid w:val="0042064D"/>
    <w:rsid w:val="00421060"/>
    <w:rsid w:val="00421E94"/>
    <w:rsid w:val="00422040"/>
    <w:rsid w:val="00422397"/>
    <w:rsid w:val="0042491E"/>
    <w:rsid w:val="00424AB5"/>
    <w:rsid w:val="00427516"/>
    <w:rsid w:val="00430653"/>
    <w:rsid w:val="00430DD5"/>
    <w:rsid w:val="004310C8"/>
    <w:rsid w:val="00431481"/>
    <w:rsid w:val="00431F8D"/>
    <w:rsid w:val="004329EB"/>
    <w:rsid w:val="004334A9"/>
    <w:rsid w:val="004349B5"/>
    <w:rsid w:val="00434ADD"/>
    <w:rsid w:val="00434C57"/>
    <w:rsid w:val="00435681"/>
    <w:rsid w:val="00435ABA"/>
    <w:rsid w:val="00436330"/>
    <w:rsid w:val="004369D9"/>
    <w:rsid w:val="00436F96"/>
    <w:rsid w:val="004371B6"/>
    <w:rsid w:val="00437D4F"/>
    <w:rsid w:val="00437DB4"/>
    <w:rsid w:val="004401A9"/>
    <w:rsid w:val="00440B30"/>
    <w:rsid w:val="00441529"/>
    <w:rsid w:val="00441666"/>
    <w:rsid w:val="00441DB2"/>
    <w:rsid w:val="00441DC2"/>
    <w:rsid w:val="00442274"/>
    <w:rsid w:val="004422F1"/>
    <w:rsid w:val="0044253D"/>
    <w:rsid w:val="00442F18"/>
    <w:rsid w:val="00442FCD"/>
    <w:rsid w:val="00443528"/>
    <w:rsid w:val="004439B8"/>
    <w:rsid w:val="00443A23"/>
    <w:rsid w:val="004440B6"/>
    <w:rsid w:val="00444D8D"/>
    <w:rsid w:val="00444DBD"/>
    <w:rsid w:val="00444F32"/>
    <w:rsid w:val="00445015"/>
    <w:rsid w:val="00447152"/>
    <w:rsid w:val="0044791A"/>
    <w:rsid w:val="0044799D"/>
    <w:rsid w:val="00450575"/>
    <w:rsid w:val="00450EDC"/>
    <w:rsid w:val="004514D3"/>
    <w:rsid w:val="00451CB9"/>
    <w:rsid w:val="0045210B"/>
    <w:rsid w:val="004523E1"/>
    <w:rsid w:val="004524A1"/>
    <w:rsid w:val="00452861"/>
    <w:rsid w:val="00453943"/>
    <w:rsid w:val="00453FD8"/>
    <w:rsid w:val="00454181"/>
    <w:rsid w:val="004554AE"/>
    <w:rsid w:val="00455993"/>
    <w:rsid w:val="00455AC9"/>
    <w:rsid w:val="00455E2F"/>
    <w:rsid w:val="004574FD"/>
    <w:rsid w:val="0045772F"/>
    <w:rsid w:val="00457A46"/>
    <w:rsid w:val="00457D04"/>
    <w:rsid w:val="004603A0"/>
    <w:rsid w:val="00461041"/>
    <w:rsid w:val="004611A5"/>
    <w:rsid w:val="00461279"/>
    <w:rsid w:val="004615FD"/>
    <w:rsid w:val="00462680"/>
    <w:rsid w:val="00463512"/>
    <w:rsid w:val="00463A7F"/>
    <w:rsid w:val="0046400A"/>
    <w:rsid w:val="0046516D"/>
    <w:rsid w:val="00465C3F"/>
    <w:rsid w:val="00466287"/>
    <w:rsid w:val="00470293"/>
    <w:rsid w:val="00470D57"/>
    <w:rsid w:val="00470E5E"/>
    <w:rsid w:val="00470F28"/>
    <w:rsid w:val="00471D03"/>
    <w:rsid w:val="00472079"/>
    <w:rsid w:val="00472F6A"/>
    <w:rsid w:val="004730C8"/>
    <w:rsid w:val="00473C18"/>
    <w:rsid w:val="00475322"/>
    <w:rsid w:val="00475582"/>
    <w:rsid w:val="00475A5B"/>
    <w:rsid w:val="00477001"/>
    <w:rsid w:val="0047762A"/>
    <w:rsid w:val="00477B45"/>
    <w:rsid w:val="00480B82"/>
    <w:rsid w:val="00481465"/>
    <w:rsid w:val="00481BD7"/>
    <w:rsid w:val="00482A89"/>
    <w:rsid w:val="004831EB"/>
    <w:rsid w:val="00483BC1"/>
    <w:rsid w:val="004840CD"/>
    <w:rsid w:val="004847F5"/>
    <w:rsid w:val="00484C04"/>
    <w:rsid w:val="0048536A"/>
    <w:rsid w:val="00486FDB"/>
    <w:rsid w:val="004874AF"/>
    <w:rsid w:val="0048796C"/>
    <w:rsid w:val="00487B67"/>
    <w:rsid w:val="00490047"/>
    <w:rsid w:val="0049047C"/>
    <w:rsid w:val="00490B4C"/>
    <w:rsid w:val="00491789"/>
    <w:rsid w:val="00491865"/>
    <w:rsid w:val="0049196B"/>
    <w:rsid w:val="00492672"/>
    <w:rsid w:val="00492C07"/>
    <w:rsid w:val="00492CE1"/>
    <w:rsid w:val="00492F84"/>
    <w:rsid w:val="00493287"/>
    <w:rsid w:val="00493ADD"/>
    <w:rsid w:val="00493C1A"/>
    <w:rsid w:val="00493DD5"/>
    <w:rsid w:val="0049587D"/>
    <w:rsid w:val="00495AC8"/>
    <w:rsid w:val="00495C3A"/>
    <w:rsid w:val="00496C76"/>
    <w:rsid w:val="00496D0D"/>
    <w:rsid w:val="00496FE1"/>
    <w:rsid w:val="00497549"/>
    <w:rsid w:val="0049772C"/>
    <w:rsid w:val="00497BEF"/>
    <w:rsid w:val="004A0512"/>
    <w:rsid w:val="004A09B4"/>
    <w:rsid w:val="004A10BA"/>
    <w:rsid w:val="004A1126"/>
    <w:rsid w:val="004A2BC8"/>
    <w:rsid w:val="004A2D4C"/>
    <w:rsid w:val="004A30BA"/>
    <w:rsid w:val="004A3901"/>
    <w:rsid w:val="004A4467"/>
    <w:rsid w:val="004A4946"/>
    <w:rsid w:val="004A5114"/>
    <w:rsid w:val="004A5205"/>
    <w:rsid w:val="004A5550"/>
    <w:rsid w:val="004A5896"/>
    <w:rsid w:val="004A5D36"/>
    <w:rsid w:val="004A6006"/>
    <w:rsid w:val="004A6938"/>
    <w:rsid w:val="004A6BF5"/>
    <w:rsid w:val="004A6CD2"/>
    <w:rsid w:val="004B0068"/>
    <w:rsid w:val="004B1B1F"/>
    <w:rsid w:val="004B1C5E"/>
    <w:rsid w:val="004B2353"/>
    <w:rsid w:val="004B3A3B"/>
    <w:rsid w:val="004B5413"/>
    <w:rsid w:val="004B577C"/>
    <w:rsid w:val="004B5A96"/>
    <w:rsid w:val="004B5DB3"/>
    <w:rsid w:val="004B61BA"/>
    <w:rsid w:val="004B624E"/>
    <w:rsid w:val="004B6262"/>
    <w:rsid w:val="004B706F"/>
    <w:rsid w:val="004B75FD"/>
    <w:rsid w:val="004B7D64"/>
    <w:rsid w:val="004C0B84"/>
    <w:rsid w:val="004C1DAB"/>
    <w:rsid w:val="004C2312"/>
    <w:rsid w:val="004C28D0"/>
    <w:rsid w:val="004C34B5"/>
    <w:rsid w:val="004C3951"/>
    <w:rsid w:val="004C3A12"/>
    <w:rsid w:val="004C414C"/>
    <w:rsid w:val="004C442B"/>
    <w:rsid w:val="004C4730"/>
    <w:rsid w:val="004C49D7"/>
    <w:rsid w:val="004C4A0B"/>
    <w:rsid w:val="004C4D2B"/>
    <w:rsid w:val="004C6119"/>
    <w:rsid w:val="004C6615"/>
    <w:rsid w:val="004C6C8E"/>
    <w:rsid w:val="004C7246"/>
    <w:rsid w:val="004C7288"/>
    <w:rsid w:val="004C78FE"/>
    <w:rsid w:val="004C79F3"/>
    <w:rsid w:val="004D0761"/>
    <w:rsid w:val="004D0BA3"/>
    <w:rsid w:val="004D1522"/>
    <w:rsid w:val="004D1E41"/>
    <w:rsid w:val="004D2620"/>
    <w:rsid w:val="004D27F8"/>
    <w:rsid w:val="004D3194"/>
    <w:rsid w:val="004D3741"/>
    <w:rsid w:val="004D4413"/>
    <w:rsid w:val="004D459F"/>
    <w:rsid w:val="004D4EA7"/>
    <w:rsid w:val="004D63B2"/>
    <w:rsid w:val="004D67D1"/>
    <w:rsid w:val="004D6DF6"/>
    <w:rsid w:val="004D73E6"/>
    <w:rsid w:val="004D7679"/>
    <w:rsid w:val="004D7B16"/>
    <w:rsid w:val="004D7E8D"/>
    <w:rsid w:val="004D7FA1"/>
    <w:rsid w:val="004E0091"/>
    <w:rsid w:val="004E06B7"/>
    <w:rsid w:val="004E17FB"/>
    <w:rsid w:val="004E1D78"/>
    <w:rsid w:val="004E1D94"/>
    <w:rsid w:val="004E2B0A"/>
    <w:rsid w:val="004E415A"/>
    <w:rsid w:val="004E4DB9"/>
    <w:rsid w:val="004E58FD"/>
    <w:rsid w:val="004E5B28"/>
    <w:rsid w:val="004E75AA"/>
    <w:rsid w:val="004F012F"/>
    <w:rsid w:val="004F0A19"/>
    <w:rsid w:val="004F1BC3"/>
    <w:rsid w:val="004F2109"/>
    <w:rsid w:val="004F4319"/>
    <w:rsid w:val="004F4B79"/>
    <w:rsid w:val="004F53A8"/>
    <w:rsid w:val="004F563A"/>
    <w:rsid w:val="004F6052"/>
    <w:rsid w:val="004F60B6"/>
    <w:rsid w:val="004F68B8"/>
    <w:rsid w:val="004F79B8"/>
    <w:rsid w:val="005006F6"/>
    <w:rsid w:val="005007F2"/>
    <w:rsid w:val="00500B48"/>
    <w:rsid w:val="00501556"/>
    <w:rsid w:val="00502EEE"/>
    <w:rsid w:val="005042DF"/>
    <w:rsid w:val="00504343"/>
    <w:rsid w:val="00504689"/>
    <w:rsid w:val="005062C7"/>
    <w:rsid w:val="005066F6"/>
    <w:rsid w:val="00506714"/>
    <w:rsid w:val="00506EF7"/>
    <w:rsid w:val="00507284"/>
    <w:rsid w:val="00507487"/>
    <w:rsid w:val="005077E5"/>
    <w:rsid w:val="00507989"/>
    <w:rsid w:val="0051073F"/>
    <w:rsid w:val="00511F50"/>
    <w:rsid w:val="005121ED"/>
    <w:rsid w:val="005124C3"/>
    <w:rsid w:val="005124E5"/>
    <w:rsid w:val="00512ADE"/>
    <w:rsid w:val="00512F83"/>
    <w:rsid w:val="00513123"/>
    <w:rsid w:val="005135ED"/>
    <w:rsid w:val="0051391C"/>
    <w:rsid w:val="00513971"/>
    <w:rsid w:val="00514026"/>
    <w:rsid w:val="005141BC"/>
    <w:rsid w:val="005142F9"/>
    <w:rsid w:val="0051458B"/>
    <w:rsid w:val="005146D9"/>
    <w:rsid w:val="00514D5C"/>
    <w:rsid w:val="0051502C"/>
    <w:rsid w:val="0051563B"/>
    <w:rsid w:val="005158A1"/>
    <w:rsid w:val="0051678F"/>
    <w:rsid w:val="005171F4"/>
    <w:rsid w:val="00521FA5"/>
    <w:rsid w:val="005225B0"/>
    <w:rsid w:val="00522CDC"/>
    <w:rsid w:val="00522E2B"/>
    <w:rsid w:val="00523628"/>
    <w:rsid w:val="0052464D"/>
    <w:rsid w:val="00524705"/>
    <w:rsid w:val="00524C58"/>
    <w:rsid w:val="00524E01"/>
    <w:rsid w:val="0052630A"/>
    <w:rsid w:val="005263C0"/>
    <w:rsid w:val="00526718"/>
    <w:rsid w:val="00526A62"/>
    <w:rsid w:val="00526CB5"/>
    <w:rsid w:val="005272E8"/>
    <w:rsid w:val="00527341"/>
    <w:rsid w:val="00527585"/>
    <w:rsid w:val="005275ED"/>
    <w:rsid w:val="00527BE3"/>
    <w:rsid w:val="00527D3A"/>
    <w:rsid w:val="00527E35"/>
    <w:rsid w:val="00527F96"/>
    <w:rsid w:val="0053000D"/>
    <w:rsid w:val="0053097A"/>
    <w:rsid w:val="00530F7B"/>
    <w:rsid w:val="005310A0"/>
    <w:rsid w:val="0053175F"/>
    <w:rsid w:val="0053187F"/>
    <w:rsid w:val="00531C7D"/>
    <w:rsid w:val="00532016"/>
    <w:rsid w:val="00532769"/>
    <w:rsid w:val="00532851"/>
    <w:rsid w:val="0053399D"/>
    <w:rsid w:val="00533C3C"/>
    <w:rsid w:val="00535174"/>
    <w:rsid w:val="00535559"/>
    <w:rsid w:val="00535CE1"/>
    <w:rsid w:val="00535D9E"/>
    <w:rsid w:val="005364AF"/>
    <w:rsid w:val="00536DA7"/>
    <w:rsid w:val="0053735E"/>
    <w:rsid w:val="00537703"/>
    <w:rsid w:val="00537F9E"/>
    <w:rsid w:val="005406F0"/>
    <w:rsid w:val="00541165"/>
    <w:rsid w:val="00541311"/>
    <w:rsid w:val="00541604"/>
    <w:rsid w:val="00541673"/>
    <w:rsid w:val="00541CA3"/>
    <w:rsid w:val="0054212E"/>
    <w:rsid w:val="00542A3E"/>
    <w:rsid w:val="0054376B"/>
    <w:rsid w:val="00543D12"/>
    <w:rsid w:val="005445EC"/>
    <w:rsid w:val="00544B35"/>
    <w:rsid w:val="00545903"/>
    <w:rsid w:val="00545D3D"/>
    <w:rsid w:val="00546714"/>
    <w:rsid w:val="00546FD1"/>
    <w:rsid w:val="005476D2"/>
    <w:rsid w:val="00550BC5"/>
    <w:rsid w:val="00551246"/>
    <w:rsid w:val="00553853"/>
    <w:rsid w:val="00553C88"/>
    <w:rsid w:val="0055442E"/>
    <w:rsid w:val="00554508"/>
    <w:rsid w:val="00554C62"/>
    <w:rsid w:val="00555123"/>
    <w:rsid w:val="005557D5"/>
    <w:rsid w:val="00555ADB"/>
    <w:rsid w:val="0055621F"/>
    <w:rsid w:val="00556594"/>
    <w:rsid w:val="005567AA"/>
    <w:rsid w:val="00556885"/>
    <w:rsid w:val="00556B14"/>
    <w:rsid w:val="00556B25"/>
    <w:rsid w:val="00556CF7"/>
    <w:rsid w:val="00556D7A"/>
    <w:rsid w:val="00557464"/>
    <w:rsid w:val="00560387"/>
    <w:rsid w:val="00560B31"/>
    <w:rsid w:val="00560FED"/>
    <w:rsid w:val="005626A9"/>
    <w:rsid w:val="005629FD"/>
    <w:rsid w:val="00563581"/>
    <w:rsid w:val="005635CE"/>
    <w:rsid w:val="00563909"/>
    <w:rsid w:val="005647CC"/>
    <w:rsid w:val="00564DFE"/>
    <w:rsid w:val="00566478"/>
    <w:rsid w:val="0056668E"/>
    <w:rsid w:val="005667B5"/>
    <w:rsid w:val="00566CC3"/>
    <w:rsid w:val="005702A8"/>
    <w:rsid w:val="0057062D"/>
    <w:rsid w:val="0057073A"/>
    <w:rsid w:val="00571030"/>
    <w:rsid w:val="00571523"/>
    <w:rsid w:val="0057214F"/>
    <w:rsid w:val="005726AF"/>
    <w:rsid w:val="005729D3"/>
    <w:rsid w:val="00573177"/>
    <w:rsid w:val="00574E5C"/>
    <w:rsid w:val="005750EE"/>
    <w:rsid w:val="00575A93"/>
    <w:rsid w:val="00575B0C"/>
    <w:rsid w:val="00575B91"/>
    <w:rsid w:val="00575DB4"/>
    <w:rsid w:val="00575E28"/>
    <w:rsid w:val="005761FD"/>
    <w:rsid w:val="005763A2"/>
    <w:rsid w:val="0057711E"/>
    <w:rsid w:val="0057720D"/>
    <w:rsid w:val="00577C2A"/>
    <w:rsid w:val="005803CB"/>
    <w:rsid w:val="005805AE"/>
    <w:rsid w:val="0058063D"/>
    <w:rsid w:val="00581D73"/>
    <w:rsid w:val="00581E38"/>
    <w:rsid w:val="00582293"/>
    <w:rsid w:val="00583E61"/>
    <w:rsid w:val="0058426A"/>
    <w:rsid w:val="0058429B"/>
    <w:rsid w:val="0058444E"/>
    <w:rsid w:val="00584DEB"/>
    <w:rsid w:val="00584F07"/>
    <w:rsid w:val="0058508F"/>
    <w:rsid w:val="005852EF"/>
    <w:rsid w:val="00585D03"/>
    <w:rsid w:val="005867C3"/>
    <w:rsid w:val="00586A27"/>
    <w:rsid w:val="00587A18"/>
    <w:rsid w:val="0059012E"/>
    <w:rsid w:val="00590A2B"/>
    <w:rsid w:val="00591683"/>
    <w:rsid w:val="0059176F"/>
    <w:rsid w:val="00591825"/>
    <w:rsid w:val="005927B0"/>
    <w:rsid w:val="00592D42"/>
    <w:rsid w:val="00592E3D"/>
    <w:rsid w:val="00593903"/>
    <w:rsid w:val="00593BAA"/>
    <w:rsid w:val="00593F06"/>
    <w:rsid w:val="0059484D"/>
    <w:rsid w:val="00594A6F"/>
    <w:rsid w:val="0059558D"/>
    <w:rsid w:val="005958A9"/>
    <w:rsid w:val="00596B34"/>
    <w:rsid w:val="00597BE3"/>
    <w:rsid w:val="00597F9D"/>
    <w:rsid w:val="005A00B4"/>
    <w:rsid w:val="005A0CF2"/>
    <w:rsid w:val="005A0D3B"/>
    <w:rsid w:val="005A11C3"/>
    <w:rsid w:val="005A14A1"/>
    <w:rsid w:val="005A15FE"/>
    <w:rsid w:val="005A195B"/>
    <w:rsid w:val="005A1AA4"/>
    <w:rsid w:val="005A2224"/>
    <w:rsid w:val="005A2890"/>
    <w:rsid w:val="005A2F0C"/>
    <w:rsid w:val="005A346F"/>
    <w:rsid w:val="005A37EF"/>
    <w:rsid w:val="005A3E93"/>
    <w:rsid w:val="005A3FC1"/>
    <w:rsid w:val="005A4E00"/>
    <w:rsid w:val="005A54B5"/>
    <w:rsid w:val="005A54D4"/>
    <w:rsid w:val="005A59E7"/>
    <w:rsid w:val="005A7125"/>
    <w:rsid w:val="005A71CC"/>
    <w:rsid w:val="005A7654"/>
    <w:rsid w:val="005A7A11"/>
    <w:rsid w:val="005A7DD8"/>
    <w:rsid w:val="005A7E82"/>
    <w:rsid w:val="005B0AC1"/>
    <w:rsid w:val="005B1468"/>
    <w:rsid w:val="005B1C8D"/>
    <w:rsid w:val="005B3CDB"/>
    <w:rsid w:val="005B4141"/>
    <w:rsid w:val="005B5917"/>
    <w:rsid w:val="005B6CDD"/>
    <w:rsid w:val="005B751E"/>
    <w:rsid w:val="005B7DB8"/>
    <w:rsid w:val="005B7F8A"/>
    <w:rsid w:val="005C015F"/>
    <w:rsid w:val="005C0A29"/>
    <w:rsid w:val="005C101B"/>
    <w:rsid w:val="005C1E40"/>
    <w:rsid w:val="005C25FE"/>
    <w:rsid w:val="005C2E09"/>
    <w:rsid w:val="005C3BE7"/>
    <w:rsid w:val="005C4218"/>
    <w:rsid w:val="005C4750"/>
    <w:rsid w:val="005C48D6"/>
    <w:rsid w:val="005C52FB"/>
    <w:rsid w:val="005C59BF"/>
    <w:rsid w:val="005C5B7E"/>
    <w:rsid w:val="005C67E0"/>
    <w:rsid w:val="005C6FF1"/>
    <w:rsid w:val="005C7949"/>
    <w:rsid w:val="005D183A"/>
    <w:rsid w:val="005D1D7F"/>
    <w:rsid w:val="005D1EE6"/>
    <w:rsid w:val="005D2604"/>
    <w:rsid w:val="005D31F3"/>
    <w:rsid w:val="005D31F7"/>
    <w:rsid w:val="005D3342"/>
    <w:rsid w:val="005D4520"/>
    <w:rsid w:val="005D4BE2"/>
    <w:rsid w:val="005D58D5"/>
    <w:rsid w:val="005D663A"/>
    <w:rsid w:val="005D6F85"/>
    <w:rsid w:val="005D7086"/>
    <w:rsid w:val="005D7587"/>
    <w:rsid w:val="005D7803"/>
    <w:rsid w:val="005E0E95"/>
    <w:rsid w:val="005E161B"/>
    <w:rsid w:val="005E1830"/>
    <w:rsid w:val="005E19C1"/>
    <w:rsid w:val="005E1B13"/>
    <w:rsid w:val="005E1E09"/>
    <w:rsid w:val="005E2A74"/>
    <w:rsid w:val="005E330E"/>
    <w:rsid w:val="005E4C3B"/>
    <w:rsid w:val="005E50C8"/>
    <w:rsid w:val="005E590A"/>
    <w:rsid w:val="005E5A64"/>
    <w:rsid w:val="005E5FA2"/>
    <w:rsid w:val="005E6228"/>
    <w:rsid w:val="005E63CC"/>
    <w:rsid w:val="005E6704"/>
    <w:rsid w:val="005E6D9C"/>
    <w:rsid w:val="005F035D"/>
    <w:rsid w:val="005F05F5"/>
    <w:rsid w:val="005F12AE"/>
    <w:rsid w:val="005F1AB7"/>
    <w:rsid w:val="005F1C17"/>
    <w:rsid w:val="005F2506"/>
    <w:rsid w:val="005F31A8"/>
    <w:rsid w:val="005F331D"/>
    <w:rsid w:val="005F3839"/>
    <w:rsid w:val="005F388A"/>
    <w:rsid w:val="005F3EF0"/>
    <w:rsid w:val="005F55C0"/>
    <w:rsid w:val="005F60CB"/>
    <w:rsid w:val="005F6673"/>
    <w:rsid w:val="005F6B2F"/>
    <w:rsid w:val="005F719F"/>
    <w:rsid w:val="005F7DD3"/>
    <w:rsid w:val="0060025B"/>
    <w:rsid w:val="00600509"/>
    <w:rsid w:val="00600AF7"/>
    <w:rsid w:val="00600DFF"/>
    <w:rsid w:val="00600F3F"/>
    <w:rsid w:val="006012A7"/>
    <w:rsid w:val="0060146F"/>
    <w:rsid w:val="0060188E"/>
    <w:rsid w:val="006018CD"/>
    <w:rsid w:val="006019EE"/>
    <w:rsid w:val="0060220F"/>
    <w:rsid w:val="006023F4"/>
    <w:rsid w:val="0060270D"/>
    <w:rsid w:val="00602B2C"/>
    <w:rsid w:val="00602CE3"/>
    <w:rsid w:val="00603381"/>
    <w:rsid w:val="00604290"/>
    <w:rsid w:val="006063F8"/>
    <w:rsid w:val="006064E0"/>
    <w:rsid w:val="006064E9"/>
    <w:rsid w:val="0060650C"/>
    <w:rsid w:val="00606C2B"/>
    <w:rsid w:val="006074E3"/>
    <w:rsid w:val="0060750F"/>
    <w:rsid w:val="00607BC6"/>
    <w:rsid w:val="00607D1A"/>
    <w:rsid w:val="00607EA6"/>
    <w:rsid w:val="00607F61"/>
    <w:rsid w:val="00610080"/>
    <w:rsid w:val="0061087B"/>
    <w:rsid w:val="00610B7E"/>
    <w:rsid w:val="00610DC4"/>
    <w:rsid w:val="00611251"/>
    <w:rsid w:val="0061135B"/>
    <w:rsid w:val="00611B07"/>
    <w:rsid w:val="00611FA8"/>
    <w:rsid w:val="00612199"/>
    <w:rsid w:val="00612E26"/>
    <w:rsid w:val="0061411E"/>
    <w:rsid w:val="0061477E"/>
    <w:rsid w:val="0061534E"/>
    <w:rsid w:val="00615813"/>
    <w:rsid w:val="00615FF0"/>
    <w:rsid w:val="00616E9D"/>
    <w:rsid w:val="0062018E"/>
    <w:rsid w:val="00620238"/>
    <w:rsid w:val="00620BAB"/>
    <w:rsid w:val="00620BE4"/>
    <w:rsid w:val="00620FA2"/>
    <w:rsid w:val="0062104A"/>
    <w:rsid w:val="006211DF"/>
    <w:rsid w:val="006235DC"/>
    <w:rsid w:val="00623944"/>
    <w:rsid w:val="00623BEB"/>
    <w:rsid w:val="0062401F"/>
    <w:rsid w:val="006244C3"/>
    <w:rsid w:val="0062451B"/>
    <w:rsid w:val="0062451E"/>
    <w:rsid w:val="006256B2"/>
    <w:rsid w:val="006261A2"/>
    <w:rsid w:val="0062625E"/>
    <w:rsid w:val="0062718E"/>
    <w:rsid w:val="00627613"/>
    <w:rsid w:val="00627D24"/>
    <w:rsid w:val="00627E23"/>
    <w:rsid w:val="00630695"/>
    <w:rsid w:val="0063135C"/>
    <w:rsid w:val="006330D9"/>
    <w:rsid w:val="006336DE"/>
    <w:rsid w:val="00633785"/>
    <w:rsid w:val="00634776"/>
    <w:rsid w:val="006351C2"/>
    <w:rsid w:val="0063562D"/>
    <w:rsid w:val="006356A2"/>
    <w:rsid w:val="00635DDE"/>
    <w:rsid w:val="00635F5E"/>
    <w:rsid w:val="00635FD1"/>
    <w:rsid w:val="006361BA"/>
    <w:rsid w:val="006368B5"/>
    <w:rsid w:val="00636A01"/>
    <w:rsid w:val="00636B8B"/>
    <w:rsid w:val="00636C1C"/>
    <w:rsid w:val="0063702F"/>
    <w:rsid w:val="006374DE"/>
    <w:rsid w:val="006377D7"/>
    <w:rsid w:val="006378A3"/>
    <w:rsid w:val="006379AB"/>
    <w:rsid w:val="00637E23"/>
    <w:rsid w:val="00640259"/>
    <w:rsid w:val="006402E8"/>
    <w:rsid w:val="0064070E"/>
    <w:rsid w:val="00640774"/>
    <w:rsid w:val="00640D8A"/>
    <w:rsid w:val="00640F2D"/>
    <w:rsid w:val="00641872"/>
    <w:rsid w:val="006419BC"/>
    <w:rsid w:val="006424DA"/>
    <w:rsid w:val="00642894"/>
    <w:rsid w:val="00642FB6"/>
    <w:rsid w:val="00643BA9"/>
    <w:rsid w:val="00644B51"/>
    <w:rsid w:val="00644DF4"/>
    <w:rsid w:val="006452BA"/>
    <w:rsid w:val="0064539C"/>
    <w:rsid w:val="00645541"/>
    <w:rsid w:val="006455EF"/>
    <w:rsid w:val="006460EB"/>
    <w:rsid w:val="0064614E"/>
    <w:rsid w:val="0064674F"/>
    <w:rsid w:val="00646F14"/>
    <w:rsid w:val="006473D0"/>
    <w:rsid w:val="00647701"/>
    <w:rsid w:val="006479A4"/>
    <w:rsid w:val="00647A09"/>
    <w:rsid w:val="00651491"/>
    <w:rsid w:val="0065183D"/>
    <w:rsid w:val="00651B8E"/>
    <w:rsid w:val="00651D65"/>
    <w:rsid w:val="006528C0"/>
    <w:rsid w:val="00652CE0"/>
    <w:rsid w:val="00653590"/>
    <w:rsid w:val="006536D0"/>
    <w:rsid w:val="00653E4C"/>
    <w:rsid w:val="00654338"/>
    <w:rsid w:val="0065466C"/>
    <w:rsid w:val="0065586A"/>
    <w:rsid w:val="00657586"/>
    <w:rsid w:val="00661323"/>
    <w:rsid w:val="0066149F"/>
    <w:rsid w:val="00661509"/>
    <w:rsid w:val="00661ABF"/>
    <w:rsid w:val="00661FC9"/>
    <w:rsid w:val="006620A1"/>
    <w:rsid w:val="00662272"/>
    <w:rsid w:val="00662AC7"/>
    <w:rsid w:val="0066347E"/>
    <w:rsid w:val="00663C8F"/>
    <w:rsid w:val="00663FAD"/>
    <w:rsid w:val="006648B3"/>
    <w:rsid w:val="00664FE1"/>
    <w:rsid w:val="00665B7C"/>
    <w:rsid w:val="006664B5"/>
    <w:rsid w:val="00666611"/>
    <w:rsid w:val="00666874"/>
    <w:rsid w:val="00667274"/>
    <w:rsid w:val="00667281"/>
    <w:rsid w:val="00667491"/>
    <w:rsid w:val="006678E9"/>
    <w:rsid w:val="006700CF"/>
    <w:rsid w:val="006704C9"/>
    <w:rsid w:val="00670CF8"/>
    <w:rsid w:val="0067147B"/>
    <w:rsid w:val="00671706"/>
    <w:rsid w:val="00671B58"/>
    <w:rsid w:val="006728DB"/>
    <w:rsid w:val="006729C6"/>
    <w:rsid w:val="00672C0C"/>
    <w:rsid w:val="00672C70"/>
    <w:rsid w:val="00672D9C"/>
    <w:rsid w:val="00673841"/>
    <w:rsid w:val="00673D80"/>
    <w:rsid w:val="00675774"/>
    <w:rsid w:val="0067599F"/>
    <w:rsid w:val="00675C74"/>
    <w:rsid w:val="00675DA2"/>
    <w:rsid w:val="00675DA3"/>
    <w:rsid w:val="00675DAA"/>
    <w:rsid w:val="006765F3"/>
    <w:rsid w:val="00676DBB"/>
    <w:rsid w:val="00681043"/>
    <w:rsid w:val="00681D04"/>
    <w:rsid w:val="006820DA"/>
    <w:rsid w:val="0068256D"/>
    <w:rsid w:val="006827DF"/>
    <w:rsid w:val="0068290C"/>
    <w:rsid w:val="006831FA"/>
    <w:rsid w:val="006842C5"/>
    <w:rsid w:val="0068573E"/>
    <w:rsid w:val="00685977"/>
    <w:rsid w:val="006862ED"/>
    <w:rsid w:val="00686B30"/>
    <w:rsid w:val="00686E65"/>
    <w:rsid w:val="0068731C"/>
    <w:rsid w:val="00690588"/>
    <w:rsid w:val="006908C1"/>
    <w:rsid w:val="006908F0"/>
    <w:rsid w:val="00690D8D"/>
    <w:rsid w:val="0069186B"/>
    <w:rsid w:val="0069204F"/>
    <w:rsid w:val="006923AF"/>
    <w:rsid w:val="006923DC"/>
    <w:rsid w:val="0069268A"/>
    <w:rsid w:val="006927D4"/>
    <w:rsid w:val="00692C45"/>
    <w:rsid w:val="00692F64"/>
    <w:rsid w:val="00692F8E"/>
    <w:rsid w:val="00693D2B"/>
    <w:rsid w:val="006940D8"/>
    <w:rsid w:val="00694772"/>
    <w:rsid w:val="006949BF"/>
    <w:rsid w:val="00694C35"/>
    <w:rsid w:val="00694CC2"/>
    <w:rsid w:val="006952FC"/>
    <w:rsid w:val="006958E3"/>
    <w:rsid w:val="006960B4"/>
    <w:rsid w:val="00696257"/>
    <w:rsid w:val="006967E0"/>
    <w:rsid w:val="006972A3"/>
    <w:rsid w:val="0069778C"/>
    <w:rsid w:val="006979EB"/>
    <w:rsid w:val="00697CC3"/>
    <w:rsid w:val="006A0539"/>
    <w:rsid w:val="006A05AC"/>
    <w:rsid w:val="006A1660"/>
    <w:rsid w:val="006A16F7"/>
    <w:rsid w:val="006A187A"/>
    <w:rsid w:val="006A18B6"/>
    <w:rsid w:val="006A1DD4"/>
    <w:rsid w:val="006A30C2"/>
    <w:rsid w:val="006A48C5"/>
    <w:rsid w:val="006A6D2E"/>
    <w:rsid w:val="006A7103"/>
    <w:rsid w:val="006A79A3"/>
    <w:rsid w:val="006B0594"/>
    <w:rsid w:val="006B14A9"/>
    <w:rsid w:val="006B1860"/>
    <w:rsid w:val="006B1E27"/>
    <w:rsid w:val="006B2022"/>
    <w:rsid w:val="006B20B9"/>
    <w:rsid w:val="006B22ED"/>
    <w:rsid w:val="006B2450"/>
    <w:rsid w:val="006B24E8"/>
    <w:rsid w:val="006B26C5"/>
    <w:rsid w:val="006B2BC6"/>
    <w:rsid w:val="006B2F56"/>
    <w:rsid w:val="006B3349"/>
    <w:rsid w:val="006B345E"/>
    <w:rsid w:val="006B4143"/>
    <w:rsid w:val="006B419E"/>
    <w:rsid w:val="006B4609"/>
    <w:rsid w:val="006B4DBE"/>
    <w:rsid w:val="006B4F79"/>
    <w:rsid w:val="006B509A"/>
    <w:rsid w:val="006B5859"/>
    <w:rsid w:val="006B598B"/>
    <w:rsid w:val="006B5ADC"/>
    <w:rsid w:val="006B610F"/>
    <w:rsid w:val="006B62A0"/>
    <w:rsid w:val="006B7015"/>
    <w:rsid w:val="006B7137"/>
    <w:rsid w:val="006B771D"/>
    <w:rsid w:val="006B7C04"/>
    <w:rsid w:val="006C021D"/>
    <w:rsid w:val="006C03BA"/>
    <w:rsid w:val="006C06CC"/>
    <w:rsid w:val="006C0CB5"/>
    <w:rsid w:val="006C1D57"/>
    <w:rsid w:val="006C2868"/>
    <w:rsid w:val="006C2909"/>
    <w:rsid w:val="006C2CCB"/>
    <w:rsid w:val="006C397C"/>
    <w:rsid w:val="006C423D"/>
    <w:rsid w:val="006C430E"/>
    <w:rsid w:val="006C4606"/>
    <w:rsid w:val="006C4D8F"/>
    <w:rsid w:val="006C5670"/>
    <w:rsid w:val="006C576E"/>
    <w:rsid w:val="006C5FF3"/>
    <w:rsid w:val="006C6A1D"/>
    <w:rsid w:val="006C6FB1"/>
    <w:rsid w:val="006C71DD"/>
    <w:rsid w:val="006C76A4"/>
    <w:rsid w:val="006C79F2"/>
    <w:rsid w:val="006D0360"/>
    <w:rsid w:val="006D0487"/>
    <w:rsid w:val="006D0C22"/>
    <w:rsid w:val="006D1517"/>
    <w:rsid w:val="006D1BC2"/>
    <w:rsid w:val="006D23CC"/>
    <w:rsid w:val="006D25FF"/>
    <w:rsid w:val="006D2B92"/>
    <w:rsid w:val="006D2C03"/>
    <w:rsid w:val="006D4030"/>
    <w:rsid w:val="006D4A3F"/>
    <w:rsid w:val="006D4DC0"/>
    <w:rsid w:val="006D4E59"/>
    <w:rsid w:val="006D5876"/>
    <w:rsid w:val="006D5D5B"/>
    <w:rsid w:val="006D651B"/>
    <w:rsid w:val="006D7B83"/>
    <w:rsid w:val="006E019F"/>
    <w:rsid w:val="006E10CF"/>
    <w:rsid w:val="006E11D2"/>
    <w:rsid w:val="006E1251"/>
    <w:rsid w:val="006E13BE"/>
    <w:rsid w:val="006E195D"/>
    <w:rsid w:val="006E1C03"/>
    <w:rsid w:val="006E2486"/>
    <w:rsid w:val="006E3567"/>
    <w:rsid w:val="006E3BB2"/>
    <w:rsid w:val="006E43F4"/>
    <w:rsid w:val="006E5000"/>
    <w:rsid w:val="006E512D"/>
    <w:rsid w:val="006E5172"/>
    <w:rsid w:val="006E55E6"/>
    <w:rsid w:val="006E56CF"/>
    <w:rsid w:val="006E5935"/>
    <w:rsid w:val="006E635E"/>
    <w:rsid w:val="006E656C"/>
    <w:rsid w:val="006E720C"/>
    <w:rsid w:val="006E729F"/>
    <w:rsid w:val="006E7921"/>
    <w:rsid w:val="006E7EA8"/>
    <w:rsid w:val="006F0141"/>
    <w:rsid w:val="006F1A3A"/>
    <w:rsid w:val="006F27CD"/>
    <w:rsid w:val="006F3A4F"/>
    <w:rsid w:val="006F3B4E"/>
    <w:rsid w:val="006F3CD4"/>
    <w:rsid w:val="006F3E0D"/>
    <w:rsid w:val="006F3FCB"/>
    <w:rsid w:val="006F4257"/>
    <w:rsid w:val="006F465E"/>
    <w:rsid w:val="006F486A"/>
    <w:rsid w:val="006F493F"/>
    <w:rsid w:val="006F4B99"/>
    <w:rsid w:val="006F4D5E"/>
    <w:rsid w:val="006F524D"/>
    <w:rsid w:val="006F524E"/>
    <w:rsid w:val="006F5C3E"/>
    <w:rsid w:val="006F5E4C"/>
    <w:rsid w:val="006F70EF"/>
    <w:rsid w:val="0070084D"/>
    <w:rsid w:val="007008EC"/>
    <w:rsid w:val="007014A0"/>
    <w:rsid w:val="0070277F"/>
    <w:rsid w:val="007029D1"/>
    <w:rsid w:val="00702D4C"/>
    <w:rsid w:val="0070335C"/>
    <w:rsid w:val="00703A56"/>
    <w:rsid w:val="00703AB9"/>
    <w:rsid w:val="00704954"/>
    <w:rsid w:val="00704CD8"/>
    <w:rsid w:val="00705389"/>
    <w:rsid w:val="00705470"/>
    <w:rsid w:val="00705D50"/>
    <w:rsid w:val="00705EBF"/>
    <w:rsid w:val="0070633A"/>
    <w:rsid w:val="0070669A"/>
    <w:rsid w:val="0070786F"/>
    <w:rsid w:val="00707EE4"/>
    <w:rsid w:val="007104EE"/>
    <w:rsid w:val="00710E41"/>
    <w:rsid w:val="00710F5B"/>
    <w:rsid w:val="007111CE"/>
    <w:rsid w:val="00711339"/>
    <w:rsid w:val="0071165A"/>
    <w:rsid w:val="00711A01"/>
    <w:rsid w:val="00711A7F"/>
    <w:rsid w:val="0071225F"/>
    <w:rsid w:val="00712464"/>
    <w:rsid w:val="007125E7"/>
    <w:rsid w:val="00712707"/>
    <w:rsid w:val="00713AF0"/>
    <w:rsid w:val="00713BD5"/>
    <w:rsid w:val="00714AA1"/>
    <w:rsid w:val="007150D1"/>
    <w:rsid w:val="00715143"/>
    <w:rsid w:val="00715649"/>
    <w:rsid w:val="00717526"/>
    <w:rsid w:val="007175B6"/>
    <w:rsid w:val="00717E60"/>
    <w:rsid w:val="00720129"/>
    <w:rsid w:val="00720383"/>
    <w:rsid w:val="00720A3F"/>
    <w:rsid w:val="00721073"/>
    <w:rsid w:val="00721119"/>
    <w:rsid w:val="00721838"/>
    <w:rsid w:val="007221D2"/>
    <w:rsid w:val="00722C06"/>
    <w:rsid w:val="00722CDF"/>
    <w:rsid w:val="0072331C"/>
    <w:rsid w:val="0072394B"/>
    <w:rsid w:val="00724F0C"/>
    <w:rsid w:val="00724F16"/>
    <w:rsid w:val="00725C4F"/>
    <w:rsid w:val="0072616E"/>
    <w:rsid w:val="0072675A"/>
    <w:rsid w:val="0072681F"/>
    <w:rsid w:val="0072695B"/>
    <w:rsid w:val="00727053"/>
    <w:rsid w:val="0072707E"/>
    <w:rsid w:val="00730EC1"/>
    <w:rsid w:val="007312C8"/>
    <w:rsid w:val="007316AD"/>
    <w:rsid w:val="00731EE4"/>
    <w:rsid w:val="007321E6"/>
    <w:rsid w:val="007327DD"/>
    <w:rsid w:val="00732C76"/>
    <w:rsid w:val="007332AF"/>
    <w:rsid w:val="00733343"/>
    <w:rsid w:val="00733794"/>
    <w:rsid w:val="00734337"/>
    <w:rsid w:val="00734ABF"/>
    <w:rsid w:val="00734BA6"/>
    <w:rsid w:val="00734C81"/>
    <w:rsid w:val="00734E43"/>
    <w:rsid w:val="0073582E"/>
    <w:rsid w:val="007369E4"/>
    <w:rsid w:val="00737C1D"/>
    <w:rsid w:val="00737F9D"/>
    <w:rsid w:val="0074064F"/>
    <w:rsid w:val="00740C37"/>
    <w:rsid w:val="00740DF9"/>
    <w:rsid w:val="00741187"/>
    <w:rsid w:val="007412E0"/>
    <w:rsid w:val="0074163A"/>
    <w:rsid w:val="00741CF4"/>
    <w:rsid w:val="00742233"/>
    <w:rsid w:val="00742EE1"/>
    <w:rsid w:val="00743080"/>
    <w:rsid w:val="0074382C"/>
    <w:rsid w:val="00744C9F"/>
    <w:rsid w:val="007460B5"/>
    <w:rsid w:val="007460DA"/>
    <w:rsid w:val="00746910"/>
    <w:rsid w:val="00746B70"/>
    <w:rsid w:val="007479CE"/>
    <w:rsid w:val="00750420"/>
    <w:rsid w:val="00750788"/>
    <w:rsid w:val="00750DFA"/>
    <w:rsid w:val="00751070"/>
    <w:rsid w:val="007511F9"/>
    <w:rsid w:val="00751257"/>
    <w:rsid w:val="007512D4"/>
    <w:rsid w:val="00751DE9"/>
    <w:rsid w:val="00752291"/>
    <w:rsid w:val="007525DC"/>
    <w:rsid w:val="0075291B"/>
    <w:rsid w:val="00753362"/>
    <w:rsid w:val="00753782"/>
    <w:rsid w:val="007538A2"/>
    <w:rsid w:val="007538F6"/>
    <w:rsid w:val="00753CDB"/>
    <w:rsid w:val="00754CC9"/>
    <w:rsid w:val="00755504"/>
    <w:rsid w:val="0075675F"/>
    <w:rsid w:val="00757778"/>
    <w:rsid w:val="00757AF7"/>
    <w:rsid w:val="00757C23"/>
    <w:rsid w:val="00760387"/>
    <w:rsid w:val="00760911"/>
    <w:rsid w:val="00760EDE"/>
    <w:rsid w:val="0076172F"/>
    <w:rsid w:val="007619F5"/>
    <w:rsid w:val="00761C55"/>
    <w:rsid w:val="00761F3F"/>
    <w:rsid w:val="00762077"/>
    <w:rsid w:val="00762331"/>
    <w:rsid w:val="00762365"/>
    <w:rsid w:val="00762C2E"/>
    <w:rsid w:val="00762D70"/>
    <w:rsid w:val="00762D99"/>
    <w:rsid w:val="00763229"/>
    <w:rsid w:val="00763A67"/>
    <w:rsid w:val="00763D6A"/>
    <w:rsid w:val="007646F1"/>
    <w:rsid w:val="00765815"/>
    <w:rsid w:val="00765DEA"/>
    <w:rsid w:val="007665F8"/>
    <w:rsid w:val="00766605"/>
    <w:rsid w:val="00766C6C"/>
    <w:rsid w:val="00767E6C"/>
    <w:rsid w:val="00770155"/>
    <w:rsid w:val="00770C91"/>
    <w:rsid w:val="00770D3C"/>
    <w:rsid w:val="00771C2D"/>
    <w:rsid w:val="00772E60"/>
    <w:rsid w:val="0077320E"/>
    <w:rsid w:val="00773505"/>
    <w:rsid w:val="0077352A"/>
    <w:rsid w:val="00773559"/>
    <w:rsid w:val="007739DB"/>
    <w:rsid w:val="0077405A"/>
    <w:rsid w:val="007749D1"/>
    <w:rsid w:val="00774DEC"/>
    <w:rsid w:val="00775246"/>
    <w:rsid w:val="00775466"/>
    <w:rsid w:val="00775499"/>
    <w:rsid w:val="007754B2"/>
    <w:rsid w:val="007754EA"/>
    <w:rsid w:val="00775B48"/>
    <w:rsid w:val="00775B5C"/>
    <w:rsid w:val="0077623F"/>
    <w:rsid w:val="00776248"/>
    <w:rsid w:val="0077643B"/>
    <w:rsid w:val="007769DB"/>
    <w:rsid w:val="00776BFE"/>
    <w:rsid w:val="00777158"/>
    <w:rsid w:val="00777C6D"/>
    <w:rsid w:val="00777FF2"/>
    <w:rsid w:val="00780F10"/>
    <w:rsid w:val="007816AA"/>
    <w:rsid w:val="00781ADA"/>
    <w:rsid w:val="007821C0"/>
    <w:rsid w:val="00783081"/>
    <w:rsid w:val="00783723"/>
    <w:rsid w:val="00783AB6"/>
    <w:rsid w:val="00784023"/>
    <w:rsid w:val="007841B4"/>
    <w:rsid w:val="007843B5"/>
    <w:rsid w:val="00784867"/>
    <w:rsid w:val="00785192"/>
    <w:rsid w:val="0078556D"/>
    <w:rsid w:val="007859F8"/>
    <w:rsid w:val="007865E5"/>
    <w:rsid w:val="007867A9"/>
    <w:rsid w:val="007879A0"/>
    <w:rsid w:val="00791045"/>
    <w:rsid w:val="00791728"/>
    <w:rsid w:val="00791C14"/>
    <w:rsid w:val="00791CD6"/>
    <w:rsid w:val="00792139"/>
    <w:rsid w:val="00793714"/>
    <w:rsid w:val="00793A31"/>
    <w:rsid w:val="00793B80"/>
    <w:rsid w:val="00793D9B"/>
    <w:rsid w:val="0079418F"/>
    <w:rsid w:val="0079518C"/>
    <w:rsid w:val="00795FBA"/>
    <w:rsid w:val="00796251"/>
    <w:rsid w:val="0079675C"/>
    <w:rsid w:val="0079746D"/>
    <w:rsid w:val="007976D7"/>
    <w:rsid w:val="007A211A"/>
    <w:rsid w:val="007A2AFA"/>
    <w:rsid w:val="007A4309"/>
    <w:rsid w:val="007A44C7"/>
    <w:rsid w:val="007A46CF"/>
    <w:rsid w:val="007A4A63"/>
    <w:rsid w:val="007A54AA"/>
    <w:rsid w:val="007A6269"/>
    <w:rsid w:val="007A6728"/>
    <w:rsid w:val="007A72C9"/>
    <w:rsid w:val="007B043D"/>
    <w:rsid w:val="007B05C8"/>
    <w:rsid w:val="007B1437"/>
    <w:rsid w:val="007B1CFD"/>
    <w:rsid w:val="007B2B17"/>
    <w:rsid w:val="007B393B"/>
    <w:rsid w:val="007B3C86"/>
    <w:rsid w:val="007B40BF"/>
    <w:rsid w:val="007B4129"/>
    <w:rsid w:val="007B4E91"/>
    <w:rsid w:val="007B4F7F"/>
    <w:rsid w:val="007B5017"/>
    <w:rsid w:val="007B5A16"/>
    <w:rsid w:val="007B61FB"/>
    <w:rsid w:val="007B6372"/>
    <w:rsid w:val="007B66B8"/>
    <w:rsid w:val="007B6C1A"/>
    <w:rsid w:val="007C0120"/>
    <w:rsid w:val="007C0132"/>
    <w:rsid w:val="007C04E2"/>
    <w:rsid w:val="007C0D8D"/>
    <w:rsid w:val="007C18B5"/>
    <w:rsid w:val="007C1E66"/>
    <w:rsid w:val="007C2427"/>
    <w:rsid w:val="007C3FFF"/>
    <w:rsid w:val="007C444E"/>
    <w:rsid w:val="007C475B"/>
    <w:rsid w:val="007C4F31"/>
    <w:rsid w:val="007C54CA"/>
    <w:rsid w:val="007C554C"/>
    <w:rsid w:val="007C641E"/>
    <w:rsid w:val="007C67B5"/>
    <w:rsid w:val="007C6C53"/>
    <w:rsid w:val="007C7410"/>
    <w:rsid w:val="007D0471"/>
    <w:rsid w:val="007D04B1"/>
    <w:rsid w:val="007D0B8C"/>
    <w:rsid w:val="007D2484"/>
    <w:rsid w:val="007D2E77"/>
    <w:rsid w:val="007D3394"/>
    <w:rsid w:val="007D372B"/>
    <w:rsid w:val="007D379F"/>
    <w:rsid w:val="007D3B13"/>
    <w:rsid w:val="007D3C96"/>
    <w:rsid w:val="007D40A7"/>
    <w:rsid w:val="007D4C61"/>
    <w:rsid w:val="007D4FC9"/>
    <w:rsid w:val="007D515D"/>
    <w:rsid w:val="007D5956"/>
    <w:rsid w:val="007D59C0"/>
    <w:rsid w:val="007D5C83"/>
    <w:rsid w:val="007D5F7C"/>
    <w:rsid w:val="007D659D"/>
    <w:rsid w:val="007D699A"/>
    <w:rsid w:val="007D727A"/>
    <w:rsid w:val="007D7C97"/>
    <w:rsid w:val="007E0002"/>
    <w:rsid w:val="007E0169"/>
    <w:rsid w:val="007E2034"/>
    <w:rsid w:val="007E224C"/>
    <w:rsid w:val="007E2603"/>
    <w:rsid w:val="007E28F1"/>
    <w:rsid w:val="007E2E9B"/>
    <w:rsid w:val="007E2F35"/>
    <w:rsid w:val="007E30A6"/>
    <w:rsid w:val="007E3514"/>
    <w:rsid w:val="007E356F"/>
    <w:rsid w:val="007E35F2"/>
    <w:rsid w:val="007E3F4D"/>
    <w:rsid w:val="007E4838"/>
    <w:rsid w:val="007E5619"/>
    <w:rsid w:val="007E5993"/>
    <w:rsid w:val="007E5ED0"/>
    <w:rsid w:val="007E61A6"/>
    <w:rsid w:val="007E64CA"/>
    <w:rsid w:val="007E65B0"/>
    <w:rsid w:val="007E7947"/>
    <w:rsid w:val="007E7DE3"/>
    <w:rsid w:val="007F10E3"/>
    <w:rsid w:val="007F154E"/>
    <w:rsid w:val="007F1F59"/>
    <w:rsid w:val="007F23E5"/>
    <w:rsid w:val="007F248D"/>
    <w:rsid w:val="007F38BF"/>
    <w:rsid w:val="007F5708"/>
    <w:rsid w:val="007F5B79"/>
    <w:rsid w:val="007F68BC"/>
    <w:rsid w:val="007F73C1"/>
    <w:rsid w:val="007F764A"/>
    <w:rsid w:val="007F7B27"/>
    <w:rsid w:val="007F7CBC"/>
    <w:rsid w:val="00800F85"/>
    <w:rsid w:val="00800FC6"/>
    <w:rsid w:val="0080199C"/>
    <w:rsid w:val="00801B32"/>
    <w:rsid w:val="0080233E"/>
    <w:rsid w:val="00802732"/>
    <w:rsid w:val="008027A9"/>
    <w:rsid w:val="008029AD"/>
    <w:rsid w:val="00802A6F"/>
    <w:rsid w:val="00802C2B"/>
    <w:rsid w:val="008032AB"/>
    <w:rsid w:val="008035B0"/>
    <w:rsid w:val="00803B8B"/>
    <w:rsid w:val="00803DCB"/>
    <w:rsid w:val="00804626"/>
    <w:rsid w:val="008046EA"/>
    <w:rsid w:val="008047A7"/>
    <w:rsid w:val="00804DF3"/>
    <w:rsid w:val="008054AD"/>
    <w:rsid w:val="00806588"/>
    <w:rsid w:val="008065D4"/>
    <w:rsid w:val="00806C55"/>
    <w:rsid w:val="008076EA"/>
    <w:rsid w:val="00810029"/>
    <w:rsid w:val="00810F33"/>
    <w:rsid w:val="00811650"/>
    <w:rsid w:val="008119BC"/>
    <w:rsid w:val="0081220C"/>
    <w:rsid w:val="0081268B"/>
    <w:rsid w:val="00812C91"/>
    <w:rsid w:val="00812DC5"/>
    <w:rsid w:val="00812E26"/>
    <w:rsid w:val="0081426E"/>
    <w:rsid w:val="0081439E"/>
    <w:rsid w:val="008144AB"/>
    <w:rsid w:val="00814A69"/>
    <w:rsid w:val="00814DA7"/>
    <w:rsid w:val="00814DB5"/>
    <w:rsid w:val="0081513C"/>
    <w:rsid w:val="00815592"/>
    <w:rsid w:val="00815B40"/>
    <w:rsid w:val="00816E3F"/>
    <w:rsid w:val="00817504"/>
    <w:rsid w:val="00817DA5"/>
    <w:rsid w:val="00821115"/>
    <w:rsid w:val="00822B96"/>
    <w:rsid w:val="00822C0A"/>
    <w:rsid w:val="00822FC4"/>
    <w:rsid w:val="00823067"/>
    <w:rsid w:val="00823214"/>
    <w:rsid w:val="00824327"/>
    <w:rsid w:val="00824376"/>
    <w:rsid w:val="00824FE4"/>
    <w:rsid w:val="00825DB7"/>
    <w:rsid w:val="00826D06"/>
    <w:rsid w:val="00826FA9"/>
    <w:rsid w:val="008302CD"/>
    <w:rsid w:val="008308FE"/>
    <w:rsid w:val="00830B1B"/>
    <w:rsid w:val="00830F7B"/>
    <w:rsid w:val="008315D7"/>
    <w:rsid w:val="008319CE"/>
    <w:rsid w:val="00831CF1"/>
    <w:rsid w:val="00832161"/>
    <w:rsid w:val="00832749"/>
    <w:rsid w:val="00832A37"/>
    <w:rsid w:val="00832BCA"/>
    <w:rsid w:val="00833AD6"/>
    <w:rsid w:val="00833B27"/>
    <w:rsid w:val="00833C4C"/>
    <w:rsid w:val="00834B5D"/>
    <w:rsid w:val="00834F57"/>
    <w:rsid w:val="0083518D"/>
    <w:rsid w:val="008352E2"/>
    <w:rsid w:val="00835E89"/>
    <w:rsid w:val="00835FD8"/>
    <w:rsid w:val="008365E5"/>
    <w:rsid w:val="0083761A"/>
    <w:rsid w:val="00837BC4"/>
    <w:rsid w:val="008404EF"/>
    <w:rsid w:val="00840D1C"/>
    <w:rsid w:val="00842082"/>
    <w:rsid w:val="008427B4"/>
    <w:rsid w:val="008431E9"/>
    <w:rsid w:val="00843584"/>
    <w:rsid w:val="00843A3D"/>
    <w:rsid w:val="0084463B"/>
    <w:rsid w:val="00844A4B"/>
    <w:rsid w:val="00845942"/>
    <w:rsid w:val="0084638D"/>
    <w:rsid w:val="00846FD6"/>
    <w:rsid w:val="0084763B"/>
    <w:rsid w:val="0084777B"/>
    <w:rsid w:val="00847CD3"/>
    <w:rsid w:val="00847F4B"/>
    <w:rsid w:val="008503B1"/>
    <w:rsid w:val="00850803"/>
    <w:rsid w:val="00850B10"/>
    <w:rsid w:val="00851098"/>
    <w:rsid w:val="008515B4"/>
    <w:rsid w:val="00851907"/>
    <w:rsid w:val="00851C21"/>
    <w:rsid w:val="00852335"/>
    <w:rsid w:val="00852863"/>
    <w:rsid w:val="00854017"/>
    <w:rsid w:val="008559A1"/>
    <w:rsid w:val="00855F25"/>
    <w:rsid w:val="008562DF"/>
    <w:rsid w:val="00856AB0"/>
    <w:rsid w:val="00857289"/>
    <w:rsid w:val="008575E4"/>
    <w:rsid w:val="00857C69"/>
    <w:rsid w:val="00857EEB"/>
    <w:rsid w:val="00857F5D"/>
    <w:rsid w:val="00861EE1"/>
    <w:rsid w:val="00862429"/>
    <w:rsid w:val="0086248E"/>
    <w:rsid w:val="00862A43"/>
    <w:rsid w:val="00862AA4"/>
    <w:rsid w:val="00862B38"/>
    <w:rsid w:val="00862EC8"/>
    <w:rsid w:val="008644D2"/>
    <w:rsid w:val="00864505"/>
    <w:rsid w:val="008651EC"/>
    <w:rsid w:val="00865C8A"/>
    <w:rsid w:val="00865D20"/>
    <w:rsid w:val="00865E25"/>
    <w:rsid w:val="008669EF"/>
    <w:rsid w:val="00866B97"/>
    <w:rsid w:val="0086714A"/>
    <w:rsid w:val="008700AF"/>
    <w:rsid w:val="0087016E"/>
    <w:rsid w:val="0087069A"/>
    <w:rsid w:val="00870906"/>
    <w:rsid w:val="00871A64"/>
    <w:rsid w:val="00871C14"/>
    <w:rsid w:val="00872A60"/>
    <w:rsid w:val="0087371B"/>
    <w:rsid w:val="00873A82"/>
    <w:rsid w:val="008740A3"/>
    <w:rsid w:val="00874155"/>
    <w:rsid w:val="00874609"/>
    <w:rsid w:val="00874936"/>
    <w:rsid w:val="00875232"/>
    <w:rsid w:val="008754EC"/>
    <w:rsid w:val="00875D51"/>
    <w:rsid w:val="00876239"/>
    <w:rsid w:val="0087679C"/>
    <w:rsid w:val="008768E9"/>
    <w:rsid w:val="00877015"/>
    <w:rsid w:val="0087786C"/>
    <w:rsid w:val="00881C27"/>
    <w:rsid w:val="00881E0E"/>
    <w:rsid w:val="008820C5"/>
    <w:rsid w:val="00882464"/>
    <w:rsid w:val="0088255F"/>
    <w:rsid w:val="0088293F"/>
    <w:rsid w:val="0088349A"/>
    <w:rsid w:val="00883787"/>
    <w:rsid w:val="00883CCE"/>
    <w:rsid w:val="00883E88"/>
    <w:rsid w:val="0088411B"/>
    <w:rsid w:val="00884216"/>
    <w:rsid w:val="008845CD"/>
    <w:rsid w:val="008846CE"/>
    <w:rsid w:val="00884831"/>
    <w:rsid w:val="00884AD1"/>
    <w:rsid w:val="00884FA6"/>
    <w:rsid w:val="00885615"/>
    <w:rsid w:val="00885D52"/>
    <w:rsid w:val="00886756"/>
    <w:rsid w:val="00886B86"/>
    <w:rsid w:val="00887127"/>
    <w:rsid w:val="00887231"/>
    <w:rsid w:val="008877A6"/>
    <w:rsid w:val="008901E8"/>
    <w:rsid w:val="00890903"/>
    <w:rsid w:val="008915E4"/>
    <w:rsid w:val="0089175F"/>
    <w:rsid w:val="00891907"/>
    <w:rsid w:val="00891A46"/>
    <w:rsid w:val="00891DB1"/>
    <w:rsid w:val="00892673"/>
    <w:rsid w:val="00892D7B"/>
    <w:rsid w:val="008938CB"/>
    <w:rsid w:val="00894792"/>
    <w:rsid w:val="00894EA8"/>
    <w:rsid w:val="00894F30"/>
    <w:rsid w:val="00895C1B"/>
    <w:rsid w:val="00896225"/>
    <w:rsid w:val="00896A57"/>
    <w:rsid w:val="0089700A"/>
    <w:rsid w:val="00897142"/>
    <w:rsid w:val="0089725F"/>
    <w:rsid w:val="00897C5B"/>
    <w:rsid w:val="008A0687"/>
    <w:rsid w:val="008A08B4"/>
    <w:rsid w:val="008A0D8C"/>
    <w:rsid w:val="008A115F"/>
    <w:rsid w:val="008A125A"/>
    <w:rsid w:val="008A1E55"/>
    <w:rsid w:val="008A1ED3"/>
    <w:rsid w:val="008A20C2"/>
    <w:rsid w:val="008A32DB"/>
    <w:rsid w:val="008A36A1"/>
    <w:rsid w:val="008A38D6"/>
    <w:rsid w:val="008A39BB"/>
    <w:rsid w:val="008A3A33"/>
    <w:rsid w:val="008A3BBC"/>
    <w:rsid w:val="008A3F6A"/>
    <w:rsid w:val="008A4FAC"/>
    <w:rsid w:val="008A52BF"/>
    <w:rsid w:val="008A5815"/>
    <w:rsid w:val="008A6365"/>
    <w:rsid w:val="008A70DD"/>
    <w:rsid w:val="008A7821"/>
    <w:rsid w:val="008A7AF5"/>
    <w:rsid w:val="008A7D09"/>
    <w:rsid w:val="008B0695"/>
    <w:rsid w:val="008B1342"/>
    <w:rsid w:val="008B13EB"/>
    <w:rsid w:val="008B1B5C"/>
    <w:rsid w:val="008B2B60"/>
    <w:rsid w:val="008B3130"/>
    <w:rsid w:val="008B3600"/>
    <w:rsid w:val="008B3B0F"/>
    <w:rsid w:val="008B4E83"/>
    <w:rsid w:val="008B4ED2"/>
    <w:rsid w:val="008B6130"/>
    <w:rsid w:val="008B6173"/>
    <w:rsid w:val="008B662B"/>
    <w:rsid w:val="008B7477"/>
    <w:rsid w:val="008B7F14"/>
    <w:rsid w:val="008C0123"/>
    <w:rsid w:val="008C03AA"/>
    <w:rsid w:val="008C079F"/>
    <w:rsid w:val="008C0CEB"/>
    <w:rsid w:val="008C10FA"/>
    <w:rsid w:val="008C1525"/>
    <w:rsid w:val="008C1602"/>
    <w:rsid w:val="008C18FB"/>
    <w:rsid w:val="008C1B59"/>
    <w:rsid w:val="008C1E05"/>
    <w:rsid w:val="008C21FB"/>
    <w:rsid w:val="008C22B5"/>
    <w:rsid w:val="008C2EAB"/>
    <w:rsid w:val="008C377E"/>
    <w:rsid w:val="008C4DD7"/>
    <w:rsid w:val="008C5827"/>
    <w:rsid w:val="008C58FB"/>
    <w:rsid w:val="008C5968"/>
    <w:rsid w:val="008C59E5"/>
    <w:rsid w:val="008C5AA6"/>
    <w:rsid w:val="008C5BA6"/>
    <w:rsid w:val="008C5BE8"/>
    <w:rsid w:val="008C6BFA"/>
    <w:rsid w:val="008C7129"/>
    <w:rsid w:val="008C715C"/>
    <w:rsid w:val="008D04BD"/>
    <w:rsid w:val="008D04D8"/>
    <w:rsid w:val="008D05F0"/>
    <w:rsid w:val="008D0820"/>
    <w:rsid w:val="008D12B1"/>
    <w:rsid w:val="008D25AE"/>
    <w:rsid w:val="008D2C2B"/>
    <w:rsid w:val="008D2CD6"/>
    <w:rsid w:val="008D366D"/>
    <w:rsid w:val="008D491C"/>
    <w:rsid w:val="008D4B81"/>
    <w:rsid w:val="008D501C"/>
    <w:rsid w:val="008D5085"/>
    <w:rsid w:val="008D53B9"/>
    <w:rsid w:val="008D540A"/>
    <w:rsid w:val="008D56BF"/>
    <w:rsid w:val="008D6090"/>
    <w:rsid w:val="008D67BF"/>
    <w:rsid w:val="008D6DB4"/>
    <w:rsid w:val="008D6E30"/>
    <w:rsid w:val="008D7A3E"/>
    <w:rsid w:val="008D7C5E"/>
    <w:rsid w:val="008E0561"/>
    <w:rsid w:val="008E14E2"/>
    <w:rsid w:val="008E1998"/>
    <w:rsid w:val="008E1DFD"/>
    <w:rsid w:val="008E2770"/>
    <w:rsid w:val="008E2ABA"/>
    <w:rsid w:val="008E3644"/>
    <w:rsid w:val="008E3CAC"/>
    <w:rsid w:val="008E4215"/>
    <w:rsid w:val="008E43DA"/>
    <w:rsid w:val="008E43F8"/>
    <w:rsid w:val="008E48DC"/>
    <w:rsid w:val="008E4FAD"/>
    <w:rsid w:val="008E53D4"/>
    <w:rsid w:val="008E5598"/>
    <w:rsid w:val="008E665A"/>
    <w:rsid w:val="008E7C27"/>
    <w:rsid w:val="008E7D35"/>
    <w:rsid w:val="008F073D"/>
    <w:rsid w:val="008F0A1E"/>
    <w:rsid w:val="008F106E"/>
    <w:rsid w:val="008F14FF"/>
    <w:rsid w:val="008F1928"/>
    <w:rsid w:val="008F1CC1"/>
    <w:rsid w:val="008F212B"/>
    <w:rsid w:val="008F26C9"/>
    <w:rsid w:val="008F2E29"/>
    <w:rsid w:val="008F364B"/>
    <w:rsid w:val="008F3EB6"/>
    <w:rsid w:val="008F48A3"/>
    <w:rsid w:val="008F53D5"/>
    <w:rsid w:val="008F5A8E"/>
    <w:rsid w:val="008F5CC8"/>
    <w:rsid w:val="008F67D8"/>
    <w:rsid w:val="008F7CE7"/>
    <w:rsid w:val="009003B4"/>
    <w:rsid w:val="00900645"/>
    <w:rsid w:val="00902071"/>
    <w:rsid w:val="0090222C"/>
    <w:rsid w:val="009025F8"/>
    <w:rsid w:val="00902A38"/>
    <w:rsid w:val="00902AFE"/>
    <w:rsid w:val="00902E19"/>
    <w:rsid w:val="00903129"/>
    <w:rsid w:val="00903D5D"/>
    <w:rsid w:val="0090488E"/>
    <w:rsid w:val="00904DDF"/>
    <w:rsid w:val="00904EFB"/>
    <w:rsid w:val="00904F3C"/>
    <w:rsid w:val="009055BB"/>
    <w:rsid w:val="00905876"/>
    <w:rsid w:val="00905C42"/>
    <w:rsid w:val="00905F6B"/>
    <w:rsid w:val="00906675"/>
    <w:rsid w:val="00906CEF"/>
    <w:rsid w:val="00906E03"/>
    <w:rsid w:val="00906E64"/>
    <w:rsid w:val="00906F95"/>
    <w:rsid w:val="009072AC"/>
    <w:rsid w:val="0090757C"/>
    <w:rsid w:val="00907ACA"/>
    <w:rsid w:val="00907F5F"/>
    <w:rsid w:val="00910435"/>
    <w:rsid w:val="00911261"/>
    <w:rsid w:val="00912AA2"/>
    <w:rsid w:val="00913715"/>
    <w:rsid w:val="00914340"/>
    <w:rsid w:val="00914401"/>
    <w:rsid w:val="00914AF3"/>
    <w:rsid w:val="00914D15"/>
    <w:rsid w:val="00914E20"/>
    <w:rsid w:val="00916779"/>
    <w:rsid w:val="0091777A"/>
    <w:rsid w:val="00920AB4"/>
    <w:rsid w:val="00920ACA"/>
    <w:rsid w:val="00920C39"/>
    <w:rsid w:val="0092117E"/>
    <w:rsid w:val="00921937"/>
    <w:rsid w:val="009224FD"/>
    <w:rsid w:val="00922D1E"/>
    <w:rsid w:val="0092386D"/>
    <w:rsid w:val="009238DC"/>
    <w:rsid w:val="009238E5"/>
    <w:rsid w:val="00924489"/>
    <w:rsid w:val="0092456E"/>
    <w:rsid w:val="00924F1B"/>
    <w:rsid w:val="009256DC"/>
    <w:rsid w:val="00925AD7"/>
    <w:rsid w:val="00925B32"/>
    <w:rsid w:val="00925F10"/>
    <w:rsid w:val="00926430"/>
    <w:rsid w:val="00926DF6"/>
    <w:rsid w:val="009302DC"/>
    <w:rsid w:val="00930475"/>
    <w:rsid w:val="00930894"/>
    <w:rsid w:val="00931521"/>
    <w:rsid w:val="00931895"/>
    <w:rsid w:val="009330CF"/>
    <w:rsid w:val="009344CE"/>
    <w:rsid w:val="009345E0"/>
    <w:rsid w:val="009347A7"/>
    <w:rsid w:val="009347F8"/>
    <w:rsid w:val="00935171"/>
    <w:rsid w:val="009359C8"/>
    <w:rsid w:val="00935FBF"/>
    <w:rsid w:val="00936A34"/>
    <w:rsid w:val="00936D78"/>
    <w:rsid w:val="00936E46"/>
    <w:rsid w:val="00937561"/>
    <w:rsid w:val="00937600"/>
    <w:rsid w:val="009378F6"/>
    <w:rsid w:val="00937A21"/>
    <w:rsid w:val="00937E43"/>
    <w:rsid w:val="00940EC3"/>
    <w:rsid w:val="009412FC"/>
    <w:rsid w:val="00942006"/>
    <w:rsid w:val="00942148"/>
    <w:rsid w:val="00942671"/>
    <w:rsid w:val="009426C8"/>
    <w:rsid w:val="00943875"/>
    <w:rsid w:val="00944562"/>
    <w:rsid w:val="00945021"/>
    <w:rsid w:val="009451EC"/>
    <w:rsid w:val="0094545C"/>
    <w:rsid w:val="009459C3"/>
    <w:rsid w:val="00945A69"/>
    <w:rsid w:val="00945D82"/>
    <w:rsid w:val="00946402"/>
    <w:rsid w:val="0094719D"/>
    <w:rsid w:val="009479CF"/>
    <w:rsid w:val="00947CB5"/>
    <w:rsid w:val="00947D26"/>
    <w:rsid w:val="00951560"/>
    <w:rsid w:val="0095188A"/>
    <w:rsid w:val="00951AA9"/>
    <w:rsid w:val="00951DA7"/>
    <w:rsid w:val="00952309"/>
    <w:rsid w:val="00952DF3"/>
    <w:rsid w:val="00952F24"/>
    <w:rsid w:val="009530F1"/>
    <w:rsid w:val="00953EBE"/>
    <w:rsid w:val="0095463C"/>
    <w:rsid w:val="009555E9"/>
    <w:rsid w:val="00955694"/>
    <w:rsid w:val="00956110"/>
    <w:rsid w:val="00956633"/>
    <w:rsid w:val="009573BF"/>
    <w:rsid w:val="009601E0"/>
    <w:rsid w:val="00960635"/>
    <w:rsid w:val="00960746"/>
    <w:rsid w:val="00961DD4"/>
    <w:rsid w:val="0096204B"/>
    <w:rsid w:val="00962849"/>
    <w:rsid w:val="00962965"/>
    <w:rsid w:val="00962A1B"/>
    <w:rsid w:val="009630BE"/>
    <w:rsid w:val="00963231"/>
    <w:rsid w:val="00963F4C"/>
    <w:rsid w:val="0096492B"/>
    <w:rsid w:val="00964C90"/>
    <w:rsid w:val="00964F70"/>
    <w:rsid w:val="00965218"/>
    <w:rsid w:val="00965761"/>
    <w:rsid w:val="0096587F"/>
    <w:rsid w:val="009660A6"/>
    <w:rsid w:val="00966930"/>
    <w:rsid w:val="00967021"/>
    <w:rsid w:val="00967C66"/>
    <w:rsid w:val="009704EC"/>
    <w:rsid w:val="00970A2B"/>
    <w:rsid w:val="00972366"/>
    <w:rsid w:val="00972E7E"/>
    <w:rsid w:val="009733B2"/>
    <w:rsid w:val="009737E9"/>
    <w:rsid w:val="00973EF8"/>
    <w:rsid w:val="0097412D"/>
    <w:rsid w:val="0097417C"/>
    <w:rsid w:val="009743AD"/>
    <w:rsid w:val="00974509"/>
    <w:rsid w:val="009748A8"/>
    <w:rsid w:val="0097509D"/>
    <w:rsid w:val="009756E3"/>
    <w:rsid w:val="009756ED"/>
    <w:rsid w:val="00975727"/>
    <w:rsid w:val="00975A36"/>
    <w:rsid w:val="00975DE8"/>
    <w:rsid w:val="009760E9"/>
    <w:rsid w:val="0097654C"/>
    <w:rsid w:val="00977094"/>
    <w:rsid w:val="009775B1"/>
    <w:rsid w:val="009805A0"/>
    <w:rsid w:val="00981014"/>
    <w:rsid w:val="00981ADD"/>
    <w:rsid w:val="009820E7"/>
    <w:rsid w:val="00982106"/>
    <w:rsid w:val="009829DB"/>
    <w:rsid w:val="00982AF6"/>
    <w:rsid w:val="00984B89"/>
    <w:rsid w:val="00986204"/>
    <w:rsid w:val="009863B0"/>
    <w:rsid w:val="009864C1"/>
    <w:rsid w:val="0098665A"/>
    <w:rsid w:val="00986D2B"/>
    <w:rsid w:val="00987DFF"/>
    <w:rsid w:val="00987E45"/>
    <w:rsid w:val="00990A81"/>
    <w:rsid w:val="00990F76"/>
    <w:rsid w:val="00991322"/>
    <w:rsid w:val="0099153D"/>
    <w:rsid w:val="00991D2C"/>
    <w:rsid w:val="009923AC"/>
    <w:rsid w:val="00993550"/>
    <w:rsid w:val="00993C4D"/>
    <w:rsid w:val="00993C6D"/>
    <w:rsid w:val="009942C4"/>
    <w:rsid w:val="00994864"/>
    <w:rsid w:val="00994909"/>
    <w:rsid w:val="009956F8"/>
    <w:rsid w:val="00995847"/>
    <w:rsid w:val="00995C70"/>
    <w:rsid w:val="009962E5"/>
    <w:rsid w:val="00997306"/>
    <w:rsid w:val="0099757F"/>
    <w:rsid w:val="00997C27"/>
    <w:rsid w:val="00997E65"/>
    <w:rsid w:val="00997ECA"/>
    <w:rsid w:val="009A06B9"/>
    <w:rsid w:val="009A172D"/>
    <w:rsid w:val="009A1D82"/>
    <w:rsid w:val="009A1E8B"/>
    <w:rsid w:val="009A4630"/>
    <w:rsid w:val="009A600B"/>
    <w:rsid w:val="009A68F9"/>
    <w:rsid w:val="009A712E"/>
    <w:rsid w:val="009A73C1"/>
    <w:rsid w:val="009A7C86"/>
    <w:rsid w:val="009B0A15"/>
    <w:rsid w:val="009B0C89"/>
    <w:rsid w:val="009B0D88"/>
    <w:rsid w:val="009B15A7"/>
    <w:rsid w:val="009B1CC3"/>
    <w:rsid w:val="009B1E5A"/>
    <w:rsid w:val="009B20A6"/>
    <w:rsid w:val="009B2367"/>
    <w:rsid w:val="009B2713"/>
    <w:rsid w:val="009B289E"/>
    <w:rsid w:val="009B2E57"/>
    <w:rsid w:val="009B3C41"/>
    <w:rsid w:val="009B3C53"/>
    <w:rsid w:val="009B4087"/>
    <w:rsid w:val="009B42F8"/>
    <w:rsid w:val="009B4344"/>
    <w:rsid w:val="009B48BA"/>
    <w:rsid w:val="009B55DE"/>
    <w:rsid w:val="009B566B"/>
    <w:rsid w:val="009B5DC3"/>
    <w:rsid w:val="009B6A2C"/>
    <w:rsid w:val="009B6C47"/>
    <w:rsid w:val="009B6DB9"/>
    <w:rsid w:val="009B6FFB"/>
    <w:rsid w:val="009C0011"/>
    <w:rsid w:val="009C0C5C"/>
    <w:rsid w:val="009C163A"/>
    <w:rsid w:val="009C1AAC"/>
    <w:rsid w:val="009C2701"/>
    <w:rsid w:val="009C2960"/>
    <w:rsid w:val="009C2A32"/>
    <w:rsid w:val="009C3EAA"/>
    <w:rsid w:val="009C41A0"/>
    <w:rsid w:val="009C426C"/>
    <w:rsid w:val="009C4737"/>
    <w:rsid w:val="009C5B3F"/>
    <w:rsid w:val="009C5BCC"/>
    <w:rsid w:val="009D08E6"/>
    <w:rsid w:val="009D0E86"/>
    <w:rsid w:val="009D0F72"/>
    <w:rsid w:val="009D187B"/>
    <w:rsid w:val="009D1961"/>
    <w:rsid w:val="009D1AFD"/>
    <w:rsid w:val="009D2331"/>
    <w:rsid w:val="009D3317"/>
    <w:rsid w:val="009D3D2C"/>
    <w:rsid w:val="009D416B"/>
    <w:rsid w:val="009D4179"/>
    <w:rsid w:val="009D4C5D"/>
    <w:rsid w:val="009D5249"/>
    <w:rsid w:val="009D6A37"/>
    <w:rsid w:val="009D6F78"/>
    <w:rsid w:val="009D74A2"/>
    <w:rsid w:val="009D7521"/>
    <w:rsid w:val="009D7CC0"/>
    <w:rsid w:val="009E021C"/>
    <w:rsid w:val="009E06E3"/>
    <w:rsid w:val="009E0C00"/>
    <w:rsid w:val="009E0F2C"/>
    <w:rsid w:val="009E1240"/>
    <w:rsid w:val="009E16C1"/>
    <w:rsid w:val="009E18EA"/>
    <w:rsid w:val="009E19FE"/>
    <w:rsid w:val="009E1D00"/>
    <w:rsid w:val="009E2B43"/>
    <w:rsid w:val="009E2E03"/>
    <w:rsid w:val="009E2FD0"/>
    <w:rsid w:val="009E387E"/>
    <w:rsid w:val="009E3E8B"/>
    <w:rsid w:val="009E4709"/>
    <w:rsid w:val="009E5331"/>
    <w:rsid w:val="009E53C6"/>
    <w:rsid w:val="009E5E0E"/>
    <w:rsid w:val="009E5FBD"/>
    <w:rsid w:val="009E6115"/>
    <w:rsid w:val="009E72B1"/>
    <w:rsid w:val="009E7C5A"/>
    <w:rsid w:val="009E7DEA"/>
    <w:rsid w:val="009F0C83"/>
    <w:rsid w:val="009F0CAE"/>
    <w:rsid w:val="009F14B2"/>
    <w:rsid w:val="009F191B"/>
    <w:rsid w:val="009F1997"/>
    <w:rsid w:val="009F1D9A"/>
    <w:rsid w:val="009F298C"/>
    <w:rsid w:val="009F399D"/>
    <w:rsid w:val="009F3AF3"/>
    <w:rsid w:val="009F3DE1"/>
    <w:rsid w:val="009F41F6"/>
    <w:rsid w:val="009F44B3"/>
    <w:rsid w:val="009F495D"/>
    <w:rsid w:val="009F4C78"/>
    <w:rsid w:val="009F5BD2"/>
    <w:rsid w:val="009F5FEB"/>
    <w:rsid w:val="009F60F6"/>
    <w:rsid w:val="009F6274"/>
    <w:rsid w:val="009F66DB"/>
    <w:rsid w:val="00A00A9A"/>
    <w:rsid w:val="00A026F7"/>
    <w:rsid w:val="00A03193"/>
    <w:rsid w:val="00A03281"/>
    <w:rsid w:val="00A040F5"/>
    <w:rsid w:val="00A0450F"/>
    <w:rsid w:val="00A052D9"/>
    <w:rsid w:val="00A054E6"/>
    <w:rsid w:val="00A0576F"/>
    <w:rsid w:val="00A05DF7"/>
    <w:rsid w:val="00A06B4A"/>
    <w:rsid w:val="00A06BDA"/>
    <w:rsid w:val="00A07F3F"/>
    <w:rsid w:val="00A104B9"/>
    <w:rsid w:val="00A10B8B"/>
    <w:rsid w:val="00A11551"/>
    <w:rsid w:val="00A11BD8"/>
    <w:rsid w:val="00A12781"/>
    <w:rsid w:val="00A129EA"/>
    <w:rsid w:val="00A139D0"/>
    <w:rsid w:val="00A14AF4"/>
    <w:rsid w:val="00A14FF7"/>
    <w:rsid w:val="00A15918"/>
    <w:rsid w:val="00A16109"/>
    <w:rsid w:val="00A16E88"/>
    <w:rsid w:val="00A1715E"/>
    <w:rsid w:val="00A178EF"/>
    <w:rsid w:val="00A17E4F"/>
    <w:rsid w:val="00A20036"/>
    <w:rsid w:val="00A20848"/>
    <w:rsid w:val="00A216B4"/>
    <w:rsid w:val="00A21F7B"/>
    <w:rsid w:val="00A2231C"/>
    <w:rsid w:val="00A227B2"/>
    <w:rsid w:val="00A22F1F"/>
    <w:rsid w:val="00A23650"/>
    <w:rsid w:val="00A23F71"/>
    <w:rsid w:val="00A254E4"/>
    <w:rsid w:val="00A2556B"/>
    <w:rsid w:val="00A25BBD"/>
    <w:rsid w:val="00A2604B"/>
    <w:rsid w:val="00A2625E"/>
    <w:rsid w:val="00A26C53"/>
    <w:rsid w:val="00A27470"/>
    <w:rsid w:val="00A27574"/>
    <w:rsid w:val="00A30245"/>
    <w:rsid w:val="00A30589"/>
    <w:rsid w:val="00A30CC1"/>
    <w:rsid w:val="00A31EA5"/>
    <w:rsid w:val="00A32903"/>
    <w:rsid w:val="00A32C6A"/>
    <w:rsid w:val="00A32EA2"/>
    <w:rsid w:val="00A32F24"/>
    <w:rsid w:val="00A33A4A"/>
    <w:rsid w:val="00A33A80"/>
    <w:rsid w:val="00A33D2B"/>
    <w:rsid w:val="00A33ED3"/>
    <w:rsid w:val="00A343B2"/>
    <w:rsid w:val="00A34580"/>
    <w:rsid w:val="00A347A9"/>
    <w:rsid w:val="00A35109"/>
    <w:rsid w:val="00A354F9"/>
    <w:rsid w:val="00A36874"/>
    <w:rsid w:val="00A37521"/>
    <w:rsid w:val="00A375BB"/>
    <w:rsid w:val="00A403E5"/>
    <w:rsid w:val="00A40BBF"/>
    <w:rsid w:val="00A414A7"/>
    <w:rsid w:val="00A418ED"/>
    <w:rsid w:val="00A4237A"/>
    <w:rsid w:val="00A42E34"/>
    <w:rsid w:val="00A42F16"/>
    <w:rsid w:val="00A43B5F"/>
    <w:rsid w:val="00A43E5A"/>
    <w:rsid w:val="00A44829"/>
    <w:rsid w:val="00A450AF"/>
    <w:rsid w:val="00A456C5"/>
    <w:rsid w:val="00A45EF8"/>
    <w:rsid w:val="00A4654C"/>
    <w:rsid w:val="00A476C7"/>
    <w:rsid w:val="00A47724"/>
    <w:rsid w:val="00A50094"/>
    <w:rsid w:val="00A505AE"/>
    <w:rsid w:val="00A50698"/>
    <w:rsid w:val="00A50D95"/>
    <w:rsid w:val="00A52DAC"/>
    <w:rsid w:val="00A5366D"/>
    <w:rsid w:val="00A53EDE"/>
    <w:rsid w:val="00A54A88"/>
    <w:rsid w:val="00A55C1D"/>
    <w:rsid w:val="00A55CDC"/>
    <w:rsid w:val="00A5656D"/>
    <w:rsid w:val="00A57164"/>
    <w:rsid w:val="00A57B9C"/>
    <w:rsid w:val="00A6032C"/>
    <w:rsid w:val="00A60E2A"/>
    <w:rsid w:val="00A610FB"/>
    <w:rsid w:val="00A61547"/>
    <w:rsid w:val="00A617A1"/>
    <w:rsid w:val="00A61C9D"/>
    <w:rsid w:val="00A61DBC"/>
    <w:rsid w:val="00A62DD8"/>
    <w:rsid w:val="00A63031"/>
    <w:rsid w:val="00A6364D"/>
    <w:rsid w:val="00A63A0D"/>
    <w:rsid w:val="00A6484B"/>
    <w:rsid w:val="00A6499A"/>
    <w:rsid w:val="00A64B2D"/>
    <w:rsid w:val="00A64B65"/>
    <w:rsid w:val="00A64E70"/>
    <w:rsid w:val="00A65EAD"/>
    <w:rsid w:val="00A66045"/>
    <w:rsid w:val="00A66F2E"/>
    <w:rsid w:val="00A673AE"/>
    <w:rsid w:val="00A70E76"/>
    <w:rsid w:val="00A71006"/>
    <w:rsid w:val="00A710AD"/>
    <w:rsid w:val="00A7122F"/>
    <w:rsid w:val="00A721AE"/>
    <w:rsid w:val="00A72FB5"/>
    <w:rsid w:val="00A73191"/>
    <w:rsid w:val="00A73DBB"/>
    <w:rsid w:val="00A73EA0"/>
    <w:rsid w:val="00A7560B"/>
    <w:rsid w:val="00A766DC"/>
    <w:rsid w:val="00A772FE"/>
    <w:rsid w:val="00A7766A"/>
    <w:rsid w:val="00A804DD"/>
    <w:rsid w:val="00A81242"/>
    <w:rsid w:val="00A814BF"/>
    <w:rsid w:val="00A81C08"/>
    <w:rsid w:val="00A827B8"/>
    <w:rsid w:val="00A82CC2"/>
    <w:rsid w:val="00A836F7"/>
    <w:rsid w:val="00A84488"/>
    <w:rsid w:val="00A845BD"/>
    <w:rsid w:val="00A84CB0"/>
    <w:rsid w:val="00A85661"/>
    <w:rsid w:val="00A85FA3"/>
    <w:rsid w:val="00A86A95"/>
    <w:rsid w:val="00A86BFA"/>
    <w:rsid w:val="00A86E79"/>
    <w:rsid w:val="00A879B9"/>
    <w:rsid w:val="00A908F7"/>
    <w:rsid w:val="00A90F7A"/>
    <w:rsid w:val="00A923A7"/>
    <w:rsid w:val="00A9266B"/>
    <w:rsid w:val="00A93472"/>
    <w:rsid w:val="00A938A1"/>
    <w:rsid w:val="00A93E44"/>
    <w:rsid w:val="00A95960"/>
    <w:rsid w:val="00A95EF4"/>
    <w:rsid w:val="00A97140"/>
    <w:rsid w:val="00AA0398"/>
    <w:rsid w:val="00AA0435"/>
    <w:rsid w:val="00AA05C3"/>
    <w:rsid w:val="00AA1322"/>
    <w:rsid w:val="00AA17EC"/>
    <w:rsid w:val="00AA1D22"/>
    <w:rsid w:val="00AA1F2E"/>
    <w:rsid w:val="00AA2722"/>
    <w:rsid w:val="00AA3606"/>
    <w:rsid w:val="00AA3782"/>
    <w:rsid w:val="00AA38B3"/>
    <w:rsid w:val="00AA3ADB"/>
    <w:rsid w:val="00AA3BF8"/>
    <w:rsid w:val="00AA406A"/>
    <w:rsid w:val="00AA51F9"/>
    <w:rsid w:val="00AA52E0"/>
    <w:rsid w:val="00AA5775"/>
    <w:rsid w:val="00AA59B4"/>
    <w:rsid w:val="00AA5F60"/>
    <w:rsid w:val="00AA61F5"/>
    <w:rsid w:val="00AA6662"/>
    <w:rsid w:val="00AA713C"/>
    <w:rsid w:val="00AA770C"/>
    <w:rsid w:val="00AA7BEB"/>
    <w:rsid w:val="00AB079A"/>
    <w:rsid w:val="00AB184C"/>
    <w:rsid w:val="00AB18CE"/>
    <w:rsid w:val="00AB1BA2"/>
    <w:rsid w:val="00AB2225"/>
    <w:rsid w:val="00AB228E"/>
    <w:rsid w:val="00AB398B"/>
    <w:rsid w:val="00AB4852"/>
    <w:rsid w:val="00AB4EC3"/>
    <w:rsid w:val="00AB56F3"/>
    <w:rsid w:val="00AB5724"/>
    <w:rsid w:val="00AB611A"/>
    <w:rsid w:val="00AB68EE"/>
    <w:rsid w:val="00AB6941"/>
    <w:rsid w:val="00AB6F7D"/>
    <w:rsid w:val="00AB738A"/>
    <w:rsid w:val="00AB7B79"/>
    <w:rsid w:val="00AB7D72"/>
    <w:rsid w:val="00AC01F0"/>
    <w:rsid w:val="00AC03A1"/>
    <w:rsid w:val="00AC05D2"/>
    <w:rsid w:val="00AC0889"/>
    <w:rsid w:val="00AC0D3F"/>
    <w:rsid w:val="00AC1762"/>
    <w:rsid w:val="00AC17F7"/>
    <w:rsid w:val="00AC1D02"/>
    <w:rsid w:val="00AC1F7C"/>
    <w:rsid w:val="00AC209D"/>
    <w:rsid w:val="00AC28B5"/>
    <w:rsid w:val="00AC28D6"/>
    <w:rsid w:val="00AC34A4"/>
    <w:rsid w:val="00AC3A03"/>
    <w:rsid w:val="00AC3BC4"/>
    <w:rsid w:val="00AC4386"/>
    <w:rsid w:val="00AC5675"/>
    <w:rsid w:val="00AC5D9D"/>
    <w:rsid w:val="00AC5E66"/>
    <w:rsid w:val="00AC6324"/>
    <w:rsid w:val="00AC64CD"/>
    <w:rsid w:val="00AC6B30"/>
    <w:rsid w:val="00AC701F"/>
    <w:rsid w:val="00AC72EC"/>
    <w:rsid w:val="00AC7768"/>
    <w:rsid w:val="00AC777F"/>
    <w:rsid w:val="00AC7B89"/>
    <w:rsid w:val="00AC7C1D"/>
    <w:rsid w:val="00AD01A7"/>
    <w:rsid w:val="00AD0281"/>
    <w:rsid w:val="00AD0838"/>
    <w:rsid w:val="00AD08A6"/>
    <w:rsid w:val="00AD1AE4"/>
    <w:rsid w:val="00AD30EA"/>
    <w:rsid w:val="00AD317A"/>
    <w:rsid w:val="00AD3976"/>
    <w:rsid w:val="00AD3AB7"/>
    <w:rsid w:val="00AD3C29"/>
    <w:rsid w:val="00AD3D02"/>
    <w:rsid w:val="00AD4032"/>
    <w:rsid w:val="00AD438F"/>
    <w:rsid w:val="00AD4706"/>
    <w:rsid w:val="00AD4EE3"/>
    <w:rsid w:val="00AD5AE3"/>
    <w:rsid w:val="00AD5C0D"/>
    <w:rsid w:val="00AD61F5"/>
    <w:rsid w:val="00AD661A"/>
    <w:rsid w:val="00AD6893"/>
    <w:rsid w:val="00AD75FD"/>
    <w:rsid w:val="00AD76D3"/>
    <w:rsid w:val="00AE0592"/>
    <w:rsid w:val="00AE085C"/>
    <w:rsid w:val="00AE18E3"/>
    <w:rsid w:val="00AE1BC6"/>
    <w:rsid w:val="00AE2D9F"/>
    <w:rsid w:val="00AE3519"/>
    <w:rsid w:val="00AE4C15"/>
    <w:rsid w:val="00AE526D"/>
    <w:rsid w:val="00AE5377"/>
    <w:rsid w:val="00AE5729"/>
    <w:rsid w:val="00AE7E50"/>
    <w:rsid w:val="00AF04EE"/>
    <w:rsid w:val="00AF1041"/>
    <w:rsid w:val="00AF12AC"/>
    <w:rsid w:val="00AF16D9"/>
    <w:rsid w:val="00AF1A2D"/>
    <w:rsid w:val="00AF2C1B"/>
    <w:rsid w:val="00AF3D99"/>
    <w:rsid w:val="00AF44C2"/>
    <w:rsid w:val="00AF54E7"/>
    <w:rsid w:val="00AF6F89"/>
    <w:rsid w:val="00AF791A"/>
    <w:rsid w:val="00AF7B65"/>
    <w:rsid w:val="00B002A2"/>
    <w:rsid w:val="00B00D35"/>
    <w:rsid w:val="00B00FFB"/>
    <w:rsid w:val="00B01084"/>
    <w:rsid w:val="00B014DC"/>
    <w:rsid w:val="00B01B41"/>
    <w:rsid w:val="00B01BD5"/>
    <w:rsid w:val="00B01D5D"/>
    <w:rsid w:val="00B01D8B"/>
    <w:rsid w:val="00B01F17"/>
    <w:rsid w:val="00B0203C"/>
    <w:rsid w:val="00B02504"/>
    <w:rsid w:val="00B02648"/>
    <w:rsid w:val="00B0340B"/>
    <w:rsid w:val="00B035C5"/>
    <w:rsid w:val="00B03C4C"/>
    <w:rsid w:val="00B03C6F"/>
    <w:rsid w:val="00B03CCD"/>
    <w:rsid w:val="00B04260"/>
    <w:rsid w:val="00B042DD"/>
    <w:rsid w:val="00B04625"/>
    <w:rsid w:val="00B048D3"/>
    <w:rsid w:val="00B058C8"/>
    <w:rsid w:val="00B059FA"/>
    <w:rsid w:val="00B0614E"/>
    <w:rsid w:val="00B068BA"/>
    <w:rsid w:val="00B06FCB"/>
    <w:rsid w:val="00B11E51"/>
    <w:rsid w:val="00B122A5"/>
    <w:rsid w:val="00B12570"/>
    <w:rsid w:val="00B1271C"/>
    <w:rsid w:val="00B12983"/>
    <w:rsid w:val="00B14580"/>
    <w:rsid w:val="00B14748"/>
    <w:rsid w:val="00B14C87"/>
    <w:rsid w:val="00B16A54"/>
    <w:rsid w:val="00B171CE"/>
    <w:rsid w:val="00B17E90"/>
    <w:rsid w:val="00B17EB5"/>
    <w:rsid w:val="00B20548"/>
    <w:rsid w:val="00B207CE"/>
    <w:rsid w:val="00B21204"/>
    <w:rsid w:val="00B21D4F"/>
    <w:rsid w:val="00B2246F"/>
    <w:rsid w:val="00B23100"/>
    <w:rsid w:val="00B232FE"/>
    <w:rsid w:val="00B2576E"/>
    <w:rsid w:val="00B2590C"/>
    <w:rsid w:val="00B25F07"/>
    <w:rsid w:val="00B26A87"/>
    <w:rsid w:val="00B27046"/>
    <w:rsid w:val="00B273AB"/>
    <w:rsid w:val="00B27F1B"/>
    <w:rsid w:val="00B30149"/>
    <w:rsid w:val="00B31186"/>
    <w:rsid w:val="00B3166A"/>
    <w:rsid w:val="00B31CDA"/>
    <w:rsid w:val="00B31FE7"/>
    <w:rsid w:val="00B32D39"/>
    <w:rsid w:val="00B32EF5"/>
    <w:rsid w:val="00B3312F"/>
    <w:rsid w:val="00B342C1"/>
    <w:rsid w:val="00B34385"/>
    <w:rsid w:val="00B344B7"/>
    <w:rsid w:val="00B348D5"/>
    <w:rsid w:val="00B34F2C"/>
    <w:rsid w:val="00B3507C"/>
    <w:rsid w:val="00B351FF"/>
    <w:rsid w:val="00B35E87"/>
    <w:rsid w:val="00B36042"/>
    <w:rsid w:val="00B36DAD"/>
    <w:rsid w:val="00B36DE2"/>
    <w:rsid w:val="00B378C2"/>
    <w:rsid w:val="00B37D4D"/>
    <w:rsid w:val="00B407F5"/>
    <w:rsid w:val="00B4126A"/>
    <w:rsid w:val="00B41B69"/>
    <w:rsid w:val="00B420E9"/>
    <w:rsid w:val="00B427FF"/>
    <w:rsid w:val="00B428D4"/>
    <w:rsid w:val="00B42AF9"/>
    <w:rsid w:val="00B4307B"/>
    <w:rsid w:val="00B43500"/>
    <w:rsid w:val="00B43821"/>
    <w:rsid w:val="00B44042"/>
    <w:rsid w:val="00B44DE4"/>
    <w:rsid w:val="00B4538A"/>
    <w:rsid w:val="00B453C2"/>
    <w:rsid w:val="00B45575"/>
    <w:rsid w:val="00B45ADA"/>
    <w:rsid w:val="00B45EFB"/>
    <w:rsid w:val="00B466B6"/>
    <w:rsid w:val="00B46D5E"/>
    <w:rsid w:val="00B46DCD"/>
    <w:rsid w:val="00B471BA"/>
    <w:rsid w:val="00B4726F"/>
    <w:rsid w:val="00B472AA"/>
    <w:rsid w:val="00B4747C"/>
    <w:rsid w:val="00B47C5C"/>
    <w:rsid w:val="00B50217"/>
    <w:rsid w:val="00B507C1"/>
    <w:rsid w:val="00B507E9"/>
    <w:rsid w:val="00B50C84"/>
    <w:rsid w:val="00B50DD3"/>
    <w:rsid w:val="00B51307"/>
    <w:rsid w:val="00B513A7"/>
    <w:rsid w:val="00B51581"/>
    <w:rsid w:val="00B519FC"/>
    <w:rsid w:val="00B52E10"/>
    <w:rsid w:val="00B53D08"/>
    <w:rsid w:val="00B53EC2"/>
    <w:rsid w:val="00B542FC"/>
    <w:rsid w:val="00B547D4"/>
    <w:rsid w:val="00B54865"/>
    <w:rsid w:val="00B54E51"/>
    <w:rsid w:val="00B550D4"/>
    <w:rsid w:val="00B55677"/>
    <w:rsid w:val="00B55AD4"/>
    <w:rsid w:val="00B5680C"/>
    <w:rsid w:val="00B56B14"/>
    <w:rsid w:val="00B56F5C"/>
    <w:rsid w:val="00B57873"/>
    <w:rsid w:val="00B5790F"/>
    <w:rsid w:val="00B604FB"/>
    <w:rsid w:val="00B6071E"/>
    <w:rsid w:val="00B61C98"/>
    <w:rsid w:val="00B62081"/>
    <w:rsid w:val="00B62494"/>
    <w:rsid w:val="00B62559"/>
    <w:rsid w:val="00B63E1F"/>
    <w:rsid w:val="00B64CC3"/>
    <w:rsid w:val="00B66288"/>
    <w:rsid w:val="00B66F15"/>
    <w:rsid w:val="00B67581"/>
    <w:rsid w:val="00B6795F"/>
    <w:rsid w:val="00B729DE"/>
    <w:rsid w:val="00B733DA"/>
    <w:rsid w:val="00B7370E"/>
    <w:rsid w:val="00B73DB1"/>
    <w:rsid w:val="00B753C5"/>
    <w:rsid w:val="00B75A53"/>
    <w:rsid w:val="00B75D9E"/>
    <w:rsid w:val="00B75E86"/>
    <w:rsid w:val="00B75F31"/>
    <w:rsid w:val="00B77018"/>
    <w:rsid w:val="00B7706D"/>
    <w:rsid w:val="00B77270"/>
    <w:rsid w:val="00B77999"/>
    <w:rsid w:val="00B80168"/>
    <w:rsid w:val="00B80651"/>
    <w:rsid w:val="00B80721"/>
    <w:rsid w:val="00B8082C"/>
    <w:rsid w:val="00B80AC5"/>
    <w:rsid w:val="00B80E44"/>
    <w:rsid w:val="00B8151C"/>
    <w:rsid w:val="00B81BBB"/>
    <w:rsid w:val="00B81C10"/>
    <w:rsid w:val="00B821B0"/>
    <w:rsid w:val="00B823ED"/>
    <w:rsid w:val="00B8245E"/>
    <w:rsid w:val="00B838F0"/>
    <w:rsid w:val="00B83CDB"/>
    <w:rsid w:val="00B83EE0"/>
    <w:rsid w:val="00B856DF"/>
    <w:rsid w:val="00B86359"/>
    <w:rsid w:val="00B8734D"/>
    <w:rsid w:val="00B87E36"/>
    <w:rsid w:val="00B90061"/>
    <w:rsid w:val="00B90743"/>
    <w:rsid w:val="00B9157C"/>
    <w:rsid w:val="00B91B27"/>
    <w:rsid w:val="00B91BAE"/>
    <w:rsid w:val="00B91EE9"/>
    <w:rsid w:val="00B92771"/>
    <w:rsid w:val="00B943BE"/>
    <w:rsid w:val="00B94798"/>
    <w:rsid w:val="00B94F01"/>
    <w:rsid w:val="00B95104"/>
    <w:rsid w:val="00B956E9"/>
    <w:rsid w:val="00B95CF9"/>
    <w:rsid w:val="00B969D9"/>
    <w:rsid w:val="00B96A34"/>
    <w:rsid w:val="00B974E3"/>
    <w:rsid w:val="00B975C8"/>
    <w:rsid w:val="00BA04A2"/>
    <w:rsid w:val="00BA14F6"/>
    <w:rsid w:val="00BA1CEA"/>
    <w:rsid w:val="00BA1F47"/>
    <w:rsid w:val="00BA223E"/>
    <w:rsid w:val="00BA2263"/>
    <w:rsid w:val="00BA3054"/>
    <w:rsid w:val="00BA3826"/>
    <w:rsid w:val="00BA3CF8"/>
    <w:rsid w:val="00BA3E8F"/>
    <w:rsid w:val="00BA4536"/>
    <w:rsid w:val="00BA48FC"/>
    <w:rsid w:val="00BA4AA3"/>
    <w:rsid w:val="00BA4BDB"/>
    <w:rsid w:val="00BA4E5B"/>
    <w:rsid w:val="00BA56BC"/>
    <w:rsid w:val="00BA5870"/>
    <w:rsid w:val="00BA624B"/>
    <w:rsid w:val="00BA6CA4"/>
    <w:rsid w:val="00BA76C2"/>
    <w:rsid w:val="00BA7840"/>
    <w:rsid w:val="00BA7D2C"/>
    <w:rsid w:val="00BA7E09"/>
    <w:rsid w:val="00BB045B"/>
    <w:rsid w:val="00BB0A20"/>
    <w:rsid w:val="00BB0B69"/>
    <w:rsid w:val="00BB2BD6"/>
    <w:rsid w:val="00BB316F"/>
    <w:rsid w:val="00BB37A2"/>
    <w:rsid w:val="00BB3FD7"/>
    <w:rsid w:val="00BB4773"/>
    <w:rsid w:val="00BB478F"/>
    <w:rsid w:val="00BB4F89"/>
    <w:rsid w:val="00BB4FB6"/>
    <w:rsid w:val="00BB57E4"/>
    <w:rsid w:val="00BB5886"/>
    <w:rsid w:val="00BB59AB"/>
    <w:rsid w:val="00BB5AA8"/>
    <w:rsid w:val="00BB5E0F"/>
    <w:rsid w:val="00BB6205"/>
    <w:rsid w:val="00BB6908"/>
    <w:rsid w:val="00BB6918"/>
    <w:rsid w:val="00BB77B8"/>
    <w:rsid w:val="00BC016E"/>
    <w:rsid w:val="00BC1769"/>
    <w:rsid w:val="00BC1AE8"/>
    <w:rsid w:val="00BC1EDA"/>
    <w:rsid w:val="00BC2B82"/>
    <w:rsid w:val="00BC382A"/>
    <w:rsid w:val="00BC436E"/>
    <w:rsid w:val="00BC45F2"/>
    <w:rsid w:val="00BC5620"/>
    <w:rsid w:val="00BC620E"/>
    <w:rsid w:val="00BC6B98"/>
    <w:rsid w:val="00BC6E75"/>
    <w:rsid w:val="00BC6FF6"/>
    <w:rsid w:val="00BC7E25"/>
    <w:rsid w:val="00BD02DF"/>
    <w:rsid w:val="00BD13FE"/>
    <w:rsid w:val="00BD1A98"/>
    <w:rsid w:val="00BD1C11"/>
    <w:rsid w:val="00BD1FF2"/>
    <w:rsid w:val="00BD2BB0"/>
    <w:rsid w:val="00BD37B0"/>
    <w:rsid w:val="00BD3D86"/>
    <w:rsid w:val="00BD3E3B"/>
    <w:rsid w:val="00BD4199"/>
    <w:rsid w:val="00BD524E"/>
    <w:rsid w:val="00BD5BC3"/>
    <w:rsid w:val="00BD5E17"/>
    <w:rsid w:val="00BD6187"/>
    <w:rsid w:val="00BD6597"/>
    <w:rsid w:val="00BD6911"/>
    <w:rsid w:val="00BD6C51"/>
    <w:rsid w:val="00BD7104"/>
    <w:rsid w:val="00BD7456"/>
    <w:rsid w:val="00BD746F"/>
    <w:rsid w:val="00BD7ACC"/>
    <w:rsid w:val="00BE1515"/>
    <w:rsid w:val="00BE1EC1"/>
    <w:rsid w:val="00BE235F"/>
    <w:rsid w:val="00BE2576"/>
    <w:rsid w:val="00BE2845"/>
    <w:rsid w:val="00BE2F80"/>
    <w:rsid w:val="00BE397C"/>
    <w:rsid w:val="00BE3B84"/>
    <w:rsid w:val="00BE3DDE"/>
    <w:rsid w:val="00BE488B"/>
    <w:rsid w:val="00BE4AF1"/>
    <w:rsid w:val="00BE6382"/>
    <w:rsid w:val="00BE63E4"/>
    <w:rsid w:val="00BE64D5"/>
    <w:rsid w:val="00BE6848"/>
    <w:rsid w:val="00BE685A"/>
    <w:rsid w:val="00BE74FC"/>
    <w:rsid w:val="00BE7B71"/>
    <w:rsid w:val="00BE7F74"/>
    <w:rsid w:val="00BF0A75"/>
    <w:rsid w:val="00BF0E3D"/>
    <w:rsid w:val="00BF0E9D"/>
    <w:rsid w:val="00BF0EEB"/>
    <w:rsid w:val="00BF0F62"/>
    <w:rsid w:val="00BF12DB"/>
    <w:rsid w:val="00BF2262"/>
    <w:rsid w:val="00BF2380"/>
    <w:rsid w:val="00BF28A1"/>
    <w:rsid w:val="00BF4753"/>
    <w:rsid w:val="00BF4B17"/>
    <w:rsid w:val="00BF53BF"/>
    <w:rsid w:val="00BF618E"/>
    <w:rsid w:val="00C0081D"/>
    <w:rsid w:val="00C00958"/>
    <w:rsid w:val="00C01D35"/>
    <w:rsid w:val="00C0284A"/>
    <w:rsid w:val="00C02F15"/>
    <w:rsid w:val="00C030E0"/>
    <w:rsid w:val="00C0399B"/>
    <w:rsid w:val="00C03B06"/>
    <w:rsid w:val="00C03B8C"/>
    <w:rsid w:val="00C03D65"/>
    <w:rsid w:val="00C03DCC"/>
    <w:rsid w:val="00C03E2A"/>
    <w:rsid w:val="00C04DEF"/>
    <w:rsid w:val="00C05804"/>
    <w:rsid w:val="00C05D8C"/>
    <w:rsid w:val="00C062B5"/>
    <w:rsid w:val="00C075FE"/>
    <w:rsid w:val="00C07B7E"/>
    <w:rsid w:val="00C07D5D"/>
    <w:rsid w:val="00C07E12"/>
    <w:rsid w:val="00C107DB"/>
    <w:rsid w:val="00C10ABB"/>
    <w:rsid w:val="00C1151A"/>
    <w:rsid w:val="00C126DE"/>
    <w:rsid w:val="00C1290C"/>
    <w:rsid w:val="00C12A24"/>
    <w:rsid w:val="00C12AAB"/>
    <w:rsid w:val="00C130DD"/>
    <w:rsid w:val="00C1326B"/>
    <w:rsid w:val="00C1342C"/>
    <w:rsid w:val="00C135E6"/>
    <w:rsid w:val="00C13F66"/>
    <w:rsid w:val="00C14986"/>
    <w:rsid w:val="00C149C0"/>
    <w:rsid w:val="00C14FA4"/>
    <w:rsid w:val="00C15261"/>
    <w:rsid w:val="00C156CE"/>
    <w:rsid w:val="00C15774"/>
    <w:rsid w:val="00C15D99"/>
    <w:rsid w:val="00C162E3"/>
    <w:rsid w:val="00C16313"/>
    <w:rsid w:val="00C16CCB"/>
    <w:rsid w:val="00C20B48"/>
    <w:rsid w:val="00C21117"/>
    <w:rsid w:val="00C213C4"/>
    <w:rsid w:val="00C21A96"/>
    <w:rsid w:val="00C22028"/>
    <w:rsid w:val="00C220AF"/>
    <w:rsid w:val="00C22831"/>
    <w:rsid w:val="00C23428"/>
    <w:rsid w:val="00C23F74"/>
    <w:rsid w:val="00C2481C"/>
    <w:rsid w:val="00C2538D"/>
    <w:rsid w:val="00C260D1"/>
    <w:rsid w:val="00C27033"/>
    <w:rsid w:val="00C2780D"/>
    <w:rsid w:val="00C302E0"/>
    <w:rsid w:val="00C30A1A"/>
    <w:rsid w:val="00C31195"/>
    <w:rsid w:val="00C31289"/>
    <w:rsid w:val="00C327AB"/>
    <w:rsid w:val="00C3314F"/>
    <w:rsid w:val="00C336A0"/>
    <w:rsid w:val="00C33E97"/>
    <w:rsid w:val="00C3403D"/>
    <w:rsid w:val="00C34B3B"/>
    <w:rsid w:val="00C34FD2"/>
    <w:rsid w:val="00C353D9"/>
    <w:rsid w:val="00C3562E"/>
    <w:rsid w:val="00C357C0"/>
    <w:rsid w:val="00C363B0"/>
    <w:rsid w:val="00C36540"/>
    <w:rsid w:val="00C3663C"/>
    <w:rsid w:val="00C36FD9"/>
    <w:rsid w:val="00C3743A"/>
    <w:rsid w:val="00C37ABC"/>
    <w:rsid w:val="00C37BE7"/>
    <w:rsid w:val="00C40312"/>
    <w:rsid w:val="00C407F0"/>
    <w:rsid w:val="00C4153B"/>
    <w:rsid w:val="00C41807"/>
    <w:rsid w:val="00C42BFA"/>
    <w:rsid w:val="00C430FE"/>
    <w:rsid w:val="00C4387D"/>
    <w:rsid w:val="00C44363"/>
    <w:rsid w:val="00C45259"/>
    <w:rsid w:val="00C4593D"/>
    <w:rsid w:val="00C4599D"/>
    <w:rsid w:val="00C45BAA"/>
    <w:rsid w:val="00C45D84"/>
    <w:rsid w:val="00C46370"/>
    <w:rsid w:val="00C46D52"/>
    <w:rsid w:val="00C46F3A"/>
    <w:rsid w:val="00C47051"/>
    <w:rsid w:val="00C4790C"/>
    <w:rsid w:val="00C47AEC"/>
    <w:rsid w:val="00C50090"/>
    <w:rsid w:val="00C50366"/>
    <w:rsid w:val="00C51598"/>
    <w:rsid w:val="00C516A2"/>
    <w:rsid w:val="00C5185E"/>
    <w:rsid w:val="00C51B28"/>
    <w:rsid w:val="00C51E49"/>
    <w:rsid w:val="00C530C1"/>
    <w:rsid w:val="00C53217"/>
    <w:rsid w:val="00C53984"/>
    <w:rsid w:val="00C54A66"/>
    <w:rsid w:val="00C54F30"/>
    <w:rsid w:val="00C556E3"/>
    <w:rsid w:val="00C56749"/>
    <w:rsid w:val="00C5689D"/>
    <w:rsid w:val="00C56975"/>
    <w:rsid w:val="00C572EC"/>
    <w:rsid w:val="00C607FD"/>
    <w:rsid w:val="00C61A97"/>
    <w:rsid w:val="00C62248"/>
    <w:rsid w:val="00C62AAF"/>
    <w:rsid w:val="00C63CAA"/>
    <w:rsid w:val="00C64292"/>
    <w:rsid w:val="00C64BB0"/>
    <w:rsid w:val="00C650CC"/>
    <w:rsid w:val="00C653BE"/>
    <w:rsid w:val="00C653FC"/>
    <w:rsid w:val="00C65645"/>
    <w:rsid w:val="00C6573B"/>
    <w:rsid w:val="00C65959"/>
    <w:rsid w:val="00C6638D"/>
    <w:rsid w:val="00C6679E"/>
    <w:rsid w:val="00C6775A"/>
    <w:rsid w:val="00C70691"/>
    <w:rsid w:val="00C70C37"/>
    <w:rsid w:val="00C70D0B"/>
    <w:rsid w:val="00C70E1B"/>
    <w:rsid w:val="00C710C7"/>
    <w:rsid w:val="00C710DC"/>
    <w:rsid w:val="00C71626"/>
    <w:rsid w:val="00C71C12"/>
    <w:rsid w:val="00C72199"/>
    <w:rsid w:val="00C7355E"/>
    <w:rsid w:val="00C73654"/>
    <w:rsid w:val="00C73AB0"/>
    <w:rsid w:val="00C73DA0"/>
    <w:rsid w:val="00C74CA0"/>
    <w:rsid w:val="00C75A97"/>
    <w:rsid w:val="00C75FFF"/>
    <w:rsid w:val="00C7680B"/>
    <w:rsid w:val="00C773D6"/>
    <w:rsid w:val="00C77CF6"/>
    <w:rsid w:val="00C77DCF"/>
    <w:rsid w:val="00C77E32"/>
    <w:rsid w:val="00C80262"/>
    <w:rsid w:val="00C813B8"/>
    <w:rsid w:val="00C81B8F"/>
    <w:rsid w:val="00C81F91"/>
    <w:rsid w:val="00C82504"/>
    <w:rsid w:val="00C826D8"/>
    <w:rsid w:val="00C8356A"/>
    <w:rsid w:val="00C838ED"/>
    <w:rsid w:val="00C83EF1"/>
    <w:rsid w:val="00C841F8"/>
    <w:rsid w:val="00C84341"/>
    <w:rsid w:val="00C84A7D"/>
    <w:rsid w:val="00C84D8D"/>
    <w:rsid w:val="00C84E6A"/>
    <w:rsid w:val="00C85401"/>
    <w:rsid w:val="00C85561"/>
    <w:rsid w:val="00C86245"/>
    <w:rsid w:val="00C86B0C"/>
    <w:rsid w:val="00C90E15"/>
    <w:rsid w:val="00C9142E"/>
    <w:rsid w:val="00C91719"/>
    <w:rsid w:val="00C92144"/>
    <w:rsid w:val="00C9228B"/>
    <w:rsid w:val="00C92412"/>
    <w:rsid w:val="00C925B1"/>
    <w:rsid w:val="00C9270C"/>
    <w:rsid w:val="00C92AB9"/>
    <w:rsid w:val="00C92ECA"/>
    <w:rsid w:val="00C9356B"/>
    <w:rsid w:val="00C936EE"/>
    <w:rsid w:val="00C9477E"/>
    <w:rsid w:val="00C952AB"/>
    <w:rsid w:val="00C960BD"/>
    <w:rsid w:val="00C96539"/>
    <w:rsid w:val="00C96FFB"/>
    <w:rsid w:val="00C9721F"/>
    <w:rsid w:val="00C97FEE"/>
    <w:rsid w:val="00CA0135"/>
    <w:rsid w:val="00CA0634"/>
    <w:rsid w:val="00CA1105"/>
    <w:rsid w:val="00CA1115"/>
    <w:rsid w:val="00CA1255"/>
    <w:rsid w:val="00CA165B"/>
    <w:rsid w:val="00CA192A"/>
    <w:rsid w:val="00CA2017"/>
    <w:rsid w:val="00CA2497"/>
    <w:rsid w:val="00CA3012"/>
    <w:rsid w:val="00CA30B6"/>
    <w:rsid w:val="00CA3394"/>
    <w:rsid w:val="00CA3837"/>
    <w:rsid w:val="00CA402C"/>
    <w:rsid w:val="00CA4CFA"/>
    <w:rsid w:val="00CA4FBF"/>
    <w:rsid w:val="00CA6ADC"/>
    <w:rsid w:val="00CA7586"/>
    <w:rsid w:val="00CA77AA"/>
    <w:rsid w:val="00CA77BC"/>
    <w:rsid w:val="00CB0765"/>
    <w:rsid w:val="00CB1A6F"/>
    <w:rsid w:val="00CB2208"/>
    <w:rsid w:val="00CB2C5C"/>
    <w:rsid w:val="00CB2E81"/>
    <w:rsid w:val="00CB327B"/>
    <w:rsid w:val="00CB378F"/>
    <w:rsid w:val="00CB3C28"/>
    <w:rsid w:val="00CB461F"/>
    <w:rsid w:val="00CB55BC"/>
    <w:rsid w:val="00CB5A55"/>
    <w:rsid w:val="00CB60F8"/>
    <w:rsid w:val="00CB7432"/>
    <w:rsid w:val="00CB7CA3"/>
    <w:rsid w:val="00CB7D0A"/>
    <w:rsid w:val="00CC0C6E"/>
    <w:rsid w:val="00CC1295"/>
    <w:rsid w:val="00CC1B52"/>
    <w:rsid w:val="00CC1D00"/>
    <w:rsid w:val="00CC40FC"/>
    <w:rsid w:val="00CC442E"/>
    <w:rsid w:val="00CC4A56"/>
    <w:rsid w:val="00CC638D"/>
    <w:rsid w:val="00CC7124"/>
    <w:rsid w:val="00CC7F9C"/>
    <w:rsid w:val="00CC7FE5"/>
    <w:rsid w:val="00CD0671"/>
    <w:rsid w:val="00CD12AB"/>
    <w:rsid w:val="00CD1791"/>
    <w:rsid w:val="00CD18DB"/>
    <w:rsid w:val="00CD32A1"/>
    <w:rsid w:val="00CD357D"/>
    <w:rsid w:val="00CD3AE4"/>
    <w:rsid w:val="00CD43BF"/>
    <w:rsid w:val="00CD4863"/>
    <w:rsid w:val="00CD49F1"/>
    <w:rsid w:val="00CD5C2A"/>
    <w:rsid w:val="00CD69D7"/>
    <w:rsid w:val="00CE08A5"/>
    <w:rsid w:val="00CE09EF"/>
    <w:rsid w:val="00CE1650"/>
    <w:rsid w:val="00CE1A03"/>
    <w:rsid w:val="00CE2678"/>
    <w:rsid w:val="00CE2760"/>
    <w:rsid w:val="00CE2A5C"/>
    <w:rsid w:val="00CE2AB6"/>
    <w:rsid w:val="00CE2AE7"/>
    <w:rsid w:val="00CE2FDC"/>
    <w:rsid w:val="00CE3CE9"/>
    <w:rsid w:val="00CE4B81"/>
    <w:rsid w:val="00CE4C53"/>
    <w:rsid w:val="00CE546B"/>
    <w:rsid w:val="00CE590B"/>
    <w:rsid w:val="00CE7473"/>
    <w:rsid w:val="00CE7BDA"/>
    <w:rsid w:val="00CE7E95"/>
    <w:rsid w:val="00CF0217"/>
    <w:rsid w:val="00CF04B7"/>
    <w:rsid w:val="00CF0A9A"/>
    <w:rsid w:val="00CF0EB8"/>
    <w:rsid w:val="00CF1C2D"/>
    <w:rsid w:val="00CF1F65"/>
    <w:rsid w:val="00CF2684"/>
    <w:rsid w:val="00CF2770"/>
    <w:rsid w:val="00CF29FB"/>
    <w:rsid w:val="00CF2E28"/>
    <w:rsid w:val="00CF3000"/>
    <w:rsid w:val="00CF3BCF"/>
    <w:rsid w:val="00CF3BF1"/>
    <w:rsid w:val="00CF41C2"/>
    <w:rsid w:val="00CF437B"/>
    <w:rsid w:val="00CF45D0"/>
    <w:rsid w:val="00CF49F3"/>
    <w:rsid w:val="00CF5031"/>
    <w:rsid w:val="00CF573C"/>
    <w:rsid w:val="00CF5A9E"/>
    <w:rsid w:val="00CF65FC"/>
    <w:rsid w:val="00CF6B4F"/>
    <w:rsid w:val="00CF7274"/>
    <w:rsid w:val="00D005CA"/>
    <w:rsid w:val="00D00700"/>
    <w:rsid w:val="00D00932"/>
    <w:rsid w:val="00D01F98"/>
    <w:rsid w:val="00D02953"/>
    <w:rsid w:val="00D03EFC"/>
    <w:rsid w:val="00D0470B"/>
    <w:rsid w:val="00D04790"/>
    <w:rsid w:val="00D04945"/>
    <w:rsid w:val="00D04DEE"/>
    <w:rsid w:val="00D05295"/>
    <w:rsid w:val="00D07A21"/>
    <w:rsid w:val="00D07A24"/>
    <w:rsid w:val="00D07D18"/>
    <w:rsid w:val="00D1025F"/>
    <w:rsid w:val="00D10B0A"/>
    <w:rsid w:val="00D1152D"/>
    <w:rsid w:val="00D115B2"/>
    <w:rsid w:val="00D119D8"/>
    <w:rsid w:val="00D11C03"/>
    <w:rsid w:val="00D11ECC"/>
    <w:rsid w:val="00D133CB"/>
    <w:rsid w:val="00D14158"/>
    <w:rsid w:val="00D14F30"/>
    <w:rsid w:val="00D15338"/>
    <w:rsid w:val="00D15EC8"/>
    <w:rsid w:val="00D16934"/>
    <w:rsid w:val="00D16F63"/>
    <w:rsid w:val="00D1719D"/>
    <w:rsid w:val="00D171D0"/>
    <w:rsid w:val="00D172E9"/>
    <w:rsid w:val="00D1788E"/>
    <w:rsid w:val="00D202E0"/>
    <w:rsid w:val="00D20A1D"/>
    <w:rsid w:val="00D21699"/>
    <w:rsid w:val="00D21793"/>
    <w:rsid w:val="00D21DA4"/>
    <w:rsid w:val="00D2211A"/>
    <w:rsid w:val="00D23D19"/>
    <w:rsid w:val="00D24B55"/>
    <w:rsid w:val="00D24C20"/>
    <w:rsid w:val="00D25085"/>
    <w:rsid w:val="00D253B2"/>
    <w:rsid w:val="00D253D0"/>
    <w:rsid w:val="00D2549B"/>
    <w:rsid w:val="00D2581B"/>
    <w:rsid w:val="00D26305"/>
    <w:rsid w:val="00D267B0"/>
    <w:rsid w:val="00D3068A"/>
    <w:rsid w:val="00D30CF1"/>
    <w:rsid w:val="00D31557"/>
    <w:rsid w:val="00D315DC"/>
    <w:rsid w:val="00D31CA1"/>
    <w:rsid w:val="00D32EC4"/>
    <w:rsid w:val="00D32F92"/>
    <w:rsid w:val="00D3332C"/>
    <w:rsid w:val="00D3390F"/>
    <w:rsid w:val="00D341FE"/>
    <w:rsid w:val="00D3420E"/>
    <w:rsid w:val="00D34490"/>
    <w:rsid w:val="00D35ABB"/>
    <w:rsid w:val="00D360B4"/>
    <w:rsid w:val="00D361D7"/>
    <w:rsid w:val="00D364AF"/>
    <w:rsid w:val="00D36A65"/>
    <w:rsid w:val="00D37CF6"/>
    <w:rsid w:val="00D37E16"/>
    <w:rsid w:val="00D37FB3"/>
    <w:rsid w:val="00D403C7"/>
    <w:rsid w:val="00D4087B"/>
    <w:rsid w:val="00D420A1"/>
    <w:rsid w:val="00D42C27"/>
    <w:rsid w:val="00D42D29"/>
    <w:rsid w:val="00D43080"/>
    <w:rsid w:val="00D43D3C"/>
    <w:rsid w:val="00D443F9"/>
    <w:rsid w:val="00D44459"/>
    <w:rsid w:val="00D444D6"/>
    <w:rsid w:val="00D4458D"/>
    <w:rsid w:val="00D449ED"/>
    <w:rsid w:val="00D449EE"/>
    <w:rsid w:val="00D45659"/>
    <w:rsid w:val="00D456C5"/>
    <w:rsid w:val="00D45A2C"/>
    <w:rsid w:val="00D45BBC"/>
    <w:rsid w:val="00D45C63"/>
    <w:rsid w:val="00D45D52"/>
    <w:rsid w:val="00D464F2"/>
    <w:rsid w:val="00D477A8"/>
    <w:rsid w:val="00D47D7C"/>
    <w:rsid w:val="00D50222"/>
    <w:rsid w:val="00D50A5F"/>
    <w:rsid w:val="00D50B4A"/>
    <w:rsid w:val="00D52420"/>
    <w:rsid w:val="00D52ACF"/>
    <w:rsid w:val="00D52B34"/>
    <w:rsid w:val="00D53420"/>
    <w:rsid w:val="00D539E7"/>
    <w:rsid w:val="00D53E6E"/>
    <w:rsid w:val="00D548AB"/>
    <w:rsid w:val="00D54CEE"/>
    <w:rsid w:val="00D54D9E"/>
    <w:rsid w:val="00D557E1"/>
    <w:rsid w:val="00D559DE"/>
    <w:rsid w:val="00D56056"/>
    <w:rsid w:val="00D5661A"/>
    <w:rsid w:val="00D56B45"/>
    <w:rsid w:val="00D56F6E"/>
    <w:rsid w:val="00D57A8E"/>
    <w:rsid w:val="00D57B83"/>
    <w:rsid w:val="00D57ED3"/>
    <w:rsid w:val="00D57FDD"/>
    <w:rsid w:val="00D60758"/>
    <w:rsid w:val="00D60776"/>
    <w:rsid w:val="00D60CC2"/>
    <w:rsid w:val="00D61F40"/>
    <w:rsid w:val="00D631EB"/>
    <w:rsid w:val="00D631F6"/>
    <w:rsid w:val="00D633AB"/>
    <w:rsid w:val="00D635D4"/>
    <w:rsid w:val="00D649DB"/>
    <w:rsid w:val="00D64EF3"/>
    <w:rsid w:val="00D6630F"/>
    <w:rsid w:val="00D66487"/>
    <w:rsid w:val="00D668F4"/>
    <w:rsid w:val="00D66A0C"/>
    <w:rsid w:val="00D66A0F"/>
    <w:rsid w:val="00D66A97"/>
    <w:rsid w:val="00D66CB1"/>
    <w:rsid w:val="00D67B77"/>
    <w:rsid w:val="00D67F9C"/>
    <w:rsid w:val="00D708F8"/>
    <w:rsid w:val="00D71321"/>
    <w:rsid w:val="00D7140C"/>
    <w:rsid w:val="00D7144E"/>
    <w:rsid w:val="00D71BBE"/>
    <w:rsid w:val="00D71FF6"/>
    <w:rsid w:val="00D72FB4"/>
    <w:rsid w:val="00D73503"/>
    <w:rsid w:val="00D74550"/>
    <w:rsid w:val="00D75027"/>
    <w:rsid w:val="00D7513D"/>
    <w:rsid w:val="00D769C5"/>
    <w:rsid w:val="00D76ABB"/>
    <w:rsid w:val="00D76CCC"/>
    <w:rsid w:val="00D76E5E"/>
    <w:rsid w:val="00D77437"/>
    <w:rsid w:val="00D776D3"/>
    <w:rsid w:val="00D778F5"/>
    <w:rsid w:val="00D77D88"/>
    <w:rsid w:val="00D80108"/>
    <w:rsid w:val="00D814E1"/>
    <w:rsid w:val="00D81B93"/>
    <w:rsid w:val="00D82588"/>
    <w:rsid w:val="00D82737"/>
    <w:rsid w:val="00D82DCF"/>
    <w:rsid w:val="00D8397A"/>
    <w:rsid w:val="00D8423F"/>
    <w:rsid w:val="00D845D2"/>
    <w:rsid w:val="00D846D5"/>
    <w:rsid w:val="00D8619D"/>
    <w:rsid w:val="00D864FC"/>
    <w:rsid w:val="00D86546"/>
    <w:rsid w:val="00D87AF6"/>
    <w:rsid w:val="00D87E9C"/>
    <w:rsid w:val="00D906AA"/>
    <w:rsid w:val="00D90CE9"/>
    <w:rsid w:val="00D927FA"/>
    <w:rsid w:val="00D9285B"/>
    <w:rsid w:val="00D93173"/>
    <w:rsid w:val="00D936EA"/>
    <w:rsid w:val="00D93956"/>
    <w:rsid w:val="00D93AAC"/>
    <w:rsid w:val="00D94CE1"/>
    <w:rsid w:val="00D94D2A"/>
    <w:rsid w:val="00D951B5"/>
    <w:rsid w:val="00D9556A"/>
    <w:rsid w:val="00D95C99"/>
    <w:rsid w:val="00D962B6"/>
    <w:rsid w:val="00D96E18"/>
    <w:rsid w:val="00D96EB1"/>
    <w:rsid w:val="00D970B5"/>
    <w:rsid w:val="00D974EE"/>
    <w:rsid w:val="00D97674"/>
    <w:rsid w:val="00DA0140"/>
    <w:rsid w:val="00DA038E"/>
    <w:rsid w:val="00DA09EA"/>
    <w:rsid w:val="00DA0BCE"/>
    <w:rsid w:val="00DA0C4F"/>
    <w:rsid w:val="00DA11BE"/>
    <w:rsid w:val="00DA19E3"/>
    <w:rsid w:val="00DA1F9A"/>
    <w:rsid w:val="00DA29BF"/>
    <w:rsid w:val="00DA2A13"/>
    <w:rsid w:val="00DA2D3A"/>
    <w:rsid w:val="00DA3D84"/>
    <w:rsid w:val="00DA4070"/>
    <w:rsid w:val="00DA478D"/>
    <w:rsid w:val="00DA4F7A"/>
    <w:rsid w:val="00DA4FC4"/>
    <w:rsid w:val="00DA5E4C"/>
    <w:rsid w:val="00DA6BB2"/>
    <w:rsid w:val="00DA7D41"/>
    <w:rsid w:val="00DB14C8"/>
    <w:rsid w:val="00DB1F6F"/>
    <w:rsid w:val="00DB243A"/>
    <w:rsid w:val="00DB29A3"/>
    <w:rsid w:val="00DB3021"/>
    <w:rsid w:val="00DB3403"/>
    <w:rsid w:val="00DB4264"/>
    <w:rsid w:val="00DB4BFE"/>
    <w:rsid w:val="00DB4F7F"/>
    <w:rsid w:val="00DB6B4E"/>
    <w:rsid w:val="00DB6E02"/>
    <w:rsid w:val="00DB714F"/>
    <w:rsid w:val="00DB74E0"/>
    <w:rsid w:val="00DB756D"/>
    <w:rsid w:val="00DB770D"/>
    <w:rsid w:val="00DC013C"/>
    <w:rsid w:val="00DC0D96"/>
    <w:rsid w:val="00DC15BA"/>
    <w:rsid w:val="00DC1E02"/>
    <w:rsid w:val="00DC2399"/>
    <w:rsid w:val="00DC2421"/>
    <w:rsid w:val="00DC2C7A"/>
    <w:rsid w:val="00DC3B74"/>
    <w:rsid w:val="00DC4B2E"/>
    <w:rsid w:val="00DC4F70"/>
    <w:rsid w:val="00DC53CA"/>
    <w:rsid w:val="00DC564C"/>
    <w:rsid w:val="00DC6589"/>
    <w:rsid w:val="00DC6962"/>
    <w:rsid w:val="00DD004A"/>
    <w:rsid w:val="00DD08BC"/>
    <w:rsid w:val="00DD0AD8"/>
    <w:rsid w:val="00DD17E8"/>
    <w:rsid w:val="00DD1CC2"/>
    <w:rsid w:val="00DD28BB"/>
    <w:rsid w:val="00DD2AC4"/>
    <w:rsid w:val="00DD305C"/>
    <w:rsid w:val="00DD3853"/>
    <w:rsid w:val="00DD39E5"/>
    <w:rsid w:val="00DD3A96"/>
    <w:rsid w:val="00DD4DFE"/>
    <w:rsid w:val="00DD54AD"/>
    <w:rsid w:val="00DD5528"/>
    <w:rsid w:val="00DD5AF5"/>
    <w:rsid w:val="00DD5D70"/>
    <w:rsid w:val="00DD5DA7"/>
    <w:rsid w:val="00DD6238"/>
    <w:rsid w:val="00DD625D"/>
    <w:rsid w:val="00DD7332"/>
    <w:rsid w:val="00DE00BD"/>
    <w:rsid w:val="00DE023B"/>
    <w:rsid w:val="00DE0447"/>
    <w:rsid w:val="00DE05C2"/>
    <w:rsid w:val="00DE0936"/>
    <w:rsid w:val="00DE0BE1"/>
    <w:rsid w:val="00DE1E94"/>
    <w:rsid w:val="00DE1FF9"/>
    <w:rsid w:val="00DE20F7"/>
    <w:rsid w:val="00DE26EC"/>
    <w:rsid w:val="00DE2847"/>
    <w:rsid w:val="00DE2FCD"/>
    <w:rsid w:val="00DE5B90"/>
    <w:rsid w:val="00DE659E"/>
    <w:rsid w:val="00DE6797"/>
    <w:rsid w:val="00DE6921"/>
    <w:rsid w:val="00DE73BE"/>
    <w:rsid w:val="00DE76B2"/>
    <w:rsid w:val="00DE7BD6"/>
    <w:rsid w:val="00DF011B"/>
    <w:rsid w:val="00DF0171"/>
    <w:rsid w:val="00DF070E"/>
    <w:rsid w:val="00DF080D"/>
    <w:rsid w:val="00DF175E"/>
    <w:rsid w:val="00DF197A"/>
    <w:rsid w:val="00DF1BD1"/>
    <w:rsid w:val="00DF2273"/>
    <w:rsid w:val="00DF256C"/>
    <w:rsid w:val="00DF2929"/>
    <w:rsid w:val="00DF36D2"/>
    <w:rsid w:val="00DF3B43"/>
    <w:rsid w:val="00DF3D81"/>
    <w:rsid w:val="00DF4C9A"/>
    <w:rsid w:val="00DF4FEC"/>
    <w:rsid w:val="00DF563B"/>
    <w:rsid w:val="00DF609B"/>
    <w:rsid w:val="00DF655C"/>
    <w:rsid w:val="00DF6850"/>
    <w:rsid w:val="00DF6FEB"/>
    <w:rsid w:val="00E006A1"/>
    <w:rsid w:val="00E0083E"/>
    <w:rsid w:val="00E0100A"/>
    <w:rsid w:val="00E011D3"/>
    <w:rsid w:val="00E01363"/>
    <w:rsid w:val="00E018E0"/>
    <w:rsid w:val="00E01C64"/>
    <w:rsid w:val="00E020DA"/>
    <w:rsid w:val="00E021F3"/>
    <w:rsid w:val="00E029FF"/>
    <w:rsid w:val="00E03695"/>
    <w:rsid w:val="00E03EFA"/>
    <w:rsid w:val="00E04869"/>
    <w:rsid w:val="00E04F45"/>
    <w:rsid w:val="00E05611"/>
    <w:rsid w:val="00E0579A"/>
    <w:rsid w:val="00E05FBA"/>
    <w:rsid w:val="00E061A9"/>
    <w:rsid w:val="00E0638B"/>
    <w:rsid w:val="00E063A5"/>
    <w:rsid w:val="00E06B0D"/>
    <w:rsid w:val="00E06E38"/>
    <w:rsid w:val="00E07822"/>
    <w:rsid w:val="00E10FBA"/>
    <w:rsid w:val="00E1152E"/>
    <w:rsid w:val="00E118E1"/>
    <w:rsid w:val="00E1199B"/>
    <w:rsid w:val="00E12DDD"/>
    <w:rsid w:val="00E12F2E"/>
    <w:rsid w:val="00E1315F"/>
    <w:rsid w:val="00E1369A"/>
    <w:rsid w:val="00E137DD"/>
    <w:rsid w:val="00E139C2"/>
    <w:rsid w:val="00E13A3E"/>
    <w:rsid w:val="00E13AFF"/>
    <w:rsid w:val="00E14674"/>
    <w:rsid w:val="00E15511"/>
    <w:rsid w:val="00E15705"/>
    <w:rsid w:val="00E1607F"/>
    <w:rsid w:val="00E16813"/>
    <w:rsid w:val="00E16D1A"/>
    <w:rsid w:val="00E179E7"/>
    <w:rsid w:val="00E179F6"/>
    <w:rsid w:val="00E20926"/>
    <w:rsid w:val="00E20BC6"/>
    <w:rsid w:val="00E20F36"/>
    <w:rsid w:val="00E21F34"/>
    <w:rsid w:val="00E223EB"/>
    <w:rsid w:val="00E224A9"/>
    <w:rsid w:val="00E230E8"/>
    <w:rsid w:val="00E237D2"/>
    <w:rsid w:val="00E23DDA"/>
    <w:rsid w:val="00E244F8"/>
    <w:rsid w:val="00E24859"/>
    <w:rsid w:val="00E24E69"/>
    <w:rsid w:val="00E24F5A"/>
    <w:rsid w:val="00E2668D"/>
    <w:rsid w:val="00E26C59"/>
    <w:rsid w:val="00E2792F"/>
    <w:rsid w:val="00E27A66"/>
    <w:rsid w:val="00E30040"/>
    <w:rsid w:val="00E300F7"/>
    <w:rsid w:val="00E306CC"/>
    <w:rsid w:val="00E30E66"/>
    <w:rsid w:val="00E317B9"/>
    <w:rsid w:val="00E31E21"/>
    <w:rsid w:val="00E3213C"/>
    <w:rsid w:val="00E3269A"/>
    <w:rsid w:val="00E33969"/>
    <w:rsid w:val="00E33E83"/>
    <w:rsid w:val="00E33F5F"/>
    <w:rsid w:val="00E33F72"/>
    <w:rsid w:val="00E342C9"/>
    <w:rsid w:val="00E34590"/>
    <w:rsid w:val="00E35112"/>
    <w:rsid w:val="00E36311"/>
    <w:rsid w:val="00E36C46"/>
    <w:rsid w:val="00E37AAE"/>
    <w:rsid w:val="00E40329"/>
    <w:rsid w:val="00E4059A"/>
    <w:rsid w:val="00E40C16"/>
    <w:rsid w:val="00E412CD"/>
    <w:rsid w:val="00E42154"/>
    <w:rsid w:val="00E422A4"/>
    <w:rsid w:val="00E42772"/>
    <w:rsid w:val="00E42876"/>
    <w:rsid w:val="00E4306F"/>
    <w:rsid w:val="00E437E6"/>
    <w:rsid w:val="00E4386D"/>
    <w:rsid w:val="00E44243"/>
    <w:rsid w:val="00E45F03"/>
    <w:rsid w:val="00E46733"/>
    <w:rsid w:val="00E4695F"/>
    <w:rsid w:val="00E47011"/>
    <w:rsid w:val="00E47D0C"/>
    <w:rsid w:val="00E516D2"/>
    <w:rsid w:val="00E51879"/>
    <w:rsid w:val="00E51892"/>
    <w:rsid w:val="00E51D43"/>
    <w:rsid w:val="00E51EC5"/>
    <w:rsid w:val="00E52007"/>
    <w:rsid w:val="00E521AE"/>
    <w:rsid w:val="00E53351"/>
    <w:rsid w:val="00E538D6"/>
    <w:rsid w:val="00E5532E"/>
    <w:rsid w:val="00E555DA"/>
    <w:rsid w:val="00E55B83"/>
    <w:rsid w:val="00E55E67"/>
    <w:rsid w:val="00E56877"/>
    <w:rsid w:val="00E5691F"/>
    <w:rsid w:val="00E56F71"/>
    <w:rsid w:val="00E5701B"/>
    <w:rsid w:val="00E57C53"/>
    <w:rsid w:val="00E60954"/>
    <w:rsid w:val="00E60A24"/>
    <w:rsid w:val="00E61FA2"/>
    <w:rsid w:val="00E623EA"/>
    <w:rsid w:val="00E62426"/>
    <w:rsid w:val="00E6245F"/>
    <w:rsid w:val="00E635EB"/>
    <w:rsid w:val="00E63B38"/>
    <w:rsid w:val="00E649E4"/>
    <w:rsid w:val="00E64EB8"/>
    <w:rsid w:val="00E65241"/>
    <w:rsid w:val="00E661EE"/>
    <w:rsid w:val="00E662F8"/>
    <w:rsid w:val="00E66467"/>
    <w:rsid w:val="00E665F8"/>
    <w:rsid w:val="00E6720F"/>
    <w:rsid w:val="00E672B2"/>
    <w:rsid w:val="00E673B7"/>
    <w:rsid w:val="00E6779E"/>
    <w:rsid w:val="00E677F2"/>
    <w:rsid w:val="00E67851"/>
    <w:rsid w:val="00E678CD"/>
    <w:rsid w:val="00E67DFF"/>
    <w:rsid w:val="00E7042C"/>
    <w:rsid w:val="00E70D30"/>
    <w:rsid w:val="00E711A7"/>
    <w:rsid w:val="00E7227D"/>
    <w:rsid w:val="00E72309"/>
    <w:rsid w:val="00E732CF"/>
    <w:rsid w:val="00E73402"/>
    <w:rsid w:val="00E7469D"/>
    <w:rsid w:val="00E747F2"/>
    <w:rsid w:val="00E74884"/>
    <w:rsid w:val="00E748B1"/>
    <w:rsid w:val="00E74E16"/>
    <w:rsid w:val="00E75612"/>
    <w:rsid w:val="00E76909"/>
    <w:rsid w:val="00E76F9F"/>
    <w:rsid w:val="00E7774C"/>
    <w:rsid w:val="00E77E8B"/>
    <w:rsid w:val="00E804F1"/>
    <w:rsid w:val="00E80E1D"/>
    <w:rsid w:val="00E815D8"/>
    <w:rsid w:val="00E81647"/>
    <w:rsid w:val="00E8165A"/>
    <w:rsid w:val="00E81726"/>
    <w:rsid w:val="00E817F4"/>
    <w:rsid w:val="00E81DE9"/>
    <w:rsid w:val="00E82869"/>
    <w:rsid w:val="00E834D2"/>
    <w:rsid w:val="00E83B76"/>
    <w:rsid w:val="00E83C58"/>
    <w:rsid w:val="00E84757"/>
    <w:rsid w:val="00E848C2"/>
    <w:rsid w:val="00E84EAC"/>
    <w:rsid w:val="00E853BF"/>
    <w:rsid w:val="00E854B3"/>
    <w:rsid w:val="00E855F2"/>
    <w:rsid w:val="00E863B1"/>
    <w:rsid w:val="00E863E6"/>
    <w:rsid w:val="00E86703"/>
    <w:rsid w:val="00E86B59"/>
    <w:rsid w:val="00E8703E"/>
    <w:rsid w:val="00E87719"/>
    <w:rsid w:val="00E877F8"/>
    <w:rsid w:val="00E87A1F"/>
    <w:rsid w:val="00E87E7F"/>
    <w:rsid w:val="00E87F45"/>
    <w:rsid w:val="00E9025D"/>
    <w:rsid w:val="00E9114B"/>
    <w:rsid w:val="00E922A9"/>
    <w:rsid w:val="00E92801"/>
    <w:rsid w:val="00E92F34"/>
    <w:rsid w:val="00E93840"/>
    <w:rsid w:val="00E93879"/>
    <w:rsid w:val="00E93FC4"/>
    <w:rsid w:val="00E940B6"/>
    <w:rsid w:val="00E94FEF"/>
    <w:rsid w:val="00E95636"/>
    <w:rsid w:val="00E964FA"/>
    <w:rsid w:val="00E96556"/>
    <w:rsid w:val="00E96999"/>
    <w:rsid w:val="00E971DB"/>
    <w:rsid w:val="00E9733B"/>
    <w:rsid w:val="00E9755F"/>
    <w:rsid w:val="00E978EA"/>
    <w:rsid w:val="00EA027C"/>
    <w:rsid w:val="00EA099E"/>
    <w:rsid w:val="00EA1318"/>
    <w:rsid w:val="00EA1586"/>
    <w:rsid w:val="00EA254B"/>
    <w:rsid w:val="00EA294E"/>
    <w:rsid w:val="00EA2A83"/>
    <w:rsid w:val="00EA342B"/>
    <w:rsid w:val="00EA4083"/>
    <w:rsid w:val="00EA45DF"/>
    <w:rsid w:val="00EA5414"/>
    <w:rsid w:val="00EA69C8"/>
    <w:rsid w:val="00EA6D2D"/>
    <w:rsid w:val="00EA7189"/>
    <w:rsid w:val="00EB0027"/>
    <w:rsid w:val="00EB127A"/>
    <w:rsid w:val="00EB2010"/>
    <w:rsid w:val="00EB2940"/>
    <w:rsid w:val="00EB3833"/>
    <w:rsid w:val="00EB3B4D"/>
    <w:rsid w:val="00EB3BBD"/>
    <w:rsid w:val="00EB3CDC"/>
    <w:rsid w:val="00EB3E54"/>
    <w:rsid w:val="00EB41AD"/>
    <w:rsid w:val="00EB460B"/>
    <w:rsid w:val="00EB485E"/>
    <w:rsid w:val="00EB55B7"/>
    <w:rsid w:val="00EB6932"/>
    <w:rsid w:val="00EB7141"/>
    <w:rsid w:val="00EB7F6C"/>
    <w:rsid w:val="00EC106E"/>
    <w:rsid w:val="00EC158F"/>
    <w:rsid w:val="00EC1BF3"/>
    <w:rsid w:val="00EC23E3"/>
    <w:rsid w:val="00EC2980"/>
    <w:rsid w:val="00EC2A8E"/>
    <w:rsid w:val="00EC2AB7"/>
    <w:rsid w:val="00EC2C8B"/>
    <w:rsid w:val="00EC3597"/>
    <w:rsid w:val="00EC3871"/>
    <w:rsid w:val="00EC3C1D"/>
    <w:rsid w:val="00EC41C2"/>
    <w:rsid w:val="00EC43F7"/>
    <w:rsid w:val="00EC473F"/>
    <w:rsid w:val="00EC5D0C"/>
    <w:rsid w:val="00EC5E67"/>
    <w:rsid w:val="00EC61A5"/>
    <w:rsid w:val="00EC61D9"/>
    <w:rsid w:val="00EC64C3"/>
    <w:rsid w:val="00EC7D04"/>
    <w:rsid w:val="00ED01CA"/>
    <w:rsid w:val="00ED0BA4"/>
    <w:rsid w:val="00ED0E92"/>
    <w:rsid w:val="00ED12E4"/>
    <w:rsid w:val="00ED23A0"/>
    <w:rsid w:val="00ED28DA"/>
    <w:rsid w:val="00ED2957"/>
    <w:rsid w:val="00ED3035"/>
    <w:rsid w:val="00ED40CA"/>
    <w:rsid w:val="00ED4B10"/>
    <w:rsid w:val="00ED6398"/>
    <w:rsid w:val="00ED6DAD"/>
    <w:rsid w:val="00ED6FDB"/>
    <w:rsid w:val="00ED71D6"/>
    <w:rsid w:val="00ED7D0B"/>
    <w:rsid w:val="00ED7D0F"/>
    <w:rsid w:val="00EE0E09"/>
    <w:rsid w:val="00EE0E36"/>
    <w:rsid w:val="00EE1078"/>
    <w:rsid w:val="00EE13E1"/>
    <w:rsid w:val="00EE19CF"/>
    <w:rsid w:val="00EE2125"/>
    <w:rsid w:val="00EE255D"/>
    <w:rsid w:val="00EE389D"/>
    <w:rsid w:val="00EE4D90"/>
    <w:rsid w:val="00EE51AF"/>
    <w:rsid w:val="00EE5E44"/>
    <w:rsid w:val="00EE6788"/>
    <w:rsid w:val="00EE740E"/>
    <w:rsid w:val="00EE74C7"/>
    <w:rsid w:val="00EE76CC"/>
    <w:rsid w:val="00EE7929"/>
    <w:rsid w:val="00EE7EA9"/>
    <w:rsid w:val="00EF0669"/>
    <w:rsid w:val="00EF1DD6"/>
    <w:rsid w:val="00EF1FFD"/>
    <w:rsid w:val="00EF26DB"/>
    <w:rsid w:val="00EF2F85"/>
    <w:rsid w:val="00EF336F"/>
    <w:rsid w:val="00EF3C63"/>
    <w:rsid w:val="00EF4822"/>
    <w:rsid w:val="00EF4BB4"/>
    <w:rsid w:val="00EF4DBB"/>
    <w:rsid w:val="00EF5B84"/>
    <w:rsid w:val="00EF5F52"/>
    <w:rsid w:val="00EF61EB"/>
    <w:rsid w:val="00EF64E9"/>
    <w:rsid w:val="00EF6607"/>
    <w:rsid w:val="00EF7665"/>
    <w:rsid w:val="00EF76E5"/>
    <w:rsid w:val="00F00191"/>
    <w:rsid w:val="00F00521"/>
    <w:rsid w:val="00F0077C"/>
    <w:rsid w:val="00F00E41"/>
    <w:rsid w:val="00F01102"/>
    <w:rsid w:val="00F0184F"/>
    <w:rsid w:val="00F01853"/>
    <w:rsid w:val="00F02242"/>
    <w:rsid w:val="00F02C3F"/>
    <w:rsid w:val="00F0315A"/>
    <w:rsid w:val="00F04054"/>
    <w:rsid w:val="00F045D7"/>
    <w:rsid w:val="00F0462D"/>
    <w:rsid w:val="00F058F0"/>
    <w:rsid w:val="00F05D8F"/>
    <w:rsid w:val="00F062FA"/>
    <w:rsid w:val="00F0698C"/>
    <w:rsid w:val="00F06A1B"/>
    <w:rsid w:val="00F06A72"/>
    <w:rsid w:val="00F06B61"/>
    <w:rsid w:val="00F06DA7"/>
    <w:rsid w:val="00F07208"/>
    <w:rsid w:val="00F105DC"/>
    <w:rsid w:val="00F108EA"/>
    <w:rsid w:val="00F11394"/>
    <w:rsid w:val="00F1144A"/>
    <w:rsid w:val="00F1268B"/>
    <w:rsid w:val="00F12766"/>
    <w:rsid w:val="00F12811"/>
    <w:rsid w:val="00F13588"/>
    <w:rsid w:val="00F139A1"/>
    <w:rsid w:val="00F13E1E"/>
    <w:rsid w:val="00F15148"/>
    <w:rsid w:val="00F16535"/>
    <w:rsid w:val="00F165E4"/>
    <w:rsid w:val="00F16F73"/>
    <w:rsid w:val="00F1748C"/>
    <w:rsid w:val="00F17922"/>
    <w:rsid w:val="00F2023E"/>
    <w:rsid w:val="00F20240"/>
    <w:rsid w:val="00F21E86"/>
    <w:rsid w:val="00F21E8F"/>
    <w:rsid w:val="00F23539"/>
    <w:rsid w:val="00F23593"/>
    <w:rsid w:val="00F24124"/>
    <w:rsid w:val="00F24AB2"/>
    <w:rsid w:val="00F25F3B"/>
    <w:rsid w:val="00F26028"/>
    <w:rsid w:val="00F26483"/>
    <w:rsid w:val="00F26DED"/>
    <w:rsid w:val="00F270AA"/>
    <w:rsid w:val="00F27969"/>
    <w:rsid w:val="00F3054F"/>
    <w:rsid w:val="00F30FB4"/>
    <w:rsid w:val="00F3210F"/>
    <w:rsid w:val="00F327E8"/>
    <w:rsid w:val="00F3298F"/>
    <w:rsid w:val="00F32AFD"/>
    <w:rsid w:val="00F33E1E"/>
    <w:rsid w:val="00F3404C"/>
    <w:rsid w:val="00F341C7"/>
    <w:rsid w:val="00F347EC"/>
    <w:rsid w:val="00F351F2"/>
    <w:rsid w:val="00F37868"/>
    <w:rsid w:val="00F37C35"/>
    <w:rsid w:val="00F37FE6"/>
    <w:rsid w:val="00F40871"/>
    <w:rsid w:val="00F41219"/>
    <w:rsid w:val="00F417B1"/>
    <w:rsid w:val="00F41E8B"/>
    <w:rsid w:val="00F42575"/>
    <w:rsid w:val="00F43730"/>
    <w:rsid w:val="00F43B2C"/>
    <w:rsid w:val="00F43E01"/>
    <w:rsid w:val="00F44FD9"/>
    <w:rsid w:val="00F456EA"/>
    <w:rsid w:val="00F46D05"/>
    <w:rsid w:val="00F47A2F"/>
    <w:rsid w:val="00F5079D"/>
    <w:rsid w:val="00F5096C"/>
    <w:rsid w:val="00F50BED"/>
    <w:rsid w:val="00F50F34"/>
    <w:rsid w:val="00F5135B"/>
    <w:rsid w:val="00F51F2D"/>
    <w:rsid w:val="00F51F8D"/>
    <w:rsid w:val="00F52307"/>
    <w:rsid w:val="00F5287D"/>
    <w:rsid w:val="00F53104"/>
    <w:rsid w:val="00F5367F"/>
    <w:rsid w:val="00F53B49"/>
    <w:rsid w:val="00F53CFE"/>
    <w:rsid w:val="00F53F7F"/>
    <w:rsid w:val="00F54330"/>
    <w:rsid w:val="00F54E6C"/>
    <w:rsid w:val="00F54FC1"/>
    <w:rsid w:val="00F5559F"/>
    <w:rsid w:val="00F55B02"/>
    <w:rsid w:val="00F56829"/>
    <w:rsid w:val="00F572D1"/>
    <w:rsid w:val="00F57505"/>
    <w:rsid w:val="00F5772A"/>
    <w:rsid w:val="00F579D9"/>
    <w:rsid w:val="00F61C40"/>
    <w:rsid w:val="00F6387A"/>
    <w:rsid w:val="00F63BC5"/>
    <w:rsid w:val="00F6487A"/>
    <w:rsid w:val="00F65C28"/>
    <w:rsid w:val="00F65F44"/>
    <w:rsid w:val="00F662B4"/>
    <w:rsid w:val="00F663EF"/>
    <w:rsid w:val="00F66872"/>
    <w:rsid w:val="00F66911"/>
    <w:rsid w:val="00F66AFE"/>
    <w:rsid w:val="00F66BDB"/>
    <w:rsid w:val="00F66E6D"/>
    <w:rsid w:val="00F67A2E"/>
    <w:rsid w:val="00F70747"/>
    <w:rsid w:val="00F709C6"/>
    <w:rsid w:val="00F71668"/>
    <w:rsid w:val="00F716E9"/>
    <w:rsid w:val="00F7182A"/>
    <w:rsid w:val="00F71961"/>
    <w:rsid w:val="00F71C02"/>
    <w:rsid w:val="00F71C95"/>
    <w:rsid w:val="00F71CE3"/>
    <w:rsid w:val="00F71D29"/>
    <w:rsid w:val="00F7303D"/>
    <w:rsid w:val="00F73BA6"/>
    <w:rsid w:val="00F74767"/>
    <w:rsid w:val="00F74A52"/>
    <w:rsid w:val="00F74BA6"/>
    <w:rsid w:val="00F74D26"/>
    <w:rsid w:val="00F74E7D"/>
    <w:rsid w:val="00F74F95"/>
    <w:rsid w:val="00F75204"/>
    <w:rsid w:val="00F75281"/>
    <w:rsid w:val="00F757B9"/>
    <w:rsid w:val="00F768E6"/>
    <w:rsid w:val="00F77B9B"/>
    <w:rsid w:val="00F77D2A"/>
    <w:rsid w:val="00F809D4"/>
    <w:rsid w:val="00F8102C"/>
    <w:rsid w:val="00F810E1"/>
    <w:rsid w:val="00F81154"/>
    <w:rsid w:val="00F81387"/>
    <w:rsid w:val="00F816FC"/>
    <w:rsid w:val="00F8194B"/>
    <w:rsid w:val="00F81B10"/>
    <w:rsid w:val="00F81C52"/>
    <w:rsid w:val="00F8235C"/>
    <w:rsid w:val="00F82406"/>
    <w:rsid w:val="00F827F8"/>
    <w:rsid w:val="00F83797"/>
    <w:rsid w:val="00F84255"/>
    <w:rsid w:val="00F843BC"/>
    <w:rsid w:val="00F84444"/>
    <w:rsid w:val="00F85031"/>
    <w:rsid w:val="00F857DC"/>
    <w:rsid w:val="00F86004"/>
    <w:rsid w:val="00F863B8"/>
    <w:rsid w:val="00F87572"/>
    <w:rsid w:val="00F87FEB"/>
    <w:rsid w:val="00F90105"/>
    <w:rsid w:val="00F90127"/>
    <w:rsid w:val="00F90FEA"/>
    <w:rsid w:val="00F910DF"/>
    <w:rsid w:val="00F9119A"/>
    <w:rsid w:val="00F91C80"/>
    <w:rsid w:val="00F920E9"/>
    <w:rsid w:val="00F9282B"/>
    <w:rsid w:val="00F9314E"/>
    <w:rsid w:val="00F933DD"/>
    <w:rsid w:val="00F934E8"/>
    <w:rsid w:val="00F9370A"/>
    <w:rsid w:val="00F93841"/>
    <w:rsid w:val="00F93A43"/>
    <w:rsid w:val="00F93D7D"/>
    <w:rsid w:val="00F943C7"/>
    <w:rsid w:val="00F9448C"/>
    <w:rsid w:val="00F97055"/>
    <w:rsid w:val="00F9719C"/>
    <w:rsid w:val="00F97EAB"/>
    <w:rsid w:val="00F97F3F"/>
    <w:rsid w:val="00FA05EA"/>
    <w:rsid w:val="00FA0DC4"/>
    <w:rsid w:val="00FA0E34"/>
    <w:rsid w:val="00FA17F6"/>
    <w:rsid w:val="00FA1DF6"/>
    <w:rsid w:val="00FA1EC4"/>
    <w:rsid w:val="00FA20F6"/>
    <w:rsid w:val="00FA3376"/>
    <w:rsid w:val="00FA3382"/>
    <w:rsid w:val="00FA3385"/>
    <w:rsid w:val="00FA3811"/>
    <w:rsid w:val="00FA4068"/>
    <w:rsid w:val="00FA5923"/>
    <w:rsid w:val="00FA66AD"/>
    <w:rsid w:val="00FA6790"/>
    <w:rsid w:val="00FA6BC4"/>
    <w:rsid w:val="00FA6F12"/>
    <w:rsid w:val="00FA7CD8"/>
    <w:rsid w:val="00FB0CBA"/>
    <w:rsid w:val="00FB2C2D"/>
    <w:rsid w:val="00FB36DB"/>
    <w:rsid w:val="00FB3B0D"/>
    <w:rsid w:val="00FB3D2C"/>
    <w:rsid w:val="00FB51D8"/>
    <w:rsid w:val="00FB5801"/>
    <w:rsid w:val="00FB5D9D"/>
    <w:rsid w:val="00FB6099"/>
    <w:rsid w:val="00FB6990"/>
    <w:rsid w:val="00FB7106"/>
    <w:rsid w:val="00FB7AEB"/>
    <w:rsid w:val="00FC0707"/>
    <w:rsid w:val="00FC0F1A"/>
    <w:rsid w:val="00FC1371"/>
    <w:rsid w:val="00FC22B5"/>
    <w:rsid w:val="00FC2B92"/>
    <w:rsid w:val="00FC3536"/>
    <w:rsid w:val="00FC370B"/>
    <w:rsid w:val="00FC4135"/>
    <w:rsid w:val="00FC4879"/>
    <w:rsid w:val="00FC4CE1"/>
    <w:rsid w:val="00FC5F65"/>
    <w:rsid w:val="00FC616C"/>
    <w:rsid w:val="00FC6B09"/>
    <w:rsid w:val="00FC6D9F"/>
    <w:rsid w:val="00FC7C61"/>
    <w:rsid w:val="00FD07DD"/>
    <w:rsid w:val="00FD0C44"/>
    <w:rsid w:val="00FD100E"/>
    <w:rsid w:val="00FD203C"/>
    <w:rsid w:val="00FD225C"/>
    <w:rsid w:val="00FD27CF"/>
    <w:rsid w:val="00FD363B"/>
    <w:rsid w:val="00FD3853"/>
    <w:rsid w:val="00FD3A56"/>
    <w:rsid w:val="00FD3BBF"/>
    <w:rsid w:val="00FD4465"/>
    <w:rsid w:val="00FD45F8"/>
    <w:rsid w:val="00FD5B6B"/>
    <w:rsid w:val="00FD5F0B"/>
    <w:rsid w:val="00FD5F13"/>
    <w:rsid w:val="00FD6DD4"/>
    <w:rsid w:val="00FD6F37"/>
    <w:rsid w:val="00FD72F0"/>
    <w:rsid w:val="00FE00FC"/>
    <w:rsid w:val="00FE0A98"/>
    <w:rsid w:val="00FE0BE0"/>
    <w:rsid w:val="00FE0DA9"/>
    <w:rsid w:val="00FE0FD5"/>
    <w:rsid w:val="00FE1153"/>
    <w:rsid w:val="00FE1B67"/>
    <w:rsid w:val="00FE1ECA"/>
    <w:rsid w:val="00FE23C1"/>
    <w:rsid w:val="00FE2498"/>
    <w:rsid w:val="00FE26E8"/>
    <w:rsid w:val="00FE2770"/>
    <w:rsid w:val="00FE2930"/>
    <w:rsid w:val="00FE2D89"/>
    <w:rsid w:val="00FE2FCE"/>
    <w:rsid w:val="00FE3AAF"/>
    <w:rsid w:val="00FE4B59"/>
    <w:rsid w:val="00FE5804"/>
    <w:rsid w:val="00FE6068"/>
    <w:rsid w:val="00FE7750"/>
    <w:rsid w:val="00FF03ED"/>
    <w:rsid w:val="00FF1AD5"/>
    <w:rsid w:val="00FF221B"/>
    <w:rsid w:val="00FF393B"/>
    <w:rsid w:val="00FF393F"/>
    <w:rsid w:val="00FF3B88"/>
    <w:rsid w:val="00FF44DD"/>
    <w:rsid w:val="00FF457A"/>
    <w:rsid w:val="00FF45C0"/>
    <w:rsid w:val="00FF4683"/>
    <w:rsid w:val="00FF4E25"/>
    <w:rsid w:val="00FF59B9"/>
    <w:rsid w:val="00FF623F"/>
    <w:rsid w:val="00FF64F1"/>
    <w:rsid w:val="00FF71BA"/>
    <w:rsid w:val="00FF7338"/>
    <w:rsid w:val="00FF7723"/>
    <w:rsid w:val="00FF785F"/>
    <w:rsid w:val="00FF7ED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F0BD0"/>
  <w15:docId w15:val="{CA5E64AC-87EB-44F7-998A-4A412C78B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61416"/>
    <w:pPr>
      <w:jc w:val="both"/>
    </w:pPr>
    <w:rPr>
      <w:sz w:val="24"/>
      <w:szCs w:val="24"/>
      <w:lang w:val="nl-BE"/>
    </w:rPr>
  </w:style>
  <w:style w:type="paragraph" w:styleId="Kop1">
    <w:name w:val="heading 1"/>
    <w:basedOn w:val="Standaard"/>
    <w:next w:val="Randnummer"/>
    <w:qFormat/>
    <w:rsid w:val="00361416"/>
    <w:pPr>
      <w:keepNext/>
      <w:keepLines/>
      <w:numPr>
        <w:numId w:val="6"/>
      </w:numPr>
      <w:jc w:val="left"/>
      <w:outlineLvl w:val="0"/>
    </w:pPr>
    <w:rPr>
      <w:rFonts w:cs="Arial"/>
      <w:b/>
      <w:bCs/>
      <w:caps/>
      <w:sz w:val="36"/>
      <w:szCs w:val="32"/>
    </w:rPr>
  </w:style>
  <w:style w:type="paragraph" w:styleId="Kop2">
    <w:name w:val="heading 2"/>
    <w:basedOn w:val="Standaard"/>
    <w:next w:val="Randnummer"/>
    <w:qFormat/>
    <w:rsid w:val="004B5413"/>
    <w:pPr>
      <w:keepNext/>
      <w:keepLines/>
      <w:numPr>
        <w:ilvl w:val="1"/>
        <w:numId w:val="6"/>
      </w:numPr>
      <w:spacing w:before="240"/>
      <w:jc w:val="left"/>
      <w:outlineLvl w:val="1"/>
    </w:pPr>
    <w:rPr>
      <w:rFonts w:cs="Arial"/>
      <w:bCs/>
      <w:iCs/>
      <w:caps/>
      <w:sz w:val="28"/>
      <w:szCs w:val="28"/>
    </w:rPr>
  </w:style>
  <w:style w:type="paragraph" w:styleId="Kop3">
    <w:name w:val="heading 3"/>
    <w:basedOn w:val="Randnummer"/>
    <w:next w:val="Randnummer"/>
    <w:qFormat/>
    <w:rsid w:val="00267999"/>
    <w:pPr>
      <w:numPr>
        <w:numId w:val="0"/>
      </w:numPr>
      <w:ind w:left="357" w:hanging="357"/>
      <w:outlineLvl w:val="2"/>
    </w:pPr>
    <w:rPr>
      <w:iCs/>
      <w:smallCaps/>
      <w:sz w:val="28"/>
    </w:rPr>
  </w:style>
  <w:style w:type="paragraph" w:styleId="Kop4">
    <w:name w:val="heading 4"/>
    <w:basedOn w:val="Standaard"/>
    <w:next w:val="Randnummer"/>
    <w:qFormat/>
    <w:rsid w:val="00361416"/>
    <w:pPr>
      <w:keepNext/>
      <w:keepLines/>
      <w:numPr>
        <w:ilvl w:val="3"/>
        <w:numId w:val="6"/>
      </w:numPr>
      <w:spacing w:before="240"/>
      <w:jc w:val="left"/>
      <w:outlineLvl w:val="3"/>
    </w:pPr>
    <w:rPr>
      <w:b/>
      <w:bCs/>
      <w:szCs w:val="28"/>
    </w:rPr>
  </w:style>
  <w:style w:type="paragraph" w:styleId="Kop5">
    <w:name w:val="heading 5"/>
    <w:basedOn w:val="Standaard"/>
    <w:next w:val="Randnummer"/>
    <w:qFormat/>
    <w:rsid w:val="00361416"/>
    <w:pPr>
      <w:keepNext/>
      <w:keepLines/>
      <w:numPr>
        <w:ilvl w:val="4"/>
        <w:numId w:val="6"/>
      </w:numPr>
      <w:spacing w:before="240"/>
      <w:jc w:val="left"/>
      <w:outlineLvl w:val="4"/>
    </w:pPr>
    <w:rPr>
      <w:b/>
      <w:bCs/>
      <w:i/>
      <w:iCs/>
      <w:szCs w:val="26"/>
    </w:rPr>
  </w:style>
  <w:style w:type="paragraph" w:styleId="Kop6">
    <w:name w:val="heading 6"/>
    <w:basedOn w:val="Standaard"/>
    <w:next w:val="Randnummer"/>
    <w:qFormat/>
    <w:rsid w:val="00361416"/>
    <w:pPr>
      <w:keepNext/>
      <w:keepLines/>
      <w:numPr>
        <w:ilvl w:val="5"/>
        <w:numId w:val="6"/>
      </w:numPr>
      <w:spacing w:before="240"/>
      <w:jc w:val="left"/>
      <w:outlineLvl w:val="5"/>
    </w:pPr>
    <w:rPr>
      <w:bCs/>
      <w:i/>
      <w:szCs w:val="22"/>
    </w:rPr>
  </w:style>
  <w:style w:type="paragraph" w:styleId="Kop7">
    <w:name w:val="heading 7"/>
    <w:basedOn w:val="Standaard"/>
    <w:next w:val="Randnummer"/>
    <w:qFormat/>
    <w:rsid w:val="00361416"/>
    <w:pPr>
      <w:keepNext/>
      <w:keepLines/>
      <w:numPr>
        <w:ilvl w:val="6"/>
        <w:numId w:val="6"/>
      </w:numPr>
      <w:spacing w:before="240"/>
      <w:jc w:val="left"/>
      <w:outlineLvl w:val="6"/>
    </w:pPr>
    <w:rPr>
      <w:i/>
    </w:rPr>
  </w:style>
  <w:style w:type="paragraph" w:styleId="Kop8">
    <w:name w:val="heading 8"/>
    <w:basedOn w:val="Standaard"/>
    <w:next w:val="Randnummer"/>
    <w:qFormat/>
    <w:rsid w:val="00361416"/>
    <w:pPr>
      <w:keepNext/>
      <w:keepLines/>
      <w:numPr>
        <w:ilvl w:val="7"/>
        <w:numId w:val="6"/>
      </w:numPr>
      <w:spacing w:before="240"/>
      <w:jc w:val="left"/>
      <w:outlineLvl w:val="7"/>
    </w:pPr>
    <w:rPr>
      <w:iCs/>
    </w:rPr>
  </w:style>
  <w:style w:type="paragraph" w:styleId="Kop9">
    <w:name w:val="heading 9"/>
    <w:basedOn w:val="Standaard"/>
    <w:next w:val="Randnummer"/>
    <w:qFormat/>
    <w:rsid w:val="00361416"/>
    <w:pPr>
      <w:numPr>
        <w:ilvl w:val="8"/>
        <w:numId w:val="6"/>
      </w:numPr>
      <w:spacing w:before="240" w:after="60"/>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61416"/>
    <w:pPr>
      <w:tabs>
        <w:tab w:val="center" w:pos="4536"/>
        <w:tab w:val="right" w:pos="9072"/>
      </w:tabs>
    </w:pPr>
  </w:style>
  <w:style w:type="paragraph" w:styleId="Voettekst">
    <w:name w:val="footer"/>
    <w:basedOn w:val="Standaard"/>
    <w:link w:val="VoettekstChar"/>
    <w:uiPriority w:val="99"/>
    <w:rsid w:val="00361416"/>
    <w:pPr>
      <w:tabs>
        <w:tab w:val="center" w:pos="4536"/>
        <w:tab w:val="right" w:pos="9072"/>
      </w:tabs>
    </w:pPr>
  </w:style>
  <w:style w:type="character" w:styleId="Paginanummer">
    <w:name w:val="page number"/>
    <w:basedOn w:val="Standaardalinea-lettertype"/>
    <w:rsid w:val="00361416"/>
  </w:style>
  <w:style w:type="paragraph" w:styleId="Voetnoottekst">
    <w:name w:val="footnote text"/>
    <w:basedOn w:val="Standaard"/>
    <w:link w:val="VoetnoottekstChar"/>
    <w:uiPriority w:val="99"/>
    <w:rsid w:val="00361416"/>
    <w:rPr>
      <w:sz w:val="20"/>
      <w:szCs w:val="20"/>
    </w:rPr>
  </w:style>
  <w:style w:type="paragraph" w:customStyle="1" w:styleId="12ptvoor">
    <w:name w:val="_12pt voor"/>
    <w:basedOn w:val="Standaard"/>
    <w:qFormat/>
    <w:rsid w:val="00361416"/>
    <w:pPr>
      <w:spacing w:before="240"/>
    </w:pPr>
  </w:style>
  <w:style w:type="paragraph" w:customStyle="1" w:styleId="Insprong125cm">
    <w:name w:val="_Insprong 1.25cm"/>
    <w:basedOn w:val="Standaard"/>
    <w:rsid w:val="00361416"/>
    <w:pPr>
      <w:ind w:firstLine="709"/>
    </w:pPr>
  </w:style>
  <w:style w:type="paragraph" w:customStyle="1" w:styleId="12ptvoorinsprong125cm">
    <w:name w:val="_12pt voor+insprong 1.25cm"/>
    <w:basedOn w:val="12ptvoor"/>
    <w:rsid w:val="00361416"/>
    <w:pPr>
      <w:ind w:firstLine="709"/>
    </w:pPr>
  </w:style>
  <w:style w:type="character" w:customStyle="1" w:styleId="Vet">
    <w:name w:val="_Vet"/>
    <w:rsid w:val="00361416"/>
    <w:rPr>
      <w:b/>
      <w:lang w:val="nl-NL"/>
    </w:rPr>
  </w:style>
  <w:style w:type="character" w:customStyle="1" w:styleId="KleinKapitaalAuteursCtrlAltK">
    <w:name w:val="_KleinKapitaalAuteurs (Ctrl+Alt+K)"/>
    <w:qFormat/>
    <w:rsid w:val="00361416"/>
    <w:rPr>
      <w:b w:val="0"/>
      <w:caps w:val="0"/>
      <w:smallCaps/>
      <w:lang w:val="nl-NL"/>
    </w:rPr>
  </w:style>
  <w:style w:type="paragraph" w:styleId="Inhopg1">
    <w:name w:val="toc 1"/>
    <w:basedOn w:val="Standaard"/>
    <w:next w:val="Standaard"/>
    <w:autoRedefine/>
    <w:uiPriority w:val="39"/>
    <w:rsid w:val="00361416"/>
    <w:pPr>
      <w:tabs>
        <w:tab w:val="right" w:leader="dot" w:pos="9061"/>
      </w:tabs>
      <w:spacing w:before="480"/>
      <w:jc w:val="left"/>
    </w:pPr>
    <w:rPr>
      <w:b/>
      <w:caps/>
      <w:noProof/>
    </w:rPr>
  </w:style>
  <w:style w:type="paragraph" w:styleId="Inhopg2">
    <w:name w:val="toc 2"/>
    <w:basedOn w:val="Standaard"/>
    <w:next w:val="Standaard"/>
    <w:autoRedefine/>
    <w:uiPriority w:val="39"/>
    <w:rsid w:val="00361416"/>
    <w:pPr>
      <w:tabs>
        <w:tab w:val="right" w:leader="dot" w:pos="9061"/>
      </w:tabs>
      <w:spacing w:before="240"/>
      <w:jc w:val="left"/>
    </w:pPr>
    <w:rPr>
      <w:b/>
      <w:bCs/>
      <w:caps/>
      <w:noProof/>
    </w:rPr>
  </w:style>
  <w:style w:type="paragraph" w:styleId="Inhopg3">
    <w:name w:val="toc 3"/>
    <w:basedOn w:val="Standaard"/>
    <w:next w:val="Standaard"/>
    <w:autoRedefine/>
    <w:uiPriority w:val="39"/>
    <w:rsid w:val="00361416"/>
    <w:pPr>
      <w:tabs>
        <w:tab w:val="right" w:leader="dot" w:pos="9061"/>
      </w:tabs>
      <w:spacing w:before="240"/>
      <w:jc w:val="left"/>
    </w:pPr>
    <w:rPr>
      <w:smallCaps/>
      <w:noProof/>
    </w:rPr>
  </w:style>
  <w:style w:type="paragraph" w:styleId="Inhopg4">
    <w:name w:val="toc 4"/>
    <w:basedOn w:val="Standaard"/>
    <w:next w:val="Standaard"/>
    <w:autoRedefine/>
    <w:uiPriority w:val="39"/>
    <w:rsid w:val="00361416"/>
    <w:pPr>
      <w:tabs>
        <w:tab w:val="right" w:leader="dot" w:pos="9061"/>
      </w:tabs>
      <w:ind w:left="284"/>
      <w:jc w:val="left"/>
    </w:pPr>
    <w:rPr>
      <w:i/>
      <w:iCs/>
      <w:noProof/>
    </w:rPr>
  </w:style>
  <w:style w:type="paragraph" w:styleId="Inhopg5">
    <w:name w:val="toc 5"/>
    <w:basedOn w:val="Standaard"/>
    <w:next w:val="Standaard"/>
    <w:autoRedefine/>
    <w:uiPriority w:val="39"/>
    <w:rsid w:val="00361416"/>
    <w:pPr>
      <w:tabs>
        <w:tab w:val="right" w:leader="dot" w:pos="9061"/>
      </w:tabs>
      <w:ind w:left="567"/>
      <w:jc w:val="left"/>
    </w:pPr>
    <w:rPr>
      <w:noProof/>
    </w:rPr>
  </w:style>
  <w:style w:type="paragraph" w:styleId="Inhopg6">
    <w:name w:val="toc 6"/>
    <w:basedOn w:val="Standaard"/>
    <w:next w:val="Standaard"/>
    <w:autoRedefine/>
    <w:uiPriority w:val="39"/>
    <w:rsid w:val="00361416"/>
    <w:pPr>
      <w:tabs>
        <w:tab w:val="right" w:leader="dot" w:pos="9061"/>
      </w:tabs>
      <w:ind w:left="851"/>
      <w:jc w:val="left"/>
    </w:pPr>
    <w:rPr>
      <w:noProof/>
    </w:rPr>
  </w:style>
  <w:style w:type="paragraph" w:styleId="Inhopg7">
    <w:name w:val="toc 7"/>
    <w:basedOn w:val="Standaard"/>
    <w:next w:val="Standaard"/>
    <w:autoRedefine/>
    <w:uiPriority w:val="39"/>
    <w:rsid w:val="00361416"/>
    <w:pPr>
      <w:tabs>
        <w:tab w:val="right" w:leader="dot" w:pos="9061"/>
      </w:tabs>
      <w:ind w:left="1134"/>
      <w:jc w:val="left"/>
    </w:pPr>
    <w:rPr>
      <w:noProof/>
    </w:rPr>
  </w:style>
  <w:style w:type="paragraph" w:styleId="Inhopg8">
    <w:name w:val="toc 8"/>
    <w:basedOn w:val="Standaard"/>
    <w:next w:val="Standaard"/>
    <w:autoRedefine/>
    <w:uiPriority w:val="39"/>
    <w:rsid w:val="00361416"/>
    <w:pPr>
      <w:tabs>
        <w:tab w:val="right" w:leader="dot" w:pos="9061"/>
      </w:tabs>
      <w:ind w:left="1440"/>
      <w:jc w:val="left"/>
    </w:pPr>
    <w:rPr>
      <w:noProof/>
    </w:rPr>
  </w:style>
  <w:style w:type="paragraph" w:styleId="Inhopg9">
    <w:name w:val="toc 9"/>
    <w:basedOn w:val="Standaard"/>
    <w:next w:val="Standaard"/>
    <w:autoRedefine/>
    <w:semiHidden/>
    <w:rsid w:val="00361416"/>
    <w:pPr>
      <w:ind w:left="1760"/>
    </w:pPr>
  </w:style>
  <w:style w:type="character" w:styleId="Hyperlink">
    <w:name w:val="Hyperlink"/>
    <w:uiPriority w:val="99"/>
    <w:unhideWhenUsed/>
    <w:rsid w:val="00361416"/>
    <w:rPr>
      <w:i/>
      <w:color w:val="auto"/>
      <w:u w:val="none"/>
    </w:rPr>
  </w:style>
  <w:style w:type="paragraph" w:customStyle="1" w:styleId="Nummer">
    <w:name w:val="_Nummer"/>
    <w:basedOn w:val="12ptvoor"/>
    <w:unhideWhenUsed/>
    <w:rsid w:val="00361416"/>
    <w:pPr>
      <w:numPr>
        <w:numId w:val="1"/>
      </w:numPr>
    </w:pPr>
  </w:style>
  <w:style w:type="character" w:styleId="GevolgdeHyperlink">
    <w:name w:val="FollowedHyperlink"/>
    <w:unhideWhenUsed/>
    <w:rsid w:val="00361416"/>
    <w:rPr>
      <w:i/>
      <w:color w:val="auto"/>
      <w:u w:val="none"/>
    </w:rPr>
  </w:style>
  <w:style w:type="paragraph" w:styleId="Ballontekst">
    <w:name w:val="Balloon Text"/>
    <w:basedOn w:val="Standaard"/>
    <w:semiHidden/>
    <w:rsid w:val="00361416"/>
    <w:rPr>
      <w:rFonts w:ascii="Tahoma" w:hAnsi="Tahoma" w:cs="Tahoma"/>
      <w:sz w:val="16"/>
      <w:szCs w:val="16"/>
    </w:rPr>
  </w:style>
  <w:style w:type="numbering" w:styleId="111111">
    <w:name w:val="Outline List 2"/>
    <w:basedOn w:val="Geenlijst"/>
    <w:semiHidden/>
    <w:rsid w:val="00361416"/>
    <w:pPr>
      <w:numPr>
        <w:numId w:val="3"/>
      </w:numPr>
    </w:pPr>
  </w:style>
  <w:style w:type="numbering" w:styleId="1ai">
    <w:name w:val="Outline List 1"/>
    <w:basedOn w:val="Geenlijst"/>
    <w:semiHidden/>
    <w:rsid w:val="00361416"/>
    <w:pPr>
      <w:numPr>
        <w:numId w:val="4"/>
      </w:numPr>
    </w:pPr>
  </w:style>
  <w:style w:type="table" w:styleId="3D-effectenvoortabel1">
    <w:name w:val="Table 3D effects 1"/>
    <w:basedOn w:val="Standaardtabel"/>
    <w:semiHidden/>
    <w:rsid w:val="0036141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36141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36141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361416"/>
  </w:style>
  <w:style w:type="paragraph" w:styleId="Adresenvelop">
    <w:name w:val="envelope address"/>
    <w:basedOn w:val="Standaard"/>
    <w:semiHidden/>
    <w:rsid w:val="00361416"/>
    <w:pPr>
      <w:framePr w:w="7920" w:h="1980" w:hRule="exact" w:hSpace="141" w:wrap="auto" w:hAnchor="page" w:xAlign="center" w:yAlign="bottom"/>
      <w:ind w:left="2880"/>
    </w:pPr>
    <w:rPr>
      <w:rFonts w:ascii="Arial" w:hAnsi="Arial" w:cs="Arial"/>
    </w:rPr>
  </w:style>
  <w:style w:type="paragraph" w:styleId="Afsluiting">
    <w:name w:val="Closing"/>
    <w:basedOn w:val="Standaard"/>
    <w:semiHidden/>
    <w:rsid w:val="00361416"/>
    <w:pPr>
      <w:ind w:left="4252"/>
    </w:pPr>
  </w:style>
  <w:style w:type="paragraph" w:styleId="Afzender">
    <w:name w:val="envelope return"/>
    <w:basedOn w:val="Standaard"/>
    <w:semiHidden/>
    <w:rsid w:val="00361416"/>
    <w:rPr>
      <w:rFonts w:ascii="Arial" w:hAnsi="Arial" w:cs="Arial"/>
      <w:sz w:val="20"/>
      <w:szCs w:val="20"/>
    </w:rPr>
  </w:style>
  <w:style w:type="numbering" w:styleId="Artikelsectie">
    <w:name w:val="Outline List 3"/>
    <w:basedOn w:val="Geenlijst"/>
    <w:semiHidden/>
    <w:rsid w:val="00361416"/>
    <w:pPr>
      <w:numPr>
        <w:numId w:val="5"/>
      </w:numPr>
    </w:pPr>
  </w:style>
  <w:style w:type="paragraph" w:styleId="Berichtkop">
    <w:name w:val="Message Header"/>
    <w:basedOn w:val="Standaard"/>
    <w:semiHidden/>
    <w:rsid w:val="003614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Bloktekst">
    <w:name w:val="Block Text"/>
    <w:basedOn w:val="Standaard"/>
    <w:semiHidden/>
    <w:rsid w:val="00361416"/>
    <w:pPr>
      <w:spacing w:after="120"/>
      <w:ind w:left="1440" w:right="1440"/>
    </w:pPr>
  </w:style>
  <w:style w:type="paragraph" w:styleId="Datum">
    <w:name w:val="Date"/>
    <w:basedOn w:val="Standaard"/>
    <w:next w:val="Standaard"/>
    <w:semiHidden/>
    <w:rsid w:val="00361416"/>
  </w:style>
  <w:style w:type="table" w:styleId="Eenvoudigetabel1">
    <w:name w:val="Table Simple 1"/>
    <w:basedOn w:val="Standaardtabel"/>
    <w:semiHidden/>
    <w:rsid w:val="0036141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36141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36141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36141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36141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361416"/>
  </w:style>
  <w:style w:type="paragraph" w:styleId="Handtekening">
    <w:name w:val="Signature"/>
    <w:basedOn w:val="Standaard"/>
    <w:semiHidden/>
    <w:rsid w:val="00361416"/>
    <w:pPr>
      <w:ind w:left="4252"/>
    </w:pPr>
  </w:style>
  <w:style w:type="paragraph" w:styleId="HTML-voorafopgemaakt">
    <w:name w:val="HTML Preformatted"/>
    <w:basedOn w:val="Standaard"/>
    <w:semiHidden/>
    <w:rsid w:val="00361416"/>
    <w:rPr>
      <w:rFonts w:ascii="Courier New" w:hAnsi="Courier New" w:cs="Courier New"/>
      <w:sz w:val="20"/>
      <w:szCs w:val="20"/>
    </w:rPr>
  </w:style>
  <w:style w:type="character" w:styleId="HTMLCode">
    <w:name w:val="HTML Code"/>
    <w:semiHidden/>
    <w:rsid w:val="00361416"/>
    <w:rPr>
      <w:rFonts w:ascii="Courier New" w:hAnsi="Courier New" w:cs="Courier New"/>
      <w:sz w:val="20"/>
      <w:szCs w:val="20"/>
    </w:rPr>
  </w:style>
  <w:style w:type="character" w:styleId="HTMLDefinition">
    <w:name w:val="HTML Definition"/>
    <w:semiHidden/>
    <w:rsid w:val="00361416"/>
    <w:rPr>
      <w:i/>
      <w:iCs/>
    </w:rPr>
  </w:style>
  <w:style w:type="character" w:styleId="HTMLVariable">
    <w:name w:val="HTML Variable"/>
    <w:semiHidden/>
    <w:rsid w:val="00361416"/>
    <w:rPr>
      <w:i/>
      <w:iCs/>
    </w:rPr>
  </w:style>
  <w:style w:type="character" w:styleId="HTML-acroniem">
    <w:name w:val="HTML Acronym"/>
    <w:basedOn w:val="Standaardalinea-lettertype"/>
    <w:semiHidden/>
    <w:rsid w:val="00361416"/>
  </w:style>
  <w:style w:type="paragraph" w:styleId="HTML-adres">
    <w:name w:val="HTML Address"/>
    <w:basedOn w:val="Standaard"/>
    <w:semiHidden/>
    <w:rsid w:val="00361416"/>
    <w:rPr>
      <w:i/>
      <w:iCs/>
    </w:rPr>
  </w:style>
  <w:style w:type="character" w:styleId="HTML-citaat">
    <w:name w:val="HTML Cite"/>
    <w:semiHidden/>
    <w:rsid w:val="00361416"/>
    <w:rPr>
      <w:i/>
      <w:iCs/>
    </w:rPr>
  </w:style>
  <w:style w:type="character" w:styleId="HTML-schrijfmachine">
    <w:name w:val="HTML Typewriter"/>
    <w:semiHidden/>
    <w:rsid w:val="00361416"/>
    <w:rPr>
      <w:rFonts w:ascii="Courier New" w:hAnsi="Courier New" w:cs="Courier New"/>
      <w:sz w:val="20"/>
      <w:szCs w:val="20"/>
    </w:rPr>
  </w:style>
  <w:style w:type="character" w:styleId="HTML-toetsenbord">
    <w:name w:val="HTML Keyboard"/>
    <w:semiHidden/>
    <w:rsid w:val="00361416"/>
    <w:rPr>
      <w:rFonts w:ascii="Courier New" w:hAnsi="Courier New" w:cs="Courier New"/>
      <w:sz w:val="20"/>
      <w:szCs w:val="20"/>
    </w:rPr>
  </w:style>
  <w:style w:type="character" w:styleId="HTML-voorbeeld">
    <w:name w:val="HTML Sample"/>
    <w:semiHidden/>
    <w:rsid w:val="00361416"/>
    <w:rPr>
      <w:rFonts w:ascii="Courier New" w:hAnsi="Courier New" w:cs="Courier New"/>
    </w:rPr>
  </w:style>
  <w:style w:type="table" w:styleId="Klassieketabel1">
    <w:name w:val="Table Classic 1"/>
    <w:basedOn w:val="Standaardtabel"/>
    <w:semiHidden/>
    <w:rsid w:val="0036141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36141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36141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36141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36141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36141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36141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Standaard"/>
    <w:semiHidden/>
    <w:rsid w:val="00361416"/>
    <w:pPr>
      <w:ind w:left="283" w:hanging="283"/>
    </w:pPr>
  </w:style>
  <w:style w:type="paragraph" w:styleId="Lijst2">
    <w:name w:val="List 2"/>
    <w:basedOn w:val="Standaard"/>
    <w:semiHidden/>
    <w:rsid w:val="00361416"/>
    <w:pPr>
      <w:ind w:left="566" w:hanging="283"/>
    </w:pPr>
  </w:style>
  <w:style w:type="paragraph" w:styleId="Lijst3">
    <w:name w:val="List 3"/>
    <w:basedOn w:val="Standaard"/>
    <w:semiHidden/>
    <w:rsid w:val="00361416"/>
    <w:pPr>
      <w:ind w:left="849" w:hanging="283"/>
    </w:pPr>
  </w:style>
  <w:style w:type="paragraph" w:styleId="Lijst4">
    <w:name w:val="List 4"/>
    <w:basedOn w:val="Standaard"/>
    <w:semiHidden/>
    <w:rsid w:val="00361416"/>
    <w:pPr>
      <w:ind w:left="1132" w:hanging="283"/>
    </w:pPr>
  </w:style>
  <w:style w:type="paragraph" w:styleId="Lijst5">
    <w:name w:val="List 5"/>
    <w:basedOn w:val="Standaard"/>
    <w:semiHidden/>
    <w:rsid w:val="00361416"/>
    <w:pPr>
      <w:ind w:left="1415" w:hanging="283"/>
    </w:pPr>
  </w:style>
  <w:style w:type="paragraph" w:styleId="Lijstopsomteken">
    <w:name w:val="List Bullet"/>
    <w:basedOn w:val="Standaard"/>
    <w:autoRedefine/>
    <w:semiHidden/>
    <w:rsid w:val="00361416"/>
    <w:pPr>
      <w:numPr>
        <w:numId w:val="7"/>
      </w:numPr>
    </w:pPr>
  </w:style>
  <w:style w:type="paragraph" w:styleId="Lijstopsomteken2">
    <w:name w:val="List Bullet 2"/>
    <w:basedOn w:val="Standaard"/>
    <w:autoRedefine/>
    <w:semiHidden/>
    <w:rsid w:val="00361416"/>
    <w:pPr>
      <w:numPr>
        <w:numId w:val="8"/>
      </w:numPr>
    </w:pPr>
  </w:style>
  <w:style w:type="paragraph" w:styleId="Lijstopsomteken3">
    <w:name w:val="List Bullet 3"/>
    <w:basedOn w:val="Standaard"/>
    <w:autoRedefine/>
    <w:semiHidden/>
    <w:rsid w:val="00361416"/>
    <w:pPr>
      <w:numPr>
        <w:numId w:val="9"/>
      </w:numPr>
    </w:pPr>
  </w:style>
  <w:style w:type="paragraph" w:styleId="Lijstopsomteken4">
    <w:name w:val="List Bullet 4"/>
    <w:basedOn w:val="Standaard"/>
    <w:autoRedefine/>
    <w:semiHidden/>
    <w:rsid w:val="00361416"/>
    <w:pPr>
      <w:numPr>
        <w:numId w:val="10"/>
      </w:numPr>
    </w:pPr>
  </w:style>
  <w:style w:type="paragraph" w:styleId="Lijstopsomteken5">
    <w:name w:val="List Bullet 5"/>
    <w:basedOn w:val="Standaard"/>
    <w:autoRedefine/>
    <w:semiHidden/>
    <w:rsid w:val="00361416"/>
    <w:pPr>
      <w:numPr>
        <w:numId w:val="11"/>
      </w:numPr>
    </w:pPr>
  </w:style>
  <w:style w:type="paragraph" w:styleId="Lijstnummering">
    <w:name w:val="List Number"/>
    <w:basedOn w:val="Standaard"/>
    <w:semiHidden/>
    <w:rsid w:val="00361416"/>
    <w:pPr>
      <w:numPr>
        <w:numId w:val="12"/>
      </w:numPr>
    </w:pPr>
  </w:style>
  <w:style w:type="paragraph" w:styleId="Lijstnummering2">
    <w:name w:val="List Number 2"/>
    <w:basedOn w:val="Standaard"/>
    <w:semiHidden/>
    <w:rsid w:val="00361416"/>
    <w:pPr>
      <w:numPr>
        <w:numId w:val="13"/>
      </w:numPr>
    </w:pPr>
  </w:style>
  <w:style w:type="paragraph" w:styleId="Lijstnummering3">
    <w:name w:val="List Number 3"/>
    <w:basedOn w:val="Standaard"/>
    <w:semiHidden/>
    <w:rsid w:val="00361416"/>
    <w:pPr>
      <w:numPr>
        <w:numId w:val="14"/>
      </w:numPr>
    </w:pPr>
  </w:style>
  <w:style w:type="paragraph" w:styleId="Lijstnummering4">
    <w:name w:val="List Number 4"/>
    <w:basedOn w:val="Standaard"/>
    <w:semiHidden/>
    <w:rsid w:val="00361416"/>
    <w:pPr>
      <w:numPr>
        <w:numId w:val="15"/>
      </w:numPr>
    </w:pPr>
  </w:style>
  <w:style w:type="paragraph" w:styleId="Lijstnummering5">
    <w:name w:val="List Number 5"/>
    <w:basedOn w:val="Standaard"/>
    <w:semiHidden/>
    <w:rsid w:val="00361416"/>
    <w:pPr>
      <w:numPr>
        <w:numId w:val="16"/>
      </w:numPr>
    </w:pPr>
  </w:style>
  <w:style w:type="paragraph" w:styleId="Lijstvoortzetting">
    <w:name w:val="List Continue"/>
    <w:basedOn w:val="Standaard"/>
    <w:semiHidden/>
    <w:rsid w:val="00361416"/>
    <w:pPr>
      <w:spacing w:after="120"/>
      <w:ind w:left="283"/>
    </w:pPr>
  </w:style>
  <w:style w:type="paragraph" w:styleId="Lijstvoortzetting2">
    <w:name w:val="List Continue 2"/>
    <w:basedOn w:val="Standaard"/>
    <w:semiHidden/>
    <w:rsid w:val="00361416"/>
    <w:pPr>
      <w:spacing w:after="120"/>
      <w:ind w:left="566"/>
    </w:pPr>
  </w:style>
  <w:style w:type="paragraph" w:styleId="Lijstvoortzetting3">
    <w:name w:val="List Continue 3"/>
    <w:basedOn w:val="Standaard"/>
    <w:semiHidden/>
    <w:rsid w:val="00361416"/>
    <w:pPr>
      <w:spacing w:after="120"/>
      <w:ind w:left="849"/>
    </w:pPr>
  </w:style>
  <w:style w:type="paragraph" w:styleId="Lijstvoortzetting4">
    <w:name w:val="List Continue 4"/>
    <w:basedOn w:val="Standaard"/>
    <w:semiHidden/>
    <w:rsid w:val="00361416"/>
    <w:pPr>
      <w:spacing w:after="120"/>
      <w:ind w:left="1132"/>
    </w:pPr>
  </w:style>
  <w:style w:type="paragraph" w:styleId="Lijstvoortzetting5">
    <w:name w:val="List Continue 5"/>
    <w:basedOn w:val="Standaard"/>
    <w:semiHidden/>
    <w:rsid w:val="00361416"/>
    <w:pPr>
      <w:spacing w:after="120"/>
      <w:ind w:left="1415"/>
    </w:pPr>
  </w:style>
  <w:style w:type="character" w:styleId="Nadruk">
    <w:name w:val="Emphasis"/>
    <w:rsid w:val="00361416"/>
    <w:rPr>
      <w:i/>
      <w:iCs/>
    </w:rPr>
  </w:style>
  <w:style w:type="paragraph" w:styleId="Normaalweb">
    <w:name w:val="Normal (Web)"/>
    <w:basedOn w:val="Standaard"/>
    <w:semiHidden/>
    <w:rsid w:val="00361416"/>
  </w:style>
  <w:style w:type="paragraph" w:styleId="Notitiekop">
    <w:name w:val="Note Heading"/>
    <w:basedOn w:val="Standaard"/>
    <w:next w:val="Standaard"/>
    <w:semiHidden/>
    <w:rsid w:val="00361416"/>
  </w:style>
  <w:style w:type="paragraph" w:styleId="Plattetekst">
    <w:name w:val="Body Text"/>
    <w:basedOn w:val="Standaard"/>
    <w:semiHidden/>
    <w:rsid w:val="00361416"/>
    <w:pPr>
      <w:spacing w:after="120"/>
    </w:pPr>
  </w:style>
  <w:style w:type="paragraph" w:styleId="Plattetekst2">
    <w:name w:val="Body Text 2"/>
    <w:basedOn w:val="Standaard"/>
    <w:semiHidden/>
    <w:rsid w:val="00361416"/>
    <w:pPr>
      <w:spacing w:after="120" w:line="480" w:lineRule="auto"/>
    </w:pPr>
  </w:style>
  <w:style w:type="paragraph" w:styleId="Plattetekst3">
    <w:name w:val="Body Text 3"/>
    <w:basedOn w:val="Standaard"/>
    <w:semiHidden/>
    <w:rsid w:val="00361416"/>
    <w:pPr>
      <w:spacing w:after="120"/>
    </w:pPr>
    <w:rPr>
      <w:sz w:val="16"/>
      <w:szCs w:val="16"/>
    </w:rPr>
  </w:style>
  <w:style w:type="paragraph" w:styleId="Platteteksteersteinspringing">
    <w:name w:val="Body Text First Indent"/>
    <w:basedOn w:val="Plattetekst"/>
    <w:semiHidden/>
    <w:rsid w:val="00361416"/>
    <w:pPr>
      <w:ind w:firstLine="210"/>
    </w:pPr>
  </w:style>
  <w:style w:type="paragraph" w:styleId="Plattetekstinspringen">
    <w:name w:val="Body Text Indent"/>
    <w:basedOn w:val="Standaard"/>
    <w:semiHidden/>
    <w:rsid w:val="00361416"/>
    <w:pPr>
      <w:spacing w:after="120"/>
      <w:ind w:left="283"/>
    </w:pPr>
  </w:style>
  <w:style w:type="paragraph" w:styleId="Platteteksteersteinspringing2">
    <w:name w:val="Body Text First Indent 2"/>
    <w:basedOn w:val="Plattetekstinspringen"/>
    <w:semiHidden/>
    <w:rsid w:val="00361416"/>
    <w:pPr>
      <w:ind w:firstLine="210"/>
    </w:pPr>
  </w:style>
  <w:style w:type="paragraph" w:styleId="Plattetekstinspringen2">
    <w:name w:val="Body Text Indent 2"/>
    <w:basedOn w:val="Standaard"/>
    <w:semiHidden/>
    <w:rsid w:val="00361416"/>
    <w:pPr>
      <w:spacing w:after="120" w:line="480" w:lineRule="auto"/>
      <w:ind w:left="283"/>
    </w:pPr>
  </w:style>
  <w:style w:type="paragraph" w:styleId="Plattetekstinspringen3">
    <w:name w:val="Body Text Indent 3"/>
    <w:basedOn w:val="Standaard"/>
    <w:semiHidden/>
    <w:rsid w:val="00361416"/>
    <w:pPr>
      <w:spacing w:after="120"/>
      <w:ind w:left="283"/>
    </w:pPr>
    <w:rPr>
      <w:sz w:val="16"/>
      <w:szCs w:val="16"/>
    </w:rPr>
  </w:style>
  <w:style w:type="table" w:styleId="Professioneletabel">
    <w:name w:val="Table Professional"/>
    <w:basedOn w:val="Standaardtabel"/>
    <w:semiHidden/>
    <w:rsid w:val="0036141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361416"/>
  </w:style>
  <w:style w:type="paragraph" w:styleId="Standaardinspringing">
    <w:name w:val="Normal Indent"/>
    <w:basedOn w:val="Standaard"/>
    <w:semiHidden/>
    <w:rsid w:val="00361416"/>
    <w:pPr>
      <w:ind w:left="708"/>
    </w:pPr>
  </w:style>
  <w:style w:type="paragraph" w:styleId="Ondertitel">
    <w:name w:val="Subtitle"/>
    <w:basedOn w:val="Standaard"/>
    <w:rsid w:val="00361416"/>
    <w:pPr>
      <w:spacing w:after="60"/>
      <w:jc w:val="center"/>
      <w:outlineLvl w:val="1"/>
    </w:pPr>
    <w:rPr>
      <w:rFonts w:ascii="Arial" w:hAnsi="Arial" w:cs="Arial"/>
    </w:rPr>
  </w:style>
  <w:style w:type="table" w:styleId="Tabelkolommen1">
    <w:name w:val="Table Columns 1"/>
    <w:basedOn w:val="Standaardtabel"/>
    <w:semiHidden/>
    <w:rsid w:val="0036141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36141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36141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36141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36141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36141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36141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36141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36141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36141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36141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36141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36141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36141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36141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36141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36141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36141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36141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36141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36141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36141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36141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semiHidden/>
    <w:rsid w:val="00361416"/>
    <w:rPr>
      <w:rFonts w:ascii="Courier New" w:hAnsi="Courier New" w:cs="Courier New"/>
      <w:sz w:val="20"/>
      <w:szCs w:val="20"/>
    </w:rPr>
  </w:style>
  <w:style w:type="paragraph" w:styleId="Titel">
    <w:name w:val="Title"/>
    <w:basedOn w:val="Standaard"/>
    <w:next w:val="12ptvoor"/>
    <w:qFormat/>
    <w:rsid w:val="00361416"/>
    <w:rPr>
      <w:b/>
    </w:rPr>
  </w:style>
  <w:style w:type="table" w:styleId="Verfijndetabel1">
    <w:name w:val="Table Subtle 1"/>
    <w:basedOn w:val="Standaardtabel"/>
    <w:semiHidden/>
    <w:rsid w:val="0036141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36141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uiPriority w:val="99"/>
    <w:rsid w:val="00361416"/>
    <w:rPr>
      <w:vertAlign w:val="superscript"/>
    </w:rPr>
  </w:style>
  <w:style w:type="table" w:styleId="Webtabel1">
    <w:name w:val="Table Web 1"/>
    <w:basedOn w:val="Standaardtabel"/>
    <w:semiHidden/>
    <w:rsid w:val="0036141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36141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36141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rsid w:val="00361416"/>
    <w:rPr>
      <w:b/>
      <w:bCs/>
    </w:rPr>
  </w:style>
  <w:style w:type="paragraph" w:styleId="Bibliografie">
    <w:name w:val="Bibliography"/>
    <w:basedOn w:val="Standaard"/>
    <w:uiPriority w:val="37"/>
    <w:qFormat/>
    <w:rsid w:val="00361416"/>
    <w:pPr>
      <w:spacing w:before="240" w:line="360" w:lineRule="auto"/>
      <w:ind w:left="709" w:hanging="709"/>
      <w:contextualSpacing/>
    </w:pPr>
  </w:style>
  <w:style w:type="character" w:customStyle="1" w:styleId="VoettekstChar">
    <w:name w:val="Voettekst Char"/>
    <w:basedOn w:val="Standaardalinea-lettertype"/>
    <w:link w:val="Voettekst"/>
    <w:uiPriority w:val="99"/>
    <w:rsid w:val="00361416"/>
    <w:rPr>
      <w:sz w:val="24"/>
      <w:szCs w:val="24"/>
    </w:rPr>
  </w:style>
  <w:style w:type="paragraph" w:customStyle="1" w:styleId="Bijtitel">
    <w:name w:val="Bijtitel"/>
    <w:basedOn w:val="Standaard"/>
    <w:next w:val="Standaard"/>
    <w:rsid w:val="00361416"/>
    <w:pPr>
      <w:spacing w:before="240" w:after="60"/>
    </w:pPr>
    <w:rPr>
      <w:b/>
      <w:sz w:val="28"/>
    </w:rPr>
  </w:style>
  <w:style w:type="character" w:customStyle="1" w:styleId="CursiefCtrlShiftI">
    <w:name w:val="_Cursief (Ctrl+Shift+I)"/>
    <w:qFormat/>
    <w:rsid w:val="00361416"/>
    <w:rPr>
      <w:i/>
      <w:lang w:val="nl-NL"/>
    </w:rPr>
  </w:style>
  <w:style w:type="paragraph" w:customStyle="1" w:styleId="Randnummer">
    <w:name w:val="_Randnummer"/>
    <w:basedOn w:val="Standaard"/>
    <w:qFormat/>
    <w:rsid w:val="007104EE"/>
    <w:pPr>
      <w:numPr>
        <w:numId w:val="2"/>
      </w:numPr>
      <w:spacing w:before="240" w:line="276" w:lineRule="auto"/>
      <w:ind w:left="357" w:hanging="357"/>
    </w:pPr>
  </w:style>
  <w:style w:type="character" w:customStyle="1" w:styleId="Alineakern">
    <w:name w:val="_Alineakern"/>
    <w:qFormat/>
    <w:rsid w:val="008A115F"/>
    <w:rPr>
      <w:b/>
      <w:caps w:val="0"/>
      <w:smallCaps/>
      <w:lang w:val="nl-NL"/>
    </w:rPr>
  </w:style>
  <w:style w:type="paragraph" w:styleId="Geenafstand">
    <w:name w:val="No Spacing"/>
    <w:uiPriority w:val="1"/>
    <w:qFormat/>
    <w:rsid w:val="003A6F6D"/>
    <w:pPr>
      <w:widowControl w:val="0"/>
      <w:autoSpaceDE w:val="0"/>
      <w:autoSpaceDN w:val="0"/>
    </w:pPr>
    <w:rPr>
      <w:sz w:val="22"/>
      <w:szCs w:val="22"/>
      <w:lang w:eastAsia="en-US"/>
    </w:rPr>
  </w:style>
  <w:style w:type="character" w:customStyle="1" w:styleId="VoetnoottekstChar">
    <w:name w:val="Voetnoottekst Char"/>
    <w:basedOn w:val="Standaardalinea-lettertype"/>
    <w:link w:val="Voetnoottekst"/>
    <w:uiPriority w:val="99"/>
    <w:rsid w:val="003A6F6D"/>
    <w:rPr>
      <w:lang w:val="nl-BE"/>
    </w:rPr>
  </w:style>
  <w:style w:type="character" w:styleId="Verwijzingopmerking">
    <w:name w:val="annotation reference"/>
    <w:basedOn w:val="Standaardalinea-lettertype"/>
    <w:uiPriority w:val="99"/>
    <w:semiHidden/>
    <w:unhideWhenUsed/>
    <w:rsid w:val="00091028"/>
    <w:rPr>
      <w:sz w:val="16"/>
      <w:szCs w:val="16"/>
    </w:rPr>
  </w:style>
  <w:style w:type="paragraph" w:styleId="Tekstopmerking">
    <w:name w:val="annotation text"/>
    <w:basedOn w:val="Standaard"/>
    <w:link w:val="TekstopmerkingChar"/>
    <w:uiPriority w:val="99"/>
    <w:semiHidden/>
    <w:unhideWhenUsed/>
    <w:rsid w:val="00091028"/>
    <w:rPr>
      <w:sz w:val="20"/>
      <w:szCs w:val="20"/>
    </w:rPr>
  </w:style>
  <w:style w:type="character" w:customStyle="1" w:styleId="TekstopmerkingChar">
    <w:name w:val="Tekst opmerking Char"/>
    <w:basedOn w:val="Standaardalinea-lettertype"/>
    <w:link w:val="Tekstopmerking"/>
    <w:uiPriority w:val="99"/>
    <w:semiHidden/>
    <w:rsid w:val="00091028"/>
    <w:rPr>
      <w:lang w:val="nl-BE"/>
    </w:rPr>
  </w:style>
  <w:style w:type="paragraph" w:styleId="Onderwerpvanopmerking">
    <w:name w:val="annotation subject"/>
    <w:basedOn w:val="Tekstopmerking"/>
    <w:next w:val="Tekstopmerking"/>
    <w:link w:val="OnderwerpvanopmerkingChar"/>
    <w:uiPriority w:val="99"/>
    <w:semiHidden/>
    <w:unhideWhenUsed/>
    <w:rsid w:val="00091028"/>
    <w:rPr>
      <w:b/>
      <w:bCs/>
    </w:rPr>
  </w:style>
  <w:style w:type="character" w:customStyle="1" w:styleId="OnderwerpvanopmerkingChar">
    <w:name w:val="Onderwerp van opmerking Char"/>
    <w:basedOn w:val="TekstopmerkingChar"/>
    <w:link w:val="Onderwerpvanopmerking"/>
    <w:uiPriority w:val="99"/>
    <w:semiHidden/>
    <w:rsid w:val="00091028"/>
    <w:rPr>
      <w:b/>
      <w:bCs/>
      <w:lang w:val="nl-BE"/>
    </w:rPr>
  </w:style>
  <w:style w:type="paragraph" w:styleId="Kopvaninhoudsopgave">
    <w:name w:val="TOC Heading"/>
    <w:basedOn w:val="Kop1"/>
    <w:next w:val="Standaard"/>
    <w:uiPriority w:val="39"/>
    <w:unhideWhenUsed/>
    <w:qFormat/>
    <w:rsid w:val="00D94CE1"/>
    <w:pPr>
      <w:numPr>
        <w:numId w:val="0"/>
      </w:numPr>
      <w:spacing w:before="240" w:line="259" w:lineRule="auto"/>
      <w:outlineLvl w:val="9"/>
    </w:pPr>
    <w:rPr>
      <w:rFonts w:asciiTheme="majorHAnsi" w:eastAsiaTheme="majorEastAsia" w:hAnsiTheme="majorHAnsi" w:cstheme="majorBidi"/>
      <w:b w:val="0"/>
      <w:bCs w:val="0"/>
      <w:caps w:val="0"/>
      <w:color w:val="365F91" w:themeColor="accent1" w:themeShade="BF"/>
      <w:sz w:val="32"/>
      <w:lang w:eastAsia="nl-BE"/>
    </w:rPr>
  </w:style>
  <w:style w:type="character" w:styleId="Onopgelostemelding">
    <w:name w:val="Unresolved Mention"/>
    <w:basedOn w:val="Standaardalinea-lettertype"/>
    <w:uiPriority w:val="99"/>
    <w:semiHidden/>
    <w:unhideWhenUsed/>
    <w:rsid w:val="000269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70853">
      <w:bodyDiv w:val="1"/>
      <w:marLeft w:val="0"/>
      <w:marRight w:val="0"/>
      <w:marTop w:val="0"/>
      <w:marBottom w:val="0"/>
      <w:divBdr>
        <w:top w:val="none" w:sz="0" w:space="0" w:color="auto"/>
        <w:left w:val="none" w:sz="0" w:space="0" w:color="auto"/>
        <w:bottom w:val="none" w:sz="0" w:space="0" w:color="auto"/>
        <w:right w:val="none" w:sz="0" w:space="0" w:color="auto"/>
      </w:divBdr>
    </w:div>
    <w:div w:id="220095010">
      <w:bodyDiv w:val="1"/>
      <w:marLeft w:val="0"/>
      <w:marRight w:val="0"/>
      <w:marTop w:val="0"/>
      <w:marBottom w:val="0"/>
      <w:divBdr>
        <w:top w:val="none" w:sz="0" w:space="0" w:color="auto"/>
        <w:left w:val="none" w:sz="0" w:space="0" w:color="auto"/>
        <w:bottom w:val="none" w:sz="0" w:space="0" w:color="auto"/>
        <w:right w:val="none" w:sz="0" w:space="0" w:color="auto"/>
      </w:divBdr>
    </w:div>
    <w:div w:id="439571567">
      <w:bodyDiv w:val="1"/>
      <w:marLeft w:val="0"/>
      <w:marRight w:val="0"/>
      <w:marTop w:val="0"/>
      <w:marBottom w:val="0"/>
      <w:divBdr>
        <w:top w:val="none" w:sz="0" w:space="0" w:color="auto"/>
        <w:left w:val="none" w:sz="0" w:space="0" w:color="auto"/>
        <w:bottom w:val="none" w:sz="0" w:space="0" w:color="auto"/>
        <w:right w:val="none" w:sz="0" w:space="0" w:color="auto"/>
      </w:divBdr>
    </w:div>
    <w:div w:id="673653903">
      <w:bodyDiv w:val="1"/>
      <w:marLeft w:val="0"/>
      <w:marRight w:val="0"/>
      <w:marTop w:val="0"/>
      <w:marBottom w:val="0"/>
      <w:divBdr>
        <w:top w:val="none" w:sz="0" w:space="0" w:color="auto"/>
        <w:left w:val="none" w:sz="0" w:space="0" w:color="auto"/>
        <w:bottom w:val="none" w:sz="0" w:space="0" w:color="auto"/>
        <w:right w:val="none" w:sz="0" w:space="0" w:color="auto"/>
      </w:divBdr>
    </w:div>
    <w:div w:id="771127993">
      <w:bodyDiv w:val="1"/>
      <w:marLeft w:val="0"/>
      <w:marRight w:val="0"/>
      <w:marTop w:val="0"/>
      <w:marBottom w:val="0"/>
      <w:divBdr>
        <w:top w:val="none" w:sz="0" w:space="0" w:color="auto"/>
        <w:left w:val="none" w:sz="0" w:space="0" w:color="auto"/>
        <w:bottom w:val="none" w:sz="0" w:space="0" w:color="auto"/>
        <w:right w:val="none" w:sz="0" w:space="0" w:color="auto"/>
      </w:divBdr>
    </w:div>
    <w:div w:id="1083843233">
      <w:bodyDiv w:val="1"/>
      <w:marLeft w:val="0"/>
      <w:marRight w:val="0"/>
      <w:marTop w:val="0"/>
      <w:marBottom w:val="0"/>
      <w:divBdr>
        <w:top w:val="none" w:sz="0" w:space="0" w:color="auto"/>
        <w:left w:val="none" w:sz="0" w:space="0" w:color="auto"/>
        <w:bottom w:val="none" w:sz="0" w:space="0" w:color="auto"/>
        <w:right w:val="none" w:sz="0" w:space="0" w:color="auto"/>
      </w:divBdr>
    </w:div>
    <w:div w:id="166967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nt-nar.be/sites/default/files/documents/ADVIES/advies-1893.pdf" TargetMode="External"/><Relationship Id="rId18" Type="http://schemas.openxmlformats.org/officeDocument/2006/relationships/hyperlink" Target="https://www.kuleuven.be/onderwijs/student/onderwijstools/artificiele-intelligentie"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cnt-nar.be/sites/default/files/documents/RAPPORT/rapport-110-NL.pdf" TargetMode="External"/><Relationship Id="rId17" Type="http://schemas.openxmlformats.org/officeDocument/2006/relationships/hyperlink" Target="https://www.bundesministerium.de/Monatsberichte/2025/09/%E2%80%A6" TargetMode="External"/><Relationship Id="rId2" Type="http://schemas.openxmlformats.org/officeDocument/2006/relationships/numbering" Target="numbering.xml"/><Relationship Id="rId16" Type="http://schemas.openxmlformats.org/officeDocument/2006/relationships/hyperlink" Target="https://www.kabinetsformatie2017.nl/documenten/publicaties/2017/10/10/regeerakkoor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er.nl/nl/publicaties/adviezen/2010-2019/2015/toekomst-pensioenstelsel" TargetMode="External"/><Relationship Id="rId10" Type="http://schemas.openxmlformats.org/officeDocument/2006/relationships/footer" Target="footer1.xml"/><Relationship Id="rId19" Type="http://schemas.openxmlformats.org/officeDocument/2006/relationships/hyperlink" Target="https://www.kuleuven.be/onderwijs/student/onderwijstools/artificiele-intelligent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cnt-nar.be/sites/default/files/documents/nl/2014-10-09-Boordtabel.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assets.budh.nl/tijdschriften/arbac/bles_1.pdf" TargetMode="External"/><Relationship Id="rId13" Type="http://schemas.openxmlformats.org/officeDocument/2006/relationships/hyperlink" Target="https://papers.ssrn.com/sol3/papers.cfm?abstract_id=5171649" TargetMode="External"/><Relationship Id="rId3" Type="http://schemas.openxmlformats.org/officeDocument/2006/relationships/hyperlink" Target="https://www.lv1871.de/betriebliche-altersvorsorge/fragen/pflicht/" TargetMode="External"/><Relationship Id="rId7" Type="http://schemas.openxmlformats.org/officeDocument/2006/relationships/hyperlink" Target="https://www.fsma.be/nl/tweejaarlijkse-verslagen" TargetMode="External"/><Relationship Id="rId12" Type="http://schemas.openxmlformats.org/officeDocument/2006/relationships/hyperlink" Target="https://papers.ssrn.com/sol3/papers.cfm?abstract_id=5171649" TargetMode="External"/><Relationship Id="rId2" Type="http://schemas.openxmlformats.org/officeDocument/2006/relationships/hyperlink" Target="http://www.cnt-nar.be" TargetMode="External"/><Relationship Id="rId16" Type="http://schemas.openxmlformats.org/officeDocument/2006/relationships/hyperlink" Target="https://www.bundesfinanzministerium.de/Monatsberichte/2025/09/Inhalte/Analysen_Berichte/b01-betriebsrentenstaerkungsgesetz.htm" TargetMode="External"/><Relationship Id="rId1" Type="http://schemas.openxmlformats.org/officeDocument/2006/relationships/hyperlink" Target="http://www.cnt-nar.be" TargetMode="External"/><Relationship Id="rId6" Type="http://schemas.openxmlformats.org/officeDocument/2006/relationships/hyperlink" Target="https://www.fsma.be/nl/tweejaarlijkse-verslagen" TargetMode="External"/><Relationship Id="rId11" Type="http://schemas.openxmlformats.org/officeDocument/2006/relationships/hyperlink" Target="https://papers.ssrn.com/sol3/papers.cfm?abstract_id=5171649" TargetMode="External"/><Relationship Id="rId5" Type="http://schemas.openxmlformats.org/officeDocument/2006/relationships/hyperlink" Target="https://cnt-nar.be/sites/default/files/documents/nl/2014-10-09-Boordtabel.pdf" TargetMode="External"/><Relationship Id="rId15" Type="http://schemas.openxmlformats.org/officeDocument/2006/relationships/hyperlink" Target="https://www.bundesfinanzministerium.de/Monatsberichte/2025/09/Inhalte/Analysen_Berichte/b01-betriebsrentenstaerkungsgesetz.htm" TargetMode="External"/><Relationship Id="rId10" Type="http://schemas.openxmlformats.org/officeDocument/2006/relationships/hyperlink" Target="https://www.kabinetsformatie2017.nl/documenten/publicaties/2017/10/10/regeerakkoord" TargetMode="External"/><Relationship Id="rId4" Type="http://schemas.openxmlformats.org/officeDocument/2006/relationships/hyperlink" Target="https://www.fsma.be/sites/default/files/media/files/2024-11/sectoroverzicht_2024.pdf" TargetMode="External"/><Relationship Id="rId9" Type="http://schemas.openxmlformats.org/officeDocument/2006/relationships/hyperlink" Target="https://www.ser.nl/nl/publicaties/adviezen/2010-2019/2015/toekomst-pensioenstelsel" TargetMode="External"/><Relationship Id="rId14" Type="http://schemas.openxmlformats.org/officeDocument/2006/relationships/hyperlink" Target="https://www.gesetze-im-internet.de/betravg/BetrAVG.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F3B80314874202A739CCEB590B90B7"/>
        <w:category>
          <w:name w:val="Algemeen"/>
          <w:gallery w:val="placeholder"/>
        </w:category>
        <w:types>
          <w:type w:val="bbPlcHdr"/>
        </w:types>
        <w:behaviors>
          <w:behavior w:val="content"/>
        </w:behaviors>
        <w:guid w:val="{3B3CA7D1-8DB7-45B4-89D3-4D6229658AB7}"/>
      </w:docPartPr>
      <w:docPartBody>
        <w:p w:rsidR="00B36695" w:rsidRDefault="00B36695" w:rsidP="00B36695">
          <w:pPr>
            <w:pStyle w:val="C4F3B80314874202A739CCEB590B90B7"/>
          </w:pPr>
          <w:r w:rsidRPr="002D5247">
            <w:rPr>
              <w:rStyle w:val="Tekstvantijdelijkeaanduiding"/>
            </w:rPr>
            <w:t>Klik of tik om tekst in te voeren.</w:t>
          </w:r>
        </w:p>
      </w:docPartBody>
    </w:docPart>
    <w:docPart>
      <w:docPartPr>
        <w:name w:val="A9ED696DE5624C69B6A208EA88B8BC81"/>
        <w:category>
          <w:name w:val="Algemeen"/>
          <w:gallery w:val="placeholder"/>
        </w:category>
        <w:types>
          <w:type w:val="bbPlcHdr"/>
        </w:types>
        <w:behaviors>
          <w:behavior w:val="content"/>
        </w:behaviors>
        <w:guid w:val="{6DC8331F-EAC1-4ACB-A229-AC4E94F0D032}"/>
      </w:docPartPr>
      <w:docPartBody>
        <w:p w:rsidR="00B36695" w:rsidRDefault="00B36695" w:rsidP="00B36695">
          <w:pPr>
            <w:pStyle w:val="A9ED696DE5624C69B6A208EA88B8BC81"/>
          </w:pPr>
          <w:r w:rsidRPr="002D5247">
            <w:rPr>
              <w:rStyle w:val="Tekstvantijdelijkeaanduiding"/>
            </w:rPr>
            <w:t>Klik of tik om tekst in te voeren.</w:t>
          </w:r>
        </w:p>
      </w:docPartBody>
    </w:docPart>
    <w:docPart>
      <w:docPartPr>
        <w:name w:val="873A575E49F741B2BC6F5307A65CC2E0"/>
        <w:category>
          <w:name w:val="Algemeen"/>
          <w:gallery w:val="placeholder"/>
        </w:category>
        <w:types>
          <w:type w:val="bbPlcHdr"/>
        </w:types>
        <w:behaviors>
          <w:behavior w:val="content"/>
        </w:behaviors>
        <w:guid w:val="{8B2E79F3-772C-443B-818F-4B972A7BB01D}"/>
      </w:docPartPr>
      <w:docPartBody>
        <w:p w:rsidR="00B36695" w:rsidRDefault="00B36695" w:rsidP="00B36695">
          <w:pPr>
            <w:pStyle w:val="873A575E49F741B2BC6F5307A65CC2E0"/>
          </w:pPr>
          <w:r w:rsidRPr="002D524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695"/>
    <w:rsid w:val="000B17A6"/>
    <w:rsid w:val="000D48DD"/>
    <w:rsid w:val="00B36695"/>
    <w:rsid w:val="00B450EE"/>
    <w:rsid w:val="00B823ED"/>
    <w:rsid w:val="00C2780D"/>
    <w:rsid w:val="00C952AB"/>
    <w:rsid w:val="00CF3BCF"/>
    <w:rsid w:val="00E86B5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36695"/>
    <w:rPr>
      <w:color w:val="808080"/>
    </w:rPr>
  </w:style>
  <w:style w:type="paragraph" w:customStyle="1" w:styleId="C4F3B80314874202A739CCEB590B90B7">
    <w:name w:val="C4F3B80314874202A739CCEB590B90B7"/>
    <w:rsid w:val="00B36695"/>
  </w:style>
  <w:style w:type="paragraph" w:customStyle="1" w:styleId="A9ED696DE5624C69B6A208EA88B8BC81">
    <w:name w:val="A9ED696DE5624C69B6A208EA88B8BC81"/>
    <w:rsid w:val="00B36695"/>
  </w:style>
  <w:style w:type="paragraph" w:customStyle="1" w:styleId="873A575E49F741B2BC6F5307A65CC2E0">
    <w:name w:val="873A575E49F741B2BC6F5307A65CC2E0"/>
    <w:rsid w:val="00B366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C65EC-3A24-4CB3-9743-589CE1293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27403</Words>
  <Characters>150717</Characters>
  <Application>Microsoft Office Word</Application>
  <DocSecurity>0</DocSecurity>
  <Lines>1255</Lines>
  <Paragraphs>355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Sjabloon Rechtsvraag</vt:lpstr>
      <vt:lpstr>Sjabloon Rechtsvraag</vt:lpstr>
    </vt:vector>
  </TitlesOfParts>
  <Company>K.U.Leuven (A.I.V.)</Company>
  <LinksUpToDate>false</LinksUpToDate>
  <CharactersWithSpaces>177765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Rechtsvraag</dc:title>
  <dc:subject/>
  <dc:creator>Xanthe Godts</dc:creator>
  <cp:keywords/>
  <dc:description/>
  <cp:lastModifiedBy>Xanthe Godts</cp:lastModifiedBy>
  <cp:revision>104</cp:revision>
  <cp:lastPrinted>2004-12-07T13:38:00Z</cp:lastPrinted>
  <dcterms:created xsi:type="dcterms:W3CDTF">2026-05-04T11:33:00Z</dcterms:created>
  <dcterms:modified xsi:type="dcterms:W3CDTF">2026-07-07T15:22:00Z</dcterms:modified>
</cp:coreProperties>
</file>