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4914C" w14:textId="77777777" w:rsidR="002859BC" w:rsidRDefault="002859BC" w:rsidP="005C100A">
      <w:pPr>
        <w:tabs>
          <w:tab w:val="clear" w:pos="284"/>
          <w:tab w:val="clear" w:pos="567"/>
          <w:tab w:val="clear" w:pos="851"/>
          <w:tab w:val="clear" w:pos="1134"/>
          <w:tab w:val="clear" w:pos="1560"/>
          <w:tab w:val="clear" w:pos="2127"/>
          <w:tab w:val="clear" w:pos="2410"/>
          <w:tab w:val="clear" w:pos="8505"/>
        </w:tabs>
        <w:jc w:val="center"/>
        <w:rPr>
          <w:lang w:val="en-US"/>
        </w:rPr>
      </w:pPr>
    </w:p>
    <w:tbl>
      <w:tblPr>
        <w:tblW w:w="0" w:type="auto"/>
        <w:tblLayout w:type="fixed"/>
        <w:tblCellMar>
          <w:left w:w="71" w:type="dxa"/>
          <w:right w:w="71" w:type="dxa"/>
        </w:tblCellMar>
        <w:tblLook w:val="0000" w:firstRow="0" w:lastRow="0" w:firstColumn="0" w:lastColumn="0" w:noHBand="0" w:noVBand="0"/>
      </w:tblPr>
      <w:tblGrid>
        <w:gridCol w:w="1205"/>
        <w:gridCol w:w="7230"/>
      </w:tblGrid>
      <w:tr w:rsidR="00CA7488" w14:paraId="223EDE2B" w14:textId="77777777" w:rsidTr="003076DF">
        <w:tc>
          <w:tcPr>
            <w:tcW w:w="1205" w:type="dxa"/>
            <w:tcBorders>
              <w:right w:val="single" w:sz="6" w:space="0" w:color="auto"/>
            </w:tcBorders>
          </w:tcPr>
          <w:p w14:paraId="0837086C" w14:textId="77777777" w:rsidR="00CA7488" w:rsidRDefault="00CA7488" w:rsidP="003076DF">
            <w:r>
              <w:rPr>
                <w:noProof/>
                <w:lang w:val="nl-NL" w:eastAsia="nl-NL"/>
              </w:rPr>
              <w:drawing>
                <wp:inline distT="0" distB="0" distL="0" distR="0" wp14:anchorId="603636BE" wp14:editId="1ADEF0DD">
                  <wp:extent cx="471805" cy="796290"/>
                  <wp:effectExtent l="19050" t="0" r="4445" b="0"/>
                  <wp:docPr id="4" name="Picture 1" descr="SED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ES22"/>
                          <pic:cNvPicPr>
                            <a:picLocks noChangeAspect="1" noChangeArrowheads="1"/>
                          </pic:cNvPicPr>
                        </pic:nvPicPr>
                        <pic:blipFill>
                          <a:blip r:embed="rId9" cstate="print"/>
                          <a:srcRect/>
                          <a:stretch>
                            <a:fillRect/>
                          </a:stretch>
                        </pic:blipFill>
                        <pic:spPr bwMode="auto">
                          <a:xfrm>
                            <a:off x="0" y="0"/>
                            <a:ext cx="471805" cy="796290"/>
                          </a:xfrm>
                          <a:prstGeom prst="rect">
                            <a:avLst/>
                          </a:prstGeom>
                          <a:noFill/>
                          <a:ln w="9525">
                            <a:noFill/>
                            <a:miter lim="800000"/>
                            <a:headEnd/>
                            <a:tailEnd/>
                          </a:ln>
                        </pic:spPr>
                      </pic:pic>
                    </a:graphicData>
                  </a:graphic>
                </wp:inline>
              </w:drawing>
            </w:r>
          </w:p>
        </w:tc>
        <w:tc>
          <w:tcPr>
            <w:tcW w:w="7230" w:type="dxa"/>
            <w:tcBorders>
              <w:left w:val="nil"/>
            </w:tcBorders>
          </w:tcPr>
          <w:p w14:paraId="424ADBCB" w14:textId="77777777" w:rsidR="00CA7488" w:rsidRPr="00361CB3" w:rsidRDefault="006032FB" w:rsidP="003076DF">
            <w:pPr>
              <w:tabs>
                <w:tab w:val="clear" w:pos="284"/>
                <w:tab w:val="clear" w:pos="567"/>
                <w:tab w:val="clear" w:pos="851"/>
                <w:tab w:val="clear" w:pos="1134"/>
                <w:tab w:val="clear" w:pos="1560"/>
                <w:tab w:val="clear" w:pos="2127"/>
                <w:tab w:val="clear" w:pos="2410"/>
                <w:tab w:val="left" w:leader="dot" w:pos="-6308"/>
                <w:tab w:val="left" w:pos="-6167"/>
              </w:tabs>
              <w:ind w:left="355"/>
              <w:rPr>
                <w:b/>
              </w:rPr>
            </w:pPr>
            <w:r>
              <w:rPr>
                <w:b/>
              </w:rPr>
              <w:t>KU</w:t>
            </w:r>
            <w:r w:rsidR="00CA7488" w:rsidRPr="00361CB3">
              <w:rPr>
                <w:b/>
              </w:rPr>
              <w:t xml:space="preserve"> LEUVEN</w:t>
            </w:r>
          </w:p>
          <w:p w14:paraId="4CDEDC4D" w14:textId="77777777" w:rsidR="00CA7488" w:rsidRDefault="00CA7488" w:rsidP="003076DF">
            <w:pPr>
              <w:tabs>
                <w:tab w:val="clear" w:pos="284"/>
                <w:tab w:val="clear" w:pos="567"/>
                <w:tab w:val="clear" w:pos="851"/>
                <w:tab w:val="clear" w:pos="1134"/>
                <w:tab w:val="clear" w:pos="1560"/>
                <w:tab w:val="clear" w:pos="2127"/>
                <w:tab w:val="clear" w:pos="2410"/>
                <w:tab w:val="left" w:leader="dot" w:pos="-6308"/>
                <w:tab w:val="left" w:pos="-6167"/>
              </w:tabs>
              <w:ind w:left="355"/>
            </w:pPr>
          </w:p>
          <w:p w14:paraId="1CB662D9" w14:textId="77777777" w:rsidR="00CA7488" w:rsidRPr="00361CB3" w:rsidRDefault="00CA7488" w:rsidP="003076DF">
            <w:pPr>
              <w:tabs>
                <w:tab w:val="clear" w:pos="284"/>
                <w:tab w:val="clear" w:pos="567"/>
                <w:tab w:val="clear" w:pos="851"/>
                <w:tab w:val="clear" w:pos="1134"/>
                <w:tab w:val="clear" w:pos="1560"/>
                <w:tab w:val="clear" w:pos="2127"/>
                <w:tab w:val="clear" w:pos="2410"/>
                <w:tab w:val="left" w:leader="dot" w:pos="-6308"/>
                <w:tab w:val="left" w:pos="-6167"/>
              </w:tabs>
              <w:ind w:left="355"/>
              <w:rPr>
                <w:b/>
                <w:smallCaps/>
              </w:rPr>
            </w:pPr>
            <w:r w:rsidRPr="00361CB3">
              <w:rPr>
                <w:b/>
                <w:smallCaps/>
              </w:rPr>
              <w:t>Groep Biomedische Wetenschappen</w:t>
            </w:r>
          </w:p>
          <w:p w14:paraId="1BFACF63" w14:textId="77777777" w:rsidR="00CA7488" w:rsidRDefault="00CA7488" w:rsidP="003076DF">
            <w:pPr>
              <w:tabs>
                <w:tab w:val="clear" w:pos="284"/>
                <w:tab w:val="clear" w:pos="567"/>
                <w:tab w:val="clear" w:pos="851"/>
                <w:tab w:val="clear" w:pos="1134"/>
                <w:tab w:val="clear" w:pos="1560"/>
                <w:tab w:val="clear" w:pos="2127"/>
                <w:tab w:val="clear" w:pos="2410"/>
                <w:tab w:val="left" w:leader="dot" w:pos="-6308"/>
                <w:tab w:val="left" w:pos="-6167"/>
              </w:tabs>
              <w:ind w:left="355"/>
            </w:pPr>
          </w:p>
          <w:p w14:paraId="7FF2D769" w14:textId="77777777" w:rsidR="00CA7488" w:rsidRDefault="00CA7488" w:rsidP="003076DF">
            <w:pPr>
              <w:tabs>
                <w:tab w:val="clear" w:pos="284"/>
                <w:tab w:val="clear" w:pos="567"/>
                <w:tab w:val="clear" w:pos="851"/>
                <w:tab w:val="clear" w:pos="1134"/>
                <w:tab w:val="clear" w:pos="1560"/>
                <w:tab w:val="clear" w:pos="2127"/>
                <w:tab w:val="clear" w:pos="2410"/>
                <w:tab w:val="left" w:leader="dot" w:pos="-6308"/>
                <w:tab w:val="left" w:pos="-6167"/>
              </w:tabs>
              <w:ind w:left="355"/>
              <w:rPr>
                <w:sz w:val="24"/>
              </w:rPr>
            </w:pPr>
            <w:r>
              <w:t>FACULTEIT BEWEGINGS- EN REVALIDATIEWETENSCHAPPEN</w:t>
            </w:r>
          </w:p>
        </w:tc>
      </w:tr>
    </w:tbl>
    <w:p w14:paraId="60DDD762"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399CBA8C"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4CAD4E92"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2FAC1C58"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78C8259F"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315833CF"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1FC8472C"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615F1496"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17A5A1C6"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483BF641"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3F6306D6" w14:textId="77777777" w:rsidR="00701695" w:rsidRDefault="00701695" w:rsidP="009C04A5">
      <w:pPr>
        <w:tabs>
          <w:tab w:val="clear" w:pos="284"/>
          <w:tab w:val="clear" w:pos="567"/>
          <w:tab w:val="clear" w:pos="851"/>
          <w:tab w:val="clear" w:pos="1134"/>
          <w:tab w:val="clear" w:pos="1560"/>
          <w:tab w:val="clear" w:pos="2127"/>
          <w:tab w:val="clear" w:pos="2410"/>
          <w:tab w:val="clear" w:pos="8505"/>
        </w:tabs>
      </w:pPr>
    </w:p>
    <w:p w14:paraId="550A16CF" w14:textId="77777777" w:rsidR="00701695" w:rsidRDefault="00701695" w:rsidP="009C04A5">
      <w:pPr>
        <w:tabs>
          <w:tab w:val="clear" w:pos="284"/>
          <w:tab w:val="clear" w:pos="567"/>
          <w:tab w:val="clear" w:pos="851"/>
          <w:tab w:val="clear" w:pos="1134"/>
          <w:tab w:val="clear" w:pos="1560"/>
          <w:tab w:val="clear" w:pos="2127"/>
          <w:tab w:val="clear" w:pos="2410"/>
          <w:tab w:val="clear" w:pos="8505"/>
        </w:tabs>
      </w:pPr>
    </w:p>
    <w:p w14:paraId="7F19DF95"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1EA355E9"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7B238C01" w14:textId="77777777" w:rsidR="00020391" w:rsidRDefault="00020391" w:rsidP="00435034">
      <w:pPr>
        <w:tabs>
          <w:tab w:val="clear" w:pos="284"/>
          <w:tab w:val="clear" w:pos="567"/>
          <w:tab w:val="clear" w:pos="851"/>
          <w:tab w:val="clear" w:pos="1134"/>
          <w:tab w:val="clear" w:pos="1560"/>
          <w:tab w:val="clear" w:pos="2127"/>
          <w:tab w:val="clear" w:pos="2410"/>
          <w:tab w:val="clear" w:pos="8505"/>
        </w:tabs>
        <w:jc w:val="center"/>
        <w:rPr>
          <w:b/>
          <w:sz w:val="28"/>
          <w:szCs w:val="28"/>
          <w:lang w:val="en-US"/>
        </w:rPr>
      </w:pPr>
      <w:r w:rsidRPr="007C5EC9">
        <w:rPr>
          <w:b/>
          <w:sz w:val="28"/>
          <w:szCs w:val="28"/>
          <w:lang w:val="en-US"/>
        </w:rPr>
        <w:t>Longitudinal follow-up of children with Cerebral Palsy after</w:t>
      </w:r>
      <w:r>
        <w:rPr>
          <w:b/>
          <w:sz w:val="28"/>
          <w:szCs w:val="28"/>
          <w:lang w:val="en-US"/>
        </w:rPr>
        <w:t xml:space="preserve"> </w:t>
      </w:r>
      <w:r w:rsidR="00435034">
        <w:rPr>
          <w:b/>
          <w:sz w:val="28"/>
          <w:szCs w:val="28"/>
          <w:lang w:val="en-US"/>
        </w:rPr>
        <w:br/>
      </w:r>
      <w:r>
        <w:rPr>
          <w:b/>
          <w:sz w:val="28"/>
          <w:szCs w:val="28"/>
          <w:lang w:val="en-US"/>
        </w:rPr>
        <w:t>Single-Event</w:t>
      </w:r>
      <w:r w:rsidRPr="007C5EC9">
        <w:rPr>
          <w:b/>
          <w:sz w:val="28"/>
          <w:szCs w:val="28"/>
          <w:lang w:val="en-US"/>
        </w:rPr>
        <w:t xml:space="preserve"> </w:t>
      </w:r>
      <w:r>
        <w:rPr>
          <w:b/>
          <w:sz w:val="28"/>
          <w:szCs w:val="28"/>
          <w:lang w:val="en-US"/>
        </w:rPr>
        <w:t>M</w:t>
      </w:r>
      <w:r w:rsidRPr="007C5EC9">
        <w:rPr>
          <w:b/>
          <w:sz w:val="28"/>
          <w:szCs w:val="28"/>
          <w:lang w:val="en-US"/>
        </w:rPr>
        <w:t xml:space="preserve">ultilevel </w:t>
      </w:r>
      <w:r>
        <w:rPr>
          <w:b/>
          <w:sz w:val="28"/>
          <w:szCs w:val="28"/>
          <w:lang w:val="en-US"/>
        </w:rPr>
        <w:t>S</w:t>
      </w:r>
      <w:r w:rsidRPr="007C5EC9">
        <w:rPr>
          <w:b/>
          <w:sz w:val="28"/>
          <w:szCs w:val="28"/>
          <w:lang w:val="en-US"/>
        </w:rPr>
        <w:t>urgery</w:t>
      </w:r>
    </w:p>
    <w:p w14:paraId="1DBF03B1" w14:textId="77777777" w:rsidR="007C5EC9" w:rsidRPr="007C5EC9" w:rsidRDefault="007C5EC9" w:rsidP="009C04A5">
      <w:pPr>
        <w:tabs>
          <w:tab w:val="clear" w:pos="284"/>
          <w:tab w:val="clear" w:pos="567"/>
          <w:tab w:val="clear" w:pos="851"/>
          <w:tab w:val="clear" w:pos="1134"/>
          <w:tab w:val="clear" w:pos="1560"/>
          <w:tab w:val="clear" w:pos="2127"/>
          <w:tab w:val="clear" w:pos="2410"/>
          <w:tab w:val="clear" w:pos="8505"/>
        </w:tabs>
        <w:rPr>
          <w:lang w:val="en-US"/>
        </w:rPr>
      </w:pPr>
    </w:p>
    <w:p w14:paraId="43FD648F" w14:textId="77777777" w:rsidR="002859BC" w:rsidRPr="007C5EC9"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6B0791D2" w14:textId="77777777" w:rsidR="002859BC" w:rsidRPr="007C5EC9"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1C721742" w14:textId="77777777" w:rsidR="002859BC" w:rsidRPr="007C5EC9"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5FF2FD17" w14:textId="77777777" w:rsidR="002859BC" w:rsidRPr="007C5EC9"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07E44B74" w14:textId="77777777" w:rsidR="002859BC" w:rsidRPr="007C5EC9"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5C2F4A6D" w14:textId="77777777" w:rsidR="002859BC" w:rsidRPr="007C5EC9"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1D4714A9" w14:textId="77777777" w:rsidR="002859BC" w:rsidRDefault="007C5EC9" w:rsidP="005C100A">
      <w:pPr>
        <w:tabs>
          <w:tab w:val="clear" w:pos="284"/>
          <w:tab w:val="clear" w:pos="567"/>
          <w:tab w:val="clear" w:pos="851"/>
          <w:tab w:val="clear" w:pos="1134"/>
          <w:tab w:val="clear" w:pos="1560"/>
          <w:tab w:val="clear" w:pos="2127"/>
          <w:tab w:val="clear" w:pos="2410"/>
          <w:tab w:val="clear" w:pos="8505"/>
        </w:tabs>
        <w:ind w:left="5387"/>
      </w:pPr>
      <w:r>
        <w:t xml:space="preserve">door Lise </w:t>
      </w:r>
      <w:proofErr w:type="spellStart"/>
      <w:r>
        <w:t>Loyens</w:t>
      </w:r>
      <w:proofErr w:type="spellEnd"/>
    </w:p>
    <w:p w14:paraId="4AF061CC" w14:textId="77777777" w:rsidR="002859BC" w:rsidRDefault="007C5EC9" w:rsidP="005C100A">
      <w:pPr>
        <w:tabs>
          <w:tab w:val="clear" w:pos="284"/>
          <w:tab w:val="clear" w:pos="567"/>
          <w:tab w:val="clear" w:pos="851"/>
          <w:tab w:val="clear" w:pos="1134"/>
          <w:tab w:val="clear" w:pos="1560"/>
          <w:tab w:val="clear" w:pos="2127"/>
          <w:tab w:val="clear" w:pos="2410"/>
          <w:tab w:val="clear" w:pos="8505"/>
        </w:tabs>
        <w:ind w:left="5387"/>
      </w:pPr>
      <w:r>
        <w:t xml:space="preserve">en </w:t>
      </w:r>
      <w:proofErr w:type="spellStart"/>
      <w:r>
        <w:t>Evie</w:t>
      </w:r>
      <w:proofErr w:type="spellEnd"/>
      <w:r>
        <w:t xml:space="preserve"> </w:t>
      </w:r>
      <w:proofErr w:type="spellStart"/>
      <w:r>
        <w:t>Moonemans</w:t>
      </w:r>
      <w:proofErr w:type="spellEnd"/>
    </w:p>
    <w:p w14:paraId="02E4B71D" w14:textId="77777777" w:rsidR="002859BC" w:rsidRDefault="002859BC" w:rsidP="005C100A">
      <w:pPr>
        <w:tabs>
          <w:tab w:val="clear" w:pos="284"/>
          <w:tab w:val="clear" w:pos="567"/>
          <w:tab w:val="clear" w:pos="851"/>
          <w:tab w:val="clear" w:pos="1134"/>
          <w:tab w:val="clear" w:pos="1560"/>
          <w:tab w:val="clear" w:pos="2127"/>
          <w:tab w:val="clear" w:pos="2410"/>
          <w:tab w:val="clear" w:pos="8505"/>
        </w:tabs>
        <w:ind w:left="5387"/>
      </w:pPr>
    </w:p>
    <w:p w14:paraId="1B518B82" w14:textId="77777777" w:rsidR="002859BC" w:rsidRPr="00932AD2" w:rsidRDefault="002859BC" w:rsidP="005C100A">
      <w:pPr>
        <w:tabs>
          <w:tab w:val="clear" w:pos="284"/>
          <w:tab w:val="clear" w:pos="567"/>
          <w:tab w:val="clear" w:pos="851"/>
          <w:tab w:val="clear" w:pos="1134"/>
          <w:tab w:val="clear" w:pos="1560"/>
          <w:tab w:val="clear" w:pos="2127"/>
          <w:tab w:val="clear" w:pos="2410"/>
          <w:tab w:val="clear" w:pos="8505"/>
        </w:tabs>
        <w:ind w:left="5387"/>
      </w:pPr>
      <w:r>
        <w:t xml:space="preserve">masterproef aangeboden, </w:t>
      </w:r>
      <w:r w:rsidRPr="00932AD2">
        <w:t>tot het behalen van de</w:t>
      </w:r>
      <w:r>
        <w:t xml:space="preserve"> </w:t>
      </w:r>
      <w:r w:rsidRPr="00932AD2">
        <w:t xml:space="preserve">graad van </w:t>
      </w:r>
      <w:r w:rsidR="00C321C2">
        <w:t>M</w:t>
      </w:r>
      <w:r w:rsidRPr="00932AD2">
        <w:t>aster</w:t>
      </w:r>
      <w:r>
        <w:t xml:space="preserve"> of </w:t>
      </w:r>
      <w:proofErr w:type="spellStart"/>
      <w:r w:rsidR="00C321C2">
        <w:t>S</w:t>
      </w:r>
      <w:r>
        <w:t>cience</w:t>
      </w:r>
      <w:proofErr w:type="spellEnd"/>
      <w:r w:rsidRPr="00932AD2">
        <w:t xml:space="preserve"> in de </w:t>
      </w:r>
      <w:r>
        <w:t>r</w:t>
      </w:r>
      <w:r w:rsidRPr="00932AD2">
        <w:t>evalidatiewetenschappen</w:t>
      </w:r>
      <w:r>
        <w:t xml:space="preserve"> </w:t>
      </w:r>
      <w:r w:rsidRPr="00932AD2">
        <w:t xml:space="preserve">en </w:t>
      </w:r>
      <w:r>
        <w:t>k</w:t>
      </w:r>
      <w:r w:rsidRPr="00932AD2">
        <w:t>inesitherapie</w:t>
      </w:r>
    </w:p>
    <w:p w14:paraId="2261C802" w14:textId="77777777" w:rsidR="002859BC" w:rsidRPr="00932AD2" w:rsidRDefault="002859BC" w:rsidP="005C100A">
      <w:pPr>
        <w:tabs>
          <w:tab w:val="clear" w:pos="284"/>
          <w:tab w:val="clear" w:pos="567"/>
          <w:tab w:val="clear" w:pos="851"/>
          <w:tab w:val="clear" w:pos="1134"/>
          <w:tab w:val="clear" w:pos="1560"/>
          <w:tab w:val="clear" w:pos="2127"/>
          <w:tab w:val="clear" w:pos="2410"/>
          <w:tab w:val="clear" w:pos="8505"/>
        </w:tabs>
        <w:ind w:left="5387"/>
      </w:pPr>
    </w:p>
    <w:p w14:paraId="1C42ADAD" w14:textId="77777777" w:rsidR="002859BC" w:rsidRPr="00932AD2" w:rsidRDefault="002859BC" w:rsidP="005C100A">
      <w:pPr>
        <w:tabs>
          <w:tab w:val="clear" w:pos="284"/>
          <w:tab w:val="clear" w:pos="567"/>
          <w:tab w:val="clear" w:pos="851"/>
          <w:tab w:val="clear" w:pos="1134"/>
          <w:tab w:val="clear" w:pos="1560"/>
          <w:tab w:val="clear" w:pos="2127"/>
          <w:tab w:val="clear" w:pos="2410"/>
          <w:tab w:val="clear" w:pos="8505"/>
        </w:tabs>
        <w:ind w:left="5387"/>
      </w:pPr>
      <w:r w:rsidRPr="00932AD2">
        <w:tab/>
      </w:r>
      <w:r w:rsidRPr="00932AD2">
        <w:tab/>
      </w:r>
      <w:r w:rsidRPr="00932AD2">
        <w:tab/>
      </w:r>
    </w:p>
    <w:p w14:paraId="450D7B1F" w14:textId="77777777" w:rsidR="002859BC" w:rsidRPr="007A6322" w:rsidRDefault="002859BC" w:rsidP="005C100A">
      <w:pPr>
        <w:tabs>
          <w:tab w:val="clear" w:pos="284"/>
          <w:tab w:val="clear" w:pos="567"/>
          <w:tab w:val="clear" w:pos="851"/>
          <w:tab w:val="clear" w:pos="1134"/>
          <w:tab w:val="clear" w:pos="1560"/>
          <w:tab w:val="clear" w:pos="2127"/>
          <w:tab w:val="clear" w:pos="2410"/>
          <w:tab w:val="clear" w:pos="8505"/>
        </w:tabs>
        <w:ind w:left="5387"/>
      </w:pPr>
      <w:r w:rsidRPr="007A6322">
        <w:t>o.l.v.</w:t>
      </w:r>
    </w:p>
    <w:p w14:paraId="313933B9" w14:textId="77777777" w:rsidR="002859BC" w:rsidRPr="007C5EC9" w:rsidRDefault="00944644" w:rsidP="005C100A">
      <w:pPr>
        <w:pStyle w:val="Voettekst"/>
        <w:tabs>
          <w:tab w:val="clear" w:pos="284"/>
          <w:tab w:val="clear" w:pos="567"/>
          <w:tab w:val="clear" w:pos="851"/>
          <w:tab w:val="clear" w:pos="1134"/>
          <w:tab w:val="clear" w:pos="1560"/>
          <w:tab w:val="clear" w:pos="2127"/>
          <w:tab w:val="clear" w:pos="2410"/>
          <w:tab w:val="clear" w:pos="4819"/>
          <w:tab w:val="clear" w:pos="8505"/>
          <w:tab w:val="clear" w:pos="9071"/>
        </w:tabs>
        <w:ind w:left="5387"/>
      </w:pPr>
      <w:r w:rsidRPr="007C5EC9">
        <w:t>p</w:t>
      </w:r>
      <w:r w:rsidR="002859BC" w:rsidRPr="007C5EC9">
        <w:t xml:space="preserve">rof. </w:t>
      </w:r>
      <w:r w:rsidRPr="007C5EC9">
        <w:t>d</w:t>
      </w:r>
      <w:r w:rsidR="007C5EC9" w:rsidRPr="007C5EC9">
        <w:t>r. K.</w:t>
      </w:r>
      <w:r w:rsidR="007C5EC9">
        <w:t xml:space="preserve"> </w:t>
      </w:r>
      <w:proofErr w:type="spellStart"/>
      <w:r w:rsidR="007C5EC9">
        <w:t>Desloovere</w:t>
      </w:r>
      <w:proofErr w:type="spellEnd"/>
      <w:r w:rsidR="002859BC" w:rsidRPr="007C5EC9">
        <w:t>, promotor</w:t>
      </w:r>
    </w:p>
    <w:p w14:paraId="7A82036A" w14:textId="29EAABBA" w:rsidR="002859BC" w:rsidRPr="007446D4" w:rsidRDefault="004A04DE" w:rsidP="007C5EC9">
      <w:pPr>
        <w:pStyle w:val="Voettekst"/>
        <w:tabs>
          <w:tab w:val="clear" w:pos="284"/>
          <w:tab w:val="clear" w:pos="567"/>
          <w:tab w:val="clear" w:pos="851"/>
          <w:tab w:val="clear" w:pos="1134"/>
          <w:tab w:val="clear" w:pos="1560"/>
          <w:tab w:val="clear" w:pos="2127"/>
          <w:tab w:val="clear" w:pos="2410"/>
          <w:tab w:val="clear" w:pos="4819"/>
          <w:tab w:val="clear" w:pos="8505"/>
          <w:tab w:val="clear" w:pos="9071"/>
        </w:tabs>
        <w:ind w:left="5387"/>
        <w:jc w:val="left"/>
      </w:pPr>
      <w:r>
        <w:t>p</w:t>
      </w:r>
      <w:r w:rsidR="002859BC" w:rsidRPr="007446D4">
        <w:t xml:space="preserve">rof. </w:t>
      </w:r>
      <w:r w:rsidR="00944644">
        <w:t>d</w:t>
      </w:r>
      <w:r w:rsidR="007C5EC9">
        <w:t xml:space="preserve">r. A. Van Campenhout,    </w:t>
      </w:r>
      <w:r w:rsidR="007C5EC9">
        <w:br/>
        <w:t xml:space="preserve">         </w:t>
      </w:r>
      <w:r w:rsidR="00A265F1" w:rsidRPr="00A265F1">
        <w:rPr>
          <w:sz w:val="16"/>
        </w:rPr>
        <w:t xml:space="preserve"> </w:t>
      </w:r>
      <w:r w:rsidR="002859BC" w:rsidRPr="007446D4">
        <w:t>copromotor</w:t>
      </w:r>
      <w:r w:rsidR="007C5EC9">
        <w:br/>
        <w:t xml:space="preserve">dr. L. </w:t>
      </w:r>
      <w:proofErr w:type="spellStart"/>
      <w:r w:rsidR="007C5EC9">
        <w:t>Bar-On</w:t>
      </w:r>
      <w:proofErr w:type="spellEnd"/>
      <w:r w:rsidR="007C5EC9">
        <w:t>, copromotor</w:t>
      </w:r>
    </w:p>
    <w:p w14:paraId="68C9F716" w14:textId="77777777" w:rsidR="002859BC" w:rsidRPr="007446D4" w:rsidRDefault="002859BC" w:rsidP="009C04A5">
      <w:pPr>
        <w:pStyle w:val="Voettekst"/>
        <w:tabs>
          <w:tab w:val="clear" w:pos="284"/>
          <w:tab w:val="clear" w:pos="567"/>
          <w:tab w:val="clear" w:pos="851"/>
          <w:tab w:val="clear" w:pos="1134"/>
          <w:tab w:val="clear" w:pos="1560"/>
          <w:tab w:val="clear" w:pos="2127"/>
          <w:tab w:val="clear" w:pos="2410"/>
          <w:tab w:val="clear" w:pos="4819"/>
          <w:tab w:val="clear" w:pos="8505"/>
          <w:tab w:val="clear" w:pos="9071"/>
        </w:tabs>
      </w:pPr>
      <w:r w:rsidRPr="007446D4">
        <w:tab/>
      </w:r>
      <w:r w:rsidRPr="007446D4">
        <w:tab/>
      </w:r>
      <w:r w:rsidRPr="007446D4">
        <w:tab/>
      </w:r>
    </w:p>
    <w:p w14:paraId="2718F151" w14:textId="77777777" w:rsidR="002859BC" w:rsidRPr="007446D4" w:rsidRDefault="002859BC" w:rsidP="009C04A5">
      <w:pPr>
        <w:pStyle w:val="Voettekst"/>
        <w:tabs>
          <w:tab w:val="clear" w:pos="284"/>
          <w:tab w:val="clear" w:pos="567"/>
          <w:tab w:val="clear" w:pos="851"/>
          <w:tab w:val="clear" w:pos="1134"/>
          <w:tab w:val="clear" w:pos="1560"/>
          <w:tab w:val="clear" w:pos="2127"/>
          <w:tab w:val="clear" w:pos="2410"/>
          <w:tab w:val="clear" w:pos="4819"/>
          <w:tab w:val="clear" w:pos="8505"/>
          <w:tab w:val="clear" w:pos="9071"/>
        </w:tabs>
      </w:pPr>
    </w:p>
    <w:p w14:paraId="02EE809A" w14:textId="77777777" w:rsidR="002859BC" w:rsidRPr="007446D4" w:rsidRDefault="002859BC" w:rsidP="009C04A5">
      <w:pPr>
        <w:pStyle w:val="Voettekst"/>
        <w:tabs>
          <w:tab w:val="clear" w:pos="284"/>
          <w:tab w:val="clear" w:pos="567"/>
          <w:tab w:val="clear" w:pos="851"/>
          <w:tab w:val="clear" w:pos="1134"/>
          <w:tab w:val="clear" w:pos="1560"/>
          <w:tab w:val="clear" w:pos="2127"/>
          <w:tab w:val="clear" w:pos="2410"/>
          <w:tab w:val="clear" w:pos="4819"/>
          <w:tab w:val="clear" w:pos="8505"/>
          <w:tab w:val="clear" w:pos="9071"/>
        </w:tabs>
      </w:pPr>
    </w:p>
    <w:p w14:paraId="12C85510" w14:textId="77777777" w:rsidR="002859BC" w:rsidRPr="007446D4" w:rsidRDefault="002859BC" w:rsidP="009C04A5">
      <w:pPr>
        <w:pStyle w:val="Voettekst"/>
        <w:tabs>
          <w:tab w:val="clear" w:pos="284"/>
          <w:tab w:val="clear" w:pos="567"/>
          <w:tab w:val="clear" w:pos="851"/>
          <w:tab w:val="clear" w:pos="1134"/>
          <w:tab w:val="clear" w:pos="1560"/>
          <w:tab w:val="clear" w:pos="2127"/>
          <w:tab w:val="clear" w:pos="2410"/>
          <w:tab w:val="clear" w:pos="4819"/>
          <w:tab w:val="clear" w:pos="8505"/>
          <w:tab w:val="clear" w:pos="9071"/>
        </w:tabs>
      </w:pPr>
    </w:p>
    <w:p w14:paraId="2A73F45F"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3D72BBC6"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759A7DE8"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42DD2B76" w14:textId="77777777" w:rsidR="00E32D83" w:rsidRDefault="007C5EC9" w:rsidP="005C100A">
      <w:pPr>
        <w:tabs>
          <w:tab w:val="clear" w:pos="284"/>
          <w:tab w:val="clear" w:pos="567"/>
          <w:tab w:val="clear" w:pos="851"/>
          <w:tab w:val="clear" w:pos="1134"/>
          <w:tab w:val="clear" w:pos="1560"/>
          <w:tab w:val="clear" w:pos="2127"/>
          <w:tab w:val="clear" w:pos="2410"/>
          <w:tab w:val="clear" w:pos="8505"/>
        </w:tabs>
        <w:jc w:val="center"/>
      </w:pPr>
      <w:r>
        <w:t>LEUVEN, 2016</w:t>
      </w:r>
    </w:p>
    <w:p w14:paraId="39D92336" w14:textId="77777777" w:rsidR="002859BC" w:rsidRDefault="002859BC" w:rsidP="005C100A">
      <w:pPr>
        <w:tabs>
          <w:tab w:val="clear" w:pos="284"/>
          <w:tab w:val="clear" w:pos="567"/>
          <w:tab w:val="clear" w:pos="851"/>
          <w:tab w:val="clear" w:pos="1134"/>
          <w:tab w:val="clear" w:pos="1560"/>
          <w:tab w:val="clear" w:pos="2127"/>
          <w:tab w:val="clear" w:pos="2410"/>
          <w:tab w:val="clear" w:pos="8505"/>
        </w:tabs>
        <w:jc w:val="center"/>
      </w:pPr>
      <w:r>
        <w:lastRenderedPageBreak/>
        <w:br w:type="page"/>
      </w:r>
    </w:p>
    <w:p w14:paraId="5A28A42F" w14:textId="77777777" w:rsidR="002859BC" w:rsidRPr="007C5EC9" w:rsidRDefault="002859BC" w:rsidP="005C100A">
      <w:pPr>
        <w:tabs>
          <w:tab w:val="clear" w:pos="284"/>
          <w:tab w:val="clear" w:pos="567"/>
          <w:tab w:val="clear" w:pos="851"/>
          <w:tab w:val="clear" w:pos="1134"/>
          <w:tab w:val="clear" w:pos="1560"/>
          <w:tab w:val="clear" w:pos="2127"/>
          <w:tab w:val="clear" w:pos="2410"/>
          <w:tab w:val="clear" w:pos="8505"/>
        </w:tabs>
        <w:jc w:val="center"/>
      </w:pPr>
    </w:p>
    <w:tbl>
      <w:tblPr>
        <w:tblW w:w="0" w:type="auto"/>
        <w:tblLayout w:type="fixed"/>
        <w:tblCellMar>
          <w:left w:w="71" w:type="dxa"/>
          <w:right w:w="71" w:type="dxa"/>
        </w:tblCellMar>
        <w:tblLook w:val="0000" w:firstRow="0" w:lastRow="0" w:firstColumn="0" w:lastColumn="0" w:noHBand="0" w:noVBand="0"/>
      </w:tblPr>
      <w:tblGrid>
        <w:gridCol w:w="1205"/>
        <w:gridCol w:w="7230"/>
      </w:tblGrid>
      <w:tr w:rsidR="00CA7488" w14:paraId="68D16D2A" w14:textId="77777777" w:rsidTr="003076DF">
        <w:tc>
          <w:tcPr>
            <w:tcW w:w="1205" w:type="dxa"/>
            <w:tcBorders>
              <w:right w:val="single" w:sz="6" w:space="0" w:color="auto"/>
            </w:tcBorders>
          </w:tcPr>
          <w:p w14:paraId="642F898C" w14:textId="77777777" w:rsidR="00CA7488" w:rsidRDefault="00CA7488" w:rsidP="003076DF">
            <w:r>
              <w:rPr>
                <w:noProof/>
                <w:lang w:val="nl-NL" w:eastAsia="nl-NL"/>
              </w:rPr>
              <w:drawing>
                <wp:inline distT="0" distB="0" distL="0" distR="0" wp14:anchorId="75CB1FF4" wp14:editId="0C95D366">
                  <wp:extent cx="471805" cy="796290"/>
                  <wp:effectExtent l="19050" t="0" r="4445" b="0"/>
                  <wp:docPr id="6" name="Picture 1" descr="SED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ES22"/>
                          <pic:cNvPicPr>
                            <a:picLocks noChangeAspect="1" noChangeArrowheads="1"/>
                          </pic:cNvPicPr>
                        </pic:nvPicPr>
                        <pic:blipFill>
                          <a:blip r:embed="rId9" cstate="print"/>
                          <a:srcRect/>
                          <a:stretch>
                            <a:fillRect/>
                          </a:stretch>
                        </pic:blipFill>
                        <pic:spPr bwMode="auto">
                          <a:xfrm>
                            <a:off x="0" y="0"/>
                            <a:ext cx="471805" cy="796290"/>
                          </a:xfrm>
                          <a:prstGeom prst="rect">
                            <a:avLst/>
                          </a:prstGeom>
                          <a:noFill/>
                          <a:ln w="9525">
                            <a:noFill/>
                            <a:miter lim="800000"/>
                            <a:headEnd/>
                            <a:tailEnd/>
                          </a:ln>
                        </pic:spPr>
                      </pic:pic>
                    </a:graphicData>
                  </a:graphic>
                </wp:inline>
              </w:drawing>
            </w:r>
          </w:p>
        </w:tc>
        <w:tc>
          <w:tcPr>
            <w:tcW w:w="7230" w:type="dxa"/>
            <w:tcBorders>
              <w:left w:val="nil"/>
            </w:tcBorders>
          </w:tcPr>
          <w:p w14:paraId="0EBC9DF9" w14:textId="77777777" w:rsidR="00CA7488" w:rsidRPr="00361CB3" w:rsidRDefault="006032FB" w:rsidP="003076DF">
            <w:pPr>
              <w:tabs>
                <w:tab w:val="clear" w:pos="284"/>
                <w:tab w:val="clear" w:pos="567"/>
                <w:tab w:val="clear" w:pos="851"/>
                <w:tab w:val="clear" w:pos="1134"/>
                <w:tab w:val="clear" w:pos="1560"/>
                <w:tab w:val="clear" w:pos="2127"/>
                <w:tab w:val="clear" w:pos="2410"/>
                <w:tab w:val="left" w:leader="dot" w:pos="-6308"/>
                <w:tab w:val="left" w:pos="-6167"/>
              </w:tabs>
              <w:ind w:left="355"/>
              <w:rPr>
                <w:b/>
              </w:rPr>
            </w:pPr>
            <w:r>
              <w:rPr>
                <w:b/>
              </w:rPr>
              <w:t>KU</w:t>
            </w:r>
            <w:r w:rsidR="00CA7488" w:rsidRPr="00361CB3">
              <w:rPr>
                <w:b/>
              </w:rPr>
              <w:t xml:space="preserve"> LEUVEN</w:t>
            </w:r>
          </w:p>
          <w:p w14:paraId="75051253" w14:textId="77777777" w:rsidR="00CA7488" w:rsidRDefault="00CA7488" w:rsidP="003076DF">
            <w:pPr>
              <w:tabs>
                <w:tab w:val="clear" w:pos="284"/>
                <w:tab w:val="clear" w:pos="567"/>
                <w:tab w:val="clear" w:pos="851"/>
                <w:tab w:val="clear" w:pos="1134"/>
                <w:tab w:val="clear" w:pos="1560"/>
                <w:tab w:val="clear" w:pos="2127"/>
                <w:tab w:val="clear" w:pos="2410"/>
                <w:tab w:val="left" w:leader="dot" w:pos="-6308"/>
                <w:tab w:val="left" w:pos="-6167"/>
              </w:tabs>
              <w:ind w:left="355"/>
            </w:pPr>
          </w:p>
          <w:p w14:paraId="5E9CF52F" w14:textId="77777777" w:rsidR="00CA7488" w:rsidRPr="00361CB3" w:rsidRDefault="00CA7488" w:rsidP="003076DF">
            <w:pPr>
              <w:tabs>
                <w:tab w:val="clear" w:pos="284"/>
                <w:tab w:val="clear" w:pos="567"/>
                <w:tab w:val="clear" w:pos="851"/>
                <w:tab w:val="clear" w:pos="1134"/>
                <w:tab w:val="clear" w:pos="1560"/>
                <w:tab w:val="clear" w:pos="2127"/>
                <w:tab w:val="clear" w:pos="2410"/>
                <w:tab w:val="left" w:leader="dot" w:pos="-6308"/>
                <w:tab w:val="left" w:pos="-6167"/>
              </w:tabs>
              <w:ind w:left="355"/>
              <w:rPr>
                <w:b/>
                <w:smallCaps/>
              </w:rPr>
            </w:pPr>
            <w:r w:rsidRPr="00361CB3">
              <w:rPr>
                <w:b/>
                <w:smallCaps/>
              </w:rPr>
              <w:t>Groep Biomedische Wetenschappen</w:t>
            </w:r>
          </w:p>
          <w:p w14:paraId="4676EFCE" w14:textId="77777777" w:rsidR="00CA7488" w:rsidRDefault="00CA7488" w:rsidP="003076DF">
            <w:pPr>
              <w:tabs>
                <w:tab w:val="clear" w:pos="284"/>
                <w:tab w:val="clear" w:pos="567"/>
                <w:tab w:val="clear" w:pos="851"/>
                <w:tab w:val="clear" w:pos="1134"/>
                <w:tab w:val="clear" w:pos="1560"/>
                <w:tab w:val="clear" w:pos="2127"/>
                <w:tab w:val="clear" w:pos="2410"/>
                <w:tab w:val="left" w:leader="dot" w:pos="-6308"/>
                <w:tab w:val="left" w:pos="-6167"/>
              </w:tabs>
              <w:ind w:left="355"/>
            </w:pPr>
          </w:p>
          <w:p w14:paraId="5BDA829B" w14:textId="77777777" w:rsidR="00CA7488" w:rsidRDefault="00CA7488" w:rsidP="003076DF">
            <w:pPr>
              <w:tabs>
                <w:tab w:val="clear" w:pos="284"/>
                <w:tab w:val="clear" w:pos="567"/>
                <w:tab w:val="clear" w:pos="851"/>
                <w:tab w:val="clear" w:pos="1134"/>
                <w:tab w:val="clear" w:pos="1560"/>
                <w:tab w:val="clear" w:pos="2127"/>
                <w:tab w:val="clear" w:pos="2410"/>
                <w:tab w:val="left" w:leader="dot" w:pos="-6308"/>
                <w:tab w:val="left" w:pos="-6167"/>
              </w:tabs>
              <w:ind w:left="355"/>
              <w:rPr>
                <w:sz w:val="24"/>
              </w:rPr>
            </w:pPr>
            <w:r>
              <w:t>FACULTEIT BEWEGINGS- EN REVALIDATIEWETENSCHAPPEN</w:t>
            </w:r>
          </w:p>
        </w:tc>
      </w:tr>
    </w:tbl>
    <w:p w14:paraId="4555E3F0"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0B163573"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6E0D2649"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0982B07D"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75B96986"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651229C5"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04D96095"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225AEAD4"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14EF916C"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45AA9DDF" w14:textId="77777777" w:rsidR="00C9740F" w:rsidRDefault="00C9740F" w:rsidP="009C04A5">
      <w:pPr>
        <w:tabs>
          <w:tab w:val="clear" w:pos="284"/>
          <w:tab w:val="clear" w:pos="567"/>
          <w:tab w:val="clear" w:pos="851"/>
          <w:tab w:val="clear" w:pos="1134"/>
          <w:tab w:val="clear" w:pos="1560"/>
          <w:tab w:val="clear" w:pos="2127"/>
          <w:tab w:val="clear" w:pos="2410"/>
          <w:tab w:val="clear" w:pos="8505"/>
        </w:tabs>
      </w:pPr>
    </w:p>
    <w:p w14:paraId="3D775259"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259EEE1C"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5D21707A"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66E4DD06"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75000DD0" w14:textId="77777777" w:rsidR="00F86446" w:rsidRDefault="00F86446" w:rsidP="00435034">
      <w:pPr>
        <w:tabs>
          <w:tab w:val="clear" w:pos="284"/>
          <w:tab w:val="clear" w:pos="567"/>
          <w:tab w:val="clear" w:pos="851"/>
          <w:tab w:val="clear" w:pos="1134"/>
          <w:tab w:val="clear" w:pos="1560"/>
          <w:tab w:val="clear" w:pos="2127"/>
          <w:tab w:val="clear" w:pos="2410"/>
          <w:tab w:val="clear" w:pos="8505"/>
        </w:tabs>
        <w:jc w:val="center"/>
        <w:rPr>
          <w:b/>
          <w:sz w:val="28"/>
          <w:szCs w:val="28"/>
          <w:lang w:val="en-US"/>
        </w:rPr>
      </w:pPr>
      <w:r w:rsidRPr="007C5EC9">
        <w:rPr>
          <w:b/>
          <w:sz w:val="28"/>
          <w:szCs w:val="28"/>
          <w:lang w:val="en-US"/>
        </w:rPr>
        <w:t>Longitudinal follow-up of children with Cerebral Palsy after</w:t>
      </w:r>
      <w:r>
        <w:rPr>
          <w:b/>
          <w:sz w:val="28"/>
          <w:szCs w:val="28"/>
          <w:lang w:val="en-US"/>
        </w:rPr>
        <w:t xml:space="preserve"> </w:t>
      </w:r>
      <w:r w:rsidR="00435034">
        <w:rPr>
          <w:b/>
          <w:sz w:val="28"/>
          <w:szCs w:val="28"/>
          <w:lang w:val="en-US"/>
        </w:rPr>
        <w:br/>
      </w:r>
      <w:r w:rsidR="00020391">
        <w:rPr>
          <w:b/>
          <w:sz w:val="28"/>
          <w:szCs w:val="28"/>
          <w:lang w:val="en-US"/>
        </w:rPr>
        <w:t>S</w:t>
      </w:r>
      <w:r w:rsidR="00C94EB1">
        <w:rPr>
          <w:b/>
          <w:sz w:val="28"/>
          <w:szCs w:val="28"/>
          <w:lang w:val="en-US"/>
        </w:rPr>
        <w:t>ingle-</w:t>
      </w:r>
      <w:r w:rsidR="00020391">
        <w:rPr>
          <w:b/>
          <w:sz w:val="28"/>
          <w:szCs w:val="28"/>
          <w:lang w:val="en-US"/>
        </w:rPr>
        <w:t>E</w:t>
      </w:r>
      <w:r>
        <w:rPr>
          <w:b/>
          <w:sz w:val="28"/>
          <w:szCs w:val="28"/>
          <w:lang w:val="en-US"/>
        </w:rPr>
        <w:t>vent</w:t>
      </w:r>
      <w:r w:rsidRPr="007C5EC9">
        <w:rPr>
          <w:b/>
          <w:sz w:val="28"/>
          <w:szCs w:val="28"/>
          <w:lang w:val="en-US"/>
        </w:rPr>
        <w:t xml:space="preserve"> </w:t>
      </w:r>
      <w:r w:rsidR="00020391">
        <w:rPr>
          <w:b/>
          <w:sz w:val="28"/>
          <w:szCs w:val="28"/>
          <w:lang w:val="en-US"/>
        </w:rPr>
        <w:t>M</w:t>
      </w:r>
      <w:r w:rsidRPr="007C5EC9">
        <w:rPr>
          <w:b/>
          <w:sz w:val="28"/>
          <w:szCs w:val="28"/>
          <w:lang w:val="en-US"/>
        </w:rPr>
        <w:t xml:space="preserve">ultilevel </w:t>
      </w:r>
      <w:r w:rsidR="00020391">
        <w:rPr>
          <w:b/>
          <w:sz w:val="28"/>
          <w:szCs w:val="28"/>
          <w:lang w:val="en-US"/>
        </w:rPr>
        <w:t>S</w:t>
      </w:r>
      <w:r w:rsidRPr="007C5EC9">
        <w:rPr>
          <w:b/>
          <w:sz w:val="28"/>
          <w:szCs w:val="28"/>
          <w:lang w:val="en-US"/>
        </w:rPr>
        <w:t>urgery</w:t>
      </w:r>
    </w:p>
    <w:p w14:paraId="1E1ECE37" w14:textId="77777777" w:rsidR="002859BC" w:rsidRPr="00E32D83" w:rsidRDefault="002859BC" w:rsidP="005C100A">
      <w:pPr>
        <w:tabs>
          <w:tab w:val="clear" w:pos="284"/>
          <w:tab w:val="clear" w:pos="567"/>
          <w:tab w:val="clear" w:pos="851"/>
          <w:tab w:val="clear" w:pos="1134"/>
          <w:tab w:val="clear" w:pos="1560"/>
          <w:tab w:val="clear" w:pos="2127"/>
          <w:tab w:val="clear" w:pos="2410"/>
          <w:tab w:val="clear" w:pos="8505"/>
        </w:tabs>
        <w:jc w:val="center"/>
        <w:rPr>
          <w:b/>
          <w:lang w:val="en-US"/>
        </w:rPr>
      </w:pPr>
    </w:p>
    <w:p w14:paraId="1ED9CBF4" w14:textId="77777777" w:rsidR="002859BC" w:rsidRPr="00E32D83"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24721D6B" w14:textId="77777777" w:rsidR="002859BC" w:rsidRPr="00E32D83"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48DF5A2D" w14:textId="77777777" w:rsidR="002859BC" w:rsidRPr="00E32D83"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3B93550D" w14:textId="77777777" w:rsidR="002859BC" w:rsidRPr="00E32D83"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1E32B25C" w14:textId="77777777" w:rsidR="002859BC" w:rsidRPr="00E32D83"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19F136B6" w14:textId="77777777" w:rsidR="002859BC" w:rsidRPr="00E32D83" w:rsidRDefault="002859BC" w:rsidP="009C04A5">
      <w:pPr>
        <w:tabs>
          <w:tab w:val="clear" w:pos="284"/>
          <w:tab w:val="clear" w:pos="567"/>
          <w:tab w:val="clear" w:pos="851"/>
          <w:tab w:val="clear" w:pos="1134"/>
          <w:tab w:val="clear" w:pos="1560"/>
          <w:tab w:val="clear" w:pos="2127"/>
          <w:tab w:val="clear" w:pos="2410"/>
          <w:tab w:val="clear" w:pos="8505"/>
        </w:tabs>
        <w:rPr>
          <w:lang w:val="en-US"/>
        </w:rPr>
      </w:pPr>
    </w:p>
    <w:p w14:paraId="55CC9BF0" w14:textId="77777777" w:rsidR="002859BC" w:rsidRDefault="009D5111" w:rsidP="009D5111">
      <w:pPr>
        <w:tabs>
          <w:tab w:val="clear" w:pos="284"/>
          <w:tab w:val="clear" w:pos="567"/>
          <w:tab w:val="clear" w:pos="851"/>
          <w:tab w:val="clear" w:pos="1134"/>
          <w:tab w:val="clear" w:pos="1560"/>
          <w:tab w:val="clear" w:pos="2127"/>
          <w:tab w:val="clear" w:pos="2410"/>
          <w:tab w:val="clear" w:pos="8505"/>
        </w:tabs>
        <w:ind w:left="4027" w:firstLine="680"/>
      </w:pPr>
      <w:r w:rsidRPr="008419AB">
        <w:rPr>
          <w:lang w:val="en-US"/>
        </w:rPr>
        <w:t xml:space="preserve">             </w:t>
      </w:r>
      <w:r w:rsidR="00E32D83">
        <w:t xml:space="preserve">door Lise </w:t>
      </w:r>
      <w:proofErr w:type="spellStart"/>
      <w:r w:rsidR="00E32D83">
        <w:t>Loyens</w:t>
      </w:r>
      <w:proofErr w:type="spellEnd"/>
    </w:p>
    <w:p w14:paraId="25872C64" w14:textId="77777777" w:rsidR="00E32D83" w:rsidRDefault="00E32D83" w:rsidP="009D5111">
      <w:pPr>
        <w:tabs>
          <w:tab w:val="clear" w:pos="284"/>
          <w:tab w:val="clear" w:pos="567"/>
          <w:tab w:val="clear" w:pos="851"/>
          <w:tab w:val="clear" w:pos="1134"/>
          <w:tab w:val="clear" w:pos="1560"/>
          <w:tab w:val="clear" w:pos="2127"/>
          <w:tab w:val="clear" w:pos="2410"/>
          <w:tab w:val="clear" w:pos="8505"/>
        </w:tabs>
        <w:ind w:left="4707" w:firstLine="680"/>
      </w:pPr>
      <w:r>
        <w:t xml:space="preserve">en </w:t>
      </w:r>
      <w:proofErr w:type="spellStart"/>
      <w:r>
        <w:t>Evie</w:t>
      </w:r>
      <w:proofErr w:type="spellEnd"/>
      <w:r>
        <w:t xml:space="preserve"> </w:t>
      </w:r>
      <w:proofErr w:type="spellStart"/>
      <w:r>
        <w:t>Moonemans</w:t>
      </w:r>
      <w:proofErr w:type="spellEnd"/>
    </w:p>
    <w:p w14:paraId="4DBEC8E0" w14:textId="77777777" w:rsidR="002859BC" w:rsidRDefault="002859BC" w:rsidP="005C100A">
      <w:pPr>
        <w:tabs>
          <w:tab w:val="clear" w:pos="284"/>
          <w:tab w:val="clear" w:pos="567"/>
          <w:tab w:val="clear" w:pos="851"/>
          <w:tab w:val="clear" w:pos="1134"/>
          <w:tab w:val="clear" w:pos="1560"/>
          <w:tab w:val="clear" w:pos="2127"/>
          <w:tab w:val="clear" w:pos="2410"/>
          <w:tab w:val="clear" w:pos="8505"/>
        </w:tabs>
        <w:ind w:left="5529"/>
      </w:pPr>
    </w:p>
    <w:p w14:paraId="2B2D1D55" w14:textId="77777777" w:rsidR="009D5111" w:rsidRPr="00932AD2" w:rsidRDefault="009D5111" w:rsidP="009D5111">
      <w:pPr>
        <w:tabs>
          <w:tab w:val="clear" w:pos="284"/>
          <w:tab w:val="clear" w:pos="567"/>
          <w:tab w:val="clear" w:pos="851"/>
          <w:tab w:val="clear" w:pos="1134"/>
          <w:tab w:val="clear" w:pos="1560"/>
          <w:tab w:val="clear" w:pos="2127"/>
          <w:tab w:val="clear" w:pos="2410"/>
          <w:tab w:val="clear" w:pos="8505"/>
        </w:tabs>
        <w:ind w:left="5387"/>
      </w:pPr>
      <w:r>
        <w:t xml:space="preserve">masterproef aangeboden, </w:t>
      </w:r>
      <w:r w:rsidRPr="00932AD2">
        <w:t>tot het behalen van de</w:t>
      </w:r>
      <w:r>
        <w:t xml:space="preserve"> </w:t>
      </w:r>
      <w:r w:rsidRPr="00932AD2">
        <w:t xml:space="preserve">graad van </w:t>
      </w:r>
      <w:r>
        <w:t>M</w:t>
      </w:r>
      <w:r w:rsidRPr="00932AD2">
        <w:t>aster</w:t>
      </w:r>
      <w:r>
        <w:t xml:space="preserve"> of </w:t>
      </w:r>
      <w:proofErr w:type="spellStart"/>
      <w:r>
        <w:t>Science</w:t>
      </w:r>
      <w:proofErr w:type="spellEnd"/>
      <w:r w:rsidRPr="00932AD2">
        <w:t xml:space="preserve"> in de </w:t>
      </w:r>
      <w:r>
        <w:t>r</w:t>
      </w:r>
      <w:r w:rsidRPr="00932AD2">
        <w:t>evalidatiewetenschappen</w:t>
      </w:r>
      <w:r>
        <w:t xml:space="preserve"> </w:t>
      </w:r>
      <w:r w:rsidRPr="00932AD2">
        <w:t xml:space="preserve">en </w:t>
      </w:r>
      <w:r>
        <w:t>k</w:t>
      </w:r>
      <w:r w:rsidRPr="00932AD2">
        <w:t>inesitherapie</w:t>
      </w:r>
    </w:p>
    <w:p w14:paraId="7CCB0531" w14:textId="77777777" w:rsidR="002859BC" w:rsidRDefault="002859BC" w:rsidP="005C100A">
      <w:pPr>
        <w:tabs>
          <w:tab w:val="clear" w:pos="284"/>
          <w:tab w:val="clear" w:pos="567"/>
          <w:tab w:val="clear" w:pos="851"/>
          <w:tab w:val="clear" w:pos="1134"/>
          <w:tab w:val="clear" w:pos="1560"/>
          <w:tab w:val="clear" w:pos="2127"/>
          <w:tab w:val="clear" w:pos="2410"/>
          <w:tab w:val="clear" w:pos="8505"/>
        </w:tabs>
        <w:ind w:left="5529"/>
      </w:pPr>
    </w:p>
    <w:p w14:paraId="1393154D" w14:textId="77777777" w:rsidR="002859BC" w:rsidRDefault="002859BC" w:rsidP="005C100A">
      <w:pPr>
        <w:tabs>
          <w:tab w:val="clear" w:pos="284"/>
          <w:tab w:val="clear" w:pos="567"/>
          <w:tab w:val="clear" w:pos="851"/>
          <w:tab w:val="clear" w:pos="1134"/>
          <w:tab w:val="clear" w:pos="1560"/>
          <w:tab w:val="clear" w:pos="2127"/>
          <w:tab w:val="clear" w:pos="2410"/>
          <w:tab w:val="clear" w:pos="8505"/>
        </w:tabs>
        <w:ind w:left="5529"/>
      </w:pPr>
    </w:p>
    <w:p w14:paraId="0CA4DF0D" w14:textId="77777777" w:rsidR="002859BC" w:rsidRPr="00D8500E" w:rsidRDefault="002859BC" w:rsidP="009D5111">
      <w:pPr>
        <w:tabs>
          <w:tab w:val="clear" w:pos="284"/>
          <w:tab w:val="clear" w:pos="567"/>
          <w:tab w:val="clear" w:pos="851"/>
          <w:tab w:val="clear" w:pos="1134"/>
          <w:tab w:val="clear" w:pos="1560"/>
          <w:tab w:val="clear" w:pos="2127"/>
          <w:tab w:val="clear" w:pos="2410"/>
          <w:tab w:val="clear" w:pos="8505"/>
        </w:tabs>
        <w:ind w:left="4760" w:firstLine="627"/>
      </w:pPr>
      <w:r w:rsidRPr="00D8500E">
        <w:t>o.l.v.</w:t>
      </w:r>
    </w:p>
    <w:p w14:paraId="2C0DB26B" w14:textId="77777777" w:rsidR="002859BC" w:rsidRDefault="00944644" w:rsidP="009D5111">
      <w:pPr>
        <w:tabs>
          <w:tab w:val="clear" w:pos="284"/>
          <w:tab w:val="clear" w:pos="567"/>
          <w:tab w:val="clear" w:pos="851"/>
          <w:tab w:val="clear" w:pos="1134"/>
          <w:tab w:val="clear" w:pos="1560"/>
          <w:tab w:val="clear" w:pos="2127"/>
          <w:tab w:val="clear" w:pos="2410"/>
          <w:tab w:val="clear" w:pos="8505"/>
        </w:tabs>
        <w:ind w:left="4760" w:firstLine="627"/>
      </w:pPr>
      <w:r>
        <w:t>p</w:t>
      </w:r>
      <w:r w:rsidR="002859BC" w:rsidRPr="00627460">
        <w:t xml:space="preserve">rof. </w:t>
      </w:r>
      <w:r>
        <w:t>d</w:t>
      </w:r>
      <w:r w:rsidR="00E32D83">
        <w:t xml:space="preserve">r. K. </w:t>
      </w:r>
      <w:proofErr w:type="spellStart"/>
      <w:r w:rsidR="00E32D83">
        <w:t>Desloovere</w:t>
      </w:r>
      <w:proofErr w:type="spellEnd"/>
      <w:r w:rsidR="002859BC" w:rsidRPr="00627460">
        <w:t>, promotor</w:t>
      </w:r>
    </w:p>
    <w:p w14:paraId="24826B4B" w14:textId="77777777" w:rsidR="00E32D83" w:rsidRDefault="00E32D83" w:rsidP="009D5111">
      <w:pPr>
        <w:tabs>
          <w:tab w:val="clear" w:pos="284"/>
          <w:tab w:val="clear" w:pos="567"/>
          <w:tab w:val="clear" w:pos="851"/>
          <w:tab w:val="clear" w:pos="1134"/>
          <w:tab w:val="clear" w:pos="1560"/>
          <w:tab w:val="clear" w:pos="2127"/>
          <w:tab w:val="clear" w:pos="2410"/>
          <w:tab w:val="clear" w:pos="8505"/>
        </w:tabs>
        <w:ind w:left="4760" w:firstLine="627"/>
        <w:jc w:val="left"/>
      </w:pPr>
      <w:r>
        <w:t xml:space="preserve">prof. dr. A. Van Campenhout, </w:t>
      </w:r>
      <w:r>
        <w:br/>
        <w:t xml:space="preserve">          </w:t>
      </w:r>
      <w:r w:rsidR="009D5111">
        <w:t xml:space="preserve">          </w:t>
      </w:r>
      <w:r w:rsidR="0062776B">
        <w:t xml:space="preserve">  </w:t>
      </w:r>
      <w:r>
        <w:t>copromotor</w:t>
      </w:r>
    </w:p>
    <w:p w14:paraId="3A5AED78" w14:textId="77777777" w:rsidR="00E32D83" w:rsidRPr="00627460" w:rsidRDefault="00E32D83" w:rsidP="009D5111">
      <w:pPr>
        <w:tabs>
          <w:tab w:val="clear" w:pos="284"/>
          <w:tab w:val="clear" w:pos="567"/>
          <w:tab w:val="clear" w:pos="851"/>
          <w:tab w:val="clear" w:pos="1134"/>
          <w:tab w:val="clear" w:pos="1560"/>
          <w:tab w:val="clear" w:pos="2127"/>
          <w:tab w:val="clear" w:pos="2410"/>
          <w:tab w:val="clear" w:pos="8505"/>
        </w:tabs>
        <w:ind w:left="4760" w:firstLine="627"/>
        <w:jc w:val="left"/>
      </w:pPr>
      <w:r>
        <w:t xml:space="preserve">dr. L. </w:t>
      </w:r>
      <w:proofErr w:type="spellStart"/>
      <w:r>
        <w:t>Bar-On</w:t>
      </w:r>
      <w:proofErr w:type="spellEnd"/>
      <w:r>
        <w:t>, copromotor</w:t>
      </w:r>
    </w:p>
    <w:p w14:paraId="4D54EA89" w14:textId="77777777" w:rsidR="002859BC" w:rsidRPr="00627460" w:rsidRDefault="002859BC" w:rsidP="005C100A">
      <w:pPr>
        <w:pStyle w:val="Voettekst"/>
        <w:tabs>
          <w:tab w:val="clear" w:pos="284"/>
          <w:tab w:val="clear" w:pos="567"/>
          <w:tab w:val="clear" w:pos="851"/>
          <w:tab w:val="clear" w:pos="1134"/>
          <w:tab w:val="clear" w:pos="1560"/>
          <w:tab w:val="clear" w:pos="2127"/>
          <w:tab w:val="clear" w:pos="2410"/>
          <w:tab w:val="clear" w:pos="4819"/>
          <w:tab w:val="clear" w:pos="8505"/>
          <w:tab w:val="clear" w:pos="9071"/>
        </w:tabs>
        <w:ind w:left="5529"/>
      </w:pPr>
      <w:r w:rsidRPr="00627460">
        <w:tab/>
      </w:r>
    </w:p>
    <w:p w14:paraId="4DB670B8" w14:textId="77777777" w:rsidR="002859BC" w:rsidRPr="00627460" w:rsidRDefault="002859BC" w:rsidP="005C100A">
      <w:pPr>
        <w:pStyle w:val="Voettekst"/>
        <w:tabs>
          <w:tab w:val="clear" w:pos="284"/>
          <w:tab w:val="clear" w:pos="567"/>
          <w:tab w:val="clear" w:pos="851"/>
          <w:tab w:val="clear" w:pos="1134"/>
          <w:tab w:val="clear" w:pos="1560"/>
          <w:tab w:val="clear" w:pos="2127"/>
          <w:tab w:val="clear" w:pos="2410"/>
          <w:tab w:val="clear" w:pos="4819"/>
          <w:tab w:val="clear" w:pos="8505"/>
          <w:tab w:val="clear" w:pos="9071"/>
        </w:tabs>
        <w:ind w:left="5529"/>
      </w:pPr>
    </w:p>
    <w:p w14:paraId="6B0F32B6" w14:textId="77777777" w:rsidR="00CA3CF9" w:rsidRDefault="00CA3CF9" w:rsidP="005C100A">
      <w:pPr>
        <w:tabs>
          <w:tab w:val="clear" w:pos="284"/>
          <w:tab w:val="clear" w:pos="567"/>
          <w:tab w:val="clear" w:pos="851"/>
          <w:tab w:val="clear" w:pos="1134"/>
          <w:tab w:val="clear" w:pos="1560"/>
          <w:tab w:val="clear" w:pos="2127"/>
          <w:tab w:val="clear" w:pos="2410"/>
          <w:tab w:val="clear" w:pos="8505"/>
        </w:tabs>
        <w:ind w:left="5529"/>
      </w:pPr>
    </w:p>
    <w:p w14:paraId="41195139" w14:textId="77777777" w:rsidR="002859BC" w:rsidRPr="00E32D83" w:rsidRDefault="002859BC" w:rsidP="009C04A5">
      <w:pPr>
        <w:tabs>
          <w:tab w:val="clear" w:pos="284"/>
          <w:tab w:val="clear" w:pos="567"/>
          <w:tab w:val="clear" w:pos="851"/>
          <w:tab w:val="clear" w:pos="1134"/>
          <w:tab w:val="clear" w:pos="1560"/>
          <w:tab w:val="clear" w:pos="2127"/>
          <w:tab w:val="clear" w:pos="2410"/>
          <w:tab w:val="clear" w:pos="8505"/>
        </w:tabs>
        <w:rPr>
          <w:b/>
        </w:rPr>
      </w:pPr>
      <w:r>
        <w:tab/>
      </w:r>
      <w:r>
        <w:tab/>
      </w:r>
      <w:r>
        <w:tab/>
      </w:r>
    </w:p>
    <w:p w14:paraId="034DE123"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5DC29EA1" w14:textId="77777777" w:rsidR="002859BC" w:rsidRDefault="002859BC" w:rsidP="009C04A5">
      <w:pPr>
        <w:tabs>
          <w:tab w:val="clear" w:pos="284"/>
          <w:tab w:val="clear" w:pos="567"/>
          <w:tab w:val="clear" w:pos="851"/>
          <w:tab w:val="clear" w:pos="1134"/>
          <w:tab w:val="clear" w:pos="1560"/>
          <w:tab w:val="clear" w:pos="2127"/>
          <w:tab w:val="clear" w:pos="2410"/>
          <w:tab w:val="clear" w:pos="8505"/>
        </w:tabs>
      </w:pPr>
    </w:p>
    <w:p w14:paraId="0E4C790F" w14:textId="77777777" w:rsidR="00D62ACB" w:rsidRDefault="0062776B" w:rsidP="005C100A">
      <w:pPr>
        <w:tabs>
          <w:tab w:val="clear" w:pos="284"/>
          <w:tab w:val="clear" w:pos="567"/>
          <w:tab w:val="clear" w:pos="851"/>
          <w:tab w:val="clear" w:pos="1134"/>
          <w:tab w:val="clear" w:pos="1560"/>
          <w:tab w:val="clear" w:pos="2127"/>
          <w:tab w:val="clear" w:pos="2410"/>
          <w:tab w:val="clear" w:pos="8505"/>
        </w:tabs>
        <w:jc w:val="center"/>
      </w:pPr>
      <w:r>
        <w:t>LEUVEN, 2016</w:t>
      </w:r>
    </w:p>
    <w:p w14:paraId="26CCF484" w14:textId="77777777" w:rsidR="00043906" w:rsidRDefault="00AF7C23" w:rsidP="00AF7C23">
      <w:pPr>
        <w:pBdr>
          <w:top w:val="single" w:sz="4" w:space="1" w:color="auto"/>
        </w:pBdr>
        <w:tabs>
          <w:tab w:val="clear" w:pos="567"/>
          <w:tab w:val="clear" w:pos="1134"/>
          <w:tab w:val="left" w:pos="-570"/>
          <w:tab w:val="left" w:pos="1"/>
          <w:tab w:val="left" w:pos="180"/>
          <w:tab w:val="left" w:pos="366"/>
          <w:tab w:val="left" w:pos="546"/>
          <w:tab w:val="left" w:pos="732"/>
          <w:tab w:val="left" w:pos="918"/>
          <w:tab w:val="left" w:pos="1116"/>
          <w:tab w:val="left" w:pos="1284"/>
          <w:tab w:val="left" w:pos="1464"/>
          <w:tab w:val="left" w:pos="1650"/>
          <w:tab w:val="left" w:pos="1836"/>
          <w:tab w:val="left" w:pos="2016"/>
          <w:tab w:val="left" w:pos="2202"/>
          <w:tab w:val="left" w:pos="2382"/>
          <w:tab w:val="left" w:pos="2568"/>
          <w:tab w:val="left" w:pos="2754"/>
          <w:tab w:val="left" w:pos="2934"/>
          <w:tab w:val="left" w:pos="3120"/>
          <w:tab w:val="left" w:pos="3300"/>
          <w:tab w:val="left" w:pos="3486"/>
          <w:tab w:val="left" w:pos="3672"/>
          <w:tab w:val="left" w:pos="3852"/>
          <w:tab w:val="left" w:pos="4038"/>
          <w:tab w:val="left" w:pos="4218"/>
          <w:tab w:val="left" w:pos="4404"/>
          <w:tab w:val="left" w:pos="4590"/>
          <w:tab w:val="left" w:pos="4770"/>
          <w:tab w:val="left" w:pos="4956"/>
          <w:tab w:val="left" w:pos="5136"/>
          <w:tab w:val="left" w:pos="5322"/>
          <w:tab w:val="left" w:pos="5508"/>
          <w:tab w:val="left" w:pos="5688"/>
          <w:tab w:val="left" w:pos="5874"/>
          <w:tab w:val="left" w:pos="6054"/>
          <w:tab w:val="left" w:pos="6240"/>
          <w:tab w:val="left" w:pos="6426"/>
          <w:tab w:val="left" w:pos="6606"/>
          <w:tab w:val="left" w:pos="6792"/>
          <w:tab w:val="left" w:pos="6972"/>
        </w:tabs>
        <w:jc w:val="center"/>
        <w:rPr>
          <w:rFonts w:ascii="Univers" w:hAnsi="Univers"/>
          <w:i/>
        </w:rPr>
        <w:sectPr w:rsidR="00043906" w:rsidSect="00043906">
          <w:footerReference w:type="first" r:id="rId10"/>
          <w:pgSz w:w="11906" w:h="16838"/>
          <w:pgMar w:top="1417" w:right="1417" w:bottom="1417" w:left="1417" w:header="708" w:footer="708" w:gutter="0"/>
          <w:pgNumType w:fmt="upperRoman"/>
          <w:cols w:space="708"/>
          <w:titlePg/>
          <w:docGrid w:linePitch="360"/>
        </w:sectPr>
      </w:pPr>
      <w:r>
        <w:rPr>
          <w:rFonts w:ascii="Univers" w:hAnsi="Univers"/>
        </w:rPr>
        <w:t>Opgeste</w:t>
      </w:r>
      <w:r w:rsidR="007A6322">
        <w:rPr>
          <w:rFonts w:ascii="Univers" w:hAnsi="Univers"/>
        </w:rPr>
        <w:t>ld volgens de richtlijnen van</w:t>
      </w:r>
      <w:r>
        <w:rPr>
          <w:rFonts w:ascii="Univers" w:hAnsi="Univers"/>
        </w:rPr>
        <w:t xml:space="preserve"> </w:t>
      </w:r>
      <w:proofErr w:type="spellStart"/>
      <w:r w:rsidR="00043906">
        <w:rPr>
          <w:rFonts w:ascii="Univers" w:hAnsi="Univers"/>
          <w:i/>
        </w:rPr>
        <w:t>Gait</w:t>
      </w:r>
      <w:proofErr w:type="spellEnd"/>
      <w:r w:rsidR="00043906">
        <w:rPr>
          <w:rFonts w:ascii="Univers" w:hAnsi="Univers"/>
          <w:i/>
        </w:rPr>
        <w:t xml:space="preserve"> &amp; </w:t>
      </w:r>
      <w:proofErr w:type="spellStart"/>
      <w:r w:rsidR="00043906">
        <w:rPr>
          <w:rFonts w:ascii="Univers" w:hAnsi="Univers"/>
          <w:i/>
        </w:rPr>
        <w:t>Posture</w:t>
      </w:r>
      <w:proofErr w:type="spellEnd"/>
    </w:p>
    <w:p w14:paraId="1FCD2B0C" w14:textId="1762B4FE" w:rsidR="00D62ACB" w:rsidRPr="009D5111" w:rsidRDefault="008033E7" w:rsidP="008033E7">
      <w:pPr>
        <w:tabs>
          <w:tab w:val="clear" w:pos="284"/>
          <w:tab w:val="clear" w:pos="567"/>
          <w:tab w:val="clear" w:pos="851"/>
          <w:tab w:val="clear" w:pos="1134"/>
          <w:tab w:val="clear" w:pos="1560"/>
          <w:tab w:val="clear" w:pos="2127"/>
          <w:tab w:val="clear" w:pos="2410"/>
          <w:tab w:val="clear" w:pos="8505"/>
        </w:tabs>
        <w:spacing w:after="200" w:line="276" w:lineRule="auto"/>
        <w:jc w:val="left"/>
        <w:rPr>
          <w:b/>
        </w:rPr>
      </w:pPr>
      <w:r>
        <w:rPr>
          <w:b/>
        </w:rPr>
        <w:lastRenderedPageBreak/>
        <w:t>W</w:t>
      </w:r>
      <w:r w:rsidR="00D62ACB" w:rsidRPr="009D5111">
        <w:rPr>
          <w:b/>
        </w:rPr>
        <w:t xml:space="preserve">OORD VOORAF </w:t>
      </w:r>
    </w:p>
    <w:p w14:paraId="1CF91C97" w14:textId="77777777" w:rsidR="00D62ACB" w:rsidRDefault="00D62ACB" w:rsidP="00B7603B"/>
    <w:p w14:paraId="1BCA8D4C" w14:textId="77777777" w:rsidR="00D62ACB" w:rsidRDefault="00D62ACB" w:rsidP="00B7603B"/>
    <w:p w14:paraId="449B582D" w14:textId="67992BDB" w:rsidR="009D5111" w:rsidRDefault="00194F0E" w:rsidP="00CA3CF9">
      <w:pPr>
        <w:spacing w:line="360" w:lineRule="auto"/>
      </w:pPr>
      <w:r>
        <w:t xml:space="preserve">Deze masterproef zouden we niet gerealiseerd hebben zonder de hulp en steun van anderen. Graag zouden we deze personen dan ook bedanken. Allereerst </w:t>
      </w:r>
      <w:r w:rsidR="00BF00CA">
        <w:t xml:space="preserve">willen we </w:t>
      </w:r>
      <w:r>
        <w:t xml:space="preserve">onze promotor prof. dr. Kaat </w:t>
      </w:r>
      <w:proofErr w:type="spellStart"/>
      <w:r>
        <w:t>Desloovere</w:t>
      </w:r>
      <w:proofErr w:type="spellEnd"/>
      <w:r>
        <w:t xml:space="preserve"> </w:t>
      </w:r>
      <w:r w:rsidR="00BF00CA">
        <w:t xml:space="preserve">bedanken </w:t>
      </w:r>
      <w:r>
        <w:t xml:space="preserve">voor het uitzetten van de grote lijnen van onze masterproef en feedback te geven waar nodig. Ook gaf </w:t>
      </w:r>
      <w:r w:rsidR="00BF00CA">
        <w:t>j</w:t>
      </w:r>
      <w:r>
        <w:t>e ons het vertrouwen om de masterproef verder uit te werken met hulp van onz</w:t>
      </w:r>
      <w:r w:rsidR="009D5111">
        <w:t>e copromotoren, prof. dr. Anja V</w:t>
      </w:r>
      <w:r>
        <w:t xml:space="preserve">an Campenhout en dr. Lynn </w:t>
      </w:r>
      <w:proofErr w:type="spellStart"/>
      <w:r>
        <w:t>Bar-On</w:t>
      </w:r>
      <w:proofErr w:type="spellEnd"/>
      <w:r>
        <w:t>.</w:t>
      </w:r>
      <w:r w:rsidR="005221AF">
        <w:t xml:space="preserve"> </w:t>
      </w:r>
    </w:p>
    <w:p w14:paraId="16929FB3" w14:textId="77777777" w:rsidR="009D5111" w:rsidRDefault="005221AF" w:rsidP="00CA3CF9">
      <w:pPr>
        <w:spacing w:line="360" w:lineRule="auto"/>
      </w:pPr>
      <w:r>
        <w:t>Dank je wel prof. Van Campenhout</w:t>
      </w:r>
      <w:r w:rsidR="00F02833">
        <w:t xml:space="preserve"> om via jouw klinische inzichten dit interessante onder</w:t>
      </w:r>
      <w:r w:rsidR="009E0D28">
        <w:t>werp aan te brengen. Ondanks</w:t>
      </w:r>
      <w:r>
        <w:t xml:space="preserve"> je</w:t>
      </w:r>
      <w:r w:rsidR="009E0D28">
        <w:t xml:space="preserve"> druk</w:t>
      </w:r>
      <w:r w:rsidR="00854C8E">
        <w:t>bezette agenda</w:t>
      </w:r>
      <w:r w:rsidR="009E0D28">
        <w:t>, wist je toch steeds tijd</w:t>
      </w:r>
      <w:r>
        <w:t xml:space="preserve"> voor ons vrij te maken en ons bij te staan met je</w:t>
      </w:r>
      <w:r w:rsidR="009E0D28">
        <w:t xml:space="preserve"> </w:t>
      </w:r>
      <w:r>
        <w:t xml:space="preserve">ervaring en feedback. Ook dank je wel dr. Lynn </w:t>
      </w:r>
      <w:proofErr w:type="spellStart"/>
      <w:r>
        <w:t>Bar-On</w:t>
      </w:r>
      <w:proofErr w:type="spellEnd"/>
      <w:r>
        <w:t xml:space="preserve"> voor je enorme inzet. We konden altijd op je rekenen en hebben enorm veel gehad aan je hulp, tips en uitleg, want er kwam toch heel veel bij kijken.</w:t>
      </w:r>
      <w:r w:rsidR="00854C8E">
        <w:t xml:space="preserve"> Mede door jullie enthousiasme over dit onderwerp, waren wij ook vanaf het begin erg gemotiveerd om samen tot een goed resultaat te komen. </w:t>
      </w:r>
    </w:p>
    <w:p w14:paraId="12055858" w14:textId="77777777" w:rsidR="00D62ACB" w:rsidRDefault="00854C8E" w:rsidP="00CA3CF9">
      <w:pPr>
        <w:spacing w:line="360" w:lineRule="auto"/>
      </w:pPr>
      <w:r>
        <w:t>Ook willen we graag de personen bedanken die werken in het laboratorium voor klinische bewegingsanalyse in het Universitair Ziekenhuis Leuven, campus Pellenberg</w:t>
      </w:r>
      <w:r w:rsidR="00B260D9">
        <w:t>,</w:t>
      </w:r>
      <w:r>
        <w:t xml:space="preserve"> voor het beantwoo</w:t>
      </w:r>
      <w:r w:rsidR="009E0D28">
        <w:t>rden van onze technische vragen en het ter beschikking stellen van de patiëntengegevens die we nodig hadden om dit onderzoek uit te voeren.</w:t>
      </w:r>
    </w:p>
    <w:p w14:paraId="721AD1ED" w14:textId="77777777" w:rsidR="009E0D28" w:rsidRDefault="009E0D28" w:rsidP="00CA3CF9">
      <w:pPr>
        <w:spacing w:line="360" w:lineRule="auto"/>
      </w:pPr>
      <w:r>
        <w:t>We willen zeker en vast ook elkaar bedanken voor de leuk</w:t>
      </w:r>
      <w:r w:rsidR="00BE4DF8">
        <w:t xml:space="preserve">e en goede samenwerking. Door het vertrouwen in elkaar en omdat </w:t>
      </w:r>
      <w:r>
        <w:t xml:space="preserve">we beide even gemotiveerd en enthousiast zijn, hebben we er samen alles aan gedaan om </w:t>
      </w:r>
      <w:r w:rsidR="00B260D9">
        <w:t xml:space="preserve">onze masterproef </w:t>
      </w:r>
      <w:r>
        <w:t>tot een goed einde te brengen</w:t>
      </w:r>
      <w:r w:rsidR="00BE4DF8">
        <w:t>.</w:t>
      </w:r>
    </w:p>
    <w:p w14:paraId="09F46684" w14:textId="77777777" w:rsidR="00BE4DF8" w:rsidRDefault="00BE4DF8" w:rsidP="00CA3CF9">
      <w:pPr>
        <w:spacing w:line="360" w:lineRule="auto"/>
      </w:pPr>
      <w:r>
        <w:t xml:space="preserve">Tot </w:t>
      </w:r>
      <w:r w:rsidR="00CA3CF9">
        <w:t xml:space="preserve">slot mogen we onze ouders, familie en vrienden niet vergeten. Jullie stonden altijd klaar als wij het even niet meer zagen zitten. Bedankt voor jullie steun </w:t>
      </w:r>
      <w:r w:rsidR="009D5111">
        <w:t xml:space="preserve">en vertrouwen </w:t>
      </w:r>
      <w:r w:rsidR="00CA3CF9">
        <w:t>de afgelopen jaren!</w:t>
      </w:r>
    </w:p>
    <w:p w14:paraId="000D7B59" w14:textId="77777777" w:rsidR="00D62ACB" w:rsidRDefault="00D62ACB" w:rsidP="00B7603B"/>
    <w:p w14:paraId="2041AAF3" w14:textId="77777777" w:rsidR="00CA3CF9" w:rsidRDefault="00CA3CF9" w:rsidP="00B7603B"/>
    <w:p w14:paraId="1247E6CD" w14:textId="77777777" w:rsidR="00D62ACB" w:rsidRDefault="00D62ACB" w:rsidP="00B7603B"/>
    <w:p w14:paraId="6B6E0243" w14:textId="77777777" w:rsidR="009D5111" w:rsidRDefault="009D5111" w:rsidP="00B7603B"/>
    <w:p w14:paraId="7659C297" w14:textId="77777777" w:rsidR="009D5111" w:rsidRDefault="009D5111" w:rsidP="00B7603B"/>
    <w:p w14:paraId="6C8B1D9A" w14:textId="77777777" w:rsidR="009D5111" w:rsidRDefault="009D5111" w:rsidP="00B7603B"/>
    <w:p w14:paraId="2FFB9BCD" w14:textId="77777777" w:rsidR="009D5111" w:rsidRDefault="009D5111" w:rsidP="00B7603B"/>
    <w:p w14:paraId="6294CEE1" w14:textId="77777777" w:rsidR="009D5111" w:rsidRDefault="009D5111" w:rsidP="00B7603B"/>
    <w:p w14:paraId="01D16B8D" w14:textId="77777777" w:rsidR="009D5111" w:rsidRDefault="009D5111" w:rsidP="00B7603B"/>
    <w:p w14:paraId="5A17C395" w14:textId="77777777" w:rsidR="009D5111" w:rsidRDefault="009D5111" w:rsidP="00B7603B"/>
    <w:p w14:paraId="5CB71048" w14:textId="77777777" w:rsidR="009D5111" w:rsidRDefault="009D5111" w:rsidP="00B7603B"/>
    <w:p w14:paraId="75F8933D" w14:textId="77777777" w:rsidR="009D5111" w:rsidRDefault="009D5111" w:rsidP="00B7603B"/>
    <w:p w14:paraId="5C357961" w14:textId="77777777" w:rsidR="009D5111" w:rsidRDefault="009D5111" w:rsidP="00B7603B"/>
    <w:p w14:paraId="0A7E5F93" w14:textId="77777777" w:rsidR="00C20E26" w:rsidRDefault="00C20E26" w:rsidP="00B7603B"/>
    <w:p w14:paraId="2D253C02" w14:textId="77777777" w:rsidR="009D5111" w:rsidRDefault="009D5111" w:rsidP="00B7603B"/>
    <w:p w14:paraId="087BD5A6" w14:textId="77777777" w:rsidR="009D5111" w:rsidRDefault="009D5111" w:rsidP="00B7603B"/>
    <w:p w14:paraId="11BFE845" w14:textId="77777777" w:rsidR="00C20E26" w:rsidRDefault="00C20E26" w:rsidP="00B7603B"/>
    <w:p w14:paraId="0A3E63EE" w14:textId="77777777" w:rsidR="009D5111" w:rsidRDefault="009D5111" w:rsidP="00B7603B">
      <w:r>
        <w:t>Val-Meer &amp; Budel, 20 mei 2016                                                                                                       L.L. &amp; E.M.</w:t>
      </w:r>
    </w:p>
    <w:p w14:paraId="2038F1A6" w14:textId="77777777" w:rsidR="00934B6E" w:rsidRPr="00C20E26" w:rsidRDefault="00934B6E" w:rsidP="00F820BA">
      <w:pPr>
        <w:rPr>
          <w:rFonts w:asciiTheme="minorHAnsi" w:hAnsiTheme="minorHAnsi"/>
          <w:sz w:val="24"/>
        </w:rPr>
      </w:pPr>
      <w:r w:rsidRPr="00C20E26">
        <w:rPr>
          <w:rFonts w:asciiTheme="minorHAnsi" w:hAnsiTheme="minorHAnsi"/>
          <w:b/>
          <w:sz w:val="32"/>
        </w:rPr>
        <w:lastRenderedPageBreak/>
        <w:t xml:space="preserve">SITUERING </w:t>
      </w:r>
    </w:p>
    <w:p w14:paraId="439B1F5B" w14:textId="77777777" w:rsidR="00934B6E" w:rsidRDefault="00934B6E" w:rsidP="00934B6E">
      <w:pPr>
        <w:pStyle w:val="Tekstzonderopmaak"/>
        <w:rPr>
          <w:rFonts w:ascii="Univers" w:hAnsi="Univers"/>
        </w:rPr>
      </w:pPr>
    </w:p>
    <w:p w14:paraId="310ECCC9" w14:textId="77777777" w:rsidR="00934B6E" w:rsidRDefault="00934B6E" w:rsidP="00934B6E">
      <w:pPr>
        <w:pStyle w:val="Tekstzonderopmaak"/>
        <w:rPr>
          <w:rFonts w:ascii="Univers" w:hAnsi="Univers"/>
        </w:rPr>
      </w:pPr>
    </w:p>
    <w:p w14:paraId="36D51B55" w14:textId="77777777" w:rsidR="0012107A" w:rsidRDefault="0012107A" w:rsidP="0012107A">
      <w:pPr>
        <w:tabs>
          <w:tab w:val="clear" w:pos="284"/>
          <w:tab w:val="clear" w:pos="567"/>
          <w:tab w:val="clear" w:pos="851"/>
          <w:tab w:val="clear" w:pos="1134"/>
          <w:tab w:val="left" w:pos="680"/>
          <w:tab w:val="left" w:pos="1360"/>
        </w:tabs>
        <w:spacing w:line="360" w:lineRule="auto"/>
      </w:pPr>
      <w:r>
        <w:t xml:space="preserve">Deze masterproef kadert binnen een onderzoekslijn naar Cerebrale Parese (CP) in de afdeling </w:t>
      </w:r>
      <w:proofErr w:type="spellStart"/>
      <w:r>
        <w:t>Neuromotorische</w:t>
      </w:r>
      <w:proofErr w:type="spellEnd"/>
      <w:r>
        <w:t xml:space="preserve">, Pediatrische en </w:t>
      </w:r>
      <w:proofErr w:type="spellStart"/>
      <w:r>
        <w:t>Pelvische</w:t>
      </w:r>
      <w:proofErr w:type="spellEnd"/>
      <w:r>
        <w:t xml:space="preserve"> revalidatie van het Departement Revalidatiewetenschappen. Het onderwerp van deze masterproef is voortgekomen uit klinische bevindingen in het Universitair Ziekenhuis (UZ) Leuven, campus Pellenberg. In de praktijk werd namelijk vastgesteld dat de resultaten van single-event </w:t>
      </w:r>
      <w:proofErr w:type="spellStart"/>
      <w:r>
        <w:t>multilevel</w:t>
      </w:r>
      <w:proofErr w:type="spellEnd"/>
      <w:r>
        <w:t xml:space="preserve"> chirurgie bij kinderen met CP zeer uiteenlopend zijn. Er was bijgevolg nood aan bijkomend inzicht in de factoren die het effect van deze interventie bepalen. Om de effecten van interventies te onderzoeken wordt er gebruik gemaakt van driedimensionale ganganalyses, die worden uitgevoerd in het laboratorium voor klinische bewegingsanalyse in UZ Leuven, campus Pellenberg. Dit laboratorium werkt nauw samen met het Departement Revalidatiewetenschappen van de Faculteit Bewegings-en Revalidatiewetenschappen. </w:t>
      </w:r>
    </w:p>
    <w:p w14:paraId="2886534A" w14:textId="77777777" w:rsidR="0012107A" w:rsidRDefault="0012107A" w:rsidP="0012107A">
      <w:pPr>
        <w:tabs>
          <w:tab w:val="clear" w:pos="284"/>
          <w:tab w:val="clear" w:pos="567"/>
          <w:tab w:val="clear" w:pos="851"/>
          <w:tab w:val="clear" w:pos="1134"/>
          <w:tab w:val="left" w:pos="680"/>
          <w:tab w:val="left" w:pos="1360"/>
        </w:tabs>
        <w:spacing w:line="360" w:lineRule="auto"/>
      </w:pPr>
    </w:p>
    <w:p w14:paraId="4435F554" w14:textId="77777777" w:rsidR="0012107A" w:rsidRDefault="0012107A" w:rsidP="0012107A">
      <w:pPr>
        <w:tabs>
          <w:tab w:val="clear" w:pos="284"/>
          <w:tab w:val="clear" w:pos="567"/>
          <w:tab w:val="clear" w:pos="851"/>
          <w:tab w:val="clear" w:pos="1134"/>
          <w:tab w:val="left" w:pos="680"/>
          <w:tab w:val="left" w:pos="1360"/>
        </w:tabs>
        <w:spacing w:line="360" w:lineRule="auto"/>
      </w:pPr>
      <w:r>
        <w:t xml:space="preserve">De objectieve driedimensionale (3D) ganganalyse omvat 3D video-opnames, krachtmetingen en registratie van spieractiviteit. Het ganglaboratorium bestaat uit een geautomatiseerd 3D videosysteem, een set van normale videocamera’s, apparatuur voor het meten van krachten en een systeem voor de evaluatie van spieractiviteit tijdens het stappen. De meetapparatuur en bijhorende software wordt gekenmerkt door een snelle technische ontwikkelingen. Voor het onderzoek worden 15 reflecterende merktekens en EMG-elektroden op het onderste lidmaat aangebracht.  Vervolgens stapt de patiënt 10 meter op blote voeten en eventueel ook met aangepast schoeisel. Met een infraroodcamera wordt de positie van de retro-reflecterende merktekens op elk ogenblik van een beweging geregistreerd. Aan de hand van deze bewegingstrajecten, in combinatie met </w:t>
      </w:r>
      <w:proofErr w:type="spellStart"/>
      <w:r>
        <w:t>kinematische</w:t>
      </w:r>
      <w:proofErr w:type="spellEnd"/>
      <w:r>
        <w:t xml:space="preserve"> modellen, worden de bewegingen in de gewrichten van het onderstel lidmaat gestructureerd in kaart gebracht. Deze objectieve evaluatiemethode is cruciaal voor het plannen en opvolgen van behandelingen voor patiënten met gangproblemen </w:t>
      </w:r>
      <w:r>
        <w:fldChar w:fldCharType="begin" w:fldLock="1"/>
      </w:r>
      <w:r>
        <w:instrText>ADDIN CSL_CITATION { "citationItems" : [ { "id" : "ITEM-1", "itemData" : { "URL" : "http://www.uzleuven.be/ganglabo", "accessed" : { "date-parts" : [ [ "2016", "4", "4" ] ] }, "id" : "ITEM-1", "issued" : { "date-parts" : [ [ "0" ] ] }, "title" : "UZ Leuven", "type" : "webpage" }, "uris" : [ "http://www.mendeley.com/documents/?uuid=d8460fc9-9c52-4b02-bee0-536008674572" ] } ], "mendeley" : { "formattedCitation" : "[1]", "plainTextFormattedCitation" : "[1]", "previouslyFormattedCitation" : "[1]" }, "properties" : { "noteIndex" : 0 }, "schema" : "https://github.com/citation-style-language/schema/raw/master/csl-citation.json" }</w:instrText>
      </w:r>
      <w:r>
        <w:fldChar w:fldCharType="separate"/>
      </w:r>
      <w:r w:rsidRPr="005E4446">
        <w:rPr>
          <w:noProof/>
        </w:rPr>
        <w:t>[1]</w:t>
      </w:r>
      <w:r>
        <w:fldChar w:fldCharType="end"/>
      </w:r>
      <w:r>
        <w:t xml:space="preserve">. </w:t>
      </w:r>
    </w:p>
    <w:p w14:paraId="6511813D" w14:textId="77777777" w:rsidR="0012107A" w:rsidRDefault="0012107A" w:rsidP="0012107A">
      <w:pPr>
        <w:spacing w:line="360" w:lineRule="auto"/>
      </w:pPr>
    </w:p>
    <w:p w14:paraId="6B97E650" w14:textId="77777777" w:rsidR="0012107A" w:rsidRDefault="0012107A" w:rsidP="0012107A">
      <w:pPr>
        <w:spacing w:line="360" w:lineRule="auto"/>
      </w:pPr>
      <w:r>
        <w:t xml:space="preserve">Deze masterproef legt de focus op ganganalyse bij kinderen met CP. CP is een permanente aandoening in de hersenen, waardoor primaire problemen ontstaan, zoals toegenomen spierspanning, en afgenomen spierkracht, -controle en balans </w:t>
      </w:r>
      <w:r>
        <w:fldChar w:fldCharType="begin" w:fldLock="1"/>
      </w:r>
      <w:r>
        <w:instrText>ADDIN CSL_CITATION { "citationItems" : [ { "id" : "ITEM-1", "itemData" : { "abstract" : "For a variety of reasons, the definition and the classification of cerebral palsy (CP) need to be reconsidered. Modern brain imaging techniques have shed new light on the nature of the underlying brain injury and studies on the neurobiology of and pathology associated with brain development have further explored etiologic mechanisms. It is now recognized that assessing the extent of activity restriction is part of CP evaluation and that people without activity restriction should not be included in the CP rubric. Also, previous definitions have not given sufficient prominence to the non-motor neurodevelopmental disabilities of performance and behaviour that commonly accompany CP, nor to the progression of musculoskeletal difficulties that often occurs with advancing age. In order to explore this information, pertinent material was reviewed on July 11-13, 2004 at an international workshop in Bethesda, MD (USA) organized by an Executive Committee and participated in by selected leaders in the preclinical and clinical sciences. At the workshop, it was agreed that the concept 'cerebral palsy' should be retained. Suggestions were made about the content of a revised definition and classification of CP that would meet the needs of clinicians, investigators, health officials, families and the public and would provide a common language for improved communication. Panels organized by the Executive Committee used this information and additional comments from the international community to generate a report on the Definition and Classification of Cerebral Palsy, April 2006. The Executive Committee presents this report with the intent of providing a common conceptualization of CP for use by a broad international audience.", "author" : [ { "dropping-particle" : "", "family" : "Rosenbaum", "given" : "Peter", "non-dropping-particle" : "", "parse-names" : false, "suffix" : "" }, { "dropping-particle" : "", "family" : "Paneth", "given" : "Nigel", "non-dropping-particle" : "", "parse-names" : false, "suffix" : "" }, { "dropping-particle" : "", "family" : "Leviton", "given" : "Alan", "non-dropping-particle" : "", "parse-names" : false, "suffix" : "" }, { "dropping-particle" : "", "family" : "Goldstein", "given" : "Murray", "non-dropping-particle" : "", "parse-names" : false, "suffix" : "" }, { "dropping-particle" : "", "family" : "Bax", "given" : "Martin", "non-dropping-particle" : "", "parse-names" : false, "suffix" : "" }, { "dropping-particle" : "", "family" : "Damiano", "given" : "Diane", "non-dropping-particle" : "", "parse-names" : false, "suffix" : "" }, { "dropping-particle" : "", "family" : "Dan", "given" : "Bernard", "non-dropping-particle" : "", "parse-names" : false, "suffix" : "" }, { "dropping-particle" : "", "family" : "Jacobsson", "given" : "Bo", "non-dropping-particle" : "", "parse-names" : false, "suffix" : "" } ], "container-title" : "Developmental medicine and child neurology. Supplement", "id" : "ITEM-1", "issued" : { "date-parts" : [ [ "2007" ] ] }, "page" : "8-14", "title" : "A report: the definition and classification of cerebral palsy.", "type" : "article-journal", "volume" : "109" }, "uris" : [ "http://www.mendeley.com/documents/?uuid=591d8198-548f-41e7-beea-ffdab094a32e" ] } ], "mendeley" : { "formattedCitation" : "[2]", "plainTextFormattedCitation" : "[2]", "previouslyFormattedCitation" : "[2]" }, "properties" : { "noteIndex" : 0 }, "schema" : "https://github.com/citation-style-language/schema/raw/master/csl-citation.json" }</w:instrText>
      </w:r>
      <w:r>
        <w:fldChar w:fldCharType="separate"/>
      </w:r>
      <w:r w:rsidRPr="005E4446">
        <w:rPr>
          <w:noProof/>
        </w:rPr>
        <w:t>[2]</w:t>
      </w:r>
      <w:r>
        <w:fldChar w:fldCharType="end"/>
      </w:r>
      <w:r>
        <w:t xml:space="preserve">. Deze primaire problemen kunnen leiden tot spierverkortingen en botvervormingen, welke de kwaliteit en efficiëntie van de gang aantasten </w:t>
      </w:r>
      <w:r>
        <w:fldChar w:fldCharType="begin" w:fldLock="1"/>
      </w:r>
      <w:r>
        <w:instrText>ADDIN CSL_CITATION { "citationItems" : [ { "id" : "ITEM-1", "itemData" : { "abstract" : "Because of increasing interest in conducting large-scale, multicenter investigations into the epidemiology of cerebral palsy and its prevention and treatment, efforts have been made to establish a standard definition and classification systems for cerebral palsy. In recent years there has also been increased focus on measurement of functional status of patients and new classifications for gross and fine motor function have been developed. The purpose of this article is to update the orthopaedic community on the current classification systems for patients with cerebral palsy. This information will be of value to surgeons in determining patients' suitability for certain treatments and will also assist them in reviewing current literature in cerebral palsy. ?? 2010 Elsevier Inc.", "author" : [ { "dropping-particle" : "", "family" : "Rethlefsen", "given" : "Susan a.", "non-dropping-particle" : "", "parse-names" : false, "suffix" : "" }, { "dropping-particle" : "", "family" : "Ryan", "given" : "Deirdre D.", "non-dropping-particle" : "", "parse-names" : false, "suffix" : "" }, { "dropping-particle" : "", "family" : "Kay", "given" : "Robert M.", "non-dropping-particle" : "", "parse-names" : false, "suffix" : "" } ], "container-title" : "Orthopedic Clinics of North America", "id" : "ITEM-1", "issue" : "4", "issued" : { "date-parts" : [ [ "2010" ] ] }, "page" : "457-467", "publisher" : "Elsevier Ltd", "title" : "Classification systems in cerebral palsy", "type" : "article-journal", "volume" : "41" }, "uris" : [ "http://www.mendeley.com/documents/?uuid=4983ec50-44f3-469f-aae7-b3a5c3c741b5" ] } ], "mendeley" : { "formattedCitation" : "[3]", "plainTextFormattedCitation" : "[3]", "previouslyFormattedCitation" : "[3]" }, "properties" : { "noteIndex" : 0 }, "schema" : "https://github.com/citation-style-language/schema/raw/master/csl-citation.json" }</w:instrText>
      </w:r>
      <w:r>
        <w:fldChar w:fldCharType="separate"/>
      </w:r>
      <w:r w:rsidRPr="003E2FBA">
        <w:rPr>
          <w:noProof/>
        </w:rPr>
        <w:t>[3]</w:t>
      </w:r>
      <w:r>
        <w:fldChar w:fldCharType="end"/>
      </w:r>
      <w:r>
        <w:t xml:space="preserve">. Om dit te verbeteren ondergaan deze kinderen single-event </w:t>
      </w:r>
      <w:proofErr w:type="spellStart"/>
      <w:r>
        <w:t>multilevel</w:t>
      </w:r>
      <w:proofErr w:type="spellEnd"/>
      <w:r>
        <w:t xml:space="preserve"> chirurgie. Dit is een aanpak waarbij verschillende ingrepen worden uitgevoerd tijdens één operatie, gevolgd door één revalidatieperiode. Procedures die hierbij vaak uitgevoerd worden zijn </w:t>
      </w:r>
      <w:proofErr w:type="spellStart"/>
      <w:r>
        <w:t>skeletale</w:t>
      </w:r>
      <w:proofErr w:type="spellEnd"/>
      <w:r>
        <w:t xml:space="preserve"> ingrepen, zoals </w:t>
      </w:r>
      <w:proofErr w:type="spellStart"/>
      <w:r>
        <w:t>derotatie</w:t>
      </w:r>
      <w:proofErr w:type="spellEnd"/>
      <w:r>
        <w:t xml:space="preserve"> van de femur of </w:t>
      </w:r>
      <w:proofErr w:type="spellStart"/>
      <w:r>
        <w:t>tibia</w:t>
      </w:r>
      <w:proofErr w:type="spellEnd"/>
      <w:r>
        <w:t xml:space="preserve"> en </w:t>
      </w:r>
      <w:proofErr w:type="spellStart"/>
      <w:r>
        <w:t>skeletale</w:t>
      </w:r>
      <w:proofErr w:type="spellEnd"/>
      <w:r>
        <w:t xml:space="preserve"> correcties ter hoogte van de voet, samen met weke-</w:t>
      </w:r>
      <w:r>
        <w:lastRenderedPageBreak/>
        <w:t xml:space="preserve">delen ingrepen zoals spierverlengingen en peestransfers </w:t>
      </w:r>
      <w:r>
        <w:fldChar w:fldCharType="begin" w:fldLock="1"/>
      </w:r>
      <w:r>
        <w:instrText>ADDIN CSL_CITATION { "citationItems" : [ { "id" : "ITEM-1", "itemData" : { "author" : [ { "dropping-particle" : "", "family" : "Norlin", "given" : "R.", "non-dropping-particle" : "", "parse-names" : false, "suffix" : "" }, { "dropping-particle" : "", "family" : "Tkaczuk", "given" : "H.", "non-dropping-particle" : "", "parse-names" : false, "suffix" : "" } ], "container-title" : "Journal of pediatric orthopedics", "id" : "ITEM-1", "issue" : "2", "issued" : { "date-parts" : [ [ "1985" ] ] }, "page" : "208-211", "title" : "one-session surgey for correction of lower extremity deformities in children with cerebral palsy", "type" : "article-journal", "volume" : "5" }, "uris" : [ "http://www.mendeley.com/documents/?uuid=00b7cf3b-0cd6-4548-b059-ca9c8954752f" ] } ], "mendeley" : { "formattedCitation" : "[4]", "plainTextFormattedCitation" : "[4]", "previouslyFormattedCitation" : "[4]" }, "properties" : { "noteIndex" : 0 }, "schema" : "https://github.com/citation-style-language/schema/raw/master/csl-citation.json" }</w:instrText>
      </w:r>
      <w:r>
        <w:fldChar w:fldCharType="separate"/>
      </w:r>
      <w:r w:rsidRPr="004B225B">
        <w:rPr>
          <w:noProof/>
        </w:rPr>
        <w:t>[4]</w:t>
      </w:r>
      <w:r>
        <w:fldChar w:fldCharType="end"/>
      </w:r>
      <w:r>
        <w:t xml:space="preserve">. Om te bepalen welke ingrepen moeten worden uitgevoerd en om de effecten van de ingrepen op te volgen, wordt de hierboven beschreven ganganalyse </w:t>
      </w:r>
      <w:r w:rsidRPr="00ED75D6">
        <w:t xml:space="preserve">toegepast </w:t>
      </w:r>
      <w:r w:rsidRPr="00ED75D6">
        <w:fldChar w:fldCharType="begin" w:fldLock="1"/>
      </w:r>
      <w:r w:rsidRPr="00ED75D6">
        <w:instrText>ADDIN CSL_CITATION { "citationItems" : [ { "id" : "ITEM-1", "itemData" : { "abstract" : "Individuals with cerebral palsy (CP) cannot take a normal activity like walking for granted. CP is the most common pediatric neurologic disorder, with an incidence of 3.6 per 1000 live births. The current trend in the treatment of individuals with CP is to perform a thorough evaluation including a complete patient history from birth to present, a comprehensive physical examination, appropriate radiographs, consultation with other medical specialists, and analysis of gait. ?? 2010 Elsevier Inc.", "author" : [ { "dropping-particle" : "", "family" : "Chang", "given" : "Frank M.", "non-dropping-particle" : "", "parse-names" : false, "suffix" : "" }, { "dropping-particle" : "", "family" : "Rhodes", "given" : "Jason T.", "non-dropping-particle" : "", "parse-names" : false, "suffix" : "" }, { "dropping-particle" : "", "family" : "Flynn", "given" : "Katherine M.", "non-dropping-particle" : "", "parse-names" : false, "suffix" : "" }, { "dropping-particle" : "", "family" : "Carollo", "given" : "James J.", "non-dropping-particle" : "", "parse-names" : false, "suffix" : "" } ], "container-title" : "Orthopedic Clinics of North America", "id" : "ITEM-1", "issue" : "4", "issued" : { "date-parts" : [ [ "2010" ] ] }, "page" : "489-506", "publisher" : "Elsevier Ltd", "title" : "The role of gait analysis in treating gait abnormalities in cerebral palsy", "type" : "article-journal", "volume" : "41" }, "uris" : [ "http://www.mendeley.com/documents/?uuid=0e57aa84-5521-465a-84b9-837527f53dd7" ] } ], "mendeley" : { "formattedCitation" : "[5]", "plainTextFormattedCitation" : "[5]" }, "properties" : { "noteIndex" : 0 }, "schema" : "https://github.com/citation-style-language/schema/raw/master/csl-citation.json" }</w:instrText>
      </w:r>
      <w:r w:rsidRPr="00ED75D6">
        <w:fldChar w:fldCharType="separate"/>
      </w:r>
      <w:r w:rsidRPr="00ED75D6">
        <w:rPr>
          <w:noProof/>
        </w:rPr>
        <w:t>[5]</w:t>
      </w:r>
      <w:r w:rsidRPr="00ED75D6">
        <w:fldChar w:fldCharType="end"/>
      </w:r>
      <w:r w:rsidRPr="00ED75D6">
        <w:t xml:space="preserve">. In </w:t>
      </w:r>
      <w:r>
        <w:t xml:space="preserve">het verleden zijn regelmatig studies uitgevoerd naar de effecten van deze operaties op korte termijn (&lt; drie jaar). Deze effecten blijken positief. In de praktijk merkt men echter dat er op langere termijn toch weer een achteruitgang optreedt. Dit is in de literatuur echter nog niet vaak bestudeerd. Ook is het interessant om na te gaan welke factoren een positief lange-termijn effect kunnen voorspellen. Om dit te onderzoeken, is deze masterproef opgestart. </w:t>
      </w:r>
    </w:p>
    <w:p w14:paraId="132C7DF1" w14:textId="77777777" w:rsidR="005807A4" w:rsidRDefault="005807A4" w:rsidP="005807A4"/>
    <w:p w14:paraId="2CE83981" w14:textId="77777777" w:rsidR="005807A4" w:rsidRPr="00C20E26" w:rsidRDefault="005807A4" w:rsidP="005807A4">
      <w:pPr>
        <w:pStyle w:val="Tekstzonderopmaak"/>
        <w:spacing w:line="480" w:lineRule="auto"/>
        <w:rPr>
          <w:rFonts w:asciiTheme="minorHAnsi" w:hAnsiTheme="minorHAnsi"/>
          <w:b/>
        </w:rPr>
      </w:pPr>
      <w:r>
        <w:rPr>
          <w:rFonts w:asciiTheme="minorHAnsi" w:hAnsiTheme="minorHAnsi"/>
          <w:b/>
        </w:rPr>
        <w:br/>
      </w:r>
      <w:r w:rsidRPr="00C20E26">
        <w:rPr>
          <w:rFonts w:asciiTheme="minorHAnsi" w:hAnsiTheme="minorHAnsi"/>
          <w:b/>
        </w:rPr>
        <w:t xml:space="preserve">Referenties: </w:t>
      </w:r>
    </w:p>
    <w:p w14:paraId="63F2D11E" w14:textId="3D6B6D25" w:rsidR="005807A4" w:rsidRPr="00E7694E" w:rsidRDefault="005807A4" w:rsidP="005807A4">
      <w:pPr>
        <w:widowControl w:val="0"/>
        <w:autoSpaceDE w:val="0"/>
        <w:autoSpaceDN w:val="0"/>
        <w:adjustRightInd w:val="0"/>
        <w:spacing w:before="100" w:after="100"/>
        <w:ind w:left="640" w:hanging="640"/>
        <w:rPr>
          <w:rFonts w:cs="Times New Roman"/>
          <w:noProof/>
          <w:szCs w:val="24"/>
          <w:lang w:val="en-US"/>
        </w:rPr>
      </w:pPr>
      <w:r w:rsidRPr="003E2FBA">
        <w:rPr>
          <w:rFonts w:asciiTheme="minorHAnsi" w:hAnsiTheme="minorHAnsi"/>
          <w:lang w:val="en-US"/>
        </w:rPr>
        <w:fldChar w:fldCharType="begin" w:fldLock="1"/>
      </w:r>
      <w:r w:rsidRPr="00D00310">
        <w:rPr>
          <w:rFonts w:asciiTheme="minorHAnsi" w:hAnsiTheme="minorHAnsi"/>
          <w:lang w:val="en-US"/>
        </w:rPr>
        <w:instrText xml:space="preserve">ADDIN Mendeley Bibliography CSL_BIBLIOGRAPHY </w:instrText>
      </w:r>
      <w:r w:rsidRPr="003E2FBA">
        <w:rPr>
          <w:rFonts w:asciiTheme="minorHAnsi" w:hAnsiTheme="minorHAnsi"/>
          <w:lang w:val="en-US"/>
        </w:rPr>
        <w:fldChar w:fldCharType="separate"/>
      </w:r>
      <w:r w:rsidRPr="00D00310">
        <w:rPr>
          <w:rFonts w:cs="Times New Roman"/>
          <w:noProof/>
          <w:szCs w:val="24"/>
          <w:lang w:val="en-US"/>
        </w:rPr>
        <w:t>[1]</w:t>
      </w:r>
      <w:r w:rsidRPr="00D00310">
        <w:rPr>
          <w:rFonts w:cs="Times New Roman"/>
          <w:noProof/>
          <w:szCs w:val="24"/>
          <w:lang w:val="en-US"/>
        </w:rPr>
        <w:tab/>
      </w:r>
      <w:r w:rsidR="0012107A">
        <w:rPr>
          <w:rFonts w:cs="Times New Roman"/>
          <w:noProof/>
          <w:szCs w:val="24"/>
          <w:lang w:val="en-US"/>
        </w:rPr>
        <w:tab/>
      </w:r>
      <w:r w:rsidRPr="00D00310">
        <w:rPr>
          <w:rFonts w:cs="Times New Roman"/>
          <w:noProof/>
          <w:szCs w:val="24"/>
          <w:lang w:val="en-US"/>
        </w:rPr>
        <w:t xml:space="preserve">UZ Leuven, (n.d.). </w:t>
      </w:r>
      <w:r w:rsidRPr="00E7694E">
        <w:rPr>
          <w:rFonts w:cs="Times New Roman"/>
          <w:noProof/>
          <w:szCs w:val="24"/>
          <w:lang w:val="en-US"/>
        </w:rPr>
        <w:t>http://www.uzleuven.be/ganglabo (accessed April 4, 2016).</w:t>
      </w:r>
    </w:p>
    <w:p w14:paraId="754D6222" w14:textId="5D46F570" w:rsidR="005807A4" w:rsidRPr="00E7694E" w:rsidRDefault="005807A4" w:rsidP="005807A4">
      <w:pPr>
        <w:widowControl w:val="0"/>
        <w:autoSpaceDE w:val="0"/>
        <w:autoSpaceDN w:val="0"/>
        <w:adjustRightInd w:val="0"/>
        <w:spacing w:before="100" w:after="100"/>
        <w:ind w:left="640" w:hanging="640"/>
        <w:rPr>
          <w:rFonts w:cs="Times New Roman"/>
          <w:noProof/>
          <w:szCs w:val="24"/>
          <w:lang w:val="en-US"/>
        </w:rPr>
      </w:pPr>
      <w:r w:rsidRPr="00E7694E">
        <w:rPr>
          <w:rFonts w:cs="Times New Roman"/>
          <w:noProof/>
          <w:szCs w:val="24"/>
          <w:lang w:val="en-US"/>
        </w:rPr>
        <w:t>[2]</w:t>
      </w:r>
      <w:r w:rsidRPr="00E7694E">
        <w:rPr>
          <w:rFonts w:cs="Times New Roman"/>
          <w:noProof/>
          <w:szCs w:val="24"/>
          <w:lang w:val="en-US"/>
        </w:rPr>
        <w:tab/>
      </w:r>
      <w:r w:rsidR="0012107A">
        <w:rPr>
          <w:rFonts w:cs="Times New Roman"/>
          <w:noProof/>
          <w:szCs w:val="24"/>
          <w:lang w:val="en-US"/>
        </w:rPr>
        <w:tab/>
      </w:r>
      <w:r w:rsidRPr="00E7694E">
        <w:rPr>
          <w:rFonts w:cs="Times New Roman"/>
          <w:noProof/>
          <w:szCs w:val="24"/>
          <w:lang w:val="en-US"/>
        </w:rPr>
        <w:t>P. Rosenbaum, N. Paneth, A. Leviton, M. Goldstein, M. Bax, D. Damiano, et al., A report: the definition and classification of cerebral palsy., Dev. Med. Child Neurol. Suppl. 109 (2007) 8–14.</w:t>
      </w:r>
    </w:p>
    <w:p w14:paraId="34BAA452" w14:textId="0642B118" w:rsidR="005807A4" w:rsidRPr="00E7694E" w:rsidRDefault="005807A4" w:rsidP="005807A4">
      <w:pPr>
        <w:widowControl w:val="0"/>
        <w:autoSpaceDE w:val="0"/>
        <w:autoSpaceDN w:val="0"/>
        <w:adjustRightInd w:val="0"/>
        <w:spacing w:before="100" w:after="100"/>
        <w:ind w:left="640" w:hanging="640"/>
        <w:rPr>
          <w:rFonts w:cs="Times New Roman"/>
          <w:noProof/>
          <w:szCs w:val="24"/>
          <w:lang w:val="en-US"/>
        </w:rPr>
      </w:pPr>
      <w:r w:rsidRPr="00E7694E">
        <w:rPr>
          <w:rFonts w:cs="Times New Roman"/>
          <w:noProof/>
          <w:szCs w:val="24"/>
          <w:lang w:val="en-US"/>
        </w:rPr>
        <w:t>[3]</w:t>
      </w:r>
      <w:r w:rsidRPr="00E7694E">
        <w:rPr>
          <w:rFonts w:cs="Times New Roman"/>
          <w:noProof/>
          <w:szCs w:val="24"/>
          <w:lang w:val="en-US"/>
        </w:rPr>
        <w:tab/>
      </w:r>
      <w:r w:rsidR="0012107A">
        <w:rPr>
          <w:rFonts w:cs="Times New Roman"/>
          <w:noProof/>
          <w:szCs w:val="24"/>
          <w:lang w:val="en-US"/>
        </w:rPr>
        <w:tab/>
      </w:r>
      <w:r w:rsidRPr="00E7694E">
        <w:rPr>
          <w:rFonts w:cs="Times New Roman"/>
          <w:noProof/>
          <w:szCs w:val="24"/>
          <w:lang w:val="en-US"/>
        </w:rPr>
        <w:t>S. a. Rethlefsen, D.D. Ryan, R.M. Kay, Classification systems in cerebral palsy, Orthop. Clin. North Am. 41 (2010) 457–467.</w:t>
      </w:r>
    </w:p>
    <w:p w14:paraId="773E9BE7" w14:textId="47908C4F" w:rsidR="005807A4" w:rsidRPr="00E7694E" w:rsidRDefault="005807A4" w:rsidP="005807A4">
      <w:pPr>
        <w:widowControl w:val="0"/>
        <w:autoSpaceDE w:val="0"/>
        <w:autoSpaceDN w:val="0"/>
        <w:adjustRightInd w:val="0"/>
        <w:spacing w:before="100" w:after="100"/>
        <w:ind w:left="640" w:hanging="640"/>
        <w:rPr>
          <w:rFonts w:cs="Times New Roman"/>
          <w:noProof/>
          <w:szCs w:val="24"/>
          <w:lang w:val="en-US"/>
        </w:rPr>
      </w:pPr>
      <w:r w:rsidRPr="00E7694E">
        <w:rPr>
          <w:rFonts w:cs="Times New Roman"/>
          <w:noProof/>
          <w:szCs w:val="24"/>
          <w:lang w:val="en-US"/>
        </w:rPr>
        <w:t>[4]</w:t>
      </w:r>
      <w:r w:rsidRPr="00E7694E">
        <w:rPr>
          <w:rFonts w:cs="Times New Roman"/>
          <w:noProof/>
          <w:szCs w:val="24"/>
          <w:lang w:val="en-US"/>
        </w:rPr>
        <w:tab/>
      </w:r>
      <w:r w:rsidR="0012107A">
        <w:rPr>
          <w:rFonts w:cs="Times New Roman"/>
          <w:noProof/>
          <w:szCs w:val="24"/>
          <w:lang w:val="en-US"/>
        </w:rPr>
        <w:tab/>
      </w:r>
      <w:r w:rsidRPr="00E7694E">
        <w:rPr>
          <w:rFonts w:cs="Times New Roman"/>
          <w:noProof/>
          <w:szCs w:val="24"/>
          <w:lang w:val="en-US"/>
        </w:rPr>
        <w:t>R. Norlin, H. Tkaczuk, one-session surgey for correction of lower extremity deformities in children with cerebral palsy, J. Pediatr. Orthop. 5 (1985) 208–211.</w:t>
      </w:r>
    </w:p>
    <w:p w14:paraId="37EFDD03" w14:textId="0F637B15" w:rsidR="005807A4" w:rsidRPr="00E7694E" w:rsidRDefault="005807A4" w:rsidP="005807A4">
      <w:pPr>
        <w:widowControl w:val="0"/>
        <w:autoSpaceDE w:val="0"/>
        <w:autoSpaceDN w:val="0"/>
        <w:adjustRightInd w:val="0"/>
        <w:spacing w:before="100" w:after="100"/>
        <w:ind w:left="640" w:hanging="640"/>
        <w:rPr>
          <w:noProof/>
          <w:lang w:val="en-US"/>
        </w:rPr>
      </w:pPr>
      <w:r w:rsidRPr="00E7694E">
        <w:rPr>
          <w:rFonts w:cs="Times New Roman"/>
          <w:noProof/>
          <w:szCs w:val="24"/>
          <w:lang w:val="en-US"/>
        </w:rPr>
        <w:t>[5]</w:t>
      </w:r>
      <w:r w:rsidRPr="00E7694E">
        <w:rPr>
          <w:rFonts w:cs="Times New Roman"/>
          <w:noProof/>
          <w:szCs w:val="24"/>
          <w:lang w:val="en-US"/>
        </w:rPr>
        <w:tab/>
      </w:r>
      <w:r w:rsidR="0012107A">
        <w:rPr>
          <w:rFonts w:cs="Times New Roman"/>
          <w:noProof/>
          <w:szCs w:val="24"/>
          <w:lang w:val="en-US"/>
        </w:rPr>
        <w:tab/>
      </w:r>
      <w:r w:rsidRPr="00E7694E">
        <w:rPr>
          <w:rFonts w:cs="Times New Roman"/>
          <w:noProof/>
          <w:szCs w:val="24"/>
          <w:lang w:val="en-US"/>
        </w:rPr>
        <w:t>F.M. Chang, J.T. Rhodes, K.M. Flynn, J.J. Carollo, The role of gait analysis in treating gait abnormalities in cerebral palsy, Orthop. Clin. North Am. 41 (2010) 489–506.</w:t>
      </w:r>
    </w:p>
    <w:p w14:paraId="07FE8BBE" w14:textId="77777777" w:rsidR="001D6F91" w:rsidRDefault="005807A4" w:rsidP="005807A4">
      <w:pPr>
        <w:pStyle w:val="Tekstzonderopmaak"/>
        <w:tabs>
          <w:tab w:val="left" w:pos="284"/>
          <w:tab w:val="right" w:pos="426"/>
        </w:tabs>
        <w:spacing w:line="480" w:lineRule="auto"/>
        <w:rPr>
          <w:rFonts w:ascii="Univers" w:hAnsi="Univers"/>
          <w:lang w:val="en-US"/>
        </w:rPr>
      </w:pPr>
      <w:r w:rsidRPr="003E2FBA">
        <w:rPr>
          <w:rFonts w:asciiTheme="minorHAnsi" w:hAnsiTheme="minorHAnsi"/>
          <w:lang w:val="en-US"/>
        </w:rPr>
        <w:fldChar w:fldCharType="end"/>
      </w:r>
    </w:p>
    <w:p w14:paraId="4B43AEB9" w14:textId="77777777" w:rsidR="005C54D4" w:rsidRDefault="005C54D4" w:rsidP="00934B6E">
      <w:pPr>
        <w:pStyle w:val="Tekstzonderopmaak"/>
        <w:tabs>
          <w:tab w:val="left" w:pos="284"/>
          <w:tab w:val="right" w:pos="426"/>
        </w:tabs>
        <w:spacing w:line="480" w:lineRule="auto"/>
        <w:rPr>
          <w:rFonts w:ascii="Univers" w:hAnsi="Univers"/>
          <w:lang w:val="en-US"/>
        </w:rPr>
      </w:pPr>
    </w:p>
    <w:p w14:paraId="5C4F1529" w14:textId="77777777" w:rsidR="008E23A4" w:rsidRDefault="008E23A4" w:rsidP="00934B6E">
      <w:pPr>
        <w:pStyle w:val="Tekstzonderopmaak"/>
        <w:tabs>
          <w:tab w:val="left" w:pos="284"/>
          <w:tab w:val="right" w:pos="426"/>
        </w:tabs>
        <w:spacing w:line="480" w:lineRule="auto"/>
        <w:rPr>
          <w:rFonts w:ascii="Univers" w:hAnsi="Univers"/>
          <w:lang w:val="en-US"/>
        </w:rPr>
        <w:sectPr w:rsidR="008E23A4" w:rsidSect="00043906">
          <w:footerReference w:type="default" r:id="rId11"/>
          <w:footerReference w:type="first" r:id="rId12"/>
          <w:pgSz w:w="11906" w:h="16838"/>
          <w:pgMar w:top="1417" w:right="1417" w:bottom="1417" w:left="1417" w:header="708" w:footer="708" w:gutter="0"/>
          <w:pgNumType w:fmt="upperRoman" w:start="2"/>
          <w:cols w:space="708"/>
          <w:titlePg/>
          <w:docGrid w:linePitch="360"/>
        </w:sectPr>
      </w:pPr>
    </w:p>
    <w:p w14:paraId="7E92B99B" w14:textId="54E124D6" w:rsidR="005C54D4" w:rsidRDefault="005C54D4" w:rsidP="00934B6E">
      <w:pPr>
        <w:pStyle w:val="Tekstzonderopmaak"/>
        <w:tabs>
          <w:tab w:val="left" w:pos="284"/>
          <w:tab w:val="right" w:pos="426"/>
        </w:tabs>
        <w:spacing w:line="480" w:lineRule="auto"/>
        <w:rPr>
          <w:rFonts w:ascii="Univers" w:hAnsi="Univers"/>
          <w:lang w:val="en-US"/>
        </w:rPr>
      </w:pPr>
    </w:p>
    <w:p w14:paraId="5DE77DAC" w14:textId="77777777" w:rsidR="005C54D4" w:rsidRDefault="005C54D4" w:rsidP="00934B6E">
      <w:pPr>
        <w:pStyle w:val="Tekstzonderopmaak"/>
        <w:tabs>
          <w:tab w:val="left" w:pos="284"/>
          <w:tab w:val="right" w:pos="426"/>
        </w:tabs>
        <w:spacing w:line="480" w:lineRule="auto"/>
        <w:rPr>
          <w:rFonts w:ascii="Univers" w:hAnsi="Univers"/>
          <w:lang w:val="en-US"/>
        </w:rPr>
      </w:pPr>
      <w:bookmarkStart w:id="0" w:name="_GoBack"/>
      <w:bookmarkEnd w:id="0"/>
    </w:p>
    <w:p w14:paraId="14CD0DD2" w14:textId="77777777" w:rsidR="00F91696" w:rsidRPr="005E4446" w:rsidRDefault="00F91696" w:rsidP="005E4446">
      <w:pPr>
        <w:pStyle w:val="Tekstzonderopmaak"/>
        <w:tabs>
          <w:tab w:val="left" w:pos="284"/>
          <w:tab w:val="right" w:pos="426"/>
        </w:tabs>
        <w:spacing w:line="480" w:lineRule="auto"/>
        <w:rPr>
          <w:rFonts w:ascii="Univers" w:hAnsi="Univers"/>
          <w:lang w:val="en-US"/>
        </w:rPr>
      </w:pPr>
    </w:p>
    <w:p w14:paraId="1997FF11" w14:textId="77777777" w:rsidR="00F820BA" w:rsidRPr="005E4446" w:rsidRDefault="00F820BA" w:rsidP="005E4446">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7720F77B" w14:textId="77777777" w:rsidR="00F820BA" w:rsidRPr="007A6322" w:rsidRDefault="00F820BA" w:rsidP="00A25B98">
      <w:pPr>
        <w:pStyle w:val="Tekstzonderopmaak"/>
        <w:tabs>
          <w:tab w:val="right" w:pos="426"/>
        </w:tabs>
        <w:spacing w:line="360" w:lineRule="auto"/>
        <w:rPr>
          <w:rFonts w:ascii="Univers" w:hAnsi="Univers"/>
          <w:b/>
          <w:sz w:val="32"/>
          <w:lang w:val="en-US"/>
        </w:rPr>
      </w:pPr>
    </w:p>
    <w:p w14:paraId="46C30E63" w14:textId="77777777" w:rsidR="00F820BA" w:rsidRPr="004A74AA" w:rsidRDefault="00F820BA" w:rsidP="00A25B98">
      <w:pPr>
        <w:pStyle w:val="Tekstzonderopmaak"/>
        <w:tabs>
          <w:tab w:val="right" w:pos="426"/>
        </w:tabs>
        <w:spacing w:line="360" w:lineRule="auto"/>
        <w:rPr>
          <w:rFonts w:ascii="Univers" w:hAnsi="Univers"/>
          <w:b/>
          <w:sz w:val="32"/>
          <w:lang w:val="en-US"/>
        </w:rPr>
      </w:pPr>
    </w:p>
    <w:p w14:paraId="440BCA99" w14:textId="77777777" w:rsidR="00F820BA" w:rsidRPr="004A74AA" w:rsidRDefault="00F820BA" w:rsidP="00A25B98">
      <w:pPr>
        <w:pStyle w:val="Tekstzonderopmaak"/>
        <w:tabs>
          <w:tab w:val="right" w:pos="426"/>
        </w:tabs>
        <w:spacing w:line="360" w:lineRule="auto"/>
        <w:rPr>
          <w:rFonts w:ascii="Univers" w:hAnsi="Univers"/>
          <w:b/>
          <w:sz w:val="32"/>
          <w:lang w:val="en-US"/>
        </w:rPr>
      </w:pPr>
    </w:p>
    <w:p w14:paraId="1368393C" w14:textId="77777777" w:rsidR="00F820BA" w:rsidRPr="004A74AA" w:rsidRDefault="00F820BA" w:rsidP="00A25B98">
      <w:pPr>
        <w:pStyle w:val="Tekstzonderopmaak"/>
        <w:tabs>
          <w:tab w:val="right" w:pos="426"/>
        </w:tabs>
        <w:spacing w:line="360" w:lineRule="auto"/>
        <w:rPr>
          <w:rFonts w:ascii="Univers" w:hAnsi="Univers"/>
          <w:b/>
          <w:sz w:val="32"/>
          <w:lang w:val="en-US"/>
        </w:rPr>
      </w:pPr>
    </w:p>
    <w:p w14:paraId="20686A9F" w14:textId="77777777" w:rsidR="00F820BA" w:rsidRPr="004A74AA" w:rsidRDefault="00F820BA" w:rsidP="00A25B98">
      <w:pPr>
        <w:pStyle w:val="Tekstzonderopmaak"/>
        <w:tabs>
          <w:tab w:val="right" w:pos="426"/>
        </w:tabs>
        <w:spacing w:line="360" w:lineRule="auto"/>
        <w:rPr>
          <w:rFonts w:ascii="Univers" w:hAnsi="Univers"/>
          <w:b/>
          <w:sz w:val="32"/>
          <w:lang w:val="en-US"/>
        </w:rPr>
      </w:pPr>
    </w:p>
    <w:p w14:paraId="5B1A16BA" w14:textId="70F4800E" w:rsidR="0070101F" w:rsidRDefault="0070101F">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Univers" w:eastAsia="Calibri" w:hAnsi="Univers" w:cs="Times New Roman"/>
          <w:b/>
          <w:sz w:val="32"/>
          <w:szCs w:val="22"/>
          <w:lang w:val="en-US" w:eastAsia="en-US"/>
        </w:rPr>
      </w:pPr>
      <w:r>
        <w:rPr>
          <w:rFonts w:ascii="Univers" w:eastAsia="Calibri" w:hAnsi="Univers" w:cs="Times New Roman"/>
          <w:b/>
          <w:sz w:val="32"/>
          <w:szCs w:val="22"/>
          <w:lang w:val="en-US" w:eastAsia="en-US"/>
        </w:rPr>
        <w:br w:type="page"/>
      </w:r>
    </w:p>
    <w:p w14:paraId="749F968F" w14:textId="77777777" w:rsidR="0070101F" w:rsidRDefault="0070101F" w:rsidP="008419AB">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jc w:val="center"/>
        <w:rPr>
          <w:rFonts w:ascii="Univers" w:eastAsia="Calibri" w:hAnsi="Univers" w:cs="Times New Roman"/>
          <w:b/>
          <w:sz w:val="32"/>
          <w:szCs w:val="22"/>
          <w:lang w:val="en-US" w:eastAsia="en-US"/>
        </w:rPr>
        <w:sectPr w:rsidR="0070101F" w:rsidSect="008E23A4">
          <w:type w:val="continuous"/>
          <w:pgSz w:w="11906" w:h="16838"/>
          <w:pgMar w:top="1417" w:right="1417" w:bottom="1417" w:left="1417" w:header="708" w:footer="708" w:gutter="0"/>
          <w:pgNumType w:fmt="upperRoman" w:start="2"/>
          <w:cols w:space="708"/>
          <w:titlePg/>
          <w:docGrid w:linePitch="360"/>
        </w:sectPr>
      </w:pPr>
    </w:p>
    <w:p w14:paraId="6EE18DE6" w14:textId="21207119" w:rsidR="008419AB" w:rsidRPr="004A74AA" w:rsidRDefault="008419AB" w:rsidP="008419AB">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jc w:val="center"/>
        <w:rPr>
          <w:rFonts w:ascii="Univers" w:eastAsia="Calibri" w:hAnsi="Univers" w:cs="Times New Roman"/>
          <w:b/>
          <w:sz w:val="32"/>
          <w:szCs w:val="22"/>
          <w:lang w:val="en-US" w:eastAsia="en-US"/>
        </w:rPr>
      </w:pPr>
    </w:p>
    <w:p w14:paraId="3B3DE1C7" w14:textId="60DE4E3F" w:rsidR="008419AB" w:rsidRPr="004A74AA" w:rsidRDefault="008419AB" w:rsidP="0070101F">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Univers" w:eastAsia="Calibri" w:hAnsi="Univers" w:cs="Times New Roman"/>
          <w:b/>
          <w:sz w:val="28"/>
          <w:szCs w:val="28"/>
          <w:lang w:val="en-US" w:eastAsia="en-US"/>
        </w:rPr>
      </w:pPr>
    </w:p>
    <w:p w14:paraId="0583B9ED" w14:textId="40E01D68" w:rsidR="008419AB" w:rsidRPr="004A74AA" w:rsidRDefault="008419AB" w:rsidP="0070101F">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Univers" w:eastAsia="Calibri" w:hAnsi="Univers" w:cs="Times New Roman"/>
          <w:b/>
          <w:sz w:val="28"/>
          <w:szCs w:val="28"/>
          <w:lang w:val="en-US" w:eastAsia="en-US"/>
        </w:rPr>
      </w:pPr>
    </w:p>
    <w:p w14:paraId="2C6DE2C1" w14:textId="4B39ED99" w:rsidR="008419AB" w:rsidRPr="004A74AA" w:rsidRDefault="008419AB" w:rsidP="0070101F">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Univers" w:eastAsia="Calibri" w:hAnsi="Univers" w:cs="Times New Roman"/>
          <w:b/>
          <w:sz w:val="28"/>
          <w:szCs w:val="28"/>
          <w:lang w:val="en-US" w:eastAsia="en-US"/>
        </w:rPr>
      </w:pPr>
    </w:p>
    <w:p w14:paraId="149D58B1" w14:textId="77777777" w:rsidR="008419AB" w:rsidRPr="004A74AA" w:rsidRDefault="008419AB" w:rsidP="00C20E26">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rPr>
          <w:rFonts w:ascii="Univers" w:eastAsia="Calibri" w:hAnsi="Univers" w:cs="Times New Roman"/>
          <w:b/>
          <w:sz w:val="28"/>
          <w:szCs w:val="28"/>
          <w:lang w:val="en-US" w:eastAsia="en-US"/>
        </w:rPr>
      </w:pPr>
    </w:p>
    <w:p w14:paraId="736036DE" w14:textId="77777777" w:rsidR="008419AB" w:rsidRPr="004A74AA" w:rsidRDefault="008419AB" w:rsidP="008419AB">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jc w:val="center"/>
        <w:rPr>
          <w:rFonts w:ascii="Univers" w:eastAsia="Calibri" w:hAnsi="Univers" w:cs="Times New Roman"/>
          <w:b/>
          <w:sz w:val="28"/>
          <w:szCs w:val="28"/>
          <w:lang w:val="en-US" w:eastAsia="en-US"/>
        </w:rPr>
      </w:pPr>
    </w:p>
    <w:p w14:paraId="4D25E82C" w14:textId="77777777" w:rsidR="008419AB" w:rsidRPr="004A74AA" w:rsidRDefault="008419AB" w:rsidP="008419AB">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jc w:val="center"/>
        <w:rPr>
          <w:rFonts w:ascii="Univers" w:eastAsia="Calibri" w:hAnsi="Univers" w:cs="Times New Roman"/>
          <w:b/>
          <w:sz w:val="28"/>
          <w:szCs w:val="28"/>
          <w:lang w:val="en-US" w:eastAsia="en-US"/>
        </w:rPr>
      </w:pPr>
    </w:p>
    <w:p w14:paraId="085CF375" w14:textId="77777777" w:rsidR="0070101F" w:rsidRDefault="0070101F" w:rsidP="00453CE3">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rPr>
          <w:rFonts w:ascii="Univers" w:eastAsia="Calibri" w:hAnsi="Univers" w:cs="Times New Roman"/>
          <w:b/>
          <w:sz w:val="28"/>
          <w:szCs w:val="28"/>
          <w:lang w:val="en-US" w:eastAsia="en-US"/>
        </w:rPr>
      </w:pPr>
    </w:p>
    <w:p w14:paraId="0DCE6BE4" w14:textId="77777777" w:rsidR="00453CE3" w:rsidRPr="004A74AA" w:rsidRDefault="00453CE3" w:rsidP="00453CE3">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rPr>
          <w:rFonts w:ascii="Univers" w:eastAsia="Calibri" w:hAnsi="Univers" w:cs="Times New Roman"/>
          <w:b/>
          <w:sz w:val="28"/>
          <w:szCs w:val="28"/>
          <w:lang w:val="en-US" w:eastAsia="en-US"/>
        </w:rPr>
      </w:pPr>
    </w:p>
    <w:p w14:paraId="698A0C09" w14:textId="77777777" w:rsidR="008419AB" w:rsidRPr="004A74AA" w:rsidRDefault="008419AB" w:rsidP="008419AB">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jc w:val="center"/>
        <w:rPr>
          <w:rFonts w:ascii="Univers" w:eastAsia="Calibri" w:hAnsi="Univers" w:cs="Times New Roman"/>
          <w:b/>
          <w:sz w:val="28"/>
          <w:szCs w:val="28"/>
          <w:lang w:val="en-US" w:eastAsia="en-US"/>
        </w:rPr>
      </w:pPr>
    </w:p>
    <w:p w14:paraId="6FFC945A" w14:textId="77777777" w:rsidR="008419AB" w:rsidRPr="004A74AA" w:rsidRDefault="008419AB" w:rsidP="008419AB">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jc w:val="center"/>
        <w:rPr>
          <w:rFonts w:ascii="Univers" w:eastAsia="Calibri" w:hAnsi="Univers" w:cs="Times New Roman"/>
          <w:b/>
          <w:sz w:val="26"/>
          <w:szCs w:val="28"/>
          <w:lang w:val="en-US" w:eastAsia="en-US"/>
        </w:rPr>
      </w:pPr>
    </w:p>
    <w:p w14:paraId="47D42DCA" w14:textId="77777777" w:rsidR="00043906" w:rsidRPr="00C20E26" w:rsidRDefault="008419AB" w:rsidP="00435034">
      <w:pPr>
        <w:tabs>
          <w:tab w:val="clear" w:pos="284"/>
          <w:tab w:val="clear" w:pos="567"/>
          <w:tab w:val="clear" w:pos="851"/>
          <w:tab w:val="clear" w:pos="1134"/>
          <w:tab w:val="clear" w:pos="1560"/>
          <w:tab w:val="clear" w:pos="2127"/>
          <w:tab w:val="clear" w:pos="2410"/>
          <w:tab w:val="clear" w:pos="8505"/>
          <w:tab w:val="left" w:pos="-570"/>
          <w:tab w:val="left" w:pos="1"/>
          <w:tab w:val="left" w:pos="4530"/>
          <w:tab w:val="left" w:pos="5040"/>
          <w:tab w:val="left" w:pos="5760"/>
          <w:tab w:val="left" w:pos="6480"/>
          <w:tab w:val="left" w:pos="7200"/>
          <w:tab w:val="left" w:pos="7920"/>
        </w:tabs>
        <w:spacing w:after="200" w:line="276" w:lineRule="auto"/>
        <w:jc w:val="center"/>
        <w:rPr>
          <w:rFonts w:asciiTheme="minorHAnsi" w:eastAsia="Calibri" w:hAnsiTheme="minorHAnsi" w:cs="Times New Roman"/>
          <w:b/>
          <w:sz w:val="32"/>
          <w:szCs w:val="28"/>
          <w:lang w:val="en-US" w:eastAsia="en-US"/>
        </w:rPr>
        <w:sectPr w:rsidR="00043906" w:rsidRPr="00C20E26" w:rsidSect="0070101F">
          <w:footerReference w:type="first" r:id="rId13"/>
          <w:type w:val="continuous"/>
          <w:pgSz w:w="11906" w:h="16838"/>
          <w:pgMar w:top="1417" w:right="1417" w:bottom="1417" w:left="1417" w:header="708" w:footer="708" w:gutter="0"/>
          <w:pgNumType w:fmt="upperRoman" w:start="2"/>
          <w:cols w:space="708"/>
          <w:titlePg/>
          <w:docGrid w:linePitch="360"/>
        </w:sectPr>
      </w:pPr>
      <w:r w:rsidRPr="00C20E26">
        <w:rPr>
          <w:rFonts w:asciiTheme="minorHAnsi" w:eastAsia="Calibri" w:hAnsiTheme="minorHAnsi" w:cs="Times New Roman"/>
          <w:b/>
          <w:sz w:val="32"/>
          <w:szCs w:val="28"/>
          <w:lang w:val="en-US" w:eastAsia="en-US"/>
        </w:rPr>
        <w:t xml:space="preserve">Longitudinal follow-up of children with Cerebral Palsy after </w:t>
      </w:r>
      <w:r w:rsidR="00435034">
        <w:rPr>
          <w:rFonts w:asciiTheme="minorHAnsi" w:eastAsia="Calibri" w:hAnsiTheme="minorHAnsi" w:cs="Times New Roman"/>
          <w:b/>
          <w:sz w:val="32"/>
          <w:szCs w:val="28"/>
          <w:lang w:val="en-US" w:eastAsia="en-US"/>
        </w:rPr>
        <w:br/>
      </w:r>
      <w:r w:rsidR="00020391">
        <w:rPr>
          <w:rFonts w:asciiTheme="minorHAnsi" w:eastAsia="Calibri" w:hAnsiTheme="minorHAnsi" w:cs="Times New Roman"/>
          <w:b/>
          <w:sz w:val="32"/>
          <w:szCs w:val="28"/>
          <w:lang w:val="en-US" w:eastAsia="en-US"/>
        </w:rPr>
        <w:t>S</w:t>
      </w:r>
      <w:r w:rsidR="00C94EB1">
        <w:rPr>
          <w:rFonts w:asciiTheme="minorHAnsi" w:eastAsia="Calibri" w:hAnsiTheme="minorHAnsi" w:cs="Times New Roman"/>
          <w:b/>
          <w:sz w:val="32"/>
          <w:szCs w:val="28"/>
          <w:lang w:val="en-US" w:eastAsia="en-US"/>
        </w:rPr>
        <w:t>ingle-</w:t>
      </w:r>
      <w:r w:rsidR="00020391">
        <w:rPr>
          <w:rFonts w:asciiTheme="minorHAnsi" w:eastAsia="Calibri" w:hAnsiTheme="minorHAnsi" w:cs="Times New Roman"/>
          <w:b/>
          <w:sz w:val="32"/>
          <w:szCs w:val="28"/>
          <w:lang w:val="en-US" w:eastAsia="en-US"/>
        </w:rPr>
        <w:t>E</w:t>
      </w:r>
      <w:r w:rsidR="00C94EB1">
        <w:rPr>
          <w:rFonts w:asciiTheme="minorHAnsi" w:eastAsia="Calibri" w:hAnsiTheme="minorHAnsi" w:cs="Times New Roman"/>
          <w:b/>
          <w:sz w:val="32"/>
          <w:szCs w:val="28"/>
          <w:lang w:val="en-US" w:eastAsia="en-US"/>
        </w:rPr>
        <w:t xml:space="preserve">vent </w:t>
      </w:r>
      <w:r w:rsidR="00020391">
        <w:rPr>
          <w:rFonts w:asciiTheme="minorHAnsi" w:eastAsia="Calibri" w:hAnsiTheme="minorHAnsi" w:cs="Times New Roman"/>
          <w:b/>
          <w:sz w:val="32"/>
          <w:szCs w:val="28"/>
          <w:lang w:val="en-US" w:eastAsia="en-US"/>
        </w:rPr>
        <w:t>M</w:t>
      </w:r>
      <w:r w:rsidRPr="00C20E26">
        <w:rPr>
          <w:rFonts w:asciiTheme="minorHAnsi" w:eastAsia="Calibri" w:hAnsiTheme="minorHAnsi" w:cs="Times New Roman"/>
          <w:b/>
          <w:sz w:val="32"/>
          <w:szCs w:val="28"/>
          <w:lang w:val="en-US" w:eastAsia="en-US"/>
        </w:rPr>
        <w:t xml:space="preserve">ultilevel </w:t>
      </w:r>
      <w:r w:rsidR="00020391">
        <w:rPr>
          <w:rFonts w:asciiTheme="minorHAnsi" w:eastAsia="Calibri" w:hAnsiTheme="minorHAnsi" w:cs="Times New Roman"/>
          <w:b/>
          <w:sz w:val="32"/>
          <w:szCs w:val="28"/>
          <w:lang w:val="en-US" w:eastAsia="en-US"/>
        </w:rPr>
        <w:t>S</w:t>
      </w:r>
      <w:r w:rsidRPr="00C20E26">
        <w:rPr>
          <w:rFonts w:asciiTheme="minorHAnsi" w:eastAsia="Calibri" w:hAnsiTheme="minorHAnsi" w:cs="Times New Roman"/>
          <w:b/>
          <w:sz w:val="32"/>
          <w:szCs w:val="28"/>
          <w:lang w:val="en-US" w:eastAsia="en-US"/>
        </w:rPr>
        <w:t>urgery</w:t>
      </w:r>
    </w:p>
    <w:p w14:paraId="31ED8A35" w14:textId="7ED22FD8" w:rsidR="00D509F4" w:rsidRPr="00C20E26" w:rsidRDefault="00D509F4" w:rsidP="0070101F">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Theme="minorHAnsi" w:hAnsiTheme="minorHAnsi" w:cs="Times New Roman"/>
          <w:b/>
          <w:sz w:val="32"/>
          <w:lang w:val="en-US"/>
        </w:rPr>
      </w:pPr>
      <w:r w:rsidRPr="00C20E26">
        <w:rPr>
          <w:rFonts w:asciiTheme="minorHAnsi" w:hAnsiTheme="minorHAnsi" w:cs="Times New Roman"/>
          <w:b/>
          <w:sz w:val="32"/>
          <w:lang w:val="en-US"/>
        </w:rPr>
        <w:lastRenderedPageBreak/>
        <w:t>Abstract</w:t>
      </w:r>
    </w:p>
    <w:p w14:paraId="00DBD558" w14:textId="322F04C3" w:rsidR="00D509F4" w:rsidRPr="008419AB" w:rsidRDefault="00D509F4" w:rsidP="00D509F4">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i/>
          <w:szCs w:val="22"/>
          <w:lang w:val="en-US" w:eastAsia="en-US"/>
        </w:rPr>
        <w:t xml:space="preserve">Background: </w:t>
      </w:r>
      <w:r w:rsidRPr="008419AB">
        <w:rPr>
          <w:rFonts w:eastAsia="Calibri" w:cs="Times New Roman"/>
          <w:szCs w:val="22"/>
          <w:lang w:val="en-US" w:eastAsia="en-US"/>
        </w:rPr>
        <w:t xml:space="preserve">Single-event multilevel surgery (SEMLS) is frequently used to treat secondary musculoskeletal problems in children with spastic Cerebral Palsy (CP). </w:t>
      </w:r>
      <w:r>
        <w:rPr>
          <w:rFonts w:eastAsia="Calibri" w:cs="Times New Roman"/>
          <w:szCs w:val="22"/>
          <w:lang w:val="en-US" w:eastAsia="en-US"/>
        </w:rPr>
        <w:t>Using</w:t>
      </w:r>
      <w:r w:rsidRPr="008419AB">
        <w:rPr>
          <w:rFonts w:eastAsia="Calibri" w:cs="Times New Roman"/>
          <w:szCs w:val="22"/>
          <w:lang w:val="en-US" w:eastAsia="en-US"/>
        </w:rPr>
        <w:t xml:space="preserve"> three-dimensional gait analysis (3DGA), objective decisions for and the evaluation of SEMLS can be made. </w:t>
      </w:r>
      <w:r>
        <w:rPr>
          <w:rFonts w:eastAsia="Calibri" w:cs="Times New Roman"/>
          <w:szCs w:val="22"/>
          <w:lang w:val="en-US" w:eastAsia="en-US"/>
        </w:rPr>
        <w:t>T</w:t>
      </w:r>
      <w:r w:rsidRPr="008419AB">
        <w:rPr>
          <w:rFonts w:eastAsia="Calibri" w:cs="Times New Roman"/>
          <w:szCs w:val="22"/>
          <w:lang w:val="en-US" w:eastAsia="en-US"/>
        </w:rPr>
        <w:t xml:space="preserve">he aims of this retrospective study are to report the effect of SEMLS </w:t>
      </w:r>
      <w:r>
        <w:rPr>
          <w:rFonts w:eastAsia="Calibri" w:cs="Times New Roman"/>
          <w:szCs w:val="22"/>
          <w:lang w:val="en-US" w:eastAsia="en-US"/>
        </w:rPr>
        <w:t>using</w:t>
      </w:r>
      <w:r w:rsidRPr="008419AB">
        <w:rPr>
          <w:rFonts w:eastAsia="Calibri" w:cs="Times New Roman"/>
          <w:szCs w:val="22"/>
          <w:lang w:val="en-US" w:eastAsia="en-US"/>
        </w:rPr>
        <w:t xml:space="preserve"> 3DGA two </w:t>
      </w:r>
      <w:r w:rsidRPr="00FC0BB8">
        <w:rPr>
          <w:rFonts w:eastAsia="Calibri" w:cs="Times New Roman"/>
          <w:szCs w:val="22"/>
          <w:lang w:val="en-US" w:eastAsia="en-US"/>
        </w:rPr>
        <w:t xml:space="preserve">to eight </w:t>
      </w:r>
      <w:r w:rsidRPr="008419AB">
        <w:rPr>
          <w:rFonts w:eastAsia="Calibri" w:cs="Times New Roman"/>
          <w:szCs w:val="22"/>
          <w:lang w:val="en-US" w:eastAsia="en-US"/>
        </w:rPr>
        <w:t>year</w:t>
      </w:r>
      <w:r>
        <w:rPr>
          <w:rFonts w:eastAsia="Calibri" w:cs="Times New Roman"/>
          <w:szCs w:val="22"/>
          <w:lang w:val="en-US" w:eastAsia="en-US"/>
        </w:rPr>
        <w:t>s</w:t>
      </w:r>
      <w:r w:rsidRPr="008419AB">
        <w:rPr>
          <w:rFonts w:eastAsia="Calibri" w:cs="Times New Roman"/>
          <w:szCs w:val="22"/>
          <w:lang w:val="en-US" w:eastAsia="en-US"/>
        </w:rPr>
        <w:t xml:space="preserve"> post-surgery and to explore the predic</w:t>
      </w:r>
      <w:r w:rsidR="007C75A5">
        <w:rPr>
          <w:rFonts w:eastAsia="Calibri" w:cs="Times New Roman"/>
          <w:szCs w:val="22"/>
          <w:lang w:val="en-US" w:eastAsia="en-US"/>
        </w:rPr>
        <w:t xml:space="preserve">tors of </w:t>
      </w:r>
      <w:r w:rsidRPr="008419AB">
        <w:rPr>
          <w:rFonts w:eastAsia="Calibri" w:cs="Times New Roman"/>
          <w:szCs w:val="22"/>
          <w:lang w:val="en-US" w:eastAsia="en-US"/>
        </w:rPr>
        <w:t>long-term results post SEMLS.</w:t>
      </w:r>
    </w:p>
    <w:p w14:paraId="0C944C64" w14:textId="2BB35D08" w:rsidR="00D509F4" w:rsidRDefault="00D509F4" w:rsidP="00D509F4">
      <w:pPr>
        <w:tabs>
          <w:tab w:val="clear" w:pos="284"/>
          <w:tab w:val="clear" w:pos="567"/>
          <w:tab w:val="clear" w:pos="851"/>
          <w:tab w:val="clear" w:pos="1134"/>
          <w:tab w:val="clear" w:pos="1560"/>
          <w:tab w:val="clear" w:pos="2127"/>
          <w:tab w:val="clear" w:pos="2410"/>
          <w:tab w:val="clear" w:pos="8505"/>
        </w:tabs>
        <w:spacing w:line="360" w:lineRule="auto"/>
        <w:rPr>
          <w:noProof/>
          <w:lang w:val="en-US"/>
        </w:rPr>
      </w:pPr>
      <w:r w:rsidRPr="008419AB">
        <w:rPr>
          <w:rFonts w:eastAsia="Calibri" w:cs="Times New Roman"/>
          <w:i/>
          <w:szCs w:val="22"/>
          <w:lang w:val="en-US" w:eastAsia="en-US"/>
        </w:rPr>
        <w:t xml:space="preserve">Methods: </w:t>
      </w:r>
      <w:r>
        <w:rPr>
          <w:rFonts w:eastAsia="Calibri" w:cs="Times New Roman"/>
          <w:szCs w:val="22"/>
          <w:lang w:val="en-US" w:eastAsia="en-US"/>
        </w:rPr>
        <w:t>T</w:t>
      </w:r>
      <w:r w:rsidRPr="008419AB">
        <w:rPr>
          <w:rFonts w:eastAsia="Calibri" w:cs="Times New Roman"/>
          <w:szCs w:val="22"/>
          <w:lang w:val="en-US" w:eastAsia="en-US"/>
        </w:rPr>
        <w:t>hirty-one ambulan</w:t>
      </w:r>
      <w:r>
        <w:rPr>
          <w:rFonts w:eastAsia="Calibri" w:cs="Times New Roman"/>
          <w:szCs w:val="22"/>
          <w:lang w:val="en-US" w:eastAsia="en-US"/>
        </w:rPr>
        <w:t xml:space="preserve">t children with spastic CP were included. They </w:t>
      </w:r>
      <w:r w:rsidRPr="008419AB">
        <w:rPr>
          <w:rFonts w:eastAsia="Calibri" w:cs="Times New Roman"/>
          <w:szCs w:val="22"/>
          <w:lang w:val="en-US" w:eastAsia="en-US"/>
        </w:rPr>
        <w:t xml:space="preserve">all had SEMLS at an age of five to 18 years, a preoperative and at least one postoperative 3DGA with a follow-up </w:t>
      </w:r>
      <w:r>
        <w:rPr>
          <w:rFonts w:eastAsia="Calibri" w:cs="Times New Roman"/>
          <w:szCs w:val="22"/>
          <w:lang w:val="en-US" w:eastAsia="en-US"/>
        </w:rPr>
        <w:t xml:space="preserve">(FU) </w:t>
      </w:r>
      <w:r w:rsidRPr="008419AB">
        <w:rPr>
          <w:rFonts w:eastAsia="Calibri" w:cs="Times New Roman"/>
          <w:szCs w:val="22"/>
          <w:lang w:val="en-US" w:eastAsia="en-US"/>
        </w:rPr>
        <w:t xml:space="preserve">of two to </w:t>
      </w:r>
      <w:r w:rsidRPr="00FC0BB8">
        <w:rPr>
          <w:rFonts w:eastAsia="Calibri" w:cs="Times New Roman"/>
          <w:szCs w:val="22"/>
          <w:lang w:val="en-US" w:eastAsia="en-US"/>
        </w:rPr>
        <w:t>eight</w:t>
      </w:r>
      <w:r w:rsidRPr="002F41C3">
        <w:rPr>
          <w:rFonts w:eastAsia="Calibri" w:cs="Times New Roman"/>
          <w:color w:val="FF0000"/>
          <w:szCs w:val="22"/>
          <w:lang w:val="en-US" w:eastAsia="en-US"/>
        </w:rPr>
        <w:t xml:space="preserve"> </w:t>
      </w:r>
      <w:r w:rsidRPr="008419AB">
        <w:rPr>
          <w:rFonts w:eastAsia="Calibri" w:cs="Times New Roman"/>
          <w:szCs w:val="22"/>
          <w:lang w:val="en-US" w:eastAsia="en-US"/>
        </w:rPr>
        <w:t xml:space="preserve">years. Primary outcome measures were </w:t>
      </w:r>
      <w:r>
        <w:rPr>
          <w:rFonts w:eastAsia="Calibri" w:cs="Times New Roman"/>
          <w:szCs w:val="22"/>
          <w:lang w:val="en-US" w:eastAsia="en-US"/>
        </w:rPr>
        <w:t>the gait profile score (</w:t>
      </w:r>
      <w:r w:rsidRPr="008419AB">
        <w:rPr>
          <w:rFonts w:eastAsia="Calibri" w:cs="Times New Roman"/>
          <w:szCs w:val="22"/>
          <w:lang w:val="en-US" w:eastAsia="en-US"/>
        </w:rPr>
        <w:t>GPS</w:t>
      </w:r>
      <w:r>
        <w:rPr>
          <w:rFonts w:eastAsia="Calibri" w:cs="Times New Roman"/>
          <w:szCs w:val="22"/>
          <w:lang w:val="en-US" w:eastAsia="en-US"/>
        </w:rPr>
        <w:t xml:space="preserve">), GPS in sagittal plane and GPS in </w:t>
      </w:r>
      <w:r w:rsidRPr="008419AB">
        <w:rPr>
          <w:rFonts w:eastAsia="Calibri" w:cs="Times New Roman"/>
          <w:szCs w:val="22"/>
          <w:lang w:val="en-US" w:eastAsia="en-US"/>
        </w:rPr>
        <w:t>trans</w:t>
      </w:r>
      <w:r>
        <w:rPr>
          <w:rFonts w:eastAsia="Calibri" w:cs="Times New Roman"/>
          <w:szCs w:val="22"/>
          <w:lang w:val="en-US" w:eastAsia="en-US"/>
        </w:rPr>
        <w:t>verse plane. Secondary outcome measures</w:t>
      </w:r>
      <w:r w:rsidRPr="008419AB">
        <w:rPr>
          <w:rFonts w:eastAsia="Calibri" w:cs="Times New Roman"/>
          <w:szCs w:val="22"/>
          <w:lang w:val="en-US" w:eastAsia="en-US"/>
        </w:rPr>
        <w:t xml:space="preserve"> were </w:t>
      </w:r>
      <w:r w:rsidRPr="00A94D87">
        <w:rPr>
          <w:noProof/>
          <w:lang w:val="en-US"/>
        </w:rPr>
        <w:t>pelvic tilt, hip extension, hip rotation and knee extension in stance while walking.</w:t>
      </w:r>
    </w:p>
    <w:p w14:paraId="673ECE59" w14:textId="77777777" w:rsidR="006920E7" w:rsidRDefault="006920E7" w:rsidP="006920E7">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i/>
          <w:szCs w:val="22"/>
          <w:lang w:val="en-US" w:eastAsia="en-US"/>
        </w:rPr>
        <w:t>Results:</w:t>
      </w:r>
      <w:r>
        <w:rPr>
          <w:rFonts w:eastAsia="Calibri" w:cs="Times New Roman"/>
          <w:i/>
          <w:szCs w:val="22"/>
          <w:lang w:val="en-US" w:eastAsia="en-US"/>
        </w:rPr>
        <w:t xml:space="preserve"> </w:t>
      </w:r>
      <w:r>
        <w:rPr>
          <w:rFonts w:eastAsia="Calibri" w:cs="Times New Roman"/>
          <w:szCs w:val="22"/>
          <w:lang w:val="en-US" w:eastAsia="en-US"/>
        </w:rPr>
        <w:t>GPS, GPS in sagittal plane, GPS in transverse plane, hip rotation and knee extension improved significantly from</w:t>
      </w:r>
      <w:r w:rsidRPr="008419AB">
        <w:rPr>
          <w:rFonts w:eastAsia="Calibri" w:cs="Times New Roman"/>
          <w:szCs w:val="22"/>
          <w:lang w:val="en-US" w:eastAsia="en-US"/>
        </w:rPr>
        <w:t xml:space="preserve"> </w:t>
      </w:r>
      <w:r>
        <w:rPr>
          <w:rFonts w:eastAsia="Calibri" w:cs="Times New Roman"/>
          <w:szCs w:val="22"/>
          <w:lang w:val="en-US" w:eastAsia="en-US"/>
        </w:rPr>
        <w:t>15.6° to 11.0°, 17.2° to 12,6°, 16.0° to 10.9°, 14.4° to -1.2° and 24.0° to 7.5° at 8 years FU respectively (p≤0.01). No change was observed in pelvic tilt and hip extension only improved on the short-term from 10.6° to 6.3°. Positive long term outcome</w:t>
      </w:r>
      <w:r w:rsidRPr="008419AB">
        <w:rPr>
          <w:rFonts w:eastAsia="Calibri" w:cs="Times New Roman"/>
          <w:szCs w:val="22"/>
          <w:lang w:val="en-US" w:eastAsia="en-US"/>
        </w:rPr>
        <w:t xml:space="preserve"> </w:t>
      </w:r>
      <w:r>
        <w:rPr>
          <w:rFonts w:eastAsia="Calibri" w:cs="Times New Roman"/>
          <w:szCs w:val="22"/>
          <w:lang w:val="en-US" w:eastAsia="en-US"/>
        </w:rPr>
        <w:t xml:space="preserve">was associated with a low </w:t>
      </w:r>
      <w:r w:rsidRPr="008419AB">
        <w:rPr>
          <w:rFonts w:eastAsia="Calibri" w:cs="Times New Roman"/>
          <w:szCs w:val="22"/>
          <w:lang w:val="en-US" w:eastAsia="en-US"/>
        </w:rPr>
        <w:t xml:space="preserve">GPS </w:t>
      </w:r>
      <w:r>
        <w:rPr>
          <w:rFonts w:eastAsia="Calibri" w:cs="Times New Roman"/>
          <w:szCs w:val="22"/>
          <w:lang w:val="en-US" w:eastAsia="en-US"/>
        </w:rPr>
        <w:t xml:space="preserve">value </w:t>
      </w:r>
      <w:r w:rsidRPr="008419AB">
        <w:rPr>
          <w:rFonts w:eastAsia="Calibri" w:cs="Times New Roman"/>
          <w:szCs w:val="22"/>
          <w:lang w:val="en-US" w:eastAsia="en-US"/>
        </w:rPr>
        <w:t xml:space="preserve">and </w:t>
      </w:r>
      <w:r>
        <w:rPr>
          <w:rFonts w:eastAsia="Calibri" w:cs="Times New Roman"/>
          <w:szCs w:val="22"/>
          <w:lang w:val="en-US" w:eastAsia="en-US"/>
        </w:rPr>
        <w:t xml:space="preserve">low </w:t>
      </w:r>
      <w:r w:rsidRPr="008419AB">
        <w:rPr>
          <w:rFonts w:eastAsia="Calibri" w:cs="Times New Roman"/>
          <w:szCs w:val="22"/>
          <w:lang w:val="en-US" w:eastAsia="en-US"/>
        </w:rPr>
        <w:t xml:space="preserve">knee angle at initial contact </w:t>
      </w:r>
      <w:r>
        <w:rPr>
          <w:rFonts w:eastAsia="Calibri" w:cs="Times New Roman"/>
          <w:szCs w:val="22"/>
          <w:lang w:val="en-US" w:eastAsia="en-US"/>
        </w:rPr>
        <w:t>at baseline</w:t>
      </w:r>
      <w:r w:rsidRPr="008419AB">
        <w:rPr>
          <w:rFonts w:eastAsia="Calibri" w:cs="Times New Roman"/>
          <w:szCs w:val="22"/>
          <w:lang w:val="en-US" w:eastAsia="en-US"/>
        </w:rPr>
        <w:t xml:space="preserve">. </w:t>
      </w:r>
    </w:p>
    <w:p w14:paraId="6F7F1142" w14:textId="77777777" w:rsidR="006920E7" w:rsidRPr="008419AB" w:rsidRDefault="006920E7" w:rsidP="006920E7">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i/>
          <w:szCs w:val="22"/>
          <w:lang w:val="en-US" w:eastAsia="en-US"/>
        </w:rPr>
        <w:t>Conclusion:</w:t>
      </w:r>
      <w:r w:rsidRPr="008419AB">
        <w:rPr>
          <w:rFonts w:eastAsia="Calibri" w:cs="Times New Roman"/>
          <w:szCs w:val="22"/>
          <w:lang w:val="en-US" w:eastAsia="en-US"/>
        </w:rPr>
        <w:t xml:space="preserve"> The effects of SEMLS </w:t>
      </w:r>
      <w:r>
        <w:rPr>
          <w:rFonts w:eastAsia="Calibri" w:cs="Times New Roman"/>
          <w:szCs w:val="22"/>
          <w:lang w:val="en-US" w:eastAsia="en-US"/>
        </w:rPr>
        <w:t xml:space="preserve">on several gait parameters </w:t>
      </w:r>
      <w:r w:rsidRPr="008419AB">
        <w:rPr>
          <w:rFonts w:eastAsia="Calibri" w:cs="Times New Roman"/>
          <w:szCs w:val="22"/>
          <w:lang w:val="en-US" w:eastAsia="en-US"/>
        </w:rPr>
        <w:t>were found to be significant and clinically relevant over the long</w:t>
      </w:r>
      <w:r>
        <w:rPr>
          <w:rFonts w:eastAsia="Calibri" w:cs="Times New Roman"/>
          <w:szCs w:val="22"/>
          <w:lang w:val="en-US" w:eastAsia="en-US"/>
        </w:rPr>
        <w:t>-</w:t>
      </w:r>
      <w:r w:rsidRPr="008419AB">
        <w:rPr>
          <w:rFonts w:eastAsia="Calibri" w:cs="Times New Roman"/>
          <w:szCs w:val="22"/>
          <w:lang w:val="en-US" w:eastAsia="en-US"/>
        </w:rPr>
        <w:t>term.  The results of the prediction can be used for further investigation.</w:t>
      </w:r>
    </w:p>
    <w:p w14:paraId="0BD41379" w14:textId="77777777" w:rsidR="00D509F4" w:rsidRPr="008419AB" w:rsidRDefault="00D509F4" w:rsidP="00D509F4">
      <w:pPr>
        <w:tabs>
          <w:tab w:val="right" w:pos="426"/>
        </w:tabs>
        <w:spacing w:line="360" w:lineRule="auto"/>
        <w:rPr>
          <w:rFonts w:eastAsia="Calibri" w:cs="Times New Roman"/>
          <w:i/>
          <w:szCs w:val="22"/>
          <w:lang w:val="en-US" w:eastAsia="en-US"/>
        </w:rPr>
      </w:pPr>
      <w:r>
        <w:rPr>
          <w:lang w:val="en-US"/>
        </w:rPr>
        <w:br/>
      </w:r>
      <w:r w:rsidRPr="008419AB">
        <w:rPr>
          <w:rFonts w:eastAsia="Calibri" w:cs="Times New Roman"/>
          <w:i/>
          <w:szCs w:val="22"/>
          <w:lang w:val="en-US" w:eastAsia="en-US"/>
        </w:rPr>
        <w:t>Keywords: Cerebral Palsy, Single-event multilevel surgery, 3D gait analysis, Long-term follow-up,</w:t>
      </w:r>
      <w:r w:rsidRPr="008419AB">
        <w:rPr>
          <w:rFonts w:eastAsia="Calibri" w:cs="Times New Roman"/>
          <w:i/>
          <w:szCs w:val="22"/>
          <w:lang w:val="en-US" w:eastAsia="en-US"/>
        </w:rPr>
        <w:br/>
        <w:t xml:space="preserve">                     Prediction </w:t>
      </w:r>
    </w:p>
    <w:p w14:paraId="61FBB919" w14:textId="77777777" w:rsidR="008419AB" w:rsidRPr="008419AB" w:rsidRDefault="008419AB" w:rsidP="008419AB">
      <w:pPr>
        <w:tabs>
          <w:tab w:val="clear" w:pos="284"/>
          <w:tab w:val="clear" w:pos="567"/>
          <w:tab w:val="clear" w:pos="851"/>
          <w:tab w:val="clear" w:pos="1134"/>
          <w:tab w:val="clear" w:pos="1560"/>
          <w:tab w:val="clear" w:pos="2127"/>
          <w:tab w:val="clear" w:pos="2410"/>
          <w:tab w:val="clear" w:pos="8505"/>
        </w:tabs>
        <w:spacing w:after="200" w:line="360" w:lineRule="auto"/>
        <w:rPr>
          <w:rFonts w:eastAsia="Calibri" w:cs="Times New Roman"/>
          <w:i/>
          <w:szCs w:val="22"/>
          <w:lang w:val="en-US" w:eastAsia="en-US"/>
        </w:rPr>
      </w:pPr>
    </w:p>
    <w:p w14:paraId="10F8D5C1" w14:textId="77777777" w:rsidR="008419AB" w:rsidRPr="008419AB" w:rsidRDefault="008419AB" w:rsidP="008419AB">
      <w:pPr>
        <w:tabs>
          <w:tab w:val="right" w:pos="426"/>
        </w:tabs>
        <w:spacing w:line="360" w:lineRule="auto"/>
        <w:rPr>
          <w:rFonts w:ascii="Univers" w:hAnsi="Univers" w:cs="Times New Roman"/>
          <w:b/>
          <w:sz w:val="28"/>
          <w:lang w:val="en-US"/>
        </w:rPr>
      </w:pPr>
    </w:p>
    <w:p w14:paraId="352D0ADB" w14:textId="77777777" w:rsidR="008419AB" w:rsidRPr="008419AB" w:rsidRDefault="008419AB" w:rsidP="008419AB">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Univers" w:hAnsi="Univers" w:cs="Times New Roman"/>
          <w:b/>
          <w:sz w:val="32"/>
          <w:lang w:val="en-US"/>
        </w:rPr>
      </w:pPr>
      <w:r w:rsidRPr="008419AB">
        <w:rPr>
          <w:rFonts w:ascii="Univers" w:eastAsia="Calibri" w:hAnsi="Univers" w:cs="Times New Roman"/>
          <w:b/>
          <w:sz w:val="32"/>
          <w:szCs w:val="22"/>
          <w:lang w:val="en-US" w:eastAsia="en-US"/>
        </w:rPr>
        <w:br w:type="page"/>
      </w:r>
    </w:p>
    <w:p w14:paraId="30006A02" w14:textId="77777777" w:rsidR="00E02B30" w:rsidRPr="00C20E26" w:rsidRDefault="00E02B30" w:rsidP="00E02B30">
      <w:pPr>
        <w:tabs>
          <w:tab w:val="right" w:pos="426"/>
        </w:tabs>
        <w:spacing w:line="360" w:lineRule="auto"/>
        <w:rPr>
          <w:rFonts w:asciiTheme="minorHAnsi" w:hAnsiTheme="minorHAnsi" w:cs="Times New Roman"/>
          <w:b/>
          <w:sz w:val="32"/>
          <w:lang w:val="en-US"/>
        </w:rPr>
      </w:pPr>
      <w:r w:rsidRPr="00C20E26">
        <w:rPr>
          <w:rFonts w:asciiTheme="minorHAnsi" w:hAnsiTheme="minorHAnsi" w:cs="Times New Roman"/>
          <w:b/>
          <w:sz w:val="32"/>
          <w:lang w:val="en-US"/>
        </w:rPr>
        <w:lastRenderedPageBreak/>
        <w:t>1. Introduction</w:t>
      </w:r>
    </w:p>
    <w:p w14:paraId="1AEF8BF2" w14:textId="77777777" w:rsidR="00E02B30" w:rsidRPr="008419AB"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t xml:space="preserve">Cerebral palsy (CP) is </w:t>
      </w:r>
      <w:r>
        <w:rPr>
          <w:rFonts w:eastAsia="Calibri" w:cs="Times New Roman"/>
          <w:szCs w:val="22"/>
          <w:lang w:val="en-US" w:eastAsia="en-US"/>
        </w:rPr>
        <w:t xml:space="preserve">a </w:t>
      </w:r>
      <w:r w:rsidRPr="008419AB">
        <w:rPr>
          <w:rFonts w:eastAsia="Calibri" w:cs="Times New Roman"/>
          <w:szCs w:val="22"/>
          <w:lang w:val="en-US" w:eastAsia="en-US"/>
        </w:rPr>
        <w:t xml:space="preserve">neurological disorder in children. It occurs in about two to three per 1000 births, making it the most common cause </w:t>
      </w:r>
      <w:r>
        <w:rPr>
          <w:rFonts w:eastAsia="Calibri" w:cs="Times New Roman"/>
          <w:szCs w:val="22"/>
          <w:lang w:val="en-US" w:eastAsia="en-US"/>
        </w:rPr>
        <w:t xml:space="preserve">of motor disability in childhood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"This article reviews the current best evidence for musculoskeletal interventions in children with ambulatory cerebral palsy (CP). The effectiveness of interventions in CP must first consider what CP and its associated pathophysiology are and take into account the heterogeneity and natural history of CP to put definitions of \u201ceffectiveness\u201d into perspective. This article reviews the current standards of the definition and classification of CP, discusses the natural history and specific goals for the management of ambulatory CP, as well as the outcome measures available to measure these goals. The current best evidence of effectiveness is reviewed for specific interventions in children with ambulatory CP including spasticity management with botulinum toxin A injections and selective dorsal rhizotomy; multilevel orthopaedic surgery to address contractures and bony deformity; and the role of gait analysis for surgical decision-making before orthopaedic surgery.", "author" : [ { "dropping-particle" : "", "family" : "Narayanan", "given" : "Ug", "non-dropping-particle" : "", "parse-names" : false, "suffix" : "" } ], "container-title" : "Journal of Pediatric Orthopaedics", "id" : "ITEM-1", "issue" : "2", "issued" : { "date-parts" : [ [ "2012" ] ] }, "page" : "172-181", "title" : "Management of Children With Ambulatory Cerebral Palsy: An Evidence-based Review", "type" : "article-journal", "volume" : "32" }, "uris" : [ "http://www.mendeley.com/documents/?uuid=a4e145b9-7174-486f-8b86-f690afb0f097" ] }, { "id" : "ITEM-2", "itemData" : { "abstract" : "Although cerebral palsy (CP) is the most common cause of motor deficiency in young children, it occurs in only 2 to 3 per 1000 live births. In order to monitor prevalence rates, especially within subgroups (birthweight, clinical type), it is necessary to study large populations. A network of CP surveys and registers was formed in 14 centres in eight countries across Europe. Differences in prevalence rates of CP in the centres prior to any work on harmonization of data are reported. The subsequent process to standardize the definition of CP, inclusion/exclusion criteria, classification, and description of children with CP is outlined. The consensus that was reached on these issues will make it possible to monitor trends in CP rate, to provide a framework for collaborative research, and a basis for services planning among European countries.", "author" : [ { "dropping-particle" : "", "family" : "Cans", "given" : "Christine", "non-dropping-particle" : "", "parse-names" : false, "suffix" : "" } ], "container-title" : "Developmental medicine and child neurology", "id" : "ITEM-2", "issue" : "12", "issued" : { "date-parts" : [ [ "2000" ] ] }, "page" : "816-824", "title" : "Surveillance of cerebral palsy in Europe: a collaboration of cerebral palsy surveys and registers. Surveillance of Cerebral Palsy in Europe (SCPE).", "type" : "article-journal", "volume" : "42" }, "uris" : [ "http://www.mendeley.com/documents/?uuid=fdb0cd04-1eda-467c-b000-55792aa1530f" ] } ], "mendeley" : { "formattedCitation" : "[1,2]", "plainTextFormattedCitation" : "[1,2]", "previouslyFormattedCitation" : "[1,2]" }, "properties" : { "noteIndex" : 0 }, "schema" : "https://github.com/citation-style-language/schema/raw/master/csl-citation.json" }</w:instrText>
      </w:r>
      <w:r>
        <w:rPr>
          <w:rFonts w:eastAsia="Calibri" w:cs="Times New Roman"/>
          <w:szCs w:val="22"/>
          <w:lang w:val="en-US" w:eastAsia="en-US"/>
        </w:rPr>
        <w:fldChar w:fldCharType="separate"/>
      </w:r>
      <w:r w:rsidRPr="00B70094">
        <w:rPr>
          <w:rFonts w:eastAsia="Calibri" w:cs="Times New Roman"/>
          <w:noProof/>
          <w:szCs w:val="22"/>
          <w:lang w:val="en-US" w:eastAsia="en-US"/>
        </w:rPr>
        <w:t>[1,2]</w:t>
      </w:r>
      <w:r>
        <w:rPr>
          <w:rFonts w:eastAsia="Calibri" w:cs="Times New Roman"/>
          <w:szCs w:val="22"/>
          <w:lang w:val="en-US" w:eastAsia="en-US"/>
        </w:rPr>
        <w:fldChar w:fldCharType="end"/>
      </w:r>
      <w:r w:rsidRPr="008419AB">
        <w:rPr>
          <w:rFonts w:eastAsia="Calibri" w:cs="Times New Roman"/>
          <w:szCs w:val="22"/>
          <w:lang w:val="en-US" w:eastAsia="en-US"/>
        </w:rPr>
        <w:t>.</w:t>
      </w:r>
      <w:r w:rsidRPr="008419AB">
        <w:rPr>
          <w:rFonts w:eastAsia="Calibri" w:cs="Times New Roman"/>
          <w:szCs w:val="22"/>
          <w:lang w:val="en-US" w:eastAsia="en-US"/>
        </w:rPr>
        <w:br/>
        <w:t>CP describes a group of permanent disorders of the development of movement and posture, causing limitations in activity that are attributed to non-progressive disturbances that occurred in the developing fetal or infant brain. The motor disorders of cerebral palsy are often accompanied by disturbances of sensation, perception, cognition, communication and behavior, by epilepsy, and by secondary musculoskeletal problems</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"For a variety of reasons, the definition and the classification of cerebral palsy (CP) need to be reconsidered. Modern brain imaging techniques have shed new light on the nature of the underlying brain injury and studies on the neurobiology of and pathology associated with brain development have further explored etiologic mechanisms. It is now recognized that assessing the extent of activity restriction is part of CP evaluation and that people without activity restriction should not be included in the CP rubric. Also, previous definitions have not given sufficient prominence to the non-motor neurodevelopmental disabilities of performance and behaviour that commonly accompany CP, nor to the progression of musculoskeletal difficulties that often occurs with advancing age. In order to explore this information, pertinent material was reviewed on July 11-13, 2004 at an international workshop in Bethesda, MD (USA) organized by an Executive Committee and participated in by selected leaders in the preclinical and clinical sciences. At the workshop, it was agreed that the concept 'cerebral palsy' should be retained. Suggestions were made about the content of a revised definition and classification of CP that would meet the needs of clinicians, investigators, health officials, families and the public and would provide a common language for improved communication. Panels organized by the Executive Committee used this information and additional comments from the international community to generate a report on the Definition and Classification of Cerebral Palsy, April 2006. The Executive Committee presents this report with the intent of providing a common conceptualization of CP for use by a broad international audience.", "author" : [ { "dropping-particle" : "", "family" : "Rosenbaum", "given" : "Peter", "non-dropping-particle" : "", "parse-names" : false, "suffix" : "" }, { "dropping-particle" : "", "family" : "Paneth", "given" : "Nigel", "non-dropping-particle" : "", "parse-names" : false, "suffix" : "" }, { "dropping-particle" : "", "family" : "Leviton", "given" : "Alan", "non-dropping-particle" : "", "parse-names" : false, "suffix" : "" }, { "dropping-particle" : "", "family" : "Goldstein", "given" : "Murray", "non-dropping-particle" : "", "parse-names" : false, "suffix" : "" }, { "dropping-particle" : "", "family" : "Bax", "given" : "Martin", "non-dropping-particle" : "", "parse-names" : false, "suffix" : "" }, { "dropping-particle" : "", "family" : "Damiano", "given" : "Diane", "non-dropping-particle" : "", "parse-names" : false, "suffix" : "" }, { "dropping-particle" : "", "family" : "Dan", "given" : "Bernard", "non-dropping-particle" : "", "parse-names" : false, "suffix" : "" }, { "dropping-particle" : "", "family" : "Jacobsson", "given" : "Bo", "non-dropping-particle" : "", "parse-names" : false, "suffix" : "" } ], "container-title" : "Developmental medicine and child neurology. Supplement", "id" : "ITEM-1", "issued" : { "date-parts" : [ [ "2007" ] ] }, "page" : "8-14", "title" : "A report: the definition and classification of cerebral palsy.", "type" : "article-journal", "volume" : "109" }, "uris" : [ "http://www.mendeley.com/documents/?uuid=591d8198-548f-41e7-beea-ffdab094a32e" ] }, { "id" : "ITEM-2", "itemData" : { "abstract" : "Because of the availability of new knowledge about the neurobiology of developmental brain injury, information that epidemiology and modern brain imaging is providing, the availability of more precise measuring instruments of patient performance, and the increase in studies evaluating the efficacy of therapy for the consequences of injury, the need for reconsideration of the definition and classification of cerebral palsy (CP) has become evident. Pertinent material was reviewed at an international symposium participated in by selected leaders in the preclinical and clinical sciences. Suggestions were made about the content of a revised definition and classification of CP that would meet the needs of clinicians, investigators, and health officials, and provide a common language for improved communication. With leadership and direction from an Executive Committee, panels utilized this information and have generated a revised Definition and Classification of Cerebral Palsy. The Executive Committee presents this revision and welcomes substantive comments about it.", "author" : [ { "dropping-particle" : "", "family" : "Bax", "given" : "Martin", "non-dropping-particle" : "", "parse-names" : false, "suffix" : "" }, { "dropping-particle" : "", "family" : "Goldstein", "given" : "Murray", "non-dropping-particle" : "", "parse-names" : false, "suffix" : "" }, { "dropping-particle" : "", "family" : "Rosenbaum", "given" : "Peter", "non-dropping-particle" : "", "parse-names" : false, "suffix" : "" }, { "dropping-particle" : "", "family" : "Leviton", "given" : "Alan", "non-dropping-particle" : "", "parse-names" : false, "suffix" : "" }, { "dropping-particle" : "", "family" : "Paneth", "given" : "Nigel", "non-dropping-particle" : "", "parse-names" : false, "suffix" : "" }, { "dropping-particle" : "", "family" : "Dan", "given" : "Bernard", "non-dropping-particle" : "", "parse-names" : false, "suffix" : "" }, { "dropping-particle" : "", "family" : "Jacobsson", "given" : "Bo", "non-dropping-particle" : "", "parse-names" : false, "suffix" : "" }, { "dropping-particle" : "", "family" : "Damiano", "given" : "Diane", "non-dropping-particle" : "", "parse-names" : false, "suffix" : "" } ], "container-title" : "Developmental medicine and child neurology", "id" : "ITEM-2", "issue" : "8", "issued" : { "date-parts" : [ [ "2005" ] ] }, "page" : "571-6", "title" : "Proposed definition and classification of cerebral palsy, April 2005.", "type" : "article-journal", "volume" : "47" }, "uris" : [ "http://www.mendeley.com/documents/?uuid=2a6075f9-a8b8-4012-91dc-0c01c06ddeff" ] } ], "mendeley" : { "formattedCitation" : "[3,4]", "plainTextFormattedCitation" : "[3,4]", "previouslyFormattedCitation" : "[3,4]" }, "properties" : { "noteIndex" : 0 }, "schema" : "https://github.com/citation-style-language/schema/raw/master/csl-citation.json" }</w:instrText>
      </w:r>
      <w:r>
        <w:rPr>
          <w:rFonts w:eastAsia="Calibri" w:cs="Times New Roman"/>
          <w:szCs w:val="22"/>
          <w:lang w:val="en-US" w:eastAsia="en-US"/>
        </w:rPr>
        <w:fldChar w:fldCharType="separate"/>
      </w:r>
      <w:r w:rsidRPr="00B70094">
        <w:rPr>
          <w:rFonts w:eastAsia="Calibri" w:cs="Times New Roman"/>
          <w:noProof/>
          <w:szCs w:val="22"/>
          <w:lang w:val="en-US" w:eastAsia="en-US"/>
        </w:rPr>
        <w:t>[3,4]</w:t>
      </w:r>
      <w:r>
        <w:rPr>
          <w:rFonts w:eastAsia="Calibri" w:cs="Times New Roman"/>
          <w:szCs w:val="22"/>
          <w:lang w:val="en-US" w:eastAsia="en-US"/>
        </w:rPr>
        <w:fldChar w:fldCharType="end"/>
      </w:r>
      <w:r w:rsidRPr="008419AB">
        <w:rPr>
          <w:rFonts w:eastAsia="Calibri" w:cs="Times New Roman"/>
          <w:szCs w:val="22"/>
          <w:lang w:val="en-US" w:eastAsia="en-US"/>
        </w:rPr>
        <w:t>. Preterm and low birth weight are risk factors</w:t>
      </w:r>
      <w:r w:rsidRPr="008419AB">
        <w:rPr>
          <w:rFonts w:eastAsia="Calibri" w:cs="Times New Roman"/>
          <w:i/>
          <w:szCs w:val="22"/>
          <w:lang w:val="en-US" w:eastAsia="en-US"/>
        </w:rPr>
        <w:t xml:space="preserve"> </w:t>
      </w:r>
      <w:r w:rsidRPr="008419AB">
        <w:rPr>
          <w:rFonts w:eastAsia="Calibri" w:cs="Times New Roman"/>
          <w:szCs w:val="22"/>
          <w:lang w:val="en-US" w:eastAsia="en-US"/>
        </w:rPr>
        <w:t xml:space="preserve">which play a role in developing CP </w:t>
      </w:r>
      <w:r w:rsidRPr="008419AB">
        <w:rPr>
          <w:rFonts w:eastAsia="Calibri" w:cs="Times New Roman"/>
          <w:szCs w:val="22"/>
          <w:vertAlign w:val="superscript"/>
          <w:lang w:val="en-US" w:eastAsia="en-US"/>
        </w:rPr>
        <w:fldChar w:fldCharType="begin" w:fldLock="1"/>
      </w:r>
      <w:r w:rsidRPr="008419AB">
        <w:rPr>
          <w:rFonts w:eastAsia="Calibri" w:cs="Times New Roman"/>
          <w:szCs w:val="22"/>
          <w:vertAlign w:val="superscript"/>
          <w:lang w:val="en-US" w:eastAsia="en-US"/>
        </w:rPr>
        <w:instrText>ADDIN CSL_CITATION { "citationItems" : [ { "id" : "ITEM-1", "itemData" : { "abstract" : "The syndrome of cerebral palsy encompasses a large group of childhood movement and posture disorders. Severity, patterns of motor involvement, and associated impairments such as those of communication, intellectual ability, and epilepsy vary widely. Overall prevalence has remained stable in the past 40 years at 2-3\u00b75 cases per 1000 livebirths, despite changes in antenatal and perinatal care. The few studies available from developing countries suggest prevalence of comparable magnitude. Cerebral palsy is a lifelong disorder; approaches to intervention, whether at an individual or environmental level, should recognise that quality of life and social participation throughout life are what individuals with cerebral palsy seek, not improved physical function for its own sake. In the past few years, the cerebral palsy community has learned that the evidence of benefit for the numerous drugs, surgery, and therapies used over previous decades is weak. Improved understanding of the role of multiple gestation in pathogenesis, of gene environment interaction, and how to influence brain plasticity could yield significant advances in treatment of the disorder. Reduction in the prevalence of post-neonatal cerebral palsy, especially in developing countries, should be possible through improved nutrition, infection control, and accident prevention.", "author" : [ { "dropping-particle" : "", "family" : "Colver", "given" : "Allan", "non-dropping-particle" : "", "parse-names" : false, "suffix" : "" }, { "dropping-particle" : "", "family" : "Fairhurst", "given" : "Charles", "non-dropping-particle" : "", "parse-names" : false, "suffix" : "" }, { "dropping-particle" : "", "family" : "Pharoah", "given" : "Peter O D", "non-dropping-particle" : "", "parse-names" : false, "suffix" : "" } ], "container-title" : "Lancet", "id" : "ITEM-1", "issue" : "9924", "issued" : { "date-parts" : [ [ "2014" ] ] }, "page" : "1240-9", "title" : "Cerebral palsy.", "type" : "article-journal", "volume" : "383" }, "uris" : [ "http://www.mendeley.com/documents/?uuid=8f64e987-0369-4592-a40b-72babb86be42" ] } ], "mendeley" : { "formattedCitation" : "[5]", "plainTextFormattedCitation" : "[5]", "previouslyFormattedCitation" : "[5]" }, "properties" : { "noteIndex" : 0 }, "schema" : "https://github.com/citation-style-language/schema/raw/master/csl-citation.json" }</w:instrText>
      </w:r>
      <w:r w:rsidRPr="008419AB">
        <w:rPr>
          <w:rFonts w:eastAsia="Calibri" w:cs="Times New Roman"/>
          <w:szCs w:val="22"/>
          <w:vertAlign w:val="superscript"/>
          <w:lang w:val="en-US" w:eastAsia="en-US"/>
        </w:rPr>
        <w:fldChar w:fldCharType="separate"/>
      </w:r>
      <w:r w:rsidRPr="008419AB">
        <w:rPr>
          <w:rFonts w:eastAsia="Calibri" w:cs="Times New Roman"/>
          <w:noProof/>
          <w:szCs w:val="22"/>
          <w:lang w:val="en-US" w:eastAsia="en-US"/>
        </w:rPr>
        <w:t>[5]</w:t>
      </w:r>
      <w:r w:rsidRPr="008419AB">
        <w:rPr>
          <w:rFonts w:eastAsia="Calibri" w:cs="Times New Roman"/>
          <w:szCs w:val="22"/>
          <w:vertAlign w:val="superscript"/>
          <w:lang w:val="en-US" w:eastAsia="en-US"/>
        </w:rPr>
        <w:fldChar w:fldCharType="end"/>
      </w:r>
      <w:r w:rsidRPr="008419AB">
        <w:rPr>
          <w:rFonts w:eastAsia="Calibri" w:cs="Times New Roman"/>
          <w:szCs w:val="22"/>
          <w:lang w:val="en-US" w:eastAsia="en-US"/>
        </w:rPr>
        <w:t>.</w:t>
      </w:r>
    </w:p>
    <w:p w14:paraId="72D885BF" w14:textId="77777777" w:rsidR="00E02B30" w:rsidRPr="008419AB"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t>The main problems</w:t>
      </w:r>
      <w:r w:rsidRPr="008419AB">
        <w:rPr>
          <w:rFonts w:eastAsia="Calibri" w:cs="Times New Roman"/>
          <w:i/>
          <w:szCs w:val="22"/>
          <w:lang w:val="en-US" w:eastAsia="en-US"/>
        </w:rPr>
        <w:t xml:space="preserve"> </w:t>
      </w:r>
      <w:r w:rsidRPr="008419AB">
        <w:rPr>
          <w:rFonts w:eastAsia="Calibri" w:cs="Times New Roman"/>
          <w:szCs w:val="22"/>
          <w:lang w:val="en-US" w:eastAsia="en-US"/>
        </w:rPr>
        <w:t>in children with CP are abnormal muscle tone (mostly hypertonicity), muscle weakness, poor selective motor control (inability to activate a specific pattern of muscles in an isolated</w:t>
      </w:r>
      <w:r>
        <w:rPr>
          <w:rFonts w:eastAsia="Calibri" w:cs="Times New Roman"/>
          <w:szCs w:val="22"/>
          <w:lang w:val="en-US" w:eastAsia="en-US"/>
        </w:rPr>
        <w:t xml:space="preserve"> way</w:t>
      </w:r>
      <w:r w:rsidRPr="008419AB">
        <w:rPr>
          <w:rFonts w:eastAsia="Calibri" w:cs="Times New Roman"/>
          <w:szCs w:val="22"/>
          <w:lang w:val="en-US" w:eastAsia="en-US"/>
        </w:rPr>
        <w:t xml:space="preserve">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"Because of increasing interest in conducting large-scale, multicenter investigations into the epidemiology of cerebral palsy and its prevention and treatment, efforts have been made to establish a standard definition and classification systems for cerebral palsy. In recent years there has also been increased focus on measurement of functional status of patients and new classifications for gross and fine motor function have been developed. The purpose of this article is to update the orthopaedic community on the current classification systems for patients with cerebral palsy. This information will be of value to surgeons in determining patients' suitability for certain treatments and will also assist them in reviewing current literature in cerebral palsy. ?? 2010 Elsevier Inc.", "author" : [ { "dropping-particle" : "", "family" : "Rethlefsen", "given" : "Susan a.", "non-dropping-particle" : "", "parse-names" : false, "suffix" : "" }, { "dropping-particle" : "", "family" : "Ryan", "given" : "Deirdre D.", "non-dropping-particle" : "", "parse-names" : false, "suffix" : "" }, { "dropping-particle" : "", "family" : "Kay", "given" : "Robert M.", "non-dropping-particle" : "", "parse-names" : false, "suffix" : "" } ], "container-title" : "Orthopedic Clinics of North America", "id" : "ITEM-1", "issue" : "4", "issued" : { "date-parts" : [ [ "2010" ] ] }, "page" : "457-467", "publisher" : "Elsevier Ltd", "title" : "Classification systems in cerebral palsy", "type" : "article-journal", "volume" : "41" }, "uris" : [ "http://www.mendeley.com/documents/?uuid=4983ec50-44f3-469f-aae7-b3a5c3c741b5" ] } ], "mendeley" : { "formattedCitation" : "[6]", "plainTextFormattedCitation" : "[6]", "previouslyFormattedCitation" : "[6]"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[6]</w:t>
      </w:r>
      <w:r w:rsidRPr="008419AB">
        <w:rPr>
          <w:rFonts w:eastAsia="Calibri" w:cs="Times New Roman"/>
          <w:szCs w:val="22"/>
          <w:lang w:val="en-US" w:eastAsia="en-US"/>
        </w:rPr>
        <w:fldChar w:fldCharType="end"/>
      </w:r>
      <w:r w:rsidRPr="008419AB">
        <w:rPr>
          <w:rFonts w:eastAsia="Calibri" w:cs="Times New Roman"/>
          <w:szCs w:val="22"/>
          <w:lang w:val="en-US" w:eastAsia="en-US"/>
        </w:rPr>
        <w:t xml:space="preserve">) and balance problems. Secondary to these main problems children with CP very often develop musculoskeletal problems, such as muscle-tightness which is linked </w:t>
      </w:r>
      <w:r>
        <w:rPr>
          <w:rFonts w:eastAsia="Calibri" w:cs="Times New Roman"/>
          <w:szCs w:val="22"/>
          <w:lang w:val="en-US" w:eastAsia="en-US"/>
        </w:rPr>
        <w:t>to</w:t>
      </w:r>
      <w:r w:rsidRPr="008419AB">
        <w:rPr>
          <w:rFonts w:eastAsia="Calibri" w:cs="Times New Roman"/>
          <w:szCs w:val="22"/>
          <w:lang w:val="en-US" w:eastAsia="en-US"/>
        </w:rPr>
        <w:t xml:space="preserve"> decreased range of motion (ROM) and bony deformities (e.g. femoral </w:t>
      </w:r>
      <w:proofErr w:type="spellStart"/>
      <w:r w:rsidRPr="008419AB">
        <w:rPr>
          <w:rFonts w:eastAsia="Calibri" w:cs="Times New Roman"/>
          <w:szCs w:val="22"/>
          <w:lang w:val="en-US" w:eastAsia="en-US"/>
        </w:rPr>
        <w:t>anteversion</w:t>
      </w:r>
      <w:proofErr w:type="spellEnd"/>
      <w:r w:rsidRPr="008419AB">
        <w:rPr>
          <w:rFonts w:eastAsia="Calibri" w:cs="Times New Roman"/>
          <w:szCs w:val="22"/>
          <w:lang w:val="en-US" w:eastAsia="en-US"/>
        </w:rPr>
        <w:t xml:space="preserve">, </w:t>
      </w:r>
      <w:proofErr w:type="spellStart"/>
      <w:r w:rsidRPr="008419AB">
        <w:rPr>
          <w:rFonts w:eastAsia="Calibri" w:cs="Times New Roman"/>
          <w:szCs w:val="22"/>
          <w:lang w:val="en-US" w:eastAsia="en-US"/>
        </w:rPr>
        <w:t>tibial</w:t>
      </w:r>
      <w:proofErr w:type="spellEnd"/>
      <w:r w:rsidRPr="008419AB">
        <w:rPr>
          <w:rFonts w:eastAsia="Calibri" w:cs="Times New Roman"/>
          <w:szCs w:val="22"/>
          <w:lang w:val="en-US" w:eastAsia="en-US"/>
        </w:rPr>
        <w:t xml:space="preserve"> torsion, scoliosis, hip subluxation). Together, these problems affect the quality and efficacy of gait</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"This article reviews the current best evidence for musculoskeletal interventions in children with ambulatory cerebral palsy (CP). The effectiveness of interventions in CP must first consider what CP and its associated pathophysiology are and take into account the heterogeneity and natural history of CP to put definitions of \u201ceffectiveness\u201d into perspective. This article reviews the current standards of the definition and classification of CP, discusses the natural history and specific goals for the management of ambulatory CP, as well as the outcome measures available to measure these goals. The current best evidence of effectiveness is reviewed for specific interventions in children with ambulatory CP including spasticity management with botulinum toxin A injections and selective dorsal rhizotomy; multilevel orthopaedic surgery to address contractures and bony deformity; and the role of gait analysis for surgical decision-making before orthopaedic surgery.", "author" : [ { "dropping-particle" : "", "family" : "Narayanan", "given" : "Ug", "non-dropping-particle" : "", "parse-names" : false, "suffix" : "" } ], "container-title" : "Journal of Pediatric Orthopaedics", "id" : "ITEM-1", "issue" : "2", "issued" : { "date-parts" : [ [ "2012" ] ] }, "page" : "172-181", "title" : "Management of Children With Ambulatory Cerebral Palsy: An Evidence-based Review", "type" : "article-journal", "volume" : "32" }, "uris" : [ "http://www.mendeley.com/documents/?uuid=a4e145b9-7174-486f-8b86-f690afb0f097" ] }, { "id" : "ITEM-2", "itemData" : { "abstract" : "Because of increasing interest in conducting large-scale, multicenter investigations into the epidemiology of cerebral palsy and its prevention and treatment, efforts have been made to establish a standard definition and classification systems for cerebral palsy. In recent years there has also been increased focus on measurement of functional status of patients and new classifications for gross and fine motor function have been developed. The purpose of this article is to update the orthopaedic community on the current classification systems for patients with cerebral palsy. This information will be of value to surgeons in determining patients' suitability for certain treatments and will also assist them in reviewing current literature in cerebral palsy. ?? 2010 Elsevier Inc.", "author" : [ { "dropping-particle" : "", "family" : "Rethlefsen", "given" : "Susan a.", "non-dropping-particle" : "", "parse-names" : false, "suffix" : "" }, { "dropping-particle" : "", "family" : "Ryan", "given" : "Deirdre D.", "non-dropping-particle" : "", "parse-names" : false, "suffix" : "" }, { "dropping-particle" : "", "family" : "Kay", "given" : "Robert M.", "non-dropping-particle" : "", "parse-names" : false, "suffix" : "" } ], "container-title" : "Orthopedic Clinics of North America", "id" : "ITEM-2", "issue" : "4", "issued" : { "date-parts" : [ [ "2010" ] ] }, "page" : "457-467", "publisher" : "Elsevier Ltd", "title" : "Classification systems in cerebral palsy", "type" : "article-journal", "volume" : "41" }, "uris" : [ "http://www.mendeley.com/documents/?uuid=4983ec50-44f3-469f-aae7-b3a5c3c741b5" ] } ], "mendeley" : { "formattedCitation" : "[1,6]", "plainTextFormattedCitation" : "[1,6]", "previouslyFormattedCitation" : "[1,6]" }, "properties" : { "noteIndex" : 0 }, "schema" : "https://github.com/citation-style-language/schema/raw/master/csl-citation.json" }</w:instrText>
      </w:r>
      <w:r>
        <w:rPr>
          <w:rFonts w:eastAsia="Calibri" w:cs="Times New Roman"/>
          <w:szCs w:val="22"/>
          <w:lang w:val="en-US" w:eastAsia="en-US"/>
        </w:rPr>
        <w:fldChar w:fldCharType="separate"/>
      </w:r>
      <w:r w:rsidRPr="00B70094">
        <w:rPr>
          <w:rFonts w:eastAsia="Calibri" w:cs="Times New Roman"/>
          <w:noProof/>
          <w:szCs w:val="22"/>
          <w:lang w:val="en-US" w:eastAsia="en-US"/>
        </w:rPr>
        <w:t>[1,6]</w:t>
      </w:r>
      <w:r>
        <w:rPr>
          <w:rFonts w:eastAsia="Calibri" w:cs="Times New Roman"/>
          <w:szCs w:val="22"/>
          <w:lang w:val="en-US" w:eastAsia="en-US"/>
        </w:rPr>
        <w:fldChar w:fldCharType="end"/>
      </w:r>
      <w:r w:rsidRPr="008419AB">
        <w:rPr>
          <w:rFonts w:eastAsia="Calibri" w:cs="Times New Roman"/>
          <w:szCs w:val="22"/>
          <w:lang w:val="en-US" w:eastAsia="en-US"/>
        </w:rPr>
        <w:t xml:space="preserve">. Patients with CP can be classified in several ways </w:t>
      </w:r>
      <w:r w:rsidRPr="008419AB">
        <w:rPr>
          <w:rFonts w:eastAsia="Calibri" w:cs="Times New Roman"/>
          <w:szCs w:val="22"/>
          <w:vertAlign w:val="superscript"/>
          <w:lang w:val="en-US" w:eastAsia="en-US"/>
        </w:rPr>
        <w:fldChar w:fldCharType="begin" w:fldLock="1"/>
      </w:r>
      <w:r w:rsidRPr="008419AB">
        <w:rPr>
          <w:rFonts w:eastAsia="Calibri" w:cs="Times New Roman"/>
          <w:szCs w:val="22"/>
          <w:vertAlign w:val="superscript"/>
          <w:lang w:val="en-US" w:eastAsia="en-US"/>
        </w:rPr>
        <w:instrText>ADDIN CSL_CITATION { "citationItems" : [ { "id" : "ITEM-1", "itemData" : { "abstract" : "Because of increasing interest in conducting large-scale, multicenter investigations into the epidemiology of cerebral palsy and its prevention and treatment, efforts have been made to establish a standard definition and classification systems for cerebral palsy. In recent years there has also been increased focus on measurement of functional status of patients and new classifications for gross and fine motor function have been developed. The purpose of this article is to update the orthopaedic community on the current classification systems for patients with cerebral palsy. This information will be of value to surgeons in determining patients' suitability for certain treatments and will also assist them in reviewing current literature in cerebral palsy. ?? 2010 Elsevier Inc.", "author" : [ { "dropping-particle" : "", "family" : "Rethlefsen", "given" : "Susan a.", "non-dropping-particle" : "", "parse-names" : false, "suffix" : "" }, { "dropping-particle" : "", "family" : "Ryan", "given" : "Deirdre D.", "non-dropping-particle" : "", "parse-names" : false, "suffix" : "" }, { "dropping-particle" : "", "family" : "Kay", "given" : "Robert M.", "non-dropping-particle" : "", "parse-names" : false, "suffix" : "" } ], "container-title" : "Orthopedic Clinics of North America", "id" : "ITEM-1", "issue" : "4", "issued" : { "date-parts" : [ [ "2010" ] ] }, "page" : "457-467", "publisher" : "Elsevier Ltd", "title" : "Classification systems in cerebral palsy", "type" : "article-journal", "volume" : "41" }, "uris" : [ "http://www.mendeley.com/documents/?uuid=4983ec50-44f3-469f-aae7-b3a5c3c741b5" ] } ], "mendeley" : { "formattedCitation" : "[6]", "plainTextFormattedCitation" : "[6]", "previouslyFormattedCitation" : "[6]" }, "properties" : { "noteIndex" : 0 }, "schema" : "https://github.com/citation-style-language/schema/raw/master/csl-citation.json" }</w:instrText>
      </w:r>
      <w:r w:rsidRPr="008419AB">
        <w:rPr>
          <w:rFonts w:eastAsia="Calibri" w:cs="Times New Roman"/>
          <w:szCs w:val="22"/>
          <w:vertAlign w:val="superscript"/>
          <w:lang w:val="en-US" w:eastAsia="en-US"/>
        </w:rPr>
        <w:fldChar w:fldCharType="separate"/>
      </w:r>
      <w:r w:rsidRPr="008419AB">
        <w:rPr>
          <w:rFonts w:eastAsia="Calibri" w:cs="Times New Roman"/>
          <w:noProof/>
          <w:szCs w:val="22"/>
          <w:lang w:val="en-US" w:eastAsia="en-US"/>
        </w:rPr>
        <w:t>[6]</w:t>
      </w:r>
      <w:r w:rsidRPr="008419AB">
        <w:rPr>
          <w:rFonts w:eastAsia="Calibri" w:cs="Times New Roman"/>
          <w:szCs w:val="22"/>
          <w:vertAlign w:val="superscript"/>
          <w:lang w:val="en-US" w:eastAsia="en-US"/>
        </w:rPr>
        <w:fldChar w:fldCharType="end"/>
      </w:r>
      <w:r w:rsidRPr="008419AB">
        <w:rPr>
          <w:rFonts w:eastAsia="Calibri" w:cs="Times New Roman"/>
          <w:szCs w:val="22"/>
          <w:lang w:val="en-US" w:eastAsia="en-US"/>
        </w:rPr>
        <w:t xml:space="preserve">: based on type of movement disorder, limb distribution, or by the gross motor function using the Gross Motor Function Classification System (GMFCS). This latter system rates the patients’ ambulatory function on a five-point ordinal scale </w:t>
      </w:r>
      <w:r w:rsidRPr="008419AB">
        <w:rPr>
          <w:rFonts w:eastAsia="Calibri" w:cs="Times New Roman"/>
          <w:szCs w:val="22"/>
          <w:vertAlign w:val="superscript"/>
          <w:lang w:val="en-US" w:eastAsia="en-US"/>
        </w:rPr>
        <w:fldChar w:fldCharType="begin" w:fldLock="1"/>
      </w:r>
      <w:r w:rsidRPr="008419AB">
        <w:rPr>
          <w:rFonts w:eastAsia="Calibri" w:cs="Times New Roman"/>
          <w:szCs w:val="22"/>
          <w:vertAlign w:val="superscript"/>
          <w:lang w:val="en-US" w:eastAsia="en-US"/>
        </w:rPr>
        <w:instrText>ADDIN CSL_CITATION { "citationItems" : [ { "id" : "ITEM-1", "itemData" : { "abstract" : "Because of increasing interest in conducting large-scale, multicenter investigations into the epidemiology of cerebral palsy and its prevention and treatment, efforts have been made to establish a standard definition and classification systems for cerebral palsy. In recent years there has also been increased focus on measurement of functional status of patients and new classifications for gross and fine motor function have been developed. The purpose of this article is to update the orthopaedic community on the current classification systems for patients with cerebral palsy. This information will be of value to surgeons in determining patients' suitability for certain treatments and will also assist them in reviewing current literature in cerebral palsy. ?? 2010 Elsevier Inc.", "author" : [ { "dropping-particle" : "", "family" : "Rethlefsen", "given" : "Susan a.", "non-dropping-particle" : "", "parse-names" : false, "suffix" : "" }, { "dropping-particle" : "", "family" : "Ryan", "given" : "Deirdre D.", "non-dropping-particle" : "", "parse-names" : false, "suffix" : "" }, { "dropping-particle" : "", "family" : "Kay", "given" : "Robert M.", "non-dropping-particle" : "", "parse-names" : false, "suffix" : "" } ], "container-title" : "Orthopedic Clinics of North America", "id" : "ITEM-1", "issue" : "4", "issued" : { "date-parts" : [ [ "2010" ] ] }, "page" : "457-467", "publisher" : "Elsevier Ltd", "title" : "Classification systems in cerebral palsy", "type" : "article-journal", "volume" : "41" }, "uris" : [ "http://www.mendeley.com/documents/?uuid=4983ec50-44f3-469f-aae7-b3a5c3c741b5" ] } ], "mendeley" : { "formattedCitation" : "[6]", "plainTextFormattedCitation" : "[6]", "previouslyFormattedCitation" : "[6]" }, "properties" : { "noteIndex" : 0 }, "schema" : "https://github.com/citation-style-language/schema/raw/master/csl-citation.json" }</w:instrText>
      </w:r>
      <w:r w:rsidRPr="008419AB">
        <w:rPr>
          <w:rFonts w:eastAsia="Calibri" w:cs="Times New Roman"/>
          <w:szCs w:val="22"/>
          <w:vertAlign w:val="superscript"/>
          <w:lang w:val="en-US" w:eastAsia="en-US"/>
        </w:rPr>
        <w:fldChar w:fldCharType="separate"/>
      </w:r>
      <w:r w:rsidRPr="008419AB">
        <w:rPr>
          <w:rFonts w:eastAsia="Calibri" w:cs="Times New Roman"/>
          <w:noProof/>
          <w:szCs w:val="22"/>
          <w:lang w:val="en-US" w:eastAsia="en-US"/>
        </w:rPr>
        <w:t>[6]</w:t>
      </w:r>
      <w:r w:rsidRPr="008419AB">
        <w:rPr>
          <w:rFonts w:eastAsia="Calibri" w:cs="Times New Roman"/>
          <w:szCs w:val="22"/>
          <w:vertAlign w:val="superscript"/>
          <w:lang w:val="en-US" w:eastAsia="en-US"/>
        </w:rPr>
        <w:fldChar w:fldCharType="end"/>
      </w:r>
      <w:r w:rsidRPr="008419AB">
        <w:rPr>
          <w:rFonts w:eastAsia="Calibri" w:cs="Times New Roman"/>
          <w:szCs w:val="22"/>
          <w:lang w:val="en-US" w:eastAsia="en-US"/>
        </w:rPr>
        <w:t>.</w:t>
      </w:r>
    </w:p>
    <w:p w14:paraId="778FF17C" w14:textId="77777777" w:rsidR="00E02B30" w:rsidRPr="008419AB"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t>Management of children with CP includes</w:t>
      </w:r>
      <w:r w:rsidRPr="008419AB">
        <w:rPr>
          <w:rFonts w:eastAsia="Calibri" w:cs="Times New Roman"/>
          <w:b/>
          <w:szCs w:val="22"/>
          <w:lang w:val="en-US" w:eastAsia="en-US"/>
        </w:rPr>
        <w:t xml:space="preserve"> </w:t>
      </w:r>
      <w:r w:rsidRPr="008419AB">
        <w:rPr>
          <w:rFonts w:eastAsia="Calibri" w:cs="Times New Roman"/>
          <w:szCs w:val="22"/>
          <w:lang w:val="en-US" w:eastAsia="en-US"/>
        </w:rPr>
        <w:t xml:space="preserve">physiotherapy, casting, orthotic devices, and tone reduction by oral medication (baclofen, diazepam, </w:t>
      </w:r>
      <w:proofErr w:type="spellStart"/>
      <w:r w:rsidRPr="008419AB">
        <w:rPr>
          <w:rFonts w:eastAsia="Calibri" w:cs="Times New Roman"/>
          <w:szCs w:val="22"/>
          <w:lang w:val="en-US" w:eastAsia="en-US"/>
        </w:rPr>
        <w:t>dantrolene</w:t>
      </w:r>
      <w:proofErr w:type="spellEnd"/>
      <w:r w:rsidRPr="008419AB">
        <w:rPr>
          <w:rFonts w:eastAsia="Calibri" w:cs="Times New Roman"/>
          <w:szCs w:val="22"/>
          <w:lang w:val="en-US" w:eastAsia="en-US"/>
        </w:rPr>
        <w:t xml:space="preserve"> sodium), Botulinum toxin A injections or by neurosurgery (intrathecal baclofen pump or selective dorsal </w:t>
      </w:r>
      <w:proofErr w:type="spellStart"/>
      <w:r w:rsidRPr="008419AB">
        <w:rPr>
          <w:rFonts w:eastAsia="Calibri" w:cs="Times New Roman"/>
          <w:szCs w:val="22"/>
          <w:lang w:val="en-US" w:eastAsia="en-US"/>
        </w:rPr>
        <w:t>rhizotomy</w:t>
      </w:r>
      <w:proofErr w:type="spellEnd"/>
      <w:r w:rsidRPr="008419AB">
        <w:rPr>
          <w:rFonts w:eastAsia="Calibri" w:cs="Times New Roman"/>
          <w:szCs w:val="22"/>
          <w:lang w:val="en-US" w:eastAsia="en-US"/>
        </w:rPr>
        <w:t>)</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"This article reviews the current best evidence for musculoskeletal interventions in children with ambulatory cerebral palsy (CP). The effectiveness of interventions in CP must first consider what CP and its associated pathophysiology are and take into account the heterogeneity and natural history of CP to put definitions of \u201ceffectiveness\u201d into perspective. This article reviews the current standards of the definition and classification of CP, discusses the natural history and specific goals for the management of ambulatory CP, as well as the outcome measures available to measure these goals. The current best evidence of effectiveness is reviewed for specific interventions in children with ambulatory CP including spasticity management with botulinum toxin A injections and selective dorsal rhizotomy; multilevel orthopaedic surgery to address contractures and bony deformity; and the role of gait analysis for surgical decision-making before orthopaedic surgery.", "author" : [ { "dropping-particle" : "", "family" : "Narayanan", "given" : "Ug", "non-dropping-particle" : "", "parse-names" : false, "suffix" : "" } ], "container-title" : "Journal of Pediatric Orthopaedics", "id" : "ITEM-1", "issue" : "2", "issued" : { "date-parts" : [ [ "2012" ] ] }, "page" : "172-181", "title" : "Management of Children With Ambulatory Cerebral Palsy: An Evidence-based Review", "type" : "article-journal", "volume" : "32" }, "uris" : [ "http://www.mendeley.com/documents/?uuid=a4e145b9-7174-486f-8b86-f690afb0f097" ] }, { "id" : "ITEM-2", "itemData" : { "abstract" : "Knowledge of spasticity management for the child with cerebral palsy begins with understanding how cerebral palsy and spasticity are defined and related. The next step is learning what the treatment options are and how they can impact the child. There are many strategies for managing spasticity. This article focuses on pharmacologic and surgical approaches. Pharmacologic is further subdivided into medications taken by mouth, given through an injection (Botox) or delivered by a pump (baclofen). Surgery includes neurosurgical and orthopaedic procedures. Each treatment is reviewed using rationale, patient selection, delivery methodology, and management technique citing the advantages and disadvantages of each modality.", "author" : [ { "dropping-particle" : "", "family" : "Jacobs", "given" : "J M", "non-dropping-particle" : "", "parse-names" : false, "suffix" : "" } ], "container-title" : "Orthopedic nursing / National Association of Orthopedic Nurses", "id" : "ITEM-2", "issued" : { "date-parts" : [ [ "2001" ] ] }, "page" : "53-59; quiz 59-61", "title" : "Management options for the child with spastic cerebral palsy.", "type" : "article-journal", "volume" : "20" }, "uris" : [ "http://www.mendeley.com/documents/?uuid=370d9231-ca19-4a3d-8199-728c170c530f" ] } ], "mendeley" : { "formattedCitation" : "[1,7]", "plainTextFormattedCitation" : "[1,7]", "previouslyFormattedCitation" : "[1,7]" }, "properties" : { "noteIndex" : 0 }, "schema" : "https://github.com/citation-style-language/schema/raw/master/csl-citation.json" }</w:instrText>
      </w:r>
      <w:r>
        <w:rPr>
          <w:rFonts w:eastAsia="Calibri" w:cs="Times New Roman"/>
          <w:szCs w:val="22"/>
          <w:lang w:val="en-US" w:eastAsia="en-US"/>
        </w:rPr>
        <w:fldChar w:fldCharType="separate"/>
      </w:r>
      <w:r w:rsidRPr="00B70094">
        <w:rPr>
          <w:rFonts w:eastAsia="Calibri" w:cs="Times New Roman"/>
          <w:noProof/>
          <w:szCs w:val="22"/>
          <w:lang w:val="en-US" w:eastAsia="en-US"/>
        </w:rPr>
        <w:t>[1,7]</w:t>
      </w:r>
      <w:r>
        <w:rPr>
          <w:rFonts w:eastAsia="Calibri" w:cs="Times New Roman"/>
          <w:szCs w:val="22"/>
          <w:lang w:val="en-US" w:eastAsia="en-US"/>
        </w:rPr>
        <w:fldChar w:fldCharType="end"/>
      </w:r>
      <w:r w:rsidRPr="008419AB">
        <w:rPr>
          <w:rFonts w:eastAsia="Calibri" w:cs="Times New Roman"/>
          <w:szCs w:val="22"/>
          <w:lang w:val="en-US" w:eastAsia="en-US"/>
        </w:rPr>
        <w:t>. Secondary musculoskeletal problems are treated by orthopedic surgery, which includes</w:t>
      </w:r>
      <w:r>
        <w:rPr>
          <w:rFonts w:eastAsia="Calibri" w:cs="Times New Roman"/>
          <w:szCs w:val="22"/>
          <w:lang w:val="en-US" w:eastAsia="en-US"/>
        </w:rPr>
        <w:t xml:space="preserve"> soft tissue procedures such as</w:t>
      </w:r>
      <w:r w:rsidRPr="008419AB">
        <w:rPr>
          <w:rFonts w:eastAsia="Calibri" w:cs="Times New Roman"/>
          <w:szCs w:val="22"/>
          <w:lang w:val="en-US" w:eastAsia="en-US"/>
        </w:rPr>
        <w:t xml:space="preserve"> tendo</w:t>
      </w:r>
      <w:r>
        <w:rPr>
          <w:rFonts w:eastAsia="Calibri" w:cs="Times New Roman"/>
          <w:szCs w:val="22"/>
          <w:lang w:val="en-US" w:eastAsia="en-US"/>
        </w:rPr>
        <w:t>n lengthening, tendon transfers and</w:t>
      </w:r>
      <w:r w:rsidRPr="008419AB">
        <w:rPr>
          <w:rFonts w:eastAsia="Calibri" w:cs="Times New Roman"/>
          <w:szCs w:val="22"/>
          <w:lang w:val="en-US" w:eastAsia="en-US"/>
        </w:rPr>
        <w:t xml:space="preserve"> conversion of </w:t>
      </w:r>
      <w:proofErr w:type="spellStart"/>
      <w:r w:rsidRPr="008419AB">
        <w:rPr>
          <w:rFonts w:eastAsia="Calibri" w:cs="Times New Roman"/>
          <w:szCs w:val="22"/>
          <w:lang w:val="en-US" w:eastAsia="en-US"/>
        </w:rPr>
        <w:t>biart</w:t>
      </w:r>
      <w:r>
        <w:rPr>
          <w:rFonts w:eastAsia="Calibri" w:cs="Times New Roman"/>
          <w:szCs w:val="22"/>
          <w:lang w:val="en-US" w:eastAsia="en-US"/>
        </w:rPr>
        <w:t>icular</w:t>
      </w:r>
      <w:proofErr w:type="spellEnd"/>
      <w:r>
        <w:rPr>
          <w:rFonts w:eastAsia="Calibri" w:cs="Times New Roman"/>
          <w:szCs w:val="22"/>
          <w:lang w:val="en-US" w:eastAsia="en-US"/>
        </w:rPr>
        <w:t xml:space="preserve"> to </w:t>
      </w:r>
      <w:proofErr w:type="spellStart"/>
      <w:r>
        <w:rPr>
          <w:rFonts w:eastAsia="Calibri" w:cs="Times New Roman"/>
          <w:szCs w:val="22"/>
          <w:lang w:val="en-US" w:eastAsia="en-US"/>
        </w:rPr>
        <w:t>monoarticular</w:t>
      </w:r>
      <w:proofErr w:type="spellEnd"/>
      <w:r>
        <w:rPr>
          <w:rFonts w:eastAsia="Calibri" w:cs="Times New Roman"/>
          <w:szCs w:val="22"/>
          <w:lang w:val="en-US" w:eastAsia="en-US"/>
        </w:rPr>
        <w:t xml:space="preserve"> muscles</w:t>
      </w:r>
      <w:r w:rsidRPr="008419AB">
        <w:rPr>
          <w:rFonts w:eastAsia="Calibri" w:cs="Times New Roman"/>
          <w:szCs w:val="22"/>
          <w:lang w:val="en-US" w:eastAsia="en-US"/>
        </w:rPr>
        <w:t xml:space="preserve"> </w:t>
      </w:r>
      <w:r>
        <w:rPr>
          <w:rFonts w:eastAsia="Calibri" w:cs="Times New Roman"/>
          <w:szCs w:val="22"/>
          <w:lang w:val="en-US" w:eastAsia="en-US"/>
        </w:rPr>
        <w:t xml:space="preserve">and bony procedures with hip corrections, </w:t>
      </w:r>
      <w:proofErr w:type="spellStart"/>
      <w:r>
        <w:rPr>
          <w:rFonts w:eastAsia="Calibri" w:cs="Times New Roman"/>
          <w:szCs w:val="22"/>
          <w:lang w:val="en-US" w:eastAsia="en-US"/>
        </w:rPr>
        <w:t>derotation</w:t>
      </w:r>
      <w:proofErr w:type="spellEnd"/>
      <w:r>
        <w:rPr>
          <w:rFonts w:eastAsia="Calibri" w:cs="Times New Roman"/>
          <w:szCs w:val="22"/>
          <w:lang w:val="en-US" w:eastAsia="en-US"/>
        </w:rPr>
        <w:t xml:space="preserve"> of femur and tibia and foot surgery.</w:t>
      </w:r>
      <w:r w:rsidRPr="008419AB">
        <w:rPr>
          <w:rFonts w:eastAsia="Calibri" w:cs="Times New Roman"/>
          <w:szCs w:val="22"/>
          <w:lang w:val="en-US" w:eastAsia="en-US"/>
        </w:rPr>
        <w:t xml:space="preserve"> In the past, multiple procedures were performed spread over time (single level surgery). This was also called ‘the birthday syndrome’, reflecting a yearly (or every other year) series of hospital admissions, surgery and rehabilitation</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"This article reviews the current best evidence for musculoskeletal interventions in children with ambulatory cerebral palsy (CP). The effectiveness of interventions in CP must first consider what CP and its associated pathophysiology are and take into account the heterogeneity and natural history of CP to put definitions of \u201ceffectiveness\u201d into perspective. This article reviews the current standards of the definition and classification of CP, discusses the natural history and specific goals for the management of ambulatory CP, as well as the outcome measures available to measure these goals. The current best evidence of effectiveness is reviewed for specific interventions in children with ambulatory CP including spasticity management with botulinum toxin A injections and selective dorsal rhizotomy; multilevel orthopaedic surgery to address contractures and bony deformity; and the role of gait analysis for surgical decision-making before orthopaedic surgery.", "author" : [ { "dropping-particle" : "", "family" : "Narayanan", "given" : "Ug", "non-dropping-particle" : "", "parse-names" : false, "suffix" : "" } ], "container-title" : "Journal of Pediatric Orthopaedics", "id" : "ITEM-1", "issue" : "2", "issued" : { "date-parts" : [ [ "2012" ] ] }, "page" : "172-181", "title" : "Management of Children With Ambulatory Cerebral Palsy: An Evidence-based Review", "type" : "article-journal", "volume" : "32" }, "uris" : [ "http://www.mendeley.com/documents/?uuid=a4e145b9-7174-486f-8b86-f690afb0f097" ] }, { "id" : "ITEM-2", "itemData" : { "abstract" : "Individuals with cerebral palsy (CP) cannot take a normal activity like walking for granted. CP is the most common pediatric neurologic disorder, with an incidence of 3.6 per 1000 live births. The current trend in the treatment of individuals with CP is to perform a thorough evaluation including a complete patient history from birth to present, a comprehensive physical examination, appropriate radiographs, consultation with other medical specialists, and analysis of gait. ?? 2010 Elsevier Inc.", "author" : [ { "dropping-particle" : "", "family" : "Chang", "given" : "Frank M.", "non-dropping-particle" : "", "parse-names" : false, "suffix" : "" }, { "dropping-particle" : "", "family" : "Rhodes", "given" : "Jason T.", "non-dropping-particle" : "", "parse-names" : false, "suffix" : "" }, { "dropping-particle" : "", "family" : "Flynn", "given" : "Katherine M.", "non-dropping-particle" : "", "parse-names" : false, "suffix" : "" }, { "dropping-particle" : "", "family" : "Carollo", "given" : "James J.", "non-dropping-particle" : "", "parse-names" : false, "suffix" : "" } ], "container-title" : "Orthopedic Clinics of North America", "id" : "ITEM-2", "issue" : "4", "issued" : { "date-parts" : [ [ "2010" ] ] }, "page" : "489-506", "publisher" : "Elsevier Ltd", "title" : "The role of gait analysis in treating gait abnormalities in cerebral palsy", "type" : "article-journal", "volume" : "41" }, "uris" : [ "http://www.mendeley.com/documents/?uuid=0e57aa84-5521-465a-84b9-837527f53dd7" ] } ], "mendeley" : { "formattedCitation" : "[1,8]", "plainTextFormattedCitation" : "[1,8]", "previouslyFormattedCitation" : "[1,8]" }, "properties" : { "noteIndex" : 0 }, "schema" : "https://github.com/citation-style-language/schema/raw/master/csl-citation.json" }</w:instrText>
      </w:r>
      <w:r>
        <w:rPr>
          <w:rFonts w:eastAsia="Calibri" w:cs="Times New Roman"/>
          <w:szCs w:val="22"/>
          <w:lang w:val="en-US" w:eastAsia="en-US"/>
        </w:rPr>
        <w:fldChar w:fldCharType="separate"/>
      </w:r>
      <w:r w:rsidRPr="00B70094">
        <w:rPr>
          <w:rFonts w:eastAsia="Calibri" w:cs="Times New Roman"/>
          <w:noProof/>
          <w:szCs w:val="22"/>
          <w:lang w:val="en-US" w:eastAsia="en-US"/>
        </w:rPr>
        <w:t>[1,8]</w:t>
      </w:r>
      <w:r>
        <w:rPr>
          <w:rFonts w:eastAsia="Calibri" w:cs="Times New Roman"/>
          <w:szCs w:val="22"/>
          <w:lang w:val="en-US" w:eastAsia="en-US"/>
        </w:rPr>
        <w:fldChar w:fldCharType="end"/>
      </w:r>
      <w:r w:rsidRPr="008419AB">
        <w:rPr>
          <w:rFonts w:eastAsia="Calibri" w:cs="Times New Roman"/>
          <w:szCs w:val="22"/>
          <w:lang w:val="en-US" w:eastAsia="en-US"/>
        </w:rPr>
        <w:t>. Nowadays, single-event multilevel surgery (SEMLS) is considered the standard care for secondary musculoskeletal problems</w:t>
      </w:r>
      <w:r>
        <w:rPr>
          <w:rFonts w:eastAsia="Calibri" w:cs="Times New Roman"/>
          <w:szCs w:val="22"/>
          <w:lang w:val="en-US" w:eastAsia="en-US"/>
        </w:rPr>
        <w:t xml:space="preserve">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"author" : [ { "dropping-particle" : "", "family" : "Norlin", "given" : "R.", "non-dropping-particle" : "", "parse-names" : false, "suffix" : "" }, { "dropping-particle" : "", "family" : "Tkaczuk", "given" : "H.", "non-dropping-particle" : "", "parse-names" : false, "suffix" : "" } ], "container-title" : "Journal of pediatric orthopedics", "id" : "ITEM-1", "issue" : "2", "issued" : { "date-parts" : [ [ "1985" ] ] }, "page" : "208-211", "title" : "one-session surgey for correction of lower extremity deformities in children with cerebral palsy", "type" : "article-journal", "volume" : "5" }, "uris" : [ "http://www.mendeley.com/documents/?uuid=00b7cf3b-0cd6-4548-b059-ca9c8954752f" ] } ], "mendeley" : { "formattedCitation" : "[9]", "plainTextFormattedCitation" : "[9]", "previouslyFormattedCitation" : "[9]"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[9]</w:t>
      </w:r>
      <w:r w:rsidRPr="008419AB">
        <w:rPr>
          <w:rFonts w:eastAsia="Calibri" w:cs="Times New Roman"/>
          <w:szCs w:val="22"/>
          <w:lang w:val="en-US" w:eastAsia="en-US"/>
        </w:rPr>
        <w:fldChar w:fldCharType="end"/>
      </w:r>
      <w:r w:rsidRPr="008419AB">
        <w:rPr>
          <w:rFonts w:eastAsia="Calibri" w:cs="Times New Roman"/>
          <w:szCs w:val="22"/>
          <w:lang w:val="en-US" w:eastAsia="en-US"/>
        </w:rPr>
        <w:t xml:space="preserve">. In this kind of surgery several procedures are performed in one go, followed by one rehabilitation period. Most commonly combined </w:t>
      </w:r>
      <w:r>
        <w:rPr>
          <w:rFonts w:eastAsia="Calibri" w:cs="Times New Roman"/>
          <w:szCs w:val="22"/>
          <w:lang w:val="en-US" w:eastAsia="en-US"/>
        </w:rPr>
        <w:t>surgical procedures</w:t>
      </w:r>
      <w:r w:rsidRPr="008419AB">
        <w:rPr>
          <w:rFonts w:eastAsia="Calibri" w:cs="Times New Roman"/>
          <w:szCs w:val="22"/>
          <w:lang w:val="en-US" w:eastAsia="en-US"/>
        </w:rPr>
        <w:t xml:space="preserve"> during SEMLS are bony </w:t>
      </w:r>
      <w:r>
        <w:rPr>
          <w:rFonts w:eastAsia="Calibri" w:cs="Times New Roman"/>
          <w:szCs w:val="22"/>
          <w:lang w:val="en-US" w:eastAsia="en-US"/>
        </w:rPr>
        <w:t>corrections</w:t>
      </w:r>
      <w:r w:rsidRPr="008419AB">
        <w:rPr>
          <w:rFonts w:eastAsia="Calibri" w:cs="Times New Roman"/>
          <w:szCs w:val="22"/>
          <w:lang w:val="en-US" w:eastAsia="en-US"/>
        </w:rPr>
        <w:t xml:space="preserve">, such as </w:t>
      </w:r>
      <w:proofErr w:type="spellStart"/>
      <w:r w:rsidRPr="008419AB">
        <w:rPr>
          <w:rFonts w:eastAsia="Calibri" w:cs="Times New Roman"/>
          <w:szCs w:val="22"/>
          <w:lang w:val="en-US" w:eastAsia="en-US"/>
        </w:rPr>
        <w:t>derotation</w:t>
      </w:r>
      <w:proofErr w:type="spellEnd"/>
      <w:r w:rsidRPr="008419AB">
        <w:rPr>
          <w:rFonts w:eastAsia="Calibri" w:cs="Times New Roman"/>
          <w:szCs w:val="22"/>
          <w:lang w:val="en-US" w:eastAsia="en-US"/>
        </w:rPr>
        <w:t xml:space="preserve"> osteotomy of femur or tibia and </w:t>
      </w:r>
      <w:r>
        <w:rPr>
          <w:rFonts w:eastAsia="Calibri" w:cs="Times New Roman"/>
          <w:szCs w:val="22"/>
          <w:lang w:val="en-US" w:eastAsia="en-US"/>
        </w:rPr>
        <w:t>bony foot</w:t>
      </w:r>
      <w:r w:rsidRPr="008419AB">
        <w:rPr>
          <w:rFonts w:eastAsia="Calibri" w:cs="Times New Roman"/>
          <w:szCs w:val="22"/>
          <w:lang w:val="en-US" w:eastAsia="en-US"/>
        </w:rPr>
        <w:t xml:space="preserve"> surgery, and soft tissue surgery, either muscle-tendon lengthening (psoas, adductors, hamstrings, gastro-soleus complex and peronei) or transfers (rectus </w:t>
      </w:r>
      <w:proofErr w:type="spellStart"/>
      <w:r w:rsidRPr="008419AB">
        <w:rPr>
          <w:rFonts w:eastAsia="Calibri" w:cs="Times New Roman"/>
          <w:szCs w:val="22"/>
          <w:lang w:val="en-US" w:eastAsia="en-US"/>
        </w:rPr>
        <w:t>femoris</w:t>
      </w:r>
      <w:proofErr w:type="spellEnd"/>
      <w:r w:rsidRPr="008419AB">
        <w:rPr>
          <w:rFonts w:eastAsia="Calibri" w:cs="Times New Roman"/>
          <w:szCs w:val="22"/>
          <w:lang w:val="en-US" w:eastAsia="en-US"/>
        </w:rPr>
        <w:t>, tibialis anterior</w:t>
      </w:r>
      <w:r>
        <w:rPr>
          <w:rFonts w:eastAsia="Calibri" w:cs="Times New Roman"/>
          <w:szCs w:val="22"/>
          <w:lang w:val="en-US" w:eastAsia="en-US"/>
        </w:rPr>
        <w:t xml:space="preserve"> and posterior</w:t>
      </w:r>
      <w:r w:rsidRPr="008419AB">
        <w:rPr>
          <w:rFonts w:eastAsia="Calibri" w:cs="Times New Roman"/>
          <w:szCs w:val="22"/>
          <w:lang w:val="en-US" w:eastAsia="en-US"/>
        </w:rPr>
        <w:t xml:space="preserve">). The rehabilitation period includes </w:t>
      </w:r>
      <w:r>
        <w:rPr>
          <w:rFonts w:eastAsia="Calibri" w:cs="Times New Roman"/>
          <w:szCs w:val="22"/>
          <w:lang w:val="en-US" w:eastAsia="en-US"/>
        </w:rPr>
        <w:t xml:space="preserve">a period of non-weight bearing and </w:t>
      </w:r>
      <w:r w:rsidRPr="008419AB">
        <w:rPr>
          <w:rFonts w:eastAsia="Calibri" w:cs="Times New Roman"/>
          <w:szCs w:val="22"/>
          <w:lang w:val="en-US" w:eastAsia="en-US"/>
        </w:rPr>
        <w:t>casting, followed by intensive physical therapy to enhance strength, mobility and function</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"This article reviews the current best evidence for musculoskeletal interventions in children with ambulatory cerebral palsy (CP). The effectiveness of interventions in CP must first consider what CP and its associated pathophysiology are and take into account the heterogeneity and natural history of CP to put definitions of \u201ceffectiveness\u201d into perspective. This article reviews the current standards of the definition and classification of CP, discusses the natural history and specific goals for the management of ambulatory CP, as well as the outcome measures available to measure these goals. The current best evidence of effectiveness is reviewed for specific interventions in children with ambulatory CP including spasticity management with botulinum toxin A injections and selective dorsal rhizotomy; multilevel orthopaedic surgery to address contractures and bony deformity; and the role of gait analysis for surgical decision-making before orthopaedic surgery.", "author" : [ { "dropping-particle" : "", "family" : "Narayanan", "given" : "Ug", "non-dropping-particle" : "", "parse-names" : false, "suffix" : "" } ], "container-title" : "Journal of Pediatric Orthopaedics", "id" : "ITEM-1", "issue" : "2", "issued" : { "date-parts" : [ [ "2012" ] ] }, "page" : "172-181", "title" : "Management of Children With Ambulatory Cerebral Palsy: An Evidence-based Review", "type" : "article-journal", "volume" : "32" }, "uris" : [ "http://www.mendeley.com/documents/?uuid=a4e145b9-7174-486f-8b86-f690afb0f097" ] }, { "id" : "ITEM-2", "itemData" : { "abstract" : "Knowledge of spasticity management for the child with cerebral palsy begins with understanding how cerebral palsy and spasticity are defined and related. The next step is learning what the treatment options are and how they can impact the child. There are many strategies for managing spasticity. This article focuses on pharmacologic and surgical approaches. Pharmacologic is further subdivided into medications taken by mouth, given through an injection (Botox) or delivered by a pump (baclofen). Surgery includes neurosurgical and orthopaedic procedures. Each treatment is reviewed using rationale, patient selection, delivery methodology, and management technique citing the advantages and disadvantages of each modality.", "author" : [ { "dropping-particle" : "", "family" : "Jacobs", "given" : "J M", "non-dropping-particle" : "", "parse-names" : false, "suffix" : "" } ], "container-title" : "Orthopedic nursing / National Association of Orthopedic Nurses", "id" : "ITEM-2", "issued" : { "date-parts" : [ [ "2001" ] ] }, "page" : "53-59; quiz 59-61", "title" : "Management options for the child with spastic cerebral palsy.", "type" : "article-journal", "volume" : "20" }, "uris" : [ "http://www.mendeley.com/documents/?uuid=370d9231-ca19-4a3d-8199-728c170c530f" ] }, { "id" : "ITEM-3", "itemData" : { "abstract" : "Individuals with cerebral palsy (CP) cannot take a normal activity like walking for granted. CP is the most common pediatric neurologic disorder, with an incidence of 3.6 per 1000 live births. The current trend in the treatment of individuals with CP is to perform a thorough evaluation including a complete patient history from birth to present, a comprehensive physical examination, appropriate radiographs, consultation with other medical specialists, and analysis of gait. ?? 2010 Elsevier Inc.", "author" : [ { "dropping-particle" : "", "family" : "Chang", "given" : "Frank M.", "non-dropping-particle" : "", "parse-names" : false, "suffix" : "" }, { "dropping-particle" : "", "family" : "Rhodes", "given" : "Jason T.", "non-dropping-particle" : "", "parse-names" : false, "suffix" : "" }, { "dropping-particle" : "", "family" : "Flynn", "given" : "Katherine M.", "non-dropping-particle" : "", "parse-names" : false, "suffix" : "" }, { "dropping-particle" : "", "family" : "Carollo", "given" : "James J.", "non-dropping-particle" : "", "parse-names" : false, "suffix" : "" } ], "container-title" : "Orthopedic Clinics of North America", "id" : "ITEM-3", "issue" : "4", "issued" : { "date-parts" : [ [ "2010" ] ] }, "page" : "489-506", "publisher" : "Elsevier Ltd", "title" : "The role of gait analysis in treating gait abnormalities in cerebral palsy", "type" : "article-journal", "volume" : "41" }, "uris" : [ "http://www.mendeley.com/documents/?uuid=0e57aa84-5521-465a-84b9-837527f53dd7" ] }, { "id" : "ITEM-4", "itemData" : { "abstract" : "PURPOSE OF REVIEW: The literature was reviewed to describe the role of gait analysis in the orthopaedic management of ambulatory children with cerebral palsy and examine the current best evidence to support these roles. RECENT FINDINGS: Gait laboratory analysis is superior to visual or observational analysis of gait because it provides an objective record of gait that is able to quantify the magnitude of deviations of pathologic gait from normal and also explain these abnormalities. Recognizable gait patterns can be classified and used for making treatment decisions, the effectiveness of which can be assessed using gait analysis as a measure of gait outcomes. There are many sources of variability, however, including patients themselves, the gait laboratories and testing processes, interpretation of data and surgeons' surgical recommendations. SUMMARY: Although gait analysis has been shown to alter decision making, there is little evidence that the decisions based on gait analysis lead to better outcomes. Consequently, clinical gait analysis remains controversial, with wide variation in the rates of utilization of gait analysis in the management of children with ambulatory cerebral palsy. The time is ripe for clinical trials and cohort studies to provide the evidence to establish the appropriate utilization of this technology.", "author" : [ { "dropping-particle" : "", "family" : "Narayanan", "given" : "Unni G", "non-dropping-particle" : "", "parse-names" : false, "suffix" : "" } ], "container-title" : "Current opinion in pediatrics", "id" : "ITEM-4", "issued" : { "date-parts" : [ [ "2007" ] ] }, "page" : "38-43", "title" : "The role of gait analysis in the orthopaedic management of ambulatory cerebral palsy.", "type" : "article-journal", "volume" : "19" }, "uris" : [ "http://www.mendeley.com/documents/?uuid=50388a46-2221-42d5-966f-437e273f95a5" ] }, { "id" : "ITEM-5", "itemData" : { "abstract" : "AIM: To conduct a systematic review of single-event multilevel surgery (SEMLS) for children with cerebral palsy, with the aim of evaluating the quality of the evidence and developing recommendations for future research.\\n\\nMETHOD: The systematic review was conducted using standard search and extraction methods in Medline, EMBASE, CINAHL, and Cochrane electronic databases. For the purposes of this review, SEMLS was defined as two or more soft-tissue or bony surgical procedures at two or more anatomical levels during one operative procedure, requiring only one hospital admission and one period of rehabilitation. Studies were included if: (1) the primary focus was to examine the effect of SEMLS in children with cerebral palsy; (2) the results focused on multiple anatomic levels and reported findings of one or more World Health Organization International Classification of Functioning, Disability and Health (ICF) domains. Studies that focused on a single intervention or level, or on the utility of a specific outcome measure were excluded. Study quality was appraised with the Methodological Index for Non-Randomized Studies (MINORS) and the Oxford Centre for Evidence-Based Medicine scale. The review also examined the reporting of surgery, adverse events, and rehabilitation.\\n\\nRESULTS: Thirty-one studies fulfilled the criteria for inclusion, over the period 1985 to October 2010. The MINORS score for these studies varied from 4 to 19, with marked variation in the quality of reporting. Study quality has improved over recent years. Valid measures of gait and function have been introduced and several of the most recent studies have addressed multiple dimensions of the ICF. A statistical synthesis of the outcome data was not conducted, although a trend towards favourable outcomes in gait was evident. Caution is advised with interpretation owing to the variable study quality. Uncontrolled studies may have resulted in an overestimation of treatment efficacy.\\n\\nINTERPRETATION: The design and reporting of studies of SEMLS are improving with the development of multidisciplinary teamwork and frameworks such as the ICF. However, the evidence base is limited by the lack of randomized clinical trials, especially when compared with other surgical interventions such as selective dorsal rhizotomy.", "author" : [ { "dropping-particle" : "", "family" : "McGinley", "given" : "Jennifer L.", "non-dropping-particle" : "", "parse-names" : false, "suffix" : "" }, { "dropping-particle" : "", "family" : "Dobson", "given" : "Fiona", "non-dropping-particle" : "", "parse-names" : false, "suffix" : "" }, { "dropping-particle" : "", "family" : "Ganeshalingam", "given" : "Rekha", "non-dropping-particle" : "", "parse-names" : false, "suffix" : "" }, { "dropping-particle" : "", "family" : "Shore", "given" : "Benjamin J.", "non-dropping-particle" : "", "parse-names" : false, "suffix" : "" }, { "dropping-particle" : "", "family" : "Rutz", "given" : "Erich", "non-dropping-particle" : "", "parse-names" : false, "suffix" : "" }, { "dropping-particle" : "", "family" : "Graham", "given" : "H. Kerr", "non-dropping-particle" : "", "parse-names" : false, "suffix" : "" } ], "container-title" : "Developmental Medicine and Child Neurology", "id" : "ITEM-5", "issued" : { "date-parts" : [ [ "2012" ] ] }, "page" : "117-128", "title" : "Single-event multilevel surgery for children with cerebral palsy: A systematic review", "type" : "article-journal", "volume" : "54" }, "uris" : [ "http://www.mendeley.com/documents/?uuid=956021ef-6b36-4d59-acba-03c7310992a5" ] } ], "mendeley" : { "formattedCitation" : "[1,7,8,10,11]", "plainTextFormattedCitation" : "[1,7,8,10,11]", "previouslyFormattedCitation" : "[1,7,8,10,11]" }, "properties" : { "noteIndex" : 0 }, "schema" : "https://github.com/citation-style-language/schema/raw/master/csl-citation.json" }</w:instrText>
      </w:r>
      <w:r>
        <w:rPr>
          <w:rFonts w:eastAsia="Calibri" w:cs="Times New Roman"/>
          <w:szCs w:val="22"/>
          <w:lang w:val="en-US" w:eastAsia="en-US"/>
        </w:rPr>
        <w:fldChar w:fldCharType="separate"/>
      </w:r>
      <w:r w:rsidRPr="00B70094">
        <w:rPr>
          <w:rFonts w:eastAsia="Calibri" w:cs="Times New Roman"/>
          <w:noProof/>
          <w:szCs w:val="22"/>
          <w:lang w:val="en-US" w:eastAsia="en-US"/>
        </w:rPr>
        <w:t>[1,7,8,10,11]</w:t>
      </w:r>
      <w:r>
        <w:rPr>
          <w:rFonts w:eastAsia="Calibri" w:cs="Times New Roman"/>
          <w:szCs w:val="22"/>
          <w:lang w:val="en-US" w:eastAsia="en-US"/>
        </w:rPr>
        <w:fldChar w:fldCharType="end"/>
      </w:r>
      <w:r w:rsidRPr="008419AB">
        <w:rPr>
          <w:rFonts w:eastAsia="Calibri" w:cs="Times New Roman"/>
          <w:szCs w:val="22"/>
          <w:lang w:val="en-US" w:eastAsia="en-US"/>
        </w:rPr>
        <w:t>.</w:t>
      </w:r>
      <w:r w:rsidRPr="008419AB">
        <w:rPr>
          <w:rFonts w:eastAsia="Calibri" w:cs="Times New Roman"/>
          <w:szCs w:val="22"/>
          <w:vertAlign w:val="superscript"/>
          <w:lang w:val="en-US" w:eastAsia="en-US"/>
        </w:rPr>
        <w:t xml:space="preserve"> </w:t>
      </w:r>
      <w:r w:rsidRPr="008419AB">
        <w:rPr>
          <w:rFonts w:eastAsia="Calibri" w:cs="Times New Roman"/>
          <w:szCs w:val="22"/>
          <w:lang w:val="en-US" w:eastAsia="en-US"/>
        </w:rPr>
        <w:t xml:space="preserve">Surgery to </w:t>
      </w:r>
      <w:r w:rsidRPr="008419AB">
        <w:rPr>
          <w:rFonts w:eastAsia="Calibri" w:cs="Times New Roman"/>
          <w:szCs w:val="22"/>
          <w:lang w:val="en-US" w:eastAsia="en-US"/>
        </w:rPr>
        <w:lastRenderedPageBreak/>
        <w:t>improve gait is best performed after a child has developed a stable gait (after seven years)</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"ITEM-1",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"id" : "ITEM-2", "itemData" : { "author" : [ { "dropping-particle" : "", "family" : "Neve", "given" : "Av", "non-dropping-particle" : "", "parse-names" : false, "suffix" : "" }, { "dropping-particle" : "", "family" : "Evans", "given" : "Ga", "non-dropping-particle" : "", "parse-names" : false, "suffix" : "" }, { "dropping-particle" : "", "family" : "Patrick", "given" : "Jh", "non-dropping-particle" : "", "parse-names" : false, "suffix" : "" } ], "container-title" : "J Bone Joint Surg", "id" : "ITEM-2", "issued" : { "date-parts" : [ [ "1993" ] ] }, "page" : "488-494", "title" : "Simultaneous multiple operations for spastic diplegia", "type" : "article-journal" }, "uris" : [ "http://www.mendeley.com/documents/?uuid=3351e691-29c4-4f7e-ae3d-4584304c19cc" ] } ], "mendeley" : { "formattedCitation" : "[12,13]", "plainTextFormattedCitation" : "[12,13]", "previouslyFormattedCitation" : "[12,13]" }, "properties" : { "noteIndex" : 0 }, "schema" : "https://github.com/citation-style-language/schema/raw/master/csl-citation.json" }</w:instrText>
      </w:r>
      <w:r>
        <w:rPr>
          <w:rFonts w:eastAsia="Calibri" w:cs="Times New Roman"/>
          <w:szCs w:val="22"/>
          <w:lang w:val="en-US" w:eastAsia="en-US"/>
        </w:rPr>
        <w:fldChar w:fldCharType="separate"/>
      </w:r>
      <w:r w:rsidRPr="004552BB">
        <w:rPr>
          <w:rFonts w:eastAsia="Calibri" w:cs="Times New Roman"/>
          <w:noProof/>
          <w:szCs w:val="22"/>
          <w:lang w:val="en-US" w:eastAsia="en-US"/>
        </w:rPr>
        <w:t>[12,13]</w:t>
      </w:r>
      <w:r>
        <w:rPr>
          <w:rFonts w:eastAsia="Calibri" w:cs="Times New Roman"/>
          <w:szCs w:val="22"/>
          <w:lang w:val="en-US" w:eastAsia="en-US"/>
        </w:rPr>
        <w:fldChar w:fldCharType="end"/>
      </w:r>
      <w:r>
        <w:rPr>
          <w:rFonts w:eastAsia="Calibri" w:cs="Times New Roman"/>
          <w:szCs w:val="22"/>
          <w:lang w:val="en-US" w:eastAsia="en-US"/>
        </w:rPr>
        <w:t xml:space="preserve">. </w:t>
      </w:r>
      <w:r w:rsidRPr="008419AB">
        <w:rPr>
          <w:rFonts w:eastAsia="Calibri" w:cs="Times New Roman"/>
          <w:szCs w:val="22"/>
          <w:lang w:val="en-US" w:eastAsia="en-US"/>
        </w:rPr>
        <w:t>Given the invasive nature of these surgeries and the young age of the patients, it is detrimental to make accurate evaluations regarding the need and timing of intervention. Once</w:t>
      </w:r>
      <w:r>
        <w:rPr>
          <w:rFonts w:eastAsia="Calibri" w:cs="Times New Roman"/>
          <w:szCs w:val="22"/>
          <w:lang w:val="en-US" w:eastAsia="en-US"/>
        </w:rPr>
        <w:t xml:space="preserve"> the</w:t>
      </w:r>
      <w:r w:rsidRPr="008419AB">
        <w:rPr>
          <w:rFonts w:eastAsia="Calibri" w:cs="Times New Roman"/>
          <w:szCs w:val="22"/>
          <w:lang w:val="en-US" w:eastAsia="en-US"/>
        </w:rPr>
        <w:t xml:space="preserve"> intervention has been decided upon, it is equally important to accurately evaluate the short and long-term outcome and to realize the predictors of good outcome in order to improve any future interventions.</w:t>
      </w:r>
    </w:p>
    <w:p w14:paraId="6830210C" w14:textId="2F9D0005" w:rsidR="00E02B30" w:rsidRPr="008419AB"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t>To make treatment decisions based on maximizing gait performance, three-dimensional gait analysis (3DGA) techniques are important as they provide objective information</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"Individuals with cerebral palsy (CP) cannot take a normal activity like walking for granted. CP is the most common pediatric neurologic disorder, with an incidence of 3.6 per 1000 live births. The current trend in the treatment of individuals with CP is to perform a thorough evaluation including a complete patient history from birth to present, a comprehensive physical examination, appropriate radiographs, consultation with other medical specialists, and analysis of gait. ?? 2010 Elsevier Inc.", "author" : [ { "dropping-particle" : "", "family" : "Chang", "given" : "Frank M.", "non-dropping-particle" : "", "parse-names" : false, "suffix" : "" }, { "dropping-particle" : "", "family" : "Rhodes", "given" : "Jason T.", "non-dropping-particle" : "", "parse-names" : false, "suffix" : "" }, { "dropping-particle" : "", "family" : "Flynn", "given" : "Katherine M.", "non-dropping-particle" : "", "parse-names" : false, "suffix" : "" }, { "dropping-particle" : "", "family" : "Carollo", "given" : "James J.", "non-dropping-particle" : "", "parse-names" : false, "suffix" : "" } ], "container-title" : "Orthopedic Clinics of North America", "id" : "ITEM-1", "issue" : "4", "issued" : { "date-parts" : [ [ "2010" ] ] }, "page" : "489-506", "publisher" : "Elsevier Ltd", "title" : "The role of gait analysis in treating gait abnormalities in cerebral palsy", "type" : "article-journal", "volume" : "41" }, "uris" : [ "http://www.mendeley.com/documents/?uuid=0e57aa84-5521-465a-84b9-837527f53dd7" ] }, { "id" : "ITEM-2", "itemData" : { "abstract" : "PURPOSE OF REVIEW: The literature was reviewed to describe the role of gait analysis in the orthopaedic management of ambulatory children with cerebral palsy and examine the current best evidence to support these roles. RECENT FINDINGS: Gait laboratory analysis is superior to visual or observational analysis of gait because it provides an objective record of gait that is able to quantify the magnitude of deviations of pathologic gait from normal and also explain these abnormalities. Recognizable gait patterns can be classified and used for making treatment decisions, the effectiveness of which can be assessed using gait analysis as a measure of gait outcomes. There are many sources of variability, however, including patients themselves, the gait laboratories and testing processes, interpretation of data and surgeons' surgical recommendations. SUMMARY: Although gait analysis has been shown to alter decision making, there is little evidence that the decisions based on gait analysis lead to better outcomes. Consequently, clinical gait analysis remains controversial, with wide variation in the rates of utilization of gait analysis in the management of children with ambulatory cerebral palsy. The time is ripe for clinical trials and cohort studies to provide the evidence to establish the appropriate utilization of this technology.", "author" : [ { "dropping-particle" : "", "family" : "Narayanan", "given" : "Unni G", "non-dropping-particle" : "", "parse-names" : false, "suffix" : "" } ], "container-title" : "Current opinion in pediatrics", "id" : "ITEM-2", "issued" : { "date-parts" : [ [ "2007" ] ] }, "page" : "38-43", "title" : "The role of gait analysis in the orthopaedic management of ambulatory cerebral palsy.", "type" : "article-journal", "volume" : "19" }, "uris" : [ "http://www.mendeley.com/documents/?uuid=50388a46-2221-42d5-966f-437e273f95a5" ] }, { "id" : "ITEM-3", "itemData" : { "author" : [ { "dropping-particle" : "", "family" : "Neve", "given" : "Av", "non-dropping-particle" : "", "parse-names" : false, "suffix" : "" }, { "dropping-particle" : "", "family" : "Evans", "given" : "Ga", "non-dropping-particle" : "", "parse-names" : false, "suffix" : "" }, { "dropping-particle" : "", "family" : "Patrick", "given" : "Jh", "non-dropping-particle" : "", "parse-names" : false, "suffix" : "" } ], "container-title" : "J Bone Joint Surg", "id" : "ITEM-3", "issued" : { "date-parts" : [ [ "1993" ] ] }, "page" : "488-494", "title" : "Simultaneous multiple operations for spastic diplegia", "type" : "article-journal" }, "uris" : [ "http://www.mendeley.com/documents/?uuid=3351e691-29c4-4f7e-ae3d-4584304c19cc" ] }, { "id" : "ITEM-4", "itemData" : { "abstract" : "The purpose of this study was to compare surgical recommendations made by clinicians experienced in gait analysis when using information provided from the clinical examination and videotape, with recommendations made after the addition of kinematic, kinetic, and electromyographic (EMG) data. Ninety-one patients with a diagnosis of cerebral palsy were seen in the gait laboratory as part of the surgical decision-making process. Experienced clinicians reviewed video and clinical examination data for each patient and made surgical recommendations. Joint kinematics and kinetics and EMG data were then reviewed, and a second set of surgical recommendations was made. Comparisons between these recommendations showed that the addition of gait-analysis data resulted in changes in surgical recommendations in 52% of the patients, with an associated reduction in cost of surgery, not to mention the human impact of an inappropriate surgical decision, which is more likely without gait analysis. When changes in recommendations were made, an increase in surgical recommendations was observed for the gastrocnemius (59%) and rectus femoris (65%), whereas decreases were observed for the hamstrings (61%), psoas (78%), hip adductors (83%), femur (86%), and tibia (64%).", "author" : [ { "dropping-particle" : "", "family" : "DeLuca", "given" : "P A", "non-dropping-particle" : "", "parse-names" : false, "suffix" : "" }, { "dropping-particle" : "", "family" : "Davis", "given" : "R B", "non-dropping-particle" : "", "parse-names" : false, "suffix" : "" }, { "dropping-particle" : "", "family" : "Ounpuu", "given" : "S", "non-dropping-particle" : "", "parse-names" : false, "suffix" : "" }, { "dropping-particle" : "", "family" : "Rose", "given" : "S", "non-dropping-particle" : "", "parse-names" : false, "suffix" : "" }, { "dropping-particle" : "", "family" : "Sirkin", "given" : "R", "non-dropping-particle" : "", "parse-names" : false, "suffix" : "" } ], "container-title" : "Journal of pediatric orthopedics", "id" : "ITEM-4", "issue" : "5", "issued" : { "date-parts" : [ [ "1997" ] ] }, "page" : "608-14", "title" : "Alterations in surgical decision making in patients with cerebral palsy based on three-dimensional gait analysis.", "type" : "article-journal", "volume" : "17" }, "uris" : [ "http://www.mendeley.com/documents/?uuid=c861ed16-953a-461e-8d80-21f6abbdc348" ] } ], "mendeley" : { "formattedCitation" : "[8,10,13,14]", "plainTextFormattedCitation" : "[8,10,13,14]", "previouslyFormattedCitation" : "[8,10,13,14]" }, "properties" : { "noteIndex" : 0 }, "schema" : "https://github.com/citation-style-language/schema/raw/master/csl-citation.json" }</w:instrText>
      </w:r>
      <w:r>
        <w:rPr>
          <w:rFonts w:eastAsia="Calibri" w:cs="Times New Roman"/>
          <w:szCs w:val="22"/>
          <w:lang w:val="en-US" w:eastAsia="en-US"/>
        </w:rPr>
        <w:fldChar w:fldCharType="separate"/>
      </w:r>
      <w:r w:rsidRPr="004552BB">
        <w:rPr>
          <w:rFonts w:eastAsia="Calibri" w:cs="Times New Roman"/>
          <w:noProof/>
          <w:szCs w:val="22"/>
          <w:lang w:val="en-US" w:eastAsia="en-US"/>
        </w:rPr>
        <w:t>[8,10,13,14]</w:t>
      </w:r>
      <w:r>
        <w:rPr>
          <w:rFonts w:eastAsia="Calibri" w:cs="Times New Roman"/>
          <w:szCs w:val="22"/>
          <w:lang w:val="en-US" w:eastAsia="en-US"/>
        </w:rPr>
        <w:fldChar w:fldCharType="end"/>
      </w:r>
      <w:r w:rsidRPr="008419AB">
        <w:rPr>
          <w:rFonts w:eastAsia="Calibri" w:cs="Times New Roman"/>
          <w:szCs w:val="22"/>
          <w:lang w:val="en-US" w:eastAsia="en-US"/>
        </w:rPr>
        <w:t xml:space="preserve">. To evaluate the effect of treatment, gait data collected </w:t>
      </w:r>
      <w:r>
        <w:rPr>
          <w:rFonts w:eastAsia="Calibri" w:cs="Times New Roman"/>
          <w:szCs w:val="22"/>
          <w:lang w:val="en-US" w:eastAsia="en-US"/>
        </w:rPr>
        <w:t>before and after surgery are</w:t>
      </w:r>
      <w:r w:rsidRPr="008419AB">
        <w:rPr>
          <w:rFonts w:eastAsia="Calibri" w:cs="Times New Roman"/>
          <w:szCs w:val="22"/>
          <w:lang w:val="en-US" w:eastAsia="en-US"/>
        </w:rPr>
        <w:t xml:space="preserve"> compared. It has been demonstrated that 3DGA can improve the long-term outcomes </w:t>
      </w:r>
      <w:r>
        <w:rPr>
          <w:rFonts w:eastAsia="Calibri" w:cs="Times New Roman"/>
          <w:szCs w:val="22"/>
          <w:lang w:val="en-US" w:eastAsia="en-US"/>
        </w:rPr>
        <w:t>of different interventions</w:t>
      </w:r>
      <w:r>
        <w:rPr>
          <w:rFonts w:eastAsia="Calibri" w:cs="Times New Roman"/>
          <w:szCs w:val="22"/>
          <w:lang w:val="en-US" w:eastAsia="en-US"/>
        </w:rPr>
        <w:t xml:space="preserve"> </w:t>
      </w:r>
      <w:r w:rsidRPr="008419AB">
        <w:rPr>
          <w:rFonts w:eastAsia="Calibri" w:cs="Times New Roman"/>
          <w:szCs w:val="22"/>
          <w:lang w:val="en-US" w:eastAsia="en-US"/>
        </w:rPr>
        <w:t xml:space="preserve">in ambulatory children with CP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"The evaluation of complex interventions, such as Single Event Multilevel Surgery (SEMLS) requires more than randomized controlled trials. Rehabilitation following SEMLS is prolonged and the outcomes of interest may not be apparent for 5 years or more after the surgery. We suggest long term, prospective cohort studies with objective outcome measures be recognized as of equal importance to randomized controlled trials. The evidence in support of instrumented gait analysis (IGA) is also reviewed. We suggest that clinical levels of evidence are not an appropriate method to evaluate a measurement tool. Specifically, IGA should be evaluated in terms of validity, reliability and cost effectiveness. We demonstrate that the use of IGA has improved medium and long term outcomes in ambulant children with cerebral palsy in a center where IGA has been used routinely both for planning SEMLS and for monitoring outcomes.", "author" : [ { "dropping-particle" : "", "family" : "Thomason", "given" : "Pam", "non-dropping-particle" : "", "parse-names" : false, "suffix" : "" }, { "dropping-particle" : "", "family" : "Rodda", "given" : "Jill", "non-dropping-particle" : "", "parse-names" : false, "suffix" : "" }, { "dropping-particle" : "", "family" : "Sangeux", "given" : "Morgan", "non-dropping-particle" : "", "parse-names" : false, "suffix" : "" }, { "dropping-particle" : "", "family" : "Selber", "given" : "Paulo", "non-dropping-particle" : "", "parse-names" : false, "suffix" : "" }, { "dropping-particle" : "", "family" : "Kerr Graham", "given" : "", "non-dropping-particle" : "", "parse-names" : false, "suffix" : "" } ], "container-title" : "Journal of pediatric orthopedics", "id" : "ITEM-1", "issue" : "2", "issued" : { "date-parts" : [ [ "2012" ] ] }, "page" : "182-186", "title" : "Management of Children With Ambulatory Cerebral Palsy: An Evidence-based Review. Commentary by Hugh Williamson Gait Laboratory Staff.", "type" : "article-journal", "volume" : "32 Suppl 2" }, "uris" : [ "http://www.mendeley.com/documents/?uuid=138e3c1d-e216-4b60-8a23-78952ee2a327" ] } ], "mendeley" : { "formattedCitation" : "[15]", "plainTextFormattedCitation" : "[15]", "previouslyFormattedCitation" : "[15]"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[15]</w:t>
      </w:r>
      <w:r w:rsidRPr="008419AB">
        <w:rPr>
          <w:rFonts w:eastAsia="Calibri" w:cs="Times New Roman"/>
          <w:szCs w:val="22"/>
          <w:lang w:val="en-US" w:eastAsia="en-US"/>
        </w:rPr>
        <w:fldChar w:fldCharType="end"/>
      </w:r>
      <w:r w:rsidRPr="008419AB">
        <w:rPr>
          <w:rFonts w:eastAsia="Calibri" w:cs="Times New Roman"/>
          <w:szCs w:val="22"/>
          <w:lang w:val="en-US" w:eastAsia="en-US"/>
        </w:rPr>
        <w:t>. Additionally, it is important to know the natural progression of gait in CP in comparison to that of typically developing children. In general, gait in children with CP will deteriorate over time, especially du</w:t>
      </w:r>
      <w:r>
        <w:rPr>
          <w:rFonts w:eastAsia="Calibri" w:cs="Times New Roman"/>
          <w:szCs w:val="22"/>
          <w:lang w:val="en-US" w:eastAsia="en-US"/>
        </w:rPr>
        <w:t xml:space="preserve">ring the adolescent growth spurt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"This article reviews the current best evidence for musculoskeletal interventions in children with ambulatory cerebral palsy (CP). The effectiveness of interventions in CP must first consider what CP and its associated pathophysiology are and take into account the heterogeneity and natural history of CP to put definitions of \u201ceffectiveness\u201d into perspective. This article reviews the current standards of the definition and classification of CP, discusses the natural history and specific goals for the management of ambulatory CP, as well as the outcome measures available to measure these goals. The current best evidence of effectiveness is reviewed for specific interventions in children with ambulatory CP including spasticity management with botulinum toxin A injections and selective dorsal rhizotomy; multilevel orthopaedic surgery to address contractures and bony deformity; and the role of gait analysis for surgical decision-making before orthopaedic surgery.", "author" : [ { "dropping-particle" : "", "family" : "Narayanan", "given" : "Ug", "non-dropping-particle" : "", "parse-names" : false, "suffix" : "" } ], "container-title" : "Journal of Pediatric Orthopaedics", "id" : "ITEM-1", "issue" : "2", "issued" : { "date-parts" : [ [ "2012" ] ] }, "page" : "172-181", "title" : "Management of Children With Ambulatory Cerebral Palsy: An Evidence-based Review", "type" : "article-journal", "volume" : "32" }, "uris" : [ "http://www.mendeley.com/documents/?uuid=a4e145b9-7174-486f-8b86-f690afb0f097" ] }, { "id" : "ITEM-2",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"ITEM-2",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"mendeley" : { "formattedCitation" : "[1,12]", "plainTextFormattedCitation" : "[1,12]", "previouslyFormattedCitation" : "[1,12]" }, "properties" : { "noteIndex" : 0 }, "schema" : "https://github.com/citation-style-language/schema/raw/master/csl-citation.json" }</w:instrText>
      </w:r>
      <w:r>
        <w:rPr>
          <w:rFonts w:eastAsia="Calibri" w:cs="Times New Roman"/>
          <w:szCs w:val="22"/>
          <w:lang w:val="en-US" w:eastAsia="en-US"/>
        </w:rPr>
        <w:fldChar w:fldCharType="separate"/>
      </w:r>
      <w:r w:rsidRPr="004552BB">
        <w:rPr>
          <w:rFonts w:eastAsia="Calibri" w:cs="Times New Roman"/>
          <w:noProof/>
          <w:szCs w:val="22"/>
          <w:lang w:val="en-US" w:eastAsia="en-US"/>
        </w:rPr>
        <w:t>[1,12]</w:t>
      </w:r>
      <w:r>
        <w:rPr>
          <w:rFonts w:eastAsia="Calibri" w:cs="Times New Roman"/>
          <w:szCs w:val="22"/>
          <w:lang w:val="en-US" w:eastAsia="en-US"/>
        </w:rPr>
        <w:fldChar w:fldCharType="end"/>
      </w:r>
      <w:r w:rsidRPr="008419AB">
        <w:rPr>
          <w:rFonts w:eastAsia="Calibri" w:cs="Times New Roman"/>
          <w:szCs w:val="22"/>
          <w:lang w:val="en-US" w:eastAsia="en-US"/>
        </w:rPr>
        <w:t>.</w:t>
      </w:r>
      <w:r w:rsidRPr="008419AB">
        <w:rPr>
          <w:rFonts w:eastAsia="Calibri" w:cs="Times New Roman"/>
          <w:szCs w:val="22"/>
          <w:vertAlign w:val="superscript"/>
          <w:lang w:val="en-US" w:eastAsia="en-US"/>
        </w:rPr>
        <w:t xml:space="preserve"> </w:t>
      </w:r>
      <w:r w:rsidRPr="008419AB">
        <w:rPr>
          <w:rFonts w:eastAsia="Calibri" w:cs="Times New Roman"/>
          <w:szCs w:val="22"/>
          <w:lang w:val="en-US" w:eastAsia="en-US"/>
        </w:rPr>
        <w:t xml:space="preserve">The deterioration of gait is caused by progressively developing skeletal deformities and soft tissue contractures with growth and increasing weight, because spastic </w:t>
      </w:r>
      <w:r>
        <w:rPr>
          <w:rFonts w:eastAsia="Calibri" w:cs="Times New Roman"/>
          <w:szCs w:val="22"/>
          <w:lang w:val="en-US" w:eastAsia="en-US"/>
        </w:rPr>
        <w:t xml:space="preserve">and weak </w:t>
      </w:r>
      <w:r w:rsidRPr="008419AB">
        <w:rPr>
          <w:rFonts w:eastAsia="Calibri" w:cs="Times New Roman"/>
          <w:szCs w:val="22"/>
          <w:lang w:val="en-US" w:eastAsia="en-US"/>
        </w:rPr>
        <w:t>muscles fail to grow in proportion with the bone</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"This article reviews the current best evidence for musculoskeletal interventions in children with ambulatory cerebral palsy (CP). The effectiveness of interventions in CP must first consider what CP and its associated pathophysiology are and take into account the heterogeneity and natural history of CP to put definitions of \u201ceffectiveness\u201d into perspective. This article reviews the current standards of the definition and classification of CP, discusses the natural history and specific goals for the management of ambulatory CP, as well as the outcome measures available to measure these goals. The current best evidence of effectiveness is reviewed for specific interventions in children with ambulatory CP including spasticity management with botulinum toxin A injections and selective dorsal rhizotomy; multilevel orthopaedic surgery to address contractures and bony deformity; and the role of gait analysis for surgical decision-making before orthopaedic surgery.", "author" : [ { "dropping-particle" : "", "family" : "Narayanan", "given" : "Ug", "non-dropping-particle" : "", "parse-names" : false, "suffix" : "" } ], "container-title" : "Journal of Pediatric Orthopaedics", "id" : "ITEM-1", "issue" : "2", "issued" : { "date-parts" : [ [ "2012" ] ] }, "page" : "172-181", "title" : "Management of Children With Ambulatory Cerebral Palsy: An Evidence-based Review", "type" : "article-journal", "volume" : "32" }, "uris" : [ "http://www.mendeley.com/documents/?uuid=a4e145b9-7174-486f-8b86-f690afb0f097" ] }, { "id" : "ITEM-2",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"ITEM-2",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"mendeley" : { "formattedCitation" : "[1,12]", "plainTextFormattedCitation" : "[1,12]", "previouslyFormattedCitation" : "[1,12]" }, "properties" : { "noteIndex" : 0 }, "schema" : "https://github.com/citation-style-language/schema/raw/master/csl-citation.json" }</w:instrText>
      </w:r>
      <w:r>
        <w:rPr>
          <w:rFonts w:eastAsia="Calibri" w:cs="Times New Roman"/>
          <w:szCs w:val="22"/>
          <w:lang w:val="en-US" w:eastAsia="en-US"/>
        </w:rPr>
        <w:fldChar w:fldCharType="separate"/>
      </w:r>
      <w:r w:rsidRPr="004552BB">
        <w:rPr>
          <w:rFonts w:eastAsia="Calibri" w:cs="Times New Roman"/>
          <w:noProof/>
          <w:szCs w:val="22"/>
          <w:lang w:val="en-US" w:eastAsia="en-US"/>
        </w:rPr>
        <w:t>[1,12]</w:t>
      </w:r>
      <w:r>
        <w:rPr>
          <w:rFonts w:eastAsia="Calibri" w:cs="Times New Roman"/>
          <w:szCs w:val="22"/>
          <w:lang w:val="en-US" w:eastAsia="en-US"/>
        </w:rPr>
        <w:fldChar w:fldCharType="end"/>
      </w:r>
      <w:r w:rsidRPr="008419AB">
        <w:rPr>
          <w:rFonts w:eastAsia="Calibri" w:cs="Times New Roman"/>
          <w:szCs w:val="22"/>
          <w:lang w:val="en-US" w:eastAsia="en-US"/>
        </w:rPr>
        <w:t xml:space="preserve">. For example, Bell et al.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"Twenty-eight children with cerebral palsy had two gait analyses an average of 4.4 years apart with no surgical intervention between the tests. The effects of growth and age were examined using three-dimensional kinematics, temporal and stride parameters, and clinical examination measures. Kinematic changes showed decreases in hip, knee, and ankle sagittal plane ranges of motion (ROM), peak hip flexion in swing, and peak knee flexion over time. Temporal and stride parameters showed declines in timing of toe off, cadence, and walking velocity. Clinical measures showed declines in hip abduction ROM (knees flexed and extended), popliteal angle, and sagittal plane ankle ROM (knees flexed and extended). Overall results showed that gait function in these individuals with cerebral palsy decreased longitudinally with respect to temporal/stride measures, passive ROM, and kinematic parameters compared with a group of individuals who had had orthopaedic intervention.", "author" : [ { "dropping-particle" : "", "family" : "Bell", "given" : "Katharine J", "non-dropping-particle" : "", "parse-names" : false, "suffix" : "" }, { "dropping-particle" : "", "family" : "Ounpuu", "given" : "Sylvia", "non-dropping-particle" : "", "parse-names" : false, "suffix" : "" }, { "dropping-particle" : "", "family" : "DeLuca", "given" : "Peter a", "non-dropping-particle" : "", "parse-names" : false, "suffix" : "" }, { "dropping-particle" : "", "family" : "Romness", "given" : "Mark J", "non-dropping-particle" : "", "parse-names" : false, "suffix" : "" } ], "container-title" : "Journal of pediatric orthopedics", "id" : "ITEM-1", "issued" : { "date-parts" : [ [ "2002" ] ] }, "page" : "677-682", "title" : "Natural progression of gait in children with cerebral palsy.", "type" : "article-journal", "volume" : "22" }, "uris" : [ "http://www.mendeley.com/documents/?uuid=3b5182b4-d85f-4479-a43c-9f3f0b6892b8" ] } ], "mendeley" : { "formattedCitation" : "[16]", "plainTextFormattedCitation" : "[16]", "previouslyFormattedCitation" : "[16]"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[16]</w:t>
      </w:r>
      <w:r w:rsidRPr="008419AB">
        <w:rPr>
          <w:rFonts w:eastAsia="Calibri" w:cs="Times New Roman"/>
          <w:szCs w:val="22"/>
          <w:lang w:val="en-US" w:eastAsia="en-US"/>
        </w:rPr>
        <w:fldChar w:fldCharType="end"/>
      </w:r>
      <w:r w:rsidRPr="008419AB">
        <w:rPr>
          <w:rFonts w:eastAsia="Calibri" w:cs="Times New Roman"/>
          <w:szCs w:val="22"/>
          <w:lang w:val="en-US" w:eastAsia="en-US"/>
        </w:rPr>
        <w:t xml:space="preserve"> reported an overall decrease in stride and temporal parameters, gait kinematics and passive ROM over time in children with CP. </w:t>
      </w:r>
    </w:p>
    <w:p w14:paraId="1970C512" w14:textId="77777777" w:rsidR="00E02B30" w:rsidRPr="008419AB"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t xml:space="preserve"> A comprehensive systematic review concluded that SEMLS had a large impact on gait in most children with CP, but less impact on their gross motor function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"AIM: To conduct a systematic review of single-event multilevel surgery (SEMLS) for children with cerebral palsy, with the aim of evaluating the quality of the evidence and developing recommendations for future research.\\n\\nMETHOD: The systematic review was conducted using standard search and extraction methods in Medline, EMBASE, CINAHL, and Cochrane electronic databases. For the purposes of this review, SEMLS was defined as two or more soft-tissue or bony surgical procedures at two or more anatomical levels during one operative procedure, requiring only one hospital admission and one period of rehabilitation. Studies were included if: (1) the primary focus was to examine the effect of SEMLS in children with cerebral palsy; (2) the results focused on multiple anatomic levels and reported findings of one or more World Health Organization International Classification of Functioning, Disability and Health (ICF) domains. Studies that focused on a single intervention or level, or on the utility of a specific outcome measure were excluded. Study quality was appraised with the Methodological Index for Non-Randomized Studies (MINORS) and the Oxford Centre for Evidence-Based Medicine scale. The review also examined the reporting of surgery, adverse events, and rehabilitation.\\n\\nRESULTS: Thirty-one studies fulfilled the criteria for inclusion, over the period 1985 to October 2010. The MINORS score for these studies varied from 4 to 19, with marked variation in the quality of reporting. Study quality has improved over recent years. Valid measures of gait and function have been introduced and several of the most recent studies have addressed multiple dimensions of the ICF. A statistical synthesis of the outcome data was not conducted, although a trend towards favourable outcomes in gait was evident. Caution is advised with interpretation owing to the variable study quality. Uncontrolled studies may have resulted in an overestimation of treatment efficacy.\\n\\nINTERPRETATION: The design and reporting of studies of SEMLS are improving with the development of multidisciplinary teamwork and frameworks such as the ICF. However, the evidence base is limited by the lack of randomized clinical trials, especially when compared with other surgical interventions such as selective dorsal rhizotomy.", "author" : [ { "dropping-particle" : "", "family" : "McGinley", "given" : "Jennifer L.", "non-dropping-particle" : "", "parse-names" : false, "suffix" : "" }, { "dropping-particle" : "", "family" : "Dobson", "given" : "Fiona", "non-dropping-particle" : "", "parse-names" : false, "suffix" : "" }, { "dropping-particle" : "", "family" : "Ganeshalingam", "given" : "Rekha", "non-dropping-particle" : "", "parse-names" : false, "suffix" : "" }, { "dropping-particle" : "", "family" : "Shore", "given" : "Benjamin J.", "non-dropping-particle" : "", "parse-names" : false, "suffix" : "" }, { "dropping-particle" : "", "family" : "Rutz", "given" : "Erich", "non-dropping-particle" : "", "parse-names" : false, "suffix" : "" }, { "dropping-particle" : "", "family" : "Graham", "given" : "H. Kerr", "non-dropping-particle" : "", "parse-names" : false, "suffix" : "" } ], "container-title" : "Developmental Medicine and Child Neurology", "id" : "ITEM-1", "issued" : { "date-parts" : [ [ "2012" ] ] }, "page" : "117-128", "title" : "Single-event multilevel surgery for children with cerebral palsy: A systematic review", "type" : "article-journal", "volume" : "54" }, "uris" : [ "http://www.mendeley.com/documents/?uuid=956021ef-6b36-4d59-acba-03c7310992a5" ] } ], "mendeley" : { "formattedCitation" : "[11]", "plainTextFormattedCitation" : "[11]", "previouslyFormattedCitation" : "[11]"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[11]</w:t>
      </w:r>
      <w:r w:rsidRPr="008419AB">
        <w:rPr>
          <w:rFonts w:eastAsia="Calibri" w:cs="Times New Roman"/>
          <w:szCs w:val="22"/>
          <w:lang w:val="en-US" w:eastAsia="en-US"/>
        </w:rPr>
        <w:fldChar w:fldCharType="end"/>
      </w:r>
      <w:r w:rsidRPr="008419AB">
        <w:rPr>
          <w:rFonts w:eastAsia="Calibri" w:cs="Times New Roman"/>
          <w:szCs w:val="22"/>
          <w:lang w:val="en-US" w:eastAsia="en-US"/>
        </w:rPr>
        <w:t xml:space="preserve">. Nevertheless, several studies examining the short-term effects (≤ three years follow-up) of SEMLS demonstrated improvements in outcomes at body structure and body function as well as </w:t>
      </w:r>
      <w:r>
        <w:rPr>
          <w:rFonts w:eastAsia="Calibri" w:cs="Times New Roman"/>
          <w:szCs w:val="22"/>
          <w:lang w:val="en-US" w:eastAsia="en-US"/>
        </w:rPr>
        <w:t>o</w:t>
      </w:r>
      <w:r w:rsidRPr="008419AB">
        <w:rPr>
          <w:rFonts w:eastAsia="Calibri" w:cs="Times New Roman"/>
          <w:szCs w:val="22"/>
          <w:lang w:val="en-US" w:eastAsia="en-US"/>
        </w:rPr>
        <w:t>n</w:t>
      </w:r>
      <w:r>
        <w:rPr>
          <w:rFonts w:eastAsia="Calibri" w:cs="Times New Roman"/>
          <w:szCs w:val="22"/>
          <w:lang w:val="en-US" w:eastAsia="en-US"/>
        </w:rPr>
        <w:t xml:space="preserve"> the levels of</w:t>
      </w:r>
      <w:r w:rsidRPr="008419AB">
        <w:rPr>
          <w:rFonts w:eastAsia="Calibri" w:cs="Times New Roman"/>
          <w:szCs w:val="22"/>
          <w:lang w:val="en-US" w:eastAsia="en-US"/>
        </w:rPr>
        <w:t xml:space="preserve"> activity and participation. </w:t>
      </w:r>
      <w:r w:rsidRPr="008419AB">
        <w:rPr>
          <w:rFonts w:eastAsia="Calibri" w:cs="Times New Roman"/>
          <w:szCs w:val="22"/>
          <w:lang w:val="en-US" w:eastAsia="en-US"/>
        </w:rPr>
        <w:br/>
        <w:t xml:space="preserve">On body structure level, </w:t>
      </w:r>
      <w:r>
        <w:rPr>
          <w:rFonts w:eastAsia="Calibri" w:cs="Times New Roman"/>
          <w:szCs w:val="22"/>
          <w:lang w:val="en-US" w:eastAsia="en-US"/>
        </w:rPr>
        <w:t xml:space="preserve">reduced </w:t>
      </w:r>
      <w:r w:rsidRPr="008419AB">
        <w:rPr>
          <w:rFonts w:eastAsia="Calibri" w:cs="Times New Roman"/>
          <w:szCs w:val="22"/>
          <w:lang w:val="en-US" w:eastAsia="en-US"/>
        </w:rPr>
        <w:t xml:space="preserve">static contractures at hip, knee and ankle post SEMLS were </w:t>
      </w:r>
      <w:r>
        <w:rPr>
          <w:rFonts w:eastAsia="Calibri" w:cs="Times New Roman"/>
          <w:szCs w:val="22"/>
          <w:lang w:val="en-US" w:eastAsia="en-US"/>
        </w:rPr>
        <w:t>reported,</w:t>
      </w:r>
      <w:r w:rsidRPr="008419AB">
        <w:rPr>
          <w:rFonts w:eastAsia="Calibri" w:cs="Times New Roman"/>
          <w:szCs w:val="22"/>
          <w:lang w:val="en-US" w:eastAsia="en-US"/>
        </w:rPr>
        <w:t xml:space="preserve">  </w:t>
      </w:r>
      <w:r>
        <w:rPr>
          <w:rFonts w:eastAsia="Calibri" w:cs="Times New Roman"/>
          <w:szCs w:val="22"/>
          <w:lang w:val="en-US" w:eastAsia="en-US"/>
        </w:rPr>
        <w:t>r</w:t>
      </w:r>
      <w:r w:rsidRPr="008419AB">
        <w:rPr>
          <w:rFonts w:eastAsia="Calibri" w:cs="Times New Roman"/>
          <w:szCs w:val="22"/>
          <w:lang w:val="en-US" w:eastAsia="en-US"/>
        </w:rPr>
        <w:t>esult</w:t>
      </w:r>
      <w:r>
        <w:rPr>
          <w:rFonts w:eastAsia="Calibri" w:cs="Times New Roman"/>
          <w:szCs w:val="22"/>
          <w:lang w:val="en-US" w:eastAsia="en-US"/>
        </w:rPr>
        <w:t>ing</w:t>
      </w:r>
      <w:r w:rsidRPr="008419AB">
        <w:rPr>
          <w:rFonts w:eastAsia="Calibri" w:cs="Times New Roman"/>
          <w:szCs w:val="22"/>
          <w:lang w:val="en-US" w:eastAsia="en-US"/>
        </w:rPr>
        <w:t xml:space="preserve"> in increased ROM</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"BACKGROUND: Recent studies have questioned the efficacy of releasing hip flexion contractures and the resulting ankle position after tendoachilles lengthening in ambulating children with cerebral palsy (CP). METHODS: Twenty-three ambulatory children with CP underwent 96 soft tissue-lengthening procedures without bony surgery. Preoperative and postoperative clinical and computerized gait data were reviewed. RESULTS: Static contractures improved reliably, with improvements in all areas measured, including hip flexion contracture (14 degree improvement), hip abduction (19 degree improvement), popliteal angle (26 degree improvement), and ankle dorsiflexion (11 degree improvement). The changes in computerized gait data were less uniform. The knees showed significant benefits, as evidenced by improved maximal knee extension in stance phase (37.3 degree preop and 19.9 degree postop) and at initial contact (51.6 degree preop and 34.8 degree postop). At the hip, a statistically significant improvement was only seen in maximum hip extension in stance phase (minimum hip flexion), and the magnitude of this change was only 4.6 degree (15.3 to 10.7 degree). There were no significant changes at the pelvis. At the ankle, the tendency was toward calcaneal gait after Achilles tendon lengthening, with excessive dorsiflexion seen both in stance (17.3 degree) and at toe off (-6.9 degree). Tempero-spatial parameters showed improved stride length, but no significant changes in gait velocity or cadence. DISCUSSION: The persistence of crouch postoperatively, though improved, likely limited the potential changes in hip kinematics. As this study excluded patients undergoing osseous surgery, it is possible that lever arm dysfunction may have contributed to the ongoing crouch. The results of this study suggest that static contractures and knee kinematics improve reliably after soft tissue surgery in children with CP, but that caution must be exercised when considering heel cord lengthening in these children. LEVEL OF EVIDENCE: Therapeutic level II. See Instructions to Authors for a complete description of levels of evidence.", "author" : [ { "dropping-particle" : "", "family" : "Bernthal", "given" : "Nicholas M", "non-dropping-particle" : "", "parse-names" : false, "suffix" : "" }, { "dropping-particle" : "", "family" : "Gamradt", "given" : "Seth C", "non-dropping-particle" : "", "parse-names" : false, "suffix" : "" }, { "dropping-particle" : "", "family" : "Kay", "given" : "Robert M", "non-dropping-particle" : "", "parse-names" : false, "suffix" : "" }, { "dropping-particle" : "", "family" : "Wren", "given" : "Tishya a L", "non-dropping-particle" : "", "parse-names" : false, "suffix" : "" }, { "dropping-particle" : "V", "family" : "Cuomo", "given" : "Anna", "non-dropping-particle" : "", "parse-names" : false, "suffix" : "" }, { "dropping-particle" : "", "family" : "Reid", "given" : "Jeremy", "non-dropping-particle" : "", "parse-names" : false, "suffix" : "" }, { "dropping-particle" : "", "family" : "Bales", "given" : "Joshua", "non-dropping-particle" : "", "parse-names" : false, "suffix" : "" }, { "dropping-particle" : "", "family" : "Otsuka", "given" : "Norman Y", "non-dropping-particle" : "", "parse-names" : false, "suffix" : "" } ], "container-title" : "Journal of pediatric orthopedics", "id" : "ITEM-1", "issue" : "2", "issued" : { "date-parts" : [ [ "2010" ] ] }, "page" : "174-179", "title" : "Static and dynamic gait parameters before and after multilevel soft tissue surgery in ambulating children with cerebral palsy.", "type" : "article-journal", "volume" : "30" }, "uris" : [ "http://www.mendeley.com/documents/?uuid=af3061be-c168-4d1a-a48b-c975e6269508" ] }, { "id" : "ITEM-2", "itemData" : { "abstract" : "We treated 20 children (40 limbs) with diplegic cerebral palsy who could walk by multilevel soft tissue operative procedures including conversion of the biarticular semitendinosus and gastrocnemius to monoarticular muscles. The mean age at surgery was 11.5 years (5.6 to 17.0). All patients underwent clinical and radiological examination and three-dimensional instrumented gait analysis before and at a mean of 3.1 years (2.0 to 4.5) after surgery. The passive range of movement at the ankle, knee and hip showed improvement at follow-up. Kinematic parameters indicated a reduced pelvic range of movement and improvement of extension of the knee in single stance after operation (p &lt; 0.0001). However, post-operative back-kneeing was detected in five of the 40 limbs. The kinetic studies showed that the power of the hamstrings and plantar flexors of the ankle was maintained while the maximum knee extensor moment during stance was reduced. The elimination of knee flexor activity of semitendinosus and gastrocnemius combined with transfer of distal rectus femoris led to an improvement in gait as confirmed by gait analysis.", "author" : [ { "dropping-particle" : "", "family" : "Metaxiotis", "given" : "D", "non-dropping-particle" : "", "parse-names" : false, "suffix" : "" }, { "dropping-particle" : "", "family" : "Wolf", "given" : "S", "non-dropping-particle" : "", "parse-names" : false, "suffix" : "" }, { "dropping-particle" : "", "family" : "Doederlein", "given" : "L", "non-dropping-particle" : "", "parse-names" : false, "suffix" : "" } ], "container-title" : "The Journal of bone and joint surgery. British volume", "id" : "ITEM-2", "issued" : { "date-parts" : [ [ "2004" ] ] }, "page" : "102-109", "title" : "Conversion of biarticular to monoarticular muscles as a component of multilevel surgery in spastic diplegia.", "type" : "article-journal", "volume" : "86" }, "uris" : [ "http://www.mendeley.com/documents/?uuid=0e74a79e-87ca-4c78-b003-96865f0d8789" ] }, { "id" : "ITEM-3", "itemData" : { "abstract" : "We reviewed the outcome in 24 children with bilateral spastic cerebral palsy aged seven years or younger for whom surgery was recommended between 1999 and 2005 following gait analysis. A total of 13 children (operative group) had surgery and the remaining 11 (control group) did not, for family or administrative reasons. The operative group had at least two post-operative gait analyses at yearly intervals, with eight children having a third and six children a fourth. The control group had a second analysis after a mean interval of 1.5 years (95% confidence interval 1.1 to 1.9). In the operative group, the Gillette gait index, the ranges of movement in the lower limb joint and knee extension in stance improved following surgery, and this was maintained overall at the second post-operative analysis. The minimum knee flexion in stance in the control group increased between analyses. These results suggest that surgical intervention in selected children can result in improvements in gait and function in the short to medium term compared with non-operative management.", "author" : [ { "dropping-particle" : "", "family" : "Gough", "given" : "M", "non-dropping-particle" : "", "parse-names" : false, "suffix" : "" }, { "dropping-particle" : "", "family" : "Schneider", "given" : "P", "non-dropping-particle" : "", "parse-names" : false, "suffix" : "" }, { "dropping-particle" : "", "family" : "Shortland", "given" : "a P", "non-dropping-particle" : "", "parse-names" : false, "suffix" : "" } ], "container-title" : "The Journal of bone and joint surgery. British volume", "id" : "ITEM-3", "issued" : { "date-parts" : [ [ "2008" ] ] }, "page" : "946-951", "title" : "The outcome of surgical intervention for early deformity in young ambulant children with bilateral spastic cerebral palsy.", "type" : "article-journal", "volume" : "90" }, "uris" : [ "http://www.mendeley.com/documents/?uuid=6849d23f-3d13-4ab1-b67b-12aba613fd3b" ] } ], "mendeley" : { "formattedCitation" : "[17\u201319]", "plainTextFormattedCitation" : "[17\u201319]", "previouslyFormattedCitation" : "[17\u201319]" }, "properties" : { "noteIndex" : 0 }, "schema" : "https://github.com/citation-style-language/schema/raw/master/csl-citation.json" }</w:instrText>
      </w:r>
      <w:r>
        <w:rPr>
          <w:rFonts w:eastAsia="Calibri" w:cs="Times New Roman"/>
          <w:szCs w:val="22"/>
          <w:lang w:val="en-US" w:eastAsia="en-US"/>
        </w:rPr>
        <w:fldChar w:fldCharType="separate"/>
      </w:r>
      <w:r w:rsidRPr="004552BB">
        <w:rPr>
          <w:rFonts w:eastAsia="Calibri" w:cs="Times New Roman"/>
          <w:noProof/>
          <w:szCs w:val="22"/>
          <w:lang w:val="en-US" w:eastAsia="en-US"/>
        </w:rPr>
        <w:t>[17–19]</w:t>
      </w:r>
      <w:r>
        <w:rPr>
          <w:rFonts w:eastAsia="Calibri" w:cs="Times New Roman"/>
          <w:szCs w:val="22"/>
          <w:lang w:val="en-US" w:eastAsia="en-US"/>
        </w:rPr>
        <w:fldChar w:fldCharType="end"/>
      </w:r>
      <w:r w:rsidRPr="008419AB">
        <w:rPr>
          <w:rFonts w:eastAsia="Calibri" w:cs="Times New Roman"/>
          <w:szCs w:val="22"/>
          <w:lang w:val="en-US" w:eastAsia="en-US"/>
        </w:rPr>
        <w:t xml:space="preserve">. </w:t>
      </w:r>
    </w:p>
    <w:p w14:paraId="1644F2BF" w14:textId="77777777" w:rsidR="00E02B30"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t xml:space="preserve">At the activity level, improved gait kinematics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"Gait improvement surgery was performed on 25 ambulatory children with the diplegic type of cerebral palsy. Multiple soft tissue and bony procedures were performed (mean 8.2 procedures) according to criteria defined on the basis of physical examination and gait analysis. Relevant physical examination findings and kinematic and kinetic data in the sagittal plane were evaluated before surgery and at least 3 years after surgery. Physical examination showed a reduction in the ankle plantar-flexor power and in the range of hip flexion and ankle plantarflexion after surgery. Analysis of gait data showed significant improvements in the sagittal plane kinematics and the power generation at the hip and the ankle. At the knee joint there was maintenance of power of the flexor and extensor group of muscles on physical examination, with significant improvements in the kinematics after surgery. The authors conclude that well-selected surgery improves function of the spastic muscle. The importance of assessing clinical, kinematic, and kinetic data together for proper evaluation of gait is stressed.", "author" : [ { "dropping-particle" : "", "family" : "Saraph", "given" : "Vinay", "non-dropping-particle" : "", "parse-names" : false, "suffix" : "" }, { "dropping-particle" : "", "family" : "Zwick", "given" : "Ernst-Bernhard", "non-dropping-particle" : "", "parse-names" : false, "suffix" : "" }, { "dropping-particle" : "", "family" : "Zwick", "given" : "Gertrude", "non-dropping-particle" : "", "parse-names" : false, "suffix" : "" }, { "dropping-particle" : "", "family" : "Steinwender", "given" : "Christiane", "non-dropping-particle" : "", "parse-names" : false, "suffix" : "" }, { "dropping-particle" : "", "family" : "Steinwender", "given" : "Gerhardt", "non-dropping-particle" : "", "parse-names" : false, "suffix" : "" }, { "dropping-particle" : "", "family" : "Linhart", "given" : "Wolfgang", "non-dropping-particle" : "", "parse-names" : false, "suffix" : "" } ], "container-title" : "Journal of pediatric orthopedics", "id" : "ITEM-1", "issued" : { "date-parts" : [ [ "2002" ] ] }, "page" : "150-157", "title" : "Multilevel surgery in spastic diplegia: evaluation by physical examination and gait analysis in 25 children.", "type" : "article-journal", "volume" : "22" }, "uris" : [ "http://www.mendeley.com/documents/?uuid=9e756e9a-508e-4fe4-886b-d4f98f0b414d" ] } ], "mendeley" : { "formattedCitation" : "[20]", "plainTextFormattedCitation" : "[20]", "previouslyFormattedCitation" : "[20]"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[20]</w:t>
      </w:r>
      <w:r w:rsidRPr="008419AB">
        <w:rPr>
          <w:rFonts w:eastAsia="Calibri" w:cs="Times New Roman"/>
          <w:szCs w:val="22"/>
          <w:lang w:val="en-US" w:eastAsia="en-US"/>
        </w:rPr>
        <w:fldChar w:fldCharType="end"/>
      </w:r>
      <w:r w:rsidRPr="008419AB">
        <w:rPr>
          <w:rFonts w:eastAsia="Calibri" w:cs="Times New Roman"/>
          <w:szCs w:val="22"/>
          <w:lang w:val="en-US" w:eastAsia="en-US"/>
        </w:rPr>
        <w:t>, as measured by the Gillette Gait Index (GGI)</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"We reviewed the outcome in 24 children with bilateral spastic cerebral palsy aged seven years or younger for whom surgery was recommended between 1999 and 2005 following gait analysis. A total of 13 children (operative group) had surgery and the remaining 11 (control group) did not, for family or administrative reasons. The operative group had at least two post-operative gait analyses at yearly intervals, with eight children having a third and six children a fourth. The control group had a second analysis after a mean interval of 1.5 years (95% confidence interval 1.1 to 1.9). In the operative group, the Gillette gait index, the ranges of movement in the lower limb joint and knee extension in stance improved following surgery, and this was maintained overall at the second post-operative analysis. The minimum knee flexion in stance in the control group increased between analyses. These results suggest that surgical intervention in selected children can result in improvements in gait and function in the short to medium term compared with non-operative management.", "author" : [ { "dropping-particle" : "", "family" : "Gough", "given" : "M", "non-dropping-particle" : "", "parse-names" : false, "suffix" : "" }, { "dropping-particle" : "", "family" : "Schneider", "given" : "P", "non-dropping-particle" : "", "parse-names" : false, "suffix" : "" }, { "dropping-particle" : "", "family" : "Shortland", "given" : "a P", "non-dropping-particle" : "", "parse-names" : false, "suffix" : "" } ], "container-title" : "The Journal of bone and joint surgery. British volume", "id" : "ITEM-1", "issued" : { "date-parts" : [ [ "2008" ] ] }, "page" : "946-951", "title" : "The outcome of surgical intervention for early deformity in young ambulant children with bilateral spastic cerebral palsy.", "type" : "article-journal", "volume" : "90" }, "uris" : [ "http://www.mendeley.com/documents/?uuid=6849d23f-3d13-4ab1-b67b-12aba613fd3b" ] }, { "id" : "ITEM-2", "itemData" : { "abstract" : "Lower-extremity musculotendinous surgery is standard treatment for ambulatory children with deformities such as joint contractures and bony torsions resulting from cerebral palsy (CP). However, evidence of efficacy is limited to retrospective, uncontrolled studies with small sample sizes focusing on gait variables and clinical examination measures. The aim of this study was to prospectively examine whether lower-extremity musculotendinous surgery in ambulatory children with CP improves impairments and function measured by gait and clinical outcome tools beyond changes found in a concurrent matched control group.", "author" : [ { "dropping-particle" : "", "family" : "Gorton", "given" : "George Edwin", "non-dropping-particle" : "", "parse-names" : false, "suffix" : "" }, { "dropping-particle" : "", "family" : "Abel", "given" : "Mark F", "non-dropping-particle" : "", "parse-names" : false, "suffix" : "" }, { "dropping-particle" : "", "family" : "Oeffinger", "given" : "Donna J", "non-dropping-particle" : "", "parse-names" : false, "suffix" : "" }, { "dropping-particle" : "", "family" : "Bagley", "given" : "Anita", "non-dropping-particle" : "", "parse-names" : false, "suffix" : "" }, { "dropping-particle" : "", "family" : "Rogers", "given" : "Sarah P", "non-dropping-particle" : "", "parse-names" : false, "suffix" : "" }, { "dropping-particle" : "", "family" : "Damiano", "given" : "Diane", "non-dropping-particle" : "", "parse-names" : false, "suffix" : "" }, { "dropping-particle" : "", "family" : "Romness", "given" : "Mark", "non-dropping-particle" : "", "parse-names" : false, "suffix" : "" }, { "dropping-particle" : "", "family" : "Tylkowski", "given" : "Chester", "non-dropping-particle" : "", "parse-names" : false, "suffix" : "" } ], "container-title" : "Journal of pediatric orthopedics", "id" : "ITEM-2", "issue" : "8", "issued" : { "date-parts" : [ [ "2009" ] ] }, "page" : "903-909", "title" : "A prospective cohort study of the effects of lower extremity orthopaedic surgery on outcome measures in ambulatory children with cerebral palsy.", "type" : "article-journal", "volume" : "29" }, "uris" : [ "http://www.mendeley.com/documents/?uuid=a7010274-6993-4563-b64e-46a41749ae31" ] }, { "id" : "ITEM-3", "itemData" : { "abstract" : "PURPOSE: This study evaluated multilevel surgery and rehabilitation with functional measures and health related quality of life (HRQOL) of children and youth with cerebral palsy (CP). In addition this study evaluated parent's satisfaction with care. METHOD: A prospective single-subject study with AB design and 2-year follow-up, included 11 children between 8 and 18 years old with CP, Gross Motor Function Classification System I-III. Visual analyses were used to present physical function with Physical Cost Index (PCI). Descriptive statistics were used to present number of children with a clinically important change in Gross Motor Function Measure (GMFM), self-reported walking ability, and HRQOL with child health questionnaire (CHQ). RESULTS: PCI showed a trend of lower energy cost during gait in six children and GMFM was unchanged for 10 children and improved for one child. Walking ability was improved in 10 children. Gait distance increased in all 11. Both physical and psychosocial dimensions of CHQ improved in six of nine (two missing data). Expectations of outcomes were fulfilled in seven and partly fulfilled in four. Satisfaction with care was fulfilled in 10 of 11. CONCLUSION: Self-reported walking ability improved after multilevel surgery and intensive rehabilitation. This result was partly supported by lower energy cost and improved HRQOL. Expectations and satisfaction were fulfilled for the majority of children.", "author" : [ { "dropping-particle" : "", "family" : "Akerstedt", "given" : "Anita", "non-dropping-particle" : "", "parse-names" : false, "suffix" : "" }, { "dropping-particle" : "", "family" : "Risto", "given" : "Olof", "non-dropping-particle" : "", "parse-names" : false, "suffix" : "" }, { "dropping-particle" : "", "family" : "Odman", "given" : "Pia", "non-dropping-particle" : "", "parse-names" : false, "suffix" : "" }, { "dropping-particle" : "", "family" : "Oberg", "given" : "Birgitta", "non-dropping-particle" : "", "parse-names" : false, "suffix" : "" } ], "container-title" : "Disability and rehabilitation", "id" : "ITEM-3", "issue" : "7", "issued" : { "date-parts" : [ [ "2010" ] ] }, "page" : "530-539", "title" : "Evaluation of single event multilevel surgery and rehabilitation in children and youth with cerebral palsy--A 2-year follow-up study.", "type" : "article-journal", "volume" : "32" }, "uris" : [ "http://www.mendeley.com/documents/?uuid=a26030d0-ef5a-4693-b872-b3927184d2bd" ] }, { "id" : "ITEM-4", "itemData" : { "abstract" : "Single-event multilevel surgery is considered the standard of care to improve gait and functioning of children with spastic diplegic cerebral palsy. However, the evidence base is limited. This pilot study is the first randomized controlled trial of single-event multilevel surgery, to our knowledge.", "author" : [ { "dropping-particle" : "", "family" : "Thomason", "given" : "Pamela", "non-dropping-particle" : "", "parse-names" : false, "suffix" : "" }, { "dropping-particle" : "", "family" : "Baker", "given" : "Richard", "non-dropping-particle" : "", "parse-names" : false, "suffix" : "" }, { "dropping-particle" : "", "family" : "Dodd", "given" : "Karen", "non-dropping-particle" : "", "parse-names" : false, "suffix" : "" }, { "dropping-particle" : "", "family" : "Taylor", "given" : "Nicholas", "non-dropping-particle" : "", "parse-names" : false, "suffix" : "" }, { "dropping-particle" : "", "family" : "Selber", "given" : "Paulo", "non-dropping-particle" : "", "parse-names" : false, "suffix" : "" }, { "dropping-particle" : "", "family" : "Wolfe", "given" : "Rory", "non-dropping-particle" : "", "parse-names" : false, "suffix" : "" }, { "dropping-particle" : "", "family" : "Graham", "given" : "H Kerr", "non-dropping-particle" : "", "parse-names" : false, "suffix" : "" } ], "container-title" : "The Journal of bone and joint surgery. American volume", "id" : "ITEM-4", "issued" : { "date-parts" : [ [ "2011" ] ] }, "page" : "451-460", "title" : "Single-event multilevel surgery in children with spastic diplegia: a pilot randomized controlled trial.", "type" : "article-journal", "volume" : "93" }, "uris" : [ "http://www.mendeley.com/documents/?uuid=e17ad217-e1fc-4add-ac35-3990f9d4055e" ] } ], "mendeley" : { "formattedCitation" : "[19,21\u201323]", "plainTextFormattedCitation" : "[19,21\u201323]", "previouslyFormattedCitation" : "[19,21\u201323]" }, "properties" : { "noteIndex" : 0 }, "schema" : "https://github.com/citation-style-language/schema/raw/master/csl-citation.json" }</w:instrText>
      </w:r>
      <w:r>
        <w:rPr>
          <w:rFonts w:eastAsia="Calibri" w:cs="Times New Roman"/>
          <w:szCs w:val="22"/>
          <w:lang w:val="en-US" w:eastAsia="en-US"/>
        </w:rPr>
        <w:fldChar w:fldCharType="separate"/>
      </w:r>
      <w:r w:rsidRPr="00883F61">
        <w:rPr>
          <w:rFonts w:eastAsia="Calibri" w:cs="Times New Roman"/>
          <w:noProof/>
          <w:szCs w:val="22"/>
          <w:lang w:val="en-US" w:eastAsia="en-US"/>
        </w:rPr>
        <w:t>[19,21–23]</w:t>
      </w:r>
      <w:r>
        <w:rPr>
          <w:rFonts w:eastAsia="Calibri" w:cs="Times New Roman"/>
          <w:szCs w:val="22"/>
          <w:lang w:val="en-US" w:eastAsia="en-US"/>
        </w:rPr>
        <w:fldChar w:fldCharType="end"/>
      </w:r>
      <w:r>
        <w:rPr>
          <w:rFonts w:eastAsia="Calibri" w:cs="Times New Roman"/>
          <w:szCs w:val="22"/>
          <w:lang w:val="en-US" w:eastAsia="en-US"/>
        </w:rPr>
        <w:t xml:space="preserve"> </w:t>
      </w:r>
      <w:r w:rsidRPr="008419AB">
        <w:rPr>
          <w:rFonts w:eastAsia="Calibri" w:cs="Times New Roman"/>
          <w:szCs w:val="22"/>
          <w:lang w:val="en-US" w:eastAsia="en-US"/>
        </w:rPr>
        <w:t xml:space="preserve">and by the Gait Profile Score (GPS) </w:t>
      </w:r>
      <w:r w:rsidRPr="008419AB">
        <w:rPr>
          <w:rFonts w:eastAsia="Calibri" w:cs="Times New Roman"/>
          <w:szCs w:val="22"/>
          <w:vertAlign w:val="superscript"/>
          <w:lang w:val="en-US" w:eastAsia="en-US"/>
        </w:rPr>
        <w:fldChar w:fldCharType="begin" w:fldLock="1"/>
      </w:r>
      <w:r w:rsidRPr="008419AB">
        <w:rPr>
          <w:rFonts w:eastAsia="Calibri" w:cs="Times New Roman"/>
          <w:szCs w:val="22"/>
          <w:vertAlign w:val="superscript"/>
          <w:lang w:val="en-US" w:eastAsia="en-US"/>
        </w:rPr>
        <w:instrText>ADDIN CSL_CITATION { "citationItems" : [ { "id" : "ITEM-1", "itemData" : { "abstract" : "Single-event multilevel surgery is considered the standard of care to improve gait and functioning of children with spastic diplegic cerebral palsy. However, the evidence base is limited. This pilot study is the first randomized controlled trial of single-event multilevel surgery, to our knowledge.", "author" : [ { "dropping-particle" : "", "family" : "Thomason", "given" : "Pamela", "non-dropping-particle" : "", "parse-names" : false, "suffix" : "" }, { "dropping-particle" : "", "family" : "Baker", "given" : "Richard", "non-dropping-particle" : "", "parse-names" : false, "suffix" : "" }, { "dropping-particle" : "", "family" : "Dodd", "given" : "Karen", "non-dropping-particle" : "", "parse-names" : false, "suffix" : "" }, { "dropping-particle" : "", "family" : "Taylor", "given" : "Nicholas", "non-dropping-particle" : "", "parse-names" : false, "suffix" : "" }, { "dropping-particle" : "", "family" : "Selber", "given" : "Paulo", "non-dropping-particle" : "", "parse-names" : false, "suffix" : "" }, { "dropping-particle" : "", "family" : "Wolfe", "given" : "Rory", "non-dropping-particle" : "", "parse-names" : false, "suffix" : "" }, { "dropping-particle" : "", "family" : "Graham", "given" : "H Kerr", "non-dropping-particle" : "", "parse-names" : false, "suffix" : "" } ], "container-title" : "The Journal of bone and joint surgery. American volume", "id" : "ITEM-1", "issued" : { "date-parts" : [ [ "2011" ] ] }, "page" : "451-460", "title" : "Single-event multilevel surgery in children with spastic diplegia: a pilot randomized controlled trial.", "type" : "article-journal", "volume" : "93" }, "uris" : [ "http://www.mendeley.com/documents/?uuid=e17ad217-e1fc-4add-ac35-3990f9d4055e" ] } ], "mendeley" : { "formattedCitation" : "[23]", "plainTextFormattedCitation" : "[23]", "previouslyFormattedCitation" : "[23]" }, "properties" : { "noteIndex" : 0 }, "schema" : "https://github.com/citation-style-language/schema/raw/master/csl-citation.json" }</w:instrText>
      </w:r>
      <w:r w:rsidRPr="008419AB">
        <w:rPr>
          <w:rFonts w:eastAsia="Calibri" w:cs="Times New Roman"/>
          <w:szCs w:val="22"/>
          <w:vertAlign w:val="superscript"/>
          <w:lang w:val="en-US" w:eastAsia="en-US"/>
        </w:rPr>
        <w:fldChar w:fldCharType="separate"/>
      </w:r>
      <w:r w:rsidRPr="008419AB">
        <w:rPr>
          <w:rFonts w:eastAsia="Calibri" w:cs="Times New Roman"/>
          <w:noProof/>
          <w:szCs w:val="22"/>
          <w:lang w:val="en-US" w:eastAsia="en-US"/>
        </w:rPr>
        <w:t>[23]</w:t>
      </w:r>
      <w:r w:rsidRPr="008419AB">
        <w:rPr>
          <w:rFonts w:eastAsia="Calibri" w:cs="Times New Roman"/>
          <w:szCs w:val="22"/>
          <w:vertAlign w:val="superscript"/>
          <w:lang w:val="en-US" w:eastAsia="en-US"/>
        </w:rPr>
        <w:fldChar w:fldCharType="end"/>
      </w:r>
      <w:r w:rsidRPr="008419AB">
        <w:rPr>
          <w:rFonts w:eastAsia="Calibri" w:cs="Times New Roman"/>
          <w:szCs w:val="22"/>
          <w:lang w:val="en-US" w:eastAsia="en-US"/>
        </w:rPr>
        <w:t xml:space="preserve"> have been reported following SEMLS, but not in a control group</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"Single-event multilevel surgery is considered the standard of care to improve gait and functioning of children with spastic diplegic cerebral palsy. However, the evidence base is limited. This pilot study is the first randomized controlled trial of single-event multilevel surgery, to our knowledge.", "author" : [ { "dropping-particle" : "", "family" : "Thomason", "given" : "Pamela", "non-dropping-particle" : "", "parse-names" : false, "suffix" : "" }, { "dropping-particle" : "", "family" : "Baker", "given" : "Richard", "non-dropping-particle" : "", "parse-names" : false, "suffix" : "" }, { "dropping-particle" : "", "family" : "Dodd", "given" : "Karen", "non-dropping-particle" : "", "parse-names" : false, "suffix" : "" }, { "dropping-particle" : "", "family" : "Taylor", "given" : "Nicholas", "non-dropping-particle" : "", "parse-names" : false, "suffix" : "" }, { "dropping-particle" : "", "family" : "Selber", "given" : "Paulo", "non-dropping-particle" : "", "parse-names" : false, "suffix" : "" }, { "dropping-particle" : "", "family" : "Wolfe", "given" : "Rory", "non-dropping-particle" : "", "parse-names" : false, "suffix" : "" }, { "dropping-particle" : "", "family" : "Graham", "given" : "H Kerr", "non-dropping-particle" : "", "parse-names" : false, "suffix" : "" } ], "container-title" : "The Journal of bone and joint surgery. American volume", "id" : "ITEM-1", "issued" : { "date-parts" : [ [ "2011" ] ] }, "page" : "451-460", "title" : "Single-event multilevel surgery in children with spastic diplegia: a pilot randomized controlled trial.", "type" : "article-journal", "volume" : "93" }, "uris" : [ "http://www.mendeley.com/documents/?uuid=e17ad217-e1fc-4add-ac35-3990f9d4055e" ] }, { "id" : "ITEM-2", "itemData" : { "abstract" : "Outcome in 24 ambulant children with spastic diplegic cerebral palsy, in whom multilevel surgical intervention was recommended following gait analysis, is reviewed. Twelve children had surgical intervention (treatment group; eight males, four females; mean age 9 years 10 months, SD 3 years 4 months) while the other 12 did not (control group; five males, seven females; mean age 10 years 1 month, SD 2 years 11 months). All children had interval three-dimensional gait analyses (mean time between analyses: control group, 14.1 months; treatment group, 17.9 months). At follow-up the control group (mean age 11 years 9 months) showed a significant increase in minimum hip and knee flexion in stance which was not related to age, the interval between analyses, changes in the passive joint range of motion, nor changes in anthropometric measurements. The treatment group (mean age at follow-up 11 years 3 months) showed a significant improvement in minimum knee flexion and in ankle dorsiflexion in stance. Parents of nine children said their child's walking distance had increased following intervention. Of five children using posterior walkers preoperatively, two continued to use them postoperatively; two were using crutches or sticks and the remaining child walked independently. Two children who walked independently preoperatively used sticks postoperatively for community ambulation. The deterioration seen in the kinematics of the control group suggests that previous outcome studies comparing postoperative gait with preoperative gait have underestimated the immediate effects of surgery. It also raises concerns about the long-term effects of surgical intervention.", "author" : [ { "dropping-particle" : "", "family" : "Gough", "given" : "Martin", "non-dropping-particle" : "", "parse-names" : false, "suffix" : "" }, { "dropping-particle" : "", "family" : "Eve", "given" : "Linda C", "non-dropping-particle" : "", "parse-names" : false, "suffix" : "" }, { "dropping-particle" : "", "family" : "Robinson", "given" : "Richard O", "non-dropping-particle" : "", "parse-names" : false, "suffix" : "" }, { "dropping-particle" : "", "family" : "Shortland", "given" : "Adam P", "non-dropping-particle" : "", "parse-names" : false, "suffix" : "" } ], "container-title" : "Developmental medicine and child neurology", "id" : "ITEM-2", "issued" : { "date-parts" : [ [ "2004" ] ] }, "page" : "91-97", "title" : "Short-term outcome of multilevel surgical intervention in spastic diplegic cerebral palsy compared with the natural history.", "type" : "article-journal", "volume" : "46" }, "uris" : [ "http://www.mendeley.com/documents/?uuid=e7ae3eb4-126b-4c00-b014-62a06c766d69" ] } ], "mendeley" : { "formattedCitation" : "[23,24]", "plainTextFormattedCitation" : "[23,24]", "previouslyFormattedCitation" : "[23,24]" }, "properties" : { "noteIndex" : 0 }, "schema" : "https://github.com/citation-style-language/schema/raw/master/csl-citation.json" }</w:instrText>
      </w:r>
      <w:r>
        <w:rPr>
          <w:rFonts w:eastAsia="Calibri" w:cs="Times New Roman"/>
          <w:szCs w:val="22"/>
          <w:lang w:val="en-US" w:eastAsia="en-US"/>
        </w:rPr>
        <w:fldChar w:fldCharType="separate"/>
      </w:r>
      <w:r w:rsidRPr="00883F61">
        <w:rPr>
          <w:rFonts w:eastAsia="Calibri" w:cs="Times New Roman"/>
          <w:noProof/>
          <w:szCs w:val="22"/>
          <w:lang w:val="en-US" w:eastAsia="en-US"/>
        </w:rPr>
        <w:t>[23,24]</w:t>
      </w:r>
      <w:r>
        <w:rPr>
          <w:rFonts w:eastAsia="Calibri" w:cs="Times New Roman"/>
          <w:szCs w:val="22"/>
          <w:lang w:val="en-US" w:eastAsia="en-US"/>
        </w:rPr>
        <w:fldChar w:fldCharType="end"/>
      </w:r>
      <w:r w:rsidRPr="008419AB">
        <w:rPr>
          <w:rFonts w:eastAsia="Calibri" w:cs="Times New Roman"/>
          <w:szCs w:val="22"/>
          <w:lang w:val="en-US" w:eastAsia="en-US"/>
        </w:rPr>
        <w:t>. Most commonly reported kinematic imp</w:t>
      </w:r>
      <w:r>
        <w:rPr>
          <w:rFonts w:eastAsia="Calibri" w:cs="Times New Roman"/>
          <w:szCs w:val="22"/>
          <w:lang w:val="en-US" w:eastAsia="en-US"/>
        </w:rPr>
        <w:t xml:space="preserve">rovements during gait include </w:t>
      </w:r>
      <w:r w:rsidRPr="008419AB">
        <w:rPr>
          <w:rFonts w:eastAsia="Calibri" w:cs="Times New Roman"/>
          <w:szCs w:val="22"/>
          <w:lang w:val="en-US" w:eastAsia="en-US"/>
        </w:rPr>
        <w:t>reduced pelvic ROM, and increased knee and hip extension in stance</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"author" : [ { "dropping-particle" : "", "family" : "Neve", "given" : "Av", "non-dropping-particle" : "", "parse-names" : false, "suffix" : "" }, { "dropping-particle" : "", "family" : "Evans", "given" : "Ga", "non-dropping-particle" : "", "parse-names" : false, "suffix" : "" }, { "dropping-particle" : "", "family" : "Patrick", "given" : "Jh", "non-dropping-particle" : "", "parse-names" : false, "suffix" : "" } ], "container-title" : "J Bone Joint Surg", "id" : "ITEM-1", "issued" : { "date-parts" : [ [ "1993" ] ] }, "page" : "488-494", "title" : "Simultaneous multiple operations for spastic diplegia", "type" : "article-journal" }, "uris" : [ "http://www.mendeley.com/documents/?uuid=3351e691-29c4-4f7e-ae3d-4584304c19cc" ] }, { "id" : "ITEM-2", "itemData" : { "abstract" : "BACKGROUND: Recent studies have questioned the efficacy of releasing hip flexion contractures and the resulting ankle position after tendoachilles lengthening in ambulating children with cerebral palsy (CP). METHODS: Twenty-three ambulatory children with CP underwent 96 soft tissue-lengthening procedures without bony surgery. Preoperative and postoperative clinical and computerized gait data were reviewed. RESULTS: Static contractures improved reliably, with improvements in all areas measured, including hip flexion contracture (14 degree improvement), hip abduction (19 degree improvement), popliteal angle (26 degree improvement), and ankle dorsiflexion (11 degree improvement). The changes in computerized gait data were less uniform. The knees showed significant benefits, as evidenced by improved maximal knee extension in stance phase (37.3 degree preop and 19.9 degree postop) and at initial contact (51.6 degree preop and 34.8 degree postop). At the hip, a statistically significant improvement was only seen in maximum hip extension in stance phase (minimum hip flexion), and the magnitude of this change was only 4.6 degree (15.3 to 10.7 degree). There were no significant changes at the pelvis. At the ankle, the tendency was toward calcaneal gait after Achilles tendon lengthening, with excessive dorsiflexion seen both in stance (17.3 degree) and at toe off (-6.9 degree). Tempero-spatial parameters showed improved stride length, but no significant changes in gait velocity or cadence. DISCUSSION: The persistence of crouch postoperatively, though improved, likely limited the potential changes in hip kinematics. As this study excluded patients undergoing osseous surgery, it is possible that lever arm dysfunction may have contributed to the ongoing crouch. The results of this study suggest that static contractures and knee kinematics improve reliably after soft tissue surgery in children with CP, but that caution must be exercised when considering heel cord lengthening in these children. LEVEL OF EVIDENCE: Therapeutic level II. See Instructions to Authors for a complete description of levels of evidence.", "author" : [ { "dropping-particle" : "", "family" : "Bernthal", "given" : "Nicholas M", "non-dropping-particle" : "", "parse-names" : false, "suffix" : "" }, { "dropping-particle" : "", "family" : "Gamradt", "given" : "Seth C", "non-dropping-particle" : "", "parse-names" : false, "suffix" : "" }, { "dropping-particle" : "", "family" : "Kay", "given" : "Robert M", "non-dropping-particle" : "", "parse-names" : false, "suffix" : "" }, { "dropping-particle" : "", "family" : "Wren", "given" : "Tishya a L", "non-dropping-particle" : "", "parse-names" : false, "suffix" : "" }, { "dropping-particle" : "V", "family" : "Cuomo", "given" : "Anna", "non-dropping-particle" : "", "parse-names" : false, "suffix" : "" }, { "dropping-particle" : "", "family" : "Reid", "given" : "Jeremy", "non-dropping-particle" : "", "parse-names" : false, "suffix" : "" }, { "dropping-particle" : "", "family" : "Bales", "given" : "Joshua", "non-dropping-particle" : "", "parse-names" : false, "suffix" : "" }, { "dropping-particle" : "", "family" : "Otsuka", "given" : "Norman Y", "non-dropping-particle" : "", "parse-names" : false, "suffix" : "" } ], "container-title" : "Journal of pediatric orthopedics", "id" : "ITEM-2", "issue" : "2", "issued" : { "date-parts" : [ [ "2010" ] ] }, "page" : "174-179", "title" : "Static and dynamic gait parameters before and after multilevel soft tissue surgery in ambulating children with cerebral palsy.", "type" : "article-journal", "volume" : "30" }, "uris" : [ "http://www.mendeley.com/documents/?uuid=af3061be-c168-4d1a-a48b-c975e6269508" ] }, { "id" : "ITEM-3", "itemData" : { "abstract" : "We treated 20 children (40 limbs) with diplegic cerebral palsy who could walk by multilevel soft tissue operative procedures including conversion of the biarticular semitendinosus and gastrocnemius to monoarticular muscles. The mean age at surgery was 11.5 years (5.6 to 17.0). All patients underwent clinical and radiological examination and three-dimensional instrumented gait analysis before and at a mean of 3.1 years (2.0 to 4.5) after surgery. The passive range of movement at the ankle, knee and hip showed improvement at follow-up. Kinematic parameters indicated a reduced pelvic range of movement and improvement of extension of the knee in single stance after operation (p &lt; 0.0001). However, post-operative back-kneeing was detected in five of the 40 limbs. The kinetic studies showed that the power of the hamstrings and plantar flexors of the ankle was maintained while the maximum knee extensor moment during stance was reduced. The elimination of knee flexor activity of semitendinosus and gastrocnemius combined with transfer of distal rectus femoris led to an improvement in gait as confirmed by gait analysis.", "author" : [ { "dropping-particle" : "", "family" : "Metaxiotis", "given" : "D", "non-dropping-particle" : "", "parse-names" : false, "suffix" : "" }, { "dropping-particle" : "", "family" : "Wolf", "given" : "S", "non-dropping-particle" : "", "parse-names" : false, "suffix" : "" }, { "dropping-particle" : "", "family" : "Doederlein", "given" : "L", "non-dropping-particle" : "", "parse-names" : false, "suffix" : "" } ], "container-title" : "The Journal of bone and joint surgery. British volume", "id" : "ITEM-3", "issued" : { "date-parts" : [ [ "2004" ] ] }, "page" : "102-109", "title" : "Conversion of biarticular to monoarticular muscles as a component of multilevel surgery in spastic diplegia.", "type" : "article-journal", "volume" : "86" }, "uris" : [ "http://www.mendeley.com/documents/?uuid=0e74a79e-87ca-4c78-b003-96865f0d8789" ] }, { "id" : "ITEM-4", "itemData" : { "abstract" : "We reviewed the outcome in 24 children with bilateral spastic cerebral palsy aged seven years or younger for whom surgery was recommended between 1999 and 2005 following gait analysis. A total of 13 children (operative group) had surgery and the remaining 11 (control group) did not, for family or administrative reasons. The operative group had at least two post-operative gait analyses at yearly intervals, with eight children having a third and six children a fourth. The control group had a second analysis after a mean interval of 1.5 years (95% confidence interval 1.1 to 1.9). In the operative group, the Gillette gait index, the ranges of movement in the lower limb joint and knee extension in stance improved following surgery, and this was maintained overall at the second post-operative analysis. The minimum knee flexion in stance in the control group increased between analyses. These results suggest that surgical intervention in selected children can result in improvements in gait and function in the short to medium term compared with non-operative management.", "author" : [ { "dropping-particle" : "", "family" : "Gough", "given" : "M", "non-dropping-particle" : "", "parse-names" : false, "suffix" : "" }, { "dropping-particle" : "", "family" : "Schneider", "given" : "P", "non-dropping-particle" : "", "parse-names" : false, "suffix" : "" }, { "dropping-particle" : "", "family" : "Shortland", "given" : "a P", "non-dropping-particle" : "", "parse-names" : false, "suffix" : "" } ], "container-title" : "The Journal of bone and joint surgery. British volume", "id" : "ITEM-4", "issued" : { "date-parts" : [ [ "2008" ] ] }, "page" : "946-951", "title" : "The outcome of surgical intervention for early deformity in young ambulant children with bilateral spastic cerebral palsy.", "type" : "article-journal", "volume" : "90" }, "uris" : [ "http://www.mendeley.com/documents/?uuid=6849d23f-3d13-4ab1-b67b-12aba613fd3b" ] } ], "mendeley" : { "formattedCitation" : "[13,17\u201319]", "plainTextFormattedCitation" : "[13,17\u201319]", "previouslyFormattedCitation" : "[13,17\u201319]" }, "properties" : { "noteIndex" : 0 }, "schema" : "https://github.com/citation-style-language/schema/raw/master/csl-citation.json" }</w:instrText>
      </w:r>
      <w:r>
        <w:rPr>
          <w:rFonts w:eastAsia="Calibri" w:cs="Times New Roman"/>
          <w:szCs w:val="22"/>
          <w:lang w:val="en-US" w:eastAsia="en-US"/>
        </w:rPr>
        <w:fldChar w:fldCharType="separate"/>
      </w:r>
      <w:r w:rsidRPr="00883F61">
        <w:rPr>
          <w:rFonts w:eastAsia="Calibri" w:cs="Times New Roman"/>
          <w:noProof/>
          <w:szCs w:val="22"/>
          <w:lang w:val="en-US" w:eastAsia="en-US"/>
        </w:rPr>
        <w:t>[13,17–19]</w:t>
      </w:r>
      <w:r>
        <w:rPr>
          <w:rFonts w:eastAsia="Calibri" w:cs="Times New Roman"/>
          <w:szCs w:val="22"/>
          <w:lang w:val="en-US" w:eastAsia="en-US"/>
        </w:rPr>
        <w:fldChar w:fldCharType="end"/>
      </w:r>
      <w:r w:rsidRPr="008419AB">
        <w:rPr>
          <w:rFonts w:eastAsia="Calibri" w:cs="Times New Roman"/>
          <w:szCs w:val="22"/>
          <w:lang w:val="en-US" w:eastAsia="en-US"/>
        </w:rPr>
        <w:t>. Furthermore improved gait distance</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"PURPOSE: This study evaluated multilevel surgery and rehabilitation with functional measures and health related quality of life (HRQOL) of children and youth with cerebral palsy (CP). In addition this study evaluated parent's satisfaction with care. METHOD: A prospective single-subject study with AB design and 2-year follow-up, included 11 children between 8 and 18 years old with CP, Gross Motor Function Classification System I-III. Visual analyses were used to present physical function with Physical Cost Index (PCI). Descriptive statistics were used to present number of children with a clinically important change in Gross Motor Function Measure (GMFM), self-reported walking ability, and HRQOL with child health questionnaire (CHQ). RESULTS: PCI showed a trend of lower energy cost during gait in six children and GMFM was unchanged for 10 children and improved for one child. Walking ability was improved in 10 children. Gait distance increased in all 11. Both physical and psychosocial dimensions of CHQ improved in six of nine (two missing data). Expectations of outcomes were fulfilled in seven and partly fulfilled in four. Satisfaction with care was fulfilled in 10 of 11. CONCLUSION: Self-reported walking ability improved after multilevel surgery and intensive rehabilitation. This result was partly supported by lower energy cost and improved HRQOL. Expectations and satisfaction were fulfilled for the majority of children.", "author" : [ { "dropping-particle" : "", "family" : "Akerstedt", "given" : "Anita", "non-dropping-particle" : "", "parse-names" : false, "suffix" : "" }, { "dropping-particle" : "", "family" : "Risto", "given" : "Olof", "non-dropping-particle" : "", "parse-names" : false, "suffix" : "" }, { "dropping-particle" : "", "family" : "Odman", "given" : "Pia", "non-dropping-particle" : "", "parse-names" : false, "suffix" : "" }, { "dropping-particle" : "", "family" : "Oberg", "given" : "Birgitta", "non-dropping-particle" : "", "parse-names" : false, "suffix" : "" } ], "container-title" : "Disability and rehabilitation", "id" : "ITEM-1", "issue" : "7", "issued" : { "date-parts" : [ [ "2010" ] ] }, "page" : "530-539", "title" : "Evaluation of single event multilevel surgery and rehabilitation in children and youth with cerebral palsy--A 2-year follow-up study.", "type" : "article-journal", "volume" : "32" }, "uris" : [ "http://www.mendeley.com/documents/?uuid=a26030d0-ef5a-4693-b872-b3927184d2bd" ] }, { "id" : "ITEM-2", "itemData" : { "abstract" : "Outcome in 24 ambulant children with spastic diplegic cerebral palsy, in whom multilevel surgical intervention was recommended following gait analysis, is reviewed. Twelve children had surgical intervention (treatment group; eight males, four females; mean age 9 years 10 months, SD 3 years 4 months) while the other 12 did not (control group; five males, seven females; mean age 10 years 1 month, SD 2 years 11 months). All children had interval three-dimensional gait analyses (mean time between analyses: control group, 14.1 months; treatment group, 17.9 months). At follow-up the control group (mean age 11 years 9 months) showed a significant increase in minimum hip and knee flexion in stance which was not related to age, the interval between analyses, changes in the passive joint range of motion, nor changes in anthropometric measurements. The treatment group (mean age at follow-up 11 years 3 months) showed a significant improvement in minimum knee flexion and in ankle dorsiflexion in stance. Parents of nine children said their child's walking distance had increased following intervention. Of five children using posterior walkers preoperatively, two continued to use them postoperatively; two were using crutches or sticks and the remaining child walked independently. Two children who walked independently preoperatively used sticks postoperatively for community ambulation. The deterioration seen in the kinematics of the control group suggests that previous outcome studies comparing postoperative gait with preoperative gait have underestimated the immediate effects of surgery. It also raises concerns about the long-term effects of surgical intervention.", "author" : [ { "dropping-particle" : "", "family" : "Gough", "given" : "Martin", "non-dropping-particle" : "", "parse-names" : false, "suffix" : "" }, { "dropping-particle" : "", "family" : "Eve", "given" : "Linda C", "non-dropping-particle" : "", "parse-names" : false, "suffix" : "" }, { "dropping-particle" : "", "family" : "Robinson", "given" : "Richard O", "non-dropping-particle" : "", "parse-names" : false, "suffix" : "" }, { "dropping-particle" : "", "family" : "Shortland", "given" : "Adam P", "non-dropping-particle" : "", "parse-names" : false, "suffix" : "" } ], "container-title" : "Developmental medicine and child neurology", "id" : "ITEM-2", "issued" : { "date-parts" : [ [ "2004" ] ] }, "page" : "91-97", "title" : "Short-term outcome of multilevel surgical intervention in spastic diplegic cerebral palsy compared with the natural history.", "type" : "article-journal", "volume" : "46" }, "uris" : [ "http://www.mendeley.com/documents/?uuid=e7ae3eb4-126b-4c00-b014-62a06c766d69" ] } ], "mendeley" : { "formattedCitation" : "[22,24]", "plainTextFormattedCitation" : "[22,24]", "previouslyFormattedCitation" : "[22,24]" }, "properties" : { "noteIndex" : 0 }, "schema" : "https://github.com/citation-style-language/schema/raw/master/csl-citation.json" }</w:instrText>
      </w:r>
      <w:r>
        <w:rPr>
          <w:rFonts w:eastAsia="Calibri" w:cs="Times New Roman"/>
          <w:szCs w:val="22"/>
          <w:lang w:val="en-US" w:eastAsia="en-US"/>
        </w:rPr>
        <w:fldChar w:fldCharType="separate"/>
      </w:r>
      <w:r w:rsidRPr="00883F61">
        <w:rPr>
          <w:rFonts w:eastAsia="Calibri" w:cs="Times New Roman"/>
          <w:noProof/>
          <w:szCs w:val="22"/>
          <w:lang w:val="en-US" w:eastAsia="en-US"/>
        </w:rPr>
        <w:t>[22,24]</w:t>
      </w:r>
      <w:r>
        <w:rPr>
          <w:rFonts w:eastAsia="Calibri" w:cs="Times New Roman"/>
          <w:szCs w:val="22"/>
          <w:lang w:val="en-US" w:eastAsia="en-US"/>
        </w:rPr>
        <w:fldChar w:fldCharType="end"/>
      </w:r>
      <w:r w:rsidRPr="008419AB">
        <w:rPr>
          <w:rFonts w:eastAsia="Calibri" w:cs="Times New Roman"/>
          <w:szCs w:val="22"/>
          <w:lang w:val="en-US" w:eastAsia="en-US"/>
        </w:rPr>
        <w:t>, decreased Physical Cost Index (PCI)</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"author" : [ { "dropping-particle" : "", "family" : "Neve", "given" : "Av", "non-dropping-particle" : "", "parse-names" : false, "suffix" : "" }, { "dropping-particle" : "", "family" : "Evans", "given" : "Ga", "non-dropping-particle" : "", "parse-names" : false, "suffix" : "" }, { "dropping-particle" : "", "family" : "Patrick", "given" : "Jh", "non-dropping-particle" : "", "parse-names" : false, "suffix" : "" } ], "container-title" : "J Bone Joint Surg", "id" : "ITEM-1", "issued" : { "date-parts" : [ [ "1993" ] ] }, "page" : "488-494", "title" : "Simultaneous multiple operations for spastic diplegia", "type" : "article-journal" }, "uris" : [ "http://www.mendeley.com/documents/?uuid=3351e691-29c4-4f7e-ae3d-4584304c19cc" ] }, { "id" : "ITEM-2", "itemData" : { "abstract" : "PURPOSE: This study evaluated multilevel surgery and rehabilitation with functional measures and health related quality of life (HRQOL) of children and youth with cerebral palsy (CP). In addition this study evaluated parent's satisfaction with care. METHOD: A prospective single-subject study with AB design and 2-year follow-up, included 11 children between 8 and 18 years old with CP, Gross Motor Function Classification System I-III. Visual analyses were used to present physical function with Physical Cost Index (PCI). Descriptive statistics were used to present number of children with a clinically important change in Gross Motor Function Measure (GMFM), self-reported walking ability, and HRQOL with child health questionnaire (CHQ). RESULTS: PCI showed a trend of lower energy cost during gait in six children and GMFM was unchanged for 10 children and improved for one child. Walking ability was improved in 10 children. Gait distance increased in all 11. Both physical and psychosocial dimensions of CHQ improved in six of nine (two missing data). Expectations of outcomes were fulfilled in seven and partly fulfilled in four. Satisfaction with care was fulfilled in 10 of 11. CONCLUSION: Self-reported walking ability improved after multilevel surgery and intensive rehabilitation. This result was partly supported by lower energy cost and improved HRQOL. Expectations and satisfaction were fulfilled for the majority of children.", "author" : [ { "dropping-particle" : "", "family" : "Akerstedt", "given" : "Anita", "non-dropping-particle" : "", "parse-names" : false, "suffix" : "" }, { "dropping-particle" : "", "family" : "Risto", "given" : "Olof", "non-dropping-particle" : "", "parse-names" : false, "suffix" : "" }, { "dropping-particle" : "", "family" : "Odman", "given" : "Pia", "non-dropping-particle" : "", "parse-names" : false, "suffix" : "" }, { "dropping-particle" : "", "family" : "Oberg", "given" : "Birgitta", "non-dropping-particle" : "", "parse-names" : false, "suffix" : "" } ], "container-title" : "Disability and rehabilitation", "id" : "ITEM-2", "issue" : "7", "issued" : { "date-parts" : [ [ "2010" ] ] }, "page" : "530-539", "title" : "Evaluation of single event multilevel surgery and rehabilitation in children and youth with cerebral palsy--A 2-year follow-up study.", "type" : "article-journal", "volume" : "32" }, "uris" : [ "http://www.mendeley.com/documents/?uuid=a26030d0-ef5a-4693-b872-b3927184d2bd" ] } ], "mendeley" : { "formattedCitation" : "[13,22]", "plainTextFormattedCitation" : "[13,22]", "previouslyFormattedCitation" : "[13,22]" }, "properties" : { "noteIndex" : 0 }, "schema" : "https://github.com/citation-style-language/schema/raw/master/csl-citation.json" }</w:instrText>
      </w:r>
      <w:r>
        <w:rPr>
          <w:rFonts w:eastAsia="Calibri" w:cs="Times New Roman"/>
          <w:szCs w:val="22"/>
          <w:lang w:val="en-US" w:eastAsia="en-US"/>
        </w:rPr>
        <w:fldChar w:fldCharType="separate"/>
      </w:r>
      <w:r w:rsidRPr="00883F61">
        <w:rPr>
          <w:rFonts w:eastAsia="Calibri" w:cs="Times New Roman"/>
          <w:noProof/>
          <w:szCs w:val="22"/>
          <w:lang w:val="en-US" w:eastAsia="en-US"/>
        </w:rPr>
        <w:t>[13,22]</w:t>
      </w:r>
      <w:r>
        <w:rPr>
          <w:rFonts w:eastAsia="Calibri" w:cs="Times New Roman"/>
          <w:szCs w:val="22"/>
          <w:lang w:val="en-US" w:eastAsia="en-US"/>
        </w:rPr>
        <w:fldChar w:fldCharType="end"/>
      </w:r>
      <w:r>
        <w:rPr>
          <w:rFonts w:eastAsia="Calibri" w:cs="Times New Roman"/>
          <w:szCs w:val="22"/>
          <w:lang w:val="en-US" w:eastAsia="en-US"/>
        </w:rPr>
        <w:t xml:space="preserve"> </w:t>
      </w:r>
      <w:r w:rsidRPr="008419AB">
        <w:rPr>
          <w:rFonts w:eastAsia="Calibri" w:cs="Times New Roman"/>
          <w:szCs w:val="22"/>
          <w:lang w:val="en-US" w:eastAsia="en-US"/>
        </w:rPr>
        <w:t>indicating a more efficient gait pattern and improved stabilization of gait</w:t>
      </w:r>
      <w:r w:rsidRPr="008419AB">
        <w:rPr>
          <w:rFonts w:eastAsia="Calibri" w:cs="Times New Roman"/>
          <w:szCs w:val="22"/>
          <w:vertAlign w:val="superscript"/>
          <w:lang w:val="en-US" w:eastAsia="en-US"/>
        </w:rPr>
        <w:t xml:space="preserve">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"Outcome in 24 ambulant children with spastic diplegic cerebral palsy, in whom multilevel surgical intervention was recommended following gait analysis, is reviewed. Twelve children had surgical intervention (treatment group; eight males, four females; mean age 9 years 10 months, SD 3 years 4 months) while the other 12 did not (control group; five males, seven females; mean age 10 years 1 month, SD 2 years 11 months). All children had interval three-dimensional gait analyses (mean time between analyses: control group, 14.1 months; treatment group, 17.9 months). At follow-up the control group (mean age 11 years 9 months) showed a significant increase in minimum hip and knee flexion in stance which was not related to age, the interval between analyses, changes in the passive joint range of motion, nor changes in anthropometric measurements. The treatment group (mean age at follow-up 11 years 3 months) showed a significant improvement in minimum knee flexion and in ankle dorsiflexion in stance. Parents of nine children said their child's walking distance had increased following intervention. Of five children using posterior walkers preoperatively, two continued to use them postoperatively; two were using crutches or sticks and the remaining child walked independently. Two children who walked independently preoperatively used sticks postoperatively for community ambulation. The deterioration seen in the kinematics of the control group suggests that previous outcome studies comparing postoperative gait with preoperative gait have underestimated the immediate effects of surgery. It also raises concerns about the long-term effects of surgical intervention.", "author" : [ { "dropping-particle" : "", "family" : "Gough", "given" : "Martin", "non-dropping-particle" : "", "parse-names" : false, "suffix" : "" }, { "dropping-particle" : "", "family" : "Eve", "given" : "Linda C", "non-dropping-particle" : "", "parse-names" : false, "suffix" : "" }, { "dropping-particle" : "", "family" : "Robinson", "given" : "Richard O", "non-dropping-particle" : "", "parse-names" : false, "suffix" : "" }, { "dropping-particle" : "", "family" : "Shortland", "given" : "Adam P", "non-dropping-particle" : "", "parse-names" : false, "suffix" : "" } ], "container-title" : "Developmental medicine and child neurology", "id" : "ITEM-1", "issued" : { "date-parts" : [ [ "2004" ] ] }, "page" : "91-97", "title" : "Short-term outcome of multilevel surgical intervention in spastic diplegic cerebral palsy compared with the natural history.", "type" : "article-journal", "volume" : "46" }, "uris" : [ "http://www.mendeley.com/documents/?uuid=e7ae3eb4-126b-4c00-b014-62a06c766d69" ] } ], "mendeley" : { "formattedCitation" : "[24]", "plainTextFormattedCitation" : "[24]", "previouslyFormattedCitation" : "[24]"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[24]</w:t>
      </w:r>
      <w:r w:rsidRPr="008419AB">
        <w:rPr>
          <w:rFonts w:eastAsia="Calibri" w:cs="Times New Roman"/>
          <w:szCs w:val="22"/>
          <w:lang w:val="en-US" w:eastAsia="en-US"/>
        </w:rPr>
        <w:fldChar w:fldCharType="end"/>
      </w:r>
      <w:r w:rsidRPr="008419AB">
        <w:rPr>
          <w:rFonts w:eastAsia="Calibri" w:cs="Times New Roman"/>
          <w:szCs w:val="22"/>
          <w:lang w:val="en-US" w:eastAsia="en-US"/>
        </w:rPr>
        <w:t xml:space="preserve"> have been reported. Spatiotemporal parameters showed improved stride length, </w:t>
      </w:r>
      <w:r>
        <w:rPr>
          <w:rFonts w:eastAsia="Calibri" w:cs="Times New Roman"/>
          <w:szCs w:val="22"/>
          <w:lang w:val="en-US" w:eastAsia="en-US"/>
        </w:rPr>
        <w:t>but</w:t>
      </w:r>
      <w:r w:rsidRPr="008419AB">
        <w:rPr>
          <w:rFonts w:eastAsia="Calibri" w:cs="Times New Roman"/>
          <w:szCs w:val="22"/>
          <w:lang w:val="en-US" w:eastAsia="en-US"/>
        </w:rPr>
        <w:t xml:space="preserve"> contradictory results on gait velocity and cadence</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"BACKGROUND: Recent studies have questioned the efficacy of releasing hip flexion contractures and the resulting ankle position after tendoachilles lengthening in ambulating children with cerebral palsy (CP). METHODS: Twenty-three ambulatory children with CP underwent 96 soft tissue-lengthening procedures without bony surgery. Preoperative and postoperative clinical and computerized gait data were reviewed. RESULTS: Static contractures improved reliably, with improvements in all areas measured, including hip flexion contracture (14 degree improvement), hip abduction (19 degree improvement), popliteal angle (26 degree improvement), and ankle dorsiflexion (11 degree improvement). The changes in computerized gait data were less uniform. The knees showed significant benefits, as evidenced by improved maximal knee extension in stance phase (37.3 degree preop and 19.9 degree postop) and at initial contact (51.6 degree preop and 34.8 degree postop). At the hip, a statistically significant improvement was only seen in maximum hip extension in stance phase (minimum hip flexion), and the magnitude of this change was only 4.6 degree (15.3 to 10.7 degree). There were no significant changes at the pelvis. At the ankle, the tendency was toward calcaneal gait after Achilles tendon lengthening, with excessive dorsiflexion seen both in stance (17.3 degree) and at toe off (-6.9 degree). Tempero-spatial parameters showed improved stride length, but no significant changes in gait velocity or cadence. DISCUSSION: The persistence of crouch postoperatively, though improved, likely limited the potential changes in hip kinematics. As this study excluded patients undergoing osseous surgery, it is possible that lever arm dysfunction may have contributed to the ongoing crouch. The results of this study suggest that static contractures and knee kinematics improve reliably after soft tissue surgery in children with CP, but that caution must be exercised when considering heel cord lengthening in these children. LEVEL OF EVIDENCE: Therapeutic level II. See Instructions to Authors for a complete description of levels of evidence.", "author" : [ { "dropping-particle" : "", "family" : "Bernthal", "given" : "Nicholas M", "non-dropping-particle" : "", "parse-names" : false, "suffix" : "" }, { "dropping-particle" : "", "family" : "Gamradt", "given" : "Seth C", "non-dropping-particle" : "", "parse-names" : false, "suffix" : "" }, { "dropping-particle" : "", "family" : "Kay", "given" : "Robert M", "non-dropping-particle" : "", "parse-names" : false, "suffix" : "" }, { "dropping-particle" : "", "family" : "Wren", "given" : "Tishya a L", "non-dropping-particle" : "", "parse-names" : false, "suffix" : "" }, { "dropping-particle" : "V", "family" : "Cuomo", "given" : "Anna", "non-dropping-particle" : "", "parse-names" : false, "suffix" : "" }, { "dropping-particle" : "", "family" : "Reid", "given" : "Jeremy", "non-dropping-particle" : "", "parse-names" : false, "suffix" : "" }, { "dropping-particle" : "", "family" : "Bales", "given" : "Joshua", "non-dropping-particle" : "", "parse-names" : false, "suffix" : "" }, { "dropping-particle" : "", "family" : "Otsuka", "given" : "Norman Y", "non-dropping-particle" : "", "parse-names" : false, "suffix" : "" } ], "container-title" : "Journal of pediatric orthopedics", "id" : "ITEM-1", "issue" : "2", "issued" : { "date-parts" : [ [ "2010" ] ] }, "page" : "174-179", "title" : "Static and dynamic gait parameters before and after multilevel soft tissue surgery in ambulating children with cerebral palsy.", "type" : "article-journal", "volume" : "30" }, "uris" : [ "http://www.mendeley.com/documents/?uuid=af3061be-c168-4d1a-a48b-c975e6269508" ] }, { "id" : "ITEM-2", "itemData" : { "abstract" : "Gait improvement surgery was performed on 25 ambulatory children with the diplegic type of cerebral palsy. Multiple soft tissue and bony procedures were performed (mean 8.2 procedures) according to criteria defined on the basis of physical examination and gait analysis. Relevant physical examination findings and kinematic and kinetic data in the sagittal plane were evaluated before surgery and at least 3 years after surgery. Physical examination showed a reduction in the ankle plantar-flexor power and in the range of hip flexion and ankle plantarflexion after surgery. Analysis of gait data showed significant improvements in the sagittal plane kinematics and the power generation at the hip and the ankle. At the knee joint there was maintenance of power of the flexor and extensor group of muscles on physical examination, with significant improvements in the kinematics after surgery. The authors conclude that well-selected surgery improves function of the spastic muscle. The importance of assessing clinical, kinematic, and kinetic data together for proper evaluation of gait is stressed.", "author" : [ { "dropping-particle" : "", "family" : "Saraph", "given" : "Vinay", "non-dropping-particle" : "", "parse-names" : false, "suffix" : "" }, { "dropping-particle" : "", "family" : "Zwick", "given" : "Ernst-Bernhard", "non-dropping-particle" : "", "parse-names" : false, "suffix" : "" }, { "dropping-particle" : "", "family" : "Zwick", "given" : "Gertrude", "non-dropping-particle" : "", "parse-names" : false, "suffix" : "" }, { "dropping-particle" : "", "family" : "Steinwender", "given" : "Christiane", "non-dropping-particle" : "", "parse-names" : false, "suffix" : "" }, { "dropping-particle" : "", "family" : "Steinwender", "given" : "Gerhardt", "non-dropping-particle" : "", "parse-names" : false, "suffix" : "" }, { "dropping-particle" : "", "family" : "Linhart", "given" : "Wolfgang", "non-dropping-particle" : "", "parse-names" : false, "suffix" : "" } ], "container-title" : "Journal of pediatric orthopedics", "id" : "ITEM-2", "issued" : { "date-parts" : [ [ "2002" ] ] }, "page" : "150-157", "title" : "Multilevel surgery in spastic diplegia: evaluation by physical examination and gait analysis in 25 children.", "type" : "article-journal", "volume" : "22" }, "uris" : [ "http://www.mendeley.com/documents/?uuid=9e756e9a-508e-4fe4-886b-d4f98f0b414d" ] } ], "mendeley" : { "formattedCitation" : "[17,20]", "plainTextFormattedCitation" : "[17,20]", "previouslyFormattedCitation" : "[17,20]" }, "properties" : { "noteIndex" : 0 }, "schema" : "https://github.com/citation-style-language/schema/raw/master/csl-citation.json" }</w:instrText>
      </w:r>
      <w:r>
        <w:rPr>
          <w:rFonts w:eastAsia="Calibri" w:cs="Times New Roman"/>
          <w:szCs w:val="22"/>
          <w:lang w:val="en-US" w:eastAsia="en-US"/>
        </w:rPr>
        <w:fldChar w:fldCharType="separate"/>
      </w:r>
      <w:r w:rsidRPr="00883F61">
        <w:rPr>
          <w:rFonts w:eastAsia="Calibri" w:cs="Times New Roman"/>
          <w:noProof/>
          <w:szCs w:val="22"/>
          <w:lang w:val="en-US" w:eastAsia="en-US"/>
        </w:rPr>
        <w:t>[17,20]</w:t>
      </w:r>
      <w:r>
        <w:rPr>
          <w:rFonts w:eastAsia="Calibri" w:cs="Times New Roman"/>
          <w:szCs w:val="22"/>
          <w:lang w:val="en-US" w:eastAsia="en-US"/>
        </w:rPr>
        <w:fldChar w:fldCharType="end"/>
      </w:r>
      <w:r w:rsidRPr="008419AB">
        <w:rPr>
          <w:rFonts w:eastAsia="Calibri" w:cs="Times New Roman"/>
          <w:szCs w:val="22"/>
          <w:lang w:val="en-US" w:eastAsia="en-US"/>
        </w:rPr>
        <w:t xml:space="preserve">. Kinetic results have shown no change in the power generated at the knee and ankle, but the maximum knee extensor moment during stance was reduced </w:t>
      </w:r>
      <w:r>
        <w:rPr>
          <w:rFonts w:eastAsia="Calibri" w:cs="Times New Roman"/>
          <w:szCs w:val="22"/>
          <w:lang w:val="en-US" w:eastAsia="en-US"/>
        </w:rPr>
        <w:t>after surgical</w:t>
      </w:r>
      <w:r w:rsidRPr="008419AB">
        <w:rPr>
          <w:rFonts w:eastAsia="Calibri" w:cs="Times New Roman"/>
          <w:szCs w:val="22"/>
          <w:lang w:val="en-US" w:eastAsia="en-US"/>
        </w:rPr>
        <w:t xml:space="preserve"> correction of crouch gait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"We treated 20 children (40 limbs) with diplegic cerebral palsy who could walk by multilevel soft tissue operative procedures including conversion of the biarticular semitendinosus and gastrocnemius to monoarticular muscles. The mean age at surgery was 11.5 years (5.6 to 17.0). All patients underwent clinical and radiological examination and three-dimensional instrumented gait analysis before and at a mean of 3.1 years (2.0 to 4.5) after surgery. The passive range of movement at the ankle, knee and hip showed improvement at follow-up. Kinematic parameters indicated a reduced pelvic range of movement and improvement of extension of the knee in single stance after operation (p &lt; 0.0001). However, post-operative back-kneeing was detected in five of the 40 limbs. The kinetic studies showed that the power of the hamstrings and plantar flexors of the ankle was maintained while the maximum knee extensor moment during stance was reduced. The elimination of knee flexor activity of semitendinosus and gastrocnemius combined with transfer of distal rectus femoris led to an improvement in gait as confirmed by gait analysis.", "author" : [ { "dropping-particle" : "", "family" : "Metaxiotis", "given" : "D", "non-dropping-particle" : "", "parse-names" : false, "suffix" : "" }, { "dropping-particle" : "", "family" : "Wolf", "given" : "S", "non-dropping-particle" : "", "parse-names" : false, "suffix" : "" }, { "dropping-particle" : "", "family" : "Doederlein", "given" : "L", "non-dropping-particle" : "", "parse-names" : false, "suffix" : "" } ], "container-title" : "The Journal of bone and joint surgery. British volume", "id" : "ITEM-1", "issued" : { "date-parts" : [ [ "2004" ] ] }, "page" : "102-109", "title" : "Conversion of biarticular to monoarticular muscles as a component of multilevel surgery in spastic diplegia.", "type" : "article-journal", "volume" : "86" }, "uris" : [ "http://www.mendeley.com/documents/?uuid=0e74a79e-87ca-4c78-b003-96865f0d8789" ] } ], "mendeley" : { "formattedCitation" : "[18]", "plainTextFormattedCitation" : "[18]", "previouslyFormattedCitation" : "[18]"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[18]</w:t>
      </w:r>
      <w:r w:rsidRPr="008419AB">
        <w:rPr>
          <w:rFonts w:eastAsia="Calibri" w:cs="Times New Roman"/>
          <w:szCs w:val="22"/>
          <w:lang w:val="en-US" w:eastAsia="en-US"/>
        </w:rPr>
        <w:fldChar w:fldCharType="end"/>
      </w:r>
      <w:r w:rsidRPr="008419AB">
        <w:rPr>
          <w:rFonts w:eastAsia="Calibri" w:cs="Times New Roman"/>
          <w:szCs w:val="22"/>
          <w:lang w:val="en-US" w:eastAsia="en-US"/>
        </w:rPr>
        <w:t>.</w:t>
      </w:r>
      <w:r w:rsidRPr="008419AB">
        <w:rPr>
          <w:rFonts w:eastAsia="Calibri" w:cs="Times New Roman"/>
          <w:szCs w:val="22"/>
          <w:vertAlign w:val="superscript"/>
          <w:lang w:val="en-US" w:eastAsia="en-US"/>
        </w:rPr>
        <w:t xml:space="preserve"> </w:t>
      </w:r>
      <w:r>
        <w:rPr>
          <w:rFonts w:eastAsia="Calibri" w:cs="Times New Roman"/>
          <w:szCs w:val="22"/>
          <w:lang w:val="en-US" w:eastAsia="en-US"/>
        </w:rPr>
        <w:t>Only m</w:t>
      </w:r>
      <w:r w:rsidRPr="008419AB">
        <w:rPr>
          <w:rFonts w:eastAsia="Calibri" w:cs="Times New Roman"/>
          <w:szCs w:val="22"/>
          <w:lang w:val="en-US" w:eastAsia="en-US"/>
        </w:rPr>
        <w:t>inimal changes were found in Gross Motor Function Measurement (GMFM)</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"Gait improvement surgery was performed on 25 ambulatory children with the diplegic type of cerebral palsy. Multiple soft tissue and bony procedures were performed (mean 8.2 procedures) according to criteria defined on the basis of physical examination and gait analysis. Relevant physical examination findings and kinematic and kinetic data in the sagittal plane were evaluated before surgery and at least 3 years after surgery. Physical examination showed a reduction in the ankle plantar-flexor power and in the range of hip flexion and ankle plantarflexion after surgery. Analysis of gait data showed significant improvements in the sagittal plane kinematics and the power generation at the hip and the ankle. At the knee joint there was maintenance of power of the flexor and extensor group of muscles on physical examination, with significant improvements in the kinematics after surgery. The authors conclude that well-selected surgery improves function of the spastic muscle. The importance of assessing clinical, kinematic, and kinetic data together for proper evaluation of gait is stressed.", "author" : [ { "dropping-particle" : "", "family" : "Saraph", "given" : "Vinay", "non-dropping-particle" : "", "parse-names" : false, "suffix" : "" }, { "dropping-particle" : "", "family" : "Zwick", "given" : "Ernst-Bernhard", "non-dropping-particle" : "", "parse-names" : false, "suffix" : "" }, { "dropping-particle" : "", "family" : "Zwick", "given" : "Gertrude", "non-dropping-particle" : "", "parse-names" : false, "suffix" : "" }, { "dropping-particle" : "", "family" : "Steinwender", "given" : "Christiane", "non-dropping-particle" : "", "parse-names" : false, "suffix" : "" }, { "dropping-particle" : "", "family" : "Steinwender", "given" : "Gerhardt", "non-dropping-particle" : "", "parse-names" : false, "suffix" : "" }, { "dropping-particle" : "", "family" : "Linhart", "given" : "Wolfgang", "non-dropping-particle" : "", "parse-names" : false, "suffix" : "" } ], "container-title" : "Journal of pediatric orthopedics", "id" : "ITEM-1", "issued" : { "date-parts" : [ [ "2002" ] ] }, "page" : "150-157", "title" : "Multilevel surgery in spastic diplegia: evaluation by physical examination and gait analysis in 25 children.", "type" : "article-journal", "volume" : "22" }, "uris" : [ "http://www.mendeley.com/documents/?uuid=9e756e9a-508e-4fe4-886b-d4f98f0b414d" ] }, { "id" : "ITEM-2", "itemData" : { "abstract" : "PURPOSE: This study evaluated multilevel surgery and rehabilitation with functional measures and health related quality of life (HRQOL) of children and youth with cerebral palsy (CP). In addition this study evaluated parent's satisfaction with care. METHOD: A prospective single-subject study with AB design and 2-year follow-up, included 11 children between 8 and 18 years old with CP, Gross Motor Function Classification System I-III. Visual analyses were used to present physical function with Physical Cost Index (PCI). Descriptive statistics were used to present number of children with a clinically important change in Gross Motor Function Measure (GMFM), self-reported walking ability, and HRQOL with child health questionnaire (CHQ). RESULTS: PCI showed a trend of lower energy cost during gait in six children and GMFM was unchanged for 10 children and improved for one child. Walking ability was improved in 10 children. Gait distance increased in all 11. Both physical and psychosocial dimensions of CHQ improved in six of nine (two missing data). Expectations of outcomes were fulfilled in seven and partly fulfilled in four. Satisfaction with care was fulfilled in 10 of 11. CONCLUSION: Self-reported walking ability improved after multilevel surgery and intensive rehabilitation. This result was partly supported by lower energy cost and improved HRQOL. Expectations and satisfaction were fulfilled for the majority of children.", "author" : [ { "dropping-particle" : "", "family" : "Akerstedt", "given" : "Anita", "non-dropping-particle" : "", "parse-names" : false, "suffix" : "" }, { "dropping-particle" : "", "family" : "Risto", "given" : "Olof", "non-dropping-particle" : "", "parse-names" : false, "suffix" : "" }, { "dropping-particle" : "", "family" : "Odman", "given" : "Pia", "non-dropping-particle" : "", "parse-names" : false, "suffix" : "" }, { "dropping-particle" : "", "family" : "Oberg", "given" : "Birgitta", "non-dropping-particle" : "", "parse-names" : false, "suffix" : "" } ], "container-title" : "Disability and rehabilitation", "id" : "ITEM-2", "issue" : "7", "issued" : { "date-parts" : [ [ "2010" ] ] }, "page" : "530-539", "title" : "Evaluation of single event multilevel surgery and rehabilitation in children and youth with cerebral palsy--A 2-year follow-up study.", "type" : "article-journal", "volume" : "32" }, "uris" : [ "http://www.mendeley.com/documents/?uuid=a26030d0-ef5a-4693-b872-b3927184d2bd" ] }, { "id" : "ITEM-3", "itemData" : { "abstract" : "Single-event multilevel surgery is considered the standard of care to improve gait and functioning of children with spastic diplegic cerebral palsy. However, the evidence base is limited. This pilot study is the first randomized controlled trial of single-event multilevel surgery, to our knowledge.", "author" : [ { "dropping-particle" : "", "family" : "Thomason", "given" : "Pamela", "non-dropping-particle" : "", "parse-names" : false, "suffix" : "" }, { "dropping-particle" : "", "family" : "Baker", "given" : "Richard", "non-dropping-particle" : "", "parse-names" : false, "suffix" : "" }, { "dropping-particle" : "", "family" : "Dodd", "given" : "Karen", "non-dropping-particle" : "", "parse-names" : false, "suffix" : "" }, { "dropping-particle" : "", "family" : "Taylor", "given" : "Nicholas", "non-dropping-particle" : "", "parse-names" : false, "suffix" : "" }, { "dropping-particle" : "", "family" : "Selber", "given" : "Paulo", "non-dropping-particle" : "", "parse-names" : false, "suffix" : "" }, { "dropping-particle" : "", "family" : "Wolfe", "given" : "Rory", "non-dropping-particle" : "", "parse-names" : false, "suffix" : "" }, { "dropping-particle" : "", "family" : "Graham", "given" : "H Kerr", "non-dropping-particle" : "", "parse-names" : false, "suffix" : "" } ], "container-title" : "The Journal of bone and joint surgery. American volume", "id" : "ITEM-3", "issued" : { "date-parts" : [ [ "2011" ] ] }, "page" : "451-460", "title" : "Single-event multilevel surgery in children with spastic diplegia: a pilot randomized controlled trial.", "type" : "article-journal", "volume" : "93" }, "uris" : [ "http://www.mendeley.com/documents/?uuid=e17ad217-e1fc-4add-ac35-3990f9d4055e" ] } ], "mendeley" : { "formattedCitation" : "[20,22,23]", "plainTextFormattedCitation" : "[20,22,23]", "previouslyFormattedCitation" : "[20,22,23]" }, "properties" : { "noteIndex" : 0 }, "schema" : "https://github.com/citation-style-language/schema/raw/master/csl-citation.json" }</w:instrText>
      </w:r>
      <w:r>
        <w:rPr>
          <w:rFonts w:eastAsia="Calibri" w:cs="Times New Roman"/>
          <w:szCs w:val="22"/>
          <w:lang w:val="en-US" w:eastAsia="en-US"/>
        </w:rPr>
        <w:fldChar w:fldCharType="separate"/>
      </w:r>
      <w:r w:rsidRPr="00883F61">
        <w:rPr>
          <w:rFonts w:eastAsia="Calibri" w:cs="Times New Roman"/>
          <w:noProof/>
          <w:szCs w:val="22"/>
          <w:lang w:val="en-US" w:eastAsia="en-US"/>
        </w:rPr>
        <w:t>[20,22,23]</w:t>
      </w:r>
      <w:r>
        <w:rPr>
          <w:rFonts w:eastAsia="Calibri" w:cs="Times New Roman"/>
          <w:szCs w:val="22"/>
          <w:lang w:val="en-US" w:eastAsia="en-US"/>
        </w:rPr>
        <w:fldChar w:fldCharType="end"/>
      </w:r>
      <w:r w:rsidRPr="008419AB">
        <w:rPr>
          <w:rFonts w:eastAsia="Calibri" w:cs="Times New Roman"/>
          <w:szCs w:val="22"/>
          <w:lang w:val="en-US" w:eastAsia="en-US"/>
        </w:rPr>
        <w:t>.</w:t>
      </w:r>
    </w:p>
    <w:p w14:paraId="6E214D7E" w14:textId="77777777" w:rsidR="00E02B30" w:rsidRPr="008419AB"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t>Finally, on participation level, improvements were found in Healt</w:t>
      </w:r>
      <w:r>
        <w:rPr>
          <w:rFonts w:eastAsia="Calibri" w:cs="Times New Roman"/>
          <w:szCs w:val="22"/>
          <w:lang w:val="en-US" w:eastAsia="en-US"/>
        </w:rPr>
        <w:t>h Related Quality of Live (HRQOL)</w:t>
      </w:r>
      <w:r w:rsidRPr="008419AB">
        <w:rPr>
          <w:rFonts w:eastAsia="Calibri" w:cs="Times New Roman"/>
          <w:szCs w:val="22"/>
          <w:lang w:val="en-US" w:eastAsia="en-US"/>
        </w:rPr>
        <w:t xml:space="preserve"> as measured by </w:t>
      </w:r>
      <w:r>
        <w:rPr>
          <w:rFonts w:eastAsia="Calibri" w:cs="Times New Roman"/>
          <w:szCs w:val="22"/>
          <w:lang w:val="en-US" w:eastAsia="en-US"/>
        </w:rPr>
        <w:t xml:space="preserve">the </w:t>
      </w:r>
      <w:r w:rsidRPr="008419AB">
        <w:rPr>
          <w:rFonts w:eastAsia="Calibri" w:cs="Times New Roman"/>
          <w:szCs w:val="22"/>
          <w:lang w:val="en-US" w:eastAsia="en-US"/>
        </w:rPr>
        <w:t>Child Health Questionnaire</w:t>
      </w:r>
      <w:r>
        <w:rPr>
          <w:rFonts w:eastAsia="Calibri" w:cs="Times New Roman"/>
          <w:szCs w:val="22"/>
          <w:lang w:val="en-US" w:eastAsia="en-US"/>
        </w:rPr>
        <w:t xml:space="preserve"> </w:t>
      </w:r>
      <w:r w:rsidRPr="008419AB">
        <w:rPr>
          <w:rFonts w:eastAsia="Calibri" w:cs="Times New Roman"/>
          <w:szCs w:val="22"/>
          <w:lang w:val="en-US" w:eastAsia="en-US"/>
        </w:rPr>
        <w:t xml:space="preserve">and </w:t>
      </w:r>
      <w:r>
        <w:rPr>
          <w:rFonts w:eastAsia="Calibri" w:cs="Times New Roman"/>
          <w:szCs w:val="22"/>
          <w:lang w:val="en-US" w:eastAsia="en-US"/>
        </w:rPr>
        <w:t xml:space="preserve">by the </w:t>
      </w:r>
      <w:r w:rsidRPr="008419AB">
        <w:rPr>
          <w:rFonts w:eastAsia="Calibri" w:cs="Times New Roman"/>
          <w:szCs w:val="22"/>
          <w:lang w:val="en-US" w:eastAsia="en-US"/>
        </w:rPr>
        <w:t>Pediatric Quality of Live Inventory</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"Lower-extremity musculotendinous surgery is standard treatment for ambulatory children with deformities such as joint contractures and bony torsions resulting from cerebral palsy (CP). However, evidence of efficacy is limited to retrospective, uncontrolled studies with small sample sizes focusing on gait variables and clinical examination measures. The aim of this study was to prospectively examine whether lower-extremity musculotendinous surgery in ambulatory children with CP improves impairments and function measured by gait and clinical outcome tools beyond changes found in a concurrent matched control group.", "author" : [ { "dropping-particle" : "", "family" : "Gorton", "given" : "George Edwin", "non-dropping-particle" : "", "parse-names" : false, "suffix" : "" }, { "dropping-particle" : "", "family" : "Abel", "given" : "Mark F", "non-dropping-particle" : "", "parse-names" : false, "suffix" : "" }, { "dropping-particle" : "", "family" : "Oeffinger", "given" : "Donna J", "non-dropping-particle" : "", "parse-names" : false, "suffix" : "" }, { "dropping-particle" : "", "family" : "Bagley", "given" : "Anita", "non-dropping-particle" : "", "parse-names" : false, "suffix" : "" }, { "dropping-particle" : "", "family" : "Rogers", "given" : "Sarah P", "non-dropping-particle" : "", "parse-names" : false, "suffix" : "" }, { "dropping-particle" : "", "family" : "Damiano", "given" : "Diane", "non-dropping-particle" : "", "parse-names" : false, "suffix" : "" }, { "dropping-particle" : "", "family" : "Romness", "given" : "Mark", "non-dropping-particle" : "", "parse-names" : false, "suffix" : "" }, { "dropping-particle" : "", "family" : "Tylkowski", "given" : "Chester", "non-dropping-particle" : "", "parse-names" : false, "suffix" : "" } ], "container-title" : "Journal of pediatric orthopedics", "id" : "ITEM-1", "issue" : "8", "issued" : { "date-parts" : [ [ "2009" ] ] }, "page" : "903-909", "title" : "A prospective cohort study of the effects of lower extremity orthopaedic surgery on outcome measures in ambulatory children with cerebral palsy.", "type" : "article-journal", "volume" : "29" }, "uris" : [ "http://www.mendeley.com/documents/?uuid=a7010274-6993-4563-b64e-46a41749ae31" ] }, { "id" : "ITEM-2", "itemData" : { "abstract" : "PURPOSE: This study evaluated multilevel surgery and rehabilitation with functional measures and health related quality of life (HRQOL) of children and youth with cerebral palsy (CP). In addition this study evaluated parent's satisfaction with care. METHOD: A prospective single-subject study with AB design and 2-year follow-up, included 11 children between 8 and 18 years old with CP, Gross Motor Function Classification System I-III. Visual analyses were used to present physical function with Physical Cost Index (PCI). Descriptive statistics were used to present number of children with a clinically important change in Gross Motor Function Measure (GMFM), self-reported walking ability, and HRQOL with child health questionnaire (CHQ). RESULTS: PCI showed a trend of lower energy cost during gait in six children and GMFM was unchanged for 10 children and improved for one child. Walking ability was improved in 10 children. Gait distance increased in all 11. Both physical and psychosocial dimensions of CHQ improved in six of nine (two missing data). Expectations of outcomes were fulfilled in seven and partly fulfilled in four. Satisfaction with care was fulfilled in 10 of 11. CONCLUSION: Self-reported walking ability improved after multilevel surgery and intensive rehabilitation. This result was partly supported by lower energy cost and improved HRQOL. Expectations and satisfaction were fulfilled for the majority of children.", "author" : [ { "dropping-particle" : "", "family" : "Akerstedt", "given" : "Anita", "non-dropping-particle" : "", "parse-names" : false, "suffix" : "" }, { "dropping-particle" : "", "family" : "Risto", "given" : "Olof", "non-dropping-particle" : "", "parse-names" : false, "suffix" : "" }, { "dropping-particle" : "", "family" : "Odman", "given" : "Pia", "non-dropping-particle" : "", "parse-names" : false, "suffix" : "" }, { "dropping-particle" : "", "family" : "Oberg", "given" : "Birgitta", "non-dropping-particle" : "", "parse-names" : false, "suffix" : "" } ], "container-title" : "Disability and rehabilitation", "id" : "ITEM-2", "issue" : "7", "issued" : { "date-parts" : [ [ "2010" ] ] }, "page" : "530-539", "title" : "Evaluation of single event multilevel surgery and rehabilitation in children and youth with cerebral palsy--A 2-year follow-up study.", "type" : "article-journal", "volume" : "32" }, "uris" : [ "http://www.mendeley.com/documents/?uuid=a26030d0-ef5a-4693-b872-b3927184d2bd" ] }, { "id" : "ITEM-3", "itemData" : { "abstract" : "Single-event multilevel surgery is considered the standard of care to improve gait and functioning of children with spastic diplegic cerebral palsy. However, the evidence base is limited. This pilot study is the first randomized controlled trial of single-event multilevel surgery, to our knowledge.", "author" : [ { "dropping-particle" : "", "family" : "Thomason", "given" : "Pamela", "non-dropping-particle" : "", "parse-names" : false, "suffix" : "" }, { "dropping-particle" : "", "family" : "Baker", "given" : "Richard", "non-dropping-particle" : "", "parse-names" : false, "suffix" : "" }, { "dropping-particle" : "", "family" : "Dodd", "given" : "Karen", "non-dropping-particle" : "", "parse-names" : false, "suffix" : "" }, { "dropping-particle" : "", "family" : "Taylor", "given" : "Nicholas", "non-dropping-particle" : "", "parse-names" : false, "suffix" : "" }, { "dropping-particle" : "", "family" : "Selber", "given" : "Paulo", "non-dropping-particle" : "", "parse-names" : false, "suffix" : "" }, { "dropping-particle" : "", "family" : "Wolfe", "given" : "Rory", "non-dropping-particle" : "", "parse-names" : false, "suffix" : "" }, { "dropping-particle" : "", "family" : "Graham", "given" : "H Kerr", "non-dropping-particle" : "", "parse-names" : false, "suffix" : "" } ], "container-title" : "The Journal of bone and joint surgery. American volume", "id" : "ITEM-3", "issued" : { "date-parts" : [ [ "2011" ] ] }, "page" : "451-460", "title" : "Single-event multilevel surgery in children with spastic diplegia: a pilot randomized controlled trial.", "type" : "article-journal", "volume" : "93" }, "uris" : [ "http://www.mendeley.com/documents/?uuid=e17ad217-e1fc-4add-ac35-3990f9d4055e" ] } ], "mendeley" : { "formattedCitation" : "[21\u201323]", "plainTextFormattedCitation" : "[21\u201323]", "previouslyFormattedCitation" : "[21\u201323]" }, "properties" : { "noteIndex" : 0 }, "schema" : "https://github.com/citation-style-language/schema/raw/master/csl-citation.json" }</w:instrText>
      </w:r>
      <w:r>
        <w:rPr>
          <w:rFonts w:eastAsia="Calibri" w:cs="Times New Roman"/>
          <w:szCs w:val="22"/>
          <w:lang w:val="en-US" w:eastAsia="en-US"/>
        </w:rPr>
        <w:fldChar w:fldCharType="separate"/>
      </w:r>
      <w:r w:rsidRPr="00867A6D">
        <w:rPr>
          <w:rFonts w:eastAsia="Calibri" w:cs="Times New Roman"/>
          <w:noProof/>
          <w:szCs w:val="22"/>
          <w:lang w:val="en-US" w:eastAsia="en-US"/>
        </w:rPr>
        <w:t>[21–23]</w:t>
      </w:r>
      <w:r>
        <w:rPr>
          <w:rFonts w:eastAsia="Calibri" w:cs="Times New Roman"/>
          <w:szCs w:val="22"/>
          <w:lang w:val="en-US" w:eastAsia="en-US"/>
        </w:rPr>
        <w:fldChar w:fldCharType="end"/>
      </w:r>
      <w:r w:rsidRPr="008419AB">
        <w:rPr>
          <w:rFonts w:eastAsia="Calibri" w:cs="Times New Roman"/>
          <w:szCs w:val="22"/>
          <w:lang w:val="en-US" w:eastAsia="en-US"/>
        </w:rPr>
        <w:t xml:space="preserve">  and in the use of walking aids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"Outcome in 24 ambulant children with spastic diplegic cerebral palsy, in whom multilevel surgical intervention was recommended following gait analysis, is reviewed. Twelve children had surgical intervention (treatment group; eight males, four females; mean age 9 years 10 months, SD 3 years 4 months) while the other 12 did not (control group; five males, seven females; mean age 10 years 1 month, SD 2 years 11 months). All children had interval three-dimensional gait analyses (mean time between analyses: control group, 14.1 months; treatment group, 17.9 months). At follow-up the control group (mean age 11 years 9 months) showed a significant increase in minimum hip and knee flexion in stance which was not related to age, the interval between analyses, changes in the passive joint range of motion, nor changes in anthropometric measurements. The treatment group (mean age at follow-up 11 years 3 months) showed a significant improvement in minimum knee flexion and in ankle dorsiflexion in stance. Parents of nine children said their child's walking distance had increased following intervention. Of five children using posterior walkers preoperatively, two continued to use them postoperatively; two were using crutches or sticks and the remaining child walked independently. Two children who walked independently preoperatively used sticks postoperatively for community ambulation. The deterioration seen in the kinematics of the control group suggests that previous outcome studies comparing postoperative gait with preoperative gait have underestimated the immediate effects of surgery. It also raises concerns about the long-term effects of surgical intervention.", "author" : [ { "dropping-particle" : "", "family" : "Gough", "given" : "Martin", "non-dropping-particle" : "", "parse-names" : false, "suffix" : "" }, { "dropping-particle" : "", "family" : "Eve", "given" : "Linda C", "non-dropping-particle" : "", "parse-names" : false, "suffix" : "" }, { "dropping-particle" : "", "family" : "Robinson", "given" : "Richard O", "non-dropping-particle" : "", "parse-names" : false, "suffix" : "" }, { "dropping-particle" : "", "family" : "Shortland", "given" : "Adam P", "non-dropping-particle" : "", "parse-names" : false, "suffix" : "" } ], "container-title" : "Developmental medicine and child neurology", "id" : "ITEM-1", "issued" : { "date-parts" : [ [ "2004" ] ] }, "page" : "91-97", "title" : "Short-term outcome of multilevel surgical intervention in spastic diplegic cerebral palsy compared with the natural history.", "type" : "article-journal", "volume" : "46" }, "uris" : [ "http://www.mendeley.com/documents/?uuid=e7ae3eb4-126b-4c00-b014-62a06c766d69" ] } ], "mendeley" : { "formattedCitation" : "[24]", "plainTextFormattedCitation" : "[24]", "previouslyFormattedCitation" : "[24]"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[24]</w:t>
      </w:r>
      <w:r w:rsidRPr="008419AB">
        <w:rPr>
          <w:rFonts w:eastAsia="Calibri" w:cs="Times New Roman"/>
          <w:szCs w:val="22"/>
          <w:lang w:val="en-US" w:eastAsia="en-US"/>
        </w:rPr>
        <w:fldChar w:fldCharType="end"/>
      </w:r>
      <w:r w:rsidRPr="008419AB">
        <w:rPr>
          <w:rFonts w:eastAsia="Calibri" w:cs="Times New Roman"/>
          <w:szCs w:val="22"/>
          <w:lang w:val="en-US" w:eastAsia="en-US"/>
        </w:rPr>
        <w:t>.</w:t>
      </w:r>
    </w:p>
    <w:p w14:paraId="0EA6DF40" w14:textId="77777777" w:rsidR="00E02B30" w:rsidRPr="008419AB"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lastRenderedPageBreak/>
        <w:t xml:space="preserve">Despite the </w:t>
      </w:r>
      <w:r>
        <w:rPr>
          <w:rFonts w:eastAsia="Calibri" w:cs="Times New Roman"/>
          <w:szCs w:val="22"/>
          <w:lang w:val="en-US" w:eastAsia="en-US"/>
        </w:rPr>
        <w:t>wealth</w:t>
      </w:r>
      <w:r w:rsidRPr="008419AB">
        <w:rPr>
          <w:rFonts w:eastAsia="Calibri" w:cs="Times New Roman"/>
          <w:szCs w:val="22"/>
          <w:lang w:val="en-US" w:eastAsia="en-US"/>
        </w:rPr>
        <w:t xml:space="preserve"> of information on the short-term outcome of SEMLS, little is known about their long-term effects (&gt; three years follow-up).  While sever</w:t>
      </w:r>
      <w:r>
        <w:rPr>
          <w:rFonts w:eastAsia="Calibri" w:cs="Times New Roman"/>
          <w:szCs w:val="22"/>
          <w:lang w:val="en-US" w:eastAsia="en-US"/>
        </w:rPr>
        <w:t>al studies have reported follow-</w:t>
      </w:r>
      <w:r w:rsidRPr="008419AB">
        <w:rPr>
          <w:rFonts w:eastAsia="Calibri" w:cs="Times New Roman"/>
          <w:szCs w:val="22"/>
          <w:lang w:val="en-US" w:eastAsia="en-US"/>
        </w:rPr>
        <w:t>up three to five years post-surgery</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"BACKGROUND: Severe crouch gait in patients with spastic diplegia causes excessive loading of the patellofemoral joint and may result in anterior knee pain, gait deterioration, and progressive loss of function. Multilevel orthopaedic surgery has been used to correct severe crouch gait, but no cohort studies or long-term results have been reported, to our knowledge. METHODS: In order to be eligible for the present retrospective cohort study, a patient had to have a severe crouch gait, as defined by sagittal plane kinematic data, that had been treated with multilevel orthopaedic surgery as well as a complete clinical, radiographic, and instrumented gait analysis assessment. The surgical intervention consisted of lengthening of contracted muscle-tendon units and correction of osseous deformities, followed by the use of ground-reaction ankle-foot orthoses until stable biomechanical realignment of the lower limbs during gait was achieved. Outcome at one and five years after surgery was determined with use of selected sagittal plane kinematic and kinetic parameters and valid and reliable scales of functional mobility. Knee pain was recorded with use of a Likert scale, and all patients had radiographic examination of the knees. RESULTS: Ten subjects with severe crouch gait and a mean age of 12.0 years at the time of surgery were studied. After surgery, the patients walked in a more extended posture, with increased extension at the hip and knee and reduced dorsiflexion at the ankle. Pelvic tilt increased, and normalized walking speed was unaltered. Knee pain was diminished, and patellar fractures and avulsion injuries healed. Improvements in functional mobility were found, and, at the time of the five-year follow-up, fewer patients required the use of wheelchairs or crutches in the community than had been the case prior to intervention. CONCLUSIONS: Multilevel orthopaedic surgery for older children and adolescents with severe crouch gait is effective for relieving stress on the knee extensor mechanism, reducing knee pain, and improving function and independence.", "author" : [ { "dropping-particle" : "", "family" : "Rodda", "given" : "J M", "non-dropping-particle" : "", "parse-names" : false, "suffix" : "" }, { "dropping-particle" : "", "family" : "Graham", "given" : "H K", "non-dropping-particle" : "", "parse-names" : false, "suffix" : "" }, { "dropping-particle" : "", "family" : "Nattrass", "given" : "G R", "non-dropping-particle" : "", "parse-names" : false, "suffix" : "" }, { "dropping-particle" : "", "family" : "Galea", "given" : "M P", "non-dropping-particle" : "", "parse-names" : false, "suffix" : "" }, { "dropping-particle" : "", "family" : "Baker", "given" : "R", "non-dropping-particle" : "", "parse-names" : false, "suffix" : "" }, { "dropping-particle" : "", "family" : "Wolfe", "given" : "R", "non-dropping-particle" : "", "parse-names" : false, "suffix" : "" } ], "container-title" : "The Journal of bone and joint surgery. American volume", "id" : "ITEM-1", "issued" : { "date-parts" : [ [ "2006" ] ] }, "page" : "2653-2664", "title" : "Correction of severe crouch gait in patients with spastic diplegia with use of multilevel orthopaedic surgery.", "type" : "article-journal", "volume" : "88" }, "uris" : [ "http://www.mendeley.com/documents/?uuid=edf8d27b-2ee4-4b45-b483-5b3bdfba7e97" ] }, { "id" : "ITEM-2", "itemData" : { "abstract" : "Factors associated with longer-term outcomes of multilevel orthopaedic surgery in ambulatory children with cerebral palsy using a multivariate approach were evaluated using a retrospective pretest-posttest design. The population included 20 ambulatory children with spastic diplegia who had undergone multilevel orthopaedic surgery with a minimum of 4-year interval between a preoperative and a postoperative gait assessment. Multiple regression analysis was used to identify factors associated with postoperative velocity and mean knee flexion in stance. Independent variables included in the regression models were velocity, mean knee flexion in stance, age at preoperative evaluation, Gross Motor Function Classification System level, use of ankle-foot orthoses, leg length, age-adjusted body mass index, number of surgical procedures, and range of motion of hip and knee. Children who demonstrated faster postoperative gait velocity 4 years or more after surgery were younger at the time of initial evaluation, had undergone fewer surgical procedures, had faster preoperative gait velocity, used ankle-foot orthoses postoperatively, and had increased hip extension range of motion postoperatively (R = 0.55). Children who demonstrated greater knee flexion in stance 4 years or more after surgery had undergone more surgical procedures, greater postoperative popliteal angle, and less knee extension range of motion (R = 0.73). This study demonstrates the usefulness of a multivariate approach toward understanding and predicting outcomes. The results of this study will provide clinicians and researchers more information about those factors associated with maintained improvements in the longer term and may be useful for treatment planning.", "author" : [ { "dropping-particle" : "", "family" : "Gannotti", "given" : "Mary E", "non-dropping-particle" : "", "parse-names" : false, "suffix" : "" }, { "dropping-particle" : "", "family" : "Gorton", "given" : "George E", "non-dropping-particle" : "", "parse-names" : false, "suffix" : "" }, { "dropping-particle" : "", "family" : "Nahorniak", "given" : "Maureen T", "non-dropping-particle" : "", "parse-names" : false, "suffix" : "" }, { "dropping-particle" : "", "family" : "Masso", "given" : "Peter D", "non-dropping-particle" : "", "parse-names" : false, "suffix" : "" }, { "dropping-particle" : "", "family" : "Landry", "given" : "Bradford", "non-dropping-particle" : "", "parse-names" : false, "suffix" : "" }, { "dropping-particle" : "", "family" : "Lyman", "given" : "Jeffrey", "non-dropping-particle" : "", "parse-names" : false, "suffix" : "" }, { "dropping-particle" : "", "family" : "Sawicki", "given" : "Rebecca", "non-dropping-particle" : "", "parse-names" : false, "suffix" : "" }, { "dropping-particle" : "", "family" : "Hagedorn", "given" : "Kristin", "non-dropping-particle" : "", "parse-names" : false, "suffix" : "" }, { "dropping-particle" : "", "family" : "Ross", "given" : "Ellen", "non-dropping-particle" : "", "parse-names" : false, "suffix" : "" }, { "dropping-particle" : "", "family" : "Warner", "given" : "Jennifer", "non-dropping-particle" : "", "parse-names" : false, "suffix" : "" } ], "container-title" : "Journal of pediatric orthopedics", "id" : "ITEM-2", "issue" : "4", "issued" : { "date-parts" : [ [ "2007" ] ] }, "page" : "451-456", "title" : "Postoperative gait velocity and mean knee flexion in stance of ambulatory children with spastic diplegia four years or more after multilevel surgery.", "type" : "article-journal", "volume" : "27" }, "uris" : [ "http://www.mendeley.com/documents/?uuid=315ba372-246a-4bb9-9f8b-7c868d4fc30b" ] }, { "id" : "ITEM-3", "itemData" : { "abstract" : "This study evaluates the outcomes of multilevel soft tissue surgery in 31 ambulatory children (n = 39 sides) with cerebral palsy. All children had undergone rectus femoris transfer, hamstring lengthening, and gastrosoleus lengthening for the purpose of correcting sagittal plane abnormalities. There were no simultaneous bony surgeries. Preoperative and postoperative evaluation consisted of clinical assessment and gait analysis, including 3-dimensional kinematics and kinetics. Results demonstrated improvements in knee and ankle function. At the knee, there was a decrease in mean flexion at initial contact (from 31 degrees [SD, +/-8 degrees] to 21 degrees [SD, +/-10 degrees]) and in stance (mean stance, 22 degrees [SD, +/-12 degrees] to 16 degrees [SD, +/-11 degrees]) associated with a decreased mean internal extensor moment in stance (from 0.09 Nm/kg [SD, +/-0.24 Nm/kg] to -0.03 [SD, +/-0.22 Nm/kg]). At the same time, knee flexion was preserved in swing and occurred earlier. At the ankle, mean dorsiflexion improved at the time of examination (from 8 degrees [SD, +/-9 degrees] to 14 degrees [SD, +/-11 degrees] with the knee in extension), in terminal stance (peak from 7 degrees [SD, +/-9 degrees] to 12 degrees [SD, +/-8 degrees]), and in swing. Peak ankle power generation in stance was preserved and shifted later in stance toward push-off, with no functional weakening of the ankle plantar flexors. A longer-term assessment of a subset of patients with a second postoperative gait analysis at a mean of 4 years after surgery showed that gains measured at 1 year were maintained during the longer term. A subgroup demonstrating a jump knee gait pattern (as defined by excessive knee flexion at initial contact followed by rapid knee extension to full knee extension in midstance) had a tendency to go into knee hyperextension in stance with resultant net knee flexor moment after surgery. This raises concern about the indications for hamstring lengthening in this patient group.", "author" : [ { "dropping-particle" : "", "family" : "Adolfsen", "given" : "Stephen E", "non-dropping-particle" : "", "parse-names" : false, "suffix" : "" }, { "dropping-particle" : "", "family" : "Ounpuu", "given" : "Sylvia", "non-dropping-particle" : "", "parse-names" : false, "suffix" : "" }, { "dropping-particle" : "", "family" : "Bell", "given" : "Katharine J", "non-dropping-particle" : "", "parse-names" : false, "suffix" : "" }, { "dropping-particle" : "", "family" : "DeLuca", "given" : "Peter a", "non-dropping-particle" : "", "parse-names" : false, "suffix" : "" } ], "container-title" : "Journal of pediatric orthopedics", "id" : "ITEM-3", "issue" : "6", "issued" : { "date-parts" : [ [ "2007" ] ] }, "page" : "658-667", "title" : "Kinematic and kinetic outcomes after identical multilevel soft tissue surgery in children with cerebral palsy.", "type" : "article-journal", "volume" : "27" }, "uris" : [ "http://www.mendeley.com/documents/?uuid=84b2c52c-8ff1-458f-a98e-4be85f0d0049" ] }, { "id" : "ITEM-4", "itemData" : { "abstract" : "Objective: To examine changes in mobility longitudinally following single-event multilevel surgery in ambulant children with cerebral palsy, focusing on those using assistive devices for functional mobility because they are most at risk of declining gross motor function. Participants: A consecutive sample of 156 ambulant children with cerebral palsy (99 males), 96 without devices (Gross Motor Function Classification System (GMFCS) I/II), 60 with devices (GMFCS III) who had single-event multilevel surgery at mean age 11 years 1 month. Methods: GMFCS and Functional Mobility Scale (FMS) ratings were recorded pre-operatively and at 2 and 5 years post-operatively. A proportional odds logistic regression model was used for the GMFCS III group to predict the probability of assistive device requirements post-operatively conditional on baseline FMS. Results: Children in GMFCS III showed more change than those in I/II at home and school. Those in GMFCS III using crutches pre-operatively at home and school were more likely to continue using them at 5 years, whereas those using walkers were more likely to change to crutches or wheelchairs. Wheelchairs were most commonly used in the community before and after single-event multilevel surgery. Conclusion: Mobility was generally stable or improved at 5 years after single-event multilevel surgery; however, a small number of children used more assistance to facilitate mobility.", "author" : [ { "dropping-particle" : "", "family" : "Harvey", "given" : "Adrienne", "non-dropping-particle" : "", "parse-names" : false, "suffix" : "" }, { "dropping-particle" : "", "family" : "Rosenbaum", "given" : "Peter", "non-dropping-particle" : "", "parse-names" : false, "suffix" : "" }, { "dropping-particle" : "", "family" : "Hanna", "given" : "Steven", "non-dropping-particle" : "", "parse-names" : false, "suffix" : "" }, { "dropping-particle" : "", "family" : "Yousefi-Nooraie", "given" : "Reza", "non-dropping-particle" : "", "parse-names" : false, "suffix" : "" }, { "dropping-particle" : "", "family" : "Graham", "given" : "H. Kerr", "non-dropping-particle" : "", "parse-names" : false, "suffix" : "" } ], "container-title" : "Journal of Rehabilitation Medicine", "id" : "ITEM-4", "issued" : { "date-parts" : [ [ "2012" ] ] }, "page" : "137-143", "title" : "Longitudinal changes in mobility following single-event multilevel surgery in ambulatory children with cerebral palsy", "type" : "article-journal", "volume" : "44" }, "uris" : [ "http://www.mendeley.com/documents/?uuid=0ab0b231-bb87-4e75-a09a-5439d9a65765" ] }, { "id" : "ITEM-5", "itemData" : { "abstract" : "Gait improvement surgery in ambulatory children with cerebral palsy performed as single-event multilevel surgery is today a well-established modality of treatment, but follow-up studies are lacking. Preoperative and follow-up gait analysis data of 32 diplegic children who underwent single-event multilevel surgery for gait improvement between 1995 and 1998 were evaluated retrospectively. Relevant sagittal plane kinematic parameters of the hip, knee, and ankle joint and time-distance parameters were considered for outcome measures in this study. Postoperative gait analysis was performed three times in all the cases: after discontinuation of the dynamic AFOs (mean 1.0 +/- 0.3 years), after discontinuation of the night splints (mean 2.3 +/- 0.7 years), and at least 1.5 years after discontinuation of physiotherapy and splints (mean 4.4 +/- 1.1 years). The aim of the study was to ascertain whether the improvements in gait function were maintained over these examinations. The authors found that gait function continued to change over 1, 2, and 3 years of follow-up. A general decrease in gait function was measurable in this collective between the first postoperative and the second postoperative evaluations. The results indicate that evaluation of gait improvement surgery in cerebral palsy performed at a minimum of 3 years after surgery would give the most predictive outcome of treatment.", "author" : [ { "dropping-particle" : "", "family" : "Saraph", "given" : "Vinay", "non-dropping-particle" : "", "parse-names" : false, "suffix" : "" }, { "dropping-particle" : "", "family" : "Zwick", "given" : "Ernst-Bernhard", "non-dropping-particle" : "", "parse-names" : false, "suffix" : "" }, { "dropping-particle" : "", "family" : "Auner", "given" : "Claudia", "non-dropping-particle" : "", "parse-names" : false, "suffix" : "" }, { "dropping-particle" : "", "family" : "Schneider", "given" : "Frank", "non-dropping-particle" : "", "parse-names" : false, "suffix" : "" }, { "dropping-particle" : "", "family" : "Steinwender", "given" : "Gerhardt", "non-dropping-particle" : "", "parse-names" : false, "suffix" : "" }, { "dropping-particle" : "", "family" : "Linhart", "given" : "Wolfgang", "non-dropping-particle" : "", "parse-names" : false, "suffix" : "" } ], "container-title" : "Journal of pediatric orthopedics", "id" : "ITEM-5", "issue" : "3", "issued" : { "date-parts" : [ [ "2005" ] ] }, "page" : "263-267", "title" : "Gait improvement surgery in diplegic children: how long do the improvements last?", "type" : "article-journal", "volume" : "25" }, "uris" : [ "http://www.mendeley.com/documents/?uuid=1e05d7a8-3530-453b-9d7b-48a1fcf79d14" ] }, { "id" : "ITEM-6", "itemData" : { "abstract" : "Background: Single Event Multilevel Surgery (SEMLS) is considered the standard of care to improve gait and function in children with bilateral spastic cerebral palsy (BSCP). We have demonstrated in a randomized controlled trial (RCT) of SEMLS, that gait was improved at 12 months after surgery and gross motor function at 24 months after surgery. The question addressed in this study, was to determine if improvements in gait and function, would be maintained at 5 year follow-up. Methods: Nineteen children with BSCP, GMFCS levels II (14 children) and III (5 children), mean age 9.7 years (range 7.7-12.2 years) participated in a prospective cohort study following participation in a RCT, with follow-up to 5 years. Outcome measures were Gait Profile Score (GPS), Gillette Gait Index (GGI), Gait Deviation Index (GDI), Gross Motor Function Measure (GMFM66) and Functional Mobility Scale (FMS). Results: Eighteen children have completed follow-up, with interval analysis at 1, 2 and 5 years post SEMLS. One child was excluded because of neurological deterioration and his diagnosis was revised to Hereditary Spastic Paraparesis (HSP). GPS improved by 5.29?? and GMFM66 by 3.3% at 5 years post SEMLS. Differences between outcome measures at 1 versus 5 years and 2 versus 5 years (except GMFM66) were not significant, indicating that improvements in gait and gross motor function were stable over time. Conclusions: SEMLS results in clinically and statistically significant improvements in gait and function, in children with BSCP, which were maintained at 5 years after surgery. ?? 2012.", "author" : [ { "dropping-particle" : "", "family" : "Thomason", "given" : "Pam", "non-dropping-particle" : "", "parse-names" : false, "suffix" : "" }, { "dropping-particle" : "", "family" : "Selber", "given" : "Paulo", "non-dropping-particle" : "", "parse-names" : false, "suffix" : "" }, { "dropping-particle" : "", "family" : "Graham", "given" : "H. Kerr", "non-dropping-particle" : "", "parse-names" : false, "suffix" : "" } ], "container-title" : "Gait and Posture", "id" : "ITEM-6", "issue" : "1", "issued" : { "date-parts" : [ [ "2013" ] ] }, "page" : "23-28", "publisher" : "Elsevier B.V.", "title" : "Single Event Multilevel Surgery in children with bilateral spastic cerebral palsy: A 5 year prospective cohort study", "type" : "article-journal", "volume" : "37" }, "uris" : [ "http://www.mendeley.com/documents/?uuid=6a0b835f-7b5e-496c-a8b1-f84a4410246b" ] }, { "id" : "ITEM-7", "itemData" : { "abstract" : "BACKGROUND: The purpose of this study was to determine what effect, if any, an intervention such as Single-event multilevel orthopaedic surgery (SEMLS) might have on the relative stability of the gross motor function classification system (GMFCS) for cerebral palsy over a 5-year time period. METHODS: Eighty-four children with spastic cerebral palsy who underwent SEMLS were included. The patients had an average of 5.45 procedures during surgery. Mean age at the time of surgery was 6 years. Two blinded physical therapists applied the GMFCS to functional descriptions extracted from outpatient clinical records. The patients were rated preoperatively, 1, 2, and 5 years postoperatively. RESULTS: Interrater reliability was high, Kw=0.90. Friedman's nonparametric repeated measures analysis of variance was conducted comparing the GMFCS classification levels of the patients preoperatively and 1, 2, and 5 years after SEMLS. The patients as a group showed a significant change to a lower GMFCS classification postsurgery (P&lt;0.001). Children classified at levels I and V of the GMFCS preoperatively showed lesser likelihood of changing functional levels postsurgery. CONCLUSIONS: The results of this investigation support the concept that interventions, especifically SEMLS, can affect the stability of the GMFCS classification. The majority of children in this study showed changes in gross motor function classification as reflected by lower GMFCS scores after SEMLS intervention. We also found that changes were maintained over a period of 5 years. The results of this study suggest that certain interventions, such as SEMLS, might have an effect on the stability of the GMFCS and that effect may be level-dependent. LEVEL OF EVIDENCE: Retrospective Study by Review of Medical Records. Level III in the Therapeutic Study investigating results of treatment category.", "author" : [ { "dropping-particle" : "", "family" : "Godwin", "given" : "Ellen M", "non-dropping-particle" : "", "parse-names" : false, "suffix" : "" }, { "dropping-particle" : "", "family" : "Spero", "given" : "Charles R", "non-dropping-particle" : "", "parse-names" : false, "suffix" : "" }, { "dropping-particle" : "", "family" : "Nof", "given" : "Leah", "non-dropping-particle" : "", "parse-names" : false, "suffix" : "" }, { "dropping-particle" : "", "family" : "Rosenthal", "given" : "Rebecca R", "non-dropping-particle" : "", "parse-names" : false, "suffix" : "" }, { "dropping-particle" : "", "family" : "Echternach", "given" : "John L", "non-dropping-particle" : "", "parse-names" : false, "suffix" : "" } ], "container-title" : "Journal of pediatric orthopedics", "id" : "ITEM-7", "issue" : "8", "issued" : { "date-parts" : [ [ "2009" ] ] }, "page" : "910-915", "title" : "The gross motor function classification system for cerebral palsy and single-event multilevel surgery: is there a relationship between level of function and intervention over time?", "type" : "article-journal", "volume" : "29" }, "uris" : [ "http://www.mendeley.com/documents/?uuid=dd73c1da-17ad-4674-bd82-36c6648099d4" ] } ], "mendeley" : { "formattedCitation" : "[25\u201331]", "plainTextFormattedCitation" : "[25\u201331]", "previouslyFormattedCitation" : "[25\u201331]" }, "properties" : { "noteIndex" : 0 }, "schema" : "https://github.com/citation-style-language/schema/raw/master/csl-citation.json" }</w:instrText>
      </w:r>
      <w:r>
        <w:rPr>
          <w:rFonts w:eastAsia="Calibri" w:cs="Times New Roman"/>
          <w:szCs w:val="22"/>
          <w:lang w:val="en-US" w:eastAsia="en-US"/>
        </w:rPr>
        <w:fldChar w:fldCharType="separate"/>
      </w:r>
      <w:r w:rsidRPr="00867A6D">
        <w:rPr>
          <w:rFonts w:eastAsia="Calibri" w:cs="Times New Roman"/>
          <w:noProof/>
          <w:szCs w:val="22"/>
          <w:lang w:val="en-US" w:eastAsia="en-US"/>
        </w:rPr>
        <w:t>[25–31]</w:t>
      </w:r>
      <w:r>
        <w:rPr>
          <w:rFonts w:eastAsia="Calibri" w:cs="Times New Roman"/>
          <w:szCs w:val="22"/>
          <w:lang w:val="en-US" w:eastAsia="en-US"/>
        </w:rPr>
        <w:fldChar w:fldCharType="end"/>
      </w:r>
      <w:r w:rsidRPr="008419AB">
        <w:rPr>
          <w:rFonts w:eastAsia="Calibri" w:cs="Times New Roman"/>
          <w:szCs w:val="22"/>
          <w:lang w:val="en-US" w:eastAsia="en-US"/>
        </w:rPr>
        <w:t>, few provide follow-up of more than five years</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"ITEM-1",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"id" : "ITEM-2", "itemData" : { "abstract" : "Although there is some evidence to support the efficacy of single event multilevel surgery (SEMLS) in the short term for improving walking abilities in children with cerebral palsy (CP), long term effects are not known. It is hypothesized: (1) SEMLS improves walking abilities; (2) in young adulthood abilities deteriorate beyond pre-operative status; (3) walking abilities deteriorate from adolescence to young adulthood and are associated with weight status increase. Twenty-three young adults (mean age 25.5 years, range 20-36) with spastic CP Gross Motor Functional Classification Scale Level II (n=11) or III (n=12) returned for follow up three dimensional gait analysis (3DGA). Gillette Gait Index (GGI) was used as a general indicator of walking abilities. Eleven subjects had 3DGA prior to multilevel orthopedic surgery and 12 subjects had 3DGA after the age of 10 with no interventions in the interim. GGI(s) were graphed over time. Ten of 11 subjects (91%) who had multilevel surgery either improved (n=6) or maintained pre-operative walking abilities (n=4) based on GGI. Ten of 12 subjects (83%) who had 3DGA after the age of 10 but no interventions in the interim maintained (n=8) or improved (n=2) walking abilities. No associations were found between declines in walking abilities and increased weight status. After SEMLS, walking abilities in young adulthood were comparable to pre-operative status. A decline in walking abilities was not observed from adolescence to young adulthood. ?? 2010 Elsevier B.V.", "author" : [ { "dropping-particle" : "", "family" : "Gannotti", "given" : "Mary E.", "non-dropping-particle" : "", "parse-names" : false, "suffix" : "" }, { "dropping-particle" : "", "family" : "Gorton", "given" : "George E.", "non-dropping-particle" : "", "parse-names" : false, "suffix" : "" }, { "dropping-particle" : "", "family" : "Nahorniak", "given" : "Maureen T.", "non-dropping-particle" : "", "parse-names" : false, "suffix" : "" }, { "dropping-particle" : "", "family" : "Masso", "given" : "Peter D.", "non-dropping-particle" : "", "parse-names" : false, "suffix" : "" } ], "container-title" : "Gait and Posture", "id" : "ITEM-2", "issue" : "1", "issued" : { "date-parts" : [ [ "2010" ] ] }, "page" : "46-52", "publisher" : "Elsevier B.V.", "title" : "Walking abilities of young adults with cerebral palsy: Changes after multilevel surgery and adolescence", "type" : "article-journal", "volume" : "32" }, "uris" : [ "http://www.mendeley.com/documents/?uuid=445a9943-8260-4f68-b47d-ee8b880027a7" ] }, { "id" : "ITEM-3", "itemData" : { "abstract" : "Background: In children with spastic diplegia, surgery for ankle equinus contracture is associated with a high prevalence of both overcorrection, which may result in a calcaneal deformity and crouch gait, and recurrent equinus contracture, which may require revision surgery. We sought to determine if conservative surgery for equinus gait, in the context of multilevel surgery, could result in the avoidance of overcorrection and crouch gait as well as an acceptable rate of recurrent equinus contracture at the time of medium-term follow-up. Methods: This was a retrospective, consecutive cohort study of children with spastic diplegia who had had surgery for equinus gait between 1996 and 2006. All children had distal gastrocnemius recession or differential gastrocnemius- soleus complex lengthening, on one or both sides, as part of single-event multilevel surgery. The primary outcome measures were the Gait Variable Scores (GVS) and Gait Profile Score (GPS) at two time points after surgery. Results: Forty children with spastic diplegia, Gross Motor Function Classification System (GMFCS) level II or III, were included in this study. There were twenty-five boys and fifteen girls. The mean age was ten years at the time of surgery and seventeen years at the time of final follow-up. The mean postoperative follow-up period was 7.5 years. The mean ankle GVS improved from 18.5? before surgery to 8.7? at the time of short-term follow-up (p &lt; 0.005) and 7.8? at the time of medium-term follow-up. The equinus gait was successfully corrected in the majority of children, with a low rate of overcorrection (2.5%) and a high rate of recurrent equinus (35%), as determined by sagittal ankle kinematics. Mild recurrent equinus was usually well tolerated and conferred some advantages, including contributing to strong coupling at the knee and independence from using an ankle-foot orthosis. Conclusions: Surgical treatment for equinus gait in children with spastic diplegia was successful, at a mean of seven years, in the majority of cases when combined with multilevel surgery, orthoses, and rehabilitation. No patient developed crouch gait, and the rate of revision surgery for recurrent equinus was 12.5%. Level of Evidence: Therapeutic Level IV. See Instructions for Authors for a complete description of levels of evidence. W", "author" : [ { "dropping-particle" : "", "family" : "Firth", "given" : "Gregory B", "non-dropping-particle" : "", "parse-names" : false, "suffix" : "" }, { "dropping-particle" : "", "family" : "Passmore", "given" : "Elyse", "non-dropping-particle" : "", "parse-names" : false, "suffix" : "" }, { "dropping-particle" : "", "family" : "Sangeux", "given" : "Morgan", "non-dropping-particle" : "", "parse-names" : false, "suffix" : "" }, { "dropping-particle" : "", "family" : "Thomason", "given" : "Pam", "non-dropping-particle" : "", "parse-names" : false, "suffix" : "" }, { "dropping-particle" : "", "family" : "Rodda", "given" : "Jill", "non-dropping-particle" : "", "parse-names" : false, "suffix" : "" }, { "dropping-particle" : "", "family" : "Pt", "given" : "Bappsc", "non-dropping-particle" : "", "parse-names" : false, "suffix" : "" }, { "dropping-particle" : "", "family" : "Donath", "given" : "Susan", "non-dropping-particle" : "", "parse-names" : false, "suffix" : "" }, { "dropping-particle" : "", "family" : "Selber", "given" : "Paulo", "non-dropping-particle" : "", "parse-names" : false, "suffix" : "" }, { "dropping-particle" : "", "family" : "Graham", "given" : "H Kerr", "non-dropping-particle" : "", "parse-names" : false, "suffix" : "" } ], "container-title" : "Journal of Bone &amp; Joint Surgery, America", "id" : "ITEM-3", "issued" : { "date-parts" : [ [ "2013" ] ] }, "page" : "931-938", "title" : "Multilevel Surgery for Equinus Gait in Children", "type" : "article-journal", "volume" : "95" }, "uris" : [ "http://www.mendeley.com/documents/?uuid=16d48da4-c2ec-4d8c-bc1c-9f3a1369800f" ] }, { "id" : "ITEM-4", "itemData" : { "abstract" : "Distal hamstring lengthening (DHL) is a commonly performed procedure in flexed knee gait. However, the necessity of this procedure has been challenged due to the concerns on adverse effects in long-term follow-up. This retrospective study was undertaken to investigate the long-term outcome of single event multilevel surgery (SEMLS), including bilateral DHL, in ambulatory patients with cerebral palsy using 3D gait analysis. Twenty-nine ambulatory patients with spastic diplegic cerebral palsy who had undergone SEMLS including bilateral DHL were included. 3D gait analysis was performed preoperatively, 1 year postoperatively and over 10 years postoperatively. Preoperative temporal parameters, kinematics and GDI were compared with values obtained 1 and 10 year follow-up visits. The mean age of patients at time of first surgery was 8.3 years (range, 5.4-16.3 years), and mean time from first surgery to last 3D gait analysis was 11.8 years (range, 10.0-13.3 years). Mean pelvic tilt was not changed significantly after SEMLS including DHL. Mean knee flexion at initial contact decreased from 31.1?? preoperatively to 26.0?? at 1 year postoperatively (. p=. 0.065), and then decreased significantly to 23.6?? at 10 years postoperatively (. p=. 0.038) versus the preoperative value. Mean GDI score significantly improved from 69.4 preoperatively to 77.9 at 1 year postoperatively (. p=. 0.003) and continuously improved to 82.2 at 10 years postoperatively (. p=. 0.017). Single event multilevel surgery including DHL provides a favorable outcome 10 years postoperatively in patients with spastic diplegic cerebral palsy. ?? 2012 Elsevier B.V.", "author" : [ { "dropping-particle" : "", "family" : "Sung", "given" : "Ki Hyuk", "non-dropping-particle" : "", "parse-names" : false, "suffix" : "" }, { "dropping-particle" : "", "family" : "Chung", "given" : "Chin Youb", "non-dropping-particle" : "", "parse-names" : false, "suffix" : "" }, { "dropping-particle" : "", "family" : "Lee", "given" : "Kyoung Min", "non-dropping-particle" : "", "parse-names" : false, "suffix" : "" }, { "dropping-particle" : "", "family" : "Akhmedov", "given" : "Bekhzad", "non-dropping-particle" : "", "parse-names" : false, "suffix" : "" }, { "dropping-particle" : "", "family" : "Lee", "given" : "Seung Yeol", "non-dropping-particle" : "", "parse-names" : false, "suffix" : "" }, { "dropping-particle" : "", "family" : "Choi", "given" : "In Ho", "non-dropping-particle" : "", "parse-names" : false, "suffix" : "" }, { "dropping-particle" : "", "family" : "Cho", "given" : "Tae Joon", "non-dropping-particle" : "", "parse-names" : false, "suffix" : "" }, { "dropping-particle" : "", "family" : "Yoo", "given" : "Won Joon", "non-dropping-particle" : "", "parse-names" : false, "suffix" : "" }, { "dropping-particle" : "", "family" : "Park", "given" : "Moon Seok", "non-dropping-particle" : "", "parse-names" : false, "suffix" : "" } ], "container-title" : "Gait and Posture", "id" : "ITEM-4", "issue" : "4", "issued" : { "date-parts" : [ [ "2013" ] ] }, "page" : "536-541", "publisher" : "Elsevier B.V.", "title" : "Long term outcome of single event multilevel surgery in spastic diplegia with flexed knee gait", "type" : "article-journal", "volume" : "37" }, "uris" : [ "http://www.mendeley.com/documents/?uuid=5afb32b5-731b-4783-99a9-c2faa8d6e50f" ] } ], "mendeley" : { "formattedCitation" : "[12,32\u201334]", "plainTextFormattedCitation" : "[12,32\u201334]", "previouslyFormattedCitation" : "[12,32\u201334]" }, "properties" : { "noteIndex" : 0 }, "schema" : "https://github.com/citation-style-language/schema/raw/master/csl-citation.json" }</w:instrText>
      </w:r>
      <w:r>
        <w:rPr>
          <w:rFonts w:eastAsia="Calibri" w:cs="Times New Roman"/>
          <w:szCs w:val="22"/>
          <w:lang w:val="en-US" w:eastAsia="en-US"/>
        </w:rPr>
        <w:fldChar w:fldCharType="separate"/>
      </w:r>
      <w:r w:rsidRPr="00867A6D">
        <w:rPr>
          <w:rFonts w:eastAsia="Calibri" w:cs="Times New Roman"/>
          <w:noProof/>
          <w:szCs w:val="22"/>
          <w:lang w:val="en-US" w:eastAsia="en-US"/>
        </w:rPr>
        <w:t>[12,32–34]</w:t>
      </w:r>
      <w:r>
        <w:rPr>
          <w:rFonts w:eastAsia="Calibri" w:cs="Times New Roman"/>
          <w:szCs w:val="22"/>
          <w:lang w:val="en-US" w:eastAsia="en-US"/>
        </w:rPr>
        <w:fldChar w:fldCharType="end"/>
      </w:r>
      <w:r w:rsidRPr="008419AB">
        <w:rPr>
          <w:rFonts w:eastAsia="Calibri" w:cs="Times New Roman"/>
          <w:szCs w:val="22"/>
          <w:lang w:val="en-US" w:eastAsia="en-US"/>
        </w:rPr>
        <w:t xml:space="preserve">. Those who have reported on the long-term outcome, have shown that four to </w:t>
      </w:r>
      <w:r>
        <w:rPr>
          <w:rFonts w:eastAsia="Calibri" w:cs="Times New Roman"/>
          <w:szCs w:val="22"/>
          <w:lang w:val="en-US" w:eastAsia="en-US"/>
        </w:rPr>
        <w:t>10</w:t>
      </w:r>
      <w:r w:rsidRPr="008419AB">
        <w:rPr>
          <w:rFonts w:eastAsia="Calibri" w:cs="Times New Roman"/>
          <w:szCs w:val="22"/>
          <w:lang w:val="en-US" w:eastAsia="en-US"/>
        </w:rPr>
        <w:t xml:space="preserve"> years post operatively, improved kinematic and </w:t>
      </w:r>
      <w:proofErr w:type="spellStart"/>
      <w:r w:rsidRPr="008419AB">
        <w:rPr>
          <w:rFonts w:eastAsia="Calibri" w:cs="Times New Roman"/>
          <w:szCs w:val="22"/>
          <w:lang w:val="en-US" w:eastAsia="en-US"/>
        </w:rPr>
        <w:t>temporospatial</w:t>
      </w:r>
      <w:proofErr w:type="spellEnd"/>
      <w:r w:rsidRPr="008419AB">
        <w:rPr>
          <w:rFonts w:eastAsia="Calibri" w:cs="Times New Roman"/>
          <w:szCs w:val="22"/>
          <w:lang w:val="en-US" w:eastAsia="en-US"/>
        </w:rPr>
        <w:t xml:space="preserve"> parameters are eith</w:t>
      </w:r>
      <w:r>
        <w:rPr>
          <w:rFonts w:eastAsia="Calibri" w:cs="Times New Roman"/>
          <w:szCs w:val="22"/>
          <w:lang w:val="en-US" w:eastAsia="en-US"/>
        </w:rPr>
        <w:t xml:space="preserve">er maintained or further improved </w:t>
      </w:r>
      <w:r>
        <w:rPr>
          <w:rFonts w:eastAsia="Calibri" w:cs="Times New Roman"/>
          <w:szCs w:val="22"/>
          <w:lang w:val="en-US" w:eastAsia="en-US"/>
        </w:rPr>
        <w:fldChar w:fldCharType="begin" w:fldLock="1"/>
      </w:r>
      <w:r>
        <w:rPr>
          <w:rFonts w:eastAsia="Calibri" w:cs="Times New Roman"/>
          <w:szCs w:val="22"/>
          <w:lang w:val="en-US" w:eastAsia="en-US"/>
        </w:rPr>
        <w:instrText>ADDIN CSL_CITATION { "citationItems" : [ { "id" : "ITEM-1", "itemData" : { "abstract" : "BACKGROUND: Severe crouch gait in patients with spastic diplegia causes excessive loading of the patellofemoral joint and may result in anterior knee pain, gait deterioration, and progressive loss of function. Multilevel orthopaedic surgery has been used to correct severe crouch gait, but no cohort studies or long-term results have been reported, to our knowledge. METHODS: In order to be eligible for the present retrospective cohort study, a patient had to have a severe crouch gait, as defined by sagittal plane kinematic data, that had been treated with multilevel orthopaedic surgery as well as a complete clinical, radiographic, and instrumented gait analysis assessment. The surgical intervention consisted of lengthening of contracted muscle-tendon units and correction of osseous deformities, followed by the use of ground-reaction ankle-foot orthoses until stable biomechanical realignment of the lower limbs during gait was achieved. Outcome at one and five years after surgery was determined with use of selected sagittal plane kinematic and kinetic parameters and valid and reliable scales of functional mobility. Knee pain was recorded with use of a Likert scale, and all patients had radiographic examination of the knees. RESULTS: Ten subjects with severe crouch gait and a mean age of 12.0 years at the time of surgery were studied. After surgery, the patients walked in a more extended posture, with increased extension at the hip and knee and reduced dorsiflexion at the ankle. Pelvic tilt increased, and normalized walking speed was unaltered. Knee pain was diminished, and patellar fractures and avulsion injuries healed. Improvements in functional mobility were found, and, at the time of the five-year follow-up, fewer patients required the use of wheelchairs or crutches in the community than had been the case prior to intervention. CONCLUSIONS: Multilevel orthopaedic surgery for older children and adolescents with severe crouch gait is effective for relieving stress on the knee extensor mechanism, reducing knee pain, and improving function and independence.", "author" : [ { "dropping-particle" : "", "family" : "Rodda", "given" : "J M", "non-dropping-particle" : "", "parse-names" : false, "suffix" : "" }, { "dropping-particle" : "", "family" : "Graham", "given" : "H K", "non-dropping-particle" : "", "parse-names" : false, "suffix" : "" }, { "dropping-particle" : "", "family" : "Nattrass", "given" : "G R", "non-dropping-particle" : "", "parse-names" : false, "suffix" : "" }, { "dropping-particle" : "", "family" : "Galea", "given" : "M P", "non-dropping-particle" : "", "parse-names" : false, "suffix" : "" }, { "dropping-particle" : "", "family" : "Baker", "given" : "R", "non-dropping-particle" : "", "parse-names" : false, "suffix" : "" }, { "dropping-particle" : "", "family" : "Wolfe", "given" : "R", "non-dropping-particle" : "", "parse-names" : false, "suffix" : "" } ], "container-title" : "The Journal of bone and joint surgery. American volume", "id" : "ITEM-1", "issued" : { "date-parts" : [ [ "2006" ] ] }, "page" : "2653-2664", "title" : "Correction of severe crouch gait in patients with spastic diplegia with use of multilevel orthopaedic surgery.", "type" : "article-journal", "volume" : "88" }, "uris" : [ "http://www.mendeley.com/documents/?uuid=edf8d27b-2ee4-4b45-b483-5b3bdfba7e97" ] }, { "id" : "ITEM-2", "itemData" : { "abstract" : "This study evaluates the outcomes of multilevel soft tissue surgery in 31 ambulatory children (n = 39 sides) with cerebral palsy. All children had undergone rectus femoris transfer, hamstring lengthening, and gastrosoleus lengthening for the purpose of correcting sagittal plane abnormalities. There were no simultaneous bony surgeries. Preoperative and postoperative evaluation consisted of clinical assessment and gait analysis, including 3-dimensional kinematics and kinetics. Results demonstrated improvements in knee and ankle function. At the knee, there was a decrease in mean flexion at initial contact (from 31 degrees [SD, +/-8 degrees] to 21 degrees [SD, +/-10 degrees]) and in stance (mean stance, 22 degrees [SD, +/-12 degrees] to 16 degrees [SD, +/-11 degrees]) associated with a decreased mean internal extensor moment in stance (from 0.09 Nm/kg [SD, +/-0.24 Nm/kg] to -0.03 [SD, +/-0.22 Nm/kg]). At the same time, knee flexion was preserved in swing and occurred earlier. At the ankle, mean dorsiflexion improved at the time of examination (from 8 degrees [SD, +/-9 degrees] to 14 degrees [SD, +/-11 degrees] with the knee in extension), in terminal stance (peak from 7 degrees [SD, +/-9 degrees] to 12 degrees [SD, +/-8 degrees]), and in swing. Peak ankle power generation in stance was preserved and shifted later in stance toward push-off, with no functional weakening of the ankle plantar flexors. A longer-term assessment of a subset of patients with a second postoperative gait analysis at a mean of 4 years after surgery showed that gains measured at 1 year were maintained during the longer term. A subgroup demonstrating a jump knee gait pattern (as defined by excessive knee flexion at initial contact followed by rapid knee extension to full knee extension in midstance) had a tendency to go into knee hyperextension in stance with resultant net knee flexor moment after surgery. This raises concern about the indications for hamstring lengthening in this patient group.", "author" : [ { "dropping-particle" : "", "family" : "Adolfsen", "given" : "Stephen E", "non-dropping-particle" : "", "parse-names" : false, "suffix" : "" }, { "dropping-particle" : "", "family" : "Ounpuu", "given" : "Sylvia", "non-dropping-particle" : "", "parse-names" : false, "suffix" : "" }, { "dropping-particle" : "", "family" : "Bell", "given" : "Katharine J", "non-dropping-particle" : "", "parse-names" : false, "suffix" : "" }, { "dropping-particle" : "", "family" : "DeLuca", "given" : "Peter a", "non-dropping-particle" : "", "parse-names" : false, "suffix" : "" } ], "container-title" : "Journal of pediatric orthopedics", "id" : "ITEM-2", "issue" : "6", "issued" : { "date-parts" : [ [ "2007" ] ] }, "page" : "658-667", "title" : "Kinematic and kinetic outcomes after identical multilevel soft tissue surgery in children with cerebral palsy.", "type" : "article-journal", "volume" : "27" }, "uris" : [ "http://www.mendeley.com/documents/?uuid=84b2c52c-8ff1-458f-a98e-4be85f0d0049" ] }, { "id" : "ITEM-3", "itemData" : { "abstract" : "Gait improvement surgery in ambulatory children with cerebral palsy performed as single-event multilevel surgery is today a well-established modality of treatment, but follow-up studies are lacking. Preoperative and follow-up gait analysis data of 32 diplegic children who underwent single-event multilevel surgery for gait improvement between 1995 and 1998 were evaluated retrospectively. Relevant sagittal plane kinematic parameters of the hip, knee, and ankle joint and time-distance parameters were considered for outcome measures in this study. Postoperative gait analysis was performed three times in all the cases: after discontinuation of the dynamic AFOs (mean 1.0 +/- 0.3 years), after discontinuation of the night splints (mean 2.3 +/- 0.7 years), and at least 1.5 years after discontinuation of physiotherapy and splints (mean 4.4 +/- 1.1 years). The aim of the study was to ascertain whether the improvements in gait function were maintained over these examinations. The authors found that gait function continued to change over 1, 2, and 3 years of follow-up. A general decrease in gait function was measurable in this collective between the first postoperative and the second postoperative evaluations. The results indicate that evaluation of gait improvement surgery in cerebral palsy performed at a minimum of 3 years after surgery would give the most predictive outcome of treatment.", "author" : [ { "dropping-particle" : "", "family" : "Saraph", "given" : "Vinay", "non-dropping-particle" : "", "parse-names" : false, "suffix" : "" }, { "dropping-particle" : "", "family" : "Zwick", "given" : "Ernst-Bernhard", "non-dropping-particle" : "", "parse-names" : false, "suffix" : "" }, { "dropping-particle" : "", "family" : "Auner", "given" : "Claudia", "non-dropping-particle" : "", "parse-names" : false, "suffix" : "" }, { "dropping-particle" : "", "family" : "Schneider", "given" : "Frank", "non-dropping-particle" : "", "parse-names" : false, "suffix" : "" }, { "dropping-particle" : "", "family" : "Steinwender", "given" : "Gerhardt", "non-dropping-particle" : "", "parse-names" : false, "suffix" : "" }, { "dropping-particle" : "", "family" : "Linhart", "given" : "Wolfgang", "non-dropping-particle" : "", "parse-names" : false, "suffix" : "" } ], "container-title" : "Journal of pediatric orthopedics", "id" : "ITEM-3", "issue" : "3", "issued" : { "date-parts" : [ [ "2005" ] ] }, "page" : "263-267", "title" : "Gait improvement surgery in diplegic children: how long do the improvements last?", "type" : "article-journal", "volume" : "25" }, "uris" : [ "http://www.mendeley.com/documents/?uuid=1e05d7a8-3530-453b-9d7b-48a1fcf79d14" ] }, { "id" : "ITEM-4", "itemData" : { "abstract" : "Background: Single Event Multilevel Surgery (SEMLS) is considered the standard of care to improve gait and function in children with bilateral spastic cerebral palsy (BSCP). We have demonstrated in a randomized controlled trial (RCT) of SEMLS, that gait was improved at 12 months after surgery and gross motor function at 24 months after surgery. The question addressed in this study, was to determine if improvements in gait and function, would be maintained at 5 year follow-up. Methods: Nineteen children with BSCP, GMFCS levels II (14 children) and III (5 children), mean age 9.7 years (range 7.7-12.2 years) participated in a prospective cohort study following participation in a RCT, with follow-up to 5 years. Outcome measures were Gait Profile Score (GPS), Gillette Gait Index (GGI), Gait Deviation Index (GDI), Gross Motor Function Measure (GMFM66) and Functional Mobility Scale (FMS). Results: Eighteen children have completed follow-up, with interval analysis at 1, 2 and 5 years post SEMLS. One child was excluded because of neurological deterioration and his diagnosis was revised to Hereditary Spastic Paraparesis (HSP). GPS improved by 5.29?? and GMFM66 by 3.3% at 5 years post SEMLS. Differences between outcome measures at 1 versus 5 years and 2 versus 5 years (except GMFM66) were not significant, indicating that improvements in gait and gross motor function were stable over time. Conclusions: SEMLS results in clinically and statistically significant improvements in gait and function, in children with BSCP, which were maintained at 5 years after surgery. ?? 2012.", "author" : [ { "dropping-particle" : "", "family" : "Thomason", "given" : "Pam", "non-dropping-particle" : "", "parse-names" : false, "suffix" : "" }, { "dropping-particle" : "", "family" : "Selber", "given" : "Paulo", "non-dropping-particle" : "", "parse-names" : false, "suffix" : "" }, { "dropping-particle" : "", "family" : "Graham", "given" : "H. Kerr", "non-dropping-particle" : "", "parse-names" : false, "suffix" : "" } ], "container-title" : "Gait and Posture", "id" : "ITEM-4", "issue" : "1", "issued" : { "date-parts" : [ [ "2013" ] ] }, "page" : "23-28", "publisher" : "Elsevier B.V.", "title" : "Single Event Multilevel Surgery in children with bilateral spastic cerebral palsy: A 5 year prospective cohort study", "type" : "article-journal", "volume" : "37" }, "uris" : [ "http://www.mendeley.com/documents/?uuid=6a0b835f-7b5e-496c-a8b1-f84a4410246b" ] }, { "id" : "ITEM-5", "itemData" : { "abstract" : "Background: In children with spastic diplegia, surgery for ankle equinus contracture is associated with a high prevalence of both overcorrection, which may result in a calcaneal deformity and crouch gait, and recurrent equinus contracture, which may require revision surgery. We sought to determine if conservative surgery for equinus gait, in the context of multilevel surgery, could result in the avoidance of overcorrection and crouch gait as well as an acceptable rate of recurrent equinus contracture at the time of medium-term follow-up. Methods: This was a retrospective, consecutive cohort study of children with spastic diplegia who had had surgery for equinus gait between 1996 and 2006. All children had distal gastrocnemius recession or differential gastrocnemius- soleus complex lengthening, on one or both sides, as part of single-event multilevel surgery. The primary outcome measures were the Gait Variable Scores (GVS) and Gait Profile Score (GPS) at two time points after surgery. Results: Forty children with spastic diplegia, Gross Motor Function Classification System (GMFCS) level II or III, were included in this study. There were twenty-five boys and fifteen girls. The mean age was ten years at the time of surgery and seventeen years at the time of final follow-up. The mean postoperative follow-up period was 7.5 years. The mean ankle GVS improved from 18.5? before surgery to 8.7? at the time of short-term follow-up (p &lt; 0.005) and 7.8? at the time of medium-term follow-up. The equinus gait was successfully corrected in the majority of children, with a low rate of overcorrection (2.5%) and a high rate of recurrent equinus (35%), as determined by sagittal ankle kinematics. Mild recurrent equinus was usually well tolerated and conferred some advantages, including contributing to strong coupling at the knee and independence from using an ankle-foot orthosis. Conclusions: Surgical treatment for equinus gait in children with spastic diplegia was successful, at a mean of seven years, in the majority of cases when combined with multilevel surgery, orthoses, and rehabilitation. No patient developed crouch gait, and the rate of revision surgery for recurrent equinus was 12.5%. Level of Evidence: Therapeutic Level IV. See Instructions for Authors for a complete description of levels of evidence. W", "author" : [ { "dropping-particle" : "", "family" : "Firth", "given" : "Gregory B", "non-dropping-particle" : "", "parse-names" : false, "suffix" : "" }, { "dropping-particle" : "", "family" : "Passmore", "given" : "Elyse", "non-dropping-particle" : "", "parse-names" : false, "suffix" : "" }, { "dropping-particle" : "", "family" : "Sangeux", "given" : "Morgan", "non-dropping-particle" : "", "parse-names" : false, "suffix" : "" }, { "dropping-particle" : "", "family" : "Thomason", "given" : "Pam", "non-dropping-particle" : "", "parse-names" : false, "suffix" : "" }, { "dropping-particle" : "", "family" : "Rodda", "given" : "Jill", "non-dropping-particle" : "", "parse-names" : false, "suffix" : "" }, { "dropping-particle" : "", "family" : "Pt", "given" : "Bappsc", "non-dropping-particle" : "", "parse-names" : false, "suffix" : "" }, { "dropping-particle" : "", "family" : "Donath", "given" : "Susan", "non-dropping-particle" : "", "parse-names" : false, "suffix" : "" }, { "dropping-particle" : "", "family" : "Selber", "given" : "Paulo", "non-dropping-particle" : "", "parse-names" : false, "suffix" : "" }, { "dropping-particle" : "", "family" : "Graham", "given" : "H Kerr", "non-dropping-particle" : "", "parse-names" : false, "suffix" : "" } ], "container-title" : "Journal of Bone &amp; Joint Surgery, America", "id" : "ITEM-5", "issued" : { "date-parts" : [ [ "2013" ] ] }, "page" : "931-938", "title" : "Multilevel Surgery for Equinus Gait in Children", "type" : "article-journal", "volume" : "95" }, "uris" : [ "http://www.mendeley.com/documents/?uuid=16d48da4-c2ec-4d8c-bc1c-9f3a1369800f" ] }, { "id" : "ITEM-6", "itemData" : { "abstract" : "Distal hamstring lengthening (DHL) is a commonly performed procedure in flexed knee gait. However, the necessity of this procedure has been challenged due to the concerns on adverse effects in long-term follow-up. This retrospective study was undertaken to investigate the long-term outcome of single event multilevel surgery (SEMLS), including bilateral DHL, in ambulatory patients with cerebral palsy using 3D gait analysis. Twenty-nine ambulatory patients with spastic diplegic cerebral palsy who had undergone SEMLS including bilateral DHL were included. 3D gait analysis was performed preoperatively, 1 year postoperatively and over 10 years postoperatively. Preoperative temporal parameters, kinematics and GDI were compared with values obtained 1 and 10 year follow-up visits. The mean age of patients at time of first surgery was 8.3 years (range, 5.4-16.3 years), and mean time from first surgery to last 3D gait analysis was 11.8 years (range, 10.0-13.3 years). Mean pelvic tilt was not changed significantly after SEMLS including DHL. Mean knee flexion at initial contact decreased from 31.1?? preoperatively to 26.0?? at 1 year postoperatively (. p=. 0.065), and then decreased significantly to 23.6?? at 10 years postoperatively (. p=. 0.038) versus the preoperative value. Mean GDI score significantly improved from 69.4 preoperatively to 77.9 at 1 year postoperatively (. p=. 0.003) and continuously improved to 82.2 at 10 years postoperatively (. p=. 0.017). Single event multilevel surgery including DHL provides a favorable outcome 10 years postoperatively in patients with spastic diplegic cerebral palsy. ?? 2012 Elsevier B.V.", "author" : [ { "dropping-particle" : "", "family" : "Sung", "given" : "Ki Hyuk", "non-dropping-particle" : "", "parse-names" : false, "suffix" : "" }, { "dropping-particle" : "", "family" : "Chung", "given" : "Chin Youb", "non-dropping-particle" : "", "parse-names" : false, "suffix" : "" }, { "dropping-particle" : "", "family" : "Lee", "given" : "Kyoung Min", "non-dropping-particle" : "", "parse-names" : false, "suffix" : "" }, { "dropping-particle" : "", "family" : "Akhmedov", "given" : "Bekhzad", "non-dropping-particle" : "", "parse-names" : false, "suffix" : "" }, { "dropping-particle" : "", "family" : "Lee", "given" : "Seung Yeol", "non-dropping-particle" : "", "parse-names" : false, "suffix" : "" }, { "dropping-particle" : "", "family" : "Choi", "given" : "In Ho", "non-dropping-particle" : "", "parse-names" : false, "suffix" : "" }, { "dropping-particle" : "", "family" : "Cho", "given" : "Tae Joon", "non-dropping-particle" : "", "parse-names" : false, "suffix" : "" }, { "dropping-particle" : "", "family" : "Yoo", "given" : "Won Joon", "non-dropping-particle" : "", "parse-names" : false, "suffix" : "" }, { "dropping-particle" : "", "family" : "Park", "given" : "Moon Seok", "non-dropping-particle" : "", "parse-names" : false, "suffix" : "" } ], "container-title" : "Gait and Posture", "id" : "ITEM-6", "issue" : "4", "issued" : { "date-parts" : [ [ "2013" ] ] }, "page" : "536-541", "publisher" : "Elsevier B.V.", "title" : "Long term outcome of single event multilevel surgery in spastic diplegia with flexed knee gait", "type" : "article-journal", "volume" : "37" }, "uris" : [ "http://www.mendeley.com/documents/?uuid=5afb32b5-731b-4783-99a9-c2faa8d6e50f" ] } ], "mendeley" : { "formattedCitation" : "[25,27,29,30,33,34]", "plainTextFormattedCitation" : "[25,27,29,30,33,34]", "previouslyFormattedCitation" : "[25,27,29,30,33,34]" }, "properties" : { "noteIndex" : 0 }, "schema" : "https://github.com/citation-style-language/schema/raw/master/csl-citation.json" }</w:instrText>
      </w:r>
      <w:r>
        <w:rPr>
          <w:rFonts w:eastAsia="Calibri" w:cs="Times New Roman"/>
          <w:szCs w:val="22"/>
          <w:lang w:val="en-US" w:eastAsia="en-US"/>
        </w:rPr>
        <w:fldChar w:fldCharType="separate"/>
      </w:r>
      <w:r w:rsidRPr="00867A6D">
        <w:rPr>
          <w:rFonts w:eastAsia="Calibri" w:cs="Times New Roman"/>
          <w:noProof/>
          <w:szCs w:val="22"/>
          <w:lang w:val="en-US" w:eastAsia="en-US"/>
        </w:rPr>
        <w:t>[25,27,29,30,33,34]</w:t>
      </w:r>
      <w:r>
        <w:rPr>
          <w:rFonts w:eastAsia="Calibri" w:cs="Times New Roman"/>
          <w:szCs w:val="22"/>
          <w:lang w:val="en-US" w:eastAsia="en-US"/>
        </w:rPr>
        <w:fldChar w:fldCharType="end"/>
      </w:r>
      <w:r w:rsidRPr="008419AB">
        <w:rPr>
          <w:rFonts w:eastAsia="Calibri" w:cs="Times New Roman"/>
          <w:szCs w:val="22"/>
          <w:lang w:val="en-US" w:eastAsia="en-US"/>
        </w:rPr>
        <w:t xml:space="preserve">. Furthermore, in the existing literature with a follow-up period of </w:t>
      </w:r>
      <w:r>
        <w:rPr>
          <w:rFonts w:eastAsia="Calibri" w:cs="Times New Roman"/>
          <w:szCs w:val="22"/>
          <w:lang w:val="en-US" w:eastAsia="en-US"/>
        </w:rPr>
        <w:t>10</w:t>
      </w:r>
      <w:r w:rsidRPr="008419AB">
        <w:rPr>
          <w:rFonts w:eastAsia="Calibri" w:cs="Times New Roman"/>
          <w:szCs w:val="22"/>
          <w:lang w:val="en-US" w:eastAsia="en-US"/>
        </w:rPr>
        <w:t xml:space="preserve"> years, no deterioration in gait parameters </w:t>
      </w:r>
      <w:r>
        <w:rPr>
          <w:rFonts w:eastAsia="Calibri" w:cs="Times New Roman"/>
          <w:szCs w:val="22"/>
          <w:lang w:val="en-US" w:eastAsia="en-US"/>
        </w:rPr>
        <w:t>ha</w:t>
      </w:r>
      <w:r w:rsidRPr="008419AB">
        <w:rPr>
          <w:rFonts w:eastAsia="Calibri" w:cs="Times New Roman"/>
          <w:szCs w:val="22"/>
          <w:lang w:val="en-US" w:eastAsia="en-US"/>
        </w:rPr>
        <w:t>s</w:t>
      </w:r>
      <w:r>
        <w:rPr>
          <w:rFonts w:eastAsia="Calibri" w:cs="Times New Roman"/>
          <w:szCs w:val="22"/>
          <w:lang w:val="en-US" w:eastAsia="en-US"/>
        </w:rPr>
        <w:t xml:space="preserve"> been</w:t>
      </w:r>
      <w:r w:rsidRPr="008419AB">
        <w:rPr>
          <w:rFonts w:eastAsia="Calibri" w:cs="Times New Roman"/>
          <w:szCs w:val="22"/>
          <w:lang w:val="en-US" w:eastAsia="en-US"/>
        </w:rPr>
        <w:t xml:space="preserve"> demonstrated</w:t>
      </w:r>
      <w:r>
        <w:rPr>
          <w:rFonts w:eastAsia="Calibri" w:cs="Times New Roman"/>
          <w:szCs w:val="22"/>
          <w:lang w:val="en-US" w:eastAsia="en-US"/>
        </w:rPr>
        <w:t xml:space="preserve"> </w:t>
      </w:r>
      <w:r>
        <w:rPr>
          <w:rFonts w:eastAsia="Calibri" w:cs="Times New Roman"/>
          <w:szCs w:val="22"/>
          <w:lang w:val="en-US" w:eastAsia="en-US"/>
        </w:rPr>
        <w:fldChar w:fldCharType="begin" w:fldLock="1"/>
      </w:r>
      <w:r>
        <w:rPr>
          <w:rFonts w:eastAsia="Calibri" w:cs="Times New Roman"/>
          <w:lang w:val="en-US"/>
        </w:rPr>
        <w:instrText>ADDIN CSL_CITATION { "citationItems" : [ { "id" : "ITEM-1",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"ITEM-1",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"id" : "ITEM-2", "itemData" : { "abstract" : "Although there is some evidence to support the efficacy of single event multilevel surgery (SEMLS) in the short term for improving walking abilities in children with cerebral palsy (CP), long term effects are not known. It is hypothesized: (1) SEMLS improves walking abilities; (2) in young adulthood abilities deteriorate beyond pre-operative status; (3) walking abilities deteriorate from adolescence to young adulthood and are associated with weight status increase. Twenty-three young adults (mean age 25.5 years, range 20-36) with spastic CP Gross Motor Functional Classification Scale Level II (n=11) or III (n=12) returned for follow up three dimensional gait analysis (3DGA). Gillette Gait Index (GGI) was used as a general indicator of walking abilities. Eleven subjects had 3DGA prior to multilevel orthopedic surgery and 12 subjects had 3DGA after the age of 10 with no interventions in the interim. GGI(s) were graphed over time. Ten of 11 subjects (91%) who had multilevel surgery either improved (n=6) or maintained pre-operative walking abilities (n=4) based on GGI. Ten of 12 subjects (83%) who had 3DGA after the age of 10 but no interventions in the interim maintained (n=8) or improved (n=2) walking abilities. No associations were found between declines in walking abilities and increased weight status. After SEMLS, walking abilities in young adulthood were comparable to pre-operative status. A decline in walking abilities was not observed from adolescence to young adulthood. ?? 2010 Elsevier B.V.", "author" : [ { "dropping-particle" : "", "family" : "Gannotti", "given" : "Mary E.", "non-dropping-particle" : "", "parse-names" : false, "suffix" : "" }, { "dropping-particle" : "", "family" : "Gorton", "given" : "George E.", "non-dropping-particle" : "", "parse-names" : false, "suffix" : "" }, { "dropping-particle" : "", "family" : "Nahorniak", "given" : "Maureen T.", "non-dropping-particle" : "", "parse-names" : false, "suffix" : "" }, { "dropping-particle" : "", "family" : "Masso", "given" : "Peter D.", "non-dropping-particle" : "", "parse-names" : false, "suffix" : "" } ], "container-title" : "Gait and Posture", "id" : "ITEM-2", "issue" : "1", "issued" : { "date-parts" : [ [ "2010" ] ] }, "page" : "46-52", "publisher" : "Elsevier B.V.", "title" : "Walking abilities of young adults with cerebral palsy: Changes after multilevel surgery and adolescence", "type" : "article-journal", "volume" : "32" }, "uris" : [ "http://www.mendeley.com/documents/?uuid=445a9943-8260-4f68-b47d-ee8b880027a7" ] }, { "id" : "ITEM-3", "itemData" : { "abstract" : "Distal hamstring lengthening (DHL) is a commonly performed procedure in flexed knee gait. However, the necessity of this procedure has been challenged due to the concerns on adverse effects in long-term follow-up. This retrospective study was undertaken to investigate the long-term outcome of single event multilevel surgery (SEMLS), including bilateral DHL, in ambulatory patients with cerebral palsy using 3D gait analysis. Twenty-nine ambulatory patients with spastic diplegic cerebral palsy who had undergone SEMLS including bilateral DHL were included. 3D gait analysis was performed preoperatively, 1 year postoperatively and over 10 years postoperatively. Preoperative temporal parameters, kinematics and GDI were compared with values obtained 1 and 10 year follow-up visits. The mean age of patients at time of first surgery was 8.3 years (range, 5.4-16.3 years), and mean time from first surgery to last 3D gait analysis was 11.8 years (range, 10.0-13.3 years). Mean pelvic tilt was not changed significantly after SEMLS including DHL. Mean knee flexion at initial contact decreased from 31.1?? preoperatively to 26.0?? at 1 year postoperatively (. p=. 0.065), and then decreased significantly to 23.6?? at 10 years postoperatively (. p=. 0.038) versus the preoperative value. Mean GDI score significantly improved from 69.4 preoperatively to 77.9 at 1 year postoperatively (. p=. 0.003) and continuously improved to 82.2 at 10 years postoperatively (. p=. 0.017). Single event multilevel surgery including DHL provides a favorable outcome 10 years postoperatively in patients with spastic diplegic cerebral palsy. ?? 2012 Elsevier B.V.", "author" : [ { "dropping-particle" : "", "family" : "Sung", "given" : "Ki Hyuk", "non-dropping-particle" : "", "parse-names" : false, "suffix" : "" }, { "dropping-particle" : "", "family" : "Chung", "given" : "Chin Youb", "non-dropping-particle" : "", "parse-names" : false, "suffix" : "" }, { "dropping-particle" : "", "family" : "Lee", "given" : "Kyoung Min", "non-dropping-particle" : "", "parse-names" : false, "suffix" : "" }, { "dropping-particle" : "", "family" : "Akhmedov", "given" : "Bekhzad", "non-dropping-particle" : "", "parse-names" : false, "suffix" : "" }, { "dropping-particle" : "", "family" : "Lee", "given" : "Seung Yeol", "non-dropping-particle" : "", "parse-names" : false, "suffix" : "" }, { "dropping-particle" : "", "family" : "Choi", "given" : "In Ho", "non-dropping-particle" : "", "parse-names" : false, "suffix" : "" }, { "dropping-particle" : "", "family" : "Cho", "given" : "Tae Joon", "non-dropping-particle" : "", "parse-names" : false, "suffix" : "" }, { "dropping-particle" : "", "family" : "Yoo", "given" : "Won Joon", "non-dropping-particle" : "", "parse-names" : false, "suffix" : "" }, { "dropping-particle" : "", "family" : "Park", "given" : "Moon Seok", "non-dropping-particle" : "", "parse-names" : false, "suffix" : "" } ], "container-title" : "Gait and Posture", "id" : "ITEM-3", "issue" : "4", "issued" : { "date-parts" : [ [ "2013" ] ] }, "page" : "536-541", "publisher" : "Elsevier B.V.", "title" : "Long term outcome of single event multilevel surgery in spastic diplegia with flexed knee gait", "type" : "article-journal", "volume" : "37" }, "uris" : [ "http://www.mendeley.com/documents/?uuid=5afb32b5-731b-4783-99a9-c2faa8d6e50f" ] } ], "mendeley" : { "formattedCitation" : "[12,32,34]", "plainTextFormattedCitation" : "[12,32,34]", "previouslyFormattedCitation" : "[12,32,34]" }, "properties" : { "noteIndex" : 0 }, "schema" : "https://github.com/citation-style-language/schema/raw/master/csl-citation.json" }</w:instrText>
      </w:r>
      <w:r>
        <w:rPr>
          <w:rFonts w:eastAsia="Calibri" w:cs="Times New Roman"/>
          <w:szCs w:val="22"/>
          <w:lang w:val="en-US" w:eastAsia="en-US"/>
        </w:rPr>
        <w:fldChar w:fldCharType="separate"/>
      </w:r>
      <w:r w:rsidRPr="00867A6D">
        <w:rPr>
          <w:rFonts w:eastAsia="Calibri" w:cs="Times New Roman"/>
          <w:noProof/>
          <w:szCs w:val="22"/>
          <w:lang w:val="en-US" w:eastAsia="en-US"/>
        </w:rPr>
        <w:t>[12,32,34]</w:t>
      </w:r>
      <w:r>
        <w:rPr>
          <w:rFonts w:eastAsia="Calibri" w:cs="Times New Roman"/>
          <w:szCs w:val="22"/>
          <w:lang w:val="en-US" w:eastAsia="en-US"/>
        </w:rPr>
        <w:fldChar w:fldCharType="end"/>
      </w:r>
      <w:r w:rsidRPr="008419AB">
        <w:rPr>
          <w:rFonts w:eastAsia="Calibri" w:cs="Times New Roman"/>
          <w:szCs w:val="22"/>
          <w:lang w:val="en-US" w:eastAsia="en-US"/>
        </w:rPr>
        <w:t xml:space="preserve">. In the study of </w:t>
      </w:r>
      <w:proofErr w:type="spellStart"/>
      <w:r w:rsidRPr="008419AB">
        <w:rPr>
          <w:rFonts w:eastAsia="Calibri" w:cs="Times New Roman"/>
          <w:szCs w:val="22"/>
          <w:lang w:val="en-US" w:eastAsia="en-US"/>
        </w:rPr>
        <w:t>Gannotti</w:t>
      </w:r>
      <w:proofErr w:type="spellEnd"/>
      <w:r w:rsidRPr="008419AB">
        <w:rPr>
          <w:rFonts w:eastAsia="Calibri" w:cs="Times New Roman"/>
          <w:szCs w:val="22"/>
          <w:lang w:val="en-US" w:eastAsia="en-US"/>
        </w:rPr>
        <w:t xml:space="preserve"> et al. </w:t>
      </w:r>
      <w:r w:rsidRPr="008419AB">
        <w:rPr>
          <w:rFonts w:eastAsia="Calibri" w:cs="Times New Roman"/>
          <w:szCs w:val="22"/>
          <w:vertAlign w:val="superscript"/>
          <w:lang w:val="en-US" w:eastAsia="en-US"/>
        </w:rPr>
        <w:fldChar w:fldCharType="begin" w:fldLock="1"/>
      </w:r>
      <w:r w:rsidRPr="008419AB">
        <w:rPr>
          <w:rFonts w:eastAsia="Calibri" w:cs="Times New Roman"/>
          <w:szCs w:val="22"/>
          <w:vertAlign w:val="superscript"/>
          <w:lang w:val="en-US" w:eastAsia="en-US"/>
        </w:rPr>
        <w:instrText>ADDIN CSL_CITATION { "citationItems" : [ { "id" : "ITEM-1", "itemData" : { "abstract" : "Although there is some evidence to support the efficacy of single event multilevel surgery (SEMLS) in the short term for improving walking abilities in children with cerebral palsy (CP), long term effects are not known. It is hypothesized: (1) SEMLS improves walking abilities; (2) in young adulthood abilities deteriorate beyond pre-operative status; (3) walking abilities deteriorate from adolescence to young adulthood and are associated with weight status increase. Twenty-three young adults (mean age 25.5 years, range 20-36) with spastic CP Gross Motor Functional Classification Scale Level II (n=11) or III (n=12) returned for follow up three dimensional gait analysis (3DGA). Gillette Gait Index (GGI) was used as a general indicator of walking abilities. Eleven subjects had 3DGA prior to multilevel orthopedic surgery and 12 subjects had 3DGA after the age of 10 with no interventions in the interim. GGI(s) were graphed over time. Ten of 11 subjects (91%) who had multilevel surgery either improved (n=6) or maintained pre-operative walking abilities (n=4) based on GGI. Ten of 12 subjects (83%) who had 3DGA after the age of 10 but no interventions in the interim maintained (n=8) or improved (n=2) walking abilities. No associations were found between declines in walking abilities and increased weight status. After SEMLS, walking abilities in young adulthood were comparable to pre-operative status. A decline in walking abilities was not observed from adolescence to young adulthood. ?? 2010 Elsevier B.V.", "author" : [ { "dropping-particle" : "", "family" : "Gannotti", "given" : "Mary E.", "non-dropping-particle" : "", "parse-names" : false, "suffix" : "" }, { "dropping-particle" : "", "family" : "Gorton", "given" : "George E.", "non-dropping-particle" : "", "parse-names" : false, "suffix" : "" }, { "dropping-particle" : "", "family" : "Nahorniak", "given" : "Maureen T.", "non-dropping-particle" : "", "parse-names" : false, "suffix" : "" }, { "dropping-particle" : "", "family" : "Masso", "given" : "Peter D.", "non-dropping-particle" : "", "parse-names" : false, "suffix" : "" } ], "container-title" : "Gait and Posture", "id" : "ITEM-1", "issue" : "1", "issued" : { "date-parts" : [ [ "2010" ] ] }, "page" : "46-52", "publisher" : "Elsevier B.V.", "title" : "Walking abilities of young adults with cerebral palsy: Changes after multilevel surgery and adolescence", "type" : "article-journal", "volume" : "32" }, "uris" : [ "http://www.mendeley.com/documents/?uuid=445a9943-8260-4f68-b47d-ee8b880027a7" ] } ], "mendeley" : { "formattedCitation" : "[32]", "plainTextFormattedCitation" : "[32]", "previouslyFormattedCitation" : "[32]" }, "properties" : { "noteIndex" : 0 }, "schema" : "https://github.com/citation-style-language/schema/raw/master/csl-citation.json" }</w:instrText>
      </w:r>
      <w:r w:rsidRPr="008419AB">
        <w:rPr>
          <w:rFonts w:eastAsia="Calibri" w:cs="Times New Roman"/>
          <w:szCs w:val="22"/>
          <w:vertAlign w:val="superscript"/>
          <w:lang w:val="en-US" w:eastAsia="en-US"/>
        </w:rPr>
        <w:fldChar w:fldCharType="separate"/>
      </w:r>
      <w:r w:rsidRPr="008419AB">
        <w:rPr>
          <w:rFonts w:eastAsia="Calibri" w:cs="Times New Roman"/>
          <w:noProof/>
          <w:szCs w:val="22"/>
          <w:lang w:val="en-US" w:eastAsia="en-US"/>
        </w:rPr>
        <w:t>[32]</w:t>
      </w:r>
      <w:r w:rsidRPr="008419AB">
        <w:rPr>
          <w:rFonts w:eastAsia="Calibri" w:cs="Times New Roman"/>
          <w:szCs w:val="22"/>
          <w:vertAlign w:val="superscript"/>
          <w:lang w:val="en-US" w:eastAsia="en-US"/>
        </w:rPr>
        <w:fldChar w:fldCharType="end"/>
      </w:r>
      <w:r>
        <w:rPr>
          <w:rFonts w:eastAsia="Calibri" w:cs="Times New Roman"/>
          <w:szCs w:val="22"/>
          <w:lang w:val="en-US" w:eastAsia="en-US"/>
        </w:rPr>
        <w:t xml:space="preserve">, which compared a group of 11 subjects who underwent multilevel surgery with a group of 12 subjects without intervention, </w:t>
      </w:r>
      <w:r w:rsidRPr="008419AB">
        <w:rPr>
          <w:rFonts w:eastAsia="Calibri" w:cs="Times New Roman"/>
          <w:szCs w:val="22"/>
          <w:lang w:val="en-US" w:eastAsia="en-US"/>
        </w:rPr>
        <w:t>it was</w:t>
      </w:r>
      <w:r w:rsidRPr="008419AB">
        <w:rPr>
          <w:rFonts w:eastAsia="Calibri" w:cs="Times New Roman"/>
          <w:szCs w:val="22"/>
          <w:vertAlign w:val="superscript"/>
          <w:lang w:val="en-US" w:eastAsia="en-US"/>
        </w:rPr>
        <w:t xml:space="preserve"> </w:t>
      </w:r>
      <w:r w:rsidRPr="008419AB">
        <w:rPr>
          <w:rFonts w:eastAsia="Calibri" w:cs="Times New Roman"/>
          <w:szCs w:val="22"/>
          <w:lang w:val="en-US" w:eastAsia="en-US"/>
        </w:rPr>
        <w:t xml:space="preserve">demonstrated that while the GGI returned to pre-operative values </w:t>
      </w:r>
      <w:r>
        <w:rPr>
          <w:rFonts w:eastAsia="Calibri" w:cs="Times New Roman"/>
          <w:szCs w:val="22"/>
          <w:lang w:val="en-US" w:eastAsia="en-US"/>
        </w:rPr>
        <w:t>10</w:t>
      </w:r>
      <w:r w:rsidRPr="008419AB">
        <w:rPr>
          <w:rFonts w:eastAsia="Calibri" w:cs="Times New Roman"/>
          <w:szCs w:val="22"/>
          <w:lang w:val="en-US" w:eastAsia="en-US"/>
        </w:rPr>
        <w:t xml:space="preserve"> years post-surgery, the </w:t>
      </w:r>
      <w:r>
        <w:rPr>
          <w:rFonts w:eastAsia="Calibri" w:cs="Times New Roman"/>
          <w:szCs w:val="22"/>
          <w:lang w:val="en-US" w:eastAsia="en-US"/>
        </w:rPr>
        <w:t xml:space="preserve">improvements in </w:t>
      </w:r>
      <w:r w:rsidRPr="008419AB">
        <w:rPr>
          <w:rFonts w:eastAsia="Calibri" w:cs="Times New Roman"/>
          <w:szCs w:val="22"/>
          <w:lang w:val="en-US" w:eastAsia="en-US"/>
        </w:rPr>
        <w:t>i</w:t>
      </w:r>
      <w:r>
        <w:rPr>
          <w:rFonts w:eastAsia="Calibri" w:cs="Times New Roman"/>
          <w:szCs w:val="22"/>
          <w:lang w:val="en-US" w:eastAsia="en-US"/>
        </w:rPr>
        <w:t>ndividual kinematic parameters, such as knee flexion at initial contact, timing of maximal knee flexion in swing and knee flexion range of motion, were maintained in the multilevel group</w:t>
      </w:r>
      <w:r w:rsidRPr="008419AB">
        <w:rPr>
          <w:rFonts w:eastAsia="Calibri" w:cs="Times New Roman"/>
          <w:szCs w:val="22"/>
          <w:lang w:val="en-US" w:eastAsia="en-US"/>
        </w:rPr>
        <w:t xml:space="preserve">. Finally, Sung et al. </w:t>
      </w:r>
      <w:r w:rsidRPr="008419AB">
        <w:rPr>
          <w:rFonts w:eastAsia="Calibri" w:cs="Times New Roman"/>
          <w:szCs w:val="22"/>
          <w:vertAlign w:val="superscript"/>
          <w:lang w:val="en-US" w:eastAsia="en-US"/>
        </w:rPr>
        <w:fldChar w:fldCharType="begin" w:fldLock="1"/>
      </w:r>
      <w:r w:rsidRPr="008419AB">
        <w:rPr>
          <w:rFonts w:eastAsia="Calibri" w:cs="Times New Roman"/>
          <w:szCs w:val="22"/>
          <w:vertAlign w:val="superscript"/>
          <w:lang w:val="en-US" w:eastAsia="en-US"/>
        </w:rPr>
        <w:instrText>ADDIN CSL_CITATION { "citationItems" : [ { "id" : "ITEM-1", "itemData" : { "abstract" : "Distal hamstring lengthening (DHL) is a commonly performed procedure in flexed knee gait. However, the necessity of this procedure has been challenged due to the concerns on adverse effects in long-term follow-up. This retrospective study was undertaken to investigate the long-term outcome of single event multilevel surgery (SEMLS), including bilateral DHL, in ambulatory patients with cerebral palsy using 3D gait analysis. Twenty-nine ambulatory patients with spastic diplegic cerebral palsy who had undergone SEMLS including bilateral DHL were included. 3D gait analysis was performed preoperatively, 1 year postoperatively and over 10 years postoperatively. Preoperative temporal parameters, kinematics and GDI were compared with values obtained 1 and 10 year follow-up visits. The mean age of patients at time of first surgery was 8.3 years (range, 5.4-16.3 years), and mean time from first surgery to last 3D gait analysis was 11.8 years (range, 10.0-13.3 years). Mean pelvic tilt was not changed significantly after SEMLS including DHL. Mean knee flexion at initial contact decreased from 31.1?? preoperatively to 26.0?? at 1 year postoperatively (. p=. 0.065), and then decreased significantly to 23.6?? at 10 years postoperatively (. p=. 0.038) versus the preoperative value. Mean GDI score significantly improved from 69.4 preoperatively to 77.9 at 1 year postoperatively (. p=. 0.003) and continuously improved to 82.2 at 10 years postoperatively (. p=. 0.017). Single event multilevel surgery including DHL provides a favorable outcome 10 years postoperatively in patients with spastic diplegic cerebral palsy. ?? 2012 Elsevier B.V.", "author" : [ { "dropping-particle" : "", "family" : "Sung", "given" : "Ki Hyuk", "non-dropping-particle" : "", "parse-names" : false, "suffix" : "" }, { "dropping-particle" : "", "family" : "Chung", "given" : "Chin Youb", "non-dropping-particle" : "", "parse-names" : false, "suffix" : "" }, { "dropping-particle" : "", "family" : "Lee", "given" : "Kyoung Min", "non-dropping-particle" : "", "parse-names" : false, "suffix" : "" }, { "dropping-particle" : "", "family" : "Akhmedov", "given" : "Bekhzad", "non-dropping-particle" : "", "parse-names" : false, "suffix" : "" }, { "dropping-particle" : "", "family" : "Lee", "given" : "Seung Yeol", "non-dropping-particle" : "", "parse-names" : false, "suffix" : "" }, { "dropping-particle" : "", "family" : "Choi", "given" : "In Ho", "non-dropping-particle" : "", "parse-names" : false, "suffix" : "" }, { "dropping-particle" : "", "family" : "Cho", "given" : "Tae Joon", "non-dropping-particle" : "", "parse-names" : false, "suffix" : "" }, { "dropping-particle" : "", "family" : "Yoo", "given" : "Won Joon", "non-dropping-particle" : "", "parse-names" : false, "suffix" : "" }, { "dropping-particle" : "", "family" : "Park", "given" : "Moon Seok", "non-dropping-particle" : "", "parse-names" : false, "suffix" : "" } ], "container-title" : "Gait and Posture", "id" : "ITEM-1", "issue" : "4", "issued" : { "date-parts" : [ [ "2013" ] ] }, "page" : "536-541", "publisher" : "Elsevier B.V.", "title" : "Long term outcome of single event multilevel surgery in spastic diplegia with flexed knee gait", "type" : "article-journal", "volume" : "37" }, "uris" : [ "http://www.mendeley.com/documents/?uuid=5afb32b5-731b-4783-99a9-c2faa8d6e50f" ] } ], "mendeley" : { "formattedCitation" : "[34]", "plainTextFormattedCitation" : "[34]", "previouslyFormattedCitation" : "[34]" }, "properties" : { "noteIndex" : 0 }, "schema" : "https://github.com/citation-style-language/schema/raw/master/csl-citation.json" }</w:instrText>
      </w:r>
      <w:r w:rsidRPr="008419AB">
        <w:rPr>
          <w:rFonts w:eastAsia="Calibri" w:cs="Times New Roman"/>
          <w:szCs w:val="22"/>
          <w:vertAlign w:val="superscript"/>
          <w:lang w:val="en-US" w:eastAsia="en-US"/>
        </w:rPr>
        <w:fldChar w:fldCharType="separate"/>
      </w:r>
      <w:r w:rsidRPr="008419AB">
        <w:rPr>
          <w:rFonts w:eastAsia="Calibri" w:cs="Times New Roman"/>
          <w:noProof/>
          <w:szCs w:val="22"/>
          <w:lang w:val="en-US" w:eastAsia="en-US"/>
        </w:rPr>
        <w:t>[34]</w:t>
      </w:r>
      <w:r w:rsidRPr="008419AB">
        <w:rPr>
          <w:rFonts w:eastAsia="Calibri" w:cs="Times New Roman"/>
          <w:szCs w:val="22"/>
          <w:vertAlign w:val="superscript"/>
          <w:lang w:val="en-US" w:eastAsia="en-US"/>
        </w:rPr>
        <w:fldChar w:fldCharType="end"/>
      </w:r>
      <w:r w:rsidRPr="008419AB">
        <w:rPr>
          <w:rFonts w:eastAsia="Calibri" w:cs="Times New Roman"/>
          <w:szCs w:val="22"/>
          <w:lang w:val="en-US" w:eastAsia="en-US"/>
        </w:rPr>
        <w:t xml:space="preserve"> </w:t>
      </w:r>
      <w:r>
        <w:rPr>
          <w:rFonts w:eastAsia="Calibri" w:cs="Times New Roman"/>
          <w:szCs w:val="22"/>
          <w:lang w:val="en-US" w:eastAsia="en-US"/>
        </w:rPr>
        <w:t xml:space="preserve">who studied a sample of 29 patients, </w:t>
      </w:r>
      <w:r w:rsidRPr="008419AB">
        <w:rPr>
          <w:rFonts w:eastAsia="Calibri" w:cs="Times New Roman"/>
          <w:szCs w:val="22"/>
          <w:lang w:val="en-US" w:eastAsia="en-US"/>
        </w:rPr>
        <w:t xml:space="preserve">showed improvements in GDI and in kinematic parameters </w:t>
      </w:r>
      <w:r>
        <w:rPr>
          <w:rFonts w:eastAsia="Calibri" w:cs="Times New Roman"/>
          <w:szCs w:val="22"/>
          <w:lang w:val="en-US" w:eastAsia="en-US"/>
        </w:rPr>
        <w:t xml:space="preserve">such as hip rotation, knee flexion at initial contact and terminal swing </w:t>
      </w:r>
      <w:r w:rsidRPr="008419AB">
        <w:rPr>
          <w:rFonts w:eastAsia="Calibri" w:cs="Times New Roman"/>
          <w:szCs w:val="22"/>
          <w:lang w:val="en-US" w:eastAsia="en-US"/>
        </w:rPr>
        <w:t xml:space="preserve">that were larger after </w:t>
      </w:r>
      <w:r>
        <w:rPr>
          <w:rFonts w:eastAsia="Calibri" w:cs="Times New Roman"/>
          <w:szCs w:val="22"/>
          <w:lang w:val="en-US" w:eastAsia="en-US"/>
        </w:rPr>
        <w:t>10</w:t>
      </w:r>
      <w:r w:rsidRPr="008419AB">
        <w:rPr>
          <w:rFonts w:eastAsia="Calibri" w:cs="Times New Roman"/>
          <w:szCs w:val="22"/>
          <w:lang w:val="en-US" w:eastAsia="en-US"/>
        </w:rPr>
        <w:t xml:space="preserve"> years than after one year post-surgery. </w:t>
      </w:r>
    </w:p>
    <w:p w14:paraId="32CF531F" w14:textId="77777777" w:rsidR="00E02B30" w:rsidRPr="008419AB" w:rsidRDefault="00E02B30" w:rsidP="00E02B30">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Pr>
          <w:rFonts w:eastAsia="Calibri" w:cs="Times New Roman"/>
          <w:szCs w:val="22"/>
          <w:lang w:val="en-US" w:eastAsia="en-US"/>
        </w:rPr>
        <w:t>Due t</w:t>
      </w:r>
      <w:r w:rsidRPr="008419AB">
        <w:rPr>
          <w:rFonts w:eastAsia="Calibri" w:cs="Times New Roman"/>
          <w:szCs w:val="22"/>
          <w:lang w:val="en-US" w:eastAsia="en-US"/>
        </w:rPr>
        <w:t xml:space="preserve">o the high variability in outcome, it is also important </w:t>
      </w:r>
      <w:r>
        <w:rPr>
          <w:rFonts w:eastAsia="Calibri" w:cs="Times New Roman"/>
          <w:szCs w:val="22"/>
          <w:lang w:val="en-US" w:eastAsia="en-US"/>
        </w:rPr>
        <w:t>to search for</w:t>
      </w:r>
      <w:r w:rsidRPr="008419AB">
        <w:rPr>
          <w:rFonts w:eastAsia="Calibri" w:cs="Times New Roman"/>
          <w:szCs w:val="22"/>
          <w:lang w:val="en-US" w:eastAsia="en-US"/>
        </w:rPr>
        <w:t xml:space="preserve"> factors that are associated with improved long-term results. For example, </w:t>
      </w:r>
      <w:proofErr w:type="spellStart"/>
      <w:r w:rsidRPr="008419AB">
        <w:rPr>
          <w:rFonts w:eastAsia="Calibri" w:cs="Times New Roman"/>
          <w:szCs w:val="20"/>
          <w:lang w:val="en-US" w:eastAsia="en-US"/>
        </w:rPr>
        <w:t>Švehlík</w:t>
      </w:r>
      <w:proofErr w:type="spellEnd"/>
      <w:r w:rsidRPr="008419AB">
        <w:rPr>
          <w:rFonts w:eastAsia="Calibri" w:cs="Times New Roman"/>
          <w:szCs w:val="20"/>
          <w:lang w:val="en-US" w:eastAsia="en-US"/>
        </w:rPr>
        <w:t xml:space="preserve"> et al.</w:t>
      </w:r>
      <w:r>
        <w:rPr>
          <w:rFonts w:eastAsia="Calibri" w:cs="Times New Roman"/>
          <w:szCs w:val="20"/>
          <w:lang w:val="en-US" w:eastAsia="en-US"/>
        </w:rPr>
        <w:t xml:space="preserve"> </w:t>
      </w:r>
      <w:r w:rsidRPr="001B033B">
        <w:rPr>
          <w:rFonts w:eastAsia="Calibri" w:cs="Times New Roman"/>
          <w:szCs w:val="22"/>
          <w:vertAlign w:val="superscript"/>
          <w:lang w:val="en-US" w:eastAsia="en-US"/>
        </w:rPr>
        <w:fldChar w:fldCharType="begin" w:fldLock="1"/>
      </w:r>
      <w:r w:rsidRPr="001B033B">
        <w:rPr>
          <w:rFonts w:eastAsia="Calibri" w:cs="Times New Roman"/>
          <w:szCs w:val="22"/>
          <w:vertAlign w:val="superscript"/>
          <w:lang w:val="en-US" w:eastAsia="en-US"/>
        </w:rPr>
        <w:instrText>ADDIN CSL_CITATION { "citationItems" : [ { "id" : "ITEM-1",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"ITEM-1",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"mendeley" : { "formattedCitation" : "[12]", "plainTextFormattedCitation" : "[12]", "previouslyFormattedCitation" : "[12]" }, "properties" : { "noteIndex" : 0 }, "schema" : "https://github.com/citation-style-language/schema/raw/master/csl-citation.json" }</w:instrText>
      </w:r>
      <w:r w:rsidRPr="001B033B">
        <w:rPr>
          <w:rFonts w:eastAsia="Calibri" w:cs="Times New Roman"/>
          <w:szCs w:val="22"/>
          <w:vertAlign w:val="superscript"/>
          <w:lang w:val="en-US" w:eastAsia="en-US"/>
        </w:rPr>
        <w:fldChar w:fldCharType="separate"/>
      </w:r>
      <w:r w:rsidRPr="001B033B">
        <w:rPr>
          <w:rFonts w:eastAsia="Calibri" w:cs="Times New Roman"/>
          <w:noProof/>
          <w:szCs w:val="22"/>
          <w:lang w:val="en-US" w:eastAsia="en-US"/>
        </w:rPr>
        <w:t>[12]</w:t>
      </w:r>
      <w:r w:rsidRPr="001B033B">
        <w:rPr>
          <w:rFonts w:eastAsia="Calibri" w:cs="Times New Roman"/>
          <w:szCs w:val="22"/>
          <w:vertAlign w:val="superscript"/>
          <w:lang w:val="en-US" w:eastAsia="en-US"/>
        </w:rPr>
        <w:fldChar w:fldCharType="end"/>
      </w:r>
      <w:r>
        <w:rPr>
          <w:rFonts w:eastAsia="Calibri" w:cs="Times New Roman"/>
          <w:color w:val="000000"/>
          <w:szCs w:val="22"/>
          <w:lang w:val="en-US" w:eastAsia="en-US"/>
        </w:rPr>
        <w:t xml:space="preserve"> d</w:t>
      </w:r>
      <w:r w:rsidRPr="008419AB">
        <w:rPr>
          <w:rFonts w:eastAsia="Calibri" w:cs="Times New Roman"/>
          <w:szCs w:val="22"/>
          <w:lang w:val="en-US" w:eastAsia="en-US"/>
        </w:rPr>
        <w:t>emonstra</w:t>
      </w:r>
      <w:r>
        <w:rPr>
          <w:rFonts w:eastAsia="Calibri" w:cs="Times New Roman"/>
          <w:szCs w:val="22"/>
          <w:lang w:val="en-US" w:eastAsia="en-US"/>
        </w:rPr>
        <w:t xml:space="preserve">ted that the older the child was at time of surgery, the better the long-term result on the GDI. Another study of </w:t>
      </w:r>
      <w:proofErr w:type="spellStart"/>
      <w:r w:rsidRPr="008419AB">
        <w:rPr>
          <w:rFonts w:eastAsia="Calibri" w:cs="Times New Roman"/>
          <w:szCs w:val="20"/>
          <w:lang w:val="en-US" w:eastAsia="en-US"/>
        </w:rPr>
        <w:t>Švehlík</w:t>
      </w:r>
      <w:proofErr w:type="spellEnd"/>
      <w:r>
        <w:rPr>
          <w:rFonts w:eastAsia="Calibri" w:cs="Times New Roman"/>
          <w:szCs w:val="22"/>
          <w:lang w:val="en-US" w:eastAsia="en-US"/>
        </w:rPr>
        <w:t xml:space="preserve"> et al. </w:t>
      </w:r>
      <w:r w:rsidRPr="008419AB">
        <w:rPr>
          <w:rFonts w:eastAsia="Calibri" w:cs="Times New Roman"/>
          <w:szCs w:val="20"/>
          <w:lang w:val="en-US" w:eastAsia="en-US"/>
        </w:rPr>
        <w:fldChar w:fldCharType="begin" w:fldLock="1"/>
      </w:r>
      <w:r w:rsidRPr="008419AB">
        <w:rPr>
          <w:rFonts w:eastAsia="Calibri" w:cs="Times New Roman"/>
          <w:szCs w:val="20"/>
          <w:lang w:val="en-US" w:eastAsia="en-US"/>
        </w:rPr>
        <w:instrText>ADDIN CSL_CITATION { "citationItems" : [ { "id" : "ITEM-1", "itemData" : { "abstract" : "AIMS: Single event multilevel surgery (SEMLS) has been shown to improve gait in children with cerebral palsy (CP). However, there is limited evidence regarding long-term outcomes and factors influencing them. METHODS: In total 39 children (17 females and 22 males; mean age at SEMLS ten years four months, standard deviation 37 months) with bilateral CP (20 Gross Motor Function Classification System (GMFCS) level II and 19 GMFCS level III) treated with SEMLS were included. Children were evaluated using gait analysis and the Gait Deviation Index (GDI) before SEMLS and one, two to three, five and at least ten years after SEMLS. A linear mixed model was used to estimate the effect of age at the surgery, GMFCS and follow-up period on GDI. RESULTS: There was a mean improvement of 12.1 (-15.3 to 45.1) GDI points one year after SEMLS (p &lt; 0.001) and 10.3 (-23.1 to 44.2) GDI points ten years after SEMLS compared with before SEMLS (p &lt; 0.001). GMFCS level III children aged ten to 12 years had the most improvement. The GMFCS III group had more surgical procedures at the index SEMLS (p &lt; 0.001) and during the follow-up period (p = 0.039). After correcting for other factors, age at surgery was the only factor predictive of long-term results. Our model was able to explain 45% of the variance of the change in GDI at the different time points. TAKE HOME MESSAGE: Children with GMFCS III level aged ten to 12 are the benchmark responders to SEMLS in the long-term. Cite this article: Bone Joint J 2016;98-B:278-81.", "author" : [ { "dropping-particle" : "", "family" : "\u0160vehl\u00edk", "given" : "M", "non-dropping-particle" : "", "parse-names" : false, "suffix" : "" }, { "dropping-particle" : "", "family" : "Steinwender", "given" : "G", "non-dropping-particle" : "", "parse-names" : false, "suffix" : "" }, { "dropping-particle" : "", "family" : "Lehmann", "given" : "T", "non-dropping-particle" : "", "parse-names" : false, "suffix" : "" }, { "dropping-particle" : "", "family" : "Kraus", "given" : "T", "non-dropping-particle" : "", "parse-names" : false, "suffix" : "" } ], "container-title" : "The bone &amp; joint journal", "id" : "ITEM-1", "issue" : "2", "issued" : { "date-parts" : [ [ "2016" ] ] }, "page" : "278-81", "title" : "Predictors of outcome after single-event multilevel surgery in children with cerebral palsy: a retrospective ten-year follow-up study.", "type" : "article-journal", "volume" : "98-B" }, "uris" : [ "http://www.mendeley.com/documents/?uuid=c9cb44cc-40a4-476e-9e19-971fb4a577a4" ] } ], "mendeley" : { "formattedCitation" : "[35]", "plainTextFormattedCitation" : "[35]", "previouslyFormattedCitation" : "[35]" }, "properties" : { "noteIndex" : 0 }, "schema" : "https://github.com/citation-style-language/schema/raw/master/csl-citation.json" }</w:instrText>
      </w:r>
      <w:r w:rsidRPr="008419AB">
        <w:rPr>
          <w:rFonts w:eastAsia="Calibri" w:cs="Times New Roman"/>
          <w:szCs w:val="20"/>
          <w:lang w:val="en-US" w:eastAsia="en-US"/>
        </w:rPr>
        <w:fldChar w:fldCharType="separate"/>
      </w:r>
      <w:r w:rsidRPr="008419AB">
        <w:rPr>
          <w:rFonts w:eastAsia="Calibri" w:cs="Times New Roman"/>
          <w:noProof/>
          <w:szCs w:val="20"/>
          <w:lang w:val="en-US" w:eastAsia="en-US"/>
        </w:rPr>
        <w:t>[35]</w:t>
      </w:r>
      <w:r w:rsidRPr="008419AB">
        <w:rPr>
          <w:rFonts w:eastAsia="Calibri" w:cs="Times New Roman"/>
          <w:szCs w:val="20"/>
          <w:lang w:val="en-US" w:eastAsia="en-US"/>
        </w:rPr>
        <w:fldChar w:fldCharType="end"/>
      </w:r>
      <w:r>
        <w:rPr>
          <w:rFonts w:eastAsia="Calibri" w:cs="Times New Roman"/>
          <w:szCs w:val="20"/>
          <w:lang w:val="en-US" w:eastAsia="en-US"/>
        </w:rPr>
        <w:t xml:space="preserve"> reported that c</w:t>
      </w:r>
      <w:r>
        <w:rPr>
          <w:rFonts w:eastAsia="Calibri" w:cs="Times New Roman"/>
          <w:szCs w:val="22"/>
          <w:lang w:val="en-US" w:eastAsia="en-US"/>
        </w:rPr>
        <w:t xml:space="preserve">hildren aged 10 to 12 years with a GMFCS level III had the most improvement on the GDI, but after correcting for other factors, age at surgery was the only predictive factor for long-term results. </w:t>
      </w:r>
      <w:r w:rsidRPr="008419AB">
        <w:rPr>
          <w:rFonts w:eastAsia="Calibri" w:cs="Times New Roman"/>
          <w:szCs w:val="22"/>
          <w:lang w:val="en-US" w:eastAsia="en-US"/>
        </w:rPr>
        <w:t xml:space="preserve">On the contrary, </w:t>
      </w:r>
      <w:proofErr w:type="spellStart"/>
      <w:r w:rsidRPr="008419AB">
        <w:rPr>
          <w:rFonts w:eastAsia="Calibri" w:cs="Times New Roman"/>
          <w:szCs w:val="22"/>
          <w:lang w:val="en-US" w:eastAsia="en-US"/>
        </w:rPr>
        <w:t>Gannotti</w:t>
      </w:r>
      <w:proofErr w:type="spellEnd"/>
      <w:r w:rsidRPr="008419AB">
        <w:rPr>
          <w:rFonts w:eastAsia="Calibri" w:cs="Times New Roman"/>
          <w:szCs w:val="22"/>
          <w:lang w:val="en-US" w:eastAsia="en-US"/>
        </w:rPr>
        <w:t xml:space="preserve"> et al. </w:t>
      </w: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ADDIN CSL_CITATION { "citationItems" : [ { "id" : "ITEM-1", "itemData" : { "abstract" : "Factors associated with longer-term outcomes of multilevel orthopaedic surgery in ambulatory children with cerebral palsy using a multivariate approach were evaluated using a retrospective pretest-posttest design. The population included 20 ambulatory children with spastic diplegia who had undergone multilevel orthopaedic surgery with a minimum of 4-year interval between a preoperative and a postoperative gait assessment. Multiple regression analysis was used to identify factors associated with postoperative velocity and mean knee flexion in stance. Independent variables included in the regression models were velocity, mean knee flexion in stance, age at preoperative evaluation, Gross Motor Function Classification System level, use of ankle-foot orthoses, leg length, age-adjusted body mass index, number of surgical procedures, and range of motion of hip and knee. Children who demonstrated faster postoperative gait velocity 4 years or more after surgery were younger at the time of initial evaluation, had undergone fewer surgical procedures, had faster preoperative gait velocity, used ankle-foot orthoses postoperatively, and had increased hip extension range of motion postoperatively (R = 0.55). Children who demonstrated greater knee flexion in stance 4 years or more after surgery had undergone more surgical procedures, greater postoperative popliteal angle, and less knee extension range of motion (R = 0.73). This study demonstrates the usefulness of a multivariate approach toward understanding and predicting outcomes. The results of this study will provide clinicians and researchers more information about those factors associated with maintained improvements in the longer term and may be useful for treatment planning.", "author" : [ { "dropping-particle" : "", "family" : "Gannotti", "given" : "Mary E", "non-dropping-particle" : "", "parse-names" : false, "suffix" : "" }, { "dropping-particle" : "", "family" : "Gorton", "given" : "George E", "non-dropping-particle" : "", "parse-names" : false, "suffix" : "" }, { "dropping-particle" : "", "family" : "Nahorniak", "given" : "Maureen T", "non-dropping-particle" : "", "parse-names" : false, "suffix" : "" }, { "dropping-particle" : "", "family" : "Masso", "given" : "Peter D", "non-dropping-particle" : "", "parse-names" : false, "suffix" : "" }, { "dropping-particle" : "", "family" : "Landry", "given" : "Bradford", "non-dropping-particle" : "", "parse-names" : false, "suffix" : "" }, { "dropping-particle" : "", "family" : "Lyman", "given" : "Jeffrey", "non-dropping-particle" : "", "parse-names" : false, "suffix" : "" }, { "dropping-particle" : "", "family" : "Sawicki", "given" : "Rebecca", "non-dropping-particle" : "", "parse-names" : false, "suffix" : "" }, { "dropping-particle" : "", "family" : "Hagedorn", "given" : "Kristin", "non-dropping-particle" : "", "parse-names" : false, "suffix" : "" }, { "dropping-particle" : "", "family" : "Ross", "given" : "Ellen", "non-dropping-particle" : "", "parse-names" : false, "suffix" : "" }, { "dropping-particle" : "", "family" : "Warner", "given" : "Jennifer", "non-dropping-particle" : "", "parse-names" : false, "suffix" : "" } ], "container-title" : "Journal of pediatric orthopedics", "id" : "ITEM-1", "issue" : "4", "issued" : { "date-parts" : [ [ "2007" ] ] }, "page" : "451-456", "title" : "Postoperative gait velocity and mean knee flexion in stance of ambulatory children with spastic diplegia four years or more after multilevel surgery.", "type" : "article-journal", "volume" : "27" }, "uris" : [ "http://www.mendeley.com/documents/?uuid=315ba372-246a-4bb9-9f8b-7c868d4fc30b" ] } ], "mendeley" : { "formattedCitation" : "[26]", "plainTextFormattedCitation" : "[26]", "previouslyFormattedCitation" : "[26]" }, "properties" : { "noteIndex" : 0 }, "schema" : "https://github.com/citation-style-language/schema/raw/master/csl-citation.json" }</w:instrText>
      </w:r>
      <w:r w:rsidRPr="008419AB">
        <w:rPr>
          <w:rFonts w:eastAsia="Calibri" w:cs="Times New Roman"/>
          <w:szCs w:val="22"/>
          <w:lang w:val="en-US" w:eastAsia="en-US"/>
        </w:rPr>
        <w:fldChar w:fldCharType="separate"/>
      </w:r>
      <w:r w:rsidRPr="008419AB">
        <w:rPr>
          <w:rFonts w:eastAsia="Calibri" w:cs="Times New Roman"/>
          <w:noProof/>
          <w:szCs w:val="22"/>
          <w:lang w:val="en-US" w:eastAsia="en-US"/>
        </w:rPr>
        <w:t>[26]</w:t>
      </w:r>
      <w:r w:rsidRPr="008419AB">
        <w:rPr>
          <w:rFonts w:eastAsia="Calibri" w:cs="Times New Roman"/>
          <w:szCs w:val="22"/>
          <w:lang w:val="en-US" w:eastAsia="en-US"/>
        </w:rPr>
        <w:fldChar w:fldCharType="end"/>
      </w:r>
      <w:r w:rsidRPr="008419AB">
        <w:rPr>
          <w:rFonts w:eastAsia="Calibri" w:cs="Times New Roman"/>
          <w:szCs w:val="22"/>
          <w:lang w:val="en-US" w:eastAsia="en-US"/>
        </w:rPr>
        <w:t xml:space="preserve"> found that children with a faster postoperative gait velocity four years after surgery were younger at time of surgery,</w:t>
      </w:r>
      <w:r w:rsidRPr="008419AB">
        <w:rPr>
          <w:rFonts w:eastAsia="Calibri" w:cs="Times New Roman"/>
          <w:szCs w:val="22"/>
          <w:vertAlign w:val="superscript"/>
          <w:lang w:val="en-US" w:eastAsia="en-US"/>
        </w:rPr>
        <w:t xml:space="preserve"> </w:t>
      </w:r>
      <w:r w:rsidRPr="008419AB">
        <w:rPr>
          <w:rFonts w:eastAsia="Calibri" w:cs="Times New Roman"/>
          <w:szCs w:val="22"/>
          <w:lang w:val="en-US" w:eastAsia="en-US"/>
        </w:rPr>
        <w:t>had fewer previous surgeries and a faster preoperative gait velocity.</w:t>
      </w:r>
      <w:r>
        <w:rPr>
          <w:rFonts w:eastAsia="Calibri" w:cs="Times New Roman"/>
          <w:szCs w:val="22"/>
          <w:lang w:val="en-US" w:eastAsia="en-US"/>
        </w:rPr>
        <w:t xml:space="preserve"> </w:t>
      </w:r>
      <w:r w:rsidRPr="008419AB">
        <w:rPr>
          <w:rFonts w:eastAsia="Calibri" w:cs="Times New Roman"/>
          <w:szCs w:val="22"/>
          <w:lang w:val="en-US" w:eastAsia="en-US"/>
        </w:rPr>
        <w:t xml:space="preserve">Harvey et al. </w:t>
      </w:r>
      <w:r w:rsidRPr="008419AB">
        <w:rPr>
          <w:rFonts w:eastAsia="Calibri" w:cs="Times New Roman"/>
          <w:szCs w:val="22"/>
          <w:vertAlign w:val="superscript"/>
          <w:lang w:val="en-US" w:eastAsia="en-US"/>
        </w:rPr>
        <w:fldChar w:fldCharType="begin" w:fldLock="1"/>
      </w:r>
      <w:r w:rsidRPr="008419AB">
        <w:rPr>
          <w:rFonts w:eastAsia="Calibri" w:cs="Times New Roman"/>
          <w:szCs w:val="22"/>
          <w:vertAlign w:val="superscript"/>
          <w:lang w:val="en-US" w:eastAsia="en-US"/>
        </w:rPr>
        <w:instrText>ADDIN CSL_CITATION { "citationItems" : [ { "id" : "ITEM-1", "itemData" : { "abstract" : "Objective: To examine changes in mobility longitudinally following single-event multilevel surgery in ambulant children with cerebral palsy, focusing on those using assistive devices for functional mobility because they are most at risk of declining gross motor function. Participants: A consecutive sample of 156 ambulant children with cerebral palsy (99 males), 96 without devices (Gross Motor Function Classification System (GMFCS) I/II), 60 with devices (GMFCS III) who had single-event multilevel surgery at mean age 11 years 1 month. Methods: GMFCS and Functional Mobility Scale (FMS) ratings were recorded pre-operatively and at 2 and 5 years post-operatively. A proportional odds logistic regression model was used for the GMFCS III group to predict the probability of assistive device requirements post-operatively conditional on baseline FMS. Results: Children in GMFCS III showed more change than those in I/II at home and school. Those in GMFCS III using crutches pre-operatively at home and school were more likely to continue using them at 5 years, whereas those using walkers were more likely to change to crutches or wheelchairs. Wheelchairs were most commonly used in the community before and after single-event multilevel surgery. Conclusion: Mobility was generally stable or improved at 5 years after single-event multilevel surgery; however, a small number of children used more assistance to facilitate mobility.", "author" : [ { "dropping-particle" : "", "family" : "Harvey", "given" : "Adrienne", "non-dropping-particle" : "", "parse-names" : false, "suffix" : "" }, { "dropping-particle" : "", "family" : "Rosenbaum", "given" : "Peter", "non-dropping-particle" : "", "parse-names" : false, "suffix" : "" }, { "dropping-particle" : "", "family" : "Hanna", "given" : "Steven", "non-dropping-particle" : "", "parse-names" : false, "suffix" : "" }, { "dropping-particle" : "", "family" : "Yousefi-Nooraie", "given" : "Reza", "non-dropping-particle" : "", "parse-names" : false, "suffix" : "" }, { "dropping-particle" : "", "family" : "Graham", "given" : "H. Kerr", "non-dropping-particle" : "", "parse-names" : false, "suffix" : "" } ], "container-title" : "Journal of Rehabilitation Medicine", "id" : "ITEM-1", "issued" : { "date-parts" : [ [ "2012" ] ] }, "page" : "137-143", "title" : "Longitudinal changes in mobility following single-event multilevel surgery in ambulatory children with cerebral palsy", "type" : "article-journal", "volume" : "44" }, "uris" : [ "http://www.mendeley.com/documents/?uuid=0ab0b231-bb87-4e75-a09a-5439d9a65765" ] } ], "mendeley" : { "formattedCitation" : "[28]", "plainTextFormattedCitation" : "[28]", "previouslyFormattedCitation" : "[28]" }, "properties" : { "noteIndex" : 0 }, "schema" : "https://github.com/citation-style-language/schema/raw/master/csl-citation.json" }</w:instrText>
      </w:r>
      <w:r w:rsidRPr="008419AB">
        <w:rPr>
          <w:rFonts w:eastAsia="Calibri" w:cs="Times New Roman"/>
          <w:szCs w:val="22"/>
          <w:vertAlign w:val="superscript"/>
          <w:lang w:val="en-US" w:eastAsia="en-US"/>
        </w:rPr>
        <w:fldChar w:fldCharType="separate"/>
      </w:r>
      <w:r w:rsidRPr="008419AB">
        <w:rPr>
          <w:rFonts w:eastAsia="Calibri" w:cs="Times New Roman"/>
          <w:noProof/>
          <w:szCs w:val="22"/>
          <w:lang w:val="en-US" w:eastAsia="en-US"/>
        </w:rPr>
        <w:t>[28]</w:t>
      </w:r>
      <w:r w:rsidRPr="008419AB">
        <w:rPr>
          <w:rFonts w:eastAsia="Calibri" w:cs="Times New Roman"/>
          <w:szCs w:val="22"/>
          <w:vertAlign w:val="superscript"/>
          <w:lang w:val="en-US" w:eastAsia="en-US"/>
        </w:rPr>
        <w:fldChar w:fldCharType="end"/>
      </w:r>
      <w:r w:rsidRPr="008419AB">
        <w:rPr>
          <w:rFonts w:eastAsia="Calibri" w:cs="Times New Roman"/>
          <w:szCs w:val="22"/>
          <w:lang w:val="en-US" w:eastAsia="en-US"/>
        </w:rPr>
        <w:t xml:space="preserve"> </w:t>
      </w:r>
      <w:r>
        <w:rPr>
          <w:rFonts w:eastAsia="Calibri" w:cs="Times New Roman"/>
          <w:szCs w:val="22"/>
          <w:lang w:val="en-US" w:eastAsia="en-US"/>
        </w:rPr>
        <w:t>focused on</w:t>
      </w:r>
      <w:r w:rsidRPr="008419AB">
        <w:rPr>
          <w:rFonts w:eastAsia="Calibri" w:cs="Times New Roman"/>
          <w:szCs w:val="22"/>
          <w:lang w:val="en-US" w:eastAsia="en-US"/>
        </w:rPr>
        <w:t xml:space="preserve"> the changes in the use of assistive devices five years after SEMLS and concluded that children with higher GMFCS scores </w:t>
      </w:r>
      <w:r>
        <w:rPr>
          <w:rFonts w:eastAsia="Calibri" w:cs="Times New Roman"/>
          <w:szCs w:val="22"/>
          <w:lang w:val="en-US" w:eastAsia="en-US"/>
        </w:rPr>
        <w:t xml:space="preserve">were characterized by </w:t>
      </w:r>
      <w:r w:rsidRPr="008419AB">
        <w:rPr>
          <w:rFonts w:eastAsia="Calibri" w:cs="Times New Roman"/>
          <w:szCs w:val="22"/>
          <w:lang w:val="en-US" w:eastAsia="en-US"/>
        </w:rPr>
        <w:t xml:space="preserve">more changes in school or at home after surgery because of the greater risk of declining gross motor function when they </w:t>
      </w:r>
      <w:r>
        <w:rPr>
          <w:rFonts w:eastAsia="Calibri" w:cs="Times New Roman"/>
          <w:szCs w:val="22"/>
          <w:lang w:val="en-US" w:eastAsia="en-US"/>
        </w:rPr>
        <w:t>we</w:t>
      </w:r>
      <w:r w:rsidRPr="008419AB">
        <w:rPr>
          <w:rFonts w:eastAsia="Calibri" w:cs="Times New Roman"/>
          <w:szCs w:val="22"/>
          <w:lang w:val="en-US" w:eastAsia="en-US"/>
        </w:rPr>
        <w:t xml:space="preserve">re adults. For example, if the children used crutches </w:t>
      </w:r>
      <w:r>
        <w:rPr>
          <w:rFonts w:eastAsia="Calibri" w:cs="Times New Roman"/>
          <w:szCs w:val="22"/>
          <w:lang w:val="en-US" w:eastAsia="en-US"/>
        </w:rPr>
        <w:t>at</w:t>
      </w:r>
      <w:r w:rsidRPr="008419AB">
        <w:rPr>
          <w:rFonts w:eastAsia="Calibri" w:cs="Times New Roman"/>
          <w:szCs w:val="22"/>
          <w:lang w:val="en-US" w:eastAsia="en-US"/>
        </w:rPr>
        <w:t xml:space="preserve"> school or at home preoperatively, they tended to continue using them five years postoperatively and if they used walkers they had more chance of changing to crutches postoperatively.</w:t>
      </w:r>
    </w:p>
    <w:p w14:paraId="56B4A0EE" w14:textId="50D678E4" w:rsidR="00E02B30" w:rsidRDefault="00E02B30" w:rsidP="00E02B30">
      <w:pPr>
        <w:tabs>
          <w:tab w:val="right" w:pos="426"/>
        </w:tabs>
        <w:spacing w:line="360" w:lineRule="auto"/>
        <w:rPr>
          <w:rFonts w:eastAsia="Calibri" w:cs="Times New Roman"/>
          <w:szCs w:val="22"/>
          <w:lang w:val="en-US" w:eastAsia="en-US"/>
        </w:rPr>
      </w:pPr>
      <w:r w:rsidRPr="008419AB">
        <w:rPr>
          <w:rFonts w:eastAsia="Calibri" w:cs="Times New Roman"/>
          <w:szCs w:val="22"/>
          <w:lang w:val="en-US" w:eastAsia="en-US"/>
        </w:rPr>
        <w:t>In conclusion, while some positive results of SEMLS on the long-term h</w:t>
      </w:r>
      <w:r>
        <w:rPr>
          <w:rFonts w:eastAsia="Calibri" w:cs="Times New Roman"/>
          <w:szCs w:val="22"/>
          <w:lang w:val="en-US" w:eastAsia="en-US"/>
        </w:rPr>
        <w:t xml:space="preserve">ave been shown, there is still </w:t>
      </w:r>
      <w:r w:rsidRPr="008419AB">
        <w:rPr>
          <w:rFonts w:eastAsia="Calibri" w:cs="Times New Roman"/>
          <w:szCs w:val="22"/>
          <w:lang w:val="en-US" w:eastAsia="en-US"/>
        </w:rPr>
        <w:t xml:space="preserve"> </w:t>
      </w:r>
      <w:r>
        <w:rPr>
          <w:rFonts w:eastAsia="Calibri" w:cs="Times New Roman"/>
          <w:szCs w:val="22"/>
          <w:lang w:val="en-US" w:eastAsia="en-US"/>
        </w:rPr>
        <w:t xml:space="preserve">a </w:t>
      </w:r>
      <w:r w:rsidRPr="008419AB">
        <w:rPr>
          <w:rFonts w:eastAsia="Calibri" w:cs="Times New Roman"/>
          <w:szCs w:val="22"/>
          <w:lang w:val="en-US" w:eastAsia="en-US"/>
        </w:rPr>
        <w:t xml:space="preserve">lack of sufficient evidence and </w:t>
      </w:r>
      <w:r>
        <w:rPr>
          <w:rFonts w:eastAsia="Calibri" w:cs="Times New Roman"/>
          <w:szCs w:val="22"/>
          <w:lang w:val="en-US" w:eastAsia="en-US"/>
        </w:rPr>
        <w:t xml:space="preserve">there are </w:t>
      </w:r>
      <w:r w:rsidRPr="008419AB">
        <w:rPr>
          <w:rFonts w:eastAsia="Calibri" w:cs="Times New Roman"/>
          <w:szCs w:val="22"/>
          <w:lang w:val="en-US" w:eastAsia="en-US"/>
        </w:rPr>
        <w:t>contradictory results regarding predictors of good outcome. Further studies are needed to assess the long-term outcome of SEMLS in these children. Therefore</w:t>
      </w:r>
      <w:r>
        <w:rPr>
          <w:rFonts w:eastAsia="Calibri" w:cs="Times New Roman"/>
          <w:szCs w:val="22"/>
          <w:lang w:val="en-US" w:eastAsia="en-US"/>
        </w:rPr>
        <w:t>,</w:t>
      </w:r>
      <w:r w:rsidRPr="008419AB">
        <w:rPr>
          <w:rFonts w:eastAsia="Calibri" w:cs="Times New Roman"/>
          <w:szCs w:val="22"/>
          <w:lang w:val="en-US" w:eastAsia="en-US"/>
        </w:rPr>
        <w:t xml:space="preserve"> the aims </w:t>
      </w:r>
      <w:r>
        <w:rPr>
          <w:rFonts w:eastAsia="Calibri" w:cs="Times New Roman"/>
          <w:szCs w:val="22"/>
          <w:lang w:val="en-US" w:eastAsia="en-US"/>
        </w:rPr>
        <w:t xml:space="preserve">of </w:t>
      </w:r>
      <w:r w:rsidRPr="008419AB">
        <w:rPr>
          <w:rFonts w:eastAsia="Calibri" w:cs="Times New Roman"/>
          <w:szCs w:val="22"/>
          <w:lang w:val="en-US" w:eastAsia="en-US"/>
        </w:rPr>
        <w:t xml:space="preserve">this retrospective study are to: 1. report the effect of SEMLS based on results from 3DGA two to </w:t>
      </w:r>
      <w:r>
        <w:rPr>
          <w:rFonts w:eastAsia="Calibri" w:cs="Times New Roman"/>
          <w:szCs w:val="22"/>
          <w:lang w:val="en-US" w:eastAsia="en-US"/>
        </w:rPr>
        <w:t>eight</w:t>
      </w:r>
      <w:r w:rsidRPr="008419AB">
        <w:rPr>
          <w:rFonts w:eastAsia="Calibri" w:cs="Times New Roman"/>
          <w:szCs w:val="22"/>
          <w:lang w:val="en-US" w:eastAsia="en-US"/>
        </w:rPr>
        <w:t xml:space="preserve"> years post-surgery; and 2. explore the predictors of long-term results post SEMLS.  </w:t>
      </w:r>
    </w:p>
    <w:p w14:paraId="1B4C7842" w14:textId="77777777" w:rsidR="005C42AC" w:rsidRPr="00C20E26" w:rsidRDefault="005C42AC" w:rsidP="005C42AC">
      <w:pPr>
        <w:tabs>
          <w:tab w:val="right" w:pos="426"/>
        </w:tabs>
        <w:spacing w:line="360" w:lineRule="auto"/>
        <w:rPr>
          <w:rFonts w:asciiTheme="minorHAnsi" w:hAnsiTheme="minorHAnsi" w:cs="Times New Roman"/>
          <w:b/>
          <w:sz w:val="32"/>
          <w:lang w:val="en-US"/>
        </w:rPr>
      </w:pPr>
      <w:r w:rsidRPr="00C20E26">
        <w:rPr>
          <w:rFonts w:asciiTheme="minorHAnsi" w:hAnsiTheme="minorHAnsi" w:cs="Times New Roman"/>
          <w:b/>
          <w:sz w:val="32"/>
          <w:lang w:val="en-US"/>
        </w:rPr>
        <w:lastRenderedPageBreak/>
        <w:t>2. Methods</w:t>
      </w:r>
    </w:p>
    <w:p w14:paraId="5FAE2F4D" w14:textId="77777777" w:rsidR="005C42AC" w:rsidRPr="00C20E26" w:rsidRDefault="005C42AC" w:rsidP="005C42AC">
      <w:pPr>
        <w:keepNext/>
        <w:keepLines/>
        <w:tabs>
          <w:tab w:val="clear" w:pos="284"/>
          <w:tab w:val="clear" w:pos="567"/>
          <w:tab w:val="clear" w:pos="851"/>
          <w:tab w:val="clear" w:pos="1134"/>
          <w:tab w:val="clear" w:pos="1560"/>
          <w:tab w:val="clear" w:pos="2127"/>
          <w:tab w:val="clear" w:pos="2410"/>
          <w:tab w:val="clear" w:pos="8505"/>
        </w:tabs>
        <w:spacing w:before="200" w:after="200" w:line="276" w:lineRule="auto"/>
        <w:jc w:val="left"/>
        <w:outlineLvl w:val="2"/>
        <w:rPr>
          <w:rFonts w:asciiTheme="minorHAnsi" w:eastAsia="Calibri" w:hAnsiTheme="minorHAnsi" w:cs="Times New Roman"/>
          <w:b/>
          <w:bCs/>
          <w:szCs w:val="22"/>
          <w:lang w:val="en-US" w:eastAsia="en-US"/>
        </w:rPr>
      </w:pPr>
      <w:r w:rsidRPr="00C20E26">
        <w:rPr>
          <w:rFonts w:asciiTheme="minorHAnsi" w:eastAsia="Calibri" w:hAnsiTheme="minorHAnsi" w:cs="Times New Roman"/>
          <w:b/>
          <w:bCs/>
          <w:szCs w:val="22"/>
          <w:lang w:val="en-US" w:eastAsia="en-US"/>
        </w:rPr>
        <w:t>2.1 Subjects</w:t>
      </w:r>
    </w:p>
    <w:p w14:paraId="4FAA2876" w14:textId="463B7144" w:rsidR="005C42AC" w:rsidRPr="008419AB" w:rsidRDefault="005C42AC" w:rsidP="005C42AC">
      <w:pPr>
        <w:shd w:val="clear" w:color="auto" w:fill="FFFFFF"/>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Pr>
          <w:rFonts w:eastAsia="Calibri" w:cs="Times New Roman"/>
          <w:szCs w:val="22"/>
          <w:lang w:val="en-US" w:eastAsia="en-US"/>
        </w:rPr>
        <w:t>Nine</w:t>
      </w:r>
      <w:r>
        <w:rPr>
          <w:rFonts w:eastAsia="Calibri" w:cs="Times New Roman"/>
          <w:szCs w:val="22"/>
          <w:lang w:val="en-US" w:eastAsia="en-US"/>
        </w:rPr>
        <w:t xml:space="preserve"> hundred </w:t>
      </w:r>
      <w:r>
        <w:rPr>
          <w:rFonts w:eastAsia="Calibri" w:cs="Times New Roman"/>
          <w:szCs w:val="22"/>
          <w:lang w:val="en-US" w:eastAsia="en-US"/>
        </w:rPr>
        <w:t>forty</w:t>
      </w:r>
      <w:r>
        <w:rPr>
          <w:rFonts w:eastAsia="Calibri" w:cs="Times New Roman"/>
          <w:szCs w:val="22"/>
          <w:lang w:val="en-US" w:eastAsia="en-US"/>
        </w:rPr>
        <w:t>-</w:t>
      </w:r>
      <w:r>
        <w:rPr>
          <w:rFonts w:eastAsia="Calibri" w:cs="Times New Roman"/>
          <w:szCs w:val="22"/>
          <w:lang w:val="en-US" w:eastAsia="en-US"/>
        </w:rPr>
        <w:t xml:space="preserve">five </w:t>
      </w:r>
      <w:r w:rsidRPr="008419AB">
        <w:rPr>
          <w:rFonts w:eastAsia="Calibri" w:cs="Times New Roman"/>
          <w:szCs w:val="22"/>
          <w:lang w:val="en-US" w:eastAsia="en-US"/>
        </w:rPr>
        <w:t xml:space="preserve">children with CP were </w:t>
      </w:r>
      <w:r>
        <w:rPr>
          <w:rFonts w:eastAsia="Calibri" w:cs="Times New Roman"/>
          <w:szCs w:val="22"/>
          <w:lang w:val="en-US" w:eastAsia="en-US"/>
        </w:rPr>
        <w:t xml:space="preserve">assessed for eligibility </w:t>
      </w:r>
      <w:r w:rsidRPr="008419AB">
        <w:rPr>
          <w:rFonts w:eastAsia="Calibri" w:cs="Times New Roman"/>
          <w:szCs w:val="22"/>
          <w:lang w:val="en-US" w:eastAsia="en-US"/>
        </w:rPr>
        <w:t xml:space="preserve"> in this retrospective study. The children were selected from the database of the Clinical Motion Analysis Laboratory of the University Hospital of Leuven.</w:t>
      </w:r>
      <w:r w:rsidR="00804C05">
        <w:rPr>
          <w:rFonts w:eastAsia="Calibri" w:cs="Times New Roman"/>
          <w:szCs w:val="22"/>
          <w:lang w:val="en-US" w:eastAsia="en-US"/>
        </w:rPr>
        <w:t xml:space="preserve"> </w:t>
      </w:r>
      <w:r w:rsidRPr="008419AB">
        <w:rPr>
          <w:rFonts w:eastAsia="Calibri" w:cs="Times New Roman"/>
          <w:szCs w:val="22"/>
          <w:lang w:val="en-US" w:eastAsia="en-US"/>
        </w:rPr>
        <w:t xml:space="preserve">The following inclusion criteria were used: (1) diagnosis of CP, (2) a SEMLS at UZ Leuven, (3) aged between five and 18 years at date of operation, (4) GMFCS I-III, (5) presence of a preoperative 3DGA, (6) presence of at least one postoperative 3DGA and (7) follow-up, including 3DGA, between two and </w:t>
      </w:r>
      <w:r>
        <w:rPr>
          <w:rFonts w:eastAsia="Calibri" w:cs="Times New Roman"/>
          <w:szCs w:val="22"/>
          <w:lang w:val="en-US" w:eastAsia="en-US"/>
        </w:rPr>
        <w:t xml:space="preserve">ten </w:t>
      </w:r>
      <w:r w:rsidRPr="008419AB">
        <w:rPr>
          <w:rFonts w:eastAsia="Calibri" w:cs="Times New Roman"/>
          <w:szCs w:val="22"/>
          <w:lang w:val="en-US" w:eastAsia="en-US"/>
        </w:rPr>
        <w:t>years post-surgery. Children with the following criteria were excluded from the study: diagnosis other than CP, intra-muscular Botulinum Toxin-A injections</w:t>
      </w:r>
      <w:r>
        <w:rPr>
          <w:rFonts w:eastAsia="Calibri" w:cs="Times New Roman"/>
          <w:szCs w:val="22"/>
          <w:lang w:val="en-US" w:eastAsia="en-US"/>
        </w:rPr>
        <w:t xml:space="preserve"> up to six months before preoperative</w:t>
      </w:r>
      <w:r w:rsidRPr="008419AB">
        <w:rPr>
          <w:rFonts w:eastAsia="Calibri" w:cs="Times New Roman"/>
          <w:szCs w:val="22"/>
          <w:lang w:val="en-US" w:eastAsia="en-US"/>
        </w:rPr>
        <w:t xml:space="preserve"> GA, prior </w:t>
      </w:r>
      <w:proofErr w:type="spellStart"/>
      <w:r w:rsidRPr="008419AB">
        <w:rPr>
          <w:rFonts w:eastAsia="Calibri" w:cs="Times New Roman"/>
          <w:szCs w:val="22"/>
          <w:lang w:val="en-US" w:eastAsia="en-US"/>
        </w:rPr>
        <w:t>orthopaedic</w:t>
      </w:r>
      <w:proofErr w:type="spellEnd"/>
      <w:r w:rsidRPr="008419AB">
        <w:rPr>
          <w:rFonts w:eastAsia="Calibri" w:cs="Times New Roman"/>
          <w:szCs w:val="22"/>
          <w:lang w:val="en-US" w:eastAsia="en-US"/>
        </w:rPr>
        <w:t xml:space="preserve"> surgery less than one year before </w:t>
      </w:r>
      <w:r>
        <w:rPr>
          <w:rFonts w:eastAsia="Calibri" w:cs="Times New Roman"/>
          <w:szCs w:val="22"/>
          <w:lang w:val="en-US" w:eastAsia="en-US"/>
        </w:rPr>
        <w:t>preoperative</w:t>
      </w:r>
      <w:r w:rsidRPr="008419AB">
        <w:rPr>
          <w:rFonts w:eastAsia="Calibri" w:cs="Times New Roman"/>
          <w:szCs w:val="22"/>
          <w:lang w:val="en-US" w:eastAsia="en-US"/>
        </w:rPr>
        <w:t xml:space="preserve"> GA, selective dorsal </w:t>
      </w:r>
      <w:proofErr w:type="spellStart"/>
      <w:r w:rsidRPr="008419AB">
        <w:rPr>
          <w:rFonts w:eastAsia="Calibri" w:cs="Times New Roman"/>
          <w:szCs w:val="22"/>
          <w:lang w:val="en-US" w:eastAsia="en-US"/>
        </w:rPr>
        <w:t>rhizotomy</w:t>
      </w:r>
      <w:proofErr w:type="spellEnd"/>
      <w:r w:rsidRPr="008419AB">
        <w:rPr>
          <w:rFonts w:eastAsia="Calibri" w:cs="Times New Roman"/>
          <w:szCs w:val="22"/>
          <w:lang w:val="en-US" w:eastAsia="en-US"/>
        </w:rPr>
        <w:t xml:space="preserve"> (SDR) and the use of an intrathecal baclofen pump (ITB).</w:t>
      </w:r>
    </w:p>
    <w:p w14:paraId="4DDF09AA" w14:textId="77777777" w:rsidR="005C42AC" w:rsidRPr="008419AB" w:rsidRDefault="005C42AC" w:rsidP="005C42AC">
      <w:pPr>
        <w:shd w:val="clear" w:color="auto" w:fill="FFFFFF"/>
        <w:tabs>
          <w:tab w:val="clear" w:pos="284"/>
          <w:tab w:val="clear" w:pos="567"/>
          <w:tab w:val="clear" w:pos="851"/>
          <w:tab w:val="clear" w:pos="1134"/>
          <w:tab w:val="clear" w:pos="1560"/>
          <w:tab w:val="clear" w:pos="2127"/>
          <w:tab w:val="clear" w:pos="2410"/>
          <w:tab w:val="clear" w:pos="8505"/>
        </w:tabs>
        <w:spacing w:after="200" w:line="360" w:lineRule="auto"/>
        <w:rPr>
          <w:rFonts w:eastAsia="Calibri" w:cs="Times New Roman"/>
          <w:szCs w:val="22"/>
          <w:lang w:val="en-US" w:eastAsia="en-US"/>
        </w:rPr>
      </w:pPr>
      <w:r w:rsidRPr="008419AB">
        <w:rPr>
          <w:rFonts w:eastAsia="Calibri" w:cs="Times New Roman"/>
          <w:szCs w:val="22"/>
          <w:lang w:val="en-GB" w:eastAsia="en-US"/>
        </w:rPr>
        <w:t xml:space="preserve">For the purpose of this study, </w:t>
      </w:r>
      <w:r w:rsidRPr="008419AB">
        <w:rPr>
          <w:rFonts w:eastAsia="Calibri" w:cs="Segoe UI"/>
          <w:color w:val="000000"/>
          <w:szCs w:val="22"/>
          <w:lang w:val="en-US" w:eastAsia="en-US"/>
        </w:rPr>
        <w:t xml:space="preserve">SEMLS was defined as at least one surgical procedure performed at two different anatomical levels (hip, knee or ankle) constituting both soft tissue and bony surgery or </w:t>
      </w:r>
      <w:r>
        <w:rPr>
          <w:rFonts w:eastAsia="Calibri" w:cs="Segoe UI"/>
          <w:color w:val="000000"/>
          <w:szCs w:val="22"/>
          <w:lang w:val="en-US" w:eastAsia="en-US"/>
        </w:rPr>
        <w:t xml:space="preserve">only </w:t>
      </w:r>
      <w:r w:rsidRPr="008419AB">
        <w:rPr>
          <w:rFonts w:eastAsia="Calibri" w:cs="Segoe UI"/>
          <w:color w:val="000000"/>
          <w:szCs w:val="22"/>
          <w:lang w:val="en-US" w:eastAsia="en-US"/>
        </w:rPr>
        <w:t xml:space="preserve">bony surgery </w:t>
      </w:r>
      <w:r>
        <w:rPr>
          <w:rFonts w:eastAsia="Calibri" w:cs="Segoe UI"/>
          <w:color w:val="000000"/>
          <w:szCs w:val="22"/>
          <w:lang w:val="en-US" w:eastAsia="en-US"/>
        </w:rPr>
        <w:fldChar w:fldCharType="begin" w:fldLock="1"/>
      </w:r>
      <w:r>
        <w:rPr>
          <w:rFonts w:eastAsia="Calibri" w:cs="Segoe UI"/>
          <w:color w:val="000000"/>
          <w:szCs w:val="22"/>
          <w:lang w:val="en-US" w:eastAsia="en-US"/>
        </w:rPr>
        <w:instrText>ADDIN CSL_CITATION { "citationItems" : [ { "id" : "ITEM-1", "itemData" : { "abstract" : "Background: Single Event Multilevel Surgery (SEMLS) is considered the standard of care to improve gait and function in children with bilateral spastic cerebral palsy (BSCP). We have demonstrated in a randomized controlled trial (RCT) of SEMLS, that gait was improved at 12 months after surgery and gross motor function at 24 months after surgery. The question addressed in this study, was to determine if improvements in gait and function, would be maintained at 5 year follow-up. Methods: Nineteen children with BSCP, GMFCS levels II (14 children) and III (5 children), mean age 9.7 years (range 7.7-12.2 years) participated in a prospective cohort study following participation in a RCT, with follow-up to 5 years. Outcome measures were Gait Profile Score (GPS), Gillette Gait Index (GGI), Gait Deviation Index (GDI), Gross Motor Function Measure (GMFM66) and Functional Mobility Scale (FMS). Results: Eighteen children have completed follow-up, with interval analysis at 1, 2 and 5 years post SEMLS. One child was excluded because of neurological deterioration and his diagnosis was revised to Hereditary Spastic Paraparesis (HSP). GPS improved by 5.29?? and GMFM66 by 3.3% at 5 years post SEMLS. Differences between outcome measures at 1 versus 5 years and 2 versus 5 years (except GMFM66) were not significant, indicating that improvements in gait and gross motor function were stable over time. Conclusions: SEMLS results in clinically and statistically significant improvements in gait and function, in children with BSCP, which were maintained at 5 years after surgery. ?? 2012.", "author" : [ { "dropping-particle" : "", "family" : "Thomason", "given" : "Pam", "non-dropping-particle" : "", "parse-names" : false, "suffix" : "" }, { "dropping-particle" : "", "family" : "Selber", "given" : "Paulo", "non-dropping-particle" : "", "parse-names" : false, "suffix" : "" }, { "dropping-particle" : "", "family" : "Graham", "given" : "H. Kerr", "non-dropping-particle" : "", "parse-names" : false, "suffix" : "" } ], "container-title" : "Gait and Posture", "id" : "ITEM-1", "issue" : "1", "issued" : { "date-parts" : [ [ "2013" ] ] }, "page" : "23-28", "publisher" : "Elsevier B.V.", "title" : "Single Event Multilevel Surgery in children with bilateral spastic cerebral palsy: A 5 year prospective cohort study", "type" : "article-journal", "volume" : "37" }, "uris" : [ "http://www.mendeley.com/documents/?uuid=6a0b835f-7b5e-496c-a8b1-f84a4410246b" ] } ], "mendeley" : { "formattedCitation" : "[30]", "plainTextFormattedCitation" : "[30]" }, "properties" : { "noteIndex" : 0 }, "schema" : "https://github.com/citation-style-language/schema/raw/master/csl-citation.json" }</w:instrText>
      </w:r>
      <w:r>
        <w:rPr>
          <w:rFonts w:eastAsia="Calibri" w:cs="Segoe UI"/>
          <w:color w:val="000000"/>
          <w:szCs w:val="22"/>
          <w:lang w:val="en-US" w:eastAsia="en-US"/>
        </w:rPr>
        <w:fldChar w:fldCharType="separate"/>
      </w:r>
      <w:r w:rsidRPr="00B54C20">
        <w:rPr>
          <w:rFonts w:eastAsia="Calibri" w:cs="Segoe UI"/>
          <w:noProof/>
          <w:color w:val="000000"/>
          <w:szCs w:val="22"/>
          <w:lang w:val="en-US" w:eastAsia="en-US"/>
        </w:rPr>
        <w:t>[30]</w:t>
      </w:r>
      <w:r>
        <w:rPr>
          <w:rFonts w:eastAsia="Calibri" w:cs="Segoe UI"/>
          <w:color w:val="000000"/>
          <w:szCs w:val="22"/>
          <w:lang w:val="en-US" w:eastAsia="en-US"/>
        </w:rPr>
        <w:fldChar w:fldCharType="end"/>
      </w:r>
      <w:r w:rsidRPr="008419AB">
        <w:rPr>
          <w:rFonts w:eastAsia="Calibri" w:cs="Segoe UI"/>
          <w:color w:val="000000"/>
          <w:szCs w:val="22"/>
          <w:lang w:val="en-US" w:eastAsia="en-US"/>
        </w:rPr>
        <w:t xml:space="preserve">. To match the individual needs of the child, clinical examination and 3DGA were carried out prior to surgery and a multidisciplinary team of clinicians determined which procedures to perform. </w:t>
      </w:r>
      <w:r w:rsidRPr="008419AB">
        <w:rPr>
          <w:rFonts w:eastAsia="Calibri" w:cs="GaramondITCbyBT-Book"/>
          <w:szCs w:val="22"/>
          <w:lang w:val="en-US" w:eastAsia="en-US"/>
        </w:rPr>
        <w:t>Ethical approval for this study was obtained from the Ethics Committee of the University Hospital of Leuven (</w:t>
      </w:r>
      <w:r>
        <w:rPr>
          <w:rFonts w:eastAsia="Calibri" w:cs="Tahoma"/>
          <w:bCs/>
          <w:szCs w:val="22"/>
          <w:lang w:val="en-US" w:eastAsia="nl-NL"/>
        </w:rPr>
        <w:t>s5604</w:t>
      </w:r>
      <w:r w:rsidRPr="008419AB">
        <w:rPr>
          <w:rFonts w:eastAsia="Calibri" w:cs="Tahoma"/>
          <w:bCs/>
          <w:szCs w:val="22"/>
          <w:lang w:val="en-US" w:eastAsia="nl-NL"/>
        </w:rPr>
        <w:t xml:space="preserve">). </w:t>
      </w:r>
    </w:p>
    <w:p w14:paraId="00828D96" w14:textId="77777777" w:rsidR="005C42AC" w:rsidRPr="00C20E26" w:rsidRDefault="005C42AC" w:rsidP="005C42AC">
      <w:pPr>
        <w:keepNext/>
        <w:keepLines/>
        <w:tabs>
          <w:tab w:val="clear" w:pos="284"/>
          <w:tab w:val="clear" w:pos="567"/>
          <w:tab w:val="clear" w:pos="851"/>
          <w:tab w:val="clear" w:pos="1134"/>
          <w:tab w:val="clear" w:pos="1560"/>
          <w:tab w:val="clear" w:pos="2127"/>
          <w:tab w:val="clear" w:pos="2410"/>
          <w:tab w:val="clear" w:pos="8505"/>
        </w:tabs>
        <w:spacing w:before="200" w:after="200" w:line="276" w:lineRule="auto"/>
        <w:jc w:val="left"/>
        <w:outlineLvl w:val="2"/>
        <w:rPr>
          <w:rFonts w:asciiTheme="minorHAnsi" w:eastAsia="Calibri" w:hAnsiTheme="minorHAnsi" w:cs="Times New Roman"/>
          <w:b/>
          <w:bCs/>
          <w:szCs w:val="22"/>
          <w:lang w:val="en-US" w:eastAsia="en-US"/>
        </w:rPr>
      </w:pPr>
      <w:r w:rsidRPr="00C20E26">
        <w:rPr>
          <w:rFonts w:asciiTheme="minorHAnsi" w:eastAsia="Calibri" w:hAnsiTheme="minorHAnsi" w:cs="Times New Roman"/>
          <w:b/>
          <w:bCs/>
          <w:szCs w:val="22"/>
          <w:lang w:val="en-US" w:eastAsia="en-US"/>
        </w:rPr>
        <w:t>2.2 Study design</w:t>
      </w:r>
    </w:p>
    <w:p w14:paraId="2B7E6A44" w14:textId="77777777" w:rsidR="005C42AC" w:rsidRPr="008419AB" w:rsidRDefault="005C42AC" w:rsidP="005C42AC">
      <w:pPr>
        <w:tabs>
          <w:tab w:val="clear" w:pos="284"/>
          <w:tab w:val="clear" w:pos="567"/>
          <w:tab w:val="clear" w:pos="851"/>
          <w:tab w:val="clear" w:pos="1134"/>
          <w:tab w:val="clear" w:pos="1560"/>
          <w:tab w:val="clear" w:pos="2127"/>
          <w:tab w:val="clear" w:pos="2410"/>
          <w:tab w:val="clear" w:pos="8505"/>
        </w:tabs>
        <w:spacing w:line="360" w:lineRule="auto"/>
        <w:rPr>
          <w:rFonts w:eastAsia="Calibri" w:cs="Tahoma"/>
          <w:color w:val="000000"/>
          <w:szCs w:val="22"/>
          <w:lang w:val="en-US" w:eastAsia="nl-NL"/>
        </w:rPr>
      </w:pPr>
      <w:r w:rsidRPr="008419AB">
        <w:rPr>
          <w:rFonts w:eastAsia="Calibri" w:cs="Times New Roman"/>
          <w:szCs w:val="22"/>
          <w:lang w:val="en-US" w:eastAsia="en-US"/>
        </w:rPr>
        <w:t xml:space="preserve">All </w:t>
      </w:r>
      <w:r>
        <w:rPr>
          <w:rFonts w:eastAsia="Calibri" w:cs="Times New Roman"/>
          <w:szCs w:val="22"/>
          <w:lang w:val="en-US" w:eastAsia="en-US"/>
        </w:rPr>
        <w:t>included</w:t>
      </w:r>
      <w:r w:rsidRPr="008419AB">
        <w:rPr>
          <w:rFonts w:eastAsia="Calibri" w:cs="Times New Roman"/>
          <w:szCs w:val="22"/>
          <w:lang w:val="en-US" w:eastAsia="en-US"/>
        </w:rPr>
        <w:t xml:space="preserve"> </w:t>
      </w:r>
      <w:r>
        <w:rPr>
          <w:rFonts w:eastAsia="Calibri" w:cs="Times New Roman"/>
          <w:szCs w:val="22"/>
          <w:lang w:val="en-US" w:eastAsia="en-US"/>
        </w:rPr>
        <w:t xml:space="preserve">children </w:t>
      </w:r>
      <w:r w:rsidRPr="008419AB">
        <w:rPr>
          <w:rFonts w:eastAsia="Calibri" w:cs="Times New Roman"/>
          <w:szCs w:val="22"/>
          <w:lang w:val="en-US" w:eastAsia="en-US"/>
        </w:rPr>
        <w:t xml:space="preserve">had a </w:t>
      </w:r>
      <w:r>
        <w:rPr>
          <w:rFonts w:eastAsia="Calibri" w:cs="Times New Roman"/>
          <w:szCs w:val="22"/>
          <w:lang w:val="en-US" w:eastAsia="en-US"/>
        </w:rPr>
        <w:t xml:space="preserve">preoperative </w:t>
      </w:r>
      <w:r w:rsidRPr="008419AB">
        <w:rPr>
          <w:rFonts w:eastAsia="Calibri" w:cs="Times New Roman"/>
          <w:szCs w:val="22"/>
          <w:lang w:val="en-US" w:eastAsia="en-US"/>
        </w:rPr>
        <w:t xml:space="preserve">3DGA and one or more analyses post-surgery. Follow-up (FU) gait analyses were analyzed at two years (± 1.5), five years (± 1.5) and/or eight years (± 2) post-surgery. </w:t>
      </w:r>
      <w:r w:rsidRPr="008419AB">
        <w:rPr>
          <w:rFonts w:eastAsia="Calibri" w:cs="Tahoma"/>
          <w:color w:val="000000"/>
          <w:szCs w:val="22"/>
          <w:lang w:val="en-US" w:eastAsia="nl-NL"/>
        </w:rPr>
        <w:t xml:space="preserve">Gait data were collected using an eight to 16 camera VICON system, operating at 100 Hz, with 15 reflective markers located at specific anatomical landmarks of the lower limbs, according to the lower limb </w:t>
      </w:r>
      <w:proofErr w:type="spellStart"/>
      <w:r w:rsidRPr="008419AB">
        <w:rPr>
          <w:rFonts w:eastAsia="Calibri" w:cs="Tahoma"/>
          <w:color w:val="000000"/>
          <w:szCs w:val="22"/>
          <w:lang w:val="en-US" w:eastAsia="nl-NL"/>
        </w:rPr>
        <w:t>Vicon</w:t>
      </w:r>
      <w:proofErr w:type="spellEnd"/>
      <w:r w:rsidRPr="008419AB">
        <w:rPr>
          <w:rFonts w:eastAsia="Calibri" w:cs="Tahoma"/>
          <w:color w:val="000000"/>
          <w:szCs w:val="22"/>
          <w:lang w:val="en-US" w:eastAsia="nl-NL"/>
        </w:rPr>
        <w:t xml:space="preserve"> </w:t>
      </w:r>
      <w:proofErr w:type="spellStart"/>
      <w:r w:rsidRPr="008419AB">
        <w:rPr>
          <w:rFonts w:eastAsia="Calibri" w:cs="Tahoma"/>
          <w:color w:val="000000"/>
          <w:szCs w:val="22"/>
          <w:lang w:val="en-US" w:eastAsia="nl-NL"/>
        </w:rPr>
        <w:t>PluginGait</w:t>
      </w:r>
      <w:proofErr w:type="spellEnd"/>
      <w:r w:rsidRPr="008419AB">
        <w:rPr>
          <w:rFonts w:eastAsia="Calibri" w:cs="Tahoma"/>
          <w:color w:val="000000"/>
          <w:szCs w:val="22"/>
          <w:lang w:val="en-US" w:eastAsia="nl-NL"/>
        </w:rPr>
        <w:t xml:space="preserve"> marker configuration (VICON, Oxford Metrics, Oxford, UK). </w:t>
      </w:r>
    </w:p>
    <w:p w14:paraId="2BBF8414" w14:textId="77777777" w:rsidR="005C42AC" w:rsidRPr="008419AB" w:rsidRDefault="005C42AC" w:rsidP="005C42AC">
      <w:pPr>
        <w:tabs>
          <w:tab w:val="clear" w:pos="284"/>
          <w:tab w:val="clear" w:pos="567"/>
          <w:tab w:val="clear" w:pos="851"/>
          <w:tab w:val="clear" w:pos="1134"/>
          <w:tab w:val="clear" w:pos="1560"/>
          <w:tab w:val="clear" w:pos="2127"/>
          <w:tab w:val="clear" w:pos="2410"/>
          <w:tab w:val="clear" w:pos="8505"/>
        </w:tabs>
        <w:spacing w:after="200" w:line="360" w:lineRule="auto"/>
        <w:rPr>
          <w:rFonts w:eastAsia="Calibri" w:cs="Times New Roman"/>
          <w:szCs w:val="22"/>
          <w:lang w:val="en-US" w:eastAsia="nl-NL"/>
        </w:rPr>
      </w:pPr>
      <w:r w:rsidRPr="008419AB">
        <w:rPr>
          <w:rFonts w:eastAsia="Calibri" w:cs="Tahoma"/>
          <w:color w:val="000000"/>
          <w:szCs w:val="22"/>
          <w:lang w:val="en-US" w:eastAsia="nl-NL"/>
        </w:rPr>
        <w:t xml:space="preserve">All children walked barefoot along a </w:t>
      </w:r>
      <w:r>
        <w:rPr>
          <w:rFonts w:eastAsia="Calibri" w:cs="Tahoma"/>
          <w:color w:val="000000"/>
          <w:szCs w:val="22"/>
          <w:lang w:val="en-US" w:eastAsia="nl-NL"/>
        </w:rPr>
        <w:t>10-</w:t>
      </w:r>
      <w:r w:rsidRPr="008419AB">
        <w:rPr>
          <w:rFonts w:eastAsia="Calibri" w:cs="Tahoma"/>
          <w:color w:val="000000"/>
          <w:szCs w:val="22"/>
          <w:lang w:val="en-US" w:eastAsia="nl-NL"/>
        </w:rPr>
        <w:t>meter walkway. Children were instructed to walk at a self-selected walking speed. At least three successful trials were collected. A trial was considered successful when there was good marker visibility.</w:t>
      </w:r>
      <w:r w:rsidRPr="008419AB">
        <w:rPr>
          <w:rFonts w:eastAsia="Calibri" w:cs="Times New Roman"/>
          <w:szCs w:val="22"/>
          <w:lang w:val="en-US" w:eastAsia="nl-NL"/>
        </w:rPr>
        <w:t xml:space="preserve"> </w:t>
      </w:r>
    </w:p>
    <w:p w14:paraId="6D3ABC48" w14:textId="77777777" w:rsidR="005C42AC" w:rsidRPr="00C20E26" w:rsidRDefault="005C42AC" w:rsidP="005C42AC">
      <w:pPr>
        <w:keepNext/>
        <w:keepLines/>
        <w:tabs>
          <w:tab w:val="clear" w:pos="284"/>
          <w:tab w:val="clear" w:pos="567"/>
          <w:tab w:val="clear" w:pos="851"/>
          <w:tab w:val="clear" w:pos="1134"/>
          <w:tab w:val="clear" w:pos="1560"/>
          <w:tab w:val="clear" w:pos="2127"/>
          <w:tab w:val="clear" w:pos="2410"/>
          <w:tab w:val="clear" w:pos="8505"/>
        </w:tabs>
        <w:spacing w:before="200" w:after="200" w:line="276" w:lineRule="auto"/>
        <w:jc w:val="left"/>
        <w:outlineLvl w:val="2"/>
        <w:rPr>
          <w:rFonts w:asciiTheme="minorHAnsi" w:eastAsia="Calibri" w:hAnsiTheme="minorHAnsi" w:cs="Times New Roman"/>
          <w:b/>
          <w:bCs/>
          <w:szCs w:val="22"/>
          <w:lang w:val="en-US" w:eastAsia="en-US"/>
        </w:rPr>
      </w:pPr>
      <w:r w:rsidRPr="00C20E26">
        <w:rPr>
          <w:rFonts w:asciiTheme="minorHAnsi" w:eastAsia="Calibri" w:hAnsiTheme="minorHAnsi" w:cs="Times New Roman"/>
          <w:b/>
          <w:bCs/>
          <w:szCs w:val="22"/>
          <w:lang w:val="en-US" w:eastAsia="en-US"/>
        </w:rPr>
        <w:t>2.3 Data analysis</w:t>
      </w:r>
    </w:p>
    <w:p w14:paraId="26AB1C54" w14:textId="22B9B2AF" w:rsidR="005C42AC" w:rsidRPr="008419AB" w:rsidRDefault="005C42AC" w:rsidP="005C42AC">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nl-NL"/>
        </w:rPr>
      </w:pPr>
      <w:r w:rsidRPr="008419AB">
        <w:rPr>
          <w:rFonts w:eastAsia="Calibri" w:cs="Times New Roman"/>
          <w:szCs w:val="22"/>
          <w:lang w:val="en-US" w:eastAsia="nl-NL"/>
        </w:rPr>
        <w:t xml:space="preserve">Three dimensional kinematic data were calculated for the pelvis, hip, knee, ankle and foot bilaterally, decomposed in the sagittal, coronal and transverse plane. All kinematic analyses were based on the lower limb </w:t>
      </w:r>
      <w:proofErr w:type="spellStart"/>
      <w:r w:rsidRPr="008419AB">
        <w:rPr>
          <w:rFonts w:eastAsia="Calibri" w:cs="Times New Roman"/>
          <w:szCs w:val="22"/>
          <w:lang w:val="en-US" w:eastAsia="nl-NL"/>
        </w:rPr>
        <w:t>PlugInGait</w:t>
      </w:r>
      <w:proofErr w:type="spellEnd"/>
      <w:r w:rsidRPr="008419AB">
        <w:rPr>
          <w:rFonts w:eastAsia="Calibri" w:cs="Times New Roman"/>
          <w:szCs w:val="22"/>
          <w:lang w:val="en-US" w:eastAsia="nl-NL"/>
        </w:rPr>
        <w:t xml:space="preserve"> model (VICON, Oxford Metrics, Oxford, UK). Only the most affected leg was selected for </w:t>
      </w:r>
      <w:r>
        <w:rPr>
          <w:rFonts w:eastAsia="Calibri" w:cs="Times New Roman"/>
          <w:szCs w:val="22"/>
          <w:lang w:val="en-US" w:eastAsia="nl-NL"/>
        </w:rPr>
        <w:t xml:space="preserve">further </w:t>
      </w:r>
      <w:r w:rsidRPr="008419AB">
        <w:rPr>
          <w:rFonts w:eastAsia="Calibri" w:cs="Times New Roman"/>
          <w:szCs w:val="22"/>
          <w:lang w:val="en-US" w:eastAsia="nl-NL"/>
        </w:rPr>
        <w:t xml:space="preserve">analysis. The most affected leg was defined as the operated side if the surgical procedure was performed unilaterally. If bilateral surgery was received, the most affected side was </w:t>
      </w:r>
      <w:r w:rsidRPr="008419AB">
        <w:rPr>
          <w:rFonts w:eastAsia="Calibri" w:cs="Times New Roman"/>
          <w:szCs w:val="22"/>
          <w:lang w:val="en-US" w:eastAsia="nl-NL"/>
        </w:rPr>
        <w:lastRenderedPageBreak/>
        <w:t xml:space="preserve">determined based on </w:t>
      </w:r>
      <w:r>
        <w:rPr>
          <w:rFonts w:eastAsia="Calibri" w:cs="Times New Roman"/>
          <w:szCs w:val="22"/>
          <w:lang w:val="en-US" w:eastAsia="nl-NL"/>
        </w:rPr>
        <w:t xml:space="preserve">the preoperative </w:t>
      </w:r>
      <w:r w:rsidRPr="008419AB">
        <w:rPr>
          <w:rFonts w:eastAsia="Calibri" w:cs="Times New Roman"/>
          <w:szCs w:val="22"/>
          <w:lang w:val="en-US" w:eastAsia="nl-NL"/>
        </w:rPr>
        <w:t>clinical examination. Gait cycles (GC</w:t>
      </w:r>
      <w:r>
        <w:rPr>
          <w:rFonts w:eastAsia="Calibri" w:cs="Times New Roman"/>
          <w:szCs w:val="22"/>
          <w:lang w:val="en-US" w:eastAsia="nl-NL"/>
        </w:rPr>
        <w:t>s</w:t>
      </w:r>
      <w:r w:rsidRPr="008419AB">
        <w:rPr>
          <w:rFonts w:eastAsia="Calibri" w:cs="Times New Roman"/>
          <w:szCs w:val="22"/>
          <w:lang w:val="en-US" w:eastAsia="nl-NL"/>
        </w:rPr>
        <w:t>) were visually determined by indicating the events of initial contact and toe off using Nexus software (</w:t>
      </w:r>
      <w:proofErr w:type="spellStart"/>
      <w:r w:rsidRPr="008419AB">
        <w:rPr>
          <w:rFonts w:eastAsia="Calibri" w:cs="Times New Roman"/>
          <w:szCs w:val="22"/>
          <w:lang w:val="en-US" w:eastAsia="nl-NL"/>
        </w:rPr>
        <w:t>Vicon</w:t>
      </w:r>
      <w:proofErr w:type="spellEnd"/>
      <w:r w:rsidRPr="008419AB">
        <w:rPr>
          <w:rFonts w:eastAsia="Calibri" w:cs="Times New Roman"/>
          <w:szCs w:val="22"/>
          <w:lang w:val="en-US" w:eastAsia="nl-NL"/>
        </w:rPr>
        <w:t xml:space="preserve">, Oxford Metrics Group, Oxford, UK).  This was done for three to six trials to arrive at a minimal of three good </w:t>
      </w:r>
      <w:r>
        <w:rPr>
          <w:rFonts w:eastAsia="Calibri" w:cs="Times New Roman"/>
          <w:szCs w:val="22"/>
          <w:lang w:val="en-US" w:eastAsia="nl-NL"/>
        </w:rPr>
        <w:t xml:space="preserve">GCs </w:t>
      </w:r>
      <w:r w:rsidRPr="008419AB">
        <w:rPr>
          <w:rFonts w:eastAsia="Calibri" w:cs="Times New Roman"/>
          <w:szCs w:val="22"/>
          <w:lang w:val="en-US" w:eastAsia="nl-NL"/>
        </w:rPr>
        <w:t xml:space="preserve">per session per patient. An additional visual quality </w:t>
      </w:r>
      <w:r>
        <w:rPr>
          <w:rFonts w:eastAsia="Calibri" w:cs="Times New Roman"/>
          <w:szCs w:val="22"/>
          <w:lang w:val="en-US" w:eastAsia="nl-NL"/>
        </w:rPr>
        <w:t xml:space="preserve">check </w:t>
      </w:r>
      <w:r w:rsidRPr="008419AB">
        <w:rPr>
          <w:rFonts w:eastAsia="Calibri" w:cs="Times New Roman"/>
          <w:szCs w:val="22"/>
          <w:lang w:val="en-US" w:eastAsia="nl-NL"/>
        </w:rPr>
        <w:t xml:space="preserve">of </w:t>
      </w:r>
      <w:r>
        <w:rPr>
          <w:rFonts w:eastAsia="Calibri" w:cs="Times New Roman"/>
          <w:szCs w:val="22"/>
          <w:lang w:val="en-US" w:eastAsia="nl-NL"/>
        </w:rPr>
        <w:t>all the</w:t>
      </w:r>
      <w:r w:rsidRPr="008419AB">
        <w:rPr>
          <w:rFonts w:eastAsia="Calibri" w:cs="Times New Roman"/>
          <w:szCs w:val="22"/>
          <w:lang w:val="en-US" w:eastAsia="nl-NL"/>
        </w:rPr>
        <w:t xml:space="preserve"> kinematic signals was carried out in custom-made MATLAB software (Mathworks1, Natick, MA, USA), prior to further data analysis. From the continuous waveforms organized in gait cycles for kinematics a set of discrete parameters </w:t>
      </w:r>
      <w:r>
        <w:rPr>
          <w:rFonts w:eastAsia="Calibri" w:cs="Times New Roman"/>
          <w:szCs w:val="22"/>
          <w:lang w:val="en-US" w:eastAsia="nl-NL"/>
        </w:rPr>
        <w:t xml:space="preserve">(maxima, minima, amplitudes, angles at specific time points in the gait cycle, timing of gait cycle events) </w:t>
      </w:r>
      <w:r w:rsidRPr="008419AB">
        <w:rPr>
          <w:rFonts w:eastAsia="Calibri" w:cs="Times New Roman"/>
          <w:szCs w:val="22"/>
          <w:lang w:val="en-US" w:eastAsia="nl-NL"/>
        </w:rPr>
        <w:t>were selected based on clinical relevance. GPS was used as a summary statistic for gait deviation.</w:t>
      </w:r>
      <w:r w:rsidRPr="008419AB">
        <w:rPr>
          <w:rFonts w:eastAsia="Calibri" w:cs="Times New Roman"/>
          <w:color w:val="FF0000"/>
          <w:szCs w:val="22"/>
          <w:lang w:val="en-US" w:eastAsia="nl-NL"/>
        </w:rPr>
        <w:t xml:space="preserve"> </w:t>
      </w:r>
      <w:r w:rsidRPr="008419AB">
        <w:rPr>
          <w:rFonts w:eastAsia="Calibri" w:cs="Tahoma"/>
          <w:szCs w:val="22"/>
          <w:lang w:val="en-US" w:eastAsia="nl-NL"/>
        </w:rPr>
        <w:t xml:space="preserve">The </w:t>
      </w:r>
      <w:r w:rsidRPr="008419AB">
        <w:rPr>
          <w:rFonts w:eastAsia="Calibri" w:cs="Tahoma"/>
          <w:szCs w:val="22"/>
          <w:lang w:val="en-US" w:eastAsia="nl-NL"/>
        </w:rPr>
        <w:t>G</w:t>
      </w:r>
      <w:r>
        <w:rPr>
          <w:rFonts w:eastAsia="Calibri" w:cs="Tahoma"/>
          <w:szCs w:val="22"/>
          <w:lang w:val="en-US" w:eastAsia="nl-NL"/>
        </w:rPr>
        <w:t>V</w:t>
      </w:r>
      <w:r w:rsidRPr="008419AB">
        <w:rPr>
          <w:rFonts w:eastAsia="Calibri" w:cs="Tahoma"/>
          <w:szCs w:val="22"/>
          <w:lang w:val="en-US" w:eastAsia="nl-NL"/>
        </w:rPr>
        <w:t xml:space="preserve">S </w:t>
      </w:r>
      <w:r w:rsidRPr="008419AB">
        <w:rPr>
          <w:rFonts w:eastAsia="Calibri" w:cs="Tahoma"/>
          <w:szCs w:val="22"/>
          <w:lang w:val="en-US" w:eastAsia="nl-NL"/>
        </w:rPr>
        <w:t xml:space="preserve">is the root mean square (RMS) difference between </w:t>
      </w:r>
      <w:r>
        <w:rPr>
          <w:rFonts w:eastAsia="Calibri" w:cs="Tahoma"/>
          <w:szCs w:val="22"/>
          <w:lang w:val="en-US" w:eastAsia="nl-NL"/>
        </w:rPr>
        <w:t>a kinematic variable from the child and from</w:t>
      </w:r>
      <w:r w:rsidRPr="008419AB">
        <w:rPr>
          <w:rFonts w:eastAsia="Calibri" w:cs="Tahoma"/>
          <w:szCs w:val="22"/>
          <w:lang w:val="en-US" w:eastAsia="nl-NL"/>
        </w:rPr>
        <w:t xml:space="preserve"> </w:t>
      </w:r>
      <w:r>
        <w:rPr>
          <w:rFonts w:eastAsia="Calibri" w:cs="Tahoma"/>
          <w:szCs w:val="22"/>
          <w:lang w:val="en-US" w:eastAsia="nl-NL"/>
        </w:rPr>
        <w:t xml:space="preserve">data of typically developing children (n=55, age range 8-14 year) </w:t>
      </w:r>
      <w:r w:rsidRPr="008419AB">
        <w:rPr>
          <w:rFonts w:eastAsia="Calibri" w:cs="Times New Roman"/>
          <w:szCs w:val="22"/>
          <w:lang w:val="en-US" w:eastAsia="nl-NL"/>
        </w:rPr>
        <w:fldChar w:fldCharType="begin" w:fldLock="1"/>
      </w:r>
      <w:r w:rsidRPr="008419AB">
        <w:rPr>
          <w:rFonts w:eastAsia="Calibri" w:cs="Times New Roman"/>
          <w:szCs w:val="22"/>
          <w:lang w:val="en-US" w:eastAsia="nl-NL"/>
        </w:rPr>
        <w:instrText>ADDIN CSL_CITATION { "citationItems" : [ { "id" : "ITEM-1", "itemData" : { "ISBN" : "1879-2219 (Electronic)\\r0966-6362 (Linking)", "ISSN" : "09666362", "abstract" : "The Gait Deviation Index (GDI) has been proposed as an index of overall gait pathology. This study proposes an interpretation of the difference measure upon which the GDI is based, which naturally leads to the definition of a similar index, the Gait Profile Score (GPS). The GPS can be calculated independently of the feature analysis upon which the GDI is based. Understanding what the underlying difference measure represents also suggests that reporting a raw score, as the GPS does, may have advantages over the logarithmic transformation and z-scaling incorporated in the GDI. It also leads to the concept of a Movement Analysis Profile (MAP) to summarise much of the information contained within kinematic data. A validation study on all children attending a paediatric gait analysis service over 3 years (407 children) provides evidence to support the use of the GPS through analysis of its frequency distribution across different Gross Motor Function Classification System (GMFCS) and Gillette Functional Assessment Questionnaire (FAQ) categories, investigation of intra-session variability, and correlation with the square root of GGI. Correlation with GDI confirms the strong relationship between the two measures. The study concludes that GDI and GPS are alternative and closely related measures. The GDI has prior art and is particularly useful in applications arising out of feature analysis such as cluster analysis or subject matching. The GPS will be easier to calculate for new models where a large reference dataset is not available and in association with applications using the MAP. ?? 2009 Elsevier B.V. All rights reserved.", "author" : [ { "dropping-particle" : "", "family" : "Baker", "given" : "Richard", "non-dropping-particle" : "", "parse-names" : false, "suffix" : "" }, { "dropping-particle" : "", "family" : "McGinley", "given" : "Jennifer L.", "non-dropping-particle" : "", "parse-names" : false, "suffix" : "" }, { "dropping-particle" : "", "family" : "Schwartz", "given" : "Michael H.", "non-dropping-particle" : "", "parse-names" : false, "suffix" : "" }, { "dropping-particle" : "", "family" : "Beynon", "given" : "Sarah", "non-dropping-particle" : "", "parse-names" : false, "suffix" : "" }, { "dropping-particle" : "", "family" : "Rozumalski", "given" : "Adam", "non-dropping-particle" : "", "parse-names" : false, "suffix" : "" }, { "dropping-particle" : "", "family" : "Graham", "given" : "H. Kerr", "non-dropping-particle" : "", "parse-names" : false, "suffix" : "" }, { "dropping-particle" : "", "family" : "Tirosh", "given" : "Oren", "non-dropping-particle" : "", "parse-names" : false, "suffix" : "" } ], "container-title" : "Gait and Posture", "id" : "ITEM-1", "issue" : "3", "issued" : { "date-parts" : [ [ "2009" ] ] }, "page" : "265-269", "title" : "The Gait Profile Score and Movement Analysis Profile", "type" : "article-journal", "volume" : "30" }, "uris" : [ "http://www.mendeley.com/documents/?uuid=019fa0c1-7305-4bd9-a395-f1fbe6b55043" ] } ], "mendeley" : { "formattedCitation" : "[36]", "plainTextFormattedCitation" : "[36]", "previouslyFormattedCitation" : "[36]" }, "properties" : { "noteIndex" : 0 }, "schema" : "https://github.com/citation-style-language/schema/raw/master/csl-citation.json" }</w:instrText>
      </w:r>
      <w:r w:rsidRPr="008419AB">
        <w:rPr>
          <w:rFonts w:eastAsia="Calibri" w:cs="Times New Roman"/>
          <w:szCs w:val="22"/>
          <w:lang w:val="en-US" w:eastAsia="nl-NL"/>
        </w:rPr>
        <w:fldChar w:fldCharType="separate"/>
      </w:r>
      <w:r w:rsidRPr="008419AB">
        <w:rPr>
          <w:rFonts w:eastAsia="Calibri" w:cs="Times New Roman"/>
          <w:noProof/>
          <w:szCs w:val="22"/>
          <w:lang w:val="en-US" w:eastAsia="nl-NL"/>
        </w:rPr>
        <w:t>[36]</w:t>
      </w:r>
      <w:r w:rsidRPr="008419AB">
        <w:rPr>
          <w:rFonts w:eastAsia="Calibri" w:cs="Times New Roman"/>
          <w:szCs w:val="22"/>
          <w:lang w:val="en-US" w:eastAsia="nl-NL"/>
        </w:rPr>
        <w:fldChar w:fldCharType="end"/>
      </w:r>
      <w:r w:rsidRPr="008419AB">
        <w:rPr>
          <w:rFonts w:eastAsia="Calibri" w:cs="Tahoma"/>
          <w:szCs w:val="22"/>
          <w:lang w:val="en-US" w:eastAsia="nl-NL"/>
        </w:rPr>
        <w:t>.</w:t>
      </w:r>
      <w:r>
        <w:rPr>
          <w:rFonts w:eastAsia="Calibri" w:cs="Tahoma"/>
          <w:szCs w:val="22"/>
          <w:lang w:val="en-US" w:eastAsia="nl-NL"/>
        </w:rPr>
        <w:t xml:space="preserve"> The GVS for nine key relevant kinematic variables for the right and left legs can be combined to form a Movement Analysis Profile (MAP)</w:t>
      </w:r>
      <w:r>
        <w:rPr>
          <w:rFonts w:eastAsia="Calibri" w:cs="Times New Roman"/>
          <w:szCs w:val="22"/>
          <w:lang w:val="en-US" w:eastAsia="nl-NL"/>
        </w:rPr>
        <w:t xml:space="preserve">. The RMS average of all the variable scores will then equal the GPS calculated from the entire gait vector. </w:t>
      </w:r>
      <w:r w:rsidRPr="008419AB">
        <w:rPr>
          <w:rFonts w:eastAsia="Calibri" w:cs="Times New Roman"/>
          <w:szCs w:val="22"/>
          <w:lang w:val="en-US" w:eastAsia="nl-NL"/>
        </w:rPr>
        <w:fldChar w:fldCharType="begin" w:fldLock="1"/>
      </w:r>
      <w:r w:rsidRPr="008419AB">
        <w:rPr>
          <w:rFonts w:eastAsia="Calibri" w:cs="Times New Roman"/>
          <w:szCs w:val="22"/>
          <w:lang w:val="en-US" w:eastAsia="nl-NL"/>
        </w:rPr>
        <w:instrText>ADDIN CSL_CITATION { "citationItems" : [ { "id" : "ITEM-1", "itemData" : { "ISBN" : "1879-2219 (Electronic)\\r0966-6362 (Linking)", "ISSN" : "09666362", "abstract" : "The Gait Deviation Index (GDI) has been proposed as an index of overall gait pathology. This study proposes an interpretation of the difference measure upon which the GDI is based, which naturally leads to the definition of a similar index, the Gait Profile Score (GPS). The GPS can be calculated independently of the feature analysis upon which the GDI is based. Understanding what the underlying difference measure represents also suggests that reporting a raw score, as the GPS does, may have advantages over the logarithmic transformation and z-scaling incorporated in the GDI. It also leads to the concept of a Movement Analysis Profile (MAP) to summarise much of the information contained within kinematic data. A validation study on all children attending a paediatric gait analysis service over 3 years (407 children) provides evidence to support the use of the GPS through analysis of its frequency distribution across different Gross Motor Function Classification System (GMFCS) and Gillette Functional Assessment Questionnaire (FAQ) categories, investigation of intra-session variability, and correlation with the square root of GGI. Correlation with GDI confirms the strong relationship between the two measures. The study concludes that GDI and GPS are alternative and closely related measures. The GDI has prior art and is particularly useful in applications arising out of feature analysis such as cluster analysis or subject matching. The GPS will be easier to calculate for new models where a large reference dataset is not available and in association with applications using the MAP. ?? 2009 Elsevier B.V. All rights reserved.", "author" : [ { "dropping-particle" : "", "family" : "Baker", "given" : "Richard", "non-dropping-particle" : "", "parse-names" : false, "suffix" : "" }, { "dropping-particle" : "", "family" : "McGinley", "given" : "Jennifer L.", "non-dropping-particle" : "", "parse-names" : false, "suffix" : "" }, { "dropping-particle" : "", "family" : "Schwartz", "given" : "Michael H.", "non-dropping-particle" : "", "parse-names" : false, "suffix" : "" }, { "dropping-particle" : "", "family" : "Beynon", "given" : "Sarah", "non-dropping-particle" : "", "parse-names" : false, "suffix" : "" }, { "dropping-particle" : "", "family" : "Rozumalski", "given" : "Adam", "non-dropping-particle" : "", "parse-names" : false, "suffix" : "" }, { "dropping-particle" : "", "family" : "Graham", "given" : "H. Kerr", "non-dropping-particle" : "", "parse-names" : false, "suffix" : "" }, { "dropping-particle" : "", "family" : "Tirosh", "given" : "Oren", "non-dropping-particle" : "", "parse-names" : false, "suffix" : "" } ], "container-title" : "Gait and Posture", "id" : "ITEM-1", "issue" : "3", "issued" : { "date-parts" : [ [ "2009" ] ] }, "page" : "265-269", "title" : "The Gait Profile Score and Movement Analysis Profile", "type" : "article-journal", "volume" : "30" }, "uris" : [ "http://www.mendeley.com/documents/?uuid=019fa0c1-7305-4bd9-a395-f1fbe6b55043" ] } ], "mendeley" : { "formattedCitation" : "[36]", "plainTextFormattedCitation" : "[36]", "previouslyFormattedCitation" : "[36]" }, "properties" : { "noteIndex" : 0 }, "schema" : "https://github.com/citation-style-language/schema/raw/master/csl-citation.json" }</w:instrText>
      </w:r>
      <w:r w:rsidRPr="008419AB">
        <w:rPr>
          <w:rFonts w:eastAsia="Calibri" w:cs="Times New Roman"/>
          <w:szCs w:val="22"/>
          <w:lang w:val="en-US" w:eastAsia="nl-NL"/>
        </w:rPr>
        <w:fldChar w:fldCharType="separate"/>
      </w:r>
      <w:r w:rsidRPr="008419AB">
        <w:rPr>
          <w:rFonts w:eastAsia="Calibri" w:cs="Times New Roman"/>
          <w:noProof/>
          <w:szCs w:val="22"/>
          <w:lang w:val="en-US" w:eastAsia="nl-NL"/>
        </w:rPr>
        <w:t>[36]</w:t>
      </w:r>
      <w:r w:rsidRPr="008419AB">
        <w:rPr>
          <w:rFonts w:eastAsia="Calibri" w:cs="Times New Roman"/>
          <w:szCs w:val="22"/>
          <w:lang w:val="en-US" w:eastAsia="nl-NL"/>
        </w:rPr>
        <w:fldChar w:fldCharType="end"/>
      </w:r>
      <w:r w:rsidRPr="008419AB">
        <w:rPr>
          <w:rFonts w:eastAsia="Calibri" w:cs="Tahoma"/>
          <w:szCs w:val="22"/>
          <w:lang w:val="en-US" w:eastAsia="nl-NL"/>
        </w:rPr>
        <w:t xml:space="preserve">.  </w:t>
      </w:r>
      <w:r w:rsidRPr="008419AB">
        <w:rPr>
          <w:rFonts w:eastAsia="Calibri" w:cs="Times New Roman"/>
          <w:szCs w:val="22"/>
          <w:lang w:val="en-US" w:eastAsia="nl-NL"/>
        </w:rPr>
        <w:t xml:space="preserve">All </w:t>
      </w:r>
      <w:r>
        <w:rPr>
          <w:rFonts w:eastAsia="Calibri" w:cs="Times New Roman"/>
          <w:szCs w:val="22"/>
          <w:lang w:val="en-US" w:eastAsia="nl-NL"/>
        </w:rPr>
        <w:t xml:space="preserve">discrete </w:t>
      </w:r>
      <w:r w:rsidRPr="008419AB">
        <w:rPr>
          <w:rFonts w:eastAsia="Calibri" w:cs="Times New Roman"/>
          <w:szCs w:val="22"/>
          <w:lang w:val="en-US" w:eastAsia="nl-NL"/>
        </w:rPr>
        <w:t>parameters</w:t>
      </w:r>
      <w:r>
        <w:rPr>
          <w:rFonts w:eastAsia="Calibri" w:cs="Times New Roman"/>
          <w:szCs w:val="22"/>
          <w:lang w:val="en-US" w:eastAsia="nl-NL"/>
        </w:rPr>
        <w:t xml:space="preserve">, as well as the GPS-values, </w:t>
      </w:r>
      <w:r w:rsidRPr="008419AB">
        <w:rPr>
          <w:rFonts w:eastAsia="Calibri" w:cs="Times New Roman"/>
          <w:szCs w:val="22"/>
          <w:lang w:val="en-US" w:eastAsia="nl-NL"/>
        </w:rPr>
        <w:t xml:space="preserve">were automatically extracted from the waveforms using custom-made MATLAB software (Mathworks1, Natick, MA, USA). Per subject, the value of each gait parameter for each of three or more </w:t>
      </w:r>
      <w:r>
        <w:rPr>
          <w:rFonts w:eastAsia="Calibri" w:cs="Times New Roman"/>
          <w:szCs w:val="22"/>
          <w:lang w:val="en-US" w:eastAsia="nl-NL"/>
        </w:rPr>
        <w:t>GCs</w:t>
      </w:r>
      <w:r w:rsidRPr="008419AB">
        <w:rPr>
          <w:rFonts w:eastAsia="Calibri" w:cs="Times New Roman"/>
          <w:szCs w:val="22"/>
          <w:lang w:val="en-US" w:eastAsia="nl-NL"/>
        </w:rPr>
        <w:t xml:space="preserve"> were averaged</w:t>
      </w:r>
      <w:r>
        <w:rPr>
          <w:rFonts w:eastAsia="Calibri" w:cs="Times New Roman"/>
          <w:szCs w:val="22"/>
          <w:lang w:val="en-US" w:eastAsia="nl-NL"/>
        </w:rPr>
        <w:t xml:space="preserve"> for the selected side</w:t>
      </w:r>
      <w:r w:rsidRPr="008419AB">
        <w:rPr>
          <w:rFonts w:eastAsia="Calibri" w:cs="Times New Roman"/>
          <w:szCs w:val="22"/>
          <w:lang w:val="en-US" w:eastAsia="nl-NL"/>
        </w:rPr>
        <w:t xml:space="preserve">. </w:t>
      </w:r>
    </w:p>
    <w:p w14:paraId="0D6A8548" w14:textId="77777777" w:rsidR="005C42AC" w:rsidRPr="008419AB" w:rsidRDefault="005C42AC" w:rsidP="005C42AC">
      <w:pPr>
        <w:tabs>
          <w:tab w:val="clear" w:pos="284"/>
          <w:tab w:val="clear" w:pos="567"/>
          <w:tab w:val="clear" w:pos="851"/>
          <w:tab w:val="clear" w:pos="1134"/>
          <w:tab w:val="clear" w:pos="1560"/>
          <w:tab w:val="clear" w:pos="2127"/>
          <w:tab w:val="clear" w:pos="2410"/>
          <w:tab w:val="clear" w:pos="8505"/>
        </w:tabs>
        <w:spacing w:after="200" w:line="360" w:lineRule="auto"/>
        <w:rPr>
          <w:rFonts w:eastAsia="Calibri" w:cs="Times New Roman"/>
          <w:szCs w:val="22"/>
          <w:lang w:val="en-US" w:eastAsia="nl-NL"/>
        </w:rPr>
      </w:pPr>
      <w:r>
        <w:rPr>
          <w:rFonts w:eastAsia="Calibri" w:cs="Times New Roman"/>
          <w:szCs w:val="22"/>
          <w:lang w:val="en-US" w:eastAsia="nl-NL"/>
        </w:rPr>
        <w:t>The primary outcome included post-operative</w:t>
      </w:r>
      <w:r w:rsidRPr="008419AB">
        <w:rPr>
          <w:rFonts w:eastAsia="Calibri" w:cs="Times New Roman"/>
          <w:szCs w:val="22"/>
          <w:lang w:val="en-US" w:eastAsia="nl-NL"/>
        </w:rPr>
        <w:t xml:space="preserve"> GPS, GPS in the sagittal </w:t>
      </w:r>
      <w:r>
        <w:rPr>
          <w:rFonts w:eastAsia="Calibri" w:cs="Times New Roman"/>
          <w:szCs w:val="22"/>
          <w:lang w:val="en-US" w:eastAsia="nl-NL"/>
        </w:rPr>
        <w:t>plane and GPS in the transverse</w:t>
      </w:r>
      <w:r w:rsidRPr="008419AB">
        <w:rPr>
          <w:rFonts w:eastAsia="Calibri" w:cs="Times New Roman"/>
          <w:szCs w:val="22"/>
          <w:lang w:val="en-US" w:eastAsia="nl-NL"/>
        </w:rPr>
        <w:t xml:space="preserve"> pl</w:t>
      </w:r>
      <w:r>
        <w:rPr>
          <w:rFonts w:eastAsia="Calibri" w:cs="Times New Roman"/>
          <w:szCs w:val="22"/>
          <w:lang w:val="en-US" w:eastAsia="nl-NL"/>
        </w:rPr>
        <w:t>ane. Secondary outcome included the</w:t>
      </w:r>
      <w:r w:rsidRPr="008419AB">
        <w:rPr>
          <w:rFonts w:eastAsia="Calibri" w:cs="Times New Roman"/>
          <w:szCs w:val="22"/>
          <w:lang w:val="en-US" w:eastAsia="nl-NL"/>
        </w:rPr>
        <w:t xml:space="preserve"> mean pelvic tilt</w:t>
      </w:r>
      <w:r>
        <w:rPr>
          <w:rFonts w:eastAsia="Calibri" w:cs="Times New Roman"/>
          <w:szCs w:val="22"/>
          <w:lang w:val="en-US" w:eastAsia="nl-NL"/>
        </w:rPr>
        <w:t xml:space="preserve"> during the gait cycle and maximum hip extension</w:t>
      </w:r>
      <w:r w:rsidRPr="008419AB">
        <w:rPr>
          <w:rFonts w:eastAsia="Calibri" w:cs="Times New Roman"/>
          <w:szCs w:val="22"/>
          <w:lang w:val="en-US" w:eastAsia="nl-NL"/>
        </w:rPr>
        <w:t>, mean hi</w:t>
      </w:r>
      <w:r>
        <w:rPr>
          <w:rFonts w:eastAsia="Calibri" w:cs="Times New Roman"/>
          <w:szCs w:val="22"/>
          <w:lang w:val="en-US" w:eastAsia="nl-NL"/>
        </w:rPr>
        <w:t>p rotation and maximum</w:t>
      </w:r>
      <w:r w:rsidRPr="008419AB">
        <w:rPr>
          <w:rFonts w:eastAsia="Calibri" w:cs="Times New Roman"/>
          <w:szCs w:val="22"/>
          <w:lang w:val="en-US" w:eastAsia="nl-NL"/>
        </w:rPr>
        <w:t xml:space="preserve"> knee extension </w:t>
      </w:r>
      <w:r>
        <w:rPr>
          <w:rFonts w:eastAsia="Calibri" w:cs="Times New Roman"/>
          <w:szCs w:val="22"/>
          <w:lang w:val="en-US" w:eastAsia="nl-NL"/>
        </w:rPr>
        <w:t>during</w:t>
      </w:r>
      <w:r w:rsidRPr="008419AB">
        <w:rPr>
          <w:rFonts w:eastAsia="Calibri" w:cs="Times New Roman"/>
          <w:szCs w:val="22"/>
          <w:lang w:val="en-US" w:eastAsia="nl-NL"/>
        </w:rPr>
        <w:t xml:space="preserve"> stance. </w:t>
      </w:r>
    </w:p>
    <w:p w14:paraId="4A87C890" w14:textId="77777777" w:rsidR="005C42AC" w:rsidRPr="00C20E26" w:rsidRDefault="005C42AC" w:rsidP="005C42AC">
      <w:pPr>
        <w:keepNext/>
        <w:keepLines/>
        <w:tabs>
          <w:tab w:val="clear" w:pos="284"/>
          <w:tab w:val="clear" w:pos="567"/>
          <w:tab w:val="clear" w:pos="851"/>
          <w:tab w:val="clear" w:pos="1134"/>
          <w:tab w:val="clear" w:pos="1560"/>
          <w:tab w:val="clear" w:pos="2127"/>
          <w:tab w:val="clear" w:pos="2410"/>
          <w:tab w:val="clear" w:pos="8505"/>
        </w:tabs>
        <w:spacing w:before="200" w:after="200" w:line="276" w:lineRule="auto"/>
        <w:outlineLvl w:val="2"/>
        <w:rPr>
          <w:rFonts w:asciiTheme="minorHAnsi" w:eastAsia="Calibri" w:hAnsiTheme="minorHAnsi" w:cs="Times New Roman"/>
          <w:b/>
          <w:bCs/>
          <w:szCs w:val="22"/>
          <w:lang w:val="en-US" w:eastAsia="en-US"/>
        </w:rPr>
      </w:pPr>
      <w:r w:rsidRPr="00C20E26">
        <w:rPr>
          <w:rFonts w:asciiTheme="minorHAnsi" w:eastAsia="Calibri" w:hAnsiTheme="minorHAnsi" w:cs="Times New Roman"/>
          <w:b/>
          <w:bCs/>
          <w:szCs w:val="22"/>
          <w:lang w:val="en-US" w:eastAsia="en-US"/>
        </w:rPr>
        <w:t>2.4 Statistical analysis</w:t>
      </w:r>
    </w:p>
    <w:p w14:paraId="562618FF" w14:textId="77777777" w:rsidR="005C42AC" w:rsidRPr="008419AB" w:rsidRDefault="005C42AC" w:rsidP="005C42AC">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nl-NL"/>
        </w:rPr>
      </w:pPr>
      <w:r w:rsidRPr="008419AB">
        <w:rPr>
          <w:rFonts w:eastAsia="Calibri" w:cs="Times New Roman"/>
          <w:szCs w:val="22"/>
          <w:lang w:val="en-US" w:eastAsia="nl-NL"/>
        </w:rPr>
        <w:t>Means and standard deviations were calculat</w:t>
      </w:r>
      <w:r>
        <w:rPr>
          <w:rFonts w:eastAsia="Calibri" w:cs="Times New Roman"/>
          <w:szCs w:val="22"/>
          <w:lang w:val="en-US" w:eastAsia="nl-NL"/>
        </w:rPr>
        <w:t>ed per parameter preoperatively and at two years, five years and/or eight years FU,</w:t>
      </w:r>
      <w:r w:rsidRPr="008419AB">
        <w:rPr>
          <w:rFonts w:eastAsia="Calibri" w:cs="Times New Roman"/>
          <w:szCs w:val="22"/>
          <w:lang w:val="en-US" w:eastAsia="nl-NL"/>
        </w:rPr>
        <w:t xml:space="preserve"> to evaluate how gait is influenced by SEMLS. Statistical analysis was performed using SPSS Statistics version 20.0 (SPSS </w:t>
      </w:r>
      <w:proofErr w:type="spellStart"/>
      <w:r w:rsidRPr="008419AB">
        <w:rPr>
          <w:rFonts w:eastAsia="Calibri" w:cs="Times New Roman"/>
          <w:szCs w:val="22"/>
          <w:lang w:val="en-US" w:eastAsia="nl-NL"/>
        </w:rPr>
        <w:t>Inc</w:t>
      </w:r>
      <w:proofErr w:type="spellEnd"/>
      <w:r w:rsidRPr="008419AB">
        <w:rPr>
          <w:rFonts w:eastAsia="Calibri" w:cs="Times New Roman"/>
          <w:szCs w:val="22"/>
          <w:lang w:val="en-US" w:eastAsia="nl-NL"/>
        </w:rPr>
        <w:t xml:space="preserve">, Chicago, USA). An alpha level </w:t>
      </w:r>
      <w:r>
        <w:rPr>
          <w:rFonts w:eastAsia="Calibri" w:cs="Times New Roman"/>
          <w:szCs w:val="22"/>
          <w:lang w:val="en-US" w:eastAsia="nl-NL"/>
        </w:rPr>
        <w:t>below</w:t>
      </w:r>
      <w:r w:rsidRPr="008419AB">
        <w:rPr>
          <w:rFonts w:eastAsia="Calibri" w:cs="Times New Roman"/>
          <w:szCs w:val="22"/>
          <w:lang w:val="en-US" w:eastAsia="nl-NL"/>
        </w:rPr>
        <w:t xml:space="preserve"> 0.05 was used for all tests </w:t>
      </w:r>
      <w:r>
        <w:rPr>
          <w:rFonts w:eastAsia="Calibri" w:cs="Times New Roman"/>
          <w:szCs w:val="22"/>
          <w:lang w:val="en-US" w:eastAsia="nl-NL"/>
        </w:rPr>
        <w:t>to indicate</w:t>
      </w:r>
      <w:r w:rsidRPr="008419AB">
        <w:rPr>
          <w:rFonts w:eastAsia="Calibri" w:cs="Times New Roman"/>
          <w:szCs w:val="22"/>
          <w:lang w:val="en-US" w:eastAsia="nl-NL"/>
        </w:rPr>
        <w:t xml:space="preserve"> </w:t>
      </w:r>
      <w:r>
        <w:rPr>
          <w:rFonts w:eastAsia="Calibri" w:cs="Times New Roman"/>
          <w:szCs w:val="22"/>
          <w:lang w:val="en-US" w:eastAsia="nl-NL"/>
        </w:rPr>
        <w:t>significance</w:t>
      </w:r>
      <w:r w:rsidRPr="008419AB">
        <w:rPr>
          <w:rFonts w:eastAsia="Calibri" w:cs="Times New Roman"/>
          <w:szCs w:val="22"/>
          <w:lang w:val="en-US" w:eastAsia="nl-NL"/>
        </w:rPr>
        <w:t xml:space="preserve">. To evaluate long-term outcomes, differences in kinematic parameters </w:t>
      </w:r>
      <w:r>
        <w:rPr>
          <w:rFonts w:eastAsia="Calibri" w:cs="Times New Roman"/>
          <w:szCs w:val="22"/>
          <w:lang w:val="en-US" w:eastAsia="nl-NL"/>
        </w:rPr>
        <w:t xml:space="preserve">preoperatively and </w:t>
      </w:r>
      <w:r w:rsidRPr="008419AB">
        <w:rPr>
          <w:rFonts w:eastAsia="Calibri" w:cs="Times New Roman"/>
          <w:szCs w:val="22"/>
          <w:lang w:val="en-US" w:eastAsia="nl-NL"/>
        </w:rPr>
        <w:t xml:space="preserve">between </w:t>
      </w:r>
      <w:r>
        <w:rPr>
          <w:rFonts w:eastAsia="Calibri" w:cs="Times New Roman"/>
          <w:szCs w:val="22"/>
          <w:lang w:val="en-US" w:eastAsia="nl-NL"/>
        </w:rPr>
        <w:t>FU</w:t>
      </w:r>
      <w:r w:rsidRPr="008419AB">
        <w:rPr>
          <w:rFonts w:eastAsia="Calibri" w:cs="Times New Roman"/>
          <w:szCs w:val="22"/>
          <w:lang w:val="en-US" w:eastAsia="nl-NL"/>
        </w:rPr>
        <w:t xml:space="preserve"> </w:t>
      </w:r>
      <w:r>
        <w:rPr>
          <w:rFonts w:eastAsia="Calibri" w:cs="Times New Roman"/>
          <w:szCs w:val="22"/>
          <w:lang w:val="en-US" w:eastAsia="nl-NL"/>
        </w:rPr>
        <w:t>time instants</w:t>
      </w:r>
      <w:r w:rsidRPr="008419AB">
        <w:rPr>
          <w:rFonts w:eastAsia="Calibri" w:cs="Times New Roman"/>
          <w:szCs w:val="22"/>
          <w:lang w:val="en-US" w:eastAsia="nl-NL"/>
        </w:rPr>
        <w:t xml:space="preserve"> were analyzed with generalized estimating equation analysis, with different </w:t>
      </w:r>
      <w:r>
        <w:rPr>
          <w:rFonts w:eastAsia="Calibri" w:cs="Times New Roman"/>
          <w:szCs w:val="22"/>
          <w:lang w:val="en-US" w:eastAsia="nl-NL"/>
        </w:rPr>
        <w:t>FU time instants</w:t>
      </w:r>
      <w:r w:rsidRPr="008419AB">
        <w:rPr>
          <w:rFonts w:eastAsia="Calibri" w:cs="Times New Roman"/>
          <w:szCs w:val="22"/>
          <w:lang w:val="en-US" w:eastAsia="nl-NL"/>
        </w:rPr>
        <w:t xml:space="preserve"> as </w:t>
      </w:r>
      <w:r>
        <w:rPr>
          <w:rFonts w:eastAsia="Calibri" w:cs="Times New Roman"/>
          <w:szCs w:val="22"/>
          <w:lang w:val="en-US" w:eastAsia="nl-NL"/>
        </w:rPr>
        <w:t xml:space="preserve">a </w:t>
      </w:r>
      <w:r w:rsidRPr="008419AB">
        <w:rPr>
          <w:rFonts w:eastAsia="Calibri" w:cs="Times New Roman"/>
          <w:szCs w:val="22"/>
          <w:lang w:val="en-US" w:eastAsia="nl-NL"/>
        </w:rPr>
        <w:t>within-subject factor</w:t>
      </w:r>
      <w:r>
        <w:rPr>
          <w:rFonts w:eastAsia="Calibri" w:cs="Times New Roman"/>
          <w:szCs w:val="22"/>
          <w:lang w:val="en-US" w:eastAsia="nl-NL"/>
        </w:rPr>
        <w:t xml:space="preserve">. </w:t>
      </w:r>
      <w:r w:rsidRPr="008419AB">
        <w:rPr>
          <w:rFonts w:eastAsia="Calibri" w:cs="Times New Roman"/>
          <w:szCs w:val="22"/>
          <w:lang w:val="en-US" w:eastAsia="nl-NL"/>
        </w:rPr>
        <w:t xml:space="preserve">Exchangeable correlation structures were assumed. </w:t>
      </w:r>
    </w:p>
    <w:p w14:paraId="0E99E2EE" w14:textId="77777777" w:rsidR="005C42AC" w:rsidRPr="008419AB" w:rsidRDefault="005C42AC" w:rsidP="005C42AC">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nl-NL"/>
        </w:rPr>
      </w:pPr>
      <w:r w:rsidRPr="008419AB">
        <w:rPr>
          <w:rFonts w:eastAsia="Calibri" w:cs="Times New Roman"/>
          <w:szCs w:val="22"/>
          <w:lang w:val="en-US" w:eastAsia="nl-NL"/>
        </w:rPr>
        <w:t xml:space="preserve">To explore possible predictors </w:t>
      </w:r>
      <w:r>
        <w:rPr>
          <w:rFonts w:eastAsia="Calibri" w:cs="Times New Roman"/>
          <w:szCs w:val="22"/>
          <w:lang w:val="en-US" w:eastAsia="nl-NL"/>
        </w:rPr>
        <w:t>of</w:t>
      </w:r>
      <w:r w:rsidRPr="008419AB">
        <w:rPr>
          <w:rFonts w:eastAsia="Calibri" w:cs="Times New Roman"/>
          <w:szCs w:val="22"/>
          <w:lang w:val="en-US" w:eastAsia="nl-NL"/>
        </w:rPr>
        <w:t xml:space="preserve"> the effect of SEMLS, correlations </w:t>
      </w:r>
      <w:r>
        <w:rPr>
          <w:rFonts w:eastAsia="Calibri" w:cs="Times New Roman"/>
          <w:szCs w:val="22"/>
          <w:lang w:val="en-US" w:eastAsia="nl-NL"/>
        </w:rPr>
        <w:t>between subject characteristics (age, GMFCS, and sex) and preoperative kinematic parameters to</w:t>
      </w:r>
      <w:r w:rsidRPr="008419AB">
        <w:rPr>
          <w:rFonts w:eastAsia="Calibri" w:cs="Times New Roman"/>
          <w:szCs w:val="22"/>
          <w:lang w:val="en-US" w:eastAsia="nl-NL"/>
        </w:rPr>
        <w:t xml:space="preserve"> the</w:t>
      </w:r>
      <w:r>
        <w:rPr>
          <w:rFonts w:eastAsia="Calibri" w:cs="Times New Roman"/>
          <w:szCs w:val="22"/>
          <w:lang w:val="en-US" w:eastAsia="nl-NL"/>
        </w:rPr>
        <w:t xml:space="preserve"> </w:t>
      </w:r>
      <w:r w:rsidRPr="008419AB">
        <w:rPr>
          <w:rFonts w:eastAsia="Calibri" w:cs="Times New Roman"/>
          <w:szCs w:val="22"/>
          <w:lang w:val="en-US" w:eastAsia="nl-NL"/>
        </w:rPr>
        <w:t xml:space="preserve">primary outcome measures were calculated </w:t>
      </w:r>
      <w:r>
        <w:rPr>
          <w:rFonts w:eastAsia="Calibri" w:cs="Times New Roman"/>
          <w:szCs w:val="22"/>
          <w:lang w:val="en-US" w:eastAsia="nl-NL"/>
        </w:rPr>
        <w:t>by means of the</w:t>
      </w:r>
      <w:r w:rsidRPr="008419AB">
        <w:rPr>
          <w:rFonts w:eastAsia="Calibri" w:cs="Times New Roman"/>
          <w:szCs w:val="22"/>
          <w:lang w:val="en-US" w:eastAsia="nl-NL"/>
        </w:rPr>
        <w:t xml:space="preserve"> Pearson</w:t>
      </w:r>
      <w:r>
        <w:rPr>
          <w:rFonts w:eastAsia="Calibri" w:cs="Times New Roman"/>
          <w:szCs w:val="22"/>
          <w:lang w:val="en-US" w:eastAsia="nl-NL"/>
        </w:rPr>
        <w:t>’s correlation coefficients</w:t>
      </w:r>
      <w:r w:rsidRPr="008419AB">
        <w:rPr>
          <w:rFonts w:eastAsia="Calibri" w:cs="Times New Roman"/>
          <w:szCs w:val="22"/>
          <w:lang w:val="en-US" w:eastAsia="nl-NL"/>
        </w:rPr>
        <w:t xml:space="preserve"> for normal</w:t>
      </w:r>
      <w:r>
        <w:rPr>
          <w:rFonts w:eastAsia="Calibri" w:cs="Times New Roman"/>
          <w:szCs w:val="22"/>
          <w:lang w:val="en-US" w:eastAsia="nl-NL"/>
        </w:rPr>
        <w:t>ly</w:t>
      </w:r>
      <w:r w:rsidRPr="008419AB">
        <w:rPr>
          <w:rFonts w:eastAsia="Calibri" w:cs="Times New Roman"/>
          <w:szCs w:val="22"/>
          <w:lang w:val="en-US" w:eastAsia="nl-NL"/>
        </w:rPr>
        <w:t xml:space="preserve"> distributed parameters</w:t>
      </w:r>
      <w:r>
        <w:rPr>
          <w:rFonts w:eastAsia="Calibri" w:cs="Times New Roman"/>
          <w:szCs w:val="22"/>
          <w:lang w:val="en-US" w:eastAsia="nl-NL"/>
        </w:rPr>
        <w:t>,</w:t>
      </w:r>
      <w:r w:rsidRPr="008419AB">
        <w:rPr>
          <w:rFonts w:eastAsia="Calibri" w:cs="Times New Roman"/>
          <w:szCs w:val="22"/>
          <w:lang w:val="en-US" w:eastAsia="nl-NL"/>
        </w:rPr>
        <w:t xml:space="preserve"> and Spearman</w:t>
      </w:r>
      <w:r w:rsidRPr="007C0BAB">
        <w:rPr>
          <w:rFonts w:eastAsia="Calibri" w:cs="Times New Roman"/>
          <w:szCs w:val="22"/>
          <w:lang w:val="en-US" w:eastAsia="nl-NL"/>
        </w:rPr>
        <w:t>’s correlation coefficients</w:t>
      </w:r>
      <w:r w:rsidRPr="008419AB">
        <w:rPr>
          <w:rFonts w:eastAsia="Calibri" w:cs="Times New Roman"/>
          <w:szCs w:val="22"/>
          <w:lang w:val="en-US" w:eastAsia="nl-NL"/>
        </w:rPr>
        <w:t xml:space="preserve"> for </w:t>
      </w:r>
      <w:r>
        <w:rPr>
          <w:rFonts w:eastAsia="Calibri" w:cs="Times New Roman"/>
          <w:szCs w:val="22"/>
          <w:lang w:val="en-US" w:eastAsia="nl-NL"/>
        </w:rPr>
        <w:t>non-normally</w:t>
      </w:r>
      <w:r w:rsidRPr="008419AB">
        <w:rPr>
          <w:rFonts w:eastAsia="Calibri" w:cs="Times New Roman"/>
          <w:szCs w:val="22"/>
          <w:lang w:val="en-US" w:eastAsia="nl-NL"/>
        </w:rPr>
        <w:t xml:space="preserve"> distributed parameters. Normality was determined using the Shapiro-Wilk normality test. </w:t>
      </w:r>
      <w:r>
        <w:rPr>
          <w:rFonts w:eastAsia="Calibri" w:cs="Times New Roman"/>
          <w:szCs w:val="22"/>
          <w:lang w:val="en-US" w:eastAsia="nl-NL"/>
        </w:rPr>
        <w:t>Parameters with a good</w:t>
      </w:r>
      <w:r w:rsidRPr="008419AB">
        <w:rPr>
          <w:rFonts w:eastAsia="Calibri" w:cs="Times New Roman"/>
          <w:szCs w:val="22"/>
          <w:lang w:val="en-US" w:eastAsia="nl-NL"/>
        </w:rPr>
        <w:t xml:space="preserve">, significant correlation coefficient </w:t>
      </w:r>
      <w:r>
        <w:rPr>
          <w:rFonts w:eastAsia="Calibri" w:cs="Times New Roman"/>
          <w:szCs w:val="22"/>
          <w:lang w:val="en-US" w:eastAsia="nl-NL"/>
        </w:rPr>
        <w:t xml:space="preserve">(r ≥0.50) </w:t>
      </w:r>
      <w:r w:rsidRPr="008419AB">
        <w:rPr>
          <w:rFonts w:eastAsia="Calibri" w:cs="Times New Roman"/>
          <w:szCs w:val="22"/>
          <w:lang w:val="en-US" w:eastAsia="nl-NL"/>
        </w:rPr>
        <w:t xml:space="preserve">were added to the </w:t>
      </w:r>
      <w:r>
        <w:rPr>
          <w:rFonts w:eastAsia="Calibri" w:cs="Times New Roman"/>
          <w:szCs w:val="22"/>
          <w:lang w:val="en-US" w:eastAsia="nl-NL"/>
        </w:rPr>
        <w:t xml:space="preserve">GEE </w:t>
      </w:r>
      <w:r w:rsidRPr="008419AB">
        <w:rPr>
          <w:rFonts w:eastAsia="Calibri" w:cs="Times New Roman"/>
          <w:szCs w:val="22"/>
          <w:lang w:val="en-US" w:eastAsia="nl-NL"/>
        </w:rPr>
        <w:t xml:space="preserve">model as covariates. </w:t>
      </w:r>
    </w:p>
    <w:p w14:paraId="4FC82930" w14:textId="77777777" w:rsidR="00394336" w:rsidRPr="008419AB" w:rsidRDefault="00394336" w:rsidP="00394336">
      <w:pPr>
        <w:tabs>
          <w:tab w:val="right" w:pos="426"/>
        </w:tabs>
        <w:spacing w:line="360" w:lineRule="auto"/>
        <w:rPr>
          <w:rFonts w:ascii="Univers" w:hAnsi="Univers" w:cs="Times New Roman"/>
          <w:b/>
          <w:sz w:val="28"/>
          <w:lang w:val="en-US"/>
        </w:rPr>
      </w:pPr>
    </w:p>
    <w:p w14:paraId="2E52359C" w14:textId="77777777" w:rsidR="00C2196D" w:rsidRPr="00C20E26" w:rsidRDefault="00C2196D" w:rsidP="00557F59">
      <w:pPr>
        <w:tabs>
          <w:tab w:val="right" w:pos="426"/>
        </w:tabs>
        <w:spacing w:line="360" w:lineRule="auto"/>
        <w:rPr>
          <w:rFonts w:asciiTheme="minorHAnsi" w:hAnsiTheme="minorHAnsi" w:cs="Times New Roman"/>
          <w:b/>
          <w:sz w:val="32"/>
          <w:lang w:val="en-US"/>
        </w:rPr>
      </w:pPr>
      <w:r w:rsidRPr="00C20E26">
        <w:rPr>
          <w:rFonts w:asciiTheme="minorHAnsi" w:hAnsiTheme="minorHAnsi" w:cs="Times New Roman"/>
          <w:b/>
          <w:sz w:val="32"/>
          <w:lang w:val="en-US"/>
        </w:rPr>
        <w:lastRenderedPageBreak/>
        <w:t>3. Results</w:t>
      </w:r>
    </w:p>
    <w:p w14:paraId="22DF73CC" w14:textId="77777777" w:rsidR="00C2196D" w:rsidRPr="00C20E26" w:rsidRDefault="00C2196D" w:rsidP="00557F59">
      <w:pPr>
        <w:keepNext/>
        <w:keepLines/>
        <w:tabs>
          <w:tab w:val="clear" w:pos="284"/>
          <w:tab w:val="clear" w:pos="567"/>
          <w:tab w:val="clear" w:pos="851"/>
          <w:tab w:val="clear" w:pos="1134"/>
          <w:tab w:val="clear" w:pos="1560"/>
          <w:tab w:val="clear" w:pos="2127"/>
          <w:tab w:val="clear" w:pos="2410"/>
          <w:tab w:val="clear" w:pos="8505"/>
        </w:tabs>
        <w:spacing w:before="200" w:after="200" w:line="276" w:lineRule="auto"/>
        <w:outlineLvl w:val="2"/>
        <w:rPr>
          <w:rFonts w:asciiTheme="minorHAnsi" w:eastAsia="Calibri" w:hAnsiTheme="minorHAnsi" w:cs="Times New Roman"/>
          <w:b/>
          <w:bCs/>
          <w:szCs w:val="22"/>
          <w:lang w:val="en-US" w:eastAsia="en-US"/>
        </w:rPr>
      </w:pPr>
      <w:r w:rsidRPr="00C20E26">
        <w:rPr>
          <w:rFonts w:asciiTheme="minorHAnsi" w:eastAsia="Calibri" w:hAnsiTheme="minorHAnsi" w:cs="Times New Roman"/>
          <w:b/>
          <w:bCs/>
          <w:szCs w:val="22"/>
          <w:lang w:val="en-US" w:eastAsia="en-US"/>
        </w:rPr>
        <w:t>3.1 Subjects</w:t>
      </w:r>
      <w:r>
        <w:rPr>
          <w:rFonts w:asciiTheme="minorHAnsi" w:eastAsia="Calibri" w:hAnsiTheme="minorHAnsi" w:cs="Times New Roman"/>
          <w:b/>
          <w:bCs/>
          <w:szCs w:val="22"/>
          <w:lang w:val="en-US" w:eastAsia="en-US"/>
        </w:rPr>
        <w:t xml:space="preserve"> </w:t>
      </w:r>
    </w:p>
    <w:p w14:paraId="716A0F94" w14:textId="77777777" w:rsidR="00C2196D" w:rsidRPr="008419AB" w:rsidRDefault="00C2196D" w:rsidP="00557F59">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GB" w:eastAsia="en-US"/>
        </w:rPr>
      </w:pPr>
      <w:r w:rsidRPr="008419AB">
        <w:rPr>
          <w:rFonts w:eastAsia="Calibri" w:cs="Times New Roman"/>
          <w:szCs w:val="22"/>
          <w:lang w:val="en-GB" w:eastAsia="en-US"/>
        </w:rPr>
        <w:t>Nine hundred forty-five children with CP</w:t>
      </w:r>
      <w:r>
        <w:rPr>
          <w:rFonts w:eastAsia="Calibri" w:cs="Times New Roman"/>
          <w:szCs w:val="22"/>
          <w:lang w:val="en-GB" w:eastAsia="en-US"/>
        </w:rPr>
        <w:t xml:space="preserve"> </w:t>
      </w:r>
      <w:r w:rsidRPr="008419AB">
        <w:rPr>
          <w:rFonts w:eastAsia="Calibri" w:cs="Times New Roman"/>
          <w:szCs w:val="22"/>
          <w:lang w:val="en-US" w:eastAsia="en-US"/>
        </w:rPr>
        <w:t>from the database of the Clinical Motion Analysis Laboratory of the University Hospital of Leuven</w:t>
      </w:r>
      <w:r w:rsidRPr="008419AB">
        <w:rPr>
          <w:rFonts w:eastAsia="Calibri" w:cs="Times New Roman"/>
          <w:szCs w:val="22"/>
          <w:lang w:val="en-GB" w:eastAsia="en-US"/>
        </w:rPr>
        <w:t xml:space="preserve"> were assessed for eligibility. Of those, 704 did not meet the inclusion criteria and 102 subjects were excluded because the data were too old </w:t>
      </w:r>
      <w:r>
        <w:rPr>
          <w:rFonts w:eastAsia="Calibri" w:cs="Times New Roman"/>
          <w:szCs w:val="22"/>
          <w:lang w:val="en-GB" w:eastAsia="en-US"/>
        </w:rPr>
        <w:t xml:space="preserve">and not compatible with </w:t>
      </w:r>
      <w:r w:rsidRPr="008419AB">
        <w:rPr>
          <w:rFonts w:eastAsia="Calibri" w:cs="Times New Roman"/>
          <w:szCs w:val="22"/>
          <w:lang w:val="en-GB" w:eastAsia="en-US"/>
        </w:rPr>
        <w:t xml:space="preserve">the </w:t>
      </w:r>
      <w:r>
        <w:rPr>
          <w:rFonts w:eastAsia="Calibri" w:cs="Times New Roman"/>
          <w:szCs w:val="22"/>
          <w:lang w:val="en-GB" w:eastAsia="en-US"/>
        </w:rPr>
        <w:t xml:space="preserve">analysis </w:t>
      </w:r>
      <w:r w:rsidRPr="008419AB">
        <w:rPr>
          <w:rFonts w:eastAsia="Calibri" w:cs="Times New Roman"/>
          <w:szCs w:val="22"/>
          <w:lang w:val="en-GB" w:eastAsia="en-US"/>
        </w:rPr>
        <w:t>software</w:t>
      </w:r>
      <w:r>
        <w:rPr>
          <w:rFonts w:eastAsia="Calibri" w:cs="Times New Roman"/>
          <w:szCs w:val="22"/>
          <w:lang w:val="en-GB" w:eastAsia="en-US"/>
        </w:rPr>
        <w:t xml:space="preserve">. Out of the </w:t>
      </w:r>
      <w:r w:rsidRPr="008419AB">
        <w:rPr>
          <w:rFonts w:eastAsia="Calibri" w:cs="Times New Roman"/>
          <w:szCs w:val="22"/>
          <w:lang w:val="en-GB" w:eastAsia="en-US"/>
        </w:rPr>
        <w:t xml:space="preserve">remaining 139 subjects </w:t>
      </w:r>
      <w:r>
        <w:rPr>
          <w:rFonts w:eastAsia="Calibri" w:cs="Times New Roman"/>
          <w:szCs w:val="22"/>
          <w:lang w:val="en-GB" w:eastAsia="en-US"/>
        </w:rPr>
        <w:t xml:space="preserve">those with adequate follow-up with GA were selected. </w:t>
      </w:r>
      <w:r w:rsidRPr="008419AB">
        <w:rPr>
          <w:rFonts w:eastAsia="Calibri" w:cs="Times New Roman"/>
          <w:szCs w:val="22"/>
          <w:lang w:val="en-GB" w:eastAsia="en-US"/>
        </w:rPr>
        <w:t xml:space="preserve">Only the 44 subjects with a </w:t>
      </w:r>
      <w:r>
        <w:rPr>
          <w:rFonts w:eastAsia="Calibri" w:cs="Times New Roman"/>
          <w:szCs w:val="22"/>
          <w:lang w:val="en-GB" w:eastAsia="en-US"/>
        </w:rPr>
        <w:t>FU</w:t>
      </w:r>
      <w:r w:rsidRPr="008419AB">
        <w:rPr>
          <w:rFonts w:eastAsia="Calibri" w:cs="Times New Roman"/>
          <w:szCs w:val="22"/>
          <w:lang w:val="en-GB" w:eastAsia="en-US"/>
        </w:rPr>
        <w:t xml:space="preserve"> of five to </w:t>
      </w:r>
      <w:r>
        <w:rPr>
          <w:rFonts w:eastAsia="Calibri" w:cs="Times New Roman"/>
          <w:szCs w:val="22"/>
          <w:lang w:val="en-GB" w:eastAsia="en-US"/>
        </w:rPr>
        <w:t>eight</w:t>
      </w:r>
      <w:r w:rsidRPr="008419AB">
        <w:rPr>
          <w:rFonts w:eastAsia="Calibri" w:cs="Times New Roman"/>
          <w:szCs w:val="22"/>
          <w:lang w:val="en-GB" w:eastAsia="en-US"/>
        </w:rPr>
        <w:t xml:space="preserve"> years were retained, according to the aim of the study. Thirteen of the 44 remaining subjects were excluded because of software errors related to missing marker data. Thirty-one subjects were finally included in the study. Characteristics of these children are summarized in Table 1.</w:t>
      </w:r>
    </w:p>
    <w:p w14:paraId="0CE4A2FF" w14:textId="77777777" w:rsidR="00C2196D" w:rsidRPr="008419AB" w:rsidRDefault="00C2196D" w:rsidP="00557F59">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GB" w:eastAsia="en-US"/>
        </w:rPr>
      </w:pPr>
      <w:r w:rsidRPr="008419AB">
        <w:rPr>
          <w:rFonts w:eastAsia="Calibri" w:cs="Times New Roman"/>
          <w:szCs w:val="22"/>
          <w:lang w:val="en-GB" w:eastAsia="en-US"/>
        </w:rPr>
        <w:t>The subjects underwent a total of 116 gait analyses. Of these gait analy</w:t>
      </w:r>
      <w:r>
        <w:rPr>
          <w:rFonts w:eastAsia="Calibri" w:cs="Times New Roman"/>
          <w:szCs w:val="22"/>
          <w:lang w:val="en-GB" w:eastAsia="en-US"/>
        </w:rPr>
        <w:t xml:space="preserve">ses, 69 were selected based on </w:t>
      </w:r>
      <w:r w:rsidRPr="008419AB">
        <w:rPr>
          <w:rFonts w:eastAsia="Calibri" w:cs="Times New Roman"/>
          <w:szCs w:val="22"/>
          <w:lang w:val="en-GB" w:eastAsia="en-US"/>
        </w:rPr>
        <w:t xml:space="preserve">predefined </w:t>
      </w:r>
      <w:r>
        <w:rPr>
          <w:rFonts w:eastAsia="Calibri" w:cs="Times New Roman"/>
          <w:szCs w:val="22"/>
          <w:lang w:val="en-GB" w:eastAsia="en-US"/>
        </w:rPr>
        <w:t>FU</w:t>
      </w:r>
      <w:r w:rsidRPr="008419AB">
        <w:rPr>
          <w:rFonts w:eastAsia="Calibri" w:cs="Times New Roman"/>
          <w:szCs w:val="22"/>
          <w:lang w:val="en-GB" w:eastAsia="en-US"/>
        </w:rPr>
        <w:t xml:space="preserve"> </w:t>
      </w:r>
      <w:r>
        <w:rPr>
          <w:rFonts w:eastAsia="Calibri" w:cs="Times New Roman"/>
          <w:szCs w:val="22"/>
          <w:lang w:val="en-GB" w:eastAsia="en-US"/>
        </w:rPr>
        <w:t>time instants</w:t>
      </w:r>
      <w:r w:rsidRPr="00D17C13">
        <w:rPr>
          <w:rFonts w:eastAsia="Calibri" w:cs="Times New Roman"/>
          <w:szCs w:val="22"/>
          <w:lang w:val="en-GB" w:eastAsia="en-US"/>
        </w:rPr>
        <w:t xml:space="preserve"> </w:t>
      </w:r>
      <w:r w:rsidRPr="008419AB">
        <w:rPr>
          <w:rFonts w:eastAsia="Calibri" w:cs="Times New Roman"/>
          <w:szCs w:val="22"/>
          <w:lang w:val="en-GB" w:eastAsia="en-US"/>
        </w:rPr>
        <w:t>(</w:t>
      </w:r>
      <w:r>
        <w:rPr>
          <w:rFonts w:eastAsia="Calibri" w:cs="Times New Roman"/>
          <w:szCs w:val="22"/>
          <w:lang w:val="en-GB" w:eastAsia="en-US"/>
        </w:rPr>
        <w:t>2</w:t>
      </w:r>
      <w:r w:rsidRPr="008419AB">
        <w:rPr>
          <w:rFonts w:eastAsia="Calibri" w:cs="Times New Roman"/>
          <w:szCs w:val="22"/>
          <w:lang w:val="en-GB" w:eastAsia="en-US"/>
        </w:rPr>
        <w:t xml:space="preserve"> ± 1,5 years FU, </w:t>
      </w:r>
      <w:r>
        <w:rPr>
          <w:rFonts w:eastAsia="Calibri" w:cs="Times New Roman"/>
          <w:szCs w:val="22"/>
          <w:lang w:val="en-GB" w:eastAsia="en-US"/>
        </w:rPr>
        <w:t>5</w:t>
      </w:r>
      <w:r w:rsidRPr="008419AB">
        <w:rPr>
          <w:rFonts w:eastAsia="Calibri" w:cs="Times New Roman"/>
          <w:szCs w:val="22"/>
          <w:lang w:val="en-GB" w:eastAsia="en-US"/>
        </w:rPr>
        <w:t xml:space="preserve"> ± 1,5 years FU and </w:t>
      </w:r>
      <w:r>
        <w:rPr>
          <w:rFonts w:eastAsia="Calibri" w:cs="Times New Roman"/>
          <w:szCs w:val="22"/>
          <w:lang w:val="en-GB" w:eastAsia="en-US"/>
        </w:rPr>
        <w:t>8</w:t>
      </w:r>
      <w:r w:rsidRPr="008419AB">
        <w:rPr>
          <w:rFonts w:eastAsia="Calibri" w:cs="Times New Roman"/>
          <w:szCs w:val="22"/>
          <w:lang w:val="en-GB" w:eastAsia="en-US"/>
        </w:rPr>
        <w:t xml:space="preserve"> ± 2 years). One gait analysis was selected for each time point, but it was not feasible to select gait analyses for all participants at all time points (Figure 1).  </w:t>
      </w:r>
    </w:p>
    <w:tbl>
      <w:tblPr>
        <w:tblStyle w:val="Tabelraster1"/>
        <w:tblpPr w:leftFromText="141" w:rightFromText="141" w:vertAnchor="page" w:horzAnchor="margin" w:tblpY="10771"/>
        <w:tblOverlap w:val="never"/>
        <w:tblW w:w="9072" w:type="dxa"/>
        <w:tblLook w:val="04A0" w:firstRow="1" w:lastRow="0" w:firstColumn="1" w:lastColumn="0" w:noHBand="0" w:noVBand="1"/>
      </w:tblPr>
      <w:tblGrid>
        <w:gridCol w:w="4543"/>
        <w:gridCol w:w="4529"/>
      </w:tblGrid>
      <w:tr w:rsidR="00C2196D" w:rsidRPr="008419AB" w14:paraId="16AF057A" w14:textId="77777777" w:rsidTr="00C2196D">
        <w:trPr>
          <w:trHeight w:val="111"/>
        </w:trPr>
        <w:tc>
          <w:tcPr>
            <w:tcW w:w="9072" w:type="dxa"/>
            <w:gridSpan w:val="2"/>
            <w:tcBorders>
              <w:top w:val="nil"/>
              <w:left w:val="nil"/>
              <w:bottom w:val="nil"/>
              <w:right w:val="nil"/>
            </w:tcBorders>
          </w:tcPr>
          <w:p w14:paraId="1638A8C3"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b/>
                <w:sz w:val="20"/>
                <w:szCs w:val="20"/>
                <w:lang w:val="en-US" w:eastAsia="en-US"/>
              </w:rPr>
            </w:pPr>
            <w:r w:rsidRPr="008419AB">
              <w:rPr>
                <w:rFonts w:cs="Times New Roman"/>
                <w:b/>
                <w:sz w:val="20"/>
                <w:szCs w:val="20"/>
                <w:lang w:val="en-US" w:eastAsia="en-US"/>
              </w:rPr>
              <w:t>Table 1</w:t>
            </w:r>
          </w:p>
        </w:tc>
      </w:tr>
      <w:tr w:rsidR="00C2196D" w:rsidRPr="00557F59" w14:paraId="51FDE66F" w14:textId="77777777" w:rsidTr="00C2196D">
        <w:trPr>
          <w:trHeight w:val="111"/>
        </w:trPr>
        <w:tc>
          <w:tcPr>
            <w:tcW w:w="9072" w:type="dxa"/>
            <w:gridSpan w:val="2"/>
            <w:tcBorders>
              <w:top w:val="nil"/>
              <w:left w:val="nil"/>
              <w:bottom w:val="nil"/>
              <w:right w:val="nil"/>
            </w:tcBorders>
          </w:tcPr>
          <w:p w14:paraId="5371DB7B"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8419AB">
              <w:rPr>
                <w:rFonts w:cs="Times New Roman"/>
                <w:sz w:val="18"/>
                <w:szCs w:val="18"/>
                <w:lang w:val="en-US" w:eastAsia="en-US"/>
              </w:rPr>
              <w:t>Chara</w:t>
            </w:r>
            <w:r>
              <w:rPr>
                <w:rFonts w:cs="Times New Roman"/>
                <w:sz w:val="18"/>
                <w:szCs w:val="18"/>
                <w:lang w:val="en-US" w:eastAsia="en-US"/>
              </w:rPr>
              <w:t>cteristics of children pre Single-Event Multilevel Surgery (SEMLS)</w:t>
            </w:r>
            <w:r w:rsidRPr="008419AB">
              <w:rPr>
                <w:rFonts w:cs="Times New Roman"/>
                <w:sz w:val="18"/>
                <w:szCs w:val="18"/>
                <w:lang w:val="en-US" w:eastAsia="en-US"/>
              </w:rPr>
              <w:t xml:space="preserve"> (n=31)</w:t>
            </w:r>
          </w:p>
        </w:tc>
      </w:tr>
      <w:tr w:rsidR="00C2196D" w:rsidRPr="00557F59" w14:paraId="41F70354" w14:textId="77777777" w:rsidTr="00C2196D">
        <w:trPr>
          <w:trHeight w:val="138"/>
        </w:trPr>
        <w:tc>
          <w:tcPr>
            <w:tcW w:w="9072" w:type="dxa"/>
            <w:gridSpan w:val="2"/>
            <w:tcBorders>
              <w:top w:val="nil"/>
              <w:left w:val="nil"/>
              <w:bottom w:val="single" w:sz="4" w:space="0" w:color="auto"/>
              <w:right w:val="nil"/>
            </w:tcBorders>
          </w:tcPr>
          <w:p w14:paraId="147E079E"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Cs w:val="22"/>
                <w:lang w:val="en-US" w:eastAsia="en-US"/>
              </w:rPr>
            </w:pPr>
          </w:p>
        </w:tc>
      </w:tr>
      <w:tr w:rsidR="00C2196D" w:rsidRPr="008419AB" w14:paraId="7A34E670" w14:textId="77777777" w:rsidTr="00C2196D">
        <w:trPr>
          <w:trHeight w:val="269"/>
        </w:trPr>
        <w:tc>
          <w:tcPr>
            <w:tcW w:w="4543" w:type="dxa"/>
            <w:tcBorders>
              <w:top w:val="single" w:sz="4" w:space="0" w:color="auto"/>
              <w:left w:val="nil"/>
              <w:bottom w:val="single" w:sz="4" w:space="0" w:color="auto"/>
              <w:right w:val="nil"/>
            </w:tcBorders>
          </w:tcPr>
          <w:p w14:paraId="3C477992"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b/>
                <w:sz w:val="20"/>
                <w:szCs w:val="20"/>
                <w:lang w:val="en-US" w:eastAsia="en-US"/>
              </w:rPr>
            </w:pPr>
            <w:r w:rsidRPr="008419AB">
              <w:rPr>
                <w:rFonts w:cs="Times New Roman"/>
                <w:sz w:val="20"/>
                <w:szCs w:val="20"/>
                <w:lang w:val="en-US" w:eastAsia="en-US"/>
              </w:rPr>
              <w:t xml:space="preserve">   </w:t>
            </w:r>
            <w:r w:rsidRPr="008419AB">
              <w:rPr>
                <w:rFonts w:cs="Times New Roman"/>
                <w:b/>
                <w:sz w:val="20"/>
                <w:szCs w:val="20"/>
                <w:lang w:val="en-US" w:eastAsia="en-US"/>
              </w:rPr>
              <w:t xml:space="preserve"> Characteristics</w:t>
            </w:r>
            <w:r w:rsidRPr="008419AB">
              <w:rPr>
                <w:rFonts w:cs="Times New Roman"/>
                <w:b/>
                <w:sz w:val="20"/>
                <w:szCs w:val="20"/>
                <w:lang w:val="en-US" w:eastAsia="en-US"/>
              </w:rPr>
              <w:br/>
            </w:r>
          </w:p>
        </w:tc>
        <w:tc>
          <w:tcPr>
            <w:tcW w:w="4529" w:type="dxa"/>
            <w:tcBorders>
              <w:top w:val="single" w:sz="4" w:space="0" w:color="auto"/>
              <w:left w:val="nil"/>
              <w:bottom w:val="single" w:sz="4" w:space="0" w:color="auto"/>
              <w:right w:val="nil"/>
            </w:tcBorders>
          </w:tcPr>
          <w:p w14:paraId="1D0F9787"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b/>
                <w:sz w:val="20"/>
                <w:szCs w:val="20"/>
                <w:lang w:val="en-US" w:eastAsia="en-US"/>
              </w:rPr>
            </w:pPr>
            <w:r w:rsidRPr="008419AB">
              <w:rPr>
                <w:rFonts w:cs="Times New Roman"/>
                <w:sz w:val="20"/>
                <w:szCs w:val="20"/>
                <w:lang w:val="en-US" w:eastAsia="en-US"/>
              </w:rPr>
              <w:t xml:space="preserve">     </w:t>
            </w:r>
            <w:r w:rsidRPr="008419AB">
              <w:rPr>
                <w:rFonts w:cs="Times New Roman"/>
                <w:b/>
                <w:sz w:val="20"/>
                <w:szCs w:val="20"/>
                <w:lang w:val="en-US" w:eastAsia="en-US"/>
              </w:rPr>
              <w:t>SEMLS (n=31)</w:t>
            </w:r>
          </w:p>
        </w:tc>
      </w:tr>
      <w:tr w:rsidR="00C2196D" w:rsidRPr="008419AB" w14:paraId="44550177" w14:textId="77777777" w:rsidTr="00C2196D">
        <w:trPr>
          <w:trHeight w:val="138"/>
        </w:trPr>
        <w:tc>
          <w:tcPr>
            <w:tcW w:w="4543" w:type="dxa"/>
            <w:tcBorders>
              <w:left w:val="nil"/>
              <w:bottom w:val="nil"/>
              <w:right w:val="nil"/>
            </w:tcBorders>
          </w:tcPr>
          <w:p w14:paraId="5A795311"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GMFCS I</w:t>
            </w:r>
            <w:r>
              <w:rPr>
                <w:rFonts w:cs="Times New Roman"/>
                <w:sz w:val="20"/>
                <w:szCs w:val="20"/>
                <w:lang w:val="en-US" w:eastAsia="en-US"/>
              </w:rPr>
              <w:t>/II/III</w:t>
            </w:r>
          </w:p>
        </w:tc>
        <w:tc>
          <w:tcPr>
            <w:tcW w:w="4529" w:type="dxa"/>
            <w:tcBorders>
              <w:left w:val="nil"/>
              <w:bottom w:val="nil"/>
              <w:right w:val="nil"/>
            </w:tcBorders>
          </w:tcPr>
          <w:p w14:paraId="7B74A118"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12</w:t>
            </w:r>
            <w:r>
              <w:rPr>
                <w:rFonts w:cs="Times New Roman"/>
                <w:sz w:val="20"/>
                <w:szCs w:val="20"/>
                <w:lang w:val="en-US" w:eastAsia="en-US"/>
              </w:rPr>
              <w:t>/14/5</w:t>
            </w:r>
          </w:p>
        </w:tc>
      </w:tr>
      <w:tr w:rsidR="00C2196D" w:rsidRPr="008419AB" w14:paraId="421981DB" w14:textId="77777777" w:rsidTr="00C2196D">
        <w:trPr>
          <w:trHeight w:val="138"/>
        </w:trPr>
        <w:tc>
          <w:tcPr>
            <w:tcW w:w="4543" w:type="dxa"/>
            <w:tcBorders>
              <w:top w:val="nil"/>
              <w:left w:val="nil"/>
              <w:bottom w:val="nil"/>
              <w:right w:val="nil"/>
            </w:tcBorders>
          </w:tcPr>
          <w:p w14:paraId="0C2613B7"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Unilateral </w:t>
            </w:r>
            <w:r>
              <w:rPr>
                <w:rFonts w:cs="Times New Roman"/>
                <w:sz w:val="20"/>
                <w:szCs w:val="20"/>
                <w:lang w:val="en-US" w:eastAsia="en-US"/>
              </w:rPr>
              <w:t xml:space="preserve">/ bilateral </w:t>
            </w:r>
            <w:r w:rsidRPr="008419AB">
              <w:rPr>
                <w:rFonts w:cs="Times New Roman"/>
                <w:sz w:val="20"/>
                <w:szCs w:val="20"/>
                <w:lang w:val="en-US" w:eastAsia="en-US"/>
              </w:rPr>
              <w:t>CP</w:t>
            </w:r>
          </w:p>
        </w:tc>
        <w:tc>
          <w:tcPr>
            <w:tcW w:w="4529" w:type="dxa"/>
            <w:tcBorders>
              <w:top w:val="nil"/>
              <w:left w:val="nil"/>
              <w:bottom w:val="nil"/>
              <w:right w:val="nil"/>
            </w:tcBorders>
          </w:tcPr>
          <w:p w14:paraId="2BCF1305"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3</w:t>
            </w:r>
            <w:r>
              <w:rPr>
                <w:rFonts w:cs="Times New Roman"/>
                <w:sz w:val="20"/>
                <w:szCs w:val="20"/>
                <w:lang w:val="en-US" w:eastAsia="en-US"/>
              </w:rPr>
              <w:t>/28</w:t>
            </w:r>
          </w:p>
        </w:tc>
      </w:tr>
      <w:tr w:rsidR="00C2196D" w:rsidRPr="008419AB" w14:paraId="2C6D0221" w14:textId="77777777" w:rsidTr="00C2196D">
        <w:trPr>
          <w:trHeight w:val="138"/>
        </w:trPr>
        <w:tc>
          <w:tcPr>
            <w:tcW w:w="4543" w:type="dxa"/>
            <w:tcBorders>
              <w:top w:val="nil"/>
              <w:left w:val="nil"/>
              <w:bottom w:val="nil"/>
              <w:right w:val="nil"/>
            </w:tcBorders>
          </w:tcPr>
          <w:p w14:paraId="67977CA2"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Gender, male</w:t>
            </w:r>
            <w:r>
              <w:rPr>
                <w:rFonts w:cs="Times New Roman"/>
                <w:sz w:val="20"/>
                <w:szCs w:val="20"/>
                <w:lang w:val="en-US" w:eastAsia="en-US"/>
              </w:rPr>
              <w:t>/female</w:t>
            </w:r>
          </w:p>
        </w:tc>
        <w:tc>
          <w:tcPr>
            <w:tcW w:w="4529" w:type="dxa"/>
            <w:tcBorders>
              <w:top w:val="nil"/>
              <w:left w:val="nil"/>
              <w:bottom w:val="nil"/>
              <w:right w:val="nil"/>
            </w:tcBorders>
          </w:tcPr>
          <w:p w14:paraId="39953708"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19</w:t>
            </w:r>
            <w:r>
              <w:rPr>
                <w:rFonts w:cs="Times New Roman"/>
                <w:sz w:val="20"/>
                <w:szCs w:val="20"/>
                <w:lang w:val="en-US" w:eastAsia="en-US"/>
              </w:rPr>
              <w:t>/12</w:t>
            </w:r>
          </w:p>
        </w:tc>
      </w:tr>
      <w:tr w:rsidR="00C2196D" w:rsidRPr="008419AB" w14:paraId="416D1B20" w14:textId="77777777" w:rsidTr="00C2196D">
        <w:trPr>
          <w:trHeight w:val="138"/>
        </w:trPr>
        <w:tc>
          <w:tcPr>
            <w:tcW w:w="4543" w:type="dxa"/>
            <w:tcBorders>
              <w:top w:val="nil"/>
              <w:left w:val="nil"/>
              <w:bottom w:val="nil"/>
              <w:right w:val="nil"/>
            </w:tcBorders>
          </w:tcPr>
          <w:p w14:paraId="6CF765C1"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Mean (SD) [range] age at operation, years</w:t>
            </w:r>
          </w:p>
        </w:tc>
        <w:tc>
          <w:tcPr>
            <w:tcW w:w="4529" w:type="dxa"/>
            <w:tcBorders>
              <w:top w:val="nil"/>
              <w:left w:val="nil"/>
              <w:bottom w:val="nil"/>
              <w:right w:val="nil"/>
            </w:tcBorders>
          </w:tcPr>
          <w:p w14:paraId="6A079F09"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11,7 (3,</w:t>
            </w:r>
            <w:r>
              <w:rPr>
                <w:rFonts w:cs="Times New Roman"/>
                <w:sz w:val="20"/>
                <w:szCs w:val="20"/>
                <w:lang w:val="en-US" w:eastAsia="en-US"/>
              </w:rPr>
              <w:t>1</w:t>
            </w:r>
            <w:r w:rsidRPr="008419AB">
              <w:rPr>
                <w:rFonts w:cs="Times New Roman"/>
                <w:sz w:val="20"/>
                <w:szCs w:val="20"/>
                <w:lang w:val="en-US" w:eastAsia="en-US"/>
              </w:rPr>
              <w:t>) [6,</w:t>
            </w:r>
            <w:r>
              <w:rPr>
                <w:rFonts w:cs="Times New Roman"/>
                <w:sz w:val="20"/>
                <w:szCs w:val="20"/>
                <w:lang w:val="en-US" w:eastAsia="en-US"/>
              </w:rPr>
              <w:t>5</w:t>
            </w:r>
            <w:r w:rsidRPr="008419AB">
              <w:rPr>
                <w:rFonts w:cs="Times New Roman"/>
                <w:sz w:val="20"/>
                <w:szCs w:val="20"/>
                <w:lang w:val="en-US" w:eastAsia="en-US"/>
              </w:rPr>
              <w:t>-1</w:t>
            </w:r>
            <w:r>
              <w:rPr>
                <w:rFonts w:cs="Times New Roman"/>
                <w:sz w:val="20"/>
                <w:szCs w:val="20"/>
                <w:lang w:val="en-US" w:eastAsia="en-US"/>
              </w:rPr>
              <w:t>8</w:t>
            </w:r>
            <w:r w:rsidRPr="008419AB">
              <w:rPr>
                <w:rFonts w:cs="Times New Roman"/>
                <w:sz w:val="20"/>
                <w:szCs w:val="20"/>
                <w:lang w:val="en-US" w:eastAsia="en-US"/>
              </w:rPr>
              <w:t>,</w:t>
            </w:r>
            <w:r>
              <w:rPr>
                <w:rFonts w:cs="Times New Roman"/>
                <w:sz w:val="20"/>
                <w:szCs w:val="20"/>
                <w:lang w:val="en-US" w:eastAsia="en-US"/>
              </w:rPr>
              <w:t>0</w:t>
            </w:r>
            <w:r w:rsidRPr="008419AB">
              <w:rPr>
                <w:rFonts w:cs="Times New Roman"/>
                <w:sz w:val="20"/>
                <w:szCs w:val="20"/>
                <w:lang w:val="en-US" w:eastAsia="en-US"/>
              </w:rPr>
              <w:t>]</w:t>
            </w:r>
          </w:p>
        </w:tc>
      </w:tr>
      <w:tr w:rsidR="00C2196D" w:rsidRPr="008419AB" w14:paraId="43EAAE50" w14:textId="77777777" w:rsidTr="00C2196D">
        <w:trPr>
          <w:trHeight w:val="130"/>
        </w:trPr>
        <w:tc>
          <w:tcPr>
            <w:tcW w:w="4543" w:type="dxa"/>
            <w:tcBorders>
              <w:top w:val="nil"/>
              <w:left w:val="nil"/>
              <w:bottom w:val="nil"/>
              <w:right w:val="nil"/>
            </w:tcBorders>
          </w:tcPr>
          <w:p w14:paraId="11B661F6"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Mean (SD) height before SEMLS, cm</w:t>
            </w:r>
          </w:p>
        </w:tc>
        <w:tc>
          <w:tcPr>
            <w:tcW w:w="4529" w:type="dxa"/>
            <w:tcBorders>
              <w:top w:val="nil"/>
              <w:left w:val="nil"/>
              <w:bottom w:val="nil"/>
              <w:right w:val="nil"/>
            </w:tcBorders>
          </w:tcPr>
          <w:p w14:paraId="1CD8CAD9"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141 (19)</w:t>
            </w:r>
          </w:p>
        </w:tc>
      </w:tr>
      <w:tr w:rsidR="00C2196D" w:rsidRPr="008419AB" w14:paraId="46049D48" w14:textId="77777777" w:rsidTr="00C2196D">
        <w:trPr>
          <w:trHeight w:val="138"/>
        </w:trPr>
        <w:tc>
          <w:tcPr>
            <w:tcW w:w="4543" w:type="dxa"/>
            <w:tcBorders>
              <w:top w:val="nil"/>
              <w:left w:val="nil"/>
              <w:bottom w:val="single" w:sz="4" w:space="0" w:color="auto"/>
              <w:right w:val="nil"/>
            </w:tcBorders>
          </w:tcPr>
          <w:p w14:paraId="1D2E17D8"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Mean (SD) weight before SEMLS, kg</w:t>
            </w:r>
          </w:p>
        </w:tc>
        <w:tc>
          <w:tcPr>
            <w:tcW w:w="4529" w:type="dxa"/>
            <w:tcBorders>
              <w:top w:val="nil"/>
              <w:left w:val="nil"/>
              <w:bottom w:val="single" w:sz="4" w:space="0" w:color="auto"/>
              <w:right w:val="nil"/>
            </w:tcBorders>
          </w:tcPr>
          <w:p w14:paraId="0C5578B6"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sidRPr="008419AB">
              <w:rPr>
                <w:rFonts w:cs="Times New Roman"/>
                <w:sz w:val="20"/>
                <w:szCs w:val="20"/>
                <w:lang w:val="en-US" w:eastAsia="en-US"/>
              </w:rPr>
              <w:t xml:space="preserve">      36,1 (15,4)</w:t>
            </w:r>
          </w:p>
        </w:tc>
      </w:tr>
      <w:tr w:rsidR="00C2196D" w:rsidRPr="00557F59" w14:paraId="7A389C28" w14:textId="77777777" w:rsidTr="00C2196D">
        <w:trPr>
          <w:trHeight w:val="269"/>
        </w:trPr>
        <w:tc>
          <w:tcPr>
            <w:tcW w:w="9072" w:type="dxa"/>
            <w:gridSpan w:val="2"/>
            <w:tcBorders>
              <w:top w:val="single" w:sz="4" w:space="0" w:color="auto"/>
              <w:left w:val="nil"/>
              <w:bottom w:val="nil"/>
              <w:right w:val="nil"/>
            </w:tcBorders>
          </w:tcPr>
          <w:p w14:paraId="3A12B1B7"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Pr>
                <w:rFonts w:cs="Times New Roman"/>
                <w:sz w:val="18"/>
                <w:szCs w:val="20"/>
                <w:lang w:val="en-US" w:eastAsia="en-US"/>
              </w:rPr>
              <w:t xml:space="preserve">CP, Cerebral Palsy; </w:t>
            </w:r>
            <w:r w:rsidRPr="008419AB">
              <w:rPr>
                <w:rFonts w:cs="Times New Roman"/>
                <w:sz w:val="18"/>
                <w:szCs w:val="20"/>
                <w:lang w:val="en-US" w:eastAsia="en-US"/>
              </w:rPr>
              <w:t>GMFCS, Gross Motor F</w:t>
            </w:r>
            <w:r>
              <w:rPr>
                <w:rFonts w:cs="Times New Roman"/>
                <w:sz w:val="18"/>
                <w:szCs w:val="20"/>
                <w:lang w:val="en-US" w:eastAsia="en-US"/>
              </w:rPr>
              <w:t xml:space="preserve">unction Classification System; </w:t>
            </w:r>
            <w:r w:rsidRPr="008419AB">
              <w:rPr>
                <w:rFonts w:cs="Times New Roman"/>
                <w:sz w:val="18"/>
                <w:szCs w:val="20"/>
                <w:lang w:val="en-US" w:eastAsia="en-US"/>
              </w:rPr>
              <w:t xml:space="preserve">SD, Standard Deviation;  </w:t>
            </w:r>
            <w:r>
              <w:rPr>
                <w:rFonts w:cs="Times New Roman"/>
                <w:sz w:val="18"/>
                <w:szCs w:val="20"/>
                <w:lang w:val="en-US" w:eastAsia="en-US"/>
              </w:rPr>
              <w:t xml:space="preserve">                                          cm, centimeter; kg, kilogram</w:t>
            </w:r>
          </w:p>
        </w:tc>
      </w:tr>
    </w:tbl>
    <w:p w14:paraId="45EA4CA8" w14:textId="77777777" w:rsidR="00C2196D" w:rsidRPr="008419AB" w:rsidRDefault="00C2196D" w:rsidP="00C2196D">
      <w:pPr>
        <w:tabs>
          <w:tab w:val="clear" w:pos="284"/>
          <w:tab w:val="clear" w:pos="567"/>
          <w:tab w:val="clear" w:pos="851"/>
          <w:tab w:val="clear" w:pos="1134"/>
          <w:tab w:val="clear" w:pos="1560"/>
          <w:tab w:val="clear" w:pos="2127"/>
          <w:tab w:val="clear" w:pos="2410"/>
          <w:tab w:val="clear" w:pos="8505"/>
        </w:tabs>
        <w:spacing w:after="200" w:line="360" w:lineRule="auto"/>
        <w:rPr>
          <w:rFonts w:eastAsia="Calibri" w:cs="Times New Roman"/>
          <w:szCs w:val="22"/>
          <w:lang w:val="en-US" w:eastAsia="en-US"/>
        </w:rPr>
      </w:pPr>
      <w:r>
        <w:rPr>
          <w:rFonts w:eastAsia="Calibri" w:cs="Times New Roman"/>
          <w:szCs w:val="22"/>
          <w:lang w:val="en-US" w:eastAsia="en-US"/>
        </w:rPr>
        <w:t>All performed s</w:t>
      </w:r>
      <w:r w:rsidRPr="008419AB">
        <w:rPr>
          <w:rFonts w:eastAsia="Calibri" w:cs="Times New Roman"/>
          <w:szCs w:val="22"/>
          <w:lang w:val="en-US" w:eastAsia="en-US"/>
        </w:rPr>
        <w:t>urgical procedures</w:t>
      </w:r>
      <w:r>
        <w:rPr>
          <w:rFonts w:eastAsia="Calibri" w:cs="Times New Roman"/>
          <w:szCs w:val="22"/>
          <w:lang w:val="en-US" w:eastAsia="en-US"/>
        </w:rPr>
        <w:t>,</w:t>
      </w:r>
      <w:r w:rsidRPr="008419AB">
        <w:rPr>
          <w:rFonts w:eastAsia="Calibri" w:cs="Times New Roman"/>
          <w:szCs w:val="22"/>
          <w:lang w:val="en-US" w:eastAsia="en-US"/>
        </w:rPr>
        <w:t xml:space="preserve"> indications for surgery as part of SEMLS</w:t>
      </w:r>
      <w:r>
        <w:rPr>
          <w:rFonts w:eastAsia="Calibri" w:cs="Times New Roman"/>
          <w:szCs w:val="22"/>
          <w:lang w:val="en-US" w:eastAsia="en-US"/>
        </w:rPr>
        <w:t>,</w:t>
      </w:r>
      <w:r w:rsidRPr="008419AB">
        <w:rPr>
          <w:rFonts w:eastAsia="Calibri" w:cs="Times New Roman"/>
          <w:szCs w:val="22"/>
          <w:lang w:val="en-US" w:eastAsia="en-US"/>
        </w:rPr>
        <w:t xml:space="preserve"> and previous and subsequent surger</w:t>
      </w:r>
      <w:r>
        <w:rPr>
          <w:rFonts w:eastAsia="Calibri" w:cs="Times New Roman"/>
          <w:szCs w:val="22"/>
          <w:lang w:val="en-US" w:eastAsia="en-US"/>
        </w:rPr>
        <w:t>ies</w:t>
      </w:r>
      <w:r w:rsidRPr="008419AB">
        <w:rPr>
          <w:rFonts w:eastAsia="Calibri" w:cs="Times New Roman"/>
          <w:szCs w:val="22"/>
          <w:lang w:val="en-US" w:eastAsia="en-US"/>
        </w:rPr>
        <w:t xml:space="preserve"> are shown in</w:t>
      </w:r>
      <w:r w:rsidRPr="008419AB">
        <w:rPr>
          <w:rFonts w:eastAsia="Calibri" w:cs="Times New Roman"/>
          <w:b/>
          <w:szCs w:val="22"/>
          <w:lang w:val="en-US" w:eastAsia="en-US"/>
        </w:rPr>
        <w:t xml:space="preserve"> </w:t>
      </w:r>
      <w:r w:rsidRPr="008419AB">
        <w:rPr>
          <w:rFonts w:eastAsia="Calibri" w:cs="Times New Roman"/>
          <w:szCs w:val="22"/>
          <w:lang w:val="en-US" w:eastAsia="en-US"/>
        </w:rPr>
        <w:t xml:space="preserve">Table 2. Four subjects underwent soft-tissue surgery before their SEMLS. These included gastrocnemius release, Achilles tendon lengthening, tibialis posterior transfer and flexor </w:t>
      </w:r>
      <w:proofErr w:type="spellStart"/>
      <w:r w:rsidRPr="008419AB">
        <w:rPr>
          <w:rFonts w:eastAsia="Calibri" w:cs="Times New Roman"/>
          <w:szCs w:val="22"/>
          <w:lang w:val="en-US" w:eastAsia="en-US"/>
        </w:rPr>
        <w:t>hallucis</w:t>
      </w:r>
      <w:proofErr w:type="spellEnd"/>
      <w:r w:rsidRPr="008419AB">
        <w:rPr>
          <w:rFonts w:eastAsia="Calibri" w:cs="Times New Roman"/>
          <w:szCs w:val="22"/>
          <w:lang w:val="en-US" w:eastAsia="en-US"/>
        </w:rPr>
        <w:t xml:space="preserve"> longus release.</w:t>
      </w:r>
      <w:r>
        <w:rPr>
          <w:rFonts w:eastAsia="Calibri" w:cs="Times New Roman"/>
          <w:szCs w:val="22"/>
          <w:lang w:val="en-US" w:eastAsia="en-US"/>
        </w:rPr>
        <w:t xml:space="preserve"> </w:t>
      </w:r>
      <w:r w:rsidRPr="008419AB">
        <w:rPr>
          <w:rFonts w:eastAsia="Calibri" w:cs="Times New Roman"/>
          <w:szCs w:val="22"/>
          <w:lang w:val="en-US" w:eastAsia="en-US"/>
        </w:rPr>
        <w:t xml:space="preserve">Eleven subjects needed subsequent bony surgeries such as calcaneal </w:t>
      </w:r>
      <w:r w:rsidRPr="00D17C13">
        <w:rPr>
          <w:rFonts w:eastAsia="Calibri" w:cs="Times New Roman"/>
          <w:szCs w:val="22"/>
          <w:lang w:val="en-US" w:eastAsia="en-US"/>
        </w:rPr>
        <w:t>lengthening osteotomy (n=1), hemi-</w:t>
      </w:r>
      <w:proofErr w:type="spellStart"/>
      <w:r w:rsidRPr="00D17C13">
        <w:rPr>
          <w:rFonts w:eastAsia="Calibri" w:cs="Times New Roman"/>
          <w:szCs w:val="22"/>
          <w:lang w:val="en-US" w:eastAsia="en-US"/>
        </w:rPr>
        <w:t>epifysiodesis</w:t>
      </w:r>
      <w:proofErr w:type="spellEnd"/>
      <w:r w:rsidRPr="00D17C13">
        <w:rPr>
          <w:rFonts w:eastAsia="Calibri" w:cs="Times New Roman"/>
          <w:szCs w:val="22"/>
          <w:lang w:val="en-US" w:eastAsia="en-US"/>
        </w:rPr>
        <w:t xml:space="preserve"> of femur or tibia to gradually correct axis (n=12) and repeat osteotomy of the femur (n=1). </w:t>
      </w:r>
    </w:p>
    <w:p w14:paraId="1C4A401C" w14:textId="7A799A8E" w:rsidR="00394336" w:rsidRPr="008419AB" w:rsidRDefault="00891A8B"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GB" w:eastAsia="en-US"/>
        </w:rPr>
      </w:pPr>
      <w:r w:rsidRPr="008419AB">
        <w:rPr>
          <w:rFonts w:eastAsia="Calibri" w:cs="Times New Roman"/>
          <w:noProof/>
          <w:szCs w:val="22"/>
          <w:lang w:val="nl-NL" w:eastAsia="nl-NL"/>
        </w:rPr>
        <w:lastRenderedPageBreak/>
        <mc:AlternateContent>
          <mc:Choice Requires="wps">
            <w:drawing>
              <wp:anchor distT="0" distB="0" distL="114300" distR="114300" simplePos="0" relativeHeight="251659264" behindDoc="0" locked="0" layoutInCell="1" allowOverlap="1" wp14:anchorId="381FA77E" wp14:editId="33B4BC2C">
                <wp:simplePos x="0" y="0"/>
                <wp:positionH relativeFrom="column">
                  <wp:posOffset>-4445</wp:posOffset>
                </wp:positionH>
                <wp:positionV relativeFrom="paragraph">
                  <wp:posOffset>8615680</wp:posOffset>
                </wp:positionV>
                <wp:extent cx="2733675" cy="533400"/>
                <wp:effectExtent l="0" t="0" r="952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33400"/>
                        </a:xfrm>
                        <a:prstGeom prst="rect">
                          <a:avLst/>
                        </a:prstGeom>
                        <a:solidFill>
                          <a:srgbClr val="FFFFFF"/>
                        </a:solidFill>
                        <a:ln w="9525">
                          <a:noFill/>
                          <a:miter lim="800000"/>
                          <a:headEnd/>
                          <a:tailEnd/>
                        </a:ln>
                      </wps:spPr>
                      <wps:txbx>
                        <w:txbxContent>
                          <w:p w14:paraId="299AD6D0" w14:textId="77777777" w:rsidR="006920E7" w:rsidRPr="00AD144F" w:rsidRDefault="006920E7" w:rsidP="00394336">
                            <w:pPr>
                              <w:rPr>
                                <w:sz w:val="20"/>
                                <w:lang w:val="en-US"/>
                              </w:rPr>
                            </w:pPr>
                            <w:r w:rsidRPr="00AD144F">
                              <w:rPr>
                                <w:b/>
                                <w:sz w:val="20"/>
                                <w:lang w:val="en-US"/>
                              </w:rPr>
                              <w:t>Figure 1: Flow-chart of selection procedure</w:t>
                            </w:r>
                            <w:r w:rsidRPr="00AD144F">
                              <w:rPr>
                                <w:sz w:val="20"/>
                                <w:lang w:val="en-US"/>
                              </w:rPr>
                              <w:br/>
                            </w:r>
                            <w:r>
                              <w:rPr>
                                <w:sz w:val="18"/>
                                <w:szCs w:val="18"/>
                                <w:lang w:val="en-US"/>
                              </w:rPr>
                              <w:t>FU, Follo</w:t>
                            </w:r>
                            <w:r w:rsidRPr="00ED793A">
                              <w:rPr>
                                <w:sz w:val="18"/>
                                <w:szCs w:val="18"/>
                                <w:lang w:val="en-US"/>
                              </w:rPr>
                              <w:t>w-up</w:t>
                            </w:r>
                            <w:r>
                              <w:rPr>
                                <w:sz w:val="18"/>
                                <w:szCs w:val="18"/>
                                <w:lang w:val="en-US"/>
                              </w:rPr>
                              <w:t xml:space="preserve">;  SEMLS, Single-Event Multilevel Surgery </w:t>
                            </w:r>
                          </w:p>
                          <w:p w14:paraId="342FA0A3" w14:textId="77777777" w:rsidR="006920E7" w:rsidRPr="004D25E9" w:rsidRDefault="006920E7" w:rsidP="0039433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5pt;margin-top:678.4pt;width:215.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sUJAIAAB0EAAAOAAAAZHJzL2Uyb0RvYy54bWysU21v2yAQ/j5p/wHxfbHjJE1rxam6dJkm&#10;dS9Sux+AMY5RgGNAYne/fgdO06j7No0PiOOOh7vnnlvdDlqRo3BegqnodJJTIgyHRppdRX8+bT9c&#10;U+IDMw1TYERFn4Wnt+v371a9LUUBHahGOIIgxpe9rWgXgi2zzPNOaOYnYIVBZwtOs4Cm22WNYz2i&#10;a5UVeX6V9eAa64AL7/H2fnTSdcJvW8HD97b1IhBVUcwtpN2lvY57tl6xcueY7SQ/pcH+IQvNpMFP&#10;z1D3LDBycPIvKC25Aw9tmHDQGbSt5CLVgNVM8zfVPHbMilQLkuPtmSb//2D5t+MPR2RT0Vm+pMQw&#10;jU16EnsfjmxPishPb32JYY8WA8PwEQbsc6rV2wfge08MbDpmduLOOeg7wRrMbxpfZhdPRxwfQer+&#10;KzT4DTsESEBD63QkD+kgiI59ej73RgyBcLwslrPZ1XJBCUffYjab56l5GStfXlvnw2cBmsRDRR32&#10;PqGz44MPMRtWvoTEzzwo2WylUslwu3qjHDky1Mk2rVTAmzBlSF/Rm0WxSMgG4vskIS0D6lhJXdHr&#10;PK5RWZGNT6ZJIYFJNZ4xE2VO9ERGRm7CUA8YGDmroXlGohyMesX5wkMH7jclPWq1ov7XgTlBifpi&#10;kOyb6XwexZ2M+WJZoOEuPfWlhxmOUBUNlIzHTUgDEXkwcIdNaWXi6zWTU66owUTjaV6iyC/tFPU6&#10;1es/AAAA//8DAFBLAwQUAAYACAAAACEASo2nNN8AAAALAQAADwAAAGRycy9kb3ducmV2LnhtbEyP&#10;QU+DQBCF7yb+h82YeDHtYqXQIkujJhqvrf0BA0yByM4Sdlvov3c86W3mzcub7+W72fbqQqPvHBt4&#10;XEagiCtXd9wYOH69LzagfECusXdMBq7kYVfc3uSY1W7iPV0OoVESwj5DA20IQ6a1r1qy6JduIJbb&#10;yY0Wg6xjo+sRJwm3vV5FUaItdiwfWhzoraXq+3C2Bk6f08N6O5Uf4Zju4+QVu7R0V2Pu7+aXZ1CB&#10;5vBnhl98QYdCmEp35tqr3sAiFaPIT+tEKoghXm1lKEWK42gDusj1/w7FDwAAAP//AwBQSwECLQAU&#10;AAYACAAAACEAtoM4kv4AAADhAQAAEwAAAAAAAAAAAAAAAAAAAAAAW0NvbnRlbnRfVHlwZXNdLnht&#10;bFBLAQItABQABgAIAAAAIQA4/SH/1gAAAJQBAAALAAAAAAAAAAAAAAAAAC8BAABfcmVscy8ucmVs&#10;c1BLAQItABQABgAIAAAAIQDuHpsUJAIAAB0EAAAOAAAAAAAAAAAAAAAAAC4CAABkcnMvZTJvRG9j&#10;LnhtbFBLAQItABQABgAIAAAAIQBKjac03wAAAAsBAAAPAAAAAAAAAAAAAAAAAH4EAABkcnMvZG93&#10;bnJldi54bWxQSwUGAAAAAAQABADzAAAAigUAAAAA&#10;" stroked="f">
                <v:textbox>
                  <w:txbxContent>
                    <w:p w14:paraId="299AD6D0" w14:textId="77777777" w:rsidR="006920E7" w:rsidRPr="00AD144F" w:rsidRDefault="006920E7" w:rsidP="00394336">
                      <w:pPr>
                        <w:rPr>
                          <w:sz w:val="20"/>
                          <w:lang w:val="en-US"/>
                        </w:rPr>
                      </w:pPr>
                      <w:r w:rsidRPr="00AD144F">
                        <w:rPr>
                          <w:b/>
                          <w:sz w:val="20"/>
                          <w:lang w:val="en-US"/>
                        </w:rPr>
                        <w:t>Figure 1: Flow-chart of selection procedure</w:t>
                      </w:r>
                      <w:r w:rsidRPr="00AD144F">
                        <w:rPr>
                          <w:sz w:val="20"/>
                          <w:lang w:val="en-US"/>
                        </w:rPr>
                        <w:br/>
                      </w:r>
                      <w:r>
                        <w:rPr>
                          <w:sz w:val="18"/>
                          <w:szCs w:val="18"/>
                          <w:lang w:val="en-US"/>
                        </w:rPr>
                        <w:t>FU, Follo</w:t>
                      </w:r>
                      <w:r w:rsidRPr="00ED793A">
                        <w:rPr>
                          <w:sz w:val="18"/>
                          <w:szCs w:val="18"/>
                          <w:lang w:val="en-US"/>
                        </w:rPr>
                        <w:t>w-up</w:t>
                      </w:r>
                      <w:r>
                        <w:rPr>
                          <w:sz w:val="18"/>
                          <w:szCs w:val="18"/>
                          <w:lang w:val="en-US"/>
                        </w:rPr>
                        <w:t xml:space="preserve">;  SEMLS, Single-Event Multilevel Surgery </w:t>
                      </w:r>
                    </w:p>
                    <w:p w14:paraId="342FA0A3" w14:textId="77777777" w:rsidR="006920E7" w:rsidRPr="004D25E9" w:rsidRDefault="006920E7" w:rsidP="00394336">
                      <w:pPr>
                        <w:rPr>
                          <w:lang w:val="en-US"/>
                        </w:rPr>
                      </w:pPr>
                    </w:p>
                  </w:txbxContent>
                </v:textbox>
              </v:shape>
            </w:pict>
          </mc:Fallback>
        </mc:AlternateContent>
      </w:r>
      <w:r w:rsidR="00394336">
        <w:rPr>
          <w:rFonts w:eastAsia="Calibri" w:cs="Times New Roman"/>
          <w:noProof/>
          <w:szCs w:val="22"/>
          <w:lang w:val="nl-NL" w:eastAsia="nl-NL"/>
        </w:rPr>
        <mc:AlternateContent>
          <mc:Choice Requires="wps">
            <w:drawing>
              <wp:anchor distT="0" distB="0" distL="114300" distR="114300" simplePos="0" relativeHeight="251661312" behindDoc="0" locked="0" layoutInCell="1" allowOverlap="1" wp14:anchorId="6ADB97FD" wp14:editId="262B3CA3">
                <wp:simplePos x="0" y="0"/>
                <wp:positionH relativeFrom="column">
                  <wp:posOffset>3024505</wp:posOffset>
                </wp:positionH>
                <wp:positionV relativeFrom="paragraph">
                  <wp:posOffset>1929130</wp:posOffset>
                </wp:positionV>
                <wp:extent cx="0" cy="581025"/>
                <wp:effectExtent l="0" t="0" r="19050" b="9525"/>
                <wp:wrapNone/>
                <wp:docPr id="19" name="Rechte verbindingslijn 19"/>
                <wp:cNvGraphicFramePr/>
                <a:graphic xmlns:a="http://schemas.openxmlformats.org/drawingml/2006/main">
                  <a:graphicData uri="http://schemas.microsoft.com/office/word/2010/wordprocessingShape">
                    <wps:wsp>
                      <wps:cNvCnPr/>
                      <wps:spPr>
                        <a:xfrm>
                          <a:off x="0" y="0"/>
                          <a:ext cx="0" cy="581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5pt,151.9pt" to="238.1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se2AEAABIEAAAOAAAAZHJzL2Uyb0RvYy54bWysU8GO0zAQvSPxD5bvNEmlhSVquoddLRcE&#10;1cJ+gOuMGyN7bNmmaf+esZOmK0BIIC5ObM97M+/NeHN3soYdIUTtsOPNquYMULpe46Hjz18f39xy&#10;FpPAXhiH0PEzRH63ff1qM/oW1m5wpofAiARjO/qODyn5tqqiHMCKuHIekC6VC1Yk2oZD1QcxErs1&#10;1bqu31ajC70PTkKMdPowXfJt4VcKZPqsVITETMeptlTWUNZ9XqvtRrSHIPyg5VyG+IcqrNBISReq&#10;B5EE+x70L1RWy+CiU2klna2cUlpC0UBqmvonNV8G4aFoIXOiX2yK/49WfjruAtM99e49Zygs9egJ&#10;5JAgd3WvMXcyGv0NGQWQW6OPLYHucRfmXfS7kKWfVLD5S6LYqTh8XhyGU2JyOpR0enPb1OubTFdd&#10;cT7E9AGcZfmn40Zj1i5acfwY0xR6CcnHBtlIVa/f1XUJi87o/lEbky/L/MC9CewoqPPp1MzJXkRR&#10;aoNUQVY0aSh/6Wxg4n8CRc5Q1c2UIM/klVNICZguvAYpOsMUVbAA58r+BJzjMxTKvP4NeEGUzA7T&#10;ArYaXfhd2Vcr1BR/cWDSnS3Yu/5culusocErbZofSZ7sl/sCvz7l7Q8AAAD//wMAUEsDBBQABgAI&#10;AAAAIQADwTR93AAAAAsBAAAPAAAAZHJzL2Rvd25yZXYueG1sTI/LTsMwEEX3SPyDNUjsqA2GlqZx&#10;qgqpH9CChNi5tvMAexzFTpP+PYNYwHLuHN1HuZ2DZ2c3pC6igvuFAObQRNtho+DtdX/3DCxljVb7&#10;iE7BxSXYVtdXpS5snPDgzsfcMDLBVGgFbc59wXkyrQs6LWLvkH51HILOdA4Nt4OeyDx4/iDEkgfd&#10;ISW0uncvrTNfxzEo+BCTHz9NvTdSX97xsAuroQ5K3d7Muw2w7Ob8B8NPfaoOFXU6xRFtYl7B42op&#10;CVUghaQNRPwqJ1LWTxJ4VfL/G6pvAAAA//8DAFBLAQItABQABgAIAAAAIQC2gziS/gAAAOEBAAAT&#10;AAAAAAAAAAAAAAAAAAAAAABbQ29udGVudF9UeXBlc10ueG1sUEsBAi0AFAAGAAgAAAAhADj9If/W&#10;AAAAlAEAAAsAAAAAAAAAAAAAAAAALwEAAF9yZWxzLy5yZWxzUEsBAi0AFAAGAAgAAAAhAKY3ux7Y&#10;AQAAEgQAAA4AAAAAAAAAAAAAAAAALgIAAGRycy9lMm9Eb2MueG1sUEsBAi0AFAAGAAgAAAAhAAPB&#10;NH3cAAAACwEAAA8AAAAAAAAAAAAAAAAAMgQAAGRycy9kb3ducmV2LnhtbFBLBQYAAAAABAAEAPMA&#10;AAA7BQAAAAA=&#10;" strokecolor="black [3213]" strokeweight="1pt"/>
            </w:pict>
          </mc:Fallback>
        </mc:AlternateContent>
      </w:r>
      <w:r w:rsidR="00394336" w:rsidRPr="008419AB">
        <w:rPr>
          <w:rFonts w:eastAsia="Calibri" w:cs="Times New Roman"/>
          <w:noProof/>
          <w:szCs w:val="22"/>
          <w:lang w:val="nl-NL" w:eastAsia="nl-NL"/>
        </w:rPr>
        <w:drawing>
          <wp:inline distT="0" distB="0" distL="0" distR="0" wp14:anchorId="34AEF9E8" wp14:editId="7AA22002">
            <wp:extent cx="5760720" cy="8794255"/>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78A38D4" w14:textId="77777777" w:rsidR="00394336" w:rsidRPr="008419AB"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eastAsia="en-US"/>
        </w:rPr>
        <w:sectPr w:rsidR="00394336" w:rsidRPr="008419AB" w:rsidSect="00E5029D">
          <w:footerReference w:type="first" r:id="rId19"/>
          <w:pgSz w:w="11906" w:h="16838"/>
          <w:pgMar w:top="1417" w:right="1417" w:bottom="1417" w:left="1417" w:header="708" w:footer="708" w:gutter="0"/>
          <w:pgNumType w:start="1"/>
          <w:cols w:space="708"/>
          <w:titlePg/>
          <w:docGrid w:linePitch="360"/>
        </w:sectPr>
      </w:pPr>
    </w:p>
    <w:tbl>
      <w:tblPr>
        <w:tblStyle w:val="Tabelraster1"/>
        <w:tblpPr w:leftFromText="141" w:rightFromText="141" w:vertAnchor="page" w:horzAnchor="margin" w:tblpY="406"/>
        <w:tblW w:w="0" w:type="auto"/>
        <w:tblLook w:val="04A0" w:firstRow="1" w:lastRow="0" w:firstColumn="1" w:lastColumn="0" w:noHBand="0" w:noVBand="1"/>
      </w:tblPr>
      <w:tblGrid>
        <w:gridCol w:w="3934"/>
        <w:gridCol w:w="3120"/>
        <w:gridCol w:w="3248"/>
        <w:gridCol w:w="1288"/>
        <w:gridCol w:w="355"/>
        <w:gridCol w:w="777"/>
        <w:gridCol w:w="1496"/>
      </w:tblGrid>
      <w:tr w:rsidR="00394336" w:rsidRPr="008419AB" w14:paraId="656BDBC0" w14:textId="77777777" w:rsidTr="00E5029D">
        <w:tc>
          <w:tcPr>
            <w:tcW w:w="11945" w:type="dxa"/>
            <w:gridSpan w:val="5"/>
            <w:tcBorders>
              <w:top w:val="nil"/>
              <w:left w:val="nil"/>
              <w:bottom w:val="nil"/>
              <w:right w:val="nil"/>
            </w:tcBorders>
          </w:tcPr>
          <w:p w14:paraId="37A3BF66" w14:textId="77777777" w:rsidR="00891A8B" w:rsidRDefault="00891A8B"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p>
          <w:p w14:paraId="1FF2769C" w14:textId="77777777" w:rsidR="00891A8B" w:rsidRDefault="00891A8B"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p>
          <w:p w14:paraId="3CB301DF"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r w:rsidRPr="00DB2D30">
              <w:rPr>
                <w:rFonts w:cs="Times New Roman"/>
                <w:b/>
                <w:sz w:val="18"/>
                <w:lang w:val="en-US" w:eastAsia="en-US"/>
              </w:rPr>
              <w:t>Table 2</w:t>
            </w:r>
          </w:p>
        </w:tc>
        <w:tc>
          <w:tcPr>
            <w:tcW w:w="2273" w:type="dxa"/>
            <w:gridSpan w:val="2"/>
            <w:tcBorders>
              <w:top w:val="nil"/>
              <w:left w:val="nil"/>
              <w:bottom w:val="nil"/>
              <w:right w:val="nil"/>
            </w:tcBorders>
          </w:tcPr>
          <w:p w14:paraId="3A5B8E3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12107A" w14:paraId="4EFD9FBC" w14:textId="77777777" w:rsidTr="00E5029D">
        <w:tc>
          <w:tcPr>
            <w:tcW w:w="14218" w:type="dxa"/>
            <w:gridSpan w:val="7"/>
            <w:tcBorders>
              <w:top w:val="nil"/>
              <w:left w:val="nil"/>
              <w:bottom w:val="single" w:sz="4" w:space="0" w:color="auto"/>
              <w:right w:val="nil"/>
            </w:tcBorders>
          </w:tcPr>
          <w:p w14:paraId="75DA33AE"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r w:rsidRPr="00DB2D30">
              <w:rPr>
                <w:rFonts w:cs="Times New Roman"/>
                <w:sz w:val="18"/>
                <w:lang w:val="en-US" w:eastAsia="en-US"/>
              </w:rPr>
              <w:t>Surgical indications and procedures performed as part of Single-Event Multilevel Surgery (SEMLS) in 31 children (31 lower limbs) and previous and subsequent surgeries.</w:t>
            </w:r>
          </w:p>
        </w:tc>
      </w:tr>
      <w:tr w:rsidR="00394336" w:rsidRPr="008419AB" w14:paraId="498C17D2" w14:textId="77777777" w:rsidTr="00E5029D">
        <w:tc>
          <w:tcPr>
            <w:tcW w:w="3934" w:type="dxa"/>
            <w:tcBorders>
              <w:left w:val="nil"/>
              <w:bottom w:val="nil"/>
              <w:right w:val="nil"/>
            </w:tcBorders>
          </w:tcPr>
          <w:p w14:paraId="72E5BD2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 xml:space="preserve">   Soft tissue procedure</w:t>
            </w:r>
          </w:p>
        </w:tc>
        <w:tc>
          <w:tcPr>
            <w:tcW w:w="6368" w:type="dxa"/>
            <w:gridSpan w:val="2"/>
            <w:tcBorders>
              <w:left w:val="nil"/>
              <w:bottom w:val="single" w:sz="4" w:space="0" w:color="auto"/>
              <w:right w:val="nil"/>
            </w:tcBorders>
          </w:tcPr>
          <w:p w14:paraId="72962A1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b/>
                <w:sz w:val="18"/>
                <w:lang w:val="en-US" w:eastAsia="en-US"/>
              </w:rPr>
              <w:t>Indication</w:t>
            </w:r>
          </w:p>
        </w:tc>
        <w:tc>
          <w:tcPr>
            <w:tcW w:w="1288" w:type="dxa"/>
            <w:tcBorders>
              <w:left w:val="nil"/>
              <w:bottom w:val="nil"/>
              <w:right w:val="nil"/>
            </w:tcBorders>
          </w:tcPr>
          <w:p w14:paraId="05D92200"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Previous</w:t>
            </w:r>
          </w:p>
        </w:tc>
        <w:tc>
          <w:tcPr>
            <w:tcW w:w="1132" w:type="dxa"/>
            <w:gridSpan w:val="2"/>
            <w:tcBorders>
              <w:left w:val="nil"/>
              <w:bottom w:val="nil"/>
              <w:right w:val="nil"/>
            </w:tcBorders>
          </w:tcPr>
          <w:p w14:paraId="75FA20A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SEMLS</w:t>
            </w:r>
          </w:p>
        </w:tc>
        <w:tc>
          <w:tcPr>
            <w:tcW w:w="1496" w:type="dxa"/>
            <w:vMerge w:val="restart"/>
            <w:tcBorders>
              <w:left w:val="nil"/>
              <w:right w:val="nil"/>
            </w:tcBorders>
          </w:tcPr>
          <w:p w14:paraId="17C3B1E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8419AB" w14:paraId="0CE12CCD" w14:textId="77777777" w:rsidTr="00E5029D">
        <w:tc>
          <w:tcPr>
            <w:tcW w:w="3934" w:type="dxa"/>
            <w:tcBorders>
              <w:top w:val="nil"/>
              <w:left w:val="nil"/>
              <w:bottom w:val="single" w:sz="4" w:space="0" w:color="auto"/>
              <w:right w:val="nil"/>
            </w:tcBorders>
          </w:tcPr>
          <w:p w14:paraId="1E7AC2A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3120" w:type="dxa"/>
            <w:tcBorders>
              <w:top w:val="nil"/>
              <w:left w:val="nil"/>
              <w:bottom w:val="single" w:sz="4" w:space="0" w:color="auto"/>
              <w:right w:val="nil"/>
            </w:tcBorders>
          </w:tcPr>
          <w:p w14:paraId="6689978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Clinical</w:t>
            </w:r>
          </w:p>
        </w:tc>
        <w:tc>
          <w:tcPr>
            <w:tcW w:w="3248" w:type="dxa"/>
            <w:tcBorders>
              <w:top w:val="nil"/>
              <w:left w:val="nil"/>
              <w:bottom w:val="single" w:sz="4" w:space="0" w:color="auto"/>
              <w:right w:val="nil"/>
            </w:tcBorders>
          </w:tcPr>
          <w:p w14:paraId="47878F67"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Sagittal plane kinematic</w:t>
            </w:r>
          </w:p>
        </w:tc>
        <w:tc>
          <w:tcPr>
            <w:tcW w:w="1288" w:type="dxa"/>
            <w:tcBorders>
              <w:top w:val="nil"/>
              <w:left w:val="nil"/>
              <w:bottom w:val="single" w:sz="4" w:space="0" w:color="auto"/>
              <w:right w:val="nil"/>
            </w:tcBorders>
          </w:tcPr>
          <w:p w14:paraId="36954F71"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 xml:space="preserve">Number </w:t>
            </w:r>
            <w:r w:rsidRPr="00E31033">
              <w:rPr>
                <w:rFonts w:cs="Times New Roman"/>
                <w:b/>
                <w:sz w:val="18"/>
                <w:lang w:val="en-US" w:eastAsia="en-US"/>
              </w:rPr>
              <w:br/>
              <w:t>(n=4)</w:t>
            </w:r>
          </w:p>
        </w:tc>
        <w:tc>
          <w:tcPr>
            <w:tcW w:w="1132" w:type="dxa"/>
            <w:gridSpan w:val="2"/>
            <w:tcBorders>
              <w:top w:val="nil"/>
              <w:left w:val="nil"/>
              <w:bottom w:val="single" w:sz="4" w:space="0" w:color="auto"/>
              <w:right w:val="nil"/>
            </w:tcBorders>
          </w:tcPr>
          <w:p w14:paraId="1915608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 xml:space="preserve">Number </w:t>
            </w:r>
            <w:r w:rsidRPr="00E31033">
              <w:rPr>
                <w:rFonts w:cs="Times New Roman"/>
                <w:b/>
                <w:sz w:val="18"/>
                <w:lang w:val="en-US" w:eastAsia="en-US"/>
              </w:rPr>
              <w:br/>
              <w:t>(n=31)</w:t>
            </w:r>
          </w:p>
        </w:tc>
        <w:tc>
          <w:tcPr>
            <w:tcW w:w="1496" w:type="dxa"/>
            <w:vMerge/>
            <w:tcBorders>
              <w:left w:val="nil"/>
              <w:bottom w:val="single" w:sz="4" w:space="0" w:color="auto"/>
              <w:right w:val="nil"/>
            </w:tcBorders>
          </w:tcPr>
          <w:p w14:paraId="64257AB4"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8419AB" w14:paraId="1094A9A2" w14:textId="77777777" w:rsidTr="00E5029D">
        <w:tc>
          <w:tcPr>
            <w:tcW w:w="3934" w:type="dxa"/>
            <w:tcBorders>
              <w:top w:val="single" w:sz="4" w:space="0" w:color="auto"/>
              <w:left w:val="nil"/>
              <w:bottom w:val="nil"/>
              <w:right w:val="nil"/>
            </w:tcBorders>
          </w:tcPr>
          <w:p w14:paraId="35806D0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Psoas IM release </w:t>
            </w:r>
          </w:p>
        </w:tc>
        <w:tc>
          <w:tcPr>
            <w:tcW w:w="3120" w:type="dxa"/>
            <w:tcBorders>
              <w:top w:val="single" w:sz="4" w:space="0" w:color="auto"/>
              <w:left w:val="nil"/>
              <w:bottom w:val="nil"/>
              <w:right w:val="nil"/>
            </w:tcBorders>
          </w:tcPr>
          <w:p w14:paraId="1AE41E2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Hip extension not neutral</w:t>
            </w:r>
          </w:p>
        </w:tc>
        <w:tc>
          <w:tcPr>
            <w:tcW w:w="3248" w:type="dxa"/>
            <w:tcBorders>
              <w:top w:val="single" w:sz="4" w:space="0" w:color="auto"/>
              <w:left w:val="nil"/>
              <w:bottom w:val="nil"/>
              <w:right w:val="nil"/>
            </w:tcBorders>
          </w:tcPr>
          <w:p w14:paraId="3C65B23C" w14:textId="734AC36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Incomplete hip extension </w:t>
            </w:r>
            <w:r w:rsidR="00C046E1">
              <w:rPr>
                <w:rFonts w:cs="Times New Roman"/>
                <w:sz w:val="18"/>
                <w:lang w:val="en-US" w:eastAsia="en-US"/>
              </w:rPr>
              <w:t xml:space="preserve">at </w:t>
            </w:r>
            <w:proofErr w:type="spellStart"/>
            <w:r w:rsidRPr="00E31033">
              <w:rPr>
                <w:rFonts w:cs="Times New Roman"/>
                <w:sz w:val="18"/>
                <w:lang w:val="en-US" w:eastAsia="en-US"/>
              </w:rPr>
              <w:t>midstance</w:t>
            </w:r>
            <w:proofErr w:type="spellEnd"/>
          </w:p>
        </w:tc>
        <w:tc>
          <w:tcPr>
            <w:tcW w:w="1288" w:type="dxa"/>
            <w:tcBorders>
              <w:top w:val="single" w:sz="4" w:space="0" w:color="auto"/>
              <w:left w:val="nil"/>
              <w:bottom w:val="nil"/>
              <w:right w:val="nil"/>
            </w:tcBorders>
          </w:tcPr>
          <w:p w14:paraId="2473692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132" w:type="dxa"/>
            <w:gridSpan w:val="2"/>
            <w:tcBorders>
              <w:top w:val="single" w:sz="4" w:space="0" w:color="auto"/>
              <w:left w:val="nil"/>
              <w:bottom w:val="nil"/>
              <w:right w:val="nil"/>
            </w:tcBorders>
          </w:tcPr>
          <w:p w14:paraId="7A95262C"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25</w:t>
            </w:r>
          </w:p>
        </w:tc>
        <w:tc>
          <w:tcPr>
            <w:tcW w:w="1496" w:type="dxa"/>
            <w:tcBorders>
              <w:top w:val="single" w:sz="4" w:space="0" w:color="auto"/>
              <w:left w:val="nil"/>
              <w:bottom w:val="nil"/>
              <w:right w:val="nil"/>
            </w:tcBorders>
          </w:tcPr>
          <w:p w14:paraId="46E66A9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7561D887" w14:textId="77777777" w:rsidTr="00E5029D">
        <w:tc>
          <w:tcPr>
            <w:tcW w:w="3934" w:type="dxa"/>
            <w:tcBorders>
              <w:top w:val="nil"/>
              <w:left w:val="nil"/>
              <w:bottom w:val="nil"/>
              <w:right w:val="nil"/>
            </w:tcBorders>
          </w:tcPr>
          <w:p w14:paraId="323C5FDA"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Adductor release</w:t>
            </w:r>
          </w:p>
        </w:tc>
        <w:tc>
          <w:tcPr>
            <w:tcW w:w="3120" w:type="dxa"/>
            <w:tcBorders>
              <w:top w:val="nil"/>
              <w:left w:val="nil"/>
              <w:bottom w:val="nil"/>
              <w:right w:val="nil"/>
            </w:tcBorders>
          </w:tcPr>
          <w:p w14:paraId="51360A48" w14:textId="071CB4A5"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Limited abduction (&lt; 25°) in hip flexion</w:t>
            </w:r>
            <w:r w:rsidR="00C046E1">
              <w:rPr>
                <w:rFonts w:cs="Times New Roman"/>
                <w:sz w:val="18"/>
                <w:lang w:val="en-US" w:eastAsia="en-US"/>
              </w:rPr>
              <w:t>,</w:t>
            </w:r>
          </w:p>
        </w:tc>
        <w:tc>
          <w:tcPr>
            <w:tcW w:w="3248" w:type="dxa"/>
            <w:tcBorders>
              <w:top w:val="nil"/>
              <w:left w:val="nil"/>
              <w:bottom w:val="nil"/>
              <w:right w:val="nil"/>
            </w:tcBorders>
          </w:tcPr>
          <w:p w14:paraId="21354F10"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Adduction hip</w:t>
            </w:r>
          </w:p>
        </w:tc>
        <w:tc>
          <w:tcPr>
            <w:tcW w:w="1288" w:type="dxa"/>
            <w:tcBorders>
              <w:top w:val="nil"/>
              <w:left w:val="nil"/>
              <w:bottom w:val="nil"/>
              <w:right w:val="nil"/>
            </w:tcBorders>
          </w:tcPr>
          <w:p w14:paraId="1526E9AA"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132" w:type="dxa"/>
            <w:gridSpan w:val="2"/>
            <w:tcBorders>
              <w:top w:val="nil"/>
              <w:left w:val="nil"/>
              <w:bottom w:val="nil"/>
              <w:right w:val="nil"/>
            </w:tcBorders>
          </w:tcPr>
          <w:p w14:paraId="10DED1DD"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7</w:t>
            </w:r>
          </w:p>
        </w:tc>
        <w:tc>
          <w:tcPr>
            <w:tcW w:w="1496" w:type="dxa"/>
            <w:tcBorders>
              <w:top w:val="nil"/>
              <w:left w:val="nil"/>
              <w:bottom w:val="nil"/>
              <w:right w:val="nil"/>
            </w:tcBorders>
          </w:tcPr>
          <w:p w14:paraId="4F25BA1D"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2218FF17" w14:textId="77777777" w:rsidTr="00E5029D">
        <w:tc>
          <w:tcPr>
            <w:tcW w:w="3934" w:type="dxa"/>
            <w:tcBorders>
              <w:top w:val="nil"/>
              <w:left w:val="nil"/>
              <w:bottom w:val="nil"/>
              <w:right w:val="nil"/>
            </w:tcBorders>
          </w:tcPr>
          <w:p w14:paraId="45BCA5C2"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Hamstrings release</w:t>
            </w:r>
          </w:p>
        </w:tc>
        <w:tc>
          <w:tcPr>
            <w:tcW w:w="3120" w:type="dxa"/>
            <w:tcBorders>
              <w:top w:val="nil"/>
              <w:left w:val="nil"/>
              <w:bottom w:val="nil"/>
              <w:right w:val="nil"/>
            </w:tcBorders>
          </w:tcPr>
          <w:p w14:paraId="712FE0E9" w14:textId="2974F661" w:rsidR="00394336" w:rsidRPr="00E31033" w:rsidRDefault="00C046E1"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Pr>
                <w:rFonts w:cs="Times New Roman"/>
                <w:sz w:val="18"/>
                <w:lang w:val="en-US" w:eastAsia="en-US"/>
              </w:rPr>
              <w:t>Knee FFD 0 °</w:t>
            </w:r>
          </w:p>
          <w:p w14:paraId="54D437E4"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Increased popliteal angle</w:t>
            </w:r>
          </w:p>
        </w:tc>
        <w:tc>
          <w:tcPr>
            <w:tcW w:w="3248" w:type="dxa"/>
            <w:tcBorders>
              <w:top w:val="nil"/>
              <w:left w:val="nil"/>
              <w:bottom w:val="nil"/>
              <w:right w:val="nil"/>
            </w:tcBorders>
          </w:tcPr>
          <w:p w14:paraId="6C70F95F" w14:textId="40B434A5"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Increased </w:t>
            </w:r>
            <w:r w:rsidR="00C046E1">
              <w:rPr>
                <w:rFonts w:cs="Times New Roman"/>
                <w:sz w:val="18"/>
                <w:lang w:val="en-US" w:eastAsia="en-US"/>
              </w:rPr>
              <w:t>knee flexion at initial contact and at</w:t>
            </w:r>
            <w:r w:rsidRPr="00E31033">
              <w:rPr>
                <w:rFonts w:cs="Times New Roman"/>
                <w:sz w:val="18"/>
                <w:lang w:val="en-US" w:eastAsia="en-US"/>
              </w:rPr>
              <w:t xml:space="preserve"> terminal swing</w:t>
            </w:r>
          </w:p>
        </w:tc>
        <w:tc>
          <w:tcPr>
            <w:tcW w:w="1288" w:type="dxa"/>
            <w:tcBorders>
              <w:top w:val="nil"/>
              <w:left w:val="nil"/>
              <w:bottom w:val="nil"/>
              <w:right w:val="nil"/>
            </w:tcBorders>
          </w:tcPr>
          <w:p w14:paraId="451B9FA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132" w:type="dxa"/>
            <w:gridSpan w:val="2"/>
            <w:tcBorders>
              <w:top w:val="nil"/>
              <w:left w:val="nil"/>
              <w:bottom w:val="nil"/>
              <w:right w:val="nil"/>
            </w:tcBorders>
          </w:tcPr>
          <w:p w14:paraId="4FC8CA7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25</w:t>
            </w:r>
          </w:p>
        </w:tc>
        <w:tc>
          <w:tcPr>
            <w:tcW w:w="1496" w:type="dxa"/>
            <w:tcBorders>
              <w:top w:val="nil"/>
              <w:left w:val="nil"/>
              <w:bottom w:val="nil"/>
              <w:right w:val="nil"/>
            </w:tcBorders>
          </w:tcPr>
          <w:p w14:paraId="650C40A6"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34B8B25E" w14:textId="77777777" w:rsidTr="00E5029D">
        <w:trPr>
          <w:trHeight w:val="650"/>
        </w:trPr>
        <w:tc>
          <w:tcPr>
            <w:tcW w:w="3934" w:type="dxa"/>
            <w:tcBorders>
              <w:top w:val="nil"/>
              <w:left w:val="nil"/>
              <w:bottom w:val="nil"/>
              <w:right w:val="nil"/>
            </w:tcBorders>
          </w:tcPr>
          <w:p w14:paraId="33FEE694"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Rectus </w:t>
            </w:r>
            <w:proofErr w:type="spellStart"/>
            <w:r w:rsidRPr="00E31033">
              <w:rPr>
                <w:rFonts w:cs="Times New Roman"/>
                <w:sz w:val="18"/>
                <w:lang w:val="en-US" w:eastAsia="en-US"/>
              </w:rPr>
              <w:t>Femoris</w:t>
            </w:r>
            <w:proofErr w:type="spellEnd"/>
            <w:r w:rsidRPr="00E31033">
              <w:rPr>
                <w:rFonts w:cs="Times New Roman"/>
                <w:sz w:val="18"/>
                <w:lang w:val="en-US" w:eastAsia="en-US"/>
              </w:rPr>
              <w:t xml:space="preserve"> transfer</w:t>
            </w:r>
          </w:p>
        </w:tc>
        <w:tc>
          <w:tcPr>
            <w:tcW w:w="3120" w:type="dxa"/>
            <w:tcBorders>
              <w:top w:val="nil"/>
              <w:left w:val="nil"/>
              <w:bottom w:val="nil"/>
              <w:right w:val="nil"/>
            </w:tcBorders>
          </w:tcPr>
          <w:p w14:paraId="54E091B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Positive Duncan Ely </w:t>
            </w:r>
            <w:r w:rsidRPr="00E31033">
              <w:rPr>
                <w:rFonts w:cs="Times New Roman"/>
                <w:sz w:val="18"/>
                <w:lang w:val="en-US" w:eastAsia="en-US"/>
              </w:rPr>
              <w:br/>
              <w:t>(prone rectus) Test</w:t>
            </w:r>
          </w:p>
        </w:tc>
        <w:tc>
          <w:tcPr>
            <w:tcW w:w="3248" w:type="dxa"/>
            <w:tcBorders>
              <w:top w:val="nil"/>
              <w:left w:val="nil"/>
              <w:bottom w:val="nil"/>
              <w:right w:val="nil"/>
            </w:tcBorders>
          </w:tcPr>
          <w:p w14:paraId="4642B3B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cs="Times New Roman"/>
                <w:sz w:val="18"/>
                <w:lang w:val="en-US" w:eastAsia="en-US"/>
              </w:rPr>
            </w:pPr>
            <w:r w:rsidRPr="00E31033">
              <w:rPr>
                <w:rFonts w:cs="Times New Roman"/>
                <w:sz w:val="18"/>
                <w:lang w:val="en-US" w:eastAsia="en-US"/>
              </w:rPr>
              <w:t>Decreased and/or late peak knee flexion in swing</w:t>
            </w:r>
          </w:p>
        </w:tc>
        <w:tc>
          <w:tcPr>
            <w:tcW w:w="1288" w:type="dxa"/>
            <w:tcBorders>
              <w:top w:val="nil"/>
              <w:left w:val="nil"/>
              <w:bottom w:val="nil"/>
              <w:right w:val="nil"/>
            </w:tcBorders>
          </w:tcPr>
          <w:p w14:paraId="07F4F04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132" w:type="dxa"/>
            <w:gridSpan w:val="2"/>
            <w:tcBorders>
              <w:top w:val="nil"/>
              <w:left w:val="nil"/>
              <w:bottom w:val="nil"/>
              <w:right w:val="nil"/>
            </w:tcBorders>
          </w:tcPr>
          <w:p w14:paraId="5AB1F51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27</w:t>
            </w:r>
          </w:p>
        </w:tc>
        <w:tc>
          <w:tcPr>
            <w:tcW w:w="1496" w:type="dxa"/>
            <w:tcBorders>
              <w:top w:val="nil"/>
              <w:left w:val="nil"/>
              <w:bottom w:val="nil"/>
              <w:right w:val="nil"/>
            </w:tcBorders>
          </w:tcPr>
          <w:p w14:paraId="7814100D"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37F3403F" w14:textId="77777777" w:rsidTr="00E5029D">
        <w:tc>
          <w:tcPr>
            <w:tcW w:w="3934" w:type="dxa"/>
            <w:tcBorders>
              <w:top w:val="nil"/>
              <w:left w:val="nil"/>
              <w:bottom w:val="nil"/>
              <w:right w:val="nil"/>
            </w:tcBorders>
          </w:tcPr>
          <w:p w14:paraId="2C9F8C80"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Gastrocnemius release</w:t>
            </w:r>
          </w:p>
        </w:tc>
        <w:tc>
          <w:tcPr>
            <w:tcW w:w="3120" w:type="dxa"/>
            <w:tcBorders>
              <w:top w:val="nil"/>
              <w:left w:val="nil"/>
              <w:bottom w:val="nil"/>
              <w:right w:val="nil"/>
            </w:tcBorders>
          </w:tcPr>
          <w:p w14:paraId="7FDDE7D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Dorsiflexion &lt;0° with knee in extension under </w:t>
            </w:r>
            <w:proofErr w:type="spellStart"/>
            <w:r w:rsidRPr="00E31033">
              <w:rPr>
                <w:rFonts w:cs="Times New Roman"/>
                <w:sz w:val="18"/>
                <w:lang w:val="en-US" w:eastAsia="en-US"/>
              </w:rPr>
              <w:t>anaesthesia</w:t>
            </w:r>
            <w:proofErr w:type="spellEnd"/>
            <w:r w:rsidRPr="00E31033">
              <w:rPr>
                <w:rFonts w:cs="Times New Roman"/>
                <w:sz w:val="18"/>
                <w:lang w:val="en-US" w:eastAsia="en-US"/>
              </w:rPr>
              <w:t xml:space="preserve"> (fixed contracture)</w:t>
            </w:r>
          </w:p>
        </w:tc>
        <w:tc>
          <w:tcPr>
            <w:tcW w:w="3248" w:type="dxa"/>
            <w:tcBorders>
              <w:top w:val="nil"/>
              <w:left w:val="nil"/>
              <w:bottom w:val="nil"/>
              <w:right w:val="nil"/>
            </w:tcBorders>
          </w:tcPr>
          <w:p w14:paraId="7F14C932"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Plantarflexion throughout stance phase</w:t>
            </w:r>
          </w:p>
        </w:tc>
        <w:tc>
          <w:tcPr>
            <w:tcW w:w="1288" w:type="dxa"/>
            <w:tcBorders>
              <w:top w:val="nil"/>
              <w:left w:val="nil"/>
              <w:bottom w:val="nil"/>
              <w:right w:val="nil"/>
            </w:tcBorders>
          </w:tcPr>
          <w:p w14:paraId="5B77811E"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1</w:t>
            </w:r>
          </w:p>
        </w:tc>
        <w:tc>
          <w:tcPr>
            <w:tcW w:w="1132" w:type="dxa"/>
            <w:gridSpan w:val="2"/>
            <w:tcBorders>
              <w:top w:val="nil"/>
              <w:left w:val="nil"/>
              <w:bottom w:val="nil"/>
              <w:right w:val="nil"/>
            </w:tcBorders>
          </w:tcPr>
          <w:p w14:paraId="12A142C7"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15</w:t>
            </w:r>
          </w:p>
        </w:tc>
        <w:tc>
          <w:tcPr>
            <w:tcW w:w="1496" w:type="dxa"/>
            <w:tcBorders>
              <w:top w:val="nil"/>
              <w:left w:val="nil"/>
              <w:bottom w:val="nil"/>
              <w:right w:val="nil"/>
            </w:tcBorders>
          </w:tcPr>
          <w:p w14:paraId="4F8B8ED4"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4E72C11E" w14:textId="77777777" w:rsidTr="00E5029D">
        <w:tc>
          <w:tcPr>
            <w:tcW w:w="3934" w:type="dxa"/>
            <w:tcBorders>
              <w:top w:val="nil"/>
              <w:left w:val="nil"/>
              <w:bottom w:val="nil"/>
              <w:right w:val="nil"/>
            </w:tcBorders>
          </w:tcPr>
          <w:p w14:paraId="09F47394"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Soleus release</w:t>
            </w:r>
          </w:p>
        </w:tc>
        <w:tc>
          <w:tcPr>
            <w:tcW w:w="3120" w:type="dxa"/>
            <w:tcBorders>
              <w:top w:val="nil"/>
              <w:left w:val="nil"/>
              <w:bottom w:val="nil"/>
              <w:right w:val="nil"/>
            </w:tcBorders>
          </w:tcPr>
          <w:p w14:paraId="02029B3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Dorsiflexion &lt;0° with knee in flexion (</w:t>
            </w:r>
            <w:proofErr w:type="spellStart"/>
            <w:r w:rsidRPr="00E31033">
              <w:rPr>
                <w:rFonts w:cs="Times New Roman"/>
                <w:sz w:val="18"/>
                <w:lang w:val="en-US" w:eastAsia="en-US"/>
              </w:rPr>
              <w:t>Silverskjold</w:t>
            </w:r>
            <w:proofErr w:type="spellEnd"/>
            <w:r w:rsidRPr="00E31033">
              <w:rPr>
                <w:rFonts w:cs="Times New Roman"/>
                <w:sz w:val="18"/>
                <w:lang w:val="en-US" w:eastAsia="en-US"/>
              </w:rPr>
              <w:t xml:space="preserve"> test) </w:t>
            </w:r>
          </w:p>
        </w:tc>
        <w:tc>
          <w:tcPr>
            <w:tcW w:w="3248" w:type="dxa"/>
            <w:tcBorders>
              <w:top w:val="nil"/>
              <w:left w:val="nil"/>
              <w:bottom w:val="nil"/>
              <w:right w:val="nil"/>
            </w:tcBorders>
          </w:tcPr>
          <w:p w14:paraId="3908FAB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Plantarflexion throughout stance phase</w:t>
            </w:r>
          </w:p>
        </w:tc>
        <w:tc>
          <w:tcPr>
            <w:tcW w:w="1288" w:type="dxa"/>
            <w:tcBorders>
              <w:top w:val="nil"/>
              <w:left w:val="nil"/>
              <w:bottom w:val="nil"/>
              <w:right w:val="nil"/>
            </w:tcBorders>
          </w:tcPr>
          <w:p w14:paraId="2886729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132" w:type="dxa"/>
            <w:gridSpan w:val="2"/>
            <w:tcBorders>
              <w:top w:val="nil"/>
              <w:left w:val="nil"/>
              <w:bottom w:val="nil"/>
              <w:right w:val="nil"/>
            </w:tcBorders>
          </w:tcPr>
          <w:p w14:paraId="48E6888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1</w:t>
            </w:r>
          </w:p>
        </w:tc>
        <w:tc>
          <w:tcPr>
            <w:tcW w:w="1496" w:type="dxa"/>
            <w:tcBorders>
              <w:top w:val="nil"/>
              <w:left w:val="nil"/>
              <w:bottom w:val="nil"/>
              <w:right w:val="nil"/>
            </w:tcBorders>
          </w:tcPr>
          <w:p w14:paraId="4F10B16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1D66684B" w14:textId="77777777" w:rsidTr="00E5029D">
        <w:tc>
          <w:tcPr>
            <w:tcW w:w="3934" w:type="dxa"/>
            <w:tcBorders>
              <w:top w:val="nil"/>
              <w:left w:val="nil"/>
              <w:bottom w:val="nil"/>
              <w:right w:val="nil"/>
            </w:tcBorders>
          </w:tcPr>
          <w:p w14:paraId="236769AD"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Achilles tendon lengthening (release)</w:t>
            </w:r>
          </w:p>
        </w:tc>
        <w:tc>
          <w:tcPr>
            <w:tcW w:w="3120" w:type="dxa"/>
            <w:tcBorders>
              <w:top w:val="nil"/>
              <w:left w:val="nil"/>
              <w:bottom w:val="nil"/>
              <w:right w:val="nil"/>
            </w:tcBorders>
          </w:tcPr>
          <w:p w14:paraId="514DDA27"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Fixed </w:t>
            </w:r>
            <w:proofErr w:type="spellStart"/>
            <w:r w:rsidRPr="00E31033">
              <w:rPr>
                <w:rFonts w:cs="Times New Roman"/>
                <w:sz w:val="18"/>
                <w:lang w:val="en-US" w:eastAsia="en-US"/>
              </w:rPr>
              <w:t>equinus</w:t>
            </w:r>
            <w:proofErr w:type="spellEnd"/>
            <w:r w:rsidRPr="00E31033">
              <w:rPr>
                <w:rFonts w:cs="Times New Roman"/>
                <w:sz w:val="18"/>
                <w:lang w:val="en-US" w:eastAsia="en-US"/>
              </w:rPr>
              <w:t xml:space="preserve"> both with knee flexed and extended</w:t>
            </w:r>
          </w:p>
          <w:p w14:paraId="32B6EEDF"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(short gastrocnemius and soleus)</w:t>
            </w:r>
          </w:p>
        </w:tc>
        <w:tc>
          <w:tcPr>
            <w:tcW w:w="3248" w:type="dxa"/>
            <w:tcBorders>
              <w:top w:val="nil"/>
              <w:left w:val="nil"/>
              <w:bottom w:val="nil"/>
              <w:right w:val="nil"/>
            </w:tcBorders>
          </w:tcPr>
          <w:p w14:paraId="2EF6BFA6"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288" w:type="dxa"/>
            <w:tcBorders>
              <w:top w:val="nil"/>
              <w:left w:val="nil"/>
              <w:bottom w:val="nil"/>
              <w:right w:val="nil"/>
            </w:tcBorders>
          </w:tcPr>
          <w:p w14:paraId="4B230697"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3</w:t>
            </w:r>
          </w:p>
        </w:tc>
        <w:tc>
          <w:tcPr>
            <w:tcW w:w="1132" w:type="dxa"/>
            <w:gridSpan w:val="2"/>
            <w:tcBorders>
              <w:top w:val="nil"/>
              <w:left w:val="nil"/>
              <w:bottom w:val="nil"/>
              <w:right w:val="nil"/>
            </w:tcBorders>
          </w:tcPr>
          <w:p w14:paraId="19C0AD0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496" w:type="dxa"/>
            <w:tcBorders>
              <w:top w:val="nil"/>
              <w:left w:val="nil"/>
              <w:bottom w:val="nil"/>
              <w:right w:val="nil"/>
            </w:tcBorders>
          </w:tcPr>
          <w:p w14:paraId="0FBB3ED7"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32ED8E89" w14:textId="77777777" w:rsidTr="00E5029D">
        <w:tc>
          <w:tcPr>
            <w:tcW w:w="3934" w:type="dxa"/>
            <w:tcBorders>
              <w:top w:val="nil"/>
              <w:left w:val="nil"/>
              <w:bottom w:val="nil"/>
              <w:right w:val="nil"/>
            </w:tcBorders>
          </w:tcPr>
          <w:p w14:paraId="7CBBC2D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Tibialis anterior transfer</w:t>
            </w:r>
          </w:p>
        </w:tc>
        <w:tc>
          <w:tcPr>
            <w:tcW w:w="3120" w:type="dxa"/>
            <w:tcBorders>
              <w:top w:val="nil"/>
              <w:left w:val="nil"/>
              <w:bottom w:val="nil"/>
              <w:right w:val="nil"/>
            </w:tcBorders>
          </w:tcPr>
          <w:p w14:paraId="4A2E716B" w14:textId="2DBDD9C3" w:rsidR="00394336" w:rsidRPr="00E31033" w:rsidRDefault="00394336" w:rsidP="00C046E1">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Dynamic </w:t>
            </w:r>
            <w:proofErr w:type="spellStart"/>
            <w:r w:rsidRPr="00E31033">
              <w:rPr>
                <w:rFonts w:cs="Times New Roman"/>
                <w:sz w:val="18"/>
                <w:lang w:val="en-US" w:eastAsia="en-US"/>
              </w:rPr>
              <w:t>varus</w:t>
            </w:r>
            <w:proofErr w:type="spellEnd"/>
            <w:r w:rsidRPr="00E31033">
              <w:rPr>
                <w:rFonts w:cs="Times New Roman"/>
                <w:sz w:val="18"/>
                <w:lang w:val="en-US" w:eastAsia="en-US"/>
              </w:rPr>
              <w:t xml:space="preserve"> during swing, with </w:t>
            </w:r>
            <w:r w:rsidR="00C046E1">
              <w:rPr>
                <w:rFonts w:cs="Times New Roman"/>
                <w:sz w:val="18"/>
                <w:lang w:val="en-US" w:eastAsia="en-US"/>
              </w:rPr>
              <w:t xml:space="preserve">forefoot </w:t>
            </w:r>
            <w:proofErr w:type="spellStart"/>
            <w:r w:rsidRPr="00E31033">
              <w:rPr>
                <w:rFonts w:cs="Times New Roman"/>
                <w:sz w:val="18"/>
                <w:lang w:val="en-US" w:eastAsia="en-US"/>
              </w:rPr>
              <w:t>adductus</w:t>
            </w:r>
            <w:proofErr w:type="spellEnd"/>
            <w:r w:rsidRPr="00E31033">
              <w:rPr>
                <w:rFonts w:cs="Times New Roman"/>
                <w:sz w:val="18"/>
                <w:lang w:val="en-US" w:eastAsia="en-US"/>
              </w:rPr>
              <w:t xml:space="preserve"> </w:t>
            </w:r>
          </w:p>
        </w:tc>
        <w:tc>
          <w:tcPr>
            <w:tcW w:w="3248" w:type="dxa"/>
            <w:tcBorders>
              <w:top w:val="nil"/>
              <w:left w:val="nil"/>
              <w:bottom w:val="nil"/>
              <w:right w:val="nil"/>
            </w:tcBorders>
          </w:tcPr>
          <w:p w14:paraId="72C20270"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288" w:type="dxa"/>
            <w:tcBorders>
              <w:top w:val="nil"/>
              <w:left w:val="nil"/>
              <w:bottom w:val="nil"/>
              <w:right w:val="nil"/>
            </w:tcBorders>
          </w:tcPr>
          <w:p w14:paraId="17E48A76"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132" w:type="dxa"/>
            <w:gridSpan w:val="2"/>
            <w:tcBorders>
              <w:top w:val="nil"/>
              <w:left w:val="nil"/>
              <w:bottom w:val="nil"/>
              <w:right w:val="nil"/>
            </w:tcBorders>
          </w:tcPr>
          <w:p w14:paraId="35A08970"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2</w:t>
            </w:r>
          </w:p>
        </w:tc>
        <w:tc>
          <w:tcPr>
            <w:tcW w:w="1496" w:type="dxa"/>
            <w:tcBorders>
              <w:top w:val="nil"/>
              <w:left w:val="nil"/>
              <w:bottom w:val="nil"/>
              <w:right w:val="nil"/>
            </w:tcBorders>
          </w:tcPr>
          <w:p w14:paraId="6AC56CD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37524421" w14:textId="77777777" w:rsidTr="00E5029D">
        <w:tc>
          <w:tcPr>
            <w:tcW w:w="3934" w:type="dxa"/>
            <w:tcBorders>
              <w:top w:val="nil"/>
              <w:left w:val="nil"/>
              <w:bottom w:val="nil"/>
              <w:right w:val="nil"/>
            </w:tcBorders>
          </w:tcPr>
          <w:p w14:paraId="5E81DF2E"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Tibialis posterior transfer</w:t>
            </w:r>
          </w:p>
        </w:tc>
        <w:tc>
          <w:tcPr>
            <w:tcW w:w="3120" w:type="dxa"/>
            <w:tcBorders>
              <w:top w:val="nil"/>
              <w:left w:val="nil"/>
              <w:bottom w:val="nil"/>
              <w:right w:val="nil"/>
            </w:tcBorders>
          </w:tcPr>
          <w:p w14:paraId="375BD781"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Dynamic </w:t>
            </w:r>
            <w:proofErr w:type="spellStart"/>
            <w:r w:rsidRPr="00E31033">
              <w:rPr>
                <w:rFonts w:cs="Times New Roman"/>
                <w:sz w:val="18"/>
                <w:lang w:val="en-US" w:eastAsia="en-US"/>
              </w:rPr>
              <w:t>varus</w:t>
            </w:r>
            <w:proofErr w:type="spellEnd"/>
            <w:r w:rsidRPr="00E31033">
              <w:rPr>
                <w:rFonts w:cs="Times New Roman"/>
                <w:sz w:val="18"/>
                <w:lang w:val="en-US" w:eastAsia="en-US"/>
              </w:rPr>
              <w:t xml:space="preserve"> during swing</w:t>
            </w:r>
          </w:p>
        </w:tc>
        <w:tc>
          <w:tcPr>
            <w:tcW w:w="3248" w:type="dxa"/>
            <w:tcBorders>
              <w:top w:val="nil"/>
              <w:left w:val="nil"/>
              <w:bottom w:val="nil"/>
              <w:right w:val="nil"/>
            </w:tcBorders>
          </w:tcPr>
          <w:p w14:paraId="59674A00"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288" w:type="dxa"/>
            <w:tcBorders>
              <w:top w:val="nil"/>
              <w:left w:val="nil"/>
              <w:bottom w:val="nil"/>
              <w:right w:val="nil"/>
            </w:tcBorders>
          </w:tcPr>
          <w:p w14:paraId="6A8ECF8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1</w:t>
            </w:r>
          </w:p>
        </w:tc>
        <w:tc>
          <w:tcPr>
            <w:tcW w:w="1132" w:type="dxa"/>
            <w:gridSpan w:val="2"/>
            <w:tcBorders>
              <w:top w:val="nil"/>
              <w:left w:val="nil"/>
              <w:bottom w:val="nil"/>
              <w:right w:val="nil"/>
            </w:tcBorders>
          </w:tcPr>
          <w:p w14:paraId="03BCF6C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496" w:type="dxa"/>
            <w:tcBorders>
              <w:top w:val="nil"/>
              <w:left w:val="nil"/>
              <w:bottom w:val="nil"/>
              <w:right w:val="nil"/>
            </w:tcBorders>
          </w:tcPr>
          <w:p w14:paraId="03538CEE"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5018D201" w14:textId="77777777" w:rsidTr="00E5029D">
        <w:tc>
          <w:tcPr>
            <w:tcW w:w="3934" w:type="dxa"/>
            <w:tcBorders>
              <w:top w:val="nil"/>
              <w:left w:val="nil"/>
              <w:bottom w:val="nil"/>
              <w:right w:val="nil"/>
            </w:tcBorders>
          </w:tcPr>
          <w:p w14:paraId="6A0C6C45"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Tibialis posterior release</w:t>
            </w:r>
          </w:p>
        </w:tc>
        <w:tc>
          <w:tcPr>
            <w:tcW w:w="3120" w:type="dxa"/>
            <w:tcBorders>
              <w:top w:val="nil"/>
              <w:left w:val="nil"/>
              <w:bottom w:val="nil"/>
              <w:right w:val="nil"/>
            </w:tcBorders>
          </w:tcPr>
          <w:p w14:paraId="79A29271"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Dynamic </w:t>
            </w:r>
            <w:proofErr w:type="spellStart"/>
            <w:r w:rsidRPr="00E31033">
              <w:rPr>
                <w:rFonts w:cs="Times New Roman"/>
                <w:sz w:val="18"/>
                <w:lang w:val="en-US" w:eastAsia="en-US"/>
              </w:rPr>
              <w:t>varus</w:t>
            </w:r>
            <w:proofErr w:type="spellEnd"/>
            <w:r w:rsidRPr="00E31033">
              <w:rPr>
                <w:rFonts w:cs="Times New Roman"/>
                <w:sz w:val="18"/>
                <w:lang w:val="en-US" w:eastAsia="en-US"/>
              </w:rPr>
              <w:t xml:space="preserve"> during swing</w:t>
            </w:r>
          </w:p>
        </w:tc>
        <w:tc>
          <w:tcPr>
            <w:tcW w:w="3248" w:type="dxa"/>
            <w:tcBorders>
              <w:top w:val="nil"/>
              <w:left w:val="nil"/>
              <w:bottom w:val="nil"/>
              <w:right w:val="nil"/>
            </w:tcBorders>
          </w:tcPr>
          <w:p w14:paraId="6CD8F129"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288" w:type="dxa"/>
            <w:tcBorders>
              <w:top w:val="nil"/>
              <w:left w:val="nil"/>
              <w:bottom w:val="nil"/>
              <w:right w:val="nil"/>
            </w:tcBorders>
          </w:tcPr>
          <w:p w14:paraId="59A8925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132" w:type="dxa"/>
            <w:gridSpan w:val="2"/>
            <w:tcBorders>
              <w:top w:val="nil"/>
              <w:left w:val="nil"/>
              <w:bottom w:val="nil"/>
              <w:right w:val="nil"/>
            </w:tcBorders>
          </w:tcPr>
          <w:p w14:paraId="330271AA"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5</w:t>
            </w:r>
          </w:p>
        </w:tc>
        <w:tc>
          <w:tcPr>
            <w:tcW w:w="1496" w:type="dxa"/>
            <w:tcBorders>
              <w:top w:val="nil"/>
              <w:left w:val="nil"/>
              <w:bottom w:val="nil"/>
              <w:right w:val="nil"/>
            </w:tcBorders>
          </w:tcPr>
          <w:p w14:paraId="7FCF55B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13A213FD" w14:textId="77777777" w:rsidTr="00E5029D">
        <w:tc>
          <w:tcPr>
            <w:tcW w:w="3934" w:type="dxa"/>
            <w:tcBorders>
              <w:top w:val="nil"/>
              <w:left w:val="nil"/>
              <w:bottom w:val="nil"/>
              <w:right w:val="nil"/>
            </w:tcBorders>
          </w:tcPr>
          <w:p w14:paraId="633D5FEE"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Flexor </w:t>
            </w:r>
            <w:proofErr w:type="spellStart"/>
            <w:r w:rsidRPr="00E31033">
              <w:rPr>
                <w:rFonts w:cs="Times New Roman"/>
                <w:sz w:val="18"/>
                <w:lang w:val="en-US" w:eastAsia="en-US"/>
              </w:rPr>
              <w:t>hallucis</w:t>
            </w:r>
            <w:proofErr w:type="spellEnd"/>
            <w:r w:rsidRPr="00E31033">
              <w:rPr>
                <w:rFonts w:cs="Times New Roman"/>
                <w:sz w:val="18"/>
                <w:lang w:val="en-US" w:eastAsia="en-US"/>
              </w:rPr>
              <w:t xml:space="preserve"> longus release</w:t>
            </w:r>
          </w:p>
        </w:tc>
        <w:tc>
          <w:tcPr>
            <w:tcW w:w="3120" w:type="dxa"/>
            <w:tcBorders>
              <w:top w:val="nil"/>
              <w:left w:val="nil"/>
              <w:bottom w:val="nil"/>
              <w:right w:val="nil"/>
            </w:tcBorders>
          </w:tcPr>
          <w:p w14:paraId="4496190F"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Fixed flexion MTP 1</w:t>
            </w:r>
          </w:p>
        </w:tc>
        <w:tc>
          <w:tcPr>
            <w:tcW w:w="3248" w:type="dxa"/>
            <w:tcBorders>
              <w:top w:val="nil"/>
              <w:left w:val="nil"/>
              <w:bottom w:val="nil"/>
              <w:right w:val="nil"/>
            </w:tcBorders>
          </w:tcPr>
          <w:p w14:paraId="4D4C27FE"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Fixed flexion MTP 1</w:t>
            </w:r>
          </w:p>
        </w:tc>
        <w:tc>
          <w:tcPr>
            <w:tcW w:w="1288" w:type="dxa"/>
            <w:tcBorders>
              <w:top w:val="nil"/>
              <w:left w:val="nil"/>
              <w:bottom w:val="nil"/>
              <w:right w:val="nil"/>
            </w:tcBorders>
          </w:tcPr>
          <w:p w14:paraId="7DA7296A"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1</w:t>
            </w:r>
          </w:p>
        </w:tc>
        <w:tc>
          <w:tcPr>
            <w:tcW w:w="1132" w:type="dxa"/>
            <w:gridSpan w:val="2"/>
            <w:tcBorders>
              <w:top w:val="nil"/>
              <w:left w:val="nil"/>
              <w:bottom w:val="nil"/>
              <w:right w:val="nil"/>
            </w:tcBorders>
          </w:tcPr>
          <w:p w14:paraId="10ECC82A"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1</w:t>
            </w:r>
          </w:p>
        </w:tc>
        <w:tc>
          <w:tcPr>
            <w:tcW w:w="1496" w:type="dxa"/>
            <w:tcBorders>
              <w:top w:val="nil"/>
              <w:left w:val="nil"/>
              <w:bottom w:val="nil"/>
              <w:right w:val="nil"/>
            </w:tcBorders>
          </w:tcPr>
          <w:p w14:paraId="66C7A216"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8419AB" w14:paraId="5B259931" w14:textId="77777777" w:rsidTr="00E5029D">
        <w:tc>
          <w:tcPr>
            <w:tcW w:w="3934" w:type="dxa"/>
            <w:tcBorders>
              <w:top w:val="nil"/>
              <w:left w:val="nil"/>
              <w:bottom w:val="single" w:sz="18" w:space="0" w:color="auto"/>
              <w:right w:val="nil"/>
            </w:tcBorders>
          </w:tcPr>
          <w:p w14:paraId="4BE59D4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 w:val="left" w:pos="1021"/>
              </w:tabs>
              <w:jc w:val="left"/>
              <w:rPr>
                <w:rFonts w:cs="Times New Roman"/>
                <w:sz w:val="18"/>
                <w:lang w:val="en-US" w:eastAsia="en-US"/>
              </w:rPr>
            </w:pPr>
            <w:r w:rsidRPr="00E31033">
              <w:rPr>
                <w:rFonts w:cs="Times New Roman"/>
                <w:sz w:val="18"/>
                <w:lang w:val="en-US" w:eastAsia="en-US"/>
              </w:rPr>
              <w:t xml:space="preserve">  </w:t>
            </w:r>
            <w:r>
              <w:rPr>
                <w:rFonts w:cs="Times New Roman"/>
                <w:sz w:val="18"/>
                <w:lang w:val="en-US" w:eastAsia="en-US"/>
              </w:rPr>
              <w:t xml:space="preserve"> </w:t>
            </w:r>
            <w:r w:rsidRPr="00E31033">
              <w:rPr>
                <w:rFonts w:cs="Times New Roman"/>
                <w:sz w:val="18"/>
                <w:lang w:val="en-US" w:eastAsia="en-US"/>
              </w:rPr>
              <w:t>Botox before SEMLS</w:t>
            </w:r>
            <w:r w:rsidRPr="00E31033">
              <w:rPr>
                <w:rFonts w:cs="Times New Roman"/>
                <w:sz w:val="18"/>
                <w:lang w:val="en-US" w:eastAsia="en-US"/>
              </w:rPr>
              <w:tab/>
              <w:t xml:space="preserve">      </w:t>
            </w:r>
          </w:p>
        </w:tc>
        <w:tc>
          <w:tcPr>
            <w:tcW w:w="3120" w:type="dxa"/>
            <w:tcBorders>
              <w:top w:val="nil"/>
              <w:left w:val="nil"/>
              <w:bottom w:val="single" w:sz="18" w:space="0" w:color="auto"/>
              <w:right w:val="nil"/>
            </w:tcBorders>
          </w:tcPr>
          <w:p w14:paraId="42CEF0B3"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 xml:space="preserve">      </w:t>
            </w:r>
          </w:p>
        </w:tc>
        <w:tc>
          <w:tcPr>
            <w:tcW w:w="3248" w:type="dxa"/>
            <w:tcBorders>
              <w:top w:val="nil"/>
              <w:left w:val="nil"/>
              <w:bottom w:val="single" w:sz="18" w:space="0" w:color="auto"/>
              <w:right w:val="nil"/>
            </w:tcBorders>
          </w:tcPr>
          <w:p w14:paraId="17F4E94F"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288" w:type="dxa"/>
            <w:tcBorders>
              <w:top w:val="nil"/>
              <w:left w:val="nil"/>
              <w:bottom w:val="single" w:sz="18" w:space="0" w:color="auto"/>
              <w:right w:val="nil"/>
            </w:tcBorders>
          </w:tcPr>
          <w:p w14:paraId="29A72CDB"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sz w:val="18"/>
                <w:lang w:val="en-US" w:eastAsia="en-US"/>
              </w:rPr>
              <w:t>27</w:t>
            </w:r>
          </w:p>
        </w:tc>
        <w:tc>
          <w:tcPr>
            <w:tcW w:w="1132" w:type="dxa"/>
            <w:gridSpan w:val="2"/>
            <w:tcBorders>
              <w:top w:val="nil"/>
              <w:left w:val="nil"/>
              <w:bottom w:val="single" w:sz="18" w:space="0" w:color="auto"/>
              <w:right w:val="nil"/>
            </w:tcBorders>
          </w:tcPr>
          <w:p w14:paraId="0D708708"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1496" w:type="dxa"/>
            <w:tcBorders>
              <w:top w:val="nil"/>
              <w:left w:val="nil"/>
              <w:bottom w:val="single" w:sz="18" w:space="0" w:color="auto"/>
              <w:right w:val="nil"/>
            </w:tcBorders>
          </w:tcPr>
          <w:p w14:paraId="30F8FD99"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r w:rsidR="00394336" w:rsidRPr="0012107A" w14:paraId="5B583FD1" w14:textId="77777777" w:rsidTr="00E5029D">
        <w:tc>
          <w:tcPr>
            <w:tcW w:w="14218" w:type="dxa"/>
            <w:gridSpan w:val="7"/>
            <w:tcBorders>
              <w:left w:val="nil"/>
              <w:bottom w:val="nil"/>
              <w:right w:val="nil"/>
            </w:tcBorders>
          </w:tcPr>
          <w:tbl>
            <w:tblPr>
              <w:tblStyle w:val="Tabelraster1"/>
              <w:tblW w:w="0" w:type="auto"/>
              <w:tblLook w:val="04A0" w:firstRow="1" w:lastRow="0" w:firstColumn="1" w:lastColumn="0" w:noHBand="0" w:noVBand="1"/>
            </w:tblPr>
            <w:tblGrid>
              <w:gridCol w:w="3826"/>
              <w:gridCol w:w="3262"/>
              <w:gridCol w:w="3118"/>
              <w:gridCol w:w="1276"/>
              <w:gridCol w:w="1030"/>
              <w:gridCol w:w="84"/>
              <w:gridCol w:w="1406"/>
            </w:tblGrid>
            <w:tr w:rsidR="00394336" w:rsidRPr="00E31033" w14:paraId="166853BD" w14:textId="77777777" w:rsidTr="00E5029D">
              <w:trPr>
                <w:gridAfter w:val="1"/>
                <w:wAfter w:w="1406" w:type="dxa"/>
              </w:trPr>
              <w:tc>
                <w:tcPr>
                  <w:tcW w:w="3826" w:type="dxa"/>
                  <w:tcBorders>
                    <w:top w:val="nil"/>
                    <w:left w:val="nil"/>
                    <w:bottom w:val="nil"/>
                    <w:right w:val="nil"/>
                  </w:tcBorders>
                </w:tcPr>
                <w:p w14:paraId="4C72D8FF"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Bony procedure</w:t>
                  </w:r>
                </w:p>
              </w:tc>
              <w:tc>
                <w:tcPr>
                  <w:tcW w:w="6380" w:type="dxa"/>
                  <w:gridSpan w:val="2"/>
                  <w:tcBorders>
                    <w:top w:val="nil"/>
                    <w:left w:val="nil"/>
                    <w:bottom w:val="single" w:sz="4" w:space="0" w:color="auto"/>
                    <w:right w:val="nil"/>
                  </w:tcBorders>
                </w:tcPr>
                <w:p w14:paraId="6CFB9390"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r w:rsidRPr="00E31033">
                    <w:rPr>
                      <w:rFonts w:cs="Times New Roman"/>
                      <w:b/>
                      <w:sz w:val="18"/>
                      <w:lang w:val="en-US" w:eastAsia="en-US"/>
                    </w:rPr>
                    <w:t>Indication</w:t>
                  </w:r>
                </w:p>
              </w:tc>
              <w:tc>
                <w:tcPr>
                  <w:tcW w:w="1276" w:type="dxa"/>
                  <w:tcBorders>
                    <w:top w:val="nil"/>
                    <w:left w:val="nil"/>
                    <w:bottom w:val="nil"/>
                    <w:right w:val="nil"/>
                  </w:tcBorders>
                </w:tcPr>
                <w:p w14:paraId="0A58EEDB"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SEMLS</w:t>
                  </w:r>
                </w:p>
              </w:tc>
              <w:tc>
                <w:tcPr>
                  <w:tcW w:w="1114" w:type="dxa"/>
                  <w:gridSpan w:val="2"/>
                  <w:tcBorders>
                    <w:top w:val="nil"/>
                    <w:left w:val="nil"/>
                    <w:bottom w:val="nil"/>
                    <w:right w:val="nil"/>
                  </w:tcBorders>
                </w:tcPr>
                <w:p w14:paraId="10CFFEA2"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Subsequent</w:t>
                  </w:r>
                </w:p>
              </w:tc>
            </w:tr>
            <w:tr w:rsidR="00394336" w:rsidRPr="00E31033" w14:paraId="6B335361" w14:textId="77777777" w:rsidTr="00E5029D">
              <w:trPr>
                <w:gridAfter w:val="1"/>
                <w:wAfter w:w="1406" w:type="dxa"/>
              </w:trPr>
              <w:tc>
                <w:tcPr>
                  <w:tcW w:w="3826" w:type="dxa"/>
                  <w:tcBorders>
                    <w:top w:val="nil"/>
                    <w:left w:val="nil"/>
                    <w:bottom w:val="single" w:sz="4" w:space="0" w:color="auto"/>
                    <w:right w:val="nil"/>
                  </w:tcBorders>
                </w:tcPr>
                <w:p w14:paraId="3B6126B1"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lang w:val="en-US" w:eastAsia="en-US"/>
                    </w:rPr>
                  </w:pPr>
                </w:p>
              </w:tc>
              <w:tc>
                <w:tcPr>
                  <w:tcW w:w="3262" w:type="dxa"/>
                  <w:tcBorders>
                    <w:top w:val="nil"/>
                    <w:left w:val="nil"/>
                    <w:bottom w:val="single" w:sz="4" w:space="0" w:color="auto"/>
                    <w:right w:val="nil"/>
                  </w:tcBorders>
                </w:tcPr>
                <w:p w14:paraId="19163483"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Clinical</w:t>
                  </w:r>
                </w:p>
              </w:tc>
              <w:tc>
                <w:tcPr>
                  <w:tcW w:w="3118" w:type="dxa"/>
                  <w:tcBorders>
                    <w:top w:val="nil"/>
                    <w:left w:val="nil"/>
                    <w:bottom w:val="single" w:sz="4" w:space="0" w:color="auto"/>
                    <w:right w:val="nil"/>
                  </w:tcBorders>
                </w:tcPr>
                <w:p w14:paraId="03E941C3"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Transverse plane kinematic</w:t>
                  </w:r>
                </w:p>
              </w:tc>
              <w:tc>
                <w:tcPr>
                  <w:tcW w:w="1276" w:type="dxa"/>
                  <w:tcBorders>
                    <w:top w:val="nil"/>
                    <w:left w:val="nil"/>
                    <w:bottom w:val="single" w:sz="4" w:space="0" w:color="auto"/>
                    <w:right w:val="nil"/>
                  </w:tcBorders>
                </w:tcPr>
                <w:p w14:paraId="268C83D9"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 xml:space="preserve">Number </w:t>
                  </w:r>
                  <w:r w:rsidRPr="00E31033">
                    <w:rPr>
                      <w:rFonts w:cs="Times New Roman"/>
                      <w:b/>
                      <w:sz w:val="18"/>
                      <w:lang w:val="en-US" w:eastAsia="en-US"/>
                    </w:rPr>
                    <w:br/>
                    <w:t>(n=31)</w:t>
                  </w:r>
                </w:p>
              </w:tc>
              <w:tc>
                <w:tcPr>
                  <w:tcW w:w="1114" w:type="dxa"/>
                  <w:gridSpan w:val="2"/>
                  <w:tcBorders>
                    <w:top w:val="nil"/>
                    <w:left w:val="nil"/>
                    <w:bottom w:val="single" w:sz="4" w:space="0" w:color="auto"/>
                    <w:right w:val="nil"/>
                  </w:tcBorders>
                </w:tcPr>
                <w:p w14:paraId="77AAE389"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Number</w:t>
                  </w:r>
                </w:p>
                <w:p w14:paraId="71E7F873"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8"/>
                      <w:lang w:val="en-US" w:eastAsia="en-US"/>
                    </w:rPr>
                  </w:pPr>
                  <w:r w:rsidRPr="00E31033">
                    <w:rPr>
                      <w:rFonts w:cs="Times New Roman"/>
                      <w:b/>
                      <w:sz w:val="18"/>
                      <w:lang w:val="en-US" w:eastAsia="en-US"/>
                    </w:rPr>
                    <w:t>(n=11)</w:t>
                  </w:r>
                </w:p>
              </w:tc>
            </w:tr>
            <w:tr w:rsidR="00394336" w:rsidRPr="00E31033" w14:paraId="55FF1E1B" w14:textId="77777777" w:rsidTr="00E5029D">
              <w:tc>
                <w:tcPr>
                  <w:tcW w:w="3826" w:type="dxa"/>
                  <w:tcBorders>
                    <w:top w:val="single" w:sz="4" w:space="0" w:color="auto"/>
                    <w:left w:val="nil"/>
                    <w:bottom w:val="nil"/>
                    <w:right w:val="nil"/>
                  </w:tcBorders>
                </w:tcPr>
                <w:p w14:paraId="2B1296F7"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 xml:space="preserve">Proximal femoral </w:t>
                  </w:r>
                  <w:proofErr w:type="spellStart"/>
                  <w:r w:rsidRPr="00DF6A2E">
                    <w:rPr>
                      <w:rFonts w:cs="Times New Roman"/>
                      <w:sz w:val="18"/>
                      <w:szCs w:val="18"/>
                      <w:lang w:val="en-US" w:eastAsia="en-US"/>
                    </w:rPr>
                    <w:t>derotation</w:t>
                  </w:r>
                  <w:proofErr w:type="spellEnd"/>
                  <w:r w:rsidRPr="00DF6A2E">
                    <w:rPr>
                      <w:rFonts w:cs="Times New Roman"/>
                      <w:sz w:val="18"/>
                      <w:szCs w:val="18"/>
                      <w:lang w:val="en-US" w:eastAsia="en-US"/>
                    </w:rPr>
                    <w:t xml:space="preserve"> osteotomy</w:t>
                  </w:r>
                </w:p>
              </w:tc>
              <w:tc>
                <w:tcPr>
                  <w:tcW w:w="3262" w:type="dxa"/>
                  <w:tcBorders>
                    <w:top w:val="single" w:sz="4" w:space="0" w:color="auto"/>
                    <w:left w:val="nil"/>
                    <w:bottom w:val="nil"/>
                    <w:right w:val="nil"/>
                  </w:tcBorders>
                </w:tcPr>
                <w:p w14:paraId="03365CC6"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 xml:space="preserve">FNA &gt;25°, increased internal hip rotation </w:t>
                  </w:r>
                  <w:r w:rsidRPr="00DF6A2E">
                    <w:rPr>
                      <w:noProof/>
                      <w:sz w:val="18"/>
                      <w:szCs w:val="18"/>
                      <w:lang w:val="en-US"/>
                    </w:rPr>
                    <w:t>(&gt;60°), decreased external  hi rotation (&lt;20°)</w:t>
                  </w:r>
                </w:p>
              </w:tc>
              <w:tc>
                <w:tcPr>
                  <w:tcW w:w="3118" w:type="dxa"/>
                  <w:tcBorders>
                    <w:top w:val="single" w:sz="4" w:space="0" w:color="auto"/>
                    <w:left w:val="nil"/>
                    <w:bottom w:val="nil"/>
                    <w:right w:val="nil"/>
                  </w:tcBorders>
                </w:tcPr>
                <w:p w14:paraId="5791BFA4"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Hip rotation &gt;10° internal throughout stance phase</w:t>
                  </w:r>
                </w:p>
              </w:tc>
              <w:tc>
                <w:tcPr>
                  <w:tcW w:w="1276" w:type="dxa"/>
                  <w:tcBorders>
                    <w:top w:val="single" w:sz="4" w:space="0" w:color="auto"/>
                    <w:left w:val="nil"/>
                    <w:bottom w:val="nil"/>
                    <w:right w:val="nil"/>
                  </w:tcBorders>
                </w:tcPr>
                <w:p w14:paraId="0D71DAC3"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24</w:t>
                  </w:r>
                </w:p>
              </w:tc>
              <w:tc>
                <w:tcPr>
                  <w:tcW w:w="1030" w:type="dxa"/>
                  <w:tcBorders>
                    <w:top w:val="single" w:sz="4" w:space="0" w:color="auto"/>
                    <w:left w:val="nil"/>
                    <w:bottom w:val="nil"/>
                    <w:right w:val="nil"/>
                  </w:tcBorders>
                </w:tcPr>
                <w:p w14:paraId="63E22FB2"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
              </w:tc>
              <w:tc>
                <w:tcPr>
                  <w:tcW w:w="1490" w:type="dxa"/>
                  <w:gridSpan w:val="2"/>
                  <w:tcBorders>
                    <w:top w:val="single" w:sz="4" w:space="0" w:color="auto"/>
                    <w:left w:val="nil"/>
                    <w:bottom w:val="nil"/>
                    <w:right w:val="nil"/>
                  </w:tcBorders>
                </w:tcPr>
                <w:p w14:paraId="774CBD17"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E31033" w14:paraId="430B288C" w14:textId="77777777" w:rsidTr="00E5029D">
              <w:tc>
                <w:tcPr>
                  <w:tcW w:w="3826" w:type="dxa"/>
                  <w:tcBorders>
                    <w:top w:val="nil"/>
                    <w:left w:val="nil"/>
                    <w:bottom w:val="nil"/>
                    <w:right w:val="nil"/>
                  </w:tcBorders>
                </w:tcPr>
                <w:p w14:paraId="3732CA4D"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Distal femoral extension/</w:t>
                  </w:r>
                  <w:proofErr w:type="spellStart"/>
                  <w:r w:rsidRPr="00DF6A2E">
                    <w:rPr>
                      <w:rFonts w:cs="Times New Roman"/>
                      <w:sz w:val="18"/>
                      <w:szCs w:val="18"/>
                      <w:lang w:val="en-US" w:eastAsia="en-US"/>
                    </w:rPr>
                    <w:t>derotation</w:t>
                  </w:r>
                  <w:proofErr w:type="spellEnd"/>
                  <w:r w:rsidRPr="00DF6A2E">
                    <w:rPr>
                      <w:rFonts w:cs="Times New Roman"/>
                      <w:sz w:val="18"/>
                      <w:szCs w:val="18"/>
                      <w:lang w:val="en-US" w:eastAsia="en-US"/>
                    </w:rPr>
                    <w:t xml:space="preserve"> osteotomy</w:t>
                  </w:r>
                </w:p>
              </w:tc>
              <w:tc>
                <w:tcPr>
                  <w:tcW w:w="3262" w:type="dxa"/>
                  <w:tcBorders>
                    <w:top w:val="nil"/>
                    <w:left w:val="nil"/>
                    <w:bottom w:val="nil"/>
                    <w:right w:val="nil"/>
                  </w:tcBorders>
                </w:tcPr>
                <w:p w14:paraId="3287B34E"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Fixed knee flexion contracture with or without high FNA</w:t>
                  </w:r>
                </w:p>
              </w:tc>
              <w:tc>
                <w:tcPr>
                  <w:tcW w:w="3118" w:type="dxa"/>
                  <w:tcBorders>
                    <w:top w:val="nil"/>
                    <w:left w:val="nil"/>
                    <w:bottom w:val="nil"/>
                    <w:right w:val="nil"/>
                  </w:tcBorders>
                </w:tcPr>
                <w:p w14:paraId="1AF68E2E"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Knee flexion throughout stance with/without internal hip rotation</w:t>
                  </w:r>
                </w:p>
              </w:tc>
              <w:tc>
                <w:tcPr>
                  <w:tcW w:w="1276" w:type="dxa"/>
                  <w:tcBorders>
                    <w:top w:val="nil"/>
                    <w:left w:val="nil"/>
                    <w:bottom w:val="nil"/>
                    <w:right w:val="nil"/>
                  </w:tcBorders>
                </w:tcPr>
                <w:p w14:paraId="7FB94230"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10</w:t>
                  </w:r>
                </w:p>
              </w:tc>
              <w:tc>
                <w:tcPr>
                  <w:tcW w:w="1030" w:type="dxa"/>
                  <w:tcBorders>
                    <w:top w:val="nil"/>
                    <w:left w:val="nil"/>
                    <w:bottom w:val="nil"/>
                    <w:right w:val="nil"/>
                  </w:tcBorders>
                </w:tcPr>
                <w:p w14:paraId="012D3695"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
              </w:tc>
              <w:tc>
                <w:tcPr>
                  <w:tcW w:w="1490" w:type="dxa"/>
                  <w:gridSpan w:val="2"/>
                  <w:tcBorders>
                    <w:top w:val="nil"/>
                    <w:left w:val="nil"/>
                    <w:bottom w:val="nil"/>
                    <w:right w:val="nil"/>
                  </w:tcBorders>
                </w:tcPr>
                <w:p w14:paraId="3E93B172"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E31033" w14:paraId="4D405E98" w14:textId="77777777" w:rsidTr="00E5029D">
              <w:tc>
                <w:tcPr>
                  <w:tcW w:w="3826" w:type="dxa"/>
                  <w:tcBorders>
                    <w:top w:val="nil"/>
                    <w:left w:val="nil"/>
                    <w:bottom w:val="nil"/>
                    <w:right w:val="nil"/>
                  </w:tcBorders>
                </w:tcPr>
                <w:p w14:paraId="1E1F68C4"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roofErr w:type="spellStart"/>
                  <w:r w:rsidRPr="00DF6A2E">
                    <w:rPr>
                      <w:rFonts w:cs="Times New Roman"/>
                      <w:sz w:val="18"/>
                      <w:szCs w:val="18"/>
                      <w:lang w:val="en-US" w:eastAsia="en-US"/>
                    </w:rPr>
                    <w:t>Tibial</w:t>
                  </w:r>
                  <w:proofErr w:type="spellEnd"/>
                  <w:r w:rsidRPr="00DF6A2E">
                    <w:rPr>
                      <w:rFonts w:cs="Times New Roman"/>
                      <w:sz w:val="18"/>
                      <w:szCs w:val="18"/>
                      <w:lang w:val="en-US" w:eastAsia="en-US"/>
                    </w:rPr>
                    <w:t xml:space="preserve"> </w:t>
                  </w:r>
                  <w:proofErr w:type="spellStart"/>
                  <w:r w:rsidRPr="00DF6A2E">
                    <w:rPr>
                      <w:rFonts w:cs="Times New Roman"/>
                      <w:sz w:val="18"/>
                      <w:szCs w:val="18"/>
                      <w:lang w:val="en-US" w:eastAsia="en-US"/>
                    </w:rPr>
                    <w:t>derotation</w:t>
                  </w:r>
                  <w:proofErr w:type="spellEnd"/>
                  <w:r w:rsidRPr="00DF6A2E">
                    <w:rPr>
                      <w:rFonts w:cs="Times New Roman"/>
                      <w:sz w:val="18"/>
                      <w:szCs w:val="18"/>
                      <w:lang w:val="en-US" w:eastAsia="en-US"/>
                    </w:rPr>
                    <w:t xml:space="preserve"> osteotomy</w:t>
                  </w:r>
                </w:p>
              </w:tc>
              <w:tc>
                <w:tcPr>
                  <w:tcW w:w="3262" w:type="dxa"/>
                  <w:tcBorders>
                    <w:top w:val="nil"/>
                    <w:left w:val="nil"/>
                    <w:bottom w:val="nil"/>
                    <w:right w:val="nil"/>
                  </w:tcBorders>
                </w:tcPr>
                <w:p w14:paraId="3602DBE1"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 xml:space="preserve">External </w:t>
                  </w:r>
                  <w:proofErr w:type="spellStart"/>
                  <w:r w:rsidRPr="00DF6A2E">
                    <w:rPr>
                      <w:rFonts w:cs="Times New Roman"/>
                      <w:sz w:val="18"/>
                      <w:szCs w:val="18"/>
                      <w:lang w:val="en-US" w:eastAsia="en-US"/>
                    </w:rPr>
                    <w:t>tibial</w:t>
                  </w:r>
                  <w:proofErr w:type="spellEnd"/>
                  <w:r w:rsidRPr="00DF6A2E">
                    <w:rPr>
                      <w:rFonts w:cs="Times New Roman"/>
                      <w:sz w:val="18"/>
                      <w:szCs w:val="18"/>
                      <w:lang w:val="en-US" w:eastAsia="en-US"/>
                    </w:rPr>
                    <w:t xml:space="preserve"> torsion &gt;15°</w:t>
                  </w:r>
                </w:p>
              </w:tc>
              <w:tc>
                <w:tcPr>
                  <w:tcW w:w="3118" w:type="dxa"/>
                  <w:tcBorders>
                    <w:top w:val="nil"/>
                    <w:left w:val="nil"/>
                    <w:bottom w:val="nil"/>
                    <w:right w:val="nil"/>
                  </w:tcBorders>
                </w:tcPr>
                <w:p w14:paraId="26BA14D1" w14:textId="0ADF3A86" w:rsidR="00394336" w:rsidRPr="00DF6A2E" w:rsidRDefault="00C046E1" w:rsidP="00C046E1">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Pr>
                      <w:rFonts w:cs="Times New Roman"/>
                      <w:sz w:val="18"/>
                      <w:szCs w:val="18"/>
                      <w:lang w:val="en-US" w:eastAsia="en-US"/>
                    </w:rPr>
                    <w:t>External f</w:t>
                  </w:r>
                  <w:r w:rsidR="00394336" w:rsidRPr="00DF6A2E">
                    <w:rPr>
                      <w:rFonts w:cs="Times New Roman"/>
                      <w:sz w:val="18"/>
                      <w:szCs w:val="18"/>
                      <w:lang w:val="en-US" w:eastAsia="en-US"/>
                    </w:rPr>
                    <w:t>oot progression angle throughout stance phase</w:t>
                  </w:r>
                </w:p>
              </w:tc>
              <w:tc>
                <w:tcPr>
                  <w:tcW w:w="1276" w:type="dxa"/>
                  <w:tcBorders>
                    <w:top w:val="nil"/>
                    <w:left w:val="nil"/>
                    <w:bottom w:val="nil"/>
                    <w:right w:val="nil"/>
                  </w:tcBorders>
                </w:tcPr>
                <w:p w14:paraId="4BBD53BE"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19</w:t>
                  </w:r>
                </w:p>
              </w:tc>
              <w:tc>
                <w:tcPr>
                  <w:tcW w:w="1030" w:type="dxa"/>
                  <w:tcBorders>
                    <w:top w:val="nil"/>
                    <w:left w:val="nil"/>
                    <w:bottom w:val="nil"/>
                    <w:right w:val="nil"/>
                  </w:tcBorders>
                </w:tcPr>
                <w:p w14:paraId="3942743E"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
              </w:tc>
              <w:tc>
                <w:tcPr>
                  <w:tcW w:w="1490" w:type="dxa"/>
                  <w:gridSpan w:val="2"/>
                  <w:tcBorders>
                    <w:top w:val="nil"/>
                    <w:left w:val="nil"/>
                    <w:bottom w:val="nil"/>
                    <w:right w:val="nil"/>
                  </w:tcBorders>
                </w:tcPr>
                <w:p w14:paraId="45724EA8"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E31033" w14:paraId="53599A6D" w14:textId="77777777" w:rsidTr="00E5029D">
              <w:tc>
                <w:tcPr>
                  <w:tcW w:w="3826" w:type="dxa"/>
                  <w:tcBorders>
                    <w:top w:val="nil"/>
                    <w:left w:val="nil"/>
                    <w:bottom w:val="nil"/>
                    <w:right w:val="nil"/>
                  </w:tcBorders>
                </w:tcPr>
                <w:p w14:paraId="3979C5B6"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Calcaneal lengthening osteotomy (of the feet)</w:t>
                  </w:r>
                </w:p>
                <w:p w14:paraId="0FA29E74"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
              </w:tc>
              <w:tc>
                <w:tcPr>
                  <w:tcW w:w="3262" w:type="dxa"/>
                  <w:tcBorders>
                    <w:top w:val="nil"/>
                    <w:left w:val="nil"/>
                    <w:bottom w:val="nil"/>
                    <w:right w:val="nil"/>
                  </w:tcBorders>
                </w:tcPr>
                <w:p w14:paraId="6CA5789E"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roofErr w:type="spellStart"/>
                  <w:r w:rsidRPr="00DF6A2E">
                    <w:rPr>
                      <w:rFonts w:cs="Times New Roman"/>
                      <w:sz w:val="18"/>
                      <w:szCs w:val="18"/>
                      <w:lang w:val="en-US" w:eastAsia="en-US"/>
                    </w:rPr>
                    <w:t>Planovalgus</w:t>
                  </w:r>
                  <w:proofErr w:type="spellEnd"/>
                  <w:r w:rsidRPr="00DF6A2E">
                    <w:rPr>
                      <w:rFonts w:cs="Times New Roman"/>
                      <w:sz w:val="18"/>
                      <w:szCs w:val="18"/>
                      <w:lang w:val="en-US" w:eastAsia="en-US"/>
                    </w:rPr>
                    <w:t xml:space="preserve"> foot</w:t>
                  </w:r>
                </w:p>
              </w:tc>
              <w:tc>
                <w:tcPr>
                  <w:tcW w:w="3118" w:type="dxa"/>
                  <w:tcBorders>
                    <w:top w:val="nil"/>
                    <w:left w:val="nil"/>
                    <w:bottom w:val="nil"/>
                    <w:right w:val="nil"/>
                  </w:tcBorders>
                </w:tcPr>
                <w:p w14:paraId="2311333F"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 xml:space="preserve">Limited push-off </w:t>
                  </w:r>
                </w:p>
              </w:tc>
              <w:tc>
                <w:tcPr>
                  <w:tcW w:w="1276" w:type="dxa"/>
                  <w:tcBorders>
                    <w:top w:val="nil"/>
                    <w:left w:val="nil"/>
                    <w:bottom w:val="nil"/>
                    <w:right w:val="nil"/>
                  </w:tcBorders>
                </w:tcPr>
                <w:p w14:paraId="65E7B673"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3</w:t>
                  </w:r>
                </w:p>
              </w:tc>
              <w:tc>
                <w:tcPr>
                  <w:tcW w:w="1030" w:type="dxa"/>
                  <w:tcBorders>
                    <w:top w:val="nil"/>
                    <w:left w:val="nil"/>
                    <w:bottom w:val="nil"/>
                    <w:right w:val="nil"/>
                  </w:tcBorders>
                </w:tcPr>
                <w:p w14:paraId="054F4D52"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1</w:t>
                  </w:r>
                </w:p>
              </w:tc>
              <w:tc>
                <w:tcPr>
                  <w:tcW w:w="1490" w:type="dxa"/>
                  <w:gridSpan w:val="2"/>
                  <w:tcBorders>
                    <w:top w:val="nil"/>
                    <w:left w:val="nil"/>
                    <w:bottom w:val="nil"/>
                    <w:right w:val="nil"/>
                  </w:tcBorders>
                </w:tcPr>
                <w:p w14:paraId="4E55F9B6"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E31033" w14:paraId="74394FE3" w14:textId="77777777" w:rsidTr="00E5029D">
              <w:tc>
                <w:tcPr>
                  <w:tcW w:w="3826" w:type="dxa"/>
                  <w:tcBorders>
                    <w:top w:val="nil"/>
                    <w:left w:val="nil"/>
                    <w:bottom w:val="nil"/>
                    <w:right w:val="nil"/>
                  </w:tcBorders>
                </w:tcPr>
                <w:p w14:paraId="2F86233C"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 xml:space="preserve">Patellar </w:t>
                  </w:r>
                  <w:proofErr w:type="spellStart"/>
                  <w:r w:rsidRPr="00DF6A2E">
                    <w:rPr>
                      <w:rFonts w:cs="Times New Roman"/>
                      <w:sz w:val="18"/>
                      <w:szCs w:val="18"/>
                      <w:lang w:val="en-US" w:eastAsia="en-US"/>
                    </w:rPr>
                    <w:t>distalisation</w:t>
                  </w:r>
                  <w:proofErr w:type="spellEnd"/>
                </w:p>
              </w:tc>
              <w:tc>
                <w:tcPr>
                  <w:tcW w:w="3262" w:type="dxa"/>
                  <w:tcBorders>
                    <w:top w:val="nil"/>
                    <w:left w:val="nil"/>
                    <w:bottom w:val="nil"/>
                    <w:right w:val="nil"/>
                  </w:tcBorders>
                </w:tcPr>
                <w:p w14:paraId="48029441" w14:textId="62586DF1" w:rsidR="00394336" w:rsidRPr="00DF6A2E" w:rsidRDefault="00394336" w:rsidP="00C046E1">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 xml:space="preserve">Patella </w:t>
                  </w:r>
                  <w:proofErr w:type="spellStart"/>
                  <w:r w:rsidRPr="00DF6A2E">
                    <w:rPr>
                      <w:rFonts w:cs="Times New Roman"/>
                      <w:sz w:val="18"/>
                      <w:szCs w:val="18"/>
                      <w:lang w:val="en-US" w:eastAsia="en-US"/>
                    </w:rPr>
                    <w:t>alta</w:t>
                  </w:r>
                  <w:proofErr w:type="spellEnd"/>
                  <w:r w:rsidRPr="00DF6A2E">
                    <w:rPr>
                      <w:rFonts w:cs="Times New Roman"/>
                      <w:sz w:val="18"/>
                      <w:szCs w:val="18"/>
                      <w:lang w:val="en-US" w:eastAsia="en-US"/>
                    </w:rPr>
                    <w:t>, usually in combination with fixed knee flexion contracture (distal femoral extension osteotomy); no ac</w:t>
                  </w:r>
                  <w:r w:rsidR="00C046E1">
                    <w:rPr>
                      <w:rFonts w:cs="Times New Roman"/>
                      <w:sz w:val="18"/>
                      <w:szCs w:val="18"/>
                      <w:lang w:val="en-US" w:eastAsia="en-US"/>
                    </w:rPr>
                    <w:t>tive knee extension to passive ROM</w:t>
                  </w:r>
                  <w:r w:rsidRPr="00DF6A2E">
                    <w:rPr>
                      <w:rFonts w:cs="Times New Roman"/>
                      <w:sz w:val="18"/>
                      <w:szCs w:val="18"/>
                      <w:lang w:val="en-US" w:eastAsia="en-US"/>
                    </w:rPr>
                    <w:t xml:space="preserve"> </w:t>
                  </w:r>
                </w:p>
              </w:tc>
              <w:tc>
                <w:tcPr>
                  <w:tcW w:w="3118" w:type="dxa"/>
                  <w:tcBorders>
                    <w:top w:val="nil"/>
                    <w:left w:val="nil"/>
                    <w:bottom w:val="nil"/>
                    <w:right w:val="nil"/>
                  </w:tcBorders>
                </w:tcPr>
                <w:p w14:paraId="25FE6B30" w14:textId="30D4ED0A"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 xml:space="preserve">Incomplete knee-extension </w:t>
                  </w:r>
                  <w:r w:rsidR="00C046E1">
                    <w:rPr>
                      <w:rFonts w:cs="Times New Roman"/>
                      <w:sz w:val="18"/>
                      <w:szCs w:val="18"/>
                      <w:lang w:val="en-US" w:eastAsia="en-US"/>
                    </w:rPr>
                    <w:t xml:space="preserve">in </w:t>
                  </w:r>
                  <w:r w:rsidRPr="00DF6A2E">
                    <w:rPr>
                      <w:rFonts w:cs="Times New Roman"/>
                      <w:sz w:val="18"/>
                      <w:szCs w:val="18"/>
                      <w:lang w:val="en-US" w:eastAsia="en-US"/>
                    </w:rPr>
                    <w:t>stance</w:t>
                  </w:r>
                </w:p>
              </w:tc>
              <w:tc>
                <w:tcPr>
                  <w:tcW w:w="1276" w:type="dxa"/>
                  <w:tcBorders>
                    <w:top w:val="nil"/>
                    <w:left w:val="nil"/>
                    <w:bottom w:val="nil"/>
                    <w:right w:val="nil"/>
                  </w:tcBorders>
                </w:tcPr>
                <w:p w14:paraId="2C62E7A8"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20</w:t>
                  </w:r>
                </w:p>
              </w:tc>
              <w:tc>
                <w:tcPr>
                  <w:tcW w:w="1030" w:type="dxa"/>
                  <w:tcBorders>
                    <w:top w:val="nil"/>
                    <w:left w:val="nil"/>
                    <w:bottom w:val="nil"/>
                    <w:right w:val="nil"/>
                  </w:tcBorders>
                </w:tcPr>
                <w:p w14:paraId="695DDBFD"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
              </w:tc>
              <w:tc>
                <w:tcPr>
                  <w:tcW w:w="1490" w:type="dxa"/>
                  <w:gridSpan w:val="2"/>
                  <w:tcBorders>
                    <w:top w:val="nil"/>
                    <w:left w:val="nil"/>
                    <w:bottom w:val="nil"/>
                    <w:right w:val="nil"/>
                  </w:tcBorders>
                </w:tcPr>
                <w:p w14:paraId="50CD6F72"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E31033" w14:paraId="7B523C25" w14:textId="77777777" w:rsidTr="00E5029D">
              <w:tc>
                <w:tcPr>
                  <w:tcW w:w="3826" w:type="dxa"/>
                  <w:tcBorders>
                    <w:top w:val="nil"/>
                    <w:left w:val="nil"/>
                    <w:bottom w:val="nil"/>
                    <w:right w:val="nil"/>
                  </w:tcBorders>
                </w:tcPr>
                <w:p w14:paraId="55BAB1BF"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Hemi-</w:t>
                  </w:r>
                  <w:proofErr w:type="spellStart"/>
                  <w:r w:rsidRPr="00DF6A2E">
                    <w:rPr>
                      <w:rFonts w:cs="Times New Roman"/>
                      <w:sz w:val="18"/>
                      <w:szCs w:val="18"/>
                      <w:lang w:val="en-US" w:eastAsia="en-US"/>
                    </w:rPr>
                    <w:t>epifysiodesis</w:t>
                  </w:r>
                  <w:proofErr w:type="spellEnd"/>
                  <w:r w:rsidRPr="00DF6A2E">
                    <w:rPr>
                      <w:rFonts w:cs="Times New Roman"/>
                      <w:sz w:val="18"/>
                      <w:szCs w:val="18"/>
                      <w:lang w:val="en-US" w:eastAsia="en-US"/>
                    </w:rPr>
                    <w:t xml:space="preserve"> femur/tibia</w:t>
                  </w:r>
                </w:p>
              </w:tc>
              <w:tc>
                <w:tcPr>
                  <w:tcW w:w="3262" w:type="dxa"/>
                  <w:tcBorders>
                    <w:top w:val="nil"/>
                    <w:left w:val="nil"/>
                    <w:bottom w:val="nil"/>
                    <w:right w:val="nil"/>
                  </w:tcBorders>
                </w:tcPr>
                <w:p w14:paraId="7641D702"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 xml:space="preserve">Varus/valgus </w:t>
                  </w:r>
                </w:p>
              </w:tc>
              <w:tc>
                <w:tcPr>
                  <w:tcW w:w="3118" w:type="dxa"/>
                  <w:tcBorders>
                    <w:top w:val="nil"/>
                    <w:left w:val="nil"/>
                    <w:bottom w:val="nil"/>
                    <w:right w:val="nil"/>
                  </w:tcBorders>
                </w:tcPr>
                <w:p w14:paraId="56E253C6"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
              </w:tc>
              <w:tc>
                <w:tcPr>
                  <w:tcW w:w="1276" w:type="dxa"/>
                  <w:tcBorders>
                    <w:top w:val="nil"/>
                    <w:left w:val="nil"/>
                    <w:bottom w:val="nil"/>
                    <w:right w:val="nil"/>
                  </w:tcBorders>
                </w:tcPr>
                <w:p w14:paraId="43B4AA12"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
              </w:tc>
              <w:tc>
                <w:tcPr>
                  <w:tcW w:w="1030" w:type="dxa"/>
                  <w:tcBorders>
                    <w:top w:val="nil"/>
                    <w:left w:val="nil"/>
                    <w:bottom w:val="nil"/>
                    <w:right w:val="nil"/>
                  </w:tcBorders>
                </w:tcPr>
                <w:p w14:paraId="04ED57E6"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12</w:t>
                  </w:r>
                </w:p>
              </w:tc>
              <w:tc>
                <w:tcPr>
                  <w:tcW w:w="1490" w:type="dxa"/>
                  <w:gridSpan w:val="2"/>
                  <w:tcBorders>
                    <w:top w:val="nil"/>
                    <w:left w:val="nil"/>
                    <w:bottom w:val="nil"/>
                    <w:right w:val="nil"/>
                  </w:tcBorders>
                </w:tcPr>
                <w:p w14:paraId="2051C07D"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E31033" w14:paraId="5581458B" w14:textId="77777777" w:rsidTr="00E5029D">
              <w:tc>
                <w:tcPr>
                  <w:tcW w:w="3826" w:type="dxa"/>
                  <w:tcBorders>
                    <w:top w:val="nil"/>
                    <w:left w:val="nil"/>
                    <w:bottom w:val="single" w:sz="4" w:space="0" w:color="auto"/>
                    <w:right w:val="nil"/>
                  </w:tcBorders>
                </w:tcPr>
                <w:p w14:paraId="1CDA5540"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Flexion osteotomy femur</w:t>
                  </w:r>
                </w:p>
              </w:tc>
              <w:tc>
                <w:tcPr>
                  <w:tcW w:w="3262" w:type="dxa"/>
                  <w:tcBorders>
                    <w:top w:val="nil"/>
                    <w:left w:val="nil"/>
                    <w:bottom w:val="single" w:sz="4" w:space="0" w:color="auto"/>
                    <w:right w:val="nil"/>
                  </w:tcBorders>
                </w:tcPr>
                <w:p w14:paraId="7F052AD3"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Hyperextension Knee</w:t>
                  </w:r>
                </w:p>
              </w:tc>
              <w:tc>
                <w:tcPr>
                  <w:tcW w:w="3118" w:type="dxa"/>
                  <w:tcBorders>
                    <w:top w:val="nil"/>
                    <w:left w:val="nil"/>
                    <w:bottom w:val="single" w:sz="4" w:space="0" w:color="auto"/>
                    <w:right w:val="nil"/>
                  </w:tcBorders>
                </w:tcPr>
                <w:p w14:paraId="0448D1CC"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Hyperextension knee in stance</w:t>
                  </w:r>
                </w:p>
              </w:tc>
              <w:tc>
                <w:tcPr>
                  <w:tcW w:w="1276" w:type="dxa"/>
                  <w:tcBorders>
                    <w:top w:val="nil"/>
                    <w:left w:val="nil"/>
                    <w:bottom w:val="single" w:sz="4" w:space="0" w:color="auto"/>
                    <w:right w:val="nil"/>
                  </w:tcBorders>
                </w:tcPr>
                <w:p w14:paraId="78A53D5F"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p>
              </w:tc>
              <w:tc>
                <w:tcPr>
                  <w:tcW w:w="1030" w:type="dxa"/>
                  <w:tcBorders>
                    <w:top w:val="nil"/>
                    <w:left w:val="nil"/>
                    <w:bottom w:val="single" w:sz="4" w:space="0" w:color="auto"/>
                    <w:right w:val="nil"/>
                  </w:tcBorders>
                </w:tcPr>
                <w:p w14:paraId="7630638A" w14:textId="77777777" w:rsidR="00394336" w:rsidRPr="00DF6A2E"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sidRPr="00DF6A2E">
                    <w:rPr>
                      <w:rFonts w:cs="Times New Roman"/>
                      <w:sz w:val="18"/>
                      <w:szCs w:val="18"/>
                      <w:lang w:val="en-US" w:eastAsia="en-US"/>
                    </w:rPr>
                    <w:t>1</w:t>
                  </w:r>
                </w:p>
              </w:tc>
              <w:tc>
                <w:tcPr>
                  <w:tcW w:w="1490" w:type="dxa"/>
                  <w:gridSpan w:val="2"/>
                  <w:tcBorders>
                    <w:top w:val="nil"/>
                    <w:left w:val="nil"/>
                    <w:bottom w:val="single" w:sz="4" w:space="0" w:color="auto"/>
                    <w:right w:val="nil"/>
                  </w:tcBorders>
                </w:tcPr>
                <w:p w14:paraId="3967930E" w14:textId="77777777" w:rsidR="00394336" w:rsidRPr="00E31033" w:rsidRDefault="00394336"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b/>
                      <w:sz w:val="16"/>
                      <w:lang w:val="en-US" w:eastAsia="en-US"/>
                    </w:rPr>
                  </w:pPr>
                </w:p>
              </w:tc>
            </w:tr>
            <w:tr w:rsidR="00394336" w:rsidRPr="0012107A" w14:paraId="05CA9EB3" w14:textId="77777777" w:rsidTr="00E5029D">
              <w:tc>
                <w:tcPr>
                  <w:tcW w:w="14002" w:type="dxa"/>
                  <w:gridSpan w:val="7"/>
                  <w:tcBorders>
                    <w:top w:val="single" w:sz="4" w:space="0" w:color="auto"/>
                    <w:left w:val="nil"/>
                    <w:bottom w:val="nil"/>
                    <w:right w:val="nil"/>
                  </w:tcBorders>
                </w:tcPr>
                <w:p w14:paraId="5B55CDF2" w14:textId="5E6EC0CF" w:rsidR="00394336" w:rsidRPr="00E31033" w:rsidRDefault="00C046E1" w:rsidP="00E5029D">
                  <w:pPr>
                    <w:framePr w:hSpace="141" w:wrap="around" w:vAnchor="page" w:hAnchor="margin" w:y="406"/>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r>
                    <w:rPr>
                      <w:rFonts w:cs="Times New Roman"/>
                      <w:sz w:val="18"/>
                      <w:lang w:val="en-US" w:eastAsia="en-US"/>
                    </w:rPr>
                    <w:t xml:space="preserve">IM, intra-muscular;   </w:t>
                  </w:r>
                  <w:r w:rsidR="00394336" w:rsidRPr="00DB2D30">
                    <w:rPr>
                      <w:rFonts w:cs="Times New Roman"/>
                      <w:sz w:val="18"/>
                      <w:lang w:val="en-US" w:eastAsia="en-US"/>
                    </w:rPr>
                    <w:t>SEMLS, Single-Event Multilevel Surgery;  FFD, Fixed</w:t>
                  </w:r>
                  <w:r w:rsidR="00736313">
                    <w:rPr>
                      <w:rFonts w:cs="Times New Roman"/>
                      <w:sz w:val="18"/>
                      <w:lang w:val="en-US" w:eastAsia="en-US"/>
                    </w:rPr>
                    <w:t xml:space="preserve"> Flexion Deformity;   °, degree</w:t>
                  </w:r>
                  <w:r w:rsidR="00394336" w:rsidRPr="00DB2D30">
                    <w:rPr>
                      <w:rFonts w:cs="Times New Roman"/>
                      <w:sz w:val="18"/>
                      <w:lang w:val="en-US" w:eastAsia="en-US"/>
                    </w:rPr>
                    <w:t xml:space="preserve">;   FNA , Femoral Neck </w:t>
                  </w:r>
                  <w:proofErr w:type="spellStart"/>
                  <w:r w:rsidR="00394336" w:rsidRPr="00DB2D30">
                    <w:rPr>
                      <w:rFonts w:cs="Times New Roman"/>
                      <w:sz w:val="18"/>
                      <w:lang w:val="en-US" w:eastAsia="en-US"/>
                    </w:rPr>
                    <w:t>Anteversion</w:t>
                  </w:r>
                  <w:proofErr w:type="spellEnd"/>
                  <w:r w:rsidR="00394336" w:rsidRPr="00DB2D30">
                    <w:rPr>
                      <w:rFonts w:cs="Times New Roman"/>
                      <w:sz w:val="18"/>
                      <w:lang w:val="en-US" w:eastAsia="en-US"/>
                    </w:rPr>
                    <w:t>; MTP, Metatarsal phalangeal joint</w:t>
                  </w:r>
                </w:p>
              </w:tc>
            </w:tr>
          </w:tbl>
          <w:p w14:paraId="4936EE14" w14:textId="77777777" w:rsidR="00394336" w:rsidRPr="00E31033"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6"/>
                <w:lang w:val="en-US" w:eastAsia="en-US"/>
              </w:rPr>
            </w:pPr>
          </w:p>
        </w:tc>
      </w:tr>
    </w:tbl>
    <w:p w14:paraId="63952ADC" w14:textId="77777777" w:rsidR="00394336" w:rsidRPr="008419AB"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eastAsia="en-US"/>
        </w:rPr>
        <w:sectPr w:rsidR="00394336" w:rsidRPr="008419AB" w:rsidSect="00E5029D">
          <w:pgSz w:w="16838" w:h="11906" w:orient="landscape"/>
          <w:pgMar w:top="426" w:right="1418" w:bottom="426" w:left="1418" w:header="709" w:footer="709" w:gutter="0"/>
          <w:cols w:space="708"/>
          <w:docGrid w:linePitch="360"/>
        </w:sectPr>
      </w:pPr>
    </w:p>
    <w:p w14:paraId="73D1F841" w14:textId="77777777" w:rsidR="00A11017" w:rsidRPr="00595F5A" w:rsidRDefault="00A11017" w:rsidP="00A11017">
      <w:pPr>
        <w:keepNext/>
        <w:keepLines/>
        <w:tabs>
          <w:tab w:val="clear" w:pos="284"/>
          <w:tab w:val="clear" w:pos="567"/>
          <w:tab w:val="clear" w:pos="851"/>
          <w:tab w:val="clear" w:pos="1134"/>
          <w:tab w:val="clear" w:pos="1560"/>
          <w:tab w:val="clear" w:pos="2127"/>
          <w:tab w:val="clear" w:pos="2410"/>
          <w:tab w:val="clear" w:pos="8505"/>
        </w:tabs>
        <w:spacing w:before="200" w:after="200" w:line="276" w:lineRule="auto"/>
        <w:outlineLvl w:val="2"/>
        <w:rPr>
          <w:rFonts w:asciiTheme="minorHAnsi" w:eastAsia="Calibri" w:hAnsiTheme="minorHAnsi" w:cs="Times New Roman"/>
          <w:b/>
          <w:bCs/>
          <w:szCs w:val="22"/>
          <w:lang w:val="en-US" w:eastAsia="en-US"/>
        </w:rPr>
      </w:pPr>
      <w:r w:rsidRPr="00595F5A">
        <w:rPr>
          <w:rFonts w:asciiTheme="minorHAnsi" w:eastAsia="Calibri" w:hAnsiTheme="minorHAnsi" w:cs="Times New Roman"/>
          <w:b/>
          <w:szCs w:val="22"/>
          <w:lang w:val="en-US" w:eastAsia="en-US"/>
        </w:rPr>
        <w:lastRenderedPageBreak/>
        <w:t>3.2 Long-term effects of SEMLS</w:t>
      </w:r>
    </w:p>
    <w:p w14:paraId="592DDD02" w14:textId="77777777" w:rsidR="00A11017" w:rsidRPr="008419AB" w:rsidRDefault="00A11017" w:rsidP="00A11017">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A94D87">
        <w:rPr>
          <w:noProof/>
          <w:lang w:val="en-US"/>
        </w:rPr>
        <w:t>The outcomes were evaluat</w:t>
      </w:r>
      <w:r>
        <w:rPr>
          <w:noProof/>
          <w:lang w:val="en-US"/>
        </w:rPr>
        <w:t>ed preoperatively (mean 4.1 months before surgery with a range of 0.3  to 13.7 months) and two, five and eight years post-surgery (Table 3)</w:t>
      </w:r>
      <w:r>
        <w:rPr>
          <w:rFonts w:eastAsia="Calibri" w:cs="Times New Roman"/>
          <w:szCs w:val="22"/>
          <w:lang w:val="en-US" w:eastAsia="en-US"/>
        </w:rPr>
        <w:t>.</w:t>
      </w:r>
    </w:p>
    <w:p w14:paraId="4F847842" w14:textId="77777777" w:rsidR="00A11017" w:rsidRPr="008419AB" w:rsidRDefault="00A11017" w:rsidP="00A11017">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u w:val="single"/>
          <w:lang w:val="en-US" w:eastAsia="en-US"/>
        </w:rPr>
        <w:t>Primary outcomes</w:t>
      </w:r>
    </w:p>
    <w:p w14:paraId="28065059" w14:textId="77777777" w:rsidR="00A11017" w:rsidRPr="008419AB" w:rsidRDefault="00A11017" w:rsidP="00A11017">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8419AB">
        <w:rPr>
          <w:rFonts w:eastAsia="Calibri" w:cs="Times New Roman"/>
          <w:szCs w:val="22"/>
          <w:lang w:val="en-US" w:eastAsia="en-US"/>
        </w:rPr>
        <w:t xml:space="preserve">Evolution of MAPS and GPS </w:t>
      </w:r>
      <w:r>
        <w:rPr>
          <w:rFonts w:eastAsia="Calibri" w:cs="Times New Roman"/>
          <w:szCs w:val="22"/>
          <w:lang w:val="en-US" w:eastAsia="en-US"/>
        </w:rPr>
        <w:t xml:space="preserve">post-operatively and </w:t>
      </w:r>
      <w:r w:rsidRPr="008419AB">
        <w:rPr>
          <w:rFonts w:eastAsia="Calibri" w:cs="Times New Roman"/>
          <w:szCs w:val="22"/>
          <w:lang w:val="en-US" w:eastAsia="en-US"/>
        </w:rPr>
        <w:t>over time is shown in Figure 2. GPS, GPS in sagit</w:t>
      </w:r>
      <w:r>
        <w:rPr>
          <w:rFonts w:eastAsia="Calibri" w:cs="Times New Roman"/>
          <w:szCs w:val="22"/>
          <w:lang w:val="en-US" w:eastAsia="en-US"/>
        </w:rPr>
        <w:t>tal plane and GPS in transverse</w:t>
      </w:r>
      <w:r w:rsidRPr="008419AB">
        <w:rPr>
          <w:rFonts w:eastAsia="Calibri" w:cs="Times New Roman"/>
          <w:szCs w:val="22"/>
          <w:lang w:val="en-US" w:eastAsia="en-US"/>
        </w:rPr>
        <w:t xml:space="preserve"> plane improved significantly over the long-term compared to preoperative values (p ≤0.01). This improvement was seen at two years </w:t>
      </w:r>
      <w:r>
        <w:rPr>
          <w:rFonts w:eastAsia="Calibri" w:cs="Times New Roman"/>
          <w:szCs w:val="22"/>
          <w:lang w:val="en-US" w:eastAsia="en-US"/>
        </w:rPr>
        <w:t>FU</w:t>
      </w:r>
      <w:r w:rsidRPr="008419AB">
        <w:rPr>
          <w:rFonts w:eastAsia="Calibri" w:cs="Times New Roman"/>
          <w:szCs w:val="22"/>
          <w:lang w:val="en-US" w:eastAsia="en-US"/>
        </w:rPr>
        <w:t xml:space="preserve"> and was still present at five and</w:t>
      </w:r>
      <w:r>
        <w:rPr>
          <w:rFonts w:eastAsia="Calibri" w:cs="Times New Roman"/>
          <w:szCs w:val="22"/>
          <w:lang w:val="en-US" w:eastAsia="en-US"/>
        </w:rPr>
        <w:t xml:space="preserve"> eight years FU. For </w:t>
      </w:r>
      <w:r w:rsidRPr="008419AB">
        <w:rPr>
          <w:rFonts w:eastAsia="Calibri" w:cs="Times New Roman"/>
          <w:szCs w:val="22"/>
          <w:lang w:val="en-US" w:eastAsia="en-US"/>
        </w:rPr>
        <w:t xml:space="preserve">GPS </w:t>
      </w:r>
      <w:r>
        <w:rPr>
          <w:rFonts w:eastAsia="Calibri" w:cs="Times New Roman"/>
          <w:szCs w:val="22"/>
          <w:lang w:val="en-US" w:eastAsia="en-US"/>
        </w:rPr>
        <w:t xml:space="preserve">the </w:t>
      </w:r>
      <w:r w:rsidRPr="008419AB">
        <w:rPr>
          <w:rFonts w:eastAsia="Calibri" w:cs="Times New Roman"/>
          <w:szCs w:val="22"/>
          <w:lang w:val="en-US" w:eastAsia="en-US"/>
        </w:rPr>
        <w:t>mean difference between pre and 8 year</w:t>
      </w:r>
      <w:r>
        <w:rPr>
          <w:rFonts w:eastAsia="Calibri" w:cs="Times New Roman"/>
          <w:szCs w:val="22"/>
          <w:lang w:val="en-US" w:eastAsia="en-US"/>
        </w:rPr>
        <w:t>s</w:t>
      </w:r>
      <w:r w:rsidRPr="008419AB">
        <w:rPr>
          <w:rFonts w:eastAsia="Calibri" w:cs="Times New Roman"/>
          <w:szCs w:val="22"/>
          <w:lang w:val="en-US" w:eastAsia="en-US"/>
        </w:rPr>
        <w:t xml:space="preserve"> follow-up was -4.</w:t>
      </w:r>
      <w:r>
        <w:rPr>
          <w:rFonts w:eastAsia="Calibri" w:cs="Times New Roman"/>
          <w:szCs w:val="22"/>
          <w:lang w:val="en-US" w:eastAsia="en-US"/>
        </w:rPr>
        <w:t>6</w:t>
      </w:r>
      <w:r w:rsidRPr="008419AB">
        <w:rPr>
          <w:rFonts w:eastAsia="Calibri" w:cs="Times New Roman"/>
          <w:szCs w:val="22"/>
          <w:lang w:val="en-US" w:eastAsia="en-US"/>
        </w:rPr>
        <w:t xml:space="preserve">° and </w:t>
      </w:r>
      <w:r>
        <w:rPr>
          <w:rFonts w:eastAsia="Calibri" w:cs="Times New Roman"/>
          <w:szCs w:val="22"/>
          <w:lang w:val="en-US" w:eastAsia="en-US"/>
        </w:rPr>
        <w:t xml:space="preserve">for </w:t>
      </w:r>
      <w:r w:rsidRPr="008419AB">
        <w:rPr>
          <w:rFonts w:eastAsia="Calibri" w:cs="Times New Roman"/>
          <w:szCs w:val="22"/>
          <w:lang w:val="en-US" w:eastAsia="en-US"/>
        </w:rPr>
        <w:t>GPS in sagittal plane</w:t>
      </w:r>
      <w:r>
        <w:rPr>
          <w:rFonts w:eastAsia="Calibri" w:cs="Times New Roman"/>
          <w:szCs w:val="22"/>
          <w:lang w:val="en-US" w:eastAsia="en-US"/>
        </w:rPr>
        <w:t xml:space="preserve"> and GPS in transverse</w:t>
      </w:r>
      <w:r w:rsidRPr="008419AB">
        <w:rPr>
          <w:rFonts w:eastAsia="Calibri" w:cs="Times New Roman"/>
          <w:szCs w:val="22"/>
          <w:lang w:val="en-US" w:eastAsia="en-US"/>
        </w:rPr>
        <w:t xml:space="preserve"> plane </w:t>
      </w:r>
      <w:r>
        <w:rPr>
          <w:rFonts w:eastAsia="Calibri" w:cs="Times New Roman"/>
          <w:szCs w:val="22"/>
          <w:lang w:val="en-US" w:eastAsia="en-US"/>
        </w:rPr>
        <w:t xml:space="preserve">it was </w:t>
      </w:r>
      <w:r w:rsidRPr="008419AB">
        <w:rPr>
          <w:rFonts w:eastAsia="Calibri" w:cs="Times New Roman"/>
          <w:szCs w:val="22"/>
          <w:lang w:val="en-US" w:eastAsia="en-US"/>
        </w:rPr>
        <w:t>-4.</w:t>
      </w:r>
      <w:r>
        <w:rPr>
          <w:rFonts w:eastAsia="Calibri" w:cs="Times New Roman"/>
          <w:szCs w:val="22"/>
          <w:lang w:val="en-US" w:eastAsia="en-US"/>
        </w:rPr>
        <w:t>6</w:t>
      </w:r>
      <w:r w:rsidRPr="008419AB">
        <w:rPr>
          <w:rFonts w:eastAsia="Calibri" w:cs="Times New Roman"/>
          <w:szCs w:val="22"/>
          <w:lang w:val="en-US" w:eastAsia="en-US"/>
        </w:rPr>
        <w:t xml:space="preserve">° and -5.1° respectively. </w:t>
      </w:r>
    </w:p>
    <w:p w14:paraId="15452E0B" w14:textId="77777777" w:rsidR="00A11017" w:rsidRPr="008419AB" w:rsidRDefault="00A11017" w:rsidP="00A11017">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u w:val="single"/>
          <w:lang w:val="en-US" w:eastAsia="en-US"/>
        </w:rPr>
      </w:pPr>
      <w:r w:rsidRPr="008419AB">
        <w:rPr>
          <w:rFonts w:eastAsia="Calibri" w:cs="Times New Roman"/>
          <w:szCs w:val="22"/>
          <w:u w:val="single"/>
          <w:lang w:val="en-US" w:eastAsia="en-US"/>
        </w:rPr>
        <w:t>Secondary outcomes</w:t>
      </w:r>
    </w:p>
    <w:p w14:paraId="1A0408F5" w14:textId="77777777" w:rsidR="00A11017" w:rsidRPr="009770FD" w:rsidRDefault="00A11017" w:rsidP="00A11017">
      <w:pPr>
        <w:tabs>
          <w:tab w:val="clear" w:pos="284"/>
          <w:tab w:val="clear" w:pos="567"/>
          <w:tab w:val="clear" w:pos="851"/>
          <w:tab w:val="clear" w:pos="1134"/>
          <w:tab w:val="clear" w:pos="1560"/>
          <w:tab w:val="clear" w:pos="2127"/>
          <w:tab w:val="clear" w:pos="2410"/>
          <w:tab w:val="clear" w:pos="8505"/>
        </w:tabs>
        <w:spacing w:after="200" w:line="360" w:lineRule="auto"/>
        <w:rPr>
          <w:rFonts w:eastAsia="Calibri" w:cs="Times New Roman"/>
          <w:szCs w:val="22"/>
          <w:lang w:val="en-US" w:eastAsia="en-US"/>
        </w:rPr>
      </w:pPr>
      <w:r w:rsidRPr="009770FD">
        <w:rPr>
          <w:rFonts w:eastAsia="Calibri" w:cs="Times New Roman"/>
          <w:szCs w:val="22"/>
          <w:lang w:val="en-US" w:eastAsia="en-US"/>
        </w:rPr>
        <w:t xml:space="preserve">The mean pelvic tilt showed no significant change </w:t>
      </w:r>
      <w:r>
        <w:rPr>
          <w:rFonts w:eastAsia="Calibri" w:cs="Times New Roman"/>
          <w:szCs w:val="22"/>
          <w:lang w:val="en-US" w:eastAsia="en-US"/>
        </w:rPr>
        <w:t xml:space="preserve">postoperatively or </w:t>
      </w:r>
      <w:r w:rsidRPr="009770FD">
        <w:rPr>
          <w:rFonts w:eastAsia="Calibri" w:cs="Times New Roman"/>
          <w:szCs w:val="22"/>
          <w:lang w:val="en-US" w:eastAsia="en-US"/>
        </w:rPr>
        <w:t>over time. Minim</w:t>
      </w:r>
      <w:r>
        <w:rPr>
          <w:rFonts w:eastAsia="Calibri" w:cs="Times New Roman"/>
          <w:szCs w:val="22"/>
          <w:lang w:val="en-US" w:eastAsia="en-US"/>
        </w:rPr>
        <w:t>al hip extension in stance showed</w:t>
      </w:r>
      <w:r w:rsidRPr="009770FD">
        <w:rPr>
          <w:rFonts w:eastAsia="Calibri" w:cs="Times New Roman"/>
          <w:szCs w:val="22"/>
          <w:lang w:val="en-US" w:eastAsia="en-US"/>
        </w:rPr>
        <w:t xml:space="preserve"> a significant improvement at two years </w:t>
      </w:r>
      <w:r>
        <w:rPr>
          <w:rFonts w:eastAsia="Calibri" w:cs="Times New Roman"/>
          <w:szCs w:val="22"/>
          <w:lang w:val="en-US" w:eastAsia="en-US"/>
        </w:rPr>
        <w:t>FU</w:t>
      </w:r>
      <w:r w:rsidRPr="009770FD">
        <w:rPr>
          <w:rFonts w:eastAsia="Calibri" w:cs="Times New Roman"/>
          <w:szCs w:val="22"/>
          <w:lang w:val="en-US" w:eastAsia="en-US"/>
        </w:rPr>
        <w:t>, but the improvement was no</w:t>
      </w:r>
      <w:r>
        <w:rPr>
          <w:rFonts w:eastAsia="Calibri" w:cs="Times New Roman"/>
          <w:szCs w:val="22"/>
          <w:lang w:val="en-US" w:eastAsia="en-US"/>
        </w:rPr>
        <w:t xml:space="preserve"> longer</w:t>
      </w:r>
      <w:r w:rsidRPr="009770FD">
        <w:rPr>
          <w:rFonts w:eastAsia="Calibri" w:cs="Times New Roman"/>
          <w:szCs w:val="22"/>
          <w:lang w:val="en-US" w:eastAsia="en-US"/>
        </w:rPr>
        <w:t xml:space="preserve"> significant at five and eight years </w:t>
      </w:r>
      <w:r>
        <w:rPr>
          <w:rFonts w:eastAsia="Calibri" w:cs="Times New Roman"/>
          <w:szCs w:val="22"/>
          <w:lang w:val="en-US" w:eastAsia="en-US"/>
        </w:rPr>
        <w:t>FU</w:t>
      </w:r>
      <w:r w:rsidRPr="009770FD">
        <w:rPr>
          <w:rFonts w:eastAsia="Calibri" w:cs="Times New Roman"/>
          <w:szCs w:val="22"/>
          <w:lang w:val="en-US" w:eastAsia="en-US"/>
        </w:rPr>
        <w:t xml:space="preserve">. Mean hip rotation in stance and maximal knee extension in stance improved significantly at two years </w:t>
      </w:r>
      <w:r>
        <w:rPr>
          <w:rFonts w:eastAsia="Calibri" w:cs="Times New Roman"/>
          <w:szCs w:val="22"/>
          <w:lang w:val="en-US" w:eastAsia="en-US"/>
        </w:rPr>
        <w:t>FU</w:t>
      </w:r>
      <w:r w:rsidRPr="009770FD">
        <w:rPr>
          <w:rFonts w:eastAsia="Calibri" w:cs="Times New Roman"/>
          <w:szCs w:val="22"/>
          <w:lang w:val="en-US" w:eastAsia="en-US"/>
        </w:rPr>
        <w:t>. Th</w:t>
      </w:r>
      <w:r>
        <w:rPr>
          <w:rFonts w:eastAsia="Calibri" w:cs="Times New Roman"/>
          <w:szCs w:val="22"/>
          <w:lang w:val="en-US" w:eastAsia="en-US"/>
        </w:rPr>
        <w:t>ese</w:t>
      </w:r>
      <w:r w:rsidRPr="009770FD">
        <w:rPr>
          <w:rFonts w:eastAsia="Calibri" w:cs="Times New Roman"/>
          <w:szCs w:val="22"/>
          <w:lang w:val="en-US" w:eastAsia="en-US"/>
        </w:rPr>
        <w:t xml:space="preserve"> improvement</w:t>
      </w:r>
      <w:r>
        <w:rPr>
          <w:rFonts w:eastAsia="Calibri" w:cs="Times New Roman"/>
          <w:szCs w:val="22"/>
          <w:lang w:val="en-US" w:eastAsia="en-US"/>
        </w:rPr>
        <w:t>s</w:t>
      </w:r>
      <w:r w:rsidRPr="009770FD">
        <w:rPr>
          <w:rFonts w:eastAsia="Calibri" w:cs="Times New Roman"/>
          <w:szCs w:val="22"/>
          <w:lang w:val="en-US" w:eastAsia="en-US"/>
        </w:rPr>
        <w:t xml:space="preserve"> w</w:t>
      </w:r>
      <w:r>
        <w:rPr>
          <w:rFonts w:eastAsia="Calibri" w:cs="Times New Roman"/>
          <w:szCs w:val="22"/>
          <w:lang w:val="en-US" w:eastAsia="en-US"/>
        </w:rPr>
        <w:t>ere</w:t>
      </w:r>
      <w:r w:rsidRPr="009770FD">
        <w:rPr>
          <w:rFonts w:eastAsia="Calibri" w:cs="Times New Roman"/>
          <w:szCs w:val="22"/>
          <w:lang w:val="en-US" w:eastAsia="en-US"/>
        </w:rPr>
        <w:t xml:space="preserve"> maintained at five and eight years </w:t>
      </w:r>
      <w:r>
        <w:rPr>
          <w:rFonts w:eastAsia="Calibri" w:cs="Times New Roman"/>
          <w:szCs w:val="22"/>
          <w:lang w:val="en-US" w:eastAsia="en-US"/>
        </w:rPr>
        <w:t>FU</w:t>
      </w:r>
      <w:r w:rsidRPr="009770FD">
        <w:rPr>
          <w:rFonts w:eastAsia="Calibri" w:cs="Times New Roman"/>
          <w:szCs w:val="22"/>
          <w:lang w:val="en-US" w:eastAsia="en-US"/>
        </w:rPr>
        <w:t>.</w:t>
      </w:r>
    </w:p>
    <w:p w14:paraId="27D851E2" w14:textId="77777777" w:rsidR="00A11017" w:rsidRPr="00595F5A" w:rsidRDefault="00A11017" w:rsidP="00A11017">
      <w:pPr>
        <w:tabs>
          <w:tab w:val="clear" w:pos="284"/>
          <w:tab w:val="clear" w:pos="567"/>
          <w:tab w:val="clear" w:pos="851"/>
          <w:tab w:val="clear" w:pos="1134"/>
          <w:tab w:val="clear" w:pos="1560"/>
          <w:tab w:val="clear" w:pos="2127"/>
          <w:tab w:val="clear" w:pos="2410"/>
          <w:tab w:val="clear" w:pos="8505"/>
        </w:tabs>
        <w:spacing w:after="200" w:line="360" w:lineRule="auto"/>
        <w:rPr>
          <w:rFonts w:asciiTheme="minorHAnsi" w:hAnsiTheme="minorHAnsi" w:cs="Times New Roman"/>
          <w:b/>
          <w:bCs/>
          <w:color w:val="4F81BD"/>
          <w:szCs w:val="22"/>
          <w:lang w:val="en-US" w:eastAsia="en-US"/>
        </w:rPr>
      </w:pPr>
      <w:r w:rsidRPr="00595F5A">
        <w:rPr>
          <w:rFonts w:asciiTheme="minorHAnsi" w:eastAsia="Calibri" w:hAnsiTheme="minorHAnsi" w:cs="Times New Roman"/>
          <w:b/>
          <w:bCs/>
          <w:szCs w:val="22"/>
          <w:lang w:val="en-US" w:eastAsia="en-US"/>
        </w:rPr>
        <w:t>3.3 Predictors</w:t>
      </w:r>
    </w:p>
    <w:p w14:paraId="30CA0B64" w14:textId="77777777" w:rsidR="00A11017" w:rsidRDefault="00A11017" w:rsidP="00A11017">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9770FD">
        <w:rPr>
          <w:rFonts w:eastAsia="Calibri" w:cs="Times New Roman"/>
          <w:szCs w:val="22"/>
          <w:lang w:val="en-US" w:eastAsia="en-US"/>
        </w:rPr>
        <w:t>Scatterplo</w:t>
      </w:r>
      <w:r>
        <w:rPr>
          <w:rFonts w:eastAsia="Calibri" w:cs="Times New Roman"/>
          <w:szCs w:val="22"/>
          <w:lang w:val="en-US" w:eastAsia="en-US"/>
        </w:rPr>
        <w:t xml:space="preserve">ts of possible predictors with </w:t>
      </w:r>
      <w:r w:rsidRPr="009770FD">
        <w:rPr>
          <w:rFonts w:eastAsia="Calibri" w:cs="Times New Roman"/>
          <w:szCs w:val="22"/>
          <w:lang w:val="en-US" w:eastAsia="en-US"/>
        </w:rPr>
        <w:t>good (</w:t>
      </w:r>
      <w:r w:rsidRPr="00017987">
        <w:rPr>
          <w:rFonts w:eastAsia="Calibri" w:cs="Times New Roman"/>
          <w:i/>
          <w:szCs w:val="22"/>
          <w:lang w:val="en-US" w:eastAsia="en-US"/>
        </w:rPr>
        <w:t>r</w:t>
      </w:r>
      <w:r w:rsidRPr="009770FD">
        <w:rPr>
          <w:rFonts w:eastAsia="Calibri" w:cs="Times New Roman"/>
          <w:szCs w:val="22"/>
          <w:lang w:val="en-US" w:eastAsia="en-US"/>
        </w:rPr>
        <w:t xml:space="preserve"> ≥0.50) and significant correlation coefficient</w:t>
      </w:r>
      <w:r>
        <w:rPr>
          <w:rFonts w:eastAsia="Calibri" w:cs="Times New Roman"/>
          <w:szCs w:val="22"/>
          <w:lang w:val="en-US" w:eastAsia="en-US"/>
        </w:rPr>
        <w:t>s</w:t>
      </w:r>
      <w:r w:rsidRPr="009770FD">
        <w:rPr>
          <w:rFonts w:eastAsia="Calibri" w:cs="Times New Roman"/>
          <w:szCs w:val="22"/>
          <w:lang w:val="en-US" w:eastAsia="en-US"/>
        </w:rPr>
        <w:t xml:space="preserve"> for the primary outcome measures are shown in Figure 3. </w:t>
      </w:r>
      <w:r>
        <w:rPr>
          <w:rFonts w:eastAsia="Calibri" w:cs="Times New Roman"/>
          <w:szCs w:val="22"/>
          <w:lang w:val="en-US" w:eastAsia="en-US"/>
        </w:rPr>
        <w:t xml:space="preserve">After univariate correlation analysis the following predictors were </w:t>
      </w:r>
      <w:r w:rsidRPr="008A691A">
        <w:rPr>
          <w:rFonts w:eastAsia="Calibri" w:cs="Times New Roman"/>
          <w:color w:val="000000" w:themeColor="text1"/>
          <w:szCs w:val="22"/>
          <w:lang w:val="en-US" w:eastAsia="en-US"/>
        </w:rPr>
        <w:t xml:space="preserve">retained: GPS (r=0.589), GMFCS (r=0.648) and knee angle at initial contact (r=0.537) preoperatively for GPS (Figure 3 (A)), GPS (r=0.502), GMFCS (r=0.570) and knee angle at initial contact (r=0.611) preoperatively for GPS in sagittal plane (Figure 3 (B)) and age at surgery (r=-0.527) and GMFCS (r=0.509) preoperatively for GPS in transverse plane (Figure 3 (C)). </w:t>
      </w:r>
      <w:r w:rsidRPr="009770FD">
        <w:rPr>
          <w:rFonts w:eastAsia="Calibri" w:cs="Times New Roman"/>
          <w:szCs w:val="22"/>
          <w:lang w:val="en-US" w:eastAsia="en-US"/>
        </w:rPr>
        <w:t xml:space="preserve">The impact and significance of these selected predictors are shown in Table 4. </w:t>
      </w:r>
    </w:p>
    <w:p w14:paraId="5223CF52" w14:textId="77777777" w:rsidR="00A11017" w:rsidRDefault="00A11017" w:rsidP="00A11017">
      <w:pPr>
        <w:tabs>
          <w:tab w:val="clear" w:pos="284"/>
          <w:tab w:val="clear" w:pos="567"/>
          <w:tab w:val="clear" w:pos="851"/>
          <w:tab w:val="clear" w:pos="1134"/>
          <w:tab w:val="clear" w:pos="1560"/>
          <w:tab w:val="clear" w:pos="2127"/>
          <w:tab w:val="clear" w:pos="2410"/>
          <w:tab w:val="clear" w:pos="8505"/>
        </w:tabs>
        <w:spacing w:line="360" w:lineRule="auto"/>
        <w:rPr>
          <w:rFonts w:eastAsia="Calibri" w:cs="Times New Roman"/>
          <w:szCs w:val="22"/>
          <w:lang w:val="en-US" w:eastAsia="en-US"/>
        </w:rPr>
      </w:pPr>
      <w:r w:rsidRPr="009770FD">
        <w:rPr>
          <w:rFonts w:eastAsia="Calibri" w:cs="Times New Roman"/>
          <w:szCs w:val="22"/>
          <w:lang w:val="en-US" w:eastAsia="en-US"/>
        </w:rPr>
        <w:t xml:space="preserve">Preoperative values for GPS, GMFCS and knee angle at initial contact were included as possible </w:t>
      </w:r>
      <w:r>
        <w:rPr>
          <w:rFonts w:eastAsia="Calibri" w:cs="Times New Roman"/>
          <w:szCs w:val="22"/>
          <w:lang w:val="en-US" w:eastAsia="en-US"/>
        </w:rPr>
        <w:t>co-variables of</w:t>
      </w:r>
      <w:r w:rsidRPr="009770FD">
        <w:rPr>
          <w:rFonts w:eastAsia="Calibri" w:cs="Times New Roman"/>
          <w:szCs w:val="22"/>
          <w:lang w:val="en-US" w:eastAsia="en-US"/>
        </w:rPr>
        <w:t xml:space="preserve"> </w:t>
      </w:r>
      <w:r>
        <w:rPr>
          <w:rFonts w:eastAsia="Calibri" w:cs="Times New Roman"/>
          <w:szCs w:val="22"/>
          <w:lang w:val="en-US" w:eastAsia="en-US"/>
        </w:rPr>
        <w:t xml:space="preserve">long-term improvements in </w:t>
      </w:r>
      <w:r w:rsidRPr="009770FD">
        <w:rPr>
          <w:rFonts w:eastAsia="Calibri" w:cs="Times New Roman"/>
          <w:szCs w:val="22"/>
          <w:lang w:val="en-US" w:eastAsia="en-US"/>
        </w:rPr>
        <w:t xml:space="preserve">GPS. </w:t>
      </w:r>
      <w:r>
        <w:rPr>
          <w:rFonts w:eastAsia="Calibri" w:cs="Times New Roman"/>
          <w:szCs w:val="22"/>
          <w:lang w:val="en-US" w:eastAsia="en-US"/>
        </w:rPr>
        <w:t xml:space="preserve">When added to the GEE, preoperative </w:t>
      </w:r>
      <w:r w:rsidRPr="009770FD">
        <w:rPr>
          <w:rFonts w:eastAsia="Calibri" w:cs="Times New Roman"/>
          <w:szCs w:val="22"/>
          <w:lang w:val="en-US" w:eastAsia="en-US"/>
        </w:rPr>
        <w:t xml:space="preserve">GPS and knee angle at initial contact were </w:t>
      </w:r>
      <w:r>
        <w:rPr>
          <w:rFonts w:eastAsia="Calibri" w:cs="Times New Roman"/>
          <w:szCs w:val="22"/>
          <w:lang w:val="en-US" w:eastAsia="en-US"/>
        </w:rPr>
        <w:t>predictive for long term improvement in GPS</w:t>
      </w:r>
      <w:r w:rsidRPr="009770FD">
        <w:rPr>
          <w:rFonts w:eastAsia="Calibri" w:cs="Times New Roman"/>
          <w:szCs w:val="22"/>
          <w:lang w:val="en-US" w:eastAsia="en-US"/>
        </w:rPr>
        <w:t xml:space="preserve">. </w:t>
      </w:r>
    </w:p>
    <w:p w14:paraId="42D56E61" w14:textId="77777777" w:rsidR="00A11017" w:rsidRPr="008419AB" w:rsidRDefault="00A11017" w:rsidP="00A11017">
      <w:pPr>
        <w:tabs>
          <w:tab w:val="clear" w:pos="284"/>
          <w:tab w:val="clear" w:pos="567"/>
          <w:tab w:val="clear" w:pos="851"/>
          <w:tab w:val="clear" w:pos="1134"/>
          <w:tab w:val="clear" w:pos="1560"/>
          <w:tab w:val="clear" w:pos="2127"/>
          <w:tab w:val="clear" w:pos="2410"/>
          <w:tab w:val="clear" w:pos="8505"/>
        </w:tabs>
        <w:spacing w:after="200" w:line="360" w:lineRule="auto"/>
        <w:rPr>
          <w:rFonts w:eastAsia="Calibri" w:cs="Times New Roman"/>
          <w:szCs w:val="22"/>
          <w:lang w:val="en-US" w:eastAsia="en-US"/>
        </w:rPr>
      </w:pPr>
      <w:r w:rsidRPr="009770FD">
        <w:rPr>
          <w:rFonts w:eastAsia="Calibri" w:cs="Times New Roman"/>
          <w:szCs w:val="22"/>
          <w:lang w:val="en-US" w:eastAsia="en-US"/>
        </w:rPr>
        <w:t xml:space="preserve">For GPS in sagittal plane, </w:t>
      </w:r>
      <w:r>
        <w:rPr>
          <w:rFonts w:eastAsia="Calibri" w:cs="Times New Roman"/>
          <w:szCs w:val="22"/>
          <w:lang w:val="en-US" w:eastAsia="en-US"/>
        </w:rPr>
        <w:t>the same three</w:t>
      </w:r>
      <w:r w:rsidRPr="009770FD">
        <w:rPr>
          <w:rFonts w:eastAsia="Calibri" w:cs="Times New Roman"/>
          <w:szCs w:val="22"/>
          <w:lang w:val="en-US" w:eastAsia="en-US"/>
        </w:rPr>
        <w:t xml:space="preserve"> predictors were included in the model. For this </w:t>
      </w:r>
      <w:r>
        <w:rPr>
          <w:rFonts w:eastAsia="Calibri" w:cs="Times New Roman"/>
          <w:szCs w:val="22"/>
          <w:lang w:val="en-US" w:eastAsia="en-US"/>
        </w:rPr>
        <w:t xml:space="preserve">outcome </w:t>
      </w:r>
      <w:r w:rsidRPr="009770FD">
        <w:rPr>
          <w:rFonts w:eastAsia="Calibri" w:cs="Times New Roman"/>
          <w:szCs w:val="22"/>
          <w:lang w:val="en-US" w:eastAsia="en-US"/>
        </w:rPr>
        <w:t>parameter only knee angle at initial contact significantly</w:t>
      </w:r>
      <w:r>
        <w:rPr>
          <w:rFonts w:eastAsia="Calibri" w:cs="Times New Roman"/>
          <w:szCs w:val="22"/>
          <w:lang w:val="en-US" w:eastAsia="en-US"/>
        </w:rPr>
        <w:t xml:space="preserve"> contributed to long-term improvements</w:t>
      </w:r>
      <w:r w:rsidRPr="009770FD">
        <w:rPr>
          <w:rFonts w:eastAsia="Calibri" w:cs="Times New Roman"/>
          <w:szCs w:val="22"/>
          <w:lang w:val="en-US" w:eastAsia="en-US"/>
        </w:rPr>
        <w:t xml:space="preserve">. </w:t>
      </w:r>
      <w:r>
        <w:rPr>
          <w:rFonts w:eastAsia="Calibri" w:cs="Times New Roman"/>
          <w:szCs w:val="22"/>
          <w:lang w:val="en-US" w:eastAsia="en-US"/>
        </w:rPr>
        <w:br/>
        <w:t>Finally, for GPS in the transverse</w:t>
      </w:r>
      <w:r w:rsidRPr="009770FD">
        <w:rPr>
          <w:rFonts w:eastAsia="Calibri" w:cs="Times New Roman"/>
          <w:szCs w:val="22"/>
          <w:lang w:val="en-US" w:eastAsia="en-US"/>
        </w:rPr>
        <w:t xml:space="preserve"> plane</w:t>
      </w:r>
      <w:r>
        <w:rPr>
          <w:rFonts w:eastAsia="Calibri" w:cs="Times New Roman"/>
          <w:szCs w:val="22"/>
          <w:lang w:val="en-US" w:eastAsia="en-US"/>
        </w:rPr>
        <w:t>,</w:t>
      </w:r>
      <w:r w:rsidRPr="009770FD">
        <w:rPr>
          <w:rFonts w:eastAsia="Calibri" w:cs="Times New Roman"/>
          <w:szCs w:val="22"/>
          <w:lang w:val="en-US" w:eastAsia="en-US"/>
        </w:rPr>
        <w:t xml:space="preserve"> age at surgery and preoperative GMFCS</w:t>
      </w:r>
      <w:r>
        <w:rPr>
          <w:rFonts w:eastAsia="Calibri" w:cs="Times New Roman"/>
          <w:szCs w:val="22"/>
          <w:lang w:val="en-US" w:eastAsia="en-US"/>
        </w:rPr>
        <w:t xml:space="preserve"> were significant in a univariate analysis, but </w:t>
      </w:r>
      <w:r w:rsidRPr="009770FD">
        <w:rPr>
          <w:rFonts w:eastAsia="Calibri" w:cs="Times New Roman"/>
          <w:szCs w:val="22"/>
          <w:lang w:val="en-US" w:eastAsia="en-US"/>
        </w:rPr>
        <w:t xml:space="preserve">did not significantly contribute </w:t>
      </w:r>
      <w:r>
        <w:rPr>
          <w:rFonts w:eastAsia="Calibri" w:cs="Times New Roman"/>
          <w:szCs w:val="22"/>
          <w:lang w:val="en-US" w:eastAsia="en-US"/>
        </w:rPr>
        <w:t>to long-term improvement in GPS in the transverse plane</w:t>
      </w:r>
      <w:r w:rsidRPr="009770FD">
        <w:rPr>
          <w:rFonts w:eastAsia="Calibri" w:cs="Times New Roman"/>
          <w:szCs w:val="22"/>
          <w:lang w:val="en-US" w:eastAsia="en-US"/>
        </w:rPr>
        <w:t xml:space="preserve">. </w:t>
      </w:r>
      <w:r>
        <w:rPr>
          <w:rFonts w:eastAsia="Calibri" w:cs="Times New Roman"/>
          <w:szCs w:val="22"/>
          <w:lang w:val="en-US" w:eastAsia="en-US"/>
        </w:rPr>
        <w:t xml:space="preserve"> </w:t>
      </w:r>
    </w:p>
    <w:p w14:paraId="59231498" w14:textId="77777777" w:rsidR="00394336" w:rsidRPr="008419AB" w:rsidRDefault="00394336" w:rsidP="00394336">
      <w:pPr>
        <w:tabs>
          <w:tab w:val="right" w:pos="426"/>
        </w:tabs>
        <w:spacing w:line="360" w:lineRule="auto"/>
        <w:rPr>
          <w:rFonts w:ascii="Univers" w:hAnsi="Univers" w:cs="Times New Roman"/>
          <w:b/>
          <w:sz w:val="32"/>
          <w:lang w:val="en-US"/>
        </w:rPr>
        <w:sectPr w:rsidR="00394336" w:rsidRPr="008419AB" w:rsidSect="00E5029D">
          <w:pgSz w:w="11906" w:h="16838"/>
          <w:pgMar w:top="1418" w:right="1418" w:bottom="1418" w:left="1418" w:header="708" w:footer="708" w:gutter="0"/>
          <w:cols w:space="708"/>
          <w:docGrid w:linePitch="360"/>
        </w:sectPr>
      </w:pPr>
    </w:p>
    <w:tbl>
      <w:tblPr>
        <w:tblStyle w:val="Tabelraster1"/>
        <w:tblpPr w:leftFromText="141" w:rightFromText="141" w:vertAnchor="page" w:horzAnchor="margin" w:tblpXSpec="right" w:tblpY="301"/>
        <w:tblW w:w="14850" w:type="dxa"/>
        <w:tblLayout w:type="fixed"/>
        <w:tblLook w:val="04A0" w:firstRow="1" w:lastRow="0" w:firstColumn="1" w:lastColumn="0" w:noHBand="0" w:noVBand="1"/>
      </w:tblPr>
      <w:tblGrid>
        <w:gridCol w:w="2660"/>
        <w:gridCol w:w="1310"/>
        <w:gridCol w:w="1418"/>
        <w:gridCol w:w="1417"/>
        <w:gridCol w:w="1418"/>
        <w:gridCol w:w="1417"/>
        <w:gridCol w:w="1276"/>
        <w:gridCol w:w="1276"/>
        <w:gridCol w:w="1276"/>
        <w:gridCol w:w="1241"/>
        <w:gridCol w:w="35"/>
        <w:gridCol w:w="106"/>
      </w:tblGrid>
      <w:tr w:rsidR="00394336" w:rsidRPr="008419AB" w14:paraId="33D728BB" w14:textId="77777777" w:rsidTr="00E5029D">
        <w:trPr>
          <w:gridAfter w:val="1"/>
          <w:wAfter w:w="106" w:type="dxa"/>
        </w:trPr>
        <w:tc>
          <w:tcPr>
            <w:tcW w:w="10916" w:type="dxa"/>
            <w:gridSpan w:val="7"/>
            <w:tcBorders>
              <w:top w:val="nil"/>
              <w:left w:val="nil"/>
              <w:bottom w:val="nil"/>
              <w:right w:val="nil"/>
            </w:tcBorders>
          </w:tcPr>
          <w:p w14:paraId="4D79A13E" w14:textId="77777777" w:rsidR="000B4388" w:rsidRPr="00647AE6" w:rsidRDefault="000B4388"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p w14:paraId="4E2BA0B0" w14:textId="77777777" w:rsidR="000B4388" w:rsidRPr="00647AE6" w:rsidRDefault="000B4388"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p w14:paraId="5657E44D" w14:textId="77777777" w:rsidR="000B4388" w:rsidRDefault="000B4388"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p w14:paraId="430DB942" w14:textId="77777777" w:rsidR="00453CE3" w:rsidRPr="00647AE6" w:rsidRDefault="00453CE3"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p w14:paraId="31D9ECB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nl-NL" w:eastAsia="en-US"/>
              </w:rPr>
            </w:pPr>
            <w:proofErr w:type="spellStart"/>
            <w:r w:rsidRPr="008419AB">
              <w:rPr>
                <w:rFonts w:cs="Times New Roman"/>
                <w:b/>
                <w:sz w:val="20"/>
                <w:szCs w:val="22"/>
                <w:lang w:val="nl-NL" w:eastAsia="en-US"/>
              </w:rPr>
              <w:t>Table</w:t>
            </w:r>
            <w:proofErr w:type="spellEnd"/>
            <w:r w:rsidRPr="008419AB">
              <w:rPr>
                <w:rFonts w:cs="Times New Roman"/>
                <w:b/>
                <w:sz w:val="20"/>
                <w:szCs w:val="22"/>
                <w:lang w:val="nl-NL" w:eastAsia="en-US"/>
              </w:rPr>
              <w:t xml:space="preserve"> 3</w:t>
            </w:r>
          </w:p>
        </w:tc>
        <w:tc>
          <w:tcPr>
            <w:tcW w:w="1276" w:type="dxa"/>
            <w:tcBorders>
              <w:top w:val="nil"/>
              <w:left w:val="nil"/>
              <w:bottom w:val="nil"/>
              <w:right w:val="nil"/>
            </w:tcBorders>
          </w:tcPr>
          <w:p w14:paraId="105A74E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nl-NL" w:eastAsia="en-US"/>
              </w:rPr>
            </w:pPr>
          </w:p>
        </w:tc>
        <w:tc>
          <w:tcPr>
            <w:tcW w:w="1276" w:type="dxa"/>
            <w:tcBorders>
              <w:top w:val="nil"/>
              <w:left w:val="nil"/>
              <w:bottom w:val="nil"/>
              <w:right w:val="nil"/>
            </w:tcBorders>
          </w:tcPr>
          <w:p w14:paraId="7944A97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nl-NL" w:eastAsia="en-US"/>
              </w:rPr>
            </w:pPr>
          </w:p>
        </w:tc>
        <w:tc>
          <w:tcPr>
            <w:tcW w:w="1276" w:type="dxa"/>
            <w:gridSpan w:val="2"/>
            <w:tcBorders>
              <w:top w:val="nil"/>
              <w:left w:val="nil"/>
              <w:bottom w:val="nil"/>
              <w:right w:val="nil"/>
            </w:tcBorders>
          </w:tcPr>
          <w:p w14:paraId="5A27619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nl-NL" w:eastAsia="en-US"/>
              </w:rPr>
            </w:pPr>
          </w:p>
        </w:tc>
      </w:tr>
      <w:tr w:rsidR="00394336" w:rsidRPr="0012107A" w14:paraId="6FD2FA3E" w14:textId="77777777" w:rsidTr="00E5029D">
        <w:trPr>
          <w:gridAfter w:val="1"/>
          <w:wAfter w:w="106" w:type="dxa"/>
        </w:trPr>
        <w:tc>
          <w:tcPr>
            <w:tcW w:w="14744" w:type="dxa"/>
            <w:gridSpan w:val="11"/>
            <w:tcBorders>
              <w:top w:val="nil"/>
              <w:left w:val="nil"/>
              <w:bottom w:val="nil"/>
              <w:right w:val="nil"/>
            </w:tcBorders>
          </w:tcPr>
          <w:p w14:paraId="6042701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18"/>
                <w:lang w:val="en-US" w:eastAsia="en-US"/>
              </w:rPr>
            </w:pPr>
            <w:r>
              <w:rPr>
                <w:rFonts w:cs="Times New Roman"/>
                <w:sz w:val="18"/>
                <w:szCs w:val="18"/>
                <w:lang w:val="en-US" w:eastAsia="en-US"/>
              </w:rPr>
              <w:t>C</w:t>
            </w:r>
            <w:r w:rsidRPr="008419AB">
              <w:rPr>
                <w:rFonts w:cs="Times New Roman"/>
                <w:sz w:val="18"/>
                <w:szCs w:val="18"/>
                <w:lang w:val="en-US" w:eastAsia="en-US"/>
              </w:rPr>
              <w:t xml:space="preserve">omparison of selected mean (±1SD) for  gait measures </w:t>
            </w:r>
            <w:r>
              <w:rPr>
                <w:rFonts w:cs="Times New Roman"/>
                <w:sz w:val="18"/>
                <w:szCs w:val="18"/>
                <w:lang w:val="en-US" w:eastAsia="en-US"/>
              </w:rPr>
              <w:t xml:space="preserve">and </w:t>
            </w:r>
            <w:r w:rsidRPr="008419AB">
              <w:rPr>
                <w:rFonts w:cs="Times New Roman"/>
                <w:sz w:val="18"/>
                <w:szCs w:val="18"/>
                <w:lang w:val="en-US" w:eastAsia="en-US"/>
              </w:rPr>
              <w:t xml:space="preserve">kinematic parameters </w:t>
            </w:r>
            <w:r>
              <w:rPr>
                <w:rFonts w:cs="Times New Roman"/>
                <w:sz w:val="18"/>
                <w:szCs w:val="18"/>
                <w:lang w:val="en-US" w:eastAsia="en-US"/>
              </w:rPr>
              <w:t>from</w:t>
            </w:r>
            <w:r w:rsidRPr="008419AB">
              <w:rPr>
                <w:rFonts w:cs="Times New Roman"/>
                <w:sz w:val="18"/>
                <w:szCs w:val="18"/>
                <w:lang w:val="en-US" w:eastAsia="en-US"/>
              </w:rPr>
              <w:t xml:space="preserve"> the pelvis, hip, knee and ankle </w:t>
            </w:r>
            <w:r>
              <w:rPr>
                <w:rFonts w:cs="Times New Roman"/>
                <w:sz w:val="18"/>
                <w:szCs w:val="18"/>
                <w:lang w:val="en-US" w:eastAsia="en-US"/>
              </w:rPr>
              <w:t>from</w:t>
            </w:r>
            <w:r w:rsidRPr="008419AB">
              <w:rPr>
                <w:rFonts w:cs="Times New Roman"/>
                <w:sz w:val="18"/>
                <w:szCs w:val="18"/>
                <w:lang w:val="en-US" w:eastAsia="en-US"/>
              </w:rPr>
              <w:t xml:space="preserve"> </w:t>
            </w:r>
            <w:r>
              <w:rPr>
                <w:rFonts w:cs="Times New Roman"/>
                <w:sz w:val="18"/>
                <w:szCs w:val="18"/>
                <w:lang w:val="en-US" w:eastAsia="en-US"/>
              </w:rPr>
              <w:t>a group of typically developing children</w:t>
            </w:r>
            <w:r w:rsidRPr="008419AB">
              <w:rPr>
                <w:rFonts w:cs="Times New Roman"/>
                <w:sz w:val="18"/>
                <w:szCs w:val="18"/>
                <w:lang w:val="en-US" w:eastAsia="en-US"/>
              </w:rPr>
              <w:t xml:space="preserve"> and pre-operative, 2</w:t>
            </w:r>
            <w:r>
              <w:rPr>
                <w:rFonts w:cs="Times New Roman"/>
                <w:sz w:val="18"/>
                <w:szCs w:val="18"/>
                <w:lang w:val="en-US" w:eastAsia="en-US"/>
              </w:rPr>
              <w:t>, 5 and 8</w:t>
            </w:r>
            <w:r w:rsidRPr="008419AB">
              <w:rPr>
                <w:rFonts w:cs="Times New Roman"/>
                <w:sz w:val="18"/>
                <w:szCs w:val="18"/>
                <w:lang w:val="en-US" w:eastAsia="en-US"/>
              </w:rPr>
              <w:t xml:space="preserve"> years follow-up</w:t>
            </w:r>
            <w:r>
              <w:rPr>
                <w:rFonts w:cs="Times New Roman"/>
                <w:sz w:val="18"/>
                <w:szCs w:val="18"/>
                <w:lang w:val="en-US" w:eastAsia="en-US"/>
              </w:rPr>
              <w:t xml:space="preserve"> (FU)</w:t>
            </w:r>
            <w:r w:rsidRPr="008419AB">
              <w:rPr>
                <w:rFonts w:cs="Times New Roman"/>
                <w:sz w:val="18"/>
                <w:szCs w:val="18"/>
                <w:lang w:val="en-US" w:eastAsia="en-US"/>
              </w:rPr>
              <w:t xml:space="preserve"> </w:t>
            </w:r>
            <w:r>
              <w:rPr>
                <w:rFonts w:cs="Times New Roman"/>
                <w:sz w:val="18"/>
                <w:szCs w:val="18"/>
                <w:lang w:val="en-US" w:eastAsia="en-US"/>
              </w:rPr>
              <w:t xml:space="preserve"> from CP children</w:t>
            </w:r>
          </w:p>
        </w:tc>
      </w:tr>
      <w:tr w:rsidR="00394336" w:rsidRPr="008419AB" w14:paraId="00092730" w14:textId="77777777" w:rsidTr="00E5029D">
        <w:tc>
          <w:tcPr>
            <w:tcW w:w="2660" w:type="dxa"/>
            <w:tcBorders>
              <w:top w:val="single" w:sz="4" w:space="0" w:color="auto"/>
              <w:left w:val="nil"/>
              <w:bottom w:val="nil"/>
              <w:right w:val="nil"/>
            </w:tcBorders>
          </w:tcPr>
          <w:p w14:paraId="0BD71F3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tc>
        <w:tc>
          <w:tcPr>
            <w:tcW w:w="1310" w:type="dxa"/>
            <w:tcBorders>
              <w:top w:val="single" w:sz="4" w:space="0" w:color="auto"/>
              <w:left w:val="nil"/>
              <w:bottom w:val="nil"/>
              <w:right w:val="nil"/>
            </w:tcBorders>
          </w:tcPr>
          <w:p w14:paraId="56D4B8F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single" w:sz="4" w:space="0" w:color="auto"/>
              <w:left w:val="nil"/>
              <w:bottom w:val="single" w:sz="4" w:space="0" w:color="auto"/>
              <w:right w:val="nil"/>
            </w:tcBorders>
          </w:tcPr>
          <w:p w14:paraId="39C9134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Timing</w:t>
            </w:r>
          </w:p>
        </w:tc>
        <w:tc>
          <w:tcPr>
            <w:tcW w:w="1417" w:type="dxa"/>
            <w:tcBorders>
              <w:top w:val="single" w:sz="4" w:space="0" w:color="auto"/>
              <w:left w:val="nil"/>
              <w:bottom w:val="single" w:sz="4" w:space="0" w:color="auto"/>
              <w:right w:val="nil"/>
            </w:tcBorders>
          </w:tcPr>
          <w:p w14:paraId="71F671E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single" w:sz="4" w:space="0" w:color="auto"/>
              <w:left w:val="nil"/>
              <w:bottom w:val="single" w:sz="4" w:space="0" w:color="auto"/>
              <w:right w:val="nil"/>
            </w:tcBorders>
          </w:tcPr>
          <w:p w14:paraId="167D5BB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single" w:sz="4" w:space="0" w:color="auto"/>
              <w:left w:val="nil"/>
              <w:bottom w:val="single" w:sz="4" w:space="0" w:color="auto"/>
              <w:right w:val="nil"/>
            </w:tcBorders>
          </w:tcPr>
          <w:p w14:paraId="6234C51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single" w:sz="4" w:space="0" w:color="auto"/>
              <w:left w:val="nil"/>
              <w:bottom w:val="single" w:sz="4" w:space="0" w:color="auto"/>
              <w:right w:val="nil"/>
            </w:tcBorders>
          </w:tcPr>
          <w:p w14:paraId="1D7ABB8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240"/>
              <w:jc w:val="left"/>
              <w:rPr>
                <w:rFonts w:cs="Times New Roman"/>
                <w:sz w:val="20"/>
                <w:szCs w:val="22"/>
                <w:lang w:val="en-US" w:eastAsia="en-US"/>
              </w:rPr>
            </w:pPr>
            <w:r w:rsidRPr="008419AB">
              <w:rPr>
                <w:rFonts w:cs="Times New Roman"/>
                <w:sz w:val="20"/>
                <w:szCs w:val="22"/>
                <w:lang w:val="en-US" w:eastAsia="en-US"/>
              </w:rPr>
              <w:t>Statistics</w:t>
            </w:r>
          </w:p>
        </w:tc>
        <w:tc>
          <w:tcPr>
            <w:tcW w:w="1276" w:type="dxa"/>
            <w:tcBorders>
              <w:top w:val="single" w:sz="4" w:space="0" w:color="auto"/>
              <w:left w:val="nil"/>
              <w:bottom w:val="single" w:sz="4" w:space="0" w:color="auto"/>
              <w:right w:val="nil"/>
            </w:tcBorders>
          </w:tcPr>
          <w:p w14:paraId="0878392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c>
          <w:tcPr>
            <w:tcW w:w="2658" w:type="dxa"/>
            <w:gridSpan w:val="4"/>
            <w:tcBorders>
              <w:top w:val="single" w:sz="4" w:space="0" w:color="auto"/>
              <w:left w:val="nil"/>
              <w:bottom w:val="single" w:sz="4" w:space="0" w:color="auto"/>
              <w:right w:val="nil"/>
            </w:tcBorders>
          </w:tcPr>
          <w:p w14:paraId="073464B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right="-1065"/>
              <w:jc w:val="left"/>
              <w:rPr>
                <w:rFonts w:cs="Times New Roman"/>
                <w:sz w:val="20"/>
                <w:szCs w:val="22"/>
                <w:lang w:val="en-US" w:eastAsia="en-US"/>
              </w:rPr>
            </w:pPr>
          </w:p>
        </w:tc>
      </w:tr>
      <w:tr w:rsidR="00394336" w:rsidRPr="008419AB" w14:paraId="481EA2F2" w14:textId="77777777" w:rsidTr="00E5029D">
        <w:trPr>
          <w:gridAfter w:val="2"/>
          <w:wAfter w:w="141" w:type="dxa"/>
        </w:trPr>
        <w:tc>
          <w:tcPr>
            <w:tcW w:w="2660" w:type="dxa"/>
            <w:tcBorders>
              <w:top w:val="nil"/>
              <w:left w:val="nil"/>
              <w:bottom w:val="nil"/>
              <w:right w:val="nil"/>
            </w:tcBorders>
          </w:tcPr>
          <w:p w14:paraId="7A311A5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p w14:paraId="48CBE3B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310" w:type="dxa"/>
            <w:tcBorders>
              <w:top w:val="nil"/>
              <w:left w:val="nil"/>
              <w:bottom w:val="nil"/>
              <w:right w:val="nil"/>
            </w:tcBorders>
          </w:tcPr>
          <w:p w14:paraId="50EB5A1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Typically developing children (n=55)</w:t>
            </w:r>
            <w:r w:rsidRPr="008419AB">
              <w:rPr>
                <w:rFonts w:cs="Times New Roman"/>
                <w:sz w:val="20"/>
                <w:szCs w:val="22"/>
                <w:lang w:val="en-US" w:eastAsia="en-US"/>
              </w:rPr>
              <w:t xml:space="preserve"> </w:t>
            </w:r>
            <w:r w:rsidRPr="008419AB">
              <w:rPr>
                <w:rFonts w:cs="Times New Roman"/>
                <w:sz w:val="20"/>
                <w:szCs w:val="22"/>
                <w:lang w:val="en-US" w:eastAsia="en-US"/>
              </w:rPr>
              <w:br/>
              <w:t>values</w:t>
            </w:r>
          </w:p>
        </w:tc>
        <w:tc>
          <w:tcPr>
            <w:tcW w:w="1418" w:type="dxa"/>
            <w:tcBorders>
              <w:top w:val="single" w:sz="4" w:space="0" w:color="auto"/>
              <w:left w:val="nil"/>
              <w:bottom w:val="single" w:sz="4" w:space="0" w:color="auto"/>
              <w:right w:val="nil"/>
            </w:tcBorders>
          </w:tcPr>
          <w:p w14:paraId="6FECEFB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Pre Op (n=31)</w:t>
            </w:r>
          </w:p>
        </w:tc>
        <w:tc>
          <w:tcPr>
            <w:tcW w:w="1417" w:type="dxa"/>
            <w:tcBorders>
              <w:top w:val="single" w:sz="4" w:space="0" w:color="auto"/>
              <w:left w:val="nil"/>
              <w:bottom w:val="single" w:sz="4" w:space="0" w:color="auto"/>
              <w:right w:val="nil"/>
            </w:tcBorders>
          </w:tcPr>
          <w:p w14:paraId="6FB4150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2yr FU (n=29)</w:t>
            </w:r>
          </w:p>
        </w:tc>
        <w:tc>
          <w:tcPr>
            <w:tcW w:w="1418" w:type="dxa"/>
            <w:tcBorders>
              <w:top w:val="single" w:sz="4" w:space="0" w:color="auto"/>
              <w:left w:val="nil"/>
              <w:bottom w:val="single" w:sz="4" w:space="0" w:color="auto"/>
              <w:right w:val="nil"/>
            </w:tcBorders>
          </w:tcPr>
          <w:p w14:paraId="6A9731D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5yr FU (n=20)</w:t>
            </w:r>
          </w:p>
        </w:tc>
        <w:tc>
          <w:tcPr>
            <w:tcW w:w="1417" w:type="dxa"/>
            <w:tcBorders>
              <w:top w:val="single" w:sz="4" w:space="0" w:color="auto"/>
              <w:left w:val="nil"/>
              <w:bottom w:val="single" w:sz="4" w:space="0" w:color="auto"/>
              <w:right w:val="nil"/>
            </w:tcBorders>
          </w:tcPr>
          <w:p w14:paraId="455EE00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8yr FU (n=20)</w:t>
            </w:r>
          </w:p>
        </w:tc>
        <w:tc>
          <w:tcPr>
            <w:tcW w:w="1276" w:type="dxa"/>
            <w:tcBorders>
              <w:top w:val="single" w:sz="4" w:space="0" w:color="auto"/>
              <w:left w:val="nil"/>
              <w:bottom w:val="nil"/>
              <w:right w:val="nil"/>
            </w:tcBorders>
          </w:tcPr>
          <w:p w14:paraId="63C5B38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240"/>
              <w:jc w:val="left"/>
              <w:rPr>
                <w:rFonts w:ascii="Symbol" w:hAnsi="Symbol" w:cs="Times New Roman"/>
                <w:sz w:val="20"/>
                <w:szCs w:val="22"/>
                <w:vertAlign w:val="superscript"/>
                <w:lang w:val="en-US" w:eastAsia="en-US"/>
              </w:rPr>
            </w:pPr>
          </w:p>
        </w:tc>
        <w:tc>
          <w:tcPr>
            <w:tcW w:w="1276" w:type="dxa"/>
            <w:tcBorders>
              <w:top w:val="single" w:sz="4" w:space="0" w:color="auto"/>
              <w:left w:val="nil"/>
              <w:bottom w:val="nil"/>
              <w:right w:val="nil"/>
            </w:tcBorders>
          </w:tcPr>
          <w:p w14:paraId="328612D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c>
          <w:tcPr>
            <w:tcW w:w="2517" w:type="dxa"/>
            <w:gridSpan w:val="2"/>
            <w:tcBorders>
              <w:top w:val="single" w:sz="4" w:space="0" w:color="auto"/>
              <w:left w:val="nil"/>
              <w:bottom w:val="nil"/>
              <w:right w:val="nil"/>
            </w:tcBorders>
          </w:tcPr>
          <w:p w14:paraId="5C8DD48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r>
      <w:tr w:rsidR="00394336" w:rsidRPr="008419AB" w14:paraId="479CA80B" w14:textId="77777777" w:rsidTr="00E5029D">
        <w:tc>
          <w:tcPr>
            <w:tcW w:w="2660" w:type="dxa"/>
            <w:tcBorders>
              <w:top w:val="nil"/>
              <w:left w:val="nil"/>
              <w:bottom w:val="single" w:sz="4" w:space="0" w:color="auto"/>
              <w:right w:val="nil"/>
            </w:tcBorders>
          </w:tcPr>
          <w:p w14:paraId="5A5DF35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w:t>
            </w:r>
          </w:p>
        </w:tc>
        <w:tc>
          <w:tcPr>
            <w:tcW w:w="1310" w:type="dxa"/>
            <w:tcBorders>
              <w:top w:val="nil"/>
              <w:left w:val="nil"/>
              <w:bottom w:val="single" w:sz="4" w:space="0" w:color="auto"/>
              <w:right w:val="nil"/>
            </w:tcBorders>
          </w:tcPr>
          <w:p w14:paraId="614CE06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left w:val="nil"/>
              <w:bottom w:val="single" w:sz="4" w:space="0" w:color="auto"/>
              <w:right w:val="nil"/>
            </w:tcBorders>
          </w:tcPr>
          <w:p w14:paraId="5D4A28D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±1SD</w:t>
            </w:r>
          </w:p>
        </w:tc>
        <w:tc>
          <w:tcPr>
            <w:tcW w:w="1417" w:type="dxa"/>
            <w:tcBorders>
              <w:left w:val="nil"/>
              <w:bottom w:val="single" w:sz="4" w:space="0" w:color="auto"/>
              <w:right w:val="nil"/>
            </w:tcBorders>
          </w:tcPr>
          <w:p w14:paraId="010E5E6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±1SD</w:t>
            </w:r>
          </w:p>
        </w:tc>
        <w:tc>
          <w:tcPr>
            <w:tcW w:w="1418" w:type="dxa"/>
            <w:tcBorders>
              <w:left w:val="nil"/>
              <w:bottom w:val="single" w:sz="4" w:space="0" w:color="auto"/>
              <w:right w:val="nil"/>
            </w:tcBorders>
          </w:tcPr>
          <w:p w14:paraId="1F48977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±1SD</w:t>
            </w:r>
          </w:p>
        </w:tc>
        <w:tc>
          <w:tcPr>
            <w:tcW w:w="1417" w:type="dxa"/>
            <w:tcBorders>
              <w:left w:val="nil"/>
              <w:bottom w:val="single" w:sz="4" w:space="0" w:color="auto"/>
              <w:right w:val="nil"/>
            </w:tcBorders>
          </w:tcPr>
          <w:p w14:paraId="3EE8A33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±1SD</w:t>
            </w:r>
          </w:p>
        </w:tc>
        <w:tc>
          <w:tcPr>
            <w:tcW w:w="1276" w:type="dxa"/>
            <w:tcBorders>
              <w:top w:val="nil"/>
              <w:left w:val="nil"/>
              <w:bottom w:val="single" w:sz="4" w:space="0" w:color="auto"/>
              <w:right w:val="nil"/>
            </w:tcBorders>
          </w:tcPr>
          <w:p w14:paraId="7DC9CC7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240"/>
              <w:jc w:val="left"/>
              <w:rPr>
                <w:rFonts w:ascii="Symbol" w:hAnsi="Symbol" w:cs="Times New Roman"/>
                <w:sz w:val="20"/>
                <w:szCs w:val="22"/>
                <w:vertAlign w:val="superscript"/>
                <w:lang w:val="en-US" w:eastAsia="en-US"/>
              </w:rPr>
            </w:pPr>
            <w:r w:rsidRPr="008419AB">
              <w:rPr>
                <w:rFonts w:cs="Times New Roman"/>
                <w:sz w:val="20"/>
                <w:szCs w:val="22"/>
                <w:lang w:val="en-US" w:eastAsia="en-US"/>
              </w:rPr>
              <w:t xml:space="preserve">Wald </w:t>
            </w:r>
            <w:r w:rsidRPr="008419AB">
              <w:rPr>
                <w:rFonts w:ascii="Symbol" w:hAnsi="Symbol" w:cs="Times New Roman"/>
                <w:sz w:val="20"/>
                <w:szCs w:val="22"/>
                <w:lang w:val="en-US" w:eastAsia="en-US"/>
              </w:rPr>
              <w:t></w:t>
            </w:r>
            <w:r w:rsidRPr="008419AB">
              <w:rPr>
                <w:rFonts w:ascii="Symbol" w:hAnsi="Symbol" w:cs="Times New Roman"/>
                <w:sz w:val="20"/>
                <w:szCs w:val="22"/>
                <w:vertAlign w:val="superscript"/>
                <w:lang w:val="en-US" w:eastAsia="en-US"/>
              </w:rPr>
              <w:t></w:t>
            </w:r>
          </w:p>
        </w:tc>
        <w:tc>
          <w:tcPr>
            <w:tcW w:w="1276" w:type="dxa"/>
            <w:tcBorders>
              <w:top w:val="nil"/>
              <w:left w:val="nil"/>
              <w:bottom w:val="single" w:sz="4" w:space="0" w:color="auto"/>
              <w:right w:val="nil"/>
            </w:tcBorders>
          </w:tcPr>
          <w:p w14:paraId="41B670E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r w:rsidRPr="008419AB">
              <w:rPr>
                <w:rFonts w:cs="Times New Roman"/>
                <w:sz w:val="20"/>
                <w:szCs w:val="22"/>
                <w:lang w:val="en-US" w:eastAsia="en-US"/>
              </w:rPr>
              <w:t>p-value</w:t>
            </w:r>
          </w:p>
        </w:tc>
        <w:tc>
          <w:tcPr>
            <w:tcW w:w="2658" w:type="dxa"/>
            <w:gridSpan w:val="4"/>
            <w:tcBorders>
              <w:top w:val="nil"/>
              <w:left w:val="nil"/>
              <w:bottom w:val="single" w:sz="4" w:space="0" w:color="auto"/>
              <w:right w:val="nil"/>
            </w:tcBorders>
          </w:tcPr>
          <w:p w14:paraId="0F15850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r>
      <w:tr w:rsidR="00394336" w:rsidRPr="008419AB" w14:paraId="792CEB48" w14:textId="77777777" w:rsidTr="00E5029D">
        <w:trPr>
          <w:gridAfter w:val="2"/>
          <w:wAfter w:w="141" w:type="dxa"/>
        </w:trPr>
        <w:tc>
          <w:tcPr>
            <w:tcW w:w="2660" w:type="dxa"/>
            <w:tcBorders>
              <w:top w:val="single" w:sz="4" w:space="0" w:color="auto"/>
              <w:left w:val="nil"/>
              <w:bottom w:val="nil"/>
              <w:right w:val="nil"/>
            </w:tcBorders>
          </w:tcPr>
          <w:p w14:paraId="5FE793A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r w:rsidRPr="008419AB">
              <w:rPr>
                <w:rFonts w:cs="Times New Roman"/>
                <w:b/>
                <w:sz w:val="20"/>
                <w:szCs w:val="22"/>
                <w:lang w:val="en-US" w:eastAsia="en-US"/>
              </w:rPr>
              <w:t>Gait Measures</w:t>
            </w:r>
          </w:p>
        </w:tc>
        <w:tc>
          <w:tcPr>
            <w:tcW w:w="1310" w:type="dxa"/>
            <w:tcBorders>
              <w:top w:val="single" w:sz="4" w:space="0" w:color="auto"/>
              <w:left w:val="nil"/>
              <w:bottom w:val="nil"/>
              <w:right w:val="nil"/>
            </w:tcBorders>
          </w:tcPr>
          <w:p w14:paraId="521919F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single" w:sz="4" w:space="0" w:color="auto"/>
              <w:left w:val="nil"/>
              <w:bottom w:val="nil"/>
              <w:right w:val="nil"/>
            </w:tcBorders>
          </w:tcPr>
          <w:p w14:paraId="28068CA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single" w:sz="4" w:space="0" w:color="auto"/>
              <w:left w:val="nil"/>
              <w:bottom w:val="nil"/>
              <w:right w:val="nil"/>
            </w:tcBorders>
          </w:tcPr>
          <w:p w14:paraId="1E4D92D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single" w:sz="4" w:space="0" w:color="auto"/>
              <w:left w:val="nil"/>
              <w:bottom w:val="nil"/>
              <w:right w:val="nil"/>
            </w:tcBorders>
          </w:tcPr>
          <w:p w14:paraId="21063AB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single" w:sz="4" w:space="0" w:color="auto"/>
              <w:left w:val="nil"/>
              <w:bottom w:val="nil"/>
              <w:right w:val="nil"/>
            </w:tcBorders>
          </w:tcPr>
          <w:p w14:paraId="0707295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single" w:sz="4" w:space="0" w:color="auto"/>
              <w:left w:val="nil"/>
              <w:bottom w:val="nil"/>
              <w:right w:val="nil"/>
            </w:tcBorders>
          </w:tcPr>
          <w:p w14:paraId="38C9C48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single" w:sz="4" w:space="0" w:color="auto"/>
              <w:left w:val="nil"/>
              <w:bottom w:val="nil"/>
              <w:right w:val="nil"/>
            </w:tcBorders>
          </w:tcPr>
          <w:p w14:paraId="2F8615D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517" w:type="dxa"/>
            <w:gridSpan w:val="2"/>
            <w:tcBorders>
              <w:top w:val="single" w:sz="4" w:space="0" w:color="auto"/>
              <w:left w:val="nil"/>
              <w:bottom w:val="nil"/>
              <w:right w:val="nil"/>
            </w:tcBorders>
          </w:tcPr>
          <w:p w14:paraId="45FF961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60FA8C26" w14:textId="77777777" w:rsidTr="00E5029D">
        <w:trPr>
          <w:gridAfter w:val="2"/>
          <w:wAfter w:w="141" w:type="dxa"/>
        </w:trPr>
        <w:tc>
          <w:tcPr>
            <w:tcW w:w="2660" w:type="dxa"/>
            <w:tcBorders>
              <w:top w:val="nil"/>
              <w:left w:val="nil"/>
              <w:bottom w:val="nil"/>
              <w:right w:val="nil"/>
            </w:tcBorders>
          </w:tcPr>
          <w:p w14:paraId="4B4B129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GPS (°)</w:t>
            </w:r>
          </w:p>
        </w:tc>
        <w:tc>
          <w:tcPr>
            <w:tcW w:w="1310" w:type="dxa"/>
            <w:tcBorders>
              <w:top w:val="nil"/>
              <w:left w:val="nil"/>
              <w:bottom w:val="nil"/>
              <w:right w:val="nil"/>
            </w:tcBorders>
          </w:tcPr>
          <w:p w14:paraId="1A14A77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256A1338" w14:textId="2D960F7B"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15,6 ± 4,2</w:t>
            </w:r>
          </w:p>
        </w:tc>
        <w:tc>
          <w:tcPr>
            <w:tcW w:w="1417" w:type="dxa"/>
            <w:tcBorders>
              <w:top w:val="nil"/>
              <w:left w:val="nil"/>
              <w:bottom w:val="nil"/>
              <w:right w:val="nil"/>
            </w:tcBorders>
          </w:tcPr>
          <w:p w14:paraId="717016A5" w14:textId="3338A3B5"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10,6 ± 3,5</w:t>
            </w:r>
          </w:p>
        </w:tc>
        <w:tc>
          <w:tcPr>
            <w:tcW w:w="1418" w:type="dxa"/>
            <w:tcBorders>
              <w:top w:val="nil"/>
              <w:left w:val="nil"/>
              <w:bottom w:val="nil"/>
              <w:right w:val="nil"/>
            </w:tcBorders>
          </w:tcPr>
          <w:p w14:paraId="7421A6D5" w14:textId="5669876A"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10,5 ± 2,5</w:t>
            </w:r>
          </w:p>
        </w:tc>
        <w:tc>
          <w:tcPr>
            <w:tcW w:w="1417" w:type="dxa"/>
            <w:tcBorders>
              <w:top w:val="nil"/>
              <w:left w:val="nil"/>
              <w:bottom w:val="nil"/>
              <w:right w:val="nil"/>
            </w:tcBorders>
          </w:tcPr>
          <w:p w14:paraId="4A0A32FD" w14:textId="218F3F45"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11,0 ± 3,3</w:t>
            </w:r>
          </w:p>
        </w:tc>
        <w:tc>
          <w:tcPr>
            <w:tcW w:w="1276" w:type="dxa"/>
            <w:tcBorders>
              <w:top w:val="nil"/>
              <w:left w:val="nil"/>
              <w:bottom w:val="nil"/>
              <w:right w:val="nil"/>
            </w:tcBorders>
          </w:tcPr>
          <w:p w14:paraId="0452E643" w14:textId="361AAC9F"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64,</w:t>
            </w:r>
            <w:r w:rsidR="00394336" w:rsidRPr="008419AB">
              <w:rPr>
                <w:rFonts w:cs="Times New Roman"/>
                <w:sz w:val="20"/>
                <w:szCs w:val="22"/>
                <w:lang w:val="en-US" w:eastAsia="en-US"/>
              </w:rPr>
              <w:t>793</w:t>
            </w:r>
          </w:p>
        </w:tc>
        <w:tc>
          <w:tcPr>
            <w:tcW w:w="1276" w:type="dxa"/>
            <w:tcBorders>
              <w:top w:val="nil"/>
              <w:left w:val="nil"/>
              <w:bottom w:val="nil"/>
              <w:right w:val="nil"/>
            </w:tcBorders>
          </w:tcPr>
          <w:p w14:paraId="7B583D5A" w14:textId="797EE31C"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0,</w:t>
            </w:r>
            <w:r w:rsidR="00394336" w:rsidRPr="008419AB">
              <w:rPr>
                <w:rFonts w:cs="Times New Roman"/>
                <w:sz w:val="20"/>
                <w:szCs w:val="22"/>
                <w:lang w:val="en-US" w:eastAsia="en-US"/>
              </w:rPr>
              <w:t xml:space="preserve">000** </w:t>
            </w:r>
          </w:p>
        </w:tc>
        <w:tc>
          <w:tcPr>
            <w:tcW w:w="2517" w:type="dxa"/>
            <w:gridSpan w:val="2"/>
            <w:tcBorders>
              <w:top w:val="nil"/>
              <w:left w:val="nil"/>
              <w:bottom w:val="nil"/>
              <w:right w:val="nil"/>
            </w:tcBorders>
          </w:tcPr>
          <w:p w14:paraId="03369B9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 0-5** 0-8**</w:t>
            </w:r>
          </w:p>
        </w:tc>
      </w:tr>
      <w:tr w:rsidR="00394336" w:rsidRPr="008419AB" w14:paraId="676916BF" w14:textId="77777777" w:rsidTr="00E5029D">
        <w:trPr>
          <w:gridAfter w:val="2"/>
          <w:wAfter w:w="141" w:type="dxa"/>
        </w:trPr>
        <w:tc>
          <w:tcPr>
            <w:tcW w:w="2660" w:type="dxa"/>
            <w:tcBorders>
              <w:top w:val="nil"/>
              <w:left w:val="nil"/>
              <w:bottom w:val="nil"/>
              <w:right w:val="nil"/>
            </w:tcBorders>
          </w:tcPr>
          <w:p w14:paraId="06DF676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GPS sagittal (°) </w:t>
            </w:r>
          </w:p>
        </w:tc>
        <w:tc>
          <w:tcPr>
            <w:tcW w:w="1310" w:type="dxa"/>
            <w:tcBorders>
              <w:top w:val="nil"/>
              <w:left w:val="nil"/>
              <w:bottom w:val="nil"/>
              <w:right w:val="nil"/>
            </w:tcBorders>
          </w:tcPr>
          <w:p w14:paraId="438F6E0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707BF90C" w14:textId="7D64A27E"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17,2</w:t>
            </w:r>
            <w:r w:rsidR="00394336" w:rsidRPr="008419AB">
              <w:rPr>
                <w:rFonts w:cs="Times New Roman"/>
                <w:sz w:val="20"/>
                <w:szCs w:val="22"/>
                <w:lang w:val="en-US" w:eastAsia="en-US"/>
              </w:rPr>
              <w:t xml:space="preserve"> ± 6,9</w:t>
            </w:r>
          </w:p>
        </w:tc>
        <w:tc>
          <w:tcPr>
            <w:tcW w:w="1417" w:type="dxa"/>
            <w:tcBorders>
              <w:top w:val="nil"/>
              <w:left w:val="nil"/>
              <w:bottom w:val="nil"/>
              <w:right w:val="nil"/>
            </w:tcBorders>
          </w:tcPr>
          <w:p w14:paraId="5F0E35A6" w14:textId="14353D93"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12,1</w:t>
            </w:r>
            <w:r w:rsidR="00394336" w:rsidRPr="008419AB">
              <w:rPr>
                <w:rFonts w:cs="Times New Roman"/>
                <w:sz w:val="20"/>
                <w:szCs w:val="22"/>
                <w:lang w:val="en-US" w:eastAsia="en-US"/>
              </w:rPr>
              <w:t xml:space="preserve"> ± 4,</w:t>
            </w:r>
            <w:r>
              <w:rPr>
                <w:rFonts w:cs="Times New Roman"/>
                <w:sz w:val="20"/>
                <w:szCs w:val="22"/>
                <w:lang w:val="en-US" w:eastAsia="en-US"/>
              </w:rPr>
              <w:t>6</w:t>
            </w:r>
          </w:p>
        </w:tc>
        <w:tc>
          <w:tcPr>
            <w:tcW w:w="1418" w:type="dxa"/>
            <w:tcBorders>
              <w:top w:val="nil"/>
              <w:left w:val="nil"/>
              <w:bottom w:val="nil"/>
              <w:right w:val="nil"/>
            </w:tcBorders>
          </w:tcPr>
          <w:p w14:paraId="3F2CF78C" w14:textId="14E1E61F"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11,1 ± 3,3</w:t>
            </w:r>
          </w:p>
        </w:tc>
        <w:tc>
          <w:tcPr>
            <w:tcW w:w="1417" w:type="dxa"/>
            <w:tcBorders>
              <w:top w:val="nil"/>
              <w:left w:val="nil"/>
              <w:bottom w:val="nil"/>
              <w:right w:val="nil"/>
            </w:tcBorders>
          </w:tcPr>
          <w:p w14:paraId="3B219252" w14:textId="3B1A6F81"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12,6 ± 4,6</w:t>
            </w:r>
          </w:p>
        </w:tc>
        <w:tc>
          <w:tcPr>
            <w:tcW w:w="1276" w:type="dxa"/>
            <w:tcBorders>
              <w:top w:val="nil"/>
              <w:left w:val="nil"/>
              <w:bottom w:val="nil"/>
              <w:right w:val="nil"/>
            </w:tcBorders>
          </w:tcPr>
          <w:p w14:paraId="11F7332D" w14:textId="704B94FA"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49,</w:t>
            </w:r>
            <w:r w:rsidR="00394336" w:rsidRPr="008419AB">
              <w:rPr>
                <w:rFonts w:cs="Times New Roman"/>
                <w:sz w:val="20"/>
                <w:szCs w:val="22"/>
                <w:lang w:val="en-US" w:eastAsia="en-US"/>
              </w:rPr>
              <w:t>023</w:t>
            </w:r>
          </w:p>
        </w:tc>
        <w:tc>
          <w:tcPr>
            <w:tcW w:w="1276" w:type="dxa"/>
            <w:tcBorders>
              <w:top w:val="nil"/>
              <w:left w:val="nil"/>
              <w:bottom w:val="nil"/>
              <w:right w:val="nil"/>
            </w:tcBorders>
          </w:tcPr>
          <w:p w14:paraId="53730197" w14:textId="064E54CC"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0,</w:t>
            </w:r>
            <w:r w:rsidR="00394336" w:rsidRPr="008419AB">
              <w:rPr>
                <w:rFonts w:cs="Times New Roman"/>
                <w:sz w:val="20"/>
                <w:szCs w:val="22"/>
                <w:lang w:val="en-US" w:eastAsia="en-US"/>
              </w:rPr>
              <w:t>000**</w:t>
            </w:r>
          </w:p>
        </w:tc>
        <w:tc>
          <w:tcPr>
            <w:tcW w:w="2517" w:type="dxa"/>
            <w:gridSpan w:val="2"/>
            <w:tcBorders>
              <w:top w:val="nil"/>
              <w:left w:val="nil"/>
              <w:bottom w:val="nil"/>
              <w:right w:val="nil"/>
            </w:tcBorders>
          </w:tcPr>
          <w:p w14:paraId="7E10D93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 0-5** 0-8**</w:t>
            </w:r>
          </w:p>
        </w:tc>
      </w:tr>
      <w:tr w:rsidR="00394336" w:rsidRPr="008419AB" w14:paraId="5FDCE0BE" w14:textId="77777777" w:rsidTr="00E5029D">
        <w:trPr>
          <w:gridAfter w:val="2"/>
          <w:wAfter w:w="141" w:type="dxa"/>
        </w:trPr>
        <w:tc>
          <w:tcPr>
            <w:tcW w:w="2660" w:type="dxa"/>
            <w:tcBorders>
              <w:top w:val="nil"/>
              <w:left w:val="nil"/>
              <w:bottom w:val="nil"/>
              <w:right w:val="nil"/>
            </w:tcBorders>
          </w:tcPr>
          <w:p w14:paraId="459A979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GPS</w:t>
            </w:r>
            <w:r>
              <w:rPr>
                <w:rFonts w:cs="Times New Roman"/>
                <w:sz w:val="20"/>
                <w:szCs w:val="22"/>
                <w:lang w:val="en-US" w:eastAsia="en-US"/>
              </w:rPr>
              <w:t xml:space="preserve"> transverse</w:t>
            </w:r>
            <w:r w:rsidRPr="008419AB">
              <w:rPr>
                <w:rFonts w:cs="Times New Roman"/>
                <w:sz w:val="20"/>
                <w:szCs w:val="22"/>
                <w:lang w:val="en-US" w:eastAsia="en-US"/>
              </w:rPr>
              <w:t xml:space="preserve"> (°)</w:t>
            </w:r>
          </w:p>
        </w:tc>
        <w:tc>
          <w:tcPr>
            <w:tcW w:w="1310" w:type="dxa"/>
            <w:tcBorders>
              <w:top w:val="nil"/>
              <w:left w:val="nil"/>
              <w:bottom w:val="nil"/>
              <w:right w:val="nil"/>
            </w:tcBorders>
          </w:tcPr>
          <w:p w14:paraId="56B685D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333AAC2E" w14:textId="4D45DCD7"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16,0 ± 7,0</w:t>
            </w:r>
            <w:r w:rsidR="00394336" w:rsidRPr="008419AB">
              <w:rPr>
                <w:rFonts w:cs="Times New Roman"/>
                <w:sz w:val="20"/>
                <w:szCs w:val="22"/>
                <w:lang w:val="en-US" w:eastAsia="en-US"/>
              </w:rPr>
              <w:t xml:space="preserve"> </w:t>
            </w:r>
          </w:p>
        </w:tc>
        <w:tc>
          <w:tcPr>
            <w:tcW w:w="1417" w:type="dxa"/>
            <w:tcBorders>
              <w:top w:val="nil"/>
              <w:left w:val="nil"/>
              <w:bottom w:val="nil"/>
              <w:right w:val="nil"/>
            </w:tcBorders>
          </w:tcPr>
          <w:p w14:paraId="6CEC3753" w14:textId="516A06AF"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10,7 ± 4,3</w:t>
            </w:r>
          </w:p>
        </w:tc>
        <w:tc>
          <w:tcPr>
            <w:tcW w:w="1418" w:type="dxa"/>
            <w:tcBorders>
              <w:top w:val="nil"/>
              <w:left w:val="nil"/>
              <w:bottom w:val="nil"/>
              <w:right w:val="nil"/>
            </w:tcBorders>
          </w:tcPr>
          <w:p w14:paraId="3D136A75" w14:textId="6D7B1594"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11,7 ± 4,0</w:t>
            </w:r>
          </w:p>
        </w:tc>
        <w:tc>
          <w:tcPr>
            <w:tcW w:w="1417" w:type="dxa"/>
            <w:tcBorders>
              <w:top w:val="nil"/>
              <w:left w:val="nil"/>
              <w:bottom w:val="nil"/>
              <w:right w:val="nil"/>
            </w:tcBorders>
          </w:tcPr>
          <w:p w14:paraId="2CE7D55C" w14:textId="196159ED" w:rsidR="00394336" w:rsidRPr="008419AB" w:rsidRDefault="00A11017"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10,9</w:t>
            </w:r>
            <w:r w:rsidR="00394336" w:rsidRPr="008419AB">
              <w:rPr>
                <w:rFonts w:cs="Times New Roman"/>
                <w:sz w:val="20"/>
                <w:szCs w:val="22"/>
                <w:lang w:val="en-US" w:eastAsia="en-US"/>
              </w:rPr>
              <w:t xml:space="preserve"> ± 4,</w:t>
            </w:r>
            <w:r>
              <w:rPr>
                <w:rFonts w:cs="Times New Roman"/>
                <w:sz w:val="20"/>
                <w:szCs w:val="22"/>
                <w:lang w:val="en-US" w:eastAsia="en-US"/>
              </w:rPr>
              <w:t>5</w:t>
            </w:r>
          </w:p>
        </w:tc>
        <w:tc>
          <w:tcPr>
            <w:tcW w:w="1276" w:type="dxa"/>
            <w:tcBorders>
              <w:top w:val="nil"/>
              <w:left w:val="nil"/>
              <w:bottom w:val="nil"/>
              <w:right w:val="nil"/>
            </w:tcBorders>
          </w:tcPr>
          <w:p w14:paraId="54F0EF81" w14:textId="61F8CA78"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13,</w:t>
            </w:r>
            <w:r w:rsidR="00394336" w:rsidRPr="008419AB">
              <w:rPr>
                <w:rFonts w:cs="Times New Roman"/>
                <w:sz w:val="20"/>
                <w:szCs w:val="22"/>
                <w:lang w:val="en-US" w:eastAsia="en-US"/>
              </w:rPr>
              <w:t>930</w:t>
            </w:r>
          </w:p>
        </w:tc>
        <w:tc>
          <w:tcPr>
            <w:tcW w:w="1276" w:type="dxa"/>
            <w:tcBorders>
              <w:top w:val="nil"/>
              <w:left w:val="nil"/>
              <w:bottom w:val="nil"/>
              <w:right w:val="nil"/>
            </w:tcBorders>
          </w:tcPr>
          <w:p w14:paraId="3A2113D6" w14:textId="3EF61BAA"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0,</w:t>
            </w:r>
            <w:r w:rsidR="00394336" w:rsidRPr="008419AB">
              <w:rPr>
                <w:rFonts w:cs="Times New Roman"/>
                <w:sz w:val="20"/>
                <w:szCs w:val="22"/>
                <w:lang w:val="en-US" w:eastAsia="en-US"/>
              </w:rPr>
              <w:t>003**</w:t>
            </w:r>
          </w:p>
        </w:tc>
        <w:tc>
          <w:tcPr>
            <w:tcW w:w="2517" w:type="dxa"/>
            <w:gridSpan w:val="2"/>
            <w:tcBorders>
              <w:top w:val="nil"/>
              <w:left w:val="nil"/>
              <w:bottom w:val="nil"/>
              <w:right w:val="nil"/>
            </w:tcBorders>
          </w:tcPr>
          <w:p w14:paraId="2202C8C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 0-5** 0-8**</w:t>
            </w:r>
          </w:p>
        </w:tc>
      </w:tr>
      <w:tr w:rsidR="00394336" w:rsidRPr="008419AB" w14:paraId="39DFF587" w14:textId="77777777" w:rsidTr="00E5029D">
        <w:trPr>
          <w:gridAfter w:val="2"/>
          <w:wAfter w:w="141" w:type="dxa"/>
        </w:trPr>
        <w:tc>
          <w:tcPr>
            <w:tcW w:w="2660" w:type="dxa"/>
            <w:tcBorders>
              <w:top w:val="nil"/>
              <w:left w:val="nil"/>
              <w:bottom w:val="nil"/>
              <w:right w:val="nil"/>
            </w:tcBorders>
          </w:tcPr>
          <w:p w14:paraId="37A6B53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r w:rsidRPr="008419AB">
              <w:rPr>
                <w:rFonts w:cs="Times New Roman"/>
                <w:b/>
                <w:sz w:val="20"/>
                <w:szCs w:val="22"/>
                <w:lang w:val="en-US" w:eastAsia="en-US"/>
              </w:rPr>
              <w:t>Kinematics</w:t>
            </w:r>
          </w:p>
        </w:tc>
        <w:tc>
          <w:tcPr>
            <w:tcW w:w="1310" w:type="dxa"/>
            <w:tcBorders>
              <w:top w:val="nil"/>
              <w:left w:val="nil"/>
              <w:bottom w:val="nil"/>
              <w:right w:val="nil"/>
            </w:tcBorders>
          </w:tcPr>
          <w:p w14:paraId="1181B5F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382DF80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5690183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70FD548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41A1F1B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nil"/>
              <w:left w:val="nil"/>
              <w:bottom w:val="nil"/>
              <w:right w:val="nil"/>
            </w:tcBorders>
          </w:tcPr>
          <w:p w14:paraId="7CC254B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nil"/>
              <w:left w:val="nil"/>
              <w:bottom w:val="nil"/>
              <w:right w:val="nil"/>
            </w:tcBorders>
          </w:tcPr>
          <w:p w14:paraId="4637DD0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517" w:type="dxa"/>
            <w:gridSpan w:val="2"/>
            <w:tcBorders>
              <w:top w:val="nil"/>
              <w:left w:val="nil"/>
              <w:bottom w:val="nil"/>
              <w:right w:val="nil"/>
            </w:tcBorders>
          </w:tcPr>
          <w:p w14:paraId="6826F70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3E5262D2" w14:textId="77777777" w:rsidTr="00E5029D">
        <w:trPr>
          <w:gridAfter w:val="2"/>
          <w:wAfter w:w="141" w:type="dxa"/>
        </w:trPr>
        <w:tc>
          <w:tcPr>
            <w:tcW w:w="2660" w:type="dxa"/>
            <w:tcBorders>
              <w:top w:val="nil"/>
              <w:left w:val="nil"/>
              <w:bottom w:val="nil"/>
              <w:right w:val="nil"/>
            </w:tcBorders>
          </w:tcPr>
          <w:p w14:paraId="5FDB0D0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i/>
                <w:sz w:val="20"/>
                <w:szCs w:val="22"/>
                <w:lang w:val="en-US" w:eastAsia="en-US"/>
              </w:rPr>
              <w:t>Pelvis</w:t>
            </w:r>
          </w:p>
        </w:tc>
        <w:tc>
          <w:tcPr>
            <w:tcW w:w="1310" w:type="dxa"/>
            <w:tcBorders>
              <w:top w:val="nil"/>
              <w:left w:val="nil"/>
              <w:bottom w:val="nil"/>
              <w:right w:val="nil"/>
            </w:tcBorders>
          </w:tcPr>
          <w:p w14:paraId="7190200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4129C63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7AA6412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571EB48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5000C25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nil"/>
              <w:left w:val="nil"/>
              <w:bottom w:val="nil"/>
              <w:right w:val="nil"/>
            </w:tcBorders>
          </w:tcPr>
          <w:p w14:paraId="482B490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nil"/>
              <w:left w:val="nil"/>
              <w:bottom w:val="nil"/>
              <w:right w:val="nil"/>
            </w:tcBorders>
          </w:tcPr>
          <w:p w14:paraId="3F9DAD2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517" w:type="dxa"/>
            <w:gridSpan w:val="2"/>
            <w:tcBorders>
              <w:top w:val="nil"/>
              <w:left w:val="nil"/>
              <w:bottom w:val="nil"/>
              <w:right w:val="nil"/>
            </w:tcBorders>
          </w:tcPr>
          <w:p w14:paraId="1F092EB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4A8A7FE1" w14:textId="77777777" w:rsidTr="00E5029D">
        <w:trPr>
          <w:gridAfter w:val="2"/>
          <w:wAfter w:w="141" w:type="dxa"/>
        </w:trPr>
        <w:tc>
          <w:tcPr>
            <w:tcW w:w="2660" w:type="dxa"/>
            <w:tcBorders>
              <w:top w:val="nil"/>
              <w:left w:val="nil"/>
              <w:bottom w:val="nil"/>
              <w:right w:val="nil"/>
            </w:tcBorders>
          </w:tcPr>
          <w:p w14:paraId="79A5F68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pelvic tilt (°)</w:t>
            </w:r>
          </w:p>
        </w:tc>
        <w:tc>
          <w:tcPr>
            <w:tcW w:w="1310" w:type="dxa"/>
            <w:tcBorders>
              <w:top w:val="nil"/>
              <w:left w:val="nil"/>
              <w:bottom w:val="nil"/>
              <w:right w:val="nil"/>
            </w:tcBorders>
          </w:tcPr>
          <w:p w14:paraId="6EF00DAE" w14:textId="34F05E68" w:rsidR="00394336" w:rsidRPr="008419AB" w:rsidRDefault="00394336" w:rsidP="00E01E02">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11,4 ± 4,</w:t>
            </w:r>
            <w:r w:rsidR="00E01E02">
              <w:rPr>
                <w:rFonts w:cs="Times New Roman"/>
                <w:sz w:val="20"/>
                <w:szCs w:val="22"/>
                <w:lang w:val="en-US" w:eastAsia="en-US"/>
              </w:rPr>
              <w:t>9</w:t>
            </w:r>
          </w:p>
        </w:tc>
        <w:tc>
          <w:tcPr>
            <w:tcW w:w="1418" w:type="dxa"/>
            <w:tcBorders>
              <w:top w:val="nil"/>
              <w:left w:val="nil"/>
              <w:bottom w:val="nil"/>
              <w:right w:val="nil"/>
            </w:tcBorders>
          </w:tcPr>
          <w:p w14:paraId="0A49CEAA" w14:textId="05C992FA"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18,7 ± 6,7</w:t>
            </w:r>
          </w:p>
        </w:tc>
        <w:tc>
          <w:tcPr>
            <w:tcW w:w="1417" w:type="dxa"/>
            <w:tcBorders>
              <w:top w:val="nil"/>
              <w:left w:val="nil"/>
              <w:bottom w:val="nil"/>
              <w:right w:val="nil"/>
            </w:tcBorders>
          </w:tcPr>
          <w:p w14:paraId="4C8A0C60" w14:textId="43B916D4"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19,2 ± 7,1</w:t>
            </w:r>
          </w:p>
        </w:tc>
        <w:tc>
          <w:tcPr>
            <w:tcW w:w="1418" w:type="dxa"/>
            <w:tcBorders>
              <w:top w:val="nil"/>
              <w:left w:val="nil"/>
              <w:bottom w:val="nil"/>
              <w:right w:val="nil"/>
            </w:tcBorders>
          </w:tcPr>
          <w:p w14:paraId="670996B0" w14:textId="43FF0F8B"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19,3 ± 4,6</w:t>
            </w:r>
          </w:p>
        </w:tc>
        <w:tc>
          <w:tcPr>
            <w:tcW w:w="1417" w:type="dxa"/>
            <w:tcBorders>
              <w:top w:val="nil"/>
              <w:left w:val="nil"/>
              <w:bottom w:val="nil"/>
              <w:right w:val="nil"/>
            </w:tcBorders>
          </w:tcPr>
          <w:p w14:paraId="75E6D9A4" w14:textId="4D92CB5A"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19,8 ± 6,2</w:t>
            </w:r>
          </w:p>
        </w:tc>
        <w:tc>
          <w:tcPr>
            <w:tcW w:w="1276" w:type="dxa"/>
            <w:tcBorders>
              <w:top w:val="nil"/>
              <w:left w:val="nil"/>
              <w:bottom w:val="nil"/>
              <w:right w:val="nil"/>
            </w:tcBorders>
          </w:tcPr>
          <w:p w14:paraId="34386483" w14:textId="5F76D071"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0,</w:t>
            </w:r>
            <w:r w:rsidR="00394336" w:rsidRPr="008419AB">
              <w:rPr>
                <w:rFonts w:cs="Times New Roman"/>
                <w:sz w:val="20"/>
                <w:szCs w:val="22"/>
                <w:lang w:val="en-US" w:eastAsia="en-US"/>
              </w:rPr>
              <w:t>946</w:t>
            </w:r>
          </w:p>
        </w:tc>
        <w:tc>
          <w:tcPr>
            <w:tcW w:w="1276" w:type="dxa"/>
            <w:tcBorders>
              <w:top w:val="nil"/>
              <w:left w:val="nil"/>
              <w:bottom w:val="nil"/>
              <w:right w:val="nil"/>
            </w:tcBorders>
          </w:tcPr>
          <w:p w14:paraId="7274B9D9" w14:textId="0B20B319"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0,</w:t>
            </w:r>
            <w:r w:rsidR="00394336" w:rsidRPr="008419AB">
              <w:rPr>
                <w:rFonts w:cs="Times New Roman"/>
                <w:sz w:val="20"/>
                <w:szCs w:val="22"/>
                <w:lang w:val="en-US" w:eastAsia="en-US"/>
              </w:rPr>
              <w:t>920</w:t>
            </w:r>
          </w:p>
        </w:tc>
        <w:tc>
          <w:tcPr>
            <w:tcW w:w="2517" w:type="dxa"/>
            <w:gridSpan w:val="2"/>
            <w:tcBorders>
              <w:top w:val="nil"/>
              <w:left w:val="nil"/>
              <w:bottom w:val="nil"/>
              <w:right w:val="nil"/>
            </w:tcBorders>
          </w:tcPr>
          <w:p w14:paraId="030AA5E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61131365" w14:textId="77777777" w:rsidTr="00E5029D">
        <w:trPr>
          <w:gridAfter w:val="2"/>
          <w:wAfter w:w="141" w:type="dxa"/>
        </w:trPr>
        <w:tc>
          <w:tcPr>
            <w:tcW w:w="2660" w:type="dxa"/>
            <w:tcBorders>
              <w:top w:val="nil"/>
              <w:left w:val="nil"/>
              <w:bottom w:val="nil"/>
              <w:right w:val="nil"/>
            </w:tcBorders>
          </w:tcPr>
          <w:p w14:paraId="3E58BE1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i/>
                <w:sz w:val="20"/>
                <w:szCs w:val="22"/>
                <w:lang w:val="en-US" w:eastAsia="en-US"/>
              </w:rPr>
              <w:t>Hip</w:t>
            </w:r>
          </w:p>
        </w:tc>
        <w:tc>
          <w:tcPr>
            <w:tcW w:w="1310" w:type="dxa"/>
            <w:tcBorders>
              <w:top w:val="nil"/>
              <w:left w:val="nil"/>
              <w:bottom w:val="nil"/>
              <w:right w:val="nil"/>
            </w:tcBorders>
          </w:tcPr>
          <w:p w14:paraId="6D818A0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D98997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024528C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32392D8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5693B35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nil"/>
              <w:left w:val="nil"/>
              <w:bottom w:val="nil"/>
              <w:right w:val="nil"/>
            </w:tcBorders>
          </w:tcPr>
          <w:p w14:paraId="7B52E1C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nil"/>
              <w:left w:val="nil"/>
              <w:bottom w:val="nil"/>
              <w:right w:val="nil"/>
            </w:tcBorders>
          </w:tcPr>
          <w:p w14:paraId="35AD31D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517" w:type="dxa"/>
            <w:gridSpan w:val="2"/>
            <w:tcBorders>
              <w:top w:val="nil"/>
              <w:left w:val="nil"/>
              <w:bottom w:val="nil"/>
              <w:right w:val="nil"/>
            </w:tcBorders>
          </w:tcPr>
          <w:p w14:paraId="505ED4B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1527F793" w14:textId="77777777" w:rsidTr="00E5029D">
        <w:trPr>
          <w:gridAfter w:val="2"/>
          <w:wAfter w:w="141" w:type="dxa"/>
        </w:trPr>
        <w:tc>
          <w:tcPr>
            <w:tcW w:w="2660" w:type="dxa"/>
            <w:tcBorders>
              <w:top w:val="nil"/>
              <w:left w:val="nil"/>
              <w:bottom w:val="nil"/>
              <w:right w:val="nil"/>
            </w:tcBorders>
          </w:tcPr>
          <w:p w14:paraId="33DBFC42" w14:textId="0D2F6EB3" w:rsidR="00394336" w:rsidRPr="008419AB" w:rsidRDefault="00394336" w:rsidP="00060A61">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w:t>
            </w:r>
            <w:r w:rsidR="00060A61">
              <w:rPr>
                <w:rFonts w:cs="Times New Roman"/>
                <w:sz w:val="20"/>
                <w:szCs w:val="22"/>
                <w:lang w:val="en-US" w:eastAsia="en-US"/>
              </w:rPr>
              <w:t xml:space="preserve">ax </w:t>
            </w:r>
            <w:r w:rsidRPr="008419AB">
              <w:rPr>
                <w:rFonts w:cs="Times New Roman"/>
                <w:sz w:val="20"/>
                <w:szCs w:val="22"/>
                <w:lang w:val="en-US" w:eastAsia="en-US"/>
              </w:rPr>
              <w:t xml:space="preserve">hip extension in </w:t>
            </w:r>
            <w:r w:rsidRPr="008419AB">
              <w:rPr>
                <w:rFonts w:cs="Times New Roman"/>
                <w:sz w:val="20"/>
                <w:szCs w:val="22"/>
                <w:lang w:val="en-US" w:eastAsia="en-US"/>
              </w:rPr>
              <w:br/>
              <w:t>stance (°)</w:t>
            </w:r>
          </w:p>
        </w:tc>
        <w:tc>
          <w:tcPr>
            <w:tcW w:w="1310" w:type="dxa"/>
            <w:tcBorders>
              <w:top w:val="nil"/>
              <w:left w:val="nil"/>
              <w:bottom w:val="nil"/>
              <w:right w:val="nil"/>
            </w:tcBorders>
          </w:tcPr>
          <w:p w14:paraId="19693F67" w14:textId="6254A95F"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-9,9 ± 5,6</w:t>
            </w:r>
          </w:p>
        </w:tc>
        <w:tc>
          <w:tcPr>
            <w:tcW w:w="1418" w:type="dxa"/>
            <w:tcBorders>
              <w:top w:val="nil"/>
              <w:left w:val="nil"/>
              <w:bottom w:val="nil"/>
              <w:right w:val="nil"/>
            </w:tcBorders>
          </w:tcPr>
          <w:p w14:paraId="75B21A92" w14:textId="3C3A6542"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10,6 ± 11,8</w:t>
            </w:r>
          </w:p>
        </w:tc>
        <w:tc>
          <w:tcPr>
            <w:tcW w:w="1417" w:type="dxa"/>
            <w:tcBorders>
              <w:top w:val="nil"/>
              <w:left w:val="nil"/>
              <w:bottom w:val="nil"/>
              <w:right w:val="nil"/>
            </w:tcBorders>
          </w:tcPr>
          <w:p w14:paraId="4CB2502B" w14:textId="4B2B0716"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6,3 ± 8,0</w:t>
            </w:r>
          </w:p>
        </w:tc>
        <w:tc>
          <w:tcPr>
            <w:tcW w:w="1418" w:type="dxa"/>
            <w:tcBorders>
              <w:top w:val="nil"/>
              <w:left w:val="nil"/>
              <w:bottom w:val="nil"/>
              <w:right w:val="nil"/>
            </w:tcBorders>
          </w:tcPr>
          <w:p w14:paraId="6FBA68A5" w14:textId="19E63D92"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8,4 ± 8,0</w:t>
            </w:r>
            <w:r w:rsidR="00394336" w:rsidRPr="008419AB">
              <w:rPr>
                <w:rFonts w:cs="Times New Roman"/>
                <w:sz w:val="20"/>
                <w:szCs w:val="22"/>
                <w:lang w:val="en-US" w:eastAsia="en-US"/>
              </w:rPr>
              <w:t xml:space="preserve"> </w:t>
            </w:r>
          </w:p>
        </w:tc>
        <w:tc>
          <w:tcPr>
            <w:tcW w:w="1417" w:type="dxa"/>
            <w:tcBorders>
              <w:top w:val="nil"/>
              <w:left w:val="nil"/>
              <w:bottom w:val="nil"/>
              <w:right w:val="nil"/>
            </w:tcBorders>
          </w:tcPr>
          <w:p w14:paraId="5D4D78C7" w14:textId="78F1FAF6"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8,5 ± 9,7</w:t>
            </w:r>
          </w:p>
        </w:tc>
        <w:tc>
          <w:tcPr>
            <w:tcW w:w="1276" w:type="dxa"/>
            <w:tcBorders>
              <w:top w:val="nil"/>
              <w:left w:val="nil"/>
              <w:bottom w:val="nil"/>
              <w:right w:val="nil"/>
            </w:tcBorders>
          </w:tcPr>
          <w:p w14:paraId="001F476F" w14:textId="32FBF2F3"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6,</w:t>
            </w:r>
            <w:r w:rsidR="00394336" w:rsidRPr="008419AB">
              <w:rPr>
                <w:rFonts w:cs="Times New Roman"/>
                <w:sz w:val="20"/>
                <w:szCs w:val="22"/>
                <w:lang w:val="en-US" w:eastAsia="en-US"/>
              </w:rPr>
              <w:t>442</w:t>
            </w:r>
          </w:p>
        </w:tc>
        <w:tc>
          <w:tcPr>
            <w:tcW w:w="1276" w:type="dxa"/>
            <w:tcBorders>
              <w:top w:val="nil"/>
              <w:left w:val="nil"/>
              <w:bottom w:val="nil"/>
              <w:right w:val="nil"/>
            </w:tcBorders>
          </w:tcPr>
          <w:p w14:paraId="4B041855" w14:textId="20DBE89F"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0,</w:t>
            </w:r>
            <w:r w:rsidR="00394336" w:rsidRPr="008419AB">
              <w:rPr>
                <w:rFonts w:cs="Times New Roman"/>
                <w:sz w:val="20"/>
                <w:szCs w:val="22"/>
                <w:lang w:val="en-US" w:eastAsia="en-US"/>
              </w:rPr>
              <w:t>092</w:t>
            </w:r>
          </w:p>
        </w:tc>
        <w:tc>
          <w:tcPr>
            <w:tcW w:w="2517" w:type="dxa"/>
            <w:gridSpan w:val="2"/>
            <w:tcBorders>
              <w:top w:val="nil"/>
              <w:left w:val="nil"/>
              <w:bottom w:val="nil"/>
              <w:right w:val="nil"/>
            </w:tcBorders>
          </w:tcPr>
          <w:p w14:paraId="772658C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w:t>
            </w:r>
          </w:p>
        </w:tc>
      </w:tr>
      <w:tr w:rsidR="00394336" w:rsidRPr="008419AB" w14:paraId="395D2DA3" w14:textId="77777777" w:rsidTr="00E5029D">
        <w:trPr>
          <w:gridAfter w:val="2"/>
          <w:wAfter w:w="141" w:type="dxa"/>
        </w:trPr>
        <w:tc>
          <w:tcPr>
            <w:tcW w:w="2660" w:type="dxa"/>
            <w:tcBorders>
              <w:top w:val="nil"/>
              <w:left w:val="nil"/>
              <w:bottom w:val="nil"/>
              <w:right w:val="nil"/>
            </w:tcBorders>
          </w:tcPr>
          <w:p w14:paraId="395187D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Mean hip rotation </w:t>
            </w:r>
            <w:r w:rsidRPr="008419AB">
              <w:rPr>
                <w:rFonts w:cs="Times New Roman"/>
                <w:sz w:val="20"/>
                <w:szCs w:val="22"/>
                <w:lang w:val="en-US" w:eastAsia="en-US"/>
              </w:rPr>
              <w:br/>
              <w:t>in stance (°)</w:t>
            </w:r>
          </w:p>
        </w:tc>
        <w:tc>
          <w:tcPr>
            <w:tcW w:w="1310" w:type="dxa"/>
            <w:tcBorders>
              <w:top w:val="nil"/>
              <w:left w:val="nil"/>
              <w:bottom w:val="nil"/>
              <w:right w:val="nil"/>
            </w:tcBorders>
          </w:tcPr>
          <w:p w14:paraId="07D5EB60" w14:textId="52F4929E"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1,6</w:t>
            </w:r>
            <w:r w:rsidR="00394336" w:rsidRPr="008419AB">
              <w:rPr>
                <w:rFonts w:cs="Times New Roman"/>
                <w:sz w:val="20"/>
                <w:szCs w:val="22"/>
                <w:lang w:val="en-US" w:eastAsia="en-US"/>
              </w:rPr>
              <w:t xml:space="preserve"> ± 6,8</w:t>
            </w:r>
          </w:p>
        </w:tc>
        <w:tc>
          <w:tcPr>
            <w:tcW w:w="1418" w:type="dxa"/>
            <w:tcBorders>
              <w:top w:val="nil"/>
              <w:left w:val="nil"/>
              <w:bottom w:val="nil"/>
              <w:right w:val="nil"/>
            </w:tcBorders>
          </w:tcPr>
          <w:p w14:paraId="34B37D4B" w14:textId="1E1D8ACA"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14,6 ± 13,6</w:t>
            </w:r>
          </w:p>
        </w:tc>
        <w:tc>
          <w:tcPr>
            <w:tcW w:w="1417" w:type="dxa"/>
            <w:tcBorders>
              <w:top w:val="nil"/>
              <w:left w:val="nil"/>
              <w:bottom w:val="nil"/>
              <w:right w:val="nil"/>
            </w:tcBorders>
          </w:tcPr>
          <w:p w14:paraId="64DA81A8" w14:textId="3A01C543"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2,4 ± 9,9</w:t>
            </w:r>
          </w:p>
        </w:tc>
        <w:tc>
          <w:tcPr>
            <w:tcW w:w="1418" w:type="dxa"/>
            <w:tcBorders>
              <w:top w:val="nil"/>
              <w:left w:val="nil"/>
              <w:bottom w:val="nil"/>
              <w:right w:val="nil"/>
            </w:tcBorders>
          </w:tcPr>
          <w:p w14:paraId="2DACFAF3" w14:textId="5C9E427E"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2,6 ± 13,5</w:t>
            </w:r>
          </w:p>
        </w:tc>
        <w:tc>
          <w:tcPr>
            <w:tcW w:w="1417" w:type="dxa"/>
            <w:tcBorders>
              <w:top w:val="nil"/>
              <w:left w:val="nil"/>
              <w:bottom w:val="nil"/>
              <w:right w:val="nil"/>
            </w:tcBorders>
          </w:tcPr>
          <w:p w14:paraId="60240BD9" w14:textId="6ED6EDF4"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-1,2 ± 14,0</w:t>
            </w:r>
          </w:p>
        </w:tc>
        <w:tc>
          <w:tcPr>
            <w:tcW w:w="1276" w:type="dxa"/>
            <w:tcBorders>
              <w:top w:val="nil"/>
              <w:left w:val="nil"/>
              <w:bottom w:val="nil"/>
              <w:right w:val="nil"/>
            </w:tcBorders>
          </w:tcPr>
          <w:p w14:paraId="61E78049" w14:textId="29BCA621"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36,</w:t>
            </w:r>
            <w:r w:rsidR="00394336" w:rsidRPr="008419AB">
              <w:rPr>
                <w:rFonts w:cs="Times New Roman"/>
                <w:sz w:val="20"/>
                <w:szCs w:val="22"/>
                <w:lang w:val="en-US" w:eastAsia="en-US"/>
              </w:rPr>
              <w:t>102</w:t>
            </w:r>
          </w:p>
        </w:tc>
        <w:tc>
          <w:tcPr>
            <w:tcW w:w="1276" w:type="dxa"/>
            <w:tcBorders>
              <w:top w:val="nil"/>
              <w:left w:val="nil"/>
              <w:bottom w:val="nil"/>
              <w:right w:val="nil"/>
            </w:tcBorders>
          </w:tcPr>
          <w:p w14:paraId="09316569" w14:textId="5E665DA5"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0,</w:t>
            </w:r>
            <w:r w:rsidR="00394336" w:rsidRPr="008419AB">
              <w:rPr>
                <w:rFonts w:cs="Times New Roman"/>
                <w:sz w:val="20"/>
                <w:szCs w:val="22"/>
                <w:lang w:val="en-US" w:eastAsia="en-US"/>
              </w:rPr>
              <w:t>000**</w:t>
            </w:r>
          </w:p>
        </w:tc>
        <w:tc>
          <w:tcPr>
            <w:tcW w:w="2517" w:type="dxa"/>
            <w:gridSpan w:val="2"/>
            <w:tcBorders>
              <w:top w:val="nil"/>
              <w:left w:val="nil"/>
              <w:bottom w:val="nil"/>
              <w:right w:val="nil"/>
            </w:tcBorders>
          </w:tcPr>
          <w:p w14:paraId="470C2E6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 0-5** 0-8 **</w:t>
            </w:r>
          </w:p>
        </w:tc>
      </w:tr>
      <w:tr w:rsidR="00394336" w:rsidRPr="008419AB" w14:paraId="30719973" w14:textId="77777777" w:rsidTr="00E5029D">
        <w:trPr>
          <w:gridAfter w:val="2"/>
          <w:wAfter w:w="141" w:type="dxa"/>
        </w:trPr>
        <w:tc>
          <w:tcPr>
            <w:tcW w:w="2660" w:type="dxa"/>
            <w:tcBorders>
              <w:top w:val="nil"/>
              <w:left w:val="nil"/>
              <w:bottom w:val="nil"/>
              <w:right w:val="nil"/>
            </w:tcBorders>
          </w:tcPr>
          <w:p w14:paraId="46ACA89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i/>
                <w:sz w:val="20"/>
                <w:szCs w:val="22"/>
                <w:lang w:val="en-US" w:eastAsia="en-US"/>
              </w:rPr>
            </w:pPr>
            <w:r w:rsidRPr="008419AB">
              <w:rPr>
                <w:rFonts w:cs="Times New Roman"/>
                <w:i/>
                <w:sz w:val="20"/>
                <w:szCs w:val="22"/>
                <w:lang w:val="en-US" w:eastAsia="en-US"/>
              </w:rPr>
              <w:t>Knee</w:t>
            </w:r>
          </w:p>
        </w:tc>
        <w:tc>
          <w:tcPr>
            <w:tcW w:w="1310" w:type="dxa"/>
            <w:tcBorders>
              <w:top w:val="nil"/>
              <w:left w:val="nil"/>
              <w:bottom w:val="nil"/>
              <w:right w:val="nil"/>
            </w:tcBorders>
          </w:tcPr>
          <w:p w14:paraId="68CCBC0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155B56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201D02F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408843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25C4354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nil"/>
              <w:left w:val="nil"/>
              <w:bottom w:val="nil"/>
              <w:right w:val="nil"/>
            </w:tcBorders>
          </w:tcPr>
          <w:p w14:paraId="733D9B3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tcBorders>
              <w:top w:val="nil"/>
              <w:left w:val="nil"/>
              <w:bottom w:val="nil"/>
              <w:right w:val="nil"/>
            </w:tcBorders>
          </w:tcPr>
          <w:p w14:paraId="1D78A1C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517" w:type="dxa"/>
            <w:gridSpan w:val="2"/>
            <w:tcBorders>
              <w:top w:val="nil"/>
              <w:left w:val="nil"/>
              <w:bottom w:val="nil"/>
              <w:right w:val="nil"/>
            </w:tcBorders>
          </w:tcPr>
          <w:p w14:paraId="37E3925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2CACE4DE" w14:textId="77777777" w:rsidTr="00E5029D">
        <w:trPr>
          <w:gridAfter w:val="2"/>
          <w:wAfter w:w="141" w:type="dxa"/>
          <w:trHeight w:val="626"/>
        </w:trPr>
        <w:tc>
          <w:tcPr>
            <w:tcW w:w="2660" w:type="dxa"/>
            <w:tcBorders>
              <w:top w:val="nil"/>
              <w:left w:val="nil"/>
              <w:bottom w:val="single" w:sz="4" w:space="0" w:color="auto"/>
              <w:right w:val="nil"/>
            </w:tcBorders>
          </w:tcPr>
          <w:p w14:paraId="1118B11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Max knee extension in </w:t>
            </w:r>
            <w:r w:rsidRPr="008419AB">
              <w:rPr>
                <w:rFonts w:cs="Times New Roman"/>
                <w:sz w:val="20"/>
                <w:szCs w:val="22"/>
                <w:lang w:val="en-US" w:eastAsia="en-US"/>
              </w:rPr>
              <w:br/>
              <w:t>stance (°)</w:t>
            </w:r>
          </w:p>
        </w:tc>
        <w:tc>
          <w:tcPr>
            <w:tcW w:w="1310" w:type="dxa"/>
            <w:tcBorders>
              <w:top w:val="nil"/>
              <w:left w:val="nil"/>
              <w:bottom w:val="single" w:sz="4" w:space="0" w:color="auto"/>
              <w:right w:val="nil"/>
            </w:tcBorders>
          </w:tcPr>
          <w:p w14:paraId="7B4D75F2" w14:textId="5CF164E4"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1,7 ± 5,8</w:t>
            </w:r>
          </w:p>
        </w:tc>
        <w:tc>
          <w:tcPr>
            <w:tcW w:w="1418" w:type="dxa"/>
            <w:tcBorders>
              <w:top w:val="nil"/>
              <w:left w:val="nil"/>
              <w:bottom w:val="single" w:sz="4" w:space="0" w:color="auto"/>
              <w:right w:val="nil"/>
            </w:tcBorders>
          </w:tcPr>
          <w:p w14:paraId="65B2BB86" w14:textId="43EDFAC2"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24,0 ± 19,5</w:t>
            </w:r>
          </w:p>
        </w:tc>
        <w:tc>
          <w:tcPr>
            <w:tcW w:w="1417" w:type="dxa"/>
            <w:tcBorders>
              <w:top w:val="nil"/>
              <w:left w:val="nil"/>
              <w:bottom w:val="single" w:sz="4" w:space="0" w:color="auto"/>
              <w:right w:val="nil"/>
            </w:tcBorders>
          </w:tcPr>
          <w:p w14:paraId="14D0F234" w14:textId="617CB5E7"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7,7 ± 12,4</w:t>
            </w:r>
          </w:p>
        </w:tc>
        <w:tc>
          <w:tcPr>
            <w:tcW w:w="1418" w:type="dxa"/>
            <w:tcBorders>
              <w:top w:val="nil"/>
              <w:left w:val="nil"/>
              <w:bottom w:val="single" w:sz="4" w:space="0" w:color="auto"/>
              <w:right w:val="nil"/>
            </w:tcBorders>
          </w:tcPr>
          <w:p w14:paraId="2EE8654C" w14:textId="6BF65B47"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8,1 ± 10,3</w:t>
            </w:r>
          </w:p>
        </w:tc>
        <w:tc>
          <w:tcPr>
            <w:tcW w:w="1417" w:type="dxa"/>
            <w:tcBorders>
              <w:top w:val="nil"/>
              <w:left w:val="nil"/>
              <w:bottom w:val="single" w:sz="4" w:space="0" w:color="auto"/>
              <w:right w:val="nil"/>
            </w:tcBorders>
          </w:tcPr>
          <w:p w14:paraId="2482D520" w14:textId="73A8CC5F" w:rsidR="00394336" w:rsidRPr="008419AB" w:rsidRDefault="00E01E02"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7,5 ± 13,0</w:t>
            </w:r>
          </w:p>
        </w:tc>
        <w:tc>
          <w:tcPr>
            <w:tcW w:w="1276" w:type="dxa"/>
            <w:tcBorders>
              <w:top w:val="nil"/>
              <w:left w:val="nil"/>
              <w:bottom w:val="single" w:sz="4" w:space="0" w:color="auto"/>
              <w:right w:val="nil"/>
            </w:tcBorders>
          </w:tcPr>
          <w:p w14:paraId="4A36EF29" w14:textId="48DEB7CA"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26,</w:t>
            </w:r>
            <w:r w:rsidR="00394336" w:rsidRPr="008419AB">
              <w:rPr>
                <w:rFonts w:cs="Times New Roman"/>
                <w:sz w:val="20"/>
                <w:szCs w:val="22"/>
                <w:lang w:val="en-US" w:eastAsia="en-US"/>
              </w:rPr>
              <w:t>185</w:t>
            </w:r>
          </w:p>
        </w:tc>
        <w:tc>
          <w:tcPr>
            <w:tcW w:w="1276" w:type="dxa"/>
            <w:tcBorders>
              <w:top w:val="nil"/>
              <w:left w:val="nil"/>
              <w:bottom w:val="single" w:sz="4" w:space="0" w:color="auto"/>
              <w:right w:val="nil"/>
            </w:tcBorders>
          </w:tcPr>
          <w:p w14:paraId="3881DD20" w14:textId="0C1572D1" w:rsidR="00394336" w:rsidRPr="008419AB" w:rsidRDefault="00E64404"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0,</w:t>
            </w:r>
            <w:r w:rsidR="00394336" w:rsidRPr="008419AB">
              <w:rPr>
                <w:rFonts w:cs="Times New Roman"/>
                <w:sz w:val="20"/>
                <w:szCs w:val="22"/>
                <w:lang w:val="en-US" w:eastAsia="en-US"/>
              </w:rPr>
              <w:t>000**</w:t>
            </w:r>
          </w:p>
        </w:tc>
        <w:tc>
          <w:tcPr>
            <w:tcW w:w="2517" w:type="dxa"/>
            <w:gridSpan w:val="2"/>
            <w:tcBorders>
              <w:top w:val="nil"/>
              <w:left w:val="nil"/>
              <w:bottom w:val="single" w:sz="4" w:space="0" w:color="auto"/>
              <w:right w:val="nil"/>
            </w:tcBorders>
          </w:tcPr>
          <w:p w14:paraId="690CD74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 0-5** 0-8 **</w:t>
            </w:r>
          </w:p>
        </w:tc>
      </w:tr>
      <w:tr w:rsidR="00394336" w:rsidRPr="0012107A" w14:paraId="14570440" w14:textId="77777777" w:rsidTr="00E5029D">
        <w:trPr>
          <w:gridAfter w:val="2"/>
          <w:wAfter w:w="141" w:type="dxa"/>
          <w:trHeight w:val="626"/>
        </w:trPr>
        <w:tc>
          <w:tcPr>
            <w:tcW w:w="14709" w:type="dxa"/>
            <w:gridSpan w:val="10"/>
            <w:tcBorders>
              <w:top w:val="single" w:sz="4" w:space="0" w:color="auto"/>
              <w:left w:val="nil"/>
              <w:bottom w:val="nil"/>
              <w:right w:val="nil"/>
            </w:tcBorders>
          </w:tcPr>
          <w:p w14:paraId="7FD4D317" w14:textId="5DC0C2B0" w:rsidR="00394336"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22"/>
                <w:lang w:val="en-US" w:eastAsia="en-US"/>
              </w:rPr>
            </w:pPr>
            <w:r w:rsidRPr="008419AB">
              <w:rPr>
                <w:rFonts w:cs="Times New Roman"/>
                <w:sz w:val="18"/>
                <w:szCs w:val="22"/>
                <w:lang w:val="en-US" w:eastAsia="en-US"/>
              </w:rPr>
              <w:t>SD, standard deviation; GPS, Gait profile score; Pre Op, preoperative; 2yr FU, 2 years follow-up; 5yr FU, 5 years follow-up; 8yr FU, 8</w:t>
            </w:r>
            <w:r w:rsidR="00060A61">
              <w:rPr>
                <w:rFonts w:cs="Times New Roman"/>
                <w:sz w:val="18"/>
                <w:szCs w:val="22"/>
                <w:lang w:val="en-US" w:eastAsia="en-US"/>
              </w:rPr>
              <w:t xml:space="preserve"> years follow-up; </w:t>
            </w:r>
            <w:r w:rsidR="004D1780">
              <w:rPr>
                <w:rFonts w:cs="Times New Roman"/>
                <w:sz w:val="18"/>
                <w:szCs w:val="22"/>
                <w:lang w:val="en-US" w:eastAsia="en-US"/>
              </w:rPr>
              <w:t>Max, maximum</w:t>
            </w:r>
            <w:r w:rsidR="00E43F1B">
              <w:rPr>
                <w:rFonts w:cs="Times New Roman"/>
                <w:sz w:val="18"/>
                <w:szCs w:val="22"/>
                <w:lang w:val="en-US" w:eastAsia="en-US"/>
              </w:rPr>
              <w:t>; °, degree</w:t>
            </w:r>
            <w:r w:rsidRPr="008419AB">
              <w:rPr>
                <w:rFonts w:cs="Times New Roman"/>
                <w:sz w:val="18"/>
                <w:szCs w:val="22"/>
                <w:lang w:val="en-US" w:eastAsia="en-US"/>
              </w:rPr>
              <w:t xml:space="preserve">                                     </w:t>
            </w:r>
            <w:r w:rsidR="00060A61">
              <w:rPr>
                <w:rFonts w:cs="Times New Roman"/>
                <w:sz w:val="18"/>
                <w:szCs w:val="22"/>
                <w:lang w:val="en-US" w:eastAsia="en-US"/>
              </w:rPr>
              <w:t xml:space="preserve">                         </w:t>
            </w:r>
            <w:r w:rsidRPr="008419AB">
              <w:rPr>
                <w:rFonts w:cs="Times New Roman"/>
                <w:sz w:val="18"/>
                <w:szCs w:val="22"/>
                <w:lang w:val="en-US" w:eastAsia="en-US"/>
              </w:rPr>
              <w:t xml:space="preserve"> * p ≤ 0.05 **  p ≤ 0.01   </w:t>
            </w:r>
          </w:p>
          <w:p w14:paraId="22B30D46" w14:textId="77777777" w:rsidR="00394336"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22"/>
                <w:lang w:val="en-US" w:eastAsia="en-US"/>
              </w:rPr>
            </w:pPr>
          </w:p>
          <w:p w14:paraId="05E47C09" w14:textId="77777777" w:rsidR="00394336"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22"/>
                <w:lang w:val="en-US" w:eastAsia="en-US"/>
              </w:rPr>
            </w:pPr>
          </w:p>
          <w:p w14:paraId="29770D22" w14:textId="77777777" w:rsidR="00394336"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22"/>
                <w:lang w:val="en-US" w:eastAsia="en-US"/>
              </w:rPr>
            </w:pPr>
          </w:p>
          <w:p w14:paraId="573F9D1A" w14:textId="77777777" w:rsidR="00394336"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22"/>
                <w:lang w:val="en-US" w:eastAsia="en-US"/>
              </w:rPr>
            </w:pPr>
          </w:p>
          <w:p w14:paraId="3E7AE0C9" w14:textId="77777777" w:rsidR="00394336"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22"/>
                <w:lang w:val="en-US" w:eastAsia="en-US"/>
              </w:rPr>
            </w:pPr>
          </w:p>
          <w:p w14:paraId="063A4AF6" w14:textId="77777777" w:rsidR="00394336"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22"/>
                <w:lang w:val="en-US" w:eastAsia="en-US"/>
              </w:rPr>
            </w:pPr>
          </w:p>
          <w:p w14:paraId="055A72FF" w14:textId="77777777" w:rsidR="00394336"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18"/>
                <w:szCs w:val="22"/>
                <w:lang w:val="en-US" w:eastAsia="en-US"/>
              </w:rPr>
            </w:pPr>
          </w:p>
          <w:p w14:paraId="79FA59E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12107A" w14:paraId="35C2A36F" w14:textId="77777777" w:rsidTr="00E5029D">
        <w:trPr>
          <w:gridAfter w:val="1"/>
          <w:wAfter w:w="106" w:type="dxa"/>
        </w:trPr>
        <w:tc>
          <w:tcPr>
            <w:tcW w:w="14744" w:type="dxa"/>
            <w:gridSpan w:val="11"/>
            <w:tcBorders>
              <w:top w:val="nil"/>
              <w:left w:val="nil"/>
              <w:bottom w:val="nil"/>
              <w:right w:val="nil"/>
            </w:tcBorders>
          </w:tcPr>
          <w:tbl>
            <w:tblPr>
              <w:tblStyle w:val="Tabelraster1"/>
              <w:tblpPr w:leftFromText="141" w:rightFromText="141" w:vertAnchor="page" w:horzAnchor="margin" w:tblpY="1"/>
              <w:tblOverlap w:val="never"/>
              <w:tblW w:w="15310" w:type="dxa"/>
              <w:tblLayout w:type="fixed"/>
              <w:tblLook w:val="04A0" w:firstRow="1" w:lastRow="0" w:firstColumn="1" w:lastColumn="0" w:noHBand="0" w:noVBand="1"/>
            </w:tblPr>
            <w:tblGrid>
              <w:gridCol w:w="34"/>
              <w:gridCol w:w="2518"/>
              <w:gridCol w:w="567"/>
              <w:gridCol w:w="1418"/>
              <w:gridCol w:w="1417"/>
              <w:gridCol w:w="1418"/>
              <w:gridCol w:w="1417"/>
              <w:gridCol w:w="1242"/>
              <w:gridCol w:w="34"/>
              <w:gridCol w:w="1242"/>
              <w:gridCol w:w="34"/>
              <w:gridCol w:w="1242"/>
              <w:gridCol w:w="34"/>
              <w:gridCol w:w="1242"/>
              <w:gridCol w:w="1060"/>
              <w:gridCol w:w="216"/>
              <w:gridCol w:w="34"/>
              <w:gridCol w:w="106"/>
              <w:gridCol w:w="35"/>
            </w:tblGrid>
            <w:tr w:rsidR="00394336" w:rsidRPr="008419AB" w14:paraId="1951B6AA" w14:textId="77777777" w:rsidTr="00E5029D">
              <w:trPr>
                <w:gridAfter w:val="3"/>
                <w:wAfter w:w="175" w:type="dxa"/>
              </w:trPr>
              <w:tc>
                <w:tcPr>
                  <w:tcW w:w="10031" w:type="dxa"/>
                  <w:gridSpan w:val="8"/>
                  <w:tcBorders>
                    <w:top w:val="nil"/>
                    <w:left w:val="nil"/>
                    <w:bottom w:val="nil"/>
                    <w:right w:val="nil"/>
                  </w:tcBorders>
                </w:tcPr>
                <w:p w14:paraId="7AC05F9E" w14:textId="77777777" w:rsidR="000B4388" w:rsidRDefault="00394336" w:rsidP="00E5029D">
                  <w:pPr>
                    <w:tabs>
                      <w:tab w:val="clear" w:pos="284"/>
                      <w:tab w:val="clear" w:pos="567"/>
                      <w:tab w:val="clear" w:pos="851"/>
                      <w:tab w:val="clear" w:pos="1134"/>
                      <w:tab w:val="clear" w:pos="1560"/>
                      <w:tab w:val="clear" w:pos="2127"/>
                      <w:tab w:val="clear" w:pos="2410"/>
                      <w:tab w:val="clear" w:pos="8505"/>
                    </w:tabs>
                    <w:ind w:left="-142"/>
                    <w:jc w:val="left"/>
                    <w:rPr>
                      <w:rFonts w:cs="Times New Roman"/>
                      <w:b/>
                      <w:sz w:val="20"/>
                      <w:szCs w:val="22"/>
                      <w:lang w:val="en-US" w:eastAsia="en-US"/>
                    </w:rPr>
                  </w:pPr>
                  <w:r w:rsidRPr="008419AB">
                    <w:rPr>
                      <w:rFonts w:cs="Times New Roman"/>
                      <w:b/>
                      <w:sz w:val="20"/>
                      <w:szCs w:val="22"/>
                      <w:lang w:val="en-US" w:eastAsia="en-US"/>
                    </w:rPr>
                    <w:lastRenderedPageBreak/>
                    <w:t xml:space="preserve">  </w:t>
                  </w:r>
                </w:p>
                <w:p w14:paraId="0088F1FF" w14:textId="77777777" w:rsidR="00453CE3" w:rsidRDefault="00453CE3" w:rsidP="00E5029D">
                  <w:pPr>
                    <w:tabs>
                      <w:tab w:val="clear" w:pos="284"/>
                      <w:tab w:val="clear" w:pos="567"/>
                      <w:tab w:val="clear" w:pos="851"/>
                      <w:tab w:val="clear" w:pos="1134"/>
                      <w:tab w:val="clear" w:pos="1560"/>
                      <w:tab w:val="clear" w:pos="2127"/>
                      <w:tab w:val="clear" w:pos="2410"/>
                      <w:tab w:val="clear" w:pos="8505"/>
                    </w:tabs>
                    <w:ind w:left="-142"/>
                    <w:jc w:val="left"/>
                    <w:rPr>
                      <w:rFonts w:cs="Times New Roman"/>
                      <w:b/>
                      <w:sz w:val="20"/>
                      <w:szCs w:val="22"/>
                      <w:lang w:val="en-US" w:eastAsia="en-US"/>
                    </w:rPr>
                  </w:pPr>
                </w:p>
                <w:p w14:paraId="694ADA4C" w14:textId="31103898" w:rsidR="00394336" w:rsidRPr="008419AB" w:rsidRDefault="000B4388" w:rsidP="00E5029D">
                  <w:pPr>
                    <w:tabs>
                      <w:tab w:val="clear" w:pos="284"/>
                      <w:tab w:val="clear" w:pos="567"/>
                      <w:tab w:val="clear" w:pos="851"/>
                      <w:tab w:val="clear" w:pos="1134"/>
                      <w:tab w:val="clear" w:pos="1560"/>
                      <w:tab w:val="clear" w:pos="2127"/>
                      <w:tab w:val="clear" w:pos="2410"/>
                      <w:tab w:val="clear" w:pos="8505"/>
                    </w:tabs>
                    <w:ind w:left="-142"/>
                    <w:jc w:val="left"/>
                    <w:rPr>
                      <w:rFonts w:cs="Times New Roman"/>
                      <w:b/>
                      <w:sz w:val="20"/>
                      <w:szCs w:val="22"/>
                      <w:lang w:val="en-US" w:eastAsia="en-US"/>
                    </w:rPr>
                  </w:pPr>
                  <w:r>
                    <w:rPr>
                      <w:rFonts w:cs="Times New Roman"/>
                      <w:b/>
                      <w:sz w:val="20"/>
                      <w:szCs w:val="22"/>
                      <w:lang w:val="en-US" w:eastAsia="en-US"/>
                    </w:rPr>
                    <w:t xml:space="preserve"> </w:t>
                  </w:r>
                  <w:r w:rsidR="00394336" w:rsidRPr="008419AB">
                    <w:rPr>
                      <w:rFonts w:cs="Times New Roman"/>
                      <w:b/>
                      <w:sz w:val="20"/>
                      <w:szCs w:val="22"/>
                      <w:lang w:val="en-US" w:eastAsia="en-US"/>
                    </w:rPr>
                    <w:t>Table 4</w:t>
                  </w:r>
                </w:p>
              </w:tc>
              <w:tc>
                <w:tcPr>
                  <w:tcW w:w="1276" w:type="dxa"/>
                  <w:gridSpan w:val="2"/>
                  <w:tcBorders>
                    <w:top w:val="nil"/>
                    <w:left w:val="nil"/>
                    <w:bottom w:val="nil"/>
                    <w:right w:val="nil"/>
                  </w:tcBorders>
                </w:tcPr>
                <w:p w14:paraId="77A587A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tc>
              <w:tc>
                <w:tcPr>
                  <w:tcW w:w="1276" w:type="dxa"/>
                  <w:gridSpan w:val="2"/>
                  <w:tcBorders>
                    <w:top w:val="nil"/>
                    <w:left w:val="nil"/>
                    <w:bottom w:val="nil"/>
                    <w:right w:val="nil"/>
                  </w:tcBorders>
                </w:tcPr>
                <w:p w14:paraId="2451D6A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tc>
              <w:tc>
                <w:tcPr>
                  <w:tcW w:w="1276" w:type="dxa"/>
                  <w:gridSpan w:val="2"/>
                  <w:tcBorders>
                    <w:top w:val="nil"/>
                    <w:left w:val="nil"/>
                    <w:bottom w:val="nil"/>
                    <w:right w:val="nil"/>
                  </w:tcBorders>
                </w:tcPr>
                <w:p w14:paraId="72A58FE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tc>
              <w:tc>
                <w:tcPr>
                  <w:tcW w:w="1276" w:type="dxa"/>
                  <w:gridSpan w:val="2"/>
                  <w:tcBorders>
                    <w:top w:val="nil"/>
                    <w:left w:val="nil"/>
                    <w:bottom w:val="nil"/>
                    <w:right w:val="nil"/>
                  </w:tcBorders>
                </w:tcPr>
                <w:p w14:paraId="548F523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tc>
            </w:tr>
            <w:tr w:rsidR="00394336" w:rsidRPr="0012107A" w14:paraId="2216A3BD" w14:textId="77777777" w:rsidTr="00E5029D">
              <w:trPr>
                <w:gridBefore w:val="1"/>
                <w:gridAfter w:val="4"/>
                <w:wBefore w:w="34" w:type="dxa"/>
                <w:wAfter w:w="391" w:type="dxa"/>
              </w:trPr>
              <w:tc>
                <w:tcPr>
                  <w:tcW w:w="14885" w:type="dxa"/>
                  <w:gridSpan w:val="14"/>
                  <w:tcBorders>
                    <w:top w:val="nil"/>
                    <w:left w:val="nil"/>
                    <w:bottom w:val="nil"/>
                    <w:right w:val="nil"/>
                  </w:tcBorders>
                </w:tcPr>
                <w:p w14:paraId="6ED9517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250"/>
                    <w:jc w:val="left"/>
                    <w:rPr>
                      <w:rFonts w:cs="Times New Roman"/>
                      <w:sz w:val="20"/>
                      <w:szCs w:val="22"/>
                      <w:lang w:val="en-US" w:eastAsia="en-US"/>
                    </w:rPr>
                  </w:pPr>
                  <w:r>
                    <w:rPr>
                      <w:rFonts w:cs="Times New Roman"/>
                      <w:sz w:val="18"/>
                      <w:szCs w:val="22"/>
                      <w:lang w:val="en-US" w:eastAsia="en-US"/>
                    </w:rPr>
                    <w:t xml:space="preserve">P Predictors of long term improvements in primary outcome parameters </w:t>
                  </w:r>
                </w:p>
              </w:tc>
            </w:tr>
            <w:tr w:rsidR="00394336" w:rsidRPr="008419AB" w14:paraId="3C461068" w14:textId="77777777" w:rsidTr="00E5029D">
              <w:trPr>
                <w:gridBefore w:val="1"/>
                <w:gridAfter w:val="1"/>
                <w:wBefore w:w="34" w:type="dxa"/>
                <w:wAfter w:w="35" w:type="dxa"/>
              </w:trPr>
              <w:tc>
                <w:tcPr>
                  <w:tcW w:w="2518" w:type="dxa"/>
                  <w:tcBorders>
                    <w:top w:val="single" w:sz="4" w:space="0" w:color="auto"/>
                    <w:left w:val="nil"/>
                    <w:bottom w:val="nil"/>
                    <w:right w:val="nil"/>
                  </w:tcBorders>
                </w:tcPr>
                <w:p w14:paraId="59943FF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tc>
              <w:tc>
                <w:tcPr>
                  <w:tcW w:w="567" w:type="dxa"/>
                  <w:tcBorders>
                    <w:top w:val="single" w:sz="4" w:space="0" w:color="auto"/>
                    <w:left w:val="nil"/>
                    <w:bottom w:val="nil"/>
                    <w:right w:val="nil"/>
                  </w:tcBorders>
                </w:tcPr>
                <w:p w14:paraId="2767747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single" w:sz="4" w:space="0" w:color="auto"/>
                    <w:left w:val="nil"/>
                    <w:bottom w:val="single" w:sz="4" w:space="0" w:color="auto"/>
                    <w:right w:val="nil"/>
                  </w:tcBorders>
                </w:tcPr>
                <w:p w14:paraId="46EC1C3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Timing</w:t>
                  </w:r>
                </w:p>
              </w:tc>
              <w:tc>
                <w:tcPr>
                  <w:tcW w:w="1417" w:type="dxa"/>
                  <w:tcBorders>
                    <w:top w:val="single" w:sz="4" w:space="0" w:color="auto"/>
                    <w:left w:val="nil"/>
                    <w:bottom w:val="single" w:sz="4" w:space="0" w:color="auto"/>
                    <w:right w:val="nil"/>
                  </w:tcBorders>
                </w:tcPr>
                <w:p w14:paraId="6B02ACF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single" w:sz="4" w:space="0" w:color="auto"/>
                    <w:left w:val="nil"/>
                    <w:bottom w:val="single" w:sz="4" w:space="0" w:color="auto"/>
                    <w:right w:val="nil"/>
                  </w:tcBorders>
                </w:tcPr>
                <w:p w14:paraId="60B3454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single" w:sz="4" w:space="0" w:color="auto"/>
                    <w:left w:val="nil"/>
                    <w:bottom w:val="single" w:sz="4" w:space="0" w:color="auto"/>
                    <w:right w:val="nil"/>
                  </w:tcBorders>
                </w:tcPr>
                <w:p w14:paraId="587630E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single" w:sz="4" w:space="0" w:color="auto"/>
                    <w:left w:val="nil"/>
                    <w:bottom w:val="single" w:sz="4" w:space="0" w:color="auto"/>
                    <w:right w:val="nil"/>
                  </w:tcBorders>
                </w:tcPr>
                <w:p w14:paraId="493FD66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240"/>
                    <w:jc w:val="left"/>
                    <w:rPr>
                      <w:rFonts w:cs="Times New Roman"/>
                      <w:sz w:val="20"/>
                      <w:szCs w:val="22"/>
                      <w:lang w:val="en-US" w:eastAsia="en-US"/>
                    </w:rPr>
                  </w:pPr>
                  <w:r w:rsidRPr="008419AB">
                    <w:rPr>
                      <w:rFonts w:cs="Times New Roman"/>
                      <w:sz w:val="20"/>
                      <w:szCs w:val="22"/>
                      <w:lang w:val="en-US" w:eastAsia="en-US"/>
                    </w:rPr>
                    <w:t>Statistics</w:t>
                  </w:r>
                </w:p>
              </w:tc>
              <w:tc>
                <w:tcPr>
                  <w:tcW w:w="1276" w:type="dxa"/>
                  <w:gridSpan w:val="2"/>
                  <w:tcBorders>
                    <w:top w:val="single" w:sz="4" w:space="0" w:color="auto"/>
                    <w:left w:val="nil"/>
                    <w:bottom w:val="single" w:sz="4" w:space="0" w:color="auto"/>
                    <w:right w:val="nil"/>
                  </w:tcBorders>
                </w:tcPr>
                <w:p w14:paraId="3111133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c>
                <w:tcPr>
                  <w:tcW w:w="1276" w:type="dxa"/>
                  <w:gridSpan w:val="2"/>
                  <w:tcBorders>
                    <w:top w:val="single" w:sz="4" w:space="0" w:color="auto"/>
                    <w:left w:val="nil"/>
                    <w:bottom w:val="single" w:sz="4" w:space="0" w:color="auto"/>
                    <w:right w:val="nil"/>
                  </w:tcBorders>
                </w:tcPr>
                <w:p w14:paraId="771C2BF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c>
                <w:tcPr>
                  <w:tcW w:w="2658" w:type="dxa"/>
                  <w:gridSpan w:val="5"/>
                  <w:tcBorders>
                    <w:top w:val="single" w:sz="4" w:space="0" w:color="auto"/>
                    <w:left w:val="nil"/>
                    <w:bottom w:val="single" w:sz="4" w:space="0" w:color="auto"/>
                    <w:right w:val="nil"/>
                  </w:tcBorders>
                </w:tcPr>
                <w:p w14:paraId="0ECF283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right="-1065"/>
                    <w:jc w:val="left"/>
                    <w:rPr>
                      <w:rFonts w:cs="Times New Roman"/>
                      <w:sz w:val="20"/>
                      <w:szCs w:val="22"/>
                      <w:lang w:val="en-US" w:eastAsia="en-US"/>
                    </w:rPr>
                  </w:pPr>
                </w:p>
              </w:tc>
            </w:tr>
            <w:tr w:rsidR="00394336" w:rsidRPr="008419AB" w14:paraId="5F0F1828" w14:textId="77777777" w:rsidTr="00E5029D">
              <w:trPr>
                <w:gridBefore w:val="1"/>
                <w:wBefore w:w="34" w:type="dxa"/>
              </w:trPr>
              <w:tc>
                <w:tcPr>
                  <w:tcW w:w="2518" w:type="dxa"/>
                  <w:tcBorders>
                    <w:top w:val="nil"/>
                    <w:left w:val="nil"/>
                    <w:bottom w:val="nil"/>
                    <w:right w:val="nil"/>
                  </w:tcBorders>
                </w:tcPr>
                <w:p w14:paraId="66F0447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p>
                <w:p w14:paraId="2A80600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567" w:type="dxa"/>
                  <w:tcBorders>
                    <w:top w:val="nil"/>
                    <w:left w:val="nil"/>
                    <w:bottom w:val="nil"/>
                    <w:right w:val="nil"/>
                  </w:tcBorders>
                </w:tcPr>
                <w:p w14:paraId="19F0C69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single" w:sz="4" w:space="0" w:color="auto"/>
                    <w:left w:val="nil"/>
                    <w:bottom w:val="single" w:sz="4" w:space="0" w:color="auto"/>
                    <w:right w:val="nil"/>
                  </w:tcBorders>
                </w:tcPr>
                <w:p w14:paraId="45000EE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Pre Op (n=31)</w:t>
                  </w:r>
                </w:p>
              </w:tc>
              <w:tc>
                <w:tcPr>
                  <w:tcW w:w="1417" w:type="dxa"/>
                  <w:tcBorders>
                    <w:top w:val="single" w:sz="4" w:space="0" w:color="auto"/>
                    <w:left w:val="nil"/>
                    <w:bottom w:val="single" w:sz="4" w:space="0" w:color="auto"/>
                    <w:right w:val="nil"/>
                  </w:tcBorders>
                </w:tcPr>
                <w:p w14:paraId="2E47E77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2yr FU (n=29)</w:t>
                  </w:r>
                </w:p>
              </w:tc>
              <w:tc>
                <w:tcPr>
                  <w:tcW w:w="1418" w:type="dxa"/>
                  <w:tcBorders>
                    <w:top w:val="single" w:sz="4" w:space="0" w:color="auto"/>
                    <w:left w:val="nil"/>
                    <w:bottom w:val="single" w:sz="4" w:space="0" w:color="auto"/>
                    <w:right w:val="nil"/>
                  </w:tcBorders>
                </w:tcPr>
                <w:p w14:paraId="17889C2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5yr FU (n=20)</w:t>
                  </w:r>
                </w:p>
              </w:tc>
              <w:tc>
                <w:tcPr>
                  <w:tcW w:w="1417" w:type="dxa"/>
                  <w:tcBorders>
                    <w:top w:val="single" w:sz="4" w:space="0" w:color="auto"/>
                    <w:left w:val="nil"/>
                    <w:bottom w:val="single" w:sz="4" w:space="0" w:color="auto"/>
                    <w:right w:val="nil"/>
                  </w:tcBorders>
                </w:tcPr>
                <w:p w14:paraId="6EDA38C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8yr FU (n=20)</w:t>
                  </w:r>
                </w:p>
              </w:tc>
              <w:tc>
                <w:tcPr>
                  <w:tcW w:w="1276" w:type="dxa"/>
                  <w:gridSpan w:val="2"/>
                  <w:tcBorders>
                    <w:top w:val="single" w:sz="4" w:space="0" w:color="auto"/>
                    <w:left w:val="nil"/>
                    <w:bottom w:val="nil"/>
                    <w:right w:val="nil"/>
                  </w:tcBorders>
                </w:tcPr>
                <w:p w14:paraId="44C25E7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240"/>
                    <w:jc w:val="left"/>
                    <w:rPr>
                      <w:rFonts w:ascii="Symbol" w:hAnsi="Symbol" w:cs="Times New Roman"/>
                      <w:sz w:val="20"/>
                      <w:szCs w:val="22"/>
                      <w:vertAlign w:val="superscript"/>
                      <w:lang w:val="en-US" w:eastAsia="en-US"/>
                    </w:rPr>
                  </w:pPr>
                </w:p>
              </w:tc>
              <w:tc>
                <w:tcPr>
                  <w:tcW w:w="1276" w:type="dxa"/>
                  <w:gridSpan w:val="2"/>
                  <w:tcBorders>
                    <w:top w:val="single" w:sz="4" w:space="0" w:color="auto"/>
                    <w:left w:val="nil"/>
                    <w:bottom w:val="nil"/>
                    <w:right w:val="nil"/>
                  </w:tcBorders>
                </w:tcPr>
                <w:p w14:paraId="6FAE485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c>
                <w:tcPr>
                  <w:tcW w:w="1276" w:type="dxa"/>
                  <w:gridSpan w:val="2"/>
                  <w:tcBorders>
                    <w:top w:val="single" w:sz="4" w:space="0" w:color="auto"/>
                    <w:left w:val="nil"/>
                    <w:bottom w:val="nil"/>
                    <w:right w:val="nil"/>
                  </w:tcBorders>
                </w:tcPr>
                <w:p w14:paraId="0C1A981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c>
                <w:tcPr>
                  <w:tcW w:w="2693" w:type="dxa"/>
                  <w:gridSpan w:val="6"/>
                  <w:tcBorders>
                    <w:top w:val="single" w:sz="4" w:space="0" w:color="auto"/>
                    <w:left w:val="nil"/>
                    <w:bottom w:val="nil"/>
                    <w:right w:val="nil"/>
                  </w:tcBorders>
                </w:tcPr>
                <w:p w14:paraId="7349535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r>
            <w:tr w:rsidR="00394336" w:rsidRPr="008419AB" w14:paraId="1B7C8C3B" w14:textId="77777777" w:rsidTr="00E5029D">
              <w:trPr>
                <w:gridBefore w:val="1"/>
                <w:wBefore w:w="34" w:type="dxa"/>
              </w:trPr>
              <w:tc>
                <w:tcPr>
                  <w:tcW w:w="2518" w:type="dxa"/>
                  <w:tcBorders>
                    <w:top w:val="nil"/>
                    <w:left w:val="nil"/>
                    <w:bottom w:val="single" w:sz="4" w:space="0" w:color="auto"/>
                    <w:right w:val="nil"/>
                  </w:tcBorders>
                </w:tcPr>
                <w:p w14:paraId="611E919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w:t>
                  </w:r>
                </w:p>
              </w:tc>
              <w:tc>
                <w:tcPr>
                  <w:tcW w:w="567" w:type="dxa"/>
                  <w:tcBorders>
                    <w:top w:val="nil"/>
                    <w:left w:val="nil"/>
                    <w:bottom w:val="single" w:sz="4" w:space="0" w:color="auto"/>
                    <w:right w:val="nil"/>
                  </w:tcBorders>
                </w:tcPr>
                <w:p w14:paraId="6CC35C1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left w:val="nil"/>
                    <w:bottom w:val="single" w:sz="4" w:space="0" w:color="auto"/>
                    <w:right w:val="nil"/>
                  </w:tcBorders>
                </w:tcPr>
                <w:p w14:paraId="1DB1A8B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±1SD</w:t>
                  </w:r>
                </w:p>
              </w:tc>
              <w:tc>
                <w:tcPr>
                  <w:tcW w:w="1417" w:type="dxa"/>
                  <w:tcBorders>
                    <w:left w:val="nil"/>
                    <w:bottom w:val="single" w:sz="4" w:space="0" w:color="auto"/>
                    <w:right w:val="nil"/>
                  </w:tcBorders>
                </w:tcPr>
                <w:p w14:paraId="43A248C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±1SD</w:t>
                  </w:r>
                </w:p>
              </w:tc>
              <w:tc>
                <w:tcPr>
                  <w:tcW w:w="1418" w:type="dxa"/>
                  <w:tcBorders>
                    <w:left w:val="nil"/>
                    <w:bottom w:val="single" w:sz="4" w:space="0" w:color="auto"/>
                    <w:right w:val="nil"/>
                  </w:tcBorders>
                </w:tcPr>
                <w:p w14:paraId="43CEBB0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±1SD</w:t>
                  </w:r>
                </w:p>
              </w:tc>
              <w:tc>
                <w:tcPr>
                  <w:tcW w:w="1417" w:type="dxa"/>
                  <w:tcBorders>
                    <w:left w:val="nil"/>
                    <w:bottom w:val="single" w:sz="4" w:space="0" w:color="auto"/>
                    <w:right w:val="nil"/>
                  </w:tcBorders>
                </w:tcPr>
                <w:p w14:paraId="6CE9F95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Mean ±1SD</w:t>
                  </w:r>
                </w:p>
              </w:tc>
              <w:tc>
                <w:tcPr>
                  <w:tcW w:w="1276" w:type="dxa"/>
                  <w:gridSpan w:val="2"/>
                  <w:tcBorders>
                    <w:top w:val="nil"/>
                    <w:left w:val="nil"/>
                    <w:bottom w:val="single" w:sz="4" w:space="0" w:color="auto"/>
                    <w:right w:val="nil"/>
                  </w:tcBorders>
                </w:tcPr>
                <w:p w14:paraId="670FA43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240"/>
                    <w:jc w:val="left"/>
                    <w:rPr>
                      <w:rFonts w:ascii="Symbol" w:hAnsi="Symbol" w:cs="Times New Roman"/>
                      <w:sz w:val="20"/>
                      <w:szCs w:val="22"/>
                      <w:vertAlign w:val="superscript"/>
                      <w:lang w:val="en-US" w:eastAsia="en-US"/>
                    </w:rPr>
                  </w:pPr>
                  <w:r w:rsidRPr="008419AB">
                    <w:rPr>
                      <w:rFonts w:cs="Times New Roman"/>
                      <w:sz w:val="20"/>
                      <w:szCs w:val="22"/>
                      <w:lang w:val="en-US" w:eastAsia="en-US"/>
                    </w:rPr>
                    <w:t xml:space="preserve">Wald </w:t>
                  </w:r>
                  <w:r w:rsidRPr="008419AB">
                    <w:rPr>
                      <w:rFonts w:ascii="Symbol" w:hAnsi="Symbol" w:cs="Times New Roman"/>
                      <w:sz w:val="20"/>
                      <w:szCs w:val="22"/>
                      <w:lang w:val="en-US" w:eastAsia="en-US"/>
                    </w:rPr>
                    <w:t></w:t>
                  </w:r>
                  <w:r w:rsidRPr="008419AB">
                    <w:rPr>
                      <w:rFonts w:ascii="Symbol" w:hAnsi="Symbol" w:cs="Times New Roman"/>
                      <w:sz w:val="20"/>
                      <w:szCs w:val="22"/>
                      <w:vertAlign w:val="superscript"/>
                      <w:lang w:val="en-US" w:eastAsia="en-US"/>
                    </w:rPr>
                    <w:t></w:t>
                  </w:r>
                </w:p>
              </w:tc>
              <w:tc>
                <w:tcPr>
                  <w:tcW w:w="1276" w:type="dxa"/>
                  <w:gridSpan w:val="2"/>
                  <w:tcBorders>
                    <w:top w:val="nil"/>
                    <w:left w:val="nil"/>
                    <w:bottom w:val="single" w:sz="4" w:space="0" w:color="auto"/>
                    <w:right w:val="nil"/>
                  </w:tcBorders>
                </w:tcPr>
                <w:p w14:paraId="5E1AFC7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r w:rsidRPr="008419AB">
                    <w:rPr>
                      <w:rFonts w:cs="Times New Roman"/>
                      <w:sz w:val="20"/>
                      <w:szCs w:val="22"/>
                      <w:lang w:val="en-US" w:eastAsia="en-US"/>
                    </w:rPr>
                    <w:t xml:space="preserve">     B</w:t>
                  </w:r>
                </w:p>
              </w:tc>
              <w:tc>
                <w:tcPr>
                  <w:tcW w:w="1276" w:type="dxa"/>
                  <w:gridSpan w:val="2"/>
                  <w:tcBorders>
                    <w:top w:val="nil"/>
                    <w:left w:val="nil"/>
                    <w:bottom w:val="single" w:sz="4" w:space="0" w:color="auto"/>
                    <w:right w:val="nil"/>
                  </w:tcBorders>
                </w:tcPr>
                <w:p w14:paraId="4C55179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r w:rsidRPr="008419AB">
                    <w:rPr>
                      <w:rFonts w:cs="Times New Roman"/>
                      <w:sz w:val="20"/>
                      <w:szCs w:val="22"/>
                      <w:lang w:val="en-US" w:eastAsia="en-US"/>
                    </w:rPr>
                    <w:t>p-value</w:t>
                  </w:r>
                </w:p>
              </w:tc>
              <w:tc>
                <w:tcPr>
                  <w:tcW w:w="2693" w:type="dxa"/>
                  <w:gridSpan w:val="6"/>
                  <w:tcBorders>
                    <w:top w:val="nil"/>
                    <w:left w:val="nil"/>
                    <w:bottom w:val="single" w:sz="4" w:space="0" w:color="auto"/>
                    <w:right w:val="nil"/>
                  </w:tcBorders>
                </w:tcPr>
                <w:p w14:paraId="7776969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ind w:left="141"/>
                    <w:jc w:val="left"/>
                    <w:rPr>
                      <w:rFonts w:cs="Times New Roman"/>
                      <w:sz w:val="20"/>
                      <w:szCs w:val="22"/>
                      <w:lang w:val="en-US" w:eastAsia="en-US"/>
                    </w:rPr>
                  </w:pPr>
                </w:p>
              </w:tc>
            </w:tr>
            <w:tr w:rsidR="00394336" w:rsidRPr="008419AB" w14:paraId="15803B85" w14:textId="77777777" w:rsidTr="00E5029D">
              <w:trPr>
                <w:gridBefore w:val="1"/>
                <w:wBefore w:w="34" w:type="dxa"/>
              </w:trPr>
              <w:tc>
                <w:tcPr>
                  <w:tcW w:w="2518" w:type="dxa"/>
                  <w:tcBorders>
                    <w:top w:val="nil"/>
                    <w:left w:val="nil"/>
                    <w:bottom w:val="nil"/>
                    <w:right w:val="nil"/>
                  </w:tcBorders>
                </w:tcPr>
                <w:p w14:paraId="141C77B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b/>
                      <w:sz w:val="20"/>
                      <w:szCs w:val="22"/>
                      <w:lang w:val="en-US" w:eastAsia="en-US"/>
                    </w:rPr>
                  </w:pPr>
                  <w:r w:rsidRPr="008419AB">
                    <w:rPr>
                      <w:rFonts w:cs="Times New Roman"/>
                      <w:b/>
                      <w:sz w:val="20"/>
                      <w:szCs w:val="22"/>
                      <w:lang w:val="en-US" w:eastAsia="en-US"/>
                    </w:rPr>
                    <w:t>Gait Measures</w:t>
                  </w:r>
                </w:p>
              </w:tc>
              <w:tc>
                <w:tcPr>
                  <w:tcW w:w="567" w:type="dxa"/>
                  <w:tcBorders>
                    <w:top w:val="nil"/>
                    <w:left w:val="nil"/>
                    <w:bottom w:val="nil"/>
                    <w:right w:val="nil"/>
                  </w:tcBorders>
                </w:tcPr>
                <w:p w14:paraId="2328AD5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6A8F065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0BF2739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6F48849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4C12E1C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0B6B87C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3743940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3692FB7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693" w:type="dxa"/>
                  <w:gridSpan w:val="6"/>
                  <w:tcBorders>
                    <w:top w:val="nil"/>
                    <w:left w:val="nil"/>
                    <w:bottom w:val="nil"/>
                    <w:right w:val="nil"/>
                  </w:tcBorders>
                </w:tcPr>
                <w:p w14:paraId="3FC5775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41786186" w14:textId="77777777" w:rsidTr="00E5029D">
              <w:trPr>
                <w:gridBefore w:val="1"/>
                <w:wBefore w:w="34" w:type="dxa"/>
              </w:trPr>
              <w:tc>
                <w:tcPr>
                  <w:tcW w:w="2518" w:type="dxa"/>
                  <w:tcBorders>
                    <w:top w:val="nil"/>
                    <w:left w:val="nil"/>
                    <w:bottom w:val="nil"/>
                    <w:right w:val="nil"/>
                  </w:tcBorders>
                </w:tcPr>
                <w:p w14:paraId="73781AE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u w:val="single"/>
                      <w:lang w:val="en-US" w:eastAsia="en-US"/>
                    </w:rPr>
                  </w:pPr>
                  <w:r w:rsidRPr="008419AB">
                    <w:rPr>
                      <w:rFonts w:cs="Times New Roman"/>
                      <w:sz w:val="20"/>
                      <w:szCs w:val="22"/>
                      <w:u w:val="single"/>
                      <w:lang w:val="en-US" w:eastAsia="en-US"/>
                    </w:rPr>
                    <w:t>GPS (°)</w:t>
                  </w:r>
                </w:p>
              </w:tc>
              <w:tc>
                <w:tcPr>
                  <w:tcW w:w="567" w:type="dxa"/>
                  <w:tcBorders>
                    <w:top w:val="nil"/>
                    <w:left w:val="nil"/>
                    <w:bottom w:val="nil"/>
                    <w:right w:val="nil"/>
                  </w:tcBorders>
                </w:tcPr>
                <w:p w14:paraId="61AD1BF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49167293" w14:textId="5DB92FA8"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15,</w:t>
                  </w:r>
                  <w:r w:rsidR="00C9088E">
                    <w:rPr>
                      <w:rFonts w:cs="Times New Roman"/>
                      <w:sz w:val="20"/>
                      <w:szCs w:val="22"/>
                      <w:lang w:val="en-US" w:eastAsia="en-US"/>
                    </w:rPr>
                    <w:t>6</w:t>
                  </w:r>
                  <w:r w:rsidRPr="008419AB">
                    <w:rPr>
                      <w:rFonts w:cs="Times New Roman"/>
                      <w:sz w:val="20"/>
                      <w:szCs w:val="22"/>
                      <w:lang w:val="en-US" w:eastAsia="en-US"/>
                    </w:rPr>
                    <w:t xml:space="preserve"> ± 4,2</w:t>
                  </w:r>
                </w:p>
              </w:tc>
              <w:tc>
                <w:tcPr>
                  <w:tcW w:w="1417" w:type="dxa"/>
                  <w:tcBorders>
                    <w:top w:val="nil"/>
                    <w:left w:val="nil"/>
                    <w:bottom w:val="nil"/>
                    <w:right w:val="nil"/>
                  </w:tcBorders>
                </w:tcPr>
                <w:p w14:paraId="7D3652CE" w14:textId="7D3A2E7E"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10,6 ± 3,</w:t>
                  </w:r>
                  <w:r w:rsidR="00C9088E">
                    <w:rPr>
                      <w:rFonts w:cs="Times New Roman"/>
                      <w:sz w:val="20"/>
                      <w:szCs w:val="22"/>
                      <w:lang w:val="en-US" w:eastAsia="en-US"/>
                    </w:rPr>
                    <w:t>5</w:t>
                  </w:r>
                </w:p>
              </w:tc>
              <w:tc>
                <w:tcPr>
                  <w:tcW w:w="1418" w:type="dxa"/>
                  <w:tcBorders>
                    <w:top w:val="nil"/>
                    <w:left w:val="nil"/>
                    <w:bottom w:val="nil"/>
                    <w:right w:val="nil"/>
                  </w:tcBorders>
                </w:tcPr>
                <w:p w14:paraId="2813AE23" w14:textId="4F4C00D7"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10,</w:t>
                  </w:r>
                  <w:r w:rsidR="00C9088E">
                    <w:rPr>
                      <w:rFonts w:cs="Times New Roman"/>
                      <w:sz w:val="20"/>
                      <w:szCs w:val="22"/>
                      <w:lang w:val="en-US" w:eastAsia="en-US"/>
                    </w:rPr>
                    <w:t>5</w:t>
                  </w:r>
                  <w:r w:rsidRPr="008419AB">
                    <w:rPr>
                      <w:rFonts w:cs="Times New Roman"/>
                      <w:sz w:val="20"/>
                      <w:szCs w:val="22"/>
                      <w:lang w:val="en-US" w:eastAsia="en-US"/>
                    </w:rPr>
                    <w:t xml:space="preserve"> ± 2,</w:t>
                  </w:r>
                  <w:r w:rsidR="00C9088E">
                    <w:rPr>
                      <w:rFonts w:cs="Times New Roman"/>
                      <w:sz w:val="20"/>
                      <w:szCs w:val="22"/>
                      <w:lang w:val="en-US" w:eastAsia="en-US"/>
                    </w:rPr>
                    <w:t>5</w:t>
                  </w:r>
                </w:p>
              </w:tc>
              <w:tc>
                <w:tcPr>
                  <w:tcW w:w="1417" w:type="dxa"/>
                  <w:tcBorders>
                    <w:top w:val="nil"/>
                    <w:left w:val="nil"/>
                    <w:bottom w:val="nil"/>
                    <w:right w:val="nil"/>
                  </w:tcBorders>
                </w:tcPr>
                <w:p w14:paraId="160C2D97" w14:textId="68A663AF" w:rsidR="00394336" w:rsidRPr="008419AB" w:rsidRDefault="00C9088E"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11,0</w:t>
                  </w:r>
                  <w:r w:rsidR="00394336" w:rsidRPr="008419AB">
                    <w:rPr>
                      <w:rFonts w:cs="Times New Roman"/>
                      <w:sz w:val="20"/>
                      <w:szCs w:val="22"/>
                      <w:lang w:val="en-US" w:eastAsia="en-US"/>
                    </w:rPr>
                    <w:t xml:space="preserve"> ± 3,3</w:t>
                  </w:r>
                </w:p>
              </w:tc>
              <w:tc>
                <w:tcPr>
                  <w:tcW w:w="1276" w:type="dxa"/>
                  <w:gridSpan w:val="2"/>
                  <w:tcBorders>
                    <w:top w:val="nil"/>
                    <w:left w:val="nil"/>
                    <w:bottom w:val="nil"/>
                    <w:right w:val="nil"/>
                  </w:tcBorders>
                </w:tcPr>
                <w:p w14:paraId="6C3DA82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64,496</w:t>
                  </w:r>
                </w:p>
              </w:tc>
              <w:tc>
                <w:tcPr>
                  <w:tcW w:w="1276" w:type="dxa"/>
                  <w:gridSpan w:val="2"/>
                  <w:tcBorders>
                    <w:top w:val="nil"/>
                    <w:left w:val="nil"/>
                    <w:bottom w:val="nil"/>
                    <w:right w:val="nil"/>
                  </w:tcBorders>
                </w:tcPr>
                <w:p w14:paraId="1469107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1DA9DB3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0,000**</w:t>
                  </w:r>
                </w:p>
              </w:tc>
              <w:tc>
                <w:tcPr>
                  <w:tcW w:w="2693" w:type="dxa"/>
                  <w:gridSpan w:val="6"/>
                  <w:tcBorders>
                    <w:top w:val="nil"/>
                    <w:left w:val="nil"/>
                    <w:bottom w:val="nil"/>
                    <w:right w:val="nil"/>
                  </w:tcBorders>
                </w:tcPr>
                <w:p w14:paraId="184C482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 0-5** 0-8**</w:t>
                  </w:r>
                </w:p>
              </w:tc>
            </w:tr>
            <w:tr w:rsidR="00394336" w:rsidRPr="008419AB" w14:paraId="237ED831" w14:textId="77777777" w:rsidTr="00E5029D">
              <w:trPr>
                <w:gridBefore w:val="1"/>
                <w:wBefore w:w="34" w:type="dxa"/>
              </w:trPr>
              <w:tc>
                <w:tcPr>
                  <w:tcW w:w="2518" w:type="dxa"/>
                  <w:tcBorders>
                    <w:top w:val="nil"/>
                    <w:left w:val="nil"/>
                    <w:bottom w:val="nil"/>
                    <w:right w:val="nil"/>
                  </w:tcBorders>
                </w:tcPr>
                <w:p w14:paraId="4242205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GPS Pre Op      </w:t>
                  </w:r>
                </w:p>
              </w:tc>
              <w:tc>
                <w:tcPr>
                  <w:tcW w:w="567" w:type="dxa"/>
                  <w:tcBorders>
                    <w:top w:val="nil"/>
                    <w:left w:val="nil"/>
                    <w:bottom w:val="nil"/>
                    <w:right w:val="nil"/>
                  </w:tcBorders>
                </w:tcPr>
                <w:p w14:paraId="7DE0124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829479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02AC4EF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275EFF4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0274FA1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5CAA983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28,047</w:t>
                  </w:r>
                </w:p>
              </w:tc>
              <w:tc>
                <w:tcPr>
                  <w:tcW w:w="1276" w:type="dxa"/>
                  <w:gridSpan w:val="2"/>
                  <w:tcBorders>
                    <w:top w:val="nil"/>
                    <w:left w:val="nil"/>
                    <w:bottom w:val="nil"/>
                    <w:right w:val="nil"/>
                  </w:tcBorders>
                </w:tcPr>
                <w:p w14:paraId="179E9D1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0,370</w:t>
                  </w:r>
                </w:p>
              </w:tc>
              <w:tc>
                <w:tcPr>
                  <w:tcW w:w="1276" w:type="dxa"/>
                  <w:gridSpan w:val="2"/>
                  <w:tcBorders>
                    <w:top w:val="nil"/>
                    <w:left w:val="nil"/>
                    <w:bottom w:val="nil"/>
                    <w:right w:val="nil"/>
                  </w:tcBorders>
                </w:tcPr>
                <w:p w14:paraId="3AFCAEA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0,000**</w:t>
                  </w:r>
                </w:p>
              </w:tc>
              <w:tc>
                <w:tcPr>
                  <w:tcW w:w="2693" w:type="dxa"/>
                  <w:gridSpan w:val="6"/>
                  <w:tcBorders>
                    <w:top w:val="nil"/>
                    <w:left w:val="nil"/>
                    <w:bottom w:val="nil"/>
                    <w:right w:val="nil"/>
                  </w:tcBorders>
                </w:tcPr>
                <w:p w14:paraId="0AC4305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4A8DD21A" w14:textId="77777777" w:rsidTr="00E5029D">
              <w:trPr>
                <w:gridBefore w:val="1"/>
                <w:wBefore w:w="34" w:type="dxa"/>
              </w:trPr>
              <w:tc>
                <w:tcPr>
                  <w:tcW w:w="2518" w:type="dxa"/>
                  <w:tcBorders>
                    <w:top w:val="nil"/>
                    <w:left w:val="nil"/>
                    <w:bottom w:val="nil"/>
                    <w:right w:val="nil"/>
                  </w:tcBorders>
                </w:tcPr>
                <w:p w14:paraId="543882D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Pre Op</w:t>
                  </w:r>
                </w:p>
              </w:tc>
              <w:tc>
                <w:tcPr>
                  <w:tcW w:w="567" w:type="dxa"/>
                  <w:tcBorders>
                    <w:top w:val="nil"/>
                    <w:left w:val="nil"/>
                    <w:bottom w:val="nil"/>
                    <w:right w:val="nil"/>
                  </w:tcBorders>
                </w:tcPr>
                <w:p w14:paraId="16FFCD3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6E718F4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159262C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2BE4009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64F7D00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11F4DD0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2,699</w:t>
                  </w:r>
                </w:p>
              </w:tc>
              <w:tc>
                <w:tcPr>
                  <w:tcW w:w="1276" w:type="dxa"/>
                  <w:gridSpan w:val="2"/>
                  <w:tcBorders>
                    <w:top w:val="nil"/>
                    <w:left w:val="nil"/>
                    <w:bottom w:val="nil"/>
                    <w:right w:val="nil"/>
                  </w:tcBorders>
                </w:tcPr>
                <w:p w14:paraId="79D06E1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4C1C880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0,259</w:t>
                  </w:r>
                </w:p>
              </w:tc>
              <w:tc>
                <w:tcPr>
                  <w:tcW w:w="2693" w:type="dxa"/>
                  <w:gridSpan w:val="6"/>
                  <w:tcBorders>
                    <w:top w:val="nil"/>
                    <w:left w:val="nil"/>
                    <w:bottom w:val="nil"/>
                    <w:right w:val="nil"/>
                  </w:tcBorders>
                </w:tcPr>
                <w:p w14:paraId="7D9B516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2F1727D2" w14:textId="77777777" w:rsidTr="00E5029D">
              <w:trPr>
                <w:gridBefore w:val="1"/>
                <w:wBefore w:w="34" w:type="dxa"/>
              </w:trPr>
              <w:tc>
                <w:tcPr>
                  <w:tcW w:w="2518" w:type="dxa"/>
                  <w:tcBorders>
                    <w:top w:val="nil"/>
                    <w:left w:val="nil"/>
                    <w:bottom w:val="nil"/>
                    <w:right w:val="nil"/>
                  </w:tcBorders>
                </w:tcPr>
                <w:p w14:paraId="3DC1FD9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III </w:t>
                  </w:r>
                </w:p>
              </w:tc>
              <w:tc>
                <w:tcPr>
                  <w:tcW w:w="567" w:type="dxa"/>
                  <w:tcBorders>
                    <w:top w:val="nil"/>
                    <w:left w:val="nil"/>
                    <w:bottom w:val="nil"/>
                    <w:right w:val="nil"/>
                  </w:tcBorders>
                </w:tcPr>
                <w:p w14:paraId="562A9B5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3B97353F" w14:textId="1CB75376" w:rsidR="00394336" w:rsidRPr="005F5FC8" w:rsidRDefault="00394336" w:rsidP="00C9088E">
                  <w:pPr>
                    <w:jc w:val="left"/>
                    <w:rPr>
                      <w:color w:val="000000"/>
                      <w:sz w:val="20"/>
                      <w:szCs w:val="20"/>
                    </w:rPr>
                  </w:pPr>
                  <w:r>
                    <w:rPr>
                      <w:color w:val="000000"/>
                      <w:sz w:val="20"/>
                      <w:szCs w:val="20"/>
                    </w:rPr>
                    <w:t>17,</w:t>
                  </w:r>
                  <w:r w:rsidR="00C9088E">
                    <w:rPr>
                      <w:color w:val="000000"/>
                      <w:sz w:val="20"/>
                      <w:szCs w:val="20"/>
                    </w:rPr>
                    <w:t>7</w:t>
                  </w:r>
                  <w:r>
                    <w:rPr>
                      <w:color w:val="000000"/>
                      <w:sz w:val="20"/>
                      <w:szCs w:val="20"/>
                    </w:rPr>
                    <w:t xml:space="preserve"> </w:t>
                  </w:r>
                  <w:r w:rsidRPr="008419AB">
                    <w:rPr>
                      <w:rFonts w:cs="Times New Roman"/>
                      <w:sz w:val="20"/>
                      <w:szCs w:val="22"/>
                      <w:lang w:val="en-US" w:eastAsia="en-US"/>
                    </w:rPr>
                    <w:t>±</w:t>
                  </w:r>
                  <w:r>
                    <w:rPr>
                      <w:color w:val="000000"/>
                      <w:sz w:val="20"/>
                      <w:szCs w:val="20"/>
                    </w:rPr>
                    <w:t xml:space="preserve"> 0,4</w:t>
                  </w:r>
                </w:p>
              </w:tc>
              <w:tc>
                <w:tcPr>
                  <w:tcW w:w="1417" w:type="dxa"/>
                  <w:tcBorders>
                    <w:top w:val="nil"/>
                    <w:left w:val="nil"/>
                    <w:bottom w:val="nil"/>
                    <w:right w:val="nil"/>
                  </w:tcBorders>
                </w:tcPr>
                <w:p w14:paraId="32E29265" w14:textId="2BCE288D"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15,4 </w:t>
                  </w:r>
                  <w:r w:rsidRPr="008419AB">
                    <w:rPr>
                      <w:rFonts w:cs="Times New Roman"/>
                      <w:sz w:val="20"/>
                      <w:szCs w:val="22"/>
                      <w:lang w:val="en-US" w:eastAsia="en-US"/>
                    </w:rPr>
                    <w:t>±</w:t>
                  </w:r>
                  <w:r>
                    <w:rPr>
                      <w:rFonts w:cs="Times New Roman"/>
                      <w:sz w:val="20"/>
                      <w:szCs w:val="22"/>
                      <w:lang w:val="en-US" w:eastAsia="en-US"/>
                    </w:rPr>
                    <w:t xml:space="preserve"> 3,</w:t>
                  </w:r>
                  <w:r w:rsidR="00C9088E">
                    <w:rPr>
                      <w:rFonts w:cs="Times New Roman"/>
                      <w:sz w:val="20"/>
                      <w:szCs w:val="22"/>
                      <w:lang w:val="en-US" w:eastAsia="en-US"/>
                    </w:rPr>
                    <w:t>2</w:t>
                  </w:r>
                </w:p>
              </w:tc>
              <w:tc>
                <w:tcPr>
                  <w:tcW w:w="1418" w:type="dxa"/>
                  <w:tcBorders>
                    <w:top w:val="nil"/>
                    <w:left w:val="nil"/>
                    <w:bottom w:val="nil"/>
                    <w:right w:val="nil"/>
                  </w:tcBorders>
                </w:tcPr>
                <w:p w14:paraId="391704BC" w14:textId="48D8A44C"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12,9</w:t>
                  </w:r>
                  <w:r w:rsidR="00C9088E">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3,</w:t>
                  </w:r>
                  <w:r w:rsidR="00C9088E">
                    <w:rPr>
                      <w:rFonts w:cs="Times New Roman"/>
                      <w:sz w:val="20"/>
                      <w:szCs w:val="22"/>
                      <w:lang w:val="en-US" w:eastAsia="en-US"/>
                    </w:rPr>
                    <w:t>5</w:t>
                  </w:r>
                </w:p>
              </w:tc>
              <w:tc>
                <w:tcPr>
                  <w:tcW w:w="1417" w:type="dxa"/>
                  <w:tcBorders>
                    <w:top w:val="nil"/>
                    <w:left w:val="nil"/>
                    <w:bottom w:val="nil"/>
                    <w:right w:val="nil"/>
                  </w:tcBorders>
                </w:tcPr>
                <w:p w14:paraId="431D642F" w14:textId="5B4A4492"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10,9 </w:t>
                  </w:r>
                  <w:r w:rsidRPr="008419AB">
                    <w:rPr>
                      <w:rFonts w:cs="Times New Roman"/>
                      <w:sz w:val="20"/>
                      <w:szCs w:val="22"/>
                      <w:lang w:val="en-US" w:eastAsia="en-US"/>
                    </w:rPr>
                    <w:t>±</w:t>
                  </w:r>
                  <w:r>
                    <w:rPr>
                      <w:rFonts w:cs="Times New Roman"/>
                      <w:sz w:val="20"/>
                      <w:szCs w:val="22"/>
                      <w:lang w:val="en-US" w:eastAsia="en-US"/>
                    </w:rPr>
                    <w:t xml:space="preserve"> 1,</w:t>
                  </w:r>
                  <w:r w:rsidR="00C9088E">
                    <w:rPr>
                      <w:rFonts w:cs="Times New Roman"/>
                      <w:sz w:val="20"/>
                      <w:szCs w:val="22"/>
                      <w:lang w:val="en-US" w:eastAsia="en-US"/>
                    </w:rPr>
                    <w:t>7</w:t>
                  </w:r>
                </w:p>
              </w:tc>
              <w:tc>
                <w:tcPr>
                  <w:tcW w:w="1276" w:type="dxa"/>
                  <w:gridSpan w:val="2"/>
                  <w:tcBorders>
                    <w:top w:val="nil"/>
                    <w:left w:val="nil"/>
                    <w:bottom w:val="nil"/>
                    <w:right w:val="nil"/>
                  </w:tcBorders>
                </w:tcPr>
                <w:p w14:paraId="5999284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2,601</w:t>
                  </w:r>
                </w:p>
              </w:tc>
              <w:tc>
                <w:tcPr>
                  <w:tcW w:w="1276" w:type="dxa"/>
                  <w:gridSpan w:val="2"/>
                  <w:tcBorders>
                    <w:top w:val="nil"/>
                    <w:left w:val="nil"/>
                    <w:bottom w:val="nil"/>
                    <w:right w:val="nil"/>
                  </w:tcBorders>
                </w:tcPr>
                <w:p w14:paraId="63AB176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1,437</w:t>
                  </w:r>
                </w:p>
              </w:tc>
              <w:tc>
                <w:tcPr>
                  <w:tcW w:w="1276" w:type="dxa"/>
                  <w:gridSpan w:val="2"/>
                  <w:tcBorders>
                    <w:top w:val="nil"/>
                    <w:left w:val="nil"/>
                    <w:bottom w:val="nil"/>
                    <w:right w:val="nil"/>
                  </w:tcBorders>
                </w:tcPr>
                <w:p w14:paraId="35AD2AE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0,107</w:t>
                  </w:r>
                </w:p>
              </w:tc>
              <w:tc>
                <w:tcPr>
                  <w:tcW w:w="2693" w:type="dxa"/>
                  <w:gridSpan w:val="6"/>
                  <w:tcBorders>
                    <w:top w:val="nil"/>
                    <w:left w:val="nil"/>
                    <w:bottom w:val="nil"/>
                    <w:right w:val="nil"/>
                  </w:tcBorders>
                </w:tcPr>
                <w:p w14:paraId="4F529B2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7A8908FB" w14:textId="77777777" w:rsidTr="00E5029D">
              <w:trPr>
                <w:gridBefore w:val="1"/>
                <w:wBefore w:w="34" w:type="dxa"/>
              </w:trPr>
              <w:tc>
                <w:tcPr>
                  <w:tcW w:w="2518" w:type="dxa"/>
                  <w:tcBorders>
                    <w:top w:val="nil"/>
                    <w:left w:val="nil"/>
                    <w:bottom w:val="nil"/>
                    <w:right w:val="nil"/>
                  </w:tcBorders>
                </w:tcPr>
                <w:p w14:paraId="265F786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II</w:t>
                  </w:r>
                </w:p>
              </w:tc>
              <w:tc>
                <w:tcPr>
                  <w:tcW w:w="567" w:type="dxa"/>
                  <w:tcBorders>
                    <w:top w:val="nil"/>
                    <w:left w:val="nil"/>
                    <w:bottom w:val="nil"/>
                    <w:right w:val="nil"/>
                  </w:tcBorders>
                </w:tcPr>
                <w:p w14:paraId="379B14C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537A19AC" w14:textId="4A0639B5" w:rsidR="00394336" w:rsidRPr="005F5FC8"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0"/>
                      <w:lang w:val="en-US" w:eastAsia="en-US"/>
                    </w:rPr>
                  </w:pPr>
                  <w:r>
                    <w:rPr>
                      <w:rFonts w:cs="Times New Roman"/>
                      <w:sz w:val="20"/>
                      <w:szCs w:val="20"/>
                      <w:lang w:val="en-US" w:eastAsia="en-US"/>
                    </w:rPr>
                    <w:t xml:space="preserve">14,3 </w:t>
                  </w:r>
                  <w:r w:rsidRPr="008419AB">
                    <w:rPr>
                      <w:rFonts w:cs="Times New Roman"/>
                      <w:sz w:val="20"/>
                      <w:szCs w:val="22"/>
                      <w:lang w:val="en-US" w:eastAsia="en-US"/>
                    </w:rPr>
                    <w:t>±</w:t>
                  </w:r>
                  <w:r>
                    <w:rPr>
                      <w:rFonts w:cs="Times New Roman"/>
                      <w:sz w:val="20"/>
                      <w:szCs w:val="20"/>
                      <w:lang w:val="en-US" w:eastAsia="en-US"/>
                    </w:rPr>
                    <w:t xml:space="preserve"> 3,6</w:t>
                  </w:r>
                </w:p>
              </w:tc>
              <w:tc>
                <w:tcPr>
                  <w:tcW w:w="1417" w:type="dxa"/>
                  <w:tcBorders>
                    <w:top w:val="nil"/>
                    <w:left w:val="nil"/>
                    <w:bottom w:val="nil"/>
                    <w:right w:val="nil"/>
                  </w:tcBorders>
                </w:tcPr>
                <w:p w14:paraId="0E37B879" w14:textId="63BD5D4B"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w:t>
                  </w:r>
                  <w:r w:rsidR="00C9088E">
                    <w:rPr>
                      <w:rFonts w:cs="Times New Roman"/>
                      <w:sz w:val="20"/>
                      <w:szCs w:val="22"/>
                      <w:lang w:val="en-US" w:eastAsia="en-US"/>
                    </w:rPr>
                    <w:t>,2</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3,0</w:t>
                  </w:r>
                </w:p>
              </w:tc>
              <w:tc>
                <w:tcPr>
                  <w:tcW w:w="1418" w:type="dxa"/>
                  <w:tcBorders>
                    <w:top w:val="nil"/>
                    <w:left w:val="nil"/>
                    <w:bottom w:val="nil"/>
                    <w:right w:val="nil"/>
                  </w:tcBorders>
                </w:tcPr>
                <w:p w14:paraId="0AACBD65" w14:textId="7FEAA6B6"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9,9 </w:t>
                  </w:r>
                  <w:r w:rsidRPr="008419AB">
                    <w:rPr>
                      <w:rFonts w:cs="Times New Roman"/>
                      <w:sz w:val="20"/>
                      <w:szCs w:val="22"/>
                      <w:lang w:val="en-US" w:eastAsia="en-US"/>
                    </w:rPr>
                    <w:t>±</w:t>
                  </w:r>
                  <w:r>
                    <w:rPr>
                      <w:rFonts w:cs="Times New Roman"/>
                      <w:sz w:val="20"/>
                      <w:szCs w:val="22"/>
                      <w:lang w:val="en-US" w:eastAsia="en-US"/>
                    </w:rPr>
                    <w:t xml:space="preserve"> 1,</w:t>
                  </w:r>
                  <w:r w:rsidR="00C9088E">
                    <w:rPr>
                      <w:rFonts w:cs="Times New Roman"/>
                      <w:sz w:val="20"/>
                      <w:szCs w:val="22"/>
                      <w:lang w:val="en-US" w:eastAsia="en-US"/>
                    </w:rPr>
                    <w:t>9</w:t>
                  </w:r>
                </w:p>
              </w:tc>
              <w:tc>
                <w:tcPr>
                  <w:tcW w:w="1417" w:type="dxa"/>
                  <w:tcBorders>
                    <w:top w:val="nil"/>
                    <w:left w:val="nil"/>
                    <w:bottom w:val="nil"/>
                    <w:right w:val="nil"/>
                  </w:tcBorders>
                </w:tcPr>
                <w:p w14:paraId="1FEA9174" w14:textId="5A849B65"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w:t>
                  </w:r>
                  <w:r w:rsidR="00C9088E">
                    <w:rPr>
                      <w:rFonts w:cs="Times New Roman"/>
                      <w:sz w:val="20"/>
                      <w:szCs w:val="22"/>
                      <w:lang w:val="en-US" w:eastAsia="en-US"/>
                    </w:rPr>
                    <w:t>1</w:t>
                  </w:r>
                  <w:r w:rsidRPr="008419AB">
                    <w:rPr>
                      <w:rFonts w:cs="Times New Roman"/>
                      <w:sz w:val="20"/>
                      <w:szCs w:val="22"/>
                      <w:lang w:val="en-US" w:eastAsia="en-US"/>
                    </w:rPr>
                    <w:t>±</w:t>
                  </w:r>
                  <w:r>
                    <w:rPr>
                      <w:rFonts w:cs="Times New Roman"/>
                      <w:sz w:val="20"/>
                      <w:szCs w:val="22"/>
                      <w:lang w:val="en-US" w:eastAsia="en-US"/>
                    </w:rPr>
                    <w:t xml:space="preserve"> 3,</w:t>
                  </w:r>
                  <w:r w:rsidR="00C9088E">
                    <w:rPr>
                      <w:rFonts w:cs="Times New Roman"/>
                      <w:sz w:val="20"/>
                      <w:szCs w:val="22"/>
                      <w:lang w:val="en-US" w:eastAsia="en-US"/>
                    </w:rPr>
                    <w:t>6</w:t>
                  </w:r>
                </w:p>
              </w:tc>
              <w:tc>
                <w:tcPr>
                  <w:tcW w:w="1276" w:type="dxa"/>
                  <w:gridSpan w:val="2"/>
                  <w:tcBorders>
                    <w:top w:val="nil"/>
                    <w:left w:val="nil"/>
                    <w:bottom w:val="nil"/>
                    <w:right w:val="nil"/>
                  </w:tcBorders>
                </w:tcPr>
                <w:p w14:paraId="04DAC6B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0,744</w:t>
                  </w:r>
                </w:p>
              </w:tc>
              <w:tc>
                <w:tcPr>
                  <w:tcW w:w="1276" w:type="dxa"/>
                  <w:gridSpan w:val="2"/>
                  <w:tcBorders>
                    <w:top w:val="nil"/>
                    <w:left w:val="nil"/>
                    <w:bottom w:val="nil"/>
                    <w:right w:val="nil"/>
                  </w:tcBorders>
                </w:tcPr>
                <w:p w14:paraId="580711F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0,505</w:t>
                  </w:r>
                </w:p>
              </w:tc>
              <w:tc>
                <w:tcPr>
                  <w:tcW w:w="1276" w:type="dxa"/>
                  <w:gridSpan w:val="2"/>
                  <w:tcBorders>
                    <w:top w:val="nil"/>
                    <w:left w:val="nil"/>
                    <w:bottom w:val="nil"/>
                    <w:right w:val="nil"/>
                  </w:tcBorders>
                </w:tcPr>
                <w:p w14:paraId="2248C0E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0,388</w:t>
                  </w:r>
                </w:p>
              </w:tc>
              <w:tc>
                <w:tcPr>
                  <w:tcW w:w="2693" w:type="dxa"/>
                  <w:gridSpan w:val="6"/>
                  <w:tcBorders>
                    <w:top w:val="nil"/>
                    <w:left w:val="nil"/>
                    <w:bottom w:val="nil"/>
                    <w:right w:val="nil"/>
                  </w:tcBorders>
                </w:tcPr>
                <w:p w14:paraId="5C1DB3D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10055E3A" w14:textId="77777777" w:rsidTr="00E5029D">
              <w:trPr>
                <w:gridBefore w:val="1"/>
                <w:wBefore w:w="34" w:type="dxa"/>
              </w:trPr>
              <w:tc>
                <w:tcPr>
                  <w:tcW w:w="2518" w:type="dxa"/>
                  <w:tcBorders>
                    <w:top w:val="nil"/>
                    <w:left w:val="nil"/>
                    <w:bottom w:val="nil"/>
                    <w:right w:val="nil"/>
                  </w:tcBorders>
                </w:tcPr>
                <w:p w14:paraId="762A892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w:t>
                  </w:r>
                </w:p>
              </w:tc>
              <w:tc>
                <w:tcPr>
                  <w:tcW w:w="567" w:type="dxa"/>
                  <w:tcBorders>
                    <w:top w:val="nil"/>
                    <w:left w:val="nil"/>
                    <w:bottom w:val="nil"/>
                    <w:right w:val="nil"/>
                  </w:tcBorders>
                </w:tcPr>
                <w:p w14:paraId="58DBB23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7F51ED14" w14:textId="20CEDE1F" w:rsidR="00394336" w:rsidRPr="005F5FC8" w:rsidRDefault="00394336" w:rsidP="00C9088E">
                  <w:pPr>
                    <w:jc w:val="left"/>
                    <w:rPr>
                      <w:rFonts w:cs="Times New Roman"/>
                      <w:sz w:val="20"/>
                      <w:szCs w:val="20"/>
                      <w:lang w:val="en-US" w:eastAsia="en-US"/>
                    </w:rPr>
                  </w:pPr>
                  <w:r>
                    <w:rPr>
                      <w:rFonts w:cs="Times New Roman"/>
                      <w:sz w:val="20"/>
                      <w:szCs w:val="20"/>
                      <w:lang w:val="en-US" w:eastAsia="en-US"/>
                    </w:rPr>
                    <w:t>16,</w:t>
                  </w:r>
                  <w:r w:rsidR="00C9088E">
                    <w:rPr>
                      <w:rFonts w:cs="Times New Roman"/>
                      <w:sz w:val="20"/>
                      <w:szCs w:val="20"/>
                      <w:lang w:val="en-US" w:eastAsia="en-US"/>
                    </w:rPr>
                    <w:t>2</w:t>
                  </w:r>
                  <w:r>
                    <w:rPr>
                      <w:rFonts w:cs="Times New Roman"/>
                      <w:sz w:val="20"/>
                      <w:szCs w:val="20"/>
                      <w:lang w:val="en-US" w:eastAsia="en-US"/>
                    </w:rPr>
                    <w:t xml:space="preserve"> </w:t>
                  </w:r>
                  <w:r w:rsidRPr="008419AB">
                    <w:rPr>
                      <w:rFonts w:cs="Times New Roman"/>
                      <w:sz w:val="20"/>
                      <w:szCs w:val="22"/>
                      <w:lang w:val="en-US" w:eastAsia="en-US"/>
                    </w:rPr>
                    <w:t>±</w:t>
                  </w:r>
                  <w:r>
                    <w:rPr>
                      <w:rFonts w:cs="Times New Roman"/>
                      <w:sz w:val="20"/>
                      <w:szCs w:val="20"/>
                      <w:lang w:val="en-US" w:eastAsia="en-US"/>
                    </w:rPr>
                    <w:t xml:space="preserve"> 5,</w:t>
                  </w:r>
                  <w:r w:rsidR="00C9088E">
                    <w:rPr>
                      <w:rFonts w:cs="Times New Roman"/>
                      <w:sz w:val="20"/>
                      <w:szCs w:val="20"/>
                      <w:lang w:val="en-US" w:eastAsia="en-US"/>
                    </w:rPr>
                    <w:t>4</w:t>
                  </w:r>
                </w:p>
              </w:tc>
              <w:tc>
                <w:tcPr>
                  <w:tcW w:w="1417" w:type="dxa"/>
                  <w:tcBorders>
                    <w:top w:val="nil"/>
                    <w:left w:val="nil"/>
                    <w:bottom w:val="nil"/>
                    <w:right w:val="nil"/>
                  </w:tcBorders>
                </w:tcPr>
                <w:p w14:paraId="05012270" w14:textId="53AA2874"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8,</w:t>
                  </w:r>
                  <w:r w:rsidR="00C9088E">
                    <w:rPr>
                      <w:rFonts w:cs="Times New Roman"/>
                      <w:sz w:val="20"/>
                      <w:szCs w:val="22"/>
                      <w:lang w:val="en-US" w:eastAsia="en-US"/>
                    </w:rPr>
                    <w:t>4</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1,</w:t>
                  </w:r>
                  <w:r w:rsidR="00C9088E">
                    <w:rPr>
                      <w:rFonts w:cs="Times New Roman"/>
                      <w:sz w:val="20"/>
                      <w:szCs w:val="22"/>
                      <w:lang w:val="en-US" w:eastAsia="en-US"/>
                    </w:rPr>
                    <w:t>9</w:t>
                  </w:r>
                </w:p>
              </w:tc>
              <w:tc>
                <w:tcPr>
                  <w:tcW w:w="1418" w:type="dxa"/>
                  <w:tcBorders>
                    <w:top w:val="nil"/>
                    <w:left w:val="nil"/>
                    <w:bottom w:val="nil"/>
                    <w:right w:val="nil"/>
                  </w:tcBorders>
                </w:tcPr>
                <w:p w14:paraId="1792D411" w14:textId="5671CBE0"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9,</w:t>
                  </w:r>
                  <w:r w:rsidR="00C9088E">
                    <w:rPr>
                      <w:rFonts w:cs="Times New Roman"/>
                      <w:sz w:val="20"/>
                      <w:szCs w:val="22"/>
                      <w:lang w:val="en-US" w:eastAsia="en-US"/>
                    </w:rPr>
                    <w:t>8</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1,</w:t>
                  </w:r>
                  <w:r w:rsidR="00C9088E">
                    <w:rPr>
                      <w:rFonts w:cs="Times New Roman"/>
                      <w:sz w:val="20"/>
                      <w:szCs w:val="22"/>
                      <w:lang w:val="en-US" w:eastAsia="en-US"/>
                    </w:rPr>
                    <w:t>9</w:t>
                  </w:r>
                </w:p>
              </w:tc>
              <w:tc>
                <w:tcPr>
                  <w:tcW w:w="1417" w:type="dxa"/>
                  <w:tcBorders>
                    <w:top w:val="nil"/>
                    <w:left w:val="nil"/>
                    <w:bottom w:val="nil"/>
                    <w:right w:val="nil"/>
                  </w:tcBorders>
                </w:tcPr>
                <w:p w14:paraId="76DE5E8C" w14:textId="34C0C087"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10,8 </w:t>
                  </w:r>
                  <w:r w:rsidRPr="008419AB">
                    <w:rPr>
                      <w:rFonts w:cs="Times New Roman"/>
                      <w:sz w:val="20"/>
                      <w:szCs w:val="22"/>
                      <w:lang w:val="en-US" w:eastAsia="en-US"/>
                    </w:rPr>
                    <w:t>±</w:t>
                  </w:r>
                  <w:r>
                    <w:rPr>
                      <w:rFonts w:cs="Times New Roman"/>
                      <w:sz w:val="20"/>
                      <w:szCs w:val="22"/>
                      <w:lang w:val="en-US" w:eastAsia="en-US"/>
                    </w:rPr>
                    <w:t xml:space="preserve"> 3,8</w:t>
                  </w:r>
                </w:p>
              </w:tc>
              <w:tc>
                <w:tcPr>
                  <w:tcW w:w="1276" w:type="dxa"/>
                  <w:gridSpan w:val="2"/>
                  <w:tcBorders>
                    <w:top w:val="nil"/>
                    <w:left w:val="nil"/>
                    <w:bottom w:val="nil"/>
                    <w:right w:val="nil"/>
                  </w:tcBorders>
                </w:tcPr>
                <w:p w14:paraId="4BDE20E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23A174D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vertAlign w:val="superscript"/>
                      <w:lang w:val="en-US" w:eastAsia="en-US"/>
                    </w:rPr>
                  </w:pPr>
                  <w:r w:rsidRPr="008419AB">
                    <w:rPr>
                      <w:rFonts w:cs="Times New Roman"/>
                      <w:sz w:val="20"/>
                      <w:szCs w:val="22"/>
                      <w:lang w:val="en-US" w:eastAsia="en-US"/>
                    </w:rPr>
                    <w:t xml:space="preserve">     0</w:t>
                  </w:r>
                  <w:r w:rsidRPr="008419AB">
                    <w:rPr>
                      <w:rFonts w:cs="Times New Roman"/>
                      <w:sz w:val="20"/>
                      <w:szCs w:val="22"/>
                      <w:vertAlign w:val="superscript"/>
                      <w:lang w:val="en-US" w:eastAsia="en-US"/>
                    </w:rPr>
                    <w:t>a</w:t>
                  </w:r>
                </w:p>
              </w:tc>
              <w:tc>
                <w:tcPr>
                  <w:tcW w:w="1276" w:type="dxa"/>
                  <w:gridSpan w:val="2"/>
                  <w:tcBorders>
                    <w:top w:val="nil"/>
                    <w:left w:val="nil"/>
                    <w:bottom w:val="nil"/>
                    <w:right w:val="nil"/>
                  </w:tcBorders>
                </w:tcPr>
                <w:p w14:paraId="040B5E8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693" w:type="dxa"/>
                  <w:gridSpan w:val="6"/>
                  <w:tcBorders>
                    <w:top w:val="nil"/>
                    <w:left w:val="nil"/>
                    <w:bottom w:val="nil"/>
                    <w:right w:val="nil"/>
                  </w:tcBorders>
                </w:tcPr>
                <w:p w14:paraId="43362A6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7CA39235" w14:textId="77777777" w:rsidTr="00E5029D">
              <w:trPr>
                <w:gridBefore w:val="1"/>
                <w:wBefore w:w="34" w:type="dxa"/>
              </w:trPr>
              <w:tc>
                <w:tcPr>
                  <w:tcW w:w="2518" w:type="dxa"/>
                  <w:tcBorders>
                    <w:top w:val="nil"/>
                    <w:left w:val="nil"/>
                    <w:bottom w:val="nil"/>
                    <w:right w:val="nil"/>
                  </w:tcBorders>
                </w:tcPr>
                <w:p w14:paraId="38FCA26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Knee angle at IC Pre Op</w:t>
                  </w:r>
                </w:p>
              </w:tc>
              <w:tc>
                <w:tcPr>
                  <w:tcW w:w="567" w:type="dxa"/>
                  <w:tcBorders>
                    <w:top w:val="nil"/>
                    <w:left w:val="nil"/>
                    <w:bottom w:val="nil"/>
                    <w:right w:val="nil"/>
                  </w:tcBorders>
                </w:tcPr>
                <w:p w14:paraId="4EEE056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C523A0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1988F0D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358B465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3B1624D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5B91010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6,240</w:t>
                  </w:r>
                </w:p>
              </w:tc>
              <w:tc>
                <w:tcPr>
                  <w:tcW w:w="1276" w:type="dxa"/>
                  <w:gridSpan w:val="2"/>
                  <w:tcBorders>
                    <w:top w:val="nil"/>
                    <w:left w:val="nil"/>
                    <w:bottom w:val="nil"/>
                    <w:right w:val="nil"/>
                  </w:tcBorders>
                </w:tcPr>
                <w:p w14:paraId="64E18C6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0,059</w:t>
                  </w:r>
                </w:p>
              </w:tc>
              <w:tc>
                <w:tcPr>
                  <w:tcW w:w="1276" w:type="dxa"/>
                  <w:gridSpan w:val="2"/>
                  <w:tcBorders>
                    <w:top w:val="nil"/>
                    <w:left w:val="nil"/>
                    <w:bottom w:val="nil"/>
                    <w:right w:val="nil"/>
                  </w:tcBorders>
                </w:tcPr>
                <w:p w14:paraId="3BD57A2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0,012*</w:t>
                  </w:r>
                </w:p>
              </w:tc>
              <w:tc>
                <w:tcPr>
                  <w:tcW w:w="2693" w:type="dxa"/>
                  <w:gridSpan w:val="6"/>
                  <w:tcBorders>
                    <w:top w:val="nil"/>
                    <w:left w:val="nil"/>
                    <w:bottom w:val="nil"/>
                    <w:right w:val="nil"/>
                  </w:tcBorders>
                </w:tcPr>
                <w:p w14:paraId="07BD1A3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44ACCB14" w14:textId="77777777" w:rsidTr="00E5029D">
              <w:trPr>
                <w:gridBefore w:val="1"/>
                <w:wBefore w:w="34" w:type="dxa"/>
              </w:trPr>
              <w:tc>
                <w:tcPr>
                  <w:tcW w:w="2518" w:type="dxa"/>
                  <w:tcBorders>
                    <w:top w:val="nil"/>
                    <w:left w:val="nil"/>
                    <w:bottom w:val="nil"/>
                    <w:right w:val="nil"/>
                  </w:tcBorders>
                </w:tcPr>
                <w:p w14:paraId="2A2D007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u w:val="single"/>
                      <w:lang w:val="en-US" w:eastAsia="en-US"/>
                    </w:rPr>
                  </w:pPr>
                  <w:r w:rsidRPr="008419AB">
                    <w:rPr>
                      <w:rFonts w:cs="Times New Roman"/>
                      <w:sz w:val="20"/>
                      <w:szCs w:val="22"/>
                      <w:u w:val="single"/>
                      <w:lang w:val="en-US" w:eastAsia="en-US"/>
                    </w:rPr>
                    <w:t xml:space="preserve">GPS sagittal (°) </w:t>
                  </w:r>
                </w:p>
              </w:tc>
              <w:tc>
                <w:tcPr>
                  <w:tcW w:w="567" w:type="dxa"/>
                  <w:tcBorders>
                    <w:top w:val="nil"/>
                    <w:left w:val="nil"/>
                    <w:bottom w:val="nil"/>
                    <w:right w:val="nil"/>
                  </w:tcBorders>
                </w:tcPr>
                <w:p w14:paraId="1B7820A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6A89D327" w14:textId="40E9272A"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17,</w:t>
                  </w:r>
                  <w:r w:rsidR="00C9088E">
                    <w:rPr>
                      <w:rFonts w:cs="Times New Roman"/>
                      <w:sz w:val="20"/>
                      <w:szCs w:val="22"/>
                      <w:lang w:val="en-US" w:eastAsia="en-US"/>
                    </w:rPr>
                    <w:t>2</w:t>
                  </w:r>
                  <w:r w:rsidRPr="008419AB">
                    <w:rPr>
                      <w:rFonts w:cs="Times New Roman"/>
                      <w:sz w:val="20"/>
                      <w:szCs w:val="22"/>
                      <w:lang w:val="en-US" w:eastAsia="en-US"/>
                    </w:rPr>
                    <w:t xml:space="preserve"> ± 6,9</w:t>
                  </w:r>
                </w:p>
              </w:tc>
              <w:tc>
                <w:tcPr>
                  <w:tcW w:w="1417" w:type="dxa"/>
                  <w:tcBorders>
                    <w:top w:val="nil"/>
                    <w:left w:val="nil"/>
                    <w:bottom w:val="nil"/>
                    <w:right w:val="nil"/>
                  </w:tcBorders>
                </w:tcPr>
                <w:p w14:paraId="44765E41" w14:textId="58233E94" w:rsidR="00394336" w:rsidRPr="008419AB" w:rsidRDefault="00C9088E"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12,1</w:t>
                  </w:r>
                  <w:r w:rsidR="00394336" w:rsidRPr="008419AB">
                    <w:rPr>
                      <w:rFonts w:cs="Times New Roman"/>
                      <w:sz w:val="20"/>
                      <w:szCs w:val="22"/>
                      <w:lang w:val="en-US" w:eastAsia="en-US"/>
                    </w:rPr>
                    <w:t xml:space="preserve"> ± 4,</w:t>
                  </w:r>
                  <w:r>
                    <w:rPr>
                      <w:rFonts w:cs="Times New Roman"/>
                      <w:sz w:val="20"/>
                      <w:szCs w:val="22"/>
                      <w:lang w:val="en-US" w:eastAsia="en-US"/>
                    </w:rPr>
                    <w:t>6</w:t>
                  </w:r>
                </w:p>
              </w:tc>
              <w:tc>
                <w:tcPr>
                  <w:tcW w:w="1418" w:type="dxa"/>
                  <w:tcBorders>
                    <w:top w:val="nil"/>
                    <w:left w:val="nil"/>
                    <w:bottom w:val="nil"/>
                    <w:right w:val="nil"/>
                  </w:tcBorders>
                </w:tcPr>
                <w:p w14:paraId="0C0AAA59" w14:textId="2AF43501"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11,1 ± 3,</w:t>
                  </w:r>
                  <w:r w:rsidR="00C9088E">
                    <w:rPr>
                      <w:rFonts w:cs="Times New Roman"/>
                      <w:sz w:val="20"/>
                      <w:szCs w:val="22"/>
                      <w:lang w:val="en-US" w:eastAsia="en-US"/>
                    </w:rPr>
                    <w:t>3</w:t>
                  </w:r>
                </w:p>
              </w:tc>
              <w:tc>
                <w:tcPr>
                  <w:tcW w:w="1417" w:type="dxa"/>
                  <w:tcBorders>
                    <w:top w:val="nil"/>
                    <w:left w:val="nil"/>
                    <w:bottom w:val="nil"/>
                    <w:right w:val="nil"/>
                  </w:tcBorders>
                </w:tcPr>
                <w:p w14:paraId="1035DDCB" w14:textId="6A7C2807"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12,</w:t>
                  </w:r>
                  <w:r w:rsidR="00C9088E">
                    <w:rPr>
                      <w:rFonts w:cs="Times New Roman"/>
                      <w:sz w:val="20"/>
                      <w:szCs w:val="22"/>
                      <w:lang w:val="en-US" w:eastAsia="en-US"/>
                    </w:rPr>
                    <w:t>6</w:t>
                  </w:r>
                  <w:r w:rsidRPr="008419AB">
                    <w:rPr>
                      <w:rFonts w:cs="Times New Roman"/>
                      <w:sz w:val="20"/>
                      <w:szCs w:val="22"/>
                      <w:lang w:val="en-US" w:eastAsia="en-US"/>
                    </w:rPr>
                    <w:t xml:space="preserve"> ± 4,</w:t>
                  </w:r>
                  <w:r w:rsidR="00C9088E">
                    <w:rPr>
                      <w:rFonts w:cs="Times New Roman"/>
                      <w:sz w:val="20"/>
                      <w:szCs w:val="22"/>
                      <w:lang w:val="en-US" w:eastAsia="en-US"/>
                    </w:rPr>
                    <w:t>6</w:t>
                  </w:r>
                </w:p>
              </w:tc>
              <w:tc>
                <w:tcPr>
                  <w:tcW w:w="1276" w:type="dxa"/>
                  <w:gridSpan w:val="2"/>
                  <w:tcBorders>
                    <w:top w:val="nil"/>
                    <w:left w:val="nil"/>
                    <w:bottom w:val="nil"/>
                    <w:right w:val="nil"/>
                  </w:tcBorders>
                </w:tcPr>
                <w:p w14:paraId="7D8A76D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52,620</w:t>
                  </w:r>
                </w:p>
              </w:tc>
              <w:tc>
                <w:tcPr>
                  <w:tcW w:w="1276" w:type="dxa"/>
                  <w:gridSpan w:val="2"/>
                  <w:tcBorders>
                    <w:top w:val="nil"/>
                    <w:left w:val="nil"/>
                    <w:bottom w:val="nil"/>
                    <w:right w:val="nil"/>
                  </w:tcBorders>
                </w:tcPr>
                <w:p w14:paraId="43FDAB2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759C1F6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0,000**</w:t>
                  </w:r>
                </w:p>
              </w:tc>
              <w:tc>
                <w:tcPr>
                  <w:tcW w:w="2693" w:type="dxa"/>
                  <w:gridSpan w:val="6"/>
                  <w:tcBorders>
                    <w:top w:val="nil"/>
                    <w:left w:val="nil"/>
                    <w:bottom w:val="nil"/>
                    <w:right w:val="nil"/>
                  </w:tcBorders>
                </w:tcPr>
                <w:p w14:paraId="016CC42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 0-5** 0-8**</w:t>
                  </w:r>
                </w:p>
              </w:tc>
            </w:tr>
            <w:tr w:rsidR="00394336" w:rsidRPr="008419AB" w14:paraId="59F0DE5F" w14:textId="77777777" w:rsidTr="00E5029D">
              <w:trPr>
                <w:gridBefore w:val="1"/>
                <w:wBefore w:w="34" w:type="dxa"/>
              </w:trPr>
              <w:tc>
                <w:tcPr>
                  <w:tcW w:w="2518" w:type="dxa"/>
                  <w:tcBorders>
                    <w:top w:val="nil"/>
                    <w:left w:val="nil"/>
                    <w:bottom w:val="nil"/>
                    <w:right w:val="nil"/>
                  </w:tcBorders>
                </w:tcPr>
                <w:p w14:paraId="33F794B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GPS Pre Op </w:t>
                  </w:r>
                </w:p>
              </w:tc>
              <w:tc>
                <w:tcPr>
                  <w:tcW w:w="567" w:type="dxa"/>
                  <w:tcBorders>
                    <w:top w:val="nil"/>
                    <w:left w:val="nil"/>
                    <w:bottom w:val="nil"/>
                    <w:right w:val="nil"/>
                  </w:tcBorders>
                </w:tcPr>
                <w:p w14:paraId="3C11C6C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103183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3EC47C4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2E06D2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46C88EAB"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1716089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2,285</w:t>
                  </w:r>
                </w:p>
              </w:tc>
              <w:tc>
                <w:tcPr>
                  <w:tcW w:w="1276" w:type="dxa"/>
                  <w:gridSpan w:val="2"/>
                  <w:tcBorders>
                    <w:top w:val="nil"/>
                    <w:left w:val="nil"/>
                    <w:bottom w:val="nil"/>
                    <w:right w:val="nil"/>
                  </w:tcBorders>
                </w:tcPr>
                <w:p w14:paraId="43556EB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0,240</w:t>
                  </w:r>
                </w:p>
              </w:tc>
              <w:tc>
                <w:tcPr>
                  <w:tcW w:w="1276" w:type="dxa"/>
                  <w:gridSpan w:val="2"/>
                  <w:tcBorders>
                    <w:top w:val="nil"/>
                    <w:left w:val="nil"/>
                    <w:bottom w:val="nil"/>
                    <w:right w:val="nil"/>
                  </w:tcBorders>
                </w:tcPr>
                <w:p w14:paraId="3F8529B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0,130</w:t>
                  </w:r>
                </w:p>
              </w:tc>
              <w:tc>
                <w:tcPr>
                  <w:tcW w:w="2693" w:type="dxa"/>
                  <w:gridSpan w:val="6"/>
                  <w:tcBorders>
                    <w:top w:val="nil"/>
                    <w:left w:val="nil"/>
                    <w:bottom w:val="nil"/>
                    <w:right w:val="nil"/>
                  </w:tcBorders>
                </w:tcPr>
                <w:p w14:paraId="729F078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394C58A0" w14:textId="77777777" w:rsidTr="00E5029D">
              <w:trPr>
                <w:gridBefore w:val="1"/>
                <w:wBefore w:w="34" w:type="dxa"/>
              </w:trPr>
              <w:tc>
                <w:tcPr>
                  <w:tcW w:w="2518" w:type="dxa"/>
                  <w:tcBorders>
                    <w:top w:val="nil"/>
                    <w:left w:val="nil"/>
                    <w:bottom w:val="nil"/>
                    <w:right w:val="nil"/>
                  </w:tcBorders>
                </w:tcPr>
                <w:p w14:paraId="088FC6F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Pre Op</w:t>
                  </w:r>
                </w:p>
              </w:tc>
              <w:tc>
                <w:tcPr>
                  <w:tcW w:w="567" w:type="dxa"/>
                  <w:tcBorders>
                    <w:top w:val="nil"/>
                    <w:left w:val="nil"/>
                    <w:bottom w:val="nil"/>
                    <w:right w:val="nil"/>
                  </w:tcBorders>
                </w:tcPr>
                <w:p w14:paraId="0ED1C80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20F29E0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16A4B62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47ECC09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60A4890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232A22F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0,246</w:t>
                  </w:r>
                </w:p>
              </w:tc>
              <w:tc>
                <w:tcPr>
                  <w:tcW w:w="1276" w:type="dxa"/>
                  <w:gridSpan w:val="2"/>
                  <w:tcBorders>
                    <w:top w:val="nil"/>
                    <w:left w:val="nil"/>
                    <w:bottom w:val="nil"/>
                    <w:right w:val="nil"/>
                  </w:tcBorders>
                </w:tcPr>
                <w:p w14:paraId="228C51D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w:t>
                  </w:r>
                </w:p>
              </w:tc>
              <w:tc>
                <w:tcPr>
                  <w:tcW w:w="1276" w:type="dxa"/>
                  <w:gridSpan w:val="2"/>
                  <w:tcBorders>
                    <w:top w:val="nil"/>
                    <w:left w:val="nil"/>
                    <w:bottom w:val="nil"/>
                    <w:right w:val="nil"/>
                  </w:tcBorders>
                </w:tcPr>
                <w:p w14:paraId="7C2DA05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0,884</w:t>
                  </w:r>
                </w:p>
              </w:tc>
              <w:tc>
                <w:tcPr>
                  <w:tcW w:w="2693" w:type="dxa"/>
                  <w:gridSpan w:val="6"/>
                  <w:tcBorders>
                    <w:top w:val="nil"/>
                    <w:left w:val="nil"/>
                    <w:bottom w:val="nil"/>
                    <w:right w:val="nil"/>
                  </w:tcBorders>
                </w:tcPr>
                <w:p w14:paraId="7D6C282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178DC74E" w14:textId="77777777" w:rsidTr="00E5029D">
              <w:trPr>
                <w:gridBefore w:val="1"/>
                <w:wBefore w:w="34" w:type="dxa"/>
              </w:trPr>
              <w:tc>
                <w:tcPr>
                  <w:tcW w:w="2518" w:type="dxa"/>
                  <w:tcBorders>
                    <w:top w:val="nil"/>
                    <w:left w:val="nil"/>
                    <w:bottom w:val="nil"/>
                    <w:right w:val="nil"/>
                  </w:tcBorders>
                </w:tcPr>
                <w:p w14:paraId="40F0B57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III </w:t>
                  </w:r>
                </w:p>
              </w:tc>
              <w:tc>
                <w:tcPr>
                  <w:tcW w:w="567" w:type="dxa"/>
                  <w:tcBorders>
                    <w:top w:val="nil"/>
                    <w:left w:val="nil"/>
                    <w:bottom w:val="nil"/>
                    <w:right w:val="nil"/>
                  </w:tcBorders>
                </w:tcPr>
                <w:p w14:paraId="6D6F3B3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5F3EF59B" w14:textId="7CBDD2A1" w:rsidR="00394336" w:rsidRPr="008419AB" w:rsidRDefault="00C9088E"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20,1</w:t>
                  </w:r>
                  <w:r w:rsidR="00394336">
                    <w:rPr>
                      <w:rFonts w:cs="Times New Roman"/>
                      <w:sz w:val="20"/>
                      <w:szCs w:val="22"/>
                      <w:lang w:val="en-US" w:eastAsia="en-US"/>
                    </w:rPr>
                    <w:t xml:space="preserve"> </w:t>
                  </w:r>
                  <w:r w:rsidR="00394336" w:rsidRPr="008419AB">
                    <w:rPr>
                      <w:rFonts w:cs="Times New Roman"/>
                      <w:sz w:val="20"/>
                      <w:szCs w:val="22"/>
                      <w:lang w:val="en-US" w:eastAsia="en-US"/>
                    </w:rPr>
                    <w:t>±</w:t>
                  </w:r>
                  <w:r w:rsidR="00394336">
                    <w:rPr>
                      <w:rFonts w:cs="Times New Roman"/>
                      <w:sz w:val="20"/>
                      <w:szCs w:val="22"/>
                      <w:lang w:val="en-US" w:eastAsia="en-US"/>
                    </w:rPr>
                    <w:t xml:space="preserve"> 3</w:t>
                  </w:r>
                  <w:r>
                    <w:rPr>
                      <w:rFonts w:cs="Times New Roman"/>
                      <w:sz w:val="20"/>
                      <w:szCs w:val="22"/>
                      <w:lang w:val="en-US" w:eastAsia="en-US"/>
                    </w:rPr>
                    <w:t>,4</w:t>
                  </w:r>
                </w:p>
              </w:tc>
              <w:tc>
                <w:tcPr>
                  <w:tcW w:w="1417" w:type="dxa"/>
                  <w:tcBorders>
                    <w:top w:val="nil"/>
                    <w:left w:val="nil"/>
                    <w:bottom w:val="nil"/>
                    <w:right w:val="nil"/>
                  </w:tcBorders>
                </w:tcPr>
                <w:p w14:paraId="0D6132AC" w14:textId="7C60F65E"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17,</w:t>
                  </w:r>
                  <w:r w:rsidR="00C9088E">
                    <w:rPr>
                      <w:rFonts w:cs="Times New Roman"/>
                      <w:sz w:val="20"/>
                      <w:szCs w:val="22"/>
                      <w:lang w:val="en-US" w:eastAsia="en-US"/>
                    </w:rPr>
                    <w:t>1</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5,</w:t>
                  </w:r>
                  <w:r w:rsidR="00C9088E">
                    <w:rPr>
                      <w:rFonts w:cs="Times New Roman"/>
                      <w:sz w:val="20"/>
                      <w:szCs w:val="22"/>
                      <w:lang w:val="en-US" w:eastAsia="en-US"/>
                    </w:rPr>
                    <w:t>7</w:t>
                  </w:r>
                </w:p>
              </w:tc>
              <w:tc>
                <w:tcPr>
                  <w:tcW w:w="1418" w:type="dxa"/>
                  <w:tcBorders>
                    <w:top w:val="nil"/>
                    <w:left w:val="nil"/>
                    <w:bottom w:val="nil"/>
                    <w:right w:val="nil"/>
                  </w:tcBorders>
                </w:tcPr>
                <w:p w14:paraId="64E1B185" w14:textId="5342E725" w:rsidR="00394336" w:rsidRPr="008419AB" w:rsidRDefault="00C9088E"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14,8</w:t>
                  </w:r>
                  <w:r w:rsidR="00394336">
                    <w:rPr>
                      <w:rFonts w:cs="Times New Roman"/>
                      <w:sz w:val="20"/>
                      <w:szCs w:val="22"/>
                      <w:lang w:val="en-US" w:eastAsia="en-US"/>
                    </w:rPr>
                    <w:t xml:space="preserve"> </w:t>
                  </w:r>
                  <w:r w:rsidR="00394336" w:rsidRPr="008419AB">
                    <w:rPr>
                      <w:rFonts w:cs="Times New Roman"/>
                      <w:sz w:val="20"/>
                      <w:szCs w:val="22"/>
                      <w:lang w:val="en-US" w:eastAsia="en-US"/>
                    </w:rPr>
                    <w:t>±</w:t>
                  </w:r>
                  <w:r w:rsidR="00394336">
                    <w:rPr>
                      <w:rFonts w:cs="Times New Roman"/>
                      <w:sz w:val="20"/>
                      <w:szCs w:val="22"/>
                      <w:lang w:val="en-US" w:eastAsia="en-US"/>
                    </w:rPr>
                    <w:t xml:space="preserve"> 3,9</w:t>
                  </w:r>
                </w:p>
              </w:tc>
              <w:tc>
                <w:tcPr>
                  <w:tcW w:w="1417" w:type="dxa"/>
                  <w:tcBorders>
                    <w:top w:val="nil"/>
                    <w:left w:val="nil"/>
                    <w:bottom w:val="nil"/>
                    <w:right w:val="nil"/>
                  </w:tcBorders>
                </w:tcPr>
                <w:p w14:paraId="41642EA2" w14:textId="7574340C"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12,</w:t>
                  </w:r>
                  <w:r w:rsidR="00C9088E">
                    <w:rPr>
                      <w:rFonts w:cs="Times New Roman"/>
                      <w:sz w:val="20"/>
                      <w:szCs w:val="22"/>
                      <w:lang w:val="en-US" w:eastAsia="en-US"/>
                    </w:rPr>
                    <w:t>1</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1,8</w:t>
                  </w:r>
                </w:p>
              </w:tc>
              <w:tc>
                <w:tcPr>
                  <w:tcW w:w="1276" w:type="dxa"/>
                  <w:gridSpan w:val="2"/>
                  <w:tcBorders>
                    <w:top w:val="nil"/>
                    <w:left w:val="nil"/>
                    <w:bottom w:val="nil"/>
                    <w:right w:val="nil"/>
                  </w:tcBorders>
                </w:tcPr>
                <w:p w14:paraId="3B5DC53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0,008</w:t>
                  </w:r>
                </w:p>
              </w:tc>
              <w:tc>
                <w:tcPr>
                  <w:tcW w:w="1276" w:type="dxa"/>
                  <w:gridSpan w:val="2"/>
                  <w:tcBorders>
                    <w:top w:val="nil"/>
                    <w:left w:val="nil"/>
                    <w:bottom w:val="nil"/>
                    <w:right w:val="nil"/>
                  </w:tcBorders>
                </w:tcPr>
                <w:p w14:paraId="1764541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0,130</w:t>
                  </w:r>
                </w:p>
              </w:tc>
              <w:tc>
                <w:tcPr>
                  <w:tcW w:w="1276" w:type="dxa"/>
                  <w:gridSpan w:val="2"/>
                  <w:tcBorders>
                    <w:top w:val="nil"/>
                    <w:left w:val="nil"/>
                    <w:bottom w:val="nil"/>
                    <w:right w:val="nil"/>
                  </w:tcBorders>
                </w:tcPr>
                <w:p w14:paraId="7EFB6A5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0,929</w:t>
                  </w:r>
                </w:p>
              </w:tc>
              <w:tc>
                <w:tcPr>
                  <w:tcW w:w="2693" w:type="dxa"/>
                  <w:gridSpan w:val="6"/>
                  <w:tcBorders>
                    <w:top w:val="nil"/>
                    <w:left w:val="nil"/>
                    <w:bottom w:val="nil"/>
                    <w:right w:val="nil"/>
                  </w:tcBorders>
                </w:tcPr>
                <w:p w14:paraId="0E2AB5D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685244C9" w14:textId="77777777" w:rsidTr="00E5029D">
              <w:trPr>
                <w:gridBefore w:val="1"/>
                <w:wBefore w:w="34" w:type="dxa"/>
              </w:trPr>
              <w:tc>
                <w:tcPr>
                  <w:tcW w:w="2518" w:type="dxa"/>
                  <w:tcBorders>
                    <w:top w:val="nil"/>
                    <w:left w:val="nil"/>
                    <w:bottom w:val="nil"/>
                    <w:right w:val="nil"/>
                  </w:tcBorders>
                </w:tcPr>
                <w:p w14:paraId="3523AD8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II</w:t>
                  </w:r>
                </w:p>
              </w:tc>
              <w:tc>
                <w:tcPr>
                  <w:tcW w:w="567" w:type="dxa"/>
                  <w:tcBorders>
                    <w:top w:val="nil"/>
                    <w:left w:val="nil"/>
                    <w:bottom w:val="nil"/>
                    <w:right w:val="nil"/>
                  </w:tcBorders>
                </w:tcPr>
                <w:p w14:paraId="34C5556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16B560C" w14:textId="3F6C038C"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15,6 </w:t>
                  </w:r>
                  <w:r w:rsidRPr="008419AB">
                    <w:rPr>
                      <w:rFonts w:cs="Times New Roman"/>
                      <w:sz w:val="20"/>
                      <w:szCs w:val="22"/>
                      <w:lang w:val="en-US" w:eastAsia="en-US"/>
                    </w:rPr>
                    <w:t>±</w:t>
                  </w:r>
                  <w:r>
                    <w:rPr>
                      <w:rFonts w:cs="Times New Roman"/>
                      <w:sz w:val="20"/>
                      <w:szCs w:val="22"/>
                      <w:lang w:val="en-US" w:eastAsia="en-US"/>
                    </w:rPr>
                    <w:t xml:space="preserve"> 6,0</w:t>
                  </w:r>
                </w:p>
              </w:tc>
              <w:tc>
                <w:tcPr>
                  <w:tcW w:w="1417" w:type="dxa"/>
                  <w:tcBorders>
                    <w:top w:val="nil"/>
                    <w:left w:val="nil"/>
                    <w:bottom w:val="nil"/>
                    <w:right w:val="nil"/>
                  </w:tcBorders>
                </w:tcPr>
                <w:p w14:paraId="5DD0D237" w14:textId="58DFD5B3" w:rsidR="00394336" w:rsidRPr="008419AB" w:rsidRDefault="00C9088E"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13,0</w:t>
                  </w:r>
                  <w:r w:rsidR="00394336">
                    <w:rPr>
                      <w:rFonts w:cs="Times New Roman"/>
                      <w:sz w:val="20"/>
                      <w:szCs w:val="22"/>
                      <w:lang w:val="en-US" w:eastAsia="en-US"/>
                    </w:rPr>
                    <w:t xml:space="preserve"> </w:t>
                  </w:r>
                  <w:r w:rsidR="00394336" w:rsidRPr="008419AB">
                    <w:rPr>
                      <w:rFonts w:cs="Times New Roman"/>
                      <w:sz w:val="20"/>
                      <w:szCs w:val="22"/>
                      <w:lang w:val="en-US" w:eastAsia="en-US"/>
                    </w:rPr>
                    <w:t>±</w:t>
                  </w:r>
                  <w:r w:rsidR="00394336">
                    <w:rPr>
                      <w:rFonts w:cs="Times New Roman"/>
                      <w:sz w:val="20"/>
                      <w:szCs w:val="22"/>
                      <w:lang w:val="en-US" w:eastAsia="en-US"/>
                    </w:rPr>
                    <w:t xml:space="preserve"> 4,2</w:t>
                  </w:r>
                </w:p>
              </w:tc>
              <w:tc>
                <w:tcPr>
                  <w:tcW w:w="1418" w:type="dxa"/>
                  <w:tcBorders>
                    <w:top w:val="nil"/>
                    <w:left w:val="nil"/>
                    <w:bottom w:val="nil"/>
                    <w:right w:val="nil"/>
                  </w:tcBorders>
                </w:tcPr>
                <w:p w14:paraId="2F1D693D" w14:textId="7BC90B9D"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10,</w:t>
                  </w:r>
                  <w:r w:rsidR="00C9088E">
                    <w:rPr>
                      <w:rFonts w:cs="Times New Roman"/>
                      <w:sz w:val="20"/>
                      <w:szCs w:val="22"/>
                      <w:lang w:val="en-US" w:eastAsia="en-US"/>
                    </w:rPr>
                    <w:t>5</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2,8</w:t>
                  </w:r>
                </w:p>
              </w:tc>
              <w:tc>
                <w:tcPr>
                  <w:tcW w:w="1417" w:type="dxa"/>
                  <w:tcBorders>
                    <w:top w:val="nil"/>
                    <w:left w:val="nil"/>
                    <w:bottom w:val="nil"/>
                    <w:right w:val="nil"/>
                  </w:tcBorders>
                </w:tcPr>
                <w:p w14:paraId="165B1A29" w14:textId="16A0EFED"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12,</w:t>
                  </w:r>
                  <w:r w:rsidR="00C9088E">
                    <w:rPr>
                      <w:rFonts w:cs="Times New Roman"/>
                      <w:sz w:val="20"/>
                      <w:szCs w:val="22"/>
                      <w:lang w:val="en-US" w:eastAsia="en-US"/>
                    </w:rPr>
                    <w:t>7</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4,5</w:t>
                  </w:r>
                </w:p>
              </w:tc>
              <w:tc>
                <w:tcPr>
                  <w:tcW w:w="1276" w:type="dxa"/>
                  <w:gridSpan w:val="2"/>
                  <w:tcBorders>
                    <w:top w:val="nil"/>
                    <w:left w:val="nil"/>
                    <w:bottom w:val="nil"/>
                    <w:right w:val="nil"/>
                  </w:tcBorders>
                </w:tcPr>
                <w:p w14:paraId="400757E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0,154</w:t>
                  </w:r>
                </w:p>
              </w:tc>
              <w:tc>
                <w:tcPr>
                  <w:tcW w:w="1276" w:type="dxa"/>
                  <w:gridSpan w:val="2"/>
                  <w:tcBorders>
                    <w:top w:val="nil"/>
                    <w:left w:val="nil"/>
                    <w:bottom w:val="nil"/>
                    <w:right w:val="nil"/>
                  </w:tcBorders>
                </w:tcPr>
                <w:p w14:paraId="74C538C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-0,401</w:t>
                  </w:r>
                </w:p>
              </w:tc>
              <w:tc>
                <w:tcPr>
                  <w:tcW w:w="1276" w:type="dxa"/>
                  <w:gridSpan w:val="2"/>
                  <w:tcBorders>
                    <w:top w:val="nil"/>
                    <w:left w:val="nil"/>
                    <w:bottom w:val="nil"/>
                    <w:right w:val="nil"/>
                  </w:tcBorders>
                </w:tcPr>
                <w:p w14:paraId="4D1FF2A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0,695</w:t>
                  </w:r>
                </w:p>
              </w:tc>
              <w:tc>
                <w:tcPr>
                  <w:tcW w:w="2693" w:type="dxa"/>
                  <w:gridSpan w:val="6"/>
                  <w:tcBorders>
                    <w:top w:val="nil"/>
                    <w:left w:val="nil"/>
                    <w:bottom w:val="nil"/>
                    <w:right w:val="nil"/>
                  </w:tcBorders>
                </w:tcPr>
                <w:p w14:paraId="5DAD9C4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287522A1" w14:textId="77777777" w:rsidTr="00E5029D">
              <w:trPr>
                <w:gridBefore w:val="1"/>
                <w:wBefore w:w="34" w:type="dxa"/>
              </w:trPr>
              <w:tc>
                <w:tcPr>
                  <w:tcW w:w="2518" w:type="dxa"/>
                  <w:tcBorders>
                    <w:top w:val="nil"/>
                    <w:left w:val="nil"/>
                    <w:bottom w:val="nil"/>
                    <w:right w:val="nil"/>
                  </w:tcBorders>
                </w:tcPr>
                <w:p w14:paraId="3725B4C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w:t>
                  </w:r>
                </w:p>
              </w:tc>
              <w:tc>
                <w:tcPr>
                  <w:tcW w:w="567" w:type="dxa"/>
                  <w:tcBorders>
                    <w:top w:val="nil"/>
                    <w:left w:val="nil"/>
                    <w:bottom w:val="nil"/>
                    <w:right w:val="nil"/>
                  </w:tcBorders>
                </w:tcPr>
                <w:p w14:paraId="3C95F7E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60538A04" w14:textId="3FEF863B"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17,7 </w:t>
                  </w:r>
                  <w:r w:rsidRPr="008419AB">
                    <w:rPr>
                      <w:rFonts w:cs="Times New Roman"/>
                      <w:sz w:val="20"/>
                      <w:szCs w:val="22"/>
                      <w:lang w:val="en-US" w:eastAsia="en-US"/>
                    </w:rPr>
                    <w:t>±</w:t>
                  </w:r>
                  <w:r>
                    <w:rPr>
                      <w:rFonts w:cs="Times New Roman"/>
                      <w:sz w:val="20"/>
                      <w:szCs w:val="22"/>
                      <w:lang w:val="en-US" w:eastAsia="en-US"/>
                    </w:rPr>
                    <w:t xml:space="preserve"> 8,7</w:t>
                  </w:r>
                </w:p>
              </w:tc>
              <w:tc>
                <w:tcPr>
                  <w:tcW w:w="1417" w:type="dxa"/>
                  <w:tcBorders>
                    <w:top w:val="nil"/>
                    <w:left w:val="nil"/>
                    <w:bottom w:val="nil"/>
                    <w:right w:val="nil"/>
                  </w:tcBorders>
                </w:tcPr>
                <w:p w14:paraId="7FE2B163" w14:textId="4FF6659F"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9,4 </w:t>
                  </w:r>
                  <w:r w:rsidRPr="008419AB">
                    <w:rPr>
                      <w:rFonts w:cs="Times New Roman"/>
                      <w:sz w:val="20"/>
                      <w:szCs w:val="22"/>
                      <w:lang w:val="en-US" w:eastAsia="en-US"/>
                    </w:rPr>
                    <w:t>±</w:t>
                  </w:r>
                  <w:r>
                    <w:rPr>
                      <w:rFonts w:cs="Times New Roman"/>
                      <w:sz w:val="20"/>
                      <w:szCs w:val="22"/>
                      <w:lang w:val="en-US" w:eastAsia="en-US"/>
                    </w:rPr>
                    <w:t xml:space="preserve"> 2,7</w:t>
                  </w:r>
                </w:p>
              </w:tc>
              <w:tc>
                <w:tcPr>
                  <w:tcW w:w="1418" w:type="dxa"/>
                  <w:tcBorders>
                    <w:top w:val="nil"/>
                    <w:left w:val="nil"/>
                    <w:bottom w:val="nil"/>
                    <w:right w:val="nil"/>
                  </w:tcBorders>
                </w:tcPr>
                <w:p w14:paraId="36BC1F6C" w14:textId="1AA15BCC"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9,7 </w:t>
                  </w:r>
                  <w:r w:rsidRPr="008419AB">
                    <w:rPr>
                      <w:rFonts w:cs="Times New Roman"/>
                      <w:sz w:val="20"/>
                      <w:szCs w:val="22"/>
                      <w:lang w:val="en-US" w:eastAsia="en-US"/>
                    </w:rPr>
                    <w:t>±</w:t>
                  </w:r>
                  <w:r>
                    <w:rPr>
                      <w:rFonts w:cs="Times New Roman"/>
                      <w:sz w:val="20"/>
                      <w:szCs w:val="22"/>
                      <w:lang w:val="en-US" w:eastAsia="en-US"/>
                    </w:rPr>
                    <w:t xml:space="preserve"> 1,</w:t>
                  </w:r>
                  <w:r w:rsidR="00C9088E">
                    <w:rPr>
                      <w:rFonts w:cs="Times New Roman"/>
                      <w:sz w:val="20"/>
                      <w:szCs w:val="22"/>
                      <w:lang w:val="en-US" w:eastAsia="en-US"/>
                    </w:rPr>
                    <w:t>8</w:t>
                  </w:r>
                </w:p>
              </w:tc>
              <w:tc>
                <w:tcPr>
                  <w:tcW w:w="1417" w:type="dxa"/>
                  <w:tcBorders>
                    <w:top w:val="nil"/>
                    <w:left w:val="nil"/>
                    <w:bottom w:val="nil"/>
                    <w:right w:val="nil"/>
                  </w:tcBorders>
                </w:tcPr>
                <w:p w14:paraId="6A0E40D5" w14:textId="206ADC95"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12,7 </w:t>
                  </w:r>
                  <w:r w:rsidRPr="008419AB">
                    <w:rPr>
                      <w:rFonts w:cs="Times New Roman"/>
                      <w:sz w:val="20"/>
                      <w:szCs w:val="22"/>
                      <w:lang w:val="en-US" w:eastAsia="en-US"/>
                    </w:rPr>
                    <w:t>±</w:t>
                  </w:r>
                  <w:r>
                    <w:rPr>
                      <w:rFonts w:cs="Times New Roman"/>
                      <w:sz w:val="20"/>
                      <w:szCs w:val="22"/>
                      <w:lang w:val="en-US" w:eastAsia="en-US"/>
                    </w:rPr>
                    <w:t xml:space="preserve"> 5,</w:t>
                  </w:r>
                  <w:r w:rsidR="00C9088E">
                    <w:rPr>
                      <w:rFonts w:cs="Times New Roman"/>
                      <w:sz w:val="20"/>
                      <w:szCs w:val="22"/>
                      <w:lang w:val="en-US" w:eastAsia="en-US"/>
                    </w:rPr>
                    <w:t>7</w:t>
                  </w:r>
                </w:p>
              </w:tc>
              <w:tc>
                <w:tcPr>
                  <w:tcW w:w="1276" w:type="dxa"/>
                  <w:gridSpan w:val="2"/>
                  <w:tcBorders>
                    <w:top w:val="nil"/>
                    <w:left w:val="nil"/>
                    <w:bottom w:val="nil"/>
                    <w:right w:val="nil"/>
                  </w:tcBorders>
                </w:tcPr>
                <w:p w14:paraId="3FDA19F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2D23433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vertAlign w:val="superscript"/>
                      <w:lang w:val="en-US" w:eastAsia="en-US"/>
                    </w:rPr>
                  </w:pPr>
                  <w:r w:rsidRPr="008419AB">
                    <w:rPr>
                      <w:rFonts w:cs="Times New Roman"/>
                      <w:sz w:val="20"/>
                      <w:szCs w:val="22"/>
                      <w:lang w:val="en-US" w:eastAsia="en-US"/>
                    </w:rPr>
                    <w:t xml:space="preserve">     0</w:t>
                  </w:r>
                  <w:r w:rsidRPr="008419AB">
                    <w:rPr>
                      <w:rFonts w:cs="Times New Roman"/>
                      <w:sz w:val="20"/>
                      <w:szCs w:val="22"/>
                      <w:vertAlign w:val="superscript"/>
                      <w:lang w:val="en-US" w:eastAsia="en-US"/>
                    </w:rPr>
                    <w:t>a</w:t>
                  </w:r>
                </w:p>
              </w:tc>
              <w:tc>
                <w:tcPr>
                  <w:tcW w:w="1276" w:type="dxa"/>
                  <w:gridSpan w:val="2"/>
                  <w:tcBorders>
                    <w:top w:val="nil"/>
                    <w:left w:val="nil"/>
                    <w:bottom w:val="nil"/>
                    <w:right w:val="nil"/>
                  </w:tcBorders>
                </w:tcPr>
                <w:p w14:paraId="3CD5918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693" w:type="dxa"/>
                  <w:gridSpan w:val="6"/>
                  <w:tcBorders>
                    <w:top w:val="nil"/>
                    <w:left w:val="nil"/>
                    <w:bottom w:val="nil"/>
                    <w:right w:val="nil"/>
                  </w:tcBorders>
                </w:tcPr>
                <w:p w14:paraId="683DDDD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6494D7C1" w14:textId="77777777" w:rsidTr="00E5029D">
              <w:trPr>
                <w:gridBefore w:val="1"/>
                <w:wBefore w:w="34" w:type="dxa"/>
              </w:trPr>
              <w:tc>
                <w:tcPr>
                  <w:tcW w:w="2518" w:type="dxa"/>
                  <w:tcBorders>
                    <w:top w:val="nil"/>
                    <w:left w:val="nil"/>
                    <w:bottom w:val="nil"/>
                    <w:right w:val="nil"/>
                  </w:tcBorders>
                </w:tcPr>
                <w:p w14:paraId="30BE4EE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Knee angle at IC Pre Op</w:t>
                  </w:r>
                </w:p>
              </w:tc>
              <w:tc>
                <w:tcPr>
                  <w:tcW w:w="567" w:type="dxa"/>
                  <w:tcBorders>
                    <w:top w:val="nil"/>
                    <w:left w:val="nil"/>
                    <w:bottom w:val="nil"/>
                    <w:right w:val="nil"/>
                  </w:tcBorders>
                </w:tcPr>
                <w:p w14:paraId="0FE6F58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2A64FEB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7F8BF2A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36E860B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0BD2E59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34BE593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9,665</w:t>
                  </w:r>
                </w:p>
              </w:tc>
              <w:tc>
                <w:tcPr>
                  <w:tcW w:w="1276" w:type="dxa"/>
                  <w:gridSpan w:val="2"/>
                  <w:tcBorders>
                    <w:top w:val="nil"/>
                    <w:left w:val="nil"/>
                    <w:bottom w:val="nil"/>
                    <w:right w:val="nil"/>
                  </w:tcBorders>
                </w:tcPr>
                <w:p w14:paraId="0570CBB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0,187</w:t>
                  </w:r>
                </w:p>
              </w:tc>
              <w:tc>
                <w:tcPr>
                  <w:tcW w:w="1276" w:type="dxa"/>
                  <w:gridSpan w:val="2"/>
                  <w:tcBorders>
                    <w:top w:val="nil"/>
                    <w:left w:val="nil"/>
                    <w:bottom w:val="nil"/>
                    <w:right w:val="nil"/>
                  </w:tcBorders>
                </w:tcPr>
                <w:p w14:paraId="53445C0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0,002**</w:t>
                  </w:r>
                </w:p>
              </w:tc>
              <w:tc>
                <w:tcPr>
                  <w:tcW w:w="2693" w:type="dxa"/>
                  <w:gridSpan w:val="6"/>
                  <w:tcBorders>
                    <w:top w:val="nil"/>
                    <w:left w:val="nil"/>
                    <w:bottom w:val="nil"/>
                    <w:right w:val="nil"/>
                  </w:tcBorders>
                </w:tcPr>
                <w:p w14:paraId="008AB6D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028AADA5" w14:textId="77777777" w:rsidTr="00E5029D">
              <w:trPr>
                <w:gridBefore w:val="1"/>
                <w:wBefore w:w="34" w:type="dxa"/>
              </w:trPr>
              <w:tc>
                <w:tcPr>
                  <w:tcW w:w="2518" w:type="dxa"/>
                  <w:tcBorders>
                    <w:top w:val="nil"/>
                    <w:left w:val="nil"/>
                    <w:bottom w:val="nil"/>
                    <w:right w:val="nil"/>
                  </w:tcBorders>
                </w:tcPr>
                <w:p w14:paraId="3D25E0C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u w:val="single"/>
                      <w:lang w:val="en-US" w:eastAsia="en-US"/>
                    </w:rPr>
                  </w:pPr>
                  <w:r>
                    <w:rPr>
                      <w:rFonts w:cs="Times New Roman"/>
                      <w:sz w:val="20"/>
                      <w:szCs w:val="22"/>
                      <w:u w:val="single"/>
                      <w:lang w:val="en-US" w:eastAsia="en-US"/>
                    </w:rPr>
                    <w:t>GPS transverse</w:t>
                  </w:r>
                  <w:r w:rsidRPr="008419AB">
                    <w:rPr>
                      <w:rFonts w:cs="Times New Roman"/>
                      <w:sz w:val="20"/>
                      <w:szCs w:val="22"/>
                      <w:u w:val="single"/>
                      <w:lang w:val="en-US" w:eastAsia="en-US"/>
                    </w:rPr>
                    <w:t xml:space="preserve"> (°)</w:t>
                  </w:r>
                </w:p>
              </w:tc>
              <w:tc>
                <w:tcPr>
                  <w:tcW w:w="567" w:type="dxa"/>
                  <w:tcBorders>
                    <w:top w:val="nil"/>
                    <w:left w:val="nil"/>
                    <w:bottom w:val="nil"/>
                    <w:right w:val="nil"/>
                  </w:tcBorders>
                </w:tcPr>
                <w:p w14:paraId="712E0E0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0EDD48E3" w14:textId="325D8ED0"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16,0± 7,0 </w:t>
                  </w:r>
                </w:p>
              </w:tc>
              <w:tc>
                <w:tcPr>
                  <w:tcW w:w="1417" w:type="dxa"/>
                  <w:tcBorders>
                    <w:top w:val="nil"/>
                    <w:left w:val="nil"/>
                    <w:bottom w:val="nil"/>
                    <w:right w:val="nil"/>
                  </w:tcBorders>
                </w:tcPr>
                <w:p w14:paraId="5A41E93B" w14:textId="4B6BBA25"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10</w:t>
                  </w:r>
                  <w:r w:rsidR="00C9088E">
                    <w:rPr>
                      <w:rFonts w:cs="Times New Roman"/>
                      <w:sz w:val="20"/>
                      <w:szCs w:val="22"/>
                      <w:lang w:val="en-US" w:eastAsia="en-US"/>
                    </w:rPr>
                    <w:t xml:space="preserve">,7 </w:t>
                  </w:r>
                  <w:r w:rsidRPr="008419AB">
                    <w:rPr>
                      <w:rFonts w:cs="Times New Roman"/>
                      <w:sz w:val="20"/>
                      <w:szCs w:val="22"/>
                      <w:lang w:val="en-US" w:eastAsia="en-US"/>
                    </w:rPr>
                    <w:t>± 4,3</w:t>
                  </w:r>
                </w:p>
              </w:tc>
              <w:tc>
                <w:tcPr>
                  <w:tcW w:w="1418" w:type="dxa"/>
                  <w:tcBorders>
                    <w:top w:val="nil"/>
                    <w:left w:val="nil"/>
                    <w:bottom w:val="nil"/>
                    <w:right w:val="nil"/>
                  </w:tcBorders>
                </w:tcPr>
                <w:p w14:paraId="2D9D6230" w14:textId="76DC512E"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11,</w:t>
                  </w:r>
                  <w:r w:rsidR="00C9088E">
                    <w:rPr>
                      <w:rFonts w:cs="Times New Roman"/>
                      <w:sz w:val="20"/>
                      <w:szCs w:val="22"/>
                      <w:lang w:val="en-US" w:eastAsia="en-US"/>
                    </w:rPr>
                    <w:t>7</w:t>
                  </w:r>
                  <w:r w:rsidRPr="008419AB">
                    <w:rPr>
                      <w:rFonts w:cs="Times New Roman"/>
                      <w:sz w:val="20"/>
                      <w:szCs w:val="22"/>
                      <w:lang w:val="en-US" w:eastAsia="en-US"/>
                    </w:rPr>
                    <w:t xml:space="preserve"> ± 4,0</w:t>
                  </w:r>
                </w:p>
              </w:tc>
              <w:tc>
                <w:tcPr>
                  <w:tcW w:w="1417" w:type="dxa"/>
                  <w:tcBorders>
                    <w:top w:val="nil"/>
                    <w:left w:val="nil"/>
                    <w:bottom w:val="nil"/>
                    <w:right w:val="nil"/>
                  </w:tcBorders>
                </w:tcPr>
                <w:p w14:paraId="09CC988B" w14:textId="17E7C3F4"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10,9 ± 4,</w:t>
                  </w:r>
                  <w:r w:rsidR="00C9088E">
                    <w:rPr>
                      <w:rFonts w:cs="Times New Roman"/>
                      <w:sz w:val="20"/>
                      <w:szCs w:val="22"/>
                      <w:lang w:val="en-US" w:eastAsia="en-US"/>
                    </w:rPr>
                    <w:t>5</w:t>
                  </w:r>
                </w:p>
              </w:tc>
              <w:tc>
                <w:tcPr>
                  <w:tcW w:w="1276" w:type="dxa"/>
                  <w:gridSpan w:val="2"/>
                  <w:tcBorders>
                    <w:top w:val="nil"/>
                    <w:left w:val="nil"/>
                    <w:bottom w:val="nil"/>
                    <w:right w:val="nil"/>
                  </w:tcBorders>
                </w:tcPr>
                <w:p w14:paraId="0904BC7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14,457</w:t>
                  </w:r>
                </w:p>
              </w:tc>
              <w:tc>
                <w:tcPr>
                  <w:tcW w:w="1276" w:type="dxa"/>
                  <w:gridSpan w:val="2"/>
                  <w:tcBorders>
                    <w:top w:val="nil"/>
                    <w:left w:val="nil"/>
                    <w:bottom w:val="nil"/>
                    <w:right w:val="nil"/>
                  </w:tcBorders>
                </w:tcPr>
                <w:p w14:paraId="15BE6B36"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4523AB8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0,002**</w:t>
                  </w:r>
                </w:p>
              </w:tc>
              <w:tc>
                <w:tcPr>
                  <w:tcW w:w="2693" w:type="dxa"/>
                  <w:gridSpan w:val="6"/>
                  <w:tcBorders>
                    <w:top w:val="nil"/>
                    <w:left w:val="nil"/>
                    <w:bottom w:val="nil"/>
                    <w:right w:val="nil"/>
                  </w:tcBorders>
                </w:tcPr>
                <w:p w14:paraId="0477C9F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0-2** 0-5** 0-8**</w:t>
                  </w:r>
                </w:p>
              </w:tc>
            </w:tr>
            <w:tr w:rsidR="00394336" w:rsidRPr="008419AB" w14:paraId="381BBF0D" w14:textId="77777777" w:rsidTr="00E5029D">
              <w:trPr>
                <w:gridBefore w:val="1"/>
                <w:wBefore w:w="34" w:type="dxa"/>
              </w:trPr>
              <w:tc>
                <w:tcPr>
                  <w:tcW w:w="2518" w:type="dxa"/>
                  <w:tcBorders>
                    <w:top w:val="nil"/>
                    <w:left w:val="nil"/>
                    <w:bottom w:val="nil"/>
                    <w:right w:val="nil"/>
                  </w:tcBorders>
                </w:tcPr>
                <w:p w14:paraId="1D3441E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Age at surgery</w:t>
                  </w:r>
                </w:p>
              </w:tc>
              <w:tc>
                <w:tcPr>
                  <w:tcW w:w="567" w:type="dxa"/>
                  <w:tcBorders>
                    <w:top w:val="nil"/>
                    <w:left w:val="nil"/>
                    <w:bottom w:val="nil"/>
                    <w:right w:val="nil"/>
                  </w:tcBorders>
                </w:tcPr>
                <w:p w14:paraId="78D1D04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24311B7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0AF6DFD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3BF55B5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4EBE39E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72C115B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0,031</w:t>
                  </w:r>
                </w:p>
              </w:tc>
              <w:tc>
                <w:tcPr>
                  <w:tcW w:w="1276" w:type="dxa"/>
                  <w:gridSpan w:val="2"/>
                  <w:tcBorders>
                    <w:top w:val="nil"/>
                    <w:left w:val="nil"/>
                    <w:bottom w:val="nil"/>
                    <w:right w:val="nil"/>
                  </w:tcBorders>
                </w:tcPr>
                <w:p w14:paraId="746AAE1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-0,038</w:t>
                  </w:r>
                </w:p>
              </w:tc>
              <w:tc>
                <w:tcPr>
                  <w:tcW w:w="1276" w:type="dxa"/>
                  <w:gridSpan w:val="2"/>
                  <w:tcBorders>
                    <w:top w:val="nil"/>
                    <w:left w:val="nil"/>
                    <w:bottom w:val="nil"/>
                    <w:right w:val="nil"/>
                  </w:tcBorders>
                </w:tcPr>
                <w:p w14:paraId="3BA4E95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0,860</w:t>
                  </w:r>
                </w:p>
              </w:tc>
              <w:tc>
                <w:tcPr>
                  <w:tcW w:w="2693" w:type="dxa"/>
                  <w:gridSpan w:val="6"/>
                  <w:tcBorders>
                    <w:top w:val="nil"/>
                    <w:left w:val="nil"/>
                    <w:bottom w:val="nil"/>
                    <w:right w:val="nil"/>
                  </w:tcBorders>
                </w:tcPr>
                <w:p w14:paraId="409891B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64EEA4C2" w14:textId="77777777" w:rsidTr="00E5029D">
              <w:trPr>
                <w:gridBefore w:val="1"/>
                <w:wBefore w:w="34" w:type="dxa"/>
              </w:trPr>
              <w:tc>
                <w:tcPr>
                  <w:tcW w:w="2518" w:type="dxa"/>
                  <w:tcBorders>
                    <w:top w:val="nil"/>
                    <w:left w:val="nil"/>
                    <w:bottom w:val="nil"/>
                    <w:right w:val="nil"/>
                  </w:tcBorders>
                </w:tcPr>
                <w:p w14:paraId="1B7D22D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Pre Op</w:t>
                  </w:r>
                </w:p>
              </w:tc>
              <w:tc>
                <w:tcPr>
                  <w:tcW w:w="567" w:type="dxa"/>
                  <w:tcBorders>
                    <w:top w:val="nil"/>
                    <w:left w:val="nil"/>
                    <w:bottom w:val="nil"/>
                    <w:right w:val="nil"/>
                  </w:tcBorders>
                </w:tcPr>
                <w:p w14:paraId="2AADCEF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68E9E385"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6FCA66F1"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42DC0E8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7" w:type="dxa"/>
                  <w:tcBorders>
                    <w:top w:val="nil"/>
                    <w:left w:val="nil"/>
                    <w:bottom w:val="nil"/>
                    <w:right w:val="nil"/>
                  </w:tcBorders>
                </w:tcPr>
                <w:p w14:paraId="0F264F4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4BBCF2E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2,580</w:t>
                  </w:r>
                </w:p>
              </w:tc>
              <w:tc>
                <w:tcPr>
                  <w:tcW w:w="1276" w:type="dxa"/>
                  <w:gridSpan w:val="2"/>
                  <w:tcBorders>
                    <w:top w:val="nil"/>
                    <w:left w:val="nil"/>
                    <w:bottom w:val="nil"/>
                    <w:right w:val="nil"/>
                  </w:tcBorders>
                </w:tcPr>
                <w:p w14:paraId="2AC0192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2692E49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0,275</w:t>
                  </w:r>
                </w:p>
              </w:tc>
              <w:tc>
                <w:tcPr>
                  <w:tcW w:w="2693" w:type="dxa"/>
                  <w:gridSpan w:val="6"/>
                  <w:tcBorders>
                    <w:top w:val="nil"/>
                    <w:left w:val="nil"/>
                    <w:bottom w:val="nil"/>
                    <w:right w:val="nil"/>
                  </w:tcBorders>
                </w:tcPr>
                <w:p w14:paraId="6C571C89"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3168F55A" w14:textId="77777777" w:rsidTr="00E5029D">
              <w:trPr>
                <w:gridBefore w:val="1"/>
                <w:wBefore w:w="34" w:type="dxa"/>
              </w:trPr>
              <w:tc>
                <w:tcPr>
                  <w:tcW w:w="2518" w:type="dxa"/>
                  <w:tcBorders>
                    <w:top w:val="nil"/>
                    <w:left w:val="nil"/>
                    <w:bottom w:val="nil"/>
                    <w:right w:val="nil"/>
                  </w:tcBorders>
                </w:tcPr>
                <w:p w14:paraId="3233A36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III </w:t>
                  </w:r>
                </w:p>
              </w:tc>
              <w:tc>
                <w:tcPr>
                  <w:tcW w:w="567" w:type="dxa"/>
                  <w:tcBorders>
                    <w:top w:val="nil"/>
                    <w:left w:val="nil"/>
                    <w:bottom w:val="nil"/>
                    <w:right w:val="nil"/>
                  </w:tcBorders>
                </w:tcPr>
                <w:p w14:paraId="020FB894"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3028AE4E" w14:textId="2460515C"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18,3 </w:t>
                  </w:r>
                  <w:r w:rsidRPr="008419AB">
                    <w:rPr>
                      <w:rFonts w:cs="Times New Roman"/>
                      <w:sz w:val="20"/>
                      <w:szCs w:val="22"/>
                      <w:lang w:val="en-US" w:eastAsia="en-US"/>
                    </w:rPr>
                    <w:t>±</w:t>
                  </w:r>
                  <w:r>
                    <w:rPr>
                      <w:rFonts w:cs="Times New Roman"/>
                      <w:sz w:val="20"/>
                      <w:szCs w:val="22"/>
                      <w:lang w:val="en-US" w:eastAsia="en-US"/>
                    </w:rPr>
                    <w:t xml:space="preserve"> 4,</w:t>
                  </w:r>
                  <w:r w:rsidR="00C9088E">
                    <w:rPr>
                      <w:rFonts w:cs="Times New Roman"/>
                      <w:sz w:val="20"/>
                      <w:szCs w:val="22"/>
                      <w:lang w:val="en-US" w:eastAsia="en-US"/>
                    </w:rPr>
                    <w:t>6</w:t>
                  </w:r>
                </w:p>
              </w:tc>
              <w:tc>
                <w:tcPr>
                  <w:tcW w:w="1417" w:type="dxa"/>
                  <w:tcBorders>
                    <w:top w:val="nil"/>
                    <w:left w:val="nil"/>
                    <w:bottom w:val="nil"/>
                    <w:right w:val="nil"/>
                  </w:tcBorders>
                </w:tcPr>
                <w:p w14:paraId="23B3A415" w14:textId="7E9437DA"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16,0 </w:t>
                  </w:r>
                  <w:r w:rsidRPr="008419AB">
                    <w:rPr>
                      <w:rFonts w:cs="Times New Roman"/>
                      <w:sz w:val="20"/>
                      <w:szCs w:val="22"/>
                      <w:lang w:val="en-US" w:eastAsia="en-US"/>
                    </w:rPr>
                    <w:t>±</w:t>
                  </w:r>
                  <w:r>
                    <w:rPr>
                      <w:rFonts w:cs="Times New Roman"/>
                      <w:sz w:val="20"/>
                      <w:szCs w:val="22"/>
                      <w:lang w:val="en-US" w:eastAsia="en-US"/>
                    </w:rPr>
                    <w:t xml:space="preserve"> 7,0</w:t>
                  </w:r>
                </w:p>
              </w:tc>
              <w:tc>
                <w:tcPr>
                  <w:tcW w:w="1418" w:type="dxa"/>
                  <w:tcBorders>
                    <w:top w:val="nil"/>
                    <w:left w:val="nil"/>
                    <w:bottom w:val="nil"/>
                    <w:right w:val="nil"/>
                  </w:tcBorders>
                </w:tcPr>
                <w:p w14:paraId="3DAA7785" w14:textId="7A4D584E"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13,7 </w:t>
                  </w:r>
                  <w:r w:rsidRPr="008419AB">
                    <w:rPr>
                      <w:rFonts w:cs="Times New Roman"/>
                      <w:sz w:val="20"/>
                      <w:szCs w:val="22"/>
                      <w:lang w:val="en-US" w:eastAsia="en-US"/>
                    </w:rPr>
                    <w:t>±</w:t>
                  </w:r>
                  <w:r>
                    <w:rPr>
                      <w:rFonts w:cs="Times New Roman"/>
                      <w:sz w:val="20"/>
                      <w:szCs w:val="22"/>
                      <w:lang w:val="en-US" w:eastAsia="en-US"/>
                    </w:rPr>
                    <w:t xml:space="preserve"> 4,</w:t>
                  </w:r>
                  <w:r w:rsidR="00C9088E">
                    <w:rPr>
                      <w:rFonts w:cs="Times New Roman"/>
                      <w:sz w:val="20"/>
                      <w:szCs w:val="22"/>
                      <w:lang w:val="en-US" w:eastAsia="en-US"/>
                    </w:rPr>
                    <w:t>7</w:t>
                  </w:r>
                </w:p>
              </w:tc>
              <w:tc>
                <w:tcPr>
                  <w:tcW w:w="1417" w:type="dxa"/>
                  <w:tcBorders>
                    <w:top w:val="nil"/>
                    <w:left w:val="nil"/>
                    <w:bottom w:val="nil"/>
                    <w:right w:val="nil"/>
                  </w:tcBorders>
                </w:tcPr>
                <w:p w14:paraId="4FB80481" w14:textId="644D9A80"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11,2 </w:t>
                  </w:r>
                  <w:r w:rsidRPr="008419AB">
                    <w:rPr>
                      <w:rFonts w:cs="Times New Roman"/>
                      <w:sz w:val="20"/>
                      <w:szCs w:val="22"/>
                      <w:lang w:val="en-US" w:eastAsia="en-US"/>
                    </w:rPr>
                    <w:t>±</w:t>
                  </w:r>
                  <w:r>
                    <w:rPr>
                      <w:rFonts w:cs="Times New Roman"/>
                      <w:sz w:val="20"/>
                      <w:szCs w:val="22"/>
                      <w:lang w:val="en-US" w:eastAsia="en-US"/>
                    </w:rPr>
                    <w:t xml:space="preserve"> 4,7</w:t>
                  </w:r>
                </w:p>
              </w:tc>
              <w:tc>
                <w:tcPr>
                  <w:tcW w:w="1276" w:type="dxa"/>
                  <w:gridSpan w:val="2"/>
                  <w:tcBorders>
                    <w:top w:val="nil"/>
                    <w:left w:val="nil"/>
                    <w:bottom w:val="nil"/>
                    <w:right w:val="nil"/>
                  </w:tcBorders>
                </w:tcPr>
                <w:p w14:paraId="6191A4E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2,282</w:t>
                  </w:r>
                </w:p>
              </w:tc>
              <w:tc>
                <w:tcPr>
                  <w:tcW w:w="1276" w:type="dxa"/>
                  <w:gridSpan w:val="2"/>
                  <w:tcBorders>
                    <w:top w:val="nil"/>
                    <w:left w:val="nil"/>
                    <w:bottom w:val="nil"/>
                    <w:right w:val="nil"/>
                  </w:tcBorders>
                </w:tcPr>
                <w:p w14:paraId="2B6F015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3,407</w:t>
                  </w:r>
                </w:p>
              </w:tc>
              <w:tc>
                <w:tcPr>
                  <w:tcW w:w="1276" w:type="dxa"/>
                  <w:gridSpan w:val="2"/>
                  <w:tcBorders>
                    <w:top w:val="nil"/>
                    <w:left w:val="nil"/>
                    <w:bottom w:val="nil"/>
                    <w:right w:val="nil"/>
                  </w:tcBorders>
                </w:tcPr>
                <w:p w14:paraId="5C922F0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0,131</w:t>
                  </w:r>
                </w:p>
              </w:tc>
              <w:tc>
                <w:tcPr>
                  <w:tcW w:w="2693" w:type="dxa"/>
                  <w:gridSpan w:val="6"/>
                  <w:tcBorders>
                    <w:top w:val="nil"/>
                    <w:left w:val="nil"/>
                    <w:bottom w:val="nil"/>
                    <w:right w:val="nil"/>
                  </w:tcBorders>
                </w:tcPr>
                <w:p w14:paraId="6F231EF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3086CA4E" w14:textId="77777777" w:rsidTr="00E5029D">
              <w:trPr>
                <w:gridBefore w:val="1"/>
                <w:wBefore w:w="34" w:type="dxa"/>
              </w:trPr>
              <w:tc>
                <w:tcPr>
                  <w:tcW w:w="2518" w:type="dxa"/>
                  <w:tcBorders>
                    <w:top w:val="nil"/>
                    <w:left w:val="nil"/>
                    <w:bottom w:val="nil"/>
                    <w:right w:val="nil"/>
                  </w:tcBorders>
                </w:tcPr>
                <w:p w14:paraId="229959EF"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II</w:t>
                  </w:r>
                </w:p>
              </w:tc>
              <w:tc>
                <w:tcPr>
                  <w:tcW w:w="567" w:type="dxa"/>
                  <w:tcBorders>
                    <w:top w:val="nil"/>
                    <w:left w:val="nil"/>
                    <w:bottom w:val="nil"/>
                    <w:right w:val="nil"/>
                  </w:tcBorders>
                </w:tcPr>
                <w:p w14:paraId="701BF04D"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7ADEA8F0" w14:textId="647EBEF8"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14,9 </w:t>
                  </w:r>
                  <w:r w:rsidRPr="008419AB">
                    <w:rPr>
                      <w:rFonts w:cs="Times New Roman"/>
                      <w:sz w:val="20"/>
                      <w:szCs w:val="22"/>
                      <w:lang w:val="en-US" w:eastAsia="en-US"/>
                    </w:rPr>
                    <w:t>±</w:t>
                  </w:r>
                  <w:r>
                    <w:rPr>
                      <w:rFonts w:cs="Times New Roman"/>
                      <w:sz w:val="20"/>
                      <w:szCs w:val="22"/>
                      <w:lang w:val="en-US" w:eastAsia="en-US"/>
                    </w:rPr>
                    <w:t xml:space="preserve"> 6,</w:t>
                  </w:r>
                  <w:r w:rsidR="00C9088E">
                    <w:rPr>
                      <w:rFonts w:cs="Times New Roman"/>
                      <w:sz w:val="20"/>
                      <w:szCs w:val="22"/>
                      <w:lang w:val="en-US" w:eastAsia="en-US"/>
                    </w:rPr>
                    <w:t>6</w:t>
                  </w:r>
                </w:p>
              </w:tc>
              <w:tc>
                <w:tcPr>
                  <w:tcW w:w="1417" w:type="dxa"/>
                  <w:tcBorders>
                    <w:top w:val="nil"/>
                    <w:left w:val="nil"/>
                    <w:bottom w:val="nil"/>
                    <w:right w:val="nil"/>
                  </w:tcBorders>
                </w:tcPr>
                <w:p w14:paraId="4B03FFD7" w14:textId="3FAC9293" w:rsidR="00394336" w:rsidRPr="008419AB" w:rsidRDefault="00C9088E"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11,2</w:t>
                  </w:r>
                  <w:r w:rsidR="00394336" w:rsidRPr="008419AB">
                    <w:rPr>
                      <w:rFonts w:cs="Times New Roman"/>
                      <w:sz w:val="20"/>
                      <w:szCs w:val="22"/>
                      <w:lang w:val="en-US" w:eastAsia="en-US"/>
                    </w:rPr>
                    <w:t>±</w:t>
                  </w:r>
                  <w:r w:rsidR="00394336">
                    <w:rPr>
                      <w:rFonts w:cs="Times New Roman"/>
                      <w:sz w:val="20"/>
                      <w:szCs w:val="22"/>
                      <w:lang w:val="en-US" w:eastAsia="en-US"/>
                    </w:rPr>
                    <w:t xml:space="preserve"> 3,2</w:t>
                  </w:r>
                </w:p>
              </w:tc>
              <w:tc>
                <w:tcPr>
                  <w:tcW w:w="1418" w:type="dxa"/>
                  <w:tcBorders>
                    <w:top w:val="nil"/>
                    <w:left w:val="nil"/>
                    <w:bottom w:val="nil"/>
                    <w:right w:val="nil"/>
                  </w:tcBorders>
                </w:tcPr>
                <w:p w14:paraId="737AB04C" w14:textId="3D762508"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w:t>
                  </w:r>
                  <w:r w:rsidR="00C9088E">
                    <w:rPr>
                      <w:rFonts w:cs="Times New Roman"/>
                      <w:sz w:val="20"/>
                      <w:szCs w:val="22"/>
                      <w:lang w:val="en-US" w:eastAsia="en-US"/>
                    </w:rPr>
                    <w:t>3</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3,</w:t>
                  </w:r>
                  <w:r w:rsidR="00C9088E">
                    <w:rPr>
                      <w:rFonts w:cs="Times New Roman"/>
                      <w:sz w:val="20"/>
                      <w:szCs w:val="22"/>
                      <w:lang w:val="en-US" w:eastAsia="en-US"/>
                    </w:rPr>
                    <w:t>5</w:t>
                  </w:r>
                </w:p>
              </w:tc>
              <w:tc>
                <w:tcPr>
                  <w:tcW w:w="1417" w:type="dxa"/>
                  <w:tcBorders>
                    <w:top w:val="nil"/>
                    <w:left w:val="nil"/>
                    <w:bottom w:val="nil"/>
                    <w:right w:val="nil"/>
                  </w:tcBorders>
                </w:tcPr>
                <w:p w14:paraId="44CA419B" w14:textId="0398CA64"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w:t>
                  </w:r>
                  <w:r w:rsidR="00C9088E">
                    <w:rPr>
                      <w:rFonts w:cs="Times New Roman"/>
                      <w:sz w:val="20"/>
                      <w:szCs w:val="22"/>
                      <w:lang w:val="en-US" w:eastAsia="en-US"/>
                    </w:rPr>
                    <w:t>2</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5,</w:t>
                  </w:r>
                  <w:r w:rsidR="00C9088E">
                    <w:rPr>
                      <w:rFonts w:cs="Times New Roman"/>
                      <w:sz w:val="20"/>
                      <w:szCs w:val="22"/>
                      <w:lang w:val="en-US" w:eastAsia="en-US"/>
                    </w:rPr>
                    <w:t>1</w:t>
                  </w:r>
                </w:p>
              </w:tc>
              <w:tc>
                <w:tcPr>
                  <w:tcW w:w="1276" w:type="dxa"/>
                  <w:gridSpan w:val="2"/>
                  <w:tcBorders>
                    <w:top w:val="nil"/>
                    <w:left w:val="nil"/>
                    <w:bottom w:val="nil"/>
                    <w:right w:val="nil"/>
                  </w:tcBorders>
                </w:tcPr>
                <w:p w14:paraId="1E43A3A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0,123</w:t>
                  </w:r>
                </w:p>
              </w:tc>
              <w:tc>
                <w:tcPr>
                  <w:tcW w:w="1276" w:type="dxa"/>
                  <w:gridSpan w:val="2"/>
                  <w:tcBorders>
                    <w:top w:val="nil"/>
                    <w:left w:val="nil"/>
                    <w:bottom w:val="nil"/>
                    <w:right w:val="nil"/>
                  </w:tcBorders>
                </w:tcPr>
                <w:p w14:paraId="23EA67C2"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0,495</w:t>
                  </w:r>
                </w:p>
              </w:tc>
              <w:tc>
                <w:tcPr>
                  <w:tcW w:w="1276" w:type="dxa"/>
                  <w:gridSpan w:val="2"/>
                  <w:tcBorders>
                    <w:top w:val="nil"/>
                    <w:left w:val="nil"/>
                    <w:bottom w:val="nil"/>
                    <w:right w:val="nil"/>
                  </w:tcBorders>
                </w:tcPr>
                <w:p w14:paraId="729B3D63"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0,726</w:t>
                  </w:r>
                </w:p>
              </w:tc>
              <w:tc>
                <w:tcPr>
                  <w:tcW w:w="2693" w:type="dxa"/>
                  <w:gridSpan w:val="6"/>
                  <w:tcBorders>
                    <w:top w:val="nil"/>
                    <w:left w:val="nil"/>
                    <w:bottom w:val="nil"/>
                    <w:right w:val="nil"/>
                  </w:tcBorders>
                </w:tcPr>
                <w:p w14:paraId="488EFCD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8419AB" w14:paraId="156D8927" w14:textId="77777777" w:rsidTr="00E5029D">
              <w:trPr>
                <w:gridBefore w:val="1"/>
                <w:wBefore w:w="34" w:type="dxa"/>
              </w:trPr>
              <w:tc>
                <w:tcPr>
                  <w:tcW w:w="2518" w:type="dxa"/>
                  <w:tcBorders>
                    <w:top w:val="nil"/>
                    <w:left w:val="nil"/>
                    <w:bottom w:val="nil"/>
                    <w:right w:val="nil"/>
                  </w:tcBorders>
                </w:tcPr>
                <w:p w14:paraId="3E0BD20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20"/>
                      <w:szCs w:val="22"/>
                      <w:lang w:val="en-US" w:eastAsia="en-US"/>
                    </w:rPr>
                    <w:t xml:space="preserve">            GMFCS I</w:t>
                  </w:r>
                </w:p>
              </w:tc>
              <w:tc>
                <w:tcPr>
                  <w:tcW w:w="567" w:type="dxa"/>
                  <w:tcBorders>
                    <w:top w:val="nil"/>
                    <w:left w:val="nil"/>
                    <w:bottom w:val="nil"/>
                    <w:right w:val="nil"/>
                  </w:tcBorders>
                </w:tcPr>
                <w:p w14:paraId="66851927"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418" w:type="dxa"/>
                  <w:tcBorders>
                    <w:top w:val="nil"/>
                    <w:left w:val="nil"/>
                    <w:bottom w:val="nil"/>
                    <w:right w:val="nil"/>
                  </w:tcBorders>
                </w:tcPr>
                <w:p w14:paraId="1B22D95E" w14:textId="545F7660"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16,</w:t>
                  </w:r>
                  <w:r w:rsidR="00C9088E">
                    <w:rPr>
                      <w:rFonts w:cs="Times New Roman"/>
                      <w:sz w:val="20"/>
                      <w:szCs w:val="22"/>
                      <w:lang w:val="en-US" w:eastAsia="en-US"/>
                    </w:rPr>
                    <w:t>4</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8,</w:t>
                  </w:r>
                  <w:r w:rsidR="00C9088E">
                    <w:rPr>
                      <w:rFonts w:cs="Times New Roman"/>
                      <w:sz w:val="20"/>
                      <w:szCs w:val="22"/>
                      <w:lang w:val="en-US" w:eastAsia="en-US"/>
                    </w:rPr>
                    <w:t>5</w:t>
                  </w:r>
                </w:p>
              </w:tc>
              <w:tc>
                <w:tcPr>
                  <w:tcW w:w="1417" w:type="dxa"/>
                  <w:tcBorders>
                    <w:top w:val="nil"/>
                    <w:left w:val="nil"/>
                    <w:bottom w:val="nil"/>
                    <w:right w:val="nil"/>
                  </w:tcBorders>
                </w:tcPr>
                <w:p w14:paraId="22F9A9B7" w14:textId="21866E5F"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 8,3 </w:t>
                  </w:r>
                  <w:r w:rsidRPr="008419AB">
                    <w:rPr>
                      <w:rFonts w:cs="Times New Roman"/>
                      <w:sz w:val="20"/>
                      <w:szCs w:val="22"/>
                      <w:lang w:val="en-US" w:eastAsia="en-US"/>
                    </w:rPr>
                    <w:t>±</w:t>
                  </w:r>
                  <w:r>
                    <w:rPr>
                      <w:rFonts w:cs="Times New Roman"/>
                      <w:sz w:val="20"/>
                      <w:szCs w:val="22"/>
                      <w:lang w:val="en-US" w:eastAsia="en-US"/>
                    </w:rPr>
                    <w:t xml:space="preserve"> 2,</w:t>
                  </w:r>
                  <w:r w:rsidR="00C9088E">
                    <w:rPr>
                      <w:rFonts w:cs="Times New Roman"/>
                      <w:sz w:val="20"/>
                      <w:szCs w:val="22"/>
                      <w:lang w:val="en-US" w:eastAsia="en-US"/>
                    </w:rPr>
                    <w:t>5</w:t>
                  </w:r>
                </w:p>
              </w:tc>
              <w:tc>
                <w:tcPr>
                  <w:tcW w:w="1418" w:type="dxa"/>
                  <w:tcBorders>
                    <w:top w:val="nil"/>
                    <w:left w:val="nil"/>
                    <w:bottom w:val="nil"/>
                    <w:right w:val="nil"/>
                  </w:tcBorders>
                </w:tcPr>
                <w:p w14:paraId="5EF09EA8" w14:textId="60501ECD"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11</w:t>
                  </w:r>
                  <w:r w:rsidR="00C9088E">
                    <w:rPr>
                      <w:rFonts w:cs="Times New Roman"/>
                      <w:sz w:val="20"/>
                      <w:szCs w:val="22"/>
                      <w:lang w:val="en-US" w:eastAsia="en-US"/>
                    </w:rPr>
                    <w:t>,2</w:t>
                  </w:r>
                  <w:r>
                    <w:rPr>
                      <w:rFonts w:cs="Times New Roman"/>
                      <w:sz w:val="20"/>
                      <w:szCs w:val="22"/>
                      <w:lang w:val="en-US" w:eastAsia="en-US"/>
                    </w:rPr>
                    <w:t xml:space="preserve"> </w:t>
                  </w:r>
                  <w:r w:rsidRPr="008419AB">
                    <w:rPr>
                      <w:rFonts w:cs="Times New Roman"/>
                      <w:sz w:val="20"/>
                      <w:szCs w:val="22"/>
                      <w:lang w:val="en-US" w:eastAsia="en-US"/>
                    </w:rPr>
                    <w:t>±</w:t>
                  </w:r>
                  <w:r>
                    <w:rPr>
                      <w:rFonts w:cs="Times New Roman"/>
                      <w:sz w:val="20"/>
                      <w:szCs w:val="22"/>
                      <w:lang w:val="en-US" w:eastAsia="en-US"/>
                    </w:rPr>
                    <w:t xml:space="preserve"> 4,</w:t>
                  </w:r>
                  <w:r w:rsidR="00C9088E">
                    <w:rPr>
                      <w:rFonts w:cs="Times New Roman"/>
                      <w:sz w:val="20"/>
                      <w:szCs w:val="22"/>
                      <w:lang w:val="en-US" w:eastAsia="en-US"/>
                    </w:rPr>
                    <w:t>9</w:t>
                  </w:r>
                </w:p>
              </w:tc>
              <w:tc>
                <w:tcPr>
                  <w:tcW w:w="1417" w:type="dxa"/>
                  <w:tcBorders>
                    <w:top w:val="nil"/>
                    <w:left w:val="nil"/>
                    <w:bottom w:val="nil"/>
                    <w:right w:val="nil"/>
                  </w:tcBorders>
                </w:tcPr>
                <w:p w14:paraId="50037051" w14:textId="18F6E31E" w:rsidR="00394336" w:rsidRPr="008419AB" w:rsidRDefault="00394336" w:rsidP="00C9088E">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Pr>
                      <w:rFonts w:cs="Times New Roman"/>
                      <w:sz w:val="20"/>
                      <w:szCs w:val="22"/>
                      <w:lang w:val="en-US" w:eastAsia="en-US"/>
                    </w:rPr>
                    <w:t xml:space="preserve">10,5 </w:t>
                  </w:r>
                  <w:r w:rsidRPr="008419AB">
                    <w:rPr>
                      <w:rFonts w:cs="Times New Roman"/>
                      <w:sz w:val="20"/>
                      <w:szCs w:val="22"/>
                      <w:lang w:val="en-US" w:eastAsia="en-US"/>
                    </w:rPr>
                    <w:t>±</w:t>
                  </w:r>
                  <w:r>
                    <w:rPr>
                      <w:rFonts w:cs="Times New Roman"/>
                      <w:sz w:val="20"/>
                      <w:szCs w:val="22"/>
                      <w:lang w:val="en-US" w:eastAsia="en-US"/>
                    </w:rPr>
                    <w:t xml:space="preserve"> 4,2</w:t>
                  </w:r>
                </w:p>
              </w:tc>
              <w:tc>
                <w:tcPr>
                  <w:tcW w:w="1276" w:type="dxa"/>
                  <w:gridSpan w:val="2"/>
                  <w:tcBorders>
                    <w:top w:val="nil"/>
                    <w:left w:val="nil"/>
                    <w:bottom w:val="nil"/>
                    <w:right w:val="nil"/>
                  </w:tcBorders>
                </w:tcPr>
                <w:p w14:paraId="2EF8B2BC"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1276" w:type="dxa"/>
                  <w:gridSpan w:val="2"/>
                  <w:tcBorders>
                    <w:top w:val="nil"/>
                    <w:left w:val="nil"/>
                    <w:bottom w:val="nil"/>
                    <w:right w:val="nil"/>
                  </w:tcBorders>
                </w:tcPr>
                <w:p w14:paraId="15EDB1F0"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vertAlign w:val="superscript"/>
                      <w:lang w:val="en-US" w:eastAsia="en-US"/>
                    </w:rPr>
                  </w:pPr>
                  <w:r w:rsidRPr="008419AB">
                    <w:rPr>
                      <w:rFonts w:cs="Times New Roman"/>
                      <w:sz w:val="20"/>
                      <w:szCs w:val="22"/>
                      <w:lang w:val="en-US" w:eastAsia="en-US"/>
                    </w:rPr>
                    <w:t xml:space="preserve">    0</w:t>
                  </w:r>
                  <w:r w:rsidRPr="008419AB">
                    <w:rPr>
                      <w:rFonts w:cs="Times New Roman"/>
                      <w:sz w:val="20"/>
                      <w:szCs w:val="22"/>
                      <w:vertAlign w:val="superscript"/>
                      <w:lang w:val="en-US" w:eastAsia="en-US"/>
                    </w:rPr>
                    <w:t>a</w:t>
                  </w:r>
                </w:p>
              </w:tc>
              <w:tc>
                <w:tcPr>
                  <w:tcW w:w="1276" w:type="dxa"/>
                  <w:gridSpan w:val="2"/>
                  <w:tcBorders>
                    <w:top w:val="nil"/>
                    <w:left w:val="nil"/>
                    <w:bottom w:val="nil"/>
                    <w:right w:val="nil"/>
                  </w:tcBorders>
                </w:tcPr>
                <w:p w14:paraId="5ACFFD48"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c>
                <w:tcPr>
                  <w:tcW w:w="2693" w:type="dxa"/>
                  <w:gridSpan w:val="6"/>
                  <w:tcBorders>
                    <w:top w:val="nil"/>
                    <w:left w:val="nil"/>
                    <w:bottom w:val="nil"/>
                    <w:right w:val="nil"/>
                  </w:tcBorders>
                </w:tcPr>
                <w:p w14:paraId="78349CBA"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r w:rsidR="00394336" w:rsidRPr="0012107A" w14:paraId="1C21FF2A" w14:textId="77777777" w:rsidTr="00E5029D">
              <w:trPr>
                <w:gridBefore w:val="1"/>
                <w:gridAfter w:val="2"/>
                <w:wBefore w:w="34" w:type="dxa"/>
                <w:wAfter w:w="141" w:type="dxa"/>
              </w:trPr>
              <w:tc>
                <w:tcPr>
                  <w:tcW w:w="15135" w:type="dxa"/>
                  <w:gridSpan w:val="16"/>
                  <w:tcBorders>
                    <w:top w:val="single" w:sz="4" w:space="0" w:color="auto"/>
                    <w:left w:val="nil"/>
                    <w:bottom w:val="nil"/>
                    <w:right w:val="nil"/>
                  </w:tcBorders>
                </w:tcPr>
                <w:p w14:paraId="26336121" w14:textId="1792308A" w:rsidR="00394336" w:rsidRPr="008419AB" w:rsidRDefault="00394336" w:rsidP="00591539">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r w:rsidRPr="008419AB">
                    <w:rPr>
                      <w:rFonts w:cs="Times New Roman"/>
                      <w:sz w:val="18"/>
                      <w:szCs w:val="22"/>
                      <w:lang w:val="en-US" w:eastAsia="en-US"/>
                    </w:rPr>
                    <w:t>SD, standard deviation; GPS, Gait profile score; Pre Op, preoperative;</w:t>
                  </w:r>
                  <w:r w:rsidR="00060A61">
                    <w:rPr>
                      <w:rFonts w:cs="Times New Roman"/>
                      <w:sz w:val="18"/>
                      <w:szCs w:val="22"/>
                      <w:lang w:val="en-US" w:eastAsia="en-US"/>
                    </w:rPr>
                    <w:t xml:space="preserve"> GMFCS, Gross Motor Function Classification System;</w:t>
                  </w:r>
                  <w:r w:rsidRPr="008419AB">
                    <w:rPr>
                      <w:rFonts w:cs="Times New Roman"/>
                      <w:sz w:val="18"/>
                      <w:szCs w:val="22"/>
                      <w:lang w:val="en-US" w:eastAsia="en-US"/>
                    </w:rPr>
                    <w:t xml:space="preserve"> </w:t>
                  </w:r>
                  <w:r w:rsidR="00060A61">
                    <w:rPr>
                      <w:rFonts w:cs="Times New Roman"/>
                      <w:sz w:val="18"/>
                      <w:szCs w:val="22"/>
                      <w:lang w:val="en-US" w:eastAsia="en-US"/>
                    </w:rPr>
                    <w:t xml:space="preserve">IC, initial contact; </w:t>
                  </w:r>
                  <w:r w:rsidR="00591539">
                    <w:rPr>
                      <w:rFonts w:cs="Times New Roman"/>
                      <w:sz w:val="18"/>
                      <w:szCs w:val="22"/>
                      <w:lang w:val="en-US" w:eastAsia="en-US"/>
                    </w:rPr>
                    <w:br/>
                  </w:r>
                  <w:r w:rsidRPr="008419AB">
                    <w:rPr>
                      <w:rFonts w:cs="Times New Roman"/>
                      <w:sz w:val="18"/>
                      <w:szCs w:val="22"/>
                      <w:lang w:val="en-US" w:eastAsia="en-US"/>
                    </w:rPr>
                    <w:t>2yr FU, 2 years follow-up; 5yr FU, 5 years follow-up;</w:t>
                  </w:r>
                  <w:r w:rsidR="00591539">
                    <w:rPr>
                      <w:rFonts w:cs="Times New Roman"/>
                      <w:sz w:val="18"/>
                      <w:szCs w:val="22"/>
                      <w:lang w:val="en-US" w:eastAsia="en-US"/>
                    </w:rPr>
                    <w:t xml:space="preserve"> </w:t>
                  </w:r>
                  <w:r w:rsidR="00591539" w:rsidRPr="008419AB">
                    <w:rPr>
                      <w:rFonts w:cs="Times New Roman"/>
                      <w:sz w:val="18"/>
                      <w:szCs w:val="22"/>
                      <w:lang w:val="en-US" w:eastAsia="en-US"/>
                    </w:rPr>
                    <w:t>8yr FU, 8 years follo</w:t>
                  </w:r>
                  <w:r w:rsidR="00591539">
                    <w:rPr>
                      <w:rFonts w:cs="Times New Roman"/>
                      <w:sz w:val="18"/>
                      <w:szCs w:val="22"/>
                      <w:lang w:val="en-US" w:eastAsia="en-US"/>
                    </w:rPr>
                    <w:t xml:space="preserve">w-up; °, degree               </w:t>
                  </w:r>
                  <w:r w:rsidRPr="008419AB">
                    <w:rPr>
                      <w:rFonts w:cs="Times New Roman"/>
                      <w:sz w:val="18"/>
                      <w:szCs w:val="22"/>
                      <w:lang w:val="en-US" w:eastAsia="en-US"/>
                    </w:rPr>
                    <w:t xml:space="preserve"> </w:t>
                  </w:r>
                  <w:r w:rsidR="00591539">
                    <w:rPr>
                      <w:rFonts w:cs="Times New Roman"/>
                      <w:sz w:val="18"/>
                      <w:szCs w:val="22"/>
                      <w:lang w:val="en-US" w:eastAsia="en-US"/>
                    </w:rPr>
                    <w:br/>
                  </w:r>
                  <w:r w:rsidRPr="008419AB">
                    <w:rPr>
                      <w:rFonts w:cs="Times New Roman"/>
                      <w:sz w:val="18"/>
                      <w:szCs w:val="22"/>
                      <w:lang w:val="en-US" w:eastAsia="en-US"/>
                    </w:rPr>
                    <w:t>* p ≤ 0.05</w:t>
                  </w:r>
                  <w:r w:rsidR="00060A61">
                    <w:rPr>
                      <w:rFonts w:cs="Times New Roman"/>
                      <w:sz w:val="18"/>
                      <w:szCs w:val="22"/>
                      <w:lang w:val="en-US" w:eastAsia="en-US"/>
                    </w:rPr>
                    <w:t xml:space="preserve"> </w:t>
                  </w:r>
                  <w:r w:rsidRPr="008419AB">
                    <w:rPr>
                      <w:rFonts w:cs="Times New Roman"/>
                      <w:sz w:val="18"/>
                      <w:szCs w:val="22"/>
                      <w:lang w:val="en-US" w:eastAsia="en-US"/>
                    </w:rPr>
                    <w:t xml:space="preserve"> </w:t>
                  </w:r>
                  <w:r w:rsidR="00060A61">
                    <w:rPr>
                      <w:rFonts w:cs="Times New Roman"/>
                      <w:sz w:val="18"/>
                      <w:szCs w:val="22"/>
                      <w:lang w:val="en-US" w:eastAsia="en-US"/>
                    </w:rPr>
                    <w:t xml:space="preserve"> </w:t>
                  </w:r>
                  <w:r w:rsidRPr="008419AB">
                    <w:rPr>
                      <w:rFonts w:cs="Times New Roman"/>
                      <w:sz w:val="18"/>
                      <w:szCs w:val="22"/>
                      <w:lang w:val="en-US" w:eastAsia="en-US"/>
                    </w:rPr>
                    <w:t xml:space="preserve">**  p ≤ 0.01   </w:t>
                  </w:r>
                  <w:r w:rsidRPr="008419AB">
                    <w:rPr>
                      <w:rFonts w:cs="Times New Roman"/>
                      <w:sz w:val="18"/>
                      <w:szCs w:val="22"/>
                      <w:vertAlign w:val="superscript"/>
                      <w:lang w:val="en-US" w:eastAsia="en-US"/>
                    </w:rPr>
                    <w:t xml:space="preserve">a </w:t>
                  </w:r>
                  <w:r w:rsidRPr="008419AB">
                    <w:rPr>
                      <w:rFonts w:cs="Times New Roman"/>
                      <w:sz w:val="18"/>
                      <w:szCs w:val="22"/>
                      <w:lang w:val="en-US" w:eastAsia="en-US"/>
                    </w:rPr>
                    <w:t>set to zero, because this parameter is redundant</w:t>
                  </w:r>
                </w:p>
              </w:tc>
            </w:tr>
          </w:tbl>
          <w:p w14:paraId="5F46AF5E" w14:textId="77777777" w:rsidR="00394336" w:rsidRPr="008419AB" w:rsidRDefault="00394336" w:rsidP="00E5029D">
            <w:pPr>
              <w:tabs>
                <w:tab w:val="clear" w:pos="284"/>
                <w:tab w:val="clear" w:pos="567"/>
                <w:tab w:val="clear" w:pos="851"/>
                <w:tab w:val="clear" w:pos="1134"/>
                <w:tab w:val="clear" w:pos="1560"/>
                <w:tab w:val="clear" w:pos="2127"/>
                <w:tab w:val="clear" w:pos="2410"/>
                <w:tab w:val="clear" w:pos="8505"/>
              </w:tabs>
              <w:jc w:val="left"/>
              <w:rPr>
                <w:rFonts w:cs="Times New Roman"/>
                <w:sz w:val="20"/>
                <w:szCs w:val="22"/>
                <w:lang w:val="en-US" w:eastAsia="en-US"/>
              </w:rPr>
            </w:pPr>
          </w:p>
        </w:tc>
      </w:tr>
    </w:tbl>
    <w:p w14:paraId="07049D96" w14:textId="77777777" w:rsidR="00394336" w:rsidRPr="008419AB" w:rsidRDefault="00394336" w:rsidP="00394336">
      <w:pPr>
        <w:tabs>
          <w:tab w:val="right" w:pos="426"/>
        </w:tabs>
        <w:spacing w:line="360" w:lineRule="auto"/>
        <w:rPr>
          <w:rFonts w:ascii="Univers" w:hAnsi="Univers" w:cs="Times New Roman"/>
          <w:b/>
          <w:sz w:val="32"/>
          <w:lang w:val="en-US"/>
        </w:rPr>
      </w:pPr>
    </w:p>
    <w:p w14:paraId="571E492D" w14:textId="77777777" w:rsidR="00394336" w:rsidRDefault="00394336" w:rsidP="00394336">
      <w:pPr>
        <w:tabs>
          <w:tab w:val="right" w:pos="426"/>
        </w:tabs>
        <w:spacing w:line="360" w:lineRule="auto"/>
        <w:rPr>
          <w:rFonts w:ascii="Univers" w:hAnsi="Univers" w:cs="Times New Roman"/>
          <w:b/>
          <w:sz w:val="32"/>
          <w:lang w:val="en-US"/>
        </w:rPr>
      </w:pPr>
    </w:p>
    <w:p w14:paraId="3FEA1A57" w14:textId="296281AC"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13015107" w14:textId="6190F07E" w:rsidR="00394336" w:rsidRDefault="009D1D0C"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r>
        <w:rPr>
          <w:noProof/>
          <w:lang w:val="nl-NL" w:eastAsia="nl-NL"/>
        </w:rPr>
        <w:lastRenderedPageBreak/>
        <w:drawing>
          <wp:anchor distT="0" distB="0" distL="114300" distR="114300" simplePos="0" relativeHeight="251676672" behindDoc="0" locked="0" layoutInCell="1" allowOverlap="1" wp14:anchorId="15302330" wp14:editId="450AE94F">
            <wp:simplePos x="0" y="0"/>
            <wp:positionH relativeFrom="column">
              <wp:posOffset>4445</wp:posOffset>
            </wp:positionH>
            <wp:positionV relativeFrom="paragraph">
              <wp:posOffset>735965</wp:posOffset>
            </wp:positionV>
            <wp:extent cx="9115425" cy="3400425"/>
            <wp:effectExtent l="0" t="0" r="9525" b="9525"/>
            <wp:wrapSquare wrapText="bothSides"/>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348E2FB8" w14:textId="07AFCF07"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4DC965D5" w14:textId="16C39884"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42547ADD" w14:textId="7F739731" w:rsidR="00394336" w:rsidRDefault="009D1D0C"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r w:rsidRPr="008419AB">
        <w:rPr>
          <w:rFonts w:eastAsia="Calibri" w:cs="Times New Roman"/>
          <w:noProof/>
          <w:szCs w:val="22"/>
          <w:lang w:val="nl-NL" w:eastAsia="nl-NL"/>
        </w:rPr>
        <mc:AlternateContent>
          <mc:Choice Requires="wps">
            <w:drawing>
              <wp:anchor distT="0" distB="0" distL="114300" distR="114300" simplePos="0" relativeHeight="251675648" behindDoc="0" locked="0" layoutInCell="1" allowOverlap="1" wp14:anchorId="15034B4C" wp14:editId="5E8B63ED">
                <wp:simplePos x="0" y="0"/>
                <wp:positionH relativeFrom="column">
                  <wp:posOffset>2540</wp:posOffset>
                </wp:positionH>
                <wp:positionV relativeFrom="paragraph">
                  <wp:posOffset>66675</wp:posOffset>
                </wp:positionV>
                <wp:extent cx="8572500" cy="962025"/>
                <wp:effectExtent l="0" t="0" r="0" b="952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962025"/>
                        </a:xfrm>
                        <a:prstGeom prst="rect">
                          <a:avLst/>
                        </a:prstGeom>
                        <a:solidFill>
                          <a:srgbClr val="FFFFFF"/>
                        </a:solidFill>
                        <a:ln w="9525">
                          <a:noFill/>
                          <a:miter lim="800000"/>
                          <a:headEnd/>
                          <a:tailEnd/>
                        </a:ln>
                      </wps:spPr>
                      <wps:txbx>
                        <w:txbxContent>
                          <w:p w14:paraId="3E9BF0DA" w14:textId="77777777" w:rsidR="009D1D0C" w:rsidRPr="00804F74" w:rsidRDefault="009D1D0C" w:rsidP="009D1D0C">
                            <w:pPr>
                              <w:jc w:val="left"/>
                              <w:rPr>
                                <w:sz w:val="18"/>
                                <w:lang w:val="en-US"/>
                              </w:rPr>
                            </w:pPr>
                            <w:r w:rsidRPr="00B97115">
                              <w:rPr>
                                <w:b/>
                                <w:sz w:val="20"/>
                                <w:lang w:val="en-US"/>
                              </w:rPr>
                              <w:t xml:space="preserve">Figure </w:t>
                            </w:r>
                            <w:r>
                              <w:rPr>
                                <w:b/>
                                <w:sz w:val="20"/>
                                <w:lang w:val="en-US"/>
                              </w:rPr>
                              <w:t>2</w:t>
                            </w:r>
                            <w:r w:rsidRPr="00B97115">
                              <w:rPr>
                                <w:lang w:val="en-US"/>
                              </w:rPr>
                              <w:br/>
                            </w:r>
                            <w:r w:rsidRPr="00B97115">
                              <w:rPr>
                                <w:sz w:val="18"/>
                                <w:lang w:val="en-US"/>
                              </w:rPr>
                              <w:t>Movement Analysis Profile (MAPS) &amp; Gait Profile Score (GPS) over time</w:t>
                            </w:r>
                            <w:r>
                              <w:rPr>
                                <w:sz w:val="18"/>
                                <w:lang w:val="en-US"/>
                              </w:rPr>
                              <w:t xml:space="preserve"> for all patients (n=31)</w:t>
                            </w:r>
                            <w:r>
                              <w:rPr>
                                <w:sz w:val="18"/>
                                <w:lang w:val="en-US"/>
                              </w:rPr>
                              <w:br/>
                              <w:t xml:space="preserve">RMS, Root Mean Square; </w:t>
                            </w:r>
                            <w:proofErr w:type="spellStart"/>
                            <w:r>
                              <w:rPr>
                                <w:sz w:val="18"/>
                                <w:lang w:val="en-US"/>
                              </w:rPr>
                              <w:t>pel</w:t>
                            </w:r>
                            <w:proofErr w:type="spellEnd"/>
                            <w:r>
                              <w:rPr>
                                <w:sz w:val="18"/>
                                <w:lang w:val="en-US"/>
                              </w:rPr>
                              <w:t xml:space="preserve">, pelvic; </w:t>
                            </w:r>
                            <w:proofErr w:type="spellStart"/>
                            <w:r>
                              <w:rPr>
                                <w:sz w:val="18"/>
                                <w:lang w:val="en-US"/>
                              </w:rPr>
                              <w:t>ank</w:t>
                            </w:r>
                            <w:proofErr w:type="spellEnd"/>
                            <w:r>
                              <w:rPr>
                                <w:sz w:val="18"/>
                                <w:lang w:val="en-US"/>
                              </w:rPr>
                              <w:t xml:space="preserve">, ankle; flex, flexion; </w:t>
                            </w:r>
                            <w:proofErr w:type="spellStart"/>
                            <w:r>
                              <w:rPr>
                                <w:sz w:val="18"/>
                                <w:lang w:val="en-US"/>
                              </w:rPr>
                              <w:t>dors</w:t>
                            </w:r>
                            <w:proofErr w:type="spellEnd"/>
                            <w:r>
                              <w:rPr>
                                <w:sz w:val="18"/>
                                <w:lang w:val="en-US"/>
                              </w:rPr>
                              <w:t xml:space="preserve">, dorsiflexion; </w:t>
                            </w:r>
                            <w:proofErr w:type="spellStart"/>
                            <w:r>
                              <w:rPr>
                                <w:sz w:val="18"/>
                                <w:lang w:val="en-US"/>
                              </w:rPr>
                              <w:t>obl</w:t>
                            </w:r>
                            <w:proofErr w:type="spellEnd"/>
                            <w:r>
                              <w:rPr>
                                <w:sz w:val="18"/>
                                <w:lang w:val="en-US"/>
                              </w:rPr>
                              <w:t xml:space="preserve">, obliquity; </w:t>
                            </w:r>
                            <w:proofErr w:type="spellStart"/>
                            <w:r>
                              <w:rPr>
                                <w:sz w:val="18"/>
                                <w:lang w:val="en-US"/>
                              </w:rPr>
                              <w:t>abd</w:t>
                            </w:r>
                            <w:proofErr w:type="spellEnd"/>
                            <w:r>
                              <w:rPr>
                                <w:sz w:val="18"/>
                                <w:lang w:val="en-US"/>
                              </w:rPr>
                              <w:t xml:space="preserve">, abduction; rot, rotation; </w:t>
                            </w:r>
                            <w:proofErr w:type="spellStart"/>
                            <w:r>
                              <w:rPr>
                                <w:sz w:val="18"/>
                                <w:lang w:val="en-US"/>
                              </w:rPr>
                              <w:t>prog</w:t>
                            </w:r>
                            <w:proofErr w:type="spellEnd"/>
                            <w:r>
                              <w:rPr>
                                <w:sz w:val="18"/>
                                <w:lang w:val="en-US"/>
                              </w:rPr>
                              <w:t>, progression;</w:t>
                            </w:r>
                            <w:r>
                              <w:rPr>
                                <w:sz w:val="18"/>
                                <w:lang w:val="en-US"/>
                              </w:rPr>
                              <w:br/>
                            </w:r>
                            <w:proofErr w:type="spellStart"/>
                            <w:r>
                              <w:rPr>
                                <w:sz w:val="18"/>
                                <w:lang w:val="en-US"/>
                              </w:rPr>
                              <w:t>GPSSag</w:t>
                            </w:r>
                            <w:proofErr w:type="spellEnd"/>
                            <w:r>
                              <w:rPr>
                                <w:sz w:val="18"/>
                                <w:lang w:val="en-US"/>
                              </w:rPr>
                              <w:t xml:space="preserve">, GPS in sagittal plane; </w:t>
                            </w:r>
                            <w:proofErr w:type="spellStart"/>
                            <w:r>
                              <w:rPr>
                                <w:sz w:val="18"/>
                                <w:lang w:val="en-US"/>
                              </w:rPr>
                              <w:t>GPSTrans</w:t>
                            </w:r>
                            <w:proofErr w:type="spellEnd"/>
                            <w:r>
                              <w:rPr>
                                <w:sz w:val="18"/>
                                <w:lang w:val="en-US"/>
                              </w:rPr>
                              <w:t xml:space="preserve">, GPS in transverse plane; FU, follow-up; </w:t>
                            </w:r>
                            <w:proofErr w:type="spellStart"/>
                            <w:r>
                              <w:rPr>
                                <w:sz w:val="18"/>
                                <w:lang w:val="en-US"/>
                              </w:rPr>
                              <w:t>deg</w:t>
                            </w:r>
                            <w:proofErr w:type="spellEnd"/>
                            <w:r>
                              <w:rPr>
                                <w:sz w:val="18"/>
                                <w:lang w:val="en-US"/>
                              </w:rPr>
                              <w:t>, degree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pt;margin-top:5.25pt;width:675pt;height:7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eFIAIAACMEAAAOAAAAZHJzL2Uyb0RvYy54bWysU8Fu2zAMvQ/YPwi6L3aMpGuNOEWXLsOA&#10;rhvQ7gMYWY6FSKInKbGzrx8lp2m23Yb5IIgm+fj4SC1uB6PZQTqv0FZ8Osk5k1Zgrey24t+f1++u&#10;OfMBbA0araz4UXp+u3z7ZtF3pSywRV1LxwjE+rLvKt6G0JVZ5kUrDfgJdtKSs0FnIJDptlntoCd0&#10;o7Miz6+yHl3dORTSe/p7Pzr5MuE3jRTha9N4GZiuOHEL6XTp3MQzWy6g3DroWiVONOAfWBhQloqe&#10;oe4hANs79ReUUcKhxyZMBJoMm0YJmXqgbqb5H908tdDJ1AuJ47uzTP7/wYrHwzfHVF3xguSxYGhG&#10;z3LnwwF2rIjy9J0vKeqpo7gwfMCBxpxa9d0Dip1nFlct2K28cw77VkJN9KYxM7tIHXF8BNn0X7Cm&#10;MrAPmICGxpmoHanBCJ14HM+jkUNggn5ez98X85xcgnw3V0VezFMJKF+yO+fDJ4mGxUvFHY0+ocPh&#10;wYfIBsqXkFjMo1b1WmmdDLfdrLRjB6A1WafvhP5bmLasp+pzqh2zLMb8tEFGBVpjrQwxzeMX06GM&#10;any0dboHUHq8ExNtT/JERUZtwrAZ0iCSdlG6DdZH0svhuLX0yujSovvJWU8bW3H/Yw9OcqY/W9L8&#10;ZjqbxRVPxoz0IsNdejaXHrCCoCoeOBuvq5CexdjYHc2mUUm2VyYnyrSJSc3Tq4mrfmmnqNe3vfwF&#10;AAD//wMAUEsDBBQABgAIAAAAIQAu8gGW2wAAAAgBAAAPAAAAZHJzL2Rvd25yZXYueG1sTI/BTsNA&#10;DETvSPzDykhcEN2lNCmEbCpAAnFt6Qc4iZtEZL1Rdtukf497gps9Mxo/55vZ9epEY+g8W3hYGFDE&#10;la87bizsvz/un0CFiFxj75ksnCnApri+yjGr/cRbOu1io6SEQ4YW2hiHTOtQteQwLPxALN7Bjw6j&#10;rGOj6xEnKXe9XhqTaocdy4UWB3pvqfrZHZ2Fw9d0lzxP5Wfcr7er9A27denP1t7ezK8voCLN8S8M&#10;F3xBh0KYSn/kOqjewkpyopoE1MV9TIwopUzp0oAucv3/geIXAAD//wMAUEsBAi0AFAAGAAgAAAAh&#10;ALaDOJL+AAAA4QEAABMAAAAAAAAAAAAAAAAAAAAAAFtDb250ZW50X1R5cGVzXS54bWxQSwECLQAU&#10;AAYACAAAACEAOP0h/9YAAACUAQAACwAAAAAAAAAAAAAAAAAvAQAAX3JlbHMvLnJlbHNQSwECLQAU&#10;AAYACAAAACEA0wV3hSACAAAjBAAADgAAAAAAAAAAAAAAAAAuAgAAZHJzL2Uyb0RvYy54bWxQSwEC&#10;LQAUAAYACAAAACEALvIBltsAAAAIAQAADwAAAAAAAAAAAAAAAAB6BAAAZHJzL2Rvd25yZXYueG1s&#10;UEsFBgAAAAAEAAQA8wAAAIIFAAAAAA==&#10;" stroked="f">
                <v:textbox>
                  <w:txbxContent>
                    <w:p w14:paraId="3E9BF0DA" w14:textId="77777777" w:rsidR="009D1D0C" w:rsidRPr="00804F74" w:rsidRDefault="009D1D0C" w:rsidP="009D1D0C">
                      <w:pPr>
                        <w:jc w:val="left"/>
                        <w:rPr>
                          <w:sz w:val="18"/>
                          <w:lang w:val="en-US"/>
                        </w:rPr>
                      </w:pPr>
                      <w:r w:rsidRPr="00B97115">
                        <w:rPr>
                          <w:b/>
                          <w:sz w:val="20"/>
                          <w:lang w:val="en-US"/>
                        </w:rPr>
                        <w:t xml:space="preserve">Figure </w:t>
                      </w:r>
                      <w:r>
                        <w:rPr>
                          <w:b/>
                          <w:sz w:val="20"/>
                          <w:lang w:val="en-US"/>
                        </w:rPr>
                        <w:t>2</w:t>
                      </w:r>
                      <w:r w:rsidRPr="00B97115">
                        <w:rPr>
                          <w:lang w:val="en-US"/>
                        </w:rPr>
                        <w:br/>
                      </w:r>
                      <w:r w:rsidRPr="00B97115">
                        <w:rPr>
                          <w:sz w:val="18"/>
                          <w:lang w:val="en-US"/>
                        </w:rPr>
                        <w:t>Movement Analysis Profile (MAPS) &amp; Gait Profile Score (GPS) over time</w:t>
                      </w:r>
                      <w:r>
                        <w:rPr>
                          <w:sz w:val="18"/>
                          <w:lang w:val="en-US"/>
                        </w:rPr>
                        <w:t xml:space="preserve"> for all patients (n=31)</w:t>
                      </w:r>
                      <w:r>
                        <w:rPr>
                          <w:sz w:val="18"/>
                          <w:lang w:val="en-US"/>
                        </w:rPr>
                        <w:br/>
                        <w:t xml:space="preserve">RMS, Root Mean Square; </w:t>
                      </w:r>
                      <w:proofErr w:type="spellStart"/>
                      <w:r>
                        <w:rPr>
                          <w:sz w:val="18"/>
                          <w:lang w:val="en-US"/>
                        </w:rPr>
                        <w:t>pel</w:t>
                      </w:r>
                      <w:proofErr w:type="spellEnd"/>
                      <w:r>
                        <w:rPr>
                          <w:sz w:val="18"/>
                          <w:lang w:val="en-US"/>
                        </w:rPr>
                        <w:t xml:space="preserve">, pelvic; </w:t>
                      </w:r>
                      <w:proofErr w:type="spellStart"/>
                      <w:r>
                        <w:rPr>
                          <w:sz w:val="18"/>
                          <w:lang w:val="en-US"/>
                        </w:rPr>
                        <w:t>ank</w:t>
                      </w:r>
                      <w:proofErr w:type="spellEnd"/>
                      <w:r>
                        <w:rPr>
                          <w:sz w:val="18"/>
                          <w:lang w:val="en-US"/>
                        </w:rPr>
                        <w:t xml:space="preserve">, ankle; flex, flexion; </w:t>
                      </w:r>
                      <w:proofErr w:type="spellStart"/>
                      <w:r>
                        <w:rPr>
                          <w:sz w:val="18"/>
                          <w:lang w:val="en-US"/>
                        </w:rPr>
                        <w:t>dors</w:t>
                      </w:r>
                      <w:proofErr w:type="spellEnd"/>
                      <w:r>
                        <w:rPr>
                          <w:sz w:val="18"/>
                          <w:lang w:val="en-US"/>
                        </w:rPr>
                        <w:t xml:space="preserve">, dorsiflexion; </w:t>
                      </w:r>
                      <w:proofErr w:type="spellStart"/>
                      <w:r>
                        <w:rPr>
                          <w:sz w:val="18"/>
                          <w:lang w:val="en-US"/>
                        </w:rPr>
                        <w:t>obl</w:t>
                      </w:r>
                      <w:proofErr w:type="spellEnd"/>
                      <w:r>
                        <w:rPr>
                          <w:sz w:val="18"/>
                          <w:lang w:val="en-US"/>
                        </w:rPr>
                        <w:t xml:space="preserve">, obliquity; </w:t>
                      </w:r>
                      <w:proofErr w:type="spellStart"/>
                      <w:r>
                        <w:rPr>
                          <w:sz w:val="18"/>
                          <w:lang w:val="en-US"/>
                        </w:rPr>
                        <w:t>abd</w:t>
                      </w:r>
                      <w:proofErr w:type="spellEnd"/>
                      <w:r>
                        <w:rPr>
                          <w:sz w:val="18"/>
                          <w:lang w:val="en-US"/>
                        </w:rPr>
                        <w:t xml:space="preserve">, abduction; rot, rotation; </w:t>
                      </w:r>
                      <w:proofErr w:type="spellStart"/>
                      <w:r>
                        <w:rPr>
                          <w:sz w:val="18"/>
                          <w:lang w:val="en-US"/>
                        </w:rPr>
                        <w:t>prog</w:t>
                      </w:r>
                      <w:proofErr w:type="spellEnd"/>
                      <w:r>
                        <w:rPr>
                          <w:sz w:val="18"/>
                          <w:lang w:val="en-US"/>
                        </w:rPr>
                        <w:t>, progression;</w:t>
                      </w:r>
                      <w:r>
                        <w:rPr>
                          <w:sz w:val="18"/>
                          <w:lang w:val="en-US"/>
                        </w:rPr>
                        <w:br/>
                      </w:r>
                      <w:proofErr w:type="spellStart"/>
                      <w:r>
                        <w:rPr>
                          <w:sz w:val="18"/>
                          <w:lang w:val="en-US"/>
                        </w:rPr>
                        <w:t>GPSSag</w:t>
                      </w:r>
                      <w:proofErr w:type="spellEnd"/>
                      <w:r>
                        <w:rPr>
                          <w:sz w:val="18"/>
                          <w:lang w:val="en-US"/>
                        </w:rPr>
                        <w:t xml:space="preserve">, GPS in sagittal plane; </w:t>
                      </w:r>
                      <w:proofErr w:type="spellStart"/>
                      <w:r>
                        <w:rPr>
                          <w:sz w:val="18"/>
                          <w:lang w:val="en-US"/>
                        </w:rPr>
                        <w:t>GPSTrans</w:t>
                      </w:r>
                      <w:proofErr w:type="spellEnd"/>
                      <w:r>
                        <w:rPr>
                          <w:sz w:val="18"/>
                          <w:lang w:val="en-US"/>
                        </w:rPr>
                        <w:t xml:space="preserve">, GPS in transverse plane; FU, follow-up; </w:t>
                      </w:r>
                      <w:proofErr w:type="spellStart"/>
                      <w:r>
                        <w:rPr>
                          <w:sz w:val="18"/>
                          <w:lang w:val="en-US"/>
                        </w:rPr>
                        <w:t>deg</w:t>
                      </w:r>
                      <w:proofErr w:type="spellEnd"/>
                      <w:r>
                        <w:rPr>
                          <w:sz w:val="18"/>
                          <w:lang w:val="en-US"/>
                        </w:rPr>
                        <w:t>, degree</w:t>
                      </w:r>
                    </w:p>
                  </w:txbxContent>
                </v:textbox>
              </v:shape>
            </w:pict>
          </mc:Fallback>
        </mc:AlternateContent>
      </w:r>
    </w:p>
    <w:p w14:paraId="3DFA4BFF" w14:textId="42957CD6"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46425C10" w14:textId="002AA7CA"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200F6CA2" w14:textId="77777777" w:rsidR="00DB6E30" w:rsidRDefault="00DB6E30"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noProof/>
          <w:szCs w:val="22"/>
          <w:lang w:val="en-US"/>
        </w:rPr>
      </w:pPr>
    </w:p>
    <w:p w14:paraId="0AC74A09" w14:textId="4FB3E72A" w:rsidR="00DB6E30" w:rsidRDefault="00DB6E30"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noProof/>
          <w:szCs w:val="22"/>
          <w:lang w:val="en-US"/>
        </w:rPr>
      </w:pPr>
    </w:p>
    <w:p w14:paraId="6732BB1F" w14:textId="5E3A216C" w:rsidR="00394336" w:rsidRPr="00DB6E30" w:rsidRDefault="00453CE3"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noProof/>
          <w:szCs w:val="22"/>
          <w:lang w:val="en-US"/>
        </w:rPr>
      </w:pPr>
      <w:r>
        <w:rPr>
          <w:noProof/>
          <w:lang w:val="nl-NL" w:eastAsia="nl-NL"/>
        </w:rPr>
        <w:lastRenderedPageBreak/>
        <w:drawing>
          <wp:anchor distT="0" distB="0" distL="114300" distR="114300" simplePos="0" relativeHeight="251666432" behindDoc="0" locked="0" layoutInCell="1" allowOverlap="1" wp14:anchorId="30C3B174" wp14:editId="4CD56BD4">
            <wp:simplePos x="0" y="0"/>
            <wp:positionH relativeFrom="column">
              <wp:posOffset>-151130</wp:posOffset>
            </wp:positionH>
            <wp:positionV relativeFrom="paragraph">
              <wp:posOffset>473075</wp:posOffset>
            </wp:positionV>
            <wp:extent cx="8886825" cy="5381625"/>
            <wp:effectExtent l="0" t="0" r="9525"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6825" cy="538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88" w:rsidRPr="008419AB">
        <w:rPr>
          <w:rFonts w:eastAsia="Calibri" w:cs="Times New Roman"/>
          <w:noProof/>
          <w:szCs w:val="22"/>
          <w:lang w:val="nl-NL" w:eastAsia="nl-NL"/>
        </w:rPr>
        <mc:AlternateContent>
          <mc:Choice Requires="wps">
            <w:drawing>
              <wp:anchor distT="0" distB="0" distL="114300" distR="114300" simplePos="0" relativeHeight="251667456" behindDoc="0" locked="0" layoutInCell="1" allowOverlap="1" wp14:anchorId="1501BA68" wp14:editId="77211FFF">
                <wp:simplePos x="0" y="0"/>
                <wp:positionH relativeFrom="column">
                  <wp:posOffset>4500245</wp:posOffset>
                </wp:positionH>
                <wp:positionV relativeFrom="paragraph">
                  <wp:posOffset>4688840</wp:posOffset>
                </wp:positionV>
                <wp:extent cx="4135120" cy="8763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876300"/>
                        </a:xfrm>
                        <a:prstGeom prst="rect">
                          <a:avLst/>
                        </a:prstGeom>
                        <a:solidFill>
                          <a:srgbClr val="FFFFFF"/>
                        </a:solidFill>
                        <a:ln w="9525">
                          <a:noFill/>
                          <a:miter lim="800000"/>
                          <a:headEnd/>
                          <a:tailEnd/>
                        </a:ln>
                      </wps:spPr>
                      <wps:txbx>
                        <w:txbxContent>
                          <w:p w14:paraId="053E919D" w14:textId="2F6E1094" w:rsidR="006920E7" w:rsidRDefault="006920E7" w:rsidP="00A319CE">
                            <w:pPr>
                              <w:jc w:val="left"/>
                              <w:rPr>
                                <w:sz w:val="18"/>
                                <w:lang w:val="en-US"/>
                              </w:rPr>
                            </w:pPr>
                            <w:r w:rsidRPr="000C3095">
                              <w:rPr>
                                <w:b/>
                                <w:sz w:val="20"/>
                                <w:lang w:val="en-US"/>
                              </w:rPr>
                              <w:t>Figure 3</w:t>
                            </w:r>
                            <w:r>
                              <w:rPr>
                                <w:b/>
                                <w:sz w:val="20"/>
                                <w:lang w:val="en-US"/>
                              </w:rPr>
                              <w:t xml:space="preserve"> (A)</w:t>
                            </w:r>
                            <w:r w:rsidRPr="000C3095">
                              <w:rPr>
                                <w:b/>
                                <w:sz w:val="20"/>
                                <w:lang w:val="en-US"/>
                              </w:rPr>
                              <w:br/>
                            </w:r>
                            <w:r w:rsidRPr="00A319CE">
                              <w:rPr>
                                <w:sz w:val="18"/>
                                <w:lang w:val="en-US"/>
                              </w:rPr>
                              <w:t>Scatterplots and correlation coefficients (r) between preoperative Gait Profile S</w:t>
                            </w:r>
                            <w:r>
                              <w:rPr>
                                <w:sz w:val="18"/>
                                <w:lang w:val="en-US"/>
                              </w:rPr>
                              <w:t xml:space="preserve">core (GPS), </w:t>
                            </w:r>
                            <w:r w:rsidRPr="00A319CE">
                              <w:rPr>
                                <w:sz w:val="18"/>
                                <w:lang w:val="en-US"/>
                              </w:rPr>
                              <w:t>Gross Motor Function Classification System (GMFCS) and knee angle at initial contact preoperat</w:t>
                            </w:r>
                            <w:r>
                              <w:rPr>
                                <w:sz w:val="18"/>
                                <w:lang w:val="en-US"/>
                              </w:rPr>
                              <w:t>ively with post-operative GPS at 2, 5 or</w:t>
                            </w:r>
                            <w:r w:rsidRPr="00A319CE">
                              <w:rPr>
                                <w:sz w:val="18"/>
                                <w:lang w:val="en-US"/>
                              </w:rPr>
                              <w:t xml:space="preserve"> 8 years (</w:t>
                            </w:r>
                            <w:proofErr w:type="spellStart"/>
                            <w:r w:rsidRPr="00A319CE">
                              <w:rPr>
                                <w:sz w:val="18"/>
                                <w:lang w:val="en-US"/>
                              </w:rPr>
                              <w:t>yr</w:t>
                            </w:r>
                            <w:proofErr w:type="spellEnd"/>
                            <w:r w:rsidRPr="00A319CE">
                              <w:rPr>
                                <w:sz w:val="18"/>
                                <w:lang w:val="en-US"/>
                              </w:rPr>
                              <w:t>) follow-up (FU).</w:t>
                            </w:r>
                          </w:p>
                          <w:p w14:paraId="5706B345" w14:textId="59425D47" w:rsidR="006920E7" w:rsidRPr="000C3095" w:rsidRDefault="006920E7" w:rsidP="00394336">
                            <w:pPr>
                              <w:jc w:val="left"/>
                              <w:rPr>
                                <w:sz w:val="18"/>
                                <w:lang w:val="en-US"/>
                              </w:rPr>
                            </w:pPr>
                            <w:r>
                              <w:rPr>
                                <w:sz w:val="18"/>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4.35pt;margin-top:369.2pt;width:325.6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44IgIAACIEAAAOAAAAZHJzL2Uyb0RvYy54bWysU9uO2yAQfa/Uf0C8N7Zz2YsVZ7XNNlWl&#10;7UXa7QdgjGMUYCiQ2OnX74CzabR9q8oDAmY4zJxzWN4NWpGDcF6CqWgxySkRhkMjzbaiP583H24o&#10;8YGZhikwoqJH4end6v27ZW9LMYUOVCMcQRDjy95WtAvBllnmeSc08xOwwmCwBadZwK3bZo1jPaJr&#10;lU3z/CrrwTXWARfe4+nDGKSrhN+2gofvbetFIKqiWFtIs0tzHedstWTl1jHbSX4qg/1DFZpJg4+e&#10;oR5YYGTv5F9QWnIHHtow4aAzaFvJReoBuynyN908dcyK1AuS4+2ZJv//YPm3ww9HZFPRGSWGaZTo&#10;Wex8OLAdmUZ2eutLTHqymBaGjzCgyqlTbx+B7zwxsO6Y2Yp756DvBGuwuiLezC6ujjg+gtT9V2jw&#10;GbYPkICG1ulIHZJBEB1VOp6VEUMgHA/nxWxRTDHEMXZzfTXLk3QZK19vW+fDZwGaxEVFHSqf0Nnh&#10;0YdYDStfU+JjHpRsNlKptHHbeq0cOTB0ySaN1MCbNGVIX9HbxXSRkA3E+8lAWgZ0sZIai8vjGH0V&#10;2fhkmpQSmFTjGitR5kRPZGTkJgz1kHQ4s15Dc0S+HIymxU+Giw7cb0p6NGxF/a89c4IS9cUg57fF&#10;fB4dnjbzxXVky11G6ssIMxyhKhooGZfrkH5FpMPAPWrTykRbFHGs5FQyGjGxefo00emX+5T152uv&#10;XgAAAP//AwBQSwMEFAAGAAgAAAAhAFOPuMHgAAAADAEAAA8AAABkcnMvZG93bnJldi54bWxMj8FO&#10;g0AQhu8mvsNmTLwYu2gpC8jSqInGa2sfYIApENlZwm4LfXu3J73NZL788/3FdjGDONPkessanlYR&#10;COLaNj23Gg7fH48pCOeRGxwsk4YLOdiWtzcF5o2deUfnvW9FCGGXo4bO+zGX0tUdGXQrOxKH29FO&#10;Bn1Yp1Y2E84h3AzyOYoSabDn8KHDkd47qn/2J6Ph+DU/bLK5+vQHtYuTN+xVZS9a398try8gPC3+&#10;D4arflCHMjhV9sSNE4MGFaUqoGFYpzGIK7HeZBmISkOqkhhkWcj/JcpfAAAA//8DAFBLAQItABQA&#10;BgAIAAAAIQC2gziS/gAAAOEBAAATAAAAAAAAAAAAAAAAAAAAAABbQ29udGVudF9UeXBlc10ueG1s&#10;UEsBAi0AFAAGAAgAAAAhADj9If/WAAAAlAEAAAsAAAAAAAAAAAAAAAAALwEAAF9yZWxzLy5yZWxz&#10;UEsBAi0AFAAGAAgAAAAhAB0svjgiAgAAIgQAAA4AAAAAAAAAAAAAAAAALgIAAGRycy9lMm9Eb2Mu&#10;eG1sUEsBAi0AFAAGAAgAAAAhAFOPuMHgAAAADAEAAA8AAAAAAAAAAAAAAAAAfAQAAGRycy9kb3du&#10;cmV2LnhtbFBLBQYAAAAABAAEAPMAAACJBQAAAAA=&#10;" stroked="f">
                <v:textbox>
                  <w:txbxContent>
                    <w:p w14:paraId="053E919D" w14:textId="2F6E1094" w:rsidR="006920E7" w:rsidRDefault="006920E7" w:rsidP="00A319CE">
                      <w:pPr>
                        <w:jc w:val="left"/>
                        <w:rPr>
                          <w:sz w:val="18"/>
                          <w:lang w:val="en-US"/>
                        </w:rPr>
                      </w:pPr>
                      <w:r w:rsidRPr="000C3095">
                        <w:rPr>
                          <w:b/>
                          <w:sz w:val="20"/>
                          <w:lang w:val="en-US"/>
                        </w:rPr>
                        <w:t>Figure 3</w:t>
                      </w:r>
                      <w:r>
                        <w:rPr>
                          <w:b/>
                          <w:sz w:val="20"/>
                          <w:lang w:val="en-US"/>
                        </w:rPr>
                        <w:t xml:space="preserve"> (A)</w:t>
                      </w:r>
                      <w:r w:rsidRPr="000C3095">
                        <w:rPr>
                          <w:b/>
                          <w:sz w:val="20"/>
                          <w:lang w:val="en-US"/>
                        </w:rPr>
                        <w:br/>
                      </w:r>
                      <w:r w:rsidRPr="00A319CE">
                        <w:rPr>
                          <w:sz w:val="18"/>
                          <w:lang w:val="en-US"/>
                        </w:rPr>
                        <w:t>Scatterplots and correlation coefficients (r) between preoperative Gait Profile S</w:t>
                      </w:r>
                      <w:r>
                        <w:rPr>
                          <w:sz w:val="18"/>
                          <w:lang w:val="en-US"/>
                        </w:rPr>
                        <w:t xml:space="preserve">core (GPS), </w:t>
                      </w:r>
                      <w:r w:rsidRPr="00A319CE">
                        <w:rPr>
                          <w:sz w:val="18"/>
                          <w:lang w:val="en-US"/>
                        </w:rPr>
                        <w:t>Gross Motor Function Classification System (GMFCS) and knee angle at initial contact preoperat</w:t>
                      </w:r>
                      <w:r>
                        <w:rPr>
                          <w:sz w:val="18"/>
                          <w:lang w:val="en-US"/>
                        </w:rPr>
                        <w:t>ively with post-operative GPS at 2, 5 or</w:t>
                      </w:r>
                      <w:r w:rsidRPr="00A319CE">
                        <w:rPr>
                          <w:sz w:val="18"/>
                          <w:lang w:val="en-US"/>
                        </w:rPr>
                        <w:t xml:space="preserve"> 8 years (</w:t>
                      </w:r>
                      <w:proofErr w:type="spellStart"/>
                      <w:r w:rsidRPr="00A319CE">
                        <w:rPr>
                          <w:sz w:val="18"/>
                          <w:lang w:val="en-US"/>
                        </w:rPr>
                        <w:t>yr</w:t>
                      </w:r>
                      <w:proofErr w:type="spellEnd"/>
                      <w:r w:rsidRPr="00A319CE">
                        <w:rPr>
                          <w:sz w:val="18"/>
                          <w:lang w:val="en-US"/>
                        </w:rPr>
                        <w:t>) follow-up (FU).</w:t>
                      </w:r>
                    </w:p>
                    <w:p w14:paraId="5706B345" w14:textId="59425D47" w:rsidR="006920E7" w:rsidRPr="000C3095" w:rsidRDefault="006920E7" w:rsidP="00394336">
                      <w:pPr>
                        <w:jc w:val="left"/>
                        <w:rPr>
                          <w:sz w:val="18"/>
                          <w:lang w:val="en-US"/>
                        </w:rPr>
                      </w:pPr>
                      <w:r>
                        <w:rPr>
                          <w:sz w:val="18"/>
                          <w:lang w:val="en-US"/>
                        </w:rPr>
                        <w:br/>
                      </w:r>
                    </w:p>
                  </w:txbxContent>
                </v:textbox>
              </v:shape>
            </w:pict>
          </mc:Fallback>
        </mc:AlternateContent>
      </w:r>
    </w:p>
    <w:p w14:paraId="20417D2A" w14:textId="266AADF8" w:rsidR="00394336" w:rsidRDefault="00453CE3"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r w:rsidRPr="008419AB">
        <w:rPr>
          <w:rFonts w:eastAsia="Calibri" w:cs="Times New Roman"/>
          <w:noProof/>
          <w:szCs w:val="22"/>
          <w:lang w:val="nl-NL" w:eastAsia="nl-NL"/>
        </w:rPr>
        <w:lastRenderedPageBreak/>
        <mc:AlternateContent>
          <mc:Choice Requires="wps">
            <w:drawing>
              <wp:anchor distT="0" distB="0" distL="114300" distR="114300" simplePos="0" relativeHeight="251673600" behindDoc="1" locked="0" layoutInCell="1" allowOverlap="1" wp14:anchorId="421AEFB0" wp14:editId="5C4B3D6B">
                <wp:simplePos x="0" y="0"/>
                <wp:positionH relativeFrom="column">
                  <wp:posOffset>4574540</wp:posOffset>
                </wp:positionH>
                <wp:positionV relativeFrom="paragraph">
                  <wp:posOffset>4643120</wp:posOffset>
                </wp:positionV>
                <wp:extent cx="4307205" cy="828675"/>
                <wp:effectExtent l="0" t="0" r="0" b="9525"/>
                <wp:wrapTight wrapText="bothSides">
                  <wp:wrapPolygon edited="0">
                    <wp:start x="0" y="0"/>
                    <wp:lineTo x="0" y="21352"/>
                    <wp:lineTo x="21495" y="21352"/>
                    <wp:lineTo x="21495" y="0"/>
                    <wp:lineTo x="0" y="0"/>
                  </wp:wrapPolygon>
                </wp:wrapTight>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828675"/>
                        </a:xfrm>
                        <a:prstGeom prst="rect">
                          <a:avLst/>
                        </a:prstGeom>
                        <a:solidFill>
                          <a:srgbClr val="FFFFFF"/>
                        </a:solidFill>
                        <a:ln w="9525">
                          <a:noFill/>
                          <a:miter lim="800000"/>
                          <a:headEnd/>
                          <a:tailEnd/>
                        </a:ln>
                      </wps:spPr>
                      <wps:txbx>
                        <w:txbxContent>
                          <w:p w14:paraId="58C8B454" w14:textId="6EFC74CE" w:rsidR="006920E7" w:rsidRPr="000C3095" w:rsidRDefault="006920E7" w:rsidP="00394336">
                            <w:pPr>
                              <w:jc w:val="left"/>
                              <w:rPr>
                                <w:sz w:val="18"/>
                                <w:lang w:val="en-US"/>
                              </w:rPr>
                            </w:pPr>
                            <w:r w:rsidRPr="000C3095">
                              <w:rPr>
                                <w:b/>
                                <w:sz w:val="20"/>
                                <w:lang w:val="en-US"/>
                              </w:rPr>
                              <w:t>Figure 3</w:t>
                            </w:r>
                            <w:r>
                              <w:rPr>
                                <w:b/>
                                <w:sz w:val="20"/>
                                <w:lang w:val="en-US"/>
                              </w:rPr>
                              <w:t xml:space="preserve"> (B)</w:t>
                            </w:r>
                            <w:r w:rsidRPr="000C3095">
                              <w:rPr>
                                <w:b/>
                                <w:sz w:val="20"/>
                                <w:lang w:val="en-US"/>
                              </w:rPr>
                              <w:br/>
                            </w:r>
                            <w:r w:rsidRPr="00A319CE">
                              <w:rPr>
                                <w:sz w:val="18"/>
                                <w:lang w:val="en-US"/>
                              </w:rPr>
                              <w:t>Scatterplots and correlation coefficients (r) between preoperative Gait Profile S</w:t>
                            </w:r>
                            <w:r>
                              <w:rPr>
                                <w:sz w:val="18"/>
                                <w:lang w:val="en-US"/>
                              </w:rPr>
                              <w:t>core in sagittal plane (</w:t>
                            </w:r>
                            <w:proofErr w:type="spellStart"/>
                            <w:r>
                              <w:rPr>
                                <w:sz w:val="18"/>
                                <w:lang w:val="en-US"/>
                              </w:rPr>
                              <w:t>GPSSag</w:t>
                            </w:r>
                            <w:proofErr w:type="spellEnd"/>
                            <w:r>
                              <w:rPr>
                                <w:sz w:val="18"/>
                                <w:lang w:val="en-US"/>
                              </w:rPr>
                              <w:t xml:space="preserve">), </w:t>
                            </w:r>
                            <w:r w:rsidRPr="00A319CE">
                              <w:rPr>
                                <w:sz w:val="18"/>
                                <w:lang w:val="en-US"/>
                              </w:rPr>
                              <w:t>Gross Motor Function Classification System (GMFCS) and knee angle at initial contact preoperatively with p</w:t>
                            </w:r>
                            <w:r>
                              <w:rPr>
                                <w:sz w:val="18"/>
                                <w:lang w:val="en-US"/>
                              </w:rPr>
                              <w:t xml:space="preserve">ost-operative </w:t>
                            </w:r>
                            <w:proofErr w:type="spellStart"/>
                            <w:r>
                              <w:rPr>
                                <w:sz w:val="18"/>
                                <w:lang w:val="en-US"/>
                              </w:rPr>
                              <w:t>GPSSag</w:t>
                            </w:r>
                            <w:proofErr w:type="spellEnd"/>
                            <w:r>
                              <w:rPr>
                                <w:sz w:val="18"/>
                                <w:lang w:val="en-US"/>
                              </w:rPr>
                              <w:t xml:space="preserve"> at 2, 5 or</w:t>
                            </w:r>
                            <w:r w:rsidRPr="00A319CE">
                              <w:rPr>
                                <w:sz w:val="18"/>
                                <w:lang w:val="en-US"/>
                              </w:rPr>
                              <w:t xml:space="preserve"> 8 years (</w:t>
                            </w:r>
                            <w:proofErr w:type="spellStart"/>
                            <w:r w:rsidRPr="00A319CE">
                              <w:rPr>
                                <w:sz w:val="18"/>
                                <w:lang w:val="en-US"/>
                              </w:rPr>
                              <w:t>yr</w:t>
                            </w:r>
                            <w:proofErr w:type="spellEnd"/>
                            <w:r w:rsidRPr="00A319CE">
                              <w:rPr>
                                <w:sz w:val="18"/>
                                <w:lang w:val="en-US"/>
                              </w:rPr>
                              <w:t>) follow-up (FU).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0.2pt;margin-top:365.6pt;width:339.15pt;height:6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s8JQIAACMEAAAOAAAAZHJzL2Uyb0RvYy54bWysU9tu2zAMfR+wfxD0vthxkjY14hRdugwD&#10;ugvQ7gNoWY6FyKInKbG7rx8lp2m2vQ3Tg0CJ5NHhIbW6HVrNjtI6habg00nKmTQCK2V2Bf/+tH23&#10;5Mx5MBVoNLLgz9Lx2/XbN6u+y2WGDepKWkYgxuV9V/DG+y5PEica2YKbYCcNOWu0LXg62l1SWegJ&#10;vdVJlqZXSY+26iwK6Rzd3o9Ovo74dS2F/1rXTnqmC07cfNxt3MuwJ+sV5DsLXaPEiQb8A4sWlKFH&#10;z1D34IEdrPoLqlXCosPaTwS2Cda1EjLWQNVM0z+qeWygk7EWEsd1Z5nc/4MVX47fLFMV9W7GmYGW&#10;evQk984fYc+yIE/fuZyiHjuK88N7HCg0luq6BxR7xwxuGjA7eWct9o2EiuhNQ2ZykTriuABS9p+x&#10;omfg4DECDbVtg3akBiN0atPzuTVy8EzQ5XyWXmfpgjNBvmW2vLpexCcgf8nurPMfJbYsGAW31PqI&#10;DscH5wMbyF9CwmMOtaq2Sut4sLtyoy07Ao3JNq4T+m9h2rC+4DeLbBGRDYb8OEGt8jTGWrVELg0r&#10;pEMe1Phgqmh7UHq0iYk2J3mCIqM2fiiH2IhZyA3SlVg9k14Wx6mlX0ZGg/YnZz1NbMHdjwNYyZn+&#10;ZEjzm+l8HkY8HuYLkosze+kpLz1gBEEV3HM2mhsfv0WgbfCOelOrKNsrkxNlmsSo5unXhFG/PMeo&#10;17+9/gUAAP//AwBQSwMEFAAGAAgAAAAhANH4pzrgAAAADAEAAA8AAABkcnMvZG93bnJldi54bWxM&#10;j0FugzAQRfeVegdrInVTNQaSYkIxUVupVbZJc4ABO4CCxwg7gdy+zqrdzWie/rxfbGfTs6seXWdJ&#10;QryMgGmqreqokXD8+XrJgDmPpLC3pCXctINt+fhQYK7sRHt9PfiGhRByOUpovR9yzl3daoNuaQdN&#10;4Xayo0Ef1rHhasQphJueJ1GUcoMdhQ8tDvqz1fX5cDESTrvp+XUzVd/+KPbr9AM7UdmblE+L+f0N&#10;mNez/4Phrh/UoQxOlb2QcqyXIJJoHdAwrOIE2J1YbTIBrJKQpbEAXhb8f4nyFwAA//8DAFBLAQIt&#10;ABQABgAIAAAAIQC2gziS/gAAAOEBAAATAAAAAAAAAAAAAAAAAAAAAABbQ29udGVudF9UeXBlc10u&#10;eG1sUEsBAi0AFAAGAAgAAAAhADj9If/WAAAAlAEAAAsAAAAAAAAAAAAAAAAALwEAAF9yZWxzLy5y&#10;ZWxzUEsBAi0AFAAGAAgAAAAhAMNmezwlAgAAIwQAAA4AAAAAAAAAAAAAAAAALgIAAGRycy9lMm9E&#10;b2MueG1sUEsBAi0AFAAGAAgAAAAhANH4pzrgAAAADAEAAA8AAAAAAAAAAAAAAAAAfwQAAGRycy9k&#10;b3ducmV2LnhtbFBLBQYAAAAABAAEAPMAAACMBQAAAAA=&#10;" stroked="f">
                <v:textbox>
                  <w:txbxContent>
                    <w:p w14:paraId="58C8B454" w14:textId="6EFC74CE" w:rsidR="006920E7" w:rsidRPr="000C3095" w:rsidRDefault="006920E7" w:rsidP="00394336">
                      <w:pPr>
                        <w:jc w:val="left"/>
                        <w:rPr>
                          <w:sz w:val="18"/>
                          <w:lang w:val="en-US"/>
                        </w:rPr>
                      </w:pPr>
                      <w:r w:rsidRPr="000C3095">
                        <w:rPr>
                          <w:b/>
                          <w:sz w:val="20"/>
                          <w:lang w:val="en-US"/>
                        </w:rPr>
                        <w:t>Figure 3</w:t>
                      </w:r>
                      <w:r>
                        <w:rPr>
                          <w:b/>
                          <w:sz w:val="20"/>
                          <w:lang w:val="en-US"/>
                        </w:rPr>
                        <w:t xml:space="preserve"> (B)</w:t>
                      </w:r>
                      <w:r w:rsidRPr="000C3095">
                        <w:rPr>
                          <w:b/>
                          <w:sz w:val="20"/>
                          <w:lang w:val="en-US"/>
                        </w:rPr>
                        <w:br/>
                      </w:r>
                      <w:r w:rsidRPr="00A319CE">
                        <w:rPr>
                          <w:sz w:val="18"/>
                          <w:lang w:val="en-US"/>
                        </w:rPr>
                        <w:t>Scatterplots and correlation coefficients (r) between preoperative Gait Profile S</w:t>
                      </w:r>
                      <w:r>
                        <w:rPr>
                          <w:sz w:val="18"/>
                          <w:lang w:val="en-US"/>
                        </w:rPr>
                        <w:t>core in sagittal plane (</w:t>
                      </w:r>
                      <w:proofErr w:type="spellStart"/>
                      <w:r>
                        <w:rPr>
                          <w:sz w:val="18"/>
                          <w:lang w:val="en-US"/>
                        </w:rPr>
                        <w:t>GPSSag</w:t>
                      </w:r>
                      <w:proofErr w:type="spellEnd"/>
                      <w:r>
                        <w:rPr>
                          <w:sz w:val="18"/>
                          <w:lang w:val="en-US"/>
                        </w:rPr>
                        <w:t xml:space="preserve">), </w:t>
                      </w:r>
                      <w:r w:rsidRPr="00A319CE">
                        <w:rPr>
                          <w:sz w:val="18"/>
                          <w:lang w:val="en-US"/>
                        </w:rPr>
                        <w:t>Gross Motor Function Classification System (GMFCS) and knee angle at initial contact preoperatively with p</w:t>
                      </w:r>
                      <w:r>
                        <w:rPr>
                          <w:sz w:val="18"/>
                          <w:lang w:val="en-US"/>
                        </w:rPr>
                        <w:t xml:space="preserve">ost-operative </w:t>
                      </w:r>
                      <w:proofErr w:type="spellStart"/>
                      <w:r>
                        <w:rPr>
                          <w:sz w:val="18"/>
                          <w:lang w:val="en-US"/>
                        </w:rPr>
                        <w:t>GPSSag</w:t>
                      </w:r>
                      <w:proofErr w:type="spellEnd"/>
                      <w:r>
                        <w:rPr>
                          <w:sz w:val="18"/>
                          <w:lang w:val="en-US"/>
                        </w:rPr>
                        <w:t xml:space="preserve"> at 2, 5 or</w:t>
                      </w:r>
                      <w:r w:rsidRPr="00A319CE">
                        <w:rPr>
                          <w:sz w:val="18"/>
                          <w:lang w:val="en-US"/>
                        </w:rPr>
                        <w:t xml:space="preserve"> 8 years (</w:t>
                      </w:r>
                      <w:proofErr w:type="spellStart"/>
                      <w:r w:rsidRPr="00A319CE">
                        <w:rPr>
                          <w:sz w:val="18"/>
                          <w:lang w:val="en-US"/>
                        </w:rPr>
                        <w:t>yr</w:t>
                      </w:r>
                      <w:proofErr w:type="spellEnd"/>
                      <w:r w:rsidRPr="00A319CE">
                        <w:rPr>
                          <w:sz w:val="18"/>
                          <w:lang w:val="en-US"/>
                        </w:rPr>
                        <w:t>) follow-up (FU).</w:t>
                      </w:r>
                    </w:p>
                  </w:txbxContent>
                </v:textbox>
                <w10:wrap type="tight"/>
              </v:shape>
            </w:pict>
          </mc:Fallback>
        </mc:AlternateContent>
      </w:r>
      <w:r w:rsidR="000B4388">
        <w:rPr>
          <w:noProof/>
          <w:lang w:val="nl-NL" w:eastAsia="nl-NL"/>
        </w:rPr>
        <w:drawing>
          <wp:anchor distT="0" distB="0" distL="114300" distR="114300" simplePos="0" relativeHeight="251672576" behindDoc="1" locked="0" layoutInCell="1" allowOverlap="1" wp14:anchorId="748ABFE7" wp14:editId="515E9821">
            <wp:simplePos x="0" y="0"/>
            <wp:positionH relativeFrom="column">
              <wp:posOffset>-195580</wp:posOffset>
            </wp:positionH>
            <wp:positionV relativeFrom="paragraph">
              <wp:posOffset>431800</wp:posOffset>
            </wp:positionV>
            <wp:extent cx="8886825" cy="5429250"/>
            <wp:effectExtent l="0" t="0" r="9525" b="0"/>
            <wp:wrapTight wrapText="bothSides">
              <wp:wrapPolygon edited="0">
                <wp:start x="0" y="0"/>
                <wp:lineTo x="0" y="21524"/>
                <wp:lineTo x="21577" y="21524"/>
                <wp:lineTo x="21577"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86825"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B7E97" w14:textId="68FF54F2" w:rsidR="00DB6E30" w:rsidRDefault="00DB6E30"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p>
    <w:p w14:paraId="4B0C1929" w14:textId="77777777" w:rsidR="000B4388" w:rsidRDefault="000B4388">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p>
    <w:p w14:paraId="2A2E0FB0" w14:textId="780D938C" w:rsidR="000B4388" w:rsidRDefault="00453CE3">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r w:rsidRPr="008419AB">
        <w:rPr>
          <w:rFonts w:eastAsia="Calibri" w:cs="Times New Roman"/>
          <w:noProof/>
          <w:szCs w:val="22"/>
          <w:lang w:val="nl-NL" w:eastAsia="nl-NL"/>
        </w:rPr>
        <mc:AlternateContent>
          <mc:Choice Requires="wps">
            <w:drawing>
              <wp:anchor distT="0" distB="0" distL="114300" distR="114300" simplePos="0" relativeHeight="251665408" behindDoc="0" locked="0" layoutInCell="1" allowOverlap="1" wp14:anchorId="1E162DC3" wp14:editId="3BE2533A">
                <wp:simplePos x="0" y="0"/>
                <wp:positionH relativeFrom="column">
                  <wp:posOffset>127635</wp:posOffset>
                </wp:positionH>
                <wp:positionV relativeFrom="paragraph">
                  <wp:posOffset>2901950</wp:posOffset>
                </wp:positionV>
                <wp:extent cx="5008245" cy="962025"/>
                <wp:effectExtent l="0" t="0" r="1905" b="952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962025"/>
                        </a:xfrm>
                        <a:prstGeom prst="rect">
                          <a:avLst/>
                        </a:prstGeom>
                        <a:solidFill>
                          <a:srgbClr val="FFFFFF"/>
                        </a:solidFill>
                        <a:ln w="9525">
                          <a:noFill/>
                          <a:miter lim="800000"/>
                          <a:headEnd/>
                          <a:tailEnd/>
                        </a:ln>
                      </wps:spPr>
                      <wps:txbx>
                        <w:txbxContent>
                          <w:p w14:paraId="6A5D029D" w14:textId="749A1303" w:rsidR="006920E7" w:rsidRDefault="006920E7" w:rsidP="00A319CE">
                            <w:pPr>
                              <w:jc w:val="left"/>
                              <w:rPr>
                                <w:sz w:val="18"/>
                                <w:lang w:val="en-US"/>
                              </w:rPr>
                            </w:pPr>
                            <w:r w:rsidRPr="000C3095">
                              <w:rPr>
                                <w:b/>
                                <w:sz w:val="20"/>
                                <w:lang w:val="en-US"/>
                              </w:rPr>
                              <w:t>Figure 3</w:t>
                            </w:r>
                            <w:r>
                              <w:rPr>
                                <w:b/>
                                <w:sz w:val="20"/>
                                <w:lang w:val="en-US"/>
                              </w:rPr>
                              <w:t xml:space="preserve"> (C)</w:t>
                            </w:r>
                            <w:r w:rsidRPr="000C3095">
                              <w:rPr>
                                <w:b/>
                                <w:sz w:val="20"/>
                                <w:lang w:val="en-US"/>
                              </w:rPr>
                              <w:br/>
                            </w:r>
                            <w:r w:rsidRPr="00A319CE">
                              <w:rPr>
                                <w:sz w:val="18"/>
                                <w:lang w:val="en-US"/>
                              </w:rPr>
                              <w:t>Scatterplots and correlation coefficients (r) between</w:t>
                            </w:r>
                            <w:r>
                              <w:rPr>
                                <w:sz w:val="18"/>
                                <w:lang w:val="en-US"/>
                              </w:rPr>
                              <w:t xml:space="preserve"> age at surgery, </w:t>
                            </w:r>
                            <w:r w:rsidRPr="00A319CE">
                              <w:rPr>
                                <w:sz w:val="18"/>
                                <w:lang w:val="en-US"/>
                              </w:rPr>
                              <w:t xml:space="preserve">Gross Motor Function Classification System (GMFCS) </w:t>
                            </w:r>
                            <w:r>
                              <w:rPr>
                                <w:sz w:val="18"/>
                                <w:lang w:val="en-US"/>
                              </w:rPr>
                              <w:t>with post-operative Gait Profile Score in transverse plane (</w:t>
                            </w:r>
                            <w:proofErr w:type="spellStart"/>
                            <w:r>
                              <w:rPr>
                                <w:sz w:val="18"/>
                                <w:lang w:val="en-US"/>
                              </w:rPr>
                              <w:t>GPSTrans</w:t>
                            </w:r>
                            <w:proofErr w:type="spellEnd"/>
                            <w:r>
                              <w:rPr>
                                <w:sz w:val="18"/>
                                <w:lang w:val="en-US"/>
                              </w:rPr>
                              <w:t>) at 2, 5 or</w:t>
                            </w:r>
                            <w:r w:rsidRPr="00A319CE">
                              <w:rPr>
                                <w:sz w:val="18"/>
                                <w:lang w:val="en-US"/>
                              </w:rPr>
                              <w:t xml:space="preserve"> 8 years (</w:t>
                            </w:r>
                            <w:proofErr w:type="spellStart"/>
                            <w:r w:rsidRPr="00A319CE">
                              <w:rPr>
                                <w:sz w:val="18"/>
                                <w:lang w:val="en-US"/>
                              </w:rPr>
                              <w:t>yr</w:t>
                            </w:r>
                            <w:proofErr w:type="spellEnd"/>
                            <w:r w:rsidRPr="00A319CE">
                              <w:rPr>
                                <w:sz w:val="18"/>
                                <w:lang w:val="en-US"/>
                              </w:rPr>
                              <w:t>) follow-up (FU).</w:t>
                            </w:r>
                          </w:p>
                          <w:p w14:paraId="0CB50C0E" w14:textId="4DFD46D9" w:rsidR="006920E7" w:rsidRPr="000C3095" w:rsidRDefault="006920E7" w:rsidP="00394336">
                            <w:pPr>
                              <w:jc w:val="left"/>
                              <w:rPr>
                                <w:sz w:val="18"/>
                                <w:lang w:val="en-US"/>
                              </w:rPr>
                            </w:pPr>
                            <w:r>
                              <w:rPr>
                                <w:sz w:val="18"/>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05pt;margin-top:228.5pt;width:394.3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nkIgIAACMEAAAOAAAAZHJzL2Uyb0RvYy54bWysU8Fu2zAMvQ/YPwi6L3aMpEuNOkWXLsOA&#10;rhvQ7gMYWY6FSKInKbGzrx8lp2m23YbpIJAi+Ug+Uje3g9HsIJ1XaCs+neScSSuwVnZb8e/P63cL&#10;znwAW4NGKyt+lJ7fLt++uem7UhbYoq6lYwRifdl3FW9D6Mos86KVBvwEO2nJ2KAzEEh126x20BO6&#10;0VmR51dZj67uHArpPb3ej0a+TPhNI0X42jReBqYrTrWFdLt0b+KdLW+g3DroWiVOZcA/VGFAWUp6&#10;hrqHAGzv1F9QRgmHHpswEWgybBolZOqBupnmf3Tz1EInUy9Eju/ONPn/ByseD98cUzXNbs6ZBUMz&#10;epY7Hw6wY0Wkp+98SV5PHfmF4QMO5Jpa9d0Dip1nFlct2K28cw77VkJN5U1jZHYROuL4CLLpv2BN&#10;aWAfMAENjTORO2KDETqN6XgejRwCE/Q4z/NFMaMSBdmur4q8mKcUUL5Ed86HTxINi0LFHY0+ocPh&#10;wYdYDZQvLjGZR63qtdI6KW67WWnHDkBrsk7nhP6bm7asp+xzyh2jLMb4tEFGBVpjrUzFF3k8MRzK&#10;yMZHWyc5gNKjTJVoe6InMjJyE4bNkAYxi7GRug3WR+LL4bi19MtIaNH95Kynja24/7EHJznTny1x&#10;fj2dzeKKJ2U2f1+Q4i4tm0sLWEFQFQ+cjeIqpG8xNnZHs2lUou21klPJtImJzdOviat+qSev17+9&#10;/AUAAP//AwBQSwMEFAAGAAgAAAAhAAvOqLveAAAACgEAAA8AAABkcnMvZG93bnJldi54bWxMj8tO&#10;wzAQRfdI/IM1SGwQtVs1D0ImFSCB2Lb0A5zYTSLicRS7Tfr3DCtYjubq3nPK3eIGcbFT6D0hrFcK&#10;hKXGm55ahOPX+2MOIkRNRg+eLMLVBthVtzelLoyfaW8vh9gKLqFQaIQuxrGQMjSddTqs/GiJfyc/&#10;OR35nFppJj1zuRvkRqlUOt0TL3R6tG+dbb4PZ4dw+pwfkqe5/ojHbL9NX3Wf1f6KeH+3vDyDiHaJ&#10;f2H4xWd0qJip9mcyQQwIG7XmJMI2ydiJA7nK2aVGSFWegKxK+V+h+gEAAP//AwBQSwECLQAUAAYA&#10;CAAAACEAtoM4kv4AAADhAQAAEwAAAAAAAAAAAAAAAAAAAAAAW0NvbnRlbnRfVHlwZXNdLnhtbFBL&#10;AQItABQABgAIAAAAIQA4/SH/1gAAAJQBAAALAAAAAAAAAAAAAAAAAC8BAABfcmVscy8ucmVsc1BL&#10;AQItABQABgAIAAAAIQBCRDnkIgIAACMEAAAOAAAAAAAAAAAAAAAAAC4CAABkcnMvZTJvRG9jLnht&#10;bFBLAQItABQABgAIAAAAIQALzqi73gAAAAoBAAAPAAAAAAAAAAAAAAAAAHwEAABkcnMvZG93bnJl&#10;di54bWxQSwUGAAAAAAQABADzAAAAhwUAAAAA&#10;" stroked="f">
                <v:textbox>
                  <w:txbxContent>
                    <w:p w14:paraId="6A5D029D" w14:textId="749A1303" w:rsidR="006920E7" w:rsidRDefault="006920E7" w:rsidP="00A319CE">
                      <w:pPr>
                        <w:jc w:val="left"/>
                        <w:rPr>
                          <w:sz w:val="18"/>
                          <w:lang w:val="en-US"/>
                        </w:rPr>
                      </w:pPr>
                      <w:r w:rsidRPr="000C3095">
                        <w:rPr>
                          <w:b/>
                          <w:sz w:val="20"/>
                          <w:lang w:val="en-US"/>
                        </w:rPr>
                        <w:t>Figure 3</w:t>
                      </w:r>
                      <w:r>
                        <w:rPr>
                          <w:b/>
                          <w:sz w:val="20"/>
                          <w:lang w:val="en-US"/>
                        </w:rPr>
                        <w:t xml:space="preserve"> (C)</w:t>
                      </w:r>
                      <w:r w:rsidRPr="000C3095">
                        <w:rPr>
                          <w:b/>
                          <w:sz w:val="20"/>
                          <w:lang w:val="en-US"/>
                        </w:rPr>
                        <w:br/>
                      </w:r>
                      <w:r w:rsidRPr="00A319CE">
                        <w:rPr>
                          <w:sz w:val="18"/>
                          <w:lang w:val="en-US"/>
                        </w:rPr>
                        <w:t>Scatterplots and correlation coefficients (r) between</w:t>
                      </w:r>
                      <w:r>
                        <w:rPr>
                          <w:sz w:val="18"/>
                          <w:lang w:val="en-US"/>
                        </w:rPr>
                        <w:t xml:space="preserve"> age at surgery, </w:t>
                      </w:r>
                      <w:r w:rsidRPr="00A319CE">
                        <w:rPr>
                          <w:sz w:val="18"/>
                          <w:lang w:val="en-US"/>
                        </w:rPr>
                        <w:t xml:space="preserve">Gross Motor Function Classification System (GMFCS) </w:t>
                      </w:r>
                      <w:r>
                        <w:rPr>
                          <w:sz w:val="18"/>
                          <w:lang w:val="en-US"/>
                        </w:rPr>
                        <w:t>with post-operative Gait Profile Score in transverse plane (</w:t>
                      </w:r>
                      <w:proofErr w:type="spellStart"/>
                      <w:r>
                        <w:rPr>
                          <w:sz w:val="18"/>
                          <w:lang w:val="en-US"/>
                        </w:rPr>
                        <w:t>GPSTrans</w:t>
                      </w:r>
                      <w:proofErr w:type="spellEnd"/>
                      <w:r>
                        <w:rPr>
                          <w:sz w:val="18"/>
                          <w:lang w:val="en-US"/>
                        </w:rPr>
                        <w:t>) at 2, 5 or</w:t>
                      </w:r>
                      <w:r w:rsidRPr="00A319CE">
                        <w:rPr>
                          <w:sz w:val="18"/>
                          <w:lang w:val="en-US"/>
                        </w:rPr>
                        <w:t xml:space="preserve"> 8 years (</w:t>
                      </w:r>
                      <w:proofErr w:type="spellStart"/>
                      <w:r w:rsidRPr="00A319CE">
                        <w:rPr>
                          <w:sz w:val="18"/>
                          <w:lang w:val="en-US"/>
                        </w:rPr>
                        <w:t>yr</w:t>
                      </w:r>
                      <w:proofErr w:type="spellEnd"/>
                      <w:r w:rsidRPr="00A319CE">
                        <w:rPr>
                          <w:sz w:val="18"/>
                          <w:lang w:val="en-US"/>
                        </w:rPr>
                        <w:t>) follow-up (FU).</w:t>
                      </w:r>
                    </w:p>
                    <w:p w14:paraId="0CB50C0E" w14:textId="4DFD46D9" w:rsidR="006920E7" w:rsidRPr="000C3095" w:rsidRDefault="006920E7" w:rsidP="00394336">
                      <w:pPr>
                        <w:jc w:val="left"/>
                        <w:rPr>
                          <w:sz w:val="18"/>
                          <w:lang w:val="en-US"/>
                        </w:rPr>
                      </w:pPr>
                      <w:r>
                        <w:rPr>
                          <w:sz w:val="18"/>
                          <w:lang w:val="en-US"/>
                        </w:rPr>
                        <w:br/>
                      </w:r>
                    </w:p>
                  </w:txbxContent>
                </v:textbox>
              </v:shape>
            </w:pict>
          </mc:Fallback>
        </mc:AlternateContent>
      </w:r>
      <w:r>
        <w:rPr>
          <w:rFonts w:eastAsia="Calibri" w:cs="Times New Roman"/>
          <w:noProof/>
          <w:color w:val="000000" w:themeColor="text1"/>
          <w:szCs w:val="22"/>
          <w:lang w:val="nl-NL" w:eastAsia="nl-NL"/>
        </w:rPr>
        <w:drawing>
          <wp:inline distT="0" distB="0" distL="0" distR="0" wp14:anchorId="1D7A7CE0" wp14:editId="7F155F15">
            <wp:extent cx="8888730" cy="282829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88730" cy="2828290"/>
                    </a:xfrm>
                    <a:prstGeom prst="rect">
                      <a:avLst/>
                    </a:prstGeom>
                    <a:noFill/>
                    <a:ln>
                      <a:noFill/>
                    </a:ln>
                  </pic:spPr>
                </pic:pic>
              </a:graphicData>
            </a:graphic>
          </wp:inline>
        </w:drawing>
      </w:r>
    </w:p>
    <w:p w14:paraId="3790B753" w14:textId="23651619" w:rsidR="00DB6E30" w:rsidRDefault="00DB6E30">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p>
    <w:p w14:paraId="565D0212" w14:textId="6DE6440B"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p>
    <w:p w14:paraId="35E42186" w14:textId="77777777"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p>
    <w:p w14:paraId="0BE6F424" w14:textId="62706774"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p>
    <w:p w14:paraId="3630B01E" w14:textId="77777777"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color w:val="000000" w:themeColor="text1"/>
          <w:szCs w:val="22"/>
          <w:lang w:val="en-US"/>
        </w:rPr>
      </w:pPr>
    </w:p>
    <w:p w14:paraId="17276A00" w14:textId="4F07FF59" w:rsidR="00394336" w:rsidRPr="008419AB"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sectPr w:rsidR="00394336" w:rsidRPr="008419AB" w:rsidSect="00E5029D">
          <w:pgSz w:w="16838" w:h="11906" w:orient="landscape"/>
          <w:pgMar w:top="851" w:right="1418" w:bottom="1418" w:left="1418" w:header="709" w:footer="709" w:gutter="0"/>
          <w:cols w:space="708"/>
          <w:docGrid w:linePitch="360"/>
        </w:sectPr>
      </w:pPr>
      <w:r w:rsidRPr="008419AB">
        <w:rPr>
          <w:rFonts w:eastAsia="Calibri" w:cs="Times New Roman"/>
          <w:noProof/>
          <w:szCs w:val="22"/>
          <w:lang w:val="nl-NL" w:eastAsia="nl-NL"/>
        </w:rPr>
        <mc:AlternateContent>
          <mc:Choice Requires="wps">
            <w:drawing>
              <wp:anchor distT="0" distB="0" distL="114300" distR="114300" simplePos="0" relativeHeight="251660288" behindDoc="0" locked="0" layoutInCell="1" allowOverlap="1" wp14:anchorId="46F4E3F5" wp14:editId="49462A08">
                <wp:simplePos x="0" y="0"/>
                <wp:positionH relativeFrom="column">
                  <wp:posOffset>124460</wp:posOffset>
                </wp:positionH>
                <wp:positionV relativeFrom="paragraph">
                  <wp:posOffset>5248910</wp:posOffset>
                </wp:positionV>
                <wp:extent cx="5715000" cy="962025"/>
                <wp:effectExtent l="0" t="0" r="0" b="952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62025"/>
                        </a:xfrm>
                        <a:prstGeom prst="rect">
                          <a:avLst/>
                        </a:prstGeom>
                        <a:solidFill>
                          <a:srgbClr val="FFFFFF"/>
                        </a:solidFill>
                        <a:ln w="9525">
                          <a:noFill/>
                          <a:miter lim="800000"/>
                          <a:headEnd/>
                          <a:tailEnd/>
                        </a:ln>
                      </wps:spPr>
                      <wps:txbx>
                        <w:txbxContent>
                          <w:p w14:paraId="396E1241" w14:textId="77777777" w:rsidR="006920E7" w:rsidRDefault="006920E7" w:rsidP="00394336">
                            <w:pPr>
                              <w:jc w:val="left"/>
                              <w:rPr>
                                <w:sz w:val="18"/>
                                <w:lang w:val="en-US"/>
                              </w:rPr>
                            </w:pPr>
                            <w:r w:rsidRPr="000C3095">
                              <w:rPr>
                                <w:b/>
                                <w:sz w:val="20"/>
                                <w:lang w:val="en-US"/>
                              </w:rPr>
                              <w:t>Figure 3</w:t>
                            </w:r>
                            <w:r>
                              <w:rPr>
                                <w:b/>
                                <w:sz w:val="20"/>
                                <w:lang w:val="en-US"/>
                              </w:rPr>
                              <w:t xml:space="preserve"> (continued)</w:t>
                            </w:r>
                            <w:r w:rsidRPr="000C3095">
                              <w:rPr>
                                <w:b/>
                                <w:sz w:val="20"/>
                                <w:lang w:val="en-US"/>
                              </w:rPr>
                              <w:br/>
                            </w:r>
                            <w:r>
                              <w:rPr>
                                <w:sz w:val="18"/>
                                <w:lang w:val="en-US"/>
                              </w:rPr>
                              <w:t>S</w:t>
                            </w:r>
                            <w:r w:rsidRPr="000C3095">
                              <w:rPr>
                                <w:sz w:val="18"/>
                                <w:lang w:val="en-US"/>
                              </w:rPr>
                              <w:t xml:space="preserve">catterplots and correlation coefficients </w:t>
                            </w:r>
                            <w:r>
                              <w:rPr>
                                <w:sz w:val="18"/>
                                <w:lang w:val="en-US"/>
                              </w:rPr>
                              <w:t xml:space="preserve">(r) </w:t>
                            </w:r>
                            <w:r w:rsidRPr="000C3095">
                              <w:rPr>
                                <w:sz w:val="18"/>
                                <w:lang w:val="en-US"/>
                              </w:rPr>
                              <w:t>for covariates</w:t>
                            </w:r>
                            <w:r>
                              <w:rPr>
                                <w:sz w:val="18"/>
                                <w:lang w:val="en-US"/>
                              </w:rPr>
                              <w:t xml:space="preserve"> with primary outcome measures</w:t>
                            </w:r>
                          </w:p>
                          <w:p w14:paraId="4EBF0F8B" w14:textId="77777777" w:rsidR="006920E7" w:rsidRPr="000C3095" w:rsidRDefault="006920E7" w:rsidP="00394336">
                            <w:pPr>
                              <w:jc w:val="left"/>
                              <w:rPr>
                                <w:sz w:val="18"/>
                                <w:lang w:val="en-US"/>
                              </w:rPr>
                            </w:pPr>
                            <w:r>
                              <w:rPr>
                                <w:sz w:val="18"/>
                                <w:lang w:val="en-US"/>
                              </w:rPr>
                              <w:t xml:space="preserve">GPS, Gait Profile Score; </w:t>
                            </w:r>
                            <w:proofErr w:type="spellStart"/>
                            <w:r>
                              <w:rPr>
                                <w:sz w:val="18"/>
                                <w:lang w:val="en-US"/>
                              </w:rPr>
                              <w:t>GPSSag</w:t>
                            </w:r>
                            <w:proofErr w:type="spellEnd"/>
                            <w:r>
                              <w:rPr>
                                <w:sz w:val="18"/>
                                <w:lang w:val="en-US"/>
                              </w:rPr>
                              <w:t xml:space="preserve">, Gait Profile Score in sagittal plane; </w:t>
                            </w:r>
                            <w:proofErr w:type="spellStart"/>
                            <w:r>
                              <w:rPr>
                                <w:sz w:val="18"/>
                                <w:lang w:val="en-US"/>
                              </w:rPr>
                              <w:t>GPSTrans</w:t>
                            </w:r>
                            <w:proofErr w:type="spellEnd"/>
                            <w:r>
                              <w:rPr>
                                <w:sz w:val="18"/>
                                <w:lang w:val="en-US"/>
                              </w:rPr>
                              <w:t xml:space="preserve">, Gait Profile Score in transverse plane; GMFCS, Gross Motor Function Classification System; Pre Op, preoperative; FU, follow-up; </w:t>
                            </w:r>
                            <w:proofErr w:type="spellStart"/>
                            <w:r>
                              <w:rPr>
                                <w:sz w:val="18"/>
                                <w:lang w:val="en-US"/>
                              </w:rPr>
                              <w:t>yr</w:t>
                            </w:r>
                            <w:proofErr w:type="spellEnd"/>
                            <w:r>
                              <w:rPr>
                                <w:sz w:val="18"/>
                                <w:lang w:val="en-US"/>
                              </w:rPr>
                              <w:t>, year</w:t>
                            </w:r>
                            <w:r>
                              <w:rPr>
                                <w:sz w:val="18"/>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8pt;margin-top:413.3pt;width:450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v7IgIAACIEAAAOAAAAZHJzL2Uyb0RvYy54bWysU9tu2zAMfR+wfxD0vtgJkqY14hRdugwD&#10;ugvQ7gNoWY6FyKImKbG7rx8lp2m2vQ3zgyGK5OHhIbW6HTrNjtJ5habk00nOmTQCa2V2Jf/+tH13&#10;zZkPYGrQaGTJn6Xnt+u3b1a9LeQMW9S1dIxAjC96W/I2BFtkmRet7MBP0EpDzgZdB4FMt8tqBz2h&#10;dzqb5flV1qOrrUMhvafb+9HJ1wm/aaQIX5vGy8B0yYlbSH+X/lX8Z+sVFDsHtlXiRAP+gUUHylDR&#10;M9Q9BGAHp/6C6pRw6LEJE4Fdhk2jhEw9UDfT/I9uHluwMvVC4nh7lsn/P1jx5fjNMVWXfMmZgY5G&#10;9CT3Phxhz2ZRnd76goIeLYWF4T0ONOXUqbcPKPaeGdy0YHbyzjnsWwk1sZvGzOwidcTxEaTqP2NN&#10;ZeAQMAENjeuidCQGI3Sa0vN5MnIITNDlYjld5Dm5BPlurmb5bJFKQPGSbZ0PHyV2LB5K7mjyCR2O&#10;Dz5ENlC8hMRiHrWqt0rrZLhdtdGOHYG2ZJu+E/pvYdqwnqovqHbMMhjz0wJ1KtAWa9WV/JpoEtF0&#10;HdX4YOp0DqD0eCYm2pzkiYqM2oShGtIcUmNRugrrZ9LL4bi09Mjo0KL7yVlPC1ty/+MATnKmPxnS&#10;/GY6n8cNT8Z8sZyR4S491aUHjCCokgfOxuMmpFcxNnZHs2lUku2VyYkyLWJS8/Ro4qZf2inq9Wmv&#10;fwEAAP//AwBQSwMEFAAGAAgAAAAhAKWx1GncAAAACgEAAA8AAABkcnMvZG93bnJldi54bWxMj81O&#10;w0AMhO9IvMPKSFwQ3bSC/JFNBUggri19ACdxk4isN8pum/TtMVzgNmOPxp+L7WIHdabJ944NrFcR&#10;KOLaNT23Bg6fb/cpKB+QGxwck4ELediW11cF5o2beUfnfWiVlLDP0UAXwphr7euOLPqVG4lld3ST&#10;xSB2anUz4SzldtCbKIq1xZ7lQocjvXZUf+1P1sDxY757zObqPRyS3UP8gn1SuYsxtzfL8xOoQEv4&#10;C8MPvqBDKUyVO3Hj1SA+iyVpIN3EIiSQ/U4qEUm6Bl0W+v8L5TcAAAD//wMAUEsBAi0AFAAGAAgA&#10;AAAhALaDOJL+AAAA4QEAABMAAAAAAAAAAAAAAAAAAAAAAFtDb250ZW50X1R5cGVzXS54bWxQSwEC&#10;LQAUAAYACAAAACEAOP0h/9YAAACUAQAACwAAAAAAAAAAAAAAAAAvAQAAX3JlbHMvLnJlbHNQSwEC&#10;LQAUAAYACAAAACEAdldL+yICAAAiBAAADgAAAAAAAAAAAAAAAAAuAgAAZHJzL2Uyb0RvYy54bWxQ&#10;SwECLQAUAAYACAAAACEApbHUadwAAAAKAQAADwAAAAAAAAAAAAAAAAB8BAAAZHJzL2Rvd25yZXYu&#10;eG1sUEsFBgAAAAAEAAQA8wAAAIUFAAAAAA==&#10;" stroked="f">
                <v:textbox>
                  <w:txbxContent>
                    <w:p w14:paraId="396E1241" w14:textId="77777777" w:rsidR="006920E7" w:rsidRDefault="006920E7" w:rsidP="00394336">
                      <w:pPr>
                        <w:jc w:val="left"/>
                        <w:rPr>
                          <w:sz w:val="18"/>
                          <w:lang w:val="en-US"/>
                        </w:rPr>
                      </w:pPr>
                      <w:r w:rsidRPr="000C3095">
                        <w:rPr>
                          <w:b/>
                          <w:sz w:val="20"/>
                          <w:lang w:val="en-US"/>
                        </w:rPr>
                        <w:t>Figure 3</w:t>
                      </w:r>
                      <w:r>
                        <w:rPr>
                          <w:b/>
                          <w:sz w:val="20"/>
                          <w:lang w:val="en-US"/>
                        </w:rPr>
                        <w:t xml:space="preserve"> (continued)</w:t>
                      </w:r>
                      <w:r w:rsidRPr="000C3095">
                        <w:rPr>
                          <w:b/>
                          <w:sz w:val="20"/>
                          <w:lang w:val="en-US"/>
                        </w:rPr>
                        <w:br/>
                      </w:r>
                      <w:r>
                        <w:rPr>
                          <w:sz w:val="18"/>
                          <w:lang w:val="en-US"/>
                        </w:rPr>
                        <w:t>S</w:t>
                      </w:r>
                      <w:r w:rsidRPr="000C3095">
                        <w:rPr>
                          <w:sz w:val="18"/>
                          <w:lang w:val="en-US"/>
                        </w:rPr>
                        <w:t xml:space="preserve">catterplots and correlation coefficients </w:t>
                      </w:r>
                      <w:r>
                        <w:rPr>
                          <w:sz w:val="18"/>
                          <w:lang w:val="en-US"/>
                        </w:rPr>
                        <w:t xml:space="preserve">(r) </w:t>
                      </w:r>
                      <w:r w:rsidRPr="000C3095">
                        <w:rPr>
                          <w:sz w:val="18"/>
                          <w:lang w:val="en-US"/>
                        </w:rPr>
                        <w:t>for covariates</w:t>
                      </w:r>
                      <w:r>
                        <w:rPr>
                          <w:sz w:val="18"/>
                          <w:lang w:val="en-US"/>
                        </w:rPr>
                        <w:t xml:space="preserve"> with primary outcome measures</w:t>
                      </w:r>
                    </w:p>
                    <w:p w14:paraId="4EBF0F8B" w14:textId="77777777" w:rsidR="006920E7" w:rsidRPr="000C3095" w:rsidRDefault="006920E7" w:rsidP="00394336">
                      <w:pPr>
                        <w:jc w:val="left"/>
                        <w:rPr>
                          <w:sz w:val="18"/>
                          <w:lang w:val="en-US"/>
                        </w:rPr>
                      </w:pPr>
                      <w:r>
                        <w:rPr>
                          <w:sz w:val="18"/>
                          <w:lang w:val="en-US"/>
                        </w:rPr>
                        <w:t xml:space="preserve">GPS, Gait Profile Score; </w:t>
                      </w:r>
                      <w:proofErr w:type="spellStart"/>
                      <w:r>
                        <w:rPr>
                          <w:sz w:val="18"/>
                          <w:lang w:val="en-US"/>
                        </w:rPr>
                        <w:t>GPSSag</w:t>
                      </w:r>
                      <w:proofErr w:type="spellEnd"/>
                      <w:r>
                        <w:rPr>
                          <w:sz w:val="18"/>
                          <w:lang w:val="en-US"/>
                        </w:rPr>
                        <w:t xml:space="preserve">, Gait Profile Score in sagittal plane; </w:t>
                      </w:r>
                      <w:proofErr w:type="spellStart"/>
                      <w:r>
                        <w:rPr>
                          <w:sz w:val="18"/>
                          <w:lang w:val="en-US"/>
                        </w:rPr>
                        <w:t>GPSTrans</w:t>
                      </w:r>
                      <w:proofErr w:type="spellEnd"/>
                      <w:r>
                        <w:rPr>
                          <w:sz w:val="18"/>
                          <w:lang w:val="en-US"/>
                        </w:rPr>
                        <w:t xml:space="preserve">, Gait Profile Score in transverse plane; GMFCS, Gross Motor Function Classification System; Pre Op, preoperative; FU, follow-up; </w:t>
                      </w:r>
                      <w:proofErr w:type="spellStart"/>
                      <w:r>
                        <w:rPr>
                          <w:sz w:val="18"/>
                          <w:lang w:val="en-US"/>
                        </w:rPr>
                        <w:t>yr</w:t>
                      </w:r>
                      <w:proofErr w:type="spellEnd"/>
                      <w:r>
                        <w:rPr>
                          <w:sz w:val="18"/>
                          <w:lang w:val="en-US"/>
                        </w:rPr>
                        <w:t>, year</w:t>
                      </w:r>
                      <w:r>
                        <w:rPr>
                          <w:sz w:val="18"/>
                          <w:lang w:val="en-US"/>
                        </w:rPr>
                        <w:br/>
                      </w:r>
                    </w:p>
                  </w:txbxContent>
                </v:textbox>
              </v:shape>
            </w:pict>
          </mc:Fallback>
        </mc:AlternateContent>
      </w:r>
    </w:p>
    <w:p w14:paraId="556DF49B" w14:textId="77777777" w:rsidR="0071122B" w:rsidRPr="00595F5A" w:rsidRDefault="0071122B" w:rsidP="0071122B">
      <w:pPr>
        <w:tabs>
          <w:tab w:val="right" w:pos="426"/>
        </w:tabs>
        <w:spacing w:line="360" w:lineRule="auto"/>
        <w:rPr>
          <w:rFonts w:asciiTheme="minorHAnsi" w:hAnsiTheme="minorHAnsi" w:cs="Times New Roman"/>
          <w:b/>
          <w:sz w:val="32"/>
          <w:lang w:val="en-US"/>
        </w:rPr>
      </w:pPr>
      <w:r w:rsidRPr="00595F5A">
        <w:rPr>
          <w:rFonts w:asciiTheme="minorHAnsi" w:hAnsiTheme="minorHAnsi" w:cs="Times New Roman"/>
          <w:b/>
          <w:sz w:val="32"/>
          <w:lang w:val="en-US"/>
        </w:rPr>
        <w:lastRenderedPageBreak/>
        <w:t>4. Discussion</w:t>
      </w:r>
    </w:p>
    <w:p w14:paraId="764DBBF7" w14:textId="77777777" w:rsidR="0071122B" w:rsidRPr="008419AB" w:rsidRDefault="0071122B" w:rsidP="0071122B">
      <w:pPr>
        <w:tabs>
          <w:tab w:val="right" w:pos="426"/>
        </w:tabs>
        <w:spacing w:line="360" w:lineRule="auto"/>
        <w:rPr>
          <w:rFonts w:cs="Times New Roman"/>
          <w:szCs w:val="22"/>
          <w:lang w:val="en-US"/>
        </w:rPr>
      </w:pPr>
      <w:r w:rsidRPr="008419AB">
        <w:rPr>
          <w:rFonts w:cs="Times New Roman"/>
          <w:szCs w:val="22"/>
          <w:lang w:val="en-US"/>
        </w:rPr>
        <w:t xml:space="preserve">This retrospective study examined the long-term effects of SEMLS by comparing preoperative to postoperative values </w:t>
      </w:r>
      <w:r>
        <w:rPr>
          <w:rFonts w:cs="Times New Roman"/>
          <w:szCs w:val="22"/>
          <w:lang w:val="en-US"/>
        </w:rPr>
        <w:t>until eight years post-surgery</w:t>
      </w:r>
      <w:r w:rsidRPr="008419AB">
        <w:rPr>
          <w:rFonts w:cs="Times New Roman"/>
          <w:szCs w:val="22"/>
          <w:lang w:val="en-US"/>
        </w:rPr>
        <w:t xml:space="preserve">. Furthermore, this study initiated an exploration of possible predictors for the </w:t>
      </w:r>
      <w:r>
        <w:rPr>
          <w:rFonts w:cs="Times New Roman"/>
          <w:szCs w:val="22"/>
          <w:lang w:val="en-US"/>
        </w:rPr>
        <w:t xml:space="preserve">long-term </w:t>
      </w:r>
      <w:r w:rsidRPr="008419AB">
        <w:rPr>
          <w:rFonts w:cs="Times New Roman"/>
          <w:szCs w:val="22"/>
          <w:lang w:val="en-US"/>
        </w:rPr>
        <w:t xml:space="preserve">effect of SEMLS. </w:t>
      </w:r>
    </w:p>
    <w:p w14:paraId="1F30F4E2" w14:textId="77777777" w:rsidR="0071122B" w:rsidRPr="008419AB" w:rsidRDefault="0071122B" w:rsidP="0071122B">
      <w:pPr>
        <w:tabs>
          <w:tab w:val="right" w:pos="426"/>
        </w:tabs>
        <w:spacing w:line="360" w:lineRule="auto"/>
        <w:rPr>
          <w:rFonts w:cs="Times New Roman"/>
          <w:szCs w:val="22"/>
          <w:lang w:val="en-US"/>
        </w:rPr>
      </w:pPr>
      <w:r w:rsidRPr="008419AB">
        <w:rPr>
          <w:rFonts w:cs="Times New Roman"/>
          <w:szCs w:val="22"/>
          <w:lang w:val="en-US"/>
        </w:rPr>
        <w:t xml:space="preserve">To study the effects it is important to take into account the natural progression of gait. When a child becomes older, </w:t>
      </w:r>
      <w:r>
        <w:rPr>
          <w:rFonts w:cs="Times New Roman"/>
          <w:szCs w:val="22"/>
          <w:lang w:val="en-US"/>
        </w:rPr>
        <w:t xml:space="preserve">gait often deteriorates </w:t>
      </w:r>
      <w:r w:rsidRPr="008419AB">
        <w:rPr>
          <w:rFonts w:cs="Times New Roman"/>
          <w:szCs w:val="22"/>
          <w:lang w:val="en-US"/>
        </w:rPr>
        <w:t xml:space="preserve">because of increasing weight and failure of spastic </w:t>
      </w:r>
      <w:r>
        <w:rPr>
          <w:rFonts w:cs="Times New Roman"/>
          <w:szCs w:val="22"/>
          <w:lang w:val="en-US"/>
        </w:rPr>
        <w:t xml:space="preserve">and weak </w:t>
      </w:r>
      <w:r w:rsidRPr="008419AB">
        <w:rPr>
          <w:rFonts w:cs="Times New Roman"/>
          <w:szCs w:val="22"/>
          <w:lang w:val="en-US"/>
        </w:rPr>
        <w:t>muscles to grow in proportion with the bone</w:t>
      </w:r>
      <w:r>
        <w:rPr>
          <w:rFonts w:cs="Times New Roman"/>
          <w:szCs w:val="22"/>
          <w:lang w:val="en-US"/>
        </w:rPr>
        <w:t xml:space="preserve"> </w:t>
      </w:r>
      <w:r>
        <w:rPr>
          <w:rFonts w:cs="Times New Roman"/>
          <w:lang w:val="en-US"/>
        </w:rPr>
        <w:fldChar w:fldCharType="begin" w:fldLock="1"/>
      </w:r>
      <w:r>
        <w:rPr>
          <w:rFonts w:cs="Times New Roman"/>
          <w:lang w:val="en-US"/>
        </w:rPr>
        <w:instrText>ADDIN CSL_CITATION { "citationItems" : [ { "id" : "ITEM-1", "itemData" : { "abstract" : "This article reviews the current best evidence for musculoskeletal interventions in children with ambulatory cerebral palsy (CP). The effectiveness of interventions in CP must first consider what CP and its associated pathophysiology are and take into account the heterogeneity and natural history of CP to put definitions of \u201ceffectiveness\u201d into perspective. This article reviews the current standards of the definition and classification of CP, discusses the natural history and specific goals for the management of ambulatory CP, as well as the outcome measures available to measure these goals. The current best evidence of effectiveness is reviewed for specific interventions in children with ambulatory CP including spasticity management with botulinum toxin A injections and selective dorsal rhizotomy; multilevel orthopaedic surgery to address contractures and bony deformity; and the role of gait analysis for surgical decision-making before orthopaedic surgery.", "author" : [ { "dropping-particle" : "", "family" : "Narayanan", "given" : "Ug", "non-dropping-particle" : "", "parse-names" : false, "suffix" : "" } ], "container-title" : "Journal of Pediatric Orthopaedics", "id" : "ITEM-1", "issue" : "2", "issued" : { "date-parts" : [ [ "2012" ] ] }, "page" : "172-181", "title" : "Management of Children With Ambulatory Cerebral Palsy: An Evidence-based Review", "type" : "article-journal", "volume" : "32" }, "uris" : [ "http://www.mendeley.com/documents/?uuid=a4e145b9-7174-486f-8b86-f690afb0f097" ] }, { "id" : "ITEM-2",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"ITEM-2",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"id" : "ITEM-3", "itemData" : { "abstract" : "Twenty-eight children with cerebral palsy had two gait analyses an average of 4.4 years apart with no surgical intervention between the tests. The effects of growth and age were examined using three-dimensional kinematics, temporal and stride parameters, and clinical examination measures. Kinematic changes showed decreases in hip, knee, and ankle sagittal plane ranges of motion (ROM), peak hip flexion in swing, and peak knee flexion over time. Temporal and stride parameters showed declines in timing of toe off, cadence, and walking velocity. Clinical measures showed declines in hip abduction ROM (knees flexed and extended), popliteal angle, and sagittal plane ankle ROM (knees flexed and extended). Overall results showed that gait function in these individuals with cerebral palsy decreased longitudinally with respect to temporal/stride measures, passive ROM, and kinematic parameters compared with a group of individuals who had had orthopaedic intervention.", "author" : [ { "dropping-particle" : "", "family" : "Bell", "given" : "Katharine J", "non-dropping-particle" : "", "parse-names" : false, "suffix" : "" }, { "dropping-particle" : "", "family" : "Ounpuu", "given" : "Sylvia", "non-dropping-particle" : "", "parse-names" : false, "suffix" : "" }, { "dropping-particle" : "", "family" : "DeLuca", "given" : "Peter a", "non-dropping-particle" : "", "parse-names" : false, "suffix" : "" }, { "dropping-particle" : "", "family" : "Romness", "given" : "Mark J", "non-dropping-particle" : "", "parse-names" : false, "suffix" : "" } ], "container-title" : "Journal of pediatric orthopedics", "id" : "ITEM-3", "issued" : { "date-parts" : [ [ "2002" ] ] }, "page" : "677-682", "title" : "Natural progression of gait in children with cerebral palsy.", "type" : "article-journal", "volume" : "22" }, "uris" : [ "http://www.mendeley.com/documents/?uuid=3b5182b4-d85f-4479-a43c-9f3f0b6892b8" ] } ], "mendeley" : { "formattedCitation" : "[1,12,16]", "plainTextFormattedCitation" : "[1,12,16]", "previouslyFormattedCitation" : "[1,12,16]" }, "properties" : { "noteIndex" : 0 }, "schema" : "https://github.com/citation-style-language/schema/raw/master/csl-citation.json" }</w:instrText>
      </w:r>
      <w:r>
        <w:rPr>
          <w:rFonts w:cs="Times New Roman"/>
          <w:lang w:val="en-US"/>
        </w:rPr>
        <w:fldChar w:fldCharType="separate"/>
      </w:r>
      <w:r w:rsidRPr="00A66093">
        <w:rPr>
          <w:rFonts w:cs="Times New Roman"/>
          <w:noProof/>
          <w:lang w:val="en-US"/>
        </w:rPr>
        <w:t>[1,12,16]</w:t>
      </w:r>
      <w:r>
        <w:rPr>
          <w:rFonts w:cs="Times New Roman"/>
          <w:lang w:val="en-US"/>
        </w:rPr>
        <w:fldChar w:fldCharType="end"/>
      </w:r>
      <w:r>
        <w:rPr>
          <w:rFonts w:cs="Times New Roman"/>
          <w:szCs w:val="22"/>
          <w:lang w:val="en-US"/>
        </w:rPr>
        <w:t xml:space="preserve"> </w:t>
      </w:r>
      <w:r w:rsidRPr="008419AB">
        <w:rPr>
          <w:rFonts w:cs="Times New Roman"/>
          <w:szCs w:val="22"/>
          <w:lang w:val="en-US"/>
        </w:rPr>
        <w:t xml:space="preserve">. Therefore maintenance of mobility in children with CP is a valid long-term goal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"AIMS: Single event multilevel surgery (SEMLS) has been shown to improve gait in children with cerebral palsy (CP). However, there is limited evidence regarding long-term outcomes and factors influencing them. METHODS: In total 39 children (17 females and 22 males; mean age at SEMLS ten years four months, standard deviation 37 months) with bilateral CP (20 Gross Motor Function Classification System (GMFCS) level II and 19 GMFCS level III) treated with SEMLS were included. Children were evaluated using gait analysis and the Gait Deviation Index (GDI) before SEMLS and one, two to three, five and at least ten years after SEMLS. A linear mixed model was used to estimate the effect of age at the surgery, GMFCS and follow-up period on GDI. RESULTS: There was a mean improvement of 12.1 (-15.3 to 45.1) GDI points one year after SEMLS (p &lt; 0.001) and 10.3 (-23.1 to 44.2) GDI points ten years after SEMLS compared with before SEMLS (p &lt; 0.001). GMFCS level III children aged ten to 12 years had the most improvement. The GMFCS III group had more surgical procedures at the index SEMLS (p &lt; 0.001) and during the follow-up period (p = 0.039). After correcting for other factors, age at surgery was the only factor predictive of long-term results. Our model was able to explain 45% of the variance of the change in GDI at the different time points. TAKE HOME MESSAGE: Children with GMFCS III level aged ten to 12 are the benchmark responders to SEMLS in the long-term. Cite this article: Bone Joint J 2016;98-B:278-81.", "author" : [ { "dropping-particle" : "", "family" : "\u0160vehl\u00edk", "given" : "M", "non-dropping-particle" : "", "parse-names" : false, "suffix" : "" }, { "dropping-particle" : "", "family" : "Steinwender", "given" : "G", "non-dropping-particle" : "", "parse-names" : false, "suffix" : "" }, { "dropping-particle" : "", "family" : "Lehmann", "given" : "T", "non-dropping-particle" : "", "parse-names" : false, "suffix" : "" }, { "dropping-particle" : "", "family" : "Kraus", "given" : "T", "non-dropping-particle" : "", "parse-names" : false, "suffix" : "" } ], "container-title" : "The bone &amp; joint journal", "id" : "ITEM-1", "issue" : "2", "issued" : { "date-parts" : [ [ "2016" ] ] }, "page" : "278-81", "title" : "Predictors of outcome after single-event multilevel surgery in children with cerebral palsy: a retrospective ten-year follow-up study.", "type" : "article-journal", "volume" : "98-B" }, "uris" : [ "http://www.mendeley.com/documents/?uuid=c9cb44cc-40a4-476e-9e19-971fb4a577a4" ] } ], "mendeley" : { "formattedCitation" : "[35]", "plainTextFormattedCitation" : "[35]", "previouslyFormattedCitation" : "[35]"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[35]</w:t>
      </w:r>
      <w:r w:rsidRPr="008419AB">
        <w:rPr>
          <w:rFonts w:cs="Times New Roman"/>
          <w:szCs w:val="22"/>
          <w:lang w:val="en-US"/>
        </w:rPr>
        <w:fldChar w:fldCharType="end"/>
      </w:r>
      <w:r w:rsidRPr="008419AB">
        <w:rPr>
          <w:rFonts w:cs="Times New Roman"/>
          <w:szCs w:val="22"/>
          <w:lang w:val="en-US"/>
        </w:rPr>
        <w:t>.</w:t>
      </w:r>
      <w:r w:rsidRPr="008419AB">
        <w:rPr>
          <w:rFonts w:cs="Times New Roman"/>
          <w:color w:val="FF0000"/>
          <w:szCs w:val="22"/>
          <w:lang w:val="en-US"/>
        </w:rPr>
        <w:t xml:space="preserve"> </w:t>
      </w:r>
      <w:r w:rsidRPr="008419AB">
        <w:rPr>
          <w:rFonts w:cs="Times New Roman"/>
          <w:szCs w:val="22"/>
          <w:lang w:val="en-US"/>
        </w:rPr>
        <w:t>Eleven subjects in this study needed subsequent bony surgeries after their SEMLS</w:t>
      </w:r>
      <w:r w:rsidRPr="00C15726">
        <w:rPr>
          <w:noProof/>
          <w:lang w:val="en-US"/>
        </w:rPr>
        <w:t>, alth</w:t>
      </w:r>
      <w:r>
        <w:rPr>
          <w:noProof/>
          <w:lang w:val="en-US"/>
        </w:rPr>
        <w:t>ough these were minor procedures</w:t>
      </w:r>
      <w:r w:rsidRPr="008419AB">
        <w:rPr>
          <w:rFonts w:cs="Times New Roman"/>
          <w:szCs w:val="22"/>
          <w:lang w:val="en-US"/>
        </w:rPr>
        <w:t xml:space="preserve">. This could </w:t>
      </w:r>
      <w:r>
        <w:rPr>
          <w:rFonts w:cs="Times New Roman"/>
          <w:szCs w:val="22"/>
          <w:lang w:val="en-US"/>
        </w:rPr>
        <w:t xml:space="preserve">also </w:t>
      </w:r>
      <w:r w:rsidRPr="008419AB">
        <w:rPr>
          <w:rFonts w:cs="Times New Roman"/>
          <w:szCs w:val="22"/>
          <w:lang w:val="en-US"/>
        </w:rPr>
        <w:t xml:space="preserve">be a consequence of growth leading to recurrent deformities. In the study of Thomason et al.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"Background: Single Event Multilevel Surgery (SEMLS) is considered the standard of care to improve gait and function in children with bilateral spastic cerebral palsy (BSCP). We have demonstrated in a randomized controlled trial (RCT) of SEMLS, that gait was improved at 12 months after surgery and gross motor function at 24 months after surgery. The question addressed in this study, was to determine if improvements in gait and function, would be maintained at 5 year follow-up. Methods: Nineteen children with BSCP, GMFCS levels II (14 children) and III (5 children), mean age 9.7 years (range 7.7-12.2 years) participated in a prospective cohort study following participation in a RCT, with follow-up to 5 years. Outcome measures were Gait Profile Score (GPS), Gillette Gait Index (GGI), Gait Deviation Index (GDI), Gross Motor Function Measure (GMFM66) and Functional Mobility Scale (FMS). Results: Eighteen children have completed follow-up, with interval analysis at 1, 2 and 5 years post SEMLS. One child was excluded because of neurological deterioration and his diagnosis was revised to Hereditary Spastic Paraparesis (HSP). GPS improved by 5.29?? and GMFM66 by 3.3% at 5 years post SEMLS. Differences between outcome measures at 1 versus 5 years and 2 versus 5 years (except GMFM66) were not significant, indicating that improvements in gait and gross motor function were stable over time. Conclusions: SEMLS results in clinically and statistically significant improvements in gait and function, in children with BSCP, which were maintained at 5 years after surgery. ?? 2012.", "author" : [ { "dropping-particle" : "", "family" : "Thomason", "given" : "Pam", "non-dropping-particle" : "", "parse-names" : false, "suffix" : "" }, { "dropping-particle" : "", "family" : "Selber", "given" : "Paulo", "non-dropping-particle" : "", "parse-names" : false, "suffix" : "" }, { "dropping-particle" : "", "family" : "Graham", "given" : "H. Kerr", "non-dropping-particle" : "", "parse-names" : false, "suffix" : "" } ], "container-title" : "Gait and Posture", "id" : "ITEM-1", "issue" : "1", "issued" : { "date-parts" : [ [ "2013" ] ] }, "page" : "23-28", "publisher" : "Elsevier B.V.", "title" : "Single Event Multilevel Surgery in children with bilateral spastic cerebral palsy: A 5 year prospective cohort study", "type" : "article-journal", "volume" : "37" }, "uris" : [ "http://www.mendeley.com/documents/?uuid=6a0b835f-7b5e-496c-a8b1-f84a4410246b" ] } ], "mendeley" : { "formattedCitation" : "[30]", "plainTextFormattedCitation" : "[30]", "previouslyFormattedCitation" : "[30]"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[30]</w:t>
      </w:r>
      <w:r w:rsidRPr="008419AB">
        <w:rPr>
          <w:rFonts w:cs="Times New Roman"/>
          <w:szCs w:val="22"/>
          <w:lang w:val="en-US"/>
        </w:rPr>
        <w:fldChar w:fldCharType="end"/>
      </w:r>
      <w:r>
        <w:rPr>
          <w:rFonts w:cs="Times New Roman"/>
          <w:szCs w:val="22"/>
          <w:lang w:val="en-US"/>
        </w:rPr>
        <w:t xml:space="preserve"> it was</w:t>
      </w:r>
      <w:r w:rsidRPr="008419AB">
        <w:rPr>
          <w:rFonts w:cs="Times New Roman"/>
          <w:szCs w:val="22"/>
          <w:lang w:val="en-US"/>
        </w:rPr>
        <w:t xml:space="preserve"> mentioned that ‘fine-tuning’ by additional surgeries is therefore often required because </w:t>
      </w:r>
      <w:r>
        <w:rPr>
          <w:rFonts w:cs="Times New Roman"/>
          <w:szCs w:val="22"/>
          <w:lang w:val="en-US"/>
        </w:rPr>
        <w:t xml:space="preserve">one </w:t>
      </w:r>
      <w:r w:rsidRPr="008419AB">
        <w:rPr>
          <w:rFonts w:cs="Times New Roman"/>
          <w:szCs w:val="22"/>
          <w:lang w:val="en-US"/>
        </w:rPr>
        <w:t xml:space="preserve">SEMLS cannot carry out all the procedures which are needed for the total growth period of the child. </w:t>
      </w:r>
    </w:p>
    <w:p w14:paraId="342F4936" w14:textId="77777777" w:rsidR="0071122B" w:rsidRDefault="0071122B" w:rsidP="0071122B">
      <w:pPr>
        <w:tabs>
          <w:tab w:val="right" w:pos="426"/>
        </w:tabs>
        <w:spacing w:line="360" w:lineRule="auto"/>
        <w:rPr>
          <w:rFonts w:cs="Times New Roman"/>
          <w:szCs w:val="22"/>
          <w:lang w:val="en-US"/>
        </w:rPr>
      </w:pPr>
      <w:r>
        <w:rPr>
          <w:rFonts w:cs="Times New Roman"/>
          <w:szCs w:val="22"/>
          <w:lang w:val="en-US"/>
        </w:rPr>
        <w:t>When looking at long-term results</w:t>
      </w:r>
      <w:r w:rsidRPr="008419AB">
        <w:rPr>
          <w:rFonts w:cs="Times New Roman"/>
          <w:szCs w:val="22"/>
          <w:lang w:val="en-US"/>
        </w:rPr>
        <w:t xml:space="preserve">, </w:t>
      </w:r>
      <w:r>
        <w:rPr>
          <w:rFonts w:cs="Times New Roman"/>
          <w:szCs w:val="22"/>
          <w:lang w:val="en-US"/>
        </w:rPr>
        <w:t>we demonstrated</w:t>
      </w:r>
      <w:r w:rsidRPr="008419AB">
        <w:rPr>
          <w:rFonts w:cs="Times New Roman"/>
          <w:szCs w:val="22"/>
          <w:lang w:val="en-US"/>
        </w:rPr>
        <w:t xml:space="preserve"> that overall gait impr</w:t>
      </w:r>
      <w:r>
        <w:rPr>
          <w:rFonts w:cs="Times New Roman"/>
          <w:szCs w:val="22"/>
          <w:lang w:val="en-US"/>
        </w:rPr>
        <w:t>oved significantly postoperatively</w:t>
      </w:r>
      <w:r w:rsidRPr="008419AB">
        <w:rPr>
          <w:rFonts w:cs="Times New Roman"/>
          <w:szCs w:val="22"/>
          <w:lang w:val="en-US"/>
        </w:rPr>
        <w:t xml:space="preserve"> and remained stable over</w:t>
      </w:r>
      <w:r>
        <w:rPr>
          <w:rFonts w:cs="Times New Roman"/>
          <w:szCs w:val="22"/>
          <w:lang w:val="en-US"/>
        </w:rPr>
        <w:t xml:space="preserve"> the long term. Improvements were</w:t>
      </w:r>
      <w:r w:rsidRPr="008419AB">
        <w:rPr>
          <w:rFonts w:cs="Times New Roman"/>
          <w:szCs w:val="22"/>
          <w:lang w:val="en-US"/>
        </w:rPr>
        <w:t xml:space="preserve"> two to three times the minimal clinically important difference</w:t>
      </w:r>
      <w:r>
        <w:rPr>
          <w:rFonts w:cs="Times New Roman"/>
          <w:szCs w:val="22"/>
          <w:lang w:val="en-US"/>
        </w:rPr>
        <w:t xml:space="preserve"> (MCID)</w:t>
      </w:r>
      <w:r w:rsidRPr="008419AB">
        <w:rPr>
          <w:rFonts w:cs="Times New Roman"/>
          <w:szCs w:val="22"/>
          <w:lang w:val="en-US"/>
        </w:rPr>
        <w:t xml:space="preserve">, which is 1.6° for the GPS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"Gait indices are now commonly used to assess overall pathology and outcomes from studies with instrumented gait analyses. There are differences in how these indices are calculated and therefore inherent differences in their sensitivities to detect changes or differences between groups. The purpose of the current study was to examine the three most commonly used gait indices, Gillette Gait Index (GGI), Gait Deviation Index (GDI), and Gait Profile Score (GPS), comparing the statistical sensitivity and the ability to make meaningful interpretations of the clinical results. In addition, the GDI*, a log transformed and scaled version of the GPS score which closely matches the GDI was examined. For seven previous or ongoing studies representing varying gait pathologies seen in clinical laboratories, the GGI, GDI, and GPS/GDI* were calculated retrospectively. The GDI and GPS/GDI* proved to be the most sensitive measures in assessing differences pre/post-treatment or from a control population. A power analysis revealed the GDI and GDI* to be the most sensitive statistical measures (lowest sample sizes required). Subjectively, the GDI and GDI* interpretation seemed to be the most intuitive measure for assessing clinical changes. However, the gait variable sub-scores of the GPS determined several statistical differences which were not previously noted and was the only index tool for quantifying the relative contributions of specific joints or planes of motion. The GGI did not offer any advantages over the other two indices.", "author" : [ { "dropping-particle" : "", "family" : "McMulkin", "given" : "Mark L.", "non-dropping-particle" : "", "parse-names" : false, "suffix" : "" }, { "dropping-particle" : "", "family" : "MacWilliams", "given" : "Bruce A.", "non-dropping-particle" : "", "parse-names" : false, "suffix" : "" } ], "container-title" : "Gait and Posture", "id" : "ITEM-1", "issue" : "2", "issued" : { "date-parts" : [ [ "2014" ] ] }, "page" : "608-612", "publisher" : "Elsevier B.V.", "title" : "Application of the Gillette Gait Index, Gait Deviation Index and Gait Profile Score to multiple clinical pediatric populations", "type" : "article-journal", "volume" : "41" }, "uris" : [ "http://www.mendeley.com/documents/?uuid=cfe0b55c-a8f9-443c-b5a2-2854768d8649" ] } ], "mendeley" : { "formattedCitation" : "[37]", "plainTextFormattedCitation" : "[37]", "previouslyFormattedCitation" : "[37]"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[37]</w:t>
      </w:r>
      <w:r w:rsidRPr="008419AB">
        <w:rPr>
          <w:rFonts w:cs="Times New Roman"/>
          <w:szCs w:val="22"/>
          <w:lang w:val="en-US"/>
        </w:rPr>
        <w:fldChar w:fldCharType="end"/>
      </w:r>
      <w:r w:rsidRPr="008419AB">
        <w:rPr>
          <w:rFonts w:cs="Times New Roman"/>
          <w:szCs w:val="22"/>
          <w:lang w:val="en-US"/>
        </w:rPr>
        <w:t>. The</w:t>
      </w:r>
      <w:r>
        <w:rPr>
          <w:rFonts w:cs="Times New Roman"/>
          <w:szCs w:val="22"/>
          <w:lang w:val="en-US"/>
        </w:rPr>
        <w:t>se results confirmed the</w:t>
      </w:r>
      <w:r w:rsidRPr="008419AB">
        <w:rPr>
          <w:rFonts w:cs="Times New Roman"/>
          <w:szCs w:val="22"/>
          <w:lang w:val="en-US"/>
        </w:rPr>
        <w:t xml:space="preserve"> study of Firth et al.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"Background: In children with spastic diplegia, surgery for ankle equinus contracture is associated with a high prevalence of both overcorrection, which may result in a calcaneal deformity and crouch gait, and recurrent equinus contracture, which may require revision surgery. We sought to determine if conservative surgery for equinus gait, in the context of multilevel surgery, could result in the avoidance of overcorrection and crouch gait as well as an acceptable rate of recurrent equinus contracture at the time of medium-term follow-up. Methods: This was a retrospective, consecutive cohort study of children with spastic diplegia who had had surgery for equinus gait between 1996 and 2006. All children had distal gastrocnemius recession or differential gastrocnemius- soleus complex lengthening, on one or both sides, as part of single-event multilevel surgery. The primary outcome measures were the Gait Variable Scores (GVS) and Gait Profile Score (GPS) at two time points after surgery. Results: Forty children with spastic diplegia, Gross Motor Function Classification System (GMFCS) level II or III, were included in this study. There were twenty-five boys and fifteen girls. The mean age was ten years at the time of surgery and seventeen years at the time of final follow-up. The mean postoperative follow-up period was 7.5 years. The mean ankle GVS improved from 18.5? before surgery to 8.7? at the time of short-term follow-up (p &lt; 0.005) and 7.8? at the time of medium-term follow-up. The equinus gait was successfully corrected in the majority of children, with a low rate of overcorrection (2.5%) and a high rate of recurrent equinus (35%), as determined by sagittal ankle kinematics. Mild recurrent equinus was usually well tolerated and conferred some advantages, including contributing to strong coupling at the knee and independence from using an ankle-foot orthosis. Conclusions: Surgical treatment for equinus gait in children with spastic diplegia was successful, at a mean of seven years, in the majority of cases when combined with multilevel surgery, orthoses, and rehabilitation. No patient developed crouch gait, and the rate of revision surgery for recurrent equinus was 12.5%. Level of Evidence: Therapeutic Level IV. See Instructions for Authors for a complete description of levels of evidence. W", "author" : [ { "dropping-particle" : "", "family" : "Firth", "given" : "Gregory B", "non-dropping-particle" : "", "parse-names" : false, "suffix" : "" }, { "dropping-particle" : "", "family" : "Passmore", "given" : "Elyse", "non-dropping-particle" : "", "parse-names" : false, "suffix" : "" }, { "dropping-particle" : "", "family" : "Sangeux", "given" : "Morgan", "non-dropping-particle" : "", "parse-names" : false, "suffix" : "" }, { "dropping-particle" : "", "family" : "Thomason", "given" : "Pam", "non-dropping-particle" : "", "parse-names" : false, "suffix" : "" }, { "dropping-particle" : "", "family" : "Rodda", "given" : "Jill", "non-dropping-particle" : "", "parse-names" : false, "suffix" : "" }, { "dropping-particle" : "", "family" : "Pt", "given" : "Bappsc", "non-dropping-particle" : "", "parse-names" : false, "suffix" : "" }, { "dropping-particle" : "", "family" : "Donath", "given" : "Susan", "non-dropping-particle" : "", "parse-names" : false, "suffix" : "" }, { "dropping-particle" : "", "family" : "Selber", "given" : "Paulo", "non-dropping-particle" : "", "parse-names" : false, "suffix" : "" }, { "dropping-particle" : "", "family" : "Graham", "given" : "H Kerr", "non-dropping-particle" : "", "parse-names" : false, "suffix" : "" } ], "container-title" : "Journal of Bone &amp; Joint Surgery, America", "id" : "ITEM-1", "issued" : { "date-parts" : [ [ "2013" ] ] }, "page" : "931-938", "title" : "Multilevel Surgery for Equinus Gait in Children", "type" : "article-journal", "volume" : "95" }, "uris" : [ "http://www.mendeley.com/documents/?uuid=16d48da4-c2ec-4d8c-bc1c-9f3a1369800f" ] } ], "mendeley" : { "formattedCitation" : "[33]", "plainTextFormattedCitation" : "[33]", "previouslyFormattedCitation" : "[33]"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[33]</w:t>
      </w:r>
      <w:r w:rsidRPr="008419AB">
        <w:rPr>
          <w:rFonts w:cs="Times New Roman"/>
          <w:szCs w:val="22"/>
          <w:lang w:val="en-US"/>
        </w:rPr>
        <w:fldChar w:fldCharType="end"/>
      </w:r>
      <w:r w:rsidRPr="008419AB">
        <w:rPr>
          <w:rFonts w:cs="Times New Roman"/>
          <w:color w:val="FF0000"/>
          <w:szCs w:val="22"/>
          <w:lang w:val="en-US"/>
        </w:rPr>
        <w:t xml:space="preserve"> </w:t>
      </w:r>
      <w:r>
        <w:rPr>
          <w:rFonts w:cs="Times New Roman"/>
          <w:szCs w:val="22"/>
          <w:lang w:val="en-US"/>
        </w:rPr>
        <w:t xml:space="preserve">who, </w:t>
      </w:r>
      <w:r w:rsidRPr="008419AB">
        <w:rPr>
          <w:rFonts w:cs="Times New Roman"/>
          <w:szCs w:val="22"/>
          <w:lang w:val="en-US"/>
        </w:rPr>
        <w:t>with a mean follow-up of 7,5 year</w:t>
      </w:r>
      <w:r>
        <w:rPr>
          <w:rFonts w:cs="Times New Roman"/>
          <w:szCs w:val="22"/>
          <w:lang w:val="en-US"/>
        </w:rPr>
        <w:t>s</w:t>
      </w:r>
      <w:r w:rsidRPr="008419AB">
        <w:rPr>
          <w:rFonts w:cs="Times New Roman"/>
          <w:szCs w:val="22"/>
          <w:lang w:val="en-US"/>
        </w:rPr>
        <w:t xml:space="preserve">, also found a significant improvement in GPS that was still present at the end of the follow-up period. Comparable results were seen in two studies of </w:t>
      </w:r>
      <w:proofErr w:type="spellStart"/>
      <w:r w:rsidRPr="008419AB">
        <w:rPr>
          <w:rFonts w:eastAsia="Calibri" w:cs="Times New Roman"/>
          <w:szCs w:val="20"/>
          <w:lang w:val="en-US" w:eastAsia="en-US"/>
        </w:rPr>
        <w:t>Švehlík</w:t>
      </w:r>
      <w:proofErr w:type="spellEnd"/>
      <w:r w:rsidRPr="008419AB">
        <w:rPr>
          <w:rFonts w:cs="Times New Roman"/>
          <w:szCs w:val="22"/>
          <w:lang w:val="en-US"/>
        </w:rPr>
        <w:t xml:space="preserve"> et al.</w:t>
      </w:r>
      <w:r>
        <w:rPr>
          <w:rFonts w:cs="Times New Roman"/>
          <w:lang w:val="en-US"/>
        </w:rPr>
        <w:t xml:space="preserve"> </w:t>
      </w:r>
      <w:r>
        <w:rPr>
          <w:rFonts w:cs="Times New Roman"/>
          <w:lang w:val="en-US"/>
        </w:rPr>
        <w:fldChar w:fldCharType="begin" w:fldLock="1"/>
      </w:r>
      <w:r>
        <w:rPr>
          <w:rFonts w:cs="Times New Roman"/>
          <w:lang w:val="en-US"/>
        </w:rPr>
        <w:instrText>ADDIN CSL_CITATION { "citationItems" : [ { "id" : "ITEM-1",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"ITEM-1",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"id" : "ITEM-2", "itemData" : { "abstract" : "AIMS: Single event multilevel surgery (SEMLS) has been shown to improve gait in children with cerebral palsy (CP). However, there is limited evidence regarding long-term outcomes and factors influencing them. METHODS: In total 39 children (17 females and 22 males; mean age at SEMLS ten years four months, standard deviation 37 months) with bilateral CP (20 Gross Motor Function Classification System (GMFCS) level II and 19 GMFCS level III) treated with SEMLS were included. Children were evaluated using gait analysis and the Gait Deviation Index (GDI) before SEMLS and one, two to three, five and at least ten years after SEMLS. A linear mixed model was used to estimate the effect of age at the surgery, GMFCS and follow-up period on GDI. RESULTS: There was a mean improvement of 12.1 (-15.3 to 45.1) GDI points one year after SEMLS (p &lt; 0.001) and 10.3 (-23.1 to 44.2) GDI points ten years after SEMLS compared with before SEMLS (p &lt; 0.001). GMFCS level III children aged ten to 12 years had the most improvement. The GMFCS III group had more surgical procedures at the index SEMLS (p &lt; 0.001) and during the follow-up period (p = 0.039). After correcting for other factors, age at surgery was the only factor predictive of long-term results. Our model was able to explain 45% of the variance of the change in GDI at the different time points. TAKE HOME MESSAGE: Children with GMFCS III level aged ten to 12 are the benchmark responders to SEMLS in the long-term. Cite this article: Bone Joint J 2016;98-B:278-81.", "author" : [ { "dropping-particle" : "", "family" : "\u0160vehl\u00edk", "given" : "M", "non-dropping-particle" : "", "parse-names" : false, "suffix" : "" }, { "dropping-particle" : "", "family" : "Steinwender", "given" : "G", "non-dropping-particle" : "", "parse-names" : false, "suffix" : "" }, { "dropping-particle" : "", "family" : "Lehmann", "given" : "T", "non-dropping-particle" : "", "parse-names" : false, "suffix" : "" }, { "dropping-particle" : "", "family" : "Kraus", "given" : "T", "non-dropping-particle" : "", "parse-names" : false, "suffix" : "" } ], "container-title" : "The bone &amp; joint journal", "id" : "ITEM-2", "issue" : "2", "issued" : { "date-parts" : [ [ "2016" ] ] }, "page" : "278-81", "title" : "Predictors of outcome after single-event multilevel surgery in children with cerebral palsy: a retrospective ten-year follow-up study.", "type" : "article-journal", "volume" : "98-B" }, "uris" : [ "http://www.mendeley.com/documents/?uuid=c9cb44cc-40a4-476e-9e19-971fb4a577a4" ] } ], "mendeley" : { "formattedCitation" : "[12,35]", "plainTextFormattedCitation" : "[12,35]", "previouslyFormattedCitation" : "[12,35]" }, "properties" : { "noteIndex" : 0 }, "schema" : "https://github.com/citation-style-language/schema/raw/master/csl-citation.json" }</w:instrText>
      </w:r>
      <w:r>
        <w:rPr>
          <w:rFonts w:cs="Times New Roman"/>
          <w:lang w:val="en-US"/>
        </w:rPr>
        <w:fldChar w:fldCharType="separate"/>
      </w:r>
      <w:r w:rsidRPr="00A66093">
        <w:rPr>
          <w:rFonts w:cs="Times New Roman"/>
          <w:noProof/>
          <w:lang w:val="en-US"/>
        </w:rPr>
        <w:t>[12,35]</w:t>
      </w:r>
      <w:r>
        <w:rPr>
          <w:rFonts w:cs="Times New Roman"/>
          <w:lang w:val="en-US"/>
        </w:rPr>
        <w:fldChar w:fldCharType="end"/>
      </w:r>
      <w:r w:rsidRPr="008419AB">
        <w:rPr>
          <w:rFonts w:cs="Times New Roman"/>
          <w:szCs w:val="22"/>
          <w:lang w:val="en-US"/>
        </w:rPr>
        <w:t xml:space="preserve"> </w:t>
      </w:r>
      <w:r>
        <w:rPr>
          <w:rFonts w:cs="Times New Roman"/>
          <w:szCs w:val="22"/>
          <w:lang w:val="en-US"/>
        </w:rPr>
        <w:t xml:space="preserve">and of Sung et al.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"Distal hamstring lengthening (DHL) is a commonly performed procedure in flexed knee gait. However, the necessity of this procedure has been challenged due to the concerns on adverse effects in long-term follow-up. This retrospective study was undertaken to investigate the long-term outcome of single event multilevel surgery (SEMLS), including bilateral DHL, in ambulatory patients with cerebral palsy using 3D gait analysis. Twenty-nine ambulatory patients with spastic diplegic cerebral palsy who had undergone SEMLS including bilateral DHL were included. 3D gait analysis was performed preoperatively, 1 year postoperatively and over 10 years postoperatively. Preoperative temporal parameters, kinematics and GDI were compared with values obtained 1 and 10 year follow-up visits. The mean age of patients at time of first surgery was 8.3 years (range, 5.4-16.3 years), and mean time from first surgery to last 3D gait analysis was 11.8 years (range, 10.0-13.3 years). Mean pelvic tilt was not changed significantly after SEMLS including DHL. Mean knee flexion at initial contact decreased from 31.1?? preoperatively to 26.0?? at 1 year postoperatively (. p=. 0.065), and then decreased significantly to 23.6?? at 10 years postoperatively (. p=. 0.038) versus the preoperative value. Mean GDI score significantly improved from 69.4 preoperatively to 77.9 at 1 year postoperatively (. p=. 0.003) and continuously improved to 82.2 at 10 years postoperatively (. p=. 0.017). Single event multilevel surgery including DHL provides a favorable outcome 10 years postoperatively in patients with spastic diplegic cerebral palsy. ?? 2012 Elsevier B.V.", "author" : [ { "dropping-particle" : "", "family" : "Sung", "given" : "Ki Hyuk", "non-dropping-particle" : "", "parse-names" : false, "suffix" : "" }, { "dropping-particle" : "", "family" : "Chung", "given" : "Chin Youb", "non-dropping-particle" : "", "parse-names" : false, "suffix" : "" }, { "dropping-particle" : "", "family" : "Lee", "given" : "Kyoung Min", "non-dropping-particle" : "", "parse-names" : false, "suffix" : "" }, { "dropping-particle" : "", "family" : "Akhmedov", "given" : "Bekhzad", "non-dropping-particle" : "", "parse-names" : false, "suffix" : "" }, { "dropping-particle" : "", "family" : "Lee", "given" : "Seung Yeol", "non-dropping-particle" : "", "parse-names" : false, "suffix" : "" }, { "dropping-particle" : "", "family" : "Choi", "given" : "In Ho", "non-dropping-particle" : "", "parse-names" : false, "suffix" : "" }, { "dropping-particle" : "", "family" : "Cho", "given" : "Tae Joon", "non-dropping-particle" : "", "parse-names" : false, "suffix" : "" }, { "dropping-particle" : "", "family" : "Yoo", "given" : "Won Joon", "non-dropping-particle" : "", "parse-names" : false, "suffix" : "" }, { "dropping-particle" : "", "family" : "Park", "given" : "Moon Seok", "non-dropping-particle" : "", "parse-names" : false, "suffix" : "" } ], "container-title" : "Gait and Posture", "id" : "ITEM-1", "issue" : "4", "issued" : { "date-parts" : [ [ "2013" ] ] }, "page" : "536-541", "publisher" : "Elsevier B.V.", "title" : "Long term outcome of single event multilevel surgery in spastic diplegia with flexed knee gait", "type" : "article-journal", "volume" : "37" }, "uris" : [ "http://www.mendeley.com/documents/?uuid=5afb32b5-731b-4783-99a9-c2faa8d6e50f" ] } ], "mendeley" : { "formattedCitation" : "[34]", "plainTextFormattedCitation" : "[34]", "previouslyFormattedCitation" : "[34]"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[34]</w:t>
      </w:r>
      <w:r w:rsidRPr="008419AB">
        <w:rPr>
          <w:rFonts w:cs="Times New Roman"/>
          <w:szCs w:val="22"/>
          <w:lang w:val="en-US"/>
        </w:rPr>
        <w:fldChar w:fldCharType="end"/>
      </w:r>
      <w:r>
        <w:rPr>
          <w:rFonts w:cs="Times New Roman"/>
          <w:szCs w:val="22"/>
          <w:lang w:val="en-US"/>
        </w:rPr>
        <w:t xml:space="preserve"> </w:t>
      </w:r>
      <w:r w:rsidRPr="008419AB">
        <w:rPr>
          <w:rFonts w:cs="Times New Roman"/>
          <w:szCs w:val="22"/>
          <w:lang w:val="en-US"/>
        </w:rPr>
        <w:t xml:space="preserve">who </w:t>
      </w:r>
      <w:r>
        <w:rPr>
          <w:rFonts w:cs="Times New Roman"/>
          <w:szCs w:val="22"/>
          <w:lang w:val="en-US"/>
        </w:rPr>
        <w:t>followed subjects up to 10</w:t>
      </w:r>
      <w:r w:rsidRPr="008419AB">
        <w:rPr>
          <w:rFonts w:cs="Times New Roman"/>
          <w:szCs w:val="22"/>
          <w:lang w:val="en-US"/>
        </w:rPr>
        <w:t xml:space="preserve"> year</w:t>
      </w:r>
      <w:r>
        <w:rPr>
          <w:rFonts w:cs="Times New Roman"/>
          <w:szCs w:val="22"/>
          <w:lang w:val="en-US"/>
        </w:rPr>
        <w:t>s post-operatively</w:t>
      </w:r>
      <w:r w:rsidRPr="008419AB">
        <w:rPr>
          <w:rFonts w:cs="Times New Roman"/>
          <w:szCs w:val="22"/>
          <w:lang w:val="en-US"/>
        </w:rPr>
        <w:t xml:space="preserve">. </w:t>
      </w:r>
    </w:p>
    <w:p w14:paraId="15185E8F" w14:textId="6239DE3C" w:rsidR="0071122B" w:rsidRPr="008419AB" w:rsidRDefault="0071122B" w:rsidP="0071122B">
      <w:pPr>
        <w:tabs>
          <w:tab w:val="right" w:pos="426"/>
        </w:tabs>
        <w:spacing w:line="360" w:lineRule="auto"/>
        <w:rPr>
          <w:rFonts w:cs="Times New Roman"/>
          <w:szCs w:val="22"/>
          <w:lang w:val="en-US"/>
        </w:rPr>
      </w:pPr>
      <w:r>
        <w:rPr>
          <w:rFonts w:cs="Times New Roman"/>
          <w:szCs w:val="22"/>
          <w:lang w:val="en-US"/>
        </w:rPr>
        <w:t xml:space="preserve">Besides overall gait improvement, the evolution of clinical relevant kinematic parameters was recorded based on the opinion of clinical experts. Selected parameters were mean hip extension during stance and mean pelvic tilt during gait cycle, because high anterior pelvic tilt at adult age may lead to subjective low back pain. Mean hip rotation is clinically important to verify whether correction of rotational deformities is maintained over the long term and minimal knee angle in stance is an important predictor of anterior knee problems. </w:t>
      </w:r>
      <w:r w:rsidRPr="008419AB">
        <w:rPr>
          <w:rFonts w:cs="Times New Roman"/>
          <w:szCs w:val="22"/>
          <w:lang w:val="en-US"/>
        </w:rPr>
        <w:t>For these secondary outcome measures, this study showed no significant change in mean pelvic tilt</w:t>
      </w:r>
      <w:r>
        <w:rPr>
          <w:rFonts w:cs="Times New Roman"/>
          <w:szCs w:val="22"/>
          <w:lang w:val="en-US"/>
        </w:rPr>
        <w:t>, but</w:t>
      </w:r>
      <w:r w:rsidRPr="008419AB">
        <w:rPr>
          <w:rFonts w:cs="Times New Roman"/>
          <w:szCs w:val="22"/>
          <w:lang w:val="en-US"/>
        </w:rPr>
        <w:t xml:space="preserve"> a tendency to a slight increase of anterior tilt</w:t>
      </w:r>
      <w:r>
        <w:rPr>
          <w:rFonts w:cs="Times New Roman"/>
          <w:szCs w:val="22"/>
          <w:lang w:val="en-US"/>
        </w:rPr>
        <w:t>.</w:t>
      </w:r>
      <w:r>
        <w:rPr>
          <w:rFonts w:cs="Times New Roman"/>
          <w:szCs w:val="22"/>
          <w:lang w:val="en-US"/>
        </w:rPr>
        <w:t xml:space="preserve"> </w:t>
      </w:r>
      <w:r>
        <w:rPr>
          <w:rFonts w:cs="Times New Roman"/>
          <w:szCs w:val="22"/>
          <w:lang w:val="en-US"/>
        </w:rPr>
        <w:t>A</w:t>
      </w:r>
      <w:r w:rsidRPr="008419AB">
        <w:rPr>
          <w:rFonts w:cs="Times New Roman"/>
          <w:szCs w:val="22"/>
          <w:lang w:val="en-US"/>
        </w:rPr>
        <w:t xml:space="preserve"> significant improvement in mean hip extension at two</w:t>
      </w:r>
      <w:r>
        <w:rPr>
          <w:rFonts w:cs="Times New Roman"/>
          <w:szCs w:val="22"/>
          <w:lang w:val="en-US"/>
        </w:rPr>
        <w:t>-</w:t>
      </w:r>
      <w:r w:rsidRPr="008419AB">
        <w:rPr>
          <w:rFonts w:cs="Times New Roman"/>
          <w:szCs w:val="22"/>
          <w:lang w:val="en-US"/>
        </w:rPr>
        <w:t>year follow-up</w:t>
      </w:r>
      <w:r>
        <w:rPr>
          <w:rFonts w:cs="Times New Roman"/>
          <w:szCs w:val="22"/>
          <w:lang w:val="en-US"/>
        </w:rPr>
        <w:t xml:space="preserve"> was found</w:t>
      </w:r>
      <w:r w:rsidRPr="008419AB">
        <w:rPr>
          <w:rFonts w:cs="Times New Roman"/>
          <w:szCs w:val="22"/>
          <w:lang w:val="en-US"/>
        </w:rPr>
        <w:t xml:space="preserve"> which was not significant anymore on the long term</w:t>
      </w:r>
      <w:r>
        <w:rPr>
          <w:rFonts w:cs="Times New Roman"/>
          <w:szCs w:val="22"/>
          <w:lang w:val="en-US"/>
        </w:rPr>
        <w:t xml:space="preserve">. Furthermore </w:t>
      </w:r>
      <w:r w:rsidRPr="008419AB">
        <w:rPr>
          <w:rFonts w:cs="Times New Roman"/>
          <w:szCs w:val="22"/>
          <w:lang w:val="en-US"/>
        </w:rPr>
        <w:t xml:space="preserve">a significant improvement </w:t>
      </w:r>
      <w:r>
        <w:rPr>
          <w:rFonts w:cs="Times New Roman"/>
          <w:szCs w:val="22"/>
          <w:lang w:val="en-US"/>
        </w:rPr>
        <w:t xml:space="preserve">was found </w:t>
      </w:r>
      <w:r w:rsidRPr="008419AB">
        <w:rPr>
          <w:rFonts w:cs="Times New Roman"/>
          <w:szCs w:val="22"/>
          <w:lang w:val="en-US"/>
        </w:rPr>
        <w:t xml:space="preserve">that remained constant over the long term for the mean hip rotation in stance towards external rotation and the maximal knee extension in stance. </w:t>
      </w:r>
      <w:r>
        <w:rPr>
          <w:rFonts w:cs="Times New Roman"/>
          <w:szCs w:val="22"/>
          <w:lang w:val="en-US"/>
        </w:rPr>
        <w:t>Similar</w:t>
      </w:r>
      <w:r w:rsidRPr="008419AB">
        <w:rPr>
          <w:rFonts w:cs="Times New Roman"/>
          <w:szCs w:val="22"/>
          <w:lang w:val="en-US"/>
        </w:rPr>
        <w:t xml:space="preserve"> </w:t>
      </w:r>
      <w:r>
        <w:rPr>
          <w:rFonts w:cs="Times New Roman"/>
          <w:szCs w:val="22"/>
          <w:lang w:val="en-US"/>
        </w:rPr>
        <w:t>findings were reported in</w:t>
      </w:r>
      <w:r w:rsidRPr="008419AB">
        <w:rPr>
          <w:rFonts w:cs="Times New Roman"/>
          <w:szCs w:val="22"/>
          <w:lang w:val="en-US"/>
        </w:rPr>
        <w:t xml:space="preserve"> literature similar results. </w:t>
      </w:r>
      <w:r w:rsidRPr="00A12DB1">
        <w:rPr>
          <w:rFonts w:cs="Times New Roman"/>
          <w:szCs w:val="22"/>
          <w:lang w:val="en-US"/>
        </w:rPr>
        <w:t xml:space="preserve">Sung et al. </w:t>
      </w:r>
      <w:r w:rsidRPr="008419AB">
        <w:rPr>
          <w:rFonts w:cs="Times New Roman"/>
          <w:szCs w:val="22"/>
          <w:lang w:val="en-US"/>
        </w:rPr>
        <w:fldChar w:fldCharType="begin" w:fldLock="1"/>
      </w:r>
      <w:r w:rsidRPr="00A12DB1">
        <w:rPr>
          <w:rFonts w:cs="Times New Roman"/>
          <w:szCs w:val="22"/>
          <w:lang w:val="en-US"/>
        </w:rPr>
        <w:instrText xml:space="preserve">ADDIN CSL_CITATION { "citationItems" : [ </w:instrText>
      </w:r>
      <w:r w:rsidRPr="00557F59">
        <w:rPr>
          <w:rFonts w:cs="Times New Roman"/>
          <w:szCs w:val="22"/>
          <w:lang w:val="en-US"/>
        </w:rPr>
        <w:instrText>{ "id" : "ITEM-1", "itemData" : { "abstract" : "Distal hamstring lengthening (DHL) is a commonly performed procedure in flexed knee gait. However, the necessity of this procedure has been challenged due to the concerns on adverse effects in long-term follow-up. This retrospective study was undertaken to investigate the long-term outcome of single event multilevel surgery (SEMLS), including bilateral DHL, in ambulatory patients with cerebral palsy using 3D gait analysis. Twenty-nine ambulatory patients with spastic diplegic cerebral palsy who had undergone SEMLS including bilateral DHL were included. 3D gait analysis was performed preoperatively, 1 year postoperatively and over 10 years postoperatively. Preoperative temporal parameters, kinematics and GDI were compared with values obtained 1 and 10 year follow-up visits. The mean age of patients at time of first surgery was 8.3 years (range, 5.4-16.3 years), and mean time from first surgery to last 3D gait analysis was 11.8 years (range, 10.0-13.3 years). Mean pelvic tilt was not changed significantly after SEMLS including DHL. Mean knee flexion at initial contact decreased from 31.1?? preoperatively to 26.0?? at 1 year postoperatively (. p=. 0.065), and then decreased significantly to 23.6?? at 10 years postoperatively (. p=. 0.038) versus the preoperative value. Mean GDI score significantly improved from 69.4 preoperatively to 77.9 at 1 year postoperatively (. p=. 0.003) and continuously improved to 82.2 at 10 years postoperatively (. p=. 0.017). Single event multilevel surgery including DHL provides a favorable outcome 10 years postoperatively in patients with spastic diplegic cerebral palsy. ?? 2012 Elsevier B.V.", "author" : [ { "dropping-particle" : "", "family" : "Sung", "given" : "Ki Hyuk", "non-dropping-particle" : "", "parse-names" : false, "suffix" : "" }, { "dropping-particle" : "", "family" : "Chung", "given" : "Chin Youb", "no</w:instrText>
      </w:r>
      <w:r w:rsidRPr="008419AB">
        <w:rPr>
          <w:rFonts w:cs="Times New Roman"/>
          <w:szCs w:val="22"/>
        </w:rPr>
        <w:instrText>n-dropping-particle" : "", "parse-names" : false, "suffix" : "" }, { "dropping-particle" : "", "family" : "Lee", "given" : "Kyoung Min", "non-dropping-particle" : "", "parse-names" : false, "suffix" : "" }, { "dropping-p</w:instrText>
      </w:r>
      <w:r w:rsidRPr="00435034">
        <w:rPr>
          <w:rFonts w:cs="Times New Roman"/>
          <w:szCs w:val="22"/>
          <w:lang w:val="en-US"/>
        </w:rPr>
        <w:instrText>article" : "", "family" : "Akhmedov", "given" : "Bekhzad", "non-dropping-particle" : "", "parse-names" : false, "suffix" : "" }, { "dropping-particle" : "", "family" : "Lee", "given" : "Seung Yeol", "non-dropping-particle" : "", "parse-names" : false, "suffix" : "" }, { "dropping-particle" : "", "family" : "Choi", "given" : "In Ho", "non-dropping-particle" : "", "parse-names" : false, "suffix" : "" }, { "dropping-particle" : "", "family" : "Cho", "given" : "Tae Joon", "non-dropping-particle" : "", "parse-names" : false, "suffix" : "" }, { "dropping-particle" : "", "family" : "Yoo", "given" : "Won Joon", "non-dropping-particle" : "", "parse-names" : false, "suffix" : "" }, { "dropping-particle" : "", "family" : "Park", "given" : "Moon Seok", "non-dropping-particle" : "", "parse-names" : false, "suffix" : "" } ], "container-title" : "Gait and Posture", "id" : "ITEM-1", "issue" : "4", "issued" : { "date-parts" : [ [ "2013" ] ] }, "page" : "536-541", "publisher" : "Elsevier B.V.", "title" : "Long term outcome of single event multilevel surgery in spastic diplegia with flexed knee gait", "type" : "article-journal", "volume" : "37" }, "uris" : [ "http://www.mendeley.com/documents/?uuid=5afb32b5-731b-4783-99a9-c2faa8d6e50f" ] } ], "mendeley" : { "formattedCitation" : "[34]", "plainTextFormattedCitation" : "[34]", "previouslyFormattedCitation" : "[34]" }, "properties" : { "noteIndex" : 0 }, "schema" : "https://github.com/citation-style-language/schema/raw/master/csl-citation.json" }</w:instrText>
      </w:r>
      <w:r w:rsidRPr="008419AB">
        <w:rPr>
          <w:rFonts w:cs="Times New Roman"/>
          <w:szCs w:val="22"/>
          <w:lang w:val="en-US"/>
        </w:rPr>
        <w:fldChar w:fldCharType="separate"/>
      </w:r>
      <w:r w:rsidRPr="00435034">
        <w:rPr>
          <w:rFonts w:cs="Times New Roman"/>
          <w:noProof/>
          <w:szCs w:val="22"/>
          <w:lang w:val="en-US"/>
        </w:rPr>
        <w:t>[34]</w:t>
      </w:r>
      <w:r w:rsidRPr="008419AB">
        <w:rPr>
          <w:rFonts w:cs="Times New Roman"/>
          <w:szCs w:val="22"/>
          <w:lang w:val="en-US"/>
        </w:rPr>
        <w:fldChar w:fldCharType="end"/>
      </w:r>
      <w:r w:rsidRPr="00435034">
        <w:rPr>
          <w:rFonts w:cs="Times New Roman"/>
          <w:color w:val="FF0000"/>
          <w:szCs w:val="22"/>
          <w:lang w:val="en-US"/>
        </w:rPr>
        <w:t xml:space="preserve"> </w:t>
      </w:r>
      <w:r w:rsidRPr="00435034">
        <w:rPr>
          <w:rFonts w:cs="Times New Roman"/>
          <w:szCs w:val="22"/>
          <w:lang w:val="en-US"/>
        </w:rPr>
        <w:t xml:space="preserve">also showed no significant change in pelvic tilt and an improvement in mean hip rotation towards external rotation after 10 years. </w:t>
      </w:r>
      <w:r w:rsidRPr="008419AB">
        <w:rPr>
          <w:rFonts w:cs="Times New Roman"/>
          <w:szCs w:val="22"/>
          <w:lang w:val="en-US"/>
        </w:rPr>
        <w:t>The tendency to an increasing anterior pelvic tilt in the results of our study could be a consequence of hamstring lengthening</w:t>
      </w:r>
      <w:r>
        <w:rPr>
          <w:rFonts w:cs="Times New Roman"/>
          <w:szCs w:val="22"/>
          <w:lang w:val="en-US"/>
        </w:rPr>
        <w:t>, which was carried out in 25 subjects</w:t>
      </w:r>
      <w:r w:rsidRPr="008419AB">
        <w:rPr>
          <w:rFonts w:cs="Times New Roman"/>
          <w:szCs w:val="22"/>
          <w:lang w:val="en-US"/>
        </w:rPr>
        <w:t xml:space="preserve">. </w:t>
      </w:r>
      <w:r>
        <w:rPr>
          <w:rFonts w:cs="Times New Roman"/>
          <w:szCs w:val="22"/>
          <w:lang w:val="en-US"/>
        </w:rPr>
        <w:t>Similar findings were reported by</w:t>
      </w:r>
      <w:r w:rsidRPr="008419AB">
        <w:rPr>
          <w:rFonts w:cs="Times New Roman"/>
          <w:szCs w:val="22"/>
          <w:lang w:val="en-US"/>
        </w:rPr>
        <w:t xml:space="preserve"> </w:t>
      </w:r>
      <w:proofErr w:type="spellStart"/>
      <w:r w:rsidRPr="008419AB">
        <w:rPr>
          <w:rFonts w:cs="Times New Roman"/>
          <w:szCs w:val="22"/>
          <w:lang w:val="en-US"/>
        </w:rPr>
        <w:t>Rodda</w:t>
      </w:r>
      <w:proofErr w:type="spellEnd"/>
      <w:r w:rsidRPr="008419AB">
        <w:rPr>
          <w:rFonts w:cs="Times New Roman"/>
          <w:szCs w:val="22"/>
          <w:lang w:val="en-US"/>
        </w:rPr>
        <w:t xml:space="preserve"> et al.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"BACKGROUND: Severe crouch gait in patients with spastic diplegia causes excessive loading of the patellofemoral joint and may result in anterior knee pain, gait deterioration, and progressive loss of function. Multilevel orthopaedic surgery has been used to correct severe crouch gait, but no cohort studies or long-term results have been reported, to our knowledge. METHODS: In order to be eligible for the present retrospective cohort study, a patient had to have a severe crouch gait, as defined by sagittal plane kinematic data, that had been treated with multilevel orthopaedic surgery as well as a complete clinical, radiographic, and instrumented gait analysis assessment. The surgical intervention consisted of lengthening of contracted muscle-tendon units and correction of osseous deformities, followed by the use of ground-reaction ankle-foot orthoses until stable biomechanical realignment of the lower limbs during gait was achieved. Outcome at one and five years after surgery was determined with use of selected sagittal plane kinematic and kinetic parameters and valid and reliable scales of functional mobility. Knee pain was recorded with use of a Likert scale, and all patients had radiographic examination of the knees. RESULTS: Ten subjects with severe crouch gait and a mean age of 12.0 years at the time of surgery were studied. After surgery, the patients walked in a more extended posture, with increased extension at the hip and knee and reduced dorsiflexion at the ankle. Pelvic tilt increased, and normalized walking speed was unaltered. Knee pain was diminished, and patellar fractures and avulsion injuries healed. Improvements in functional mobility were found, and, at the time of the five-year follow-up, fewer patients required the use of wheelchairs or crutches in the community than had been the case prior to intervention. CONCLUSIONS: Multilevel orthopaedic surgery for older children and adolescents with severe crouch gait is effective for relieving stress on the knee extensor mechanism, reducing knee pain, and improving function and independence.", "author" : [ { "dropping-particle" : "", "family" : "Rodda", "given" : "J M", "non-dropping-particle" : "", "parse-names" : false, "suffix" : "" }, { "dropping-particle" : "", "family" : "Graham", "given" : "H K", "non-dropping-particle" : "", "parse-names" : false, "suffix" : "" }, { "dropping-particle" : "", "family" : "Nattrass", "given" : "G R", "non-dropping-particle" : "", "parse-names" : false, "suffix" : "" }, { "dropping-particle" : "", "family" : "Galea", "given" : "M P", "non-dropping-particle" : "", "parse-names" : false, "suffix" : "" }, { "dropping-particle" : "", "family" : "Baker", "given" : "R", "non-dropping-particle" : "", "parse-names" : false, "suffix" : "" }, { "dropping-particle" : "", "family" : "Wolfe", "given" : "R", "non-dropping-particle" : "", "parse-names" : false, "suffix" : "" } ], "container-title" : "The Journal of bone and joint surgery. American volume", "id" : "ITEM-1", "issued" : { "date-parts" : [ [ "2006" ] ] }, "page" : "2653-2664", "title" : "Correction of severe crouch gait in patients with spastic diplegia with use of multilevel orthopaedic surgery.", "type" : "article-journal", "volume" : "88" }, "uris" : [ "http://www.mendeley.com/documents/?uuid=edf8d27b-2ee4-4b45-b483-5b3bdfba7e97" ] } ], "mendeley" : { "formattedCitation" : "[25]", "plainTextFormattedCitation" : "[25]", "previouslyFormattedCitation" : "[25]"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[25]</w:t>
      </w:r>
      <w:r w:rsidRPr="008419AB">
        <w:rPr>
          <w:rFonts w:cs="Times New Roman"/>
          <w:szCs w:val="22"/>
          <w:lang w:val="en-US"/>
        </w:rPr>
        <w:fldChar w:fldCharType="end"/>
      </w:r>
      <w:r w:rsidRPr="008419AB">
        <w:rPr>
          <w:rFonts w:cs="Times New Roman"/>
          <w:szCs w:val="22"/>
          <w:lang w:val="en-US"/>
        </w:rPr>
        <w:t xml:space="preserve">, </w:t>
      </w:r>
      <w:r>
        <w:rPr>
          <w:rFonts w:cs="Times New Roman"/>
          <w:szCs w:val="22"/>
          <w:lang w:val="en-US"/>
        </w:rPr>
        <w:t>who found</w:t>
      </w:r>
      <w:r w:rsidRPr="008419AB">
        <w:rPr>
          <w:rFonts w:cs="Times New Roman"/>
          <w:szCs w:val="22"/>
          <w:lang w:val="en-US"/>
        </w:rPr>
        <w:t xml:space="preserve"> a significant </w:t>
      </w:r>
      <w:r w:rsidRPr="008419AB">
        <w:rPr>
          <w:rFonts w:cs="Times New Roman"/>
          <w:szCs w:val="22"/>
          <w:lang w:val="en-US"/>
        </w:rPr>
        <w:lastRenderedPageBreak/>
        <w:t>deterioration at five year</w:t>
      </w:r>
      <w:r>
        <w:rPr>
          <w:rFonts w:cs="Times New Roman"/>
          <w:szCs w:val="22"/>
          <w:lang w:val="en-US"/>
        </w:rPr>
        <w:t>s</w:t>
      </w:r>
      <w:r w:rsidRPr="008419AB">
        <w:rPr>
          <w:rFonts w:cs="Times New Roman"/>
          <w:szCs w:val="22"/>
          <w:lang w:val="en-US"/>
        </w:rPr>
        <w:t xml:space="preserve"> follow-up. Furthermore</w:t>
      </w:r>
      <w:r>
        <w:rPr>
          <w:rFonts w:cs="Times New Roman"/>
          <w:szCs w:val="22"/>
          <w:lang w:val="en-US"/>
        </w:rPr>
        <w:t>,</w:t>
      </w:r>
      <w:r w:rsidRPr="008419AB">
        <w:rPr>
          <w:rFonts w:cs="Times New Roman"/>
          <w:szCs w:val="22"/>
          <w:lang w:val="en-US"/>
        </w:rPr>
        <w:t xml:space="preserve"> they found a significant increase in knee extension during stance that was maintained until five year</w:t>
      </w:r>
      <w:r>
        <w:rPr>
          <w:rFonts w:cs="Times New Roman"/>
          <w:szCs w:val="22"/>
          <w:lang w:val="en-US"/>
        </w:rPr>
        <w:t>s</w:t>
      </w:r>
      <w:r w:rsidRPr="008419AB">
        <w:rPr>
          <w:rFonts w:cs="Times New Roman"/>
          <w:szCs w:val="22"/>
          <w:lang w:val="en-US"/>
        </w:rPr>
        <w:t xml:space="preserve"> follow-up. They did not find any improvement for hip extension in stance. A significant improvement in mean hip rotation was found at one year, but </w:t>
      </w:r>
      <w:r>
        <w:rPr>
          <w:rFonts w:cs="Times New Roman"/>
          <w:szCs w:val="22"/>
          <w:lang w:val="en-US"/>
        </w:rPr>
        <w:t>during FU</w:t>
      </w:r>
      <w:r w:rsidRPr="008419AB">
        <w:rPr>
          <w:rFonts w:cs="Times New Roman"/>
          <w:szCs w:val="22"/>
          <w:lang w:val="en-US"/>
        </w:rPr>
        <w:t xml:space="preserve"> there was a deterioration back to preoperative values. This is in contrast with the findings in this study. The difference could be explained by the ve</w:t>
      </w:r>
      <w:r>
        <w:rPr>
          <w:rFonts w:cs="Times New Roman"/>
          <w:szCs w:val="22"/>
          <w:lang w:val="en-US"/>
        </w:rPr>
        <w:t>ry small sample size of only 10</w:t>
      </w:r>
      <w:r w:rsidRPr="008419AB">
        <w:rPr>
          <w:rFonts w:cs="Times New Roman"/>
          <w:szCs w:val="22"/>
          <w:lang w:val="en-US"/>
        </w:rPr>
        <w:t xml:space="preserve"> subjects and no participants with a GMFCS I in the study of </w:t>
      </w:r>
      <w:proofErr w:type="spellStart"/>
      <w:r w:rsidRPr="008419AB">
        <w:rPr>
          <w:rFonts w:cs="Times New Roman"/>
          <w:szCs w:val="22"/>
          <w:lang w:val="en-US"/>
        </w:rPr>
        <w:t>Rodda</w:t>
      </w:r>
      <w:proofErr w:type="spellEnd"/>
      <w:r w:rsidRPr="008419AB">
        <w:rPr>
          <w:rFonts w:cs="Times New Roman"/>
          <w:szCs w:val="22"/>
          <w:lang w:val="en-US"/>
        </w:rPr>
        <w:t xml:space="preserve"> et al.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"BACKGROUND: Severe crouch gait in patients with spastic diplegia causes excessive loading of the patellofemoral joint and may result in anterior knee pain, gait deterioration, and progressive loss of function. Multilevel orthopaedic surgery has been used to correct severe crouch gait, but no cohort studies or long-term results have been reported, to our knowledge. METHODS: In order to be eligible for the present retrospective cohort study, a patient had to have a severe crouch gait, as defined by sagittal plane kinematic data, that had been treated with multilevel orthopaedic surgery as well as a complete clinical, radiographic, and instrumented gait analysis assessment. The surgical intervention consisted of lengthening of contracted muscle-tendon units and correction of osseous deformities, followed by the use of ground-reaction ankle-foot orthoses until stable biomechanical realignment of the lower limbs during gait was achieved. Outcome at one and five years after surgery was determined with use of selected sagittal plane kinematic and kinetic parameters and valid and reliable scales of functional mobility. Knee pain was recorded with use of a Likert scale, and all patients had radiographic examination of the knees. RESULTS: Ten subjects with severe crouch gait and a mean age of 12.0 years at the time of surgery were studied. After surgery, the patients walked in a more extended posture, with increased extension at the hip and knee and reduced dorsiflexion at the ankle. Pelvic tilt increased, and normalized walking speed was unaltered. Knee pain was diminished, and patellar fractures and avulsion injuries healed. Improvements in functional mobility were found, and, at the time of the five-year follow-up, fewer patients required the use of wheelchairs or crutches in the community than had been the case prior to intervention. CONCLUSIONS: Multilevel orthopaedic surgery for older children and adolescents with severe crouch gait is effective for relieving stress on the knee extensor mechanism, reducing knee pain, and improving function and independence.", "author" : [ { "dropping-particle" : "", "family" : "Rodda", "given" : "J M", "non-dropping-particle" : "", "parse-names" : false, "suffix" : "" }, { "dropping-particle" : "", "family" : "Graham", "given" : "H K", "non-dropping-particle" : "", "parse-names" : false, "suffix" : "" }, { "dropping-particle" : "", "family" : "Nattrass", "given" : "G R", "non-dropping-particle" : "", "parse-names" : false, "suffix" : "" }, { "dropping-particle" : "", "family" : "Galea", "given" : "M P", "non-dropping-particle" : "", "parse-names" : false, "suffix" : "" }, { "dropping-particle" : "", "family" : "Baker", "given" : "R", "non-dropping-particle" : "", "parse-names" : false, "suffix" : "" }, { "dropping-particle" : "", "family" : "Wolfe", "given" : "R", "non-dropping-particle" : "", "parse-names" : false, "suffix" : "" } ], "container-title" : "The Journal of bone and joint surgery. American volume", "id" : "ITEM-1", "issued" : { "date-parts" : [ [ "2006" ] ] }, "page" : "2653-2664", "title" : "Correction of severe crouch gait in patients with spastic diplegia with use of multilevel orthopaedic surgery.", "type" : "article-journal", "volume" : "88" }, "uris" : [ "http://www.mendeley.com/documents/?uuid=edf8d27b-2ee4-4b45-b483-5b3bdfba7e97" ] } ], "mendeley" : { "formattedCitation" : "[25]", "plainTextFormattedCitation" : "[25]", "previouslyFormattedCitation" : "[25]"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[25]</w:t>
      </w:r>
      <w:r w:rsidRPr="008419AB">
        <w:rPr>
          <w:rFonts w:cs="Times New Roman"/>
          <w:szCs w:val="22"/>
          <w:lang w:val="en-US"/>
        </w:rPr>
        <w:fldChar w:fldCharType="end"/>
      </w:r>
      <w:r w:rsidRPr="008419AB">
        <w:rPr>
          <w:rFonts w:cs="Times New Roman"/>
          <w:szCs w:val="22"/>
          <w:lang w:val="en-US"/>
        </w:rPr>
        <w:t xml:space="preserve">. </w:t>
      </w:r>
      <w:r>
        <w:rPr>
          <w:rFonts w:cs="Times New Roman"/>
          <w:szCs w:val="22"/>
          <w:lang w:val="en-US"/>
        </w:rPr>
        <w:t>We also</w:t>
      </w:r>
      <w:r w:rsidRPr="008419AB">
        <w:rPr>
          <w:rFonts w:cs="Times New Roman"/>
          <w:szCs w:val="22"/>
          <w:lang w:val="en-US"/>
        </w:rPr>
        <w:t xml:space="preserve"> compar</w:t>
      </w:r>
      <w:r>
        <w:rPr>
          <w:rFonts w:cs="Times New Roman"/>
          <w:szCs w:val="22"/>
          <w:lang w:val="en-US"/>
        </w:rPr>
        <w:t>ed</w:t>
      </w:r>
      <w:r w:rsidRPr="008419AB">
        <w:rPr>
          <w:rFonts w:cs="Times New Roman"/>
          <w:szCs w:val="22"/>
          <w:lang w:val="en-US"/>
        </w:rPr>
        <w:t xml:space="preserve"> our study to the results of </w:t>
      </w:r>
      <w:proofErr w:type="spellStart"/>
      <w:r w:rsidRPr="008419AB">
        <w:rPr>
          <w:rFonts w:cs="Times New Roman"/>
          <w:szCs w:val="22"/>
          <w:lang w:val="en-US"/>
        </w:rPr>
        <w:t>Ounpuu</w:t>
      </w:r>
      <w:proofErr w:type="spellEnd"/>
      <w:r w:rsidRPr="008419AB">
        <w:rPr>
          <w:rFonts w:cs="Times New Roman"/>
          <w:szCs w:val="22"/>
          <w:lang w:val="en-US"/>
        </w:rPr>
        <w:t xml:space="preserve"> et al.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"The purpose of this study was to evaluate the long-term effects of the femoral derotation osteotomy (FDO) in the ambulatory patient with cerebral palsy (CP). The effectiveness of the FDOs were evaluated using three-dimensional gait analysis just before surgery (P0), 1 year after surgery (P1), and 5 years after surgery (P2). A total of 20 patients (27 sides) with CP were evaluated. Related physical examination and motion measures showed significant improvements at P1 that were maintained at P2. Mean maximum internal hip rotation at P0 of 77 degrees +/- 9 degrees decreased to 53 degrees +/- 8 degrees at P1 and was maintained at 58 degrees +/- 11 degrees at P2. Mean maximum external hip rotation at P0 of 21 degrees +/- 11 degrees increased to 35 degrees +/- 15 degrees at P1 and was maintained at 32 degrees +/- 13 degrees at P2. Mean femoral anteversion at P0 of 63 degrees +/- 9 degrees was reduced to 26 degrees +/- 15 degrees and was maintained at 31 degrees +/- 13 degrees at P2. During gait, mean hip rotation in stance at P0 of 20 degrees +/- 8 degrees was decreased to 2 degrees +/- 10 degrees at P1 and was maintained at 4 degrees +/- 5 degrees at P2. There were associated significant foot progression changes from an internal progression mean of 5 degrees +/- 17 degrees at P0 to -11 degrees +/- 17 degrees at P1 that were maintained at -12 degrees +/- 5 degrees at P2. The findings suggest that the FDO is a viable and lasting treatment option for the correction of anteversion and associated internal hip rotation during gait in children with CP.", "author" : [ { "dropping-particle" : "", "family" : "Ounpuu", "given" : "Sylvia", "non-dropping-particle" : "", "parse-names" : false, "suffix" : "" }, { "dropping-particle" : "", "family" : "DeLuca", "given" : "Peter", "non-dropping-particle" : "", "parse-names" : false, "suffix" : "" }, { "dropping-particle" : "", "family" : "Davis", "given" : "Roy", "non-dropping-particle" : "", "parse-names" : false, "suffix" : "" }, { "dropping-particle" : "", "family" : "Romness", "given" : "Mark", "non-dropping-particle" : "", "parse-names" : false, "suffix" : "" } ], "container-title" : "Journal of pediatric orthopedics", "id" : "ITEM-1", "issue" : "2", "issued" : { "date-parts" : [ [ "2002" ] ] }, "page" : "139-45", "title" : "Long-term effects of femoral derotation osteotomies: an evaluation using three-dimensional gait analysis.", "type" : "article-journal", "volume" : "22" }, "uris" : [ "http://www.mendeley.com/documents/?uuid=2bc46352-76a5-4e59-8343-61de495f7c1e" ] } ], "mendeley" : { "formattedCitation" : "[38]", "plainTextFormattedCitation" : "[38]", "previouslyFormattedCitation" : "[38]"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[38]</w:t>
      </w:r>
      <w:r w:rsidRPr="008419AB">
        <w:rPr>
          <w:rFonts w:cs="Times New Roman"/>
          <w:szCs w:val="22"/>
          <w:lang w:val="en-US"/>
        </w:rPr>
        <w:fldChar w:fldCharType="end"/>
      </w:r>
      <w:r w:rsidRPr="008419AB">
        <w:rPr>
          <w:rFonts w:cs="Times New Roman"/>
          <w:szCs w:val="22"/>
          <w:lang w:val="en-US"/>
        </w:rPr>
        <w:t xml:space="preserve">, who specifically </w:t>
      </w:r>
      <w:r>
        <w:rPr>
          <w:rFonts w:cs="Times New Roman"/>
          <w:szCs w:val="22"/>
          <w:lang w:val="en-US"/>
        </w:rPr>
        <w:t>focused</w:t>
      </w:r>
      <w:r w:rsidRPr="008419AB">
        <w:rPr>
          <w:rFonts w:cs="Times New Roman"/>
          <w:szCs w:val="22"/>
          <w:lang w:val="en-US"/>
        </w:rPr>
        <w:t xml:space="preserve"> at the results of a femoral </w:t>
      </w:r>
      <w:proofErr w:type="spellStart"/>
      <w:r w:rsidRPr="008419AB">
        <w:rPr>
          <w:rFonts w:cs="Times New Roman"/>
          <w:szCs w:val="22"/>
          <w:lang w:val="en-US"/>
        </w:rPr>
        <w:t>derotation</w:t>
      </w:r>
      <w:proofErr w:type="spellEnd"/>
      <w:r w:rsidRPr="008419AB">
        <w:rPr>
          <w:rFonts w:cs="Times New Roman"/>
          <w:szCs w:val="22"/>
          <w:lang w:val="en-US"/>
        </w:rPr>
        <w:t xml:space="preserve"> osteotomy and also included ambulatory children with a GMFCS I-III</w:t>
      </w:r>
      <w:r>
        <w:rPr>
          <w:rFonts w:cs="Times New Roman"/>
          <w:szCs w:val="22"/>
          <w:lang w:val="en-US"/>
        </w:rPr>
        <w:t>. T</w:t>
      </w:r>
      <w:r w:rsidRPr="008419AB">
        <w:rPr>
          <w:rFonts w:cs="Times New Roman"/>
          <w:szCs w:val="22"/>
          <w:lang w:val="en-US"/>
        </w:rPr>
        <w:t>hey found a clear improvement that continued until five year</w:t>
      </w:r>
      <w:r>
        <w:rPr>
          <w:rFonts w:cs="Times New Roman"/>
          <w:szCs w:val="22"/>
          <w:lang w:val="en-US"/>
        </w:rPr>
        <w:t>s</w:t>
      </w:r>
      <w:r w:rsidRPr="008419AB">
        <w:rPr>
          <w:rFonts w:cs="Times New Roman"/>
          <w:szCs w:val="22"/>
          <w:lang w:val="en-US"/>
        </w:rPr>
        <w:t xml:space="preserve"> which </w:t>
      </w:r>
      <w:r>
        <w:rPr>
          <w:rFonts w:cs="Times New Roman"/>
          <w:szCs w:val="22"/>
          <w:lang w:val="en-US"/>
        </w:rPr>
        <w:t>is</w:t>
      </w:r>
      <w:r w:rsidRPr="008419AB">
        <w:rPr>
          <w:rFonts w:cs="Times New Roman"/>
          <w:szCs w:val="22"/>
          <w:lang w:val="en-US"/>
        </w:rPr>
        <w:t xml:space="preserve"> in accordance with our </w:t>
      </w:r>
      <w:r w:rsidRPr="001075DD">
        <w:rPr>
          <w:rFonts w:cs="Times New Roman"/>
          <w:szCs w:val="22"/>
          <w:lang w:val="en-US"/>
        </w:rPr>
        <w:t xml:space="preserve">results. </w:t>
      </w:r>
      <w:proofErr w:type="spellStart"/>
      <w:r w:rsidRPr="001075DD">
        <w:rPr>
          <w:rFonts w:cs="Times New Roman"/>
          <w:szCs w:val="22"/>
          <w:lang w:val="en-US"/>
        </w:rPr>
        <w:t>Saraph</w:t>
      </w:r>
      <w:proofErr w:type="spellEnd"/>
      <w:r w:rsidRPr="001075DD">
        <w:rPr>
          <w:rFonts w:cs="Times New Roman"/>
          <w:szCs w:val="22"/>
          <w:lang w:val="en-US"/>
        </w:rPr>
        <w:t xml:space="preserve"> et al. </w:t>
      </w:r>
      <w:r w:rsidRPr="001075DD">
        <w:rPr>
          <w:rFonts w:cs="Times New Roman"/>
          <w:szCs w:val="22"/>
          <w:lang w:val="en-US"/>
        </w:rPr>
        <w:fldChar w:fldCharType="begin" w:fldLock="1"/>
      </w:r>
      <w:r w:rsidRPr="001075DD">
        <w:rPr>
          <w:rFonts w:cs="Times New Roman"/>
          <w:szCs w:val="22"/>
          <w:lang w:val="en-US"/>
        </w:rPr>
        <w:instrText>ADDIN CSL_CITATION { "citationItems" : [ { "id" : "ITEM-1", "itemData" : { "abstract" : "Gait improvement surgery in ambulatory children with cerebral palsy performed as single-event multilevel surgery is today a well-established modality of treatment, but follow-up studies are lacking. Preoperative and follow-up gait analysis data of 32 diplegic children who underwent single-event multilevel surgery for gait improvement between 1995 and 1998 were evaluated retrospectively. Relevant sagittal plane kinematic parameters of the hip, knee, and ankle joint and time-distance parameters were considered for outcome measures in this study. Postoperative gait analysis was performed three times in all the cases: after discontinuation of the dynamic AFOs (mean 1.0 +/- 0.3 years), after discontinuation of the night splints (mean 2.3 +/- 0.7 years), and at least 1.5 years after discontinuation of physiotherapy and splints (mean 4.4 +/- 1.1 years). The aim of the study was to ascertain whether the improvements in gait function were maintained over these examinations. The authors found that gait function continued to change over 1, 2, and 3 years of follow-up. A general decrease in gait function was measurable in this collective between the first postoperative and the second postoperative evaluations. The results indicate that evaluation of gait improvement surgery in cerebral palsy performed at a minimum of 3 years after surgery would give the most predictive outcome of treatment.", "author" : [ { "dropping-particle" : "", "family" : "Saraph", "given" : "Vinay", "non-dropping-particle" : "", "parse-names" : false, "suffix" : "" }, { "dropping-particle" : "", "family" : "Zwick", "given" : "Ernst-Bernhard", "non-dropping-particle" : "", "parse-names" : false, "suffix" : "" }, { "dropping-particle" : "", "family" : "Auner", "given" : "Claudia", "non-dropping-particle" : "", "parse-names" : false, "suffix" : "" }, { "dropping-particle" : "", "family" : "Schneider", "given" : "Frank", "non-dropping-particle" : "", "parse-names" : false, "suffix" : "" }, { "dropping-particle" : "", "family" : "Steinwender", "given" : "Gerhardt", "non-dropping-particle" : "", "parse-names" : false, "suffix" : "" }, { "dropping-particle" : "", "family" : "Linhart", "given" : "Wolfgang", "non-dropping-particle" : "", "parse-names" : false, "suffix" : "" } ], "container-title" : "Journal of pediatric orthopedics", "id" : "ITEM-1", "issue" : "3", "issued" : { "date-parts" : [ [ "2005" ] ] }, "page" : "263-267", "title" : "Gait improvement surgery in diplegic children: how long do the improvements last?", "type" : "article-journal", "volume" : "25" }, "uris" : [ "http://www.mendeley.com/documents/?uuid=1e05d7a8-3530-453b-9d7b-48a1fcf79d14" ] } ], "mendeley" : { "formattedCitation" : "[29]", "plainTextFormattedCitation" : "[29]", "previouslyFormattedCitation" : "[29]" }, "properties" : { "noteIndex" : 0 }, "schema" : "https://github.com/citation-style-language/schema/raw/master/csl-citation.json" }</w:instrText>
      </w:r>
      <w:r w:rsidRPr="001075DD">
        <w:rPr>
          <w:rFonts w:cs="Times New Roman"/>
          <w:szCs w:val="22"/>
          <w:lang w:val="en-US"/>
        </w:rPr>
        <w:fldChar w:fldCharType="separate"/>
      </w:r>
      <w:r w:rsidRPr="001075DD">
        <w:rPr>
          <w:rFonts w:cs="Times New Roman"/>
          <w:noProof/>
          <w:szCs w:val="22"/>
          <w:lang w:val="en-US"/>
        </w:rPr>
        <w:t>[29]</w:t>
      </w:r>
      <w:r w:rsidRPr="001075DD">
        <w:rPr>
          <w:rFonts w:cs="Times New Roman"/>
          <w:szCs w:val="22"/>
          <w:lang w:val="en-US"/>
        </w:rPr>
        <w:fldChar w:fldCharType="end"/>
      </w:r>
      <w:r w:rsidRPr="001075DD">
        <w:rPr>
          <w:rFonts w:cs="Times New Roman"/>
          <w:szCs w:val="22"/>
          <w:lang w:val="en-US"/>
        </w:rPr>
        <w:t xml:space="preserve"> </w:t>
      </w:r>
      <w:r>
        <w:rPr>
          <w:rFonts w:cs="Times New Roman"/>
          <w:szCs w:val="22"/>
          <w:lang w:val="en-US"/>
        </w:rPr>
        <w:t>studied</w:t>
      </w:r>
      <w:r w:rsidRPr="001075DD">
        <w:rPr>
          <w:rFonts w:cs="Times New Roman"/>
          <w:szCs w:val="22"/>
          <w:lang w:val="en-US"/>
        </w:rPr>
        <w:t xml:space="preserve"> the effects of SEMLS </w:t>
      </w:r>
      <w:r w:rsidRPr="001075DD">
        <w:rPr>
          <w:rFonts w:cs="Times New Roman"/>
          <w:lang w:val="en-US"/>
        </w:rPr>
        <w:t>on maximum hip extension and maximum</w:t>
      </w:r>
      <w:r w:rsidRPr="001075DD">
        <w:rPr>
          <w:rFonts w:cs="Times New Roman"/>
          <w:szCs w:val="22"/>
          <w:lang w:val="en-US"/>
        </w:rPr>
        <w:t xml:space="preserve"> knee extension during stance. They found that hip extension significantly improved on the short term (three years follow-up). This was also </w:t>
      </w:r>
      <w:r>
        <w:rPr>
          <w:rFonts w:cs="Times New Roman"/>
          <w:szCs w:val="22"/>
          <w:lang w:val="en-US"/>
        </w:rPr>
        <w:t>observed</w:t>
      </w:r>
      <w:r w:rsidRPr="001075DD">
        <w:rPr>
          <w:rFonts w:cs="Times New Roman"/>
          <w:szCs w:val="22"/>
          <w:lang w:val="en-US"/>
        </w:rPr>
        <w:t xml:space="preserve"> in our study, but the results did not last on the </w:t>
      </w:r>
      <w:r>
        <w:rPr>
          <w:rFonts w:cs="Times New Roman"/>
          <w:szCs w:val="22"/>
          <w:lang w:val="en-US"/>
        </w:rPr>
        <w:t>long term.</w:t>
      </w:r>
      <w:r w:rsidRPr="001075DD">
        <w:rPr>
          <w:rFonts w:cs="Times New Roman"/>
          <w:szCs w:val="22"/>
          <w:lang w:val="en-US"/>
        </w:rPr>
        <w:t xml:space="preserve"> </w:t>
      </w:r>
      <w:r w:rsidRPr="001075DD">
        <w:rPr>
          <w:lang w:val="en-US"/>
        </w:rPr>
        <w:t>A possible explanation for this may be that the spasticity of the psoas increased again</w:t>
      </w:r>
      <w:r w:rsidRPr="001075DD">
        <w:t/>
      </w:r>
      <w:r w:rsidRPr="001075DD">
        <w:rPr>
          <w:lang w:val="en-US"/>
        </w:rPr>
        <w:t>.</w:t>
      </w:r>
      <w:r w:rsidRPr="001075DD">
        <w:rPr>
          <w:rFonts w:cs="Times New Roman"/>
          <w:lang w:val="en-US"/>
        </w:rPr>
        <w:t xml:space="preserve"> For maximum</w:t>
      </w:r>
      <w:r w:rsidRPr="001075DD">
        <w:rPr>
          <w:rFonts w:cs="Times New Roman"/>
          <w:szCs w:val="22"/>
          <w:lang w:val="en-US"/>
        </w:rPr>
        <w:t xml:space="preserve"> knee </w:t>
      </w:r>
      <w:r w:rsidRPr="008419AB">
        <w:rPr>
          <w:rFonts w:cs="Times New Roman"/>
          <w:szCs w:val="22"/>
          <w:lang w:val="en-US"/>
        </w:rPr>
        <w:t>extension,</w:t>
      </w:r>
      <w:r>
        <w:rPr>
          <w:rFonts w:cs="Times New Roman"/>
          <w:szCs w:val="22"/>
          <w:lang w:val="en-US"/>
        </w:rPr>
        <w:t xml:space="preserve"> </w:t>
      </w:r>
      <w:proofErr w:type="spellStart"/>
      <w:r w:rsidRPr="008419AB">
        <w:rPr>
          <w:rFonts w:cs="Times New Roman"/>
          <w:szCs w:val="22"/>
          <w:lang w:val="en-US"/>
        </w:rPr>
        <w:t>Saraph</w:t>
      </w:r>
      <w:proofErr w:type="spellEnd"/>
      <w:r w:rsidRPr="008419AB">
        <w:rPr>
          <w:rFonts w:cs="Times New Roman"/>
          <w:szCs w:val="22"/>
          <w:lang w:val="en-US"/>
        </w:rPr>
        <w:t xml:space="preserve"> et al.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"Gait improvement surgery in ambulatory children with cerebral palsy performed as single-event multilevel surgery is today a well-established modality of treatment, but follow-up studies are lacking. Preoperative and follow-up gait analysis data of 32 diplegic children who underwent single-event multilevel surgery for gait improvement between 1995 and 1998 were evaluated retrospectively. Relevant sagittal plane kinematic parameters of the hip, knee, and ankle joint and time-distance parameters were considered for outcome measures in this study. Postoperative gait analysis was performed three times in all the cases: after discontinuation of the dynamic AFOs (mean 1.0 +/- 0.3 years), after discontinuation of the night splints (mean 2.3 +/- 0.7 years), and at least 1.5 years after discontinuation of physiotherapy and splints (mean 4.4 +/- 1.1 years). The aim of the study was to ascertain whether the improvements in gait function were maintained over these examinations. The authors found that gait function continued to change over 1, 2, and 3 years of follow-up. A general decrease in gait function was measurable in this collective between the first postoperative and the second postoperative evaluations. The results indicate that evaluation of gait improvement surgery in cerebral palsy performed at a minimum of 3 years after surgery would give the most predictive outcome of treatment.", "author" : [ { "dropping-particle" : "", "family" : "Saraph", "given" : "Vinay", "non-dropping-particle" : "", "parse-names" : false, "suffix" : "" }, { "dropping-particle" : "", "family" : "Zwick", "given" : "Ernst-Bernhard", "non-dropping-particle" : "", "parse-names" : false, "suffix" : "" }, { "dropping-particle" : "", "family" : "Auner", "given" : "Claudia", "non-dropping-particle" : "", "parse-names" : false, "suffix" : "" }, { "dropping-particle" : "", "family" : "Schneider", "given" : "Frank", "non-dropping-particle" : "", "parse-names" : false, "suffix" : "" }, { "dropping-particle" : "", "family" : "Steinwender", "given" : "Gerhardt", "non-dropping-particle" : "", "parse-names" : false, "suffix" : "" }, { "dropping-particle" : "", "family" : "Linhart", "given" : "Wolfgang", "non-dropping-particle" : "", "parse-names" : false, "suffix" : "" } ], "container-title" : "Journal of pediatric orthopedics", "id" : "ITEM-1", "issue" : "3", "issued" : { "date-parts" : [ [ "2005" ] ] }, "page" : "263-267", "title" : "Gait improvement surgery in diplegic children: how long do the improvements last?", "type" : "article-journal", "volume" : "25" }, "uris" : [ "http://www.mendeley.com/documents/?uuid=1e05d7a8-3530-453b-9d7b-48a1fcf79d14" ] } ], "mendeley" : { "formattedCitation" : "[29]", "plainTextFormattedCitation" : "[29]", "previouslyFormattedCitation" : "[29]"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[29]</w:t>
      </w:r>
      <w:r w:rsidRPr="008419AB">
        <w:rPr>
          <w:rFonts w:cs="Times New Roman"/>
          <w:szCs w:val="22"/>
          <w:lang w:val="en-US"/>
        </w:rPr>
        <w:fldChar w:fldCharType="end"/>
      </w:r>
      <w:r w:rsidRPr="008419AB">
        <w:rPr>
          <w:rFonts w:cs="Times New Roman"/>
          <w:szCs w:val="22"/>
          <w:lang w:val="en-US"/>
        </w:rPr>
        <w:t xml:space="preserve"> found a significant improvement until three year</w:t>
      </w:r>
      <w:r>
        <w:rPr>
          <w:rFonts w:cs="Times New Roman"/>
          <w:szCs w:val="22"/>
          <w:lang w:val="en-US"/>
        </w:rPr>
        <w:t>s</w:t>
      </w:r>
      <w:r w:rsidRPr="008419AB">
        <w:rPr>
          <w:rFonts w:cs="Times New Roman"/>
          <w:szCs w:val="22"/>
          <w:lang w:val="en-US"/>
        </w:rPr>
        <w:t>, although there was a tendency to more flexion at three year</w:t>
      </w:r>
      <w:r>
        <w:rPr>
          <w:rFonts w:cs="Times New Roman"/>
          <w:szCs w:val="22"/>
          <w:lang w:val="en-US"/>
        </w:rPr>
        <w:t>s</w:t>
      </w:r>
      <w:r w:rsidRPr="008419AB">
        <w:rPr>
          <w:rFonts w:cs="Times New Roman"/>
          <w:szCs w:val="22"/>
          <w:lang w:val="en-US"/>
        </w:rPr>
        <w:t xml:space="preserve"> compared to one year follow-up. The results of our study showed that this improvement on the short term also exist</w:t>
      </w:r>
      <w:r>
        <w:rPr>
          <w:rFonts w:cs="Times New Roman"/>
          <w:szCs w:val="22"/>
          <w:lang w:val="en-US"/>
        </w:rPr>
        <w:t>ed</w:t>
      </w:r>
      <w:r w:rsidRPr="008419AB">
        <w:rPr>
          <w:rFonts w:cs="Times New Roman"/>
          <w:szCs w:val="22"/>
          <w:lang w:val="en-US"/>
        </w:rPr>
        <w:t xml:space="preserve"> on the long term. </w:t>
      </w:r>
    </w:p>
    <w:p w14:paraId="62F0416E" w14:textId="107A6568" w:rsidR="0071122B" w:rsidRPr="008419AB" w:rsidRDefault="0071122B" w:rsidP="0071122B">
      <w:pPr>
        <w:tabs>
          <w:tab w:val="right" w:pos="426"/>
        </w:tabs>
        <w:spacing w:line="360" w:lineRule="auto"/>
        <w:rPr>
          <w:rFonts w:cs="Times New Roman"/>
          <w:color w:val="000000"/>
          <w:szCs w:val="22"/>
          <w:lang w:val="en-US"/>
        </w:rPr>
      </w:pPr>
      <w:r>
        <w:rPr>
          <w:rFonts w:cs="Times New Roman"/>
          <w:szCs w:val="22"/>
          <w:lang w:val="en-US"/>
        </w:rPr>
        <w:t>The</w:t>
      </w:r>
      <w:r w:rsidRPr="008419AB">
        <w:rPr>
          <w:rFonts w:cs="Times New Roman"/>
          <w:szCs w:val="22"/>
          <w:lang w:val="en-US"/>
        </w:rPr>
        <w:t xml:space="preserve"> second aim of this study was to initiate the exploration of possible predictors for the effect of SEMLS. For the prediction of the primary outcome measures, this study </w:t>
      </w:r>
      <w:r>
        <w:rPr>
          <w:rFonts w:cs="Times New Roman"/>
          <w:szCs w:val="22"/>
          <w:lang w:val="en-US"/>
        </w:rPr>
        <w:t>showed that</w:t>
      </w:r>
      <w:r w:rsidRPr="008419AB">
        <w:rPr>
          <w:rFonts w:cs="Times New Roman"/>
          <w:szCs w:val="22"/>
          <w:lang w:val="en-US"/>
        </w:rPr>
        <w:t xml:space="preserve"> age at </w:t>
      </w:r>
      <w:r>
        <w:rPr>
          <w:rFonts w:cs="Times New Roman"/>
          <w:szCs w:val="22"/>
          <w:lang w:val="en-US"/>
        </w:rPr>
        <w:t xml:space="preserve">time of </w:t>
      </w:r>
      <w:r w:rsidRPr="008419AB">
        <w:rPr>
          <w:rFonts w:cs="Times New Roman"/>
          <w:szCs w:val="22"/>
          <w:lang w:val="en-US"/>
        </w:rPr>
        <w:t>surgery, GMFC</w:t>
      </w:r>
      <w:r>
        <w:rPr>
          <w:rFonts w:cs="Times New Roman"/>
          <w:szCs w:val="22"/>
          <w:lang w:val="en-US"/>
        </w:rPr>
        <w:t>S-level</w:t>
      </w:r>
      <w:r w:rsidRPr="008419AB">
        <w:rPr>
          <w:rFonts w:cs="Times New Roman"/>
          <w:szCs w:val="22"/>
          <w:lang w:val="en-US"/>
        </w:rPr>
        <w:t xml:space="preserve">, GPS and knee angle at initial contact before surgery, </w:t>
      </w:r>
      <w:r>
        <w:rPr>
          <w:rFonts w:cs="Times New Roman"/>
          <w:szCs w:val="22"/>
          <w:lang w:val="en-US"/>
        </w:rPr>
        <w:t>related to long-term outcome</w:t>
      </w:r>
      <w:r w:rsidRPr="008419AB">
        <w:rPr>
          <w:rFonts w:cs="Times New Roman"/>
          <w:szCs w:val="22"/>
          <w:lang w:val="en-US"/>
        </w:rPr>
        <w:t xml:space="preserve">. Contrary to our expectations, age at surgery </w:t>
      </w:r>
      <w:r>
        <w:rPr>
          <w:rFonts w:cs="Times New Roman"/>
          <w:szCs w:val="22"/>
          <w:lang w:val="en-US"/>
        </w:rPr>
        <w:t>was not retained as a predictor of long term improvement on the</w:t>
      </w:r>
      <w:r w:rsidRPr="008419AB">
        <w:rPr>
          <w:rFonts w:cs="Times New Roman"/>
          <w:szCs w:val="22"/>
          <w:lang w:val="en-US"/>
        </w:rPr>
        <w:t xml:space="preserve"> primary outcome paramet</w:t>
      </w:r>
      <w:r>
        <w:rPr>
          <w:rFonts w:cs="Times New Roman"/>
          <w:szCs w:val="22"/>
          <w:lang w:val="en-US"/>
        </w:rPr>
        <w:t>ers. Only for GPS in the transverse</w:t>
      </w:r>
      <w:r w:rsidRPr="008419AB">
        <w:rPr>
          <w:rFonts w:cs="Times New Roman"/>
          <w:szCs w:val="22"/>
          <w:lang w:val="en-US"/>
        </w:rPr>
        <w:t xml:space="preserve"> plane the correlation was good enough to include this as a covariate in the prediction model, but even then it was not found to significant</w:t>
      </w:r>
      <w:r>
        <w:rPr>
          <w:rFonts w:cs="Times New Roman"/>
          <w:szCs w:val="22"/>
          <w:lang w:val="en-US"/>
        </w:rPr>
        <w:t>ly contribute to the prediction</w:t>
      </w:r>
      <w:r w:rsidRPr="008419AB">
        <w:rPr>
          <w:rFonts w:cs="Times New Roman"/>
          <w:szCs w:val="22"/>
          <w:lang w:val="en-US"/>
        </w:rPr>
        <w:t xml:space="preserve">. In contrast with our results, other studies found age at surgery as a significant predictor of </w:t>
      </w:r>
      <w:r>
        <w:rPr>
          <w:rFonts w:cs="Times New Roman"/>
          <w:szCs w:val="22"/>
          <w:lang w:val="en-US"/>
        </w:rPr>
        <w:t>gait improvement</w:t>
      </w:r>
      <w:r>
        <w:rPr>
          <w:rFonts w:cs="Times New Roman"/>
          <w:lang w:val="en-US"/>
        </w:rPr>
        <w:t xml:space="preserve"> </w:t>
      </w:r>
      <w:r>
        <w:rPr>
          <w:rFonts w:cs="Times New Roman"/>
          <w:lang w:val="en-US"/>
        </w:rPr>
        <w:fldChar w:fldCharType="begin" w:fldLock="1"/>
      </w:r>
      <w:r>
        <w:rPr>
          <w:rFonts w:cs="Times New Roman"/>
          <w:lang w:val="en-US"/>
        </w:rPr>
        <w:instrText>ADDIN CSL_CITATION { "citationItems" : [ { "id" : "ITEM-1", "itemData" : { "abstract" : "Information on the timing and long-term outcome of single-event multilevel surgery in children with bilateral spastic cerebral palsy (CP) walking with flexed knee gait is limited. Based on our clinical experience, we hypothesized that older children with bilateral spastic CP would benefit more from single-event multilevel surgery than younger children. Moreover, any improvement in older children could be maintained with fewer additional surgery events.", "author" : [ { "dropping-particle" : "", "family" : "\u0160vehl\u00edk", "given" : "Martin", "non-dropping-particle" : "", "parse-names" : false, "suffix" : "" }, { "dropping-particle" : "", "family" : "Steinwender", "given" : "Gerhard", "non-dropping-particle" : "", "parse-names" : false, "suffix" : "" }, { "dropping-particle" : "", "family" : "Kraus", "given" : "Tanja", "non-dropping-particle" : "", "parse-names" : false, "suffix" : "" }, { "dropping-particle" : "", "family" : "Saraph", "given" : "Vinay", "non-dropping-particle" : "", "parse-names" : false, "suffix" : "" }, { "dropping-particle" : "", "family" : "Lehmann", "given" : "Thomas", "non-dropping-particle" : "", "parse-names" : false, "suffix" : "" }, { "dropping-particle" : "", "family" : "Linhart", "given" : "Wolfgang E.", "non-dropping-particle" : "", "parse-names" : false, "suffix" : "" }, { "dropping-particle" : "", "family" : "Zwick", "given" : "Ernst B.", "non-dropping-particle" : "", "parse-names" : false, "suffix" : "" } ], "container-title" : "Developmental Medicine and Child Neurology", "id" : "ITEM-1", "issued" : { "date-parts" : [ [ "2011" ] ] }, "page" : "730-735", "title" : "The influence of age at single-event multilevel surgery on outcome in children with cerebral palsy who walk with flexed knee gait", "type" : "article-journal", "volume" : "53" }, "uris" : [ "http://www.mendeley.com/documents/?uuid=18e7ad7c-d45d-4b40-92ba-a6efb8f1360f" ] }, { "id" : "ITEM-2", "itemData" : { "abstract" : "AIMS: Single event multilevel surgery (SEMLS) has been shown to improve gait in children with cerebral palsy (CP). However, there is limited evidence regarding long-term outcomes and factors influencing them. METHODS: In total 39 children (17 females and 22 males; mean age at SEMLS ten years four months, standard deviation 37 months) with bilateral CP (20 Gross Motor Function Classification System (GMFCS) level II and 19 GMFCS level III) treated with SEMLS were included. Children were evaluated using gait analysis and the Gait Deviation Index (GDI) before SEMLS and one, two to three, five and at least ten years after SEMLS. A linear mixed model was used to estimate the effect of age at the surgery, GMFCS and follow-up period on GDI. RESULTS: There was a mean improvement of 12.1 (-15.3 to 45.1) GDI points one year after SEMLS (p &lt; 0.001) and 10.3 (-23.1 to 44.2) GDI points ten years after SEMLS compared with before SEMLS (p &lt; 0.001). GMFCS level III children aged ten to 12 years had the most improvement. The GMFCS III group had more surgical procedures at the index SEMLS (p &lt; 0.001) and during the follow-up period (p = 0.039). After correcting for other factors, age at surgery was the only factor predictive of long-term results. Our model was able to explain 45% of the variance of the change in GDI at the different time points. TAKE HOME MESSAGE: Children with GMFCS III level aged ten to 12 are the benchmark responders to SEMLS in the long-term. Cite this article: Bone Joint J 2016;98-B:278-81.", "author" : [ { "dropping-particle" : "", "family" : "\u0160vehl\u00edk", "given" : "M", "non-dropping-particle" : "", "parse-names" : false, "suffix" : "" }, { "dropping-particle" : "", "family" : "Steinwender", "given" : "G", "non-dropping-particle" : "", "parse-names" : false, "suffix" : "" }, { "dropping-particle" : "", "family" : "Lehmann", "given" : "T", "non-dropping-particle" : "", "parse-names" : false, "suffix" : "" }, { "dropping-particle" : "", "family" : "Kraus", "given" : "T", "non-dropping-particle" : "", "parse-names" : false, "suffix" : "" } ], "container-title" : "The bone &amp; joint journal", "id" : "ITEM-2", "issue" : "2", "issued" : { "date-parts" : [ [ "2016" ] ] }, "page" : "278-81", "title" : "Predictors of outcome after single-event multilevel surgery in children with cerebral palsy: a retrospective ten-year follow-up study.", "type" : "article-journal", "volume" : "98-B" }, "uris" : [ "http://www.mendeley.com/documents/?uuid=c9cb44cc-40a4-476e-9e19-971fb4a577a4" ] } ], "mendeley" : { "formattedCitation" : "[12,35]", "plainTextFormattedCitation" : "[12,35]", "previouslyFormattedCitation" : "[12,35]" }, "properties" : { "noteIndex" : 0 }, "schema" : "https://github.com/citation-style-language/schema/raw/master/csl-citation.json" }</w:instrText>
      </w:r>
      <w:r>
        <w:rPr>
          <w:rFonts w:cs="Times New Roman"/>
          <w:lang w:val="en-US"/>
        </w:rPr>
        <w:fldChar w:fldCharType="separate"/>
      </w:r>
      <w:r w:rsidRPr="00D24053">
        <w:rPr>
          <w:rFonts w:cs="Times New Roman"/>
          <w:noProof/>
          <w:lang w:val="en-US"/>
        </w:rPr>
        <w:t>[12,35]</w:t>
      </w:r>
      <w:r>
        <w:rPr>
          <w:rFonts w:cs="Times New Roman"/>
          <w:lang w:val="en-US"/>
        </w:rPr>
        <w:fldChar w:fldCharType="end"/>
      </w:r>
      <w:r w:rsidRPr="008419AB">
        <w:rPr>
          <w:rFonts w:cs="Times New Roman"/>
          <w:szCs w:val="22"/>
          <w:lang w:val="en-US"/>
        </w:rPr>
        <w:t xml:space="preserve"> </w:t>
      </w:r>
      <w:r w:rsidRPr="00E22C1D">
        <w:rPr>
          <w:rFonts w:cs="Times New Roman"/>
          <w:szCs w:val="22"/>
          <w:lang w:val="en-US"/>
        </w:rPr>
        <w:t xml:space="preserve">and </w:t>
      </w:r>
      <w:r>
        <w:rPr>
          <w:rFonts w:cs="Times New Roman"/>
          <w:szCs w:val="22"/>
          <w:lang w:val="en-US"/>
        </w:rPr>
        <w:t xml:space="preserve">of </w:t>
      </w:r>
      <w:r w:rsidRPr="00E22C1D">
        <w:rPr>
          <w:rFonts w:cs="Times New Roman"/>
          <w:szCs w:val="22"/>
          <w:lang w:val="en-US"/>
        </w:rPr>
        <w:t xml:space="preserve">postoperative gait velocity </w:t>
      </w:r>
      <w:r w:rsidRPr="00E22C1D">
        <w:rPr>
          <w:rFonts w:cs="Times New Roman"/>
          <w:szCs w:val="22"/>
          <w:lang w:val="en-US"/>
        </w:rPr>
        <w:fldChar w:fldCharType="begin" w:fldLock="1"/>
      </w:r>
      <w:r w:rsidRPr="00E22C1D">
        <w:rPr>
          <w:rFonts w:cs="Times New Roman"/>
          <w:szCs w:val="22"/>
          <w:lang w:val="en-US"/>
        </w:rPr>
        <w:instrText>ADDIN CSL_CITATION { "citationItems" : [ { "id" : "ITEM-1", "itemData" : { "abstract" : "Factors associated with longer-term outcomes of multilevel orthopaedic surgery in ambulatory children with cerebral palsy using a multivariate approach were evaluated using a retrospective pretest-posttest design. The population included 20 ambulatory children with spastic diplegia who had undergone multilevel orthopaedic surgery with a minimum of 4-year interval between a preoperative and a postoperative gait assessment. Multiple regression analysis was used to identify factors associated with postoperative velocity and mean knee flexion in stance. Independent variables included in the regression models were velocity, mean knee flexion in stance, age at preoperative evaluation, Gross Motor Function Classification System level, use of ankle-foot orthoses, leg length, age-adjusted body mass index, number of surgical procedures, and range of motion of hip and knee. Children who demonstrated faster postoperative gait velocity 4 years or more after surgery were younger at the time of initial evaluation, had undergone fewer surgical procedures, had faster preoperative gait velocity, used ankle-foot orthoses postoperatively, and had increased hip extension range of motion postoperatively (R = 0.55). Children who demonstrated greater knee flexion in stance 4 years or more after surgery had undergone more surgical procedures, greater postoperative popliteal angle, and less knee extension range of motion (R = 0.73). This study demonstrates the usefulness of a multivariate approach toward understanding and predicting outcomes. The results of this study will provide clinicians and researchers more information about those factors associated with maintained improvements in the longer term and may be useful for treatment planning.", "author" : [ { "dropping-particle" : "", "family" : "Gannotti", "given" : "Mary E", "non-dropping-particle" : "", "parse-names" : false, "suffix" : "" }, { "dropping-particle" : "", "family" : "Gorton", "given" : "George E", "non-dropping-particle" : "", "parse-names" : false, "suffix" : "" }, { "dropping-particle" : "", "family" : "Nahorniak", "given" : "Maureen T", "non-dropping-particle" : "", "parse-names" : false, "suffix" : "" }, { "dropping-particle" : "", "family" : "Masso", "given" : "Peter D", "non-dropping-particle" : "", "parse-names" : false, "suffix" : "" }, { "dropping-particle" : "", "family" : "Landry", "given" : "Bradford", "non-dropping-particle" : "", "parse-names" : false, "suffix" : "" }, { "dropping-particle" : "", "family" : "Lyman", "given" : "Jeffrey", "non-dropping-particle" : "", "parse-names" : false, "suffix" : "" }, { "dropping-particle" : "", "family" : "Sawicki", "given" : "Rebecca", "non-dropping-particle" : "", "parse-names" : false, "suffix" : "" }, { "dropping-particle" : "", "family" : "Hagedorn", "given" : "Kristin", "non-dropping-particle" : "", "parse-names" : false, "suffix" : "" }, { "dropping-particle" : "", "family" : "Ross", "given" : "Ellen", "non-dropping-particle" : "", "parse-names" : false, "suffix" : "" }, { "dropping-particle" : "", "family" : "Warner", "given" : "Jennifer", "non-dropping-particle" : "", "parse-names" : false, "suffix" : "" } ], "container-title" : "Journal of pediatric orthopedics", "id" : "ITEM-1", "issue" : "4", "issued" : { "date-parts" : [ [ "2007" ] ] }, "page" : "451-456", "title" : "Postoperative gait velocity and mean knee flexion in stance of ambulatory children with spastic diplegia four years or more after multilevel surgery.", "type" : "article-journal", "volume" : "27" }, "uris" : [ "http://www.mendeley.com/documents/?uuid=315ba372-246a-4bb9-9f8b-7c868d4fc30b" ] } ], "mendeley" : { "formattedCitation" : "[26]", "plainTextFormattedCitation" : "[26]", "previouslyFormattedCitation" : "[26]" }, "properties" : { "noteIndex" : 0 }, "schema" : "https://github.com/citation-style-language/schema/raw/master/csl-citation.json" }</w:instrText>
      </w:r>
      <w:r w:rsidRPr="00E22C1D">
        <w:rPr>
          <w:rFonts w:cs="Times New Roman"/>
          <w:szCs w:val="22"/>
          <w:lang w:val="en-US"/>
        </w:rPr>
        <w:fldChar w:fldCharType="separate"/>
      </w:r>
      <w:r w:rsidRPr="00E22C1D">
        <w:rPr>
          <w:rFonts w:cs="Times New Roman"/>
          <w:noProof/>
          <w:szCs w:val="22"/>
          <w:lang w:val="en-US"/>
        </w:rPr>
        <w:t>[26]</w:t>
      </w:r>
      <w:r w:rsidRPr="00E22C1D">
        <w:rPr>
          <w:rFonts w:cs="Times New Roman"/>
          <w:szCs w:val="22"/>
          <w:lang w:val="en-US"/>
        </w:rPr>
        <w:fldChar w:fldCharType="end"/>
      </w:r>
      <w:r w:rsidRPr="008419AB">
        <w:rPr>
          <w:rFonts w:cs="Times New Roman"/>
          <w:szCs w:val="22"/>
          <w:lang w:val="en-US"/>
        </w:rPr>
        <w:t>.</w:t>
      </w:r>
      <w:r w:rsidRPr="008419AB">
        <w:rPr>
          <w:rFonts w:cs="Times New Roman"/>
          <w:color w:val="000000"/>
          <w:szCs w:val="22"/>
          <w:lang w:val="en-US"/>
        </w:rPr>
        <w:t xml:space="preserve"> The small sample size of our study</w:t>
      </w:r>
      <w:r>
        <w:rPr>
          <w:rFonts w:cs="Times New Roman"/>
          <w:color w:val="000000"/>
          <w:szCs w:val="22"/>
          <w:lang w:val="en-US"/>
        </w:rPr>
        <w:t xml:space="preserve"> for prediction </w:t>
      </w:r>
      <w:r w:rsidRPr="008419AB">
        <w:rPr>
          <w:rFonts w:cs="Times New Roman"/>
          <w:color w:val="000000"/>
          <w:szCs w:val="22"/>
          <w:lang w:val="en-US"/>
        </w:rPr>
        <w:t xml:space="preserve">could </w:t>
      </w:r>
      <w:r>
        <w:rPr>
          <w:rFonts w:cs="Times New Roman"/>
          <w:color w:val="000000"/>
          <w:szCs w:val="22"/>
          <w:lang w:val="en-US"/>
        </w:rPr>
        <w:t xml:space="preserve">have </w:t>
      </w:r>
      <w:r w:rsidRPr="008419AB">
        <w:rPr>
          <w:rFonts w:cs="Times New Roman"/>
          <w:color w:val="000000"/>
          <w:szCs w:val="22"/>
          <w:lang w:val="en-US"/>
        </w:rPr>
        <w:t>play</w:t>
      </w:r>
      <w:r>
        <w:rPr>
          <w:rFonts w:cs="Times New Roman"/>
          <w:color w:val="000000"/>
          <w:szCs w:val="22"/>
          <w:lang w:val="en-US"/>
        </w:rPr>
        <w:t>ed</w:t>
      </w:r>
      <w:r w:rsidRPr="008419AB">
        <w:rPr>
          <w:rFonts w:cs="Times New Roman"/>
          <w:color w:val="000000"/>
          <w:szCs w:val="22"/>
          <w:lang w:val="en-US"/>
        </w:rPr>
        <w:t xml:space="preserve"> a role in the explanation of this difference. The</w:t>
      </w:r>
      <w:r>
        <w:rPr>
          <w:rFonts w:cs="Times New Roman"/>
          <w:color w:val="000000"/>
          <w:szCs w:val="22"/>
          <w:lang w:val="en-US"/>
        </w:rPr>
        <w:t xml:space="preserve"> level on the</w:t>
      </w:r>
      <w:r w:rsidRPr="008419AB">
        <w:rPr>
          <w:rFonts w:cs="Times New Roman"/>
          <w:color w:val="000000"/>
          <w:szCs w:val="22"/>
          <w:lang w:val="en-US"/>
        </w:rPr>
        <w:t xml:space="preserve"> GMFCS, often used as an indication of severity, did not have an influence on any of the outcome measures. This is in accordance with the study of </w:t>
      </w:r>
      <w:proofErr w:type="spellStart"/>
      <w:r w:rsidRPr="008419AB">
        <w:rPr>
          <w:rFonts w:eastAsia="Calibri" w:cs="Times New Roman"/>
          <w:szCs w:val="20"/>
          <w:lang w:val="en-US" w:eastAsia="en-US"/>
        </w:rPr>
        <w:t>Švehlík</w:t>
      </w:r>
      <w:proofErr w:type="spellEnd"/>
      <w:r w:rsidRPr="008419AB">
        <w:rPr>
          <w:rFonts w:cs="Times New Roman"/>
          <w:color w:val="000000"/>
          <w:szCs w:val="22"/>
          <w:lang w:val="en-US"/>
        </w:rPr>
        <w:t xml:space="preserve"> et al. </w:t>
      </w:r>
      <w:r w:rsidRPr="008419AB">
        <w:rPr>
          <w:rFonts w:cs="Times New Roman"/>
          <w:color w:val="000000"/>
          <w:szCs w:val="22"/>
          <w:lang w:val="en-US"/>
        </w:rPr>
        <w:fldChar w:fldCharType="begin" w:fldLock="1"/>
      </w:r>
      <w:r w:rsidRPr="008419AB">
        <w:rPr>
          <w:rFonts w:cs="Times New Roman"/>
          <w:color w:val="000000"/>
          <w:szCs w:val="22"/>
          <w:lang w:val="en-US"/>
        </w:rPr>
        <w:instrText>ADDIN CSL_CITATION { "citationItems" : [ { "id" : "ITEM-1", "itemData" : { "abstract" : "AIMS: Single event multilevel surgery (SEMLS) has been shown to improve gait in children with cerebral palsy (CP). However, there is limited evidence regarding long-term outcomes and factors influencing them. METHODS: In total 39 children (17 females and 22 males; mean age at SEMLS ten years four months, standard deviation 37 months) with bilateral CP (20 Gross Motor Function Classification System (GMFCS) level II and 19 GMFCS level III) treated with SEMLS were included. Children were evaluated using gait analysis and the Gait Deviation Index (GDI) before SEMLS and one, two to three, five and at least ten years after SEMLS. A linear mixed model was used to estimate the effect of age at the surgery, GMFCS and follow-up period on GDI. RESULTS: There was a mean improvement of 12.1 (-15.3 to 45.1) GDI points one year after SEMLS (p &lt; 0.001) and 10.3 (-23.1 to 44.2) GDI points ten years after SEMLS compared with before SEMLS (p &lt; 0.001). GMFCS level III children aged ten to 12 years had the most improvement. The GMFCS III group had more surgical procedures at the index SEMLS (p &lt; 0.001) and during the follow-up period (p = 0.039). After correcting for other factors, age at surgery was the only factor predictive of long-term results. Our model was able to explain 45% of the variance of the change in GDI at the different time points. TAKE HOME MESSAGE: Children with GMFCS III level aged ten to 12 are the benchmark responders to SEMLS in the long-term. Cite this article: Bone Joint J 2016;98-B:278-81.", "author" : [ { "dropping-particle" : "", "family" : "\u0160vehl\u00edk", "given" : "M", "non-dropping-particle" : "", "parse-names" : false, "suffix" : "" }, { "dropping-particle" : "", "family" : "Steinwender", "given" : "G", "non-dropping-particle" : "", "parse-names" : false, "suffix" : "" }, { "dropping-particle" : "", "family" : "Lehmann", "given" : "T", "non-dropping-particle" : "", "parse-names" : false, "suffix" : "" }, { "dropping-particle" : "", "family" : "Kraus", "given" : "T", "non-dropping-particle" : "", "parse-names" : false, "suffix" : "" } ], "container-title" : "The bone &amp; joint journal", "id" : "ITEM-1", "issue" : "2", "issued" : { "date-parts" : [ [ "2016" ] ] }, "page" : "278-81", "title" : "Predictors of outcome after single-event multilevel surgery in children with cerebral palsy: a retrospective ten-year follow-up study.", "type" : "article-journal", "volume" : "98-B" }, "uris" : [ "http://www.mendeley.com/documents/?uuid=c9cb44cc-40a4-476e-9e19-971fb4a577a4" ] } ], "mendeley" : { "formattedCitation" : "[35]", "plainTextFormattedCitation" : "[35]", "previouslyFormattedCitation" : "[35]" }, "properties" : { "noteIndex" : 0 }, "schema" : "https://github.com/citation-style-language/schema/raw/master/csl-citation.json" }</w:instrText>
      </w:r>
      <w:r w:rsidRPr="008419AB">
        <w:rPr>
          <w:rFonts w:cs="Times New Roman"/>
          <w:color w:val="000000"/>
          <w:szCs w:val="22"/>
          <w:lang w:val="en-US"/>
        </w:rPr>
        <w:fldChar w:fldCharType="separate"/>
      </w:r>
      <w:r w:rsidRPr="008419AB">
        <w:rPr>
          <w:rFonts w:cs="Times New Roman"/>
          <w:noProof/>
          <w:color w:val="000000"/>
          <w:szCs w:val="22"/>
          <w:lang w:val="en-US"/>
        </w:rPr>
        <w:t>[35]</w:t>
      </w:r>
      <w:r w:rsidRPr="008419AB">
        <w:rPr>
          <w:rFonts w:cs="Times New Roman"/>
          <w:color w:val="000000"/>
          <w:szCs w:val="22"/>
          <w:lang w:val="en-US"/>
        </w:rPr>
        <w:fldChar w:fldCharType="end"/>
      </w:r>
      <w:r w:rsidRPr="008419AB">
        <w:rPr>
          <w:rFonts w:cs="Times New Roman"/>
          <w:color w:val="000000"/>
          <w:szCs w:val="22"/>
          <w:lang w:val="en-US"/>
        </w:rPr>
        <w:t>, who found that</w:t>
      </w:r>
      <w:r>
        <w:rPr>
          <w:rFonts w:cs="Times New Roman"/>
          <w:color w:val="000000"/>
          <w:szCs w:val="22"/>
          <w:lang w:val="en-US"/>
        </w:rPr>
        <w:t>,</w:t>
      </w:r>
      <w:r w:rsidRPr="008419AB">
        <w:rPr>
          <w:rFonts w:cs="Times New Roman"/>
          <w:color w:val="000000"/>
          <w:szCs w:val="22"/>
          <w:lang w:val="en-US"/>
        </w:rPr>
        <w:t xml:space="preserve"> after correction for age</w:t>
      </w:r>
      <w:r>
        <w:rPr>
          <w:rFonts w:cs="Times New Roman"/>
          <w:color w:val="000000"/>
          <w:szCs w:val="22"/>
          <w:lang w:val="en-US"/>
        </w:rPr>
        <w:t>, GMFCS was no longer</w:t>
      </w:r>
      <w:r w:rsidRPr="008419AB">
        <w:rPr>
          <w:rFonts w:cs="Times New Roman"/>
          <w:color w:val="000000"/>
          <w:szCs w:val="22"/>
          <w:lang w:val="en-US"/>
        </w:rPr>
        <w:t xml:space="preserve"> significant. Knee flexion at initial contact and GPS before surgery were found to be very significant in the prediction model in our study. GPS before surgery is objectively measured and is a more continuous measure of severity compared to the GMFCS, </w:t>
      </w:r>
      <w:r>
        <w:rPr>
          <w:rFonts w:cs="Times New Roman"/>
          <w:color w:val="000000"/>
          <w:szCs w:val="22"/>
          <w:lang w:val="en-US"/>
        </w:rPr>
        <w:t xml:space="preserve">which may increase its </w:t>
      </w:r>
      <w:r w:rsidRPr="008419AB">
        <w:rPr>
          <w:rFonts w:cs="Times New Roman"/>
          <w:color w:val="000000"/>
          <w:szCs w:val="22"/>
          <w:lang w:val="en-US"/>
        </w:rPr>
        <w:t>predict</w:t>
      </w:r>
      <w:r>
        <w:rPr>
          <w:rFonts w:cs="Times New Roman"/>
          <w:color w:val="000000"/>
          <w:szCs w:val="22"/>
          <w:lang w:val="en-US"/>
        </w:rPr>
        <w:t>ive capacity</w:t>
      </w:r>
      <w:r w:rsidRPr="008419AB">
        <w:rPr>
          <w:rFonts w:cs="Times New Roman"/>
          <w:color w:val="000000"/>
          <w:szCs w:val="22"/>
          <w:lang w:val="en-US"/>
        </w:rPr>
        <w:t xml:space="preserve">. </w:t>
      </w:r>
      <w:r>
        <w:rPr>
          <w:rFonts w:cs="Times New Roman"/>
          <w:color w:val="000000"/>
          <w:szCs w:val="22"/>
          <w:lang w:val="en-US"/>
        </w:rPr>
        <w:t>Furthermore</w:t>
      </w:r>
      <w:r w:rsidRPr="008419AB">
        <w:rPr>
          <w:rFonts w:cs="Times New Roman"/>
          <w:color w:val="000000"/>
          <w:szCs w:val="22"/>
          <w:lang w:val="en-US"/>
        </w:rPr>
        <w:t>, both GPS and knee flexion at initial contact are clinically important parameters. Therefore</w:t>
      </w:r>
      <w:r>
        <w:rPr>
          <w:rFonts w:cs="Times New Roman"/>
          <w:color w:val="000000"/>
          <w:szCs w:val="22"/>
          <w:lang w:val="en-US"/>
        </w:rPr>
        <w:t>,</w:t>
      </w:r>
      <w:r w:rsidRPr="008419AB">
        <w:rPr>
          <w:rFonts w:cs="Times New Roman"/>
          <w:color w:val="000000"/>
          <w:szCs w:val="22"/>
          <w:lang w:val="en-US"/>
        </w:rPr>
        <w:t xml:space="preserve"> it may be interesting to explore these covariates in future research </w:t>
      </w:r>
      <w:r>
        <w:rPr>
          <w:rFonts w:cs="Times New Roman"/>
          <w:color w:val="000000"/>
          <w:szCs w:val="22"/>
          <w:lang w:val="en-US"/>
        </w:rPr>
        <w:t>on a larger</w:t>
      </w:r>
      <w:r w:rsidRPr="008419AB">
        <w:rPr>
          <w:rFonts w:cs="Times New Roman"/>
          <w:color w:val="000000"/>
          <w:szCs w:val="22"/>
          <w:lang w:val="en-US"/>
        </w:rPr>
        <w:t xml:space="preserve"> and more homogeneous sample. </w:t>
      </w:r>
    </w:p>
    <w:p w14:paraId="360AFC9E" w14:textId="77777777" w:rsidR="0071122B" w:rsidRPr="008419AB" w:rsidRDefault="0071122B" w:rsidP="0071122B">
      <w:pPr>
        <w:tabs>
          <w:tab w:val="right" w:pos="426"/>
        </w:tabs>
        <w:spacing w:line="360" w:lineRule="auto"/>
        <w:rPr>
          <w:rFonts w:cs="Times New Roman"/>
          <w:i/>
          <w:szCs w:val="22"/>
          <w:lang w:val="en-US"/>
        </w:rPr>
      </w:pPr>
      <w:r w:rsidRPr="008419AB">
        <w:rPr>
          <w:rFonts w:cs="Times New Roman"/>
          <w:szCs w:val="22"/>
          <w:lang w:val="en-US"/>
        </w:rPr>
        <w:lastRenderedPageBreak/>
        <w:t xml:space="preserve">Besides the </w:t>
      </w:r>
      <w:r>
        <w:rPr>
          <w:rFonts w:cs="Times New Roman"/>
          <w:szCs w:val="22"/>
          <w:lang w:val="en-US"/>
        </w:rPr>
        <w:t>limited</w:t>
      </w:r>
      <w:r w:rsidRPr="008419AB">
        <w:rPr>
          <w:rFonts w:cs="Times New Roman"/>
          <w:szCs w:val="22"/>
          <w:lang w:val="en-US"/>
        </w:rPr>
        <w:t xml:space="preserve"> sample size </w:t>
      </w:r>
      <w:r>
        <w:rPr>
          <w:rFonts w:cs="Times New Roman"/>
          <w:szCs w:val="22"/>
          <w:lang w:val="en-US"/>
        </w:rPr>
        <w:t>due to</w:t>
      </w:r>
      <w:r w:rsidRPr="008419AB">
        <w:rPr>
          <w:rFonts w:cs="Times New Roman"/>
          <w:szCs w:val="22"/>
          <w:lang w:val="en-US"/>
        </w:rPr>
        <w:t xml:space="preserve"> the strict inclusion criteria, </w:t>
      </w:r>
      <w:r>
        <w:rPr>
          <w:rFonts w:cs="Times New Roman"/>
          <w:szCs w:val="22"/>
          <w:lang w:val="en-US"/>
        </w:rPr>
        <w:t>several</w:t>
      </w:r>
      <w:r w:rsidRPr="008419AB">
        <w:rPr>
          <w:rFonts w:cs="Times New Roman"/>
          <w:szCs w:val="22"/>
          <w:lang w:val="en-US"/>
        </w:rPr>
        <w:t xml:space="preserve"> other limitations </w:t>
      </w:r>
      <w:r>
        <w:rPr>
          <w:rFonts w:cs="Times New Roman"/>
          <w:szCs w:val="22"/>
          <w:lang w:val="en-US"/>
        </w:rPr>
        <w:t>of the current study</w:t>
      </w:r>
      <w:r w:rsidRPr="008419AB">
        <w:rPr>
          <w:rFonts w:cs="Times New Roman"/>
          <w:szCs w:val="22"/>
          <w:lang w:val="en-US"/>
        </w:rPr>
        <w:t xml:space="preserve"> should be mentioned. The design of the study was retrospective. This explains</w:t>
      </w:r>
      <w:r>
        <w:rPr>
          <w:rFonts w:cs="Times New Roman"/>
          <w:szCs w:val="22"/>
          <w:lang w:val="en-US"/>
        </w:rPr>
        <w:t xml:space="preserve"> why not every subject had a 3D</w:t>
      </w:r>
      <w:r w:rsidRPr="008419AB">
        <w:rPr>
          <w:rFonts w:cs="Times New Roman"/>
          <w:szCs w:val="22"/>
          <w:lang w:val="en-US"/>
        </w:rPr>
        <w:t xml:space="preserve">GA at every follow-up </w:t>
      </w:r>
      <w:r>
        <w:rPr>
          <w:rFonts w:cs="Times New Roman"/>
          <w:szCs w:val="22"/>
          <w:lang w:val="en-US"/>
        </w:rPr>
        <w:t>time instant</w:t>
      </w:r>
      <w:r w:rsidRPr="008419AB">
        <w:rPr>
          <w:rFonts w:cs="Times New Roman"/>
          <w:szCs w:val="22"/>
          <w:lang w:val="en-US"/>
        </w:rPr>
        <w:t xml:space="preserve"> and why duration of follow-up was not consistent for all subjects. Therefore</w:t>
      </w:r>
      <w:r>
        <w:rPr>
          <w:rFonts w:cs="Times New Roman"/>
          <w:szCs w:val="22"/>
          <w:lang w:val="en-US"/>
        </w:rPr>
        <w:t>,</w:t>
      </w:r>
      <w:r w:rsidRPr="008419AB">
        <w:rPr>
          <w:rFonts w:cs="Times New Roman"/>
          <w:szCs w:val="22"/>
          <w:lang w:val="en-US"/>
        </w:rPr>
        <w:t xml:space="preserve"> there </w:t>
      </w:r>
      <w:r>
        <w:rPr>
          <w:rFonts w:cs="Times New Roman"/>
          <w:szCs w:val="22"/>
          <w:lang w:val="en-US"/>
        </w:rPr>
        <w:t>was a considerable</w:t>
      </w:r>
      <w:r w:rsidRPr="008419AB">
        <w:rPr>
          <w:rFonts w:cs="Times New Roman"/>
          <w:szCs w:val="22"/>
          <w:lang w:val="en-US"/>
        </w:rPr>
        <w:t xml:space="preserve"> </w:t>
      </w:r>
      <w:r>
        <w:rPr>
          <w:rFonts w:cs="Times New Roman"/>
          <w:szCs w:val="22"/>
          <w:lang w:val="en-US"/>
        </w:rPr>
        <w:t xml:space="preserve">incidence of </w:t>
      </w:r>
      <w:r w:rsidRPr="008419AB">
        <w:rPr>
          <w:rFonts w:cs="Times New Roman"/>
          <w:szCs w:val="22"/>
          <w:lang w:val="en-US"/>
        </w:rPr>
        <w:t xml:space="preserve">missing data, which limits the interpretation of the evolution of changes in gait </w:t>
      </w:r>
      <w:r>
        <w:rPr>
          <w:rFonts w:cs="Times New Roman"/>
          <w:szCs w:val="22"/>
          <w:lang w:val="en-US"/>
        </w:rPr>
        <w:t>on</w:t>
      </w:r>
      <w:r w:rsidRPr="008419AB">
        <w:rPr>
          <w:rFonts w:cs="Times New Roman"/>
          <w:szCs w:val="22"/>
          <w:lang w:val="en-US"/>
        </w:rPr>
        <w:t xml:space="preserve"> the long term. Another limitation was the lack of a control group. This may lead to an underestimation of the results</w:t>
      </w:r>
      <w:r>
        <w:rPr>
          <w:rFonts w:cs="Times New Roman"/>
          <w:szCs w:val="22"/>
          <w:lang w:val="en-US"/>
        </w:rPr>
        <w:t>. However,,</w:t>
      </w:r>
      <w:r w:rsidRPr="008419AB">
        <w:rPr>
          <w:rFonts w:cs="Times New Roman"/>
          <w:szCs w:val="22"/>
          <w:lang w:val="en-US"/>
        </w:rPr>
        <w:t xml:space="preserve"> it is </w:t>
      </w:r>
      <w:r>
        <w:rPr>
          <w:rFonts w:cs="Times New Roman"/>
          <w:szCs w:val="22"/>
          <w:lang w:val="en-US"/>
        </w:rPr>
        <w:t xml:space="preserve">considered </w:t>
      </w:r>
      <w:r w:rsidRPr="008419AB">
        <w:rPr>
          <w:rFonts w:cs="Times New Roman"/>
          <w:szCs w:val="22"/>
          <w:lang w:val="en-US"/>
        </w:rPr>
        <w:t>ethical</w:t>
      </w:r>
      <w:r>
        <w:rPr>
          <w:rFonts w:cs="Times New Roman"/>
          <w:szCs w:val="22"/>
          <w:lang w:val="en-US"/>
        </w:rPr>
        <w:t>ly</w:t>
      </w:r>
      <w:r w:rsidRPr="008419AB">
        <w:rPr>
          <w:rFonts w:cs="Times New Roman"/>
          <w:szCs w:val="22"/>
          <w:lang w:val="en-US"/>
        </w:rPr>
        <w:t xml:space="preserve"> unjustifiable to </w:t>
      </w:r>
      <w:r>
        <w:rPr>
          <w:rFonts w:cs="Times New Roman"/>
          <w:szCs w:val="22"/>
          <w:lang w:val="en-US"/>
        </w:rPr>
        <w:t>create</w:t>
      </w:r>
      <w:r w:rsidRPr="008419AB">
        <w:rPr>
          <w:rFonts w:cs="Times New Roman"/>
          <w:szCs w:val="22"/>
          <w:lang w:val="en-US"/>
        </w:rPr>
        <w:t xml:space="preserve"> a group of patients with CP who </w:t>
      </w:r>
      <w:r>
        <w:rPr>
          <w:rFonts w:cs="Times New Roman"/>
          <w:szCs w:val="22"/>
          <w:lang w:val="en-US"/>
        </w:rPr>
        <w:t>do not receive, but do</w:t>
      </w:r>
      <w:r w:rsidRPr="008419AB">
        <w:rPr>
          <w:rFonts w:cs="Times New Roman"/>
          <w:szCs w:val="22"/>
          <w:lang w:val="en-US"/>
        </w:rPr>
        <w:t xml:space="preserve"> </w:t>
      </w:r>
      <w:proofErr w:type="spellStart"/>
      <w:r>
        <w:rPr>
          <w:rFonts w:cs="Times New Roman"/>
          <w:szCs w:val="22"/>
          <w:lang w:val="en-US"/>
        </w:rPr>
        <w:t>do</w:t>
      </w:r>
      <w:proofErr w:type="spellEnd"/>
      <w:r>
        <w:rPr>
          <w:rFonts w:cs="Times New Roman"/>
          <w:szCs w:val="22"/>
          <w:lang w:val="en-US"/>
        </w:rPr>
        <w:t xml:space="preserve"> need surgical correction.</w:t>
      </w:r>
      <w:r w:rsidRPr="008419AB">
        <w:rPr>
          <w:rFonts w:cs="Times New Roman"/>
          <w:szCs w:val="22"/>
          <w:lang w:val="en-US"/>
        </w:rPr>
        <w:t xml:space="preserve">  </w:t>
      </w:r>
      <w:r>
        <w:rPr>
          <w:rFonts w:cs="Times New Roman"/>
          <w:szCs w:val="22"/>
          <w:lang w:val="en-US"/>
        </w:rPr>
        <w:t>This limitation is p</w:t>
      </w:r>
      <w:r w:rsidRPr="008419AB">
        <w:rPr>
          <w:rFonts w:cs="Times New Roman"/>
          <w:szCs w:val="22"/>
          <w:lang w:val="en-US"/>
        </w:rPr>
        <w:t xml:space="preserve">artially </w:t>
      </w:r>
      <w:r>
        <w:rPr>
          <w:rFonts w:cs="Times New Roman"/>
          <w:szCs w:val="22"/>
          <w:lang w:val="en-US"/>
        </w:rPr>
        <w:t>compensated by the use of 3D</w:t>
      </w:r>
      <w:r w:rsidRPr="008419AB">
        <w:rPr>
          <w:rFonts w:cs="Times New Roman"/>
          <w:szCs w:val="22"/>
          <w:lang w:val="en-US"/>
        </w:rPr>
        <w:t>GA which is an objective instrument to measure gait and is relatively immune to bias</w:t>
      </w:r>
      <w:r>
        <w:rPr>
          <w:rFonts w:cs="Times New Roman"/>
          <w:szCs w:val="22"/>
          <w:lang w:val="en-US"/>
        </w:rPr>
        <w:t xml:space="preserve"> when strict selection criteria are applied</w:t>
      </w:r>
      <w:r w:rsidRPr="008419AB">
        <w:rPr>
          <w:rFonts w:cs="Times New Roman"/>
          <w:szCs w:val="22"/>
          <w:lang w:val="en-US"/>
        </w:rPr>
        <w:t xml:space="preserve"> </w:t>
      </w:r>
      <w:r w:rsidRPr="008419AB">
        <w:rPr>
          <w:rFonts w:cs="Times New Roman"/>
          <w:szCs w:val="22"/>
          <w:lang w:val="en-US"/>
        </w:rPr>
        <w:fldChar w:fldCharType="begin" w:fldLock="1"/>
      </w:r>
      <w:r>
        <w:rPr>
          <w:rFonts w:cs="Times New Roman"/>
          <w:lang w:val="en-US"/>
        </w:rPr>
        <w:instrText>ADDIN CSL_CITATION { "citationItems" : [ { "id" : "ITEM-1", "itemData" : { "abstract" : "Background: Single Event Multilevel Surgery (SEMLS) is considered the standard of care to improve gait and function in children with bilateral spastic cerebral palsy (BSCP). We have demonstrated in a randomized controlled trial (RCT) of SEMLS, that gait was improved at 12 months after surgery and gross motor function at 24 months after surgery. The question addressed in this study, was to determine if improvements in gait and function, would be maintained at 5 year follow-up. Methods: Nineteen children with BSCP, GMFCS levels II (14 children) and III (5 children), mean age 9.7 years (range 7.7-12.2 years) participated in a prospective cohort study following participation in a RCT, with follow-up to 5 years. Outcome measures were Gait Profile Score (GPS), Gillette Gait Index (GGI), Gait Deviation Index (GDI), Gross Motor Function Measure (GMFM66) and Functional Mobility Scale (FMS). Results: Eighteen children have completed follow-up, with interval analysis at 1, 2 and 5 years post SEMLS. One child was excluded because of neurological deterioration and his diagnosis was revised to Hereditary Spastic Paraparesis (HSP). GPS improved by 5.29?? and GMFM66 by 3.3% at 5 years post SEMLS. Differences between outcome measures at 1 versus 5 years and 2 versus 5 years (except GMFM66) were not significant, indicating that improvements in gait and gross motor function were stable over time. Conclusions: SEMLS results in clinically and statistically significant improvements in gait and function, in children with BSCP, which were maintained at 5 years after surgery. ?? 2012.", "author" : [ { "dropping-particle" : "", "family" : "Thomason", "given" : "Pam", "non-dropping-particle" : "", "parse-names" : false, "suffix" : "" }, { "dropping-particle" : "", "family" : "Selber", "given" : "Paulo", "non-dropping-particle" : "", "parse-names" : false, "suffix" : "" }, { "dropping-particle" : "", "family" : "Graham", "given" : "H. Kerr", "non-dropping-particle" : "", "parse-names" : false, "suffix" : "" } ], "container-title" : "Gait and Posture", "id" : "ITEM-1", "issue" : "1", "issued" : { "date-parts" : [ [ "2013" ] ] }, "page" : "23-28", "publisher" : "Elsevier B.V.", "title" : "Single Event Multilevel Surgery in children with bilateral spastic cerebral palsy: A 5 year prospective cohort study", "type" : "article-journal", "volume" : "37" }, "uris" : [ "http://www.mendeley.com/documents/?uuid=6a0b835f-7b5e-496c-a8b1-f84a4410246b" ] } ], "mendeley" : { "formattedCitation" : "[30]", "plainTextFormattedCitation" : "[30]", "previouslyFormattedCitation" : "[30]"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[30]</w:t>
      </w:r>
      <w:r w:rsidRPr="008419AB">
        <w:rPr>
          <w:rFonts w:cs="Times New Roman"/>
          <w:szCs w:val="22"/>
          <w:lang w:val="en-US"/>
        </w:rPr>
        <w:fldChar w:fldCharType="end"/>
      </w:r>
      <w:r w:rsidRPr="008419AB">
        <w:rPr>
          <w:rFonts w:cs="Times New Roman"/>
          <w:szCs w:val="22"/>
          <w:lang w:val="en-US"/>
        </w:rPr>
        <w:t xml:space="preserve">. The fact that only ambulatory children were included, implicates that the results </w:t>
      </w:r>
      <w:r>
        <w:rPr>
          <w:rFonts w:cs="Times New Roman"/>
          <w:szCs w:val="22"/>
          <w:lang w:val="en-US"/>
        </w:rPr>
        <w:t>can</w:t>
      </w:r>
      <w:r w:rsidRPr="008419AB">
        <w:rPr>
          <w:rFonts w:cs="Times New Roman"/>
          <w:szCs w:val="22"/>
          <w:lang w:val="en-US"/>
        </w:rPr>
        <w:t xml:space="preserve">not be generalized to all children with CP. Furthermore there </w:t>
      </w:r>
      <w:r>
        <w:rPr>
          <w:rFonts w:cs="Times New Roman"/>
          <w:szCs w:val="22"/>
          <w:lang w:val="en-US"/>
        </w:rPr>
        <w:t>was</w:t>
      </w:r>
      <w:r w:rsidRPr="008419AB">
        <w:rPr>
          <w:rFonts w:cs="Times New Roman"/>
          <w:szCs w:val="22"/>
          <w:lang w:val="en-US"/>
        </w:rPr>
        <w:t xml:space="preserve"> a variation in surgical procedures between subjects, although all the combinations of procedures are covered by the definition of SEMLS</w:t>
      </w:r>
      <w:r>
        <w:rPr>
          <w:rFonts w:cs="Times New Roman"/>
          <w:szCs w:val="22"/>
          <w:lang w:val="en-US"/>
        </w:rPr>
        <w:t xml:space="preserve"> </w:t>
      </w:r>
      <w:r w:rsidRPr="008419AB">
        <w:rPr>
          <w:rFonts w:cs="Times New Roman"/>
          <w:szCs w:val="22"/>
          <w:lang w:val="en-US"/>
        </w:rPr>
        <w:fldChar w:fldCharType="begin" w:fldLock="1"/>
      </w:r>
      <w:r w:rsidRPr="008419AB">
        <w:rPr>
          <w:rFonts w:cs="Times New Roman"/>
          <w:szCs w:val="22"/>
          <w:lang w:val="en-US"/>
        </w:rPr>
        <w:instrText>ADDIN CSL_CITATION { "citationItems" : [ { "id" : "ITEM-1", "itemData" : { "abstract" : "Background: Single Event Multilevel Surgery (SEMLS) is considered the standard of care to improve gait and function in children with bilateral spastic cerebral palsy (BSCP). We have demonstrated in a randomized controlled trial (RCT) of SEMLS, that gait was improved at 12 months after surgery and gross motor function at 24 months after surgery. The question addressed in this study, was to determine if improvements in gait and function, would be maintained at 5 year follow-up. Methods: Nineteen children with BSCP, GMFCS levels II (14 children) and III (5 children), mean age 9.7 years (range 7.7-12.2 years) participated in a prospective cohort study following participation in a RCT, with follow-up to 5 years. Outcome measures were Gait Profile Score (GPS), Gillette Gait Index (GGI), Gait Deviation Index (GDI), Gross Motor Function Measure (GMFM66) and Functional Mobility Scale (FMS). Results: Eighteen children have completed follow-up, with interval analysis at 1, 2 and 5 years post SEMLS. One child was excluded because of neurological deterioration and his diagnosis was revised to Hereditary Spastic Paraparesis (HSP). GPS improved by 5.29?? and GMFM66 by 3.3% at 5 years post SEMLS. Differences between outcome measures at 1 versus 5 years and 2 versus 5 years (except GMFM66) were not significant, indicating that improvements in gait and gross motor function were stable over time. Conclusions: SEMLS results in clinically and statistically significant improvements in gait and function, in children with BSCP, which were maintained at 5 years after surgery. ?? 2012.", "author" : [ { "dropping-particle" : "", "family" : "Thomason", "given" : "Pam", "non-dropping-particle" : "", "parse-names" : false, "suffix" : "" }, { "dropping-particle" : "", "family" : "Selber", "given" : "Paulo", "non-dropping-particle" : "", "parse-names" : false, "suffix" : "" }, { "dropping-particle" : "", "family" : "Graham", "given" : "H. Kerr", "non-dropping-particle" : "", "parse-names" : false, "suffix" : "" } ], "container-title" : "Gait and Posture", "id" : "ITEM-1", "issue" : "1", "issued" : { "date-parts" : [ [ "2013" ] ] }, "page" : "23-28", "publisher" : "Elsevier B.V.", "title" : "Single Event Multilevel Surgery in children with bilateral spastic cerebral palsy: A 5 year prospective cohort study", "type" : "article-journal", "volume" : "37" }, "uris" : [ "http://www.mendeley.com/documents/?uuid=6a0b835f-7b5e-496c-a8b1-f84a4410246b" ] } ], "mendeley" : { "formattedCitation" : "[30]", "plainTextFormattedCitation" : "[30]", "previouslyFormattedCitation" : "[30]" }, "properties" : { "noteIndex" : 0 }, "schema" : "https://github.com/citation-style-language/schema/raw/master/csl-citation.json" }</w:instrText>
      </w:r>
      <w:r w:rsidRPr="008419AB">
        <w:rPr>
          <w:rFonts w:cs="Times New Roman"/>
          <w:szCs w:val="22"/>
          <w:lang w:val="en-US"/>
        </w:rPr>
        <w:fldChar w:fldCharType="separate"/>
      </w:r>
      <w:r w:rsidRPr="008419AB">
        <w:rPr>
          <w:rFonts w:cs="Times New Roman"/>
          <w:noProof/>
          <w:szCs w:val="22"/>
          <w:lang w:val="en-US"/>
        </w:rPr>
        <w:t>[30]</w:t>
      </w:r>
      <w:r w:rsidRPr="008419AB">
        <w:rPr>
          <w:rFonts w:cs="Times New Roman"/>
          <w:szCs w:val="22"/>
          <w:lang w:val="en-US"/>
        </w:rPr>
        <w:fldChar w:fldCharType="end"/>
      </w:r>
      <w:r w:rsidRPr="008419AB">
        <w:rPr>
          <w:rFonts w:cs="Times New Roman"/>
          <w:szCs w:val="22"/>
          <w:lang w:val="en-US"/>
        </w:rPr>
        <w:t xml:space="preserve">. Finally, the study did not control for the effect of subsequent </w:t>
      </w:r>
      <w:r>
        <w:rPr>
          <w:rFonts w:cs="Times New Roman"/>
          <w:szCs w:val="22"/>
          <w:lang w:val="en-US"/>
        </w:rPr>
        <w:t xml:space="preserve">single-level </w:t>
      </w:r>
      <w:r w:rsidRPr="008419AB">
        <w:rPr>
          <w:rFonts w:cs="Times New Roman"/>
          <w:szCs w:val="22"/>
          <w:lang w:val="en-US"/>
        </w:rPr>
        <w:t>surgeries. This may interact with the outcome of SEMLS, but these procedures are inevitable</w:t>
      </w:r>
      <w:r>
        <w:rPr>
          <w:rFonts w:cs="Times New Roman"/>
          <w:szCs w:val="22"/>
          <w:lang w:val="en-US"/>
        </w:rPr>
        <w:t xml:space="preserve"> in retrospective study designs</w:t>
      </w:r>
      <w:r w:rsidRPr="008419AB">
        <w:rPr>
          <w:rFonts w:cs="Times New Roman"/>
          <w:szCs w:val="22"/>
          <w:lang w:val="en-US"/>
        </w:rPr>
        <w:t xml:space="preserve">. </w:t>
      </w:r>
    </w:p>
    <w:p w14:paraId="5E8A0334" w14:textId="77777777" w:rsidR="0071122B" w:rsidRPr="008419AB" w:rsidRDefault="0071122B" w:rsidP="0071122B">
      <w:pPr>
        <w:tabs>
          <w:tab w:val="right" w:pos="426"/>
        </w:tabs>
        <w:spacing w:line="360" w:lineRule="auto"/>
        <w:rPr>
          <w:rFonts w:cs="Times New Roman"/>
          <w:szCs w:val="22"/>
          <w:lang w:val="en-US"/>
        </w:rPr>
      </w:pPr>
      <w:r w:rsidRPr="008419AB">
        <w:rPr>
          <w:rFonts w:cs="Times New Roman"/>
          <w:szCs w:val="22"/>
          <w:lang w:val="en-US"/>
        </w:rPr>
        <w:t>In conclusion, this study examined the long-term effect of SEMLS in ambulatory children with spastic CP and found an overall improvement of gait, which was maintained over the long term. For the prediction, only GPS and knee flexion at initial contact before surgery were found as significant predictors for the effect of SEMLS, but this has to be further investigated in future research</w:t>
      </w:r>
      <w:r>
        <w:rPr>
          <w:rFonts w:cs="Times New Roman"/>
          <w:szCs w:val="22"/>
          <w:lang w:val="en-US"/>
        </w:rPr>
        <w:t xml:space="preserve"> involving larger samples</w:t>
      </w:r>
      <w:r w:rsidRPr="008419AB">
        <w:rPr>
          <w:rFonts w:cs="Times New Roman"/>
          <w:szCs w:val="22"/>
          <w:lang w:val="en-US"/>
        </w:rPr>
        <w:t>.</w:t>
      </w:r>
    </w:p>
    <w:p w14:paraId="68DF8E44" w14:textId="77777777" w:rsidR="00394336" w:rsidRPr="008419AB" w:rsidRDefault="00394336" w:rsidP="00394336">
      <w:pPr>
        <w:tabs>
          <w:tab w:val="right" w:pos="426"/>
        </w:tabs>
        <w:spacing w:line="360" w:lineRule="auto"/>
        <w:rPr>
          <w:rFonts w:cs="Times New Roman"/>
          <w:szCs w:val="22"/>
          <w:lang w:val="en-US"/>
        </w:rPr>
      </w:pPr>
    </w:p>
    <w:p w14:paraId="6361ABA1" w14:textId="77777777" w:rsidR="00394336" w:rsidRPr="00595F5A" w:rsidRDefault="00394336" w:rsidP="00394336">
      <w:pPr>
        <w:tabs>
          <w:tab w:val="right" w:pos="426"/>
        </w:tabs>
        <w:spacing w:line="360" w:lineRule="auto"/>
        <w:rPr>
          <w:rFonts w:asciiTheme="minorHAnsi" w:hAnsiTheme="minorHAnsi" w:cs="Times New Roman"/>
          <w:b/>
          <w:sz w:val="28"/>
          <w:lang w:val="en-US"/>
        </w:rPr>
      </w:pPr>
      <w:r w:rsidRPr="00595F5A">
        <w:rPr>
          <w:rFonts w:asciiTheme="minorHAnsi" w:hAnsiTheme="minorHAnsi" w:cs="Times New Roman"/>
          <w:b/>
          <w:sz w:val="28"/>
          <w:lang w:val="en-US"/>
        </w:rPr>
        <w:t>Conflict of interest</w:t>
      </w:r>
    </w:p>
    <w:p w14:paraId="35023307" w14:textId="77777777" w:rsidR="00394336" w:rsidRPr="008419AB" w:rsidRDefault="00394336" w:rsidP="00394336">
      <w:pPr>
        <w:tabs>
          <w:tab w:val="right" w:pos="426"/>
        </w:tabs>
        <w:spacing w:line="360" w:lineRule="auto"/>
        <w:rPr>
          <w:rFonts w:cs="Times New Roman"/>
          <w:lang w:val="en-US"/>
        </w:rPr>
      </w:pPr>
      <w:r w:rsidRPr="008419AB">
        <w:rPr>
          <w:rFonts w:cs="Times New Roman"/>
          <w:lang w:val="en-US"/>
        </w:rPr>
        <w:t>The authors have no conflict of interest.</w:t>
      </w:r>
    </w:p>
    <w:p w14:paraId="306C70D4" w14:textId="77777777" w:rsidR="00394336" w:rsidRPr="008419AB" w:rsidRDefault="00394336" w:rsidP="00394336">
      <w:pPr>
        <w:tabs>
          <w:tab w:val="right" w:pos="426"/>
        </w:tabs>
        <w:spacing w:line="360" w:lineRule="auto"/>
        <w:rPr>
          <w:rFonts w:cs="Times New Roman"/>
          <w:szCs w:val="22"/>
          <w:lang w:val="en-US"/>
        </w:rPr>
      </w:pPr>
    </w:p>
    <w:p w14:paraId="4B315453" w14:textId="77777777" w:rsidR="00394336" w:rsidRPr="008419AB" w:rsidRDefault="00394336" w:rsidP="00394336">
      <w:pPr>
        <w:tabs>
          <w:tab w:val="right" w:pos="426"/>
        </w:tabs>
        <w:spacing w:line="360" w:lineRule="auto"/>
        <w:rPr>
          <w:rFonts w:ascii="Segoe UI" w:hAnsi="Segoe UI" w:cs="Segoe UI"/>
          <w:sz w:val="23"/>
          <w:szCs w:val="23"/>
          <w:lang w:val="en-US" w:eastAsia="nl-NL"/>
        </w:rPr>
      </w:pPr>
      <w:r w:rsidRPr="008419AB">
        <w:rPr>
          <w:rFonts w:cs="Times New Roman"/>
          <w:szCs w:val="22"/>
          <w:lang w:val="en-US"/>
        </w:rPr>
        <w:br/>
      </w:r>
    </w:p>
    <w:p w14:paraId="3E7CCFCA" w14:textId="77777777" w:rsidR="00394336" w:rsidRPr="008419AB" w:rsidRDefault="00394336" w:rsidP="00394336">
      <w:pPr>
        <w:tabs>
          <w:tab w:val="right" w:pos="426"/>
        </w:tabs>
        <w:spacing w:line="360" w:lineRule="auto"/>
        <w:jc w:val="left"/>
        <w:rPr>
          <w:rFonts w:cs="Times New Roman"/>
          <w:szCs w:val="22"/>
          <w:lang w:val="en-US"/>
        </w:rPr>
      </w:pPr>
      <w:r w:rsidRPr="008419AB">
        <w:rPr>
          <w:rFonts w:cs="Times New Roman"/>
          <w:szCs w:val="22"/>
          <w:lang w:val="en-US"/>
        </w:rPr>
        <w:br/>
      </w:r>
    </w:p>
    <w:p w14:paraId="553C57D7" w14:textId="77777777" w:rsidR="00394336" w:rsidRPr="008419AB" w:rsidRDefault="00394336" w:rsidP="00394336">
      <w:pPr>
        <w:tabs>
          <w:tab w:val="right" w:pos="426"/>
        </w:tabs>
        <w:spacing w:line="360" w:lineRule="auto"/>
        <w:jc w:val="left"/>
        <w:rPr>
          <w:rFonts w:cs="Times New Roman"/>
          <w:szCs w:val="22"/>
          <w:lang w:val="en-US"/>
        </w:rPr>
      </w:pPr>
      <w:r w:rsidRPr="008419AB">
        <w:rPr>
          <w:rFonts w:cs="Times New Roman"/>
          <w:szCs w:val="22"/>
          <w:lang w:val="en-US"/>
        </w:rPr>
        <w:br/>
      </w:r>
    </w:p>
    <w:p w14:paraId="0702BCAF" w14:textId="77777777" w:rsidR="00394336" w:rsidRPr="008419AB"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eastAsia="en-US"/>
        </w:rPr>
      </w:pPr>
      <w:r w:rsidRPr="008419AB">
        <w:rPr>
          <w:rFonts w:ascii="Cambria" w:hAnsi="Cambria" w:cs="Times New Roman"/>
          <w:b/>
          <w:bCs/>
          <w:sz w:val="32"/>
          <w:szCs w:val="26"/>
          <w:lang w:val="en-US" w:eastAsia="en-US"/>
        </w:rPr>
        <w:br/>
      </w:r>
    </w:p>
    <w:p w14:paraId="244989C2" w14:textId="77777777" w:rsidR="00394336"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eastAsia="en-US"/>
        </w:rPr>
      </w:pPr>
    </w:p>
    <w:p w14:paraId="3436AB66" w14:textId="77777777" w:rsidR="00394336" w:rsidRPr="005D2703" w:rsidRDefault="00394336" w:rsidP="00394336">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eastAsia="en-US"/>
        </w:rPr>
      </w:pPr>
      <w:r w:rsidRPr="008419AB">
        <w:rPr>
          <w:rFonts w:ascii="Univers" w:hAnsi="Univers" w:cs="Times New Roman"/>
          <w:b/>
          <w:sz w:val="32"/>
          <w:lang w:val="en-US"/>
        </w:rPr>
        <w:lastRenderedPageBreak/>
        <w:t>References</w:t>
      </w:r>
    </w:p>
    <w:p w14:paraId="305A2C51" w14:textId="610F7FF5"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8419AB">
        <w:rPr>
          <w:rFonts w:eastAsia="Calibri" w:cs="Times New Roman"/>
          <w:szCs w:val="22"/>
          <w:lang w:val="en-US" w:eastAsia="en-US"/>
        </w:rPr>
        <w:fldChar w:fldCharType="begin" w:fldLock="1"/>
      </w:r>
      <w:r w:rsidRPr="008419AB">
        <w:rPr>
          <w:rFonts w:eastAsia="Calibri" w:cs="Times New Roman"/>
          <w:szCs w:val="22"/>
          <w:lang w:val="en-US" w:eastAsia="en-US"/>
        </w:rPr>
        <w:instrText xml:space="preserve">ADDIN Mendeley Bibliography CSL_BIBLIOGRAPHY </w:instrText>
      </w:r>
      <w:r w:rsidRPr="008419AB">
        <w:rPr>
          <w:rFonts w:eastAsia="Calibri" w:cs="Times New Roman"/>
          <w:szCs w:val="22"/>
          <w:lang w:val="en-US" w:eastAsia="en-US"/>
        </w:rPr>
        <w:fldChar w:fldCharType="separate"/>
      </w:r>
      <w:r w:rsidRPr="005D2703">
        <w:rPr>
          <w:rFonts w:cs="Times New Roman"/>
          <w:noProof/>
          <w:szCs w:val="24"/>
          <w:lang w:val="en-US"/>
        </w:rPr>
        <w:t>[1]</w:t>
      </w:r>
      <w:r w:rsidRPr="005D2703">
        <w:rPr>
          <w:rFonts w:cs="Times New Roman"/>
          <w:noProof/>
          <w:szCs w:val="24"/>
          <w:lang w:val="en-US"/>
        </w:rPr>
        <w:tab/>
      </w:r>
      <w:r w:rsidR="0071122B">
        <w:rPr>
          <w:rFonts w:cs="Times New Roman"/>
          <w:noProof/>
          <w:szCs w:val="24"/>
          <w:lang w:val="en-US"/>
        </w:rPr>
        <w:tab/>
      </w:r>
      <w:r w:rsidRPr="005D2703">
        <w:rPr>
          <w:rFonts w:cs="Times New Roman"/>
          <w:noProof/>
          <w:szCs w:val="24"/>
          <w:lang w:val="en-US"/>
        </w:rPr>
        <w:t>U. Narayanan, Management of Children With Ambulatory Cerebral Palsy: An Evide</w:t>
      </w:r>
      <w:r w:rsidRPr="00394336">
        <w:rPr>
          <w:rFonts w:cs="Times New Roman"/>
          <w:noProof/>
          <w:szCs w:val="24"/>
          <w:lang w:val="en-US"/>
        </w:rPr>
        <w:t>nce-based Review, J. Pediatr. Orthop. 32 (2012) 172–181.</w:t>
      </w:r>
    </w:p>
    <w:p w14:paraId="0E62E51D" w14:textId="2AACC3E1"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w:t>
      </w:r>
      <w:r w:rsidRPr="00394336">
        <w:rPr>
          <w:rFonts w:cs="Times New Roman"/>
          <w:noProof/>
          <w:szCs w:val="24"/>
          <w:lang w:val="en-US"/>
        </w:rPr>
        <w:tab/>
      </w:r>
      <w:r w:rsidR="0071122B">
        <w:rPr>
          <w:rFonts w:cs="Times New Roman"/>
          <w:noProof/>
          <w:szCs w:val="24"/>
          <w:lang w:val="en-US"/>
        </w:rPr>
        <w:tab/>
      </w:r>
      <w:r w:rsidRPr="00394336">
        <w:rPr>
          <w:rFonts w:cs="Times New Roman"/>
          <w:noProof/>
          <w:szCs w:val="24"/>
          <w:lang w:val="en-US"/>
        </w:rPr>
        <w:t>C. Cans, Surveillance of cerebral palsy in Europe: a collaboration of cerebral palsy surveys and registers. Surveillance of Cerebral Palsy in Europe (SCPE)., Dev. Med. Child Neurol. 42 (2000) 816–824.</w:t>
      </w:r>
    </w:p>
    <w:p w14:paraId="02FC3A2B" w14:textId="40E35B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w:t>
      </w:r>
      <w:r w:rsidRPr="00394336">
        <w:rPr>
          <w:rFonts w:cs="Times New Roman"/>
          <w:noProof/>
          <w:szCs w:val="24"/>
          <w:lang w:val="en-US"/>
        </w:rPr>
        <w:tab/>
      </w:r>
      <w:r w:rsidR="0071122B">
        <w:rPr>
          <w:rFonts w:cs="Times New Roman"/>
          <w:noProof/>
          <w:szCs w:val="24"/>
          <w:lang w:val="en-US"/>
        </w:rPr>
        <w:tab/>
      </w:r>
      <w:r w:rsidRPr="00394336">
        <w:rPr>
          <w:rFonts w:cs="Times New Roman"/>
          <w:noProof/>
          <w:szCs w:val="24"/>
          <w:lang w:val="en-US"/>
        </w:rPr>
        <w:t>P. Rosenbaum, N. Paneth, A. Leviton, M. Goldstein, M. Bax, D. Damiano, et al., A report: the definition and classification of cerebral palsy., Dev. Med. Child Neurol. Suppl. 109 (2007) 8–14.</w:t>
      </w:r>
    </w:p>
    <w:p w14:paraId="215032AE" w14:textId="6D38BE11"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[4]</w:t>
      </w:r>
      <w:r w:rsidR="0071122B">
        <w:rPr>
          <w:rFonts w:cs="Times New Roman"/>
          <w:noProof/>
          <w:szCs w:val="24"/>
          <w:lang w:val="en-US"/>
        </w:rPr>
        <w:tab/>
      </w:r>
      <w:r w:rsidRPr="00394336">
        <w:rPr>
          <w:rFonts w:cs="Times New Roman"/>
          <w:noProof/>
          <w:szCs w:val="24"/>
          <w:lang w:val="en-US"/>
        </w:rPr>
        <w:tab/>
        <w:t>M. Bax, M. Goldstein, P. Rosenbaum, A. Leviton, N. Paneth, B. Dan, et al., Proposed definition and classification of cerebral palsy, April 2005., Dev. Med. Child Neurol. 47 (2005) 571–6.</w:t>
      </w:r>
    </w:p>
    <w:p w14:paraId="1CB4F364" w14:textId="34E08A36"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[5]</w:t>
      </w:r>
      <w:r w:rsidRPr="00394336">
        <w:rPr>
          <w:rFonts w:cs="Times New Roman"/>
          <w:noProof/>
          <w:szCs w:val="24"/>
          <w:lang w:val="en-US"/>
        </w:rPr>
        <w:tab/>
      </w:r>
      <w:r w:rsidR="0071122B">
        <w:rPr>
          <w:rFonts w:cs="Times New Roman"/>
          <w:noProof/>
          <w:szCs w:val="24"/>
          <w:lang w:val="en-US"/>
        </w:rPr>
        <w:tab/>
      </w:r>
      <w:r w:rsidRPr="00394336">
        <w:rPr>
          <w:rFonts w:cs="Times New Roman"/>
          <w:noProof/>
          <w:szCs w:val="24"/>
          <w:lang w:val="en-US"/>
        </w:rPr>
        <w:t>A. Colver, C. Fairhurst, P.O.D. Pharoah, Cerebral palsy., Lancet. 383 (2014) 1240–9.</w:t>
      </w:r>
    </w:p>
    <w:p w14:paraId="64E9F3F4" w14:textId="25231302"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[6]</w:t>
      </w:r>
      <w:r w:rsidRPr="00394336">
        <w:rPr>
          <w:rFonts w:cs="Times New Roman"/>
          <w:noProof/>
          <w:szCs w:val="24"/>
          <w:lang w:val="en-US"/>
        </w:rPr>
        <w:tab/>
      </w:r>
      <w:r w:rsidR="0071122B">
        <w:rPr>
          <w:rFonts w:cs="Times New Roman"/>
          <w:noProof/>
          <w:szCs w:val="24"/>
          <w:lang w:val="en-US"/>
        </w:rPr>
        <w:tab/>
      </w:r>
      <w:r w:rsidRPr="00394336">
        <w:rPr>
          <w:rFonts w:cs="Times New Roman"/>
          <w:noProof/>
          <w:szCs w:val="24"/>
          <w:lang w:val="en-US"/>
        </w:rPr>
        <w:t>S. a. Rethlefsen, D.D. Ryan, R.M. Kay, Classification systems in cerebral palsy, Orthop. Clin. North Am. 41 (2010) 457–467.</w:t>
      </w:r>
    </w:p>
    <w:p w14:paraId="7E40D36B" w14:textId="4D9D01F4"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[7]</w:t>
      </w:r>
      <w:r w:rsidR="0071122B">
        <w:rPr>
          <w:rFonts w:cs="Times New Roman"/>
          <w:noProof/>
          <w:szCs w:val="24"/>
          <w:lang w:val="en-US"/>
        </w:rPr>
        <w:tab/>
      </w:r>
      <w:r w:rsidRPr="00394336">
        <w:rPr>
          <w:rFonts w:cs="Times New Roman"/>
          <w:noProof/>
          <w:szCs w:val="24"/>
          <w:lang w:val="en-US"/>
        </w:rPr>
        <w:tab/>
        <w:t>J.M. Jacobs, Management options for the child with spastic cerebral palsy., Orthop. Nurs. 20 (2001) 53–59; quiz 59–61.</w:t>
      </w:r>
    </w:p>
    <w:p w14:paraId="17FBB2C6" w14:textId="1B60B965"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[8]</w:t>
      </w:r>
      <w:r w:rsidRPr="00394336">
        <w:rPr>
          <w:rFonts w:cs="Times New Roman"/>
          <w:noProof/>
          <w:szCs w:val="24"/>
          <w:lang w:val="en-US"/>
        </w:rPr>
        <w:tab/>
      </w:r>
      <w:r w:rsidR="0071122B">
        <w:rPr>
          <w:rFonts w:cs="Times New Roman"/>
          <w:noProof/>
          <w:szCs w:val="24"/>
          <w:lang w:val="en-US"/>
        </w:rPr>
        <w:tab/>
      </w:r>
      <w:r w:rsidRPr="00394336">
        <w:rPr>
          <w:rFonts w:cs="Times New Roman"/>
          <w:noProof/>
          <w:szCs w:val="24"/>
          <w:lang w:val="en-US"/>
        </w:rPr>
        <w:t>F.M. Chang, J.T. Rhodes, K.M. Flynn, J.J. Carollo, The role of gait analysis in treating gait abnormalities in cerebral palsy, Orthop. Clin. North Am. 41 (2010) 489–506.</w:t>
      </w:r>
    </w:p>
    <w:p w14:paraId="2E0615FF" w14:textId="68B523AB"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[9]</w:t>
      </w:r>
      <w:r w:rsidRPr="00394336">
        <w:rPr>
          <w:rFonts w:cs="Times New Roman"/>
          <w:noProof/>
          <w:szCs w:val="24"/>
          <w:lang w:val="en-US"/>
        </w:rPr>
        <w:tab/>
      </w:r>
      <w:r w:rsidR="0071122B">
        <w:rPr>
          <w:rFonts w:cs="Times New Roman"/>
          <w:noProof/>
          <w:szCs w:val="24"/>
          <w:lang w:val="en-US"/>
        </w:rPr>
        <w:tab/>
      </w:r>
      <w:r w:rsidRPr="00394336">
        <w:rPr>
          <w:rFonts w:cs="Times New Roman"/>
          <w:noProof/>
          <w:szCs w:val="24"/>
          <w:lang w:val="en-US"/>
        </w:rPr>
        <w:t>R. Norlin, H. Tkaczuk, one-session surgey for correction of lower extremity deformities in children with cerebral palsy, J. Pediatr. Orthop. 5 (1985) 208–211.</w:t>
      </w:r>
    </w:p>
    <w:p w14:paraId="3A8696BA"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[10]</w:t>
      </w:r>
      <w:r w:rsidRPr="00394336">
        <w:rPr>
          <w:rFonts w:cs="Times New Roman"/>
          <w:noProof/>
          <w:szCs w:val="24"/>
          <w:lang w:val="en-US"/>
        </w:rPr>
        <w:tab/>
        <w:t>U.G. Narayanan, The role of gait analysis in the orthopaedic management of ambulatory cerebral palsy., Curr. Opin. Pediatr. 19 (2007) 38–43.</w:t>
      </w:r>
    </w:p>
    <w:p w14:paraId="58513529"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[11]</w:t>
      </w:r>
      <w:r w:rsidRPr="00394336">
        <w:rPr>
          <w:rFonts w:cs="Times New Roman"/>
          <w:noProof/>
          <w:szCs w:val="24"/>
          <w:lang w:val="en-US"/>
        </w:rPr>
        <w:tab/>
        <w:t>J.L. McGinley, F. Dobson, R. Ganeshalingam, B.J. Shore, E. Rutz, H.K. Graham, Single-event multilevel surgery for children with cerebral palsy: A systematic review, Dev. Med. Child Neurol. 54 (2012) 117–128.</w:t>
      </w:r>
    </w:p>
    <w:p w14:paraId="3E714CB2"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[12]</w:t>
      </w:r>
      <w:r w:rsidRPr="00394336">
        <w:rPr>
          <w:rFonts w:cs="Times New Roman"/>
          <w:noProof/>
          <w:szCs w:val="24"/>
          <w:lang w:val="en-US"/>
        </w:rPr>
        <w:tab/>
        <w:t>M. Švehlík, G. Steinwender, T. Kraus, V. Saraph, T. Lehmann, W.E. Linhart, et al., The influence of age at single-event multilevel surgery on outcome in children with cerebral palsy who walk with flexed knee gait, Dev. Med. Child Neurol. 53 (2011) 730–735.</w:t>
      </w:r>
    </w:p>
    <w:p w14:paraId="1B982A99"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[13]</w:t>
      </w:r>
      <w:r w:rsidRPr="00394336">
        <w:rPr>
          <w:rFonts w:cs="Times New Roman"/>
          <w:noProof/>
          <w:szCs w:val="24"/>
          <w:lang w:val="en-US"/>
        </w:rPr>
        <w:tab/>
        <w:t>A. Neve, G. Evans, J. Patrick, Simultaneous multiple operations for spastic diplegia, J Bone Jt. Surg. (1993) 488–494.</w:t>
      </w:r>
    </w:p>
    <w:p w14:paraId="37A6F292"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[14]</w:t>
      </w:r>
      <w:r w:rsidRPr="00394336">
        <w:rPr>
          <w:rFonts w:cs="Times New Roman"/>
          <w:noProof/>
          <w:szCs w:val="24"/>
          <w:lang w:val="en-US"/>
        </w:rPr>
        <w:tab/>
        <w:t>P.A. DeLuca, R.B. Davis, S. Ounpuu, S. Rose, R. Sirkin, Alterations in surgical decision making in patients with cerebral palsy based on three-dimensional gait analysis., J. Pediatr. Orthop. 17 (1997) 608–14.</w:t>
      </w:r>
    </w:p>
    <w:p w14:paraId="1AB48D5A"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[15]</w:t>
      </w:r>
      <w:r w:rsidRPr="00394336">
        <w:rPr>
          <w:rFonts w:cs="Times New Roman"/>
          <w:noProof/>
          <w:szCs w:val="24"/>
          <w:lang w:val="en-US"/>
        </w:rPr>
        <w:tab/>
        <w:t>P. Thomason, J. Rodda, M. Sangeux, P. Selber, Kerr Graham, Management of Children With Ambulatory Cerebral Palsy: An Evidence-based Review. Commentary by Hugh Williamson Gait Laboratory Staff., J. Pediatr. Orthop. 32 Suppl 2 (2012) 182–186.</w:t>
      </w:r>
    </w:p>
    <w:p w14:paraId="1B9F8605"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[16]</w:t>
      </w:r>
      <w:r w:rsidRPr="00394336">
        <w:rPr>
          <w:rFonts w:cs="Times New Roman"/>
          <w:noProof/>
          <w:szCs w:val="24"/>
          <w:lang w:val="en-US"/>
        </w:rPr>
        <w:tab/>
        <w:t>K.J. Bell, S. Ounpuu, P. a DeLuca, M.J. Romness, Natural progression of gait in children with cerebral palsy., J. Pediatr. Orthop. 22 (2002) 677–682.</w:t>
      </w:r>
    </w:p>
    <w:p w14:paraId="51E53CDD"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[17]</w:t>
      </w:r>
      <w:r w:rsidRPr="00394336">
        <w:rPr>
          <w:rFonts w:cs="Times New Roman"/>
          <w:noProof/>
          <w:szCs w:val="24"/>
          <w:lang w:val="en-US"/>
        </w:rPr>
        <w:tab/>
        <w:t>N.M. Bernthal, S.C. Gamradt, R.M. Kay, T. a L. Wren, A. V Cuomo, J. Reid, et al., Static and dynamic gait parameters before and after multilevel soft tissue surgery in ambulating children with cerebral palsy., J. Pediatr. Orthop. 30 (2010) 174–179.</w:t>
      </w:r>
    </w:p>
    <w:p w14:paraId="625CDC53"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[18]</w:t>
      </w:r>
      <w:r w:rsidRPr="00394336">
        <w:rPr>
          <w:rFonts w:cs="Times New Roman"/>
          <w:noProof/>
          <w:szCs w:val="24"/>
          <w:lang w:val="en-US"/>
        </w:rPr>
        <w:tab/>
        <w:t>D. Metaxiotis, S. Wolf, L. Doederlein, Conversion of biarticular to monoarticular muscles as a component of multilevel surgery in spastic diplegia., J. Bone Joint Surg. Br. 86 (2004) 102–109.</w:t>
      </w:r>
    </w:p>
    <w:p w14:paraId="1F7D4787"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[19]</w:t>
      </w:r>
      <w:r w:rsidRPr="00394336">
        <w:rPr>
          <w:rFonts w:cs="Times New Roman"/>
          <w:noProof/>
          <w:szCs w:val="24"/>
          <w:lang w:val="en-US"/>
        </w:rPr>
        <w:tab/>
        <w:t xml:space="preserve">M. Gough, P. Schneider,  a P. Shortland, The outcome of surgical intervention for early </w:t>
      </w:r>
      <w:r w:rsidRPr="00394336">
        <w:rPr>
          <w:rFonts w:cs="Times New Roman"/>
          <w:noProof/>
          <w:szCs w:val="24"/>
          <w:lang w:val="en-US"/>
        </w:rPr>
        <w:lastRenderedPageBreak/>
        <w:t>deformity in young ambulant children with bilateral spastic cerebral palsy., J. Bone Joint Surg. Br. 90 (2008) 946–951.</w:t>
      </w:r>
    </w:p>
    <w:p w14:paraId="242DC4AF"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[20]</w:t>
      </w:r>
      <w:r w:rsidRPr="00394336">
        <w:rPr>
          <w:rFonts w:cs="Times New Roman"/>
          <w:noProof/>
          <w:szCs w:val="24"/>
          <w:lang w:val="en-US"/>
        </w:rPr>
        <w:tab/>
        <w:t>V. Saraph, E.-B. Zwick, G. Zwick, C. Steinwender, G. Steinwender, W. Linhart, Multilevel surgery in spastic diplegia: evaluation by physical examination and gait analysis in 25 children., J. Pediatr. Orthop. 22 (2002) 150–157.</w:t>
      </w:r>
    </w:p>
    <w:p w14:paraId="0ADF41B9" w14:textId="77777777" w:rsidR="00394336" w:rsidRPr="008A691A"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[21]</w:t>
      </w:r>
      <w:r w:rsidRPr="00394336">
        <w:rPr>
          <w:rFonts w:cs="Times New Roman"/>
          <w:noProof/>
          <w:szCs w:val="24"/>
          <w:lang w:val="en-US"/>
        </w:rPr>
        <w:tab/>
        <w:t xml:space="preserve">G.E. Gorton, M.F. Abel, D.J. Oeffinger, A. Bagley, S.P. Rogers, D. Damiano, et al., A prospective cohort study of the effects of lower extremity orthopaedic surgery on outcome measures in ambulatory children with cerebral palsy., J. Pediatr. </w:t>
      </w:r>
      <w:r w:rsidRPr="008A691A">
        <w:rPr>
          <w:rFonts w:cs="Times New Roman"/>
          <w:noProof/>
          <w:szCs w:val="24"/>
          <w:lang w:val="en-US"/>
        </w:rPr>
        <w:t>Orthop. 29 (2009) 903–909.</w:t>
      </w:r>
    </w:p>
    <w:p w14:paraId="31E90902"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[22]</w:t>
      </w:r>
      <w:r w:rsidRPr="00394336">
        <w:rPr>
          <w:rFonts w:cs="Times New Roman"/>
          <w:noProof/>
          <w:szCs w:val="24"/>
          <w:lang w:val="en-US"/>
        </w:rPr>
        <w:tab/>
        <w:t>A. Akerstedt, O. Risto, P. Odman, B. Oberg, Evaluation of single event multilevel surgery and rehabilitation in children and youth with cerebral palsy--A 2-year follow-up study., Disabil. Rehabil. 32 (2010) 530–539.</w:t>
      </w:r>
    </w:p>
    <w:p w14:paraId="540B7169"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[23]</w:t>
      </w:r>
      <w:r w:rsidRPr="00394336">
        <w:rPr>
          <w:rFonts w:cs="Times New Roman"/>
          <w:noProof/>
          <w:szCs w:val="24"/>
          <w:lang w:val="en-US"/>
        </w:rPr>
        <w:tab/>
        <w:t>P. Thomason, R. Baker, K. Dodd, N. Taylor, P. Selber, R. Wolfe, et al., Single-event multilevel surgery in children with spastic diplegia: a pilot randomized controlled trial., J. Bone Joint Surg. Am. 93 (2011) 451–460.</w:t>
      </w:r>
    </w:p>
    <w:p w14:paraId="560AA142" w14:textId="77777777" w:rsidR="00394336" w:rsidRPr="008A691A"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[24]</w:t>
      </w:r>
      <w:r w:rsidRPr="00394336">
        <w:rPr>
          <w:rFonts w:cs="Times New Roman"/>
          <w:noProof/>
          <w:szCs w:val="24"/>
          <w:lang w:val="en-US"/>
        </w:rPr>
        <w:tab/>
        <w:t xml:space="preserve">M. Gough, L.C. Eve, R.O. Robinson, A.P. Shortland, Short-term outcome of multilevel surgical intervention in spastic diplegic cerebral palsy compared with the natural history., Dev. Med. </w:t>
      </w:r>
      <w:r w:rsidRPr="008A691A">
        <w:rPr>
          <w:rFonts w:cs="Times New Roman"/>
          <w:noProof/>
          <w:szCs w:val="24"/>
          <w:lang w:val="en-US"/>
        </w:rPr>
        <w:t>Child Neurol. 46 (2004) 91–97.</w:t>
      </w:r>
    </w:p>
    <w:p w14:paraId="70D95231"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[25]</w:t>
      </w:r>
      <w:r w:rsidRPr="00394336">
        <w:rPr>
          <w:rFonts w:cs="Times New Roman"/>
          <w:noProof/>
          <w:szCs w:val="24"/>
          <w:lang w:val="en-US"/>
        </w:rPr>
        <w:tab/>
        <w:t>J.M. Rodda, H.K. Graham, G.R. Nattrass, M.P. Galea, R. Baker, R. Wolfe, Correction of severe crouch gait in patients with spastic diplegia with use of multilevel orthopaedic surgery., J. Bone Joint Surg. Am. 88 (2006) 2653–2664.</w:t>
      </w:r>
    </w:p>
    <w:p w14:paraId="5C330D3F" w14:textId="77777777" w:rsidR="00394336" w:rsidRPr="008A691A"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[26]</w:t>
      </w:r>
      <w:r w:rsidRPr="00394336">
        <w:rPr>
          <w:rFonts w:cs="Times New Roman"/>
          <w:noProof/>
          <w:szCs w:val="24"/>
          <w:lang w:val="en-US"/>
        </w:rPr>
        <w:tab/>
        <w:t xml:space="preserve">M.E. Gannotti, G.E. Gorton, M.T. Nahorniak, P.D. Masso, B. Landry, J. Lyman, et al., Postoperative gait velocity and mean knee flexion in stance of ambulatory children with spastic diplegia four years or more after multilevel surgery., J. Pediatr. </w:t>
      </w:r>
      <w:r w:rsidRPr="008A691A">
        <w:rPr>
          <w:rFonts w:cs="Times New Roman"/>
          <w:noProof/>
          <w:szCs w:val="24"/>
          <w:lang w:val="en-US"/>
        </w:rPr>
        <w:t>Orthop. 27 (2007) 451–456.</w:t>
      </w:r>
    </w:p>
    <w:p w14:paraId="2D901602" w14:textId="77777777" w:rsidR="00394336" w:rsidRPr="008A691A"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[27]</w:t>
      </w:r>
      <w:r w:rsidRPr="00394336">
        <w:rPr>
          <w:rFonts w:cs="Times New Roman"/>
          <w:noProof/>
          <w:szCs w:val="24"/>
          <w:lang w:val="en-US"/>
        </w:rPr>
        <w:tab/>
        <w:t xml:space="preserve">S.E. Adolfsen, S. Ounpuu, K.J. Bell, P. a DeLuca, Kinematic and kinetic outcomes after identical multilevel soft tissue surgery in children with cerebral palsy., J. Pediatr. </w:t>
      </w:r>
      <w:r w:rsidRPr="008A691A">
        <w:rPr>
          <w:rFonts w:cs="Times New Roman"/>
          <w:noProof/>
          <w:szCs w:val="24"/>
          <w:lang w:val="en-US"/>
        </w:rPr>
        <w:t>Orthop. 27 (2007) 658–667.</w:t>
      </w:r>
    </w:p>
    <w:p w14:paraId="0BA928B1" w14:textId="77777777" w:rsidR="00394336" w:rsidRPr="008A691A"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[28]</w:t>
      </w:r>
      <w:r w:rsidRPr="00394336">
        <w:rPr>
          <w:rFonts w:cs="Times New Roman"/>
          <w:noProof/>
          <w:szCs w:val="24"/>
          <w:lang w:val="en-US"/>
        </w:rPr>
        <w:tab/>
        <w:t xml:space="preserve">A. Harvey, P. Rosenbaum, S. Hanna, R. Yousefi-Nooraie, H.K. Graham, Longitudinal changes in mobility following single-event multilevel surgery in ambulatory children with cerebral palsy, J. Rehabil. </w:t>
      </w:r>
      <w:r w:rsidRPr="008A691A">
        <w:rPr>
          <w:rFonts w:cs="Times New Roman"/>
          <w:noProof/>
          <w:szCs w:val="24"/>
          <w:lang w:val="en-US"/>
        </w:rPr>
        <w:t>Med. 44 (2012) 137–143.</w:t>
      </w:r>
    </w:p>
    <w:p w14:paraId="738AB93B" w14:textId="77777777" w:rsidR="00394336" w:rsidRPr="008A691A"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[29]</w:t>
      </w:r>
      <w:r w:rsidRPr="00394336">
        <w:rPr>
          <w:rFonts w:cs="Times New Roman"/>
          <w:noProof/>
          <w:szCs w:val="24"/>
          <w:lang w:val="en-US"/>
        </w:rPr>
        <w:tab/>
        <w:t xml:space="preserve">V. Saraph, E.-B. Zwick, C. Auner, F. Schneider, G. Steinwender, W. Linhart, Gait improvement surgery in diplegic children: how long do the improvements last?, J. Pediatr. </w:t>
      </w:r>
      <w:r w:rsidRPr="008A691A">
        <w:rPr>
          <w:rFonts w:cs="Times New Roman"/>
          <w:noProof/>
          <w:szCs w:val="24"/>
          <w:lang w:val="en-US"/>
        </w:rPr>
        <w:t>Orthop. 25 (2005) 263–267.</w:t>
      </w:r>
    </w:p>
    <w:p w14:paraId="2BF10FB6" w14:textId="77777777" w:rsidR="00394336" w:rsidRPr="008A691A"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[30]</w:t>
      </w:r>
      <w:r w:rsidRPr="00394336">
        <w:rPr>
          <w:rFonts w:cs="Times New Roman"/>
          <w:noProof/>
          <w:szCs w:val="24"/>
          <w:lang w:val="en-US"/>
        </w:rPr>
        <w:tab/>
        <w:t xml:space="preserve">P. Thomason, P. Selber, H.K. Graham, Single Event Multilevel Surgery in children with bilateral spastic cerebral palsy: A 5 year prospective cohort study, Gait Posture. </w:t>
      </w:r>
      <w:r w:rsidRPr="008A691A">
        <w:rPr>
          <w:rFonts w:cs="Times New Roman"/>
          <w:noProof/>
          <w:szCs w:val="24"/>
          <w:lang w:val="en-US"/>
        </w:rPr>
        <w:t>37 (2013) 23–28.</w:t>
      </w:r>
    </w:p>
    <w:p w14:paraId="59F47595" w14:textId="77777777" w:rsidR="00394336" w:rsidRPr="008A691A"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[31]</w:t>
      </w:r>
      <w:r w:rsidRPr="00394336">
        <w:rPr>
          <w:rFonts w:cs="Times New Roman"/>
          <w:noProof/>
          <w:szCs w:val="24"/>
          <w:lang w:val="en-US"/>
        </w:rPr>
        <w:tab/>
        <w:t xml:space="preserve">E.M. Godwin, C.R. Spero, L. Nof, R.R. Rosenthal, J.L. Echternach, The gross motor function classification system for cerebral palsy and single-event multilevel surgery: is there a relationship between level of function and intervention over time?, J. Pediatr. </w:t>
      </w:r>
      <w:r w:rsidRPr="008A691A">
        <w:rPr>
          <w:rFonts w:cs="Times New Roman"/>
          <w:noProof/>
          <w:szCs w:val="24"/>
          <w:lang w:val="en-US"/>
        </w:rPr>
        <w:t>Orthop. 29 (2009) 910–915.</w:t>
      </w:r>
    </w:p>
    <w:p w14:paraId="124FC560"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[32]</w:t>
      </w:r>
      <w:r w:rsidRPr="00394336">
        <w:rPr>
          <w:rFonts w:cs="Times New Roman"/>
          <w:noProof/>
          <w:szCs w:val="24"/>
          <w:lang w:val="en-US"/>
        </w:rPr>
        <w:tab/>
        <w:t>M.E. Gannotti, G.E. Gorton, M.T. Nahorniak, P.D. Masso, Walking abilities of young adults with cerebral palsy: Changes after multilevel surgery and adolescence, Gait Posture. 32 (2010) 46–52.</w:t>
      </w:r>
    </w:p>
    <w:p w14:paraId="1953AB1A"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[33]</w:t>
      </w:r>
      <w:r w:rsidRPr="00394336">
        <w:rPr>
          <w:rFonts w:cs="Times New Roman"/>
          <w:noProof/>
          <w:szCs w:val="24"/>
          <w:lang w:val="en-US"/>
        </w:rPr>
        <w:tab/>
        <w:t>G.B. Firth, E. Passmore, M. Sangeux, P. Thomason, J. Rodda, B. Pt, et al., Multilevel Surgery for Equinus Gait in Children, J. Bone Jt. Surgery, Am. 95 (2013) 931–938.</w:t>
      </w:r>
    </w:p>
    <w:p w14:paraId="39D7B2E7"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[34]</w:t>
      </w:r>
      <w:r w:rsidRPr="00394336">
        <w:rPr>
          <w:rFonts w:cs="Times New Roman"/>
          <w:noProof/>
          <w:szCs w:val="24"/>
          <w:lang w:val="en-US"/>
        </w:rPr>
        <w:tab/>
        <w:t xml:space="preserve">K.H. Sung, C.Y. Chung, K.M. Lee, B. Akhmedov, S.Y. Lee, I.H. Choi, et al., Long term outcome of single event multilevel surgery in spastic diplegia with flexed knee gait, Gait Posture. 37 </w:t>
      </w:r>
      <w:r w:rsidRPr="00394336">
        <w:rPr>
          <w:rFonts w:cs="Times New Roman"/>
          <w:noProof/>
          <w:szCs w:val="24"/>
          <w:lang w:val="en-US"/>
        </w:rPr>
        <w:lastRenderedPageBreak/>
        <w:t>(2013) 536–541.</w:t>
      </w:r>
    </w:p>
    <w:p w14:paraId="22F71313"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[35]</w:t>
      </w:r>
      <w:r w:rsidRPr="00394336">
        <w:rPr>
          <w:rFonts w:cs="Times New Roman"/>
          <w:noProof/>
          <w:szCs w:val="24"/>
          <w:lang w:val="en-US"/>
        </w:rPr>
        <w:tab/>
        <w:t>M. Švehlík, G. Steinwender, T. Lehmann, T. Kraus, Predictors of outcome after single-event multilevel surgery in children with cerebral palsy: a retrospective ten-year follow-up study., Bone Joint J. 98-B (2016) 278–81.</w:t>
      </w:r>
    </w:p>
    <w:p w14:paraId="7BA37A7E"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[36]</w:t>
      </w:r>
      <w:r w:rsidRPr="00394336">
        <w:rPr>
          <w:rFonts w:cs="Times New Roman"/>
          <w:noProof/>
          <w:szCs w:val="24"/>
          <w:lang w:val="en-US"/>
        </w:rPr>
        <w:tab/>
        <w:t>R. Baker, J.L. McGinley, M.H. Schwartz, S. Beynon, A. Rozumalski, H.K. Graham, et al., The Gait Profile Score and Movement Analysis Profile, Gait Posture. 30 (2009) 265–269.</w:t>
      </w:r>
    </w:p>
    <w:p w14:paraId="499F35A0" w14:textId="77777777" w:rsidR="00394336" w:rsidRPr="00394336" w:rsidRDefault="00394336" w:rsidP="00394336">
      <w:pPr>
        <w:widowControl w:val="0"/>
        <w:autoSpaceDE w:val="0"/>
        <w:autoSpaceDN w:val="0"/>
        <w:adjustRightInd w:val="0"/>
        <w:spacing w:before="100" w:after="100"/>
        <w:ind w:left="640" w:hanging="640"/>
        <w:rPr>
          <w:rFonts w:cs="Times New Roman"/>
          <w:noProof/>
          <w:szCs w:val="24"/>
          <w:lang w:val="en-US"/>
        </w:rPr>
      </w:pPr>
      <w:r w:rsidRPr="00394336">
        <w:rPr>
          <w:rFonts w:cs="Times New Roman"/>
          <w:noProof/>
          <w:szCs w:val="24"/>
          <w:lang w:val="en-US"/>
        </w:rPr>
        <w:t>[37]</w:t>
      </w:r>
      <w:r w:rsidRPr="00394336">
        <w:rPr>
          <w:rFonts w:cs="Times New Roman"/>
          <w:noProof/>
          <w:szCs w:val="24"/>
          <w:lang w:val="en-US"/>
        </w:rPr>
        <w:tab/>
        <w:t>M.L. McMulkin, B.A. MacWilliams, Application of the Gillette Gait Index, Gait Deviation Index and Gait Profile Score to multiple clinical pediatric populations, Gait Posture. 41 (2014) 608–612.</w:t>
      </w:r>
    </w:p>
    <w:p w14:paraId="7BD90CB8" w14:textId="77777777" w:rsidR="00394336" w:rsidRPr="008A691A" w:rsidRDefault="00394336" w:rsidP="00394336">
      <w:pPr>
        <w:widowControl w:val="0"/>
        <w:autoSpaceDE w:val="0"/>
        <w:autoSpaceDN w:val="0"/>
        <w:adjustRightInd w:val="0"/>
        <w:spacing w:before="100" w:after="100"/>
        <w:ind w:left="640" w:hanging="640"/>
        <w:rPr>
          <w:noProof/>
          <w:lang w:val="en-US"/>
        </w:rPr>
      </w:pPr>
      <w:r w:rsidRPr="00394336">
        <w:rPr>
          <w:rFonts w:cs="Times New Roman"/>
          <w:noProof/>
          <w:szCs w:val="24"/>
          <w:lang w:val="en-US"/>
        </w:rPr>
        <w:t>[38]</w:t>
      </w:r>
      <w:r w:rsidRPr="00394336">
        <w:rPr>
          <w:rFonts w:cs="Times New Roman"/>
          <w:noProof/>
          <w:szCs w:val="24"/>
          <w:lang w:val="en-US"/>
        </w:rPr>
        <w:tab/>
        <w:t xml:space="preserve">S. Ounpuu, P. DeLuca, R. Davis, M. Romness, Long-term effects of femoral derotation osteotomies: an evaluation using three-dimensional gait analysis., J. Pediatr. </w:t>
      </w:r>
      <w:r w:rsidRPr="008A691A">
        <w:rPr>
          <w:rFonts w:cs="Times New Roman"/>
          <w:noProof/>
          <w:szCs w:val="24"/>
          <w:lang w:val="en-US"/>
        </w:rPr>
        <w:t>Orthop. 22 (2002) 139–45.</w:t>
      </w:r>
    </w:p>
    <w:p w14:paraId="50C9E7A1" w14:textId="77777777" w:rsidR="00394336" w:rsidRPr="008419AB" w:rsidRDefault="00394336" w:rsidP="00394336">
      <w:pPr>
        <w:widowControl w:val="0"/>
        <w:autoSpaceDE w:val="0"/>
        <w:autoSpaceDN w:val="0"/>
        <w:adjustRightInd w:val="0"/>
        <w:spacing w:before="100" w:after="100"/>
        <w:ind w:left="640" w:hanging="640"/>
        <w:rPr>
          <w:rFonts w:eastAsia="Calibri" w:cs="Times New Roman"/>
          <w:szCs w:val="22"/>
          <w:lang w:val="en-US" w:eastAsia="en-US"/>
        </w:rPr>
      </w:pPr>
      <w:r w:rsidRPr="008419AB">
        <w:rPr>
          <w:rFonts w:eastAsia="Calibri" w:cs="Times New Roman"/>
          <w:szCs w:val="22"/>
          <w:lang w:val="en-US" w:eastAsia="en-US"/>
        </w:rPr>
        <w:fldChar w:fldCharType="end"/>
      </w:r>
    </w:p>
    <w:p w14:paraId="6CC7DDD5" w14:textId="77777777" w:rsidR="008419AB" w:rsidRPr="008419AB" w:rsidRDefault="008419AB" w:rsidP="008419AB">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4A96261F" w14:textId="77777777" w:rsidR="008419AB" w:rsidRPr="008419AB" w:rsidRDefault="008419AB" w:rsidP="008419AB">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7D4142E8" w14:textId="77777777" w:rsidR="008419AB" w:rsidRPr="008419AB" w:rsidRDefault="008419AB" w:rsidP="008419AB">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4BB0C1B5" w14:textId="77777777" w:rsidR="008419AB" w:rsidRPr="008419AB" w:rsidRDefault="008419AB" w:rsidP="008419AB">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5704074E" w14:textId="77777777" w:rsidR="008419AB" w:rsidRPr="008419AB" w:rsidRDefault="008419AB" w:rsidP="008419AB">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rPr>
      </w:pPr>
    </w:p>
    <w:p w14:paraId="50993146" w14:textId="77777777" w:rsidR="008419AB" w:rsidRPr="00FC75D1" w:rsidRDefault="008419AB" w:rsidP="008419AB">
      <w:pPr>
        <w:spacing w:line="360" w:lineRule="auto"/>
        <w:jc w:val="left"/>
        <w:rPr>
          <w:lang w:val="en-US"/>
        </w:rPr>
      </w:pPr>
    </w:p>
    <w:p w14:paraId="20042086" w14:textId="77777777" w:rsidR="008419AB" w:rsidRPr="00FC75D1" w:rsidRDefault="008419AB" w:rsidP="003E2FBA">
      <w:pPr>
        <w:spacing w:line="360" w:lineRule="auto"/>
        <w:jc w:val="center"/>
        <w:rPr>
          <w:lang w:val="en-US"/>
        </w:rPr>
      </w:pPr>
    </w:p>
    <w:p w14:paraId="59608334" w14:textId="77777777" w:rsidR="008419AB" w:rsidRPr="00FC75D1" w:rsidRDefault="008419AB" w:rsidP="003E2FBA">
      <w:pPr>
        <w:spacing w:line="360" w:lineRule="auto"/>
        <w:jc w:val="center"/>
        <w:rPr>
          <w:lang w:val="en-US"/>
        </w:rPr>
      </w:pPr>
    </w:p>
    <w:p w14:paraId="66964984" w14:textId="77777777" w:rsidR="008419AB" w:rsidRDefault="008419AB" w:rsidP="003E2FBA">
      <w:pPr>
        <w:spacing w:line="360" w:lineRule="auto"/>
        <w:jc w:val="center"/>
        <w:rPr>
          <w:lang w:val="en-US"/>
        </w:rPr>
      </w:pPr>
    </w:p>
    <w:p w14:paraId="2E8F2ED0" w14:textId="77777777" w:rsidR="00440209" w:rsidRDefault="00440209" w:rsidP="003E2FBA">
      <w:pPr>
        <w:spacing w:line="360" w:lineRule="auto"/>
        <w:jc w:val="center"/>
        <w:rPr>
          <w:lang w:val="en-US"/>
        </w:rPr>
      </w:pPr>
    </w:p>
    <w:p w14:paraId="46039D94" w14:textId="77777777" w:rsidR="00440209" w:rsidRDefault="00440209" w:rsidP="003E2FBA">
      <w:pPr>
        <w:spacing w:line="360" w:lineRule="auto"/>
        <w:jc w:val="center"/>
        <w:rPr>
          <w:lang w:val="en-US"/>
        </w:rPr>
      </w:pPr>
    </w:p>
    <w:p w14:paraId="13C12391" w14:textId="77777777" w:rsidR="00440209" w:rsidRDefault="00440209" w:rsidP="003E2FBA">
      <w:pPr>
        <w:spacing w:line="360" w:lineRule="auto"/>
        <w:jc w:val="center"/>
        <w:rPr>
          <w:lang w:val="en-US"/>
        </w:rPr>
      </w:pPr>
    </w:p>
    <w:p w14:paraId="737E1B42" w14:textId="77777777" w:rsidR="00440209" w:rsidRPr="00FC75D1" w:rsidRDefault="00440209" w:rsidP="003E2FBA">
      <w:pPr>
        <w:spacing w:line="360" w:lineRule="auto"/>
        <w:jc w:val="center"/>
        <w:rPr>
          <w:lang w:val="en-US"/>
        </w:rPr>
      </w:pPr>
    </w:p>
    <w:p w14:paraId="47E8ABE9" w14:textId="77777777" w:rsidR="008419AB" w:rsidRPr="00FC75D1" w:rsidRDefault="008419AB" w:rsidP="003E2FBA">
      <w:pPr>
        <w:spacing w:line="360" w:lineRule="auto"/>
        <w:jc w:val="center"/>
        <w:rPr>
          <w:lang w:val="en-US"/>
        </w:rPr>
      </w:pPr>
    </w:p>
    <w:p w14:paraId="4417EA14" w14:textId="77777777" w:rsidR="008419AB" w:rsidRPr="00FC75D1" w:rsidRDefault="008419AB" w:rsidP="003E2FBA">
      <w:pPr>
        <w:spacing w:line="360" w:lineRule="auto"/>
        <w:jc w:val="center"/>
        <w:rPr>
          <w:lang w:val="en-US"/>
        </w:rPr>
      </w:pPr>
    </w:p>
    <w:p w14:paraId="647BD256" w14:textId="77777777" w:rsidR="008419AB" w:rsidRDefault="008419AB" w:rsidP="003E2FBA">
      <w:pPr>
        <w:spacing w:line="360" w:lineRule="auto"/>
        <w:jc w:val="center"/>
        <w:rPr>
          <w:lang w:val="en-US"/>
        </w:rPr>
      </w:pPr>
    </w:p>
    <w:p w14:paraId="7D411B9C" w14:textId="77777777" w:rsidR="00394336" w:rsidRDefault="00394336" w:rsidP="003E2FBA">
      <w:pPr>
        <w:spacing w:line="360" w:lineRule="auto"/>
        <w:jc w:val="center"/>
        <w:rPr>
          <w:lang w:val="en-US"/>
        </w:rPr>
      </w:pPr>
    </w:p>
    <w:p w14:paraId="45CD1EDE" w14:textId="77777777" w:rsidR="00394336" w:rsidRDefault="00394336" w:rsidP="003E2FBA">
      <w:pPr>
        <w:spacing w:line="360" w:lineRule="auto"/>
        <w:jc w:val="center"/>
        <w:rPr>
          <w:lang w:val="en-US"/>
        </w:rPr>
      </w:pPr>
    </w:p>
    <w:p w14:paraId="6925F367" w14:textId="77777777" w:rsidR="00394336" w:rsidRDefault="00394336" w:rsidP="003E2FBA">
      <w:pPr>
        <w:spacing w:line="360" w:lineRule="auto"/>
        <w:jc w:val="center"/>
        <w:rPr>
          <w:lang w:val="en-US"/>
        </w:rPr>
      </w:pPr>
    </w:p>
    <w:p w14:paraId="6FF79E91" w14:textId="77777777" w:rsidR="00394336" w:rsidRDefault="00394336" w:rsidP="003E2FBA">
      <w:pPr>
        <w:spacing w:line="360" w:lineRule="auto"/>
        <w:jc w:val="center"/>
        <w:rPr>
          <w:lang w:val="en-US"/>
        </w:rPr>
      </w:pPr>
    </w:p>
    <w:p w14:paraId="098B0CF3" w14:textId="77777777" w:rsidR="00394336" w:rsidRPr="00FC75D1" w:rsidRDefault="00394336" w:rsidP="003E2FBA">
      <w:pPr>
        <w:spacing w:line="360" w:lineRule="auto"/>
        <w:jc w:val="center"/>
        <w:rPr>
          <w:lang w:val="en-US"/>
        </w:rPr>
      </w:pPr>
    </w:p>
    <w:p w14:paraId="367C8BE3" w14:textId="77777777" w:rsidR="008419AB" w:rsidRPr="00FC75D1" w:rsidRDefault="008419AB" w:rsidP="003E2FBA">
      <w:pPr>
        <w:spacing w:line="360" w:lineRule="auto"/>
        <w:jc w:val="center"/>
        <w:rPr>
          <w:lang w:val="en-US"/>
        </w:rPr>
      </w:pPr>
    </w:p>
    <w:p w14:paraId="630F537D" w14:textId="77777777" w:rsidR="008419AB" w:rsidRPr="00FC75D1" w:rsidRDefault="008419AB" w:rsidP="003E2FBA">
      <w:pPr>
        <w:spacing w:line="360" w:lineRule="auto"/>
        <w:jc w:val="center"/>
        <w:rPr>
          <w:lang w:val="en-US"/>
        </w:rPr>
      </w:pPr>
    </w:p>
    <w:p w14:paraId="5E02BBF3" w14:textId="77777777" w:rsidR="008419AB" w:rsidRPr="008E0B44" w:rsidRDefault="00FC75D1" w:rsidP="00FC75D1">
      <w:pPr>
        <w:spacing w:line="360" w:lineRule="auto"/>
        <w:jc w:val="left"/>
        <w:rPr>
          <w:rFonts w:asciiTheme="minorHAnsi" w:hAnsiTheme="minorHAnsi"/>
          <w:b/>
          <w:sz w:val="32"/>
          <w:lang w:val="en-US"/>
        </w:rPr>
      </w:pPr>
      <w:r w:rsidRPr="008E0B44">
        <w:rPr>
          <w:rFonts w:asciiTheme="minorHAnsi" w:hAnsiTheme="minorHAnsi"/>
          <w:b/>
          <w:sz w:val="32"/>
          <w:lang w:val="en-US"/>
        </w:rPr>
        <w:lastRenderedPageBreak/>
        <w:t>APPENDICES</w:t>
      </w:r>
    </w:p>
    <w:p w14:paraId="29F13571" w14:textId="77777777" w:rsidR="003C2E5A" w:rsidRPr="008E0B44" w:rsidRDefault="003C2E5A" w:rsidP="00FC75D1">
      <w:pPr>
        <w:spacing w:line="360" w:lineRule="auto"/>
        <w:jc w:val="left"/>
        <w:rPr>
          <w:rFonts w:asciiTheme="minorHAnsi" w:hAnsiTheme="minorHAnsi"/>
          <w:b/>
          <w:sz w:val="32"/>
          <w:lang w:val="en-US"/>
        </w:rPr>
      </w:pPr>
    </w:p>
    <w:p w14:paraId="259BF390" w14:textId="77777777" w:rsidR="007E11CC" w:rsidRDefault="007E11CC" w:rsidP="00FC75D1">
      <w:pPr>
        <w:spacing w:line="360" w:lineRule="auto"/>
        <w:jc w:val="left"/>
        <w:rPr>
          <w:rFonts w:asciiTheme="minorHAnsi" w:hAnsiTheme="minorHAnsi"/>
          <w:b/>
          <w:sz w:val="28"/>
          <w:lang w:val="en-US"/>
        </w:rPr>
      </w:pPr>
      <w:r w:rsidRPr="007E11CC">
        <w:rPr>
          <w:rFonts w:asciiTheme="minorHAnsi" w:hAnsiTheme="minorHAnsi"/>
          <w:b/>
          <w:sz w:val="28"/>
          <w:lang w:val="en-US"/>
        </w:rPr>
        <w:t>Appendix I: Graphs primary and secondary outcome measures</w:t>
      </w:r>
      <w:r>
        <w:rPr>
          <w:rFonts w:asciiTheme="minorHAnsi" w:hAnsiTheme="minorHAnsi"/>
          <w:b/>
          <w:sz w:val="28"/>
          <w:lang w:val="en-US"/>
        </w:rPr>
        <w:t xml:space="preserve"> over time</w:t>
      </w:r>
      <w:r w:rsidR="003C2E5A">
        <w:rPr>
          <w:rFonts w:asciiTheme="minorHAnsi" w:hAnsiTheme="minorHAnsi"/>
          <w:b/>
          <w:sz w:val="28"/>
          <w:lang w:val="en-US"/>
        </w:rPr>
        <w:br/>
      </w:r>
      <w:r w:rsidR="003C2E5A">
        <w:rPr>
          <w:rFonts w:asciiTheme="minorHAnsi" w:hAnsiTheme="minorHAnsi"/>
          <w:b/>
          <w:sz w:val="28"/>
          <w:lang w:val="en-US"/>
        </w:rPr>
        <w:br/>
      </w:r>
      <w:r>
        <w:rPr>
          <w:rFonts w:asciiTheme="minorHAnsi" w:hAnsiTheme="minorHAnsi"/>
          <w:b/>
          <w:sz w:val="28"/>
          <w:lang w:val="en-US"/>
        </w:rPr>
        <w:t xml:space="preserve">Appendix II: </w:t>
      </w:r>
      <w:proofErr w:type="spellStart"/>
      <w:r>
        <w:rPr>
          <w:rFonts w:asciiTheme="minorHAnsi" w:hAnsiTheme="minorHAnsi"/>
          <w:b/>
          <w:sz w:val="28"/>
          <w:lang w:val="en-US"/>
        </w:rPr>
        <w:t>Populaire</w:t>
      </w:r>
      <w:proofErr w:type="spellEnd"/>
      <w:r>
        <w:rPr>
          <w:rFonts w:asciiTheme="minorHAnsi" w:hAnsiTheme="minorHAnsi"/>
          <w:b/>
          <w:sz w:val="28"/>
          <w:lang w:val="en-US"/>
        </w:rPr>
        <w:t xml:space="preserve"> </w:t>
      </w:r>
      <w:proofErr w:type="spellStart"/>
      <w:r>
        <w:rPr>
          <w:rFonts w:asciiTheme="minorHAnsi" w:hAnsiTheme="minorHAnsi"/>
          <w:b/>
          <w:sz w:val="28"/>
          <w:lang w:val="en-US"/>
        </w:rPr>
        <w:t>samenvatting</w:t>
      </w:r>
      <w:proofErr w:type="spellEnd"/>
      <w:r w:rsidR="003C2E5A">
        <w:rPr>
          <w:rFonts w:asciiTheme="minorHAnsi" w:hAnsiTheme="minorHAnsi"/>
          <w:b/>
          <w:sz w:val="28"/>
          <w:lang w:val="en-US"/>
        </w:rPr>
        <w:br/>
      </w:r>
      <w:r w:rsidR="003C2E5A">
        <w:rPr>
          <w:rFonts w:asciiTheme="minorHAnsi" w:hAnsiTheme="minorHAnsi"/>
          <w:b/>
          <w:sz w:val="28"/>
          <w:lang w:val="en-US"/>
        </w:rPr>
        <w:br/>
      </w:r>
      <w:r>
        <w:rPr>
          <w:rFonts w:asciiTheme="minorHAnsi" w:hAnsiTheme="minorHAnsi"/>
          <w:b/>
          <w:sz w:val="28"/>
          <w:lang w:val="en-US"/>
        </w:rPr>
        <w:t>Appendix III: Author guidelines</w:t>
      </w:r>
    </w:p>
    <w:p w14:paraId="6ADBA809" w14:textId="77777777" w:rsidR="003C2E5A" w:rsidRDefault="003C2E5A" w:rsidP="00FC75D1">
      <w:pPr>
        <w:spacing w:line="360" w:lineRule="auto"/>
        <w:jc w:val="left"/>
        <w:rPr>
          <w:rFonts w:asciiTheme="minorHAnsi" w:hAnsiTheme="minorHAnsi"/>
          <w:b/>
          <w:sz w:val="28"/>
          <w:lang w:val="en-US"/>
        </w:rPr>
      </w:pPr>
    </w:p>
    <w:p w14:paraId="07CA617A" w14:textId="77777777" w:rsidR="003C2E5A" w:rsidRDefault="003C2E5A" w:rsidP="00FC75D1">
      <w:pPr>
        <w:spacing w:line="360" w:lineRule="auto"/>
        <w:jc w:val="left"/>
        <w:rPr>
          <w:rFonts w:asciiTheme="minorHAnsi" w:hAnsiTheme="minorHAnsi"/>
          <w:b/>
          <w:sz w:val="28"/>
          <w:lang w:val="en-US"/>
        </w:rPr>
      </w:pPr>
    </w:p>
    <w:p w14:paraId="7A0A30B3" w14:textId="77777777" w:rsidR="003C2E5A" w:rsidRDefault="003C2E5A" w:rsidP="00FC75D1">
      <w:pPr>
        <w:spacing w:line="360" w:lineRule="auto"/>
        <w:jc w:val="left"/>
        <w:rPr>
          <w:rFonts w:asciiTheme="minorHAnsi" w:hAnsiTheme="minorHAnsi"/>
          <w:b/>
          <w:sz w:val="28"/>
          <w:lang w:val="en-US"/>
        </w:rPr>
      </w:pPr>
    </w:p>
    <w:p w14:paraId="73FB49BF" w14:textId="77777777" w:rsidR="003C2E5A" w:rsidRDefault="003C2E5A" w:rsidP="00FC75D1">
      <w:pPr>
        <w:spacing w:line="360" w:lineRule="auto"/>
        <w:jc w:val="left"/>
        <w:rPr>
          <w:rFonts w:asciiTheme="minorHAnsi" w:hAnsiTheme="minorHAnsi"/>
          <w:b/>
          <w:sz w:val="28"/>
          <w:lang w:val="en-US"/>
        </w:rPr>
      </w:pPr>
    </w:p>
    <w:p w14:paraId="0A491502" w14:textId="77777777" w:rsidR="003C2E5A" w:rsidRDefault="003C2E5A" w:rsidP="00FC75D1">
      <w:pPr>
        <w:spacing w:line="360" w:lineRule="auto"/>
        <w:jc w:val="left"/>
        <w:rPr>
          <w:rFonts w:asciiTheme="minorHAnsi" w:hAnsiTheme="minorHAnsi"/>
          <w:b/>
          <w:sz w:val="28"/>
          <w:lang w:val="en-US"/>
        </w:rPr>
      </w:pPr>
    </w:p>
    <w:p w14:paraId="30B7A181" w14:textId="77777777" w:rsidR="003C2E5A" w:rsidRDefault="003C2E5A" w:rsidP="00FC75D1">
      <w:pPr>
        <w:spacing w:line="360" w:lineRule="auto"/>
        <w:jc w:val="left"/>
        <w:rPr>
          <w:rFonts w:asciiTheme="minorHAnsi" w:hAnsiTheme="minorHAnsi"/>
          <w:b/>
          <w:sz w:val="28"/>
          <w:lang w:val="en-US"/>
        </w:rPr>
      </w:pPr>
    </w:p>
    <w:p w14:paraId="0FBB990C" w14:textId="77777777" w:rsidR="003C2E5A" w:rsidRDefault="003C2E5A" w:rsidP="00FC75D1">
      <w:pPr>
        <w:spacing w:line="360" w:lineRule="auto"/>
        <w:jc w:val="left"/>
        <w:rPr>
          <w:rFonts w:asciiTheme="minorHAnsi" w:hAnsiTheme="minorHAnsi"/>
          <w:b/>
          <w:sz w:val="28"/>
          <w:lang w:val="en-US"/>
        </w:rPr>
      </w:pPr>
    </w:p>
    <w:p w14:paraId="2AEB2A44" w14:textId="77777777" w:rsidR="003C2E5A" w:rsidRDefault="003C2E5A" w:rsidP="00FC75D1">
      <w:pPr>
        <w:spacing w:line="360" w:lineRule="auto"/>
        <w:jc w:val="left"/>
        <w:rPr>
          <w:rFonts w:asciiTheme="minorHAnsi" w:hAnsiTheme="minorHAnsi"/>
          <w:b/>
          <w:sz w:val="28"/>
          <w:lang w:val="en-US"/>
        </w:rPr>
      </w:pPr>
    </w:p>
    <w:p w14:paraId="1AC1426E" w14:textId="77777777" w:rsidR="003C2E5A" w:rsidRDefault="003C2E5A" w:rsidP="00FC75D1">
      <w:pPr>
        <w:spacing w:line="360" w:lineRule="auto"/>
        <w:jc w:val="left"/>
        <w:rPr>
          <w:rFonts w:asciiTheme="minorHAnsi" w:hAnsiTheme="minorHAnsi"/>
          <w:b/>
          <w:sz w:val="28"/>
          <w:lang w:val="en-US"/>
        </w:rPr>
      </w:pPr>
    </w:p>
    <w:p w14:paraId="031E33A2" w14:textId="77777777" w:rsidR="003C2E5A" w:rsidRDefault="003C2E5A" w:rsidP="00FC75D1">
      <w:pPr>
        <w:spacing w:line="360" w:lineRule="auto"/>
        <w:jc w:val="left"/>
        <w:rPr>
          <w:rFonts w:asciiTheme="minorHAnsi" w:hAnsiTheme="minorHAnsi"/>
          <w:b/>
          <w:sz w:val="28"/>
          <w:lang w:val="en-US"/>
        </w:rPr>
      </w:pPr>
    </w:p>
    <w:p w14:paraId="38AF6DC6" w14:textId="77777777" w:rsidR="003C2E5A" w:rsidRDefault="003C2E5A" w:rsidP="00FC75D1">
      <w:pPr>
        <w:spacing w:line="360" w:lineRule="auto"/>
        <w:jc w:val="left"/>
        <w:rPr>
          <w:rFonts w:asciiTheme="minorHAnsi" w:hAnsiTheme="minorHAnsi"/>
          <w:b/>
          <w:sz w:val="28"/>
          <w:lang w:val="en-US"/>
        </w:rPr>
      </w:pPr>
    </w:p>
    <w:p w14:paraId="3D1306F2" w14:textId="77777777" w:rsidR="003C2E5A" w:rsidRDefault="003C2E5A" w:rsidP="00FC75D1">
      <w:pPr>
        <w:spacing w:line="360" w:lineRule="auto"/>
        <w:jc w:val="left"/>
        <w:rPr>
          <w:rFonts w:asciiTheme="minorHAnsi" w:hAnsiTheme="minorHAnsi"/>
          <w:b/>
          <w:sz w:val="28"/>
          <w:lang w:val="en-US"/>
        </w:rPr>
      </w:pPr>
    </w:p>
    <w:p w14:paraId="1DFE3D5F" w14:textId="77777777" w:rsidR="003C2E5A" w:rsidRDefault="003C2E5A" w:rsidP="00FC75D1">
      <w:pPr>
        <w:spacing w:line="360" w:lineRule="auto"/>
        <w:jc w:val="left"/>
        <w:rPr>
          <w:rFonts w:asciiTheme="minorHAnsi" w:hAnsiTheme="minorHAnsi"/>
          <w:b/>
          <w:sz w:val="28"/>
          <w:lang w:val="en-US"/>
        </w:rPr>
      </w:pPr>
    </w:p>
    <w:p w14:paraId="3D85159E" w14:textId="77777777" w:rsidR="003C2E5A" w:rsidRDefault="003C2E5A" w:rsidP="00FC75D1">
      <w:pPr>
        <w:spacing w:line="360" w:lineRule="auto"/>
        <w:jc w:val="left"/>
        <w:rPr>
          <w:rFonts w:asciiTheme="minorHAnsi" w:hAnsiTheme="minorHAnsi"/>
          <w:b/>
          <w:sz w:val="28"/>
          <w:lang w:val="en-US"/>
        </w:rPr>
      </w:pPr>
    </w:p>
    <w:p w14:paraId="359B1967" w14:textId="77777777" w:rsidR="003C2E5A" w:rsidRDefault="003C2E5A" w:rsidP="00FC75D1">
      <w:pPr>
        <w:spacing w:line="360" w:lineRule="auto"/>
        <w:jc w:val="left"/>
        <w:rPr>
          <w:rFonts w:asciiTheme="minorHAnsi" w:hAnsiTheme="minorHAnsi"/>
          <w:b/>
          <w:sz w:val="28"/>
          <w:lang w:val="en-US"/>
        </w:rPr>
      </w:pPr>
    </w:p>
    <w:p w14:paraId="1A2A5771" w14:textId="77777777" w:rsidR="003C2E5A" w:rsidRDefault="003C2E5A" w:rsidP="00FC75D1">
      <w:pPr>
        <w:spacing w:line="360" w:lineRule="auto"/>
        <w:jc w:val="left"/>
        <w:rPr>
          <w:rFonts w:asciiTheme="minorHAnsi" w:hAnsiTheme="minorHAnsi"/>
          <w:b/>
          <w:sz w:val="28"/>
          <w:lang w:val="en-US"/>
        </w:rPr>
      </w:pPr>
    </w:p>
    <w:p w14:paraId="6569476A" w14:textId="77777777" w:rsidR="003C2E5A" w:rsidRDefault="003C2E5A" w:rsidP="00FC75D1">
      <w:pPr>
        <w:spacing w:line="360" w:lineRule="auto"/>
        <w:jc w:val="left"/>
        <w:rPr>
          <w:rFonts w:asciiTheme="minorHAnsi" w:hAnsiTheme="minorHAnsi"/>
          <w:b/>
          <w:sz w:val="28"/>
          <w:lang w:val="en-US"/>
        </w:rPr>
      </w:pPr>
    </w:p>
    <w:p w14:paraId="12E5A4A6" w14:textId="77777777" w:rsidR="003C2E5A" w:rsidRDefault="003C2E5A" w:rsidP="00FC75D1">
      <w:pPr>
        <w:spacing w:line="360" w:lineRule="auto"/>
        <w:jc w:val="left"/>
        <w:rPr>
          <w:rFonts w:asciiTheme="minorHAnsi" w:hAnsiTheme="minorHAnsi"/>
          <w:b/>
          <w:sz w:val="28"/>
          <w:lang w:val="en-US"/>
        </w:rPr>
      </w:pPr>
    </w:p>
    <w:p w14:paraId="0EEA2071" w14:textId="77777777" w:rsidR="003C2E5A" w:rsidRDefault="003C2E5A" w:rsidP="00FC75D1">
      <w:pPr>
        <w:spacing w:line="360" w:lineRule="auto"/>
        <w:jc w:val="left"/>
        <w:rPr>
          <w:rFonts w:asciiTheme="minorHAnsi" w:hAnsiTheme="minorHAnsi"/>
          <w:b/>
          <w:sz w:val="28"/>
          <w:lang w:val="en-US"/>
        </w:rPr>
      </w:pPr>
    </w:p>
    <w:p w14:paraId="46EB4200" w14:textId="77777777" w:rsidR="003B390A" w:rsidRDefault="003B390A" w:rsidP="00FC75D1">
      <w:pPr>
        <w:spacing w:line="360" w:lineRule="auto"/>
        <w:jc w:val="left"/>
        <w:rPr>
          <w:rFonts w:asciiTheme="minorHAnsi" w:hAnsiTheme="minorHAnsi"/>
          <w:b/>
          <w:sz w:val="28"/>
          <w:lang w:val="en-US"/>
        </w:rPr>
      </w:pPr>
    </w:p>
    <w:p w14:paraId="4A4FE79F" w14:textId="77777777" w:rsidR="003C2E5A" w:rsidRPr="007E11CC" w:rsidRDefault="003C2E5A" w:rsidP="00FC75D1">
      <w:pPr>
        <w:spacing w:line="360" w:lineRule="auto"/>
        <w:jc w:val="left"/>
        <w:rPr>
          <w:rFonts w:asciiTheme="minorHAnsi" w:hAnsiTheme="minorHAnsi"/>
          <w:b/>
          <w:sz w:val="28"/>
          <w:lang w:val="en-US"/>
        </w:rPr>
      </w:pPr>
      <w:r w:rsidRPr="007E11CC">
        <w:rPr>
          <w:rFonts w:asciiTheme="minorHAnsi" w:hAnsiTheme="minorHAnsi"/>
          <w:b/>
          <w:sz w:val="28"/>
          <w:lang w:val="en-US"/>
        </w:rPr>
        <w:lastRenderedPageBreak/>
        <w:t>Appendix I: Graphs primary and secondary outcome measures</w:t>
      </w:r>
      <w:r>
        <w:rPr>
          <w:rFonts w:asciiTheme="minorHAnsi" w:hAnsiTheme="minorHAnsi"/>
          <w:b/>
          <w:sz w:val="28"/>
          <w:lang w:val="en-US"/>
        </w:rPr>
        <w:t xml:space="preserve"> over time</w:t>
      </w:r>
    </w:p>
    <w:p w14:paraId="76758EA2" w14:textId="77777777" w:rsidR="007E11CC" w:rsidRPr="007E11CC" w:rsidRDefault="007E11CC" w:rsidP="00FC75D1">
      <w:pPr>
        <w:spacing w:line="360" w:lineRule="auto"/>
        <w:jc w:val="left"/>
        <w:rPr>
          <w:rFonts w:asciiTheme="minorHAnsi" w:hAnsiTheme="minorHAnsi"/>
          <w:b/>
          <w:sz w:val="28"/>
          <w:lang w:val="en-US"/>
        </w:rPr>
      </w:pPr>
    </w:p>
    <w:p w14:paraId="16EDCED2" w14:textId="77777777" w:rsidR="00FC75D1" w:rsidRPr="007E11CC" w:rsidRDefault="00FC75D1" w:rsidP="00FC75D1">
      <w:pPr>
        <w:spacing w:line="360" w:lineRule="auto"/>
        <w:jc w:val="left"/>
        <w:rPr>
          <w:rFonts w:asciiTheme="minorHAnsi" w:hAnsiTheme="minorHAnsi"/>
          <w:b/>
          <w:sz w:val="32"/>
          <w:lang w:val="en-US"/>
        </w:rPr>
      </w:pPr>
    </w:p>
    <w:p w14:paraId="3C240C68" w14:textId="77777777" w:rsidR="008419AB" w:rsidRPr="007E11CC" w:rsidRDefault="008419AB" w:rsidP="003E2FBA">
      <w:pPr>
        <w:spacing w:line="360" w:lineRule="auto"/>
        <w:jc w:val="center"/>
        <w:rPr>
          <w:lang w:val="en-US"/>
        </w:rPr>
      </w:pPr>
    </w:p>
    <w:p w14:paraId="4DFCBB83" w14:textId="77777777" w:rsidR="008419AB" w:rsidRPr="007E11CC" w:rsidRDefault="008419AB" w:rsidP="003E2FBA">
      <w:pPr>
        <w:spacing w:line="360" w:lineRule="auto"/>
        <w:jc w:val="center"/>
        <w:rPr>
          <w:lang w:val="en-US"/>
        </w:rPr>
      </w:pPr>
    </w:p>
    <w:p w14:paraId="73B2603C" w14:textId="77777777" w:rsidR="00F36E17" w:rsidRPr="003C2E5A" w:rsidRDefault="00F36E17" w:rsidP="00F36E17">
      <w:pPr>
        <w:pStyle w:val="Tekstzonderopmaak"/>
        <w:tabs>
          <w:tab w:val="right" w:pos="426"/>
        </w:tabs>
        <w:spacing w:line="360" w:lineRule="auto"/>
        <w:rPr>
          <w:rFonts w:ascii="Univers" w:hAnsi="Univers"/>
          <w:b/>
          <w:sz w:val="32"/>
          <w:lang w:val="en-US"/>
        </w:rPr>
      </w:pPr>
    </w:p>
    <w:p w14:paraId="1D22E139" w14:textId="77777777" w:rsidR="00A74948" w:rsidRPr="003C2E5A" w:rsidRDefault="00A74948">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5E271242"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1BF463EB"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09A9DE1B"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54BA59F8"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0C1A66B9"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6BE382B3"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1219EF69"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080255A8"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5C9CBE95"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04484EF2"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65095435"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31F05B3C"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6CE8C870"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395E6101"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74BC47FD"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7622B2F0"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2C378F1C"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6A79EAA1"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622B0AF0"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284F7AF8" w14:textId="77777777" w:rsidR="003E2FBA" w:rsidRPr="003C2E5A" w:rsidRDefault="003E2FBA">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p>
    <w:p w14:paraId="0C2D5782" w14:textId="77777777" w:rsidR="003E2FBA" w:rsidRDefault="004076B8" w:rsidP="004076B8">
      <w:pPr>
        <w:tabs>
          <w:tab w:val="clear" w:pos="284"/>
          <w:tab w:val="clear" w:pos="567"/>
          <w:tab w:val="clear" w:pos="851"/>
          <w:tab w:val="clear" w:pos="1134"/>
          <w:tab w:val="clear" w:pos="1560"/>
          <w:tab w:val="clear" w:pos="2127"/>
          <w:tab w:val="clear" w:pos="2410"/>
          <w:tab w:val="clear" w:pos="8505"/>
          <w:tab w:val="left" w:pos="915"/>
        </w:tabs>
        <w:spacing w:after="200" w:line="276" w:lineRule="auto"/>
        <w:jc w:val="left"/>
        <w:rPr>
          <w:lang w:val="en-US"/>
        </w:rPr>
      </w:pPr>
      <w:r>
        <w:rPr>
          <w:lang w:val="en-US"/>
        </w:rPr>
        <w:tab/>
      </w:r>
    </w:p>
    <w:p w14:paraId="4282E0C8" w14:textId="77777777" w:rsidR="004076B8" w:rsidRDefault="00434CB0" w:rsidP="004076B8">
      <w:pPr>
        <w:tabs>
          <w:tab w:val="clear" w:pos="284"/>
          <w:tab w:val="clear" w:pos="567"/>
          <w:tab w:val="clear" w:pos="851"/>
          <w:tab w:val="clear" w:pos="1134"/>
          <w:tab w:val="clear" w:pos="1560"/>
          <w:tab w:val="clear" w:pos="2127"/>
          <w:tab w:val="clear" w:pos="2410"/>
          <w:tab w:val="clear" w:pos="8505"/>
          <w:tab w:val="left" w:pos="915"/>
        </w:tabs>
        <w:spacing w:after="200" w:line="276" w:lineRule="auto"/>
        <w:jc w:val="left"/>
        <w:rPr>
          <w:lang w:val="en-US"/>
        </w:rPr>
      </w:pPr>
      <w:r>
        <w:rPr>
          <w:noProof/>
          <w:lang w:val="nl-NL" w:eastAsia="nl-NL"/>
        </w:rPr>
        <w:lastRenderedPageBreak/>
        <w:drawing>
          <wp:inline distT="0" distB="0" distL="0" distR="0" wp14:anchorId="344993B7" wp14:editId="05B4963F">
            <wp:extent cx="4572000" cy="2743200"/>
            <wp:effectExtent l="0" t="0" r="19050" b="1905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F6283B" w14:textId="77777777" w:rsidR="004076B8" w:rsidRDefault="00434CB0" w:rsidP="004076B8">
      <w:pPr>
        <w:tabs>
          <w:tab w:val="clear" w:pos="284"/>
          <w:tab w:val="clear" w:pos="567"/>
          <w:tab w:val="clear" w:pos="851"/>
          <w:tab w:val="clear" w:pos="1134"/>
          <w:tab w:val="clear" w:pos="1560"/>
          <w:tab w:val="clear" w:pos="2127"/>
          <w:tab w:val="clear" w:pos="2410"/>
          <w:tab w:val="clear" w:pos="8505"/>
          <w:tab w:val="left" w:pos="915"/>
        </w:tabs>
        <w:spacing w:after="200" w:line="276" w:lineRule="auto"/>
        <w:jc w:val="left"/>
        <w:rPr>
          <w:lang w:val="en-US"/>
        </w:rPr>
      </w:pPr>
      <w:r>
        <w:rPr>
          <w:noProof/>
          <w:lang w:val="nl-NL" w:eastAsia="nl-NL"/>
        </w:rPr>
        <w:drawing>
          <wp:inline distT="0" distB="0" distL="0" distR="0" wp14:anchorId="7BF49C4A" wp14:editId="721CC5EE">
            <wp:extent cx="4572000" cy="2743200"/>
            <wp:effectExtent l="0" t="0" r="19050" b="1905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723587" w14:textId="77777777" w:rsidR="004076B8" w:rsidRDefault="00434CB0" w:rsidP="004076B8">
      <w:pPr>
        <w:tabs>
          <w:tab w:val="clear" w:pos="284"/>
          <w:tab w:val="clear" w:pos="567"/>
          <w:tab w:val="clear" w:pos="851"/>
          <w:tab w:val="clear" w:pos="1134"/>
          <w:tab w:val="clear" w:pos="1560"/>
          <w:tab w:val="clear" w:pos="2127"/>
          <w:tab w:val="clear" w:pos="2410"/>
          <w:tab w:val="clear" w:pos="8505"/>
          <w:tab w:val="left" w:pos="915"/>
        </w:tabs>
        <w:spacing w:after="200" w:line="276" w:lineRule="auto"/>
        <w:jc w:val="left"/>
        <w:rPr>
          <w:lang w:val="en-US"/>
        </w:rPr>
      </w:pPr>
      <w:r>
        <w:rPr>
          <w:noProof/>
          <w:lang w:val="nl-NL" w:eastAsia="nl-NL"/>
        </w:rPr>
        <w:drawing>
          <wp:inline distT="0" distB="0" distL="0" distR="0" wp14:anchorId="54E22FD3" wp14:editId="04518EF1">
            <wp:extent cx="4581526" cy="2724151"/>
            <wp:effectExtent l="0" t="0" r="9525" b="1905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7C4A91" w14:textId="77777777" w:rsidR="004076B8" w:rsidRPr="003C2E5A" w:rsidRDefault="004076B8">
      <w:pPr>
        <w:tabs>
          <w:tab w:val="clear" w:pos="284"/>
          <w:tab w:val="clear" w:pos="567"/>
          <w:tab w:val="clear" w:pos="851"/>
          <w:tab w:val="clear" w:pos="1134"/>
          <w:tab w:val="clear" w:pos="1560"/>
          <w:tab w:val="clear" w:pos="2127"/>
          <w:tab w:val="clear" w:pos="2410"/>
          <w:tab w:val="clear" w:pos="8505"/>
        </w:tabs>
        <w:spacing w:after="200" w:line="276" w:lineRule="auto"/>
        <w:jc w:val="left"/>
        <w:rPr>
          <w:lang w:val="en-US"/>
        </w:rPr>
      </w:pPr>
      <w:r>
        <w:rPr>
          <w:noProof/>
          <w:lang w:val="nl-NL" w:eastAsia="nl-NL"/>
        </w:rPr>
        <w:lastRenderedPageBreak/>
        <w:drawing>
          <wp:inline distT="0" distB="0" distL="0" distR="0" wp14:anchorId="47E56C7F" wp14:editId="47801FC6">
            <wp:extent cx="4572000" cy="2876550"/>
            <wp:effectExtent l="0" t="0" r="19050" b="1905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45844C" w14:textId="77777777" w:rsidR="000F5CC5" w:rsidRDefault="004076B8"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r>
        <w:rPr>
          <w:noProof/>
          <w:lang w:val="nl-NL" w:eastAsia="nl-NL"/>
        </w:rPr>
        <w:drawing>
          <wp:inline distT="0" distB="0" distL="0" distR="0" wp14:anchorId="194FCE64" wp14:editId="0AD9050B">
            <wp:extent cx="4581525" cy="2743200"/>
            <wp:effectExtent l="0" t="0" r="9525" b="1905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F15FE7" w14:textId="77777777" w:rsidR="003C2E5A" w:rsidRDefault="004076B8"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r>
        <w:rPr>
          <w:noProof/>
          <w:lang w:val="nl-NL" w:eastAsia="nl-NL"/>
        </w:rPr>
        <w:drawing>
          <wp:inline distT="0" distB="0" distL="0" distR="0" wp14:anchorId="0F4EA65A" wp14:editId="57508EA7">
            <wp:extent cx="4572000" cy="2743200"/>
            <wp:effectExtent l="0" t="0" r="19050" b="1905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F90A58" w14:textId="77777777" w:rsidR="003C2E5A" w:rsidRDefault="00434CB0"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r>
        <w:rPr>
          <w:noProof/>
          <w:lang w:val="nl-NL" w:eastAsia="nl-NL"/>
        </w:rPr>
        <w:lastRenderedPageBreak/>
        <w:drawing>
          <wp:inline distT="0" distB="0" distL="0" distR="0" wp14:anchorId="487D9334" wp14:editId="7A5B2224">
            <wp:extent cx="4581525" cy="2743200"/>
            <wp:effectExtent l="0" t="0" r="9525" b="1905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0E9B40"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4966B274"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03D8DB92"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316C11D5"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19F4EF26"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64874551"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347B1D54"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7220DE61"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72001849"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08B09BD6"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7A572932"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7CD455CD"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78EC9660"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2751D949"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0A099B77"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2D9DE4D2"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1D6015CC" w14:textId="77777777" w:rsid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0A30EDDB" w14:textId="77777777" w:rsidR="003B390A" w:rsidRDefault="003B390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p w14:paraId="1221AD9F"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r w:rsidRPr="00A265F1">
        <w:rPr>
          <w:rFonts w:asciiTheme="minorHAnsi" w:hAnsiTheme="minorHAnsi"/>
          <w:b/>
          <w:sz w:val="28"/>
          <w:lang w:val="nl-NL"/>
        </w:rPr>
        <w:lastRenderedPageBreak/>
        <w:t>Appendix II: Populaire samenvatting</w:t>
      </w:r>
    </w:p>
    <w:p w14:paraId="310E760B"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12D35034"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4FB883F3"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74AAEFCB"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5CBE3BE0"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090BE768"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28B92AE5"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62AF49D0"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79AF9A5C"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60C1A78B"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00455D89"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002202AD"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33CD5947"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67E6C402"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1AFA62FF"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12B49FC4"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3661CE7D"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613B524C"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3BD112FD"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5ED24488"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439C0054"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52C57812"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7C9C3768" w14:textId="77777777" w:rsidR="003C2E5A" w:rsidRPr="00A265F1"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p>
    <w:p w14:paraId="10068E11" w14:textId="77777777" w:rsidR="003C2E5A" w:rsidRPr="00A265F1" w:rsidRDefault="008E0B44"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lang w:val="nl-NL"/>
        </w:rPr>
      </w:pPr>
      <w:r w:rsidRPr="00A265F1">
        <w:rPr>
          <w:rFonts w:asciiTheme="minorHAnsi" w:hAnsiTheme="minorHAnsi"/>
          <w:b/>
          <w:sz w:val="28"/>
          <w:lang w:val="nl-NL"/>
        </w:rPr>
        <w:lastRenderedPageBreak/>
        <w:t>Populaire samenvatting</w:t>
      </w:r>
    </w:p>
    <w:p w14:paraId="6684CA43" w14:textId="77777777" w:rsidR="00777C4D" w:rsidRDefault="008E0B44" w:rsidP="00777C4D">
      <w:pPr>
        <w:tabs>
          <w:tab w:val="clear" w:pos="284"/>
          <w:tab w:val="clear" w:pos="567"/>
          <w:tab w:val="clear" w:pos="851"/>
          <w:tab w:val="clear" w:pos="1134"/>
          <w:tab w:val="clear" w:pos="1560"/>
          <w:tab w:val="clear" w:pos="2127"/>
          <w:tab w:val="clear" w:pos="2410"/>
          <w:tab w:val="clear" w:pos="8505"/>
        </w:tabs>
        <w:spacing w:line="360" w:lineRule="auto"/>
        <w:rPr>
          <w:rFonts w:asciiTheme="minorHAnsi" w:hAnsiTheme="minorHAnsi"/>
        </w:rPr>
      </w:pPr>
      <w:r w:rsidRPr="008E0B44">
        <w:rPr>
          <w:rFonts w:asciiTheme="minorHAnsi" w:hAnsiTheme="minorHAnsi"/>
        </w:rPr>
        <w:t>Cerebrale Parese (CP) is een aandoening waarbij kinderen problemen hebben met houding en beweging.</w:t>
      </w:r>
      <w:r w:rsidR="00763EF6">
        <w:rPr>
          <w:rFonts w:asciiTheme="minorHAnsi" w:hAnsiTheme="minorHAnsi"/>
        </w:rPr>
        <w:t xml:space="preserve"> Dit is het gevolg van een letsel dat optreedt in de ontwikkelende hersenen en is de meest voorkomende oorzaak van motorische beperking bij kinderen. D</w:t>
      </w:r>
      <w:r w:rsidR="00441B0A">
        <w:rPr>
          <w:rFonts w:asciiTheme="minorHAnsi" w:hAnsiTheme="minorHAnsi"/>
        </w:rPr>
        <w:t>e hoofdproblemen zijn</w:t>
      </w:r>
      <w:r w:rsidR="00763EF6">
        <w:rPr>
          <w:rFonts w:asciiTheme="minorHAnsi" w:hAnsiTheme="minorHAnsi"/>
        </w:rPr>
        <w:t xml:space="preserve"> abnormale spierspanning, spierzwakte, zwakke spiercontrole en balansproblemen. </w:t>
      </w:r>
      <w:r w:rsidR="00441B0A">
        <w:rPr>
          <w:rFonts w:asciiTheme="minorHAnsi" w:hAnsiTheme="minorHAnsi"/>
        </w:rPr>
        <w:t xml:space="preserve">Secundair zorgen deze problemen </w:t>
      </w:r>
      <w:r w:rsidR="00844031">
        <w:rPr>
          <w:rFonts w:asciiTheme="minorHAnsi" w:hAnsiTheme="minorHAnsi"/>
        </w:rPr>
        <w:t xml:space="preserve">voor </w:t>
      </w:r>
      <w:r w:rsidR="008E1FDD">
        <w:t>spierverkortingen</w:t>
      </w:r>
      <w:r w:rsidR="008E1FDD">
        <w:rPr>
          <w:rFonts w:asciiTheme="minorHAnsi" w:hAnsiTheme="minorHAnsi"/>
        </w:rPr>
        <w:t xml:space="preserve"> </w:t>
      </w:r>
      <w:r w:rsidR="00441B0A">
        <w:rPr>
          <w:rFonts w:asciiTheme="minorHAnsi" w:hAnsiTheme="minorHAnsi"/>
        </w:rPr>
        <w:t>en botvervormingen. Wanneer deze k</w:t>
      </w:r>
      <w:r w:rsidR="005751D7">
        <w:rPr>
          <w:rFonts w:asciiTheme="minorHAnsi" w:hAnsiTheme="minorHAnsi"/>
        </w:rPr>
        <w:t xml:space="preserve">inderen geen behandeling </w:t>
      </w:r>
      <w:r w:rsidR="00441B0A">
        <w:rPr>
          <w:rFonts w:asciiTheme="minorHAnsi" w:hAnsiTheme="minorHAnsi"/>
        </w:rPr>
        <w:t>krijgen, gaat de kwaliteit en de efficiëntie va</w:t>
      </w:r>
      <w:r w:rsidR="005751D7">
        <w:rPr>
          <w:rFonts w:asciiTheme="minorHAnsi" w:hAnsiTheme="minorHAnsi"/>
        </w:rPr>
        <w:t xml:space="preserve">n hun stappatroon verder </w:t>
      </w:r>
      <w:r w:rsidR="00441B0A">
        <w:rPr>
          <w:rFonts w:asciiTheme="minorHAnsi" w:hAnsiTheme="minorHAnsi"/>
        </w:rPr>
        <w:t xml:space="preserve">achteruit. </w:t>
      </w:r>
      <w:r w:rsidR="00844031">
        <w:rPr>
          <w:rFonts w:asciiTheme="minorHAnsi" w:hAnsiTheme="minorHAnsi"/>
        </w:rPr>
        <w:t xml:space="preserve">De behandeling </w:t>
      </w:r>
      <w:r w:rsidR="00441B0A">
        <w:rPr>
          <w:rFonts w:asciiTheme="minorHAnsi" w:hAnsiTheme="minorHAnsi"/>
        </w:rPr>
        <w:t>best</w:t>
      </w:r>
      <w:r w:rsidR="00844031">
        <w:rPr>
          <w:rFonts w:asciiTheme="minorHAnsi" w:hAnsiTheme="minorHAnsi"/>
        </w:rPr>
        <w:t>aat</w:t>
      </w:r>
      <w:r w:rsidR="00F4667C">
        <w:rPr>
          <w:rFonts w:asciiTheme="minorHAnsi" w:hAnsiTheme="minorHAnsi"/>
        </w:rPr>
        <w:t xml:space="preserve"> uit kinesitherapie, gipsen</w:t>
      </w:r>
      <w:r w:rsidR="005751D7">
        <w:rPr>
          <w:rFonts w:asciiTheme="minorHAnsi" w:hAnsiTheme="minorHAnsi"/>
        </w:rPr>
        <w:t>, spalken en het verminderen van spierspanning</w:t>
      </w:r>
      <w:r w:rsidR="00844031">
        <w:rPr>
          <w:rFonts w:asciiTheme="minorHAnsi" w:hAnsiTheme="minorHAnsi"/>
        </w:rPr>
        <w:t xml:space="preserve">. </w:t>
      </w:r>
      <w:r w:rsidR="00F4667C">
        <w:rPr>
          <w:rFonts w:asciiTheme="minorHAnsi" w:hAnsiTheme="minorHAnsi"/>
        </w:rPr>
        <w:t xml:space="preserve"> De secundaire problemen worden behandeld via or</w:t>
      </w:r>
      <w:r w:rsidR="005751D7">
        <w:rPr>
          <w:rFonts w:asciiTheme="minorHAnsi" w:hAnsiTheme="minorHAnsi"/>
        </w:rPr>
        <w:t xml:space="preserve">thopedische chirurgie, </w:t>
      </w:r>
      <w:r w:rsidR="00F4667C">
        <w:rPr>
          <w:rFonts w:asciiTheme="minorHAnsi" w:hAnsiTheme="minorHAnsi"/>
        </w:rPr>
        <w:t>waarbij spieren verlengd of v</w:t>
      </w:r>
      <w:r w:rsidR="005751D7">
        <w:rPr>
          <w:rFonts w:asciiTheme="minorHAnsi" w:hAnsiTheme="minorHAnsi"/>
        </w:rPr>
        <w:t>erplaatst worden en botten juist worden gepositioneerd</w:t>
      </w:r>
      <w:r w:rsidR="00F4667C">
        <w:rPr>
          <w:rFonts w:asciiTheme="minorHAnsi" w:hAnsiTheme="minorHAnsi"/>
        </w:rPr>
        <w:t>. Vroeger werden deze kinderen bijna elk jaar geop</w:t>
      </w:r>
      <w:r w:rsidR="005A7717">
        <w:rPr>
          <w:rFonts w:asciiTheme="minorHAnsi" w:hAnsiTheme="minorHAnsi"/>
        </w:rPr>
        <w:t>ereerd</w:t>
      </w:r>
      <w:r w:rsidR="00F4667C">
        <w:rPr>
          <w:rFonts w:asciiTheme="minorHAnsi" w:hAnsiTheme="minorHAnsi"/>
        </w:rPr>
        <w:t xml:space="preserve">. </w:t>
      </w:r>
      <w:r w:rsidR="005A7717">
        <w:rPr>
          <w:rFonts w:asciiTheme="minorHAnsi" w:hAnsiTheme="minorHAnsi"/>
        </w:rPr>
        <w:t>Nu probeert men zoveel</w:t>
      </w:r>
      <w:r w:rsidR="005751D7">
        <w:rPr>
          <w:rFonts w:asciiTheme="minorHAnsi" w:hAnsiTheme="minorHAnsi"/>
        </w:rPr>
        <w:t xml:space="preserve"> mogelijk ingrepen in éé</w:t>
      </w:r>
      <w:r w:rsidR="00F52BFB">
        <w:rPr>
          <w:rFonts w:asciiTheme="minorHAnsi" w:hAnsiTheme="minorHAnsi"/>
        </w:rPr>
        <w:t>n operatie uit te voeren gevolgd door één lange revalidatie</w:t>
      </w:r>
      <w:r w:rsidR="00766FAF">
        <w:rPr>
          <w:rFonts w:asciiTheme="minorHAnsi" w:hAnsiTheme="minorHAnsi"/>
        </w:rPr>
        <w:t>periode</w:t>
      </w:r>
      <w:r w:rsidR="00F52BFB">
        <w:rPr>
          <w:rFonts w:asciiTheme="minorHAnsi" w:hAnsiTheme="minorHAnsi"/>
        </w:rPr>
        <w:t xml:space="preserve">. Deze </w:t>
      </w:r>
      <w:r w:rsidR="00F4667C">
        <w:rPr>
          <w:rFonts w:asciiTheme="minorHAnsi" w:hAnsiTheme="minorHAnsi"/>
        </w:rPr>
        <w:t xml:space="preserve">operatie noemt men ‘single-event </w:t>
      </w:r>
      <w:proofErr w:type="spellStart"/>
      <w:r w:rsidR="00F4667C">
        <w:rPr>
          <w:rFonts w:asciiTheme="minorHAnsi" w:hAnsiTheme="minorHAnsi"/>
        </w:rPr>
        <w:t>multilevel</w:t>
      </w:r>
      <w:proofErr w:type="spellEnd"/>
      <w:r w:rsidR="00F4667C">
        <w:rPr>
          <w:rFonts w:asciiTheme="minorHAnsi" w:hAnsiTheme="minorHAnsi"/>
        </w:rPr>
        <w:t xml:space="preserve"> chirurgie’</w:t>
      </w:r>
      <w:r w:rsidR="00F52BFB">
        <w:rPr>
          <w:rFonts w:asciiTheme="minorHAnsi" w:hAnsiTheme="minorHAnsi"/>
        </w:rPr>
        <w:t xml:space="preserve"> (SEMLS)</w:t>
      </w:r>
      <w:r w:rsidR="00F4667C">
        <w:rPr>
          <w:rFonts w:asciiTheme="minorHAnsi" w:hAnsiTheme="minorHAnsi"/>
        </w:rPr>
        <w:t xml:space="preserve">. </w:t>
      </w:r>
      <w:r w:rsidR="00F52BFB">
        <w:rPr>
          <w:rFonts w:asciiTheme="minorHAnsi" w:hAnsiTheme="minorHAnsi"/>
        </w:rPr>
        <w:t>Om te beslissen w</w:t>
      </w:r>
      <w:r w:rsidR="005A7717">
        <w:rPr>
          <w:rFonts w:asciiTheme="minorHAnsi" w:hAnsiTheme="minorHAnsi"/>
        </w:rPr>
        <w:t xml:space="preserve">elke ingrepen er moeten </w:t>
      </w:r>
      <w:r w:rsidR="00F52BFB">
        <w:rPr>
          <w:rFonts w:asciiTheme="minorHAnsi" w:hAnsiTheme="minorHAnsi"/>
        </w:rPr>
        <w:t>gebeuren</w:t>
      </w:r>
      <w:r w:rsidR="00F4667C">
        <w:rPr>
          <w:rFonts w:asciiTheme="minorHAnsi" w:hAnsiTheme="minorHAnsi"/>
        </w:rPr>
        <w:t>, wordt een 3D ganganal</w:t>
      </w:r>
      <w:r w:rsidR="005A7717">
        <w:rPr>
          <w:rFonts w:asciiTheme="minorHAnsi" w:hAnsiTheme="minorHAnsi"/>
        </w:rPr>
        <w:t>yse uitgevoerd</w:t>
      </w:r>
      <w:r w:rsidR="00F4667C">
        <w:rPr>
          <w:rFonts w:asciiTheme="minorHAnsi" w:hAnsiTheme="minorHAnsi"/>
        </w:rPr>
        <w:t>. Er worden markers op het lichaam ge</w:t>
      </w:r>
      <w:r w:rsidR="00844031">
        <w:rPr>
          <w:rFonts w:asciiTheme="minorHAnsi" w:hAnsiTheme="minorHAnsi"/>
        </w:rPr>
        <w:t xml:space="preserve">plaatst die geregistreerd </w:t>
      </w:r>
      <w:r w:rsidR="00F4667C">
        <w:rPr>
          <w:rFonts w:asciiTheme="minorHAnsi" w:hAnsiTheme="minorHAnsi"/>
        </w:rPr>
        <w:t>worden met infrarood camera’s om zo het gangpatro</w:t>
      </w:r>
      <w:r w:rsidR="00844031">
        <w:rPr>
          <w:rFonts w:asciiTheme="minorHAnsi" w:hAnsiTheme="minorHAnsi"/>
        </w:rPr>
        <w:t>on objectief in beeld te brengen</w:t>
      </w:r>
      <w:r w:rsidR="00F4667C">
        <w:rPr>
          <w:rFonts w:asciiTheme="minorHAnsi" w:hAnsiTheme="minorHAnsi"/>
        </w:rPr>
        <w:t>. Ook n</w:t>
      </w:r>
      <w:r w:rsidR="005A7717">
        <w:rPr>
          <w:rFonts w:asciiTheme="minorHAnsi" w:hAnsiTheme="minorHAnsi"/>
        </w:rPr>
        <w:t xml:space="preserve">a de operatie wordt dit </w:t>
      </w:r>
      <w:r w:rsidR="00F4667C">
        <w:rPr>
          <w:rFonts w:asciiTheme="minorHAnsi" w:hAnsiTheme="minorHAnsi"/>
        </w:rPr>
        <w:t>op regelmatige tijdstippen</w:t>
      </w:r>
      <w:r w:rsidR="005A7717">
        <w:rPr>
          <w:rFonts w:asciiTheme="minorHAnsi" w:hAnsiTheme="minorHAnsi"/>
        </w:rPr>
        <w:t xml:space="preserve"> uitgevoerd om </w:t>
      </w:r>
      <w:r w:rsidR="00F4667C">
        <w:rPr>
          <w:rFonts w:asciiTheme="minorHAnsi" w:hAnsiTheme="minorHAnsi"/>
        </w:rPr>
        <w:t xml:space="preserve">het effect van </w:t>
      </w:r>
      <w:r w:rsidR="00F52BFB">
        <w:rPr>
          <w:rFonts w:asciiTheme="minorHAnsi" w:hAnsiTheme="minorHAnsi"/>
        </w:rPr>
        <w:t>de operatie op te volgen.</w:t>
      </w:r>
    </w:p>
    <w:p w14:paraId="0F504D00" w14:textId="77777777" w:rsidR="00096A6D" w:rsidRDefault="00E4232E" w:rsidP="00777C4D">
      <w:pPr>
        <w:tabs>
          <w:tab w:val="clear" w:pos="284"/>
          <w:tab w:val="clear" w:pos="567"/>
          <w:tab w:val="clear" w:pos="851"/>
          <w:tab w:val="clear" w:pos="1134"/>
          <w:tab w:val="clear" w:pos="1560"/>
          <w:tab w:val="clear" w:pos="2127"/>
          <w:tab w:val="clear" w:pos="2410"/>
          <w:tab w:val="clear" w:pos="8505"/>
        </w:tabs>
        <w:spacing w:line="360" w:lineRule="auto"/>
        <w:rPr>
          <w:rFonts w:asciiTheme="minorHAnsi" w:hAnsiTheme="minorHAnsi"/>
        </w:rPr>
      </w:pPr>
      <w:r>
        <w:rPr>
          <w:rFonts w:asciiTheme="minorHAnsi" w:hAnsiTheme="minorHAnsi"/>
        </w:rPr>
        <w:t>Omdat in de literatuur v</w:t>
      </w:r>
      <w:r w:rsidR="00F52BFB">
        <w:rPr>
          <w:rFonts w:asciiTheme="minorHAnsi" w:hAnsiTheme="minorHAnsi"/>
        </w:rPr>
        <w:t>aak de korte termijn effecten van SEMLS we</w:t>
      </w:r>
      <w:r>
        <w:rPr>
          <w:rFonts w:asciiTheme="minorHAnsi" w:hAnsiTheme="minorHAnsi"/>
        </w:rPr>
        <w:t>rden onderzocht</w:t>
      </w:r>
      <w:r w:rsidR="00F52BFB">
        <w:rPr>
          <w:rFonts w:asciiTheme="minorHAnsi" w:hAnsiTheme="minorHAnsi"/>
        </w:rPr>
        <w:t xml:space="preserve"> </w:t>
      </w:r>
      <w:r>
        <w:rPr>
          <w:rFonts w:asciiTheme="minorHAnsi" w:hAnsiTheme="minorHAnsi"/>
        </w:rPr>
        <w:t>en nog niet zoveel bekend is over de lange termijn, richt deze studie zich vooral op de lange termijn effecten. Ook</w:t>
      </w:r>
      <w:r w:rsidR="00F52BFB">
        <w:rPr>
          <w:rFonts w:asciiTheme="minorHAnsi" w:hAnsiTheme="minorHAnsi"/>
        </w:rPr>
        <w:t xml:space="preserve"> gaat deze studie na</w:t>
      </w:r>
      <w:r>
        <w:rPr>
          <w:rFonts w:asciiTheme="minorHAnsi" w:hAnsiTheme="minorHAnsi"/>
        </w:rPr>
        <w:t xml:space="preserve"> welke factoren eventueel een goede uitkomst kunnen voorspellen om aan de hand hiervan te bepalen welke kinderen baat kunnen hebben van een operatie. </w:t>
      </w:r>
    </w:p>
    <w:p w14:paraId="16A6B89E" w14:textId="6DA7CFFF" w:rsidR="00777C4D" w:rsidRDefault="00096A6D" w:rsidP="00777C4D">
      <w:pPr>
        <w:tabs>
          <w:tab w:val="clear" w:pos="284"/>
          <w:tab w:val="clear" w:pos="567"/>
          <w:tab w:val="clear" w:pos="851"/>
          <w:tab w:val="clear" w:pos="1134"/>
          <w:tab w:val="clear" w:pos="1560"/>
          <w:tab w:val="clear" w:pos="2127"/>
          <w:tab w:val="clear" w:pos="2410"/>
          <w:tab w:val="clear" w:pos="8505"/>
        </w:tabs>
        <w:spacing w:line="360" w:lineRule="auto"/>
        <w:rPr>
          <w:rFonts w:asciiTheme="minorHAnsi" w:hAnsiTheme="minorHAnsi"/>
        </w:rPr>
      </w:pPr>
      <w:r>
        <w:rPr>
          <w:rFonts w:asciiTheme="minorHAnsi" w:hAnsiTheme="minorHAnsi"/>
        </w:rPr>
        <w:t>Voor het onderzoeken van de lange termijn effect</w:t>
      </w:r>
      <w:r w:rsidR="00874FA7">
        <w:rPr>
          <w:rFonts w:asciiTheme="minorHAnsi" w:hAnsiTheme="minorHAnsi"/>
        </w:rPr>
        <w:t xml:space="preserve">en is er gebruik gemaakt van reeds </w:t>
      </w:r>
      <w:r>
        <w:rPr>
          <w:rFonts w:asciiTheme="minorHAnsi" w:hAnsiTheme="minorHAnsi"/>
        </w:rPr>
        <w:t>besc</w:t>
      </w:r>
      <w:r w:rsidR="00874FA7">
        <w:rPr>
          <w:rFonts w:asciiTheme="minorHAnsi" w:hAnsiTheme="minorHAnsi"/>
        </w:rPr>
        <w:t xml:space="preserve">hikbare data </w:t>
      </w:r>
      <w:r>
        <w:rPr>
          <w:rFonts w:asciiTheme="minorHAnsi" w:hAnsiTheme="minorHAnsi"/>
        </w:rPr>
        <w:t xml:space="preserve">die </w:t>
      </w:r>
      <w:r w:rsidR="00874FA7">
        <w:rPr>
          <w:rFonts w:asciiTheme="minorHAnsi" w:hAnsiTheme="minorHAnsi"/>
        </w:rPr>
        <w:t xml:space="preserve">verkregen werden bij </w:t>
      </w:r>
      <w:r>
        <w:rPr>
          <w:rFonts w:asciiTheme="minorHAnsi" w:hAnsiTheme="minorHAnsi"/>
        </w:rPr>
        <w:t>3D ganganalyse</w:t>
      </w:r>
      <w:r w:rsidR="00874FA7">
        <w:rPr>
          <w:rFonts w:asciiTheme="minorHAnsi" w:hAnsiTheme="minorHAnsi"/>
        </w:rPr>
        <w:t>s. De gangpatronen van 31 patiënten werden geanalyseerd aan de hand van parameters die op basis van klinische relevantie werden geselecteerd. Vooreerst werd gekeken naar ‘</w:t>
      </w:r>
      <w:proofErr w:type="spellStart"/>
      <w:r w:rsidR="00874FA7">
        <w:rPr>
          <w:rFonts w:asciiTheme="minorHAnsi" w:hAnsiTheme="minorHAnsi"/>
        </w:rPr>
        <w:t>Gait</w:t>
      </w:r>
      <w:proofErr w:type="spellEnd"/>
      <w:r w:rsidR="00874FA7">
        <w:rPr>
          <w:rFonts w:asciiTheme="minorHAnsi" w:hAnsiTheme="minorHAnsi"/>
        </w:rPr>
        <w:t xml:space="preserve"> Profile Score’</w:t>
      </w:r>
      <w:r w:rsidR="00F52BFB">
        <w:rPr>
          <w:rFonts w:asciiTheme="minorHAnsi" w:hAnsiTheme="minorHAnsi"/>
        </w:rPr>
        <w:t xml:space="preserve"> (GPS)</w:t>
      </w:r>
      <w:r w:rsidR="00874FA7">
        <w:rPr>
          <w:rFonts w:asciiTheme="minorHAnsi" w:hAnsiTheme="minorHAnsi"/>
        </w:rPr>
        <w:t>. Dit is een parameter die de afwijking van het totale gangpatroo</w:t>
      </w:r>
      <w:r w:rsidR="00844031">
        <w:rPr>
          <w:rFonts w:asciiTheme="minorHAnsi" w:hAnsiTheme="minorHAnsi"/>
        </w:rPr>
        <w:t>n weergeeft ten opzichte van</w:t>
      </w:r>
      <w:r w:rsidR="00874FA7">
        <w:rPr>
          <w:rFonts w:asciiTheme="minorHAnsi" w:hAnsiTheme="minorHAnsi"/>
        </w:rPr>
        <w:t xml:space="preserve"> </w:t>
      </w:r>
      <w:r w:rsidR="00844031">
        <w:rPr>
          <w:rFonts w:asciiTheme="minorHAnsi" w:hAnsiTheme="minorHAnsi"/>
        </w:rPr>
        <w:t>normaal ontwikkelende kinderen</w:t>
      </w:r>
      <w:r w:rsidR="00874FA7">
        <w:rPr>
          <w:rFonts w:asciiTheme="minorHAnsi" w:hAnsiTheme="minorHAnsi"/>
        </w:rPr>
        <w:t>. In deze studie werd een verbetering gevonden twee jaar na de op</w:t>
      </w:r>
      <w:r w:rsidR="00F52BFB">
        <w:rPr>
          <w:rFonts w:asciiTheme="minorHAnsi" w:hAnsiTheme="minorHAnsi"/>
        </w:rPr>
        <w:t xml:space="preserve">eratie, die ook behouden bleef na vijf en acht jaar. </w:t>
      </w:r>
      <w:r w:rsidR="00874FA7">
        <w:rPr>
          <w:rFonts w:asciiTheme="minorHAnsi" w:hAnsiTheme="minorHAnsi"/>
        </w:rPr>
        <w:t>Verde</w:t>
      </w:r>
      <w:r w:rsidR="00844031">
        <w:rPr>
          <w:rFonts w:asciiTheme="minorHAnsi" w:hAnsiTheme="minorHAnsi"/>
        </w:rPr>
        <w:t>r werden</w:t>
      </w:r>
      <w:r w:rsidR="00874FA7">
        <w:rPr>
          <w:rFonts w:asciiTheme="minorHAnsi" w:hAnsiTheme="minorHAnsi"/>
        </w:rPr>
        <w:t xml:space="preserve"> ook enkele specifieke parameters bekeken, zoals de voor- achterwaartse bekkenkanteling, het strekken en roteren van de heup en het strekken van de knie tijdens de steunfase van het stappen. </w:t>
      </w:r>
      <w:r w:rsidR="00041B3F">
        <w:rPr>
          <w:rFonts w:asciiTheme="minorHAnsi" w:hAnsiTheme="minorHAnsi"/>
        </w:rPr>
        <w:t xml:space="preserve"> De rotatie van de heup en het strekken van de knie verbeterden op twee jaar na operatie en ook hier </w:t>
      </w:r>
      <w:r w:rsidR="00F52BFB">
        <w:rPr>
          <w:rFonts w:asciiTheme="minorHAnsi" w:hAnsiTheme="minorHAnsi"/>
        </w:rPr>
        <w:t>bleef de verbetering aanwezig na vijf en acht jaar</w:t>
      </w:r>
      <w:r w:rsidR="00041B3F">
        <w:rPr>
          <w:rFonts w:asciiTheme="minorHAnsi" w:hAnsiTheme="minorHAnsi"/>
        </w:rPr>
        <w:t xml:space="preserve">. Het strekken van de heup verbeterde enkel op korte termijn en </w:t>
      </w:r>
      <w:r w:rsidR="005A7717">
        <w:rPr>
          <w:rFonts w:asciiTheme="minorHAnsi" w:hAnsiTheme="minorHAnsi"/>
        </w:rPr>
        <w:t xml:space="preserve">ter hoogte van het bekken werd geen verandering </w:t>
      </w:r>
      <w:r w:rsidR="00041B3F">
        <w:rPr>
          <w:rFonts w:asciiTheme="minorHAnsi" w:hAnsiTheme="minorHAnsi"/>
        </w:rPr>
        <w:t>gevonden.</w:t>
      </w:r>
    </w:p>
    <w:p w14:paraId="1505410B" w14:textId="77777777" w:rsidR="00777C4D" w:rsidRDefault="00041B3F" w:rsidP="00777C4D">
      <w:pPr>
        <w:tabs>
          <w:tab w:val="clear" w:pos="284"/>
          <w:tab w:val="clear" w:pos="567"/>
          <w:tab w:val="clear" w:pos="851"/>
          <w:tab w:val="clear" w:pos="1134"/>
          <w:tab w:val="clear" w:pos="1560"/>
          <w:tab w:val="clear" w:pos="2127"/>
          <w:tab w:val="clear" w:pos="2410"/>
          <w:tab w:val="clear" w:pos="8505"/>
        </w:tabs>
        <w:spacing w:line="360" w:lineRule="auto"/>
        <w:rPr>
          <w:rFonts w:asciiTheme="minorHAnsi" w:hAnsiTheme="minorHAnsi"/>
        </w:rPr>
      </w:pPr>
      <w:r>
        <w:rPr>
          <w:rFonts w:asciiTheme="minorHAnsi" w:hAnsiTheme="minorHAnsi"/>
        </w:rPr>
        <w:t xml:space="preserve">Voor het tweede doel van de studie werden verbanden nagegaan tussen de GPS en mogelijke voorspellers. De parameters waarbij een goed verband gevonden werd, werden gebruikt in een </w:t>
      </w:r>
      <w:r>
        <w:rPr>
          <w:rFonts w:asciiTheme="minorHAnsi" w:hAnsiTheme="minorHAnsi"/>
        </w:rPr>
        <w:lastRenderedPageBreak/>
        <w:t xml:space="preserve">statistisch model. Hieruit bleek dat enkel </w:t>
      </w:r>
      <w:r w:rsidR="005A7717">
        <w:rPr>
          <w:rFonts w:asciiTheme="minorHAnsi" w:hAnsiTheme="minorHAnsi"/>
        </w:rPr>
        <w:t xml:space="preserve">het aantal graden </w:t>
      </w:r>
      <w:r>
        <w:rPr>
          <w:rFonts w:asciiTheme="minorHAnsi" w:hAnsiTheme="minorHAnsi"/>
        </w:rPr>
        <w:t>buigin</w:t>
      </w:r>
      <w:r w:rsidR="005A7717">
        <w:rPr>
          <w:rFonts w:asciiTheme="minorHAnsi" w:hAnsiTheme="minorHAnsi"/>
        </w:rPr>
        <w:t>g van de knie bij het plaatsen van de voet tijdens de gang</w:t>
      </w:r>
      <w:r>
        <w:rPr>
          <w:rFonts w:asciiTheme="minorHAnsi" w:hAnsiTheme="minorHAnsi"/>
        </w:rPr>
        <w:t xml:space="preserve"> en de GPS v</w:t>
      </w:r>
      <w:r w:rsidR="00777C4D">
        <w:rPr>
          <w:rFonts w:asciiTheme="minorHAnsi" w:hAnsiTheme="minorHAnsi"/>
        </w:rPr>
        <w:t xml:space="preserve">óór de operatie </w:t>
      </w:r>
      <w:r w:rsidR="005A7717">
        <w:rPr>
          <w:rFonts w:asciiTheme="minorHAnsi" w:hAnsiTheme="minorHAnsi"/>
        </w:rPr>
        <w:t>mogelijk belangrijke voorspellers z</w:t>
      </w:r>
      <w:r w:rsidR="00777C4D">
        <w:rPr>
          <w:rFonts w:asciiTheme="minorHAnsi" w:hAnsiTheme="minorHAnsi"/>
        </w:rPr>
        <w:t xml:space="preserve">ijn. </w:t>
      </w:r>
    </w:p>
    <w:p w14:paraId="059D0CF4" w14:textId="16925C62" w:rsidR="00766FAF" w:rsidRDefault="00777C4D" w:rsidP="00777C4D">
      <w:pPr>
        <w:tabs>
          <w:tab w:val="clear" w:pos="284"/>
          <w:tab w:val="clear" w:pos="567"/>
          <w:tab w:val="clear" w:pos="851"/>
          <w:tab w:val="clear" w:pos="1134"/>
          <w:tab w:val="clear" w:pos="1560"/>
          <w:tab w:val="clear" w:pos="2127"/>
          <w:tab w:val="clear" w:pos="2410"/>
          <w:tab w:val="clear" w:pos="8505"/>
        </w:tabs>
        <w:spacing w:after="200" w:line="360" w:lineRule="auto"/>
        <w:rPr>
          <w:rFonts w:asciiTheme="minorHAnsi" w:hAnsiTheme="minorHAnsi"/>
        </w:rPr>
      </w:pPr>
      <w:r>
        <w:rPr>
          <w:rFonts w:asciiTheme="minorHAnsi" w:hAnsiTheme="minorHAnsi"/>
        </w:rPr>
        <w:t xml:space="preserve">Deze studie vond dus positieve en klinisch belangrijke effecten van SEMLS op lange termijn, maar voor de predictie is verder onderzoek aangewezen. Toekomstige studies kunnen </w:t>
      </w:r>
      <w:r w:rsidR="00766FAF">
        <w:rPr>
          <w:rFonts w:asciiTheme="minorHAnsi" w:hAnsiTheme="minorHAnsi"/>
        </w:rPr>
        <w:t xml:space="preserve">nagaan of deze mogelijke factoren ook nog zinvol zijn bij een groter aantal proefpersonen voor het voorspellen van </w:t>
      </w:r>
      <w:r w:rsidR="006B4936">
        <w:rPr>
          <w:rFonts w:asciiTheme="minorHAnsi" w:hAnsiTheme="minorHAnsi"/>
        </w:rPr>
        <w:t>de</w:t>
      </w:r>
      <w:r w:rsidR="00766FAF">
        <w:rPr>
          <w:rFonts w:asciiTheme="minorHAnsi" w:hAnsiTheme="minorHAnsi"/>
        </w:rPr>
        <w:t xml:space="preserve"> uitkomst van SEMLS. </w:t>
      </w:r>
    </w:p>
    <w:p w14:paraId="7506AAD4" w14:textId="77777777" w:rsidR="00766FAF" w:rsidRDefault="00766FAF" w:rsidP="00777C4D">
      <w:pPr>
        <w:tabs>
          <w:tab w:val="clear" w:pos="284"/>
          <w:tab w:val="clear" w:pos="567"/>
          <w:tab w:val="clear" w:pos="851"/>
          <w:tab w:val="clear" w:pos="1134"/>
          <w:tab w:val="clear" w:pos="1560"/>
          <w:tab w:val="clear" w:pos="2127"/>
          <w:tab w:val="clear" w:pos="2410"/>
          <w:tab w:val="clear" w:pos="8505"/>
        </w:tabs>
        <w:spacing w:after="200" w:line="360" w:lineRule="auto"/>
        <w:rPr>
          <w:rFonts w:asciiTheme="minorHAnsi" w:hAnsiTheme="minorHAnsi"/>
        </w:rPr>
      </w:pPr>
    </w:p>
    <w:p w14:paraId="1BD47E14" w14:textId="77777777" w:rsidR="00096A6D" w:rsidRDefault="00096A6D" w:rsidP="00777C4D">
      <w:pPr>
        <w:tabs>
          <w:tab w:val="clear" w:pos="284"/>
          <w:tab w:val="clear" w:pos="567"/>
          <w:tab w:val="clear" w:pos="851"/>
          <w:tab w:val="clear" w:pos="1134"/>
          <w:tab w:val="clear" w:pos="1560"/>
          <w:tab w:val="clear" w:pos="2127"/>
          <w:tab w:val="clear" w:pos="2410"/>
          <w:tab w:val="clear" w:pos="8505"/>
        </w:tabs>
        <w:spacing w:after="200" w:line="360" w:lineRule="auto"/>
        <w:rPr>
          <w:rFonts w:asciiTheme="minorHAnsi" w:hAnsiTheme="minorHAnsi"/>
        </w:rPr>
      </w:pPr>
    </w:p>
    <w:p w14:paraId="41F590DE" w14:textId="77777777" w:rsidR="00096A6D" w:rsidRDefault="00096A6D" w:rsidP="00E4232E">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Theme="minorHAnsi" w:hAnsiTheme="minorHAnsi"/>
        </w:rPr>
      </w:pPr>
    </w:p>
    <w:p w14:paraId="04C3790E" w14:textId="77777777" w:rsidR="00096A6D" w:rsidRDefault="00096A6D" w:rsidP="00E4232E">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Theme="minorHAnsi" w:hAnsiTheme="minorHAnsi"/>
        </w:rPr>
      </w:pPr>
    </w:p>
    <w:p w14:paraId="5A07D0D9" w14:textId="77777777" w:rsidR="00E4232E" w:rsidRPr="00041B3F" w:rsidRDefault="00E4232E" w:rsidP="00E4232E">
      <w:pPr>
        <w:tabs>
          <w:tab w:val="clear" w:pos="284"/>
          <w:tab w:val="clear" w:pos="567"/>
          <w:tab w:val="clear" w:pos="851"/>
          <w:tab w:val="clear" w:pos="1134"/>
          <w:tab w:val="clear" w:pos="1560"/>
          <w:tab w:val="clear" w:pos="2127"/>
          <w:tab w:val="clear" w:pos="2410"/>
          <w:tab w:val="clear" w:pos="8505"/>
        </w:tabs>
        <w:spacing w:after="200" w:line="276" w:lineRule="auto"/>
        <w:jc w:val="left"/>
        <w:rPr>
          <w:rFonts w:asciiTheme="minorHAnsi" w:hAnsiTheme="minorHAnsi"/>
        </w:rPr>
      </w:pPr>
      <w:r w:rsidRPr="00041B3F">
        <w:rPr>
          <w:rFonts w:asciiTheme="minorHAnsi" w:hAnsiTheme="minorHAnsi"/>
        </w:rPr>
        <w:br/>
      </w:r>
    </w:p>
    <w:p w14:paraId="78E3E899"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5A5F38A1"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120C6CDB"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01B8C469"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2853A220"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2B7F5F06"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506D38E7"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092CD9F3"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18B20590"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008C2754"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1BCD75F8"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34336444"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329A5A63"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668A4358"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61467214"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66934906" w14:textId="77777777" w:rsidR="003C2E5A" w:rsidRPr="00041B3F"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pPr>
    </w:p>
    <w:p w14:paraId="3B654A44"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r w:rsidRPr="00441B0A">
        <w:rPr>
          <w:rFonts w:asciiTheme="minorHAnsi" w:hAnsiTheme="minorHAnsi"/>
          <w:b/>
          <w:sz w:val="28"/>
        </w:rPr>
        <w:lastRenderedPageBreak/>
        <w:t xml:space="preserve">Appendix III: Author </w:t>
      </w:r>
      <w:proofErr w:type="spellStart"/>
      <w:r w:rsidRPr="00441B0A">
        <w:rPr>
          <w:rFonts w:asciiTheme="minorHAnsi" w:hAnsiTheme="minorHAnsi"/>
          <w:b/>
          <w:sz w:val="28"/>
        </w:rPr>
        <w:t>guidelines</w:t>
      </w:r>
      <w:proofErr w:type="spellEnd"/>
    </w:p>
    <w:p w14:paraId="37DED970"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7B486325"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23106AE5"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47E18EC2"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332E91D4"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1C9D3454"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55ED4AD6"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0B5CE929"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06696F36"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15DC2FA1"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3B1BF221"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3A24B022"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2C85E185"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272964A3"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7A069954"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6A351CBB"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129C1D75"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0A22DE16"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76AE9787"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22F81653"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227D206E" w14:textId="77777777" w:rsidR="003C2E5A" w:rsidRPr="00441B0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rFonts w:asciiTheme="minorHAnsi" w:hAnsiTheme="minorHAnsi"/>
          <w:b/>
          <w:sz w:val="28"/>
        </w:rPr>
      </w:pPr>
    </w:p>
    <w:p w14:paraId="3551F13B" w14:textId="77777777" w:rsidR="00FB4E01" w:rsidRPr="00777C4D"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 w:val="24"/>
          <w:szCs w:val="24"/>
          <w:lang w:eastAsia="en-US"/>
        </w:rPr>
      </w:pPr>
      <w:r>
        <w:rPr>
          <w:rFonts w:ascii="Verdana-Bold" w:hAnsi="Verdana-Bold" w:cs="Verdana-Bold"/>
          <w:b/>
          <w:bCs/>
          <w:noProof/>
          <w:sz w:val="24"/>
          <w:szCs w:val="24"/>
          <w:lang w:val="nl-NL" w:eastAsia="nl-NL"/>
        </w:rPr>
        <w:lastRenderedPageBreak/>
        <w:drawing>
          <wp:inline distT="0" distB="0" distL="0" distR="0" wp14:anchorId="512AFF11" wp14:editId="798819CC">
            <wp:extent cx="5752465" cy="1308100"/>
            <wp:effectExtent l="0" t="0" r="635"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2465" cy="1308100"/>
                    </a:xfrm>
                    <a:prstGeom prst="rect">
                      <a:avLst/>
                    </a:prstGeom>
                    <a:noFill/>
                    <a:ln>
                      <a:noFill/>
                    </a:ln>
                  </pic:spPr>
                </pic:pic>
              </a:graphicData>
            </a:graphic>
          </wp:inline>
        </w:drawing>
      </w:r>
    </w:p>
    <w:p w14:paraId="23A03309" w14:textId="77777777" w:rsidR="00FB4E01" w:rsidRPr="00777C4D"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 w:val="24"/>
          <w:szCs w:val="24"/>
          <w:lang w:eastAsia="en-US"/>
        </w:rPr>
      </w:pPr>
    </w:p>
    <w:p w14:paraId="53D2A880" w14:textId="77777777" w:rsidR="00FB4E01" w:rsidRPr="00A265F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 w:val="24"/>
          <w:szCs w:val="24"/>
          <w:lang w:val="en-US" w:eastAsia="en-US"/>
        </w:rPr>
      </w:pPr>
      <w:r w:rsidRPr="00A265F1">
        <w:rPr>
          <w:rFonts w:ascii="Verdana-Bold" w:eastAsia="Calibri" w:hAnsi="Verdana-Bold" w:cs="Verdana-Bold"/>
          <w:b/>
          <w:bCs/>
          <w:sz w:val="24"/>
          <w:szCs w:val="24"/>
          <w:lang w:val="en-US" w:eastAsia="en-US"/>
        </w:rPr>
        <w:t>GUIDE FOR AUTHORS</w:t>
      </w:r>
    </w:p>
    <w:p w14:paraId="5397143C" w14:textId="77777777" w:rsidR="00FB4E01" w:rsidRPr="00A265F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 w:val="24"/>
          <w:szCs w:val="24"/>
          <w:lang w:val="en-US" w:eastAsia="en-US"/>
        </w:rPr>
      </w:pPr>
    </w:p>
    <w:p w14:paraId="65F0248D" w14:textId="77777777" w:rsidR="00FB4E01" w:rsidRPr="00A265F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
          <w:szCs w:val="2"/>
          <w:lang w:val="en-US" w:eastAsia="en-US"/>
        </w:rPr>
      </w:pPr>
      <w:r w:rsidRPr="00A265F1">
        <w:rPr>
          <w:rFonts w:ascii="Verdana" w:eastAsia="Calibri" w:hAnsi="Verdana" w:cs="Verdana"/>
          <w:sz w:val="2"/>
          <w:szCs w:val="2"/>
          <w:lang w:val="en-US" w:eastAsia="en-US"/>
        </w:rPr>
        <w:t>.</w:t>
      </w:r>
    </w:p>
    <w:p w14:paraId="48B71E7F" w14:textId="77777777" w:rsidR="00FB4E01" w:rsidRPr="00A265F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Cs w:val="22"/>
          <w:lang w:val="en-US" w:eastAsia="en-US"/>
        </w:rPr>
      </w:pPr>
      <w:r w:rsidRPr="00A265F1">
        <w:rPr>
          <w:rFonts w:ascii="Verdana-Bold" w:eastAsia="Calibri" w:hAnsi="Verdana-Bold" w:cs="Verdana-Bold"/>
          <w:b/>
          <w:bCs/>
          <w:szCs w:val="22"/>
          <w:lang w:val="en-US" w:eastAsia="en-US"/>
        </w:rPr>
        <w:t>BEFORE YOU BEGIN</w:t>
      </w:r>
    </w:p>
    <w:p w14:paraId="3419CFD8" w14:textId="77777777" w:rsidR="00FB4E01" w:rsidRPr="00A265F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Cs w:val="22"/>
          <w:lang w:val="en-US" w:eastAsia="en-US"/>
        </w:rPr>
      </w:pPr>
    </w:p>
    <w:p w14:paraId="5D4765E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A265F1">
        <w:rPr>
          <w:rFonts w:ascii="Verdana-BoldItalic" w:eastAsia="Calibri" w:hAnsi="Verdana-BoldItalic" w:cs="Verdana-BoldItalic"/>
          <w:b/>
          <w:bCs/>
          <w:i/>
          <w:iCs/>
          <w:szCs w:val="22"/>
          <w:lang w:val="en-US" w:eastAsia="en-US"/>
        </w:rPr>
        <w:t>Ethic</w:t>
      </w:r>
      <w:r w:rsidRPr="00FB4E01">
        <w:rPr>
          <w:rFonts w:ascii="Verdana-BoldItalic" w:eastAsia="Calibri" w:hAnsi="Verdana-BoldItalic" w:cs="Verdana-BoldItalic"/>
          <w:b/>
          <w:bCs/>
          <w:i/>
          <w:iCs/>
          <w:szCs w:val="22"/>
          <w:lang w:val="en-US" w:eastAsia="en-US"/>
        </w:rPr>
        <w:t>s in publishing</w:t>
      </w:r>
    </w:p>
    <w:p w14:paraId="171D90AF"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For information on Ethics in publishing and Ethical guidelines for journal publication see</w:t>
      </w:r>
    </w:p>
    <w:p w14:paraId="644458C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u w:val="single"/>
          <w:lang w:val="en-US" w:eastAsia="en-US"/>
        </w:rPr>
      </w:pPr>
      <w:r w:rsidRPr="00FB4E01">
        <w:rPr>
          <w:rFonts w:ascii="Verdana" w:eastAsia="Calibri" w:hAnsi="Verdana" w:cs="Verdana"/>
          <w:sz w:val="20"/>
          <w:szCs w:val="20"/>
          <w:u w:val="single"/>
          <w:lang w:val="en-US" w:eastAsia="en-US"/>
        </w:rPr>
        <w:t xml:space="preserve">https://www.elsevier.com/publishingethics and </w:t>
      </w:r>
      <w:hyperlink r:id="rId33" w:history="1">
        <w:r w:rsidRPr="00FB4E01">
          <w:rPr>
            <w:rFonts w:ascii="Verdana" w:eastAsia="Calibri" w:hAnsi="Verdana" w:cs="Verdana"/>
            <w:sz w:val="20"/>
            <w:szCs w:val="20"/>
            <w:u w:val="single"/>
            <w:lang w:val="en-US" w:eastAsia="en-US"/>
          </w:rPr>
          <w:t>https://www.elsevier.com/journal-authors/ethics</w:t>
        </w:r>
      </w:hyperlink>
      <w:r w:rsidRPr="00FB4E01">
        <w:rPr>
          <w:rFonts w:ascii="Verdana" w:eastAsia="Calibri" w:hAnsi="Verdana" w:cs="Verdana"/>
          <w:sz w:val="20"/>
          <w:szCs w:val="20"/>
          <w:u w:val="single"/>
          <w:lang w:val="en-US" w:eastAsia="en-US"/>
        </w:rPr>
        <w:t>.</w:t>
      </w:r>
    </w:p>
    <w:p w14:paraId="2D0E7D8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u w:val="single"/>
          <w:lang w:val="en-US" w:eastAsia="en-US"/>
        </w:rPr>
      </w:pPr>
    </w:p>
    <w:p w14:paraId="1FF320A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Conflict of interest</w:t>
      </w:r>
    </w:p>
    <w:p w14:paraId="4D377FE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All authors must disclose any financial and personal relationships with other people or organizations that could inappropriately influence (bias) their work. Examples of potential conflicts of interest include employment, consultancies, stock ownership, honoraria, paid expert testimony, patent applications/registrations, and grants or other funding. If there are no conflicts of interest then please state this: 'Conflicts of interest: none'. See also </w:t>
      </w:r>
      <w:hyperlink r:id="rId34" w:history="1">
        <w:r w:rsidRPr="00FB4E01">
          <w:rPr>
            <w:rFonts w:ascii="Verdana" w:eastAsia="Calibri" w:hAnsi="Verdana" w:cs="Verdana"/>
            <w:sz w:val="20"/>
            <w:szCs w:val="20"/>
            <w:u w:val="single"/>
            <w:lang w:val="en-US" w:eastAsia="en-US"/>
          </w:rPr>
          <w:t>https://www.elsevier.com/conflictsofinterest</w:t>
        </w:r>
      </w:hyperlink>
      <w:r w:rsidRPr="00FB4E01">
        <w:rPr>
          <w:rFonts w:ascii="Verdana" w:eastAsia="Calibri" w:hAnsi="Verdana" w:cs="Verdana"/>
          <w:sz w:val="20"/>
          <w:szCs w:val="20"/>
          <w:lang w:val="en-US" w:eastAsia="en-US"/>
        </w:rPr>
        <w:t xml:space="preserve">. Further information and an example of a Conflict of Interest form can be found at: </w:t>
      </w:r>
      <w:hyperlink r:id="rId35" w:history="1">
        <w:r w:rsidRPr="00FB4E01">
          <w:rPr>
            <w:rFonts w:ascii="Verdana" w:eastAsia="Calibri" w:hAnsi="Verdana" w:cs="Verdana"/>
            <w:sz w:val="20"/>
            <w:szCs w:val="20"/>
            <w:u w:val="single"/>
            <w:lang w:val="en-US" w:eastAsia="en-US"/>
          </w:rPr>
          <w:t>http://service.elsevier.com/app/answers/detail/a_id/286/supporthub/publishing</w:t>
        </w:r>
      </w:hyperlink>
      <w:r w:rsidRPr="00FB4E01">
        <w:rPr>
          <w:rFonts w:ascii="Verdana" w:eastAsia="Calibri" w:hAnsi="Verdana" w:cs="Verdana"/>
          <w:sz w:val="20"/>
          <w:szCs w:val="20"/>
          <w:lang w:val="en-US" w:eastAsia="en-US"/>
        </w:rPr>
        <w:t>.</w:t>
      </w:r>
    </w:p>
    <w:p w14:paraId="6531A7D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3D00B96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Submission declaration and verification</w:t>
      </w:r>
    </w:p>
    <w:p w14:paraId="5FD647A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Submission of an article implies that the work described has not been published previously (except in the form of an abstract or as part of a published lecture or academic thesis or as </w:t>
      </w:r>
      <w:proofErr w:type="spellStart"/>
      <w:r w:rsidRPr="00FB4E01">
        <w:rPr>
          <w:rFonts w:ascii="Verdana" w:eastAsia="Calibri" w:hAnsi="Verdana" w:cs="Verdana"/>
          <w:sz w:val="20"/>
          <w:szCs w:val="20"/>
          <w:lang w:val="en-US" w:eastAsia="en-US"/>
        </w:rPr>
        <w:t>anelectronic</w:t>
      </w:r>
      <w:proofErr w:type="spellEnd"/>
      <w:r w:rsidRPr="00FB4E01">
        <w:rPr>
          <w:rFonts w:ascii="Verdana" w:eastAsia="Calibri" w:hAnsi="Verdana" w:cs="Verdana"/>
          <w:sz w:val="20"/>
          <w:szCs w:val="20"/>
          <w:lang w:val="en-US" w:eastAsia="en-US"/>
        </w:rPr>
        <w:t xml:space="preserve"> preprint, see </w:t>
      </w:r>
      <w:r w:rsidRPr="00FB4E01">
        <w:rPr>
          <w:rFonts w:ascii="Verdana" w:eastAsia="Calibri" w:hAnsi="Verdana" w:cs="Verdana"/>
          <w:sz w:val="20"/>
          <w:szCs w:val="20"/>
          <w:u w:val="single"/>
          <w:lang w:val="en-US" w:eastAsia="en-US"/>
        </w:rPr>
        <w:t>https://www.elsevier.com/sharingpolicy</w:t>
      </w:r>
      <w:r w:rsidRPr="00FB4E01">
        <w:rPr>
          <w:rFonts w:ascii="Verdana" w:eastAsia="Calibri" w:hAnsi="Verdana" w:cs="Verdana"/>
          <w:sz w:val="20"/>
          <w:szCs w:val="20"/>
          <w:lang w:val="en-US" w:eastAsia="en-US"/>
        </w:rPr>
        <w:t>), that it is not under consideration</w:t>
      </w:r>
    </w:p>
    <w:p w14:paraId="3A88200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for publication elsewhere, that its publication is approved by all authors and tacitly or explicitly by the responsible authorities where the work was carried out, and that, if accepted, it will not be published elsewhere in the same form, in English or in any other language, including electronically without the written consent of the copyright-holder. To verify originality, your article may be checked by the originality detection service </w:t>
      </w:r>
      <w:proofErr w:type="spellStart"/>
      <w:r w:rsidRPr="00FB4E01">
        <w:rPr>
          <w:rFonts w:ascii="Verdana" w:eastAsia="Calibri" w:hAnsi="Verdana" w:cs="Verdana"/>
          <w:sz w:val="20"/>
          <w:szCs w:val="20"/>
          <w:lang w:val="en-US" w:eastAsia="en-US"/>
        </w:rPr>
        <w:t>CrossCheck</w:t>
      </w:r>
      <w:proofErr w:type="spellEnd"/>
      <w:r w:rsidRPr="00FB4E01">
        <w:rPr>
          <w:rFonts w:ascii="Verdana" w:eastAsia="Calibri" w:hAnsi="Verdana" w:cs="Verdana"/>
          <w:sz w:val="20"/>
          <w:szCs w:val="20"/>
          <w:lang w:val="en-US" w:eastAsia="en-US"/>
        </w:rPr>
        <w:t xml:space="preserve"> </w:t>
      </w:r>
      <w:hyperlink r:id="rId36" w:history="1">
        <w:r w:rsidRPr="00FB4E01">
          <w:rPr>
            <w:rFonts w:ascii="Verdana" w:eastAsia="Calibri" w:hAnsi="Verdana" w:cs="Verdana"/>
            <w:sz w:val="20"/>
            <w:szCs w:val="20"/>
            <w:u w:val="single"/>
            <w:lang w:val="en-US" w:eastAsia="en-US"/>
          </w:rPr>
          <w:t>https://www.elsevier.com/editors/plagdetect</w:t>
        </w:r>
      </w:hyperlink>
      <w:r w:rsidRPr="00FB4E01">
        <w:rPr>
          <w:rFonts w:ascii="Verdana" w:eastAsia="Calibri" w:hAnsi="Verdana" w:cs="Verdana"/>
          <w:sz w:val="20"/>
          <w:szCs w:val="20"/>
          <w:lang w:val="en-US" w:eastAsia="en-US"/>
        </w:rPr>
        <w:t>.</w:t>
      </w:r>
    </w:p>
    <w:p w14:paraId="134142C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9AC63E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Contributors</w:t>
      </w:r>
    </w:p>
    <w:p w14:paraId="7582507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Each author is required to declare his or her individual contribution to the article: all authors must have materially participated in the research and/or article preparation, so roles for all authors should be described. The statement that all authors have approved the final article should be true and included in the disclosure.</w:t>
      </w:r>
    </w:p>
    <w:p w14:paraId="2354D49F"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086D9C0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Authorship</w:t>
      </w:r>
    </w:p>
    <w:p w14:paraId="700757D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All authors should have made substantial contributions to all of the following: (1) the conception and design of the study, or acquisition of data, or analysis and interpretation of data, (2) drafting the article or revising it critically for important intellectual content, (3) final approval of the version to be submitted.</w:t>
      </w:r>
    </w:p>
    <w:p w14:paraId="64C2904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1725C94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Changes to authorship</w:t>
      </w:r>
    </w:p>
    <w:p w14:paraId="1FA7D90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Authors are expected to consider carefully the list and order of authors </w:t>
      </w:r>
      <w:r w:rsidRPr="00FB4E01">
        <w:rPr>
          <w:rFonts w:ascii="Verdana-Bold" w:eastAsia="Calibri" w:hAnsi="Verdana-Bold" w:cs="Verdana-Bold"/>
          <w:b/>
          <w:bCs/>
          <w:sz w:val="20"/>
          <w:szCs w:val="20"/>
          <w:lang w:val="en-US" w:eastAsia="en-US"/>
        </w:rPr>
        <w:t xml:space="preserve">before </w:t>
      </w:r>
      <w:r w:rsidRPr="00FB4E01">
        <w:rPr>
          <w:rFonts w:ascii="Verdana" w:eastAsia="Calibri" w:hAnsi="Verdana" w:cs="Verdana"/>
          <w:sz w:val="20"/>
          <w:szCs w:val="20"/>
          <w:lang w:val="en-US" w:eastAsia="en-US"/>
        </w:rPr>
        <w:t xml:space="preserve">submitting their manuscript and provide the definitive list of authors at the time of the original submission. Any addition, deletion or rearrangement of author names in the authorship </w:t>
      </w:r>
      <w:r w:rsidRPr="00FB4E01">
        <w:rPr>
          <w:rFonts w:ascii="Verdana" w:eastAsia="Calibri" w:hAnsi="Verdana" w:cs="Verdana"/>
          <w:sz w:val="20"/>
          <w:szCs w:val="20"/>
          <w:lang w:val="en-US" w:eastAsia="en-US"/>
        </w:rPr>
        <w:lastRenderedPageBreak/>
        <w:t xml:space="preserve">list should be made only </w:t>
      </w:r>
      <w:r w:rsidRPr="00FB4E01">
        <w:rPr>
          <w:rFonts w:ascii="Verdana-Bold" w:eastAsia="Calibri" w:hAnsi="Verdana-Bold" w:cs="Verdana-Bold"/>
          <w:b/>
          <w:bCs/>
          <w:sz w:val="20"/>
          <w:szCs w:val="20"/>
          <w:lang w:val="en-US" w:eastAsia="en-US"/>
        </w:rPr>
        <w:t xml:space="preserve">before </w:t>
      </w:r>
      <w:r w:rsidRPr="00FB4E01">
        <w:rPr>
          <w:rFonts w:ascii="Verdana" w:eastAsia="Calibri" w:hAnsi="Verdana" w:cs="Verdana"/>
          <w:sz w:val="20"/>
          <w:szCs w:val="20"/>
          <w:lang w:val="en-US" w:eastAsia="en-US"/>
        </w:rPr>
        <w:t xml:space="preserve">the manuscript has been accepted and only if approved by the journal Editor. To request such a change, the Editor must receive the following from the </w:t>
      </w:r>
      <w:r w:rsidRPr="00FB4E01">
        <w:rPr>
          <w:rFonts w:ascii="Verdana-Bold" w:eastAsia="Calibri" w:hAnsi="Verdana-Bold" w:cs="Verdana-Bold"/>
          <w:b/>
          <w:bCs/>
          <w:sz w:val="20"/>
          <w:szCs w:val="20"/>
          <w:lang w:val="en-US" w:eastAsia="en-US"/>
        </w:rPr>
        <w:t>corresponding author</w:t>
      </w:r>
      <w:r w:rsidRPr="00FB4E01">
        <w:rPr>
          <w:rFonts w:ascii="Verdana" w:eastAsia="Calibri" w:hAnsi="Verdana" w:cs="Verdana"/>
          <w:sz w:val="20"/>
          <w:szCs w:val="20"/>
          <w:lang w:val="en-US" w:eastAsia="en-US"/>
        </w:rPr>
        <w:t xml:space="preserve">: (a) the reason for the change in author list and (b) written confirmation (e-mail, letter) from all authors that they agree with the addition, removal or rearrangement. In the case of addition or removal of authors, this includes confirmation from the author being added or removed. Only in exceptional circumstances will the Editor consider the addition, deletion or rearrangement of authors </w:t>
      </w:r>
      <w:r w:rsidRPr="00FB4E01">
        <w:rPr>
          <w:rFonts w:ascii="Verdana-Bold" w:eastAsia="Calibri" w:hAnsi="Verdana-Bold" w:cs="Verdana-Bold"/>
          <w:b/>
          <w:bCs/>
          <w:sz w:val="20"/>
          <w:szCs w:val="20"/>
          <w:lang w:val="en-US" w:eastAsia="en-US"/>
        </w:rPr>
        <w:t xml:space="preserve">after </w:t>
      </w:r>
      <w:r w:rsidRPr="00FB4E01">
        <w:rPr>
          <w:rFonts w:ascii="Verdana" w:eastAsia="Calibri" w:hAnsi="Verdana" w:cs="Verdana"/>
          <w:sz w:val="20"/>
          <w:szCs w:val="20"/>
          <w:lang w:val="en-US" w:eastAsia="en-US"/>
        </w:rPr>
        <w:t>the manuscript has been accepted. While the Editor considers the request, publication</w:t>
      </w:r>
    </w:p>
    <w:p w14:paraId="053D9D6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of the manuscript will be suspended. If the manuscript has already been published in an online issue, any requests approved by the Editor will result in a corrigendum.</w:t>
      </w:r>
    </w:p>
    <w:p w14:paraId="27CCA40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0BC928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Clinical trial results</w:t>
      </w:r>
    </w:p>
    <w:p w14:paraId="0D4F236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In line with the position of the International Committee of Medical Journal Editors, the journal will not consider results posted in the same clinical trials registry in which primary registration resides to be prior publication if the results posted are presented in the form of a brief structured (less than 500 words) abstract or table. However, divulging results in other circumstances (e.g., investors' meetings) is discouraged and may </w:t>
      </w:r>
      <w:proofErr w:type="spellStart"/>
      <w:r w:rsidRPr="00FB4E01">
        <w:rPr>
          <w:rFonts w:ascii="Verdana" w:eastAsia="Calibri" w:hAnsi="Verdana" w:cs="Verdana"/>
          <w:sz w:val="20"/>
          <w:szCs w:val="20"/>
          <w:lang w:val="en-US" w:eastAsia="en-US"/>
        </w:rPr>
        <w:t>jeopardise</w:t>
      </w:r>
      <w:proofErr w:type="spellEnd"/>
      <w:r w:rsidRPr="00FB4E01">
        <w:rPr>
          <w:rFonts w:ascii="Verdana" w:eastAsia="Calibri" w:hAnsi="Verdana" w:cs="Verdana"/>
          <w:sz w:val="20"/>
          <w:szCs w:val="20"/>
          <w:lang w:val="en-US" w:eastAsia="en-US"/>
        </w:rPr>
        <w:t xml:space="preserve"> consideration of the manuscript. Authors should fully disclose all posting in registries of results of the same or closely related work. </w:t>
      </w:r>
    </w:p>
    <w:p w14:paraId="300E341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2BF1DC2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Article transfer service</w:t>
      </w:r>
    </w:p>
    <w:p w14:paraId="7897B70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This journal is part of our Article Transfer Service. This means that if the Editor feels your article is more suitable in one of our other participating journals, then you may be asked to consider transferring the article to one of those. If you agree, your article will be transferred automatically on your behalf with no need to reformat. Please note that your article will be reviewed again by the new journal. More information about this can be found here: </w:t>
      </w:r>
      <w:hyperlink r:id="rId37" w:history="1">
        <w:r w:rsidRPr="00FB4E01">
          <w:rPr>
            <w:rFonts w:ascii="Verdana" w:eastAsia="Calibri" w:hAnsi="Verdana" w:cs="Verdana"/>
            <w:sz w:val="20"/>
            <w:szCs w:val="20"/>
            <w:u w:val="single"/>
            <w:lang w:val="en-US" w:eastAsia="en-US"/>
          </w:rPr>
          <w:t>https://www.elsevier.com/authors/article-transfer-service</w:t>
        </w:r>
      </w:hyperlink>
      <w:r w:rsidRPr="00FB4E01">
        <w:rPr>
          <w:rFonts w:ascii="Verdana" w:eastAsia="Calibri" w:hAnsi="Verdana" w:cs="Verdana"/>
          <w:sz w:val="20"/>
          <w:szCs w:val="20"/>
          <w:lang w:val="en-US" w:eastAsia="en-US"/>
        </w:rPr>
        <w:t>.</w:t>
      </w:r>
    </w:p>
    <w:p w14:paraId="6F55993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1E33DE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Copyright</w:t>
      </w:r>
    </w:p>
    <w:p w14:paraId="45CB857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Upon acceptance of an article, authors will be asked to complete a 'Journal Publishing Agreement' (for more information on this and copyright, see </w:t>
      </w:r>
      <w:r w:rsidRPr="00FB4E01">
        <w:rPr>
          <w:rFonts w:ascii="Verdana" w:eastAsia="Calibri" w:hAnsi="Verdana" w:cs="Verdana"/>
          <w:sz w:val="20"/>
          <w:szCs w:val="20"/>
          <w:u w:val="single"/>
          <w:lang w:val="en-US" w:eastAsia="en-US"/>
        </w:rPr>
        <w:t>https://www.elsevier.com/copyright</w:t>
      </w:r>
      <w:r w:rsidRPr="00FB4E01">
        <w:rPr>
          <w:rFonts w:ascii="Verdana" w:eastAsia="Calibri" w:hAnsi="Verdana" w:cs="Verdana"/>
          <w:sz w:val="20"/>
          <w:szCs w:val="20"/>
          <w:lang w:val="en-US" w:eastAsia="en-US"/>
        </w:rPr>
        <w:t xml:space="preserve">). An e-mail will be sent to the corresponding author confirming receipt of the manuscript together with a 'Journal Publishing Agreement' form or a link to the online version of this agreement. Subscribers may reproduce tables of contents or prepare lists of articles including abstracts for internal circulation within their institutions. Permission of the Publisher is required for resale or distribution outside the institution and for all other derivative works, including compilations and translations (please consult </w:t>
      </w:r>
      <w:r w:rsidRPr="00FB4E01">
        <w:rPr>
          <w:rFonts w:ascii="Verdana" w:eastAsia="Calibri" w:hAnsi="Verdana" w:cs="Verdana"/>
          <w:sz w:val="20"/>
          <w:szCs w:val="20"/>
          <w:u w:val="single"/>
          <w:lang w:val="en-US" w:eastAsia="en-US"/>
        </w:rPr>
        <w:t>https://www.elsevier.com/permissions</w:t>
      </w:r>
      <w:r w:rsidRPr="00FB4E01">
        <w:rPr>
          <w:rFonts w:ascii="Verdana" w:eastAsia="Calibri" w:hAnsi="Verdana" w:cs="Verdana"/>
          <w:sz w:val="20"/>
          <w:szCs w:val="20"/>
          <w:lang w:val="en-US" w:eastAsia="en-US"/>
        </w:rPr>
        <w:t xml:space="preserve">). If excerpts from other copyrighted works are included, the author(s) must obtain written permission from the copyright owners and credit the source(s) in the article. Elsevier has preprinted forms for use by authors in these cases: please consult </w:t>
      </w:r>
      <w:r w:rsidRPr="00FB4E01">
        <w:rPr>
          <w:rFonts w:ascii="Verdana" w:eastAsia="Calibri" w:hAnsi="Verdana" w:cs="Verdana"/>
          <w:sz w:val="20"/>
          <w:szCs w:val="20"/>
          <w:u w:val="single"/>
          <w:lang w:val="en-US" w:eastAsia="en-US"/>
        </w:rPr>
        <w:t>https://www.elsevier.com/permissions</w:t>
      </w:r>
      <w:r w:rsidRPr="00FB4E01">
        <w:rPr>
          <w:rFonts w:ascii="Verdana" w:eastAsia="Calibri" w:hAnsi="Verdana" w:cs="Verdana"/>
          <w:sz w:val="20"/>
          <w:szCs w:val="20"/>
          <w:lang w:val="en-US" w:eastAsia="en-US"/>
        </w:rPr>
        <w:t>.</w:t>
      </w:r>
    </w:p>
    <w:p w14:paraId="2BCAF97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For open access articles: Upon acceptance of an article, authors will be asked to complete an 'Exclusive License Agreement' (for more information see </w:t>
      </w:r>
      <w:hyperlink r:id="rId38" w:history="1">
        <w:r w:rsidRPr="00FB4E01">
          <w:rPr>
            <w:rFonts w:ascii="Verdana" w:eastAsia="Calibri" w:hAnsi="Verdana" w:cs="Verdana"/>
            <w:sz w:val="20"/>
            <w:szCs w:val="20"/>
            <w:u w:val="single"/>
            <w:lang w:val="en-US" w:eastAsia="en-US"/>
          </w:rPr>
          <w:t>https://www.elsevier.com/OAauthoragreement</w:t>
        </w:r>
      </w:hyperlink>
      <w:r w:rsidRPr="00FB4E01">
        <w:rPr>
          <w:rFonts w:ascii="Verdana" w:eastAsia="Calibri" w:hAnsi="Verdana" w:cs="Verdana"/>
          <w:sz w:val="20"/>
          <w:szCs w:val="20"/>
          <w:lang w:val="en-US" w:eastAsia="en-US"/>
        </w:rPr>
        <w:t xml:space="preserve">). Permitted third party reuse of open access articles is determined by the author's choice of user license (see </w:t>
      </w:r>
      <w:hyperlink r:id="rId39" w:history="1">
        <w:r w:rsidRPr="00FB4E01">
          <w:rPr>
            <w:rFonts w:ascii="Verdana" w:eastAsia="Calibri" w:hAnsi="Verdana" w:cs="Verdana"/>
            <w:sz w:val="20"/>
            <w:szCs w:val="20"/>
            <w:u w:val="single"/>
            <w:lang w:val="en-US" w:eastAsia="en-US"/>
          </w:rPr>
          <w:t>https://www.elsevier.com/openaccesslicenses</w:t>
        </w:r>
      </w:hyperlink>
      <w:r w:rsidRPr="00FB4E01">
        <w:rPr>
          <w:rFonts w:ascii="Verdana" w:eastAsia="Calibri" w:hAnsi="Verdana" w:cs="Verdana"/>
          <w:sz w:val="20"/>
          <w:szCs w:val="20"/>
          <w:lang w:val="en-US" w:eastAsia="en-US"/>
        </w:rPr>
        <w:t>).</w:t>
      </w:r>
    </w:p>
    <w:p w14:paraId="24D0698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6A6C1A3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 w:val="20"/>
          <w:szCs w:val="20"/>
          <w:lang w:val="en-US" w:eastAsia="en-US"/>
        </w:rPr>
      </w:pPr>
      <w:r w:rsidRPr="00FB4E01">
        <w:rPr>
          <w:rFonts w:ascii="Verdana-BoldItalic" w:eastAsia="Calibri" w:hAnsi="Verdana-BoldItalic" w:cs="Verdana-BoldItalic"/>
          <w:b/>
          <w:bCs/>
          <w:i/>
          <w:iCs/>
          <w:sz w:val="20"/>
          <w:szCs w:val="20"/>
          <w:lang w:val="en-US" w:eastAsia="en-US"/>
        </w:rPr>
        <w:t>Author rights</w:t>
      </w:r>
    </w:p>
    <w:p w14:paraId="5037354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As an author you (or your employer or institution) have certain rights to reuse your work. For more information see </w:t>
      </w:r>
      <w:hyperlink r:id="rId40" w:history="1">
        <w:r w:rsidRPr="00FB4E01">
          <w:rPr>
            <w:rFonts w:ascii="Verdana" w:eastAsia="Calibri" w:hAnsi="Verdana" w:cs="Verdana"/>
            <w:sz w:val="20"/>
            <w:szCs w:val="20"/>
            <w:u w:val="single"/>
            <w:lang w:val="en-US" w:eastAsia="en-US"/>
          </w:rPr>
          <w:t>https://www.elsevier.com/copyright</w:t>
        </w:r>
      </w:hyperlink>
      <w:r w:rsidRPr="00FB4E01">
        <w:rPr>
          <w:rFonts w:ascii="Verdana" w:eastAsia="Calibri" w:hAnsi="Verdana" w:cs="Verdana"/>
          <w:sz w:val="20"/>
          <w:szCs w:val="20"/>
          <w:lang w:val="en-US" w:eastAsia="en-US"/>
        </w:rPr>
        <w:t>.</w:t>
      </w:r>
    </w:p>
    <w:p w14:paraId="7102E71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1767329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Role of the funding source</w:t>
      </w:r>
    </w:p>
    <w:p w14:paraId="6D0CCCB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You are requested to identify who provided financial support for the conduct of the research and/or preparation of the article and to briefly describe the role of the sponsor(s), if any, in study design; in the collection, analysis and interpretation of data; in the writing of the report; and in the decision to submit the article for publication. If the funding source(s) had no such involvement then this should be stated.</w:t>
      </w:r>
    </w:p>
    <w:p w14:paraId="1F160D4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lastRenderedPageBreak/>
        <w:t>Funding body agreements and policies</w:t>
      </w:r>
    </w:p>
    <w:p w14:paraId="2C08283F"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Elsevier has established a number of agreements with funding bodies which allow authors</w:t>
      </w:r>
    </w:p>
    <w:p w14:paraId="4FFCCF5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to comply with their funder's open access policies. Some authors may also be reimbursed</w:t>
      </w:r>
    </w:p>
    <w:p w14:paraId="30ABA11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for associated publication fees. To learn more about existing agreements please visit</w:t>
      </w:r>
    </w:p>
    <w:p w14:paraId="434EB5D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u w:val="single"/>
          <w:lang w:val="en-US" w:eastAsia="en-US"/>
        </w:rPr>
        <w:t>https://www.elsevier.com/fundingbodies</w:t>
      </w:r>
      <w:r w:rsidRPr="00FB4E01">
        <w:rPr>
          <w:rFonts w:ascii="Verdana" w:eastAsia="Calibri" w:hAnsi="Verdana" w:cs="Verdana"/>
          <w:sz w:val="20"/>
          <w:szCs w:val="20"/>
          <w:lang w:val="en-US" w:eastAsia="en-US"/>
        </w:rPr>
        <w:t>.</w:t>
      </w:r>
    </w:p>
    <w:p w14:paraId="3DA2901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After acceptance, open access papers will be published under a noncommercial license. For authors requiring a commercial CC BY license, you can apply after your manuscript is accepted for publication.</w:t>
      </w:r>
    </w:p>
    <w:p w14:paraId="207F52F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F9DE06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Open access</w:t>
      </w:r>
    </w:p>
    <w:p w14:paraId="76B6F57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This journal offers authors a choice in publishing their research:</w:t>
      </w:r>
    </w:p>
    <w:p w14:paraId="63F3771F"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0E2DD69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 w:val="20"/>
          <w:szCs w:val="20"/>
          <w:lang w:val="en-US" w:eastAsia="en-US"/>
        </w:rPr>
      </w:pPr>
      <w:r w:rsidRPr="00FB4E01">
        <w:rPr>
          <w:rFonts w:ascii="Verdana-Bold" w:eastAsia="Calibri" w:hAnsi="Verdana-Bold" w:cs="Verdana-Bold"/>
          <w:b/>
          <w:bCs/>
          <w:sz w:val="20"/>
          <w:szCs w:val="20"/>
          <w:lang w:val="en-US" w:eastAsia="en-US"/>
        </w:rPr>
        <w:t>Open access</w:t>
      </w:r>
    </w:p>
    <w:p w14:paraId="0F8D97F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Articles are freely available to both subscribers and the wider public with permitted reuse</w:t>
      </w:r>
    </w:p>
    <w:p w14:paraId="460C0BB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An open access publication fee is payable by authors or on their behalf e.g. by their research funder or institution</w:t>
      </w:r>
    </w:p>
    <w:p w14:paraId="572B3B2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 w:val="20"/>
          <w:szCs w:val="20"/>
          <w:lang w:val="en-US" w:eastAsia="en-US"/>
        </w:rPr>
      </w:pPr>
      <w:r w:rsidRPr="00FB4E01">
        <w:rPr>
          <w:rFonts w:ascii="Verdana-Bold" w:eastAsia="Calibri" w:hAnsi="Verdana-Bold" w:cs="Verdana-Bold"/>
          <w:b/>
          <w:bCs/>
          <w:sz w:val="20"/>
          <w:szCs w:val="20"/>
          <w:lang w:val="en-US" w:eastAsia="en-US"/>
        </w:rPr>
        <w:t>Subscription</w:t>
      </w:r>
    </w:p>
    <w:p w14:paraId="3089642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Articles are made available to subscribers as well as developing countries and patient groups through our universal access programs (</w:t>
      </w:r>
      <w:r w:rsidRPr="00FB4E01">
        <w:rPr>
          <w:rFonts w:ascii="Verdana" w:eastAsia="Calibri" w:hAnsi="Verdana" w:cs="Verdana"/>
          <w:sz w:val="20"/>
          <w:szCs w:val="20"/>
          <w:u w:val="single"/>
          <w:lang w:val="en-US" w:eastAsia="en-US"/>
        </w:rPr>
        <w:t>https://www.elsevier.com/access</w:t>
      </w:r>
      <w:r w:rsidRPr="00FB4E01">
        <w:rPr>
          <w:rFonts w:ascii="Verdana" w:eastAsia="Calibri" w:hAnsi="Verdana" w:cs="Verdana"/>
          <w:sz w:val="20"/>
          <w:szCs w:val="20"/>
          <w:lang w:val="en-US" w:eastAsia="en-US"/>
        </w:rPr>
        <w:t>).</w:t>
      </w:r>
    </w:p>
    <w:p w14:paraId="21D3A78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 No open access publication fee payable by authors. </w:t>
      </w:r>
    </w:p>
    <w:p w14:paraId="4FCE8F7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263265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Regardless of how you choose to publish your article, the journal will apply the same peer review criteria and acceptance standards. </w:t>
      </w:r>
    </w:p>
    <w:p w14:paraId="70C1D9F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57D3280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For open access articles, permitted third party (re)use is defined by the following Creative Commons user licenses:</w:t>
      </w:r>
    </w:p>
    <w:p w14:paraId="5AB36BF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i/>
          <w:sz w:val="20"/>
          <w:szCs w:val="20"/>
          <w:lang w:val="en-US" w:eastAsia="en-US"/>
        </w:rPr>
      </w:pPr>
      <w:r w:rsidRPr="00FB4E01">
        <w:rPr>
          <w:rFonts w:ascii="Verdana" w:eastAsia="Calibri" w:hAnsi="Verdana" w:cs="Verdana"/>
          <w:i/>
          <w:sz w:val="20"/>
          <w:szCs w:val="20"/>
          <w:lang w:val="en-US" w:eastAsia="en-US"/>
        </w:rPr>
        <w:t>Creative Commons Attribution-</w:t>
      </w:r>
      <w:proofErr w:type="spellStart"/>
      <w:r w:rsidRPr="00FB4E01">
        <w:rPr>
          <w:rFonts w:ascii="Verdana" w:eastAsia="Calibri" w:hAnsi="Verdana" w:cs="Verdana"/>
          <w:i/>
          <w:sz w:val="20"/>
          <w:szCs w:val="20"/>
          <w:lang w:val="en-US" w:eastAsia="en-US"/>
        </w:rPr>
        <w:t>NonCommercial</w:t>
      </w:r>
      <w:proofErr w:type="spellEnd"/>
      <w:r w:rsidRPr="00FB4E01">
        <w:rPr>
          <w:rFonts w:ascii="Verdana" w:eastAsia="Calibri" w:hAnsi="Verdana" w:cs="Verdana"/>
          <w:i/>
          <w:sz w:val="20"/>
          <w:szCs w:val="20"/>
          <w:lang w:val="en-US" w:eastAsia="en-US"/>
        </w:rPr>
        <w:t>-</w:t>
      </w:r>
      <w:proofErr w:type="spellStart"/>
      <w:r w:rsidRPr="00FB4E01">
        <w:rPr>
          <w:rFonts w:ascii="Verdana" w:eastAsia="Calibri" w:hAnsi="Verdana" w:cs="Verdana"/>
          <w:i/>
          <w:sz w:val="20"/>
          <w:szCs w:val="20"/>
          <w:lang w:val="en-US" w:eastAsia="en-US"/>
        </w:rPr>
        <w:t>NoDerivs</w:t>
      </w:r>
      <w:proofErr w:type="spellEnd"/>
      <w:r w:rsidRPr="00FB4E01">
        <w:rPr>
          <w:rFonts w:ascii="Verdana" w:eastAsia="Calibri" w:hAnsi="Verdana" w:cs="Verdana"/>
          <w:i/>
          <w:sz w:val="20"/>
          <w:szCs w:val="20"/>
          <w:lang w:val="en-US" w:eastAsia="en-US"/>
        </w:rPr>
        <w:t xml:space="preserve"> (CC BY-NC-ND)</w:t>
      </w:r>
    </w:p>
    <w:p w14:paraId="30427B6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For non-commercial purposes, lets others distribute and copy the article, and to include in a collective work (such as an anthology), as long as they credit the author(s) and provided they do not alter or modify the article.</w:t>
      </w:r>
    </w:p>
    <w:p w14:paraId="0185555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326ED0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The open access publication fee for this journal is </w:t>
      </w:r>
      <w:r w:rsidRPr="00FB4E01">
        <w:rPr>
          <w:rFonts w:ascii="Verdana-Bold" w:eastAsia="Calibri" w:hAnsi="Verdana-Bold" w:cs="Verdana-Bold"/>
          <w:b/>
          <w:bCs/>
          <w:sz w:val="20"/>
          <w:szCs w:val="20"/>
          <w:lang w:val="en-US" w:eastAsia="en-US"/>
        </w:rPr>
        <w:t>USD 3300</w:t>
      </w:r>
      <w:r w:rsidRPr="00FB4E01">
        <w:rPr>
          <w:rFonts w:ascii="Verdana" w:eastAsia="Calibri" w:hAnsi="Verdana" w:cs="Verdana"/>
          <w:sz w:val="20"/>
          <w:szCs w:val="20"/>
          <w:lang w:val="en-US" w:eastAsia="en-US"/>
        </w:rPr>
        <w:t xml:space="preserve">, excluding taxes. Learn more about Elsevier's pricing policy: </w:t>
      </w:r>
      <w:hyperlink r:id="rId41" w:history="1">
        <w:r w:rsidRPr="00FB4E01">
          <w:rPr>
            <w:rFonts w:ascii="Verdana" w:eastAsia="Calibri" w:hAnsi="Verdana" w:cs="Verdana"/>
            <w:sz w:val="20"/>
            <w:szCs w:val="20"/>
            <w:u w:val="single"/>
            <w:lang w:val="en-US" w:eastAsia="en-US"/>
          </w:rPr>
          <w:t>https://www.elsevier.com/openaccesspricing</w:t>
        </w:r>
      </w:hyperlink>
      <w:r w:rsidRPr="00FB4E01">
        <w:rPr>
          <w:rFonts w:ascii="Verdana" w:eastAsia="Calibri" w:hAnsi="Verdana" w:cs="Verdana"/>
          <w:sz w:val="20"/>
          <w:szCs w:val="20"/>
          <w:lang w:val="en-US" w:eastAsia="en-US"/>
        </w:rPr>
        <w:t>.</w:t>
      </w:r>
    </w:p>
    <w:p w14:paraId="375FEEE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65CCC5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Green open access</w:t>
      </w:r>
    </w:p>
    <w:p w14:paraId="6117F6D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Authors can share their research in a variety of different ways and Elsevier has a number of green open access options available. We recommend authors see our green open access page for further information (</w:t>
      </w:r>
      <w:r w:rsidRPr="00FB4E01">
        <w:rPr>
          <w:rFonts w:ascii="Verdana" w:eastAsia="Calibri" w:hAnsi="Verdana" w:cs="Verdana"/>
          <w:sz w:val="20"/>
          <w:szCs w:val="20"/>
          <w:u w:val="single"/>
          <w:lang w:val="en-US" w:eastAsia="en-US"/>
        </w:rPr>
        <w:t>http://elsevier.com/greenopenaccess</w:t>
      </w:r>
      <w:r w:rsidRPr="00FB4E01">
        <w:rPr>
          <w:rFonts w:ascii="Verdana" w:eastAsia="Calibri" w:hAnsi="Verdana" w:cs="Verdana"/>
          <w:sz w:val="20"/>
          <w:szCs w:val="20"/>
          <w:lang w:val="en-US" w:eastAsia="en-US"/>
        </w:rPr>
        <w:t xml:space="preserve">). Authors can also self-archive their manuscripts immediately and enable public access from their institution's repository after an embargo period. This is the version that has been accepted for publication and which typically includes author-incorporated changes suggested during submission, peer review and in editor-author communications. Embargo period: For subscription articles, an appropriate amount of time is needed for journals to deliver value to subscribing customers before an article becomes freely available to the public. This is the embargo period and it begins from the date the article is formally published online in its final and fully citable form. </w:t>
      </w:r>
    </w:p>
    <w:p w14:paraId="6F64F8F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br/>
        <w:t>This journal has an embargo period of 12 months.</w:t>
      </w:r>
    </w:p>
    <w:p w14:paraId="0FAFB5F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62E441A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Language (usage and editing services)</w:t>
      </w:r>
    </w:p>
    <w:p w14:paraId="69B7B91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Please write your text in good English (American or British usage is accepted, but not a</w:t>
      </w:r>
    </w:p>
    <w:p w14:paraId="4843EF1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mixture of these). Authors who feel their English language manuscript may require editing to eliminate possible grammatical or spelling errors and to conform to correct scientific English may wish to use the English Language Editing service available from </w:t>
      </w:r>
      <w:r w:rsidRPr="00FB4E01">
        <w:rPr>
          <w:rFonts w:ascii="Verdana" w:eastAsia="Calibri" w:hAnsi="Verdana" w:cs="Verdana"/>
          <w:sz w:val="20"/>
          <w:szCs w:val="20"/>
          <w:lang w:val="en-US" w:eastAsia="en-US"/>
        </w:rPr>
        <w:lastRenderedPageBreak/>
        <w:t xml:space="preserve">Elsevier's </w:t>
      </w:r>
      <w:proofErr w:type="spellStart"/>
      <w:r w:rsidRPr="00FB4E01">
        <w:rPr>
          <w:rFonts w:ascii="Verdana" w:eastAsia="Calibri" w:hAnsi="Verdana" w:cs="Verdana"/>
          <w:sz w:val="20"/>
          <w:szCs w:val="20"/>
          <w:lang w:val="en-US" w:eastAsia="en-US"/>
        </w:rPr>
        <w:t>WebShop</w:t>
      </w:r>
      <w:proofErr w:type="spellEnd"/>
      <w:r w:rsidRPr="00FB4E01">
        <w:rPr>
          <w:rFonts w:ascii="Verdana" w:eastAsia="Calibri" w:hAnsi="Verdana" w:cs="Verdana"/>
          <w:sz w:val="20"/>
          <w:szCs w:val="20"/>
          <w:lang w:val="en-US" w:eastAsia="en-US"/>
        </w:rPr>
        <w:t xml:space="preserve"> (</w:t>
      </w:r>
      <w:r w:rsidRPr="00FB4E01">
        <w:rPr>
          <w:rFonts w:ascii="Verdana" w:eastAsia="Calibri" w:hAnsi="Verdana" w:cs="Verdana"/>
          <w:sz w:val="20"/>
          <w:szCs w:val="20"/>
          <w:u w:val="single"/>
          <w:lang w:val="en-US" w:eastAsia="en-US"/>
        </w:rPr>
        <w:t>http://webshop.elsevier.com/languageediting/</w:t>
      </w:r>
      <w:r w:rsidRPr="00FB4E01">
        <w:rPr>
          <w:rFonts w:ascii="Verdana" w:eastAsia="Calibri" w:hAnsi="Verdana" w:cs="Verdana"/>
          <w:sz w:val="20"/>
          <w:szCs w:val="20"/>
          <w:lang w:val="en-US" w:eastAsia="en-US"/>
        </w:rPr>
        <w:t>) or visit our customer support site (</w:t>
      </w:r>
      <w:r w:rsidRPr="00FB4E01">
        <w:rPr>
          <w:rFonts w:ascii="Verdana" w:eastAsia="Calibri" w:hAnsi="Verdana" w:cs="Verdana"/>
          <w:sz w:val="20"/>
          <w:szCs w:val="20"/>
          <w:u w:val="single"/>
          <w:lang w:val="en-US" w:eastAsia="en-US"/>
        </w:rPr>
        <w:t>http://support.elsevier.com</w:t>
      </w:r>
      <w:r w:rsidRPr="00FB4E01">
        <w:rPr>
          <w:rFonts w:ascii="Verdana" w:eastAsia="Calibri" w:hAnsi="Verdana" w:cs="Verdana"/>
          <w:sz w:val="20"/>
          <w:szCs w:val="20"/>
          <w:lang w:val="en-US" w:eastAsia="en-US"/>
        </w:rPr>
        <w:t>) for more information.</w:t>
      </w:r>
    </w:p>
    <w:p w14:paraId="7137E90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08F3505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Submission</w:t>
      </w:r>
    </w:p>
    <w:p w14:paraId="795DE64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Our online submission system guides you stepwise through the process of entering your </w:t>
      </w:r>
      <w:proofErr w:type="spellStart"/>
      <w:r w:rsidRPr="00FB4E01">
        <w:rPr>
          <w:rFonts w:ascii="Verdana" w:eastAsia="Calibri" w:hAnsi="Verdana" w:cs="Verdana"/>
          <w:sz w:val="20"/>
          <w:szCs w:val="20"/>
          <w:lang w:val="en-US" w:eastAsia="en-US"/>
        </w:rPr>
        <w:t>articledetails</w:t>
      </w:r>
      <w:proofErr w:type="spellEnd"/>
      <w:r w:rsidRPr="00FB4E01">
        <w:rPr>
          <w:rFonts w:ascii="Verdana" w:eastAsia="Calibri" w:hAnsi="Verdana" w:cs="Verdana"/>
          <w:sz w:val="20"/>
          <w:szCs w:val="20"/>
          <w:lang w:val="en-US" w:eastAsia="en-US"/>
        </w:rPr>
        <w:t xml:space="preserve"> and uploading your files. The system converts your article files to a single PDF file used in the peer-review process. Editable files (e.g., Word, </w:t>
      </w:r>
      <w:proofErr w:type="spellStart"/>
      <w:r w:rsidRPr="00FB4E01">
        <w:rPr>
          <w:rFonts w:ascii="Verdana" w:eastAsia="Calibri" w:hAnsi="Verdana" w:cs="Verdana"/>
          <w:sz w:val="20"/>
          <w:szCs w:val="20"/>
          <w:lang w:val="en-US" w:eastAsia="en-US"/>
        </w:rPr>
        <w:t>LaTeX</w:t>
      </w:r>
      <w:proofErr w:type="spellEnd"/>
      <w:r w:rsidRPr="00FB4E01">
        <w:rPr>
          <w:rFonts w:ascii="Verdana" w:eastAsia="Calibri" w:hAnsi="Verdana" w:cs="Verdana"/>
          <w:sz w:val="20"/>
          <w:szCs w:val="20"/>
          <w:lang w:val="en-US" w:eastAsia="en-US"/>
        </w:rPr>
        <w:t>) are required to typeset your article for final publication. All correspondence, including notification of the Editor's decision and requests for revision, is sent by e-mail.</w:t>
      </w:r>
    </w:p>
    <w:p w14:paraId="225744D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08F90EC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i/>
          <w:sz w:val="20"/>
          <w:szCs w:val="20"/>
          <w:lang w:val="en-US" w:eastAsia="en-US"/>
        </w:rPr>
      </w:pPr>
      <w:r w:rsidRPr="00FB4E01">
        <w:rPr>
          <w:rFonts w:ascii="Verdana" w:eastAsia="Calibri" w:hAnsi="Verdana" w:cs="Verdana"/>
          <w:i/>
          <w:sz w:val="20"/>
          <w:szCs w:val="20"/>
          <w:lang w:val="en-US" w:eastAsia="en-US"/>
        </w:rPr>
        <w:t>Submit your article</w:t>
      </w:r>
    </w:p>
    <w:p w14:paraId="55B8A8E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Please submit your article via </w:t>
      </w:r>
      <w:hyperlink r:id="rId42" w:history="1">
        <w:r w:rsidRPr="00FB4E01">
          <w:rPr>
            <w:rFonts w:ascii="Verdana" w:eastAsia="Calibri" w:hAnsi="Verdana" w:cs="Verdana"/>
            <w:sz w:val="20"/>
            <w:szCs w:val="20"/>
            <w:u w:val="single"/>
            <w:lang w:val="en-US" w:eastAsia="en-US"/>
          </w:rPr>
          <w:t>http://ees.elsevier.com/gaipos/</w:t>
        </w:r>
      </w:hyperlink>
      <w:r w:rsidRPr="00FB4E01">
        <w:rPr>
          <w:rFonts w:ascii="Verdana" w:eastAsia="Calibri" w:hAnsi="Verdana" w:cs="Verdana"/>
          <w:sz w:val="20"/>
          <w:szCs w:val="20"/>
          <w:lang w:val="en-US" w:eastAsia="en-US"/>
        </w:rPr>
        <w:t>.</w:t>
      </w:r>
    </w:p>
    <w:p w14:paraId="2833AF9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61E4AE6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Cs w:val="22"/>
          <w:lang w:val="en-US" w:eastAsia="en-US"/>
        </w:rPr>
      </w:pPr>
      <w:r w:rsidRPr="00FB4E01">
        <w:rPr>
          <w:rFonts w:ascii="Verdana-Bold" w:eastAsia="Calibri" w:hAnsi="Verdana-Bold" w:cs="Verdana-Bold"/>
          <w:b/>
          <w:bCs/>
          <w:szCs w:val="22"/>
          <w:lang w:val="en-US" w:eastAsia="en-US"/>
        </w:rPr>
        <w:t>PREPARATION</w:t>
      </w:r>
    </w:p>
    <w:p w14:paraId="1D0401EF"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i/>
          <w:sz w:val="20"/>
          <w:szCs w:val="20"/>
          <w:lang w:val="en-US" w:eastAsia="en-US"/>
        </w:rPr>
      </w:pPr>
      <w:r w:rsidRPr="00FB4E01">
        <w:rPr>
          <w:rFonts w:ascii="Verdana" w:eastAsia="Calibri" w:hAnsi="Verdana" w:cs="Verdana"/>
          <w:i/>
          <w:sz w:val="20"/>
          <w:szCs w:val="20"/>
          <w:lang w:val="en-US" w:eastAsia="en-US"/>
        </w:rPr>
        <w:t>Introduction</w:t>
      </w:r>
    </w:p>
    <w:p w14:paraId="3DCAF71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State the objectives of the work and provide an adequate background, avoiding a detailed literature survey or a summary of the results.</w:t>
      </w:r>
    </w:p>
    <w:p w14:paraId="2E76930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1. Article types accepted are: Original Article (Full paper or Short Communication), Review Article, Technical Note, Book Review. Word limits are as follows: Full paper 3,000 words plus no more than 5 figures/tables in total; Short Communication or Technical Note 1,200 words plus no more than 3 figures/tables in total. The word limits are non-inclusive of figures, tables, references, and abstracts. If the Editor feels that a paper submitted as a Full Paper would be more appropriate for the Short Communications section, then a shortened version will be requested. References should be limited</w:t>
      </w:r>
    </w:p>
    <w:p w14:paraId="15F2A98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to 30 for Full Papers and Reviews, 15 for Short Papers and 10 for Technical Notes. An abstract not exceeding one paragraph of 250 words should appear at the beginning of each Article. The recommended word limit for Review Papers is 6,000 words. Authors must state the number of words when submitting.</w:t>
      </w:r>
    </w:p>
    <w:p w14:paraId="195DF51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49109F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2. All publications will be in English. Authors whose 'first' language is not English should arrange for their manuscripts to be written in idiomatic English </w:t>
      </w:r>
      <w:r w:rsidRPr="00FB4E01">
        <w:rPr>
          <w:rFonts w:ascii="Verdana-Bold" w:eastAsia="Calibri" w:hAnsi="Verdana-Bold" w:cs="Verdana-Bold"/>
          <w:b/>
          <w:bCs/>
          <w:sz w:val="20"/>
          <w:szCs w:val="20"/>
          <w:lang w:val="en-US" w:eastAsia="en-US"/>
        </w:rPr>
        <w:t xml:space="preserve">before </w:t>
      </w:r>
      <w:r w:rsidRPr="00FB4E01">
        <w:rPr>
          <w:rFonts w:ascii="Verdana" w:eastAsia="Calibri" w:hAnsi="Verdana" w:cs="Verdana"/>
          <w:sz w:val="20"/>
          <w:szCs w:val="20"/>
          <w:lang w:val="en-US" w:eastAsia="en-US"/>
        </w:rPr>
        <w:t>submission. A concise style avoiding jargon is preferred.</w:t>
      </w:r>
    </w:p>
    <w:p w14:paraId="0B37231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5D4905B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3. Authors should supply up to five keywords that may be modified by the Editors.</w:t>
      </w:r>
    </w:p>
    <w:p w14:paraId="556CFC5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5119A50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4. Acknowledgements should be included in the title page. Include external sources of support. </w:t>
      </w:r>
    </w:p>
    <w:p w14:paraId="5FDC7D9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28CBF73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5. The text should be ready for setting in type and should be </w:t>
      </w:r>
      <w:r w:rsidRPr="00FB4E01">
        <w:rPr>
          <w:rFonts w:ascii="Verdana-Bold" w:eastAsia="Calibri" w:hAnsi="Verdana-Bold" w:cs="Verdana-Bold"/>
          <w:b/>
          <w:bCs/>
          <w:sz w:val="20"/>
          <w:szCs w:val="20"/>
          <w:lang w:val="en-US" w:eastAsia="en-US"/>
        </w:rPr>
        <w:t xml:space="preserve">carefully checked </w:t>
      </w:r>
      <w:r w:rsidRPr="00FB4E01">
        <w:rPr>
          <w:rFonts w:ascii="Verdana" w:eastAsia="Calibri" w:hAnsi="Verdana" w:cs="Verdana"/>
          <w:sz w:val="20"/>
          <w:szCs w:val="20"/>
          <w:lang w:val="en-US" w:eastAsia="en-US"/>
        </w:rPr>
        <w:t>for errors. Scripts should be typed double-spaced on one side of the paper only. Please do not underline anything, leave wide margins and number every sheet.</w:t>
      </w:r>
    </w:p>
    <w:p w14:paraId="33D779C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6C68AD9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6. All illustrations should accompany the typescript, </w:t>
      </w:r>
      <w:r w:rsidRPr="00FB4E01">
        <w:rPr>
          <w:rFonts w:ascii="Verdana-Bold" w:eastAsia="Calibri" w:hAnsi="Verdana-Bold" w:cs="Verdana-Bold"/>
          <w:b/>
          <w:bCs/>
          <w:sz w:val="20"/>
          <w:szCs w:val="20"/>
          <w:lang w:val="en-US" w:eastAsia="en-US"/>
        </w:rPr>
        <w:t xml:space="preserve">but not </w:t>
      </w:r>
      <w:r w:rsidRPr="00FB4E01">
        <w:rPr>
          <w:rFonts w:ascii="Verdana" w:eastAsia="Calibri" w:hAnsi="Verdana" w:cs="Verdana"/>
          <w:sz w:val="20"/>
          <w:szCs w:val="20"/>
          <w:lang w:val="en-US" w:eastAsia="en-US"/>
        </w:rPr>
        <w:t>be inserted in the text. Refer to photographs, charts, and diagrams as 'figures' and number consecutively in order of appearance in the text. Substantive captions for each figure explaining the major point or points should be typed on a separate sheet.</w:t>
      </w:r>
    </w:p>
    <w:p w14:paraId="06D8B7A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30A38E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7. Tables should be presented on separate sheets of paper and labelled consecutively but the captions should accompany the table.</w:t>
      </w:r>
    </w:p>
    <w:p w14:paraId="7A3557A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6B70467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8. Authors should also note that files containing text, figures, tables or multimedia data can be placed in a supplementary data file which will be accessible via </w:t>
      </w:r>
      <w:proofErr w:type="spellStart"/>
      <w:r w:rsidRPr="00FB4E01">
        <w:rPr>
          <w:rFonts w:ascii="Verdana" w:eastAsia="Calibri" w:hAnsi="Verdana" w:cs="Verdana"/>
          <w:sz w:val="20"/>
          <w:szCs w:val="20"/>
          <w:lang w:val="en-US" w:eastAsia="en-US"/>
        </w:rPr>
        <w:t>ScienceDirect</w:t>
      </w:r>
      <w:proofErr w:type="spellEnd"/>
      <w:r w:rsidRPr="00FB4E01">
        <w:rPr>
          <w:rFonts w:ascii="Verdana" w:eastAsia="Calibri" w:hAnsi="Verdana" w:cs="Verdana"/>
          <w:sz w:val="20"/>
          <w:szCs w:val="20"/>
          <w:lang w:val="en-US" w:eastAsia="en-US"/>
        </w:rPr>
        <w:t xml:space="preserve"> (see later section for further details).</w:t>
      </w:r>
    </w:p>
    <w:p w14:paraId="4D4BD78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198854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9. When submitting your paper please ensure that you separate any identifying author or institution of origin names and details and place them in the title page (with authors and </w:t>
      </w:r>
      <w:r w:rsidRPr="00FB4E01">
        <w:rPr>
          <w:rFonts w:ascii="Verdana" w:eastAsia="Calibri" w:hAnsi="Verdana" w:cs="Verdana"/>
          <w:sz w:val="20"/>
          <w:szCs w:val="20"/>
          <w:lang w:val="en-US" w:eastAsia="en-US"/>
        </w:rPr>
        <w:lastRenderedPageBreak/>
        <w:t>addresses). Submissions including identifying details in the manuscript text will be returned to the author.</w:t>
      </w:r>
    </w:p>
    <w:p w14:paraId="033EAF5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16D98AD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b/>
          <w:sz w:val="20"/>
          <w:szCs w:val="20"/>
          <w:lang w:val="en-US" w:eastAsia="en-US"/>
        </w:rPr>
      </w:pPr>
      <w:r w:rsidRPr="00FB4E01">
        <w:rPr>
          <w:rFonts w:ascii="Verdana" w:eastAsia="Calibri" w:hAnsi="Verdana" w:cs="Verdana"/>
          <w:b/>
          <w:sz w:val="20"/>
          <w:szCs w:val="20"/>
          <w:lang w:val="en-US" w:eastAsia="en-US"/>
        </w:rPr>
        <w:t>Illustrations</w:t>
      </w:r>
    </w:p>
    <w:p w14:paraId="32AFA1E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Authors are required to provide electronic versions of their illustrations.</w:t>
      </w:r>
    </w:p>
    <w:p w14:paraId="16E34FA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Information relating to the preferred formats for artwork may be found at</w:t>
      </w:r>
    </w:p>
    <w:p w14:paraId="29734B47" w14:textId="77777777" w:rsidR="00FB4E01" w:rsidRPr="00FB4E01" w:rsidRDefault="006920E7"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hyperlink r:id="rId43" w:history="1">
        <w:r w:rsidR="00FB4E01" w:rsidRPr="00FB4E01">
          <w:rPr>
            <w:rFonts w:ascii="Verdana" w:eastAsia="Calibri" w:hAnsi="Verdana" w:cs="Verdana"/>
            <w:sz w:val="20"/>
            <w:szCs w:val="20"/>
            <w:u w:val="single"/>
            <w:lang w:val="en-US" w:eastAsia="en-US"/>
          </w:rPr>
          <w:t>http://www.elsevier.com/wps/find/authors.authors/authorartworkinstructions</w:t>
        </w:r>
      </w:hyperlink>
      <w:r w:rsidR="00FB4E01" w:rsidRPr="00FB4E01">
        <w:rPr>
          <w:rFonts w:ascii="Verdana" w:eastAsia="Calibri" w:hAnsi="Verdana" w:cs="Verdana"/>
          <w:sz w:val="20"/>
          <w:szCs w:val="20"/>
          <w:lang w:val="en-US" w:eastAsia="en-US"/>
        </w:rPr>
        <w:t>.</w:t>
      </w:r>
    </w:p>
    <w:p w14:paraId="471BB09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0C51995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What information to include with the manuscript</w:t>
      </w:r>
    </w:p>
    <w:p w14:paraId="3174A9A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Having read the criteria for submissions, authors should specify in their letter of transmittal whether they are submitting their work as an Original Article (Full Paper or Short Communication), Review Article, Technical Note, or Book Review. Emphasis will be placed upon originality of concept and execution. Only papers not previously published will be accepted. Comments regarding articles published in the Journal are solicited and should be sent as "Letter to the Editor". Such Letters are subject to editorial review. They should be brief and succinct. When a published article is subjected to comment or criticism, the authors of that article will be invited to write a letter or reply.</w:t>
      </w:r>
    </w:p>
    <w:p w14:paraId="639E0A1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0F70A8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 letter of transmittal must include the statement, "Each of the authors has read and concurs with the content in the final manuscript. The material within has not been and will not be submitted for publication elsewhere except as an abstract." The letter of transmittal must be from all co-authors. All authors should have made substantial contributions to all of the following: (1) the conception and design of the study, or acquisition of data, or analysis and interpretation of data, (2) drafting the article or revising it critically for important intellectual content, (3) final approval of the version to</w:t>
      </w:r>
    </w:p>
    <w:p w14:paraId="605C7B0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be submitted. </w:t>
      </w:r>
    </w:p>
    <w:p w14:paraId="56E93B3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C90E41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All contributors who do not meet the criteria for authorship as defined above should be listed in an acknowledgements section. Examples of those who might be acknowledged include a person who provided purely technical help, writing assistance, or a department chair who provided only general support. Authors should disclose whether they had any writing assistance and identify the entity that paid for this assistance.</w:t>
      </w:r>
    </w:p>
    <w:p w14:paraId="6D8A90D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7E4073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Work on human beings that is submitted to </w:t>
      </w:r>
      <w:r w:rsidRPr="00FB4E01">
        <w:rPr>
          <w:rFonts w:ascii="Verdana-Italic" w:eastAsia="Calibri" w:hAnsi="Verdana-Italic" w:cs="Verdana-Italic"/>
          <w:i/>
          <w:iCs/>
          <w:sz w:val="20"/>
          <w:szCs w:val="20"/>
          <w:lang w:val="en-US" w:eastAsia="en-US"/>
        </w:rPr>
        <w:t xml:space="preserve">Gait &amp; Posture </w:t>
      </w:r>
      <w:r w:rsidRPr="00FB4E01">
        <w:rPr>
          <w:rFonts w:ascii="Verdana" w:eastAsia="Calibri" w:hAnsi="Verdana" w:cs="Verdana"/>
          <w:sz w:val="20"/>
          <w:szCs w:val="20"/>
          <w:lang w:val="en-US" w:eastAsia="en-US"/>
        </w:rPr>
        <w:t>should comply with the principles laid down in the Declaration of Helsinki; Recommendations guiding physicians in biomedical research involving human subjects. Adopted by the 18th World Medical Assembly, Helsinki, Finland, June 1964, amended by the 29th World Medical Assembly, Tokyo, Japan, October 1975, the 35th World Medical Assembly, Venice, Italy, October 1983, and the 41st World Medical Assembly, Hong Kong, September 1989. The</w:t>
      </w:r>
    </w:p>
    <w:p w14:paraId="01F6755F"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manuscript should contain a statement that the work has been approved by the appropriate ethical committees related to the institution(s) in which it was performed and that subjects gave informed consent to the work. Studies involving experiments with animals must state that their care was in accordance with institution guidelines. Patients' and volunteers' names, initials, and hospital numbers should not be used.</w:t>
      </w:r>
    </w:p>
    <w:p w14:paraId="670178A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3E7D9E6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At the end of the text, under a subheading "Conflict of interest statement" all authors must disclose any financial and personal relationships with other people or </w:t>
      </w:r>
      <w:proofErr w:type="spellStart"/>
      <w:r w:rsidRPr="00FB4E01">
        <w:rPr>
          <w:rFonts w:ascii="Verdana" w:eastAsia="Calibri" w:hAnsi="Verdana" w:cs="Verdana"/>
          <w:sz w:val="20"/>
          <w:szCs w:val="20"/>
          <w:lang w:val="en-US" w:eastAsia="en-US"/>
        </w:rPr>
        <w:t>organisations</w:t>
      </w:r>
      <w:proofErr w:type="spellEnd"/>
      <w:r w:rsidRPr="00FB4E01">
        <w:rPr>
          <w:rFonts w:ascii="Verdana" w:eastAsia="Calibri" w:hAnsi="Verdana" w:cs="Verdana"/>
          <w:sz w:val="20"/>
          <w:szCs w:val="20"/>
          <w:lang w:val="en-US" w:eastAsia="en-US"/>
        </w:rPr>
        <w:t xml:space="preserve"> that could inappropriately influence (bias) their work. Examples of potential conflicts of interest include employment, consultancies, stock ownership, honoraria, paid expert testimony, patent applications/ registrations, and grants or other funding.</w:t>
      </w:r>
    </w:p>
    <w:p w14:paraId="7432545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9DB858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All sources of funding should be declared as an acknowledgement. Authors should declare the role of study sponsors, if any, in the study design, in the collection, analysis and interpretation of data; in the writing of the manuscript; and in the decision to submit the manuscript for publication. If the study sponsors had no such involvement, the authors should so state.</w:t>
      </w:r>
    </w:p>
    <w:p w14:paraId="059E246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1EE711C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lastRenderedPageBreak/>
        <w:t>Authors are encouraged to suggest referees although the choice is left to the Editors. If you do, please supply their postal address and email address, if known to you.</w:t>
      </w:r>
    </w:p>
    <w:p w14:paraId="21A2E0E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0099F7CD" w14:textId="77777777" w:rsid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Please note that papers are subject to single-blind review whereby authors are blinded to reviewers.</w:t>
      </w:r>
    </w:p>
    <w:p w14:paraId="2DC421B4" w14:textId="77777777" w:rsid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584DD30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roofErr w:type="spellStart"/>
      <w:r w:rsidRPr="00FB4E01">
        <w:rPr>
          <w:rFonts w:ascii="Verdana-BoldItalic" w:eastAsia="Calibri" w:hAnsi="Verdana-BoldItalic" w:cs="Verdana-BoldItalic"/>
          <w:b/>
          <w:bCs/>
          <w:i/>
          <w:iCs/>
          <w:szCs w:val="22"/>
          <w:lang w:val="en-US" w:eastAsia="en-US"/>
        </w:rPr>
        <w:t>Randomised</w:t>
      </w:r>
      <w:proofErr w:type="spellEnd"/>
      <w:r w:rsidRPr="00FB4E01">
        <w:rPr>
          <w:rFonts w:ascii="Verdana-BoldItalic" w:eastAsia="Calibri" w:hAnsi="Verdana-BoldItalic" w:cs="Verdana-BoldItalic"/>
          <w:b/>
          <w:bCs/>
          <w:i/>
          <w:iCs/>
          <w:szCs w:val="22"/>
          <w:lang w:val="en-US" w:eastAsia="en-US"/>
        </w:rPr>
        <w:t xml:space="preserve"> controlled trials</w:t>
      </w:r>
    </w:p>
    <w:p w14:paraId="3CA49FD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All </w:t>
      </w:r>
      <w:proofErr w:type="spellStart"/>
      <w:r w:rsidRPr="00FB4E01">
        <w:rPr>
          <w:rFonts w:ascii="Verdana" w:eastAsia="Calibri" w:hAnsi="Verdana" w:cs="Verdana"/>
          <w:sz w:val="20"/>
          <w:szCs w:val="20"/>
          <w:lang w:val="en-US" w:eastAsia="en-US"/>
        </w:rPr>
        <w:t>randomised</w:t>
      </w:r>
      <w:proofErr w:type="spellEnd"/>
      <w:r w:rsidRPr="00FB4E01">
        <w:rPr>
          <w:rFonts w:ascii="Verdana" w:eastAsia="Calibri" w:hAnsi="Verdana" w:cs="Verdana"/>
          <w:sz w:val="20"/>
          <w:szCs w:val="20"/>
          <w:lang w:val="en-US" w:eastAsia="en-US"/>
        </w:rPr>
        <w:t xml:space="preserve"> controlled trials submitted for publication in </w:t>
      </w:r>
      <w:r w:rsidRPr="00FB4E01">
        <w:rPr>
          <w:rFonts w:ascii="Verdana-Italic" w:eastAsia="Calibri" w:hAnsi="Verdana-Italic" w:cs="Verdana-Italic"/>
          <w:i/>
          <w:iCs/>
          <w:sz w:val="20"/>
          <w:szCs w:val="20"/>
          <w:lang w:val="en-US" w:eastAsia="en-US"/>
        </w:rPr>
        <w:t xml:space="preserve">Gait &amp; Posture </w:t>
      </w:r>
      <w:r w:rsidRPr="00FB4E01">
        <w:rPr>
          <w:rFonts w:ascii="Verdana" w:eastAsia="Calibri" w:hAnsi="Verdana" w:cs="Verdana"/>
          <w:sz w:val="20"/>
          <w:szCs w:val="20"/>
          <w:lang w:val="en-US" w:eastAsia="en-US"/>
        </w:rPr>
        <w:t xml:space="preserve">should include a completed Consolidated Standards of Reporting Trials (CONSORT) flow chart. Please refer to the CONSORT statement website at </w:t>
      </w:r>
      <w:r w:rsidRPr="00FB4E01">
        <w:rPr>
          <w:rFonts w:ascii="Verdana" w:eastAsia="Calibri" w:hAnsi="Verdana" w:cs="Verdana"/>
          <w:sz w:val="20"/>
          <w:szCs w:val="20"/>
          <w:u w:val="single"/>
          <w:lang w:val="en-US" w:eastAsia="en-US"/>
        </w:rPr>
        <w:t>http://www.consort-statement.org</w:t>
      </w:r>
      <w:r w:rsidRPr="00FB4E01">
        <w:rPr>
          <w:rFonts w:ascii="Verdana" w:eastAsia="Calibri" w:hAnsi="Verdana" w:cs="Verdana"/>
          <w:sz w:val="20"/>
          <w:szCs w:val="20"/>
          <w:lang w:val="en-US" w:eastAsia="en-US"/>
        </w:rPr>
        <w:t xml:space="preserve"> for more information. The Journal has adopted the proposal from the International Committee of Medical Journal Editors (ICMJE) which require, as a condition of consideration for publication of clinical trials, registration in a public trials registry. Trials must register at or before the onset of patient enrolment. The clinical trial registration number should be included at the end of the abstract of the article. For this purpose, a clinical trial is defined as any research project that prospectively assigns human subjects to intervention or comparison groups to study the cause-and-effect relationship between a medical intervention and a health outcome. Studies designed for other purposes, such as to study pharmacokinetics or major toxicity (e.g. phase I trials) would be exempt. Further information can be found at </w:t>
      </w:r>
      <w:hyperlink r:id="rId44" w:history="1">
        <w:r w:rsidRPr="00FB4E01">
          <w:rPr>
            <w:rFonts w:ascii="Verdana" w:eastAsia="Calibri" w:hAnsi="Verdana" w:cs="Verdana"/>
            <w:sz w:val="20"/>
            <w:szCs w:val="20"/>
            <w:u w:val="single"/>
            <w:lang w:val="en-US" w:eastAsia="en-US"/>
          </w:rPr>
          <w:t>www.icmje.org</w:t>
        </w:r>
      </w:hyperlink>
      <w:r w:rsidRPr="00FB4E01">
        <w:rPr>
          <w:rFonts w:ascii="Verdana" w:eastAsia="Calibri" w:hAnsi="Verdana" w:cs="Verdana"/>
          <w:sz w:val="20"/>
          <w:szCs w:val="20"/>
          <w:lang w:val="en-US" w:eastAsia="en-US"/>
        </w:rPr>
        <w:t>.</w:t>
      </w:r>
    </w:p>
    <w:p w14:paraId="1294245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5842EA6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Review and Publication Process</w:t>
      </w:r>
    </w:p>
    <w:p w14:paraId="1A27789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1. You will receive an acknowledgement of receipt of the manuscript by the Editorial Office before the manuscript is sent to referees. Please contact the Editorial Office if you do not receive an acknowledgement.</w:t>
      </w:r>
    </w:p>
    <w:p w14:paraId="774A066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6DE49D8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Following assessment one of the following will happen:</w:t>
      </w:r>
    </w:p>
    <w:p w14:paraId="767CCEB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2D1307A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Bold" w:eastAsia="Calibri" w:hAnsi="Verdana-Bold" w:cs="Verdana-Bold"/>
          <w:b/>
          <w:bCs/>
          <w:sz w:val="20"/>
          <w:szCs w:val="20"/>
          <w:lang w:val="en-US" w:eastAsia="en-US"/>
        </w:rPr>
        <w:t xml:space="preserve">A: </w:t>
      </w:r>
      <w:r w:rsidRPr="00FB4E01">
        <w:rPr>
          <w:rFonts w:ascii="Verdana" w:eastAsia="Calibri" w:hAnsi="Verdana" w:cs="Verdana"/>
          <w:sz w:val="20"/>
          <w:szCs w:val="20"/>
          <w:lang w:val="en-US" w:eastAsia="en-US"/>
        </w:rPr>
        <w:t>The paper will be accepted directly. The corresponding author will be notified of acceptance by email or letter. The Editor will send the accepted paper to Elsevier for publication.</w:t>
      </w:r>
    </w:p>
    <w:p w14:paraId="4E18EB3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2D05094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Bold" w:eastAsia="Calibri" w:hAnsi="Verdana-Bold" w:cs="Verdana-Bold"/>
          <w:b/>
          <w:bCs/>
          <w:sz w:val="20"/>
          <w:szCs w:val="20"/>
          <w:lang w:val="en-US" w:eastAsia="en-US"/>
        </w:rPr>
        <w:t xml:space="preserve">B: </w:t>
      </w:r>
      <w:r w:rsidRPr="00FB4E01">
        <w:rPr>
          <w:rFonts w:ascii="Verdana" w:eastAsia="Calibri" w:hAnsi="Verdana" w:cs="Verdana"/>
          <w:sz w:val="20"/>
          <w:szCs w:val="20"/>
          <w:lang w:val="en-US" w:eastAsia="en-US"/>
        </w:rPr>
        <w:t>The paper will be accepted subject to minor amendments. The corrections should be made and the paper returned to the Editor for checking. Once the paper is accepted it will be sent to production.</w:t>
      </w:r>
    </w:p>
    <w:p w14:paraId="3542CB2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5E778A0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Bold" w:eastAsia="Calibri" w:hAnsi="Verdana-Bold" w:cs="Verdana-Bold"/>
          <w:b/>
          <w:bCs/>
          <w:sz w:val="20"/>
          <w:szCs w:val="20"/>
          <w:lang w:val="en-US" w:eastAsia="en-US"/>
        </w:rPr>
        <w:t xml:space="preserve">C: </w:t>
      </w:r>
      <w:r w:rsidRPr="00FB4E01">
        <w:rPr>
          <w:rFonts w:ascii="Verdana" w:eastAsia="Calibri" w:hAnsi="Verdana" w:cs="Verdana"/>
          <w:sz w:val="20"/>
          <w:szCs w:val="20"/>
          <w:lang w:val="en-US" w:eastAsia="en-US"/>
        </w:rPr>
        <w:t xml:space="preserve">The paper will be rejected outright as being unsuitable for publication in </w:t>
      </w:r>
      <w:r w:rsidRPr="00FB4E01">
        <w:rPr>
          <w:rFonts w:ascii="Verdana-Italic" w:eastAsia="Calibri" w:hAnsi="Verdana-Italic" w:cs="Verdana-Italic"/>
          <w:i/>
          <w:iCs/>
          <w:sz w:val="20"/>
          <w:szCs w:val="20"/>
          <w:lang w:val="en-US" w:eastAsia="en-US"/>
        </w:rPr>
        <w:t>Gait and Posture</w:t>
      </w:r>
      <w:r w:rsidRPr="00FB4E01">
        <w:rPr>
          <w:rFonts w:ascii="Verdana" w:eastAsia="Calibri" w:hAnsi="Verdana" w:cs="Verdana"/>
          <w:sz w:val="20"/>
          <w:szCs w:val="20"/>
          <w:lang w:val="en-US" w:eastAsia="en-US"/>
        </w:rPr>
        <w:t>.</w:t>
      </w:r>
    </w:p>
    <w:p w14:paraId="2AF61A1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3E54848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2. By submitting a manuscript, the authors agree that the copyright for their article</w:t>
      </w:r>
    </w:p>
    <w:p w14:paraId="4B6D1F8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is transferred to the publisher if and when the article is accepted for publication.</w:t>
      </w:r>
    </w:p>
    <w:p w14:paraId="345EB0B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w:t>
      </w:r>
      <w:hyperlink r:id="rId45" w:history="1">
        <w:r w:rsidRPr="00FB4E01">
          <w:rPr>
            <w:rFonts w:ascii="Verdana" w:eastAsia="Calibri" w:hAnsi="Verdana" w:cs="Verdana"/>
            <w:sz w:val="20"/>
            <w:szCs w:val="20"/>
            <w:u w:val="single"/>
            <w:lang w:val="en-US" w:eastAsia="en-US"/>
          </w:rPr>
          <w:t>http://www.elsevier.com/wps/find/authorshome.authors/copyright</w:t>
        </w:r>
      </w:hyperlink>
      <w:r w:rsidRPr="00FB4E01">
        <w:rPr>
          <w:rFonts w:ascii="Verdana" w:eastAsia="Calibri" w:hAnsi="Verdana" w:cs="Verdana"/>
          <w:sz w:val="20"/>
          <w:szCs w:val="20"/>
          <w:lang w:val="en-US" w:eastAsia="en-US"/>
        </w:rPr>
        <w:t>).</w:t>
      </w:r>
    </w:p>
    <w:p w14:paraId="2FAE4B4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C8B954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3. Page proofs will be sent to the corresponding author for correction, although at this stage any changes should be restricted to typographical errors. Other than these, any substantial alterations may be charged to the authors. Proofs will be sent preferably by e-mail as a PDF file (although they can be sent by overland post) and must be rapidly checked and returned. Please ensure that all corrections are sent back in one communication. Subsequent corrections will not be possible.</w:t>
      </w:r>
    </w:p>
    <w:p w14:paraId="21E98EA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181213F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4. An order form for reprints will accompany the proofs.</w:t>
      </w:r>
    </w:p>
    <w:p w14:paraId="089534F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5F1DA4B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Essential title page information</w:t>
      </w:r>
    </w:p>
    <w:p w14:paraId="0F45218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 </w:t>
      </w:r>
      <w:r w:rsidRPr="00FB4E01">
        <w:rPr>
          <w:rFonts w:ascii="Verdana-BoldItalic" w:eastAsia="Calibri" w:hAnsi="Verdana-BoldItalic" w:cs="Verdana-BoldItalic"/>
          <w:b/>
          <w:bCs/>
          <w:i/>
          <w:iCs/>
          <w:sz w:val="20"/>
          <w:szCs w:val="20"/>
          <w:lang w:val="en-US" w:eastAsia="en-US"/>
        </w:rPr>
        <w:t xml:space="preserve">Title. </w:t>
      </w:r>
      <w:r w:rsidRPr="00FB4E01">
        <w:rPr>
          <w:rFonts w:ascii="Verdana" w:eastAsia="Calibri" w:hAnsi="Verdana" w:cs="Verdana"/>
          <w:sz w:val="20"/>
          <w:szCs w:val="20"/>
          <w:lang w:val="en-US" w:eastAsia="en-US"/>
        </w:rPr>
        <w:t>Concise and informative. Titles are often used in information-retrieval systems. Avoid abbreviations and formulae where possible.</w:t>
      </w:r>
    </w:p>
    <w:p w14:paraId="6A23129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 </w:t>
      </w:r>
      <w:r w:rsidRPr="00FB4E01">
        <w:rPr>
          <w:rFonts w:ascii="Verdana-BoldItalic" w:eastAsia="Calibri" w:hAnsi="Verdana-BoldItalic" w:cs="Verdana-BoldItalic"/>
          <w:b/>
          <w:bCs/>
          <w:i/>
          <w:iCs/>
          <w:sz w:val="20"/>
          <w:szCs w:val="20"/>
          <w:lang w:val="en-US" w:eastAsia="en-US"/>
        </w:rPr>
        <w:t xml:space="preserve">Author names and affiliations. </w:t>
      </w:r>
      <w:r w:rsidRPr="00FB4E01">
        <w:rPr>
          <w:rFonts w:ascii="Verdana" w:eastAsia="Calibri" w:hAnsi="Verdana" w:cs="Verdana"/>
          <w:sz w:val="20"/>
          <w:szCs w:val="20"/>
          <w:lang w:val="en-US" w:eastAsia="en-US"/>
        </w:rPr>
        <w:t xml:space="preserve">Please clearly indicate the given name(s) and family name(s) of each author and check that all names are accurately spelled. Present the </w:t>
      </w:r>
      <w:r w:rsidRPr="00FB4E01">
        <w:rPr>
          <w:rFonts w:ascii="Verdana" w:eastAsia="Calibri" w:hAnsi="Verdana" w:cs="Verdana"/>
          <w:sz w:val="20"/>
          <w:szCs w:val="20"/>
          <w:lang w:val="en-US" w:eastAsia="en-US"/>
        </w:rPr>
        <w:lastRenderedPageBreak/>
        <w:t>authors' affiliation addresses (where the actual work was done) below the names. Indicate all affiliations with a lowercase superscript letter immediately after the author's name and in front of the appropriate address. Provide the full postal address of each affiliation, including the country name and, if available, the e-mail address of each author.</w:t>
      </w:r>
    </w:p>
    <w:p w14:paraId="5E8D756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 </w:t>
      </w:r>
      <w:r w:rsidRPr="00FB4E01">
        <w:rPr>
          <w:rFonts w:ascii="Verdana-BoldItalic" w:eastAsia="Calibri" w:hAnsi="Verdana-BoldItalic" w:cs="Verdana-BoldItalic"/>
          <w:b/>
          <w:bCs/>
          <w:i/>
          <w:iCs/>
          <w:sz w:val="20"/>
          <w:szCs w:val="20"/>
          <w:lang w:val="en-US" w:eastAsia="en-US"/>
        </w:rPr>
        <w:t xml:space="preserve">Corresponding author. </w:t>
      </w:r>
      <w:r w:rsidRPr="00FB4E01">
        <w:rPr>
          <w:rFonts w:ascii="Verdana" w:eastAsia="Calibri" w:hAnsi="Verdana" w:cs="Verdana"/>
          <w:sz w:val="20"/>
          <w:szCs w:val="20"/>
          <w:lang w:val="en-US" w:eastAsia="en-US"/>
        </w:rPr>
        <w:t xml:space="preserve">Clearly indicate who will handle correspondence at all stages of refereeing and publication, also post-publication. </w:t>
      </w:r>
      <w:r w:rsidRPr="00FB4E01">
        <w:rPr>
          <w:rFonts w:ascii="Verdana-Bold" w:eastAsia="Calibri" w:hAnsi="Verdana-Bold" w:cs="Verdana-Bold"/>
          <w:b/>
          <w:bCs/>
          <w:sz w:val="20"/>
          <w:szCs w:val="20"/>
          <w:lang w:val="en-US" w:eastAsia="en-US"/>
        </w:rPr>
        <w:t>Ensure that the e-mail address is given and that contact</w:t>
      </w:r>
      <w:r w:rsidRPr="00FB4E01">
        <w:rPr>
          <w:rFonts w:ascii="Verdana" w:eastAsia="Calibri" w:hAnsi="Verdana" w:cs="Verdana"/>
          <w:sz w:val="20"/>
          <w:szCs w:val="20"/>
          <w:lang w:val="en-US" w:eastAsia="en-US"/>
        </w:rPr>
        <w:t xml:space="preserve"> </w:t>
      </w:r>
      <w:r w:rsidRPr="00FB4E01">
        <w:rPr>
          <w:rFonts w:ascii="Verdana-Bold" w:eastAsia="Calibri" w:hAnsi="Verdana-Bold" w:cs="Verdana-Bold"/>
          <w:b/>
          <w:bCs/>
          <w:sz w:val="20"/>
          <w:szCs w:val="20"/>
          <w:lang w:val="en-US" w:eastAsia="en-US"/>
        </w:rPr>
        <w:t>details are kept up to date by the corresponding author.</w:t>
      </w:r>
    </w:p>
    <w:p w14:paraId="73DD2FD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 </w:t>
      </w:r>
      <w:r w:rsidRPr="00FB4E01">
        <w:rPr>
          <w:rFonts w:ascii="Verdana-BoldItalic" w:eastAsia="Calibri" w:hAnsi="Verdana-BoldItalic" w:cs="Verdana-BoldItalic"/>
          <w:b/>
          <w:bCs/>
          <w:i/>
          <w:iCs/>
          <w:sz w:val="20"/>
          <w:szCs w:val="20"/>
          <w:lang w:val="en-US" w:eastAsia="en-US"/>
        </w:rPr>
        <w:t xml:space="preserve">Present/permanent address. </w:t>
      </w:r>
      <w:r w:rsidRPr="00FB4E01">
        <w:rPr>
          <w:rFonts w:ascii="Verdana" w:eastAsia="Calibri" w:hAnsi="Verdana" w:cs="Verdana"/>
          <w:sz w:val="20"/>
          <w:szCs w:val="20"/>
          <w:lang w:val="en-US" w:eastAsia="en-US"/>
        </w:rPr>
        <w:t>If an author has moved since the work described in the article was done, or was visiting at the time, a 'Present address' (or 'Permanent address') may be indicated as a footnote to that author's name. The address at which the author actually did the work must be retained as the main, affiliation address. Superscript Arabic numerals are used for such footnotes.</w:t>
      </w:r>
    </w:p>
    <w:p w14:paraId="0780C23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1A6941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Highlights</w:t>
      </w:r>
    </w:p>
    <w:p w14:paraId="1E8CECD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Highlights are mandatory for this journal. They consist of a short collection of bullet points that convey the core findings of the article and should be submitted in a separate editable file in the online submission system. Please use 'Highlights' in the file name and make sure to strictly adhere to the following specifications: include 3 to 5 bullet points (maximum 85 characters (not words), including spaces, per bullet point). See </w:t>
      </w:r>
      <w:r w:rsidRPr="00FB4E01">
        <w:rPr>
          <w:rFonts w:ascii="Verdana" w:eastAsia="Calibri" w:hAnsi="Verdana" w:cs="Verdana"/>
          <w:sz w:val="20"/>
          <w:szCs w:val="20"/>
          <w:u w:val="single"/>
          <w:lang w:val="en-US" w:eastAsia="en-US"/>
        </w:rPr>
        <w:t>http://www.elsevier.com/highlights</w:t>
      </w:r>
      <w:r w:rsidRPr="00FB4E01">
        <w:rPr>
          <w:rFonts w:ascii="Verdana" w:eastAsia="Calibri" w:hAnsi="Verdana" w:cs="Verdana"/>
          <w:sz w:val="20"/>
          <w:szCs w:val="20"/>
          <w:lang w:val="en-US" w:eastAsia="en-US"/>
        </w:rPr>
        <w:t xml:space="preserve"> for examples.</w:t>
      </w:r>
    </w:p>
    <w:p w14:paraId="1F6782F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6118562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Keywords</w:t>
      </w:r>
    </w:p>
    <w:p w14:paraId="7DAD41B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Immediately after the abstract, provide a maximum of 6 keywords, using American spelling and avoiding general and plural terms and multiple concepts (avoid, for example, 'and', 'of'). Be sparing with abbreviations: only abbreviations firmly established in the field may be eligible. These keywords will be used for indexing purposes.</w:t>
      </w:r>
    </w:p>
    <w:p w14:paraId="7ABF3B3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154F5AC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Artwork</w:t>
      </w:r>
    </w:p>
    <w:p w14:paraId="2059C41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Italic" w:eastAsia="Calibri" w:hAnsi="Verdana-Italic" w:cs="Verdana-Italic"/>
          <w:i/>
          <w:iCs/>
          <w:sz w:val="20"/>
          <w:szCs w:val="20"/>
          <w:lang w:val="en-US" w:eastAsia="en-US"/>
        </w:rPr>
      </w:pPr>
      <w:r w:rsidRPr="00FB4E01">
        <w:rPr>
          <w:rFonts w:ascii="Verdana-Italic" w:eastAsia="Calibri" w:hAnsi="Verdana-Italic" w:cs="Verdana-Italic"/>
          <w:i/>
          <w:iCs/>
          <w:sz w:val="20"/>
          <w:szCs w:val="20"/>
          <w:lang w:val="en-US" w:eastAsia="en-US"/>
        </w:rPr>
        <w:t>Electronic artwork</w:t>
      </w:r>
    </w:p>
    <w:p w14:paraId="2EC419E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Italic" w:eastAsia="Calibri" w:hAnsi="Verdana-Italic" w:cs="Verdana-Italic"/>
          <w:i/>
          <w:iCs/>
          <w:sz w:val="20"/>
          <w:szCs w:val="20"/>
          <w:lang w:val="en-US" w:eastAsia="en-US"/>
        </w:rPr>
      </w:pPr>
      <w:r w:rsidRPr="00FB4E01">
        <w:rPr>
          <w:rFonts w:ascii="Verdana-Italic" w:eastAsia="Calibri" w:hAnsi="Verdana-Italic" w:cs="Verdana-Italic"/>
          <w:i/>
          <w:iCs/>
          <w:sz w:val="20"/>
          <w:szCs w:val="20"/>
          <w:lang w:val="en-US" w:eastAsia="en-US"/>
        </w:rPr>
        <w:t>General points</w:t>
      </w:r>
    </w:p>
    <w:p w14:paraId="3423205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Make sure you use uniform lettering and sizing of your original artwork.</w:t>
      </w:r>
    </w:p>
    <w:p w14:paraId="429D816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Embed the used fonts if the application provides that option.</w:t>
      </w:r>
    </w:p>
    <w:p w14:paraId="2F7927C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Aim to use the following fonts in your illustrations: Arial, Courier, Times New Roman, Symbol, or use fonts that look similar.</w:t>
      </w:r>
    </w:p>
    <w:p w14:paraId="55F8BAD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Number the illustrations according to their sequence in the text.</w:t>
      </w:r>
    </w:p>
    <w:p w14:paraId="42249C0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Use a logical naming convention for your artwork files.</w:t>
      </w:r>
    </w:p>
    <w:p w14:paraId="11819A4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Provide captions to illustrations separately.</w:t>
      </w:r>
    </w:p>
    <w:p w14:paraId="3409177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Size the illustrations close to the desired dimensions of the published version.</w:t>
      </w:r>
    </w:p>
    <w:p w14:paraId="5BD649D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Submit each illustration as a separate file.</w:t>
      </w:r>
    </w:p>
    <w:p w14:paraId="46DB582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 detailed guide on electronic artwork is available on our website:</w:t>
      </w:r>
    </w:p>
    <w:p w14:paraId="67D1BFF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u w:val="single"/>
          <w:lang w:val="en-US" w:eastAsia="en-US"/>
        </w:rPr>
        <w:t>https://www.elsevier.com/artworkinstructions</w:t>
      </w:r>
      <w:r w:rsidRPr="00FB4E01">
        <w:rPr>
          <w:rFonts w:ascii="Verdana" w:eastAsia="Calibri" w:hAnsi="Verdana" w:cs="Verdana"/>
          <w:sz w:val="20"/>
          <w:szCs w:val="20"/>
          <w:lang w:val="en-US" w:eastAsia="en-US"/>
        </w:rPr>
        <w:t>.</w:t>
      </w:r>
    </w:p>
    <w:p w14:paraId="74BE1A8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 w:val="20"/>
          <w:szCs w:val="20"/>
          <w:lang w:val="en-US" w:eastAsia="en-US"/>
        </w:rPr>
      </w:pPr>
      <w:r w:rsidRPr="00FB4E01">
        <w:rPr>
          <w:rFonts w:ascii="Verdana-Bold" w:eastAsia="Calibri" w:hAnsi="Verdana-Bold" w:cs="Verdana-Bold"/>
          <w:b/>
          <w:bCs/>
          <w:sz w:val="20"/>
          <w:szCs w:val="20"/>
          <w:lang w:val="en-US" w:eastAsia="en-US"/>
        </w:rPr>
        <w:t>You are urged to visit this site; some excerpts from the detailed information are given here.</w:t>
      </w:r>
    </w:p>
    <w:p w14:paraId="3C0BB46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Italic" w:eastAsia="Calibri" w:hAnsi="Verdana-Italic" w:cs="Verdana-Italic"/>
          <w:i/>
          <w:iCs/>
          <w:sz w:val="20"/>
          <w:szCs w:val="20"/>
          <w:lang w:val="en-US" w:eastAsia="en-US"/>
        </w:rPr>
      </w:pPr>
      <w:r w:rsidRPr="00FB4E01">
        <w:rPr>
          <w:rFonts w:ascii="Verdana-Italic" w:eastAsia="Calibri" w:hAnsi="Verdana-Italic" w:cs="Verdana-Italic"/>
          <w:i/>
          <w:iCs/>
          <w:sz w:val="20"/>
          <w:szCs w:val="20"/>
          <w:lang w:val="en-US" w:eastAsia="en-US"/>
        </w:rPr>
        <w:t>Formats</w:t>
      </w:r>
    </w:p>
    <w:p w14:paraId="2814E93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If your electronic artwork is created in a Microsoft Office application (Word, PowerPoint, Excel) then please supply 'as is' in the native document format.</w:t>
      </w:r>
    </w:p>
    <w:p w14:paraId="4543273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Regardless of the application used other than Microsoft Office, when your electronic artwork is finalized, please 'Save as' or convert the images to one of the following formats (note the resolution requirements for line drawings, halftones, and line/halftone combinations given below): EPS (or PDF): Vector drawings, embed all used fonts.</w:t>
      </w:r>
    </w:p>
    <w:p w14:paraId="3C43383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TIFF (or JPEG): Color or grayscale photographs (halftones), keep to a minimum of 300 dpi. TIFF (or JPEG): Bitmapped (pure black &amp; white pixels) line drawings, keep to a minimum of 1000 dpi. TIFF (or JPEG): Combinations bitmapped line/half-</w:t>
      </w:r>
      <w:proofErr w:type="spellStart"/>
      <w:r w:rsidRPr="00FB4E01">
        <w:rPr>
          <w:rFonts w:ascii="Verdana" w:eastAsia="Calibri" w:hAnsi="Verdana" w:cs="Verdana"/>
          <w:sz w:val="20"/>
          <w:szCs w:val="20"/>
          <w:lang w:val="en-US" w:eastAsia="en-US"/>
        </w:rPr>
        <w:t>tone</w:t>
      </w:r>
      <w:proofErr w:type="spellEnd"/>
      <w:r w:rsidRPr="00FB4E01">
        <w:rPr>
          <w:rFonts w:ascii="Verdana" w:eastAsia="Calibri" w:hAnsi="Verdana" w:cs="Verdana"/>
          <w:sz w:val="20"/>
          <w:szCs w:val="20"/>
          <w:lang w:val="en-US" w:eastAsia="en-US"/>
        </w:rPr>
        <w:t xml:space="preserve"> (color or grayscale), keep to a minimum of 500 dpi.</w:t>
      </w:r>
    </w:p>
    <w:p w14:paraId="79D0D01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 w:val="20"/>
          <w:szCs w:val="20"/>
          <w:lang w:val="en-US" w:eastAsia="en-US"/>
        </w:rPr>
      </w:pPr>
      <w:r w:rsidRPr="00FB4E01">
        <w:rPr>
          <w:rFonts w:ascii="Verdana-Bold" w:eastAsia="Calibri" w:hAnsi="Verdana-Bold" w:cs="Verdana-Bold"/>
          <w:b/>
          <w:bCs/>
          <w:sz w:val="20"/>
          <w:szCs w:val="20"/>
          <w:lang w:val="en-US" w:eastAsia="en-US"/>
        </w:rPr>
        <w:t>Please do not:</w:t>
      </w:r>
    </w:p>
    <w:p w14:paraId="5ACC56C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Supply files that are optimized for screen use (e.g., GIF, BMP, PICT, WPG); these typically have a low number of pixels and limited set of colors;</w:t>
      </w:r>
    </w:p>
    <w:p w14:paraId="6C29E85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lastRenderedPageBreak/>
        <w:t>• Supply files that are too low in resolution;</w:t>
      </w:r>
    </w:p>
    <w:p w14:paraId="1EC2EF2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Submit graphics that are disproportionately large for the content.</w:t>
      </w:r>
    </w:p>
    <w:p w14:paraId="375C8E5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4CD992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BoldItalic" w:eastAsia="Calibri" w:hAnsi="Verdana-BoldItalic" w:cs="Verdana-BoldItalic"/>
          <w:b/>
          <w:bCs/>
          <w:i/>
          <w:iCs/>
          <w:szCs w:val="22"/>
          <w:lang w:val="en-US" w:eastAsia="en-US"/>
        </w:rPr>
        <w:t>References</w:t>
      </w:r>
    </w:p>
    <w:p w14:paraId="0E78C56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Indicate references to the literature in the text by superior Arabic numerals that run consecutively through the paper in order of their appearance. Where you cite a reference more than once in the text, use the same number each time. References should take the following form:</w:t>
      </w:r>
    </w:p>
    <w:p w14:paraId="4A39093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1. Amis AA, Dawkins GPC. Functional anatomy of the anterior cruciate ligament. J Bone Joint </w:t>
      </w:r>
      <w:proofErr w:type="spellStart"/>
      <w:r w:rsidRPr="00FB4E01">
        <w:rPr>
          <w:rFonts w:ascii="Verdana" w:eastAsia="Calibri" w:hAnsi="Verdana" w:cs="Verdana"/>
          <w:sz w:val="20"/>
          <w:szCs w:val="20"/>
          <w:lang w:val="en-US" w:eastAsia="en-US"/>
        </w:rPr>
        <w:t>Surg</w:t>
      </w:r>
      <w:proofErr w:type="spellEnd"/>
      <w:r w:rsidRPr="00FB4E01">
        <w:rPr>
          <w:rFonts w:ascii="Verdana" w:eastAsia="Calibri" w:hAnsi="Verdana" w:cs="Verdana"/>
          <w:sz w:val="20"/>
          <w:szCs w:val="20"/>
          <w:lang w:val="en-US" w:eastAsia="en-US"/>
        </w:rPr>
        <w:t xml:space="preserve"> [Br] 1991; 73B: 260-267</w:t>
      </w:r>
    </w:p>
    <w:p w14:paraId="0923107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2. </w:t>
      </w:r>
      <w:proofErr w:type="spellStart"/>
      <w:r w:rsidRPr="00FB4E01">
        <w:rPr>
          <w:rFonts w:ascii="Verdana" w:eastAsia="Calibri" w:hAnsi="Verdana" w:cs="Verdana"/>
          <w:sz w:val="20"/>
          <w:szCs w:val="20"/>
          <w:lang w:val="en-US" w:eastAsia="en-US"/>
        </w:rPr>
        <w:t>Insall</w:t>
      </w:r>
      <w:proofErr w:type="spellEnd"/>
      <w:r w:rsidRPr="00FB4E01">
        <w:rPr>
          <w:rFonts w:ascii="Verdana" w:eastAsia="Calibri" w:hAnsi="Verdana" w:cs="Verdana"/>
          <w:sz w:val="20"/>
          <w:szCs w:val="20"/>
          <w:lang w:val="en-US" w:eastAsia="en-US"/>
        </w:rPr>
        <w:t xml:space="preserve"> JN. Surgery of the Knee. New York: Churchill Livingstone; 1984</w:t>
      </w:r>
    </w:p>
    <w:p w14:paraId="213B99BF"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3. Shumway-Cook A, </w:t>
      </w:r>
      <w:proofErr w:type="spellStart"/>
      <w:r w:rsidRPr="00FB4E01">
        <w:rPr>
          <w:rFonts w:ascii="Verdana" w:eastAsia="Calibri" w:hAnsi="Verdana" w:cs="Verdana"/>
          <w:sz w:val="20"/>
          <w:szCs w:val="20"/>
          <w:lang w:val="en-US" w:eastAsia="en-US"/>
        </w:rPr>
        <w:t>Woollacott</w:t>
      </w:r>
      <w:proofErr w:type="spellEnd"/>
      <w:r w:rsidRPr="00FB4E01">
        <w:rPr>
          <w:rFonts w:ascii="Verdana" w:eastAsia="Calibri" w:hAnsi="Verdana" w:cs="Verdana"/>
          <w:sz w:val="20"/>
          <w:szCs w:val="20"/>
          <w:lang w:val="en-US" w:eastAsia="en-US"/>
        </w:rPr>
        <w:t xml:space="preserve"> M. Motor Control: Theory and Practical Applications. Baltimore: Williams and Wilkins; 1995.</w:t>
      </w:r>
    </w:p>
    <w:p w14:paraId="0685F92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br/>
        <w:t xml:space="preserve">Please ensure that references are complete, i.e. that they include, where relevant, author's name, article or book title, volume and issue number, publisher, year and page reference </w:t>
      </w:r>
      <w:r w:rsidRPr="00FB4E01">
        <w:rPr>
          <w:rFonts w:ascii="Verdana-Italic" w:eastAsia="Calibri" w:hAnsi="Verdana-Italic" w:cs="Verdana-Italic"/>
          <w:i/>
          <w:iCs/>
          <w:sz w:val="20"/>
          <w:szCs w:val="20"/>
          <w:lang w:val="en-US" w:eastAsia="en-US"/>
        </w:rPr>
        <w:t xml:space="preserve">and </w:t>
      </w:r>
      <w:r w:rsidRPr="00FB4E01">
        <w:rPr>
          <w:rFonts w:ascii="Verdana" w:eastAsia="Calibri" w:hAnsi="Verdana" w:cs="Verdana"/>
          <w:sz w:val="20"/>
          <w:szCs w:val="20"/>
          <w:lang w:val="en-US" w:eastAsia="en-US"/>
        </w:rPr>
        <w:t xml:space="preserve">comply with the reference style of </w:t>
      </w:r>
      <w:r w:rsidRPr="00FB4E01">
        <w:rPr>
          <w:rFonts w:ascii="Verdana" w:eastAsia="Calibri" w:hAnsi="Verdana" w:cs="Verdana-Italic"/>
          <w:i/>
          <w:iCs/>
          <w:sz w:val="20"/>
          <w:szCs w:val="20"/>
          <w:lang w:val="en-US" w:eastAsia="en-US"/>
        </w:rPr>
        <w:t>Gait Posture</w:t>
      </w:r>
      <w:r w:rsidRPr="00FB4E01">
        <w:rPr>
          <w:rFonts w:ascii="Verdana" w:eastAsia="Calibri" w:hAnsi="Verdana" w:cs="Verdana"/>
          <w:sz w:val="20"/>
          <w:szCs w:val="20"/>
          <w:lang w:val="en-US" w:eastAsia="en-US"/>
        </w:rPr>
        <w:t>. Only salient and significant references should be included.</w:t>
      </w:r>
    </w:p>
    <w:p w14:paraId="5CB4DD1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21924F2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Italic"/>
          <w:i/>
          <w:iCs/>
          <w:sz w:val="20"/>
          <w:szCs w:val="20"/>
          <w:lang w:val="en-US" w:eastAsia="en-US"/>
        </w:rPr>
      </w:pPr>
      <w:r w:rsidRPr="00FB4E01">
        <w:rPr>
          <w:rFonts w:ascii="Verdana" w:eastAsia="Calibri" w:hAnsi="Verdana" w:cs="Verdana-Italic"/>
          <w:i/>
          <w:iCs/>
          <w:sz w:val="20"/>
          <w:szCs w:val="20"/>
          <w:lang w:val="en-US" w:eastAsia="en-US"/>
        </w:rPr>
        <w:t>Reference management software</w:t>
      </w:r>
    </w:p>
    <w:p w14:paraId="04F2C9C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Most Elsevier journals have their reference template available in many of the</w:t>
      </w:r>
    </w:p>
    <w:p w14:paraId="7132DB5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most popular reference management software products. These include all products</w:t>
      </w:r>
    </w:p>
    <w:p w14:paraId="471647F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that support Citation Style Language styles (</w:t>
      </w:r>
      <w:r w:rsidRPr="00FB4E01">
        <w:rPr>
          <w:rFonts w:ascii="Verdana" w:eastAsia="Calibri" w:hAnsi="Verdana" w:cs="Verdana"/>
          <w:sz w:val="20"/>
          <w:szCs w:val="20"/>
          <w:u w:val="single"/>
          <w:lang w:val="en-US" w:eastAsia="en-US"/>
        </w:rPr>
        <w:t>http://citationstyles.org</w:t>
      </w:r>
      <w:r w:rsidRPr="00FB4E01">
        <w:rPr>
          <w:rFonts w:ascii="Verdana" w:eastAsia="Calibri" w:hAnsi="Verdana" w:cs="Verdana"/>
          <w:sz w:val="20"/>
          <w:szCs w:val="20"/>
          <w:lang w:val="en-US" w:eastAsia="en-US"/>
        </w:rPr>
        <w:t xml:space="preserve">), such as </w:t>
      </w:r>
      <w:proofErr w:type="spellStart"/>
      <w:r w:rsidRPr="00FB4E01">
        <w:rPr>
          <w:rFonts w:ascii="Verdana" w:eastAsia="Calibri" w:hAnsi="Verdana" w:cs="Verdana"/>
          <w:sz w:val="20"/>
          <w:szCs w:val="20"/>
          <w:lang w:val="en-US" w:eastAsia="en-US"/>
        </w:rPr>
        <w:t>Mendeley</w:t>
      </w:r>
      <w:proofErr w:type="spellEnd"/>
    </w:p>
    <w:p w14:paraId="3CD4A09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w:t>
      </w:r>
      <w:r w:rsidRPr="00FB4E01">
        <w:rPr>
          <w:rFonts w:ascii="Verdana" w:eastAsia="Calibri" w:hAnsi="Verdana" w:cs="Verdana"/>
          <w:sz w:val="20"/>
          <w:szCs w:val="20"/>
          <w:u w:val="single"/>
          <w:lang w:val="en-US" w:eastAsia="en-US"/>
        </w:rPr>
        <w:t>http://www.mendeley.com/features/reference-manager</w:t>
      </w:r>
      <w:r w:rsidRPr="00FB4E01">
        <w:rPr>
          <w:rFonts w:ascii="Verdana" w:eastAsia="Calibri" w:hAnsi="Verdana" w:cs="Verdana"/>
          <w:sz w:val="20"/>
          <w:szCs w:val="20"/>
          <w:lang w:val="en-US" w:eastAsia="en-US"/>
        </w:rPr>
        <w:t xml:space="preserve">) and </w:t>
      </w:r>
      <w:proofErr w:type="spellStart"/>
      <w:r w:rsidRPr="00FB4E01">
        <w:rPr>
          <w:rFonts w:ascii="Verdana" w:eastAsia="Calibri" w:hAnsi="Verdana" w:cs="Verdana"/>
          <w:sz w:val="20"/>
          <w:szCs w:val="20"/>
          <w:lang w:val="en-US" w:eastAsia="en-US"/>
        </w:rPr>
        <w:t>Zotero</w:t>
      </w:r>
      <w:proofErr w:type="spellEnd"/>
      <w:r w:rsidRPr="00FB4E01">
        <w:rPr>
          <w:rFonts w:ascii="Verdana" w:eastAsia="Calibri" w:hAnsi="Verdana" w:cs="Verdana"/>
          <w:sz w:val="20"/>
          <w:szCs w:val="20"/>
          <w:lang w:val="en-US" w:eastAsia="en-US"/>
        </w:rPr>
        <w:t xml:space="preserve"> (https://www.zotero.org/), as well as EndNote (</w:t>
      </w:r>
      <w:r w:rsidRPr="00FB4E01">
        <w:rPr>
          <w:rFonts w:ascii="Verdana" w:eastAsia="Calibri" w:hAnsi="Verdana" w:cs="Verdana"/>
          <w:sz w:val="20"/>
          <w:szCs w:val="20"/>
          <w:u w:val="single"/>
          <w:lang w:val="en-US" w:eastAsia="en-US"/>
        </w:rPr>
        <w:t>http://endnote.com/downloads/styles</w:t>
      </w:r>
      <w:r w:rsidRPr="00FB4E01">
        <w:rPr>
          <w:rFonts w:ascii="Verdana" w:eastAsia="Calibri" w:hAnsi="Verdana" w:cs="Verdana"/>
          <w:sz w:val="20"/>
          <w:szCs w:val="20"/>
          <w:lang w:val="en-US" w:eastAsia="en-US"/>
        </w:rPr>
        <w:t>). Using the word processor plug-ins from these products, authors only need to select the appropriate journal template when preparing their article, after which citations and bibliographies will be automatically formatted in the journal's style. If no template is yet available for this journal, please follow the format of the sample references and citations as shown in this Guide.</w:t>
      </w:r>
    </w:p>
    <w:p w14:paraId="44214EA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CD2D39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Users of </w:t>
      </w:r>
      <w:proofErr w:type="spellStart"/>
      <w:r w:rsidRPr="00FB4E01">
        <w:rPr>
          <w:rFonts w:ascii="Verdana" w:eastAsia="Calibri" w:hAnsi="Verdana" w:cs="Verdana"/>
          <w:sz w:val="20"/>
          <w:szCs w:val="20"/>
          <w:lang w:val="en-US" w:eastAsia="en-US"/>
        </w:rPr>
        <w:t>Mendeley</w:t>
      </w:r>
      <w:proofErr w:type="spellEnd"/>
      <w:r w:rsidRPr="00FB4E01">
        <w:rPr>
          <w:rFonts w:ascii="Verdana" w:eastAsia="Calibri" w:hAnsi="Verdana" w:cs="Verdana"/>
          <w:sz w:val="20"/>
          <w:szCs w:val="20"/>
          <w:lang w:val="en-US" w:eastAsia="en-US"/>
        </w:rPr>
        <w:t xml:space="preserve"> Desktop can easily install the reference style for this journal by clicking the following link:</w:t>
      </w:r>
    </w:p>
    <w:p w14:paraId="4F0C959C" w14:textId="77777777" w:rsidR="00FB4E01" w:rsidRPr="00FB4E01" w:rsidRDefault="006920E7"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u w:val="single"/>
          <w:lang w:val="en-US" w:eastAsia="en-US"/>
        </w:rPr>
      </w:pPr>
      <w:hyperlink r:id="rId46" w:history="1">
        <w:r w:rsidR="00FB4E01" w:rsidRPr="00FB4E01">
          <w:rPr>
            <w:rFonts w:ascii="Verdana" w:eastAsia="Calibri" w:hAnsi="Verdana" w:cs="Verdana"/>
            <w:sz w:val="20"/>
            <w:szCs w:val="20"/>
            <w:u w:val="single"/>
            <w:lang w:val="en-US" w:eastAsia="en-US"/>
          </w:rPr>
          <w:t>http://open.mendeley.com/use-citation-style/gait-and-posture</w:t>
        </w:r>
      </w:hyperlink>
    </w:p>
    <w:p w14:paraId="30D4534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When preparing your manuscript, you will then be able to select this style using the </w:t>
      </w:r>
      <w:proofErr w:type="spellStart"/>
      <w:r w:rsidRPr="00FB4E01">
        <w:rPr>
          <w:rFonts w:ascii="Verdana" w:eastAsia="Calibri" w:hAnsi="Verdana" w:cs="Verdana"/>
          <w:sz w:val="20"/>
          <w:szCs w:val="20"/>
          <w:lang w:val="en-US" w:eastAsia="en-US"/>
        </w:rPr>
        <w:t>Mendeley</w:t>
      </w:r>
      <w:proofErr w:type="spellEnd"/>
      <w:r w:rsidRPr="00FB4E01">
        <w:rPr>
          <w:rFonts w:ascii="Verdana" w:eastAsia="Calibri" w:hAnsi="Verdana" w:cs="Verdana"/>
          <w:sz w:val="20"/>
          <w:szCs w:val="20"/>
          <w:lang w:val="en-US" w:eastAsia="en-US"/>
        </w:rPr>
        <w:t xml:space="preserve"> plugins for Microsoft Word or LibreOffice.</w:t>
      </w:r>
    </w:p>
    <w:p w14:paraId="5C8B507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679B9DC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Italic"/>
          <w:i/>
          <w:iCs/>
          <w:sz w:val="20"/>
          <w:szCs w:val="20"/>
          <w:lang w:val="en-US" w:eastAsia="en-US"/>
        </w:rPr>
      </w:pPr>
      <w:r w:rsidRPr="00FB4E01">
        <w:rPr>
          <w:rFonts w:ascii="Verdana" w:eastAsia="Calibri" w:hAnsi="Verdana" w:cs="Verdana-Italic"/>
          <w:i/>
          <w:iCs/>
          <w:sz w:val="20"/>
          <w:szCs w:val="20"/>
          <w:lang w:val="en-US" w:eastAsia="en-US"/>
        </w:rPr>
        <w:t>Reference style</w:t>
      </w:r>
    </w:p>
    <w:p w14:paraId="57FFE6D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Italic"/>
          <w:i/>
          <w:iCs/>
          <w:sz w:val="20"/>
          <w:szCs w:val="20"/>
          <w:lang w:val="en-US" w:eastAsia="en-US"/>
        </w:rPr>
        <w:t>Text:</w:t>
      </w:r>
      <w:r w:rsidRPr="00FB4E01">
        <w:rPr>
          <w:rFonts w:ascii="Verdana-Italic" w:eastAsia="Calibri" w:hAnsi="Verdana-Italic" w:cs="Verdana-Italic"/>
          <w:i/>
          <w:iCs/>
          <w:sz w:val="20"/>
          <w:szCs w:val="20"/>
          <w:lang w:val="en-US" w:eastAsia="en-US"/>
        </w:rPr>
        <w:t xml:space="preserve"> </w:t>
      </w:r>
      <w:r w:rsidRPr="00FB4E01">
        <w:rPr>
          <w:rFonts w:ascii="Verdana" w:eastAsia="Calibri" w:hAnsi="Verdana" w:cs="Verdana"/>
          <w:sz w:val="20"/>
          <w:szCs w:val="20"/>
          <w:lang w:val="en-US" w:eastAsia="en-US"/>
        </w:rPr>
        <w:t>Indicate references by number(s) in square brackets in line with the text. The actual authors can be referred to, but the reference number(s) must always be given.</w:t>
      </w:r>
    </w:p>
    <w:p w14:paraId="0F482F1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Italic"/>
          <w:i/>
          <w:iCs/>
          <w:sz w:val="20"/>
          <w:szCs w:val="20"/>
          <w:lang w:val="en-US" w:eastAsia="en-US"/>
        </w:rPr>
        <w:t>List:</w:t>
      </w:r>
      <w:r w:rsidRPr="00FB4E01">
        <w:rPr>
          <w:rFonts w:ascii="Verdana-Italic" w:eastAsia="Calibri" w:hAnsi="Verdana-Italic" w:cs="Verdana-Italic"/>
          <w:i/>
          <w:iCs/>
          <w:sz w:val="20"/>
          <w:szCs w:val="20"/>
          <w:lang w:val="en-US" w:eastAsia="en-US"/>
        </w:rPr>
        <w:t xml:space="preserve"> </w:t>
      </w:r>
      <w:r w:rsidRPr="00FB4E01">
        <w:rPr>
          <w:rFonts w:ascii="Verdana" w:eastAsia="Calibri" w:hAnsi="Verdana" w:cs="Verdana"/>
          <w:sz w:val="20"/>
          <w:szCs w:val="20"/>
          <w:lang w:val="en-US" w:eastAsia="en-US"/>
        </w:rPr>
        <w:t>Number the references (numbers in square brackets) in the list in the order in which they appear in the text.</w:t>
      </w:r>
    </w:p>
    <w:p w14:paraId="5F42219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Italic"/>
          <w:i/>
          <w:iCs/>
          <w:sz w:val="20"/>
          <w:szCs w:val="20"/>
          <w:lang w:val="en-US" w:eastAsia="en-US"/>
        </w:rPr>
      </w:pPr>
      <w:r w:rsidRPr="00FB4E01">
        <w:rPr>
          <w:rFonts w:ascii="Verdana" w:eastAsia="Calibri" w:hAnsi="Verdana" w:cs="Verdana-Italic"/>
          <w:i/>
          <w:iCs/>
          <w:sz w:val="20"/>
          <w:szCs w:val="20"/>
          <w:lang w:val="en-US" w:eastAsia="en-US"/>
        </w:rPr>
        <w:t xml:space="preserve">Examples: </w:t>
      </w:r>
    </w:p>
    <w:p w14:paraId="070ED70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Reference to a journal publication:</w:t>
      </w:r>
    </w:p>
    <w:p w14:paraId="5F5CCE9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eastAsia="en-US"/>
        </w:rPr>
        <w:t xml:space="preserve">[1] Van der Geer J, </w:t>
      </w:r>
      <w:proofErr w:type="spellStart"/>
      <w:r w:rsidRPr="00FB4E01">
        <w:rPr>
          <w:rFonts w:ascii="Verdana" w:eastAsia="Calibri" w:hAnsi="Verdana" w:cs="Verdana"/>
          <w:sz w:val="20"/>
          <w:szCs w:val="20"/>
          <w:lang w:eastAsia="en-US"/>
        </w:rPr>
        <w:t>Hanraads</w:t>
      </w:r>
      <w:proofErr w:type="spellEnd"/>
      <w:r w:rsidRPr="00FB4E01">
        <w:rPr>
          <w:rFonts w:ascii="Verdana" w:eastAsia="Calibri" w:hAnsi="Verdana" w:cs="Verdana"/>
          <w:sz w:val="20"/>
          <w:szCs w:val="20"/>
          <w:lang w:eastAsia="en-US"/>
        </w:rPr>
        <w:t xml:space="preserve"> JAJ, </w:t>
      </w:r>
      <w:proofErr w:type="spellStart"/>
      <w:r w:rsidRPr="00FB4E01">
        <w:rPr>
          <w:rFonts w:ascii="Verdana" w:eastAsia="Calibri" w:hAnsi="Verdana" w:cs="Verdana"/>
          <w:sz w:val="20"/>
          <w:szCs w:val="20"/>
          <w:lang w:eastAsia="en-US"/>
        </w:rPr>
        <w:t>Lupton</w:t>
      </w:r>
      <w:proofErr w:type="spellEnd"/>
      <w:r w:rsidRPr="00FB4E01">
        <w:rPr>
          <w:rFonts w:ascii="Verdana" w:eastAsia="Calibri" w:hAnsi="Verdana" w:cs="Verdana"/>
          <w:sz w:val="20"/>
          <w:szCs w:val="20"/>
          <w:lang w:eastAsia="en-US"/>
        </w:rPr>
        <w:t xml:space="preserve"> RA. </w:t>
      </w:r>
      <w:r w:rsidRPr="00FB4E01">
        <w:rPr>
          <w:rFonts w:ascii="Verdana" w:eastAsia="Calibri" w:hAnsi="Verdana" w:cs="Verdana"/>
          <w:sz w:val="20"/>
          <w:szCs w:val="20"/>
          <w:lang w:val="en-US" w:eastAsia="en-US"/>
        </w:rPr>
        <w:t xml:space="preserve">The art of writing a scientific article. J </w:t>
      </w:r>
      <w:proofErr w:type="spellStart"/>
      <w:r w:rsidRPr="00FB4E01">
        <w:rPr>
          <w:rFonts w:ascii="Verdana" w:eastAsia="Calibri" w:hAnsi="Verdana" w:cs="Verdana"/>
          <w:sz w:val="20"/>
          <w:szCs w:val="20"/>
          <w:lang w:val="en-US" w:eastAsia="en-US"/>
        </w:rPr>
        <w:t>Sci</w:t>
      </w:r>
      <w:proofErr w:type="spellEnd"/>
      <w:r w:rsidRPr="00FB4E01">
        <w:rPr>
          <w:rFonts w:ascii="Verdana" w:eastAsia="Calibri" w:hAnsi="Verdana" w:cs="Verdana"/>
          <w:sz w:val="20"/>
          <w:szCs w:val="20"/>
          <w:lang w:val="en-US" w:eastAsia="en-US"/>
        </w:rPr>
        <w:t xml:space="preserve"> Commun2010;163:51–9.</w:t>
      </w:r>
    </w:p>
    <w:p w14:paraId="066F1C0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Reference to a book:</w:t>
      </w:r>
    </w:p>
    <w:p w14:paraId="6F93EF5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[2] Strunk Jr W, White EB. The elements of style. 4th ed. New York: Longman; 2000.</w:t>
      </w:r>
    </w:p>
    <w:p w14:paraId="1951EDE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Reference to a chapter in an edited book:</w:t>
      </w:r>
    </w:p>
    <w:p w14:paraId="7720257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[3] </w:t>
      </w:r>
      <w:proofErr w:type="spellStart"/>
      <w:r w:rsidRPr="00FB4E01">
        <w:rPr>
          <w:rFonts w:ascii="Verdana" w:eastAsia="Calibri" w:hAnsi="Verdana" w:cs="Verdana"/>
          <w:sz w:val="20"/>
          <w:szCs w:val="20"/>
          <w:lang w:val="en-US" w:eastAsia="en-US"/>
        </w:rPr>
        <w:t>Mettam</w:t>
      </w:r>
      <w:proofErr w:type="spellEnd"/>
      <w:r w:rsidRPr="00FB4E01">
        <w:rPr>
          <w:rFonts w:ascii="Verdana" w:eastAsia="Calibri" w:hAnsi="Verdana" w:cs="Verdana"/>
          <w:sz w:val="20"/>
          <w:szCs w:val="20"/>
          <w:lang w:val="en-US" w:eastAsia="en-US"/>
        </w:rPr>
        <w:t xml:space="preserve"> GR, Adams LB. How to prepare an electronic version of your article. In: Jones BS, Smith RZ, editors. Introduction to the electronic age, New York: E-Publishing </w:t>
      </w:r>
      <w:proofErr w:type="spellStart"/>
      <w:r w:rsidRPr="00FB4E01">
        <w:rPr>
          <w:rFonts w:ascii="Verdana" w:eastAsia="Calibri" w:hAnsi="Verdana" w:cs="Verdana"/>
          <w:sz w:val="20"/>
          <w:szCs w:val="20"/>
          <w:lang w:val="en-US" w:eastAsia="en-US"/>
        </w:rPr>
        <w:t>Inc</w:t>
      </w:r>
      <w:proofErr w:type="spellEnd"/>
      <w:r w:rsidRPr="00FB4E01">
        <w:rPr>
          <w:rFonts w:ascii="Verdana" w:eastAsia="Calibri" w:hAnsi="Verdana" w:cs="Verdana"/>
          <w:sz w:val="20"/>
          <w:szCs w:val="20"/>
          <w:lang w:val="en-US" w:eastAsia="en-US"/>
        </w:rPr>
        <w:t>; 2009, p. 281–304.</w:t>
      </w:r>
    </w:p>
    <w:p w14:paraId="2749ED5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Note shortened form for last page number. e.g., 51–9, and that for more than 6 authors the first 6 should be listed followed by 'et al.' For further details you are referred to 'Uniform Requirements for Manuscripts submitted to Biomedical Journals' (J Am Med </w:t>
      </w:r>
      <w:proofErr w:type="spellStart"/>
      <w:r w:rsidRPr="00FB4E01">
        <w:rPr>
          <w:rFonts w:ascii="Verdana" w:eastAsia="Calibri" w:hAnsi="Verdana" w:cs="Verdana"/>
          <w:sz w:val="20"/>
          <w:szCs w:val="20"/>
          <w:lang w:val="en-US" w:eastAsia="en-US"/>
        </w:rPr>
        <w:t>Assoc</w:t>
      </w:r>
      <w:proofErr w:type="spellEnd"/>
      <w:r w:rsidRPr="00FB4E01">
        <w:rPr>
          <w:rFonts w:ascii="Verdana" w:eastAsia="Calibri" w:hAnsi="Verdana" w:cs="Verdana"/>
          <w:sz w:val="20"/>
          <w:szCs w:val="20"/>
          <w:lang w:val="en-US" w:eastAsia="en-US"/>
        </w:rPr>
        <w:t xml:space="preserve"> 1997;277:927–34) (see also </w:t>
      </w:r>
      <w:hyperlink r:id="rId47" w:history="1">
        <w:r w:rsidRPr="00FB4E01">
          <w:rPr>
            <w:rFonts w:ascii="Verdana" w:eastAsia="Calibri" w:hAnsi="Verdana" w:cs="Verdana"/>
            <w:sz w:val="20"/>
            <w:szCs w:val="20"/>
            <w:u w:val="single"/>
            <w:lang w:val="en-US" w:eastAsia="en-US"/>
          </w:rPr>
          <w:t>http://www.nlm.nih.gov/bsd/uniform_requirements.html</w:t>
        </w:r>
      </w:hyperlink>
      <w:r w:rsidRPr="00FB4E01">
        <w:rPr>
          <w:rFonts w:ascii="Verdana" w:eastAsia="Calibri" w:hAnsi="Verdana" w:cs="Verdana"/>
          <w:sz w:val="20"/>
          <w:szCs w:val="20"/>
          <w:lang w:val="en-US" w:eastAsia="en-US"/>
        </w:rPr>
        <w:t>).</w:t>
      </w:r>
    </w:p>
    <w:p w14:paraId="5A231BE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lastRenderedPageBreak/>
        <w:t>Reference to a website:</w:t>
      </w:r>
    </w:p>
    <w:p w14:paraId="0FF2BCC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[4] Cancer Research UK. Cancer statistics reports for the UK, </w:t>
      </w:r>
      <w:r w:rsidRPr="00FB4E01">
        <w:rPr>
          <w:rFonts w:ascii="Verdana" w:eastAsia="Calibri" w:hAnsi="Verdana" w:cs="Verdana"/>
          <w:sz w:val="20"/>
          <w:szCs w:val="20"/>
          <w:u w:val="single"/>
          <w:lang w:val="en-US" w:eastAsia="en-US"/>
        </w:rPr>
        <w:t>http://www.cancerresearchuk.org/aboutcancer/statistics/cancerstatsreport/</w:t>
      </w:r>
      <w:r w:rsidRPr="00FB4E01">
        <w:rPr>
          <w:rFonts w:ascii="Verdana" w:eastAsia="Calibri" w:hAnsi="Verdana" w:cs="Verdana"/>
          <w:sz w:val="20"/>
          <w:szCs w:val="20"/>
          <w:lang w:val="en-US" w:eastAsia="en-US"/>
        </w:rPr>
        <w:t>; 2003 [accessed 13.03.03].</w:t>
      </w:r>
    </w:p>
    <w:p w14:paraId="6E40A67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br/>
      </w:r>
      <w:proofErr w:type="spellStart"/>
      <w:r w:rsidRPr="00FB4E01">
        <w:rPr>
          <w:rFonts w:ascii="Verdana-BoldItalic" w:eastAsia="Calibri" w:hAnsi="Verdana-BoldItalic" w:cs="Verdana-BoldItalic"/>
          <w:b/>
          <w:bCs/>
          <w:i/>
          <w:iCs/>
          <w:szCs w:val="22"/>
          <w:lang w:val="en-US" w:eastAsia="en-US"/>
        </w:rPr>
        <w:t>AudioSlides</w:t>
      </w:r>
      <w:proofErr w:type="spellEnd"/>
    </w:p>
    <w:p w14:paraId="413ECEF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The journal encourages authors to create an </w:t>
      </w:r>
      <w:proofErr w:type="spellStart"/>
      <w:r w:rsidRPr="00FB4E01">
        <w:rPr>
          <w:rFonts w:ascii="Verdana" w:eastAsia="Calibri" w:hAnsi="Verdana" w:cs="Verdana"/>
          <w:sz w:val="20"/>
          <w:szCs w:val="20"/>
          <w:lang w:val="en-US" w:eastAsia="en-US"/>
        </w:rPr>
        <w:t>AudioSlides</w:t>
      </w:r>
      <w:proofErr w:type="spellEnd"/>
      <w:r w:rsidRPr="00FB4E01">
        <w:rPr>
          <w:rFonts w:ascii="Verdana" w:eastAsia="Calibri" w:hAnsi="Verdana" w:cs="Verdana"/>
          <w:sz w:val="20"/>
          <w:szCs w:val="20"/>
          <w:lang w:val="en-US" w:eastAsia="en-US"/>
        </w:rPr>
        <w:t xml:space="preserve"> presentation with their published article. </w:t>
      </w:r>
      <w:proofErr w:type="spellStart"/>
      <w:r w:rsidRPr="00FB4E01">
        <w:rPr>
          <w:rFonts w:ascii="Verdana" w:eastAsia="Calibri" w:hAnsi="Verdana" w:cs="Verdana"/>
          <w:sz w:val="20"/>
          <w:szCs w:val="20"/>
          <w:lang w:val="en-US" w:eastAsia="en-US"/>
        </w:rPr>
        <w:t>AudioSlides</w:t>
      </w:r>
      <w:proofErr w:type="spellEnd"/>
      <w:r w:rsidRPr="00FB4E01">
        <w:rPr>
          <w:rFonts w:ascii="Verdana" w:eastAsia="Calibri" w:hAnsi="Verdana" w:cs="Verdana"/>
          <w:sz w:val="20"/>
          <w:szCs w:val="20"/>
          <w:lang w:val="en-US" w:eastAsia="en-US"/>
        </w:rPr>
        <w:t xml:space="preserve"> are brief, webinar-style presentations that are shown next to the online article on </w:t>
      </w:r>
      <w:proofErr w:type="spellStart"/>
      <w:r w:rsidRPr="00FB4E01">
        <w:rPr>
          <w:rFonts w:ascii="Verdana" w:eastAsia="Calibri" w:hAnsi="Verdana" w:cs="Verdana"/>
          <w:sz w:val="20"/>
          <w:szCs w:val="20"/>
          <w:lang w:val="en-US" w:eastAsia="en-US"/>
        </w:rPr>
        <w:t>ScienceDirect</w:t>
      </w:r>
      <w:proofErr w:type="spellEnd"/>
      <w:r w:rsidRPr="00FB4E01">
        <w:rPr>
          <w:rFonts w:ascii="Verdana" w:eastAsia="Calibri" w:hAnsi="Verdana" w:cs="Verdana"/>
          <w:sz w:val="20"/>
          <w:szCs w:val="20"/>
          <w:lang w:val="en-US" w:eastAsia="en-US"/>
        </w:rPr>
        <w:t xml:space="preserve">. This gives authors the opportunity to summarize their research in their own words and to help readers understand what the paper is about. More information and examples are available at </w:t>
      </w:r>
      <w:hyperlink r:id="rId48" w:history="1">
        <w:r w:rsidRPr="00FB4E01">
          <w:rPr>
            <w:rFonts w:ascii="Verdana" w:eastAsia="Calibri" w:hAnsi="Verdana" w:cs="Verdana"/>
            <w:sz w:val="20"/>
            <w:szCs w:val="20"/>
            <w:u w:val="single"/>
            <w:lang w:val="en-US" w:eastAsia="en-US"/>
          </w:rPr>
          <w:t>https://www.elsevier.com/audioslides</w:t>
        </w:r>
      </w:hyperlink>
      <w:r w:rsidRPr="00FB4E01">
        <w:rPr>
          <w:rFonts w:ascii="Verdana" w:eastAsia="Calibri" w:hAnsi="Verdana" w:cs="Verdana"/>
          <w:sz w:val="20"/>
          <w:szCs w:val="20"/>
          <w:lang w:val="en-US" w:eastAsia="en-US"/>
        </w:rPr>
        <w:t xml:space="preserve">. Authors of this journal will automatically receive an invitation e-mail to create an </w:t>
      </w:r>
      <w:proofErr w:type="spellStart"/>
      <w:r w:rsidRPr="00FB4E01">
        <w:rPr>
          <w:rFonts w:ascii="Verdana" w:eastAsia="Calibri" w:hAnsi="Verdana" w:cs="Verdana"/>
          <w:sz w:val="20"/>
          <w:szCs w:val="20"/>
          <w:lang w:val="en-US" w:eastAsia="en-US"/>
        </w:rPr>
        <w:t>AudioSlides</w:t>
      </w:r>
      <w:proofErr w:type="spellEnd"/>
      <w:r w:rsidRPr="00FB4E01">
        <w:rPr>
          <w:rFonts w:ascii="Verdana" w:eastAsia="Calibri" w:hAnsi="Verdana" w:cs="Verdana"/>
          <w:sz w:val="20"/>
          <w:szCs w:val="20"/>
          <w:lang w:val="en-US" w:eastAsia="en-US"/>
        </w:rPr>
        <w:t xml:space="preserve"> presentation after acceptance of their paper.</w:t>
      </w:r>
    </w:p>
    <w:p w14:paraId="21979CC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br/>
        <w:t>Supplementary material</w:t>
      </w:r>
    </w:p>
    <w:p w14:paraId="5065274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Supplementary material can support and enhance your scientific research. Supplementary files offer the author additional possibilities to publish supporting applications, high-resolution images, background datasets, sound clips and more. Please note that such items are published online exactly as they are submitted; there is no typesetting involved (supplementary data supplied as an Excel file or as a PowerPoint slide will appear as such online). Please submit the material together with the article and supply a concise and descriptive caption for each file. If you wish to make any changes to</w:t>
      </w:r>
    </w:p>
    <w:p w14:paraId="539F904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supplementary data during any stage of the process, then please make sure to provide an updated file, and do not annotate any corrections on a previous version. Please also make sure to switch off the 'Track Changes' option in any Microsoft Office files as these will appear in the published supplementary file(s). For more detailed instructions please visit our artwork instruction pages at </w:t>
      </w:r>
      <w:hyperlink r:id="rId49" w:history="1">
        <w:r w:rsidRPr="00FB4E01">
          <w:rPr>
            <w:rFonts w:ascii="Verdana" w:eastAsia="Calibri" w:hAnsi="Verdana" w:cs="Verdana"/>
            <w:sz w:val="20"/>
            <w:szCs w:val="20"/>
            <w:u w:val="single"/>
            <w:lang w:val="en-US" w:eastAsia="en-US"/>
          </w:rPr>
          <w:t>https://www.elsevier.com/artworkinstructions</w:t>
        </w:r>
      </w:hyperlink>
      <w:r w:rsidRPr="00FB4E01">
        <w:rPr>
          <w:rFonts w:ascii="Verdana" w:eastAsia="Calibri" w:hAnsi="Verdana" w:cs="Verdana"/>
          <w:sz w:val="20"/>
          <w:szCs w:val="20"/>
          <w:lang w:val="en-US" w:eastAsia="en-US"/>
        </w:rPr>
        <w:t>.</w:t>
      </w:r>
    </w:p>
    <w:p w14:paraId="2B6DC47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br/>
        <w:t>Submission checklist</w:t>
      </w:r>
    </w:p>
    <w:p w14:paraId="2D16BB3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Bold"/>
          <w:b/>
          <w:bCs/>
          <w:sz w:val="20"/>
          <w:szCs w:val="20"/>
          <w:lang w:val="en-US" w:eastAsia="en-US"/>
        </w:rPr>
      </w:pPr>
      <w:r w:rsidRPr="00FB4E01">
        <w:rPr>
          <w:rFonts w:ascii="Verdana" w:eastAsia="Calibri" w:hAnsi="Verdana" w:cs="Verdana"/>
          <w:sz w:val="20"/>
          <w:szCs w:val="20"/>
          <w:lang w:val="en-US" w:eastAsia="en-US"/>
        </w:rPr>
        <w:t xml:space="preserve">The following list will be useful during the final checking of an article prior to sending it to the journal for review. Please consult this Guide for Authors for further details of any item. </w:t>
      </w:r>
      <w:r w:rsidRPr="00FB4E01">
        <w:rPr>
          <w:rFonts w:ascii="Verdana" w:eastAsia="Calibri" w:hAnsi="Verdana" w:cs="Verdana-Bold"/>
          <w:b/>
          <w:bCs/>
          <w:sz w:val="20"/>
          <w:szCs w:val="20"/>
          <w:lang w:val="en-US" w:eastAsia="en-US"/>
        </w:rPr>
        <w:t>Ensure that the following items are present:</w:t>
      </w:r>
    </w:p>
    <w:p w14:paraId="5C18C00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One author has been designated as the corresponding author with contact details:</w:t>
      </w:r>
    </w:p>
    <w:p w14:paraId="3C8B122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E-mail address</w:t>
      </w:r>
    </w:p>
    <w:p w14:paraId="3E450F1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Full postal address</w:t>
      </w:r>
    </w:p>
    <w:p w14:paraId="7A605E16"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All necessary files have been uploaded, and contain:</w:t>
      </w:r>
    </w:p>
    <w:p w14:paraId="5E065A7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Keywords</w:t>
      </w:r>
    </w:p>
    <w:p w14:paraId="34C882F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All figure captions</w:t>
      </w:r>
    </w:p>
    <w:p w14:paraId="0B55C08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All tables (including title, description, footnotes)</w:t>
      </w:r>
    </w:p>
    <w:p w14:paraId="73C80A1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Further considerations</w:t>
      </w:r>
    </w:p>
    <w:p w14:paraId="5C3797F3"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Manuscript has been 'spell-checked' and 'grammar-checked'</w:t>
      </w:r>
    </w:p>
    <w:p w14:paraId="5BCD3AB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References are in the correct format for this journal</w:t>
      </w:r>
    </w:p>
    <w:p w14:paraId="6B5163FA"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All references mentioned in the Reference list are cited in the text, and vice versa</w:t>
      </w:r>
    </w:p>
    <w:p w14:paraId="2C755932"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Permission has been obtained for use of copyrighted material from other sources (including the Internet)</w:t>
      </w:r>
    </w:p>
    <w:p w14:paraId="2CEB91E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Printed version of figures (if applicable) in color or black-and-white</w:t>
      </w:r>
    </w:p>
    <w:p w14:paraId="64483FD9"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Indicate clearly whether or not color or black-and-white in print is required.</w:t>
      </w:r>
    </w:p>
    <w:p w14:paraId="42C6633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For any further information please visit our customer support site at </w:t>
      </w:r>
      <w:hyperlink r:id="rId50" w:history="1">
        <w:r w:rsidRPr="00FB4E01">
          <w:rPr>
            <w:rFonts w:ascii="Verdana" w:eastAsia="Calibri" w:hAnsi="Verdana" w:cs="Verdana"/>
            <w:sz w:val="20"/>
            <w:szCs w:val="20"/>
            <w:u w:val="single"/>
            <w:lang w:val="en-US" w:eastAsia="en-US"/>
          </w:rPr>
          <w:t>http://support.elsevier.com</w:t>
        </w:r>
      </w:hyperlink>
      <w:r w:rsidRPr="00FB4E01">
        <w:rPr>
          <w:rFonts w:ascii="Verdana" w:eastAsia="Calibri" w:hAnsi="Verdana" w:cs="Verdana"/>
          <w:sz w:val="20"/>
          <w:szCs w:val="20"/>
          <w:lang w:val="en-US" w:eastAsia="en-US"/>
        </w:rPr>
        <w:t>.</w:t>
      </w:r>
    </w:p>
    <w:p w14:paraId="4FD9FB38"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88767EF"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Cs w:val="22"/>
          <w:lang w:val="en-US" w:eastAsia="en-US"/>
        </w:rPr>
      </w:pPr>
      <w:r w:rsidRPr="00FB4E01">
        <w:rPr>
          <w:rFonts w:ascii="Verdana-Bold" w:eastAsia="Calibri" w:hAnsi="Verdana-Bold" w:cs="Verdana-Bold"/>
          <w:b/>
          <w:bCs/>
          <w:szCs w:val="22"/>
          <w:lang w:val="en-US" w:eastAsia="en-US"/>
        </w:rPr>
        <w:t>AFTER ACCEPTANCE</w:t>
      </w:r>
    </w:p>
    <w:p w14:paraId="7DAB3EC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Use of the Digital Object Identifier</w:t>
      </w:r>
    </w:p>
    <w:p w14:paraId="2D95056E"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The Digital Object Identifier (DOI) may be used to cite and link to electronic documents. The DOI consists of a unique alpha-numeric character string which is assigned to a document by the publisher upon the initial electronic publication. The assigned DOI never changes. Therefore, it is an ideal medium for citing a document, particularly 'Articles in </w:t>
      </w:r>
      <w:r w:rsidRPr="00FB4E01">
        <w:rPr>
          <w:rFonts w:ascii="Verdana" w:eastAsia="Calibri" w:hAnsi="Verdana" w:cs="Verdana"/>
          <w:sz w:val="20"/>
          <w:szCs w:val="20"/>
          <w:lang w:val="en-US" w:eastAsia="en-US"/>
        </w:rPr>
        <w:lastRenderedPageBreak/>
        <w:t xml:space="preserve">press' because they have not yet received their full bibliographic information. Example of a correctly given DOI (in URL format; here an article in the journal </w:t>
      </w:r>
      <w:r w:rsidRPr="00FB4E01">
        <w:rPr>
          <w:rFonts w:ascii="Verdana" w:eastAsia="Calibri" w:hAnsi="Verdana" w:cs="Verdana-Italic"/>
          <w:i/>
          <w:iCs/>
          <w:sz w:val="20"/>
          <w:szCs w:val="20"/>
          <w:lang w:val="en-US" w:eastAsia="en-US"/>
        </w:rPr>
        <w:t>Physics Letters B</w:t>
      </w:r>
      <w:r w:rsidRPr="00FB4E01">
        <w:rPr>
          <w:rFonts w:ascii="Verdana" w:eastAsia="Calibri" w:hAnsi="Verdana" w:cs="Verdana"/>
          <w:sz w:val="20"/>
          <w:szCs w:val="20"/>
          <w:lang w:val="en-US" w:eastAsia="en-US"/>
        </w:rPr>
        <w:t>):</w:t>
      </w:r>
    </w:p>
    <w:p w14:paraId="48FE2766" w14:textId="77777777" w:rsidR="00FB4E01" w:rsidRPr="00FB4E01" w:rsidRDefault="006920E7"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hyperlink r:id="rId51" w:history="1">
        <w:r w:rsidR="00FB4E01" w:rsidRPr="00FB4E01">
          <w:rPr>
            <w:rFonts w:ascii="Verdana" w:eastAsia="Calibri" w:hAnsi="Verdana" w:cs="Verdana"/>
            <w:sz w:val="20"/>
            <w:szCs w:val="20"/>
            <w:u w:val="single"/>
            <w:lang w:val="en-US" w:eastAsia="en-US"/>
          </w:rPr>
          <w:t>http://dx.doi.org/10.1016/j.physletb.2010.09.059</w:t>
        </w:r>
      </w:hyperlink>
    </w:p>
    <w:p w14:paraId="593A571C"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When you use a DOI to create links to documents on the web, the DOIs are guaranteed never to change.</w:t>
      </w:r>
    </w:p>
    <w:p w14:paraId="2E2CABF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br/>
        <w:t>Online proof correction</w:t>
      </w:r>
    </w:p>
    <w:p w14:paraId="02CDA73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Corresponding authors will receive an e-mail with a link to our online proofing system, allowing annotation and correction of proofs online. The environment is similar to MS Word: in addition to editing text, you can also comment on figures/tables and answer questions from the Copy Editor. Web-based proofing provides a faster and less error-prone process by allowing you to directly type your corrections, eliminating the potential introduction of errors. </w:t>
      </w:r>
    </w:p>
    <w:p w14:paraId="2695320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If preferred, you can still choose to annotate and upload your edits on the PDF version. All instructions for proofing will be given in the e-mail we send to authors, including alternative methods to the online version and PDF.</w:t>
      </w:r>
    </w:p>
    <w:p w14:paraId="44AC840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We will do everything possible to get your article published quickly and accurately. Please use this proof only for checking the typesetting, editing, completeness and correctness of the text, tables and figures. Significant changes to the article as accepted for publication will only be considered at this stage with permission from the Editor. It is important to ensure that all corrections are sent back to us in one communication. Please check carefully before replying, as inclusion of any subsequent corrections cannot be guaranteed. Proofreading is solely your responsibility.</w:t>
      </w:r>
    </w:p>
    <w:p w14:paraId="29527A81"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 w:eastAsia="Calibri" w:hAnsi="Verdana" w:cs="Verdana"/>
          <w:sz w:val="20"/>
          <w:szCs w:val="20"/>
          <w:lang w:val="en-US" w:eastAsia="en-US"/>
        </w:rPr>
        <w:br/>
      </w:r>
      <w:r w:rsidRPr="00FB4E01">
        <w:rPr>
          <w:rFonts w:ascii="Verdana-BoldItalic" w:eastAsia="Calibri" w:hAnsi="Verdana-BoldItalic" w:cs="Verdana-BoldItalic"/>
          <w:b/>
          <w:bCs/>
          <w:i/>
          <w:iCs/>
          <w:szCs w:val="22"/>
          <w:lang w:val="en-US" w:eastAsia="en-US"/>
        </w:rPr>
        <w:t>Offprints</w:t>
      </w:r>
    </w:p>
    <w:p w14:paraId="5C327EE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The corresponding author, at no cost, will be provided with a personalized link providing 50 days free access to the final published version of the article on </w:t>
      </w:r>
      <w:proofErr w:type="spellStart"/>
      <w:r w:rsidRPr="00FB4E01">
        <w:rPr>
          <w:rFonts w:ascii="Verdana" w:eastAsia="Calibri" w:hAnsi="Verdana" w:cs="Verdana"/>
          <w:sz w:val="20"/>
          <w:szCs w:val="20"/>
          <w:lang w:val="en-US" w:eastAsia="en-US"/>
        </w:rPr>
        <w:t>ScienceDirect</w:t>
      </w:r>
      <w:proofErr w:type="spellEnd"/>
      <w:r w:rsidRPr="00FB4E01">
        <w:rPr>
          <w:rFonts w:ascii="Verdana" w:eastAsia="Calibri" w:hAnsi="Verdana" w:cs="Verdana"/>
          <w:sz w:val="20"/>
          <w:szCs w:val="20"/>
          <w:lang w:val="en-US" w:eastAsia="en-US"/>
        </w:rPr>
        <w:t xml:space="preserve">. This link can also be used for sharing via email and social networks. For an extra charge, paper offprints can be ordered via the offprint order form which is sent once the article is accepted for publication. Both corresponding and co-authors may order offprints at any time via Elsevier's </w:t>
      </w:r>
      <w:proofErr w:type="spellStart"/>
      <w:r w:rsidRPr="00FB4E01">
        <w:rPr>
          <w:rFonts w:ascii="Verdana" w:eastAsia="Calibri" w:hAnsi="Verdana" w:cs="Verdana"/>
          <w:sz w:val="20"/>
          <w:szCs w:val="20"/>
          <w:lang w:val="en-US" w:eastAsia="en-US"/>
        </w:rPr>
        <w:t>WebShop</w:t>
      </w:r>
      <w:proofErr w:type="spellEnd"/>
      <w:r w:rsidRPr="00FB4E01">
        <w:rPr>
          <w:rFonts w:ascii="Verdana" w:eastAsia="Calibri" w:hAnsi="Verdana" w:cs="Verdana"/>
          <w:sz w:val="20"/>
          <w:szCs w:val="20"/>
          <w:lang w:val="en-US" w:eastAsia="en-US"/>
        </w:rPr>
        <w:t xml:space="preserve"> (</w:t>
      </w:r>
      <w:hyperlink r:id="rId52" w:history="1">
        <w:r w:rsidRPr="00FB4E01">
          <w:rPr>
            <w:rFonts w:ascii="Verdana" w:eastAsia="Calibri" w:hAnsi="Verdana" w:cs="Verdana"/>
            <w:sz w:val="20"/>
            <w:szCs w:val="20"/>
            <w:u w:val="single"/>
            <w:lang w:val="en-US" w:eastAsia="en-US"/>
          </w:rPr>
          <w:t>http://webshop.elsevier.com/myarticleservices/offprints</w:t>
        </w:r>
      </w:hyperlink>
      <w:r w:rsidRPr="00FB4E01">
        <w:rPr>
          <w:rFonts w:ascii="Verdana" w:eastAsia="Calibri" w:hAnsi="Verdana" w:cs="Verdana"/>
          <w:sz w:val="20"/>
          <w:szCs w:val="20"/>
          <w:lang w:val="en-US" w:eastAsia="en-US"/>
        </w:rPr>
        <w:t>).</w:t>
      </w:r>
    </w:p>
    <w:p w14:paraId="183B4E2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Authors requiring printed copies of multiple articles may use Elsevier </w:t>
      </w:r>
      <w:proofErr w:type="spellStart"/>
      <w:r w:rsidRPr="00FB4E01">
        <w:rPr>
          <w:rFonts w:ascii="Verdana" w:eastAsia="Calibri" w:hAnsi="Verdana" w:cs="Verdana"/>
          <w:sz w:val="20"/>
          <w:szCs w:val="20"/>
          <w:lang w:val="en-US" w:eastAsia="en-US"/>
        </w:rPr>
        <w:t>WebShop's</w:t>
      </w:r>
      <w:proofErr w:type="spellEnd"/>
      <w:r w:rsidRPr="00FB4E01">
        <w:rPr>
          <w:rFonts w:ascii="Verdana" w:eastAsia="Calibri" w:hAnsi="Verdana" w:cs="Verdana"/>
          <w:sz w:val="20"/>
          <w:szCs w:val="20"/>
          <w:lang w:val="en-US" w:eastAsia="en-US"/>
        </w:rPr>
        <w:t xml:space="preserve"> 'Create Your Own Book' service to collate multiple articles within a single cover (</w:t>
      </w:r>
      <w:hyperlink r:id="rId53" w:history="1">
        <w:r w:rsidRPr="00FB4E01">
          <w:rPr>
            <w:rFonts w:ascii="Verdana" w:eastAsia="Calibri" w:hAnsi="Verdana" w:cs="Verdana"/>
            <w:sz w:val="20"/>
            <w:szCs w:val="20"/>
            <w:u w:val="single"/>
            <w:lang w:val="en-US" w:eastAsia="en-US"/>
          </w:rPr>
          <w:t>http://webshop.elsevier.com/myarticleservices/booklets</w:t>
        </w:r>
      </w:hyperlink>
      <w:r w:rsidRPr="00FB4E01">
        <w:rPr>
          <w:rFonts w:ascii="Verdana" w:eastAsia="Calibri" w:hAnsi="Verdana" w:cs="Verdana"/>
          <w:sz w:val="20"/>
          <w:szCs w:val="20"/>
          <w:lang w:val="en-US" w:eastAsia="en-US"/>
        </w:rPr>
        <w:t>).</w:t>
      </w:r>
    </w:p>
    <w:p w14:paraId="363290D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4CEADA40"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Italic" w:eastAsia="Calibri" w:hAnsi="Verdana-BoldItalic" w:cs="Verdana-BoldItalic"/>
          <w:b/>
          <w:bCs/>
          <w:i/>
          <w:iCs/>
          <w:szCs w:val="22"/>
          <w:lang w:val="en-US" w:eastAsia="en-US"/>
        </w:rPr>
      </w:pPr>
      <w:r w:rsidRPr="00FB4E01">
        <w:rPr>
          <w:rFonts w:ascii="Verdana-BoldItalic" w:eastAsia="Calibri" w:hAnsi="Verdana-BoldItalic" w:cs="Verdana-BoldItalic"/>
          <w:b/>
          <w:bCs/>
          <w:i/>
          <w:iCs/>
          <w:szCs w:val="22"/>
          <w:lang w:val="en-US" w:eastAsia="en-US"/>
        </w:rPr>
        <w:t>Further Information</w:t>
      </w:r>
    </w:p>
    <w:p w14:paraId="68C39CC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Bold" w:eastAsia="Calibri" w:hAnsi="Verdana-Bold" w:cs="Verdana-Bold"/>
          <w:b/>
          <w:bCs/>
          <w:sz w:val="20"/>
          <w:szCs w:val="20"/>
          <w:lang w:val="en-US" w:eastAsia="en-US"/>
        </w:rPr>
        <w:t>Authors in Japan</w:t>
      </w:r>
      <w:r w:rsidRPr="00FB4E01">
        <w:rPr>
          <w:rFonts w:ascii="Verdana" w:eastAsia="Calibri" w:hAnsi="Verdana" w:cs="Verdana"/>
          <w:sz w:val="20"/>
          <w:szCs w:val="20"/>
          <w:lang w:val="en-US" w:eastAsia="en-US"/>
        </w:rPr>
        <w:t>: please note that upon request, and if the author feels that it is necessary, Elsevier Japan will provide authors with a list of specialists who can check and improve the English of their manuscript (</w:t>
      </w:r>
      <w:r w:rsidRPr="00FB4E01">
        <w:rPr>
          <w:rFonts w:ascii="Verdana" w:eastAsia="Calibri" w:hAnsi="Verdana" w:cs="Verdana-Italic"/>
          <w:i/>
          <w:iCs/>
          <w:sz w:val="20"/>
          <w:szCs w:val="20"/>
          <w:lang w:val="en-US" w:eastAsia="en-US"/>
        </w:rPr>
        <w:t>before submission</w:t>
      </w:r>
      <w:r w:rsidRPr="00FB4E01">
        <w:rPr>
          <w:rFonts w:ascii="Verdana" w:eastAsia="Calibri" w:hAnsi="Verdana" w:cs="Verdana"/>
          <w:sz w:val="20"/>
          <w:szCs w:val="20"/>
          <w:lang w:val="en-US" w:eastAsia="en-US"/>
        </w:rPr>
        <w:t>). Please contact our Tokyo office: Elsevier K.K., 4F Higashi-</w:t>
      </w:r>
      <w:proofErr w:type="spellStart"/>
      <w:r w:rsidRPr="00FB4E01">
        <w:rPr>
          <w:rFonts w:ascii="Verdana" w:eastAsia="Calibri" w:hAnsi="Verdana" w:cs="Verdana"/>
          <w:sz w:val="20"/>
          <w:szCs w:val="20"/>
          <w:lang w:val="en-US" w:eastAsia="en-US"/>
        </w:rPr>
        <w:t>Azabu</w:t>
      </w:r>
      <w:proofErr w:type="spellEnd"/>
      <w:r w:rsidRPr="00FB4E01">
        <w:rPr>
          <w:rFonts w:ascii="Verdana" w:eastAsia="Calibri" w:hAnsi="Verdana" w:cs="Verdana"/>
          <w:sz w:val="20"/>
          <w:szCs w:val="20"/>
          <w:lang w:val="en-US" w:eastAsia="en-US"/>
        </w:rPr>
        <w:t xml:space="preserve">, 1- </w:t>
      </w:r>
      <w:proofErr w:type="spellStart"/>
      <w:r w:rsidRPr="00FB4E01">
        <w:rPr>
          <w:rFonts w:ascii="Verdana" w:eastAsia="Calibri" w:hAnsi="Verdana" w:cs="Verdana"/>
          <w:sz w:val="20"/>
          <w:szCs w:val="20"/>
          <w:lang w:val="en-US" w:eastAsia="en-US"/>
        </w:rPr>
        <w:t>Chome</w:t>
      </w:r>
      <w:proofErr w:type="spellEnd"/>
      <w:r w:rsidRPr="00FB4E01">
        <w:rPr>
          <w:rFonts w:ascii="Verdana" w:eastAsia="Calibri" w:hAnsi="Verdana" w:cs="Verdana"/>
          <w:sz w:val="20"/>
          <w:szCs w:val="20"/>
          <w:lang w:val="en-US" w:eastAsia="en-US"/>
        </w:rPr>
        <w:t xml:space="preserve"> </w:t>
      </w:r>
      <w:proofErr w:type="spellStart"/>
      <w:r w:rsidRPr="00FB4E01">
        <w:rPr>
          <w:rFonts w:ascii="Verdana" w:eastAsia="Calibri" w:hAnsi="Verdana" w:cs="Verdana"/>
          <w:sz w:val="20"/>
          <w:szCs w:val="20"/>
          <w:lang w:val="en-US" w:eastAsia="en-US"/>
        </w:rPr>
        <w:t>Bldg</w:t>
      </w:r>
      <w:proofErr w:type="spellEnd"/>
      <w:r w:rsidRPr="00FB4E01">
        <w:rPr>
          <w:rFonts w:ascii="Verdana" w:eastAsia="Calibri" w:hAnsi="Verdana" w:cs="Verdana"/>
          <w:sz w:val="20"/>
          <w:szCs w:val="20"/>
          <w:lang w:val="en-US" w:eastAsia="en-US"/>
        </w:rPr>
        <w:t>, 1-9-15 Higashi-</w:t>
      </w:r>
      <w:proofErr w:type="spellStart"/>
      <w:r w:rsidRPr="00FB4E01">
        <w:rPr>
          <w:rFonts w:ascii="Verdana" w:eastAsia="Calibri" w:hAnsi="Verdana" w:cs="Verdana"/>
          <w:sz w:val="20"/>
          <w:szCs w:val="20"/>
          <w:lang w:val="en-US" w:eastAsia="en-US"/>
        </w:rPr>
        <w:t>Azabu</w:t>
      </w:r>
      <w:proofErr w:type="spellEnd"/>
      <w:r w:rsidRPr="00FB4E01">
        <w:rPr>
          <w:rFonts w:ascii="Verdana" w:eastAsia="Calibri" w:hAnsi="Verdana" w:cs="Verdana"/>
          <w:sz w:val="20"/>
          <w:szCs w:val="20"/>
          <w:lang w:val="en-US" w:eastAsia="en-US"/>
        </w:rPr>
        <w:t>, Minato-ku, Tokyo 106-0044, Japan. Tel: (+81)(3)5561-5037; Fax: (+81) (3) 5561 5047</w:t>
      </w:r>
    </w:p>
    <w:p w14:paraId="336305E4"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p>
    <w:p w14:paraId="78E5D61D"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Bold" w:eastAsia="Calibri" w:hAnsi="Verdana-Bold" w:cs="Verdana-Bold"/>
          <w:b/>
          <w:bCs/>
          <w:szCs w:val="22"/>
          <w:lang w:val="en-US" w:eastAsia="en-US"/>
        </w:rPr>
      </w:pPr>
      <w:r w:rsidRPr="00FB4E01">
        <w:rPr>
          <w:rFonts w:ascii="Verdana-Bold" w:eastAsia="Calibri" w:hAnsi="Verdana-Bold" w:cs="Verdana-Bold"/>
          <w:b/>
          <w:bCs/>
          <w:szCs w:val="22"/>
          <w:lang w:val="en-US" w:eastAsia="en-US"/>
        </w:rPr>
        <w:t>AUTHOR INQUIRIES</w:t>
      </w:r>
    </w:p>
    <w:p w14:paraId="2454120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You can track your submitted article at </w:t>
      </w:r>
      <w:r w:rsidRPr="00FB4E01">
        <w:rPr>
          <w:rFonts w:ascii="Verdana" w:eastAsia="Calibri" w:hAnsi="Verdana" w:cs="Verdana"/>
          <w:sz w:val="20"/>
          <w:szCs w:val="20"/>
          <w:u w:val="single"/>
          <w:lang w:val="en-US" w:eastAsia="en-US"/>
        </w:rPr>
        <w:t>https://www.elsevier.com/track-submission</w:t>
      </w:r>
      <w:r w:rsidRPr="00FB4E01">
        <w:rPr>
          <w:rFonts w:ascii="Verdana" w:eastAsia="Calibri" w:hAnsi="Verdana" w:cs="Verdana"/>
          <w:sz w:val="20"/>
          <w:szCs w:val="20"/>
          <w:lang w:val="en-US" w:eastAsia="en-US"/>
        </w:rPr>
        <w:t>.</w:t>
      </w:r>
    </w:p>
    <w:p w14:paraId="48440A7B"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jc w:val="left"/>
        <w:rPr>
          <w:rFonts w:ascii="Verdana" w:eastAsia="Calibri" w:hAnsi="Verdana" w:cs="Verdana"/>
          <w:sz w:val="20"/>
          <w:szCs w:val="20"/>
          <w:lang w:val="en-US" w:eastAsia="en-US"/>
        </w:rPr>
      </w:pPr>
      <w:r w:rsidRPr="00FB4E01">
        <w:rPr>
          <w:rFonts w:ascii="Verdana" w:eastAsia="Calibri" w:hAnsi="Verdana" w:cs="Verdana"/>
          <w:sz w:val="20"/>
          <w:szCs w:val="20"/>
          <w:lang w:val="en-US" w:eastAsia="en-US"/>
        </w:rPr>
        <w:t xml:space="preserve">You can track your accepted article at </w:t>
      </w:r>
      <w:r w:rsidRPr="00FB4E01">
        <w:rPr>
          <w:rFonts w:ascii="Verdana" w:eastAsia="Calibri" w:hAnsi="Verdana" w:cs="Verdana"/>
          <w:sz w:val="20"/>
          <w:szCs w:val="20"/>
          <w:u w:val="single"/>
          <w:lang w:val="en-US" w:eastAsia="en-US"/>
        </w:rPr>
        <w:t>https://www.elsevier.com/trackarticle</w:t>
      </w:r>
      <w:r w:rsidRPr="00FB4E01">
        <w:rPr>
          <w:rFonts w:ascii="Verdana" w:eastAsia="Calibri" w:hAnsi="Verdana" w:cs="Verdana"/>
          <w:sz w:val="20"/>
          <w:szCs w:val="20"/>
          <w:lang w:val="en-US" w:eastAsia="en-US"/>
        </w:rPr>
        <w:t xml:space="preserve">. You are also welcome to contact Customer Support via </w:t>
      </w:r>
      <w:hyperlink r:id="rId54" w:history="1">
        <w:r w:rsidRPr="00FB4E01">
          <w:rPr>
            <w:rFonts w:ascii="Verdana" w:eastAsia="Calibri" w:hAnsi="Verdana" w:cs="Verdana"/>
            <w:sz w:val="20"/>
            <w:szCs w:val="20"/>
            <w:u w:val="single"/>
            <w:lang w:val="en-US" w:eastAsia="en-US"/>
          </w:rPr>
          <w:t>http://support.elsevier.com</w:t>
        </w:r>
      </w:hyperlink>
      <w:r w:rsidRPr="00FB4E01">
        <w:rPr>
          <w:rFonts w:ascii="Verdana" w:eastAsia="Calibri" w:hAnsi="Verdana" w:cs="Verdana"/>
          <w:sz w:val="20"/>
          <w:szCs w:val="20"/>
          <w:lang w:val="en-US" w:eastAsia="en-US"/>
        </w:rPr>
        <w:t>.</w:t>
      </w:r>
    </w:p>
    <w:p w14:paraId="7552E127"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autoSpaceDE w:val="0"/>
        <w:autoSpaceDN w:val="0"/>
        <w:adjustRightInd w:val="0"/>
        <w:ind w:left="3540"/>
        <w:jc w:val="left"/>
        <w:rPr>
          <w:rFonts w:ascii="Verdana" w:eastAsia="Calibri" w:hAnsi="Verdana" w:cs="Verdana"/>
          <w:sz w:val="20"/>
          <w:szCs w:val="20"/>
          <w:lang w:val="en-US" w:eastAsia="en-US"/>
        </w:rPr>
      </w:pPr>
      <w:r w:rsidRPr="00FB4E01">
        <w:rPr>
          <w:rFonts w:ascii="Verdana" w:eastAsia="Calibri" w:hAnsi="Verdana" w:cs="Verdana"/>
          <w:sz w:val="18"/>
          <w:szCs w:val="18"/>
          <w:lang w:val="en-US" w:eastAsia="en-US"/>
        </w:rPr>
        <w:t xml:space="preserve">© Copyright 2014 Elsevier | </w:t>
      </w:r>
      <w:hyperlink r:id="rId55" w:history="1">
        <w:r w:rsidRPr="00FB4E01">
          <w:rPr>
            <w:rFonts w:ascii="Verdana" w:eastAsia="Calibri" w:hAnsi="Verdana" w:cs="Verdana"/>
            <w:sz w:val="18"/>
            <w:szCs w:val="18"/>
            <w:u w:val="single"/>
            <w:lang w:val="en-US" w:eastAsia="en-US"/>
          </w:rPr>
          <w:t>http://www.elsevier.com</w:t>
        </w:r>
      </w:hyperlink>
    </w:p>
    <w:p w14:paraId="07949885" w14:textId="77777777" w:rsidR="00FB4E01" w:rsidRPr="00FB4E01" w:rsidRDefault="00FB4E01" w:rsidP="00FB4E01">
      <w:pPr>
        <w:tabs>
          <w:tab w:val="clear" w:pos="284"/>
          <w:tab w:val="clear" w:pos="567"/>
          <w:tab w:val="clear" w:pos="851"/>
          <w:tab w:val="clear" w:pos="1134"/>
          <w:tab w:val="clear" w:pos="1560"/>
          <w:tab w:val="clear" w:pos="2127"/>
          <w:tab w:val="clear" w:pos="2410"/>
          <w:tab w:val="clear" w:pos="8505"/>
        </w:tabs>
        <w:spacing w:after="200" w:line="276" w:lineRule="auto"/>
        <w:jc w:val="left"/>
        <w:rPr>
          <w:rFonts w:eastAsia="Calibri" w:cs="Times New Roman"/>
          <w:szCs w:val="22"/>
          <w:lang w:val="en-US" w:eastAsia="en-US"/>
        </w:rPr>
      </w:pPr>
    </w:p>
    <w:p w14:paraId="6AABE9D3" w14:textId="77777777" w:rsidR="003C2E5A" w:rsidRPr="003C2E5A" w:rsidRDefault="003C2E5A" w:rsidP="003E2FBA">
      <w:pPr>
        <w:tabs>
          <w:tab w:val="clear" w:pos="284"/>
          <w:tab w:val="clear" w:pos="567"/>
          <w:tab w:val="clear" w:pos="851"/>
          <w:tab w:val="clear" w:pos="1134"/>
          <w:tab w:val="clear" w:pos="1560"/>
          <w:tab w:val="clear" w:pos="2127"/>
          <w:tab w:val="clear" w:pos="2410"/>
          <w:tab w:val="clear" w:pos="8505"/>
        </w:tabs>
        <w:spacing w:after="200" w:line="276" w:lineRule="auto"/>
        <w:rPr>
          <w:lang w:val="en-US"/>
        </w:rPr>
      </w:pPr>
    </w:p>
    <w:sectPr w:rsidR="003C2E5A" w:rsidRPr="003C2E5A" w:rsidSect="00905494">
      <w:headerReference w:type="default" r:id="rId56"/>
      <w:pgSz w:w="11901" w:h="16834"/>
      <w:pgMar w:top="1418" w:right="1418" w:bottom="1418" w:left="1418"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076E65" w15:done="0"/>
  <w15:commentEx w15:paraId="7C8F86F6" w15:done="0"/>
  <w15:commentEx w15:paraId="39F9EE6B" w15:done="0"/>
  <w15:commentEx w15:paraId="75529327" w15:done="0"/>
  <w15:commentEx w15:paraId="2F866553" w15:paraIdParent="75529327" w15:done="0"/>
  <w15:commentEx w15:paraId="7BE43CAB" w15:done="0"/>
  <w15:commentEx w15:paraId="7DF875E9" w15:done="0"/>
  <w15:commentEx w15:paraId="5353517F" w15:paraIdParent="7DF875E9" w15:done="0"/>
  <w15:commentEx w15:paraId="2B27CC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69F93" w14:textId="77777777" w:rsidR="00405F22" w:rsidRDefault="00405F22" w:rsidP="00A14E35">
      <w:r>
        <w:separator/>
      </w:r>
    </w:p>
  </w:endnote>
  <w:endnote w:type="continuationSeparator" w:id="0">
    <w:p w14:paraId="58E3C2B4" w14:textId="77777777" w:rsidR="00405F22" w:rsidRDefault="00405F22" w:rsidP="00A14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Su">
    <w:altName w:val="SimSun"/>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GaramondITCbyBT-Book">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BoldItalic">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664CC" w14:textId="77777777" w:rsidR="006920E7" w:rsidRDefault="006920E7">
    <w:pPr>
      <w:pStyle w:val="Voettekst"/>
      <w:jc w:val="center"/>
    </w:pPr>
  </w:p>
  <w:p w14:paraId="66C5D108" w14:textId="77777777" w:rsidR="006920E7" w:rsidRDefault="006920E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688481"/>
      <w:docPartObj>
        <w:docPartGallery w:val="Page Numbers (Bottom of Page)"/>
        <w:docPartUnique/>
      </w:docPartObj>
    </w:sdtPr>
    <w:sdtContent>
      <w:p w14:paraId="3C84506E" w14:textId="312249A1" w:rsidR="006920E7" w:rsidRDefault="006920E7">
        <w:pPr>
          <w:pStyle w:val="Voettekst"/>
          <w:jc w:val="right"/>
        </w:pPr>
        <w:r>
          <w:fldChar w:fldCharType="begin"/>
        </w:r>
        <w:r w:rsidRPr="005F386F">
          <w:instrText>PAGE   \* MERGEFORMAT</w:instrText>
        </w:r>
        <w:r>
          <w:fldChar w:fldCharType="separate"/>
        </w:r>
        <w:r w:rsidR="003614E1" w:rsidRPr="003614E1">
          <w:rPr>
            <w:noProof/>
            <w:lang w:val="nl-NL"/>
          </w:rPr>
          <w:t>IV</w:t>
        </w:r>
        <w:r>
          <w:fldChar w:fldCharType="end"/>
        </w:r>
      </w:p>
    </w:sdtContent>
  </w:sdt>
  <w:p w14:paraId="0AEC4558" w14:textId="77777777" w:rsidR="006920E7" w:rsidRDefault="006920E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54960"/>
      <w:docPartObj>
        <w:docPartGallery w:val="Page Numbers (Bottom of Page)"/>
        <w:docPartUnique/>
      </w:docPartObj>
    </w:sdtPr>
    <w:sdtContent>
      <w:p w14:paraId="0883FBA8" w14:textId="7CAFD8C8" w:rsidR="006920E7" w:rsidRDefault="006920E7">
        <w:pPr>
          <w:pStyle w:val="Voettekst"/>
          <w:jc w:val="right"/>
        </w:pPr>
        <w:r>
          <w:fldChar w:fldCharType="begin"/>
        </w:r>
        <w:r>
          <w:instrText>PAGE   \* MERGEFORMAT</w:instrText>
        </w:r>
        <w:r>
          <w:fldChar w:fldCharType="separate"/>
        </w:r>
        <w:r w:rsidR="003614E1" w:rsidRPr="003614E1">
          <w:rPr>
            <w:noProof/>
            <w:lang w:val="nl-NL"/>
          </w:rPr>
          <w:t>II</w:t>
        </w:r>
        <w:r>
          <w:fldChar w:fldCharType="end"/>
        </w:r>
      </w:p>
    </w:sdtContent>
  </w:sdt>
  <w:p w14:paraId="5F404193" w14:textId="77777777" w:rsidR="006920E7" w:rsidRDefault="006920E7">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326A6" w14:textId="3DAB975C" w:rsidR="006920E7" w:rsidRDefault="006920E7">
    <w:pPr>
      <w:pStyle w:val="Voettekst"/>
      <w:jc w:val="right"/>
    </w:pPr>
  </w:p>
  <w:p w14:paraId="2FEE7962" w14:textId="77777777" w:rsidR="006920E7" w:rsidRDefault="006920E7">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198376"/>
      <w:docPartObj>
        <w:docPartGallery w:val="Page Numbers (Bottom of Page)"/>
        <w:docPartUnique/>
      </w:docPartObj>
    </w:sdtPr>
    <w:sdtContent>
      <w:p w14:paraId="60A2B3A3" w14:textId="77777777" w:rsidR="006920E7" w:rsidRDefault="006920E7">
        <w:pPr>
          <w:pStyle w:val="Voettekst"/>
          <w:jc w:val="right"/>
        </w:pPr>
        <w:r>
          <w:fldChar w:fldCharType="begin"/>
        </w:r>
        <w:r>
          <w:instrText>PAGE   \* MERGEFORMAT</w:instrText>
        </w:r>
        <w:r>
          <w:fldChar w:fldCharType="separate"/>
        </w:r>
        <w:r w:rsidR="003614E1" w:rsidRPr="003614E1">
          <w:rPr>
            <w:noProof/>
            <w:lang w:val="nl-NL"/>
          </w:rPr>
          <w:t>1</w:t>
        </w:r>
        <w:r>
          <w:fldChar w:fldCharType="end"/>
        </w:r>
      </w:p>
    </w:sdtContent>
  </w:sdt>
  <w:p w14:paraId="5CD25A31" w14:textId="77777777" w:rsidR="006920E7" w:rsidRDefault="006920E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2EB8A" w14:textId="77777777" w:rsidR="00405F22" w:rsidRDefault="00405F22" w:rsidP="00A14E35">
      <w:r>
        <w:separator/>
      </w:r>
    </w:p>
  </w:footnote>
  <w:footnote w:type="continuationSeparator" w:id="0">
    <w:p w14:paraId="1391F487" w14:textId="77777777" w:rsidR="00405F22" w:rsidRDefault="00405F22" w:rsidP="00A14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2E27" w14:textId="77777777" w:rsidR="006920E7" w:rsidRPr="00641432" w:rsidRDefault="006920E7" w:rsidP="00641432">
    <w:pPr>
      <w:pStyle w:val="Voettekst"/>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170AD"/>
    <w:multiLevelType w:val="hybridMultilevel"/>
    <w:tmpl w:val="3F40E5A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857116E"/>
    <w:multiLevelType w:val="hybridMultilevel"/>
    <w:tmpl w:val="B7DA957E"/>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2C5511E"/>
    <w:multiLevelType w:val="hybridMultilevel"/>
    <w:tmpl w:val="D7823A02"/>
    <w:lvl w:ilvl="0" w:tplc="CE2645D2">
      <w:start w:val="4"/>
      <w:numFmt w:val="bullet"/>
      <w:lvlText w:val="-"/>
      <w:lvlJc w:val="left"/>
      <w:pPr>
        <w:ind w:left="720" w:hanging="360"/>
      </w:pPr>
      <w:rPr>
        <w:rFonts w:ascii="Calibri" w:eastAsia="Times New Roman"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523DEC"/>
    <w:multiLevelType w:val="hybridMultilevel"/>
    <w:tmpl w:val="95AEA924"/>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505229B"/>
    <w:multiLevelType w:val="hybridMultilevel"/>
    <w:tmpl w:val="B9A0AB0A"/>
    <w:lvl w:ilvl="0" w:tplc="31281324">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6224CB4"/>
    <w:multiLevelType w:val="hybridMultilevel"/>
    <w:tmpl w:val="4538ED3C"/>
    <w:lvl w:ilvl="0" w:tplc="B996482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76C43F4"/>
    <w:multiLevelType w:val="hybridMultilevel"/>
    <w:tmpl w:val="F6E8B672"/>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AF262C7"/>
    <w:multiLevelType w:val="hybridMultilevel"/>
    <w:tmpl w:val="F5067B42"/>
    <w:lvl w:ilvl="0" w:tplc="A41EBC14">
      <w:start w:val="7"/>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CC43620"/>
    <w:multiLevelType w:val="hybridMultilevel"/>
    <w:tmpl w:val="3850CB68"/>
    <w:lvl w:ilvl="0" w:tplc="B63A52B6">
      <w:numFmt w:val="bullet"/>
      <w:lvlText w:val=""/>
      <w:lvlJc w:val="left"/>
      <w:pPr>
        <w:ind w:left="644" w:hanging="360"/>
      </w:pPr>
      <w:rPr>
        <w:rFonts w:ascii="Symbol" w:eastAsia="Times New Roman" w:hAnsi="Symbol" w:cs="Aria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9">
    <w:nsid w:val="1EFC73D8"/>
    <w:multiLevelType w:val="singleLevel"/>
    <w:tmpl w:val="0D109240"/>
    <w:lvl w:ilvl="0">
      <w:start w:val="7"/>
      <w:numFmt w:val="upperLetter"/>
      <w:lvlText w:val="%1."/>
      <w:lvlJc w:val="left"/>
      <w:pPr>
        <w:tabs>
          <w:tab w:val="num" w:pos="645"/>
        </w:tabs>
        <w:ind w:left="645" w:hanging="360"/>
      </w:pPr>
      <w:rPr>
        <w:rFonts w:hint="default"/>
        <w:b/>
        <w:i/>
      </w:rPr>
    </w:lvl>
  </w:abstractNum>
  <w:abstractNum w:abstractNumId="10">
    <w:nsid w:val="26FD0043"/>
    <w:multiLevelType w:val="hybridMultilevel"/>
    <w:tmpl w:val="7BC46C0E"/>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95A1DC8"/>
    <w:multiLevelType w:val="hybridMultilevel"/>
    <w:tmpl w:val="941426A8"/>
    <w:lvl w:ilvl="0" w:tplc="9F864716">
      <w:start w:val="7"/>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2262480"/>
    <w:multiLevelType w:val="hybridMultilevel"/>
    <w:tmpl w:val="03505C0C"/>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33660DDE"/>
    <w:multiLevelType w:val="hybridMultilevel"/>
    <w:tmpl w:val="45F898EA"/>
    <w:lvl w:ilvl="0" w:tplc="59E2930E">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49F6ED0"/>
    <w:multiLevelType w:val="hybridMultilevel"/>
    <w:tmpl w:val="79868D26"/>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6087DA4"/>
    <w:multiLevelType w:val="singleLevel"/>
    <w:tmpl w:val="8FFE84A0"/>
    <w:lvl w:ilvl="0">
      <w:numFmt w:val="bullet"/>
      <w:lvlText w:val="-"/>
      <w:lvlJc w:val="left"/>
      <w:pPr>
        <w:tabs>
          <w:tab w:val="num" w:pos="780"/>
        </w:tabs>
        <w:ind w:left="780" w:hanging="360"/>
      </w:pPr>
      <w:rPr>
        <w:rFonts w:ascii="Times New Roman" w:hAnsi="Times New Roman" w:hint="default"/>
      </w:rPr>
    </w:lvl>
  </w:abstractNum>
  <w:abstractNum w:abstractNumId="16">
    <w:nsid w:val="361925F9"/>
    <w:multiLevelType w:val="hybridMultilevel"/>
    <w:tmpl w:val="1E6EAADA"/>
    <w:lvl w:ilvl="0" w:tplc="F29618AE">
      <w:start w:val="2"/>
      <w:numFmt w:val="lowerLetter"/>
      <w:lvlText w:val="%1)"/>
      <w:lvlJc w:val="left"/>
      <w:pPr>
        <w:tabs>
          <w:tab w:val="num" w:pos="1429"/>
        </w:tabs>
        <w:ind w:left="1429" w:hanging="360"/>
      </w:pPr>
      <w:rPr>
        <w:rFonts w:hint="default"/>
      </w:rPr>
    </w:lvl>
    <w:lvl w:ilvl="1" w:tplc="08130019" w:tentative="1">
      <w:start w:val="1"/>
      <w:numFmt w:val="lowerLetter"/>
      <w:lvlText w:val="%2."/>
      <w:lvlJc w:val="left"/>
      <w:pPr>
        <w:tabs>
          <w:tab w:val="num" w:pos="2149"/>
        </w:tabs>
        <w:ind w:left="2149" w:hanging="360"/>
      </w:pPr>
    </w:lvl>
    <w:lvl w:ilvl="2" w:tplc="0813001B" w:tentative="1">
      <w:start w:val="1"/>
      <w:numFmt w:val="lowerRoman"/>
      <w:lvlText w:val="%3."/>
      <w:lvlJc w:val="right"/>
      <w:pPr>
        <w:tabs>
          <w:tab w:val="num" w:pos="2869"/>
        </w:tabs>
        <w:ind w:left="2869" w:hanging="180"/>
      </w:pPr>
    </w:lvl>
    <w:lvl w:ilvl="3" w:tplc="0813000F" w:tentative="1">
      <w:start w:val="1"/>
      <w:numFmt w:val="decimal"/>
      <w:lvlText w:val="%4."/>
      <w:lvlJc w:val="left"/>
      <w:pPr>
        <w:tabs>
          <w:tab w:val="num" w:pos="3589"/>
        </w:tabs>
        <w:ind w:left="3589" w:hanging="360"/>
      </w:pPr>
    </w:lvl>
    <w:lvl w:ilvl="4" w:tplc="08130019" w:tentative="1">
      <w:start w:val="1"/>
      <w:numFmt w:val="lowerLetter"/>
      <w:lvlText w:val="%5."/>
      <w:lvlJc w:val="left"/>
      <w:pPr>
        <w:tabs>
          <w:tab w:val="num" w:pos="4309"/>
        </w:tabs>
        <w:ind w:left="4309" w:hanging="360"/>
      </w:pPr>
    </w:lvl>
    <w:lvl w:ilvl="5" w:tplc="0813001B" w:tentative="1">
      <w:start w:val="1"/>
      <w:numFmt w:val="lowerRoman"/>
      <w:lvlText w:val="%6."/>
      <w:lvlJc w:val="right"/>
      <w:pPr>
        <w:tabs>
          <w:tab w:val="num" w:pos="5029"/>
        </w:tabs>
        <w:ind w:left="5029" w:hanging="180"/>
      </w:pPr>
    </w:lvl>
    <w:lvl w:ilvl="6" w:tplc="0813000F" w:tentative="1">
      <w:start w:val="1"/>
      <w:numFmt w:val="decimal"/>
      <w:lvlText w:val="%7."/>
      <w:lvlJc w:val="left"/>
      <w:pPr>
        <w:tabs>
          <w:tab w:val="num" w:pos="5749"/>
        </w:tabs>
        <w:ind w:left="5749" w:hanging="360"/>
      </w:pPr>
    </w:lvl>
    <w:lvl w:ilvl="7" w:tplc="08130019" w:tentative="1">
      <w:start w:val="1"/>
      <w:numFmt w:val="lowerLetter"/>
      <w:lvlText w:val="%8."/>
      <w:lvlJc w:val="left"/>
      <w:pPr>
        <w:tabs>
          <w:tab w:val="num" w:pos="6469"/>
        </w:tabs>
        <w:ind w:left="6469" w:hanging="360"/>
      </w:pPr>
    </w:lvl>
    <w:lvl w:ilvl="8" w:tplc="0813001B" w:tentative="1">
      <w:start w:val="1"/>
      <w:numFmt w:val="lowerRoman"/>
      <w:lvlText w:val="%9."/>
      <w:lvlJc w:val="right"/>
      <w:pPr>
        <w:tabs>
          <w:tab w:val="num" w:pos="7189"/>
        </w:tabs>
        <w:ind w:left="7189" w:hanging="180"/>
      </w:pPr>
    </w:lvl>
  </w:abstractNum>
  <w:abstractNum w:abstractNumId="17">
    <w:nsid w:val="378F32D7"/>
    <w:multiLevelType w:val="hybridMultilevel"/>
    <w:tmpl w:val="4C5CF076"/>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B2C38E7"/>
    <w:multiLevelType w:val="hybridMultilevel"/>
    <w:tmpl w:val="51FE0454"/>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FD9343C"/>
    <w:multiLevelType w:val="hybridMultilevel"/>
    <w:tmpl w:val="3746D2BC"/>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14A681C"/>
    <w:multiLevelType w:val="hybridMultilevel"/>
    <w:tmpl w:val="95A8D3A0"/>
    <w:lvl w:ilvl="0" w:tplc="59E2930E">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34C7739"/>
    <w:multiLevelType w:val="hybridMultilevel"/>
    <w:tmpl w:val="3DAA0474"/>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7490F00"/>
    <w:multiLevelType w:val="hybridMultilevel"/>
    <w:tmpl w:val="1FCE72FA"/>
    <w:lvl w:ilvl="0" w:tplc="59E2930E">
      <w:numFmt w:val="bullet"/>
      <w:lvlText w:val="-"/>
      <w:lvlJc w:val="left"/>
      <w:pPr>
        <w:ind w:left="1440" w:hanging="360"/>
      </w:pPr>
      <w:rPr>
        <w:rFonts w:ascii="Calibri" w:eastAsia="Times New Roman"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nsid w:val="48214BB0"/>
    <w:multiLevelType w:val="hybridMultilevel"/>
    <w:tmpl w:val="838AA7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4A77692F"/>
    <w:multiLevelType w:val="hybridMultilevel"/>
    <w:tmpl w:val="ED0EC9F6"/>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10B4B9E"/>
    <w:multiLevelType w:val="hybridMultilevel"/>
    <w:tmpl w:val="66A89F7A"/>
    <w:lvl w:ilvl="0" w:tplc="59E2930E">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1E6370C"/>
    <w:multiLevelType w:val="singleLevel"/>
    <w:tmpl w:val="BA8894A0"/>
    <w:lvl w:ilvl="0">
      <w:start w:val="3001"/>
      <w:numFmt w:val="bullet"/>
      <w:lvlText w:val="-"/>
      <w:lvlJc w:val="left"/>
      <w:pPr>
        <w:tabs>
          <w:tab w:val="num" w:pos="360"/>
        </w:tabs>
        <w:ind w:left="360" w:hanging="360"/>
      </w:pPr>
      <w:rPr>
        <w:rFonts w:ascii="Times New Roman" w:hAnsi="Times New Roman" w:hint="default"/>
      </w:rPr>
    </w:lvl>
  </w:abstractNum>
  <w:abstractNum w:abstractNumId="27">
    <w:nsid w:val="53DD0DCA"/>
    <w:multiLevelType w:val="hybridMultilevel"/>
    <w:tmpl w:val="43E62D26"/>
    <w:lvl w:ilvl="0" w:tplc="02AA9BD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88C3D26"/>
    <w:multiLevelType w:val="hybridMultilevel"/>
    <w:tmpl w:val="A5D8D586"/>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B422C4E"/>
    <w:multiLevelType w:val="hybridMultilevel"/>
    <w:tmpl w:val="D34A4AD0"/>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37D6F24"/>
    <w:multiLevelType w:val="hybridMultilevel"/>
    <w:tmpl w:val="0DC491A4"/>
    <w:lvl w:ilvl="0" w:tplc="B63A52B6">
      <w:numFmt w:val="bullet"/>
      <w:lvlText w:val=""/>
      <w:lvlJc w:val="left"/>
      <w:pPr>
        <w:ind w:left="644" w:hanging="360"/>
      </w:pPr>
      <w:rPr>
        <w:rFonts w:ascii="Symbol" w:eastAsia="Times New Roman" w:hAnsi="Symbol" w:cs="Aria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1">
    <w:nsid w:val="645C6824"/>
    <w:multiLevelType w:val="hybridMultilevel"/>
    <w:tmpl w:val="88186B9C"/>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57202D6"/>
    <w:multiLevelType w:val="hybridMultilevel"/>
    <w:tmpl w:val="14E6346E"/>
    <w:lvl w:ilvl="0" w:tplc="E6A6215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657623AE"/>
    <w:multiLevelType w:val="hybridMultilevel"/>
    <w:tmpl w:val="BACCCF82"/>
    <w:lvl w:ilvl="0" w:tplc="B63A52B6">
      <w:numFmt w:val="bullet"/>
      <w:lvlText w:val=""/>
      <w:lvlJc w:val="left"/>
      <w:pPr>
        <w:ind w:left="644" w:hanging="360"/>
      </w:pPr>
      <w:rPr>
        <w:rFonts w:ascii="Symbol" w:eastAsia="Times New Roman" w:hAnsi="Symbol" w:cs="Aria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4">
    <w:nsid w:val="6B574117"/>
    <w:multiLevelType w:val="hybridMultilevel"/>
    <w:tmpl w:val="8A52E950"/>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72A319B7"/>
    <w:multiLevelType w:val="hybridMultilevel"/>
    <w:tmpl w:val="63F04EDC"/>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8582908"/>
    <w:multiLevelType w:val="hybridMultilevel"/>
    <w:tmpl w:val="67B859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nsid w:val="7DF90E53"/>
    <w:multiLevelType w:val="hybridMultilevel"/>
    <w:tmpl w:val="B6AC830E"/>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E3F059F"/>
    <w:multiLevelType w:val="hybridMultilevel"/>
    <w:tmpl w:val="8DD235FC"/>
    <w:lvl w:ilvl="0" w:tplc="B63A52B6">
      <w:numFmt w:val="bullet"/>
      <w:lvlText w:val=""/>
      <w:lvlJc w:val="left"/>
      <w:pPr>
        <w:ind w:left="644" w:hanging="360"/>
      </w:pPr>
      <w:rPr>
        <w:rFonts w:ascii="Symbol" w:eastAsia="Times New Roman" w:hAnsi="Symbol" w:cs="Aria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9">
    <w:nsid w:val="7E5A2967"/>
    <w:multiLevelType w:val="hybridMultilevel"/>
    <w:tmpl w:val="124087CC"/>
    <w:lvl w:ilvl="0" w:tplc="B63A52B6">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3"/>
  </w:num>
  <w:num w:numId="4">
    <w:abstractNumId w:val="20"/>
  </w:num>
  <w:num w:numId="5">
    <w:abstractNumId w:val="12"/>
  </w:num>
  <w:num w:numId="6">
    <w:abstractNumId w:val="22"/>
  </w:num>
  <w:num w:numId="7">
    <w:abstractNumId w:val="39"/>
  </w:num>
  <w:num w:numId="8">
    <w:abstractNumId w:val="10"/>
  </w:num>
  <w:num w:numId="9">
    <w:abstractNumId w:val="17"/>
  </w:num>
  <w:num w:numId="10">
    <w:abstractNumId w:val="14"/>
  </w:num>
  <w:num w:numId="11">
    <w:abstractNumId w:val="6"/>
  </w:num>
  <w:num w:numId="12">
    <w:abstractNumId w:val="37"/>
  </w:num>
  <w:num w:numId="13">
    <w:abstractNumId w:val="18"/>
  </w:num>
  <w:num w:numId="14">
    <w:abstractNumId w:val="1"/>
  </w:num>
  <w:num w:numId="15">
    <w:abstractNumId w:val="28"/>
  </w:num>
  <w:num w:numId="16">
    <w:abstractNumId w:val="19"/>
  </w:num>
  <w:num w:numId="17">
    <w:abstractNumId w:val="3"/>
  </w:num>
  <w:num w:numId="18">
    <w:abstractNumId w:val="8"/>
  </w:num>
  <w:num w:numId="19">
    <w:abstractNumId w:val="33"/>
  </w:num>
  <w:num w:numId="20">
    <w:abstractNumId w:val="29"/>
  </w:num>
  <w:num w:numId="21">
    <w:abstractNumId w:val="30"/>
  </w:num>
  <w:num w:numId="22">
    <w:abstractNumId w:val="38"/>
  </w:num>
  <w:num w:numId="23">
    <w:abstractNumId w:val="7"/>
  </w:num>
  <w:num w:numId="24">
    <w:abstractNumId w:val="24"/>
  </w:num>
  <w:num w:numId="25">
    <w:abstractNumId w:val="11"/>
  </w:num>
  <w:num w:numId="26">
    <w:abstractNumId w:val="26"/>
  </w:num>
  <w:num w:numId="27">
    <w:abstractNumId w:val="35"/>
  </w:num>
  <w:num w:numId="28">
    <w:abstractNumId w:val="21"/>
  </w:num>
  <w:num w:numId="29">
    <w:abstractNumId w:val="9"/>
  </w:num>
  <w:num w:numId="30">
    <w:abstractNumId w:val="15"/>
  </w:num>
  <w:num w:numId="31">
    <w:abstractNumId w:val="16"/>
  </w:num>
  <w:num w:numId="32">
    <w:abstractNumId w:val="34"/>
  </w:num>
  <w:num w:numId="33">
    <w:abstractNumId w:val="31"/>
  </w:num>
  <w:num w:numId="34">
    <w:abstractNumId w:val="36"/>
  </w:num>
  <w:num w:numId="35">
    <w:abstractNumId w:val="23"/>
  </w:num>
  <w:num w:numId="36">
    <w:abstractNumId w:val="4"/>
  </w:num>
  <w:num w:numId="37">
    <w:abstractNumId w:val="32"/>
  </w:num>
  <w:num w:numId="38">
    <w:abstractNumId w:val="5"/>
  </w:num>
  <w:num w:numId="39">
    <w:abstractNumId w:val="27"/>
  </w:num>
  <w:num w:numId="40">
    <w:abstractNumId w:val="2"/>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ynn Bar-On">
    <w15:presenceInfo w15:providerId="AD" w15:userId="S-1-5-21-4060015860-3155939536-3220560164-1049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544"/>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2D7"/>
    <w:rsid w:val="00005CF7"/>
    <w:rsid w:val="00007AF3"/>
    <w:rsid w:val="00012CCD"/>
    <w:rsid w:val="00017944"/>
    <w:rsid w:val="00020391"/>
    <w:rsid w:val="00041B3F"/>
    <w:rsid w:val="00043906"/>
    <w:rsid w:val="00044902"/>
    <w:rsid w:val="00046EC5"/>
    <w:rsid w:val="00047117"/>
    <w:rsid w:val="00053E87"/>
    <w:rsid w:val="00060A61"/>
    <w:rsid w:val="000657A4"/>
    <w:rsid w:val="0008098F"/>
    <w:rsid w:val="00084BBA"/>
    <w:rsid w:val="000923E2"/>
    <w:rsid w:val="00094B09"/>
    <w:rsid w:val="00096A6D"/>
    <w:rsid w:val="000A0946"/>
    <w:rsid w:val="000A3073"/>
    <w:rsid w:val="000B0B84"/>
    <w:rsid w:val="000B326B"/>
    <w:rsid w:val="000B4388"/>
    <w:rsid w:val="000B7CB6"/>
    <w:rsid w:val="000C5E11"/>
    <w:rsid w:val="000D12BC"/>
    <w:rsid w:val="000D3E2E"/>
    <w:rsid w:val="000E1568"/>
    <w:rsid w:val="000E4FA1"/>
    <w:rsid w:val="000F4F81"/>
    <w:rsid w:val="000F5217"/>
    <w:rsid w:val="000F5CC5"/>
    <w:rsid w:val="0010118A"/>
    <w:rsid w:val="0010384A"/>
    <w:rsid w:val="00106A1E"/>
    <w:rsid w:val="001075DD"/>
    <w:rsid w:val="0012107A"/>
    <w:rsid w:val="00122EF2"/>
    <w:rsid w:val="00134208"/>
    <w:rsid w:val="001361B1"/>
    <w:rsid w:val="0014318C"/>
    <w:rsid w:val="00144F6A"/>
    <w:rsid w:val="00146D8A"/>
    <w:rsid w:val="00152971"/>
    <w:rsid w:val="00154AC8"/>
    <w:rsid w:val="00166288"/>
    <w:rsid w:val="001702BD"/>
    <w:rsid w:val="00176AB1"/>
    <w:rsid w:val="001873FA"/>
    <w:rsid w:val="00187B79"/>
    <w:rsid w:val="00191D30"/>
    <w:rsid w:val="00194F0E"/>
    <w:rsid w:val="001A4953"/>
    <w:rsid w:val="001A6B0A"/>
    <w:rsid w:val="001A75B2"/>
    <w:rsid w:val="001B033B"/>
    <w:rsid w:val="001B1C14"/>
    <w:rsid w:val="001B1D62"/>
    <w:rsid w:val="001B32AE"/>
    <w:rsid w:val="001B4EAB"/>
    <w:rsid w:val="001B5DB7"/>
    <w:rsid w:val="001C2A19"/>
    <w:rsid w:val="001D372F"/>
    <w:rsid w:val="001D574A"/>
    <w:rsid w:val="001D6F91"/>
    <w:rsid w:val="001E292F"/>
    <w:rsid w:val="001E7E3C"/>
    <w:rsid w:val="001F27CE"/>
    <w:rsid w:val="001F7177"/>
    <w:rsid w:val="001F7ED3"/>
    <w:rsid w:val="002110C1"/>
    <w:rsid w:val="00213E2E"/>
    <w:rsid w:val="002176B2"/>
    <w:rsid w:val="0022677E"/>
    <w:rsid w:val="00227772"/>
    <w:rsid w:val="00230C3A"/>
    <w:rsid w:val="00231496"/>
    <w:rsid w:val="002347EA"/>
    <w:rsid w:val="00237349"/>
    <w:rsid w:val="00237A80"/>
    <w:rsid w:val="00242C66"/>
    <w:rsid w:val="00244CB4"/>
    <w:rsid w:val="00247BF1"/>
    <w:rsid w:val="00247E97"/>
    <w:rsid w:val="002504E1"/>
    <w:rsid w:val="00254457"/>
    <w:rsid w:val="00254798"/>
    <w:rsid w:val="00272794"/>
    <w:rsid w:val="002859BC"/>
    <w:rsid w:val="00286035"/>
    <w:rsid w:val="00290EA6"/>
    <w:rsid w:val="00291938"/>
    <w:rsid w:val="002948E3"/>
    <w:rsid w:val="002A1AE6"/>
    <w:rsid w:val="002B0121"/>
    <w:rsid w:val="002B1EE2"/>
    <w:rsid w:val="002B3187"/>
    <w:rsid w:val="002B62C4"/>
    <w:rsid w:val="002C6343"/>
    <w:rsid w:val="002D1037"/>
    <w:rsid w:val="002D4CCD"/>
    <w:rsid w:val="002E4034"/>
    <w:rsid w:val="002E4BA3"/>
    <w:rsid w:val="002F2AF1"/>
    <w:rsid w:val="002F2B02"/>
    <w:rsid w:val="002F41C3"/>
    <w:rsid w:val="002F5044"/>
    <w:rsid w:val="002F70D6"/>
    <w:rsid w:val="002F7655"/>
    <w:rsid w:val="003031DF"/>
    <w:rsid w:val="0030742C"/>
    <w:rsid w:val="003076DF"/>
    <w:rsid w:val="0031403F"/>
    <w:rsid w:val="0032270D"/>
    <w:rsid w:val="00326024"/>
    <w:rsid w:val="0032782E"/>
    <w:rsid w:val="00327F29"/>
    <w:rsid w:val="00331EE9"/>
    <w:rsid w:val="003438F6"/>
    <w:rsid w:val="00345244"/>
    <w:rsid w:val="0034525B"/>
    <w:rsid w:val="0035297E"/>
    <w:rsid w:val="003575C8"/>
    <w:rsid w:val="003614E1"/>
    <w:rsid w:val="00361A29"/>
    <w:rsid w:val="00361CB3"/>
    <w:rsid w:val="00371391"/>
    <w:rsid w:val="00371B24"/>
    <w:rsid w:val="003740AB"/>
    <w:rsid w:val="00376529"/>
    <w:rsid w:val="00386C16"/>
    <w:rsid w:val="00391BD2"/>
    <w:rsid w:val="00394336"/>
    <w:rsid w:val="00397C86"/>
    <w:rsid w:val="003A0DD8"/>
    <w:rsid w:val="003A18BF"/>
    <w:rsid w:val="003A1BA6"/>
    <w:rsid w:val="003A40B7"/>
    <w:rsid w:val="003A4DFE"/>
    <w:rsid w:val="003B14E7"/>
    <w:rsid w:val="003B1A3E"/>
    <w:rsid w:val="003B1E9B"/>
    <w:rsid w:val="003B390A"/>
    <w:rsid w:val="003B5BFF"/>
    <w:rsid w:val="003B760E"/>
    <w:rsid w:val="003C2E5A"/>
    <w:rsid w:val="003C3288"/>
    <w:rsid w:val="003C541E"/>
    <w:rsid w:val="003D1280"/>
    <w:rsid w:val="003E02D7"/>
    <w:rsid w:val="003E2AB8"/>
    <w:rsid w:val="003E2DDF"/>
    <w:rsid w:val="003E2FBA"/>
    <w:rsid w:val="003E6A25"/>
    <w:rsid w:val="003F0D2F"/>
    <w:rsid w:val="004021B0"/>
    <w:rsid w:val="00402B50"/>
    <w:rsid w:val="00405F22"/>
    <w:rsid w:val="004076B8"/>
    <w:rsid w:val="00417408"/>
    <w:rsid w:val="004205B4"/>
    <w:rsid w:val="0042206D"/>
    <w:rsid w:val="00425584"/>
    <w:rsid w:val="00433443"/>
    <w:rsid w:val="00434CB0"/>
    <w:rsid w:val="00435034"/>
    <w:rsid w:val="00440209"/>
    <w:rsid w:val="00441978"/>
    <w:rsid w:val="00441B0A"/>
    <w:rsid w:val="00450296"/>
    <w:rsid w:val="00452948"/>
    <w:rsid w:val="004538E8"/>
    <w:rsid w:val="00453CE3"/>
    <w:rsid w:val="004552B3"/>
    <w:rsid w:val="00456404"/>
    <w:rsid w:val="0046033D"/>
    <w:rsid w:val="00465B56"/>
    <w:rsid w:val="00472676"/>
    <w:rsid w:val="00474E97"/>
    <w:rsid w:val="004778DF"/>
    <w:rsid w:val="00480C3B"/>
    <w:rsid w:val="00482075"/>
    <w:rsid w:val="00482231"/>
    <w:rsid w:val="00487015"/>
    <w:rsid w:val="00487A62"/>
    <w:rsid w:val="00493A28"/>
    <w:rsid w:val="00493AD8"/>
    <w:rsid w:val="0049476B"/>
    <w:rsid w:val="004A04DE"/>
    <w:rsid w:val="004A30CC"/>
    <w:rsid w:val="004A5F2E"/>
    <w:rsid w:val="004A74AA"/>
    <w:rsid w:val="004B09F8"/>
    <w:rsid w:val="004B225B"/>
    <w:rsid w:val="004B3E76"/>
    <w:rsid w:val="004B60C2"/>
    <w:rsid w:val="004C396C"/>
    <w:rsid w:val="004C44CB"/>
    <w:rsid w:val="004C6BB8"/>
    <w:rsid w:val="004D16FB"/>
    <w:rsid w:val="004D1780"/>
    <w:rsid w:val="004D66CC"/>
    <w:rsid w:val="004E091E"/>
    <w:rsid w:val="004E131A"/>
    <w:rsid w:val="004E241C"/>
    <w:rsid w:val="004E793C"/>
    <w:rsid w:val="004F03C2"/>
    <w:rsid w:val="00502CE3"/>
    <w:rsid w:val="005039DA"/>
    <w:rsid w:val="00507A16"/>
    <w:rsid w:val="00514E45"/>
    <w:rsid w:val="0051666B"/>
    <w:rsid w:val="005221AF"/>
    <w:rsid w:val="005321A7"/>
    <w:rsid w:val="005325E5"/>
    <w:rsid w:val="00537758"/>
    <w:rsid w:val="00541AFF"/>
    <w:rsid w:val="00544B83"/>
    <w:rsid w:val="00552C90"/>
    <w:rsid w:val="00553F22"/>
    <w:rsid w:val="00554922"/>
    <w:rsid w:val="00557AC3"/>
    <w:rsid w:val="005751D7"/>
    <w:rsid w:val="005807A4"/>
    <w:rsid w:val="0058544D"/>
    <w:rsid w:val="005875A1"/>
    <w:rsid w:val="00590A70"/>
    <w:rsid w:val="00591539"/>
    <w:rsid w:val="005953AF"/>
    <w:rsid w:val="00595F5A"/>
    <w:rsid w:val="005A14A6"/>
    <w:rsid w:val="005A75F9"/>
    <w:rsid w:val="005A7717"/>
    <w:rsid w:val="005B0F81"/>
    <w:rsid w:val="005B442C"/>
    <w:rsid w:val="005B577E"/>
    <w:rsid w:val="005C100A"/>
    <w:rsid w:val="005C13CA"/>
    <w:rsid w:val="005C1AAC"/>
    <w:rsid w:val="005C42AC"/>
    <w:rsid w:val="005C4B10"/>
    <w:rsid w:val="005C54D4"/>
    <w:rsid w:val="005D42EB"/>
    <w:rsid w:val="005E4446"/>
    <w:rsid w:val="005E46A7"/>
    <w:rsid w:val="005E5132"/>
    <w:rsid w:val="005E530D"/>
    <w:rsid w:val="005F386F"/>
    <w:rsid w:val="005F5FC8"/>
    <w:rsid w:val="005F6D90"/>
    <w:rsid w:val="006032FB"/>
    <w:rsid w:val="00604BAC"/>
    <w:rsid w:val="00606C1E"/>
    <w:rsid w:val="00606DB1"/>
    <w:rsid w:val="006117A0"/>
    <w:rsid w:val="0061221E"/>
    <w:rsid w:val="006137D7"/>
    <w:rsid w:val="00614042"/>
    <w:rsid w:val="00624B47"/>
    <w:rsid w:val="00624D20"/>
    <w:rsid w:val="00626A3F"/>
    <w:rsid w:val="0062776B"/>
    <w:rsid w:val="00627E33"/>
    <w:rsid w:val="0063054B"/>
    <w:rsid w:val="006305DB"/>
    <w:rsid w:val="00630AD6"/>
    <w:rsid w:val="00631662"/>
    <w:rsid w:val="00635863"/>
    <w:rsid w:val="006360B4"/>
    <w:rsid w:val="006369FE"/>
    <w:rsid w:val="006407D4"/>
    <w:rsid w:val="00641432"/>
    <w:rsid w:val="006472AC"/>
    <w:rsid w:val="00647AE6"/>
    <w:rsid w:val="00655084"/>
    <w:rsid w:val="00655B88"/>
    <w:rsid w:val="0065660A"/>
    <w:rsid w:val="00661763"/>
    <w:rsid w:val="00662797"/>
    <w:rsid w:val="00663996"/>
    <w:rsid w:val="006651F7"/>
    <w:rsid w:val="00670715"/>
    <w:rsid w:val="00671E2F"/>
    <w:rsid w:val="00680BEF"/>
    <w:rsid w:val="00682A7C"/>
    <w:rsid w:val="006920E7"/>
    <w:rsid w:val="00695ECD"/>
    <w:rsid w:val="006A166B"/>
    <w:rsid w:val="006A1837"/>
    <w:rsid w:val="006A55B9"/>
    <w:rsid w:val="006A5E9C"/>
    <w:rsid w:val="006B2B36"/>
    <w:rsid w:val="006B4936"/>
    <w:rsid w:val="006B6DEC"/>
    <w:rsid w:val="006C7146"/>
    <w:rsid w:val="006D27E9"/>
    <w:rsid w:val="006D3F4D"/>
    <w:rsid w:val="006D5977"/>
    <w:rsid w:val="006D5D27"/>
    <w:rsid w:val="006E43C1"/>
    <w:rsid w:val="006E4D1D"/>
    <w:rsid w:val="006F3062"/>
    <w:rsid w:val="0070101F"/>
    <w:rsid w:val="00701695"/>
    <w:rsid w:val="0071122B"/>
    <w:rsid w:val="00714485"/>
    <w:rsid w:val="00735087"/>
    <w:rsid w:val="00736313"/>
    <w:rsid w:val="0074048C"/>
    <w:rsid w:val="00740DB2"/>
    <w:rsid w:val="00740F5C"/>
    <w:rsid w:val="0074573D"/>
    <w:rsid w:val="007479AF"/>
    <w:rsid w:val="0075733E"/>
    <w:rsid w:val="007574D3"/>
    <w:rsid w:val="00763EF6"/>
    <w:rsid w:val="00766FAF"/>
    <w:rsid w:val="00770895"/>
    <w:rsid w:val="0077648D"/>
    <w:rsid w:val="00777C4D"/>
    <w:rsid w:val="00781105"/>
    <w:rsid w:val="007864D1"/>
    <w:rsid w:val="00786873"/>
    <w:rsid w:val="007904D4"/>
    <w:rsid w:val="00792BB1"/>
    <w:rsid w:val="00796BCB"/>
    <w:rsid w:val="007A2350"/>
    <w:rsid w:val="007A6322"/>
    <w:rsid w:val="007A7D10"/>
    <w:rsid w:val="007B099F"/>
    <w:rsid w:val="007B1F9C"/>
    <w:rsid w:val="007B2541"/>
    <w:rsid w:val="007B517E"/>
    <w:rsid w:val="007C4500"/>
    <w:rsid w:val="007C5EC9"/>
    <w:rsid w:val="007C624A"/>
    <w:rsid w:val="007C7280"/>
    <w:rsid w:val="007C75A5"/>
    <w:rsid w:val="007C7E27"/>
    <w:rsid w:val="007D466C"/>
    <w:rsid w:val="007D55CF"/>
    <w:rsid w:val="007D5DF1"/>
    <w:rsid w:val="007E11CC"/>
    <w:rsid w:val="007F0816"/>
    <w:rsid w:val="007F2FD4"/>
    <w:rsid w:val="007F4FDE"/>
    <w:rsid w:val="008033E7"/>
    <w:rsid w:val="00804C05"/>
    <w:rsid w:val="00804F74"/>
    <w:rsid w:val="0080599B"/>
    <w:rsid w:val="00805E29"/>
    <w:rsid w:val="00806C9E"/>
    <w:rsid w:val="00811CF9"/>
    <w:rsid w:val="0081428F"/>
    <w:rsid w:val="0081735F"/>
    <w:rsid w:val="00824953"/>
    <w:rsid w:val="00830D91"/>
    <w:rsid w:val="00832B7C"/>
    <w:rsid w:val="008419AB"/>
    <w:rsid w:val="00843196"/>
    <w:rsid w:val="00844031"/>
    <w:rsid w:val="008517A0"/>
    <w:rsid w:val="00853BF1"/>
    <w:rsid w:val="00854C8E"/>
    <w:rsid w:val="008558E9"/>
    <w:rsid w:val="0087430F"/>
    <w:rsid w:val="00874FA7"/>
    <w:rsid w:val="008768FB"/>
    <w:rsid w:val="00876A22"/>
    <w:rsid w:val="00876F39"/>
    <w:rsid w:val="008851CC"/>
    <w:rsid w:val="00891A8B"/>
    <w:rsid w:val="00892018"/>
    <w:rsid w:val="008A1DB6"/>
    <w:rsid w:val="008A2B2C"/>
    <w:rsid w:val="008A4CDE"/>
    <w:rsid w:val="008A691A"/>
    <w:rsid w:val="008A7144"/>
    <w:rsid w:val="008B5428"/>
    <w:rsid w:val="008C3530"/>
    <w:rsid w:val="008C49F2"/>
    <w:rsid w:val="008C5903"/>
    <w:rsid w:val="008C74FB"/>
    <w:rsid w:val="008D4F92"/>
    <w:rsid w:val="008D5852"/>
    <w:rsid w:val="008E0B44"/>
    <w:rsid w:val="008E1FDD"/>
    <w:rsid w:val="008E23A4"/>
    <w:rsid w:val="008E3E9E"/>
    <w:rsid w:val="008E4F0F"/>
    <w:rsid w:val="008E5172"/>
    <w:rsid w:val="008E66FF"/>
    <w:rsid w:val="008E69E8"/>
    <w:rsid w:val="008F4BE3"/>
    <w:rsid w:val="008F6870"/>
    <w:rsid w:val="008F6C8E"/>
    <w:rsid w:val="008F73D3"/>
    <w:rsid w:val="00901628"/>
    <w:rsid w:val="00901F2F"/>
    <w:rsid w:val="00905494"/>
    <w:rsid w:val="00907671"/>
    <w:rsid w:val="00917DCE"/>
    <w:rsid w:val="0092182E"/>
    <w:rsid w:val="009219C4"/>
    <w:rsid w:val="00922A07"/>
    <w:rsid w:val="00930FE2"/>
    <w:rsid w:val="00931DF9"/>
    <w:rsid w:val="00932DD6"/>
    <w:rsid w:val="009347A3"/>
    <w:rsid w:val="00934B6E"/>
    <w:rsid w:val="009426AA"/>
    <w:rsid w:val="00944644"/>
    <w:rsid w:val="00946C2C"/>
    <w:rsid w:val="00950C8C"/>
    <w:rsid w:val="00952A76"/>
    <w:rsid w:val="00971718"/>
    <w:rsid w:val="009770FD"/>
    <w:rsid w:val="0098037F"/>
    <w:rsid w:val="00981C33"/>
    <w:rsid w:val="00981C38"/>
    <w:rsid w:val="00984FE1"/>
    <w:rsid w:val="00985E91"/>
    <w:rsid w:val="00994E6C"/>
    <w:rsid w:val="00995DF5"/>
    <w:rsid w:val="009A2BF8"/>
    <w:rsid w:val="009A4210"/>
    <w:rsid w:val="009A56F1"/>
    <w:rsid w:val="009A75E3"/>
    <w:rsid w:val="009B3C6B"/>
    <w:rsid w:val="009B3E61"/>
    <w:rsid w:val="009C0228"/>
    <w:rsid w:val="009C04A5"/>
    <w:rsid w:val="009C330A"/>
    <w:rsid w:val="009C38E1"/>
    <w:rsid w:val="009C4BBD"/>
    <w:rsid w:val="009D00DD"/>
    <w:rsid w:val="009D1D0C"/>
    <w:rsid w:val="009D39C2"/>
    <w:rsid w:val="009D5111"/>
    <w:rsid w:val="009E0D28"/>
    <w:rsid w:val="009F2203"/>
    <w:rsid w:val="00A06FA2"/>
    <w:rsid w:val="00A11017"/>
    <w:rsid w:val="00A12DB1"/>
    <w:rsid w:val="00A14B4F"/>
    <w:rsid w:val="00A14E35"/>
    <w:rsid w:val="00A21166"/>
    <w:rsid w:val="00A21FAB"/>
    <w:rsid w:val="00A22F05"/>
    <w:rsid w:val="00A239B9"/>
    <w:rsid w:val="00A24FB7"/>
    <w:rsid w:val="00A25B98"/>
    <w:rsid w:val="00A265F1"/>
    <w:rsid w:val="00A27D85"/>
    <w:rsid w:val="00A319CE"/>
    <w:rsid w:val="00A320CE"/>
    <w:rsid w:val="00A33A52"/>
    <w:rsid w:val="00A35242"/>
    <w:rsid w:val="00A430F5"/>
    <w:rsid w:val="00A43CFE"/>
    <w:rsid w:val="00A4484C"/>
    <w:rsid w:val="00A4684E"/>
    <w:rsid w:val="00A51CC1"/>
    <w:rsid w:val="00A52355"/>
    <w:rsid w:val="00A53E63"/>
    <w:rsid w:val="00A54383"/>
    <w:rsid w:val="00A663BA"/>
    <w:rsid w:val="00A67545"/>
    <w:rsid w:val="00A67CAB"/>
    <w:rsid w:val="00A7190E"/>
    <w:rsid w:val="00A74948"/>
    <w:rsid w:val="00A77D5F"/>
    <w:rsid w:val="00A87FC9"/>
    <w:rsid w:val="00A90E66"/>
    <w:rsid w:val="00A92772"/>
    <w:rsid w:val="00AA0A02"/>
    <w:rsid w:val="00AB3367"/>
    <w:rsid w:val="00AB4C41"/>
    <w:rsid w:val="00AC10C8"/>
    <w:rsid w:val="00AD21A5"/>
    <w:rsid w:val="00AD2C6A"/>
    <w:rsid w:val="00AD53A3"/>
    <w:rsid w:val="00AD66DE"/>
    <w:rsid w:val="00AE1F56"/>
    <w:rsid w:val="00AE6FED"/>
    <w:rsid w:val="00AF022B"/>
    <w:rsid w:val="00AF0802"/>
    <w:rsid w:val="00AF0ADF"/>
    <w:rsid w:val="00AF0D17"/>
    <w:rsid w:val="00AF4E0C"/>
    <w:rsid w:val="00AF7C23"/>
    <w:rsid w:val="00B0124A"/>
    <w:rsid w:val="00B0145B"/>
    <w:rsid w:val="00B03847"/>
    <w:rsid w:val="00B04046"/>
    <w:rsid w:val="00B260D9"/>
    <w:rsid w:val="00B26D20"/>
    <w:rsid w:val="00B27E4A"/>
    <w:rsid w:val="00B457C3"/>
    <w:rsid w:val="00B52F08"/>
    <w:rsid w:val="00B54E32"/>
    <w:rsid w:val="00B607CA"/>
    <w:rsid w:val="00B64517"/>
    <w:rsid w:val="00B71423"/>
    <w:rsid w:val="00B716F2"/>
    <w:rsid w:val="00B72DF9"/>
    <w:rsid w:val="00B75076"/>
    <w:rsid w:val="00B7603B"/>
    <w:rsid w:val="00B76282"/>
    <w:rsid w:val="00B778BD"/>
    <w:rsid w:val="00B80310"/>
    <w:rsid w:val="00B82142"/>
    <w:rsid w:val="00BA2910"/>
    <w:rsid w:val="00BA5CD8"/>
    <w:rsid w:val="00BB01B5"/>
    <w:rsid w:val="00BB0C00"/>
    <w:rsid w:val="00BB2480"/>
    <w:rsid w:val="00BB2C2C"/>
    <w:rsid w:val="00BB3C46"/>
    <w:rsid w:val="00BC0341"/>
    <w:rsid w:val="00BC23BE"/>
    <w:rsid w:val="00BC57D5"/>
    <w:rsid w:val="00BC7478"/>
    <w:rsid w:val="00BD2E27"/>
    <w:rsid w:val="00BD333C"/>
    <w:rsid w:val="00BD46AA"/>
    <w:rsid w:val="00BE03B5"/>
    <w:rsid w:val="00BE1575"/>
    <w:rsid w:val="00BE4DF8"/>
    <w:rsid w:val="00BE56A4"/>
    <w:rsid w:val="00BF00CA"/>
    <w:rsid w:val="00BF0194"/>
    <w:rsid w:val="00BF24B8"/>
    <w:rsid w:val="00BF2BA8"/>
    <w:rsid w:val="00BF4A1E"/>
    <w:rsid w:val="00BF77EA"/>
    <w:rsid w:val="00C02ABE"/>
    <w:rsid w:val="00C046E1"/>
    <w:rsid w:val="00C07281"/>
    <w:rsid w:val="00C1524D"/>
    <w:rsid w:val="00C16C5A"/>
    <w:rsid w:val="00C20E26"/>
    <w:rsid w:val="00C2196D"/>
    <w:rsid w:val="00C247E1"/>
    <w:rsid w:val="00C26013"/>
    <w:rsid w:val="00C321C2"/>
    <w:rsid w:val="00C355BB"/>
    <w:rsid w:val="00C42BC6"/>
    <w:rsid w:val="00C4676B"/>
    <w:rsid w:val="00C51931"/>
    <w:rsid w:val="00C55FCE"/>
    <w:rsid w:val="00C60207"/>
    <w:rsid w:val="00C60A69"/>
    <w:rsid w:val="00C6100D"/>
    <w:rsid w:val="00C63BA9"/>
    <w:rsid w:val="00C66273"/>
    <w:rsid w:val="00C677E6"/>
    <w:rsid w:val="00C73328"/>
    <w:rsid w:val="00C82DA2"/>
    <w:rsid w:val="00C85001"/>
    <w:rsid w:val="00C9088E"/>
    <w:rsid w:val="00C94EB1"/>
    <w:rsid w:val="00C95530"/>
    <w:rsid w:val="00C95817"/>
    <w:rsid w:val="00C9740F"/>
    <w:rsid w:val="00C97452"/>
    <w:rsid w:val="00CA3CF9"/>
    <w:rsid w:val="00CA7488"/>
    <w:rsid w:val="00CB135F"/>
    <w:rsid w:val="00CC1ABF"/>
    <w:rsid w:val="00CC21C2"/>
    <w:rsid w:val="00CD1A80"/>
    <w:rsid w:val="00CD1CFE"/>
    <w:rsid w:val="00CD1D07"/>
    <w:rsid w:val="00CD332B"/>
    <w:rsid w:val="00CD74EA"/>
    <w:rsid w:val="00CE2D05"/>
    <w:rsid w:val="00CE3AC4"/>
    <w:rsid w:val="00CE66E4"/>
    <w:rsid w:val="00CF338C"/>
    <w:rsid w:val="00D00310"/>
    <w:rsid w:val="00D0162B"/>
    <w:rsid w:val="00D03D29"/>
    <w:rsid w:val="00D17320"/>
    <w:rsid w:val="00D17C13"/>
    <w:rsid w:val="00D20648"/>
    <w:rsid w:val="00D24EA5"/>
    <w:rsid w:val="00D253F6"/>
    <w:rsid w:val="00D42FA5"/>
    <w:rsid w:val="00D45E86"/>
    <w:rsid w:val="00D5026D"/>
    <w:rsid w:val="00D509F4"/>
    <w:rsid w:val="00D50AA5"/>
    <w:rsid w:val="00D5150D"/>
    <w:rsid w:val="00D577A2"/>
    <w:rsid w:val="00D62ACB"/>
    <w:rsid w:val="00D675FD"/>
    <w:rsid w:val="00D7302F"/>
    <w:rsid w:val="00D75DE7"/>
    <w:rsid w:val="00D76A3F"/>
    <w:rsid w:val="00D77DE5"/>
    <w:rsid w:val="00D81BCB"/>
    <w:rsid w:val="00D82721"/>
    <w:rsid w:val="00D82FB7"/>
    <w:rsid w:val="00D8414C"/>
    <w:rsid w:val="00D86571"/>
    <w:rsid w:val="00D90BEF"/>
    <w:rsid w:val="00D9222D"/>
    <w:rsid w:val="00D9225E"/>
    <w:rsid w:val="00D9541C"/>
    <w:rsid w:val="00DA10C7"/>
    <w:rsid w:val="00DA5582"/>
    <w:rsid w:val="00DB09EF"/>
    <w:rsid w:val="00DB0CFF"/>
    <w:rsid w:val="00DB2D30"/>
    <w:rsid w:val="00DB45F3"/>
    <w:rsid w:val="00DB53DB"/>
    <w:rsid w:val="00DB6E30"/>
    <w:rsid w:val="00DB7C4D"/>
    <w:rsid w:val="00DC09E4"/>
    <w:rsid w:val="00DC21E5"/>
    <w:rsid w:val="00DC4AB1"/>
    <w:rsid w:val="00DC582C"/>
    <w:rsid w:val="00DC6202"/>
    <w:rsid w:val="00DC6588"/>
    <w:rsid w:val="00DE033B"/>
    <w:rsid w:val="00DE7D51"/>
    <w:rsid w:val="00DF28EA"/>
    <w:rsid w:val="00DF293A"/>
    <w:rsid w:val="00DF6A2E"/>
    <w:rsid w:val="00DF6C9C"/>
    <w:rsid w:val="00DF75D0"/>
    <w:rsid w:val="00E01C93"/>
    <w:rsid w:val="00E01E02"/>
    <w:rsid w:val="00E02B30"/>
    <w:rsid w:val="00E04E82"/>
    <w:rsid w:val="00E0685C"/>
    <w:rsid w:val="00E06D33"/>
    <w:rsid w:val="00E0730F"/>
    <w:rsid w:val="00E10EF2"/>
    <w:rsid w:val="00E11C73"/>
    <w:rsid w:val="00E11D90"/>
    <w:rsid w:val="00E1338A"/>
    <w:rsid w:val="00E14553"/>
    <w:rsid w:val="00E22C1D"/>
    <w:rsid w:val="00E2462D"/>
    <w:rsid w:val="00E266DC"/>
    <w:rsid w:val="00E26EFE"/>
    <w:rsid w:val="00E31033"/>
    <w:rsid w:val="00E32978"/>
    <w:rsid w:val="00E32D83"/>
    <w:rsid w:val="00E36D15"/>
    <w:rsid w:val="00E36E75"/>
    <w:rsid w:val="00E36EF5"/>
    <w:rsid w:val="00E373B0"/>
    <w:rsid w:val="00E403CF"/>
    <w:rsid w:val="00E4232E"/>
    <w:rsid w:val="00E42AC0"/>
    <w:rsid w:val="00E43F1B"/>
    <w:rsid w:val="00E44535"/>
    <w:rsid w:val="00E449B4"/>
    <w:rsid w:val="00E472B0"/>
    <w:rsid w:val="00E5029D"/>
    <w:rsid w:val="00E55575"/>
    <w:rsid w:val="00E61171"/>
    <w:rsid w:val="00E63248"/>
    <w:rsid w:val="00E64366"/>
    <w:rsid w:val="00E64404"/>
    <w:rsid w:val="00E67F9A"/>
    <w:rsid w:val="00E7165C"/>
    <w:rsid w:val="00E726DA"/>
    <w:rsid w:val="00E805AD"/>
    <w:rsid w:val="00E8079D"/>
    <w:rsid w:val="00EA1680"/>
    <w:rsid w:val="00EA1770"/>
    <w:rsid w:val="00EA2DBB"/>
    <w:rsid w:val="00EA48EC"/>
    <w:rsid w:val="00EB00C0"/>
    <w:rsid w:val="00EB475B"/>
    <w:rsid w:val="00EB7D4B"/>
    <w:rsid w:val="00ED2C1B"/>
    <w:rsid w:val="00ED4D6D"/>
    <w:rsid w:val="00ED73C7"/>
    <w:rsid w:val="00EE0A49"/>
    <w:rsid w:val="00EE6950"/>
    <w:rsid w:val="00EF5AA0"/>
    <w:rsid w:val="00F00E2B"/>
    <w:rsid w:val="00F02833"/>
    <w:rsid w:val="00F04789"/>
    <w:rsid w:val="00F04859"/>
    <w:rsid w:val="00F05C2E"/>
    <w:rsid w:val="00F0651F"/>
    <w:rsid w:val="00F128BC"/>
    <w:rsid w:val="00F160DF"/>
    <w:rsid w:val="00F23BC0"/>
    <w:rsid w:val="00F26AB8"/>
    <w:rsid w:val="00F325A8"/>
    <w:rsid w:val="00F36E17"/>
    <w:rsid w:val="00F4667C"/>
    <w:rsid w:val="00F52BFB"/>
    <w:rsid w:val="00F61A02"/>
    <w:rsid w:val="00F61FEB"/>
    <w:rsid w:val="00F63763"/>
    <w:rsid w:val="00F64E9C"/>
    <w:rsid w:val="00F71A82"/>
    <w:rsid w:val="00F820BA"/>
    <w:rsid w:val="00F83ECE"/>
    <w:rsid w:val="00F862EB"/>
    <w:rsid w:val="00F86446"/>
    <w:rsid w:val="00F91696"/>
    <w:rsid w:val="00F945A8"/>
    <w:rsid w:val="00FA6328"/>
    <w:rsid w:val="00FA6D3E"/>
    <w:rsid w:val="00FB2996"/>
    <w:rsid w:val="00FB3454"/>
    <w:rsid w:val="00FB4E01"/>
    <w:rsid w:val="00FB6EEF"/>
    <w:rsid w:val="00FB74DB"/>
    <w:rsid w:val="00FC00C8"/>
    <w:rsid w:val="00FC0BB8"/>
    <w:rsid w:val="00FC1CD8"/>
    <w:rsid w:val="00FC4D06"/>
    <w:rsid w:val="00FC75D1"/>
    <w:rsid w:val="00FD0E70"/>
    <w:rsid w:val="00FD155F"/>
    <w:rsid w:val="00FD17CF"/>
    <w:rsid w:val="00FE5C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264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46AA"/>
    <w:pPr>
      <w:tabs>
        <w:tab w:val="left" w:leader="dot" w:pos="284"/>
        <w:tab w:val="left" w:pos="567"/>
        <w:tab w:val="left" w:pos="851"/>
        <w:tab w:val="left" w:pos="1134"/>
        <w:tab w:val="left" w:pos="1560"/>
        <w:tab w:val="left" w:pos="2127"/>
        <w:tab w:val="left" w:pos="2410"/>
        <w:tab w:val="right" w:pos="8505"/>
      </w:tabs>
      <w:spacing w:after="0" w:line="240" w:lineRule="auto"/>
      <w:jc w:val="both"/>
    </w:pPr>
    <w:rPr>
      <w:rFonts w:ascii="Calibri" w:hAnsi="Calibri"/>
      <w:szCs w:val="16"/>
      <w:lang w:eastAsia="nl-BE"/>
    </w:rPr>
  </w:style>
  <w:style w:type="paragraph" w:styleId="Kop1">
    <w:name w:val="heading 1"/>
    <w:basedOn w:val="Standaard"/>
    <w:next w:val="Standaard"/>
    <w:link w:val="Kop1Char"/>
    <w:autoRedefine/>
    <w:uiPriority w:val="9"/>
    <w:qFormat/>
    <w:rsid w:val="00F945A8"/>
    <w:pPr>
      <w:pBdr>
        <w:bottom w:val="thinThickSmallGap" w:sz="12" w:space="1" w:color="943634" w:themeColor="accent2" w:themeShade="BF"/>
      </w:pBdr>
      <w:spacing w:before="400"/>
      <w:outlineLvl w:val="0"/>
    </w:pPr>
    <w:rPr>
      <w:rFonts w:asciiTheme="minorHAnsi" w:hAnsiTheme="minorHAnsi"/>
      <w:caps/>
      <w:color w:val="632423" w:themeColor="accent2" w:themeShade="80"/>
      <w:spacing w:val="20"/>
      <w:sz w:val="28"/>
      <w:szCs w:val="28"/>
      <w:lang w:eastAsia="en-US"/>
    </w:rPr>
  </w:style>
  <w:style w:type="paragraph" w:styleId="Kop2">
    <w:name w:val="heading 2"/>
    <w:basedOn w:val="Standaard"/>
    <w:next w:val="Standaard"/>
    <w:link w:val="Kop2Char"/>
    <w:uiPriority w:val="9"/>
    <w:unhideWhenUsed/>
    <w:qFormat/>
    <w:rsid w:val="00F945A8"/>
    <w:pPr>
      <w:pBdr>
        <w:bottom w:val="single" w:sz="4" w:space="1" w:color="622423" w:themeColor="accent2" w:themeShade="7F"/>
      </w:pBdr>
      <w:spacing w:before="400"/>
      <w:outlineLvl w:val="1"/>
    </w:pPr>
    <w:rPr>
      <w:rFonts w:asciiTheme="minorHAnsi" w:hAnsiTheme="minorHAnsi"/>
      <w:caps/>
      <w:color w:val="632423" w:themeColor="accent2" w:themeShade="80"/>
      <w:spacing w:val="15"/>
      <w:sz w:val="24"/>
      <w:szCs w:val="24"/>
      <w:lang w:eastAsia="en-US"/>
    </w:rPr>
  </w:style>
  <w:style w:type="paragraph" w:styleId="Kop3">
    <w:name w:val="heading 3"/>
    <w:basedOn w:val="Standaard"/>
    <w:next w:val="Standaard"/>
    <w:link w:val="Kop3Char"/>
    <w:uiPriority w:val="9"/>
    <w:unhideWhenUsed/>
    <w:qFormat/>
    <w:rsid w:val="00F945A8"/>
    <w:pPr>
      <w:pBdr>
        <w:top w:val="dotted" w:sz="4" w:space="1" w:color="622423" w:themeColor="accent2" w:themeShade="7F"/>
        <w:bottom w:val="dotted" w:sz="4" w:space="1" w:color="622423" w:themeColor="accent2" w:themeShade="7F"/>
      </w:pBdr>
      <w:spacing w:before="300"/>
      <w:outlineLvl w:val="2"/>
    </w:pPr>
    <w:rPr>
      <w:rFonts w:asciiTheme="minorHAnsi" w:hAnsiTheme="minorHAnsi"/>
      <w:caps/>
      <w:color w:val="622423" w:themeColor="accent2" w:themeShade="7F"/>
      <w:sz w:val="24"/>
      <w:szCs w:val="24"/>
      <w:lang w:eastAsia="en-US"/>
    </w:rPr>
  </w:style>
  <w:style w:type="paragraph" w:styleId="Kop4">
    <w:name w:val="heading 4"/>
    <w:basedOn w:val="Standaard"/>
    <w:next w:val="Standaard"/>
    <w:link w:val="Kop4Char"/>
    <w:autoRedefine/>
    <w:uiPriority w:val="9"/>
    <w:unhideWhenUsed/>
    <w:qFormat/>
    <w:rsid w:val="00F945A8"/>
    <w:pPr>
      <w:pBdr>
        <w:bottom w:val="dotted" w:sz="4" w:space="1" w:color="943634" w:themeColor="accent2" w:themeShade="BF"/>
      </w:pBdr>
      <w:spacing w:before="240" w:after="120"/>
      <w:outlineLvl w:val="3"/>
    </w:pPr>
    <w:rPr>
      <w:rFonts w:asciiTheme="minorHAnsi" w:eastAsia="LiSu" w:hAnsiTheme="minorHAnsi"/>
      <w:caps/>
      <w:color w:val="622423" w:themeColor="accent2" w:themeShade="7F"/>
      <w:spacing w:val="10"/>
      <w:szCs w:val="22"/>
      <w:lang w:val="nl-NL" w:eastAsia="en-US"/>
    </w:rPr>
  </w:style>
  <w:style w:type="paragraph" w:styleId="Kop5">
    <w:name w:val="heading 5"/>
    <w:basedOn w:val="Standaard"/>
    <w:next w:val="Standaard"/>
    <w:link w:val="Kop5Char"/>
    <w:uiPriority w:val="99"/>
    <w:unhideWhenUsed/>
    <w:qFormat/>
    <w:rsid w:val="009C04A5"/>
    <w:pPr>
      <w:keepNext/>
      <w:keepLines/>
      <w:spacing w:before="200"/>
      <w:outlineLvl w:val="4"/>
    </w:pPr>
    <w:rPr>
      <w:rFonts w:eastAsiaTheme="majorEastAsia" w:cstheme="majorBidi"/>
      <w:b/>
    </w:rPr>
  </w:style>
  <w:style w:type="paragraph" w:styleId="Kop6">
    <w:name w:val="heading 6"/>
    <w:basedOn w:val="Standaard"/>
    <w:next w:val="Standaard"/>
    <w:link w:val="Kop6Char"/>
    <w:uiPriority w:val="99"/>
    <w:unhideWhenUsed/>
    <w:qFormat/>
    <w:rsid w:val="00F945A8"/>
    <w:pPr>
      <w:spacing w:before="280" w:after="100"/>
      <w:outlineLvl w:val="5"/>
    </w:pPr>
    <w:rPr>
      <w:rFonts w:asciiTheme="majorHAnsi" w:eastAsiaTheme="majorEastAsia" w:hAnsiTheme="majorHAnsi" w:cstheme="majorBidi"/>
      <w:i/>
      <w:iCs/>
      <w:color w:val="4F81BD" w:themeColor="accent1"/>
      <w:szCs w:val="22"/>
      <w:lang w:eastAsia="en-US"/>
    </w:rPr>
  </w:style>
  <w:style w:type="paragraph" w:styleId="Kop7">
    <w:name w:val="heading 7"/>
    <w:basedOn w:val="Standaard"/>
    <w:next w:val="Standaard"/>
    <w:link w:val="Kop7Char"/>
    <w:uiPriority w:val="9"/>
    <w:unhideWhenUsed/>
    <w:qFormat/>
    <w:rsid w:val="00F945A8"/>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link w:val="Kop8Char"/>
    <w:uiPriority w:val="9"/>
    <w:semiHidden/>
    <w:unhideWhenUsed/>
    <w:qFormat/>
    <w:rsid w:val="001873F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link w:val="Kop9Char"/>
    <w:uiPriority w:val="9"/>
    <w:semiHidden/>
    <w:unhideWhenUsed/>
    <w:qFormat/>
    <w:rsid w:val="001873F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1873FA"/>
    <w:pPr>
      <w:tabs>
        <w:tab w:val="center" w:pos="4819"/>
        <w:tab w:val="right" w:pos="9071"/>
      </w:tabs>
    </w:pPr>
  </w:style>
  <w:style w:type="paragraph" w:styleId="Koptekst">
    <w:name w:val="header"/>
    <w:basedOn w:val="Standaard"/>
    <w:link w:val="KoptekstChar"/>
    <w:uiPriority w:val="99"/>
    <w:rsid w:val="001873FA"/>
    <w:pPr>
      <w:tabs>
        <w:tab w:val="center" w:pos="4819"/>
        <w:tab w:val="right" w:pos="9071"/>
      </w:tabs>
    </w:pPr>
  </w:style>
  <w:style w:type="character" w:styleId="Voetnootmarkering">
    <w:name w:val="footnote reference"/>
    <w:basedOn w:val="Standaardalinea-lettertype"/>
    <w:semiHidden/>
    <w:rsid w:val="001873FA"/>
    <w:rPr>
      <w:position w:val="6"/>
      <w:sz w:val="16"/>
    </w:rPr>
  </w:style>
  <w:style w:type="paragraph" w:styleId="Voetnoottekst">
    <w:name w:val="footnote text"/>
    <w:basedOn w:val="Standaard"/>
    <w:link w:val="VoetnoottekstChar"/>
    <w:semiHidden/>
    <w:rsid w:val="001873FA"/>
  </w:style>
  <w:style w:type="character" w:styleId="Paginanummer">
    <w:name w:val="page number"/>
    <w:basedOn w:val="Standaardalinea-lettertype"/>
    <w:rsid w:val="001873FA"/>
  </w:style>
  <w:style w:type="paragraph" w:styleId="Plattetekst">
    <w:name w:val="Body Text"/>
    <w:basedOn w:val="Standaard"/>
    <w:link w:val="PlattetekstChar"/>
    <w:rsid w:val="001873FA"/>
    <w:pPr>
      <w:tabs>
        <w:tab w:val="left" w:pos="-570"/>
        <w:tab w:val="left" w:pos="1"/>
        <w:tab w:val="left" w:pos="284"/>
        <w:tab w:val="left" w:pos="4530"/>
        <w:tab w:val="left" w:pos="5040"/>
        <w:tab w:val="left" w:pos="5760"/>
        <w:tab w:val="left" w:pos="6480"/>
        <w:tab w:val="left" w:pos="7200"/>
        <w:tab w:val="left" w:pos="7920"/>
      </w:tabs>
      <w:spacing w:line="360" w:lineRule="auto"/>
    </w:pPr>
    <w:rPr>
      <w:rFonts w:ascii="Univers" w:hAnsi="Univers"/>
    </w:rPr>
  </w:style>
  <w:style w:type="paragraph" w:styleId="Plattetekst2">
    <w:name w:val="Body Text 2"/>
    <w:basedOn w:val="Standaard"/>
    <w:link w:val="Plattetekst2Char"/>
    <w:rsid w:val="001873FA"/>
    <w:pPr>
      <w:tabs>
        <w:tab w:val="left" w:pos="-570"/>
        <w:tab w:val="left" w:pos="1"/>
        <w:tab w:val="left" w:pos="284"/>
        <w:tab w:val="left" w:pos="4530"/>
        <w:tab w:val="left" w:pos="5040"/>
        <w:tab w:val="left" w:pos="5760"/>
        <w:tab w:val="left" w:pos="6480"/>
        <w:tab w:val="left" w:pos="7200"/>
        <w:tab w:val="left" w:pos="7920"/>
      </w:tabs>
      <w:spacing w:line="360" w:lineRule="auto"/>
    </w:pPr>
    <w:rPr>
      <w:rFonts w:ascii="Univers" w:hAnsi="Univers"/>
    </w:rPr>
  </w:style>
  <w:style w:type="paragraph" w:styleId="Plattetekstinspringen">
    <w:name w:val="Body Text Indent"/>
    <w:basedOn w:val="Standaard"/>
    <w:link w:val="PlattetekstinspringenChar"/>
    <w:rsid w:val="001873FA"/>
    <w:pPr>
      <w:tabs>
        <w:tab w:val="left" w:pos="-570"/>
        <w:tab w:val="left" w:pos="1"/>
        <w:tab w:val="left" w:pos="284"/>
        <w:tab w:val="left" w:pos="4530"/>
        <w:tab w:val="left" w:pos="5040"/>
        <w:tab w:val="left" w:pos="5760"/>
        <w:tab w:val="left" w:pos="6480"/>
        <w:tab w:val="left" w:pos="7200"/>
        <w:tab w:val="left" w:pos="7920"/>
      </w:tabs>
      <w:spacing w:line="360" w:lineRule="auto"/>
      <w:ind w:left="1134" w:hanging="774"/>
    </w:pPr>
    <w:rPr>
      <w:rFonts w:ascii="Univers" w:hAnsi="Univers"/>
    </w:rPr>
  </w:style>
  <w:style w:type="paragraph" w:styleId="Plattetekstinspringen2">
    <w:name w:val="Body Text Indent 2"/>
    <w:basedOn w:val="Standaard"/>
    <w:link w:val="Plattetekstinspringen2Char"/>
    <w:rsid w:val="001873FA"/>
    <w:pPr>
      <w:tabs>
        <w:tab w:val="left" w:pos="-570"/>
        <w:tab w:val="left" w:pos="1"/>
        <w:tab w:val="left" w:pos="284"/>
        <w:tab w:val="left" w:pos="4530"/>
        <w:tab w:val="left" w:pos="5040"/>
        <w:tab w:val="left" w:pos="5760"/>
        <w:tab w:val="left" w:pos="6480"/>
        <w:tab w:val="left" w:pos="7200"/>
        <w:tab w:val="left" w:pos="7920"/>
      </w:tabs>
      <w:spacing w:line="360" w:lineRule="auto"/>
      <w:ind w:left="2127" w:hanging="2127"/>
    </w:pPr>
    <w:rPr>
      <w:rFonts w:ascii="Univers" w:hAnsi="Univers"/>
    </w:rPr>
  </w:style>
  <w:style w:type="paragraph" w:styleId="Plattetekstinspringen3">
    <w:name w:val="Body Text Indent 3"/>
    <w:basedOn w:val="Standaard"/>
    <w:link w:val="Plattetekstinspringen3Char"/>
    <w:rsid w:val="001873FA"/>
    <w:pPr>
      <w:tabs>
        <w:tab w:val="left" w:pos="-570"/>
        <w:tab w:val="left" w:pos="284"/>
        <w:tab w:val="left" w:pos="1418"/>
        <w:tab w:val="left" w:pos="1701"/>
        <w:tab w:val="left" w:pos="1985"/>
        <w:tab w:val="left" w:pos="2268"/>
        <w:tab w:val="left" w:pos="2552"/>
      </w:tabs>
      <w:ind w:left="284" w:hanging="284"/>
    </w:pPr>
    <w:rPr>
      <w:rFonts w:ascii="Univers" w:hAnsi="Univers"/>
    </w:rPr>
  </w:style>
  <w:style w:type="paragraph" w:styleId="Plattetekst3">
    <w:name w:val="Body Text 3"/>
    <w:basedOn w:val="Standaard"/>
    <w:link w:val="Plattetekst3Char"/>
    <w:rsid w:val="001873FA"/>
    <w:pPr>
      <w:jc w:val="center"/>
    </w:pPr>
    <w:rPr>
      <w:rFonts w:ascii="Univers" w:hAnsi="Univers"/>
      <w:b/>
      <w:sz w:val="32"/>
    </w:rPr>
  </w:style>
  <w:style w:type="paragraph" w:styleId="Tekstzonderopmaak">
    <w:name w:val="Plain Text"/>
    <w:basedOn w:val="Standaard"/>
    <w:link w:val="TekstzonderopmaakChar"/>
    <w:rsid w:val="001873FA"/>
    <w:rPr>
      <w:rFonts w:ascii="Courier New" w:hAnsi="Courier New"/>
    </w:rPr>
  </w:style>
  <w:style w:type="paragraph" w:styleId="Documentstructuur">
    <w:name w:val="Document Map"/>
    <w:basedOn w:val="Standaard"/>
    <w:link w:val="DocumentstructuurChar"/>
    <w:semiHidden/>
    <w:rsid w:val="00CC1ABF"/>
    <w:pPr>
      <w:shd w:val="clear" w:color="auto" w:fill="000080"/>
    </w:pPr>
    <w:rPr>
      <w:rFonts w:ascii="Tahoma" w:hAnsi="Tahoma" w:cs="Tahoma"/>
    </w:rPr>
  </w:style>
  <w:style w:type="paragraph" w:styleId="Ballontekst">
    <w:name w:val="Balloon Text"/>
    <w:basedOn w:val="Standaard"/>
    <w:link w:val="BallontekstChar"/>
    <w:uiPriority w:val="99"/>
    <w:semiHidden/>
    <w:rsid w:val="00474E97"/>
    <w:rPr>
      <w:rFonts w:ascii="Tahoma" w:hAnsi="Tahoma" w:cs="Tahoma"/>
      <w:sz w:val="16"/>
    </w:rPr>
  </w:style>
  <w:style w:type="character" w:customStyle="1" w:styleId="Kop1Char">
    <w:name w:val="Kop 1 Char"/>
    <w:basedOn w:val="Standaardalinea-lettertype"/>
    <w:link w:val="Kop1"/>
    <w:uiPriority w:val="9"/>
    <w:rsid w:val="00F945A8"/>
    <w:rPr>
      <w:caps/>
      <w:color w:val="632423" w:themeColor="accent2" w:themeShade="80"/>
      <w:spacing w:val="20"/>
      <w:sz w:val="28"/>
      <w:szCs w:val="28"/>
    </w:rPr>
  </w:style>
  <w:style w:type="character" w:customStyle="1" w:styleId="Kop2Char">
    <w:name w:val="Kop 2 Char"/>
    <w:basedOn w:val="Standaardalinea-lettertype"/>
    <w:link w:val="Kop2"/>
    <w:uiPriority w:val="9"/>
    <w:rsid w:val="00F945A8"/>
    <w:rPr>
      <w:caps/>
      <w:color w:val="632423" w:themeColor="accent2" w:themeShade="80"/>
      <w:spacing w:val="15"/>
      <w:sz w:val="24"/>
      <w:szCs w:val="24"/>
    </w:rPr>
  </w:style>
  <w:style w:type="character" w:customStyle="1" w:styleId="Kop3Char">
    <w:name w:val="Kop 3 Char"/>
    <w:basedOn w:val="Standaardalinea-lettertype"/>
    <w:link w:val="Kop3"/>
    <w:uiPriority w:val="9"/>
    <w:rsid w:val="00F945A8"/>
    <w:rPr>
      <w:caps/>
      <w:color w:val="622423" w:themeColor="accent2" w:themeShade="7F"/>
      <w:sz w:val="24"/>
      <w:szCs w:val="24"/>
    </w:rPr>
  </w:style>
  <w:style w:type="character" w:customStyle="1" w:styleId="Kop4Char">
    <w:name w:val="Kop 4 Char"/>
    <w:basedOn w:val="Standaardalinea-lettertype"/>
    <w:link w:val="Kop4"/>
    <w:uiPriority w:val="9"/>
    <w:rsid w:val="00F945A8"/>
    <w:rPr>
      <w:rFonts w:eastAsia="LiSu"/>
      <w:caps/>
      <w:color w:val="622423" w:themeColor="accent2" w:themeShade="7F"/>
      <w:spacing w:val="10"/>
      <w:lang w:val="nl-NL"/>
    </w:rPr>
  </w:style>
  <w:style w:type="character" w:customStyle="1" w:styleId="Kop5Char">
    <w:name w:val="Kop 5 Char"/>
    <w:basedOn w:val="Standaardalinea-lettertype"/>
    <w:link w:val="Kop5"/>
    <w:uiPriority w:val="99"/>
    <w:rsid w:val="009C04A5"/>
    <w:rPr>
      <w:rFonts w:ascii="Calibri" w:eastAsiaTheme="majorEastAsia" w:hAnsi="Calibri" w:cstheme="majorBidi"/>
      <w:b/>
      <w:szCs w:val="16"/>
      <w:lang w:eastAsia="nl-BE"/>
    </w:rPr>
  </w:style>
  <w:style w:type="character" w:customStyle="1" w:styleId="Kop6Char">
    <w:name w:val="Kop 6 Char"/>
    <w:basedOn w:val="Standaardalinea-lettertype"/>
    <w:link w:val="Kop6"/>
    <w:uiPriority w:val="99"/>
    <w:rsid w:val="00F945A8"/>
    <w:rPr>
      <w:rFonts w:asciiTheme="majorHAnsi" w:eastAsiaTheme="majorEastAsia" w:hAnsiTheme="majorHAnsi" w:cstheme="majorBidi"/>
      <w:i/>
      <w:iCs/>
      <w:color w:val="4F81BD" w:themeColor="accent1"/>
    </w:rPr>
  </w:style>
  <w:style w:type="character" w:customStyle="1" w:styleId="Kop7Char">
    <w:name w:val="Kop 7 Char"/>
    <w:basedOn w:val="Standaardalinea-lettertype"/>
    <w:link w:val="Kop7"/>
    <w:uiPriority w:val="9"/>
    <w:rsid w:val="00F945A8"/>
    <w:rPr>
      <w:rFonts w:asciiTheme="majorHAnsi" w:eastAsiaTheme="majorEastAsia" w:hAnsiTheme="majorHAnsi" w:cstheme="majorBidi"/>
      <w:i/>
      <w:iCs/>
      <w:color w:val="404040" w:themeColor="text1" w:themeTint="BF"/>
      <w:szCs w:val="16"/>
      <w:lang w:eastAsia="nl-BE"/>
    </w:rPr>
  </w:style>
  <w:style w:type="paragraph" w:styleId="Inhopg2">
    <w:name w:val="toc 2"/>
    <w:basedOn w:val="Standaard"/>
    <w:next w:val="Standaard"/>
    <w:autoRedefine/>
    <w:uiPriority w:val="99"/>
    <w:semiHidden/>
    <w:unhideWhenUsed/>
    <w:qFormat/>
    <w:rsid w:val="00F945A8"/>
    <w:pPr>
      <w:spacing w:after="100"/>
      <w:ind w:left="220"/>
    </w:pPr>
    <w:rPr>
      <w:rFonts w:cs="Times New Roman"/>
    </w:rPr>
  </w:style>
  <w:style w:type="paragraph" w:styleId="Inhopg3">
    <w:name w:val="toc 3"/>
    <w:basedOn w:val="Standaard"/>
    <w:next w:val="Standaard"/>
    <w:autoRedefine/>
    <w:uiPriority w:val="99"/>
    <w:semiHidden/>
    <w:unhideWhenUsed/>
    <w:qFormat/>
    <w:rsid w:val="00F945A8"/>
    <w:pPr>
      <w:spacing w:after="100" w:line="252" w:lineRule="auto"/>
      <w:ind w:left="440"/>
    </w:pPr>
    <w:rPr>
      <w:rFonts w:ascii="Cambria" w:hAnsi="Cambria" w:cs="Times New Roman"/>
      <w:szCs w:val="22"/>
      <w:lang w:val="en-US" w:eastAsia="en-US" w:bidi="en-US"/>
    </w:rPr>
  </w:style>
  <w:style w:type="paragraph" w:styleId="Bijschrift">
    <w:name w:val="caption"/>
    <w:basedOn w:val="Standaard"/>
    <w:next w:val="Standaard"/>
    <w:autoRedefine/>
    <w:uiPriority w:val="99"/>
    <w:semiHidden/>
    <w:unhideWhenUsed/>
    <w:qFormat/>
    <w:rsid w:val="00F945A8"/>
    <w:pPr>
      <w:spacing w:after="200"/>
    </w:pPr>
    <w:rPr>
      <w:rFonts w:cs="Times New Roman"/>
      <w:b/>
      <w:bCs/>
      <w:color w:val="808080" w:themeColor="background1" w:themeShade="80"/>
      <w:sz w:val="18"/>
      <w:szCs w:val="18"/>
    </w:rPr>
  </w:style>
  <w:style w:type="character" w:styleId="Zwaar">
    <w:name w:val="Strong"/>
    <w:basedOn w:val="Standaardalinea-lettertype"/>
    <w:uiPriority w:val="99"/>
    <w:qFormat/>
    <w:rsid w:val="00F945A8"/>
    <w:rPr>
      <w:b/>
      <w:bCs/>
    </w:rPr>
  </w:style>
  <w:style w:type="character" w:styleId="Nadruk">
    <w:name w:val="Emphasis"/>
    <w:aliases w:val="voetnoot"/>
    <w:basedOn w:val="Standaardalinea-lettertype"/>
    <w:uiPriority w:val="99"/>
    <w:qFormat/>
    <w:rsid w:val="00F945A8"/>
    <w:rPr>
      <w:rFonts w:ascii="Calibri" w:hAnsi="Calibri"/>
      <w:iCs/>
      <w:dstrike w:val="0"/>
      <w:sz w:val="16"/>
      <w:vertAlign w:val="baseline"/>
    </w:rPr>
  </w:style>
  <w:style w:type="paragraph" w:styleId="Geenafstand">
    <w:name w:val="No Spacing"/>
    <w:aliases w:val="definitiekader"/>
    <w:link w:val="GeenafstandChar"/>
    <w:uiPriority w:val="1"/>
    <w:qFormat/>
    <w:rsid w:val="00F945A8"/>
    <w:pPr>
      <w:shd w:val="clear" w:color="auto" w:fill="B6DDE8" w:themeFill="accent5" w:themeFillTint="66"/>
      <w:spacing w:after="0" w:line="240" w:lineRule="auto"/>
      <w:ind w:left="567"/>
      <w:jc w:val="both"/>
    </w:pPr>
    <w:rPr>
      <w:rFonts w:ascii="Calibri" w:hAnsi="Calibri" w:cs="Times New Roman"/>
      <w:sz w:val="18"/>
      <w:szCs w:val="16"/>
      <w:lang w:eastAsia="nl-BE"/>
    </w:rPr>
  </w:style>
  <w:style w:type="character" w:customStyle="1" w:styleId="GeenafstandChar">
    <w:name w:val="Geen afstand Char"/>
    <w:aliases w:val="definitiekader Char"/>
    <w:basedOn w:val="Standaardalinea-lettertype"/>
    <w:link w:val="Geenafstand"/>
    <w:uiPriority w:val="1"/>
    <w:locked/>
    <w:rsid w:val="00F945A8"/>
    <w:rPr>
      <w:rFonts w:ascii="Calibri" w:hAnsi="Calibri" w:cs="Times New Roman"/>
      <w:sz w:val="18"/>
      <w:szCs w:val="16"/>
      <w:shd w:val="clear" w:color="auto" w:fill="B6DDE8" w:themeFill="accent5" w:themeFillTint="66"/>
      <w:lang w:eastAsia="nl-BE"/>
    </w:rPr>
  </w:style>
  <w:style w:type="paragraph" w:styleId="Lijstalinea">
    <w:name w:val="List Paragraph"/>
    <w:basedOn w:val="Standaard"/>
    <w:uiPriority w:val="34"/>
    <w:qFormat/>
    <w:rsid w:val="00F945A8"/>
    <w:pPr>
      <w:ind w:left="720"/>
      <w:contextualSpacing/>
    </w:pPr>
    <w:rPr>
      <w:rFonts w:cs="Times New Roman"/>
      <w:szCs w:val="24"/>
      <w:lang w:val="nl-NL" w:eastAsia="nl-NL"/>
    </w:rPr>
  </w:style>
  <w:style w:type="paragraph" w:styleId="Citaat">
    <w:name w:val="Quote"/>
    <w:aliases w:val="Resultatenhearings"/>
    <w:basedOn w:val="Standaard"/>
    <w:next w:val="Standaard"/>
    <w:link w:val="CitaatChar"/>
    <w:uiPriority w:val="99"/>
    <w:qFormat/>
    <w:rsid w:val="00F945A8"/>
    <w:pPr>
      <w:shd w:val="clear" w:color="auto" w:fill="CCC0D9" w:themeFill="accent4" w:themeFillTint="66"/>
      <w:ind w:left="567"/>
    </w:pPr>
    <w:rPr>
      <w:rFonts w:ascii="Gill Sans MT" w:hAnsi="Gill Sans MT" w:cs="Times New Roman"/>
      <w:i/>
      <w:iCs/>
      <w:color w:val="000000" w:themeColor="text1"/>
    </w:rPr>
  </w:style>
  <w:style w:type="character" w:customStyle="1" w:styleId="CitaatChar">
    <w:name w:val="Citaat Char"/>
    <w:aliases w:val="Resultatenhearings Char"/>
    <w:basedOn w:val="Standaardalinea-lettertype"/>
    <w:link w:val="Citaat"/>
    <w:uiPriority w:val="99"/>
    <w:rsid w:val="00F945A8"/>
    <w:rPr>
      <w:rFonts w:ascii="Gill Sans MT" w:hAnsi="Gill Sans MT" w:cs="Times New Roman"/>
      <w:i/>
      <w:iCs/>
      <w:color w:val="000000" w:themeColor="text1"/>
      <w:szCs w:val="16"/>
      <w:shd w:val="clear" w:color="auto" w:fill="CCC0D9" w:themeFill="accent4" w:themeFillTint="66"/>
      <w:lang w:eastAsia="nl-BE"/>
    </w:rPr>
  </w:style>
  <w:style w:type="character" w:styleId="Intensieveverwijzing">
    <w:name w:val="Intense Reference"/>
    <w:basedOn w:val="Standaardalinea-lettertype"/>
    <w:uiPriority w:val="99"/>
    <w:qFormat/>
    <w:rsid w:val="00F945A8"/>
    <w:rPr>
      <w:b/>
      <w:bCs/>
      <w:smallCaps/>
      <w:color w:val="C0504D"/>
      <w:spacing w:val="5"/>
      <w:u w:val="single"/>
    </w:rPr>
  </w:style>
  <w:style w:type="character" w:styleId="Verwijzingopmerking">
    <w:name w:val="annotation reference"/>
    <w:basedOn w:val="Standaardalinea-lettertype"/>
    <w:uiPriority w:val="99"/>
    <w:semiHidden/>
    <w:unhideWhenUsed/>
    <w:rsid w:val="003076DF"/>
    <w:rPr>
      <w:sz w:val="16"/>
      <w:szCs w:val="16"/>
    </w:rPr>
  </w:style>
  <w:style w:type="paragraph" w:styleId="Tekstopmerking">
    <w:name w:val="annotation text"/>
    <w:basedOn w:val="Standaard"/>
    <w:link w:val="TekstopmerkingChar"/>
    <w:uiPriority w:val="99"/>
    <w:semiHidden/>
    <w:unhideWhenUsed/>
    <w:rsid w:val="003076DF"/>
    <w:rPr>
      <w:sz w:val="20"/>
      <w:szCs w:val="20"/>
    </w:rPr>
  </w:style>
  <w:style w:type="character" w:customStyle="1" w:styleId="TekstopmerkingChar">
    <w:name w:val="Tekst opmerking Char"/>
    <w:basedOn w:val="Standaardalinea-lettertype"/>
    <w:link w:val="Tekstopmerking"/>
    <w:uiPriority w:val="99"/>
    <w:semiHidden/>
    <w:rsid w:val="003076DF"/>
    <w:rPr>
      <w:rFonts w:ascii="Calibri" w:hAnsi="Calibri"/>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3076DF"/>
    <w:rPr>
      <w:b/>
      <w:bCs/>
    </w:rPr>
  </w:style>
  <w:style w:type="character" w:customStyle="1" w:styleId="OnderwerpvanopmerkingChar">
    <w:name w:val="Onderwerp van opmerking Char"/>
    <w:basedOn w:val="TekstopmerkingChar"/>
    <w:link w:val="Onderwerpvanopmerking"/>
    <w:uiPriority w:val="99"/>
    <w:semiHidden/>
    <w:rsid w:val="003076DF"/>
    <w:rPr>
      <w:rFonts w:ascii="Calibri" w:hAnsi="Calibri"/>
      <w:b/>
      <w:bCs/>
      <w:sz w:val="20"/>
      <w:szCs w:val="20"/>
      <w:lang w:eastAsia="nl-BE"/>
    </w:rPr>
  </w:style>
  <w:style w:type="character" w:styleId="Hyperlink">
    <w:name w:val="Hyperlink"/>
    <w:basedOn w:val="Standaardalinea-lettertype"/>
    <w:uiPriority w:val="99"/>
    <w:unhideWhenUsed/>
    <w:rsid w:val="00663996"/>
    <w:rPr>
      <w:color w:val="0000FF" w:themeColor="hyperlink"/>
      <w:u w:val="single"/>
    </w:rPr>
  </w:style>
  <w:style w:type="paragraph" w:customStyle="1" w:styleId="Default">
    <w:name w:val="Default"/>
    <w:rsid w:val="000F5CC5"/>
    <w:pPr>
      <w:autoSpaceDE w:val="0"/>
      <w:autoSpaceDN w:val="0"/>
      <w:adjustRightInd w:val="0"/>
      <w:spacing w:after="0" w:line="240" w:lineRule="auto"/>
    </w:pPr>
    <w:rPr>
      <w:rFonts w:ascii="Times New Roman" w:hAnsi="Times New Roman" w:cs="Times New Roman"/>
      <w:color w:val="000000"/>
      <w:sz w:val="24"/>
      <w:szCs w:val="24"/>
    </w:rPr>
  </w:style>
  <w:style w:type="character" w:styleId="GevolgdeHyperlink">
    <w:name w:val="FollowedHyperlink"/>
    <w:basedOn w:val="Standaardalinea-lettertype"/>
    <w:uiPriority w:val="99"/>
    <w:semiHidden/>
    <w:unhideWhenUsed/>
    <w:rsid w:val="00D8414C"/>
    <w:rPr>
      <w:color w:val="800080" w:themeColor="followedHyperlink"/>
      <w:u w:val="single"/>
    </w:rPr>
  </w:style>
  <w:style w:type="character" w:customStyle="1" w:styleId="VoettekstChar">
    <w:name w:val="Voettekst Char"/>
    <w:basedOn w:val="Standaardalinea-lettertype"/>
    <w:link w:val="Voettekst"/>
    <w:uiPriority w:val="99"/>
    <w:rsid w:val="005C54D4"/>
    <w:rPr>
      <w:rFonts w:ascii="Calibri" w:hAnsi="Calibri"/>
      <w:szCs w:val="16"/>
      <w:lang w:eastAsia="nl-BE"/>
    </w:rPr>
  </w:style>
  <w:style w:type="paragraph" w:styleId="Normaalweb">
    <w:name w:val="Normal (Web)"/>
    <w:basedOn w:val="Standaard"/>
    <w:uiPriority w:val="99"/>
    <w:unhideWhenUsed/>
    <w:rsid w:val="001D6F91"/>
    <w:pPr>
      <w:tabs>
        <w:tab w:val="clear" w:pos="284"/>
        <w:tab w:val="clear" w:pos="567"/>
        <w:tab w:val="clear" w:pos="851"/>
        <w:tab w:val="clear" w:pos="1134"/>
        <w:tab w:val="clear" w:pos="1560"/>
        <w:tab w:val="clear" w:pos="2127"/>
        <w:tab w:val="clear" w:pos="2410"/>
        <w:tab w:val="clear" w:pos="8505"/>
      </w:tabs>
      <w:spacing w:before="100" w:beforeAutospacing="1" w:after="100" w:afterAutospacing="1"/>
      <w:jc w:val="left"/>
    </w:pPr>
    <w:rPr>
      <w:rFonts w:ascii="Times New Roman" w:eastAsiaTheme="minorEastAsia" w:hAnsi="Times New Roman" w:cs="Times New Roman"/>
      <w:sz w:val="24"/>
      <w:szCs w:val="24"/>
    </w:rPr>
  </w:style>
  <w:style w:type="character" w:customStyle="1" w:styleId="TekstzonderopmaakChar">
    <w:name w:val="Tekst zonder opmaak Char"/>
    <w:basedOn w:val="Standaardalinea-lettertype"/>
    <w:link w:val="Tekstzonderopmaak"/>
    <w:rsid w:val="005E4446"/>
    <w:rPr>
      <w:rFonts w:ascii="Courier New" w:hAnsi="Courier New"/>
      <w:szCs w:val="16"/>
      <w:lang w:eastAsia="nl-BE"/>
    </w:rPr>
  </w:style>
  <w:style w:type="numbering" w:customStyle="1" w:styleId="Geenlijst1">
    <w:name w:val="Geen lijst1"/>
    <w:next w:val="Geenlijst"/>
    <w:uiPriority w:val="99"/>
    <w:semiHidden/>
    <w:unhideWhenUsed/>
    <w:rsid w:val="008419AB"/>
  </w:style>
  <w:style w:type="character" w:customStyle="1" w:styleId="BallontekstChar">
    <w:name w:val="Ballontekst Char"/>
    <w:basedOn w:val="Standaardalinea-lettertype"/>
    <w:link w:val="Ballontekst"/>
    <w:uiPriority w:val="99"/>
    <w:semiHidden/>
    <w:rsid w:val="008419AB"/>
    <w:rPr>
      <w:rFonts w:ascii="Tahoma" w:hAnsi="Tahoma" w:cs="Tahoma"/>
      <w:sz w:val="16"/>
      <w:szCs w:val="16"/>
      <w:lang w:eastAsia="nl-BE"/>
    </w:rPr>
  </w:style>
  <w:style w:type="character" w:customStyle="1" w:styleId="KoptekstChar">
    <w:name w:val="Koptekst Char"/>
    <w:basedOn w:val="Standaardalinea-lettertype"/>
    <w:link w:val="Koptekst"/>
    <w:uiPriority w:val="99"/>
    <w:rsid w:val="008419AB"/>
    <w:rPr>
      <w:rFonts w:ascii="Calibri" w:hAnsi="Calibri"/>
      <w:szCs w:val="16"/>
      <w:lang w:eastAsia="nl-BE"/>
    </w:rPr>
  </w:style>
  <w:style w:type="table" w:customStyle="1" w:styleId="Tabelraster1">
    <w:name w:val="Tabelraster1"/>
    <w:basedOn w:val="Standaardtabel"/>
    <w:next w:val="Tabelraster"/>
    <w:uiPriority w:val="59"/>
    <w:rsid w:val="008419A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841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8Char">
    <w:name w:val="Kop 8 Char"/>
    <w:basedOn w:val="Standaardalinea-lettertype"/>
    <w:link w:val="Kop8"/>
    <w:uiPriority w:val="9"/>
    <w:semiHidden/>
    <w:rsid w:val="0077648D"/>
    <w:rPr>
      <w:rFonts w:asciiTheme="majorHAnsi" w:eastAsiaTheme="majorEastAsia" w:hAnsiTheme="majorHAnsi" w:cstheme="majorBidi"/>
      <w:color w:val="404040" w:themeColor="text1" w:themeTint="BF"/>
      <w:sz w:val="20"/>
      <w:szCs w:val="20"/>
      <w:lang w:eastAsia="nl-BE"/>
    </w:rPr>
  </w:style>
  <w:style w:type="character" w:customStyle="1" w:styleId="Kop9Char">
    <w:name w:val="Kop 9 Char"/>
    <w:basedOn w:val="Standaardalinea-lettertype"/>
    <w:link w:val="Kop9"/>
    <w:uiPriority w:val="9"/>
    <w:semiHidden/>
    <w:rsid w:val="0077648D"/>
    <w:rPr>
      <w:rFonts w:asciiTheme="majorHAnsi" w:eastAsiaTheme="majorEastAsia" w:hAnsiTheme="majorHAnsi" w:cstheme="majorBidi"/>
      <w:i/>
      <w:iCs/>
      <w:color w:val="404040" w:themeColor="text1" w:themeTint="BF"/>
      <w:sz w:val="20"/>
      <w:szCs w:val="20"/>
      <w:lang w:eastAsia="nl-BE"/>
    </w:rPr>
  </w:style>
  <w:style w:type="character" w:customStyle="1" w:styleId="VoetnoottekstChar">
    <w:name w:val="Voetnoottekst Char"/>
    <w:basedOn w:val="Standaardalinea-lettertype"/>
    <w:link w:val="Voetnoottekst"/>
    <w:semiHidden/>
    <w:rsid w:val="0077648D"/>
    <w:rPr>
      <w:rFonts w:ascii="Calibri" w:hAnsi="Calibri"/>
      <w:szCs w:val="16"/>
      <w:lang w:eastAsia="nl-BE"/>
    </w:rPr>
  </w:style>
  <w:style w:type="character" w:customStyle="1" w:styleId="PlattetekstChar">
    <w:name w:val="Platte tekst Char"/>
    <w:basedOn w:val="Standaardalinea-lettertype"/>
    <w:link w:val="Plattetekst"/>
    <w:rsid w:val="0077648D"/>
    <w:rPr>
      <w:rFonts w:ascii="Univers" w:hAnsi="Univers"/>
      <w:szCs w:val="16"/>
      <w:lang w:eastAsia="nl-BE"/>
    </w:rPr>
  </w:style>
  <w:style w:type="character" w:customStyle="1" w:styleId="Plattetekst2Char">
    <w:name w:val="Platte tekst 2 Char"/>
    <w:basedOn w:val="Standaardalinea-lettertype"/>
    <w:link w:val="Plattetekst2"/>
    <w:rsid w:val="0077648D"/>
    <w:rPr>
      <w:rFonts w:ascii="Univers" w:hAnsi="Univers"/>
      <w:szCs w:val="16"/>
      <w:lang w:eastAsia="nl-BE"/>
    </w:rPr>
  </w:style>
  <w:style w:type="character" w:customStyle="1" w:styleId="PlattetekstinspringenChar">
    <w:name w:val="Platte tekst inspringen Char"/>
    <w:basedOn w:val="Standaardalinea-lettertype"/>
    <w:link w:val="Plattetekstinspringen"/>
    <w:rsid w:val="0077648D"/>
    <w:rPr>
      <w:rFonts w:ascii="Univers" w:hAnsi="Univers"/>
      <w:szCs w:val="16"/>
      <w:lang w:eastAsia="nl-BE"/>
    </w:rPr>
  </w:style>
  <w:style w:type="character" w:customStyle="1" w:styleId="Plattetekstinspringen2Char">
    <w:name w:val="Platte tekst inspringen 2 Char"/>
    <w:basedOn w:val="Standaardalinea-lettertype"/>
    <w:link w:val="Plattetekstinspringen2"/>
    <w:rsid w:val="0077648D"/>
    <w:rPr>
      <w:rFonts w:ascii="Univers" w:hAnsi="Univers"/>
      <w:szCs w:val="16"/>
      <w:lang w:eastAsia="nl-BE"/>
    </w:rPr>
  </w:style>
  <w:style w:type="character" w:customStyle="1" w:styleId="Plattetekstinspringen3Char">
    <w:name w:val="Platte tekst inspringen 3 Char"/>
    <w:basedOn w:val="Standaardalinea-lettertype"/>
    <w:link w:val="Plattetekstinspringen3"/>
    <w:rsid w:val="0077648D"/>
    <w:rPr>
      <w:rFonts w:ascii="Univers" w:hAnsi="Univers"/>
      <w:szCs w:val="16"/>
      <w:lang w:eastAsia="nl-BE"/>
    </w:rPr>
  </w:style>
  <w:style w:type="character" w:customStyle="1" w:styleId="Plattetekst3Char">
    <w:name w:val="Platte tekst 3 Char"/>
    <w:basedOn w:val="Standaardalinea-lettertype"/>
    <w:link w:val="Plattetekst3"/>
    <w:rsid w:val="0077648D"/>
    <w:rPr>
      <w:rFonts w:ascii="Univers" w:hAnsi="Univers"/>
      <w:b/>
      <w:sz w:val="32"/>
      <w:szCs w:val="16"/>
      <w:lang w:eastAsia="nl-BE"/>
    </w:rPr>
  </w:style>
  <w:style w:type="character" w:customStyle="1" w:styleId="DocumentstructuurChar">
    <w:name w:val="Documentstructuur Char"/>
    <w:basedOn w:val="Standaardalinea-lettertype"/>
    <w:link w:val="Documentstructuur"/>
    <w:semiHidden/>
    <w:rsid w:val="0077648D"/>
    <w:rPr>
      <w:rFonts w:ascii="Tahoma" w:hAnsi="Tahoma" w:cs="Tahoma"/>
      <w:szCs w:val="16"/>
      <w:shd w:val="clear" w:color="auto" w:fill="000080"/>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46AA"/>
    <w:pPr>
      <w:tabs>
        <w:tab w:val="left" w:leader="dot" w:pos="284"/>
        <w:tab w:val="left" w:pos="567"/>
        <w:tab w:val="left" w:pos="851"/>
        <w:tab w:val="left" w:pos="1134"/>
        <w:tab w:val="left" w:pos="1560"/>
        <w:tab w:val="left" w:pos="2127"/>
        <w:tab w:val="left" w:pos="2410"/>
        <w:tab w:val="right" w:pos="8505"/>
      </w:tabs>
      <w:spacing w:after="0" w:line="240" w:lineRule="auto"/>
      <w:jc w:val="both"/>
    </w:pPr>
    <w:rPr>
      <w:rFonts w:ascii="Calibri" w:hAnsi="Calibri"/>
      <w:szCs w:val="16"/>
      <w:lang w:eastAsia="nl-BE"/>
    </w:rPr>
  </w:style>
  <w:style w:type="paragraph" w:styleId="Kop1">
    <w:name w:val="heading 1"/>
    <w:basedOn w:val="Standaard"/>
    <w:next w:val="Standaard"/>
    <w:link w:val="Kop1Char"/>
    <w:autoRedefine/>
    <w:uiPriority w:val="9"/>
    <w:qFormat/>
    <w:rsid w:val="00F945A8"/>
    <w:pPr>
      <w:pBdr>
        <w:bottom w:val="thinThickSmallGap" w:sz="12" w:space="1" w:color="943634" w:themeColor="accent2" w:themeShade="BF"/>
      </w:pBdr>
      <w:spacing w:before="400"/>
      <w:outlineLvl w:val="0"/>
    </w:pPr>
    <w:rPr>
      <w:rFonts w:asciiTheme="minorHAnsi" w:hAnsiTheme="minorHAnsi"/>
      <w:caps/>
      <w:color w:val="632423" w:themeColor="accent2" w:themeShade="80"/>
      <w:spacing w:val="20"/>
      <w:sz w:val="28"/>
      <w:szCs w:val="28"/>
      <w:lang w:eastAsia="en-US"/>
    </w:rPr>
  </w:style>
  <w:style w:type="paragraph" w:styleId="Kop2">
    <w:name w:val="heading 2"/>
    <w:basedOn w:val="Standaard"/>
    <w:next w:val="Standaard"/>
    <w:link w:val="Kop2Char"/>
    <w:uiPriority w:val="9"/>
    <w:unhideWhenUsed/>
    <w:qFormat/>
    <w:rsid w:val="00F945A8"/>
    <w:pPr>
      <w:pBdr>
        <w:bottom w:val="single" w:sz="4" w:space="1" w:color="622423" w:themeColor="accent2" w:themeShade="7F"/>
      </w:pBdr>
      <w:spacing w:before="400"/>
      <w:outlineLvl w:val="1"/>
    </w:pPr>
    <w:rPr>
      <w:rFonts w:asciiTheme="minorHAnsi" w:hAnsiTheme="minorHAnsi"/>
      <w:caps/>
      <w:color w:val="632423" w:themeColor="accent2" w:themeShade="80"/>
      <w:spacing w:val="15"/>
      <w:sz w:val="24"/>
      <w:szCs w:val="24"/>
      <w:lang w:eastAsia="en-US"/>
    </w:rPr>
  </w:style>
  <w:style w:type="paragraph" w:styleId="Kop3">
    <w:name w:val="heading 3"/>
    <w:basedOn w:val="Standaard"/>
    <w:next w:val="Standaard"/>
    <w:link w:val="Kop3Char"/>
    <w:uiPriority w:val="9"/>
    <w:unhideWhenUsed/>
    <w:qFormat/>
    <w:rsid w:val="00F945A8"/>
    <w:pPr>
      <w:pBdr>
        <w:top w:val="dotted" w:sz="4" w:space="1" w:color="622423" w:themeColor="accent2" w:themeShade="7F"/>
        <w:bottom w:val="dotted" w:sz="4" w:space="1" w:color="622423" w:themeColor="accent2" w:themeShade="7F"/>
      </w:pBdr>
      <w:spacing w:before="300"/>
      <w:outlineLvl w:val="2"/>
    </w:pPr>
    <w:rPr>
      <w:rFonts w:asciiTheme="minorHAnsi" w:hAnsiTheme="minorHAnsi"/>
      <w:caps/>
      <w:color w:val="622423" w:themeColor="accent2" w:themeShade="7F"/>
      <w:sz w:val="24"/>
      <w:szCs w:val="24"/>
      <w:lang w:eastAsia="en-US"/>
    </w:rPr>
  </w:style>
  <w:style w:type="paragraph" w:styleId="Kop4">
    <w:name w:val="heading 4"/>
    <w:basedOn w:val="Standaard"/>
    <w:next w:val="Standaard"/>
    <w:link w:val="Kop4Char"/>
    <w:autoRedefine/>
    <w:uiPriority w:val="9"/>
    <w:unhideWhenUsed/>
    <w:qFormat/>
    <w:rsid w:val="00F945A8"/>
    <w:pPr>
      <w:pBdr>
        <w:bottom w:val="dotted" w:sz="4" w:space="1" w:color="943634" w:themeColor="accent2" w:themeShade="BF"/>
      </w:pBdr>
      <w:spacing w:before="240" w:after="120"/>
      <w:outlineLvl w:val="3"/>
    </w:pPr>
    <w:rPr>
      <w:rFonts w:asciiTheme="minorHAnsi" w:eastAsia="LiSu" w:hAnsiTheme="minorHAnsi"/>
      <w:caps/>
      <w:color w:val="622423" w:themeColor="accent2" w:themeShade="7F"/>
      <w:spacing w:val="10"/>
      <w:szCs w:val="22"/>
      <w:lang w:val="nl-NL" w:eastAsia="en-US"/>
    </w:rPr>
  </w:style>
  <w:style w:type="paragraph" w:styleId="Kop5">
    <w:name w:val="heading 5"/>
    <w:basedOn w:val="Standaard"/>
    <w:next w:val="Standaard"/>
    <w:link w:val="Kop5Char"/>
    <w:uiPriority w:val="99"/>
    <w:unhideWhenUsed/>
    <w:qFormat/>
    <w:rsid w:val="009C04A5"/>
    <w:pPr>
      <w:keepNext/>
      <w:keepLines/>
      <w:spacing w:before="200"/>
      <w:outlineLvl w:val="4"/>
    </w:pPr>
    <w:rPr>
      <w:rFonts w:eastAsiaTheme="majorEastAsia" w:cstheme="majorBidi"/>
      <w:b/>
    </w:rPr>
  </w:style>
  <w:style w:type="paragraph" w:styleId="Kop6">
    <w:name w:val="heading 6"/>
    <w:basedOn w:val="Standaard"/>
    <w:next w:val="Standaard"/>
    <w:link w:val="Kop6Char"/>
    <w:uiPriority w:val="99"/>
    <w:unhideWhenUsed/>
    <w:qFormat/>
    <w:rsid w:val="00F945A8"/>
    <w:pPr>
      <w:spacing w:before="280" w:after="100"/>
      <w:outlineLvl w:val="5"/>
    </w:pPr>
    <w:rPr>
      <w:rFonts w:asciiTheme="majorHAnsi" w:eastAsiaTheme="majorEastAsia" w:hAnsiTheme="majorHAnsi" w:cstheme="majorBidi"/>
      <w:i/>
      <w:iCs/>
      <w:color w:val="4F81BD" w:themeColor="accent1"/>
      <w:szCs w:val="22"/>
      <w:lang w:eastAsia="en-US"/>
    </w:rPr>
  </w:style>
  <w:style w:type="paragraph" w:styleId="Kop7">
    <w:name w:val="heading 7"/>
    <w:basedOn w:val="Standaard"/>
    <w:next w:val="Standaard"/>
    <w:link w:val="Kop7Char"/>
    <w:uiPriority w:val="9"/>
    <w:unhideWhenUsed/>
    <w:qFormat/>
    <w:rsid w:val="00F945A8"/>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link w:val="Kop8Char"/>
    <w:uiPriority w:val="9"/>
    <w:semiHidden/>
    <w:unhideWhenUsed/>
    <w:qFormat/>
    <w:rsid w:val="001873F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link w:val="Kop9Char"/>
    <w:uiPriority w:val="9"/>
    <w:semiHidden/>
    <w:unhideWhenUsed/>
    <w:qFormat/>
    <w:rsid w:val="001873F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1873FA"/>
    <w:pPr>
      <w:tabs>
        <w:tab w:val="center" w:pos="4819"/>
        <w:tab w:val="right" w:pos="9071"/>
      </w:tabs>
    </w:pPr>
  </w:style>
  <w:style w:type="paragraph" w:styleId="Koptekst">
    <w:name w:val="header"/>
    <w:basedOn w:val="Standaard"/>
    <w:link w:val="KoptekstChar"/>
    <w:uiPriority w:val="99"/>
    <w:rsid w:val="001873FA"/>
    <w:pPr>
      <w:tabs>
        <w:tab w:val="center" w:pos="4819"/>
        <w:tab w:val="right" w:pos="9071"/>
      </w:tabs>
    </w:pPr>
  </w:style>
  <w:style w:type="character" w:styleId="Voetnootmarkering">
    <w:name w:val="footnote reference"/>
    <w:basedOn w:val="Standaardalinea-lettertype"/>
    <w:semiHidden/>
    <w:rsid w:val="001873FA"/>
    <w:rPr>
      <w:position w:val="6"/>
      <w:sz w:val="16"/>
    </w:rPr>
  </w:style>
  <w:style w:type="paragraph" w:styleId="Voetnoottekst">
    <w:name w:val="footnote text"/>
    <w:basedOn w:val="Standaard"/>
    <w:link w:val="VoetnoottekstChar"/>
    <w:semiHidden/>
    <w:rsid w:val="001873FA"/>
  </w:style>
  <w:style w:type="character" w:styleId="Paginanummer">
    <w:name w:val="page number"/>
    <w:basedOn w:val="Standaardalinea-lettertype"/>
    <w:rsid w:val="001873FA"/>
  </w:style>
  <w:style w:type="paragraph" w:styleId="Plattetekst">
    <w:name w:val="Body Text"/>
    <w:basedOn w:val="Standaard"/>
    <w:link w:val="PlattetekstChar"/>
    <w:rsid w:val="001873FA"/>
    <w:pPr>
      <w:tabs>
        <w:tab w:val="left" w:pos="-570"/>
        <w:tab w:val="left" w:pos="1"/>
        <w:tab w:val="left" w:pos="284"/>
        <w:tab w:val="left" w:pos="4530"/>
        <w:tab w:val="left" w:pos="5040"/>
        <w:tab w:val="left" w:pos="5760"/>
        <w:tab w:val="left" w:pos="6480"/>
        <w:tab w:val="left" w:pos="7200"/>
        <w:tab w:val="left" w:pos="7920"/>
      </w:tabs>
      <w:spacing w:line="360" w:lineRule="auto"/>
    </w:pPr>
    <w:rPr>
      <w:rFonts w:ascii="Univers" w:hAnsi="Univers"/>
    </w:rPr>
  </w:style>
  <w:style w:type="paragraph" w:styleId="Plattetekst2">
    <w:name w:val="Body Text 2"/>
    <w:basedOn w:val="Standaard"/>
    <w:link w:val="Plattetekst2Char"/>
    <w:rsid w:val="001873FA"/>
    <w:pPr>
      <w:tabs>
        <w:tab w:val="left" w:pos="-570"/>
        <w:tab w:val="left" w:pos="1"/>
        <w:tab w:val="left" w:pos="284"/>
        <w:tab w:val="left" w:pos="4530"/>
        <w:tab w:val="left" w:pos="5040"/>
        <w:tab w:val="left" w:pos="5760"/>
        <w:tab w:val="left" w:pos="6480"/>
        <w:tab w:val="left" w:pos="7200"/>
        <w:tab w:val="left" w:pos="7920"/>
      </w:tabs>
      <w:spacing w:line="360" w:lineRule="auto"/>
    </w:pPr>
    <w:rPr>
      <w:rFonts w:ascii="Univers" w:hAnsi="Univers"/>
    </w:rPr>
  </w:style>
  <w:style w:type="paragraph" w:styleId="Plattetekstinspringen">
    <w:name w:val="Body Text Indent"/>
    <w:basedOn w:val="Standaard"/>
    <w:link w:val="PlattetekstinspringenChar"/>
    <w:rsid w:val="001873FA"/>
    <w:pPr>
      <w:tabs>
        <w:tab w:val="left" w:pos="-570"/>
        <w:tab w:val="left" w:pos="1"/>
        <w:tab w:val="left" w:pos="284"/>
        <w:tab w:val="left" w:pos="4530"/>
        <w:tab w:val="left" w:pos="5040"/>
        <w:tab w:val="left" w:pos="5760"/>
        <w:tab w:val="left" w:pos="6480"/>
        <w:tab w:val="left" w:pos="7200"/>
        <w:tab w:val="left" w:pos="7920"/>
      </w:tabs>
      <w:spacing w:line="360" w:lineRule="auto"/>
      <w:ind w:left="1134" w:hanging="774"/>
    </w:pPr>
    <w:rPr>
      <w:rFonts w:ascii="Univers" w:hAnsi="Univers"/>
    </w:rPr>
  </w:style>
  <w:style w:type="paragraph" w:styleId="Plattetekstinspringen2">
    <w:name w:val="Body Text Indent 2"/>
    <w:basedOn w:val="Standaard"/>
    <w:link w:val="Plattetekstinspringen2Char"/>
    <w:rsid w:val="001873FA"/>
    <w:pPr>
      <w:tabs>
        <w:tab w:val="left" w:pos="-570"/>
        <w:tab w:val="left" w:pos="1"/>
        <w:tab w:val="left" w:pos="284"/>
        <w:tab w:val="left" w:pos="4530"/>
        <w:tab w:val="left" w:pos="5040"/>
        <w:tab w:val="left" w:pos="5760"/>
        <w:tab w:val="left" w:pos="6480"/>
        <w:tab w:val="left" w:pos="7200"/>
        <w:tab w:val="left" w:pos="7920"/>
      </w:tabs>
      <w:spacing w:line="360" w:lineRule="auto"/>
      <w:ind w:left="2127" w:hanging="2127"/>
    </w:pPr>
    <w:rPr>
      <w:rFonts w:ascii="Univers" w:hAnsi="Univers"/>
    </w:rPr>
  </w:style>
  <w:style w:type="paragraph" w:styleId="Plattetekstinspringen3">
    <w:name w:val="Body Text Indent 3"/>
    <w:basedOn w:val="Standaard"/>
    <w:link w:val="Plattetekstinspringen3Char"/>
    <w:rsid w:val="001873FA"/>
    <w:pPr>
      <w:tabs>
        <w:tab w:val="left" w:pos="-570"/>
        <w:tab w:val="left" w:pos="284"/>
        <w:tab w:val="left" w:pos="1418"/>
        <w:tab w:val="left" w:pos="1701"/>
        <w:tab w:val="left" w:pos="1985"/>
        <w:tab w:val="left" w:pos="2268"/>
        <w:tab w:val="left" w:pos="2552"/>
      </w:tabs>
      <w:ind w:left="284" w:hanging="284"/>
    </w:pPr>
    <w:rPr>
      <w:rFonts w:ascii="Univers" w:hAnsi="Univers"/>
    </w:rPr>
  </w:style>
  <w:style w:type="paragraph" w:styleId="Plattetekst3">
    <w:name w:val="Body Text 3"/>
    <w:basedOn w:val="Standaard"/>
    <w:link w:val="Plattetekst3Char"/>
    <w:rsid w:val="001873FA"/>
    <w:pPr>
      <w:jc w:val="center"/>
    </w:pPr>
    <w:rPr>
      <w:rFonts w:ascii="Univers" w:hAnsi="Univers"/>
      <w:b/>
      <w:sz w:val="32"/>
    </w:rPr>
  </w:style>
  <w:style w:type="paragraph" w:styleId="Tekstzonderopmaak">
    <w:name w:val="Plain Text"/>
    <w:basedOn w:val="Standaard"/>
    <w:link w:val="TekstzonderopmaakChar"/>
    <w:rsid w:val="001873FA"/>
    <w:rPr>
      <w:rFonts w:ascii="Courier New" w:hAnsi="Courier New"/>
    </w:rPr>
  </w:style>
  <w:style w:type="paragraph" w:styleId="Documentstructuur">
    <w:name w:val="Document Map"/>
    <w:basedOn w:val="Standaard"/>
    <w:link w:val="DocumentstructuurChar"/>
    <w:semiHidden/>
    <w:rsid w:val="00CC1ABF"/>
    <w:pPr>
      <w:shd w:val="clear" w:color="auto" w:fill="000080"/>
    </w:pPr>
    <w:rPr>
      <w:rFonts w:ascii="Tahoma" w:hAnsi="Tahoma" w:cs="Tahoma"/>
    </w:rPr>
  </w:style>
  <w:style w:type="paragraph" w:styleId="Ballontekst">
    <w:name w:val="Balloon Text"/>
    <w:basedOn w:val="Standaard"/>
    <w:link w:val="BallontekstChar"/>
    <w:uiPriority w:val="99"/>
    <w:semiHidden/>
    <w:rsid w:val="00474E97"/>
    <w:rPr>
      <w:rFonts w:ascii="Tahoma" w:hAnsi="Tahoma" w:cs="Tahoma"/>
      <w:sz w:val="16"/>
    </w:rPr>
  </w:style>
  <w:style w:type="character" w:customStyle="1" w:styleId="Kop1Char">
    <w:name w:val="Kop 1 Char"/>
    <w:basedOn w:val="Standaardalinea-lettertype"/>
    <w:link w:val="Kop1"/>
    <w:uiPriority w:val="9"/>
    <w:rsid w:val="00F945A8"/>
    <w:rPr>
      <w:caps/>
      <w:color w:val="632423" w:themeColor="accent2" w:themeShade="80"/>
      <w:spacing w:val="20"/>
      <w:sz w:val="28"/>
      <w:szCs w:val="28"/>
    </w:rPr>
  </w:style>
  <w:style w:type="character" w:customStyle="1" w:styleId="Kop2Char">
    <w:name w:val="Kop 2 Char"/>
    <w:basedOn w:val="Standaardalinea-lettertype"/>
    <w:link w:val="Kop2"/>
    <w:uiPriority w:val="9"/>
    <w:rsid w:val="00F945A8"/>
    <w:rPr>
      <w:caps/>
      <w:color w:val="632423" w:themeColor="accent2" w:themeShade="80"/>
      <w:spacing w:val="15"/>
      <w:sz w:val="24"/>
      <w:szCs w:val="24"/>
    </w:rPr>
  </w:style>
  <w:style w:type="character" w:customStyle="1" w:styleId="Kop3Char">
    <w:name w:val="Kop 3 Char"/>
    <w:basedOn w:val="Standaardalinea-lettertype"/>
    <w:link w:val="Kop3"/>
    <w:uiPriority w:val="9"/>
    <w:rsid w:val="00F945A8"/>
    <w:rPr>
      <w:caps/>
      <w:color w:val="622423" w:themeColor="accent2" w:themeShade="7F"/>
      <w:sz w:val="24"/>
      <w:szCs w:val="24"/>
    </w:rPr>
  </w:style>
  <w:style w:type="character" w:customStyle="1" w:styleId="Kop4Char">
    <w:name w:val="Kop 4 Char"/>
    <w:basedOn w:val="Standaardalinea-lettertype"/>
    <w:link w:val="Kop4"/>
    <w:uiPriority w:val="9"/>
    <w:rsid w:val="00F945A8"/>
    <w:rPr>
      <w:rFonts w:eastAsia="LiSu"/>
      <w:caps/>
      <w:color w:val="622423" w:themeColor="accent2" w:themeShade="7F"/>
      <w:spacing w:val="10"/>
      <w:lang w:val="nl-NL"/>
    </w:rPr>
  </w:style>
  <w:style w:type="character" w:customStyle="1" w:styleId="Kop5Char">
    <w:name w:val="Kop 5 Char"/>
    <w:basedOn w:val="Standaardalinea-lettertype"/>
    <w:link w:val="Kop5"/>
    <w:uiPriority w:val="99"/>
    <w:rsid w:val="009C04A5"/>
    <w:rPr>
      <w:rFonts w:ascii="Calibri" w:eastAsiaTheme="majorEastAsia" w:hAnsi="Calibri" w:cstheme="majorBidi"/>
      <w:b/>
      <w:szCs w:val="16"/>
      <w:lang w:eastAsia="nl-BE"/>
    </w:rPr>
  </w:style>
  <w:style w:type="character" w:customStyle="1" w:styleId="Kop6Char">
    <w:name w:val="Kop 6 Char"/>
    <w:basedOn w:val="Standaardalinea-lettertype"/>
    <w:link w:val="Kop6"/>
    <w:uiPriority w:val="99"/>
    <w:rsid w:val="00F945A8"/>
    <w:rPr>
      <w:rFonts w:asciiTheme="majorHAnsi" w:eastAsiaTheme="majorEastAsia" w:hAnsiTheme="majorHAnsi" w:cstheme="majorBidi"/>
      <w:i/>
      <w:iCs/>
      <w:color w:val="4F81BD" w:themeColor="accent1"/>
    </w:rPr>
  </w:style>
  <w:style w:type="character" w:customStyle="1" w:styleId="Kop7Char">
    <w:name w:val="Kop 7 Char"/>
    <w:basedOn w:val="Standaardalinea-lettertype"/>
    <w:link w:val="Kop7"/>
    <w:uiPriority w:val="9"/>
    <w:rsid w:val="00F945A8"/>
    <w:rPr>
      <w:rFonts w:asciiTheme="majorHAnsi" w:eastAsiaTheme="majorEastAsia" w:hAnsiTheme="majorHAnsi" w:cstheme="majorBidi"/>
      <w:i/>
      <w:iCs/>
      <w:color w:val="404040" w:themeColor="text1" w:themeTint="BF"/>
      <w:szCs w:val="16"/>
      <w:lang w:eastAsia="nl-BE"/>
    </w:rPr>
  </w:style>
  <w:style w:type="paragraph" w:styleId="Inhopg2">
    <w:name w:val="toc 2"/>
    <w:basedOn w:val="Standaard"/>
    <w:next w:val="Standaard"/>
    <w:autoRedefine/>
    <w:uiPriority w:val="99"/>
    <w:semiHidden/>
    <w:unhideWhenUsed/>
    <w:qFormat/>
    <w:rsid w:val="00F945A8"/>
    <w:pPr>
      <w:spacing w:after="100"/>
      <w:ind w:left="220"/>
    </w:pPr>
    <w:rPr>
      <w:rFonts w:cs="Times New Roman"/>
    </w:rPr>
  </w:style>
  <w:style w:type="paragraph" w:styleId="Inhopg3">
    <w:name w:val="toc 3"/>
    <w:basedOn w:val="Standaard"/>
    <w:next w:val="Standaard"/>
    <w:autoRedefine/>
    <w:uiPriority w:val="99"/>
    <w:semiHidden/>
    <w:unhideWhenUsed/>
    <w:qFormat/>
    <w:rsid w:val="00F945A8"/>
    <w:pPr>
      <w:spacing w:after="100" w:line="252" w:lineRule="auto"/>
      <w:ind w:left="440"/>
    </w:pPr>
    <w:rPr>
      <w:rFonts w:ascii="Cambria" w:hAnsi="Cambria" w:cs="Times New Roman"/>
      <w:szCs w:val="22"/>
      <w:lang w:val="en-US" w:eastAsia="en-US" w:bidi="en-US"/>
    </w:rPr>
  </w:style>
  <w:style w:type="paragraph" w:styleId="Bijschrift">
    <w:name w:val="caption"/>
    <w:basedOn w:val="Standaard"/>
    <w:next w:val="Standaard"/>
    <w:autoRedefine/>
    <w:uiPriority w:val="99"/>
    <w:semiHidden/>
    <w:unhideWhenUsed/>
    <w:qFormat/>
    <w:rsid w:val="00F945A8"/>
    <w:pPr>
      <w:spacing w:after="200"/>
    </w:pPr>
    <w:rPr>
      <w:rFonts w:cs="Times New Roman"/>
      <w:b/>
      <w:bCs/>
      <w:color w:val="808080" w:themeColor="background1" w:themeShade="80"/>
      <w:sz w:val="18"/>
      <w:szCs w:val="18"/>
    </w:rPr>
  </w:style>
  <w:style w:type="character" w:styleId="Zwaar">
    <w:name w:val="Strong"/>
    <w:basedOn w:val="Standaardalinea-lettertype"/>
    <w:uiPriority w:val="99"/>
    <w:qFormat/>
    <w:rsid w:val="00F945A8"/>
    <w:rPr>
      <w:b/>
      <w:bCs/>
    </w:rPr>
  </w:style>
  <w:style w:type="character" w:styleId="Nadruk">
    <w:name w:val="Emphasis"/>
    <w:aliases w:val="voetnoot"/>
    <w:basedOn w:val="Standaardalinea-lettertype"/>
    <w:uiPriority w:val="99"/>
    <w:qFormat/>
    <w:rsid w:val="00F945A8"/>
    <w:rPr>
      <w:rFonts w:ascii="Calibri" w:hAnsi="Calibri"/>
      <w:iCs/>
      <w:dstrike w:val="0"/>
      <w:sz w:val="16"/>
      <w:vertAlign w:val="baseline"/>
    </w:rPr>
  </w:style>
  <w:style w:type="paragraph" w:styleId="Geenafstand">
    <w:name w:val="No Spacing"/>
    <w:aliases w:val="definitiekader"/>
    <w:link w:val="GeenafstandChar"/>
    <w:uiPriority w:val="1"/>
    <w:qFormat/>
    <w:rsid w:val="00F945A8"/>
    <w:pPr>
      <w:shd w:val="clear" w:color="auto" w:fill="B6DDE8" w:themeFill="accent5" w:themeFillTint="66"/>
      <w:spacing w:after="0" w:line="240" w:lineRule="auto"/>
      <w:ind w:left="567"/>
      <w:jc w:val="both"/>
    </w:pPr>
    <w:rPr>
      <w:rFonts w:ascii="Calibri" w:hAnsi="Calibri" w:cs="Times New Roman"/>
      <w:sz w:val="18"/>
      <w:szCs w:val="16"/>
      <w:lang w:eastAsia="nl-BE"/>
    </w:rPr>
  </w:style>
  <w:style w:type="character" w:customStyle="1" w:styleId="GeenafstandChar">
    <w:name w:val="Geen afstand Char"/>
    <w:aliases w:val="definitiekader Char"/>
    <w:basedOn w:val="Standaardalinea-lettertype"/>
    <w:link w:val="Geenafstand"/>
    <w:uiPriority w:val="1"/>
    <w:locked/>
    <w:rsid w:val="00F945A8"/>
    <w:rPr>
      <w:rFonts w:ascii="Calibri" w:hAnsi="Calibri" w:cs="Times New Roman"/>
      <w:sz w:val="18"/>
      <w:szCs w:val="16"/>
      <w:shd w:val="clear" w:color="auto" w:fill="B6DDE8" w:themeFill="accent5" w:themeFillTint="66"/>
      <w:lang w:eastAsia="nl-BE"/>
    </w:rPr>
  </w:style>
  <w:style w:type="paragraph" w:styleId="Lijstalinea">
    <w:name w:val="List Paragraph"/>
    <w:basedOn w:val="Standaard"/>
    <w:uiPriority w:val="34"/>
    <w:qFormat/>
    <w:rsid w:val="00F945A8"/>
    <w:pPr>
      <w:ind w:left="720"/>
      <w:contextualSpacing/>
    </w:pPr>
    <w:rPr>
      <w:rFonts w:cs="Times New Roman"/>
      <w:szCs w:val="24"/>
      <w:lang w:val="nl-NL" w:eastAsia="nl-NL"/>
    </w:rPr>
  </w:style>
  <w:style w:type="paragraph" w:styleId="Citaat">
    <w:name w:val="Quote"/>
    <w:aliases w:val="Resultatenhearings"/>
    <w:basedOn w:val="Standaard"/>
    <w:next w:val="Standaard"/>
    <w:link w:val="CitaatChar"/>
    <w:uiPriority w:val="99"/>
    <w:qFormat/>
    <w:rsid w:val="00F945A8"/>
    <w:pPr>
      <w:shd w:val="clear" w:color="auto" w:fill="CCC0D9" w:themeFill="accent4" w:themeFillTint="66"/>
      <w:ind w:left="567"/>
    </w:pPr>
    <w:rPr>
      <w:rFonts w:ascii="Gill Sans MT" w:hAnsi="Gill Sans MT" w:cs="Times New Roman"/>
      <w:i/>
      <w:iCs/>
      <w:color w:val="000000" w:themeColor="text1"/>
    </w:rPr>
  </w:style>
  <w:style w:type="character" w:customStyle="1" w:styleId="CitaatChar">
    <w:name w:val="Citaat Char"/>
    <w:aliases w:val="Resultatenhearings Char"/>
    <w:basedOn w:val="Standaardalinea-lettertype"/>
    <w:link w:val="Citaat"/>
    <w:uiPriority w:val="99"/>
    <w:rsid w:val="00F945A8"/>
    <w:rPr>
      <w:rFonts w:ascii="Gill Sans MT" w:hAnsi="Gill Sans MT" w:cs="Times New Roman"/>
      <w:i/>
      <w:iCs/>
      <w:color w:val="000000" w:themeColor="text1"/>
      <w:szCs w:val="16"/>
      <w:shd w:val="clear" w:color="auto" w:fill="CCC0D9" w:themeFill="accent4" w:themeFillTint="66"/>
      <w:lang w:eastAsia="nl-BE"/>
    </w:rPr>
  </w:style>
  <w:style w:type="character" w:styleId="Intensieveverwijzing">
    <w:name w:val="Intense Reference"/>
    <w:basedOn w:val="Standaardalinea-lettertype"/>
    <w:uiPriority w:val="99"/>
    <w:qFormat/>
    <w:rsid w:val="00F945A8"/>
    <w:rPr>
      <w:b/>
      <w:bCs/>
      <w:smallCaps/>
      <w:color w:val="C0504D"/>
      <w:spacing w:val="5"/>
      <w:u w:val="single"/>
    </w:rPr>
  </w:style>
  <w:style w:type="character" w:styleId="Verwijzingopmerking">
    <w:name w:val="annotation reference"/>
    <w:basedOn w:val="Standaardalinea-lettertype"/>
    <w:uiPriority w:val="99"/>
    <w:semiHidden/>
    <w:unhideWhenUsed/>
    <w:rsid w:val="003076DF"/>
    <w:rPr>
      <w:sz w:val="16"/>
      <w:szCs w:val="16"/>
    </w:rPr>
  </w:style>
  <w:style w:type="paragraph" w:styleId="Tekstopmerking">
    <w:name w:val="annotation text"/>
    <w:basedOn w:val="Standaard"/>
    <w:link w:val="TekstopmerkingChar"/>
    <w:uiPriority w:val="99"/>
    <w:semiHidden/>
    <w:unhideWhenUsed/>
    <w:rsid w:val="003076DF"/>
    <w:rPr>
      <w:sz w:val="20"/>
      <w:szCs w:val="20"/>
    </w:rPr>
  </w:style>
  <w:style w:type="character" w:customStyle="1" w:styleId="TekstopmerkingChar">
    <w:name w:val="Tekst opmerking Char"/>
    <w:basedOn w:val="Standaardalinea-lettertype"/>
    <w:link w:val="Tekstopmerking"/>
    <w:uiPriority w:val="99"/>
    <w:semiHidden/>
    <w:rsid w:val="003076DF"/>
    <w:rPr>
      <w:rFonts w:ascii="Calibri" w:hAnsi="Calibri"/>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3076DF"/>
    <w:rPr>
      <w:b/>
      <w:bCs/>
    </w:rPr>
  </w:style>
  <w:style w:type="character" w:customStyle="1" w:styleId="OnderwerpvanopmerkingChar">
    <w:name w:val="Onderwerp van opmerking Char"/>
    <w:basedOn w:val="TekstopmerkingChar"/>
    <w:link w:val="Onderwerpvanopmerking"/>
    <w:uiPriority w:val="99"/>
    <w:semiHidden/>
    <w:rsid w:val="003076DF"/>
    <w:rPr>
      <w:rFonts w:ascii="Calibri" w:hAnsi="Calibri"/>
      <w:b/>
      <w:bCs/>
      <w:sz w:val="20"/>
      <w:szCs w:val="20"/>
      <w:lang w:eastAsia="nl-BE"/>
    </w:rPr>
  </w:style>
  <w:style w:type="character" w:styleId="Hyperlink">
    <w:name w:val="Hyperlink"/>
    <w:basedOn w:val="Standaardalinea-lettertype"/>
    <w:uiPriority w:val="99"/>
    <w:unhideWhenUsed/>
    <w:rsid w:val="00663996"/>
    <w:rPr>
      <w:color w:val="0000FF" w:themeColor="hyperlink"/>
      <w:u w:val="single"/>
    </w:rPr>
  </w:style>
  <w:style w:type="paragraph" w:customStyle="1" w:styleId="Default">
    <w:name w:val="Default"/>
    <w:rsid w:val="000F5CC5"/>
    <w:pPr>
      <w:autoSpaceDE w:val="0"/>
      <w:autoSpaceDN w:val="0"/>
      <w:adjustRightInd w:val="0"/>
      <w:spacing w:after="0" w:line="240" w:lineRule="auto"/>
    </w:pPr>
    <w:rPr>
      <w:rFonts w:ascii="Times New Roman" w:hAnsi="Times New Roman" w:cs="Times New Roman"/>
      <w:color w:val="000000"/>
      <w:sz w:val="24"/>
      <w:szCs w:val="24"/>
    </w:rPr>
  </w:style>
  <w:style w:type="character" w:styleId="GevolgdeHyperlink">
    <w:name w:val="FollowedHyperlink"/>
    <w:basedOn w:val="Standaardalinea-lettertype"/>
    <w:uiPriority w:val="99"/>
    <w:semiHidden/>
    <w:unhideWhenUsed/>
    <w:rsid w:val="00D8414C"/>
    <w:rPr>
      <w:color w:val="800080" w:themeColor="followedHyperlink"/>
      <w:u w:val="single"/>
    </w:rPr>
  </w:style>
  <w:style w:type="character" w:customStyle="1" w:styleId="VoettekstChar">
    <w:name w:val="Voettekst Char"/>
    <w:basedOn w:val="Standaardalinea-lettertype"/>
    <w:link w:val="Voettekst"/>
    <w:uiPriority w:val="99"/>
    <w:rsid w:val="005C54D4"/>
    <w:rPr>
      <w:rFonts w:ascii="Calibri" w:hAnsi="Calibri"/>
      <w:szCs w:val="16"/>
      <w:lang w:eastAsia="nl-BE"/>
    </w:rPr>
  </w:style>
  <w:style w:type="paragraph" w:styleId="Normaalweb">
    <w:name w:val="Normal (Web)"/>
    <w:basedOn w:val="Standaard"/>
    <w:uiPriority w:val="99"/>
    <w:unhideWhenUsed/>
    <w:rsid w:val="001D6F91"/>
    <w:pPr>
      <w:tabs>
        <w:tab w:val="clear" w:pos="284"/>
        <w:tab w:val="clear" w:pos="567"/>
        <w:tab w:val="clear" w:pos="851"/>
        <w:tab w:val="clear" w:pos="1134"/>
        <w:tab w:val="clear" w:pos="1560"/>
        <w:tab w:val="clear" w:pos="2127"/>
        <w:tab w:val="clear" w:pos="2410"/>
        <w:tab w:val="clear" w:pos="8505"/>
      </w:tabs>
      <w:spacing w:before="100" w:beforeAutospacing="1" w:after="100" w:afterAutospacing="1"/>
      <w:jc w:val="left"/>
    </w:pPr>
    <w:rPr>
      <w:rFonts w:ascii="Times New Roman" w:eastAsiaTheme="minorEastAsia" w:hAnsi="Times New Roman" w:cs="Times New Roman"/>
      <w:sz w:val="24"/>
      <w:szCs w:val="24"/>
    </w:rPr>
  </w:style>
  <w:style w:type="character" w:customStyle="1" w:styleId="TekstzonderopmaakChar">
    <w:name w:val="Tekst zonder opmaak Char"/>
    <w:basedOn w:val="Standaardalinea-lettertype"/>
    <w:link w:val="Tekstzonderopmaak"/>
    <w:rsid w:val="005E4446"/>
    <w:rPr>
      <w:rFonts w:ascii="Courier New" w:hAnsi="Courier New"/>
      <w:szCs w:val="16"/>
      <w:lang w:eastAsia="nl-BE"/>
    </w:rPr>
  </w:style>
  <w:style w:type="numbering" w:customStyle="1" w:styleId="Geenlijst1">
    <w:name w:val="Geen lijst1"/>
    <w:next w:val="Geenlijst"/>
    <w:uiPriority w:val="99"/>
    <w:semiHidden/>
    <w:unhideWhenUsed/>
    <w:rsid w:val="008419AB"/>
  </w:style>
  <w:style w:type="character" w:customStyle="1" w:styleId="BallontekstChar">
    <w:name w:val="Ballontekst Char"/>
    <w:basedOn w:val="Standaardalinea-lettertype"/>
    <w:link w:val="Ballontekst"/>
    <w:uiPriority w:val="99"/>
    <w:semiHidden/>
    <w:rsid w:val="008419AB"/>
    <w:rPr>
      <w:rFonts w:ascii="Tahoma" w:hAnsi="Tahoma" w:cs="Tahoma"/>
      <w:sz w:val="16"/>
      <w:szCs w:val="16"/>
      <w:lang w:eastAsia="nl-BE"/>
    </w:rPr>
  </w:style>
  <w:style w:type="character" w:customStyle="1" w:styleId="KoptekstChar">
    <w:name w:val="Koptekst Char"/>
    <w:basedOn w:val="Standaardalinea-lettertype"/>
    <w:link w:val="Koptekst"/>
    <w:uiPriority w:val="99"/>
    <w:rsid w:val="008419AB"/>
    <w:rPr>
      <w:rFonts w:ascii="Calibri" w:hAnsi="Calibri"/>
      <w:szCs w:val="16"/>
      <w:lang w:eastAsia="nl-BE"/>
    </w:rPr>
  </w:style>
  <w:style w:type="table" w:customStyle="1" w:styleId="Tabelraster1">
    <w:name w:val="Tabelraster1"/>
    <w:basedOn w:val="Standaardtabel"/>
    <w:next w:val="Tabelraster"/>
    <w:uiPriority w:val="59"/>
    <w:rsid w:val="008419A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841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8Char">
    <w:name w:val="Kop 8 Char"/>
    <w:basedOn w:val="Standaardalinea-lettertype"/>
    <w:link w:val="Kop8"/>
    <w:uiPriority w:val="9"/>
    <w:semiHidden/>
    <w:rsid w:val="0077648D"/>
    <w:rPr>
      <w:rFonts w:asciiTheme="majorHAnsi" w:eastAsiaTheme="majorEastAsia" w:hAnsiTheme="majorHAnsi" w:cstheme="majorBidi"/>
      <w:color w:val="404040" w:themeColor="text1" w:themeTint="BF"/>
      <w:sz w:val="20"/>
      <w:szCs w:val="20"/>
      <w:lang w:eastAsia="nl-BE"/>
    </w:rPr>
  </w:style>
  <w:style w:type="character" w:customStyle="1" w:styleId="Kop9Char">
    <w:name w:val="Kop 9 Char"/>
    <w:basedOn w:val="Standaardalinea-lettertype"/>
    <w:link w:val="Kop9"/>
    <w:uiPriority w:val="9"/>
    <w:semiHidden/>
    <w:rsid w:val="0077648D"/>
    <w:rPr>
      <w:rFonts w:asciiTheme="majorHAnsi" w:eastAsiaTheme="majorEastAsia" w:hAnsiTheme="majorHAnsi" w:cstheme="majorBidi"/>
      <w:i/>
      <w:iCs/>
      <w:color w:val="404040" w:themeColor="text1" w:themeTint="BF"/>
      <w:sz w:val="20"/>
      <w:szCs w:val="20"/>
      <w:lang w:eastAsia="nl-BE"/>
    </w:rPr>
  </w:style>
  <w:style w:type="character" w:customStyle="1" w:styleId="VoetnoottekstChar">
    <w:name w:val="Voetnoottekst Char"/>
    <w:basedOn w:val="Standaardalinea-lettertype"/>
    <w:link w:val="Voetnoottekst"/>
    <w:semiHidden/>
    <w:rsid w:val="0077648D"/>
    <w:rPr>
      <w:rFonts w:ascii="Calibri" w:hAnsi="Calibri"/>
      <w:szCs w:val="16"/>
      <w:lang w:eastAsia="nl-BE"/>
    </w:rPr>
  </w:style>
  <w:style w:type="character" w:customStyle="1" w:styleId="PlattetekstChar">
    <w:name w:val="Platte tekst Char"/>
    <w:basedOn w:val="Standaardalinea-lettertype"/>
    <w:link w:val="Plattetekst"/>
    <w:rsid w:val="0077648D"/>
    <w:rPr>
      <w:rFonts w:ascii="Univers" w:hAnsi="Univers"/>
      <w:szCs w:val="16"/>
      <w:lang w:eastAsia="nl-BE"/>
    </w:rPr>
  </w:style>
  <w:style w:type="character" w:customStyle="1" w:styleId="Plattetekst2Char">
    <w:name w:val="Platte tekst 2 Char"/>
    <w:basedOn w:val="Standaardalinea-lettertype"/>
    <w:link w:val="Plattetekst2"/>
    <w:rsid w:val="0077648D"/>
    <w:rPr>
      <w:rFonts w:ascii="Univers" w:hAnsi="Univers"/>
      <w:szCs w:val="16"/>
      <w:lang w:eastAsia="nl-BE"/>
    </w:rPr>
  </w:style>
  <w:style w:type="character" w:customStyle="1" w:styleId="PlattetekstinspringenChar">
    <w:name w:val="Platte tekst inspringen Char"/>
    <w:basedOn w:val="Standaardalinea-lettertype"/>
    <w:link w:val="Plattetekstinspringen"/>
    <w:rsid w:val="0077648D"/>
    <w:rPr>
      <w:rFonts w:ascii="Univers" w:hAnsi="Univers"/>
      <w:szCs w:val="16"/>
      <w:lang w:eastAsia="nl-BE"/>
    </w:rPr>
  </w:style>
  <w:style w:type="character" w:customStyle="1" w:styleId="Plattetekstinspringen2Char">
    <w:name w:val="Platte tekst inspringen 2 Char"/>
    <w:basedOn w:val="Standaardalinea-lettertype"/>
    <w:link w:val="Plattetekstinspringen2"/>
    <w:rsid w:val="0077648D"/>
    <w:rPr>
      <w:rFonts w:ascii="Univers" w:hAnsi="Univers"/>
      <w:szCs w:val="16"/>
      <w:lang w:eastAsia="nl-BE"/>
    </w:rPr>
  </w:style>
  <w:style w:type="character" w:customStyle="1" w:styleId="Plattetekstinspringen3Char">
    <w:name w:val="Platte tekst inspringen 3 Char"/>
    <w:basedOn w:val="Standaardalinea-lettertype"/>
    <w:link w:val="Plattetekstinspringen3"/>
    <w:rsid w:val="0077648D"/>
    <w:rPr>
      <w:rFonts w:ascii="Univers" w:hAnsi="Univers"/>
      <w:szCs w:val="16"/>
      <w:lang w:eastAsia="nl-BE"/>
    </w:rPr>
  </w:style>
  <w:style w:type="character" w:customStyle="1" w:styleId="Plattetekst3Char">
    <w:name w:val="Platte tekst 3 Char"/>
    <w:basedOn w:val="Standaardalinea-lettertype"/>
    <w:link w:val="Plattetekst3"/>
    <w:rsid w:val="0077648D"/>
    <w:rPr>
      <w:rFonts w:ascii="Univers" w:hAnsi="Univers"/>
      <w:b/>
      <w:sz w:val="32"/>
      <w:szCs w:val="16"/>
      <w:lang w:eastAsia="nl-BE"/>
    </w:rPr>
  </w:style>
  <w:style w:type="character" w:customStyle="1" w:styleId="DocumentstructuurChar">
    <w:name w:val="Documentstructuur Char"/>
    <w:basedOn w:val="Standaardalinea-lettertype"/>
    <w:link w:val="Documentstructuur"/>
    <w:semiHidden/>
    <w:rsid w:val="0077648D"/>
    <w:rPr>
      <w:rFonts w:ascii="Tahoma" w:hAnsi="Tahoma" w:cs="Tahoma"/>
      <w:szCs w:val="16"/>
      <w:shd w:val="clear" w:color="auto" w:fill="00008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5570">
      <w:bodyDiv w:val="1"/>
      <w:marLeft w:val="0"/>
      <w:marRight w:val="0"/>
      <w:marTop w:val="0"/>
      <w:marBottom w:val="0"/>
      <w:divBdr>
        <w:top w:val="none" w:sz="0" w:space="0" w:color="auto"/>
        <w:left w:val="none" w:sz="0" w:space="0" w:color="auto"/>
        <w:bottom w:val="none" w:sz="0" w:space="0" w:color="auto"/>
        <w:right w:val="none" w:sz="0" w:space="0" w:color="auto"/>
      </w:divBdr>
    </w:div>
    <w:div w:id="144276447">
      <w:bodyDiv w:val="1"/>
      <w:marLeft w:val="0"/>
      <w:marRight w:val="0"/>
      <w:marTop w:val="0"/>
      <w:marBottom w:val="0"/>
      <w:divBdr>
        <w:top w:val="none" w:sz="0" w:space="0" w:color="auto"/>
        <w:left w:val="none" w:sz="0" w:space="0" w:color="auto"/>
        <w:bottom w:val="none" w:sz="0" w:space="0" w:color="auto"/>
        <w:right w:val="none" w:sz="0" w:space="0" w:color="auto"/>
      </w:divBdr>
    </w:div>
    <w:div w:id="179467860">
      <w:bodyDiv w:val="1"/>
      <w:marLeft w:val="0"/>
      <w:marRight w:val="0"/>
      <w:marTop w:val="0"/>
      <w:marBottom w:val="0"/>
      <w:divBdr>
        <w:top w:val="none" w:sz="0" w:space="0" w:color="auto"/>
        <w:left w:val="none" w:sz="0" w:space="0" w:color="auto"/>
        <w:bottom w:val="none" w:sz="0" w:space="0" w:color="auto"/>
        <w:right w:val="none" w:sz="0" w:space="0" w:color="auto"/>
      </w:divBdr>
    </w:div>
    <w:div w:id="217016697">
      <w:bodyDiv w:val="1"/>
      <w:marLeft w:val="0"/>
      <w:marRight w:val="0"/>
      <w:marTop w:val="0"/>
      <w:marBottom w:val="0"/>
      <w:divBdr>
        <w:top w:val="none" w:sz="0" w:space="0" w:color="auto"/>
        <w:left w:val="none" w:sz="0" w:space="0" w:color="auto"/>
        <w:bottom w:val="none" w:sz="0" w:space="0" w:color="auto"/>
        <w:right w:val="none" w:sz="0" w:space="0" w:color="auto"/>
      </w:divBdr>
    </w:div>
    <w:div w:id="230120494">
      <w:bodyDiv w:val="1"/>
      <w:marLeft w:val="0"/>
      <w:marRight w:val="0"/>
      <w:marTop w:val="0"/>
      <w:marBottom w:val="0"/>
      <w:divBdr>
        <w:top w:val="none" w:sz="0" w:space="0" w:color="auto"/>
        <w:left w:val="none" w:sz="0" w:space="0" w:color="auto"/>
        <w:bottom w:val="none" w:sz="0" w:space="0" w:color="auto"/>
        <w:right w:val="none" w:sz="0" w:space="0" w:color="auto"/>
      </w:divBdr>
    </w:div>
    <w:div w:id="259147762">
      <w:bodyDiv w:val="1"/>
      <w:marLeft w:val="0"/>
      <w:marRight w:val="0"/>
      <w:marTop w:val="0"/>
      <w:marBottom w:val="0"/>
      <w:divBdr>
        <w:top w:val="none" w:sz="0" w:space="0" w:color="auto"/>
        <w:left w:val="none" w:sz="0" w:space="0" w:color="auto"/>
        <w:bottom w:val="none" w:sz="0" w:space="0" w:color="auto"/>
        <w:right w:val="none" w:sz="0" w:space="0" w:color="auto"/>
      </w:divBdr>
    </w:div>
    <w:div w:id="305476931">
      <w:bodyDiv w:val="1"/>
      <w:marLeft w:val="0"/>
      <w:marRight w:val="0"/>
      <w:marTop w:val="0"/>
      <w:marBottom w:val="0"/>
      <w:divBdr>
        <w:top w:val="none" w:sz="0" w:space="0" w:color="auto"/>
        <w:left w:val="none" w:sz="0" w:space="0" w:color="auto"/>
        <w:bottom w:val="none" w:sz="0" w:space="0" w:color="auto"/>
        <w:right w:val="none" w:sz="0" w:space="0" w:color="auto"/>
      </w:divBdr>
    </w:div>
    <w:div w:id="314770641">
      <w:bodyDiv w:val="1"/>
      <w:marLeft w:val="0"/>
      <w:marRight w:val="0"/>
      <w:marTop w:val="0"/>
      <w:marBottom w:val="0"/>
      <w:divBdr>
        <w:top w:val="none" w:sz="0" w:space="0" w:color="auto"/>
        <w:left w:val="none" w:sz="0" w:space="0" w:color="auto"/>
        <w:bottom w:val="none" w:sz="0" w:space="0" w:color="auto"/>
        <w:right w:val="none" w:sz="0" w:space="0" w:color="auto"/>
      </w:divBdr>
    </w:div>
    <w:div w:id="330570890">
      <w:bodyDiv w:val="1"/>
      <w:marLeft w:val="0"/>
      <w:marRight w:val="0"/>
      <w:marTop w:val="0"/>
      <w:marBottom w:val="0"/>
      <w:divBdr>
        <w:top w:val="none" w:sz="0" w:space="0" w:color="auto"/>
        <w:left w:val="none" w:sz="0" w:space="0" w:color="auto"/>
        <w:bottom w:val="none" w:sz="0" w:space="0" w:color="auto"/>
        <w:right w:val="none" w:sz="0" w:space="0" w:color="auto"/>
      </w:divBdr>
    </w:div>
    <w:div w:id="332606436">
      <w:bodyDiv w:val="1"/>
      <w:marLeft w:val="0"/>
      <w:marRight w:val="0"/>
      <w:marTop w:val="0"/>
      <w:marBottom w:val="0"/>
      <w:divBdr>
        <w:top w:val="none" w:sz="0" w:space="0" w:color="auto"/>
        <w:left w:val="none" w:sz="0" w:space="0" w:color="auto"/>
        <w:bottom w:val="none" w:sz="0" w:space="0" w:color="auto"/>
        <w:right w:val="none" w:sz="0" w:space="0" w:color="auto"/>
      </w:divBdr>
    </w:div>
    <w:div w:id="343631041">
      <w:bodyDiv w:val="1"/>
      <w:marLeft w:val="0"/>
      <w:marRight w:val="0"/>
      <w:marTop w:val="0"/>
      <w:marBottom w:val="0"/>
      <w:divBdr>
        <w:top w:val="none" w:sz="0" w:space="0" w:color="auto"/>
        <w:left w:val="none" w:sz="0" w:space="0" w:color="auto"/>
        <w:bottom w:val="none" w:sz="0" w:space="0" w:color="auto"/>
        <w:right w:val="none" w:sz="0" w:space="0" w:color="auto"/>
      </w:divBdr>
    </w:div>
    <w:div w:id="512376990">
      <w:bodyDiv w:val="1"/>
      <w:marLeft w:val="0"/>
      <w:marRight w:val="0"/>
      <w:marTop w:val="0"/>
      <w:marBottom w:val="0"/>
      <w:divBdr>
        <w:top w:val="none" w:sz="0" w:space="0" w:color="auto"/>
        <w:left w:val="none" w:sz="0" w:space="0" w:color="auto"/>
        <w:bottom w:val="none" w:sz="0" w:space="0" w:color="auto"/>
        <w:right w:val="none" w:sz="0" w:space="0" w:color="auto"/>
      </w:divBdr>
    </w:div>
    <w:div w:id="552350627">
      <w:bodyDiv w:val="1"/>
      <w:marLeft w:val="0"/>
      <w:marRight w:val="0"/>
      <w:marTop w:val="0"/>
      <w:marBottom w:val="0"/>
      <w:divBdr>
        <w:top w:val="none" w:sz="0" w:space="0" w:color="auto"/>
        <w:left w:val="none" w:sz="0" w:space="0" w:color="auto"/>
        <w:bottom w:val="none" w:sz="0" w:space="0" w:color="auto"/>
        <w:right w:val="none" w:sz="0" w:space="0" w:color="auto"/>
      </w:divBdr>
    </w:div>
    <w:div w:id="553664308">
      <w:bodyDiv w:val="1"/>
      <w:marLeft w:val="0"/>
      <w:marRight w:val="0"/>
      <w:marTop w:val="0"/>
      <w:marBottom w:val="0"/>
      <w:divBdr>
        <w:top w:val="none" w:sz="0" w:space="0" w:color="auto"/>
        <w:left w:val="none" w:sz="0" w:space="0" w:color="auto"/>
        <w:bottom w:val="none" w:sz="0" w:space="0" w:color="auto"/>
        <w:right w:val="none" w:sz="0" w:space="0" w:color="auto"/>
      </w:divBdr>
    </w:div>
    <w:div w:id="561868513">
      <w:bodyDiv w:val="1"/>
      <w:marLeft w:val="0"/>
      <w:marRight w:val="0"/>
      <w:marTop w:val="0"/>
      <w:marBottom w:val="0"/>
      <w:divBdr>
        <w:top w:val="none" w:sz="0" w:space="0" w:color="auto"/>
        <w:left w:val="none" w:sz="0" w:space="0" w:color="auto"/>
        <w:bottom w:val="none" w:sz="0" w:space="0" w:color="auto"/>
        <w:right w:val="none" w:sz="0" w:space="0" w:color="auto"/>
      </w:divBdr>
    </w:div>
    <w:div w:id="628782979">
      <w:bodyDiv w:val="1"/>
      <w:marLeft w:val="0"/>
      <w:marRight w:val="0"/>
      <w:marTop w:val="0"/>
      <w:marBottom w:val="0"/>
      <w:divBdr>
        <w:top w:val="none" w:sz="0" w:space="0" w:color="auto"/>
        <w:left w:val="none" w:sz="0" w:space="0" w:color="auto"/>
        <w:bottom w:val="none" w:sz="0" w:space="0" w:color="auto"/>
        <w:right w:val="none" w:sz="0" w:space="0" w:color="auto"/>
      </w:divBdr>
    </w:div>
    <w:div w:id="667631332">
      <w:bodyDiv w:val="1"/>
      <w:marLeft w:val="0"/>
      <w:marRight w:val="0"/>
      <w:marTop w:val="0"/>
      <w:marBottom w:val="0"/>
      <w:divBdr>
        <w:top w:val="none" w:sz="0" w:space="0" w:color="auto"/>
        <w:left w:val="none" w:sz="0" w:space="0" w:color="auto"/>
        <w:bottom w:val="none" w:sz="0" w:space="0" w:color="auto"/>
        <w:right w:val="none" w:sz="0" w:space="0" w:color="auto"/>
      </w:divBdr>
      <w:divsChild>
        <w:div w:id="1325813424">
          <w:marLeft w:val="0"/>
          <w:marRight w:val="0"/>
          <w:marTop w:val="0"/>
          <w:marBottom w:val="0"/>
          <w:divBdr>
            <w:top w:val="none" w:sz="0" w:space="0" w:color="auto"/>
            <w:left w:val="none" w:sz="0" w:space="0" w:color="auto"/>
            <w:bottom w:val="none" w:sz="0" w:space="0" w:color="auto"/>
            <w:right w:val="none" w:sz="0" w:space="0" w:color="auto"/>
          </w:divBdr>
          <w:divsChild>
            <w:div w:id="318194591">
              <w:marLeft w:val="0"/>
              <w:marRight w:val="0"/>
              <w:marTop w:val="0"/>
              <w:marBottom w:val="0"/>
              <w:divBdr>
                <w:top w:val="none" w:sz="0" w:space="0" w:color="auto"/>
                <w:left w:val="none" w:sz="0" w:space="0" w:color="auto"/>
                <w:bottom w:val="none" w:sz="0" w:space="0" w:color="auto"/>
                <w:right w:val="none" w:sz="0" w:space="0" w:color="auto"/>
              </w:divBdr>
              <w:divsChild>
                <w:div w:id="15880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3889">
      <w:bodyDiv w:val="1"/>
      <w:marLeft w:val="0"/>
      <w:marRight w:val="0"/>
      <w:marTop w:val="0"/>
      <w:marBottom w:val="0"/>
      <w:divBdr>
        <w:top w:val="none" w:sz="0" w:space="0" w:color="auto"/>
        <w:left w:val="none" w:sz="0" w:space="0" w:color="auto"/>
        <w:bottom w:val="none" w:sz="0" w:space="0" w:color="auto"/>
        <w:right w:val="none" w:sz="0" w:space="0" w:color="auto"/>
      </w:divBdr>
    </w:div>
    <w:div w:id="781152930">
      <w:bodyDiv w:val="1"/>
      <w:marLeft w:val="0"/>
      <w:marRight w:val="0"/>
      <w:marTop w:val="0"/>
      <w:marBottom w:val="0"/>
      <w:divBdr>
        <w:top w:val="none" w:sz="0" w:space="0" w:color="auto"/>
        <w:left w:val="none" w:sz="0" w:space="0" w:color="auto"/>
        <w:bottom w:val="none" w:sz="0" w:space="0" w:color="auto"/>
        <w:right w:val="none" w:sz="0" w:space="0" w:color="auto"/>
      </w:divBdr>
    </w:div>
    <w:div w:id="783767766">
      <w:bodyDiv w:val="1"/>
      <w:marLeft w:val="0"/>
      <w:marRight w:val="0"/>
      <w:marTop w:val="0"/>
      <w:marBottom w:val="0"/>
      <w:divBdr>
        <w:top w:val="none" w:sz="0" w:space="0" w:color="auto"/>
        <w:left w:val="none" w:sz="0" w:space="0" w:color="auto"/>
        <w:bottom w:val="none" w:sz="0" w:space="0" w:color="auto"/>
        <w:right w:val="none" w:sz="0" w:space="0" w:color="auto"/>
      </w:divBdr>
      <w:divsChild>
        <w:div w:id="1188445930">
          <w:marLeft w:val="0"/>
          <w:marRight w:val="0"/>
          <w:marTop w:val="0"/>
          <w:marBottom w:val="0"/>
          <w:divBdr>
            <w:top w:val="none" w:sz="0" w:space="0" w:color="auto"/>
            <w:left w:val="none" w:sz="0" w:space="0" w:color="auto"/>
            <w:bottom w:val="none" w:sz="0" w:space="0" w:color="auto"/>
            <w:right w:val="none" w:sz="0" w:space="0" w:color="auto"/>
          </w:divBdr>
        </w:div>
        <w:div w:id="865098754">
          <w:marLeft w:val="0"/>
          <w:marRight w:val="0"/>
          <w:marTop w:val="0"/>
          <w:marBottom w:val="0"/>
          <w:divBdr>
            <w:top w:val="none" w:sz="0" w:space="0" w:color="auto"/>
            <w:left w:val="none" w:sz="0" w:space="0" w:color="auto"/>
            <w:bottom w:val="none" w:sz="0" w:space="0" w:color="auto"/>
            <w:right w:val="none" w:sz="0" w:space="0" w:color="auto"/>
          </w:divBdr>
        </w:div>
        <w:div w:id="1267809688">
          <w:marLeft w:val="0"/>
          <w:marRight w:val="0"/>
          <w:marTop w:val="0"/>
          <w:marBottom w:val="0"/>
          <w:divBdr>
            <w:top w:val="none" w:sz="0" w:space="0" w:color="auto"/>
            <w:left w:val="none" w:sz="0" w:space="0" w:color="auto"/>
            <w:bottom w:val="none" w:sz="0" w:space="0" w:color="auto"/>
            <w:right w:val="none" w:sz="0" w:space="0" w:color="auto"/>
          </w:divBdr>
        </w:div>
        <w:div w:id="151336685">
          <w:marLeft w:val="0"/>
          <w:marRight w:val="0"/>
          <w:marTop w:val="0"/>
          <w:marBottom w:val="0"/>
          <w:divBdr>
            <w:top w:val="none" w:sz="0" w:space="0" w:color="auto"/>
            <w:left w:val="none" w:sz="0" w:space="0" w:color="auto"/>
            <w:bottom w:val="none" w:sz="0" w:space="0" w:color="auto"/>
            <w:right w:val="none" w:sz="0" w:space="0" w:color="auto"/>
          </w:divBdr>
        </w:div>
      </w:divsChild>
    </w:div>
    <w:div w:id="807286532">
      <w:bodyDiv w:val="1"/>
      <w:marLeft w:val="0"/>
      <w:marRight w:val="0"/>
      <w:marTop w:val="0"/>
      <w:marBottom w:val="0"/>
      <w:divBdr>
        <w:top w:val="none" w:sz="0" w:space="0" w:color="auto"/>
        <w:left w:val="none" w:sz="0" w:space="0" w:color="auto"/>
        <w:bottom w:val="none" w:sz="0" w:space="0" w:color="auto"/>
        <w:right w:val="none" w:sz="0" w:space="0" w:color="auto"/>
      </w:divBdr>
    </w:div>
    <w:div w:id="856893712">
      <w:bodyDiv w:val="1"/>
      <w:marLeft w:val="0"/>
      <w:marRight w:val="0"/>
      <w:marTop w:val="0"/>
      <w:marBottom w:val="0"/>
      <w:divBdr>
        <w:top w:val="none" w:sz="0" w:space="0" w:color="auto"/>
        <w:left w:val="none" w:sz="0" w:space="0" w:color="auto"/>
        <w:bottom w:val="none" w:sz="0" w:space="0" w:color="auto"/>
        <w:right w:val="none" w:sz="0" w:space="0" w:color="auto"/>
      </w:divBdr>
    </w:div>
    <w:div w:id="1033534807">
      <w:bodyDiv w:val="1"/>
      <w:marLeft w:val="0"/>
      <w:marRight w:val="0"/>
      <w:marTop w:val="0"/>
      <w:marBottom w:val="0"/>
      <w:divBdr>
        <w:top w:val="none" w:sz="0" w:space="0" w:color="auto"/>
        <w:left w:val="none" w:sz="0" w:space="0" w:color="auto"/>
        <w:bottom w:val="none" w:sz="0" w:space="0" w:color="auto"/>
        <w:right w:val="none" w:sz="0" w:space="0" w:color="auto"/>
      </w:divBdr>
    </w:div>
    <w:div w:id="1037123952">
      <w:bodyDiv w:val="1"/>
      <w:marLeft w:val="0"/>
      <w:marRight w:val="0"/>
      <w:marTop w:val="0"/>
      <w:marBottom w:val="0"/>
      <w:divBdr>
        <w:top w:val="none" w:sz="0" w:space="0" w:color="auto"/>
        <w:left w:val="none" w:sz="0" w:space="0" w:color="auto"/>
        <w:bottom w:val="none" w:sz="0" w:space="0" w:color="auto"/>
        <w:right w:val="none" w:sz="0" w:space="0" w:color="auto"/>
      </w:divBdr>
    </w:div>
    <w:div w:id="1059281166">
      <w:bodyDiv w:val="1"/>
      <w:marLeft w:val="0"/>
      <w:marRight w:val="0"/>
      <w:marTop w:val="0"/>
      <w:marBottom w:val="0"/>
      <w:divBdr>
        <w:top w:val="none" w:sz="0" w:space="0" w:color="auto"/>
        <w:left w:val="none" w:sz="0" w:space="0" w:color="auto"/>
        <w:bottom w:val="none" w:sz="0" w:space="0" w:color="auto"/>
        <w:right w:val="none" w:sz="0" w:space="0" w:color="auto"/>
      </w:divBdr>
    </w:div>
    <w:div w:id="1204096394">
      <w:bodyDiv w:val="1"/>
      <w:marLeft w:val="0"/>
      <w:marRight w:val="0"/>
      <w:marTop w:val="0"/>
      <w:marBottom w:val="0"/>
      <w:divBdr>
        <w:top w:val="none" w:sz="0" w:space="0" w:color="auto"/>
        <w:left w:val="none" w:sz="0" w:space="0" w:color="auto"/>
        <w:bottom w:val="none" w:sz="0" w:space="0" w:color="auto"/>
        <w:right w:val="none" w:sz="0" w:space="0" w:color="auto"/>
      </w:divBdr>
    </w:div>
    <w:div w:id="1236163293">
      <w:bodyDiv w:val="1"/>
      <w:marLeft w:val="0"/>
      <w:marRight w:val="0"/>
      <w:marTop w:val="0"/>
      <w:marBottom w:val="0"/>
      <w:divBdr>
        <w:top w:val="none" w:sz="0" w:space="0" w:color="auto"/>
        <w:left w:val="none" w:sz="0" w:space="0" w:color="auto"/>
        <w:bottom w:val="none" w:sz="0" w:space="0" w:color="auto"/>
        <w:right w:val="none" w:sz="0" w:space="0" w:color="auto"/>
      </w:divBdr>
    </w:div>
    <w:div w:id="1250306745">
      <w:bodyDiv w:val="1"/>
      <w:marLeft w:val="0"/>
      <w:marRight w:val="0"/>
      <w:marTop w:val="0"/>
      <w:marBottom w:val="0"/>
      <w:divBdr>
        <w:top w:val="none" w:sz="0" w:space="0" w:color="auto"/>
        <w:left w:val="none" w:sz="0" w:space="0" w:color="auto"/>
        <w:bottom w:val="none" w:sz="0" w:space="0" w:color="auto"/>
        <w:right w:val="none" w:sz="0" w:space="0" w:color="auto"/>
      </w:divBdr>
    </w:div>
    <w:div w:id="1261917067">
      <w:bodyDiv w:val="1"/>
      <w:marLeft w:val="0"/>
      <w:marRight w:val="0"/>
      <w:marTop w:val="0"/>
      <w:marBottom w:val="0"/>
      <w:divBdr>
        <w:top w:val="none" w:sz="0" w:space="0" w:color="auto"/>
        <w:left w:val="none" w:sz="0" w:space="0" w:color="auto"/>
        <w:bottom w:val="none" w:sz="0" w:space="0" w:color="auto"/>
        <w:right w:val="none" w:sz="0" w:space="0" w:color="auto"/>
      </w:divBdr>
    </w:div>
    <w:div w:id="1287544352">
      <w:bodyDiv w:val="1"/>
      <w:marLeft w:val="0"/>
      <w:marRight w:val="0"/>
      <w:marTop w:val="0"/>
      <w:marBottom w:val="0"/>
      <w:divBdr>
        <w:top w:val="none" w:sz="0" w:space="0" w:color="auto"/>
        <w:left w:val="none" w:sz="0" w:space="0" w:color="auto"/>
        <w:bottom w:val="none" w:sz="0" w:space="0" w:color="auto"/>
        <w:right w:val="none" w:sz="0" w:space="0" w:color="auto"/>
      </w:divBdr>
    </w:div>
    <w:div w:id="1327323686">
      <w:bodyDiv w:val="1"/>
      <w:marLeft w:val="0"/>
      <w:marRight w:val="0"/>
      <w:marTop w:val="0"/>
      <w:marBottom w:val="0"/>
      <w:divBdr>
        <w:top w:val="none" w:sz="0" w:space="0" w:color="auto"/>
        <w:left w:val="none" w:sz="0" w:space="0" w:color="auto"/>
        <w:bottom w:val="none" w:sz="0" w:space="0" w:color="auto"/>
        <w:right w:val="none" w:sz="0" w:space="0" w:color="auto"/>
      </w:divBdr>
    </w:div>
    <w:div w:id="1364751383">
      <w:bodyDiv w:val="1"/>
      <w:marLeft w:val="0"/>
      <w:marRight w:val="0"/>
      <w:marTop w:val="0"/>
      <w:marBottom w:val="0"/>
      <w:divBdr>
        <w:top w:val="none" w:sz="0" w:space="0" w:color="auto"/>
        <w:left w:val="none" w:sz="0" w:space="0" w:color="auto"/>
        <w:bottom w:val="none" w:sz="0" w:space="0" w:color="auto"/>
        <w:right w:val="none" w:sz="0" w:space="0" w:color="auto"/>
      </w:divBdr>
    </w:div>
    <w:div w:id="1370229281">
      <w:bodyDiv w:val="1"/>
      <w:marLeft w:val="0"/>
      <w:marRight w:val="0"/>
      <w:marTop w:val="0"/>
      <w:marBottom w:val="0"/>
      <w:divBdr>
        <w:top w:val="none" w:sz="0" w:space="0" w:color="auto"/>
        <w:left w:val="none" w:sz="0" w:space="0" w:color="auto"/>
        <w:bottom w:val="none" w:sz="0" w:space="0" w:color="auto"/>
        <w:right w:val="none" w:sz="0" w:space="0" w:color="auto"/>
      </w:divBdr>
    </w:div>
    <w:div w:id="1426339009">
      <w:bodyDiv w:val="1"/>
      <w:marLeft w:val="0"/>
      <w:marRight w:val="0"/>
      <w:marTop w:val="0"/>
      <w:marBottom w:val="0"/>
      <w:divBdr>
        <w:top w:val="none" w:sz="0" w:space="0" w:color="auto"/>
        <w:left w:val="none" w:sz="0" w:space="0" w:color="auto"/>
        <w:bottom w:val="none" w:sz="0" w:space="0" w:color="auto"/>
        <w:right w:val="none" w:sz="0" w:space="0" w:color="auto"/>
      </w:divBdr>
    </w:div>
    <w:div w:id="1442990875">
      <w:bodyDiv w:val="1"/>
      <w:marLeft w:val="0"/>
      <w:marRight w:val="0"/>
      <w:marTop w:val="0"/>
      <w:marBottom w:val="0"/>
      <w:divBdr>
        <w:top w:val="none" w:sz="0" w:space="0" w:color="auto"/>
        <w:left w:val="none" w:sz="0" w:space="0" w:color="auto"/>
        <w:bottom w:val="none" w:sz="0" w:space="0" w:color="auto"/>
        <w:right w:val="none" w:sz="0" w:space="0" w:color="auto"/>
      </w:divBdr>
    </w:div>
    <w:div w:id="1463114223">
      <w:bodyDiv w:val="1"/>
      <w:marLeft w:val="0"/>
      <w:marRight w:val="0"/>
      <w:marTop w:val="0"/>
      <w:marBottom w:val="0"/>
      <w:divBdr>
        <w:top w:val="none" w:sz="0" w:space="0" w:color="auto"/>
        <w:left w:val="none" w:sz="0" w:space="0" w:color="auto"/>
        <w:bottom w:val="none" w:sz="0" w:space="0" w:color="auto"/>
        <w:right w:val="none" w:sz="0" w:space="0" w:color="auto"/>
      </w:divBdr>
    </w:div>
    <w:div w:id="1470855462">
      <w:bodyDiv w:val="1"/>
      <w:marLeft w:val="0"/>
      <w:marRight w:val="0"/>
      <w:marTop w:val="0"/>
      <w:marBottom w:val="0"/>
      <w:divBdr>
        <w:top w:val="none" w:sz="0" w:space="0" w:color="auto"/>
        <w:left w:val="none" w:sz="0" w:space="0" w:color="auto"/>
        <w:bottom w:val="none" w:sz="0" w:space="0" w:color="auto"/>
        <w:right w:val="none" w:sz="0" w:space="0" w:color="auto"/>
      </w:divBdr>
    </w:div>
    <w:div w:id="1597637351">
      <w:bodyDiv w:val="1"/>
      <w:marLeft w:val="0"/>
      <w:marRight w:val="0"/>
      <w:marTop w:val="0"/>
      <w:marBottom w:val="0"/>
      <w:divBdr>
        <w:top w:val="none" w:sz="0" w:space="0" w:color="auto"/>
        <w:left w:val="none" w:sz="0" w:space="0" w:color="auto"/>
        <w:bottom w:val="none" w:sz="0" w:space="0" w:color="auto"/>
        <w:right w:val="none" w:sz="0" w:space="0" w:color="auto"/>
      </w:divBdr>
    </w:div>
    <w:div w:id="1621261207">
      <w:bodyDiv w:val="1"/>
      <w:marLeft w:val="0"/>
      <w:marRight w:val="0"/>
      <w:marTop w:val="0"/>
      <w:marBottom w:val="0"/>
      <w:divBdr>
        <w:top w:val="none" w:sz="0" w:space="0" w:color="auto"/>
        <w:left w:val="none" w:sz="0" w:space="0" w:color="auto"/>
        <w:bottom w:val="none" w:sz="0" w:space="0" w:color="auto"/>
        <w:right w:val="none" w:sz="0" w:space="0" w:color="auto"/>
      </w:divBdr>
    </w:div>
    <w:div w:id="1641767849">
      <w:bodyDiv w:val="1"/>
      <w:marLeft w:val="0"/>
      <w:marRight w:val="0"/>
      <w:marTop w:val="0"/>
      <w:marBottom w:val="0"/>
      <w:divBdr>
        <w:top w:val="none" w:sz="0" w:space="0" w:color="auto"/>
        <w:left w:val="none" w:sz="0" w:space="0" w:color="auto"/>
        <w:bottom w:val="none" w:sz="0" w:space="0" w:color="auto"/>
        <w:right w:val="none" w:sz="0" w:space="0" w:color="auto"/>
      </w:divBdr>
    </w:div>
    <w:div w:id="1808812346">
      <w:bodyDiv w:val="1"/>
      <w:marLeft w:val="0"/>
      <w:marRight w:val="0"/>
      <w:marTop w:val="0"/>
      <w:marBottom w:val="0"/>
      <w:divBdr>
        <w:top w:val="none" w:sz="0" w:space="0" w:color="auto"/>
        <w:left w:val="none" w:sz="0" w:space="0" w:color="auto"/>
        <w:bottom w:val="none" w:sz="0" w:space="0" w:color="auto"/>
        <w:right w:val="none" w:sz="0" w:space="0" w:color="auto"/>
      </w:divBdr>
    </w:div>
    <w:div w:id="1811484787">
      <w:bodyDiv w:val="1"/>
      <w:marLeft w:val="0"/>
      <w:marRight w:val="0"/>
      <w:marTop w:val="0"/>
      <w:marBottom w:val="0"/>
      <w:divBdr>
        <w:top w:val="none" w:sz="0" w:space="0" w:color="auto"/>
        <w:left w:val="none" w:sz="0" w:space="0" w:color="auto"/>
        <w:bottom w:val="none" w:sz="0" w:space="0" w:color="auto"/>
        <w:right w:val="none" w:sz="0" w:space="0" w:color="auto"/>
      </w:divBdr>
    </w:div>
    <w:div w:id="1871141508">
      <w:bodyDiv w:val="1"/>
      <w:marLeft w:val="0"/>
      <w:marRight w:val="0"/>
      <w:marTop w:val="0"/>
      <w:marBottom w:val="0"/>
      <w:divBdr>
        <w:top w:val="none" w:sz="0" w:space="0" w:color="auto"/>
        <w:left w:val="none" w:sz="0" w:space="0" w:color="auto"/>
        <w:bottom w:val="none" w:sz="0" w:space="0" w:color="auto"/>
        <w:right w:val="none" w:sz="0" w:space="0" w:color="auto"/>
      </w:divBdr>
    </w:div>
    <w:div w:id="2106341656">
      <w:bodyDiv w:val="1"/>
      <w:marLeft w:val="0"/>
      <w:marRight w:val="0"/>
      <w:marTop w:val="0"/>
      <w:marBottom w:val="0"/>
      <w:divBdr>
        <w:top w:val="none" w:sz="0" w:space="0" w:color="auto"/>
        <w:left w:val="none" w:sz="0" w:space="0" w:color="auto"/>
        <w:bottom w:val="none" w:sz="0" w:space="0" w:color="auto"/>
        <w:right w:val="none" w:sz="0" w:space="0" w:color="auto"/>
      </w:divBdr>
    </w:div>
    <w:div w:id="212140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microsoft.com/office/2007/relationships/diagramDrawing" Target="diagrams/drawing1.xml"/><Relationship Id="rId26" Type="http://schemas.openxmlformats.org/officeDocument/2006/relationships/chart" Target="charts/chart4.xml"/><Relationship Id="rId39" Type="http://schemas.openxmlformats.org/officeDocument/2006/relationships/hyperlink" Target="https://www.elsevier.com/openaccesslicenses" TargetMode="External"/><Relationship Id="rId21" Type="http://schemas.openxmlformats.org/officeDocument/2006/relationships/image" Target="media/image2.png"/><Relationship Id="rId34" Type="http://schemas.openxmlformats.org/officeDocument/2006/relationships/hyperlink" Target="https://www.elsevier.com/conflictsofinterest" TargetMode="External"/><Relationship Id="rId42" Type="http://schemas.openxmlformats.org/officeDocument/2006/relationships/hyperlink" Target="http://ees.elsevier.com/gaipos/" TargetMode="External"/><Relationship Id="rId47" Type="http://schemas.openxmlformats.org/officeDocument/2006/relationships/hyperlink" Target="http://www.nlm.nih.gov/bsd/uniform_requirements.html" TargetMode="External"/><Relationship Id="rId50" Type="http://schemas.openxmlformats.org/officeDocument/2006/relationships/hyperlink" Target="http://support.elsevier.com" TargetMode="External"/><Relationship Id="rId55" Type="http://schemas.openxmlformats.org/officeDocument/2006/relationships/hyperlink" Target="http://www.elsevier.com"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chart" Target="charts/chart3.xml"/><Relationship Id="rId33" Type="http://schemas.openxmlformats.org/officeDocument/2006/relationships/hyperlink" Target="https://www.elsevier.com/journal-authors/ethics" TargetMode="External"/><Relationship Id="rId38" Type="http://schemas.openxmlformats.org/officeDocument/2006/relationships/hyperlink" Target="https://www.elsevier.com/OAauthoragreement" TargetMode="External"/><Relationship Id="rId46" Type="http://schemas.openxmlformats.org/officeDocument/2006/relationships/hyperlink" Target="http://open.mendeley.com/use-citation-style/gait-and-posture"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1.xml"/><Relationship Id="rId29" Type="http://schemas.openxmlformats.org/officeDocument/2006/relationships/chart" Target="charts/chart7.xml"/><Relationship Id="rId41" Type="http://schemas.openxmlformats.org/officeDocument/2006/relationships/hyperlink" Target="https://www.elsevier.com/openaccesspricing" TargetMode="External"/><Relationship Id="rId54" Type="http://schemas.openxmlformats.org/officeDocument/2006/relationships/hyperlink" Target="http://support.elsevi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2.xml"/><Relationship Id="rId32" Type="http://schemas.microsoft.com/office/2007/relationships/hdphoto" Target="media/hdphoto1.wdp"/><Relationship Id="rId37" Type="http://schemas.openxmlformats.org/officeDocument/2006/relationships/hyperlink" Target="https://www.elsevier.com/authors/article-transfer-service" TargetMode="External"/><Relationship Id="rId40" Type="http://schemas.openxmlformats.org/officeDocument/2006/relationships/hyperlink" Target="https://www.elsevier.com/copyright" TargetMode="External"/><Relationship Id="rId45" Type="http://schemas.openxmlformats.org/officeDocument/2006/relationships/hyperlink" Target="http://www.elsevier.com/wps/find/authorshome.authors/copyright" TargetMode="External"/><Relationship Id="rId53" Type="http://schemas.openxmlformats.org/officeDocument/2006/relationships/hyperlink" Target="http://webshop.elsevier.com/myarticleservices/booklets"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4.png"/><Relationship Id="rId28" Type="http://schemas.openxmlformats.org/officeDocument/2006/relationships/chart" Target="charts/chart6.xml"/><Relationship Id="rId36" Type="http://schemas.openxmlformats.org/officeDocument/2006/relationships/hyperlink" Target="https://www.elsevier.com/editors/plagdetect" TargetMode="External"/><Relationship Id="rId49" Type="http://schemas.openxmlformats.org/officeDocument/2006/relationships/hyperlink" Target="https://www.elsevier.com/artworkinstructions" TargetMode="External"/><Relationship Id="rId57" Type="http://schemas.openxmlformats.org/officeDocument/2006/relationships/fontTable" Target="fontTable.xml"/><Relationship Id="rId61"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5.png"/><Relationship Id="rId44" Type="http://schemas.openxmlformats.org/officeDocument/2006/relationships/hyperlink" Target="http://www.icmje.org" TargetMode="External"/><Relationship Id="rId52" Type="http://schemas.openxmlformats.org/officeDocument/2006/relationships/hyperlink" Target="http://webshop.elsevier.com/myarticleservices/offprints" TargetMode="External"/><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service.elsevier.com/app/answers/detail/a_id/286/supporthub/publishing" TargetMode="External"/><Relationship Id="rId43" Type="http://schemas.openxmlformats.org/officeDocument/2006/relationships/hyperlink" Target="http://www.elsevier.com/wps/find/authors.authors/authorartworkinstructions" TargetMode="External"/><Relationship Id="rId48" Type="http://schemas.openxmlformats.org/officeDocument/2006/relationships/hyperlink" Target="https://www.elsevier.com/audioslides"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dx.doi.org/10.1016/j.physletb.2010.09.059"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vie\Documents\Revalidatiewetenschappen%20en%20kinesitherapie%20KU%20Leuven\master\thesis\Afwerking%20thesis\Grafieken\MAPS%20and%20GPS%20bar%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vie\Documents\Revalidatiewetenschappen%20en%20kinesitherapie%20KU%20Leuven\master\thesis\Afwerking%20thesis\Grafieken\grafieken%20per%20pati&#235;nt%20per%20parame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vie\Documents\Revalidatiewetenschappen%20en%20kinesitherapie%20KU%20Leuven\master\thesis\Afwerking%20thesis\Grafieken\grafieken%20per%20pati&#235;nt%20per%20parame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e%20master\thesis\afwerking%20thesis\grafieken%20die%20we%20waarschijnlijk%20gaan%20gebruiken\grafieken%20per%20pati&#235;nt%20per%20parame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vie\Documents\Revalidatiewetenschappen%20en%20kinesitherapie%20KU%20Leuven\master\thesis\Afwerking%20thesis\Grafieken\grafieken%20per%20pati&#235;nt%20per%20parame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2e%20master\thesis\afwerking%20thesis\grafieken%20die%20we%20waarschijnlijk%20gaan%20gebruiken\grafieken%20per%20pati&#235;nt%20per%20paramet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2e%20master\thesis\afwerking%20thesis\grafieken%20die%20we%20waarschijnlijk%20gaan%20gebruiken\grafieken%20per%20pati&#235;nt%20per%20parameter.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'MAPS &amp; GPS alle ptn'!$A$2</c:f>
              <c:strCache>
                <c:ptCount val="1"/>
                <c:pt idx="0">
                  <c:v>pre SEMLS (n=31)</c:v>
                </c:pt>
              </c:strCache>
            </c:strRef>
          </c:tx>
          <c:spPr>
            <a:solidFill>
              <a:schemeClr val="bg1"/>
            </a:solidFill>
            <a:ln>
              <a:solidFill>
                <a:schemeClr val="tx1"/>
              </a:solidFill>
            </a:ln>
          </c:spPr>
          <c:invertIfNegative val="0"/>
          <c:cat>
            <c:strRef>
              <c:f>'MAPS &amp; GPS alle ptn'!$B$1:$N$1</c:f>
              <c:strCache>
                <c:ptCount val="13"/>
                <c:pt idx="0">
                  <c:v>Pel tilt</c:v>
                </c:pt>
                <c:pt idx="1">
                  <c:v>Hip flex</c:v>
                </c:pt>
                <c:pt idx="2">
                  <c:v>Knee flex</c:v>
                </c:pt>
                <c:pt idx="3">
                  <c:v>Ank dors</c:v>
                </c:pt>
                <c:pt idx="4">
                  <c:v>Pel obl</c:v>
                </c:pt>
                <c:pt idx="5">
                  <c:v>Hip abd</c:v>
                </c:pt>
                <c:pt idx="6">
                  <c:v>Pel rot</c:v>
                </c:pt>
                <c:pt idx="7">
                  <c:v>Hip rot</c:v>
                </c:pt>
                <c:pt idx="8">
                  <c:v>Foot prog</c:v>
                </c:pt>
                <c:pt idx="10">
                  <c:v>GPS</c:v>
                </c:pt>
                <c:pt idx="11">
                  <c:v>GPS sag</c:v>
                </c:pt>
                <c:pt idx="12">
                  <c:v>GPS trans</c:v>
                </c:pt>
              </c:strCache>
            </c:strRef>
          </c:cat>
          <c:val>
            <c:numRef>
              <c:f>'MAPS &amp; GPS alle ptn'!$B$2:$N$2</c:f>
              <c:numCache>
                <c:formatCode>General</c:formatCode>
                <c:ptCount val="13"/>
                <c:pt idx="0">
                  <c:v>9.2325872568930691</c:v>
                </c:pt>
                <c:pt idx="1">
                  <c:v>16.695004105992691</c:v>
                </c:pt>
                <c:pt idx="2">
                  <c:v>23.332970516140772</c:v>
                </c:pt>
                <c:pt idx="3">
                  <c:v>12.43965948512335</c:v>
                </c:pt>
                <c:pt idx="4">
                  <c:v>4.117833903888485</c:v>
                </c:pt>
                <c:pt idx="5">
                  <c:v>5.4747489562011626</c:v>
                </c:pt>
                <c:pt idx="6">
                  <c:v>8.7898852003300973</c:v>
                </c:pt>
                <c:pt idx="7">
                  <c:v>16.613064383392665</c:v>
                </c:pt>
                <c:pt idx="8">
                  <c:v>17.347567584586304</c:v>
                </c:pt>
                <c:pt idx="10">
                  <c:v>15.562729225709235</c:v>
                </c:pt>
                <c:pt idx="11">
                  <c:v>17.158359558259892</c:v>
                </c:pt>
                <c:pt idx="12">
                  <c:v>16.026596851223161</c:v>
                </c:pt>
              </c:numCache>
            </c:numRef>
          </c:val>
        </c:ser>
        <c:ser>
          <c:idx val="1"/>
          <c:order val="1"/>
          <c:tx>
            <c:strRef>
              <c:f>'MAPS &amp; GPS alle ptn'!$A$3</c:f>
              <c:strCache>
                <c:ptCount val="1"/>
                <c:pt idx="0">
                  <c:v>2 year FU (n=29)</c:v>
                </c:pt>
              </c:strCache>
            </c:strRef>
          </c:tx>
          <c:invertIfNegative val="0"/>
          <c:cat>
            <c:strRef>
              <c:f>'MAPS &amp; GPS alle ptn'!$B$1:$N$1</c:f>
              <c:strCache>
                <c:ptCount val="13"/>
                <c:pt idx="0">
                  <c:v>Pel tilt</c:v>
                </c:pt>
                <c:pt idx="1">
                  <c:v>Hip flex</c:v>
                </c:pt>
                <c:pt idx="2">
                  <c:v>Knee flex</c:v>
                </c:pt>
                <c:pt idx="3">
                  <c:v>Ank dors</c:v>
                </c:pt>
                <c:pt idx="4">
                  <c:v>Pel obl</c:v>
                </c:pt>
                <c:pt idx="5">
                  <c:v>Hip abd</c:v>
                </c:pt>
                <c:pt idx="6">
                  <c:v>Pel rot</c:v>
                </c:pt>
                <c:pt idx="7">
                  <c:v>Hip rot</c:v>
                </c:pt>
                <c:pt idx="8">
                  <c:v>Foot prog</c:v>
                </c:pt>
                <c:pt idx="10">
                  <c:v>GPS</c:v>
                </c:pt>
                <c:pt idx="11">
                  <c:v>GPS sag</c:v>
                </c:pt>
                <c:pt idx="12">
                  <c:v>GPS trans</c:v>
                </c:pt>
              </c:strCache>
            </c:strRef>
          </c:cat>
          <c:val>
            <c:numRef>
              <c:f>'MAPS &amp; GPS alle ptn'!$B$3:$N$3</c:f>
              <c:numCache>
                <c:formatCode>General</c:formatCode>
                <c:ptCount val="13"/>
                <c:pt idx="0">
                  <c:v>8.8599621919074281</c:v>
                </c:pt>
                <c:pt idx="1">
                  <c:v>12.154445477260467</c:v>
                </c:pt>
                <c:pt idx="2">
                  <c:v>15.067865029495803</c:v>
                </c:pt>
                <c:pt idx="3">
                  <c:v>8.8910560432865324</c:v>
                </c:pt>
                <c:pt idx="4">
                  <c:v>3.8480366101739003</c:v>
                </c:pt>
                <c:pt idx="5">
                  <c:v>5.293619658989865</c:v>
                </c:pt>
                <c:pt idx="6">
                  <c:v>6.4218517843667993</c:v>
                </c:pt>
                <c:pt idx="7">
                  <c:v>10.32427513876736</c:v>
                </c:pt>
                <c:pt idx="8">
                  <c:v>12.877515371318095</c:v>
                </c:pt>
                <c:pt idx="10">
                  <c:v>10.597318393722055</c:v>
                </c:pt>
                <c:pt idx="11">
                  <c:v>12.056498419813853</c:v>
                </c:pt>
                <c:pt idx="12">
                  <c:v>10.66752245626483</c:v>
                </c:pt>
              </c:numCache>
            </c:numRef>
          </c:val>
        </c:ser>
        <c:ser>
          <c:idx val="2"/>
          <c:order val="2"/>
          <c:tx>
            <c:strRef>
              <c:f>'MAPS &amp; GPS alle ptn'!$A$4</c:f>
              <c:strCache>
                <c:ptCount val="1"/>
                <c:pt idx="0">
                  <c:v>5 year FU (n=20)</c:v>
                </c:pt>
              </c:strCache>
            </c:strRef>
          </c:tx>
          <c:invertIfNegative val="0"/>
          <c:cat>
            <c:strRef>
              <c:f>'MAPS &amp; GPS alle ptn'!$B$1:$N$1</c:f>
              <c:strCache>
                <c:ptCount val="13"/>
                <c:pt idx="0">
                  <c:v>Pel tilt</c:v>
                </c:pt>
                <c:pt idx="1">
                  <c:v>Hip flex</c:v>
                </c:pt>
                <c:pt idx="2">
                  <c:v>Knee flex</c:v>
                </c:pt>
                <c:pt idx="3">
                  <c:v>Ank dors</c:v>
                </c:pt>
                <c:pt idx="4">
                  <c:v>Pel obl</c:v>
                </c:pt>
                <c:pt idx="5">
                  <c:v>Hip abd</c:v>
                </c:pt>
                <c:pt idx="6">
                  <c:v>Pel rot</c:v>
                </c:pt>
                <c:pt idx="7">
                  <c:v>Hip rot</c:v>
                </c:pt>
                <c:pt idx="8">
                  <c:v>Foot prog</c:v>
                </c:pt>
                <c:pt idx="10">
                  <c:v>GPS</c:v>
                </c:pt>
                <c:pt idx="11">
                  <c:v>GPS sag</c:v>
                </c:pt>
                <c:pt idx="12">
                  <c:v>GPS trans</c:v>
                </c:pt>
              </c:strCache>
            </c:strRef>
          </c:cat>
          <c:val>
            <c:numRef>
              <c:f>'MAPS &amp; GPS alle ptn'!$B$4:$N$4</c:f>
              <c:numCache>
                <c:formatCode>General</c:formatCode>
                <c:ptCount val="13"/>
                <c:pt idx="0">
                  <c:v>8.4683242558982066</c:v>
                </c:pt>
                <c:pt idx="1">
                  <c:v>12.090056501512496</c:v>
                </c:pt>
                <c:pt idx="2">
                  <c:v>13.176114713884498</c:v>
                </c:pt>
                <c:pt idx="3">
                  <c:v>8.1644436414605899</c:v>
                </c:pt>
                <c:pt idx="4">
                  <c:v>4.104573082844988</c:v>
                </c:pt>
                <c:pt idx="5">
                  <c:v>4.9836735507251237</c:v>
                </c:pt>
                <c:pt idx="6">
                  <c:v>7.4926384023133306</c:v>
                </c:pt>
                <c:pt idx="7">
                  <c:v>12.757079295453106</c:v>
                </c:pt>
                <c:pt idx="8">
                  <c:v>11.617351019733846</c:v>
                </c:pt>
                <c:pt idx="10">
                  <c:v>10.490011866639644</c:v>
                </c:pt>
                <c:pt idx="11">
                  <c:v>11.100857810385051</c:v>
                </c:pt>
                <c:pt idx="12">
                  <c:v>11.653500728396276</c:v>
                </c:pt>
              </c:numCache>
            </c:numRef>
          </c:val>
        </c:ser>
        <c:ser>
          <c:idx val="3"/>
          <c:order val="3"/>
          <c:tx>
            <c:strRef>
              <c:f>'MAPS &amp; GPS alle ptn'!$A$5</c:f>
              <c:strCache>
                <c:ptCount val="1"/>
                <c:pt idx="0">
                  <c:v>8 year FU (n=20)</c:v>
                </c:pt>
              </c:strCache>
            </c:strRef>
          </c:tx>
          <c:invertIfNegative val="0"/>
          <c:cat>
            <c:strRef>
              <c:f>'MAPS &amp; GPS alle ptn'!$B$1:$N$1</c:f>
              <c:strCache>
                <c:ptCount val="13"/>
                <c:pt idx="0">
                  <c:v>Pel tilt</c:v>
                </c:pt>
                <c:pt idx="1">
                  <c:v>Hip flex</c:v>
                </c:pt>
                <c:pt idx="2">
                  <c:v>Knee flex</c:v>
                </c:pt>
                <c:pt idx="3">
                  <c:v>Ank dors</c:v>
                </c:pt>
                <c:pt idx="4">
                  <c:v>Pel obl</c:v>
                </c:pt>
                <c:pt idx="5">
                  <c:v>Hip abd</c:v>
                </c:pt>
                <c:pt idx="6">
                  <c:v>Pel rot</c:v>
                </c:pt>
                <c:pt idx="7">
                  <c:v>Hip rot</c:v>
                </c:pt>
                <c:pt idx="8">
                  <c:v>Foot prog</c:v>
                </c:pt>
                <c:pt idx="10">
                  <c:v>GPS</c:v>
                </c:pt>
                <c:pt idx="11">
                  <c:v>GPS sag</c:v>
                </c:pt>
                <c:pt idx="12">
                  <c:v>GPS trans</c:v>
                </c:pt>
              </c:strCache>
            </c:strRef>
          </c:cat>
          <c:val>
            <c:numRef>
              <c:f>'MAPS &amp; GPS alle ptn'!$B$5:$N$5</c:f>
              <c:numCache>
                <c:formatCode>General</c:formatCode>
                <c:ptCount val="13"/>
                <c:pt idx="0">
                  <c:v>9.3522897121142741</c:v>
                </c:pt>
                <c:pt idx="1">
                  <c:v>13.013691043925618</c:v>
                </c:pt>
                <c:pt idx="2">
                  <c:v>15.991628250032818</c:v>
                </c:pt>
                <c:pt idx="3">
                  <c:v>8.2194277102840516</c:v>
                </c:pt>
                <c:pt idx="4">
                  <c:v>3.6655753875729054</c:v>
                </c:pt>
                <c:pt idx="5">
                  <c:v>5.3095744353883276</c:v>
                </c:pt>
                <c:pt idx="6">
                  <c:v>6.960922895403435</c:v>
                </c:pt>
                <c:pt idx="7">
                  <c:v>12.665357378617784</c:v>
                </c:pt>
                <c:pt idx="8">
                  <c:v>10.826317695316543</c:v>
                </c:pt>
                <c:pt idx="10">
                  <c:v>10.965003705602472</c:v>
                </c:pt>
                <c:pt idx="11">
                  <c:v>12.586634456955576</c:v>
                </c:pt>
                <c:pt idx="12">
                  <c:v>10.912090082982584</c:v>
                </c:pt>
              </c:numCache>
            </c:numRef>
          </c:val>
        </c:ser>
        <c:dLbls>
          <c:showLegendKey val="0"/>
          <c:showVal val="0"/>
          <c:showCatName val="0"/>
          <c:showSerName val="0"/>
          <c:showPercent val="0"/>
          <c:showBubbleSize val="0"/>
        </c:dLbls>
        <c:gapWidth val="150"/>
        <c:axId val="159400704"/>
        <c:axId val="159402240"/>
      </c:barChart>
      <c:catAx>
        <c:axId val="159400704"/>
        <c:scaling>
          <c:orientation val="minMax"/>
        </c:scaling>
        <c:delete val="0"/>
        <c:axPos val="b"/>
        <c:majorTickMark val="out"/>
        <c:minorTickMark val="none"/>
        <c:tickLblPos val="nextTo"/>
        <c:crossAx val="159402240"/>
        <c:crosses val="autoZero"/>
        <c:auto val="1"/>
        <c:lblAlgn val="ctr"/>
        <c:lblOffset val="100"/>
        <c:noMultiLvlLbl val="0"/>
      </c:catAx>
      <c:valAx>
        <c:axId val="159402240"/>
        <c:scaling>
          <c:orientation val="minMax"/>
        </c:scaling>
        <c:delete val="0"/>
        <c:axPos val="l"/>
        <c:majorGridlines/>
        <c:title>
          <c:tx>
            <c:rich>
              <a:bodyPr rot="-5400000" vert="horz"/>
              <a:lstStyle/>
              <a:p>
                <a:pPr>
                  <a:defRPr/>
                </a:pPr>
                <a:r>
                  <a:rPr lang="nl-BE"/>
                  <a:t>RMS</a:t>
                </a:r>
                <a:r>
                  <a:rPr lang="nl-BE" baseline="0"/>
                  <a:t> difference (deg)</a:t>
                </a:r>
                <a:endParaRPr lang="nl-BE"/>
              </a:p>
            </c:rich>
          </c:tx>
          <c:overlay val="0"/>
        </c:title>
        <c:numFmt formatCode="General" sourceLinked="1"/>
        <c:majorTickMark val="out"/>
        <c:minorTickMark val="none"/>
        <c:tickLblPos val="nextTo"/>
        <c:crossAx val="1594007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pivotSource>
    <c:name>[grafieken per patiënt per parameter.xlsx]Pivot tables!Draaitabel64</c:name>
    <c:fmtId val="-1"/>
  </c:pivotSource>
  <c:chart>
    <c:title>
      <c:tx>
        <c:rich>
          <a:bodyPr/>
          <a:lstStyle/>
          <a:p>
            <a:pPr>
              <a:defRPr>
                <a:solidFill>
                  <a:sysClr val="windowText" lastClr="000000"/>
                </a:solidFill>
              </a:defRPr>
            </a:pPr>
            <a:r>
              <a:rPr lang="nl-BE">
                <a:solidFill>
                  <a:sysClr val="windowText" lastClr="000000"/>
                </a:solidFill>
              </a:rPr>
              <a:t>GPS</a:t>
            </a:r>
          </a:p>
        </c:rich>
      </c:tx>
      <c:overlay val="0"/>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pivotFmt>
      <c:pivotFmt>
        <c:idx val="187"/>
      </c:pivotFmt>
      <c:pivotFmt>
        <c:idx val="188"/>
      </c:pivotFmt>
      <c:pivotFmt>
        <c:idx val="189"/>
      </c:pivotFmt>
      <c:pivotFmt>
        <c:idx val="190"/>
      </c:pivotFmt>
      <c:pivotFmt>
        <c:idx val="191"/>
      </c:pivotFmt>
      <c:pivotFmt>
        <c:idx val="192"/>
      </c:pivotFmt>
      <c:pivotFmt>
        <c:idx val="193"/>
      </c:pivotFmt>
      <c:pivotFmt>
        <c:idx val="194"/>
      </c:pivotFmt>
      <c:pivotFmt>
        <c:idx val="195"/>
      </c:pivotFmt>
      <c:pivotFmt>
        <c:idx val="196"/>
      </c:pivotFmt>
      <c:pivotFmt>
        <c:idx val="197"/>
      </c:pivotFmt>
      <c:pivotFmt>
        <c:idx val="198"/>
      </c:pivotFmt>
      <c:pivotFmt>
        <c:idx val="199"/>
      </c:pivotFmt>
      <c:pivotFmt>
        <c:idx val="200"/>
      </c:pivotFmt>
      <c:pivotFmt>
        <c:idx val="201"/>
      </c:pivotFmt>
      <c:pivotFmt>
        <c:idx val="202"/>
      </c:pivotFmt>
      <c:pivotFmt>
        <c:idx val="203"/>
      </c:pivotFmt>
      <c:pivotFmt>
        <c:idx val="204"/>
      </c:pivotFmt>
      <c:pivotFmt>
        <c:idx val="205"/>
      </c:pivotFmt>
      <c:pivotFmt>
        <c:idx val="206"/>
      </c:pivotFmt>
      <c:pivotFmt>
        <c:idx val="207"/>
      </c:pivotFmt>
      <c:pivotFmt>
        <c:idx val="208"/>
      </c:pivotFmt>
      <c:pivotFmt>
        <c:idx val="209"/>
      </c:pivotFmt>
      <c:pivotFmt>
        <c:idx val="210"/>
      </c:pivotFmt>
      <c:pivotFmt>
        <c:idx val="211"/>
      </c:pivotFmt>
      <c:pivotFmt>
        <c:idx val="212"/>
      </c:pivotFmt>
      <c:pivotFmt>
        <c:idx val="213"/>
      </c:pivotFmt>
      <c:pivotFmt>
        <c:idx val="214"/>
      </c:pivotFmt>
      <c:pivotFmt>
        <c:idx val="215"/>
      </c:pivotFmt>
      <c:pivotFmt>
        <c:idx val="216"/>
      </c:pivotFmt>
      <c:pivotFmt>
        <c:idx val="217"/>
      </c:pivotFmt>
      <c:pivotFmt>
        <c:idx val="218"/>
      </c:pivotFmt>
      <c:pivotFmt>
        <c:idx val="219"/>
      </c:pivotFmt>
      <c:pivotFmt>
        <c:idx val="220"/>
      </c:pivotFmt>
      <c:pivotFmt>
        <c:idx val="221"/>
      </c:pivotFmt>
      <c:pivotFmt>
        <c:idx val="222"/>
      </c:pivotFmt>
      <c:pivotFmt>
        <c:idx val="223"/>
      </c:pivotFmt>
      <c:pivotFmt>
        <c:idx val="224"/>
      </c:pivotFmt>
      <c:pivotFmt>
        <c:idx val="225"/>
      </c:pivotFmt>
      <c:pivotFmt>
        <c:idx val="226"/>
      </c:pivotFmt>
      <c:pivotFmt>
        <c:idx val="227"/>
      </c:pivotFmt>
      <c:pivotFmt>
        <c:idx val="228"/>
      </c:pivotFmt>
      <c:pivotFmt>
        <c:idx val="229"/>
      </c:pivotFmt>
      <c:pivotFmt>
        <c:idx val="230"/>
      </c:pivotFmt>
      <c:pivotFmt>
        <c:idx val="231"/>
      </c:pivotFmt>
      <c:pivotFmt>
        <c:idx val="232"/>
      </c:pivotFmt>
      <c:pivotFmt>
        <c:idx val="233"/>
      </c:pivotFmt>
      <c:pivotFmt>
        <c:idx val="234"/>
      </c:pivotFmt>
      <c:pivotFmt>
        <c:idx val="235"/>
      </c:pivotFmt>
      <c:pivotFmt>
        <c:idx val="236"/>
      </c:pivotFmt>
      <c:pivotFmt>
        <c:idx val="237"/>
      </c:pivotFmt>
      <c:pivotFmt>
        <c:idx val="238"/>
      </c:pivotFmt>
      <c:pivotFmt>
        <c:idx val="239"/>
      </c:pivotFmt>
      <c:pivotFmt>
        <c:idx val="240"/>
      </c:pivotFmt>
      <c:pivotFmt>
        <c:idx val="241"/>
      </c:pivotFmt>
      <c:pivotFmt>
        <c:idx val="242"/>
      </c:pivotFmt>
      <c:pivotFmt>
        <c:idx val="243"/>
      </c:pivotFmt>
      <c:pivotFmt>
        <c:idx val="244"/>
      </c:pivotFmt>
      <c:pivotFmt>
        <c:idx val="245"/>
      </c:pivotFmt>
      <c:pivotFmt>
        <c:idx val="246"/>
      </c:pivotFmt>
      <c:pivotFmt>
        <c:idx val="247"/>
      </c:pivotFmt>
      <c:pivotFmt>
        <c:idx val="248"/>
      </c:pivotFmt>
      <c:pivotFmt>
        <c:idx val="249"/>
      </c:pivotFmt>
      <c:pivotFmt>
        <c:idx val="250"/>
      </c:pivotFmt>
      <c:pivotFmt>
        <c:idx val="251"/>
      </c:pivotFmt>
      <c:pivotFmt>
        <c:idx val="252"/>
      </c:pivotFmt>
      <c:pivotFmt>
        <c:idx val="253"/>
      </c:pivotFmt>
      <c:pivotFmt>
        <c:idx val="254"/>
      </c:pivotFmt>
      <c:pivotFmt>
        <c:idx val="255"/>
      </c:pivotFmt>
      <c:pivotFmt>
        <c:idx val="256"/>
      </c:pivotFmt>
      <c:pivotFmt>
        <c:idx val="257"/>
      </c:pivotFmt>
      <c:pivotFmt>
        <c:idx val="258"/>
      </c:pivotFmt>
      <c:pivotFmt>
        <c:idx val="259"/>
      </c:pivotFmt>
      <c:pivotFmt>
        <c:idx val="260"/>
      </c:pivotFmt>
      <c:pivotFmt>
        <c:idx val="261"/>
      </c:pivotFmt>
      <c:pivotFmt>
        <c:idx val="262"/>
      </c:pivotFmt>
      <c:pivotFmt>
        <c:idx val="263"/>
      </c:pivotFmt>
      <c:pivotFmt>
        <c:idx val="264"/>
      </c:pivotFmt>
      <c:pivotFmt>
        <c:idx val="265"/>
      </c:pivotFmt>
      <c:pivotFmt>
        <c:idx val="266"/>
      </c:pivotFmt>
      <c:pivotFmt>
        <c:idx val="267"/>
      </c:pivotFmt>
      <c:pivotFmt>
        <c:idx val="268"/>
      </c:pivotFmt>
      <c:pivotFmt>
        <c:idx val="269"/>
      </c:pivotFmt>
      <c:pivotFmt>
        <c:idx val="270"/>
      </c:pivotFmt>
      <c:pivotFmt>
        <c:idx val="271"/>
      </c:pivotFmt>
      <c:pivotFmt>
        <c:idx val="272"/>
      </c:pivotFmt>
      <c:pivotFmt>
        <c:idx val="273"/>
      </c:pivotFmt>
      <c:pivotFmt>
        <c:idx val="274"/>
      </c:pivotFmt>
      <c:pivotFmt>
        <c:idx val="275"/>
      </c:pivotFmt>
      <c:pivotFmt>
        <c:idx val="276"/>
      </c:pivotFmt>
      <c:pivotFmt>
        <c:idx val="277"/>
      </c:pivotFmt>
      <c:pivotFmt>
        <c:idx val="278"/>
      </c:pivotFmt>
      <c:pivotFmt>
        <c:idx val="279"/>
      </c:pivotFmt>
      <c:pivotFmt>
        <c:idx val="280"/>
      </c:pivotFmt>
      <c:pivotFmt>
        <c:idx val="281"/>
      </c:pivotFmt>
      <c:pivotFmt>
        <c:idx val="282"/>
      </c:pivotFmt>
      <c:pivotFmt>
        <c:idx val="283"/>
      </c:pivotFmt>
      <c:pivotFmt>
        <c:idx val="284"/>
      </c:pivotFmt>
      <c:pivotFmt>
        <c:idx val="285"/>
      </c:pivotFmt>
      <c:pivotFmt>
        <c:idx val="286"/>
      </c:pivotFmt>
      <c:pivotFmt>
        <c:idx val="287"/>
      </c:pivotFmt>
      <c:pivotFmt>
        <c:idx val="288"/>
      </c:pivotFmt>
      <c:pivotFmt>
        <c:idx val="289"/>
      </c:pivotFmt>
      <c:pivotFmt>
        <c:idx val="290"/>
      </c:pivotFmt>
      <c:pivotFmt>
        <c:idx val="291"/>
      </c:pivotFmt>
      <c:pivotFmt>
        <c:idx val="292"/>
      </c:pivotFmt>
      <c:pivotFmt>
        <c:idx val="293"/>
      </c:pivotFmt>
      <c:pivotFmt>
        <c:idx val="294"/>
      </c:pivotFmt>
      <c:pivotFmt>
        <c:idx val="295"/>
      </c:pivotFmt>
      <c:pivotFmt>
        <c:idx val="296"/>
      </c:pivotFmt>
      <c:pivotFmt>
        <c:idx val="297"/>
      </c:pivotFmt>
      <c:pivotFmt>
        <c:idx val="298"/>
      </c:pivotFmt>
      <c:pivotFmt>
        <c:idx val="299"/>
      </c:pivotFmt>
      <c:pivotFmt>
        <c:idx val="300"/>
      </c:pivotFmt>
      <c:pivotFmt>
        <c:idx val="301"/>
      </c:pivotFmt>
      <c:pivotFmt>
        <c:idx val="302"/>
      </c:pivotFmt>
      <c:pivotFmt>
        <c:idx val="303"/>
      </c:pivotFmt>
      <c:pivotFmt>
        <c:idx val="304"/>
      </c:pivotFmt>
      <c:pivotFmt>
        <c:idx val="305"/>
      </c:pivotFmt>
      <c:pivotFmt>
        <c:idx val="306"/>
      </c:pivotFmt>
      <c:pivotFmt>
        <c:idx val="307"/>
      </c:pivotFmt>
      <c:pivotFmt>
        <c:idx val="308"/>
      </c:pivotFmt>
      <c:pivotFmt>
        <c:idx val="309"/>
      </c:pivotFmt>
      <c:pivotFmt>
        <c:idx val="310"/>
      </c:pivotFmt>
      <c:pivotFmt>
        <c:idx val="311"/>
      </c:pivotFmt>
      <c:pivotFmt>
        <c:idx val="312"/>
      </c:pivotFmt>
      <c:pivotFmt>
        <c:idx val="313"/>
      </c:pivotFmt>
      <c:pivotFmt>
        <c:idx val="314"/>
      </c:pivotFmt>
      <c:pivotFmt>
        <c:idx val="315"/>
      </c:pivotFmt>
      <c:pivotFmt>
        <c:idx val="316"/>
      </c:pivotFmt>
      <c:pivotFmt>
        <c:idx val="317"/>
      </c:pivotFmt>
      <c:pivotFmt>
        <c:idx val="318"/>
      </c:pivotFmt>
      <c:pivotFmt>
        <c:idx val="319"/>
      </c:pivotFmt>
      <c:pivotFmt>
        <c:idx val="320"/>
      </c:pivotFmt>
      <c:pivotFmt>
        <c:idx val="321"/>
      </c:pivotFmt>
      <c:pivotFmt>
        <c:idx val="322"/>
      </c:pivotFmt>
      <c:pivotFmt>
        <c:idx val="323"/>
      </c:pivotFmt>
      <c:pivotFmt>
        <c:idx val="324"/>
      </c:pivotFmt>
      <c:pivotFmt>
        <c:idx val="325"/>
      </c:pivotFmt>
      <c:pivotFmt>
        <c:idx val="326"/>
      </c:pivotFmt>
      <c:pivotFmt>
        <c:idx val="327"/>
      </c:pivotFmt>
      <c:pivotFmt>
        <c:idx val="328"/>
      </c:pivotFmt>
      <c:pivotFmt>
        <c:idx val="329"/>
      </c:pivotFmt>
      <c:pivotFmt>
        <c:idx val="330"/>
      </c:pivotFmt>
      <c:pivotFmt>
        <c:idx val="331"/>
      </c:pivotFmt>
      <c:pivotFmt>
        <c:idx val="332"/>
      </c:pivotFmt>
      <c:pivotFmt>
        <c:idx val="333"/>
      </c:pivotFmt>
      <c:pivotFmt>
        <c:idx val="334"/>
      </c:pivotFmt>
      <c:pivotFmt>
        <c:idx val="335"/>
      </c:pivotFmt>
      <c:pivotFmt>
        <c:idx val="336"/>
      </c:pivotFmt>
      <c:pivotFmt>
        <c:idx val="337"/>
      </c:pivotFmt>
      <c:pivotFmt>
        <c:idx val="338"/>
      </c:pivotFmt>
      <c:pivotFmt>
        <c:idx val="339"/>
      </c:pivotFmt>
      <c:pivotFmt>
        <c:idx val="340"/>
      </c:pivotFmt>
      <c:pivotFmt>
        <c:idx val="341"/>
      </c:pivotFmt>
      <c:pivotFmt>
        <c:idx val="342"/>
      </c:pivotFmt>
      <c:pivotFmt>
        <c:idx val="343"/>
      </c:pivotFmt>
      <c:pivotFmt>
        <c:idx val="344"/>
      </c:pivotFmt>
      <c:pivotFmt>
        <c:idx val="345"/>
      </c:pivotFmt>
      <c:pivotFmt>
        <c:idx val="346"/>
      </c:pivotFmt>
      <c:pivotFmt>
        <c:idx val="347"/>
      </c:pivotFmt>
      <c:pivotFmt>
        <c:idx val="348"/>
      </c:pivotFmt>
      <c:pivotFmt>
        <c:idx val="349"/>
      </c:pivotFmt>
      <c:pivotFmt>
        <c:idx val="350"/>
      </c:pivotFmt>
      <c:pivotFmt>
        <c:idx val="351"/>
      </c:pivotFmt>
      <c:pivotFmt>
        <c:idx val="352"/>
      </c:pivotFmt>
      <c:pivotFmt>
        <c:idx val="353"/>
      </c:pivotFmt>
      <c:pivotFmt>
        <c:idx val="354"/>
      </c:pivotFmt>
      <c:pivotFmt>
        <c:idx val="355"/>
      </c:pivotFmt>
      <c:pivotFmt>
        <c:idx val="356"/>
      </c:pivotFmt>
      <c:pivotFmt>
        <c:idx val="357"/>
      </c:pivotFmt>
      <c:pivotFmt>
        <c:idx val="358"/>
      </c:pivotFmt>
      <c:pivotFmt>
        <c:idx val="359"/>
      </c:pivotFmt>
      <c:pivotFmt>
        <c:idx val="360"/>
      </c:pivotFmt>
      <c:pivotFmt>
        <c:idx val="361"/>
      </c:pivotFmt>
      <c:pivotFmt>
        <c:idx val="362"/>
      </c:pivotFmt>
      <c:pivotFmt>
        <c:idx val="363"/>
      </c:pivotFmt>
      <c:pivotFmt>
        <c:idx val="364"/>
      </c:pivotFmt>
      <c:pivotFmt>
        <c:idx val="365"/>
      </c:pivotFmt>
      <c:pivotFmt>
        <c:idx val="366"/>
      </c:pivotFmt>
      <c:pivotFmt>
        <c:idx val="367"/>
      </c:pivotFmt>
      <c:pivotFmt>
        <c:idx val="368"/>
      </c:pivotFmt>
      <c:pivotFmt>
        <c:idx val="369"/>
      </c:pivotFmt>
      <c:pivotFmt>
        <c:idx val="370"/>
      </c:pivotFmt>
      <c:pivotFmt>
        <c:idx val="371"/>
      </c:pivotFmt>
      <c:pivotFmt>
        <c:idx val="372"/>
      </c:pivotFmt>
      <c:pivotFmt>
        <c:idx val="373"/>
      </c:pivotFmt>
      <c:pivotFmt>
        <c:idx val="374"/>
      </c:pivotFmt>
      <c:pivotFmt>
        <c:idx val="375"/>
      </c:pivotFmt>
      <c:pivotFmt>
        <c:idx val="376"/>
      </c:pivotFmt>
      <c:pivotFmt>
        <c:idx val="377"/>
      </c:pivotFmt>
      <c:pivotFmt>
        <c:idx val="378"/>
      </c:pivotFmt>
      <c:pivotFmt>
        <c:idx val="379"/>
      </c:pivotFmt>
      <c:pivotFmt>
        <c:idx val="380"/>
      </c:pivotFmt>
      <c:pivotFmt>
        <c:idx val="381"/>
      </c:pivotFmt>
      <c:pivotFmt>
        <c:idx val="382"/>
      </c:pivotFmt>
      <c:pivotFmt>
        <c:idx val="383"/>
      </c:pivotFmt>
      <c:pivotFmt>
        <c:idx val="384"/>
      </c:pivotFmt>
      <c:pivotFmt>
        <c:idx val="385"/>
      </c:pivotFmt>
      <c:pivotFmt>
        <c:idx val="386"/>
      </c:pivotFmt>
      <c:pivotFmt>
        <c:idx val="387"/>
      </c:pivotFmt>
      <c:pivotFmt>
        <c:idx val="388"/>
      </c:pivotFmt>
      <c:pivotFmt>
        <c:idx val="389"/>
      </c:pivotFmt>
      <c:pivotFmt>
        <c:idx val="390"/>
      </c:pivotFmt>
      <c:pivotFmt>
        <c:idx val="391"/>
      </c:pivotFmt>
      <c:pivotFmt>
        <c:idx val="392"/>
      </c:pivotFmt>
      <c:pivotFmt>
        <c:idx val="393"/>
      </c:pivotFmt>
      <c:pivotFmt>
        <c:idx val="394"/>
      </c:pivotFmt>
      <c:pivotFmt>
        <c:idx val="395"/>
      </c:pivotFmt>
      <c:pivotFmt>
        <c:idx val="396"/>
      </c:pivotFmt>
      <c:pivotFmt>
        <c:idx val="397"/>
      </c:pivotFmt>
      <c:pivotFmt>
        <c:idx val="398"/>
      </c:pivotFmt>
      <c:pivotFmt>
        <c:idx val="399"/>
      </c:pivotFmt>
      <c:pivotFmt>
        <c:idx val="400"/>
      </c:pivotFmt>
      <c:pivotFmt>
        <c:idx val="401"/>
      </c:pivotFmt>
      <c:pivotFmt>
        <c:idx val="402"/>
      </c:pivotFmt>
      <c:pivotFmt>
        <c:idx val="403"/>
      </c:pivotFmt>
      <c:pivotFmt>
        <c:idx val="404"/>
      </c:pivotFmt>
      <c:pivotFmt>
        <c:idx val="405"/>
      </c:pivotFmt>
      <c:pivotFmt>
        <c:idx val="406"/>
      </c:pivotFmt>
      <c:pivotFmt>
        <c:idx val="407"/>
      </c:pivotFmt>
      <c:pivotFmt>
        <c:idx val="408"/>
      </c:pivotFmt>
      <c:pivotFmt>
        <c:idx val="409"/>
      </c:pivotFmt>
      <c:pivotFmt>
        <c:idx val="410"/>
      </c:pivotFmt>
      <c:pivotFmt>
        <c:idx val="411"/>
      </c:pivotFmt>
      <c:pivotFmt>
        <c:idx val="412"/>
      </c:pivotFmt>
      <c:pivotFmt>
        <c:idx val="413"/>
      </c:pivotFmt>
      <c:pivotFmt>
        <c:idx val="414"/>
      </c:pivotFmt>
      <c:pivotFmt>
        <c:idx val="415"/>
      </c:pivotFmt>
      <c:pivotFmt>
        <c:idx val="416"/>
      </c:pivotFmt>
      <c:pivotFmt>
        <c:idx val="417"/>
      </c:pivotFmt>
      <c:pivotFmt>
        <c:idx val="418"/>
      </c:pivotFmt>
      <c:pivotFmt>
        <c:idx val="419"/>
      </c:pivotFmt>
      <c:pivotFmt>
        <c:idx val="420"/>
      </c:pivotFmt>
      <c:pivotFmt>
        <c:idx val="421"/>
      </c:pivotFmt>
      <c:pivotFmt>
        <c:idx val="422"/>
      </c:pivotFmt>
      <c:pivotFmt>
        <c:idx val="423"/>
      </c:pivotFmt>
      <c:pivotFmt>
        <c:idx val="424"/>
      </c:pivotFmt>
      <c:pivotFmt>
        <c:idx val="425"/>
      </c:pivotFmt>
      <c:pivotFmt>
        <c:idx val="426"/>
      </c:pivotFmt>
      <c:pivotFmt>
        <c:idx val="427"/>
      </c:pivotFmt>
      <c:pivotFmt>
        <c:idx val="428"/>
      </c:pivotFmt>
      <c:pivotFmt>
        <c:idx val="429"/>
      </c:pivotFmt>
      <c:pivotFmt>
        <c:idx val="430"/>
      </c:pivotFmt>
      <c:pivotFmt>
        <c:idx val="431"/>
      </c:pivotFmt>
      <c:pivotFmt>
        <c:idx val="432"/>
      </c:pivotFmt>
      <c:pivotFmt>
        <c:idx val="433"/>
      </c:pivotFmt>
      <c:pivotFmt>
        <c:idx val="434"/>
        <c:marker>
          <c:symbol val="circle"/>
          <c:size val="7"/>
        </c:marker>
      </c:pivotFmt>
      <c:pivotFmt>
        <c:idx val="435"/>
      </c:pivotFmt>
      <c:pivotFmt>
        <c:idx val="436"/>
      </c:pivotFmt>
      <c:pivotFmt>
        <c:idx val="437"/>
      </c:pivotFmt>
      <c:pivotFmt>
        <c:idx val="438"/>
      </c:pivotFmt>
      <c:pivotFmt>
        <c:idx val="439"/>
      </c:pivotFmt>
      <c:pivotFmt>
        <c:idx val="440"/>
      </c:pivotFmt>
      <c:pivotFmt>
        <c:idx val="441"/>
      </c:pivotFmt>
      <c:pivotFmt>
        <c:idx val="442"/>
      </c:pivotFmt>
      <c:pivotFmt>
        <c:idx val="443"/>
      </c:pivotFmt>
      <c:pivotFmt>
        <c:idx val="444"/>
      </c:pivotFmt>
      <c:pivotFmt>
        <c:idx val="445"/>
      </c:pivotFmt>
      <c:pivotFmt>
        <c:idx val="446"/>
      </c:pivotFmt>
      <c:pivotFmt>
        <c:idx val="447"/>
      </c:pivotFmt>
      <c:pivotFmt>
        <c:idx val="448"/>
      </c:pivotFmt>
      <c:pivotFmt>
        <c:idx val="449"/>
      </c:pivotFmt>
      <c:pivotFmt>
        <c:idx val="450"/>
      </c:pivotFmt>
      <c:pivotFmt>
        <c:idx val="451"/>
      </c:pivotFmt>
      <c:pivotFmt>
        <c:idx val="452"/>
      </c:pivotFmt>
      <c:pivotFmt>
        <c:idx val="453"/>
      </c:pivotFmt>
      <c:pivotFmt>
        <c:idx val="454"/>
      </c:pivotFmt>
      <c:pivotFmt>
        <c:idx val="455"/>
      </c:pivotFmt>
      <c:pivotFmt>
        <c:idx val="456"/>
      </c:pivotFmt>
      <c:pivotFmt>
        <c:idx val="457"/>
      </c:pivotFmt>
      <c:pivotFmt>
        <c:idx val="458"/>
      </c:pivotFmt>
      <c:pivotFmt>
        <c:idx val="459"/>
      </c:pivotFmt>
      <c:pivotFmt>
        <c:idx val="460"/>
      </c:pivotFmt>
      <c:pivotFmt>
        <c:idx val="461"/>
      </c:pivotFmt>
      <c:pivotFmt>
        <c:idx val="462"/>
      </c:pivotFmt>
      <c:pivotFmt>
        <c:idx val="463"/>
      </c:pivotFmt>
      <c:pivotFmt>
        <c:idx val="464"/>
      </c:pivotFmt>
      <c:pivotFmt>
        <c:idx val="465"/>
      </c:pivotFmt>
      <c:pivotFmt>
        <c:idx val="466"/>
      </c:pivotFmt>
      <c:pivotFmt>
        <c:idx val="467"/>
      </c:pivotFmt>
      <c:pivotFmt>
        <c:idx val="468"/>
      </c:pivotFmt>
      <c:pivotFmt>
        <c:idx val="469"/>
        <c:spPr>
          <a:ln w="38100">
            <a:solidFill>
              <a:schemeClr val="tx1"/>
            </a:solidFill>
          </a:ln>
        </c:spPr>
        <c:marker>
          <c:symbol val="circle"/>
          <c:size val="7"/>
          <c:spPr>
            <a:solidFill>
              <a:schemeClr val="tx1"/>
            </a:solidFill>
          </c:spPr>
        </c:marker>
      </c:pivotFmt>
      <c:pivotFmt>
        <c:idx val="470"/>
      </c:pivotFmt>
      <c:pivotFmt>
        <c:idx val="471"/>
      </c:pivotFmt>
      <c:pivotFmt>
        <c:idx val="472"/>
      </c:pivotFmt>
      <c:pivotFmt>
        <c:idx val="473"/>
      </c:pivotFmt>
      <c:pivotFmt>
        <c:idx val="474"/>
      </c:pivotFmt>
      <c:pivotFmt>
        <c:idx val="475"/>
      </c:pivotFmt>
      <c:pivotFmt>
        <c:idx val="476"/>
      </c:pivotFmt>
      <c:pivotFmt>
        <c:idx val="477"/>
      </c:pivotFmt>
      <c:pivotFmt>
        <c:idx val="478"/>
      </c:pivotFmt>
      <c:pivotFmt>
        <c:idx val="479"/>
      </c:pivotFmt>
      <c:pivotFmt>
        <c:idx val="480"/>
      </c:pivotFmt>
      <c:pivotFmt>
        <c:idx val="481"/>
      </c:pivotFmt>
      <c:pivotFmt>
        <c:idx val="482"/>
      </c:pivotFmt>
      <c:pivotFmt>
        <c:idx val="483"/>
      </c:pivotFmt>
      <c:pivotFmt>
        <c:idx val="484"/>
      </c:pivotFmt>
      <c:pivotFmt>
        <c:idx val="485"/>
      </c:pivotFmt>
      <c:pivotFmt>
        <c:idx val="486"/>
      </c:pivotFmt>
      <c:pivotFmt>
        <c:idx val="487"/>
      </c:pivotFmt>
      <c:pivotFmt>
        <c:idx val="488"/>
      </c:pivotFmt>
      <c:pivotFmt>
        <c:idx val="489"/>
      </c:pivotFmt>
      <c:pivotFmt>
        <c:idx val="490"/>
      </c:pivotFmt>
      <c:pivotFmt>
        <c:idx val="491"/>
      </c:pivotFmt>
      <c:pivotFmt>
        <c:idx val="492"/>
      </c:pivotFmt>
      <c:pivotFmt>
        <c:idx val="493"/>
      </c:pivotFmt>
      <c:pivotFmt>
        <c:idx val="494"/>
      </c:pivotFmt>
      <c:pivotFmt>
        <c:idx val="495"/>
      </c:pivotFmt>
      <c:pivotFmt>
        <c:idx val="496"/>
      </c:pivotFmt>
      <c:pivotFmt>
        <c:idx val="497"/>
      </c:pivotFmt>
      <c:pivotFmt>
        <c:idx val="498"/>
      </c:pivotFmt>
      <c:pivotFmt>
        <c:idx val="499"/>
      </c:pivotFmt>
      <c:pivotFmt>
        <c:idx val="500"/>
      </c:pivotFmt>
      <c:pivotFmt>
        <c:idx val="501"/>
      </c:pivotFmt>
      <c:pivotFmt>
        <c:idx val="502"/>
      </c:pivotFmt>
      <c:pivotFmt>
        <c:idx val="503"/>
      </c:pivotFmt>
      <c:pivotFmt>
        <c:idx val="504"/>
      </c:pivotFmt>
      <c:pivotFmt>
        <c:idx val="505"/>
      </c:pivotFmt>
      <c:pivotFmt>
        <c:idx val="506"/>
      </c:pivotFmt>
      <c:pivotFmt>
        <c:idx val="507"/>
      </c:pivotFmt>
      <c:pivotFmt>
        <c:idx val="508"/>
      </c:pivotFmt>
      <c:pivotFmt>
        <c:idx val="509"/>
      </c:pivotFmt>
      <c:pivotFmt>
        <c:idx val="510"/>
      </c:pivotFmt>
      <c:pivotFmt>
        <c:idx val="511"/>
      </c:pivotFmt>
      <c:pivotFmt>
        <c:idx val="512"/>
      </c:pivotFmt>
      <c:pivotFmt>
        <c:idx val="513"/>
      </c:pivotFmt>
      <c:pivotFmt>
        <c:idx val="514"/>
      </c:pivotFmt>
      <c:pivotFmt>
        <c:idx val="515"/>
      </c:pivotFmt>
      <c:pivotFmt>
        <c:idx val="516"/>
      </c:pivotFmt>
      <c:pivotFmt>
        <c:idx val="517"/>
      </c:pivotFmt>
      <c:pivotFmt>
        <c:idx val="518"/>
      </c:pivotFmt>
      <c:pivotFmt>
        <c:idx val="519"/>
      </c:pivotFmt>
      <c:pivotFmt>
        <c:idx val="520"/>
      </c:pivotFmt>
      <c:pivotFmt>
        <c:idx val="521"/>
      </c:pivotFmt>
      <c:pivotFmt>
        <c:idx val="522"/>
      </c:pivotFmt>
      <c:pivotFmt>
        <c:idx val="523"/>
      </c:pivotFmt>
      <c:pivotFmt>
        <c:idx val="524"/>
      </c:pivotFmt>
      <c:pivotFmt>
        <c:idx val="525"/>
      </c:pivotFmt>
      <c:pivotFmt>
        <c:idx val="526"/>
      </c:pivotFmt>
      <c:pivotFmt>
        <c:idx val="527"/>
      </c:pivotFmt>
      <c:pivotFmt>
        <c:idx val="528"/>
      </c:pivotFmt>
      <c:pivotFmt>
        <c:idx val="529"/>
      </c:pivotFmt>
      <c:pivotFmt>
        <c:idx val="530"/>
      </c:pivotFmt>
      <c:pivotFmt>
        <c:idx val="531"/>
      </c:pivotFmt>
      <c:pivotFmt>
        <c:idx val="532"/>
      </c:pivotFmt>
      <c:pivotFmt>
        <c:idx val="533"/>
        <c:spPr>
          <a:ln w="38100">
            <a:solidFill>
              <a:schemeClr val="tx1"/>
            </a:solidFill>
          </a:ln>
        </c:spPr>
        <c:marker>
          <c:symbol val="circle"/>
          <c:size val="7"/>
          <c:spPr>
            <a:solidFill>
              <a:schemeClr val="tx1"/>
            </a:solidFill>
          </c:spPr>
        </c:marker>
      </c:pivotFmt>
      <c:pivotFmt>
        <c:idx val="534"/>
      </c:pivotFmt>
      <c:pivotFmt>
        <c:idx val="535"/>
      </c:pivotFmt>
      <c:pivotFmt>
        <c:idx val="536"/>
      </c:pivotFmt>
      <c:pivotFmt>
        <c:idx val="537"/>
      </c:pivotFmt>
      <c:pivotFmt>
        <c:idx val="538"/>
      </c:pivotFmt>
      <c:pivotFmt>
        <c:idx val="539"/>
      </c:pivotFmt>
      <c:pivotFmt>
        <c:idx val="540"/>
      </c:pivotFmt>
      <c:pivotFmt>
        <c:idx val="541"/>
      </c:pivotFmt>
      <c:pivotFmt>
        <c:idx val="542"/>
      </c:pivotFmt>
      <c:pivotFmt>
        <c:idx val="543"/>
      </c:pivotFmt>
      <c:pivotFmt>
        <c:idx val="544"/>
      </c:pivotFmt>
      <c:pivotFmt>
        <c:idx val="545"/>
      </c:pivotFmt>
      <c:pivotFmt>
        <c:idx val="546"/>
      </c:pivotFmt>
      <c:pivotFmt>
        <c:idx val="547"/>
      </c:pivotFmt>
      <c:pivotFmt>
        <c:idx val="548"/>
      </c:pivotFmt>
      <c:pivotFmt>
        <c:idx val="549"/>
      </c:pivotFmt>
      <c:pivotFmt>
        <c:idx val="550"/>
      </c:pivotFmt>
      <c:pivotFmt>
        <c:idx val="551"/>
      </c:pivotFmt>
      <c:pivotFmt>
        <c:idx val="552"/>
      </c:pivotFmt>
      <c:pivotFmt>
        <c:idx val="553"/>
      </c:pivotFmt>
      <c:pivotFmt>
        <c:idx val="554"/>
      </c:pivotFmt>
      <c:pivotFmt>
        <c:idx val="555"/>
      </c:pivotFmt>
      <c:pivotFmt>
        <c:idx val="556"/>
      </c:pivotFmt>
      <c:pivotFmt>
        <c:idx val="557"/>
      </c:pivotFmt>
      <c:pivotFmt>
        <c:idx val="558"/>
      </c:pivotFmt>
      <c:pivotFmt>
        <c:idx val="559"/>
      </c:pivotFmt>
      <c:pivotFmt>
        <c:idx val="560"/>
      </c:pivotFmt>
      <c:pivotFmt>
        <c:idx val="561"/>
      </c:pivotFmt>
      <c:pivotFmt>
        <c:idx val="562"/>
      </c:pivotFmt>
      <c:pivotFmt>
        <c:idx val="563"/>
      </c:pivotFmt>
      <c:pivotFmt>
        <c:idx val="564"/>
      </c:pivotFmt>
      <c:pivotFmt>
        <c:idx val="565"/>
      </c:pivotFmt>
      <c:pivotFmt>
        <c:idx val="566"/>
        <c:spPr>
          <a:ln w="38100">
            <a:solidFill>
              <a:schemeClr val="tx1"/>
            </a:solidFill>
          </a:ln>
        </c:spPr>
        <c:marker>
          <c:symbol val="circle"/>
          <c:size val="7"/>
          <c:spPr>
            <a:solidFill>
              <a:schemeClr val="tx1"/>
            </a:solidFill>
          </c:spPr>
        </c:marker>
      </c:pivotFmt>
      <c:pivotFmt>
        <c:idx val="567"/>
      </c:pivotFmt>
      <c:pivotFmt>
        <c:idx val="568"/>
      </c:pivotFmt>
    </c:pivotFmts>
    <c:plotArea>
      <c:layout/>
      <c:lineChart>
        <c:grouping val="standard"/>
        <c:varyColors val="0"/>
        <c:ser>
          <c:idx val="0"/>
          <c:order val="0"/>
          <c:tx>
            <c:strRef>
              <c:f>'Pivot tables'!$B$613:$B$614</c:f>
              <c:strCache>
                <c:ptCount val="1"/>
                <c:pt idx="0">
                  <c:v>010616b061</c:v>
                </c:pt>
              </c:strCache>
            </c:strRef>
          </c:tx>
          <c:cat>
            <c:strRef>
              <c:f>'Pivot tables'!$A$615:$A$619</c:f>
              <c:strCache>
                <c:ptCount val="4"/>
                <c:pt idx="0">
                  <c:v>pre</c:v>
                </c:pt>
                <c:pt idx="1">
                  <c:v>2yr</c:v>
                </c:pt>
                <c:pt idx="2">
                  <c:v>5yr</c:v>
                </c:pt>
                <c:pt idx="3">
                  <c:v>8yr</c:v>
                </c:pt>
              </c:strCache>
            </c:strRef>
          </c:cat>
          <c:val>
            <c:numRef>
              <c:f>'Pivot tables'!$B$615:$B$619</c:f>
              <c:numCache>
                <c:formatCode>General</c:formatCode>
                <c:ptCount val="4"/>
                <c:pt idx="0">
                  <c:v>10.486012899066665</c:v>
                </c:pt>
                <c:pt idx="1">
                  <c:v>11.189853022833333</c:v>
                </c:pt>
                <c:pt idx="2">
                  <c:v>11.222635329525</c:v>
                </c:pt>
                <c:pt idx="3">
                  <c:v>13.306910231133335</c:v>
                </c:pt>
              </c:numCache>
            </c:numRef>
          </c:val>
          <c:smooth val="0"/>
        </c:ser>
        <c:ser>
          <c:idx val="1"/>
          <c:order val="1"/>
          <c:tx>
            <c:strRef>
              <c:f>'Pivot tables'!$C$613:$C$614</c:f>
              <c:strCache>
                <c:ptCount val="1"/>
                <c:pt idx="0">
                  <c:v>960905m314</c:v>
                </c:pt>
              </c:strCache>
            </c:strRef>
          </c:tx>
          <c:cat>
            <c:strRef>
              <c:f>'Pivot tables'!$A$615:$A$619</c:f>
              <c:strCache>
                <c:ptCount val="4"/>
                <c:pt idx="0">
                  <c:v>pre</c:v>
                </c:pt>
                <c:pt idx="1">
                  <c:v>2yr</c:v>
                </c:pt>
                <c:pt idx="2">
                  <c:v>5yr</c:v>
                </c:pt>
                <c:pt idx="3">
                  <c:v>8yr</c:v>
                </c:pt>
              </c:strCache>
            </c:strRef>
          </c:cat>
          <c:val>
            <c:numRef>
              <c:f>'Pivot tables'!$C$615:$C$619</c:f>
              <c:numCache>
                <c:formatCode>General</c:formatCode>
                <c:ptCount val="4"/>
                <c:pt idx="0">
                  <c:v>16.131852928649998</c:v>
                </c:pt>
                <c:pt idx="1">
                  <c:v>8.3838035377666671</c:v>
                </c:pt>
                <c:pt idx="2">
                  <c:v>9.8868363188000004</c:v>
                </c:pt>
                <c:pt idx="3">
                  <c:v>10.761446826916666</c:v>
                </c:pt>
              </c:numCache>
            </c:numRef>
          </c:val>
          <c:smooth val="0"/>
        </c:ser>
        <c:ser>
          <c:idx val="2"/>
          <c:order val="2"/>
          <c:tx>
            <c:strRef>
              <c:f>'Pivot tables'!$D$613:$D$614</c:f>
              <c:strCache>
                <c:ptCount val="1"/>
                <c:pt idx="0">
                  <c:v>970602m038</c:v>
                </c:pt>
              </c:strCache>
            </c:strRef>
          </c:tx>
          <c:cat>
            <c:strRef>
              <c:f>'Pivot tables'!$A$615:$A$619</c:f>
              <c:strCache>
                <c:ptCount val="4"/>
                <c:pt idx="0">
                  <c:v>pre</c:v>
                </c:pt>
                <c:pt idx="1">
                  <c:v>2yr</c:v>
                </c:pt>
                <c:pt idx="2">
                  <c:v>5yr</c:v>
                </c:pt>
                <c:pt idx="3">
                  <c:v>8yr</c:v>
                </c:pt>
              </c:strCache>
            </c:strRef>
          </c:cat>
          <c:val>
            <c:numRef>
              <c:f>'Pivot tables'!$D$615:$D$619</c:f>
              <c:numCache>
                <c:formatCode>General</c:formatCode>
                <c:ptCount val="4"/>
                <c:pt idx="0">
                  <c:v>13.73436510694</c:v>
                </c:pt>
                <c:pt idx="1">
                  <c:v>14.708499657466668</c:v>
                </c:pt>
                <c:pt idx="2">
                  <c:v>12.017320590980001</c:v>
                </c:pt>
                <c:pt idx="3">
                  <c:v>10.600600450685715</c:v>
                </c:pt>
              </c:numCache>
            </c:numRef>
          </c:val>
          <c:smooth val="0"/>
        </c:ser>
        <c:ser>
          <c:idx val="3"/>
          <c:order val="3"/>
          <c:tx>
            <c:strRef>
              <c:f>'Pivot tables'!$E$613:$E$614</c:f>
              <c:strCache>
                <c:ptCount val="1"/>
                <c:pt idx="0">
                  <c:v>901117v039</c:v>
                </c:pt>
              </c:strCache>
            </c:strRef>
          </c:tx>
          <c:cat>
            <c:strRef>
              <c:f>'Pivot tables'!$A$615:$A$619</c:f>
              <c:strCache>
                <c:ptCount val="4"/>
                <c:pt idx="0">
                  <c:v>pre</c:v>
                </c:pt>
                <c:pt idx="1">
                  <c:v>2yr</c:v>
                </c:pt>
                <c:pt idx="2">
                  <c:v>5yr</c:v>
                </c:pt>
                <c:pt idx="3">
                  <c:v>8yr</c:v>
                </c:pt>
              </c:strCache>
            </c:strRef>
          </c:cat>
          <c:val>
            <c:numRef>
              <c:f>'Pivot tables'!$E$615:$E$619</c:f>
              <c:numCache>
                <c:formatCode>General</c:formatCode>
                <c:ptCount val="4"/>
                <c:pt idx="0">
                  <c:v>16.663246362533332</c:v>
                </c:pt>
                <c:pt idx="2">
                  <c:v>9.756567964714284</c:v>
                </c:pt>
              </c:numCache>
            </c:numRef>
          </c:val>
          <c:smooth val="0"/>
        </c:ser>
        <c:ser>
          <c:idx val="4"/>
          <c:order val="4"/>
          <c:tx>
            <c:strRef>
              <c:f>'Pivot tables'!$F$613:$F$614</c:f>
              <c:strCache>
                <c:ptCount val="1"/>
                <c:pt idx="0">
                  <c:v>991112v027</c:v>
                </c:pt>
              </c:strCache>
            </c:strRef>
          </c:tx>
          <c:cat>
            <c:strRef>
              <c:f>'Pivot tables'!$A$615:$A$619</c:f>
              <c:strCache>
                <c:ptCount val="4"/>
                <c:pt idx="0">
                  <c:v>pre</c:v>
                </c:pt>
                <c:pt idx="1">
                  <c:v>2yr</c:v>
                </c:pt>
                <c:pt idx="2">
                  <c:v>5yr</c:v>
                </c:pt>
                <c:pt idx="3">
                  <c:v>8yr</c:v>
                </c:pt>
              </c:strCache>
            </c:strRef>
          </c:cat>
          <c:val>
            <c:numRef>
              <c:f>'Pivot tables'!$F$615:$F$619</c:f>
              <c:numCache>
                <c:formatCode>General</c:formatCode>
                <c:ptCount val="4"/>
                <c:pt idx="0">
                  <c:v>13.003541762716667</c:v>
                </c:pt>
                <c:pt idx="1">
                  <c:v>8.2037990413428581</c:v>
                </c:pt>
                <c:pt idx="2">
                  <c:v>12.100455056000001</c:v>
                </c:pt>
                <c:pt idx="3">
                  <c:v>11.196221870542857</c:v>
                </c:pt>
              </c:numCache>
            </c:numRef>
          </c:val>
          <c:smooth val="0"/>
        </c:ser>
        <c:ser>
          <c:idx val="5"/>
          <c:order val="5"/>
          <c:tx>
            <c:strRef>
              <c:f>'Pivot tables'!$G$613:$G$614</c:f>
              <c:strCache>
                <c:ptCount val="1"/>
                <c:pt idx="0">
                  <c:v>910507m071</c:v>
                </c:pt>
              </c:strCache>
            </c:strRef>
          </c:tx>
          <c:cat>
            <c:strRef>
              <c:f>'Pivot tables'!$A$615:$A$619</c:f>
              <c:strCache>
                <c:ptCount val="4"/>
                <c:pt idx="0">
                  <c:v>pre</c:v>
                </c:pt>
                <c:pt idx="1">
                  <c:v>2yr</c:v>
                </c:pt>
                <c:pt idx="2">
                  <c:v>5yr</c:v>
                </c:pt>
                <c:pt idx="3">
                  <c:v>8yr</c:v>
                </c:pt>
              </c:strCache>
            </c:strRef>
          </c:cat>
          <c:val>
            <c:numRef>
              <c:f>'Pivot tables'!$G$615:$G$619</c:f>
              <c:numCache>
                <c:formatCode>General</c:formatCode>
                <c:ptCount val="4"/>
                <c:pt idx="0">
                  <c:v>12.362635725925001</c:v>
                </c:pt>
                <c:pt idx="1">
                  <c:v>16.847438148175002</c:v>
                </c:pt>
                <c:pt idx="3">
                  <c:v>17.174999046899998</c:v>
                </c:pt>
              </c:numCache>
            </c:numRef>
          </c:val>
          <c:smooth val="0"/>
        </c:ser>
        <c:ser>
          <c:idx val="6"/>
          <c:order val="6"/>
          <c:tx>
            <c:strRef>
              <c:f>'Pivot tables'!$H$613:$H$614</c:f>
              <c:strCache>
                <c:ptCount val="1"/>
                <c:pt idx="0">
                  <c:v>921107v089</c:v>
                </c:pt>
              </c:strCache>
            </c:strRef>
          </c:tx>
          <c:cat>
            <c:strRef>
              <c:f>'Pivot tables'!$A$615:$A$619</c:f>
              <c:strCache>
                <c:ptCount val="4"/>
                <c:pt idx="0">
                  <c:v>pre</c:v>
                </c:pt>
                <c:pt idx="1">
                  <c:v>2yr</c:v>
                </c:pt>
                <c:pt idx="2">
                  <c:v>5yr</c:v>
                </c:pt>
                <c:pt idx="3">
                  <c:v>8yr</c:v>
                </c:pt>
              </c:strCache>
            </c:strRef>
          </c:cat>
          <c:val>
            <c:numRef>
              <c:f>'Pivot tables'!$H$615:$H$619</c:f>
              <c:numCache>
                <c:formatCode>General</c:formatCode>
                <c:ptCount val="4"/>
                <c:pt idx="0">
                  <c:v>14.198629372677777</c:v>
                </c:pt>
                <c:pt idx="1">
                  <c:v>7.4777504117999998</c:v>
                </c:pt>
                <c:pt idx="3">
                  <c:v>8.370141712242857</c:v>
                </c:pt>
              </c:numCache>
            </c:numRef>
          </c:val>
          <c:smooth val="0"/>
        </c:ser>
        <c:ser>
          <c:idx val="7"/>
          <c:order val="7"/>
          <c:tx>
            <c:strRef>
              <c:f>'Pivot tables'!$I$613:$I$614</c:f>
              <c:strCache>
                <c:ptCount val="1"/>
                <c:pt idx="0">
                  <c:v>921013m117</c:v>
                </c:pt>
              </c:strCache>
            </c:strRef>
          </c:tx>
          <c:cat>
            <c:strRef>
              <c:f>'Pivot tables'!$A$615:$A$619</c:f>
              <c:strCache>
                <c:ptCount val="4"/>
                <c:pt idx="0">
                  <c:v>pre</c:v>
                </c:pt>
                <c:pt idx="1">
                  <c:v>2yr</c:v>
                </c:pt>
                <c:pt idx="2">
                  <c:v>5yr</c:v>
                </c:pt>
                <c:pt idx="3">
                  <c:v>8yr</c:v>
                </c:pt>
              </c:strCache>
            </c:strRef>
          </c:cat>
          <c:val>
            <c:numRef>
              <c:f>'Pivot tables'!$I$615:$I$619</c:f>
              <c:numCache>
                <c:formatCode>General</c:formatCode>
                <c:ptCount val="4"/>
                <c:pt idx="0">
                  <c:v>17.82047536156</c:v>
                </c:pt>
                <c:pt idx="1">
                  <c:v>12.777502722500001</c:v>
                </c:pt>
                <c:pt idx="3">
                  <c:v>12.550175884766666</c:v>
                </c:pt>
              </c:numCache>
            </c:numRef>
          </c:val>
          <c:smooth val="0"/>
        </c:ser>
        <c:ser>
          <c:idx val="8"/>
          <c:order val="8"/>
          <c:tx>
            <c:strRef>
              <c:f>'Pivot tables'!$J$613:$J$614</c:f>
              <c:strCache>
                <c:ptCount val="1"/>
                <c:pt idx="0">
                  <c:v>981222v116</c:v>
                </c:pt>
              </c:strCache>
            </c:strRef>
          </c:tx>
          <c:cat>
            <c:strRef>
              <c:f>'Pivot tables'!$A$615:$A$619</c:f>
              <c:strCache>
                <c:ptCount val="4"/>
                <c:pt idx="0">
                  <c:v>pre</c:v>
                </c:pt>
                <c:pt idx="1">
                  <c:v>2yr</c:v>
                </c:pt>
                <c:pt idx="2">
                  <c:v>5yr</c:v>
                </c:pt>
                <c:pt idx="3">
                  <c:v>8yr</c:v>
                </c:pt>
              </c:strCache>
            </c:strRef>
          </c:cat>
          <c:val>
            <c:numRef>
              <c:f>'Pivot tables'!$J$615:$J$619</c:f>
              <c:numCache>
                <c:formatCode>General</c:formatCode>
                <c:ptCount val="4"/>
                <c:pt idx="0">
                  <c:v>17.674954630866665</c:v>
                </c:pt>
                <c:pt idx="2">
                  <c:v>9.3124971743399989</c:v>
                </c:pt>
                <c:pt idx="3">
                  <c:v>9.2132942765199992</c:v>
                </c:pt>
              </c:numCache>
            </c:numRef>
          </c:val>
          <c:smooth val="0"/>
        </c:ser>
        <c:ser>
          <c:idx val="9"/>
          <c:order val="9"/>
          <c:tx>
            <c:strRef>
              <c:f>'Pivot tables'!$K$613:$K$614</c:f>
              <c:strCache>
                <c:ptCount val="1"/>
                <c:pt idx="0">
                  <c:v>980310m240</c:v>
                </c:pt>
              </c:strCache>
            </c:strRef>
          </c:tx>
          <c:cat>
            <c:strRef>
              <c:f>'Pivot tables'!$A$615:$A$619</c:f>
              <c:strCache>
                <c:ptCount val="4"/>
                <c:pt idx="0">
                  <c:v>pre</c:v>
                </c:pt>
                <c:pt idx="1">
                  <c:v>2yr</c:v>
                </c:pt>
                <c:pt idx="2">
                  <c:v>5yr</c:v>
                </c:pt>
                <c:pt idx="3">
                  <c:v>8yr</c:v>
                </c:pt>
              </c:strCache>
            </c:strRef>
          </c:cat>
          <c:val>
            <c:numRef>
              <c:f>'Pivot tables'!$K$615:$K$619</c:f>
              <c:numCache>
                <c:formatCode>General</c:formatCode>
                <c:ptCount val="4"/>
                <c:pt idx="0">
                  <c:v>19.445795889750002</c:v>
                </c:pt>
                <c:pt idx="1">
                  <c:v>6.504445738357143</c:v>
                </c:pt>
                <c:pt idx="2">
                  <c:v>11.641156091185715</c:v>
                </c:pt>
              </c:numCache>
            </c:numRef>
          </c:val>
          <c:smooth val="0"/>
        </c:ser>
        <c:ser>
          <c:idx val="10"/>
          <c:order val="10"/>
          <c:tx>
            <c:strRef>
              <c:f>'Pivot tables'!$L$613:$L$614</c:f>
              <c:strCache>
                <c:ptCount val="1"/>
                <c:pt idx="0">
                  <c:v>990206m010</c:v>
                </c:pt>
              </c:strCache>
            </c:strRef>
          </c:tx>
          <c:cat>
            <c:strRef>
              <c:f>'Pivot tables'!$A$615:$A$619</c:f>
              <c:strCache>
                <c:ptCount val="4"/>
                <c:pt idx="0">
                  <c:v>pre</c:v>
                </c:pt>
                <c:pt idx="1">
                  <c:v>2yr</c:v>
                </c:pt>
                <c:pt idx="2">
                  <c:v>5yr</c:v>
                </c:pt>
                <c:pt idx="3">
                  <c:v>8yr</c:v>
                </c:pt>
              </c:strCache>
            </c:strRef>
          </c:cat>
          <c:val>
            <c:numRef>
              <c:f>'Pivot tables'!$L$615:$L$619</c:f>
              <c:numCache>
                <c:formatCode>General</c:formatCode>
                <c:ptCount val="4"/>
                <c:pt idx="0">
                  <c:v>18.402812172866664</c:v>
                </c:pt>
                <c:pt idx="1">
                  <c:v>10.313186798066667</c:v>
                </c:pt>
                <c:pt idx="2">
                  <c:v>10.461836243133334</c:v>
                </c:pt>
              </c:numCache>
            </c:numRef>
          </c:val>
          <c:smooth val="0"/>
        </c:ser>
        <c:ser>
          <c:idx val="11"/>
          <c:order val="11"/>
          <c:tx>
            <c:strRef>
              <c:f>'Pivot tables'!$M$613:$M$614</c:f>
              <c:strCache>
                <c:ptCount val="1"/>
                <c:pt idx="0">
                  <c:v>941028m142</c:v>
                </c:pt>
              </c:strCache>
            </c:strRef>
          </c:tx>
          <c:cat>
            <c:strRef>
              <c:f>'Pivot tables'!$A$615:$A$619</c:f>
              <c:strCache>
                <c:ptCount val="4"/>
                <c:pt idx="0">
                  <c:v>pre</c:v>
                </c:pt>
                <c:pt idx="1">
                  <c:v>2yr</c:v>
                </c:pt>
                <c:pt idx="2">
                  <c:v>5yr</c:v>
                </c:pt>
                <c:pt idx="3">
                  <c:v>8yr</c:v>
                </c:pt>
              </c:strCache>
            </c:strRef>
          </c:cat>
          <c:val>
            <c:numRef>
              <c:f>'Pivot tables'!$M$615:$M$619</c:f>
              <c:numCache>
                <c:formatCode>General</c:formatCode>
                <c:ptCount val="4"/>
                <c:pt idx="0">
                  <c:v>9.461349414499999</c:v>
                </c:pt>
                <c:pt idx="1">
                  <c:v>8.9476176399499998</c:v>
                </c:pt>
                <c:pt idx="2">
                  <c:v>7.5115873661499997</c:v>
                </c:pt>
                <c:pt idx="3">
                  <c:v>7.7277907472875</c:v>
                </c:pt>
              </c:numCache>
            </c:numRef>
          </c:val>
          <c:smooth val="0"/>
        </c:ser>
        <c:ser>
          <c:idx val="12"/>
          <c:order val="12"/>
          <c:tx>
            <c:strRef>
              <c:f>'Pivot tables'!$N$613:$N$614</c:f>
              <c:strCache>
                <c:ptCount val="1"/>
                <c:pt idx="0">
                  <c:v>950921m174</c:v>
                </c:pt>
              </c:strCache>
            </c:strRef>
          </c:tx>
          <c:cat>
            <c:strRef>
              <c:f>'Pivot tables'!$A$615:$A$619</c:f>
              <c:strCache>
                <c:ptCount val="4"/>
                <c:pt idx="0">
                  <c:v>pre</c:v>
                </c:pt>
                <c:pt idx="1">
                  <c:v>2yr</c:v>
                </c:pt>
                <c:pt idx="2">
                  <c:v>5yr</c:v>
                </c:pt>
                <c:pt idx="3">
                  <c:v>8yr</c:v>
                </c:pt>
              </c:strCache>
            </c:strRef>
          </c:cat>
          <c:val>
            <c:numRef>
              <c:f>'Pivot tables'!$N$615:$N$619</c:f>
              <c:numCache>
                <c:formatCode>General</c:formatCode>
                <c:ptCount val="4"/>
                <c:pt idx="0">
                  <c:v>11.114649402885716</c:v>
                </c:pt>
                <c:pt idx="1">
                  <c:v>9.0250025159166665</c:v>
                </c:pt>
                <c:pt idx="2">
                  <c:v>8.8877688955600007</c:v>
                </c:pt>
                <c:pt idx="3">
                  <c:v>6.267017811333333</c:v>
                </c:pt>
              </c:numCache>
            </c:numRef>
          </c:val>
          <c:smooth val="0"/>
        </c:ser>
        <c:ser>
          <c:idx val="13"/>
          <c:order val="13"/>
          <c:tx>
            <c:strRef>
              <c:f>'Pivot tables'!$O$613:$O$614</c:f>
              <c:strCache>
                <c:ptCount val="1"/>
                <c:pt idx="0">
                  <c:v>981228m104</c:v>
                </c:pt>
              </c:strCache>
            </c:strRef>
          </c:tx>
          <c:cat>
            <c:strRef>
              <c:f>'Pivot tables'!$A$615:$A$619</c:f>
              <c:strCache>
                <c:ptCount val="4"/>
                <c:pt idx="0">
                  <c:v>pre</c:v>
                </c:pt>
                <c:pt idx="1">
                  <c:v>2yr</c:v>
                </c:pt>
                <c:pt idx="2">
                  <c:v>5yr</c:v>
                </c:pt>
                <c:pt idx="3">
                  <c:v>8yr</c:v>
                </c:pt>
              </c:strCache>
            </c:strRef>
          </c:cat>
          <c:val>
            <c:numRef>
              <c:f>'Pivot tables'!$O$615:$O$619</c:f>
              <c:numCache>
                <c:formatCode>General</c:formatCode>
                <c:ptCount val="4"/>
                <c:pt idx="0">
                  <c:v>16.984366165600001</c:v>
                </c:pt>
                <c:pt idx="1">
                  <c:v>12.963969539433334</c:v>
                </c:pt>
                <c:pt idx="2">
                  <c:v>11.17417809434</c:v>
                </c:pt>
                <c:pt idx="3">
                  <c:v>11.037478180700001</c:v>
                </c:pt>
              </c:numCache>
            </c:numRef>
          </c:val>
          <c:smooth val="0"/>
        </c:ser>
        <c:ser>
          <c:idx val="14"/>
          <c:order val="14"/>
          <c:tx>
            <c:strRef>
              <c:f>'Pivot tables'!$P$613:$P$614</c:f>
              <c:strCache>
                <c:ptCount val="1"/>
                <c:pt idx="0">
                  <c:v>900219m048</c:v>
                </c:pt>
              </c:strCache>
            </c:strRef>
          </c:tx>
          <c:cat>
            <c:strRef>
              <c:f>'Pivot tables'!$A$615:$A$619</c:f>
              <c:strCache>
                <c:ptCount val="4"/>
                <c:pt idx="0">
                  <c:v>pre</c:v>
                </c:pt>
                <c:pt idx="1">
                  <c:v>2yr</c:v>
                </c:pt>
                <c:pt idx="2">
                  <c:v>5yr</c:v>
                </c:pt>
                <c:pt idx="3">
                  <c:v>8yr</c:v>
                </c:pt>
              </c:strCache>
            </c:strRef>
          </c:cat>
          <c:val>
            <c:numRef>
              <c:f>'Pivot tables'!$P$615:$P$619</c:f>
              <c:numCache>
                <c:formatCode>General</c:formatCode>
                <c:ptCount val="4"/>
                <c:pt idx="0">
                  <c:v>24.650758035577777</c:v>
                </c:pt>
                <c:pt idx="1">
                  <c:v>11.52030394785</c:v>
                </c:pt>
                <c:pt idx="3">
                  <c:v>14.327682719857142</c:v>
                </c:pt>
              </c:numCache>
            </c:numRef>
          </c:val>
          <c:smooth val="0"/>
        </c:ser>
        <c:ser>
          <c:idx val="15"/>
          <c:order val="15"/>
          <c:tx>
            <c:strRef>
              <c:f>'Pivot tables'!$Q$613:$Q$614</c:f>
              <c:strCache>
                <c:ptCount val="1"/>
                <c:pt idx="0">
                  <c:v>930219m144</c:v>
                </c:pt>
              </c:strCache>
            </c:strRef>
          </c:tx>
          <c:cat>
            <c:strRef>
              <c:f>'Pivot tables'!$A$615:$A$619</c:f>
              <c:strCache>
                <c:ptCount val="4"/>
                <c:pt idx="0">
                  <c:v>pre</c:v>
                </c:pt>
                <c:pt idx="1">
                  <c:v>2yr</c:v>
                </c:pt>
                <c:pt idx="2">
                  <c:v>5yr</c:v>
                </c:pt>
                <c:pt idx="3">
                  <c:v>8yr</c:v>
                </c:pt>
              </c:strCache>
            </c:strRef>
          </c:cat>
          <c:val>
            <c:numRef>
              <c:f>'Pivot tables'!$Q$615:$Q$619</c:f>
              <c:numCache>
                <c:formatCode>General</c:formatCode>
                <c:ptCount val="4"/>
                <c:pt idx="0">
                  <c:v>24.141612128788889</c:v>
                </c:pt>
                <c:pt idx="1">
                  <c:v>12.430713186466667</c:v>
                </c:pt>
                <c:pt idx="2">
                  <c:v>13.473596591733333</c:v>
                </c:pt>
                <c:pt idx="3">
                  <c:v>13.562584085439999</c:v>
                </c:pt>
              </c:numCache>
            </c:numRef>
          </c:val>
          <c:smooth val="0"/>
        </c:ser>
        <c:ser>
          <c:idx val="16"/>
          <c:order val="16"/>
          <c:tx>
            <c:strRef>
              <c:f>'Pivot tables'!$R$613:$R$614</c:f>
              <c:strCache>
                <c:ptCount val="1"/>
                <c:pt idx="0">
                  <c:v>931013v114</c:v>
                </c:pt>
              </c:strCache>
            </c:strRef>
          </c:tx>
          <c:cat>
            <c:strRef>
              <c:f>'Pivot tables'!$A$615:$A$619</c:f>
              <c:strCache>
                <c:ptCount val="4"/>
                <c:pt idx="0">
                  <c:v>pre</c:v>
                </c:pt>
                <c:pt idx="1">
                  <c:v>2yr</c:v>
                </c:pt>
                <c:pt idx="2">
                  <c:v>5yr</c:v>
                </c:pt>
                <c:pt idx="3">
                  <c:v>8yr</c:v>
                </c:pt>
              </c:strCache>
            </c:strRef>
          </c:cat>
          <c:val>
            <c:numRef>
              <c:f>'Pivot tables'!$R$615:$R$619</c:f>
              <c:numCache>
                <c:formatCode>General</c:formatCode>
                <c:ptCount val="4"/>
                <c:pt idx="0">
                  <c:v>20.599160141366667</c:v>
                </c:pt>
                <c:pt idx="1">
                  <c:v>5.7812257083</c:v>
                </c:pt>
              </c:numCache>
            </c:numRef>
          </c:val>
          <c:smooth val="0"/>
        </c:ser>
        <c:ser>
          <c:idx val="17"/>
          <c:order val="17"/>
          <c:tx>
            <c:strRef>
              <c:f>'Pivot tables'!$S$613:$S$614</c:f>
              <c:strCache>
                <c:ptCount val="1"/>
                <c:pt idx="0">
                  <c:v>940223m261</c:v>
                </c:pt>
              </c:strCache>
            </c:strRef>
          </c:tx>
          <c:cat>
            <c:strRef>
              <c:f>'Pivot tables'!$A$615:$A$619</c:f>
              <c:strCache>
                <c:ptCount val="4"/>
                <c:pt idx="0">
                  <c:v>pre</c:v>
                </c:pt>
                <c:pt idx="1">
                  <c:v>2yr</c:v>
                </c:pt>
                <c:pt idx="2">
                  <c:v>5yr</c:v>
                </c:pt>
                <c:pt idx="3">
                  <c:v>8yr</c:v>
                </c:pt>
              </c:strCache>
            </c:strRef>
          </c:cat>
          <c:val>
            <c:numRef>
              <c:f>'Pivot tables'!$S$615:$S$619</c:f>
              <c:numCache>
                <c:formatCode>General</c:formatCode>
                <c:ptCount val="4"/>
                <c:pt idx="0">
                  <c:v>25.607229078350002</c:v>
                </c:pt>
                <c:pt idx="1">
                  <c:v>11.9219954808</c:v>
                </c:pt>
                <c:pt idx="3">
                  <c:v>18.202752264150003</c:v>
                </c:pt>
              </c:numCache>
            </c:numRef>
          </c:val>
          <c:smooth val="0"/>
        </c:ser>
        <c:ser>
          <c:idx val="18"/>
          <c:order val="18"/>
          <c:tx>
            <c:strRef>
              <c:f>'Pivot tables'!$T$613:$T$614</c:f>
              <c:strCache>
                <c:ptCount val="1"/>
                <c:pt idx="0">
                  <c:v>950805m159</c:v>
                </c:pt>
              </c:strCache>
            </c:strRef>
          </c:tx>
          <c:cat>
            <c:strRef>
              <c:f>'Pivot tables'!$A$615:$A$619</c:f>
              <c:strCache>
                <c:ptCount val="4"/>
                <c:pt idx="0">
                  <c:v>pre</c:v>
                </c:pt>
                <c:pt idx="1">
                  <c:v>2yr</c:v>
                </c:pt>
                <c:pt idx="2">
                  <c:v>5yr</c:v>
                </c:pt>
                <c:pt idx="3">
                  <c:v>8yr</c:v>
                </c:pt>
              </c:strCache>
            </c:strRef>
          </c:cat>
          <c:val>
            <c:numRef>
              <c:f>'Pivot tables'!$T$615:$T$619</c:f>
              <c:numCache>
                <c:formatCode>General</c:formatCode>
                <c:ptCount val="4"/>
                <c:pt idx="0">
                  <c:v>11.317318957500001</c:v>
                </c:pt>
                <c:pt idx="1">
                  <c:v>7.2510423550399992</c:v>
                </c:pt>
                <c:pt idx="3">
                  <c:v>7.0017090639799999</c:v>
                </c:pt>
              </c:numCache>
            </c:numRef>
          </c:val>
          <c:smooth val="0"/>
        </c:ser>
        <c:ser>
          <c:idx val="19"/>
          <c:order val="19"/>
          <c:tx>
            <c:strRef>
              <c:f>'Pivot tables'!$U$613:$U$614</c:f>
              <c:strCache>
                <c:ptCount val="1"/>
                <c:pt idx="0">
                  <c:v>980325m116</c:v>
                </c:pt>
              </c:strCache>
            </c:strRef>
          </c:tx>
          <c:cat>
            <c:strRef>
              <c:f>'Pivot tables'!$A$615:$A$619</c:f>
              <c:strCache>
                <c:ptCount val="4"/>
                <c:pt idx="0">
                  <c:v>pre</c:v>
                </c:pt>
                <c:pt idx="1">
                  <c:v>2yr</c:v>
                </c:pt>
                <c:pt idx="2">
                  <c:v>5yr</c:v>
                </c:pt>
                <c:pt idx="3">
                  <c:v>8yr</c:v>
                </c:pt>
              </c:strCache>
            </c:strRef>
          </c:cat>
          <c:val>
            <c:numRef>
              <c:f>'Pivot tables'!$U$615:$U$619</c:f>
              <c:numCache>
                <c:formatCode>General</c:formatCode>
                <c:ptCount val="4"/>
                <c:pt idx="0">
                  <c:v>15.426534781840001</c:v>
                </c:pt>
                <c:pt idx="1">
                  <c:v>8.3573895055250009</c:v>
                </c:pt>
                <c:pt idx="2">
                  <c:v>7.1944700876499992</c:v>
                </c:pt>
              </c:numCache>
            </c:numRef>
          </c:val>
          <c:smooth val="0"/>
        </c:ser>
        <c:ser>
          <c:idx val="20"/>
          <c:order val="20"/>
          <c:tx>
            <c:strRef>
              <c:f>'Pivot tables'!$V$613:$V$614</c:f>
              <c:strCache>
                <c:ptCount val="1"/>
                <c:pt idx="0">
                  <c:v>940315m138</c:v>
                </c:pt>
              </c:strCache>
            </c:strRef>
          </c:tx>
          <c:cat>
            <c:strRef>
              <c:f>'Pivot tables'!$A$615:$A$619</c:f>
              <c:strCache>
                <c:ptCount val="4"/>
                <c:pt idx="0">
                  <c:v>pre</c:v>
                </c:pt>
                <c:pt idx="1">
                  <c:v>2yr</c:v>
                </c:pt>
                <c:pt idx="2">
                  <c:v>5yr</c:v>
                </c:pt>
                <c:pt idx="3">
                  <c:v>8yr</c:v>
                </c:pt>
              </c:strCache>
            </c:strRef>
          </c:cat>
          <c:val>
            <c:numRef>
              <c:f>'Pivot tables'!$V$615:$V$619</c:f>
              <c:numCache>
                <c:formatCode>General</c:formatCode>
                <c:ptCount val="4"/>
                <c:pt idx="0">
                  <c:v>11.751030900528573</c:v>
                </c:pt>
                <c:pt idx="1">
                  <c:v>6.99661128324</c:v>
                </c:pt>
                <c:pt idx="3">
                  <c:v>7.7051240871333322</c:v>
                </c:pt>
              </c:numCache>
            </c:numRef>
          </c:val>
          <c:smooth val="0"/>
        </c:ser>
        <c:ser>
          <c:idx val="21"/>
          <c:order val="21"/>
          <c:tx>
            <c:strRef>
              <c:f>'Pivot tables'!$W$613:$W$614</c:f>
              <c:strCache>
                <c:ptCount val="1"/>
                <c:pt idx="0">
                  <c:v>890202m123</c:v>
                </c:pt>
              </c:strCache>
            </c:strRef>
          </c:tx>
          <c:cat>
            <c:strRef>
              <c:f>'Pivot tables'!$A$615:$A$619</c:f>
              <c:strCache>
                <c:ptCount val="4"/>
                <c:pt idx="0">
                  <c:v>pre</c:v>
                </c:pt>
                <c:pt idx="1">
                  <c:v>2yr</c:v>
                </c:pt>
                <c:pt idx="2">
                  <c:v>5yr</c:v>
                </c:pt>
                <c:pt idx="3">
                  <c:v>8yr</c:v>
                </c:pt>
              </c:strCache>
            </c:strRef>
          </c:cat>
          <c:val>
            <c:numRef>
              <c:f>'Pivot tables'!$W$615:$W$619</c:f>
              <c:numCache>
                <c:formatCode>General</c:formatCode>
                <c:ptCount val="4"/>
                <c:pt idx="0">
                  <c:v>12.662013508266666</c:v>
                </c:pt>
                <c:pt idx="1">
                  <c:v>7.0344752483499997</c:v>
                </c:pt>
                <c:pt idx="2">
                  <c:v>7.7957977341499998</c:v>
                </c:pt>
              </c:numCache>
            </c:numRef>
          </c:val>
          <c:smooth val="0"/>
        </c:ser>
        <c:ser>
          <c:idx val="22"/>
          <c:order val="22"/>
          <c:tx>
            <c:strRef>
              <c:f>'Pivot tables'!$X$613:$X$614</c:f>
              <c:strCache>
                <c:ptCount val="1"/>
                <c:pt idx="0">
                  <c:v>920629v030</c:v>
                </c:pt>
              </c:strCache>
            </c:strRef>
          </c:tx>
          <c:cat>
            <c:strRef>
              <c:f>'Pivot tables'!$A$615:$A$619</c:f>
              <c:strCache>
                <c:ptCount val="4"/>
                <c:pt idx="0">
                  <c:v>pre</c:v>
                </c:pt>
                <c:pt idx="1">
                  <c:v>2yr</c:v>
                </c:pt>
                <c:pt idx="2">
                  <c:v>5yr</c:v>
                </c:pt>
                <c:pt idx="3">
                  <c:v>8yr</c:v>
                </c:pt>
              </c:strCache>
            </c:strRef>
          </c:cat>
          <c:val>
            <c:numRef>
              <c:f>'Pivot tables'!$X$615:$X$619</c:f>
              <c:numCache>
                <c:formatCode>General</c:formatCode>
                <c:ptCount val="4"/>
                <c:pt idx="0">
                  <c:v>12.652001927075</c:v>
                </c:pt>
                <c:pt idx="1">
                  <c:v>8.86013836385</c:v>
                </c:pt>
                <c:pt idx="3">
                  <c:v>9.8180504742399997</c:v>
                </c:pt>
              </c:numCache>
            </c:numRef>
          </c:val>
          <c:smooth val="0"/>
        </c:ser>
        <c:ser>
          <c:idx val="23"/>
          <c:order val="23"/>
          <c:tx>
            <c:strRef>
              <c:f>'Pivot tables'!$Y$613:$Y$614</c:f>
              <c:strCache>
                <c:ptCount val="1"/>
                <c:pt idx="0">
                  <c:v>910826v099</c:v>
                </c:pt>
              </c:strCache>
            </c:strRef>
          </c:tx>
          <c:cat>
            <c:strRef>
              <c:f>'Pivot tables'!$A$615:$A$619</c:f>
              <c:strCache>
                <c:ptCount val="4"/>
                <c:pt idx="0">
                  <c:v>pre</c:v>
                </c:pt>
                <c:pt idx="1">
                  <c:v>2yr</c:v>
                </c:pt>
                <c:pt idx="2">
                  <c:v>5yr</c:v>
                </c:pt>
                <c:pt idx="3">
                  <c:v>8yr</c:v>
                </c:pt>
              </c:strCache>
            </c:strRef>
          </c:cat>
          <c:val>
            <c:numRef>
              <c:f>'Pivot tables'!$Y$615:$Y$619</c:f>
              <c:numCache>
                <c:formatCode>General</c:formatCode>
                <c:ptCount val="4"/>
                <c:pt idx="0">
                  <c:v>16.611147447016666</c:v>
                </c:pt>
                <c:pt idx="1">
                  <c:v>9.0653806660875009</c:v>
                </c:pt>
                <c:pt idx="2">
                  <c:v>9.7921442521428599</c:v>
                </c:pt>
              </c:numCache>
            </c:numRef>
          </c:val>
          <c:smooth val="0"/>
        </c:ser>
        <c:ser>
          <c:idx val="24"/>
          <c:order val="24"/>
          <c:tx>
            <c:strRef>
              <c:f>'Pivot tables'!$Z$613:$Z$614</c:f>
              <c:strCache>
                <c:ptCount val="1"/>
                <c:pt idx="0">
                  <c:v>000102g046</c:v>
                </c:pt>
              </c:strCache>
            </c:strRef>
          </c:tx>
          <c:cat>
            <c:strRef>
              <c:f>'Pivot tables'!$A$615:$A$619</c:f>
              <c:strCache>
                <c:ptCount val="4"/>
                <c:pt idx="0">
                  <c:v>pre</c:v>
                </c:pt>
                <c:pt idx="1">
                  <c:v>2yr</c:v>
                </c:pt>
                <c:pt idx="2">
                  <c:v>5yr</c:v>
                </c:pt>
                <c:pt idx="3">
                  <c:v>8yr</c:v>
                </c:pt>
              </c:strCache>
            </c:strRef>
          </c:cat>
          <c:val>
            <c:numRef>
              <c:f>'Pivot tables'!$Z$615:$Z$619</c:f>
              <c:numCache>
                <c:formatCode>General</c:formatCode>
                <c:ptCount val="4"/>
                <c:pt idx="0">
                  <c:v>13.871179442000001</c:v>
                </c:pt>
                <c:pt idx="1">
                  <c:v>8.3043941564833332</c:v>
                </c:pt>
                <c:pt idx="2">
                  <c:v>8.5175653178200008</c:v>
                </c:pt>
              </c:numCache>
            </c:numRef>
          </c:val>
          <c:smooth val="0"/>
        </c:ser>
        <c:ser>
          <c:idx val="25"/>
          <c:order val="25"/>
          <c:tx>
            <c:strRef>
              <c:f>'Pivot tables'!$AA$613:$AA$614</c:f>
              <c:strCache>
                <c:ptCount val="1"/>
                <c:pt idx="0">
                  <c:v>980511m219</c:v>
                </c:pt>
              </c:strCache>
            </c:strRef>
          </c:tx>
          <c:cat>
            <c:strRef>
              <c:f>'Pivot tables'!$A$615:$A$619</c:f>
              <c:strCache>
                <c:ptCount val="4"/>
                <c:pt idx="0">
                  <c:v>pre</c:v>
                </c:pt>
                <c:pt idx="1">
                  <c:v>2yr</c:v>
                </c:pt>
                <c:pt idx="2">
                  <c:v>5yr</c:v>
                </c:pt>
                <c:pt idx="3">
                  <c:v>8yr</c:v>
                </c:pt>
              </c:strCache>
            </c:strRef>
          </c:cat>
          <c:val>
            <c:numRef>
              <c:f>'Pivot tables'!$AA$615:$AA$619</c:f>
              <c:numCache>
                <c:formatCode>General</c:formatCode>
                <c:ptCount val="4"/>
                <c:pt idx="0">
                  <c:v>18.038808652866667</c:v>
                </c:pt>
                <c:pt idx="1">
                  <c:v>19.404035273199998</c:v>
                </c:pt>
                <c:pt idx="2">
                  <c:v>13.832753906500001</c:v>
                </c:pt>
              </c:numCache>
            </c:numRef>
          </c:val>
          <c:smooth val="0"/>
        </c:ser>
        <c:ser>
          <c:idx val="26"/>
          <c:order val="26"/>
          <c:tx>
            <c:strRef>
              <c:f>'Pivot tables'!$AB$613:$AB$614</c:f>
              <c:strCache>
                <c:ptCount val="1"/>
                <c:pt idx="0">
                  <c:v>980512v117</c:v>
                </c:pt>
              </c:strCache>
            </c:strRef>
          </c:tx>
          <c:cat>
            <c:strRef>
              <c:f>'Pivot tables'!$A$615:$A$619</c:f>
              <c:strCache>
                <c:ptCount val="4"/>
                <c:pt idx="0">
                  <c:v>pre</c:v>
                </c:pt>
                <c:pt idx="1">
                  <c:v>2yr</c:v>
                </c:pt>
                <c:pt idx="2">
                  <c:v>5yr</c:v>
                </c:pt>
                <c:pt idx="3">
                  <c:v>8yr</c:v>
                </c:pt>
              </c:strCache>
            </c:strRef>
          </c:cat>
          <c:val>
            <c:numRef>
              <c:f>'Pivot tables'!$AB$615:$AB$619</c:f>
              <c:numCache>
                <c:formatCode>General</c:formatCode>
                <c:ptCount val="4"/>
                <c:pt idx="0">
                  <c:v>14.091861231416667</c:v>
                </c:pt>
                <c:pt idx="1">
                  <c:v>15.203026678924999</c:v>
                </c:pt>
                <c:pt idx="3">
                  <c:v>13.829391892220002</c:v>
                </c:pt>
              </c:numCache>
            </c:numRef>
          </c:val>
          <c:smooth val="0"/>
        </c:ser>
        <c:ser>
          <c:idx val="27"/>
          <c:order val="27"/>
          <c:tx>
            <c:strRef>
              <c:f>'Pivot tables'!$AC$613:$AC$614</c:f>
              <c:strCache>
                <c:ptCount val="1"/>
                <c:pt idx="0">
                  <c:v>960428m114</c:v>
                </c:pt>
              </c:strCache>
            </c:strRef>
          </c:tx>
          <c:cat>
            <c:strRef>
              <c:f>'Pivot tables'!$A$615:$A$619</c:f>
              <c:strCache>
                <c:ptCount val="4"/>
                <c:pt idx="0">
                  <c:v>pre</c:v>
                </c:pt>
                <c:pt idx="1">
                  <c:v>2yr</c:v>
                </c:pt>
                <c:pt idx="2">
                  <c:v>5yr</c:v>
                </c:pt>
                <c:pt idx="3">
                  <c:v>8yr</c:v>
                </c:pt>
              </c:strCache>
            </c:strRef>
          </c:cat>
          <c:val>
            <c:numRef>
              <c:f>'Pivot tables'!$AC$615:$AC$619</c:f>
              <c:numCache>
                <c:formatCode>General</c:formatCode>
                <c:ptCount val="4"/>
                <c:pt idx="0">
                  <c:v>12.736126050425002</c:v>
                </c:pt>
                <c:pt idx="1">
                  <c:v>11.94958058075</c:v>
                </c:pt>
                <c:pt idx="2">
                  <c:v>8.8856892285600004</c:v>
                </c:pt>
              </c:numCache>
            </c:numRef>
          </c:val>
          <c:smooth val="0"/>
        </c:ser>
        <c:ser>
          <c:idx val="28"/>
          <c:order val="28"/>
          <c:tx>
            <c:strRef>
              <c:f>'Pivot tables'!$AD$613:$AD$614</c:f>
              <c:strCache>
                <c:ptCount val="1"/>
                <c:pt idx="0">
                  <c:v>970629v068</c:v>
                </c:pt>
              </c:strCache>
            </c:strRef>
          </c:tx>
          <c:cat>
            <c:strRef>
              <c:f>'Pivot tables'!$A$615:$A$619</c:f>
              <c:strCache>
                <c:ptCount val="4"/>
                <c:pt idx="0">
                  <c:v>pre</c:v>
                </c:pt>
                <c:pt idx="1">
                  <c:v>2yr</c:v>
                </c:pt>
                <c:pt idx="2">
                  <c:v>5yr</c:v>
                </c:pt>
                <c:pt idx="3">
                  <c:v>8yr</c:v>
                </c:pt>
              </c:strCache>
            </c:strRef>
          </c:cat>
          <c:val>
            <c:numRef>
              <c:f>'Pivot tables'!$AD$615:$AD$619</c:f>
              <c:numCache>
                <c:formatCode>General</c:formatCode>
                <c:ptCount val="4"/>
                <c:pt idx="0">
                  <c:v>10.180550848262499</c:v>
                </c:pt>
                <c:pt idx="1">
                  <c:v>11.36054869594</c:v>
                </c:pt>
                <c:pt idx="3">
                  <c:v>8.9155065223833336</c:v>
                </c:pt>
              </c:numCache>
            </c:numRef>
          </c:val>
          <c:smooth val="0"/>
        </c:ser>
        <c:ser>
          <c:idx val="29"/>
          <c:order val="29"/>
          <c:tx>
            <c:strRef>
              <c:f>'Pivot tables'!$AE$613:$AE$614</c:f>
              <c:strCache>
                <c:ptCount val="1"/>
                <c:pt idx="0">
                  <c:v>970602v069</c:v>
                </c:pt>
              </c:strCache>
            </c:strRef>
          </c:tx>
          <c:cat>
            <c:strRef>
              <c:f>'Pivot tables'!$A$615:$A$619</c:f>
              <c:strCache>
                <c:ptCount val="4"/>
                <c:pt idx="0">
                  <c:v>pre</c:v>
                </c:pt>
                <c:pt idx="1">
                  <c:v>2yr</c:v>
                </c:pt>
                <c:pt idx="2">
                  <c:v>5yr</c:v>
                </c:pt>
                <c:pt idx="3">
                  <c:v>8yr</c:v>
                </c:pt>
              </c:strCache>
            </c:strRef>
          </c:cat>
          <c:val>
            <c:numRef>
              <c:f>'Pivot tables'!$AE$615:$AE$619</c:f>
              <c:numCache>
                <c:formatCode>General</c:formatCode>
                <c:ptCount val="4"/>
                <c:pt idx="0">
                  <c:v>12.908066645033335</c:v>
                </c:pt>
                <c:pt idx="1">
                  <c:v>7.9375832004571425</c:v>
                </c:pt>
                <c:pt idx="2">
                  <c:v>9.0085891793833337</c:v>
                </c:pt>
                <c:pt idx="3">
                  <c:v>7.7311959636166669</c:v>
                </c:pt>
              </c:numCache>
            </c:numRef>
          </c:val>
          <c:smooth val="0"/>
        </c:ser>
        <c:ser>
          <c:idx val="30"/>
          <c:order val="30"/>
          <c:tx>
            <c:strRef>
              <c:f>'Pivot tables'!$AF$613:$AF$614</c:f>
              <c:strCache>
                <c:ptCount val="1"/>
                <c:pt idx="0">
                  <c:v>Average</c:v>
                </c:pt>
              </c:strCache>
            </c:strRef>
          </c:tx>
          <c:spPr>
            <a:ln w="38100">
              <a:solidFill>
                <a:schemeClr val="tx1"/>
              </a:solidFill>
            </a:ln>
          </c:spPr>
          <c:marker>
            <c:symbol val="circle"/>
            <c:size val="7"/>
            <c:spPr>
              <a:solidFill>
                <a:schemeClr val="tx1"/>
              </a:solidFill>
            </c:spPr>
          </c:marker>
          <c:cat>
            <c:strRef>
              <c:f>'Pivot tables'!$A$615:$A$619</c:f>
              <c:strCache>
                <c:ptCount val="4"/>
                <c:pt idx="0">
                  <c:v>pre</c:v>
                </c:pt>
                <c:pt idx="1">
                  <c:v>2yr</c:v>
                </c:pt>
                <c:pt idx="2">
                  <c:v>5yr</c:v>
                </c:pt>
                <c:pt idx="3">
                  <c:v>8yr</c:v>
                </c:pt>
              </c:strCache>
            </c:strRef>
          </c:cat>
          <c:val>
            <c:numRef>
              <c:f>'Pivot tables'!$AF$615:$AF$619</c:f>
              <c:numCache>
                <c:formatCode>General</c:formatCode>
                <c:ptCount val="4"/>
                <c:pt idx="0">
                  <c:v>15.562729225709235</c:v>
                </c:pt>
                <c:pt idx="1">
                  <c:v>10.597318393722055</c:v>
                </c:pt>
                <c:pt idx="2">
                  <c:v>10.490011866639644</c:v>
                </c:pt>
                <c:pt idx="3">
                  <c:v>10.965003705602472</c:v>
                </c:pt>
              </c:numCache>
            </c:numRef>
          </c:val>
          <c:smooth val="0"/>
        </c:ser>
        <c:ser>
          <c:idx val="31"/>
          <c:order val="31"/>
          <c:tx>
            <c:strRef>
              <c:f>'Pivot tables'!$AG$613:$AG$614</c:f>
              <c:strCache>
                <c:ptCount val="1"/>
                <c:pt idx="0">
                  <c:v>No pathology</c:v>
                </c:pt>
              </c:strCache>
            </c:strRef>
          </c:tx>
          <c:cat>
            <c:strRef>
              <c:f>'Pivot tables'!$A$615:$A$619</c:f>
              <c:strCache>
                <c:ptCount val="4"/>
                <c:pt idx="0">
                  <c:v>pre</c:v>
                </c:pt>
                <c:pt idx="1">
                  <c:v>2yr</c:v>
                </c:pt>
                <c:pt idx="2">
                  <c:v>5yr</c:v>
                </c:pt>
                <c:pt idx="3">
                  <c:v>8yr</c:v>
                </c:pt>
              </c:strCache>
            </c:strRef>
          </c:cat>
          <c:val>
            <c:numRef>
              <c:f>'Pivot tables'!$AG$615:$AG$619</c:f>
              <c:numCache>
                <c:formatCode>General</c:formatCode>
                <c:ptCount val="4"/>
              </c:numCache>
            </c:numRef>
          </c:val>
          <c:smooth val="0"/>
        </c:ser>
        <c:ser>
          <c:idx val="32"/>
          <c:order val="32"/>
          <c:tx>
            <c:strRef>
              <c:f>'Pivot tables'!$AH$613:$AH$614</c:f>
              <c:strCache>
                <c:ptCount val="1"/>
                <c:pt idx="0">
                  <c:v>patient 1-31</c:v>
                </c:pt>
              </c:strCache>
            </c:strRef>
          </c:tx>
          <c:cat>
            <c:strRef>
              <c:f>'Pivot tables'!$A$615:$A$619</c:f>
              <c:strCache>
                <c:ptCount val="4"/>
                <c:pt idx="0">
                  <c:v>pre</c:v>
                </c:pt>
                <c:pt idx="1">
                  <c:v>2yr</c:v>
                </c:pt>
                <c:pt idx="2">
                  <c:v>5yr</c:v>
                </c:pt>
                <c:pt idx="3">
                  <c:v>8yr</c:v>
                </c:pt>
              </c:strCache>
            </c:strRef>
          </c:cat>
          <c:val>
            <c:numRef>
              <c:f>'Pivot tables'!$AH$615:$AH$619</c:f>
              <c:numCache>
                <c:formatCode>General</c:formatCode>
                <c:ptCount val="4"/>
                <c:pt idx="0">
                  <c:v>17.714519024133335</c:v>
                </c:pt>
                <c:pt idx="1">
                  <c:v>16.600920313066666</c:v>
                </c:pt>
                <c:pt idx="2">
                  <c:v>17.326791910124999</c:v>
                </c:pt>
              </c:numCache>
            </c:numRef>
          </c:val>
          <c:smooth val="0"/>
        </c:ser>
        <c:dLbls>
          <c:showLegendKey val="0"/>
          <c:showVal val="0"/>
          <c:showCatName val="0"/>
          <c:showSerName val="0"/>
          <c:showPercent val="0"/>
          <c:showBubbleSize val="0"/>
        </c:dLbls>
        <c:marker val="1"/>
        <c:smooth val="0"/>
        <c:axId val="162709888"/>
        <c:axId val="162711808"/>
      </c:lineChart>
      <c:catAx>
        <c:axId val="162709888"/>
        <c:scaling>
          <c:orientation val="minMax"/>
        </c:scaling>
        <c:delete val="0"/>
        <c:axPos val="b"/>
        <c:title>
          <c:tx>
            <c:rich>
              <a:bodyPr/>
              <a:lstStyle/>
              <a:p>
                <a:pPr>
                  <a:defRPr/>
                </a:pPr>
                <a:r>
                  <a:rPr lang="nl-BE"/>
                  <a:t>Timing</a:t>
                </a:r>
              </a:p>
            </c:rich>
          </c:tx>
          <c:overlay val="0"/>
        </c:title>
        <c:numFmt formatCode="General" sourceLinked="0"/>
        <c:majorTickMark val="none"/>
        <c:minorTickMark val="none"/>
        <c:tickLblPos val="nextTo"/>
        <c:crossAx val="162711808"/>
        <c:crosses val="autoZero"/>
        <c:auto val="1"/>
        <c:lblAlgn val="ctr"/>
        <c:lblOffset val="100"/>
        <c:noMultiLvlLbl val="0"/>
      </c:catAx>
      <c:valAx>
        <c:axId val="162711808"/>
        <c:scaling>
          <c:orientation val="minMax"/>
        </c:scaling>
        <c:delete val="0"/>
        <c:axPos val="l"/>
        <c:title>
          <c:tx>
            <c:rich>
              <a:bodyPr rot="-5400000" vert="horz"/>
              <a:lstStyle/>
              <a:p>
                <a:pPr>
                  <a:defRPr/>
                </a:pPr>
                <a:r>
                  <a:rPr lang="nl-BE"/>
                  <a:t>deg</a:t>
                </a:r>
              </a:p>
            </c:rich>
          </c:tx>
          <c:overlay val="0"/>
        </c:title>
        <c:numFmt formatCode="General" sourceLinked="1"/>
        <c:majorTickMark val="none"/>
        <c:minorTickMark val="none"/>
        <c:tickLblPos val="nextTo"/>
        <c:crossAx val="162709888"/>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1"/>
        <c:delete val="1"/>
      </c:legendEntry>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pivotSource>
    <c:name>[grafieken per patiënt per parameter.xlsx]Pivot tables!Draaitabel65</c:name>
    <c:fmtId val="-1"/>
  </c:pivotSource>
  <c:chart>
    <c:title>
      <c:tx>
        <c:rich>
          <a:bodyPr/>
          <a:lstStyle/>
          <a:p>
            <a:pPr>
              <a:defRPr>
                <a:solidFill>
                  <a:sysClr val="windowText" lastClr="000000"/>
                </a:solidFill>
              </a:defRPr>
            </a:pPr>
            <a:r>
              <a:rPr lang="nl-BE">
                <a:solidFill>
                  <a:sysClr val="windowText" lastClr="000000"/>
                </a:solidFill>
              </a:rPr>
              <a:t>GPS</a:t>
            </a:r>
            <a:r>
              <a:rPr lang="nl-BE" baseline="0">
                <a:solidFill>
                  <a:sysClr val="windowText" lastClr="000000"/>
                </a:solidFill>
              </a:rPr>
              <a:t> Sagittal</a:t>
            </a:r>
            <a:endParaRPr lang="nl-BE">
              <a:solidFill>
                <a:sysClr val="windowText" lastClr="000000"/>
              </a:solidFill>
            </a:endParaRPr>
          </a:p>
        </c:rich>
      </c:tx>
      <c:overlay val="0"/>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pivotFmt>
      <c:pivotFmt>
        <c:idx val="187"/>
      </c:pivotFmt>
      <c:pivotFmt>
        <c:idx val="188"/>
      </c:pivotFmt>
      <c:pivotFmt>
        <c:idx val="189"/>
      </c:pivotFmt>
      <c:pivotFmt>
        <c:idx val="190"/>
      </c:pivotFmt>
      <c:pivotFmt>
        <c:idx val="191"/>
      </c:pivotFmt>
      <c:pivotFmt>
        <c:idx val="192"/>
      </c:pivotFmt>
      <c:pivotFmt>
        <c:idx val="193"/>
      </c:pivotFmt>
      <c:pivotFmt>
        <c:idx val="194"/>
      </c:pivotFmt>
      <c:pivotFmt>
        <c:idx val="195"/>
      </c:pivotFmt>
      <c:pivotFmt>
        <c:idx val="196"/>
      </c:pivotFmt>
      <c:pivotFmt>
        <c:idx val="197"/>
      </c:pivotFmt>
      <c:pivotFmt>
        <c:idx val="198"/>
      </c:pivotFmt>
      <c:pivotFmt>
        <c:idx val="199"/>
      </c:pivotFmt>
      <c:pivotFmt>
        <c:idx val="200"/>
      </c:pivotFmt>
      <c:pivotFmt>
        <c:idx val="201"/>
      </c:pivotFmt>
      <c:pivotFmt>
        <c:idx val="202"/>
      </c:pivotFmt>
      <c:pivotFmt>
        <c:idx val="203"/>
      </c:pivotFmt>
      <c:pivotFmt>
        <c:idx val="204"/>
      </c:pivotFmt>
      <c:pivotFmt>
        <c:idx val="205"/>
      </c:pivotFmt>
      <c:pivotFmt>
        <c:idx val="206"/>
      </c:pivotFmt>
      <c:pivotFmt>
        <c:idx val="207"/>
      </c:pivotFmt>
      <c:pivotFmt>
        <c:idx val="208"/>
      </c:pivotFmt>
      <c:pivotFmt>
        <c:idx val="209"/>
      </c:pivotFmt>
      <c:pivotFmt>
        <c:idx val="210"/>
      </c:pivotFmt>
      <c:pivotFmt>
        <c:idx val="211"/>
      </c:pivotFmt>
      <c:pivotFmt>
        <c:idx val="212"/>
      </c:pivotFmt>
      <c:pivotFmt>
        <c:idx val="213"/>
      </c:pivotFmt>
      <c:pivotFmt>
        <c:idx val="214"/>
      </c:pivotFmt>
      <c:pivotFmt>
        <c:idx val="215"/>
      </c:pivotFmt>
      <c:pivotFmt>
        <c:idx val="216"/>
      </c:pivotFmt>
      <c:pivotFmt>
        <c:idx val="217"/>
      </c:pivotFmt>
      <c:pivotFmt>
        <c:idx val="218"/>
      </c:pivotFmt>
      <c:pivotFmt>
        <c:idx val="219"/>
      </c:pivotFmt>
      <c:pivotFmt>
        <c:idx val="220"/>
      </c:pivotFmt>
      <c:pivotFmt>
        <c:idx val="221"/>
      </c:pivotFmt>
      <c:pivotFmt>
        <c:idx val="222"/>
      </c:pivotFmt>
      <c:pivotFmt>
        <c:idx val="223"/>
      </c:pivotFmt>
      <c:pivotFmt>
        <c:idx val="224"/>
      </c:pivotFmt>
      <c:pivotFmt>
        <c:idx val="225"/>
      </c:pivotFmt>
      <c:pivotFmt>
        <c:idx val="226"/>
      </c:pivotFmt>
      <c:pivotFmt>
        <c:idx val="227"/>
      </c:pivotFmt>
      <c:pivotFmt>
        <c:idx val="228"/>
      </c:pivotFmt>
      <c:pivotFmt>
        <c:idx val="229"/>
      </c:pivotFmt>
      <c:pivotFmt>
        <c:idx val="230"/>
      </c:pivotFmt>
      <c:pivotFmt>
        <c:idx val="231"/>
      </c:pivotFmt>
      <c:pivotFmt>
        <c:idx val="232"/>
      </c:pivotFmt>
      <c:pivotFmt>
        <c:idx val="233"/>
      </c:pivotFmt>
      <c:pivotFmt>
        <c:idx val="234"/>
      </c:pivotFmt>
      <c:pivotFmt>
        <c:idx val="235"/>
      </c:pivotFmt>
      <c:pivotFmt>
        <c:idx val="236"/>
      </c:pivotFmt>
      <c:pivotFmt>
        <c:idx val="237"/>
      </c:pivotFmt>
      <c:pivotFmt>
        <c:idx val="238"/>
      </c:pivotFmt>
      <c:pivotFmt>
        <c:idx val="239"/>
      </c:pivotFmt>
      <c:pivotFmt>
        <c:idx val="240"/>
      </c:pivotFmt>
      <c:pivotFmt>
        <c:idx val="241"/>
      </c:pivotFmt>
      <c:pivotFmt>
        <c:idx val="242"/>
      </c:pivotFmt>
      <c:pivotFmt>
        <c:idx val="243"/>
      </c:pivotFmt>
      <c:pivotFmt>
        <c:idx val="244"/>
      </c:pivotFmt>
      <c:pivotFmt>
        <c:idx val="245"/>
      </c:pivotFmt>
      <c:pivotFmt>
        <c:idx val="246"/>
      </c:pivotFmt>
      <c:pivotFmt>
        <c:idx val="247"/>
      </c:pivotFmt>
      <c:pivotFmt>
        <c:idx val="248"/>
      </c:pivotFmt>
      <c:pivotFmt>
        <c:idx val="249"/>
      </c:pivotFmt>
      <c:pivotFmt>
        <c:idx val="250"/>
      </c:pivotFmt>
      <c:pivotFmt>
        <c:idx val="251"/>
      </c:pivotFmt>
      <c:pivotFmt>
        <c:idx val="252"/>
      </c:pivotFmt>
      <c:pivotFmt>
        <c:idx val="253"/>
      </c:pivotFmt>
      <c:pivotFmt>
        <c:idx val="254"/>
      </c:pivotFmt>
      <c:pivotFmt>
        <c:idx val="255"/>
      </c:pivotFmt>
      <c:pivotFmt>
        <c:idx val="256"/>
      </c:pivotFmt>
      <c:pivotFmt>
        <c:idx val="257"/>
      </c:pivotFmt>
      <c:pivotFmt>
        <c:idx val="258"/>
      </c:pivotFmt>
      <c:pivotFmt>
        <c:idx val="259"/>
      </c:pivotFmt>
      <c:pivotFmt>
        <c:idx val="260"/>
      </c:pivotFmt>
      <c:pivotFmt>
        <c:idx val="261"/>
      </c:pivotFmt>
      <c:pivotFmt>
        <c:idx val="262"/>
      </c:pivotFmt>
      <c:pivotFmt>
        <c:idx val="263"/>
      </c:pivotFmt>
      <c:pivotFmt>
        <c:idx val="264"/>
      </c:pivotFmt>
      <c:pivotFmt>
        <c:idx val="265"/>
      </c:pivotFmt>
      <c:pivotFmt>
        <c:idx val="266"/>
      </c:pivotFmt>
      <c:pivotFmt>
        <c:idx val="267"/>
      </c:pivotFmt>
      <c:pivotFmt>
        <c:idx val="268"/>
      </c:pivotFmt>
      <c:pivotFmt>
        <c:idx val="269"/>
      </c:pivotFmt>
      <c:pivotFmt>
        <c:idx val="270"/>
      </c:pivotFmt>
      <c:pivotFmt>
        <c:idx val="271"/>
      </c:pivotFmt>
      <c:pivotFmt>
        <c:idx val="272"/>
      </c:pivotFmt>
      <c:pivotFmt>
        <c:idx val="273"/>
      </c:pivotFmt>
      <c:pivotFmt>
        <c:idx val="274"/>
      </c:pivotFmt>
      <c:pivotFmt>
        <c:idx val="275"/>
      </c:pivotFmt>
      <c:pivotFmt>
        <c:idx val="276"/>
      </c:pivotFmt>
      <c:pivotFmt>
        <c:idx val="277"/>
      </c:pivotFmt>
      <c:pivotFmt>
        <c:idx val="278"/>
      </c:pivotFmt>
      <c:pivotFmt>
        <c:idx val="279"/>
      </c:pivotFmt>
      <c:pivotFmt>
        <c:idx val="280"/>
      </c:pivotFmt>
      <c:pivotFmt>
        <c:idx val="281"/>
      </c:pivotFmt>
      <c:pivotFmt>
        <c:idx val="282"/>
      </c:pivotFmt>
      <c:pivotFmt>
        <c:idx val="283"/>
      </c:pivotFmt>
      <c:pivotFmt>
        <c:idx val="284"/>
      </c:pivotFmt>
      <c:pivotFmt>
        <c:idx val="285"/>
      </c:pivotFmt>
      <c:pivotFmt>
        <c:idx val="286"/>
      </c:pivotFmt>
      <c:pivotFmt>
        <c:idx val="287"/>
      </c:pivotFmt>
      <c:pivotFmt>
        <c:idx val="288"/>
      </c:pivotFmt>
      <c:pivotFmt>
        <c:idx val="289"/>
      </c:pivotFmt>
      <c:pivotFmt>
        <c:idx val="290"/>
      </c:pivotFmt>
      <c:pivotFmt>
        <c:idx val="291"/>
      </c:pivotFmt>
      <c:pivotFmt>
        <c:idx val="292"/>
      </c:pivotFmt>
      <c:pivotFmt>
        <c:idx val="293"/>
      </c:pivotFmt>
      <c:pivotFmt>
        <c:idx val="294"/>
      </c:pivotFmt>
      <c:pivotFmt>
        <c:idx val="295"/>
      </c:pivotFmt>
      <c:pivotFmt>
        <c:idx val="296"/>
      </c:pivotFmt>
      <c:pivotFmt>
        <c:idx val="297"/>
      </c:pivotFmt>
      <c:pivotFmt>
        <c:idx val="298"/>
      </c:pivotFmt>
      <c:pivotFmt>
        <c:idx val="299"/>
      </c:pivotFmt>
      <c:pivotFmt>
        <c:idx val="300"/>
      </c:pivotFmt>
      <c:pivotFmt>
        <c:idx val="301"/>
      </c:pivotFmt>
      <c:pivotFmt>
        <c:idx val="302"/>
      </c:pivotFmt>
      <c:pivotFmt>
        <c:idx val="303"/>
      </c:pivotFmt>
      <c:pivotFmt>
        <c:idx val="304"/>
      </c:pivotFmt>
      <c:pivotFmt>
        <c:idx val="305"/>
      </c:pivotFmt>
      <c:pivotFmt>
        <c:idx val="306"/>
      </c:pivotFmt>
      <c:pivotFmt>
        <c:idx val="307"/>
      </c:pivotFmt>
      <c:pivotFmt>
        <c:idx val="308"/>
      </c:pivotFmt>
      <c:pivotFmt>
        <c:idx val="309"/>
      </c:pivotFmt>
      <c:pivotFmt>
        <c:idx val="310"/>
      </c:pivotFmt>
      <c:pivotFmt>
        <c:idx val="311"/>
      </c:pivotFmt>
      <c:pivotFmt>
        <c:idx val="312"/>
      </c:pivotFmt>
      <c:pivotFmt>
        <c:idx val="313"/>
      </c:pivotFmt>
      <c:pivotFmt>
        <c:idx val="314"/>
      </c:pivotFmt>
      <c:pivotFmt>
        <c:idx val="315"/>
      </c:pivotFmt>
      <c:pivotFmt>
        <c:idx val="316"/>
      </c:pivotFmt>
      <c:pivotFmt>
        <c:idx val="317"/>
      </c:pivotFmt>
      <c:pivotFmt>
        <c:idx val="318"/>
      </c:pivotFmt>
      <c:pivotFmt>
        <c:idx val="319"/>
      </c:pivotFmt>
      <c:pivotFmt>
        <c:idx val="320"/>
      </c:pivotFmt>
      <c:pivotFmt>
        <c:idx val="321"/>
      </c:pivotFmt>
      <c:pivotFmt>
        <c:idx val="322"/>
      </c:pivotFmt>
      <c:pivotFmt>
        <c:idx val="323"/>
      </c:pivotFmt>
      <c:pivotFmt>
        <c:idx val="324"/>
      </c:pivotFmt>
      <c:pivotFmt>
        <c:idx val="325"/>
      </c:pivotFmt>
      <c:pivotFmt>
        <c:idx val="326"/>
      </c:pivotFmt>
      <c:pivotFmt>
        <c:idx val="327"/>
      </c:pivotFmt>
      <c:pivotFmt>
        <c:idx val="328"/>
      </c:pivotFmt>
      <c:pivotFmt>
        <c:idx val="329"/>
      </c:pivotFmt>
      <c:pivotFmt>
        <c:idx val="330"/>
      </c:pivotFmt>
      <c:pivotFmt>
        <c:idx val="331"/>
      </c:pivotFmt>
      <c:pivotFmt>
        <c:idx val="332"/>
      </c:pivotFmt>
      <c:pivotFmt>
        <c:idx val="333"/>
      </c:pivotFmt>
      <c:pivotFmt>
        <c:idx val="334"/>
      </c:pivotFmt>
      <c:pivotFmt>
        <c:idx val="335"/>
      </c:pivotFmt>
      <c:pivotFmt>
        <c:idx val="336"/>
      </c:pivotFmt>
      <c:pivotFmt>
        <c:idx val="337"/>
      </c:pivotFmt>
      <c:pivotFmt>
        <c:idx val="338"/>
      </c:pivotFmt>
      <c:pivotFmt>
        <c:idx val="339"/>
      </c:pivotFmt>
      <c:pivotFmt>
        <c:idx val="340"/>
      </c:pivotFmt>
      <c:pivotFmt>
        <c:idx val="341"/>
      </c:pivotFmt>
      <c:pivotFmt>
        <c:idx val="342"/>
      </c:pivotFmt>
      <c:pivotFmt>
        <c:idx val="343"/>
      </c:pivotFmt>
      <c:pivotFmt>
        <c:idx val="344"/>
      </c:pivotFmt>
      <c:pivotFmt>
        <c:idx val="345"/>
      </c:pivotFmt>
      <c:pivotFmt>
        <c:idx val="346"/>
      </c:pivotFmt>
      <c:pivotFmt>
        <c:idx val="347"/>
      </c:pivotFmt>
      <c:pivotFmt>
        <c:idx val="348"/>
      </c:pivotFmt>
      <c:pivotFmt>
        <c:idx val="349"/>
      </c:pivotFmt>
      <c:pivotFmt>
        <c:idx val="350"/>
      </c:pivotFmt>
      <c:pivotFmt>
        <c:idx val="351"/>
      </c:pivotFmt>
      <c:pivotFmt>
        <c:idx val="352"/>
      </c:pivotFmt>
      <c:pivotFmt>
        <c:idx val="353"/>
      </c:pivotFmt>
      <c:pivotFmt>
        <c:idx val="354"/>
      </c:pivotFmt>
      <c:pivotFmt>
        <c:idx val="355"/>
      </c:pivotFmt>
      <c:pivotFmt>
        <c:idx val="356"/>
      </c:pivotFmt>
      <c:pivotFmt>
        <c:idx val="357"/>
      </c:pivotFmt>
      <c:pivotFmt>
        <c:idx val="358"/>
      </c:pivotFmt>
      <c:pivotFmt>
        <c:idx val="359"/>
      </c:pivotFmt>
      <c:pivotFmt>
        <c:idx val="360"/>
      </c:pivotFmt>
      <c:pivotFmt>
        <c:idx val="361"/>
      </c:pivotFmt>
      <c:pivotFmt>
        <c:idx val="362"/>
      </c:pivotFmt>
      <c:pivotFmt>
        <c:idx val="363"/>
      </c:pivotFmt>
      <c:pivotFmt>
        <c:idx val="364"/>
      </c:pivotFmt>
      <c:pivotFmt>
        <c:idx val="365"/>
      </c:pivotFmt>
      <c:pivotFmt>
        <c:idx val="366"/>
      </c:pivotFmt>
      <c:pivotFmt>
        <c:idx val="367"/>
      </c:pivotFmt>
      <c:pivotFmt>
        <c:idx val="368"/>
      </c:pivotFmt>
      <c:pivotFmt>
        <c:idx val="369"/>
      </c:pivotFmt>
      <c:pivotFmt>
        <c:idx val="370"/>
      </c:pivotFmt>
      <c:pivotFmt>
        <c:idx val="371"/>
      </c:pivotFmt>
      <c:pivotFmt>
        <c:idx val="372"/>
      </c:pivotFmt>
      <c:pivotFmt>
        <c:idx val="373"/>
      </c:pivotFmt>
      <c:pivotFmt>
        <c:idx val="374"/>
      </c:pivotFmt>
      <c:pivotFmt>
        <c:idx val="375"/>
      </c:pivotFmt>
      <c:pivotFmt>
        <c:idx val="376"/>
      </c:pivotFmt>
      <c:pivotFmt>
        <c:idx val="377"/>
      </c:pivotFmt>
      <c:pivotFmt>
        <c:idx val="378"/>
      </c:pivotFmt>
      <c:pivotFmt>
        <c:idx val="379"/>
      </c:pivotFmt>
      <c:pivotFmt>
        <c:idx val="380"/>
      </c:pivotFmt>
      <c:pivotFmt>
        <c:idx val="381"/>
      </c:pivotFmt>
      <c:pivotFmt>
        <c:idx val="382"/>
      </c:pivotFmt>
      <c:pivotFmt>
        <c:idx val="383"/>
      </c:pivotFmt>
      <c:pivotFmt>
        <c:idx val="384"/>
      </c:pivotFmt>
      <c:pivotFmt>
        <c:idx val="385"/>
      </c:pivotFmt>
      <c:pivotFmt>
        <c:idx val="386"/>
      </c:pivotFmt>
      <c:pivotFmt>
        <c:idx val="387"/>
      </c:pivotFmt>
      <c:pivotFmt>
        <c:idx val="388"/>
      </c:pivotFmt>
      <c:pivotFmt>
        <c:idx val="389"/>
      </c:pivotFmt>
      <c:pivotFmt>
        <c:idx val="390"/>
      </c:pivotFmt>
      <c:pivotFmt>
        <c:idx val="391"/>
      </c:pivotFmt>
      <c:pivotFmt>
        <c:idx val="392"/>
      </c:pivotFmt>
      <c:pivotFmt>
        <c:idx val="393"/>
      </c:pivotFmt>
      <c:pivotFmt>
        <c:idx val="394"/>
      </c:pivotFmt>
      <c:pivotFmt>
        <c:idx val="395"/>
      </c:pivotFmt>
      <c:pivotFmt>
        <c:idx val="396"/>
      </c:pivotFmt>
      <c:pivotFmt>
        <c:idx val="397"/>
      </c:pivotFmt>
      <c:pivotFmt>
        <c:idx val="398"/>
      </c:pivotFmt>
      <c:pivotFmt>
        <c:idx val="399"/>
      </c:pivotFmt>
      <c:pivotFmt>
        <c:idx val="400"/>
      </c:pivotFmt>
      <c:pivotFmt>
        <c:idx val="401"/>
      </c:pivotFmt>
      <c:pivotFmt>
        <c:idx val="402"/>
      </c:pivotFmt>
      <c:pivotFmt>
        <c:idx val="403"/>
      </c:pivotFmt>
      <c:pivotFmt>
        <c:idx val="404"/>
      </c:pivotFmt>
      <c:pivotFmt>
        <c:idx val="405"/>
      </c:pivotFmt>
      <c:pivotFmt>
        <c:idx val="406"/>
      </c:pivotFmt>
      <c:pivotFmt>
        <c:idx val="407"/>
      </c:pivotFmt>
      <c:pivotFmt>
        <c:idx val="408"/>
      </c:pivotFmt>
      <c:pivotFmt>
        <c:idx val="409"/>
      </c:pivotFmt>
      <c:pivotFmt>
        <c:idx val="410"/>
      </c:pivotFmt>
      <c:pivotFmt>
        <c:idx val="411"/>
      </c:pivotFmt>
      <c:pivotFmt>
        <c:idx val="412"/>
      </c:pivotFmt>
      <c:pivotFmt>
        <c:idx val="413"/>
      </c:pivotFmt>
      <c:pivotFmt>
        <c:idx val="414"/>
      </c:pivotFmt>
      <c:pivotFmt>
        <c:idx val="415"/>
      </c:pivotFmt>
      <c:pivotFmt>
        <c:idx val="416"/>
      </c:pivotFmt>
      <c:pivotFmt>
        <c:idx val="417"/>
      </c:pivotFmt>
      <c:pivotFmt>
        <c:idx val="418"/>
      </c:pivotFmt>
      <c:pivotFmt>
        <c:idx val="419"/>
      </c:pivotFmt>
      <c:pivotFmt>
        <c:idx val="420"/>
      </c:pivotFmt>
      <c:pivotFmt>
        <c:idx val="421"/>
      </c:pivotFmt>
      <c:pivotFmt>
        <c:idx val="422"/>
      </c:pivotFmt>
      <c:pivotFmt>
        <c:idx val="423"/>
      </c:pivotFmt>
      <c:pivotFmt>
        <c:idx val="424"/>
      </c:pivotFmt>
      <c:pivotFmt>
        <c:idx val="425"/>
      </c:pivotFmt>
      <c:pivotFmt>
        <c:idx val="426"/>
      </c:pivotFmt>
      <c:pivotFmt>
        <c:idx val="427"/>
      </c:pivotFmt>
      <c:pivotFmt>
        <c:idx val="428"/>
      </c:pivotFmt>
      <c:pivotFmt>
        <c:idx val="429"/>
      </c:pivotFmt>
      <c:pivotFmt>
        <c:idx val="430"/>
      </c:pivotFmt>
      <c:pivotFmt>
        <c:idx val="431"/>
      </c:pivotFmt>
      <c:pivotFmt>
        <c:idx val="432"/>
      </c:pivotFmt>
      <c:pivotFmt>
        <c:idx val="433"/>
      </c:pivotFmt>
      <c:pivotFmt>
        <c:idx val="434"/>
        <c:marker>
          <c:symbol val="circle"/>
          <c:size val="7"/>
        </c:marker>
      </c:pivotFmt>
      <c:pivotFmt>
        <c:idx val="435"/>
      </c:pivotFmt>
      <c:pivotFmt>
        <c:idx val="436"/>
      </c:pivotFmt>
      <c:pivotFmt>
        <c:idx val="437"/>
      </c:pivotFmt>
      <c:pivotFmt>
        <c:idx val="438"/>
      </c:pivotFmt>
      <c:pivotFmt>
        <c:idx val="439"/>
      </c:pivotFmt>
      <c:pivotFmt>
        <c:idx val="440"/>
      </c:pivotFmt>
      <c:pivotFmt>
        <c:idx val="441"/>
      </c:pivotFmt>
      <c:pivotFmt>
        <c:idx val="442"/>
      </c:pivotFmt>
      <c:pivotFmt>
        <c:idx val="443"/>
      </c:pivotFmt>
      <c:pivotFmt>
        <c:idx val="444"/>
      </c:pivotFmt>
      <c:pivotFmt>
        <c:idx val="445"/>
      </c:pivotFmt>
      <c:pivotFmt>
        <c:idx val="446"/>
      </c:pivotFmt>
      <c:pivotFmt>
        <c:idx val="447"/>
      </c:pivotFmt>
      <c:pivotFmt>
        <c:idx val="448"/>
      </c:pivotFmt>
      <c:pivotFmt>
        <c:idx val="449"/>
      </c:pivotFmt>
      <c:pivotFmt>
        <c:idx val="450"/>
      </c:pivotFmt>
      <c:pivotFmt>
        <c:idx val="451"/>
      </c:pivotFmt>
      <c:pivotFmt>
        <c:idx val="452"/>
      </c:pivotFmt>
      <c:pivotFmt>
        <c:idx val="453"/>
      </c:pivotFmt>
      <c:pivotFmt>
        <c:idx val="454"/>
      </c:pivotFmt>
      <c:pivotFmt>
        <c:idx val="455"/>
      </c:pivotFmt>
      <c:pivotFmt>
        <c:idx val="456"/>
      </c:pivotFmt>
      <c:pivotFmt>
        <c:idx val="457"/>
      </c:pivotFmt>
      <c:pivotFmt>
        <c:idx val="458"/>
      </c:pivotFmt>
      <c:pivotFmt>
        <c:idx val="459"/>
      </c:pivotFmt>
      <c:pivotFmt>
        <c:idx val="460"/>
      </c:pivotFmt>
      <c:pivotFmt>
        <c:idx val="461"/>
      </c:pivotFmt>
      <c:pivotFmt>
        <c:idx val="462"/>
      </c:pivotFmt>
      <c:pivotFmt>
        <c:idx val="463"/>
      </c:pivotFmt>
      <c:pivotFmt>
        <c:idx val="464"/>
      </c:pivotFmt>
      <c:pivotFmt>
        <c:idx val="465"/>
      </c:pivotFmt>
      <c:pivotFmt>
        <c:idx val="466"/>
      </c:pivotFmt>
      <c:pivotFmt>
        <c:idx val="467"/>
      </c:pivotFmt>
      <c:pivotFmt>
        <c:idx val="468"/>
      </c:pivotFmt>
      <c:pivotFmt>
        <c:idx val="469"/>
        <c:spPr>
          <a:ln w="38100">
            <a:solidFill>
              <a:schemeClr val="tx1"/>
            </a:solidFill>
          </a:ln>
        </c:spPr>
        <c:marker>
          <c:symbol val="circle"/>
          <c:size val="7"/>
          <c:spPr>
            <a:solidFill>
              <a:schemeClr val="tx1"/>
            </a:solidFill>
          </c:spPr>
        </c:marker>
      </c:pivotFmt>
      <c:pivotFmt>
        <c:idx val="470"/>
      </c:pivotFmt>
      <c:pivotFmt>
        <c:idx val="471"/>
      </c:pivotFmt>
      <c:pivotFmt>
        <c:idx val="472"/>
      </c:pivotFmt>
      <c:pivotFmt>
        <c:idx val="473"/>
      </c:pivotFmt>
      <c:pivotFmt>
        <c:idx val="474"/>
      </c:pivotFmt>
      <c:pivotFmt>
        <c:idx val="475"/>
      </c:pivotFmt>
      <c:pivotFmt>
        <c:idx val="476"/>
      </c:pivotFmt>
      <c:pivotFmt>
        <c:idx val="477"/>
      </c:pivotFmt>
      <c:pivotFmt>
        <c:idx val="478"/>
      </c:pivotFmt>
      <c:pivotFmt>
        <c:idx val="479"/>
      </c:pivotFmt>
      <c:pivotFmt>
        <c:idx val="480"/>
      </c:pivotFmt>
      <c:pivotFmt>
        <c:idx val="481"/>
      </c:pivotFmt>
      <c:pivotFmt>
        <c:idx val="482"/>
      </c:pivotFmt>
      <c:pivotFmt>
        <c:idx val="483"/>
      </c:pivotFmt>
      <c:pivotFmt>
        <c:idx val="484"/>
      </c:pivotFmt>
      <c:pivotFmt>
        <c:idx val="485"/>
      </c:pivotFmt>
      <c:pivotFmt>
        <c:idx val="486"/>
      </c:pivotFmt>
      <c:pivotFmt>
        <c:idx val="487"/>
      </c:pivotFmt>
      <c:pivotFmt>
        <c:idx val="488"/>
      </c:pivotFmt>
      <c:pivotFmt>
        <c:idx val="489"/>
      </c:pivotFmt>
      <c:pivotFmt>
        <c:idx val="490"/>
      </c:pivotFmt>
      <c:pivotFmt>
        <c:idx val="491"/>
      </c:pivotFmt>
      <c:pivotFmt>
        <c:idx val="492"/>
      </c:pivotFmt>
      <c:pivotFmt>
        <c:idx val="493"/>
      </c:pivotFmt>
      <c:pivotFmt>
        <c:idx val="494"/>
      </c:pivotFmt>
      <c:pivotFmt>
        <c:idx val="495"/>
      </c:pivotFmt>
      <c:pivotFmt>
        <c:idx val="496"/>
      </c:pivotFmt>
      <c:pivotFmt>
        <c:idx val="497"/>
      </c:pivotFmt>
      <c:pivotFmt>
        <c:idx val="498"/>
      </c:pivotFmt>
      <c:pivotFmt>
        <c:idx val="499"/>
      </c:pivotFmt>
      <c:pivotFmt>
        <c:idx val="500"/>
      </c:pivotFmt>
      <c:pivotFmt>
        <c:idx val="501"/>
      </c:pivotFmt>
      <c:pivotFmt>
        <c:idx val="502"/>
      </c:pivotFmt>
      <c:pivotFmt>
        <c:idx val="503"/>
      </c:pivotFmt>
      <c:pivotFmt>
        <c:idx val="504"/>
      </c:pivotFmt>
      <c:pivotFmt>
        <c:idx val="505"/>
      </c:pivotFmt>
      <c:pivotFmt>
        <c:idx val="506"/>
      </c:pivotFmt>
      <c:pivotFmt>
        <c:idx val="507"/>
      </c:pivotFmt>
      <c:pivotFmt>
        <c:idx val="508"/>
      </c:pivotFmt>
      <c:pivotFmt>
        <c:idx val="509"/>
      </c:pivotFmt>
      <c:pivotFmt>
        <c:idx val="510"/>
      </c:pivotFmt>
      <c:pivotFmt>
        <c:idx val="511"/>
      </c:pivotFmt>
      <c:pivotFmt>
        <c:idx val="512"/>
      </c:pivotFmt>
      <c:pivotFmt>
        <c:idx val="513"/>
      </c:pivotFmt>
      <c:pivotFmt>
        <c:idx val="514"/>
      </c:pivotFmt>
      <c:pivotFmt>
        <c:idx val="515"/>
      </c:pivotFmt>
      <c:pivotFmt>
        <c:idx val="516"/>
      </c:pivotFmt>
      <c:pivotFmt>
        <c:idx val="517"/>
      </c:pivotFmt>
      <c:pivotFmt>
        <c:idx val="518"/>
      </c:pivotFmt>
      <c:pivotFmt>
        <c:idx val="519"/>
      </c:pivotFmt>
      <c:pivotFmt>
        <c:idx val="520"/>
      </c:pivotFmt>
      <c:pivotFmt>
        <c:idx val="521"/>
      </c:pivotFmt>
      <c:pivotFmt>
        <c:idx val="522"/>
      </c:pivotFmt>
      <c:pivotFmt>
        <c:idx val="523"/>
      </c:pivotFmt>
      <c:pivotFmt>
        <c:idx val="524"/>
      </c:pivotFmt>
      <c:pivotFmt>
        <c:idx val="525"/>
      </c:pivotFmt>
      <c:pivotFmt>
        <c:idx val="526"/>
      </c:pivotFmt>
      <c:pivotFmt>
        <c:idx val="527"/>
      </c:pivotFmt>
      <c:pivotFmt>
        <c:idx val="528"/>
      </c:pivotFmt>
      <c:pivotFmt>
        <c:idx val="529"/>
      </c:pivotFmt>
      <c:pivotFmt>
        <c:idx val="530"/>
      </c:pivotFmt>
      <c:pivotFmt>
        <c:idx val="531"/>
      </c:pivotFmt>
      <c:pivotFmt>
        <c:idx val="532"/>
      </c:pivotFmt>
      <c:pivotFmt>
        <c:idx val="533"/>
        <c:spPr>
          <a:ln w="38100">
            <a:solidFill>
              <a:schemeClr val="tx1"/>
            </a:solidFill>
          </a:ln>
        </c:spPr>
        <c:marker>
          <c:symbol val="circle"/>
          <c:size val="7"/>
          <c:spPr>
            <a:solidFill>
              <a:schemeClr val="tx1"/>
            </a:solidFill>
          </c:spPr>
        </c:marker>
      </c:pivotFmt>
      <c:pivotFmt>
        <c:idx val="534"/>
      </c:pivotFmt>
      <c:pivotFmt>
        <c:idx val="535"/>
      </c:pivotFmt>
      <c:pivotFmt>
        <c:idx val="536"/>
      </c:pivotFmt>
      <c:pivotFmt>
        <c:idx val="537"/>
      </c:pivotFmt>
      <c:pivotFmt>
        <c:idx val="538"/>
      </c:pivotFmt>
      <c:pivotFmt>
        <c:idx val="539"/>
      </c:pivotFmt>
      <c:pivotFmt>
        <c:idx val="540"/>
      </c:pivotFmt>
      <c:pivotFmt>
        <c:idx val="541"/>
      </c:pivotFmt>
      <c:pivotFmt>
        <c:idx val="542"/>
      </c:pivotFmt>
      <c:pivotFmt>
        <c:idx val="543"/>
      </c:pivotFmt>
      <c:pivotFmt>
        <c:idx val="544"/>
      </c:pivotFmt>
      <c:pivotFmt>
        <c:idx val="545"/>
      </c:pivotFmt>
      <c:pivotFmt>
        <c:idx val="546"/>
      </c:pivotFmt>
      <c:pivotFmt>
        <c:idx val="547"/>
      </c:pivotFmt>
      <c:pivotFmt>
        <c:idx val="548"/>
      </c:pivotFmt>
      <c:pivotFmt>
        <c:idx val="549"/>
      </c:pivotFmt>
      <c:pivotFmt>
        <c:idx val="550"/>
      </c:pivotFmt>
      <c:pivotFmt>
        <c:idx val="551"/>
      </c:pivotFmt>
      <c:pivotFmt>
        <c:idx val="552"/>
      </c:pivotFmt>
      <c:pivotFmt>
        <c:idx val="553"/>
      </c:pivotFmt>
      <c:pivotFmt>
        <c:idx val="554"/>
      </c:pivotFmt>
      <c:pivotFmt>
        <c:idx val="555"/>
      </c:pivotFmt>
      <c:pivotFmt>
        <c:idx val="556"/>
      </c:pivotFmt>
      <c:pivotFmt>
        <c:idx val="557"/>
      </c:pivotFmt>
      <c:pivotFmt>
        <c:idx val="558"/>
      </c:pivotFmt>
      <c:pivotFmt>
        <c:idx val="559"/>
      </c:pivotFmt>
      <c:pivotFmt>
        <c:idx val="560"/>
      </c:pivotFmt>
      <c:pivotFmt>
        <c:idx val="561"/>
      </c:pivotFmt>
      <c:pivotFmt>
        <c:idx val="562"/>
      </c:pivotFmt>
      <c:pivotFmt>
        <c:idx val="563"/>
      </c:pivotFmt>
      <c:pivotFmt>
        <c:idx val="564"/>
      </c:pivotFmt>
      <c:pivotFmt>
        <c:idx val="565"/>
      </c:pivotFmt>
      <c:pivotFmt>
        <c:idx val="566"/>
        <c:spPr>
          <a:ln w="38100">
            <a:solidFill>
              <a:schemeClr val="tx1"/>
            </a:solidFill>
          </a:ln>
        </c:spPr>
        <c:marker>
          <c:symbol val="circle"/>
          <c:size val="7"/>
          <c:spPr>
            <a:solidFill>
              <a:schemeClr val="tx1"/>
            </a:solidFill>
          </c:spPr>
        </c:marker>
      </c:pivotFmt>
      <c:pivotFmt>
        <c:idx val="567"/>
      </c:pivotFmt>
      <c:pivotFmt>
        <c:idx val="568"/>
      </c:pivotFmt>
    </c:pivotFmts>
    <c:plotArea>
      <c:layout/>
      <c:lineChart>
        <c:grouping val="standard"/>
        <c:varyColors val="0"/>
        <c:ser>
          <c:idx val="0"/>
          <c:order val="0"/>
          <c:tx>
            <c:strRef>
              <c:f>'Pivot tables'!$B$622:$B$623</c:f>
              <c:strCache>
                <c:ptCount val="1"/>
                <c:pt idx="0">
                  <c:v>010616b061</c:v>
                </c:pt>
              </c:strCache>
            </c:strRef>
          </c:tx>
          <c:cat>
            <c:strRef>
              <c:f>'Pivot tables'!$A$624:$A$628</c:f>
              <c:strCache>
                <c:ptCount val="4"/>
                <c:pt idx="0">
                  <c:v>pre</c:v>
                </c:pt>
                <c:pt idx="1">
                  <c:v>2yr</c:v>
                </c:pt>
                <c:pt idx="2">
                  <c:v>5yr</c:v>
                </c:pt>
                <c:pt idx="3">
                  <c:v>8yr</c:v>
                </c:pt>
              </c:strCache>
            </c:strRef>
          </c:cat>
          <c:val>
            <c:numRef>
              <c:f>'Pivot tables'!$B$624:$B$628</c:f>
              <c:numCache>
                <c:formatCode>General</c:formatCode>
                <c:ptCount val="4"/>
                <c:pt idx="0">
                  <c:v>11.362541686366667</c:v>
                </c:pt>
                <c:pt idx="1">
                  <c:v>12.188606145100001</c:v>
                </c:pt>
                <c:pt idx="2">
                  <c:v>9.4123541946499998</c:v>
                </c:pt>
                <c:pt idx="3">
                  <c:v>10.609888144266668</c:v>
                </c:pt>
              </c:numCache>
            </c:numRef>
          </c:val>
          <c:smooth val="0"/>
        </c:ser>
        <c:ser>
          <c:idx val="1"/>
          <c:order val="1"/>
          <c:tx>
            <c:strRef>
              <c:f>'Pivot tables'!$C$622:$C$623</c:f>
              <c:strCache>
                <c:ptCount val="1"/>
                <c:pt idx="0">
                  <c:v>960905m314</c:v>
                </c:pt>
              </c:strCache>
            </c:strRef>
          </c:tx>
          <c:cat>
            <c:strRef>
              <c:f>'Pivot tables'!$A$624:$A$628</c:f>
              <c:strCache>
                <c:ptCount val="4"/>
                <c:pt idx="0">
                  <c:v>pre</c:v>
                </c:pt>
                <c:pt idx="1">
                  <c:v>2yr</c:v>
                </c:pt>
                <c:pt idx="2">
                  <c:v>5yr</c:v>
                </c:pt>
                <c:pt idx="3">
                  <c:v>8yr</c:v>
                </c:pt>
              </c:strCache>
            </c:strRef>
          </c:cat>
          <c:val>
            <c:numRef>
              <c:f>'Pivot tables'!$C$624:$C$628</c:f>
              <c:numCache>
                <c:formatCode>General</c:formatCode>
                <c:ptCount val="4"/>
                <c:pt idx="0">
                  <c:v>13.692914354862502</c:v>
                </c:pt>
                <c:pt idx="1">
                  <c:v>9.306747081866666</c:v>
                </c:pt>
                <c:pt idx="2">
                  <c:v>12.122412757816667</c:v>
                </c:pt>
                <c:pt idx="3">
                  <c:v>12.814627382816667</c:v>
                </c:pt>
              </c:numCache>
            </c:numRef>
          </c:val>
          <c:smooth val="0"/>
        </c:ser>
        <c:ser>
          <c:idx val="2"/>
          <c:order val="2"/>
          <c:tx>
            <c:strRef>
              <c:f>'Pivot tables'!$D$622:$D$623</c:f>
              <c:strCache>
                <c:ptCount val="1"/>
                <c:pt idx="0">
                  <c:v>970602m038</c:v>
                </c:pt>
              </c:strCache>
            </c:strRef>
          </c:tx>
          <c:cat>
            <c:strRef>
              <c:f>'Pivot tables'!$A$624:$A$628</c:f>
              <c:strCache>
                <c:ptCount val="4"/>
                <c:pt idx="0">
                  <c:v>pre</c:v>
                </c:pt>
                <c:pt idx="1">
                  <c:v>2yr</c:v>
                </c:pt>
                <c:pt idx="2">
                  <c:v>5yr</c:v>
                </c:pt>
                <c:pt idx="3">
                  <c:v>8yr</c:v>
                </c:pt>
              </c:strCache>
            </c:strRef>
          </c:cat>
          <c:val>
            <c:numRef>
              <c:f>'Pivot tables'!$D$624:$D$628</c:f>
              <c:numCache>
                <c:formatCode>General</c:formatCode>
                <c:ptCount val="4"/>
                <c:pt idx="0">
                  <c:v>18.555328275239997</c:v>
                </c:pt>
                <c:pt idx="1">
                  <c:v>15.182128255866667</c:v>
                </c:pt>
                <c:pt idx="2">
                  <c:v>10.939160257800001</c:v>
                </c:pt>
                <c:pt idx="3">
                  <c:v>13.509459249785712</c:v>
                </c:pt>
              </c:numCache>
            </c:numRef>
          </c:val>
          <c:smooth val="0"/>
        </c:ser>
        <c:ser>
          <c:idx val="3"/>
          <c:order val="3"/>
          <c:tx>
            <c:strRef>
              <c:f>'Pivot tables'!$E$622:$E$623</c:f>
              <c:strCache>
                <c:ptCount val="1"/>
                <c:pt idx="0">
                  <c:v>901117v039</c:v>
                </c:pt>
              </c:strCache>
            </c:strRef>
          </c:tx>
          <c:cat>
            <c:strRef>
              <c:f>'Pivot tables'!$A$624:$A$628</c:f>
              <c:strCache>
                <c:ptCount val="4"/>
                <c:pt idx="0">
                  <c:v>pre</c:v>
                </c:pt>
                <c:pt idx="1">
                  <c:v>2yr</c:v>
                </c:pt>
                <c:pt idx="2">
                  <c:v>5yr</c:v>
                </c:pt>
                <c:pt idx="3">
                  <c:v>8yr</c:v>
                </c:pt>
              </c:strCache>
            </c:strRef>
          </c:cat>
          <c:val>
            <c:numRef>
              <c:f>'Pivot tables'!$E$624:$E$628</c:f>
              <c:numCache>
                <c:formatCode>General</c:formatCode>
                <c:ptCount val="4"/>
                <c:pt idx="0">
                  <c:v>20.026969627166668</c:v>
                </c:pt>
                <c:pt idx="2">
                  <c:v>12.515438641671427</c:v>
                </c:pt>
              </c:numCache>
            </c:numRef>
          </c:val>
          <c:smooth val="0"/>
        </c:ser>
        <c:ser>
          <c:idx val="4"/>
          <c:order val="4"/>
          <c:tx>
            <c:strRef>
              <c:f>'Pivot tables'!$F$622:$F$623</c:f>
              <c:strCache>
                <c:ptCount val="1"/>
                <c:pt idx="0">
                  <c:v>991112v027</c:v>
                </c:pt>
              </c:strCache>
            </c:strRef>
          </c:tx>
          <c:cat>
            <c:strRef>
              <c:f>'Pivot tables'!$A$624:$A$628</c:f>
              <c:strCache>
                <c:ptCount val="4"/>
                <c:pt idx="0">
                  <c:v>pre</c:v>
                </c:pt>
                <c:pt idx="1">
                  <c:v>2yr</c:v>
                </c:pt>
                <c:pt idx="2">
                  <c:v>5yr</c:v>
                </c:pt>
                <c:pt idx="3">
                  <c:v>8yr</c:v>
                </c:pt>
              </c:strCache>
            </c:strRef>
          </c:cat>
          <c:val>
            <c:numRef>
              <c:f>'Pivot tables'!$F$624:$F$628</c:f>
              <c:numCache>
                <c:formatCode>General</c:formatCode>
                <c:ptCount val="4"/>
                <c:pt idx="0">
                  <c:v>7.9654261570833329</c:v>
                </c:pt>
                <c:pt idx="1">
                  <c:v>8.9629609563142871</c:v>
                </c:pt>
                <c:pt idx="2">
                  <c:v>8.7194434877499987</c:v>
                </c:pt>
                <c:pt idx="3">
                  <c:v>9.3497455641714282</c:v>
                </c:pt>
              </c:numCache>
            </c:numRef>
          </c:val>
          <c:smooth val="0"/>
        </c:ser>
        <c:ser>
          <c:idx val="5"/>
          <c:order val="5"/>
          <c:tx>
            <c:strRef>
              <c:f>'Pivot tables'!$G$622:$G$623</c:f>
              <c:strCache>
                <c:ptCount val="1"/>
                <c:pt idx="0">
                  <c:v>910507m071</c:v>
                </c:pt>
              </c:strCache>
            </c:strRef>
          </c:tx>
          <c:cat>
            <c:strRef>
              <c:f>'Pivot tables'!$A$624:$A$628</c:f>
              <c:strCache>
                <c:ptCount val="4"/>
                <c:pt idx="0">
                  <c:v>pre</c:v>
                </c:pt>
                <c:pt idx="1">
                  <c:v>2yr</c:v>
                </c:pt>
                <c:pt idx="2">
                  <c:v>5yr</c:v>
                </c:pt>
                <c:pt idx="3">
                  <c:v>8yr</c:v>
                </c:pt>
              </c:strCache>
            </c:strRef>
          </c:cat>
          <c:val>
            <c:numRef>
              <c:f>'Pivot tables'!$G$624:$G$628</c:f>
              <c:numCache>
                <c:formatCode>General</c:formatCode>
                <c:ptCount val="4"/>
                <c:pt idx="0">
                  <c:v>16.1512909518875</c:v>
                </c:pt>
                <c:pt idx="1">
                  <c:v>21.219039448450001</c:v>
                </c:pt>
                <c:pt idx="3">
                  <c:v>20.264321968175</c:v>
                </c:pt>
              </c:numCache>
            </c:numRef>
          </c:val>
          <c:smooth val="0"/>
        </c:ser>
        <c:ser>
          <c:idx val="6"/>
          <c:order val="6"/>
          <c:tx>
            <c:strRef>
              <c:f>'Pivot tables'!$H$622:$H$623</c:f>
              <c:strCache>
                <c:ptCount val="1"/>
                <c:pt idx="0">
                  <c:v>921107v089</c:v>
                </c:pt>
              </c:strCache>
            </c:strRef>
          </c:tx>
          <c:cat>
            <c:strRef>
              <c:f>'Pivot tables'!$A$624:$A$628</c:f>
              <c:strCache>
                <c:ptCount val="4"/>
                <c:pt idx="0">
                  <c:v>pre</c:v>
                </c:pt>
                <c:pt idx="1">
                  <c:v>2yr</c:v>
                </c:pt>
                <c:pt idx="2">
                  <c:v>5yr</c:v>
                </c:pt>
                <c:pt idx="3">
                  <c:v>8yr</c:v>
                </c:pt>
              </c:strCache>
            </c:strRef>
          </c:cat>
          <c:val>
            <c:numRef>
              <c:f>'Pivot tables'!$H$624:$H$628</c:f>
              <c:numCache>
                <c:formatCode>General</c:formatCode>
                <c:ptCount val="4"/>
                <c:pt idx="0">
                  <c:v>10.052481539733334</c:v>
                </c:pt>
                <c:pt idx="1">
                  <c:v>8.8944039663666672</c:v>
                </c:pt>
                <c:pt idx="3">
                  <c:v>9.7920937610285712</c:v>
                </c:pt>
              </c:numCache>
            </c:numRef>
          </c:val>
          <c:smooth val="0"/>
        </c:ser>
        <c:ser>
          <c:idx val="7"/>
          <c:order val="7"/>
          <c:tx>
            <c:strRef>
              <c:f>'Pivot tables'!$I$622:$I$623</c:f>
              <c:strCache>
                <c:ptCount val="1"/>
                <c:pt idx="0">
                  <c:v>921013m117</c:v>
                </c:pt>
              </c:strCache>
            </c:strRef>
          </c:tx>
          <c:cat>
            <c:strRef>
              <c:f>'Pivot tables'!$A$624:$A$628</c:f>
              <c:strCache>
                <c:ptCount val="4"/>
                <c:pt idx="0">
                  <c:v>pre</c:v>
                </c:pt>
                <c:pt idx="1">
                  <c:v>2yr</c:v>
                </c:pt>
                <c:pt idx="2">
                  <c:v>5yr</c:v>
                </c:pt>
                <c:pt idx="3">
                  <c:v>8yr</c:v>
                </c:pt>
              </c:strCache>
            </c:strRef>
          </c:cat>
          <c:val>
            <c:numRef>
              <c:f>'Pivot tables'!$I$624:$I$628</c:f>
              <c:numCache>
                <c:formatCode>General</c:formatCode>
                <c:ptCount val="4"/>
                <c:pt idx="0">
                  <c:v>15.013024356940003</c:v>
                </c:pt>
                <c:pt idx="1">
                  <c:v>11.919492091099999</c:v>
                </c:pt>
                <c:pt idx="3">
                  <c:v>10.417530716683332</c:v>
                </c:pt>
              </c:numCache>
            </c:numRef>
          </c:val>
          <c:smooth val="0"/>
        </c:ser>
        <c:ser>
          <c:idx val="8"/>
          <c:order val="8"/>
          <c:tx>
            <c:strRef>
              <c:f>'Pivot tables'!$J$622:$J$623</c:f>
              <c:strCache>
                <c:ptCount val="1"/>
                <c:pt idx="0">
                  <c:v>981222v116</c:v>
                </c:pt>
              </c:strCache>
            </c:strRef>
          </c:tx>
          <c:cat>
            <c:strRef>
              <c:f>'Pivot tables'!$A$624:$A$628</c:f>
              <c:strCache>
                <c:ptCount val="4"/>
                <c:pt idx="0">
                  <c:v>pre</c:v>
                </c:pt>
                <c:pt idx="1">
                  <c:v>2yr</c:v>
                </c:pt>
                <c:pt idx="2">
                  <c:v>5yr</c:v>
                </c:pt>
                <c:pt idx="3">
                  <c:v>8yr</c:v>
                </c:pt>
              </c:strCache>
            </c:strRef>
          </c:cat>
          <c:val>
            <c:numRef>
              <c:f>'Pivot tables'!$J$624:$J$628</c:f>
              <c:numCache>
                <c:formatCode>General</c:formatCode>
                <c:ptCount val="4"/>
                <c:pt idx="0">
                  <c:v>18.402965318900002</c:v>
                </c:pt>
                <c:pt idx="2">
                  <c:v>9.8486295340400005</c:v>
                </c:pt>
                <c:pt idx="3">
                  <c:v>11.747207323960001</c:v>
                </c:pt>
              </c:numCache>
            </c:numRef>
          </c:val>
          <c:smooth val="0"/>
        </c:ser>
        <c:ser>
          <c:idx val="9"/>
          <c:order val="9"/>
          <c:tx>
            <c:strRef>
              <c:f>'Pivot tables'!$K$622:$K$623</c:f>
              <c:strCache>
                <c:ptCount val="1"/>
                <c:pt idx="0">
                  <c:v>980310m240</c:v>
                </c:pt>
              </c:strCache>
            </c:strRef>
          </c:tx>
          <c:cat>
            <c:strRef>
              <c:f>'Pivot tables'!$A$624:$A$628</c:f>
              <c:strCache>
                <c:ptCount val="4"/>
                <c:pt idx="0">
                  <c:v>pre</c:v>
                </c:pt>
                <c:pt idx="1">
                  <c:v>2yr</c:v>
                </c:pt>
                <c:pt idx="2">
                  <c:v>5yr</c:v>
                </c:pt>
                <c:pt idx="3">
                  <c:v>8yr</c:v>
                </c:pt>
              </c:strCache>
            </c:strRef>
          </c:cat>
          <c:val>
            <c:numRef>
              <c:f>'Pivot tables'!$K$624:$K$628</c:f>
              <c:numCache>
                <c:formatCode>General</c:formatCode>
                <c:ptCount val="4"/>
                <c:pt idx="0">
                  <c:v>12.086077116249999</c:v>
                </c:pt>
                <c:pt idx="1">
                  <c:v>7.3399098224000001</c:v>
                </c:pt>
                <c:pt idx="2">
                  <c:v>7.070954011085715</c:v>
                </c:pt>
              </c:numCache>
            </c:numRef>
          </c:val>
          <c:smooth val="0"/>
        </c:ser>
        <c:ser>
          <c:idx val="10"/>
          <c:order val="10"/>
          <c:tx>
            <c:strRef>
              <c:f>'Pivot tables'!$L$622:$L$623</c:f>
              <c:strCache>
                <c:ptCount val="1"/>
                <c:pt idx="0">
                  <c:v>990206m010</c:v>
                </c:pt>
              </c:strCache>
            </c:strRef>
          </c:tx>
          <c:cat>
            <c:strRef>
              <c:f>'Pivot tables'!$A$624:$A$628</c:f>
              <c:strCache>
                <c:ptCount val="4"/>
                <c:pt idx="0">
                  <c:v>pre</c:v>
                </c:pt>
                <c:pt idx="1">
                  <c:v>2yr</c:v>
                </c:pt>
                <c:pt idx="2">
                  <c:v>5yr</c:v>
                </c:pt>
                <c:pt idx="3">
                  <c:v>8yr</c:v>
                </c:pt>
              </c:strCache>
            </c:strRef>
          </c:cat>
          <c:val>
            <c:numRef>
              <c:f>'Pivot tables'!$L$624:$L$628</c:f>
              <c:numCache>
                <c:formatCode>General</c:formatCode>
                <c:ptCount val="4"/>
                <c:pt idx="0">
                  <c:v>14.2135835557</c:v>
                </c:pt>
                <c:pt idx="1">
                  <c:v>9.9134084298000005</c:v>
                </c:pt>
                <c:pt idx="2">
                  <c:v>9.1285065460499997</c:v>
                </c:pt>
              </c:numCache>
            </c:numRef>
          </c:val>
          <c:smooth val="0"/>
        </c:ser>
        <c:ser>
          <c:idx val="11"/>
          <c:order val="11"/>
          <c:tx>
            <c:strRef>
              <c:f>'Pivot tables'!$M$622:$M$623</c:f>
              <c:strCache>
                <c:ptCount val="1"/>
                <c:pt idx="0">
                  <c:v>941028m142</c:v>
                </c:pt>
              </c:strCache>
            </c:strRef>
          </c:tx>
          <c:cat>
            <c:strRef>
              <c:f>'Pivot tables'!$A$624:$A$628</c:f>
              <c:strCache>
                <c:ptCount val="4"/>
                <c:pt idx="0">
                  <c:v>pre</c:v>
                </c:pt>
                <c:pt idx="1">
                  <c:v>2yr</c:v>
                </c:pt>
                <c:pt idx="2">
                  <c:v>5yr</c:v>
                </c:pt>
                <c:pt idx="3">
                  <c:v>8yr</c:v>
                </c:pt>
              </c:strCache>
            </c:strRef>
          </c:cat>
          <c:val>
            <c:numRef>
              <c:f>'Pivot tables'!$M$624:$M$628</c:f>
              <c:numCache>
                <c:formatCode>General</c:formatCode>
                <c:ptCount val="4"/>
                <c:pt idx="0">
                  <c:v>13.191464589424999</c:v>
                </c:pt>
                <c:pt idx="1">
                  <c:v>12.537276645599999</c:v>
                </c:pt>
                <c:pt idx="2">
                  <c:v>10.208312025616667</c:v>
                </c:pt>
                <c:pt idx="3">
                  <c:v>11.008565130187499</c:v>
                </c:pt>
              </c:numCache>
            </c:numRef>
          </c:val>
          <c:smooth val="0"/>
        </c:ser>
        <c:ser>
          <c:idx val="12"/>
          <c:order val="12"/>
          <c:tx>
            <c:strRef>
              <c:f>'Pivot tables'!$N$622:$N$623</c:f>
              <c:strCache>
                <c:ptCount val="1"/>
                <c:pt idx="0">
                  <c:v>950921m174</c:v>
                </c:pt>
              </c:strCache>
            </c:strRef>
          </c:tx>
          <c:cat>
            <c:strRef>
              <c:f>'Pivot tables'!$A$624:$A$628</c:f>
              <c:strCache>
                <c:ptCount val="4"/>
                <c:pt idx="0">
                  <c:v>pre</c:v>
                </c:pt>
                <c:pt idx="1">
                  <c:v>2yr</c:v>
                </c:pt>
                <c:pt idx="2">
                  <c:v>5yr</c:v>
                </c:pt>
                <c:pt idx="3">
                  <c:v>8yr</c:v>
                </c:pt>
              </c:strCache>
            </c:strRef>
          </c:cat>
          <c:val>
            <c:numRef>
              <c:f>'Pivot tables'!$N$624:$N$628</c:f>
              <c:numCache>
                <c:formatCode>General</c:formatCode>
                <c:ptCount val="4"/>
                <c:pt idx="0">
                  <c:v>14.438144562142858</c:v>
                </c:pt>
                <c:pt idx="1">
                  <c:v>11.037196918633335</c:v>
                </c:pt>
                <c:pt idx="2">
                  <c:v>11.801977317879999</c:v>
                </c:pt>
                <c:pt idx="3">
                  <c:v>7.8482639004500001</c:v>
                </c:pt>
              </c:numCache>
            </c:numRef>
          </c:val>
          <c:smooth val="0"/>
        </c:ser>
        <c:ser>
          <c:idx val="13"/>
          <c:order val="13"/>
          <c:tx>
            <c:strRef>
              <c:f>'Pivot tables'!$O$622:$O$623</c:f>
              <c:strCache>
                <c:ptCount val="1"/>
                <c:pt idx="0">
                  <c:v>981228m104</c:v>
                </c:pt>
              </c:strCache>
            </c:strRef>
          </c:tx>
          <c:cat>
            <c:strRef>
              <c:f>'Pivot tables'!$A$624:$A$628</c:f>
              <c:strCache>
                <c:ptCount val="4"/>
                <c:pt idx="0">
                  <c:v>pre</c:v>
                </c:pt>
                <c:pt idx="1">
                  <c:v>2yr</c:v>
                </c:pt>
                <c:pt idx="2">
                  <c:v>5yr</c:v>
                </c:pt>
                <c:pt idx="3">
                  <c:v>8yr</c:v>
                </c:pt>
              </c:strCache>
            </c:strRef>
          </c:cat>
          <c:val>
            <c:numRef>
              <c:f>'Pivot tables'!$O$624:$O$628</c:f>
              <c:numCache>
                <c:formatCode>General</c:formatCode>
                <c:ptCount val="4"/>
                <c:pt idx="0">
                  <c:v>21.329686105366665</c:v>
                </c:pt>
                <c:pt idx="1">
                  <c:v>18.341229378600001</c:v>
                </c:pt>
                <c:pt idx="2">
                  <c:v>14.753083489419998</c:v>
                </c:pt>
                <c:pt idx="3">
                  <c:v>13.973279299133331</c:v>
                </c:pt>
              </c:numCache>
            </c:numRef>
          </c:val>
          <c:smooth val="0"/>
        </c:ser>
        <c:ser>
          <c:idx val="14"/>
          <c:order val="14"/>
          <c:tx>
            <c:strRef>
              <c:f>'Pivot tables'!$P$622:$P$623</c:f>
              <c:strCache>
                <c:ptCount val="1"/>
                <c:pt idx="0">
                  <c:v>900219m048</c:v>
                </c:pt>
              </c:strCache>
            </c:strRef>
          </c:tx>
          <c:cat>
            <c:strRef>
              <c:f>'Pivot tables'!$A$624:$A$628</c:f>
              <c:strCache>
                <c:ptCount val="4"/>
                <c:pt idx="0">
                  <c:v>pre</c:v>
                </c:pt>
                <c:pt idx="1">
                  <c:v>2yr</c:v>
                </c:pt>
                <c:pt idx="2">
                  <c:v>5yr</c:v>
                </c:pt>
                <c:pt idx="3">
                  <c:v>8yr</c:v>
                </c:pt>
              </c:strCache>
            </c:strRef>
          </c:cat>
          <c:val>
            <c:numRef>
              <c:f>'Pivot tables'!$P$624:$P$628</c:f>
              <c:numCache>
                <c:formatCode>General</c:formatCode>
                <c:ptCount val="4"/>
                <c:pt idx="0">
                  <c:v>25.756290405911113</c:v>
                </c:pt>
                <c:pt idx="1">
                  <c:v>14.785898456850001</c:v>
                </c:pt>
                <c:pt idx="3">
                  <c:v>18.402598106099997</c:v>
                </c:pt>
              </c:numCache>
            </c:numRef>
          </c:val>
          <c:smooth val="0"/>
        </c:ser>
        <c:ser>
          <c:idx val="15"/>
          <c:order val="15"/>
          <c:tx>
            <c:strRef>
              <c:f>'Pivot tables'!$Q$622:$Q$623</c:f>
              <c:strCache>
                <c:ptCount val="1"/>
                <c:pt idx="0">
                  <c:v>930219m144</c:v>
                </c:pt>
              </c:strCache>
            </c:strRef>
          </c:tx>
          <c:cat>
            <c:strRef>
              <c:f>'Pivot tables'!$A$624:$A$628</c:f>
              <c:strCache>
                <c:ptCount val="4"/>
                <c:pt idx="0">
                  <c:v>pre</c:v>
                </c:pt>
                <c:pt idx="1">
                  <c:v>2yr</c:v>
                </c:pt>
                <c:pt idx="2">
                  <c:v>5yr</c:v>
                </c:pt>
                <c:pt idx="3">
                  <c:v>8yr</c:v>
                </c:pt>
              </c:strCache>
            </c:strRef>
          </c:cat>
          <c:val>
            <c:numRef>
              <c:f>'Pivot tables'!$Q$624:$Q$628</c:f>
              <c:numCache>
                <c:formatCode>General</c:formatCode>
                <c:ptCount val="4"/>
                <c:pt idx="0">
                  <c:v>31.752429754155553</c:v>
                </c:pt>
                <c:pt idx="1">
                  <c:v>15.932286499066665</c:v>
                </c:pt>
                <c:pt idx="2">
                  <c:v>16.546166395300002</c:v>
                </c:pt>
                <c:pt idx="3">
                  <c:v>15.96098844364</c:v>
                </c:pt>
              </c:numCache>
            </c:numRef>
          </c:val>
          <c:smooth val="0"/>
        </c:ser>
        <c:ser>
          <c:idx val="16"/>
          <c:order val="16"/>
          <c:tx>
            <c:strRef>
              <c:f>'Pivot tables'!$R$622:$R$623</c:f>
              <c:strCache>
                <c:ptCount val="1"/>
                <c:pt idx="0">
                  <c:v>931013v114</c:v>
                </c:pt>
              </c:strCache>
            </c:strRef>
          </c:tx>
          <c:cat>
            <c:strRef>
              <c:f>'Pivot tables'!$A$624:$A$628</c:f>
              <c:strCache>
                <c:ptCount val="4"/>
                <c:pt idx="0">
                  <c:v>pre</c:v>
                </c:pt>
                <c:pt idx="1">
                  <c:v>2yr</c:v>
                </c:pt>
                <c:pt idx="2">
                  <c:v>5yr</c:v>
                </c:pt>
                <c:pt idx="3">
                  <c:v>8yr</c:v>
                </c:pt>
              </c:strCache>
            </c:strRef>
          </c:cat>
          <c:val>
            <c:numRef>
              <c:f>'Pivot tables'!$R$624:$R$628</c:f>
              <c:numCache>
                <c:formatCode>General</c:formatCode>
                <c:ptCount val="4"/>
                <c:pt idx="0">
                  <c:v>28.398807095799999</c:v>
                </c:pt>
                <c:pt idx="1">
                  <c:v>5.8747385202750007</c:v>
                </c:pt>
              </c:numCache>
            </c:numRef>
          </c:val>
          <c:smooth val="0"/>
        </c:ser>
        <c:ser>
          <c:idx val="17"/>
          <c:order val="17"/>
          <c:tx>
            <c:strRef>
              <c:f>'Pivot tables'!$S$622:$S$623</c:f>
              <c:strCache>
                <c:ptCount val="1"/>
                <c:pt idx="0">
                  <c:v>940223m261</c:v>
                </c:pt>
              </c:strCache>
            </c:strRef>
          </c:tx>
          <c:cat>
            <c:strRef>
              <c:f>'Pivot tables'!$A$624:$A$628</c:f>
              <c:strCache>
                <c:ptCount val="4"/>
                <c:pt idx="0">
                  <c:v>pre</c:v>
                </c:pt>
                <c:pt idx="1">
                  <c:v>2yr</c:v>
                </c:pt>
                <c:pt idx="2">
                  <c:v>5yr</c:v>
                </c:pt>
                <c:pt idx="3">
                  <c:v>8yr</c:v>
                </c:pt>
              </c:strCache>
            </c:strRef>
          </c:cat>
          <c:val>
            <c:numRef>
              <c:f>'Pivot tables'!$S$624:$S$628</c:f>
              <c:numCache>
                <c:formatCode>General</c:formatCode>
                <c:ptCount val="4"/>
                <c:pt idx="0">
                  <c:v>36.958598029374997</c:v>
                </c:pt>
                <c:pt idx="1">
                  <c:v>13.102460550766667</c:v>
                </c:pt>
                <c:pt idx="3">
                  <c:v>23.405390006466664</c:v>
                </c:pt>
              </c:numCache>
            </c:numRef>
          </c:val>
          <c:smooth val="0"/>
        </c:ser>
        <c:ser>
          <c:idx val="18"/>
          <c:order val="18"/>
          <c:tx>
            <c:strRef>
              <c:f>'Pivot tables'!$T$622:$T$623</c:f>
              <c:strCache>
                <c:ptCount val="1"/>
                <c:pt idx="0">
                  <c:v>950805m159</c:v>
                </c:pt>
              </c:strCache>
            </c:strRef>
          </c:tx>
          <c:cat>
            <c:strRef>
              <c:f>'Pivot tables'!$A$624:$A$628</c:f>
              <c:strCache>
                <c:ptCount val="4"/>
                <c:pt idx="0">
                  <c:v>pre</c:v>
                </c:pt>
                <c:pt idx="1">
                  <c:v>2yr</c:v>
                </c:pt>
                <c:pt idx="2">
                  <c:v>5yr</c:v>
                </c:pt>
                <c:pt idx="3">
                  <c:v>8yr</c:v>
                </c:pt>
              </c:strCache>
            </c:strRef>
          </c:cat>
          <c:val>
            <c:numRef>
              <c:f>'Pivot tables'!$T$624:$T$628</c:f>
              <c:numCache>
                <c:formatCode>General</c:formatCode>
                <c:ptCount val="4"/>
                <c:pt idx="0">
                  <c:v>13.983116088200001</c:v>
                </c:pt>
                <c:pt idx="1">
                  <c:v>7.9045998060800002</c:v>
                </c:pt>
                <c:pt idx="3">
                  <c:v>6.9787877859599998</c:v>
                </c:pt>
              </c:numCache>
            </c:numRef>
          </c:val>
          <c:smooth val="0"/>
        </c:ser>
        <c:ser>
          <c:idx val="19"/>
          <c:order val="19"/>
          <c:tx>
            <c:strRef>
              <c:f>'Pivot tables'!$U$622:$U$623</c:f>
              <c:strCache>
                <c:ptCount val="1"/>
                <c:pt idx="0">
                  <c:v>980325m116</c:v>
                </c:pt>
              </c:strCache>
            </c:strRef>
          </c:tx>
          <c:cat>
            <c:strRef>
              <c:f>'Pivot tables'!$A$624:$A$628</c:f>
              <c:strCache>
                <c:ptCount val="4"/>
                <c:pt idx="0">
                  <c:v>pre</c:v>
                </c:pt>
                <c:pt idx="1">
                  <c:v>2yr</c:v>
                </c:pt>
                <c:pt idx="2">
                  <c:v>5yr</c:v>
                </c:pt>
                <c:pt idx="3">
                  <c:v>8yr</c:v>
                </c:pt>
              </c:strCache>
            </c:strRef>
          </c:cat>
          <c:val>
            <c:numRef>
              <c:f>'Pivot tables'!$U$624:$U$628</c:f>
              <c:numCache>
                <c:formatCode>General</c:formatCode>
                <c:ptCount val="4"/>
                <c:pt idx="0">
                  <c:v>6.50012054906</c:v>
                </c:pt>
                <c:pt idx="1">
                  <c:v>8.1802703091249995</c:v>
                </c:pt>
                <c:pt idx="2">
                  <c:v>5.7275186878500008</c:v>
                </c:pt>
              </c:numCache>
            </c:numRef>
          </c:val>
          <c:smooth val="0"/>
        </c:ser>
        <c:ser>
          <c:idx val="20"/>
          <c:order val="20"/>
          <c:tx>
            <c:strRef>
              <c:f>'Pivot tables'!$V$622:$V$623</c:f>
              <c:strCache>
                <c:ptCount val="1"/>
                <c:pt idx="0">
                  <c:v>940315m138</c:v>
                </c:pt>
              </c:strCache>
            </c:strRef>
          </c:tx>
          <c:cat>
            <c:strRef>
              <c:f>'Pivot tables'!$A$624:$A$628</c:f>
              <c:strCache>
                <c:ptCount val="4"/>
                <c:pt idx="0">
                  <c:v>pre</c:v>
                </c:pt>
                <c:pt idx="1">
                  <c:v>2yr</c:v>
                </c:pt>
                <c:pt idx="2">
                  <c:v>5yr</c:v>
                </c:pt>
                <c:pt idx="3">
                  <c:v>8yr</c:v>
                </c:pt>
              </c:strCache>
            </c:strRef>
          </c:cat>
          <c:val>
            <c:numRef>
              <c:f>'Pivot tables'!$V$624:$V$628</c:f>
              <c:numCache>
                <c:formatCode>General</c:formatCode>
                <c:ptCount val="4"/>
                <c:pt idx="0">
                  <c:v>16.699712955057144</c:v>
                </c:pt>
                <c:pt idx="1">
                  <c:v>6.8571048870200002</c:v>
                </c:pt>
                <c:pt idx="3">
                  <c:v>7.2420391476500008</c:v>
                </c:pt>
              </c:numCache>
            </c:numRef>
          </c:val>
          <c:smooth val="0"/>
        </c:ser>
        <c:ser>
          <c:idx val="21"/>
          <c:order val="21"/>
          <c:tx>
            <c:strRef>
              <c:f>'Pivot tables'!$W$622:$W$623</c:f>
              <c:strCache>
                <c:ptCount val="1"/>
                <c:pt idx="0">
                  <c:v>890202m123</c:v>
                </c:pt>
              </c:strCache>
            </c:strRef>
          </c:tx>
          <c:cat>
            <c:strRef>
              <c:f>'Pivot tables'!$A$624:$A$628</c:f>
              <c:strCache>
                <c:ptCount val="4"/>
                <c:pt idx="0">
                  <c:v>pre</c:v>
                </c:pt>
                <c:pt idx="1">
                  <c:v>2yr</c:v>
                </c:pt>
                <c:pt idx="2">
                  <c:v>5yr</c:v>
                </c:pt>
                <c:pt idx="3">
                  <c:v>8yr</c:v>
                </c:pt>
              </c:strCache>
            </c:strRef>
          </c:cat>
          <c:val>
            <c:numRef>
              <c:f>'Pivot tables'!$W$624:$W$628</c:f>
              <c:numCache>
                <c:formatCode>General</c:formatCode>
                <c:ptCount val="4"/>
                <c:pt idx="0">
                  <c:v>14.565169253383333</c:v>
                </c:pt>
                <c:pt idx="1">
                  <c:v>7.8197093532250008</c:v>
                </c:pt>
                <c:pt idx="2">
                  <c:v>9.3417472415999985</c:v>
                </c:pt>
              </c:numCache>
            </c:numRef>
          </c:val>
          <c:smooth val="0"/>
        </c:ser>
        <c:ser>
          <c:idx val="22"/>
          <c:order val="22"/>
          <c:tx>
            <c:strRef>
              <c:f>'Pivot tables'!$X$622:$X$623</c:f>
              <c:strCache>
                <c:ptCount val="1"/>
                <c:pt idx="0">
                  <c:v>920629v030</c:v>
                </c:pt>
              </c:strCache>
            </c:strRef>
          </c:tx>
          <c:cat>
            <c:strRef>
              <c:f>'Pivot tables'!$A$624:$A$628</c:f>
              <c:strCache>
                <c:ptCount val="4"/>
                <c:pt idx="0">
                  <c:v>pre</c:v>
                </c:pt>
                <c:pt idx="1">
                  <c:v>2yr</c:v>
                </c:pt>
                <c:pt idx="2">
                  <c:v>5yr</c:v>
                </c:pt>
                <c:pt idx="3">
                  <c:v>8yr</c:v>
                </c:pt>
              </c:strCache>
            </c:strRef>
          </c:cat>
          <c:val>
            <c:numRef>
              <c:f>'Pivot tables'!$X$624:$X$628</c:f>
              <c:numCache>
                <c:formatCode>General</c:formatCode>
                <c:ptCount val="4"/>
                <c:pt idx="0">
                  <c:v>8.2890234567499999</c:v>
                </c:pt>
                <c:pt idx="1">
                  <c:v>10.238584745725001</c:v>
                </c:pt>
                <c:pt idx="3">
                  <c:v>12.57900828092</c:v>
                </c:pt>
              </c:numCache>
            </c:numRef>
          </c:val>
          <c:smooth val="0"/>
        </c:ser>
        <c:ser>
          <c:idx val="23"/>
          <c:order val="23"/>
          <c:tx>
            <c:strRef>
              <c:f>'Pivot tables'!$Y$622:$Y$623</c:f>
              <c:strCache>
                <c:ptCount val="1"/>
                <c:pt idx="0">
                  <c:v>910826v099</c:v>
                </c:pt>
              </c:strCache>
            </c:strRef>
          </c:tx>
          <c:cat>
            <c:strRef>
              <c:f>'Pivot tables'!$A$624:$A$628</c:f>
              <c:strCache>
                <c:ptCount val="4"/>
                <c:pt idx="0">
                  <c:v>pre</c:v>
                </c:pt>
                <c:pt idx="1">
                  <c:v>2yr</c:v>
                </c:pt>
                <c:pt idx="2">
                  <c:v>5yr</c:v>
                </c:pt>
                <c:pt idx="3">
                  <c:v>8yr</c:v>
                </c:pt>
              </c:strCache>
            </c:strRef>
          </c:cat>
          <c:val>
            <c:numRef>
              <c:f>'Pivot tables'!$Y$624:$Y$628</c:f>
              <c:numCache>
                <c:formatCode>General</c:formatCode>
                <c:ptCount val="4"/>
                <c:pt idx="0">
                  <c:v>21.216083173216663</c:v>
                </c:pt>
                <c:pt idx="1">
                  <c:v>8.1788058306375007</c:v>
                </c:pt>
                <c:pt idx="2">
                  <c:v>10.776073608000001</c:v>
                </c:pt>
              </c:numCache>
            </c:numRef>
          </c:val>
          <c:smooth val="0"/>
        </c:ser>
        <c:ser>
          <c:idx val="24"/>
          <c:order val="24"/>
          <c:tx>
            <c:strRef>
              <c:f>'Pivot tables'!$Z$622:$Z$623</c:f>
              <c:strCache>
                <c:ptCount val="1"/>
                <c:pt idx="0">
                  <c:v>000102g046</c:v>
                </c:pt>
              </c:strCache>
            </c:strRef>
          </c:tx>
          <c:cat>
            <c:strRef>
              <c:f>'Pivot tables'!$A$624:$A$628</c:f>
              <c:strCache>
                <c:ptCount val="4"/>
                <c:pt idx="0">
                  <c:v>pre</c:v>
                </c:pt>
                <c:pt idx="1">
                  <c:v>2yr</c:v>
                </c:pt>
                <c:pt idx="2">
                  <c:v>5yr</c:v>
                </c:pt>
                <c:pt idx="3">
                  <c:v>8yr</c:v>
                </c:pt>
              </c:strCache>
            </c:strRef>
          </c:cat>
          <c:val>
            <c:numRef>
              <c:f>'Pivot tables'!$Z$624:$Z$628</c:f>
              <c:numCache>
                <c:formatCode>General</c:formatCode>
                <c:ptCount val="4"/>
                <c:pt idx="0">
                  <c:v>13.03777200385</c:v>
                </c:pt>
                <c:pt idx="1">
                  <c:v>10.836678127199997</c:v>
                </c:pt>
                <c:pt idx="2">
                  <c:v>9.93875044276</c:v>
                </c:pt>
              </c:numCache>
            </c:numRef>
          </c:val>
          <c:smooth val="0"/>
        </c:ser>
        <c:ser>
          <c:idx val="25"/>
          <c:order val="25"/>
          <c:tx>
            <c:strRef>
              <c:f>'Pivot tables'!$AA$622:$AA$623</c:f>
              <c:strCache>
                <c:ptCount val="1"/>
                <c:pt idx="0">
                  <c:v>980511m219</c:v>
                </c:pt>
              </c:strCache>
            </c:strRef>
          </c:tx>
          <c:cat>
            <c:strRef>
              <c:f>'Pivot tables'!$A$624:$A$628</c:f>
              <c:strCache>
                <c:ptCount val="4"/>
                <c:pt idx="0">
                  <c:v>pre</c:v>
                </c:pt>
                <c:pt idx="1">
                  <c:v>2yr</c:v>
                </c:pt>
                <c:pt idx="2">
                  <c:v>5yr</c:v>
                </c:pt>
                <c:pt idx="3">
                  <c:v>8yr</c:v>
                </c:pt>
              </c:strCache>
            </c:strRef>
          </c:cat>
          <c:val>
            <c:numRef>
              <c:f>'Pivot tables'!$AA$624:$AA$628</c:f>
              <c:numCache>
                <c:formatCode>General</c:formatCode>
                <c:ptCount val="4"/>
                <c:pt idx="0">
                  <c:v>23.418467328966667</c:v>
                </c:pt>
                <c:pt idx="1">
                  <c:v>24.583751953566665</c:v>
                </c:pt>
                <c:pt idx="2">
                  <c:v>15.324147570555558</c:v>
                </c:pt>
              </c:numCache>
            </c:numRef>
          </c:val>
          <c:smooth val="0"/>
        </c:ser>
        <c:ser>
          <c:idx val="26"/>
          <c:order val="26"/>
          <c:tx>
            <c:strRef>
              <c:f>'Pivot tables'!$AB$622:$AB$623</c:f>
              <c:strCache>
                <c:ptCount val="1"/>
                <c:pt idx="0">
                  <c:v>980512v117</c:v>
                </c:pt>
              </c:strCache>
            </c:strRef>
          </c:tx>
          <c:cat>
            <c:strRef>
              <c:f>'Pivot tables'!$A$624:$A$628</c:f>
              <c:strCache>
                <c:ptCount val="4"/>
                <c:pt idx="0">
                  <c:v>pre</c:v>
                </c:pt>
                <c:pt idx="1">
                  <c:v>2yr</c:v>
                </c:pt>
                <c:pt idx="2">
                  <c:v>5yr</c:v>
                </c:pt>
                <c:pt idx="3">
                  <c:v>8yr</c:v>
                </c:pt>
              </c:strCache>
            </c:strRef>
          </c:cat>
          <c:val>
            <c:numRef>
              <c:f>'Pivot tables'!$AB$624:$AB$628</c:f>
              <c:numCache>
                <c:formatCode>General</c:formatCode>
                <c:ptCount val="4"/>
                <c:pt idx="0">
                  <c:v>19.053098152133334</c:v>
                </c:pt>
                <c:pt idx="1">
                  <c:v>19.896977450824998</c:v>
                </c:pt>
                <c:pt idx="3">
                  <c:v>17.236660300900002</c:v>
                </c:pt>
              </c:numCache>
            </c:numRef>
          </c:val>
          <c:smooth val="0"/>
        </c:ser>
        <c:ser>
          <c:idx val="27"/>
          <c:order val="27"/>
          <c:tx>
            <c:strRef>
              <c:f>'Pivot tables'!$AC$622:$AC$623</c:f>
              <c:strCache>
                <c:ptCount val="1"/>
                <c:pt idx="0">
                  <c:v>960428m114</c:v>
                </c:pt>
              </c:strCache>
            </c:strRef>
          </c:tx>
          <c:cat>
            <c:strRef>
              <c:f>'Pivot tables'!$A$624:$A$628</c:f>
              <c:strCache>
                <c:ptCount val="4"/>
                <c:pt idx="0">
                  <c:v>pre</c:v>
                </c:pt>
                <c:pt idx="1">
                  <c:v>2yr</c:v>
                </c:pt>
                <c:pt idx="2">
                  <c:v>5yr</c:v>
                </c:pt>
                <c:pt idx="3">
                  <c:v>8yr</c:v>
                </c:pt>
              </c:strCache>
            </c:strRef>
          </c:cat>
          <c:val>
            <c:numRef>
              <c:f>'Pivot tables'!$AC$624:$AC$628</c:f>
              <c:numCache>
                <c:formatCode>General</c:formatCode>
                <c:ptCount val="4"/>
                <c:pt idx="0">
                  <c:v>17.354741227649999</c:v>
                </c:pt>
                <c:pt idx="1">
                  <c:v>12.598373580775</c:v>
                </c:pt>
                <c:pt idx="2">
                  <c:v>9.8669767099799994</c:v>
                </c:pt>
              </c:numCache>
            </c:numRef>
          </c:val>
          <c:smooth val="0"/>
        </c:ser>
        <c:ser>
          <c:idx val="28"/>
          <c:order val="28"/>
          <c:tx>
            <c:strRef>
              <c:f>'Pivot tables'!$AD$622:$AD$623</c:f>
              <c:strCache>
                <c:ptCount val="1"/>
                <c:pt idx="0">
                  <c:v>970629v068</c:v>
                </c:pt>
              </c:strCache>
            </c:strRef>
          </c:tx>
          <c:cat>
            <c:strRef>
              <c:f>'Pivot tables'!$A$624:$A$628</c:f>
              <c:strCache>
                <c:ptCount val="4"/>
                <c:pt idx="0">
                  <c:v>pre</c:v>
                </c:pt>
                <c:pt idx="1">
                  <c:v>2yr</c:v>
                </c:pt>
                <c:pt idx="2">
                  <c:v>5yr</c:v>
                </c:pt>
                <c:pt idx="3">
                  <c:v>8yr</c:v>
                </c:pt>
              </c:strCache>
            </c:strRef>
          </c:cat>
          <c:val>
            <c:numRef>
              <c:f>'Pivot tables'!$AD$624:$AD$628</c:f>
              <c:numCache>
                <c:formatCode>General</c:formatCode>
                <c:ptCount val="4"/>
                <c:pt idx="0">
                  <c:v>10.368562413150002</c:v>
                </c:pt>
                <c:pt idx="1">
                  <c:v>14.453004046699998</c:v>
                </c:pt>
                <c:pt idx="3">
                  <c:v>11.868657434733334</c:v>
                </c:pt>
              </c:numCache>
            </c:numRef>
          </c:val>
          <c:smooth val="0"/>
        </c:ser>
        <c:ser>
          <c:idx val="29"/>
          <c:order val="29"/>
          <c:tx>
            <c:strRef>
              <c:f>'Pivot tables'!$AE$622:$AE$623</c:f>
              <c:strCache>
                <c:ptCount val="1"/>
                <c:pt idx="0">
                  <c:v>970602v069</c:v>
                </c:pt>
              </c:strCache>
            </c:strRef>
          </c:tx>
          <c:cat>
            <c:strRef>
              <c:f>'Pivot tables'!$A$624:$A$628</c:f>
              <c:strCache>
                <c:ptCount val="4"/>
                <c:pt idx="0">
                  <c:v>pre</c:v>
                </c:pt>
                <c:pt idx="1">
                  <c:v>2yr</c:v>
                </c:pt>
                <c:pt idx="2">
                  <c:v>5yr</c:v>
                </c:pt>
                <c:pt idx="3">
                  <c:v>8yr</c:v>
                </c:pt>
              </c:strCache>
            </c:strRef>
          </c:cat>
          <c:val>
            <c:numRef>
              <c:f>'Pivot tables'!$AE$624:$AE$628</c:f>
              <c:numCache>
                <c:formatCode>General</c:formatCode>
                <c:ptCount val="4"/>
                <c:pt idx="0">
                  <c:v>15.861173913333333</c:v>
                </c:pt>
                <c:pt idx="1">
                  <c:v>8.0197994247000004</c:v>
                </c:pt>
                <c:pt idx="2">
                  <c:v>8.5890272760499986</c:v>
                </c:pt>
                <c:pt idx="3">
                  <c:v>6.7235771920833329</c:v>
                </c:pt>
              </c:numCache>
            </c:numRef>
          </c:val>
          <c:smooth val="0"/>
        </c:ser>
        <c:ser>
          <c:idx val="30"/>
          <c:order val="30"/>
          <c:tx>
            <c:strRef>
              <c:f>'Pivot tables'!$AF$622:$AF$623</c:f>
              <c:strCache>
                <c:ptCount val="1"/>
                <c:pt idx="0">
                  <c:v>Average</c:v>
                </c:pt>
              </c:strCache>
            </c:strRef>
          </c:tx>
          <c:spPr>
            <a:ln w="38100">
              <a:solidFill>
                <a:schemeClr val="tx1"/>
              </a:solidFill>
            </a:ln>
          </c:spPr>
          <c:marker>
            <c:symbol val="circle"/>
            <c:size val="7"/>
            <c:spPr>
              <a:solidFill>
                <a:schemeClr val="tx1"/>
              </a:solidFill>
            </c:spPr>
          </c:marker>
          <c:cat>
            <c:strRef>
              <c:f>'Pivot tables'!$A$624:$A$628</c:f>
              <c:strCache>
                <c:ptCount val="4"/>
                <c:pt idx="0">
                  <c:v>pre</c:v>
                </c:pt>
                <c:pt idx="1">
                  <c:v>2yr</c:v>
                </c:pt>
                <c:pt idx="2">
                  <c:v>5yr</c:v>
                </c:pt>
                <c:pt idx="3">
                  <c:v>8yr</c:v>
                </c:pt>
              </c:strCache>
            </c:strRef>
          </c:cat>
          <c:val>
            <c:numRef>
              <c:f>'Pivot tables'!$AF$624:$AF$628</c:f>
              <c:numCache>
                <c:formatCode>General</c:formatCode>
                <c:ptCount val="4"/>
                <c:pt idx="0">
                  <c:v>17.158359558259892</c:v>
                </c:pt>
                <c:pt idx="1">
                  <c:v>12.056498419813853</c:v>
                </c:pt>
                <c:pt idx="2">
                  <c:v>11.100857810385051</c:v>
                </c:pt>
                <c:pt idx="3">
                  <c:v>12.586634456955576</c:v>
                </c:pt>
              </c:numCache>
            </c:numRef>
          </c:val>
          <c:smooth val="0"/>
        </c:ser>
        <c:ser>
          <c:idx val="31"/>
          <c:order val="31"/>
          <c:tx>
            <c:strRef>
              <c:f>'Pivot tables'!$AG$622:$AG$623</c:f>
              <c:strCache>
                <c:ptCount val="1"/>
                <c:pt idx="0">
                  <c:v>No pathology</c:v>
                </c:pt>
              </c:strCache>
            </c:strRef>
          </c:tx>
          <c:cat>
            <c:strRef>
              <c:f>'Pivot tables'!$A$624:$A$628</c:f>
              <c:strCache>
                <c:ptCount val="4"/>
                <c:pt idx="0">
                  <c:v>pre</c:v>
                </c:pt>
                <c:pt idx="1">
                  <c:v>2yr</c:v>
                </c:pt>
                <c:pt idx="2">
                  <c:v>5yr</c:v>
                </c:pt>
                <c:pt idx="3">
                  <c:v>8yr</c:v>
                </c:pt>
              </c:strCache>
            </c:strRef>
          </c:cat>
          <c:val>
            <c:numRef>
              <c:f>'Pivot tables'!$AG$624:$AG$628</c:f>
              <c:numCache>
                <c:formatCode>General</c:formatCode>
                <c:ptCount val="4"/>
              </c:numCache>
            </c:numRef>
          </c:val>
          <c:smooth val="0"/>
        </c:ser>
        <c:ser>
          <c:idx val="32"/>
          <c:order val="32"/>
          <c:tx>
            <c:strRef>
              <c:f>'Pivot tables'!$AH$622:$AH$623</c:f>
              <c:strCache>
                <c:ptCount val="1"/>
                <c:pt idx="0">
                  <c:v>patient 1-31</c:v>
                </c:pt>
              </c:strCache>
            </c:strRef>
          </c:tx>
          <c:cat>
            <c:strRef>
              <c:f>'Pivot tables'!$A$624:$A$628</c:f>
              <c:strCache>
                <c:ptCount val="4"/>
                <c:pt idx="0">
                  <c:v>pre</c:v>
                </c:pt>
                <c:pt idx="1">
                  <c:v>2yr</c:v>
                </c:pt>
                <c:pt idx="2">
                  <c:v>5yr</c:v>
                </c:pt>
                <c:pt idx="3">
                  <c:v>8yr</c:v>
                </c:pt>
              </c:strCache>
            </c:strRef>
          </c:cat>
          <c:val>
            <c:numRef>
              <c:f>'Pivot tables'!$AH$624:$AH$628</c:f>
              <c:numCache>
                <c:formatCode>General</c:formatCode>
                <c:ptCount val="4"/>
                <c:pt idx="0">
                  <c:v>22.214082309000002</c:v>
                </c:pt>
                <c:pt idx="1">
                  <c:v>13.533011491966667</c:v>
                </c:pt>
                <c:pt idx="2">
                  <c:v>19.386476011825003</c:v>
                </c:pt>
              </c:numCache>
            </c:numRef>
          </c:val>
          <c:smooth val="0"/>
        </c:ser>
        <c:dLbls>
          <c:showLegendKey val="0"/>
          <c:showVal val="0"/>
          <c:showCatName val="0"/>
          <c:showSerName val="0"/>
          <c:showPercent val="0"/>
          <c:showBubbleSize val="0"/>
        </c:dLbls>
        <c:marker val="1"/>
        <c:smooth val="0"/>
        <c:axId val="175016960"/>
        <c:axId val="175019136"/>
      </c:lineChart>
      <c:catAx>
        <c:axId val="175016960"/>
        <c:scaling>
          <c:orientation val="minMax"/>
        </c:scaling>
        <c:delete val="0"/>
        <c:axPos val="b"/>
        <c:title>
          <c:tx>
            <c:rich>
              <a:bodyPr/>
              <a:lstStyle/>
              <a:p>
                <a:pPr>
                  <a:defRPr/>
                </a:pPr>
                <a:r>
                  <a:rPr lang="nl-BE"/>
                  <a:t>Timing</a:t>
                </a:r>
              </a:p>
            </c:rich>
          </c:tx>
          <c:overlay val="0"/>
        </c:title>
        <c:numFmt formatCode="General" sourceLinked="0"/>
        <c:majorTickMark val="none"/>
        <c:minorTickMark val="none"/>
        <c:tickLblPos val="nextTo"/>
        <c:crossAx val="175019136"/>
        <c:crosses val="autoZero"/>
        <c:auto val="1"/>
        <c:lblAlgn val="ctr"/>
        <c:lblOffset val="100"/>
        <c:noMultiLvlLbl val="0"/>
      </c:catAx>
      <c:valAx>
        <c:axId val="175019136"/>
        <c:scaling>
          <c:orientation val="minMax"/>
        </c:scaling>
        <c:delete val="0"/>
        <c:axPos val="l"/>
        <c:title>
          <c:tx>
            <c:rich>
              <a:bodyPr rot="-5400000" vert="horz"/>
              <a:lstStyle/>
              <a:p>
                <a:pPr>
                  <a:defRPr/>
                </a:pPr>
                <a:r>
                  <a:rPr lang="nl-BE"/>
                  <a:t>deg</a:t>
                </a:r>
              </a:p>
            </c:rich>
          </c:tx>
          <c:overlay val="0"/>
        </c:title>
        <c:numFmt formatCode="General" sourceLinked="1"/>
        <c:majorTickMark val="none"/>
        <c:minorTickMark val="none"/>
        <c:tickLblPos val="nextTo"/>
        <c:crossAx val="175016960"/>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1"/>
        <c:delete val="1"/>
      </c:legendEntry>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pivotSource>
    <c:name>[grafieken per patiënt per parameter.xlsx]Pivot tables!Draaitabel67</c:name>
    <c:fmtId val="-1"/>
  </c:pivotSource>
  <c:chart>
    <c:title>
      <c:tx>
        <c:rich>
          <a:bodyPr/>
          <a:lstStyle/>
          <a:p>
            <a:pPr>
              <a:defRPr>
                <a:solidFill>
                  <a:sysClr val="windowText" lastClr="000000"/>
                </a:solidFill>
              </a:defRPr>
            </a:pPr>
            <a:r>
              <a:rPr lang="nl-BE">
                <a:solidFill>
                  <a:sysClr val="windowText" lastClr="000000"/>
                </a:solidFill>
              </a:rPr>
              <a:t>GPS</a:t>
            </a:r>
            <a:r>
              <a:rPr lang="nl-BE" baseline="0">
                <a:solidFill>
                  <a:sysClr val="windowText" lastClr="000000"/>
                </a:solidFill>
              </a:rPr>
              <a:t> Transverse</a:t>
            </a:r>
            <a:endParaRPr lang="nl-BE">
              <a:solidFill>
                <a:sysClr val="windowText" lastClr="000000"/>
              </a:solidFill>
            </a:endParaRPr>
          </a:p>
        </c:rich>
      </c:tx>
      <c:overlay val="0"/>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pivotFmt>
      <c:pivotFmt>
        <c:idx val="187"/>
      </c:pivotFmt>
      <c:pivotFmt>
        <c:idx val="188"/>
      </c:pivotFmt>
      <c:pivotFmt>
        <c:idx val="189"/>
      </c:pivotFmt>
      <c:pivotFmt>
        <c:idx val="190"/>
      </c:pivotFmt>
      <c:pivotFmt>
        <c:idx val="191"/>
      </c:pivotFmt>
      <c:pivotFmt>
        <c:idx val="192"/>
      </c:pivotFmt>
      <c:pivotFmt>
        <c:idx val="193"/>
      </c:pivotFmt>
      <c:pivotFmt>
        <c:idx val="194"/>
      </c:pivotFmt>
      <c:pivotFmt>
        <c:idx val="195"/>
      </c:pivotFmt>
      <c:pivotFmt>
        <c:idx val="196"/>
      </c:pivotFmt>
      <c:pivotFmt>
        <c:idx val="197"/>
      </c:pivotFmt>
      <c:pivotFmt>
        <c:idx val="198"/>
      </c:pivotFmt>
      <c:pivotFmt>
        <c:idx val="199"/>
      </c:pivotFmt>
      <c:pivotFmt>
        <c:idx val="200"/>
      </c:pivotFmt>
      <c:pivotFmt>
        <c:idx val="201"/>
      </c:pivotFmt>
      <c:pivotFmt>
        <c:idx val="202"/>
      </c:pivotFmt>
      <c:pivotFmt>
        <c:idx val="203"/>
      </c:pivotFmt>
      <c:pivotFmt>
        <c:idx val="204"/>
      </c:pivotFmt>
      <c:pivotFmt>
        <c:idx val="205"/>
      </c:pivotFmt>
      <c:pivotFmt>
        <c:idx val="206"/>
      </c:pivotFmt>
      <c:pivotFmt>
        <c:idx val="207"/>
      </c:pivotFmt>
      <c:pivotFmt>
        <c:idx val="208"/>
      </c:pivotFmt>
      <c:pivotFmt>
        <c:idx val="209"/>
      </c:pivotFmt>
      <c:pivotFmt>
        <c:idx val="210"/>
      </c:pivotFmt>
      <c:pivotFmt>
        <c:idx val="211"/>
      </c:pivotFmt>
      <c:pivotFmt>
        <c:idx val="212"/>
      </c:pivotFmt>
      <c:pivotFmt>
        <c:idx val="213"/>
      </c:pivotFmt>
      <c:pivotFmt>
        <c:idx val="214"/>
      </c:pivotFmt>
      <c:pivotFmt>
        <c:idx val="215"/>
      </c:pivotFmt>
      <c:pivotFmt>
        <c:idx val="216"/>
      </c:pivotFmt>
      <c:pivotFmt>
        <c:idx val="217"/>
      </c:pivotFmt>
      <c:pivotFmt>
        <c:idx val="218"/>
      </c:pivotFmt>
      <c:pivotFmt>
        <c:idx val="219"/>
      </c:pivotFmt>
      <c:pivotFmt>
        <c:idx val="220"/>
      </c:pivotFmt>
      <c:pivotFmt>
        <c:idx val="221"/>
      </c:pivotFmt>
      <c:pivotFmt>
        <c:idx val="222"/>
      </c:pivotFmt>
      <c:pivotFmt>
        <c:idx val="223"/>
      </c:pivotFmt>
      <c:pivotFmt>
        <c:idx val="224"/>
      </c:pivotFmt>
      <c:pivotFmt>
        <c:idx val="225"/>
      </c:pivotFmt>
      <c:pivotFmt>
        <c:idx val="226"/>
      </c:pivotFmt>
      <c:pivotFmt>
        <c:idx val="227"/>
      </c:pivotFmt>
      <c:pivotFmt>
        <c:idx val="228"/>
      </c:pivotFmt>
      <c:pivotFmt>
        <c:idx val="229"/>
      </c:pivotFmt>
      <c:pivotFmt>
        <c:idx val="230"/>
      </c:pivotFmt>
      <c:pivotFmt>
        <c:idx val="231"/>
      </c:pivotFmt>
      <c:pivotFmt>
        <c:idx val="232"/>
      </c:pivotFmt>
      <c:pivotFmt>
        <c:idx val="233"/>
      </c:pivotFmt>
      <c:pivotFmt>
        <c:idx val="234"/>
      </c:pivotFmt>
      <c:pivotFmt>
        <c:idx val="235"/>
      </c:pivotFmt>
      <c:pivotFmt>
        <c:idx val="236"/>
      </c:pivotFmt>
      <c:pivotFmt>
        <c:idx val="237"/>
      </c:pivotFmt>
      <c:pivotFmt>
        <c:idx val="238"/>
      </c:pivotFmt>
      <c:pivotFmt>
        <c:idx val="239"/>
      </c:pivotFmt>
      <c:pivotFmt>
        <c:idx val="240"/>
      </c:pivotFmt>
      <c:pivotFmt>
        <c:idx val="241"/>
      </c:pivotFmt>
      <c:pivotFmt>
        <c:idx val="242"/>
      </c:pivotFmt>
      <c:pivotFmt>
        <c:idx val="243"/>
      </c:pivotFmt>
      <c:pivotFmt>
        <c:idx val="244"/>
      </c:pivotFmt>
      <c:pivotFmt>
        <c:idx val="245"/>
      </c:pivotFmt>
      <c:pivotFmt>
        <c:idx val="246"/>
      </c:pivotFmt>
      <c:pivotFmt>
        <c:idx val="247"/>
      </c:pivotFmt>
      <c:pivotFmt>
        <c:idx val="248"/>
      </c:pivotFmt>
      <c:pivotFmt>
        <c:idx val="249"/>
      </c:pivotFmt>
      <c:pivotFmt>
        <c:idx val="250"/>
      </c:pivotFmt>
      <c:pivotFmt>
        <c:idx val="251"/>
      </c:pivotFmt>
      <c:pivotFmt>
        <c:idx val="252"/>
      </c:pivotFmt>
      <c:pivotFmt>
        <c:idx val="253"/>
      </c:pivotFmt>
      <c:pivotFmt>
        <c:idx val="254"/>
      </c:pivotFmt>
      <c:pivotFmt>
        <c:idx val="255"/>
      </c:pivotFmt>
      <c:pivotFmt>
        <c:idx val="256"/>
      </c:pivotFmt>
      <c:pivotFmt>
        <c:idx val="257"/>
      </c:pivotFmt>
      <c:pivotFmt>
        <c:idx val="258"/>
      </c:pivotFmt>
      <c:pivotFmt>
        <c:idx val="259"/>
      </c:pivotFmt>
      <c:pivotFmt>
        <c:idx val="260"/>
      </c:pivotFmt>
      <c:pivotFmt>
        <c:idx val="261"/>
      </c:pivotFmt>
      <c:pivotFmt>
        <c:idx val="262"/>
      </c:pivotFmt>
      <c:pivotFmt>
        <c:idx val="263"/>
      </c:pivotFmt>
      <c:pivotFmt>
        <c:idx val="264"/>
      </c:pivotFmt>
      <c:pivotFmt>
        <c:idx val="265"/>
      </c:pivotFmt>
      <c:pivotFmt>
        <c:idx val="266"/>
      </c:pivotFmt>
      <c:pivotFmt>
        <c:idx val="267"/>
      </c:pivotFmt>
      <c:pivotFmt>
        <c:idx val="268"/>
      </c:pivotFmt>
      <c:pivotFmt>
        <c:idx val="269"/>
      </c:pivotFmt>
      <c:pivotFmt>
        <c:idx val="270"/>
      </c:pivotFmt>
      <c:pivotFmt>
        <c:idx val="271"/>
      </c:pivotFmt>
      <c:pivotFmt>
        <c:idx val="272"/>
      </c:pivotFmt>
      <c:pivotFmt>
        <c:idx val="273"/>
      </c:pivotFmt>
      <c:pivotFmt>
        <c:idx val="274"/>
      </c:pivotFmt>
      <c:pivotFmt>
        <c:idx val="275"/>
      </c:pivotFmt>
      <c:pivotFmt>
        <c:idx val="276"/>
      </c:pivotFmt>
      <c:pivotFmt>
        <c:idx val="277"/>
      </c:pivotFmt>
      <c:pivotFmt>
        <c:idx val="278"/>
      </c:pivotFmt>
      <c:pivotFmt>
        <c:idx val="279"/>
      </c:pivotFmt>
      <c:pivotFmt>
        <c:idx val="280"/>
      </c:pivotFmt>
      <c:pivotFmt>
        <c:idx val="281"/>
      </c:pivotFmt>
      <c:pivotFmt>
        <c:idx val="282"/>
      </c:pivotFmt>
      <c:pivotFmt>
        <c:idx val="283"/>
      </c:pivotFmt>
      <c:pivotFmt>
        <c:idx val="284"/>
      </c:pivotFmt>
      <c:pivotFmt>
        <c:idx val="285"/>
      </c:pivotFmt>
      <c:pivotFmt>
        <c:idx val="286"/>
      </c:pivotFmt>
      <c:pivotFmt>
        <c:idx val="287"/>
      </c:pivotFmt>
      <c:pivotFmt>
        <c:idx val="288"/>
      </c:pivotFmt>
      <c:pivotFmt>
        <c:idx val="289"/>
      </c:pivotFmt>
      <c:pivotFmt>
        <c:idx val="290"/>
      </c:pivotFmt>
      <c:pivotFmt>
        <c:idx val="291"/>
      </c:pivotFmt>
      <c:pivotFmt>
        <c:idx val="292"/>
      </c:pivotFmt>
      <c:pivotFmt>
        <c:idx val="293"/>
      </c:pivotFmt>
      <c:pivotFmt>
        <c:idx val="294"/>
      </c:pivotFmt>
      <c:pivotFmt>
        <c:idx val="295"/>
      </c:pivotFmt>
      <c:pivotFmt>
        <c:idx val="296"/>
      </c:pivotFmt>
      <c:pivotFmt>
        <c:idx val="297"/>
      </c:pivotFmt>
      <c:pivotFmt>
        <c:idx val="298"/>
      </c:pivotFmt>
      <c:pivotFmt>
        <c:idx val="299"/>
      </c:pivotFmt>
      <c:pivotFmt>
        <c:idx val="300"/>
      </c:pivotFmt>
      <c:pivotFmt>
        <c:idx val="301"/>
      </c:pivotFmt>
      <c:pivotFmt>
        <c:idx val="302"/>
      </c:pivotFmt>
      <c:pivotFmt>
        <c:idx val="303"/>
      </c:pivotFmt>
      <c:pivotFmt>
        <c:idx val="304"/>
      </c:pivotFmt>
      <c:pivotFmt>
        <c:idx val="305"/>
      </c:pivotFmt>
      <c:pivotFmt>
        <c:idx val="306"/>
      </c:pivotFmt>
      <c:pivotFmt>
        <c:idx val="307"/>
      </c:pivotFmt>
      <c:pivotFmt>
        <c:idx val="308"/>
      </c:pivotFmt>
      <c:pivotFmt>
        <c:idx val="309"/>
      </c:pivotFmt>
      <c:pivotFmt>
        <c:idx val="310"/>
      </c:pivotFmt>
      <c:pivotFmt>
        <c:idx val="311"/>
      </c:pivotFmt>
      <c:pivotFmt>
        <c:idx val="312"/>
      </c:pivotFmt>
      <c:pivotFmt>
        <c:idx val="313"/>
      </c:pivotFmt>
      <c:pivotFmt>
        <c:idx val="314"/>
      </c:pivotFmt>
      <c:pivotFmt>
        <c:idx val="315"/>
      </c:pivotFmt>
      <c:pivotFmt>
        <c:idx val="316"/>
      </c:pivotFmt>
      <c:pivotFmt>
        <c:idx val="317"/>
      </c:pivotFmt>
      <c:pivotFmt>
        <c:idx val="318"/>
      </c:pivotFmt>
      <c:pivotFmt>
        <c:idx val="319"/>
      </c:pivotFmt>
      <c:pivotFmt>
        <c:idx val="320"/>
      </c:pivotFmt>
      <c:pivotFmt>
        <c:idx val="321"/>
      </c:pivotFmt>
      <c:pivotFmt>
        <c:idx val="322"/>
      </c:pivotFmt>
      <c:pivotFmt>
        <c:idx val="323"/>
      </c:pivotFmt>
      <c:pivotFmt>
        <c:idx val="324"/>
      </c:pivotFmt>
      <c:pivotFmt>
        <c:idx val="325"/>
      </c:pivotFmt>
      <c:pivotFmt>
        <c:idx val="326"/>
      </c:pivotFmt>
      <c:pivotFmt>
        <c:idx val="327"/>
      </c:pivotFmt>
      <c:pivotFmt>
        <c:idx val="328"/>
      </c:pivotFmt>
      <c:pivotFmt>
        <c:idx val="329"/>
      </c:pivotFmt>
      <c:pivotFmt>
        <c:idx val="330"/>
      </c:pivotFmt>
      <c:pivotFmt>
        <c:idx val="331"/>
      </c:pivotFmt>
      <c:pivotFmt>
        <c:idx val="332"/>
      </c:pivotFmt>
      <c:pivotFmt>
        <c:idx val="333"/>
      </c:pivotFmt>
      <c:pivotFmt>
        <c:idx val="334"/>
      </c:pivotFmt>
      <c:pivotFmt>
        <c:idx val="335"/>
      </c:pivotFmt>
      <c:pivotFmt>
        <c:idx val="336"/>
      </c:pivotFmt>
      <c:pivotFmt>
        <c:idx val="337"/>
      </c:pivotFmt>
      <c:pivotFmt>
        <c:idx val="338"/>
      </c:pivotFmt>
      <c:pivotFmt>
        <c:idx val="339"/>
      </c:pivotFmt>
      <c:pivotFmt>
        <c:idx val="340"/>
      </c:pivotFmt>
      <c:pivotFmt>
        <c:idx val="341"/>
      </c:pivotFmt>
      <c:pivotFmt>
        <c:idx val="342"/>
      </c:pivotFmt>
      <c:pivotFmt>
        <c:idx val="343"/>
      </c:pivotFmt>
      <c:pivotFmt>
        <c:idx val="344"/>
      </c:pivotFmt>
      <c:pivotFmt>
        <c:idx val="345"/>
      </c:pivotFmt>
      <c:pivotFmt>
        <c:idx val="346"/>
      </c:pivotFmt>
      <c:pivotFmt>
        <c:idx val="347"/>
      </c:pivotFmt>
      <c:pivotFmt>
        <c:idx val="348"/>
      </c:pivotFmt>
      <c:pivotFmt>
        <c:idx val="349"/>
      </c:pivotFmt>
      <c:pivotFmt>
        <c:idx val="350"/>
      </c:pivotFmt>
      <c:pivotFmt>
        <c:idx val="351"/>
      </c:pivotFmt>
      <c:pivotFmt>
        <c:idx val="352"/>
      </c:pivotFmt>
      <c:pivotFmt>
        <c:idx val="353"/>
      </c:pivotFmt>
      <c:pivotFmt>
        <c:idx val="354"/>
      </c:pivotFmt>
      <c:pivotFmt>
        <c:idx val="355"/>
      </c:pivotFmt>
      <c:pivotFmt>
        <c:idx val="356"/>
      </c:pivotFmt>
      <c:pivotFmt>
        <c:idx val="357"/>
      </c:pivotFmt>
      <c:pivotFmt>
        <c:idx val="358"/>
      </c:pivotFmt>
      <c:pivotFmt>
        <c:idx val="359"/>
      </c:pivotFmt>
      <c:pivotFmt>
        <c:idx val="360"/>
      </c:pivotFmt>
      <c:pivotFmt>
        <c:idx val="361"/>
      </c:pivotFmt>
      <c:pivotFmt>
        <c:idx val="362"/>
      </c:pivotFmt>
      <c:pivotFmt>
        <c:idx val="363"/>
      </c:pivotFmt>
      <c:pivotFmt>
        <c:idx val="364"/>
      </c:pivotFmt>
      <c:pivotFmt>
        <c:idx val="365"/>
      </c:pivotFmt>
      <c:pivotFmt>
        <c:idx val="366"/>
      </c:pivotFmt>
      <c:pivotFmt>
        <c:idx val="367"/>
      </c:pivotFmt>
      <c:pivotFmt>
        <c:idx val="368"/>
      </c:pivotFmt>
      <c:pivotFmt>
        <c:idx val="369"/>
      </c:pivotFmt>
      <c:pivotFmt>
        <c:idx val="370"/>
      </c:pivotFmt>
      <c:pivotFmt>
        <c:idx val="371"/>
      </c:pivotFmt>
      <c:pivotFmt>
        <c:idx val="372"/>
      </c:pivotFmt>
      <c:pivotFmt>
        <c:idx val="373"/>
      </c:pivotFmt>
      <c:pivotFmt>
        <c:idx val="374"/>
      </c:pivotFmt>
      <c:pivotFmt>
        <c:idx val="375"/>
      </c:pivotFmt>
      <c:pivotFmt>
        <c:idx val="376"/>
      </c:pivotFmt>
      <c:pivotFmt>
        <c:idx val="377"/>
      </c:pivotFmt>
      <c:pivotFmt>
        <c:idx val="378"/>
      </c:pivotFmt>
      <c:pivotFmt>
        <c:idx val="379"/>
      </c:pivotFmt>
      <c:pivotFmt>
        <c:idx val="380"/>
      </c:pivotFmt>
      <c:pivotFmt>
        <c:idx val="381"/>
      </c:pivotFmt>
      <c:pivotFmt>
        <c:idx val="382"/>
      </c:pivotFmt>
      <c:pivotFmt>
        <c:idx val="383"/>
      </c:pivotFmt>
      <c:pivotFmt>
        <c:idx val="384"/>
      </c:pivotFmt>
      <c:pivotFmt>
        <c:idx val="385"/>
      </c:pivotFmt>
      <c:pivotFmt>
        <c:idx val="386"/>
      </c:pivotFmt>
      <c:pivotFmt>
        <c:idx val="387"/>
      </c:pivotFmt>
      <c:pivotFmt>
        <c:idx val="388"/>
      </c:pivotFmt>
      <c:pivotFmt>
        <c:idx val="389"/>
      </c:pivotFmt>
      <c:pivotFmt>
        <c:idx val="390"/>
      </c:pivotFmt>
      <c:pivotFmt>
        <c:idx val="391"/>
      </c:pivotFmt>
      <c:pivotFmt>
        <c:idx val="392"/>
      </c:pivotFmt>
      <c:pivotFmt>
        <c:idx val="393"/>
      </c:pivotFmt>
      <c:pivotFmt>
        <c:idx val="394"/>
      </c:pivotFmt>
      <c:pivotFmt>
        <c:idx val="395"/>
      </c:pivotFmt>
      <c:pivotFmt>
        <c:idx val="396"/>
      </c:pivotFmt>
      <c:pivotFmt>
        <c:idx val="397"/>
      </c:pivotFmt>
      <c:pivotFmt>
        <c:idx val="398"/>
      </c:pivotFmt>
      <c:pivotFmt>
        <c:idx val="399"/>
      </c:pivotFmt>
      <c:pivotFmt>
        <c:idx val="400"/>
      </c:pivotFmt>
      <c:pivotFmt>
        <c:idx val="401"/>
      </c:pivotFmt>
      <c:pivotFmt>
        <c:idx val="402"/>
      </c:pivotFmt>
      <c:pivotFmt>
        <c:idx val="403"/>
      </c:pivotFmt>
      <c:pivotFmt>
        <c:idx val="404"/>
      </c:pivotFmt>
      <c:pivotFmt>
        <c:idx val="405"/>
      </c:pivotFmt>
      <c:pivotFmt>
        <c:idx val="406"/>
      </c:pivotFmt>
      <c:pivotFmt>
        <c:idx val="407"/>
      </c:pivotFmt>
      <c:pivotFmt>
        <c:idx val="408"/>
      </c:pivotFmt>
      <c:pivotFmt>
        <c:idx val="409"/>
      </c:pivotFmt>
      <c:pivotFmt>
        <c:idx val="410"/>
      </c:pivotFmt>
      <c:pivotFmt>
        <c:idx val="411"/>
      </c:pivotFmt>
      <c:pivotFmt>
        <c:idx val="412"/>
      </c:pivotFmt>
      <c:pivotFmt>
        <c:idx val="413"/>
      </c:pivotFmt>
      <c:pivotFmt>
        <c:idx val="414"/>
      </c:pivotFmt>
      <c:pivotFmt>
        <c:idx val="415"/>
      </c:pivotFmt>
      <c:pivotFmt>
        <c:idx val="416"/>
      </c:pivotFmt>
      <c:pivotFmt>
        <c:idx val="417"/>
      </c:pivotFmt>
      <c:pivotFmt>
        <c:idx val="418"/>
      </c:pivotFmt>
      <c:pivotFmt>
        <c:idx val="419"/>
      </c:pivotFmt>
      <c:pivotFmt>
        <c:idx val="420"/>
      </c:pivotFmt>
      <c:pivotFmt>
        <c:idx val="421"/>
      </c:pivotFmt>
      <c:pivotFmt>
        <c:idx val="422"/>
      </c:pivotFmt>
      <c:pivotFmt>
        <c:idx val="423"/>
      </c:pivotFmt>
      <c:pivotFmt>
        <c:idx val="424"/>
      </c:pivotFmt>
      <c:pivotFmt>
        <c:idx val="425"/>
      </c:pivotFmt>
      <c:pivotFmt>
        <c:idx val="426"/>
      </c:pivotFmt>
      <c:pivotFmt>
        <c:idx val="427"/>
      </c:pivotFmt>
      <c:pivotFmt>
        <c:idx val="428"/>
      </c:pivotFmt>
      <c:pivotFmt>
        <c:idx val="429"/>
      </c:pivotFmt>
      <c:pivotFmt>
        <c:idx val="430"/>
      </c:pivotFmt>
      <c:pivotFmt>
        <c:idx val="431"/>
      </c:pivotFmt>
      <c:pivotFmt>
        <c:idx val="432"/>
      </c:pivotFmt>
      <c:pivotFmt>
        <c:idx val="433"/>
      </c:pivotFmt>
      <c:pivotFmt>
        <c:idx val="434"/>
        <c:marker>
          <c:symbol val="circle"/>
          <c:size val="7"/>
        </c:marker>
      </c:pivotFmt>
      <c:pivotFmt>
        <c:idx val="435"/>
      </c:pivotFmt>
      <c:pivotFmt>
        <c:idx val="436"/>
      </c:pivotFmt>
      <c:pivotFmt>
        <c:idx val="437"/>
      </c:pivotFmt>
      <c:pivotFmt>
        <c:idx val="438"/>
      </c:pivotFmt>
      <c:pivotFmt>
        <c:idx val="439"/>
      </c:pivotFmt>
      <c:pivotFmt>
        <c:idx val="440"/>
      </c:pivotFmt>
      <c:pivotFmt>
        <c:idx val="441"/>
      </c:pivotFmt>
      <c:pivotFmt>
        <c:idx val="442"/>
      </c:pivotFmt>
      <c:pivotFmt>
        <c:idx val="443"/>
      </c:pivotFmt>
      <c:pivotFmt>
        <c:idx val="444"/>
      </c:pivotFmt>
      <c:pivotFmt>
        <c:idx val="445"/>
      </c:pivotFmt>
      <c:pivotFmt>
        <c:idx val="446"/>
      </c:pivotFmt>
      <c:pivotFmt>
        <c:idx val="447"/>
      </c:pivotFmt>
      <c:pivotFmt>
        <c:idx val="448"/>
      </c:pivotFmt>
      <c:pivotFmt>
        <c:idx val="449"/>
      </c:pivotFmt>
      <c:pivotFmt>
        <c:idx val="450"/>
      </c:pivotFmt>
      <c:pivotFmt>
        <c:idx val="451"/>
      </c:pivotFmt>
      <c:pivotFmt>
        <c:idx val="452"/>
      </c:pivotFmt>
      <c:pivotFmt>
        <c:idx val="453"/>
      </c:pivotFmt>
      <c:pivotFmt>
        <c:idx val="454"/>
      </c:pivotFmt>
      <c:pivotFmt>
        <c:idx val="455"/>
      </c:pivotFmt>
      <c:pivotFmt>
        <c:idx val="456"/>
      </c:pivotFmt>
      <c:pivotFmt>
        <c:idx val="457"/>
      </c:pivotFmt>
      <c:pivotFmt>
        <c:idx val="458"/>
      </c:pivotFmt>
      <c:pivotFmt>
        <c:idx val="459"/>
      </c:pivotFmt>
      <c:pivotFmt>
        <c:idx val="460"/>
      </c:pivotFmt>
      <c:pivotFmt>
        <c:idx val="461"/>
      </c:pivotFmt>
      <c:pivotFmt>
        <c:idx val="462"/>
      </c:pivotFmt>
      <c:pivotFmt>
        <c:idx val="463"/>
      </c:pivotFmt>
      <c:pivotFmt>
        <c:idx val="464"/>
      </c:pivotFmt>
      <c:pivotFmt>
        <c:idx val="465"/>
      </c:pivotFmt>
      <c:pivotFmt>
        <c:idx val="466"/>
      </c:pivotFmt>
      <c:pivotFmt>
        <c:idx val="467"/>
      </c:pivotFmt>
      <c:pivotFmt>
        <c:idx val="468"/>
      </c:pivotFmt>
      <c:pivotFmt>
        <c:idx val="469"/>
        <c:spPr>
          <a:ln w="38100">
            <a:solidFill>
              <a:schemeClr val="tx1"/>
            </a:solidFill>
          </a:ln>
        </c:spPr>
        <c:marker>
          <c:symbol val="circle"/>
          <c:size val="7"/>
          <c:spPr>
            <a:solidFill>
              <a:schemeClr val="tx1"/>
            </a:solidFill>
          </c:spPr>
        </c:marker>
      </c:pivotFmt>
      <c:pivotFmt>
        <c:idx val="470"/>
      </c:pivotFmt>
      <c:pivotFmt>
        <c:idx val="471"/>
      </c:pivotFmt>
      <c:pivotFmt>
        <c:idx val="472"/>
      </c:pivotFmt>
      <c:pivotFmt>
        <c:idx val="473"/>
      </c:pivotFmt>
      <c:pivotFmt>
        <c:idx val="474"/>
      </c:pivotFmt>
      <c:pivotFmt>
        <c:idx val="475"/>
      </c:pivotFmt>
      <c:pivotFmt>
        <c:idx val="476"/>
      </c:pivotFmt>
      <c:pivotFmt>
        <c:idx val="477"/>
      </c:pivotFmt>
      <c:pivotFmt>
        <c:idx val="478"/>
      </c:pivotFmt>
      <c:pivotFmt>
        <c:idx val="479"/>
      </c:pivotFmt>
      <c:pivotFmt>
        <c:idx val="480"/>
      </c:pivotFmt>
      <c:pivotFmt>
        <c:idx val="481"/>
      </c:pivotFmt>
      <c:pivotFmt>
        <c:idx val="482"/>
      </c:pivotFmt>
      <c:pivotFmt>
        <c:idx val="483"/>
      </c:pivotFmt>
      <c:pivotFmt>
        <c:idx val="484"/>
      </c:pivotFmt>
      <c:pivotFmt>
        <c:idx val="485"/>
      </c:pivotFmt>
      <c:pivotFmt>
        <c:idx val="486"/>
      </c:pivotFmt>
      <c:pivotFmt>
        <c:idx val="487"/>
      </c:pivotFmt>
      <c:pivotFmt>
        <c:idx val="488"/>
      </c:pivotFmt>
      <c:pivotFmt>
        <c:idx val="489"/>
      </c:pivotFmt>
      <c:pivotFmt>
        <c:idx val="490"/>
      </c:pivotFmt>
      <c:pivotFmt>
        <c:idx val="491"/>
      </c:pivotFmt>
      <c:pivotFmt>
        <c:idx val="492"/>
      </c:pivotFmt>
      <c:pivotFmt>
        <c:idx val="493"/>
      </c:pivotFmt>
      <c:pivotFmt>
        <c:idx val="494"/>
      </c:pivotFmt>
      <c:pivotFmt>
        <c:idx val="495"/>
      </c:pivotFmt>
      <c:pivotFmt>
        <c:idx val="496"/>
      </c:pivotFmt>
      <c:pivotFmt>
        <c:idx val="497"/>
      </c:pivotFmt>
      <c:pivotFmt>
        <c:idx val="498"/>
      </c:pivotFmt>
      <c:pivotFmt>
        <c:idx val="499"/>
      </c:pivotFmt>
      <c:pivotFmt>
        <c:idx val="500"/>
      </c:pivotFmt>
      <c:pivotFmt>
        <c:idx val="501"/>
      </c:pivotFmt>
      <c:pivotFmt>
        <c:idx val="502"/>
      </c:pivotFmt>
      <c:pivotFmt>
        <c:idx val="503"/>
      </c:pivotFmt>
      <c:pivotFmt>
        <c:idx val="504"/>
      </c:pivotFmt>
      <c:pivotFmt>
        <c:idx val="505"/>
      </c:pivotFmt>
      <c:pivotFmt>
        <c:idx val="506"/>
      </c:pivotFmt>
      <c:pivotFmt>
        <c:idx val="507"/>
      </c:pivotFmt>
      <c:pivotFmt>
        <c:idx val="508"/>
      </c:pivotFmt>
      <c:pivotFmt>
        <c:idx val="509"/>
      </c:pivotFmt>
      <c:pivotFmt>
        <c:idx val="510"/>
      </c:pivotFmt>
      <c:pivotFmt>
        <c:idx val="511"/>
      </c:pivotFmt>
      <c:pivotFmt>
        <c:idx val="512"/>
      </c:pivotFmt>
      <c:pivotFmt>
        <c:idx val="513"/>
      </c:pivotFmt>
      <c:pivotFmt>
        <c:idx val="514"/>
      </c:pivotFmt>
      <c:pivotFmt>
        <c:idx val="515"/>
      </c:pivotFmt>
      <c:pivotFmt>
        <c:idx val="516"/>
      </c:pivotFmt>
      <c:pivotFmt>
        <c:idx val="517"/>
      </c:pivotFmt>
      <c:pivotFmt>
        <c:idx val="518"/>
      </c:pivotFmt>
      <c:pivotFmt>
        <c:idx val="519"/>
      </c:pivotFmt>
      <c:pivotFmt>
        <c:idx val="520"/>
      </c:pivotFmt>
      <c:pivotFmt>
        <c:idx val="521"/>
      </c:pivotFmt>
      <c:pivotFmt>
        <c:idx val="522"/>
      </c:pivotFmt>
      <c:pivotFmt>
        <c:idx val="523"/>
      </c:pivotFmt>
      <c:pivotFmt>
        <c:idx val="524"/>
      </c:pivotFmt>
      <c:pivotFmt>
        <c:idx val="525"/>
      </c:pivotFmt>
      <c:pivotFmt>
        <c:idx val="526"/>
      </c:pivotFmt>
      <c:pivotFmt>
        <c:idx val="527"/>
      </c:pivotFmt>
      <c:pivotFmt>
        <c:idx val="528"/>
      </c:pivotFmt>
      <c:pivotFmt>
        <c:idx val="529"/>
      </c:pivotFmt>
      <c:pivotFmt>
        <c:idx val="530"/>
      </c:pivotFmt>
      <c:pivotFmt>
        <c:idx val="531"/>
      </c:pivotFmt>
      <c:pivotFmt>
        <c:idx val="532"/>
      </c:pivotFmt>
      <c:pivotFmt>
        <c:idx val="533"/>
        <c:spPr>
          <a:ln w="38100">
            <a:solidFill>
              <a:schemeClr val="tx1"/>
            </a:solidFill>
          </a:ln>
        </c:spPr>
        <c:marker>
          <c:symbol val="circle"/>
          <c:size val="7"/>
          <c:spPr>
            <a:solidFill>
              <a:schemeClr val="tx1"/>
            </a:solidFill>
          </c:spPr>
        </c:marker>
      </c:pivotFmt>
      <c:pivotFmt>
        <c:idx val="534"/>
      </c:pivotFmt>
      <c:pivotFmt>
        <c:idx val="535"/>
      </c:pivotFmt>
      <c:pivotFmt>
        <c:idx val="536"/>
      </c:pivotFmt>
      <c:pivotFmt>
        <c:idx val="537"/>
      </c:pivotFmt>
      <c:pivotFmt>
        <c:idx val="538"/>
      </c:pivotFmt>
      <c:pivotFmt>
        <c:idx val="539"/>
      </c:pivotFmt>
      <c:pivotFmt>
        <c:idx val="540"/>
      </c:pivotFmt>
      <c:pivotFmt>
        <c:idx val="541"/>
      </c:pivotFmt>
      <c:pivotFmt>
        <c:idx val="542"/>
      </c:pivotFmt>
      <c:pivotFmt>
        <c:idx val="543"/>
      </c:pivotFmt>
      <c:pivotFmt>
        <c:idx val="544"/>
      </c:pivotFmt>
      <c:pivotFmt>
        <c:idx val="545"/>
      </c:pivotFmt>
      <c:pivotFmt>
        <c:idx val="546"/>
      </c:pivotFmt>
      <c:pivotFmt>
        <c:idx val="547"/>
      </c:pivotFmt>
      <c:pivotFmt>
        <c:idx val="548"/>
      </c:pivotFmt>
      <c:pivotFmt>
        <c:idx val="549"/>
      </c:pivotFmt>
      <c:pivotFmt>
        <c:idx val="550"/>
      </c:pivotFmt>
      <c:pivotFmt>
        <c:idx val="551"/>
      </c:pivotFmt>
      <c:pivotFmt>
        <c:idx val="552"/>
      </c:pivotFmt>
      <c:pivotFmt>
        <c:idx val="553"/>
      </c:pivotFmt>
      <c:pivotFmt>
        <c:idx val="554"/>
      </c:pivotFmt>
      <c:pivotFmt>
        <c:idx val="555"/>
      </c:pivotFmt>
      <c:pivotFmt>
        <c:idx val="556"/>
      </c:pivotFmt>
      <c:pivotFmt>
        <c:idx val="557"/>
      </c:pivotFmt>
      <c:pivotFmt>
        <c:idx val="558"/>
      </c:pivotFmt>
      <c:pivotFmt>
        <c:idx val="559"/>
      </c:pivotFmt>
      <c:pivotFmt>
        <c:idx val="560"/>
      </c:pivotFmt>
      <c:pivotFmt>
        <c:idx val="561"/>
      </c:pivotFmt>
      <c:pivotFmt>
        <c:idx val="562"/>
      </c:pivotFmt>
      <c:pivotFmt>
        <c:idx val="563"/>
      </c:pivotFmt>
      <c:pivotFmt>
        <c:idx val="564"/>
      </c:pivotFmt>
      <c:pivotFmt>
        <c:idx val="565"/>
      </c:pivotFmt>
      <c:pivotFmt>
        <c:idx val="566"/>
        <c:spPr>
          <a:ln w="38100">
            <a:solidFill>
              <a:schemeClr val="tx1"/>
            </a:solidFill>
          </a:ln>
        </c:spPr>
        <c:marker>
          <c:symbol val="circle"/>
          <c:size val="7"/>
          <c:spPr>
            <a:solidFill>
              <a:schemeClr val="tx1"/>
            </a:solidFill>
          </c:spPr>
        </c:marker>
      </c:pivotFmt>
      <c:pivotFmt>
        <c:idx val="567"/>
      </c:pivotFmt>
      <c:pivotFmt>
        <c:idx val="568"/>
      </c:pivotFmt>
    </c:pivotFmts>
    <c:plotArea>
      <c:layout/>
      <c:lineChart>
        <c:grouping val="standard"/>
        <c:varyColors val="0"/>
        <c:ser>
          <c:idx val="0"/>
          <c:order val="0"/>
          <c:tx>
            <c:strRef>
              <c:f>'Pivot tables'!$B$640:$B$641</c:f>
              <c:strCache>
                <c:ptCount val="1"/>
                <c:pt idx="0">
                  <c:v>010616b061</c:v>
                </c:pt>
              </c:strCache>
            </c:strRef>
          </c:tx>
          <c:cat>
            <c:strRef>
              <c:f>'Pivot tables'!$A$642:$A$646</c:f>
              <c:strCache>
                <c:ptCount val="4"/>
                <c:pt idx="0">
                  <c:v>pre</c:v>
                </c:pt>
                <c:pt idx="1">
                  <c:v>2yr</c:v>
                </c:pt>
                <c:pt idx="2">
                  <c:v>5yr</c:v>
                </c:pt>
                <c:pt idx="3">
                  <c:v>8yr</c:v>
                </c:pt>
              </c:strCache>
            </c:strRef>
          </c:cat>
          <c:val>
            <c:numRef>
              <c:f>'Pivot tables'!$B$642:$B$646</c:f>
              <c:numCache>
                <c:formatCode>General</c:formatCode>
                <c:ptCount val="4"/>
                <c:pt idx="0">
                  <c:v>12.009992296199998</c:v>
                </c:pt>
                <c:pt idx="1">
                  <c:v>13.032583389166666</c:v>
                </c:pt>
                <c:pt idx="2">
                  <c:v>15.845716569650001</c:v>
                </c:pt>
                <c:pt idx="3">
                  <c:v>19.199284527133333</c:v>
                </c:pt>
              </c:numCache>
            </c:numRef>
          </c:val>
          <c:smooth val="0"/>
        </c:ser>
        <c:ser>
          <c:idx val="1"/>
          <c:order val="1"/>
          <c:tx>
            <c:strRef>
              <c:f>'Pivot tables'!$C$640:$C$641</c:f>
              <c:strCache>
                <c:ptCount val="1"/>
                <c:pt idx="0">
                  <c:v>960905m314</c:v>
                </c:pt>
              </c:strCache>
            </c:strRef>
          </c:tx>
          <c:cat>
            <c:strRef>
              <c:f>'Pivot tables'!$A$642:$A$646</c:f>
              <c:strCache>
                <c:ptCount val="4"/>
                <c:pt idx="0">
                  <c:v>pre</c:v>
                </c:pt>
                <c:pt idx="1">
                  <c:v>2yr</c:v>
                </c:pt>
                <c:pt idx="2">
                  <c:v>5yr</c:v>
                </c:pt>
                <c:pt idx="3">
                  <c:v>8yr</c:v>
                </c:pt>
              </c:strCache>
            </c:strRef>
          </c:cat>
          <c:val>
            <c:numRef>
              <c:f>'Pivot tables'!$C$642:$C$646</c:f>
              <c:numCache>
                <c:formatCode>General</c:formatCode>
                <c:ptCount val="4"/>
                <c:pt idx="0">
                  <c:v>22.875005942575001</c:v>
                </c:pt>
                <c:pt idx="1">
                  <c:v>9.3032074925000003</c:v>
                </c:pt>
                <c:pt idx="2">
                  <c:v>9.4141752414500015</c:v>
                </c:pt>
                <c:pt idx="3">
                  <c:v>10.800840720866667</c:v>
                </c:pt>
              </c:numCache>
            </c:numRef>
          </c:val>
          <c:smooth val="0"/>
        </c:ser>
        <c:ser>
          <c:idx val="2"/>
          <c:order val="2"/>
          <c:tx>
            <c:strRef>
              <c:f>'Pivot tables'!$D$640:$D$641</c:f>
              <c:strCache>
                <c:ptCount val="1"/>
                <c:pt idx="0">
                  <c:v>970602m038</c:v>
                </c:pt>
              </c:strCache>
            </c:strRef>
          </c:tx>
          <c:cat>
            <c:strRef>
              <c:f>'Pivot tables'!$A$642:$A$646</c:f>
              <c:strCache>
                <c:ptCount val="4"/>
                <c:pt idx="0">
                  <c:v>pre</c:v>
                </c:pt>
                <c:pt idx="1">
                  <c:v>2yr</c:v>
                </c:pt>
                <c:pt idx="2">
                  <c:v>5yr</c:v>
                </c:pt>
                <c:pt idx="3">
                  <c:v>8yr</c:v>
                </c:pt>
              </c:strCache>
            </c:strRef>
          </c:cat>
          <c:val>
            <c:numRef>
              <c:f>'Pivot tables'!$D$642:$D$646</c:f>
              <c:numCache>
                <c:formatCode>General</c:formatCode>
                <c:ptCount val="4"/>
                <c:pt idx="0">
                  <c:v>9.3617570414200006</c:v>
                </c:pt>
                <c:pt idx="1">
                  <c:v>17.982551005066664</c:v>
                </c:pt>
                <c:pt idx="2">
                  <c:v>15.95686342734</c:v>
                </c:pt>
                <c:pt idx="3">
                  <c:v>7.8274513670285719</c:v>
                </c:pt>
              </c:numCache>
            </c:numRef>
          </c:val>
          <c:smooth val="0"/>
        </c:ser>
        <c:ser>
          <c:idx val="3"/>
          <c:order val="3"/>
          <c:tx>
            <c:strRef>
              <c:f>'Pivot tables'!$E$640:$E$641</c:f>
              <c:strCache>
                <c:ptCount val="1"/>
                <c:pt idx="0">
                  <c:v>901117v039</c:v>
                </c:pt>
              </c:strCache>
            </c:strRef>
          </c:tx>
          <c:cat>
            <c:strRef>
              <c:f>'Pivot tables'!$A$642:$A$646</c:f>
              <c:strCache>
                <c:ptCount val="4"/>
                <c:pt idx="0">
                  <c:v>pre</c:v>
                </c:pt>
                <c:pt idx="1">
                  <c:v>2yr</c:v>
                </c:pt>
                <c:pt idx="2">
                  <c:v>5yr</c:v>
                </c:pt>
                <c:pt idx="3">
                  <c:v>8yr</c:v>
                </c:pt>
              </c:strCache>
            </c:strRef>
          </c:cat>
          <c:val>
            <c:numRef>
              <c:f>'Pivot tables'!$E$642:$E$646</c:f>
              <c:numCache>
                <c:formatCode>General</c:formatCode>
                <c:ptCount val="4"/>
                <c:pt idx="0">
                  <c:v>16.956821237566668</c:v>
                </c:pt>
                <c:pt idx="2">
                  <c:v>7.2955841438285711</c:v>
                </c:pt>
              </c:numCache>
            </c:numRef>
          </c:val>
          <c:smooth val="0"/>
        </c:ser>
        <c:ser>
          <c:idx val="4"/>
          <c:order val="4"/>
          <c:tx>
            <c:strRef>
              <c:f>'Pivot tables'!$F$640:$F$641</c:f>
              <c:strCache>
                <c:ptCount val="1"/>
                <c:pt idx="0">
                  <c:v>991112v027</c:v>
                </c:pt>
              </c:strCache>
            </c:strRef>
          </c:tx>
          <c:cat>
            <c:strRef>
              <c:f>'Pivot tables'!$A$642:$A$646</c:f>
              <c:strCache>
                <c:ptCount val="4"/>
                <c:pt idx="0">
                  <c:v>pre</c:v>
                </c:pt>
                <c:pt idx="1">
                  <c:v>2yr</c:v>
                </c:pt>
                <c:pt idx="2">
                  <c:v>5yr</c:v>
                </c:pt>
                <c:pt idx="3">
                  <c:v>8yr</c:v>
                </c:pt>
              </c:strCache>
            </c:strRef>
          </c:cat>
          <c:val>
            <c:numRef>
              <c:f>'Pivot tables'!$F$642:$F$646</c:f>
              <c:numCache>
                <c:formatCode>General</c:formatCode>
                <c:ptCount val="4"/>
                <c:pt idx="0">
                  <c:v>20.305503861866665</c:v>
                </c:pt>
                <c:pt idx="1">
                  <c:v>9.0084432393571436</c:v>
                </c:pt>
                <c:pt idx="2">
                  <c:v>17.96957622935</c:v>
                </c:pt>
                <c:pt idx="3">
                  <c:v>15.653804395757145</c:v>
                </c:pt>
              </c:numCache>
            </c:numRef>
          </c:val>
          <c:smooth val="0"/>
        </c:ser>
        <c:ser>
          <c:idx val="5"/>
          <c:order val="5"/>
          <c:tx>
            <c:strRef>
              <c:f>'Pivot tables'!$G$640:$G$641</c:f>
              <c:strCache>
                <c:ptCount val="1"/>
                <c:pt idx="0">
                  <c:v>910507m071</c:v>
                </c:pt>
              </c:strCache>
            </c:strRef>
          </c:tx>
          <c:cat>
            <c:strRef>
              <c:f>'Pivot tables'!$A$642:$A$646</c:f>
              <c:strCache>
                <c:ptCount val="4"/>
                <c:pt idx="0">
                  <c:v>pre</c:v>
                </c:pt>
                <c:pt idx="1">
                  <c:v>2yr</c:v>
                </c:pt>
                <c:pt idx="2">
                  <c:v>5yr</c:v>
                </c:pt>
                <c:pt idx="3">
                  <c:v>8yr</c:v>
                </c:pt>
              </c:strCache>
            </c:strRef>
          </c:cat>
          <c:val>
            <c:numRef>
              <c:f>'Pivot tables'!$G$642:$G$646</c:f>
              <c:numCache>
                <c:formatCode>General</c:formatCode>
                <c:ptCount val="4"/>
                <c:pt idx="0">
                  <c:v>8.4305607534625011</c:v>
                </c:pt>
                <c:pt idx="1">
                  <c:v>14.533220652300001</c:v>
                </c:pt>
                <c:pt idx="3">
                  <c:v>17.463075732775</c:v>
                </c:pt>
              </c:numCache>
            </c:numRef>
          </c:val>
          <c:smooth val="0"/>
        </c:ser>
        <c:ser>
          <c:idx val="6"/>
          <c:order val="6"/>
          <c:tx>
            <c:strRef>
              <c:f>'Pivot tables'!$H$640:$H$641</c:f>
              <c:strCache>
                <c:ptCount val="1"/>
                <c:pt idx="0">
                  <c:v>921107v089</c:v>
                </c:pt>
              </c:strCache>
            </c:strRef>
          </c:tx>
          <c:cat>
            <c:strRef>
              <c:f>'Pivot tables'!$A$642:$A$646</c:f>
              <c:strCache>
                <c:ptCount val="4"/>
                <c:pt idx="0">
                  <c:v>pre</c:v>
                </c:pt>
                <c:pt idx="1">
                  <c:v>2yr</c:v>
                </c:pt>
                <c:pt idx="2">
                  <c:v>5yr</c:v>
                </c:pt>
                <c:pt idx="3">
                  <c:v>8yr</c:v>
                </c:pt>
              </c:strCache>
            </c:strRef>
          </c:cat>
          <c:val>
            <c:numRef>
              <c:f>'Pivot tables'!$H$642:$H$646</c:f>
              <c:numCache>
                <c:formatCode>General</c:formatCode>
                <c:ptCount val="4"/>
                <c:pt idx="0">
                  <c:v>21.367485820233334</c:v>
                </c:pt>
                <c:pt idx="1">
                  <c:v>7.3233361688</c:v>
                </c:pt>
                <c:pt idx="3">
                  <c:v>8.7022421150000007</c:v>
                </c:pt>
              </c:numCache>
            </c:numRef>
          </c:val>
          <c:smooth val="0"/>
        </c:ser>
        <c:ser>
          <c:idx val="7"/>
          <c:order val="7"/>
          <c:tx>
            <c:strRef>
              <c:f>'Pivot tables'!$I$640:$I$641</c:f>
              <c:strCache>
                <c:ptCount val="1"/>
                <c:pt idx="0">
                  <c:v>921013m117</c:v>
                </c:pt>
              </c:strCache>
            </c:strRef>
          </c:tx>
          <c:cat>
            <c:strRef>
              <c:f>'Pivot tables'!$A$642:$A$646</c:f>
              <c:strCache>
                <c:ptCount val="4"/>
                <c:pt idx="0">
                  <c:v>pre</c:v>
                </c:pt>
                <c:pt idx="1">
                  <c:v>2yr</c:v>
                </c:pt>
                <c:pt idx="2">
                  <c:v>5yr</c:v>
                </c:pt>
                <c:pt idx="3">
                  <c:v>8yr</c:v>
                </c:pt>
              </c:strCache>
            </c:strRef>
          </c:cat>
          <c:val>
            <c:numRef>
              <c:f>'Pivot tables'!$I$642:$I$646</c:f>
              <c:numCache>
                <c:formatCode>General</c:formatCode>
                <c:ptCount val="4"/>
                <c:pt idx="0">
                  <c:v>25.121586881420001</c:v>
                </c:pt>
                <c:pt idx="1">
                  <c:v>16.450541250033336</c:v>
                </c:pt>
                <c:pt idx="3">
                  <c:v>16.575921556916668</c:v>
                </c:pt>
              </c:numCache>
            </c:numRef>
          </c:val>
          <c:smooth val="0"/>
        </c:ser>
        <c:ser>
          <c:idx val="8"/>
          <c:order val="8"/>
          <c:tx>
            <c:strRef>
              <c:f>'Pivot tables'!$J$640:$J$641</c:f>
              <c:strCache>
                <c:ptCount val="1"/>
                <c:pt idx="0">
                  <c:v>981222v116</c:v>
                </c:pt>
              </c:strCache>
            </c:strRef>
          </c:tx>
          <c:cat>
            <c:strRef>
              <c:f>'Pivot tables'!$A$642:$A$646</c:f>
              <c:strCache>
                <c:ptCount val="4"/>
                <c:pt idx="0">
                  <c:v>pre</c:v>
                </c:pt>
                <c:pt idx="1">
                  <c:v>2yr</c:v>
                </c:pt>
                <c:pt idx="2">
                  <c:v>5yr</c:v>
                </c:pt>
                <c:pt idx="3">
                  <c:v>8yr</c:v>
                </c:pt>
              </c:strCache>
            </c:strRef>
          </c:cat>
          <c:val>
            <c:numRef>
              <c:f>'Pivot tables'!$J$642:$J$646</c:f>
              <c:numCache>
                <c:formatCode>General</c:formatCode>
                <c:ptCount val="4"/>
                <c:pt idx="0">
                  <c:v>21.085051726099998</c:v>
                </c:pt>
                <c:pt idx="2">
                  <c:v>10.94231029398</c:v>
                </c:pt>
                <c:pt idx="3">
                  <c:v>7.669345368500001</c:v>
                </c:pt>
              </c:numCache>
            </c:numRef>
          </c:val>
          <c:smooth val="0"/>
        </c:ser>
        <c:ser>
          <c:idx val="9"/>
          <c:order val="9"/>
          <c:tx>
            <c:strRef>
              <c:f>'Pivot tables'!$K$640:$K$641</c:f>
              <c:strCache>
                <c:ptCount val="1"/>
                <c:pt idx="0">
                  <c:v>980310m240</c:v>
                </c:pt>
              </c:strCache>
            </c:strRef>
          </c:tx>
          <c:cat>
            <c:strRef>
              <c:f>'Pivot tables'!$A$642:$A$646</c:f>
              <c:strCache>
                <c:ptCount val="4"/>
                <c:pt idx="0">
                  <c:v>pre</c:v>
                </c:pt>
                <c:pt idx="1">
                  <c:v>2yr</c:v>
                </c:pt>
                <c:pt idx="2">
                  <c:v>5yr</c:v>
                </c:pt>
                <c:pt idx="3">
                  <c:v>8yr</c:v>
                </c:pt>
              </c:strCache>
            </c:strRef>
          </c:cat>
          <c:val>
            <c:numRef>
              <c:f>'Pivot tables'!$K$642:$K$646</c:f>
              <c:numCache>
                <c:formatCode>General</c:formatCode>
                <c:ptCount val="4"/>
                <c:pt idx="0">
                  <c:v>30.339033328675001</c:v>
                </c:pt>
                <c:pt idx="1">
                  <c:v>6.5589899946000001</c:v>
                </c:pt>
                <c:pt idx="2">
                  <c:v>15.705296433857143</c:v>
                </c:pt>
              </c:numCache>
            </c:numRef>
          </c:val>
          <c:smooth val="0"/>
        </c:ser>
        <c:ser>
          <c:idx val="10"/>
          <c:order val="10"/>
          <c:tx>
            <c:strRef>
              <c:f>'Pivot tables'!$L$640:$L$641</c:f>
              <c:strCache>
                <c:ptCount val="1"/>
                <c:pt idx="0">
                  <c:v>990206m010</c:v>
                </c:pt>
              </c:strCache>
            </c:strRef>
          </c:tx>
          <c:cat>
            <c:strRef>
              <c:f>'Pivot tables'!$A$642:$A$646</c:f>
              <c:strCache>
                <c:ptCount val="4"/>
                <c:pt idx="0">
                  <c:v>pre</c:v>
                </c:pt>
                <c:pt idx="1">
                  <c:v>2yr</c:v>
                </c:pt>
                <c:pt idx="2">
                  <c:v>5yr</c:v>
                </c:pt>
                <c:pt idx="3">
                  <c:v>8yr</c:v>
                </c:pt>
              </c:strCache>
            </c:strRef>
          </c:cat>
          <c:val>
            <c:numRef>
              <c:f>'Pivot tables'!$L$642:$L$646</c:f>
              <c:numCache>
                <c:formatCode>General</c:formatCode>
                <c:ptCount val="4"/>
                <c:pt idx="0">
                  <c:v>26.867488616533333</c:v>
                </c:pt>
                <c:pt idx="1">
                  <c:v>12.970871825333333</c:v>
                </c:pt>
                <c:pt idx="2">
                  <c:v>14.144363560699999</c:v>
                </c:pt>
              </c:numCache>
            </c:numRef>
          </c:val>
          <c:smooth val="0"/>
        </c:ser>
        <c:ser>
          <c:idx val="11"/>
          <c:order val="11"/>
          <c:tx>
            <c:strRef>
              <c:f>'Pivot tables'!$M$640:$M$641</c:f>
              <c:strCache>
                <c:ptCount val="1"/>
                <c:pt idx="0">
                  <c:v>941028m142</c:v>
                </c:pt>
              </c:strCache>
            </c:strRef>
          </c:tx>
          <c:cat>
            <c:strRef>
              <c:f>'Pivot tables'!$A$642:$A$646</c:f>
              <c:strCache>
                <c:ptCount val="4"/>
                <c:pt idx="0">
                  <c:v>pre</c:v>
                </c:pt>
                <c:pt idx="1">
                  <c:v>2yr</c:v>
                </c:pt>
                <c:pt idx="2">
                  <c:v>5yr</c:v>
                </c:pt>
                <c:pt idx="3">
                  <c:v>8yr</c:v>
                </c:pt>
              </c:strCache>
            </c:strRef>
          </c:cat>
          <c:val>
            <c:numRef>
              <c:f>'Pivot tables'!$M$642:$M$646</c:f>
              <c:numCache>
                <c:formatCode>General</c:formatCode>
                <c:ptCount val="4"/>
                <c:pt idx="0">
                  <c:v>5.6340077517500005</c:v>
                </c:pt>
                <c:pt idx="1">
                  <c:v>4.2209743715499997</c:v>
                </c:pt>
                <c:pt idx="2">
                  <c:v>5.0271590939833342</c:v>
                </c:pt>
                <c:pt idx="3">
                  <c:v>3.3539994758999998</c:v>
                </c:pt>
              </c:numCache>
            </c:numRef>
          </c:val>
          <c:smooth val="0"/>
        </c:ser>
        <c:ser>
          <c:idx val="12"/>
          <c:order val="12"/>
          <c:tx>
            <c:strRef>
              <c:f>'Pivot tables'!$N$640:$N$641</c:f>
              <c:strCache>
                <c:ptCount val="1"/>
                <c:pt idx="0">
                  <c:v>950921m174</c:v>
                </c:pt>
              </c:strCache>
            </c:strRef>
          </c:tx>
          <c:cat>
            <c:strRef>
              <c:f>'Pivot tables'!$A$642:$A$646</c:f>
              <c:strCache>
                <c:ptCount val="4"/>
                <c:pt idx="0">
                  <c:v>pre</c:v>
                </c:pt>
                <c:pt idx="1">
                  <c:v>2yr</c:v>
                </c:pt>
                <c:pt idx="2">
                  <c:v>5yr</c:v>
                </c:pt>
                <c:pt idx="3">
                  <c:v>8yr</c:v>
                </c:pt>
              </c:strCache>
            </c:strRef>
          </c:cat>
          <c:val>
            <c:numRef>
              <c:f>'Pivot tables'!$N$642:$N$646</c:f>
              <c:numCache>
                <c:formatCode>General</c:formatCode>
                <c:ptCount val="4"/>
                <c:pt idx="0">
                  <c:v>7.9037356800142859</c:v>
                </c:pt>
                <c:pt idx="1">
                  <c:v>8.4620431452166667</c:v>
                </c:pt>
                <c:pt idx="2">
                  <c:v>6.5875520267399992</c:v>
                </c:pt>
                <c:pt idx="3">
                  <c:v>4.793274100183333</c:v>
                </c:pt>
              </c:numCache>
            </c:numRef>
          </c:val>
          <c:smooth val="0"/>
        </c:ser>
        <c:ser>
          <c:idx val="13"/>
          <c:order val="13"/>
          <c:tx>
            <c:strRef>
              <c:f>'Pivot tables'!$O$640:$O$641</c:f>
              <c:strCache>
                <c:ptCount val="1"/>
                <c:pt idx="0">
                  <c:v>981228m104</c:v>
                </c:pt>
              </c:strCache>
            </c:strRef>
          </c:tx>
          <c:cat>
            <c:strRef>
              <c:f>'Pivot tables'!$A$642:$A$646</c:f>
              <c:strCache>
                <c:ptCount val="4"/>
                <c:pt idx="0">
                  <c:v>pre</c:v>
                </c:pt>
                <c:pt idx="1">
                  <c:v>2yr</c:v>
                </c:pt>
                <c:pt idx="2">
                  <c:v>5yr</c:v>
                </c:pt>
                <c:pt idx="3">
                  <c:v>8yr</c:v>
                </c:pt>
              </c:strCache>
            </c:strRef>
          </c:cat>
          <c:val>
            <c:numRef>
              <c:f>'Pivot tables'!$O$642:$O$646</c:f>
              <c:numCache>
                <c:formatCode>General</c:formatCode>
                <c:ptCount val="4"/>
                <c:pt idx="0">
                  <c:v>15.070085224849999</c:v>
                </c:pt>
                <c:pt idx="1">
                  <c:v>6.4788963045666668</c:v>
                </c:pt>
                <c:pt idx="2">
                  <c:v>8.4031891088000013</c:v>
                </c:pt>
                <c:pt idx="3">
                  <c:v>9.3916325991333327</c:v>
                </c:pt>
              </c:numCache>
            </c:numRef>
          </c:val>
          <c:smooth val="0"/>
        </c:ser>
        <c:ser>
          <c:idx val="14"/>
          <c:order val="14"/>
          <c:tx>
            <c:strRef>
              <c:f>'Pivot tables'!$P$640:$P$641</c:f>
              <c:strCache>
                <c:ptCount val="1"/>
                <c:pt idx="0">
                  <c:v>900219m048</c:v>
                </c:pt>
              </c:strCache>
            </c:strRef>
          </c:tx>
          <c:cat>
            <c:strRef>
              <c:f>'Pivot tables'!$A$642:$A$646</c:f>
              <c:strCache>
                <c:ptCount val="4"/>
                <c:pt idx="0">
                  <c:v>pre</c:v>
                </c:pt>
                <c:pt idx="1">
                  <c:v>2yr</c:v>
                </c:pt>
                <c:pt idx="2">
                  <c:v>5yr</c:v>
                </c:pt>
                <c:pt idx="3">
                  <c:v>8yr</c:v>
                </c:pt>
              </c:strCache>
            </c:strRef>
          </c:cat>
          <c:val>
            <c:numRef>
              <c:f>'Pivot tables'!$P$642:$P$646</c:f>
              <c:numCache>
                <c:formatCode>General</c:formatCode>
                <c:ptCount val="4"/>
                <c:pt idx="0">
                  <c:v>30.411933144822221</c:v>
                </c:pt>
                <c:pt idx="1">
                  <c:v>6.9868450770500008</c:v>
                </c:pt>
                <c:pt idx="3">
                  <c:v>12.492716862714287</c:v>
                </c:pt>
              </c:numCache>
            </c:numRef>
          </c:val>
          <c:smooth val="0"/>
        </c:ser>
        <c:ser>
          <c:idx val="15"/>
          <c:order val="15"/>
          <c:tx>
            <c:strRef>
              <c:f>'Pivot tables'!$Q$640:$Q$641</c:f>
              <c:strCache>
                <c:ptCount val="1"/>
                <c:pt idx="0">
                  <c:v>930219m144</c:v>
                </c:pt>
              </c:strCache>
            </c:strRef>
          </c:tx>
          <c:cat>
            <c:strRef>
              <c:f>'Pivot tables'!$A$642:$A$646</c:f>
              <c:strCache>
                <c:ptCount val="4"/>
                <c:pt idx="0">
                  <c:v>pre</c:v>
                </c:pt>
                <c:pt idx="1">
                  <c:v>2yr</c:v>
                </c:pt>
                <c:pt idx="2">
                  <c:v>5yr</c:v>
                </c:pt>
                <c:pt idx="3">
                  <c:v>8yr</c:v>
                </c:pt>
              </c:strCache>
            </c:strRef>
          </c:cat>
          <c:val>
            <c:numRef>
              <c:f>'Pivot tables'!$Q$642:$Q$646</c:f>
              <c:numCache>
                <c:formatCode>General</c:formatCode>
                <c:ptCount val="4"/>
                <c:pt idx="0">
                  <c:v>19.855563942988894</c:v>
                </c:pt>
                <c:pt idx="1">
                  <c:v>10.479088107866666</c:v>
                </c:pt>
                <c:pt idx="2">
                  <c:v>12.981269745699999</c:v>
                </c:pt>
                <c:pt idx="3">
                  <c:v>14.15911354204</c:v>
                </c:pt>
              </c:numCache>
            </c:numRef>
          </c:val>
          <c:smooth val="0"/>
        </c:ser>
        <c:ser>
          <c:idx val="16"/>
          <c:order val="16"/>
          <c:tx>
            <c:strRef>
              <c:f>'Pivot tables'!$R$640:$R$641</c:f>
              <c:strCache>
                <c:ptCount val="1"/>
                <c:pt idx="0">
                  <c:v>931013v114</c:v>
                </c:pt>
              </c:strCache>
            </c:strRef>
          </c:tx>
          <c:cat>
            <c:strRef>
              <c:f>'Pivot tables'!$A$642:$A$646</c:f>
              <c:strCache>
                <c:ptCount val="4"/>
                <c:pt idx="0">
                  <c:v>pre</c:v>
                </c:pt>
                <c:pt idx="1">
                  <c:v>2yr</c:v>
                </c:pt>
                <c:pt idx="2">
                  <c:v>5yr</c:v>
                </c:pt>
                <c:pt idx="3">
                  <c:v>8yr</c:v>
                </c:pt>
              </c:strCache>
            </c:strRef>
          </c:cat>
          <c:val>
            <c:numRef>
              <c:f>'Pivot tables'!$R$642:$R$646</c:f>
              <c:numCache>
                <c:formatCode>General</c:formatCode>
                <c:ptCount val="4"/>
                <c:pt idx="0">
                  <c:v>13.506138224933336</c:v>
                </c:pt>
                <c:pt idx="1">
                  <c:v>6.2756502331999995</c:v>
                </c:pt>
              </c:numCache>
            </c:numRef>
          </c:val>
          <c:smooth val="0"/>
        </c:ser>
        <c:ser>
          <c:idx val="17"/>
          <c:order val="17"/>
          <c:tx>
            <c:strRef>
              <c:f>'Pivot tables'!$S$640:$S$641</c:f>
              <c:strCache>
                <c:ptCount val="1"/>
                <c:pt idx="0">
                  <c:v>940223m261</c:v>
                </c:pt>
              </c:strCache>
            </c:strRef>
          </c:tx>
          <c:cat>
            <c:strRef>
              <c:f>'Pivot tables'!$A$642:$A$646</c:f>
              <c:strCache>
                <c:ptCount val="4"/>
                <c:pt idx="0">
                  <c:v>pre</c:v>
                </c:pt>
                <c:pt idx="1">
                  <c:v>2yr</c:v>
                </c:pt>
                <c:pt idx="2">
                  <c:v>5yr</c:v>
                </c:pt>
                <c:pt idx="3">
                  <c:v>8yr</c:v>
                </c:pt>
              </c:strCache>
            </c:strRef>
          </c:cat>
          <c:val>
            <c:numRef>
              <c:f>'Pivot tables'!$S$642:$S$646</c:f>
              <c:numCache>
                <c:formatCode>General</c:formatCode>
                <c:ptCount val="4"/>
                <c:pt idx="0">
                  <c:v>10.962499151075001</c:v>
                </c:pt>
                <c:pt idx="1">
                  <c:v>12.971218676266668</c:v>
                </c:pt>
                <c:pt idx="3">
                  <c:v>15.930140470783334</c:v>
                </c:pt>
              </c:numCache>
            </c:numRef>
          </c:val>
          <c:smooth val="0"/>
        </c:ser>
        <c:ser>
          <c:idx val="18"/>
          <c:order val="18"/>
          <c:tx>
            <c:strRef>
              <c:f>'Pivot tables'!$T$640:$T$641</c:f>
              <c:strCache>
                <c:ptCount val="1"/>
                <c:pt idx="0">
                  <c:v>950805m159</c:v>
                </c:pt>
              </c:strCache>
            </c:strRef>
          </c:tx>
          <c:cat>
            <c:strRef>
              <c:f>'Pivot tables'!$A$642:$A$646</c:f>
              <c:strCache>
                <c:ptCount val="4"/>
                <c:pt idx="0">
                  <c:v>pre</c:v>
                </c:pt>
                <c:pt idx="1">
                  <c:v>2yr</c:v>
                </c:pt>
                <c:pt idx="2">
                  <c:v>5yr</c:v>
                </c:pt>
                <c:pt idx="3">
                  <c:v>8yr</c:v>
                </c:pt>
              </c:strCache>
            </c:strRef>
          </c:cat>
          <c:val>
            <c:numRef>
              <c:f>'Pivot tables'!$T$642:$T$646</c:f>
              <c:numCache>
                <c:formatCode>General</c:formatCode>
                <c:ptCount val="4"/>
                <c:pt idx="0">
                  <c:v>10.372053542716666</c:v>
                </c:pt>
                <c:pt idx="1">
                  <c:v>7.6891776164199994</c:v>
                </c:pt>
                <c:pt idx="3">
                  <c:v>8.0319020375000001</c:v>
                </c:pt>
              </c:numCache>
            </c:numRef>
          </c:val>
          <c:smooth val="0"/>
        </c:ser>
        <c:ser>
          <c:idx val="19"/>
          <c:order val="19"/>
          <c:tx>
            <c:strRef>
              <c:f>'Pivot tables'!$U$640:$U$641</c:f>
              <c:strCache>
                <c:ptCount val="1"/>
                <c:pt idx="0">
                  <c:v>980325m116</c:v>
                </c:pt>
              </c:strCache>
            </c:strRef>
          </c:tx>
          <c:cat>
            <c:strRef>
              <c:f>'Pivot tables'!$A$642:$A$646</c:f>
              <c:strCache>
                <c:ptCount val="4"/>
                <c:pt idx="0">
                  <c:v>pre</c:v>
                </c:pt>
                <c:pt idx="1">
                  <c:v>2yr</c:v>
                </c:pt>
                <c:pt idx="2">
                  <c:v>5yr</c:v>
                </c:pt>
                <c:pt idx="3">
                  <c:v>8yr</c:v>
                </c:pt>
              </c:strCache>
            </c:strRef>
          </c:cat>
          <c:val>
            <c:numRef>
              <c:f>'Pivot tables'!$U$642:$U$646</c:f>
              <c:numCache>
                <c:formatCode>General</c:formatCode>
                <c:ptCount val="4"/>
                <c:pt idx="0">
                  <c:v>25.351577256340001</c:v>
                </c:pt>
                <c:pt idx="1">
                  <c:v>10.042997195949999</c:v>
                </c:pt>
                <c:pt idx="2">
                  <c:v>10.314498209249999</c:v>
                </c:pt>
              </c:numCache>
            </c:numRef>
          </c:val>
          <c:smooth val="0"/>
        </c:ser>
        <c:ser>
          <c:idx val="20"/>
          <c:order val="20"/>
          <c:tx>
            <c:strRef>
              <c:f>'Pivot tables'!$V$640:$V$641</c:f>
              <c:strCache>
                <c:ptCount val="1"/>
                <c:pt idx="0">
                  <c:v>940315m138</c:v>
                </c:pt>
              </c:strCache>
            </c:strRef>
          </c:tx>
          <c:cat>
            <c:strRef>
              <c:f>'Pivot tables'!$A$642:$A$646</c:f>
              <c:strCache>
                <c:ptCount val="4"/>
                <c:pt idx="0">
                  <c:v>pre</c:v>
                </c:pt>
                <c:pt idx="1">
                  <c:v>2yr</c:v>
                </c:pt>
                <c:pt idx="2">
                  <c:v>5yr</c:v>
                </c:pt>
                <c:pt idx="3">
                  <c:v>8yr</c:v>
                </c:pt>
              </c:strCache>
            </c:strRef>
          </c:cat>
          <c:val>
            <c:numRef>
              <c:f>'Pivot tables'!$V$642:$V$646</c:f>
              <c:numCache>
                <c:formatCode>General</c:formatCode>
                <c:ptCount val="4"/>
                <c:pt idx="0">
                  <c:v>4.9771335788000002</c:v>
                </c:pt>
                <c:pt idx="1">
                  <c:v>8.7366446522000007</c:v>
                </c:pt>
                <c:pt idx="3">
                  <c:v>9.8682142819499994</c:v>
                </c:pt>
              </c:numCache>
            </c:numRef>
          </c:val>
          <c:smooth val="0"/>
        </c:ser>
        <c:ser>
          <c:idx val="21"/>
          <c:order val="21"/>
          <c:tx>
            <c:strRef>
              <c:f>'Pivot tables'!$W$640:$W$641</c:f>
              <c:strCache>
                <c:ptCount val="1"/>
                <c:pt idx="0">
                  <c:v>890202m123</c:v>
                </c:pt>
              </c:strCache>
            </c:strRef>
          </c:tx>
          <c:cat>
            <c:strRef>
              <c:f>'Pivot tables'!$A$642:$A$646</c:f>
              <c:strCache>
                <c:ptCount val="4"/>
                <c:pt idx="0">
                  <c:v>pre</c:v>
                </c:pt>
                <c:pt idx="1">
                  <c:v>2yr</c:v>
                </c:pt>
                <c:pt idx="2">
                  <c:v>5yr</c:v>
                </c:pt>
                <c:pt idx="3">
                  <c:v>8yr</c:v>
                </c:pt>
              </c:strCache>
            </c:strRef>
          </c:cat>
          <c:val>
            <c:numRef>
              <c:f>'Pivot tables'!$W$642:$W$646</c:f>
              <c:numCache>
                <c:formatCode>General</c:formatCode>
                <c:ptCount val="4"/>
                <c:pt idx="0">
                  <c:v>13.623558117983334</c:v>
                </c:pt>
                <c:pt idx="1">
                  <c:v>6.892968448125</c:v>
                </c:pt>
                <c:pt idx="2">
                  <c:v>7.715946417383333</c:v>
                </c:pt>
              </c:numCache>
            </c:numRef>
          </c:val>
          <c:smooth val="0"/>
        </c:ser>
        <c:ser>
          <c:idx val="22"/>
          <c:order val="22"/>
          <c:tx>
            <c:strRef>
              <c:f>'Pivot tables'!$X$640:$X$641</c:f>
              <c:strCache>
                <c:ptCount val="1"/>
                <c:pt idx="0">
                  <c:v>920629v030</c:v>
                </c:pt>
              </c:strCache>
            </c:strRef>
          </c:tx>
          <c:cat>
            <c:strRef>
              <c:f>'Pivot tables'!$A$642:$A$646</c:f>
              <c:strCache>
                <c:ptCount val="4"/>
                <c:pt idx="0">
                  <c:v>pre</c:v>
                </c:pt>
                <c:pt idx="1">
                  <c:v>2yr</c:v>
                </c:pt>
                <c:pt idx="2">
                  <c:v>5yr</c:v>
                </c:pt>
                <c:pt idx="3">
                  <c:v>8yr</c:v>
                </c:pt>
              </c:strCache>
            </c:strRef>
          </c:cat>
          <c:val>
            <c:numRef>
              <c:f>'Pivot tables'!$X$642:$X$646</c:f>
              <c:numCache>
                <c:formatCode>General</c:formatCode>
                <c:ptCount val="4"/>
                <c:pt idx="0">
                  <c:v>19.300159167724999</c:v>
                </c:pt>
                <c:pt idx="1">
                  <c:v>9.0687653927749992</c:v>
                </c:pt>
                <c:pt idx="3">
                  <c:v>7.8887726418000002</c:v>
                </c:pt>
              </c:numCache>
            </c:numRef>
          </c:val>
          <c:smooth val="0"/>
        </c:ser>
        <c:ser>
          <c:idx val="23"/>
          <c:order val="23"/>
          <c:tx>
            <c:strRef>
              <c:f>'Pivot tables'!$Y$640:$Y$641</c:f>
              <c:strCache>
                <c:ptCount val="1"/>
                <c:pt idx="0">
                  <c:v>910826v099</c:v>
                </c:pt>
              </c:strCache>
            </c:strRef>
          </c:tx>
          <c:cat>
            <c:strRef>
              <c:f>'Pivot tables'!$A$642:$A$646</c:f>
              <c:strCache>
                <c:ptCount val="4"/>
                <c:pt idx="0">
                  <c:v>pre</c:v>
                </c:pt>
                <c:pt idx="1">
                  <c:v>2yr</c:v>
                </c:pt>
                <c:pt idx="2">
                  <c:v>5yr</c:v>
                </c:pt>
                <c:pt idx="3">
                  <c:v>8yr</c:v>
                </c:pt>
              </c:strCache>
            </c:strRef>
          </c:cat>
          <c:val>
            <c:numRef>
              <c:f>'Pivot tables'!$Y$642:$Y$646</c:f>
              <c:numCache>
                <c:formatCode>General</c:formatCode>
                <c:ptCount val="4"/>
                <c:pt idx="0">
                  <c:v>14.268932174416667</c:v>
                </c:pt>
                <c:pt idx="1">
                  <c:v>12.269367442537499</c:v>
                </c:pt>
                <c:pt idx="2">
                  <c:v>11.292432085614289</c:v>
                </c:pt>
              </c:numCache>
            </c:numRef>
          </c:val>
          <c:smooth val="0"/>
        </c:ser>
        <c:ser>
          <c:idx val="24"/>
          <c:order val="24"/>
          <c:tx>
            <c:strRef>
              <c:f>'Pivot tables'!$Z$640:$Z$641</c:f>
              <c:strCache>
                <c:ptCount val="1"/>
                <c:pt idx="0">
                  <c:v>000102g046</c:v>
                </c:pt>
              </c:strCache>
            </c:strRef>
          </c:tx>
          <c:cat>
            <c:strRef>
              <c:f>'Pivot tables'!$A$642:$A$646</c:f>
              <c:strCache>
                <c:ptCount val="4"/>
                <c:pt idx="0">
                  <c:v>pre</c:v>
                </c:pt>
                <c:pt idx="1">
                  <c:v>2yr</c:v>
                </c:pt>
                <c:pt idx="2">
                  <c:v>5yr</c:v>
                </c:pt>
                <c:pt idx="3">
                  <c:v>8yr</c:v>
                </c:pt>
              </c:strCache>
            </c:strRef>
          </c:cat>
          <c:val>
            <c:numRef>
              <c:f>'Pivot tables'!$Z$642:$Z$646</c:f>
              <c:numCache>
                <c:formatCode>General</c:formatCode>
                <c:ptCount val="4"/>
                <c:pt idx="0">
                  <c:v>18.399276057374998</c:v>
                </c:pt>
                <c:pt idx="1">
                  <c:v>6.3581547337999993</c:v>
                </c:pt>
                <c:pt idx="2">
                  <c:v>7.759983738619999</c:v>
                </c:pt>
              </c:numCache>
            </c:numRef>
          </c:val>
          <c:smooth val="0"/>
        </c:ser>
        <c:ser>
          <c:idx val="25"/>
          <c:order val="25"/>
          <c:tx>
            <c:strRef>
              <c:f>'Pivot tables'!$AA$640:$AA$641</c:f>
              <c:strCache>
                <c:ptCount val="1"/>
                <c:pt idx="0">
                  <c:v>980511m219</c:v>
                </c:pt>
              </c:strCache>
            </c:strRef>
          </c:tx>
          <c:cat>
            <c:strRef>
              <c:f>'Pivot tables'!$A$642:$A$646</c:f>
              <c:strCache>
                <c:ptCount val="4"/>
                <c:pt idx="0">
                  <c:v>pre</c:v>
                </c:pt>
                <c:pt idx="1">
                  <c:v>2yr</c:v>
                </c:pt>
                <c:pt idx="2">
                  <c:v>5yr</c:v>
                </c:pt>
                <c:pt idx="3">
                  <c:v>8yr</c:v>
                </c:pt>
              </c:strCache>
            </c:strRef>
          </c:cat>
          <c:val>
            <c:numRef>
              <c:f>'Pivot tables'!$AA$642:$AA$646</c:f>
              <c:numCache>
                <c:formatCode>General</c:formatCode>
                <c:ptCount val="4"/>
                <c:pt idx="0">
                  <c:v>14.815028623133335</c:v>
                </c:pt>
                <c:pt idx="1">
                  <c:v>17.809073121200001</c:v>
                </c:pt>
                <c:pt idx="2">
                  <c:v>15.18885324818889</c:v>
                </c:pt>
              </c:numCache>
            </c:numRef>
          </c:val>
          <c:smooth val="0"/>
        </c:ser>
        <c:ser>
          <c:idx val="26"/>
          <c:order val="26"/>
          <c:tx>
            <c:strRef>
              <c:f>'Pivot tables'!$AB$640:$AB$641</c:f>
              <c:strCache>
                <c:ptCount val="1"/>
                <c:pt idx="0">
                  <c:v>980512v117</c:v>
                </c:pt>
              </c:strCache>
            </c:strRef>
          </c:tx>
          <c:cat>
            <c:strRef>
              <c:f>'Pivot tables'!$A$642:$A$646</c:f>
              <c:strCache>
                <c:ptCount val="4"/>
                <c:pt idx="0">
                  <c:v>pre</c:v>
                </c:pt>
                <c:pt idx="1">
                  <c:v>2yr</c:v>
                </c:pt>
                <c:pt idx="2">
                  <c:v>5yr</c:v>
                </c:pt>
                <c:pt idx="3">
                  <c:v>8yr</c:v>
                </c:pt>
              </c:strCache>
            </c:strRef>
          </c:cat>
          <c:val>
            <c:numRef>
              <c:f>'Pivot tables'!$AB$642:$AB$646</c:f>
              <c:numCache>
                <c:formatCode>General</c:formatCode>
                <c:ptCount val="4"/>
                <c:pt idx="0">
                  <c:v>8.9173214837499994</c:v>
                </c:pt>
                <c:pt idx="1">
                  <c:v>10.32747081115</c:v>
                </c:pt>
                <c:pt idx="3">
                  <c:v>12.40845210622</c:v>
                </c:pt>
              </c:numCache>
            </c:numRef>
          </c:val>
          <c:smooth val="0"/>
        </c:ser>
        <c:ser>
          <c:idx val="27"/>
          <c:order val="27"/>
          <c:tx>
            <c:strRef>
              <c:f>'Pivot tables'!$AC$640:$AC$641</c:f>
              <c:strCache>
                <c:ptCount val="1"/>
                <c:pt idx="0">
                  <c:v>960428m114</c:v>
                </c:pt>
              </c:strCache>
            </c:strRef>
          </c:tx>
          <c:cat>
            <c:strRef>
              <c:f>'Pivot tables'!$A$642:$A$646</c:f>
              <c:strCache>
                <c:ptCount val="4"/>
                <c:pt idx="0">
                  <c:v>pre</c:v>
                </c:pt>
                <c:pt idx="1">
                  <c:v>2yr</c:v>
                </c:pt>
                <c:pt idx="2">
                  <c:v>5yr</c:v>
                </c:pt>
                <c:pt idx="3">
                  <c:v>8yr</c:v>
                </c:pt>
              </c:strCache>
            </c:strRef>
          </c:cat>
          <c:val>
            <c:numRef>
              <c:f>'Pivot tables'!$AC$642:$AC$646</c:f>
              <c:numCache>
                <c:formatCode>General</c:formatCode>
                <c:ptCount val="4"/>
                <c:pt idx="0">
                  <c:v>8.2749812255500004</c:v>
                </c:pt>
                <c:pt idx="1">
                  <c:v>14.214673843125</c:v>
                </c:pt>
                <c:pt idx="2">
                  <c:v>9.8005923462399984</c:v>
                </c:pt>
              </c:numCache>
            </c:numRef>
          </c:val>
          <c:smooth val="0"/>
        </c:ser>
        <c:ser>
          <c:idx val="28"/>
          <c:order val="28"/>
          <c:tx>
            <c:strRef>
              <c:f>'Pivot tables'!$AD$640:$AD$641</c:f>
              <c:strCache>
                <c:ptCount val="1"/>
                <c:pt idx="0">
                  <c:v>970629v068</c:v>
                </c:pt>
              </c:strCache>
            </c:strRef>
          </c:tx>
          <c:cat>
            <c:strRef>
              <c:f>'Pivot tables'!$A$642:$A$646</c:f>
              <c:strCache>
                <c:ptCount val="4"/>
                <c:pt idx="0">
                  <c:v>pre</c:v>
                </c:pt>
                <c:pt idx="1">
                  <c:v>2yr</c:v>
                </c:pt>
                <c:pt idx="2">
                  <c:v>5yr</c:v>
                </c:pt>
                <c:pt idx="3">
                  <c:v>8yr</c:v>
                </c:pt>
              </c:strCache>
            </c:strRef>
          </c:cat>
          <c:val>
            <c:numRef>
              <c:f>'Pivot tables'!$AD$642:$AD$646</c:f>
              <c:numCache>
                <c:formatCode>General</c:formatCode>
                <c:ptCount val="4"/>
                <c:pt idx="0">
                  <c:v>12.322268297174999</c:v>
                </c:pt>
                <c:pt idx="1">
                  <c:v>9.6885819091999998</c:v>
                </c:pt>
                <c:pt idx="3">
                  <c:v>5.371708664033334</c:v>
                </c:pt>
              </c:numCache>
            </c:numRef>
          </c:val>
          <c:smooth val="0"/>
        </c:ser>
        <c:ser>
          <c:idx val="29"/>
          <c:order val="29"/>
          <c:tx>
            <c:strRef>
              <c:f>'Pivot tables'!$AE$640:$AE$641</c:f>
              <c:strCache>
                <c:ptCount val="1"/>
                <c:pt idx="0">
                  <c:v>970602v069</c:v>
                </c:pt>
              </c:strCache>
            </c:strRef>
          </c:tx>
          <c:cat>
            <c:strRef>
              <c:f>'Pivot tables'!$A$642:$A$646</c:f>
              <c:strCache>
                <c:ptCount val="4"/>
                <c:pt idx="0">
                  <c:v>pre</c:v>
                </c:pt>
                <c:pt idx="1">
                  <c:v>2yr</c:v>
                </c:pt>
                <c:pt idx="2">
                  <c:v>5yr</c:v>
                </c:pt>
                <c:pt idx="3">
                  <c:v>8yr</c:v>
                </c:pt>
              </c:strCache>
            </c:strRef>
          </c:cat>
          <c:val>
            <c:numRef>
              <c:f>'Pivot tables'!$AE$642:$AE$646</c:f>
              <c:numCache>
                <c:formatCode>General</c:formatCode>
                <c:ptCount val="4"/>
                <c:pt idx="0">
                  <c:v>12.569460737166667</c:v>
                </c:pt>
                <c:pt idx="1">
                  <c:v>9.8751920794571415</c:v>
                </c:pt>
                <c:pt idx="2">
                  <c:v>11.767581465250002</c:v>
                </c:pt>
                <c:pt idx="3">
                  <c:v>10.659909093416667</c:v>
                </c:pt>
              </c:numCache>
            </c:numRef>
          </c:val>
          <c:smooth val="0"/>
        </c:ser>
        <c:ser>
          <c:idx val="30"/>
          <c:order val="30"/>
          <c:tx>
            <c:strRef>
              <c:f>'Pivot tables'!$AF$640:$AF$641</c:f>
              <c:strCache>
                <c:ptCount val="1"/>
                <c:pt idx="0">
                  <c:v>Average</c:v>
                </c:pt>
              </c:strCache>
            </c:strRef>
          </c:tx>
          <c:spPr>
            <a:ln w="38100">
              <a:solidFill>
                <a:schemeClr val="tx1"/>
              </a:solidFill>
            </a:ln>
          </c:spPr>
          <c:marker>
            <c:symbol val="circle"/>
            <c:size val="7"/>
            <c:spPr>
              <a:solidFill>
                <a:schemeClr val="tx1"/>
              </a:solidFill>
            </c:spPr>
          </c:marker>
          <c:cat>
            <c:strRef>
              <c:f>'Pivot tables'!$A$642:$A$646</c:f>
              <c:strCache>
                <c:ptCount val="4"/>
                <c:pt idx="0">
                  <c:v>pre</c:v>
                </c:pt>
                <c:pt idx="1">
                  <c:v>2yr</c:v>
                </c:pt>
                <c:pt idx="2">
                  <c:v>5yr</c:v>
                </c:pt>
                <c:pt idx="3">
                  <c:v>8yr</c:v>
                </c:pt>
              </c:strCache>
            </c:strRef>
          </c:cat>
          <c:val>
            <c:numRef>
              <c:f>'Pivot tables'!$AF$642:$AF$646</c:f>
              <c:numCache>
                <c:formatCode>General</c:formatCode>
                <c:ptCount val="4"/>
                <c:pt idx="0">
                  <c:v>16.026596851223161</c:v>
                </c:pt>
                <c:pt idx="1">
                  <c:v>10.66752245626483</c:v>
                </c:pt>
                <c:pt idx="2">
                  <c:v>11.653500728396276</c:v>
                </c:pt>
                <c:pt idx="3">
                  <c:v>10.912090082982584</c:v>
                </c:pt>
              </c:numCache>
            </c:numRef>
          </c:val>
          <c:smooth val="0"/>
        </c:ser>
        <c:ser>
          <c:idx val="31"/>
          <c:order val="31"/>
          <c:tx>
            <c:strRef>
              <c:f>'Pivot tables'!$AG$640:$AG$641</c:f>
              <c:strCache>
                <c:ptCount val="1"/>
                <c:pt idx="0">
                  <c:v>No pathology</c:v>
                </c:pt>
              </c:strCache>
            </c:strRef>
          </c:tx>
          <c:cat>
            <c:strRef>
              <c:f>'Pivot tables'!$A$642:$A$646</c:f>
              <c:strCache>
                <c:ptCount val="4"/>
                <c:pt idx="0">
                  <c:v>pre</c:v>
                </c:pt>
                <c:pt idx="1">
                  <c:v>2yr</c:v>
                </c:pt>
                <c:pt idx="2">
                  <c:v>5yr</c:v>
                </c:pt>
                <c:pt idx="3">
                  <c:v>8yr</c:v>
                </c:pt>
              </c:strCache>
            </c:strRef>
          </c:cat>
          <c:val>
            <c:numRef>
              <c:f>'Pivot tables'!$AG$642:$AG$646</c:f>
              <c:numCache>
                <c:formatCode>General</c:formatCode>
                <c:ptCount val="4"/>
              </c:numCache>
            </c:numRef>
          </c:val>
          <c:smooth val="0"/>
        </c:ser>
        <c:ser>
          <c:idx val="32"/>
          <c:order val="32"/>
          <c:tx>
            <c:strRef>
              <c:f>'Pivot tables'!$AH$640:$AH$641</c:f>
              <c:strCache>
                <c:ptCount val="1"/>
                <c:pt idx="0">
                  <c:v>patient 1-31</c:v>
                </c:pt>
              </c:strCache>
            </c:strRef>
          </c:tx>
          <c:cat>
            <c:strRef>
              <c:f>'Pivot tables'!$A$642:$A$646</c:f>
              <c:strCache>
                <c:ptCount val="4"/>
                <c:pt idx="0">
                  <c:v>pre</c:v>
                </c:pt>
                <c:pt idx="1">
                  <c:v>2yr</c:v>
                </c:pt>
                <c:pt idx="2">
                  <c:v>5yr</c:v>
                </c:pt>
                <c:pt idx="3">
                  <c:v>8yr</c:v>
                </c:pt>
              </c:strCache>
            </c:strRef>
          </c:cat>
          <c:val>
            <c:numRef>
              <c:f>'Pivot tables'!$AH$642:$AH$646</c:f>
              <c:numCache>
                <c:formatCode>General</c:formatCode>
                <c:ptCount val="4"/>
                <c:pt idx="0">
                  <c:v>15.5685014993</c:v>
                </c:pt>
                <c:pt idx="1">
                  <c:v>23.346623052866665</c:v>
                </c:pt>
                <c:pt idx="2">
                  <c:v>18.957071182</c:v>
                </c:pt>
              </c:numCache>
            </c:numRef>
          </c:val>
          <c:smooth val="0"/>
        </c:ser>
        <c:dLbls>
          <c:showLegendKey val="0"/>
          <c:showVal val="0"/>
          <c:showCatName val="0"/>
          <c:showSerName val="0"/>
          <c:showPercent val="0"/>
          <c:showBubbleSize val="0"/>
        </c:dLbls>
        <c:marker val="1"/>
        <c:smooth val="0"/>
        <c:axId val="175359488"/>
        <c:axId val="175361408"/>
      </c:lineChart>
      <c:catAx>
        <c:axId val="175359488"/>
        <c:scaling>
          <c:orientation val="minMax"/>
        </c:scaling>
        <c:delete val="0"/>
        <c:axPos val="b"/>
        <c:title>
          <c:tx>
            <c:rich>
              <a:bodyPr/>
              <a:lstStyle/>
              <a:p>
                <a:pPr>
                  <a:defRPr/>
                </a:pPr>
                <a:r>
                  <a:rPr lang="nl-BE"/>
                  <a:t>Timing</a:t>
                </a:r>
              </a:p>
            </c:rich>
          </c:tx>
          <c:overlay val="0"/>
        </c:title>
        <c:numFmt formatCode="General" sourceLinked="0"/>
        <c:majorTickMark val="none"/>
        <c:minorTickMark val="none"/>
        <c:tickLblPos val="nextTo"/>
        <c:crossAx val="175361408"/>
        <c:crosses val="autoZero"/>
        <c:auto val="1"/>
        <c:lblAlgn val="ctr"/>
        <c:lblOffset val="100"/>
        <c:noMultiLvlLbl val="0"/>
      </c:catAx>
      <c:valAx>
        <c:axId val="175361408"/>
        <c:scaling>
          <c:orientation val="minMax"/>
        </c:scaling>
        <c:delete val="0"/>
        <c:axPos val="l"/>
        <c:title>
          <c:tx>
            <c:rich>
              <a:bodyPr rot="-5400000" vert="horz"/>
              <a:lstStyle/>
              <a:p>
                <a:pPr>
                  <a:defRPr/>
                </a:pPr>
                <a:r>
                  <a:rPr lang="nl-BE"/>
                  <a:t>deg</a:t>
                </a:r>
              </a:p>
            </c:rich>
          </c:tx>
          <c:overlay val="0"/>
        </c:title>
        <c:numFmt formatCode="General" sourceLinked="1"/>
        <c:majorTickMark val="none"/>
        <c:minorTickMark val="none"/>
        <c:tickLblPos val="nextTo"/>
        <c:crossAx val="175359488"/>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1"/>
        <c:delete val="1"/>
      </c:legendEntry>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pivotSource>
    <c:name>[grafieken per patiënt per parameter.xlsx]Pivot tables!PivotTable3</c:name>
    <c:fmtId val="-1"/>
  </c:pivotSource>
  <c:chart>
    <c:title>
      <c:tx>
        <c:rich>
          <a:bodyPr/>
          <a:lstStyle/>
          <a:p>
            <a:pPr>
              <a:defRPr>
                <a:solidFill>
                  <a:sysClr val="windowText" lastClr="000000"/>
                </a:solidFill>
              </a:defRPr>
            </a:pPr>
            <a:r>
              <a:rPr lang="nl-BE">
                <a:solidFill>
                  <a:sysClr val="windowText" lastClr="000000"/>
                </a:solidFill>
              </a:rPr>
              <a:t>Mean</a:t>
            </a:r>
            <a:r>
              <a:rPr lang="nl-BE" baseline="0">
                <a:solidFill>
                  <a:sysClr val="windowText" lastClr="000000"/>
                </a:solidFill>
              </a:rPr>
              <a:t> pelvic tilt</a:t>
            </a:r>
            <a:endParaRPr lang="nl-BE">
              <a:solidFill>
                <a:sysClr val="windowText" lastClr="000000"/>
              </a:solidFill>
            </a:endParaRPr>
          </a:p>
        </c:rich>
      </c:tx>
      <c:overlay val="0"/>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spPr>
          <a:ln w="38100">
            <a:solidFill>
              <a:schemeClr val="tx1"/>
            </a:solidFill>
          </a:ln>
        </c:spPr>
        <c:marker>
          <c:symbol val="circle"/>
          <c:size val="7"/>
          <c:spPr>
            <a:solidFill>
              <a:sysClr val="windowText" lastClr="000000"/>
            </a:solidFill>
          </c:spPr>
        </c:marker>
      </c:pivotFmt>
      <c:pivotFmt>
        <c:idx val="187"/>
        <c:spPr>
          <a:ln w="38100">
            <a:solidFill>
              <a:schemeClr val="tx1"/>
            </a:solidFill>
          </a:ln>
        </c:spPr>
        <c:marker>
          <c:symbol val="none"/>
        </c:marker>
      </c:pivotFmt>
      <c:pivotFmt>
        <c:idx val="188"/>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spPr>
          <a:ln w="38100">
            <a:solidFill>
              <a:schemeClr val="tx1"/>
            </a:solidFill>
          </a:ln>
        </c:spPr>
        <c:marker>
          <c:symbol val="circle"/>
          <c:size val="7"/>
          <c:spPr>
            <a:solidFill>
              <a:sysClr val="windowText" lastClr="000000"/>
            </a:solidFill>
          </c:spPr>
        </c:marker>
      </c:pivotFmt>
      <c:pivotFmt>
        <c:idx val="220"/>
        <c:spPr>
          <a:ln w="38100">
            <a:solidFill>
              <a:schemeClr val="tx1"/>
            </a:solidFill>
          </a:ln>
        </c:spPr>
        <c:marker>
          <c:symbol val="none"/>
        </c:marker>
      </c:pivotFmt>
      <c:pivotFmt>
        <c:idx val="221"/>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spPr>
          <a:ln w="38100">
            <a:solidFill>
              <a:schemeClr val="tx1"/>
            </a:solidFill>
          </a:ln>
        </c:spPr>
        <c:marker>
          <c:symbol val="circle"/>
          <c:size val="7"/>
          <c:spPr>
            <a:solidFill>
              <a:sysClr val="windowText" lastClr="000000"/>
            </a:solidFill>
          </c:spPr>
        </c:marker>
      </c:pivotFmt>
      <c:pivotFmt>
        <c:idx val="253"/>
        <c:spPr>
          <a:ln w="38100">
            <a:solidFill>
              <a:schemeClr val="tx1"/>
            </a:solidFill>
          </a:ln>
        </c:spPr>
        <c:marker>
          <c:symbol val="none"/>
        </c:marker>
      </c:pivotFmt>
      <c:pivotFmt>
        <c:idx val="254"/>
      </c:pivotFmt>
    </c:pivotFmts>
    <c:plotArea>
      <c:layout/>
      <c:lineChart>
        <c:grouping val="standard"/>
        <c:varyColors val="0"/>
        <c:ser>
          <c:idx val="0"/>
          <c:order val="0"/>
          <c:tx>
            <c:strRef>
              <c:f>'Pivot tables'!$B$37:$B$38</c:f>
              <c:strCache>
                <c:ptCount val="1"/>
                <c:pt idx="0">
                  <c:v>010616b061</c:v>
                </c:pt>
              </c:strCache>
            </c:strRef>
          </c:tx>
          <c:marker>
            <c:symbol val="none"/>
          </c:marker>
          <c:cat>
            <c:strRef>
              <c:f>'Pivot tables'!$A$39:$A$43</c:f>
              <c:strCache>
                <c:ptCount val="4"/>
                <c:pt idx="0">
                  <c:v>pre</c:v>
                </c:pt>
                <c:pt idx="1">
                  <c:v>2yr</c:v>
                </c:pt>
                <c:pt idx="2">
                  <c:v>5yr</c:v>
                </c:pt>
                <c:pt idx="3">
                  <c:v>8yr</c:v>
                </c:pt>
              </c:strCache>
            </c:strRef>
          </c:cat>
          <c:val>
            <c:numRef>
              <c:f>'Pivot tables'!$B$39:$B$43</c:f>
              <c:numCache>
                <c:formatCode>General</c:formatCode>
                <c:ptCount val="4"/>
                <c:pt idx="0">
                  <c:v>21.359973869866668</c:v>
                </c:pt>
                <c:pt idx="1">
                  <c:v>21.08563904</c:v>
                </c:pt>
                <c:pt idx="2">
                  <c:v>14.324873445225</c:v>
                </c:pt>
                <c:pt idx="3">
                  <c:v>19.909245203466664</c:v>
                </c:pt>
              </c:numCache>
            </c:numRef>
          </c:val>
          <c:smooth val="0"/>
        </c:ser>
        <c:ser>
          <c:idx val="1"/>
          <c:order val="1"/>
          <c:tx>
            <c:strRef>
              <c:f>'Pivot tables'!$C$37:$C$38</c:f>
              <c:strCache>
                <c:ptCount val="1"/>
                <c:pt idx="0">
                  <c:v>960905m314</c:v>
                </c:pt>
              </c:strCache>
            </c:strRef>
          </c:tx>
          <c:marker>
            <c:symbol val="none"/>
          </c:marker>
          <c:cat>
            <c:strRef>
              <c:f>'Pivot tables'!$A$39:$A$43</c:f>
              <c:strCache>
                <c:ptCount val="4"/>
                <c:pt idx="0">
                  <c:v>pre</c:v>
                </c:pt>
                <c:pt idx="1">
                  <c:v>2yr</c:v>
                </c:pt>
                <c:pt idx="2">
                  <c:v>5yr</c:v>
                </c:pt>
                <c:pt idx="3">
                  <c:v>8yr</c:v>
                </c:pt>
              </c:strCache>
            </c:strRef>
          </c:cat>
          <c:val>
            <c:numRef>
              <c:f>'Pivot tables'!$C$39:$C$43</c:f>
              <c:numCache>
                <c:formatCode>General</c:formatCode>
                <c:ptCount val="4"/>
                <c:pt idx="0">
                  <c:v>20.944271089225005</c:v>
                </c:pt>
                <c:pt idx="1">
                  <c:v>10.086274968966668</c:v>
                </c:pt>
                <c:pt idx="2">
                  <c:v>13.941181981349999</c:v>
                </c:pt>
                <c:pt idx="3">
                  <c:v>13.244807908050001</c:v>
                </c:pt>
              </c:numCache>
            </c:numRef>
          </c:val>
          <c:smooth val="0"/>
        </c:ser>
        <c:ser>
          <c:idx val="2"/>
          <c:order val="2"/>
          <c:tx>
            <c:strRef>
              <c:f>'Pivot tables'!$D$37:$D$38</c:f>
              <c:strCache>
                <c:ptCount val="1"/>
                <c:pt idx="0">
                  <c:v>970602m038</c:v>
                </c:pt>
              </c:strCache>
            </c:strRef>
          </c:tx>
          <c:marker>
            <c:symbol val="none"/>
          </c:marker>
          <c:cat>
            <c:strRef>
              <c:f>'Pivot tables'!$A$39:$A$43</c:f>
              <c:strCache>
                <c:ptCount val="4"/>
                <c:pt idx="0">
                  <c:v>pre</c:v>
                </c:pt>
                <c:pt idx="1">
                  <c:v>2yr</c:v>
                </c:pt>
                <c:pt idx="2">
                  <c:v>5yr</c:v>
                </c:pt>
                <c:pt idx="3">
                  <c:v>8yr</c:v>
                </c:pt>
              </c:strCache>
            </c:strRef>
          </c:cat>
          <c:val>
            <c:numRef>
              <c:f>'Pivot tables'!$D$39:$D$43</c:f>
              <c:numCache>
                <c:formatCode>General</c:formatCode>
                <c:ptCount val="4"/>
                <c:pt idx="0">
                  <c:v>16.665986154839999</c:v>
                </c:pt>
                <c:pt idx="1">
                  <c:v>23.749335839566669</c:v>
                </c:pt>
                <c:pt idx="2">
                  <c:v>17.782280539899997</c:v>
                </c:pt>
                <c:pt idx="3">
                  <c:v>22.851111292657144</c:v>
                </c:pt>
              </c:numCache>
            </c:numRef>
          </c:val>
          <c:smooth val="0"/>
        </c:ser>
        <c:ser>
          <c:idx val="3"/>
          <c:order val="3"/>
          <c:tx>
            <c:strRef>
              <c:f>'Pivot tables'!$E$37:$E$38</c:f>
              <c:strCache>
                <c:ptCount val="1"/>
                <c:pt idx="0">
                  <c:v>901117v039</c:v>
                </c:pt>
              </c:strCache>
            </c:strRef>
          </c:tx>
          <c:marker>
            <c:symbol val="none"/>
          </c:marker>
          <c:cat>
            <c:strRef>
              <c:f>'Pivot tables'!$A$39:$A$43</c:f>
              <c:strCache>
                <c:ptCount val="4"/>
                <c:pt idx="0">
                  <c:v>pre</c:v>
                </c:pt>
                <c:pt idx="1">
                  <c:v>2yr</c:v>
                </c:pt>
                <c:pt idx="2">
                  <c:v>5yr</c:v>
                </c:pt>
                <c:pt idx="3">
                  <c:v>8yr</c:v>
                </c:pt>
              </c:strCache>
            </c:strRef>
          </c:cat>
          <c:val>
            <c:numRef>
              <c:f>'Pivot tables'!$E$39:$E$43</c:f>
              <c:numCache>
                <c:formatCode>General</c:formatCode>
                <c:ptCount val="4"/>
                <c:pt idx="0">
                  <c:v>20.057826436066666</c:v>
                </c:pt>
                <c:pt idx="2">
                  <c:v>21.523038836528574</c:v>
                </c:pt>
              </c:numCache>
            </c:numRef>
          </c:val>
          <c:smooth val="0"/>
        </c:ser>
        <c:ser>
          <c:idx val="4"/>
          <c:order val="4"/>
          <c:tx>
            <c:strRef>
              <c:f>'Pivot tables'!$F$37:$F$38</c:f>
              <c:strCache>
                <c:ptCount val="1"/>
                <c:pt idx="0">
                  <c:v>991112v027</c:v>
                </c:pt>
              </c:strCache>
            </c:strRef>
          </c:tx>
          <c:marker>
            <c:symbol val="none"/>
          </c:marker>
          <c:cat>
            <c:strRef>
              <c:f>'Pivot tables'!$A$39:$A$43</c:f>
              <c:strCache>
                <c:ptCount val="4"/>
                <c:pt idx="0">
                  <c:v>pre</c:v>
                </c:pt>
                <c:pt idx="1">
                  <c:v>2yr</c:v>
                </c:pt>
                <c:pt idx="2">
                  <c:v>5yr</c:v>
                </c:pt>
                <c:pt idx="3">
                  <c:v>8yr</c:v>
                </c:pt>
              </c:strCache>
            </c:strRef>
          </c:cat>
          <c:val>
            <c:numRef>
              <c:f>'Pivot tables'!$F$39:$F$43</c:f>
              <c:numCache>
                <c:formatCode>General</c:formatCode>
                <c:ptCount val="4"/>
                <c:pt idx="0">
                  <c:v>18.61512845575</c:v>
                </c:pt>
                <c:pt idx="1">
                  <c:v>20.208637173714287</c:v>
                </c:pt>
                <c:pt idx="2">
                  <c:v>18.239443776250003</c:v>
                </c:pt>
                <c:pt idx="3">
                  <c:v>20.361983092999999</c:v>
                </c:pt>
              </c:numCache>
            </c:numRef>
          </c:val>
          <c:smooth val="0"/>
        </c:ser>
        <c:ser>
          <c:idx val="5"/>
          <c:order val="5"/>
          <c:tx>
            <c:strRef>
              <c:f>'Pivot tables'!$G$37:$G$38</c:f>
              <c:strCache>
                <c:ptCount val="1"/>
                <c:pt idx="0">
                  <c:v>910507m071</c:v>
                </c:pt>
              </c:strCache>
            </c:strRef>
          </c:tx>
          <c:marker>
            <c:symbol val="none"/>
          </c:marker>
          <c:cat>
            <c:strRef>
              <c:f>'Pivot tables'!$A$39:$A$43</c:f>
              <c:strCache>
                <c:ptCount val="4"/>
                <c:pt idx="0">
                  <c:v>pre</c:v>
                </c:pt>
                <c:pt idx="1">
                  <c:v>2yr</c:v>
                </c:pt>
                <c:pt idx="2">
                  <c:v>5yr</c:v>
                </c:pt>
                <c:pt idx="3">
                  <c:v>8yr</c:v>
                </c:pt>
              </c:strCache>
            </c:strRef>
          </c:cat>
          <c:val>
            <c:numRef>
              <c:f>'Pivot tables'!$G$39:$G$43</c:f>
              <c:numCache>
                <c:formatCode>General</c:formatCode>
                <c:ptCount val="4"/>
                <c:pt idx="0">
                  <c:v>16.808954400187499</c:v>
                </c:pt>
                <c:pt idx="1">
                  <c:v>28.440813709900002</c:v>
                </c:pt>
                <c:pt idx="3">
                  <c:v>20.080289555074998</c:v>
                </c:pt>
              </c:numCache>
            </c:numRef>
          </c:val>
          <c:smooth val="0"/>
        </c:ser>
        <c:ser>
          <c:idx val="6"/>
          <c:order val="6"/>
          <c:tx>
            <c:strRef>
              <c:f>'Pivot tables'!$H$37:$H$38</c:f>
              <c:strCache>
                <c:ptCount val="1"/>
                <c:pt idx="0">
                  <c:v>921107v089</c:v>
                </c:pt>
              </c:strCache>
            </c:strRef>
          </c:tx>
          <c:marker>
            <c:symbol val="none"/>
          </c:marker>
          <c:cat>
            <c:strRef>
              <c:f>'Pivot tables'!$A$39:$A$43</c:f>
              <c:strCache>
                <c:ptCount val="4"/>
                <c:pt idx="0">
                  <c:v>pre</c:v>
                </c:pt>
                <c:pt idx="1">
                  <c:v>2yr</c:v>
                </c:pt>
                <c:pt idx="2">
                  <c:v>5yr</c:v>
                </c:pt>
                <c:pt idx="3">
                  <c:v>8yr</c:v>
                </c:pt>
              </c:strCache>
            </c:strRef>
          </c:cat>
          <c:val>
            <c:numRef>
              <c:f>'Pivot tables'!$H$39:$H$43</c:f>
              <c:numCache>
                <c:formatCode>General</c:formatCode>
                <c:ptCount val="4"/>
                <c:pt idx="0">
                  <c:v>21.190317021455556</c:v>
                </c:pt>
                <c:pt idx="1">
                  <c:v>23.474016382733335</c:v>
                </c:pt>
                <c:pt idx="3">
                  <c:v>25.086480814685718</c:v>
                </c:pt>
              </c:numCache>
            </c:numRef>
          </c:val>
          <c:smooth val="0"/>
        </c:ser>
        <c:ser>
          <c:idx val="7"/>
          <c:order val="7"/>
          <c:tx>
            <c:strRef>
              <c:f>'Pivot tables'!$I$37:$I$38</c:f>
              <c:strCache>
                <c:ptCount val="1"/>
                <c:pt idx="0">
                  <c:v>921013m117</c:v>
                </c:pt>
              </c:strCache>
            </c:strRef>
          </c:tx>
          <c:marker>
            <c:symbol val="none"/>
          </c:marker>
          <c:cat>
            <c:strRef>
              <c:f>'Pivot tables'!$A$39:$A$43</c:f>
              <c:strCache>
                <c:ptCount val="4"/>
                <c:pt idx="0">
                  <c:v>pre</c:v>
                </c:pt>
                <c:pt idx="1">
                  <c:v>2yr</c:v>
                </c:pt>
                <c:pt idx="2">
                  <c:v>5yr</c:v>
                </c:pt>
                <c:pt idx="3">
                  <c:v>8yr</c:v>
                </c:pt>
              </c:strCache>
            </c:strRef>
          </c:cat>
          <c:val>
            <c:numRef>
              <c:f>'Pivot tables'!$I$39:$I$43</c:f>
              <c:numCache>
                <c:formatCode>General</c:formatCode>
                <c:ptCount val="4"/>
                <c:pt idx="0">
                  <c:v>0.95722621440000011</c:v>
                </c:pt>
                <c:pt idx="1">
                  <c:v>7.0452264069333337</c:v>
                </c:pt>
                <c:pt idx="3">
                  <c:v>8.4439103991166657</c:v>
                </c:pt>
              </c:numCache>
            </c:numRef>
          </c:val>
          <c:smooth val="0"/>
        </c:ser>
        <c:ser>
          <c:idx val="8"/>
          <c:order val="8"/>
          <c:tx>
            <c:strRef>
              <c:f>'Pivot tables'!$J$37:$J$38</c:f>
              <c:strCache>
                <c:ptCount val="1"/>
                <c:pt idx="0">
                  <c:v>981222v116</c:v>
                </c:pt>
              </c:strCache>
            </c:strRef>
          </c:tx>
          <c:marker>
            <c:symbol val="none"/>
          </c:marker>
          <c:cat>
            <c:strRef>
              <c:f>'Pivot tables'!$A$39:$A$43</c:f>
              <c:strCache>
                <c:ptCount val="4"/>
                <c:pt idx="0">
                  <c:v>pre</c:v>
                </c:pt>
                <c:pt idx="1">
                  <c:v>2yr</c:v>
                </c:pt>
                <c:pt idx="2">
                  <c:v>5yr</c:v>
                </c:pt>
                <c:pt idx="3">
                  <c:v>8yr</c:v>
                </c:pt>
              </c:strCache>
            </c:strRef>
          </c:cat>
          <c:val>
            <c:numRef>
              <c:f>'Pivot tables'!$J$39:$J$43</c:f>
              <c:numCache>
                <c:formatCode>General</c:formatCode>
                <c:ptCount val="4"/>
                <c:pt idx="0">
                  <c:v>30.496786345433335</c:v>
                </c:pt>
                <c:pt idx="2">
                  <c:v>19.456335152320001</c:v>
                </c:pt>
                <c:pt idx="3">
                  <c:v>25.486663246159999</c:v>
                </c:pt>
              </c:numCache>
            </c:numRef>
          </c:val>
          <c:smooth val="0"/>
        </c:ser>
        <c:ser>
          <c:idx val="9"/>
          <c:order val="9"/>
          <c:tx>
            <c:strRef>
              <c:f>'Pivot tables'!$K$37:$K$38</c:f>
              <c:strCache>
                <c:ptCount val="1"/>
                <c:pt idx="0">
                  <c:v>980310m240</c:v>
                </c:pt>
              </c:strCache>
            </c:strRef>
          </c:tx>
          <c:marker>
            <c:symbol val="none"/>
          </c:marker>
          <c:cat>
            <c:strRef>
              <c:f>'Pivot tables'!$A$39:$A$43</c:f>
              <c:strCache>
                <c:ptCount val="4"/>
                <c:pt idx="0">
                  <c:v>pre</c:v>
                </c:pt>
                <c:pt idx="1">
                  <c:v>2yr</c:v>
                </c:pt>
                <c:pt idx="2">
                  <c:v>5yr</c:v>
                </c:pt>
                <c:pt idx="3">
                  <c:v>8yr</c:v>
                </c:pt>
              </c:strCache>
            </c:strRef>
          </c:cat>
          <c:val>
            <c:numRef>
              <c:f>'Pivot tables'!$K$39:$K$43</c:f>
              <c:numCache>
                <c:formatCode>General</c:formatCode>
                <c:ptCount val="4"/>
                <c:pt idx="0">
                  <c:v>24.345477667874999</c:v>
                </c:pt>
                <c:pt idx="1">
                  <c:v>16.157976740357142</c:v>
                </c:pt>
                <c:pt idx="2">
                  <c:v>18.029527982285714</c:v>
                </c:pt>
              </c:numCache>
            </c:numRef>
          </c:val>
          <c:smooth val="0"/>
        </c:ser>
        <c:ser>
          <c:idx val="10"/>
          <c:order val="10"/>
          <c:tx>
            <c:strRef>
              <c:f>'Pivot tables'!$L$37:$L$38</c:f>
              <c:strCache>
                <c:ptCount val="1"/>
                <c:pt idx="0">
                  <c:v>990206m010</c:v>
                </c:pt>
              </c:strCache>
            </c:strRef>
          </c:tx>
          <c:marker>
            <c:symbol val="none"/>
          </c:marker>
          <c:cat>
            <c:strRef>
              <c:f>'Pivot tables'!$A$39:$A$43</c:f>
              <c:strCache>
                <c:ptCount val="4"/>
                <c:pt idx="0">
                  <c:v>pre</c:v>
                </c:pt>
                <c:pt idx="1">
                  <c:v>2yr</c:v>
                </c:pt>
                <c:pt idx="2">
                  <c:v>5yr</c:v>
                </c:pt>
                <c:pt idx="3">
                  <c:v>8yr</c:v>
                </c:pt>
              </c:strCache>
            </c:strRef>
          </c:cat>
          <c:val>
            <c:numRef>
              <c:f>'Pivot tables'!$L$39:$L$43</c:f>
              <c:numCache>
                <c:formatCode>General</c:formatCode>
                <c:ptCount val="4"/>
                <c:pt idx="0">
                  <c:v>16.616963469566667</c:v>
                </c:pt>
                <c:pt idx="1">
                  <c:v>13.104486955166665</c:v>
                </c:pt>
                <c:pt idx="2">
                  <c:v>13.498380688166664</c:v>
                </c:pt>
              </c:numCache>
            </c:numRef>
          </c:val>
          <c:smooth val="0"/>
        </c:ser>
        <c:ser>
          <c:idx val="11"/>
          <c:order val="11"/>
          <c:tx>
            <c:strRef>
              <c:f>'Pivot tables'!$M$37:$M$38</c:f>
              <c:strCache>
                <c:ptCount val="1"/>
                <c:pt idx="0">
                  <c:v>941028m142</c:v>
                </c:pt>
              </c:strCache>
            </c:strRef>
          </c:tx>
          <c:marker>
            <c:symbol val="none"/>
          </c:marker>
          <c:cat>
            <c:strRef>
              <c:f>'Pivot tables'!$A$39:$A$43</c:f>
              <c:strCache>
                <c:ptCount val="4"/>
                <c:pt idx="0">
                  <c:v>pre</c:v>
                </c:pt>
                <c:pt idx="1">
                  <c:v>2yr</c:v>
                </c:pt>
                <c:pt idx="2">
                  <c:v>5yr</c:v>
                </c:pt>
                <c:pt idx="3">
                  <c:v>8yr</c:v>
                </c:pt>
              </c:strCache>
            </c:strRef>
          </c:cat>
          <c:val>
            <c:numRef>
              <c:f>'Pivot tables'!$M$39:$M$43</c:f>
              <c:numCache>
                <c:formatCode>General</c:formatCode>
                <c:ptCount val="4"/>
                <c:pt idx="0">
                  <c:v>18.539281392625</c:v>
                </c:pt>
                <c:pt idx="1">
                  <c:v>20.029204804700001</c:v>
                </c:pt>
                <c:pt idx="2">
                  <c:v>20.559726182333335</c:v>
                </c:pt>
                <c:pt idx="3">
                  <c:v>22.287724292362505</c:v>
                </c:pt>
              </c:numCache>
            </c:numRef>
          </c:val>
          <c:smooth val="0"/>
        </c:ser>
        <c:ser>
          <c:idx val="12"/>
          <c:order val="12"/>
          <c:tx>
            <c:strRef>
              <c:f>'Pivot tables'!$N$37:$N$38</c:f>
              <c:strCache>
                <c:ptCount val="1"/>
                <c:pt idx="0">
                  <c:v>950921m174</c:v>
                </c:pt>
              </c:strCache>
            </c:strRef>
          </c:tx>
          <c:marker>
            <c:symbol val="none"/>
          </c:marker>
          <c:cat>
            <c:strRef>
              <c:f>'Pivot tables'!$A$39:$A$43</c:f>
              <c:strCache>
                <c:ptCount val="4"/>
                <c:pt idx="0">
                  <c:v>pre</c:v>
                </c:pt>
                <c:pt idx="1">
                  <c:v>2yr</c:v>
                </c:pt>
                <c:pt idx="2">
                  <c:v>5yr</c:v>
                </c:pt>
                <c:pt idx="3">
                  <c:v>8yr</c:v>
                </c:pt>
              </c:strCache>
            </c:strRef>
          </c:cat>
          <c:val>
            <c:numRef>
              <c:f>'Pivot tables'!$N$39:$N$43</c:f>
              <c:numCache>
                <c:formatCode>General</c:formatCode>
                <c:ptCount val="4"/>
                <c:pt idx="0">
                  <c:v>22.765923378514284</c:v>
                </c:pt>
                <c:pt idx="1">
                  <c:v>11.207840922316668</c:v>
                </c:pt>
                <c:pt idx="2">
                  <c:v>14.054890018539998</c:v>
                </c:pt>
                <c:pt idx="3">
                  <c:v>20.040355639983332</c:v>
                </c:pt>
              </c:numCache>
            </c:numRef>
          </c:val>
          <c:smooth val="0"/>
        </c:ser>
        <c:ser>
          <c:idx val="13"/>
          <c:order val="13"/>
          <c:tx>
            <c:strRef>
              <c:f>'Pivot tables'!$O$37:$O$38</c:f>
              <c:strCache>
                <c:ptCount val="1"/>
                <c:pt idx="0">
                  <c:v>981228m104</c:v>
                </c:pt>
              </c:strCache>
            </c:strRef>
          </c:tx>
          <c:marker>
            <c:symbol val="none"/>
          </c:marker>
          <c:cat>
            <c:strRef>
              <c:f>'Pivot tables'!$A$39:$A$43</c:f>
              <c:strCache>
                <c:ptCount val="4"/>
                <c:pt idx="0">
                  <c:v>pre</c:v>
                </c:pt>
                <c:pt idx="1">
                  <c:v>2yr</c:v>
                </c:pt>
                <c:pt idx="2">
                  <c:v>5yr</c:v>
                </c:pt>
                <c:pt idx="3">
                  <c:v>8yr</c:v>
                </c:pt>
              </c:strCache>
            </c:strRef>
          </c:cat>
          <c:val>
            <c:numRef>
              <c:f>'Pivot tables'!$O$39:$O$43</c:f>
              <c:numCache>
                <c:formatCode>General</c:formatCode>
                <c:ptCount val="4"/>
                <c:pt idx="0">
                  <c:v>30.576198884833332</c:v>
                </c:pt>
                <c:pt idx="1">
                  <c:v>35.857342275833339</c:v>
                </c:pt>
                <c:pt idx="2">
                  <c:v>23.8485923241</c:v>
                </c:pt>
                <c:pt idx="3">
                  <c:v>16.4676587555</c:v>
                </c:pt>
              </c:numCache>
            </c:numRef>
          </c:val>
          <c:smooth val="0"/>
        </c:ser>
        <c:ser>
          <c:idx val="14"/>
          <c:order val="14"/>
          <c:tx>
            <c:strRef>
              <c:f>'Pivot tables'!$P$37:$P$38</c:f>
              <c:strCache>
                <c:ptCount val="1"/>
                <c:pt idx="0">
                  <c:v>900219m048</c:v>
                </c:pt>
              </c:strCache>
            </c:strRef>
          </c:tx>
          <c:marker>
            <c:symbol val="none"/>
          </c:marker>
          <c:cat>
            <c:strRef>
              <c:f>'Pivot tables'!$A$39:$A$43</c:f>
              <c:strCache>
                <c:ptCount val="4"/>
                <c:pt idx="0">
                  <c:v>pre</c:v>
                </c:pt>
                <c:pt idx="1">
                  <c:v>2yr</c:v>
                </c:pt>
                <c:pt idx="2">
                  <c:v>5yr</c:v>
                </c:pt>
                <c:pt idx="3">
                  <c:v>8yr</c:v>
                </c:pt>
              </c:strCache>
            </c:strRef>
          </c:cat>
          <c:val>
            <c:numRef>
              <c:f>'Pivot tables'!$P$39:$P$43</c:f>
              <c:numCache>
                <c:formatCode>General</c:formatCode>
                <c:ptCount val="4"/>
                <c:pt idx="0">
                  <c:v>16.685641848266666</c:v>
                </c:pt>
                <c:pt idx="1">
                  <c:v>16.619662023750003</c:v>
                </c:pt>
                <c:pt idx="3">
                  <c:v>17.172744270085712</c:v>
                </c:pt>
              </c:numCache>
            </c:numRef>
          </c:val>
          <c:smooth val="0"/>
        </c:ser>
        <c:ser>
          <c:idx val="15"/>
          <c:order val="15"/>
          <c:tx>
            <c:strRef>
              <c:f>'Pivot tables'!$Q$37:$Q$38</c:f>
              <c:strCache>
                <c:ptCount val="1"/>
                <c:pt idx="0">
                  <c:v>930219m144</c:v>
                </c:pt>
              </c:strCache>
            </c:strRef>
          </c:tx>
          <c:marker>
            <c:symbol val="none"/>
          </c:marker>
          <c:cat>
            <c:strRef>
              <c:f>'Pivot tables'!$A$39:$A$43</c:f>
              <c:strCache>
                <c:ptCount val="4"/>
                <c:pt idx="0">
                  <c:v>pre</c:v>
                </c:pt>
                <c:pt idx="1">
                  <c:v>2yr</c:v>
                </c:pt>
                <c:pt idx="2">
                  <c:v>5yr</c:v>
                </c:pt>
                <c:pt idx="3">
                  <c:v>8yr</c:v>
                </c:pt>
              </c:strCache>
            </c:strRef>
          </c:cat>
          <c:val>
            <c:numRef>
              <c:f>'Pivot tables'!$Q$39:$Q$43</c:f>
              <c:numCache>
                <c:formatCode>General</c:formatCode>
                <c:ptCount val="4"/>
                <c:pt idx="0">
                  <c:v>5.4501256444555564</c:v>
                </c:pt>
                <c:pt idx="1">
                  <c:v>16.266741800766667</c:v>
                </c:pt>
                <c:pt idx="2">
                  <c:v>25.682885729199999</c:v>
                </c:pt>
                <c:pt idx="3">
                  <c:v>25.280116924600001</c:v>
                </c:pt>
              </c:numCache>
            </c:numRef>
          </c:val>
          <c:smooth val="0"/>
        </c:ser>
        <c:ser>
          <c:idx val="16"/>
          <c:order val="16"/>
          <c:tx>
            <c:strRef>
              <c:f>'Pivot tables'!$R$37:$R$38</c:f>
              <c:strCache>
                <c:ptCount val="1"/>
                <c:pt idx="0">
                  <c:v>931013v114</c:v>
                </c:pt>
              </c:strCache>
            </c:strRef>
          </c:tx>
          <c:marker>
            <c:symbol val="none"/>
          </c:marker>
          <c:cat>
            <c:strRef>
              <c:f>'Pivot tables'!$A$39:$A$43</c:f>
              <c:strCache>
                <c:ptCount val="4"/>
                <c:pt idx="0">
                  <c:v>pre</c:v>
                </c:pt>
                <c:pt idx="1">
                  <c:v>2yr</c:v>
                </c:pt>
                <c:pt idx="2">
                  <c:v>5yr</c:v>
                </c:pt>
                <c:pt idx="3">
                  <c:v>8yr</c:v>
                </c:pt>
              </c:strCache>
            </c:strRef>
          </c:cat>
          <c:val>
            <c:numRef>
              <c:f>'Pivot tables'!$R$39:$R$43</c:f>
              <c:numCache>
                <c:formatCode>General</c:formatCode>
                <c:ptCount val="4"/>
                <c:pt idx="0">
                  <c:v>23.354545769383336</c:v>
                </c:pt>
                <c:pt idx="1">
                  <c:v>16.797084629674998</c:v>
                </c:pt>
              </c:numCache>
            </c:numRef>
          </c:val>
          <c:smooth val="0"/>
        </c:ser>
        <c:ser>
          <c:idx val="17"/>
          <c:order val="17"/>
          <c:tx>
            <c:strRef>
              <c:f>'Pivot tables'!$S$37:$S$38</c:f>
              <c:strCache>
                <c:ptCount val="1"/>
                <c:pt idx="0">
                  <c:v>940223m261</c:v>
                </c:pt>
              </c:strCache>
            </c:strRef>
          </c:tx>
          <c:marker>
            <c:symbol val="none"/>
          </c:marker>
          <c:cat>
            <c:strRef>
              <c:f>'Pivot tables'!$A$39:$A$43</c:f>
              <c:strCache>
                <c:ptCount val="4"/>
                <c:pt idx="0">
                  <c:v>pre</c:v>
                </c:pt>
                <c:pt idx="1">
                  <c:v>2yr</c:v>
                </c:pt>
                <c:pt idx="2">
                  <c:v>5yr</c:v>
                </c:pt>
                <c:pt idx="3">
                  <c:v>8yr</c:v>
                </c:pt>
              </c:strCache>
            </c:strRef>
          </c:cat>
          <c:val>
            <c:numRef>
              <c:f>'Pivot tables'!$S$39:$S$43</c:f>
              <c:numCache>
                <c:formatCode>General</c:formatCode>
                <c:ptCount val="4"/>
                <c:pt idx="0">
                  <c:v>21.18994786815</c:v>
                </c:pt>
                <c:pt idx="1">
                  <c:v>25.398986434066668</c:v>
                </c:pt>
                <c:pt idx="3">
                  <c:v>26.663358301733336</c:v>
                </c:pt>
              </c:numCache>
            </c:numRef>
          </c:val>
          <c:smooth val="0"/>
        </c:ser>
        <c:ser>
          <c:idx val="18"/>
          <c:order val="18"/>
          <c:tx>
            <c:strRef>
              <c:f>'Pivot tables'!$T$37:$T$38</c:f>
              <c:strCache>
                <c:ptCount val="1"/>
                <c:pt idx="0">
                  <c:v>950805m159</c:v>
                </c:pt>
              </c:strCache>
            </c:strRef>
          </c:tx>
          <c:marker>
            <c:symbol val="none"/>
          </c:marker>
          <c:cat>
            <c:strRef>
              <c:f>'Pivot tables'!$A$39:$A$43</c:f>
              <c:strCache>
                <c:ptCount val="4"/>
                <c:pt idx="0">
                  <c:v>pre</c:v>
                </c:pt>
                <c:pt idx="1">
                  <c:v>2yr</c:v>
                </c:pt>
                <c:pt idx="2">
                  <c:v>5yr</c:v>
                </c:pt>
                <c:pt idx="3">
                  <c:v>8yr</c:v>
                </c:pt>
              </c:strCache>
            </c:strRef>
          </c:cat>
          <c:val>
            <c:numRef>
              <c:f>'Pivot tables'!$T$39:$T$43</c:f>
              <c:numCache>
                <c:formatCode>General</c:formatCode>
                <c:ptCount val="4"/>
                <c:pt idx="0">
                  <c:v>27.154513076116668</c:v>
                </c:pt>
                <c:pt idx="1">
                  <c:v>19.002215927079998</c:v>
                </c:pt>
                <c:pt idx="3">
                  <c:v>13.321238825079998</c:v>
                </c:pt>
              </c:numCache>
            </c:numRef>
          </c:val>
          <c:smooth val="0"/>
        </c:ser>
        <c:ser>
          <c:idx val="19"/>
          <c:order val="19"/>
          <c:tx>
            <c:strRef>
              <c:f>'Pivot tables'!$U$37:$U$38</c:f>
              <c:strCache>
                <c:ptCount val="1"/>
                <c:pt idx="0">
                  <c:v>980325m116</c:v>
                </c:pt>
              </c:strCache>
            </c:strRef>
          </c:tx>
          <c:marker>
            <c:symbol val="none"/>
          </c:marker>
          <c:cat>
            <c:strRef>
              <c:f>'Pivot tables'!$A$39:$A$43</c:f>
              <c:strCache>
                <c:ptCount val="4"/>
                <c:pt idx="0">
                  <c:v>pre</c:v>
                </c:pt>
                <c:pt idx="1">
                  <c:v>2yr</c:v>
                </c:pt>
                <c:pt idx="2">
                  <c:v>5yr</c:v>
                </c:pt>
                <c:pt idx="3">
                  <c:v>8yr</c:v>
                </c:pt>
              </c:strCache>
            </c:strRef>
          </c:cat>
          <c:val>
            <c:numRef>
              <c:f>'Pivot tables'!$U$39:$U$43</c:f>
              <c:numCache>
                <c:formatCode>General</c:formatCode>
                <c:ptCount val="4"/>
                <c:pt idx="0">
                  <c:v>11.334479702019999</c:v>
                </c:pt>
                <c:pt idx="1">
                  <c:v>11.791568093600002</c:v>
                </c:pt>
                <c:pt idx="2">
                  <c:v>10.735833027300002</c:v>
                </c:pt>
              </c:numCache>
            </c:numRef>
          </c:val>
          <c:smooth val="0"/>
        </c:ser>
        <c:ser>
          <c:idx val="20"/>
          <c:order val="20"/>
          <c:tx>
            <c:strRef>
              <c:f>'Pivot tables'!$V$37:$V$38</c:f>
              <c:strCache>
                <c:ptCount val="1"/>
                <c:pt idx="0">
                  <c:v>940315m138</c:v>
                </c:pt>
              </c:strCache>
            </c:strRef>
          </c:tx>
          <c:marker>
            <c:symbol val="none"/>
          </c:marker>
          <c:cat>
            <c:strRef>
              <c:f>'Pivot tables'!$A$39:$A$43</c:f>
              <c:strCache>
                <c:ptCount val="4"/>
                <c:pt idx="0">
                  <c:v>pre</c:v>
                </c:pt>
                <c:pt idx="1">
                  <c:v>2yr</c:v>
                </c:pt>
                <c:pt idx="2">
                  <c:v>5yr</c:v>
                </c:pt>
                <c:pt idx="3">
                  <c:v>8yr</c:v>
                </c:pt>
              </c:strCache>
            </c:strRef>
          </c:cat>
          <c:val>
            <c:numRef>
              <c:f>'Pivot tables'!$V$39:$V$43</c:f>
              <c:numCache>
                <c:formatCode>General</c:formatCode>
                <c:ptCount val="4"/>
                <c:pt idx="0">
                  <c:v>10.173285268442855</c:v>
                </c:pt>
                <c:pt idx="1">
                  <c:v>9.6202872716000005</c:v>
                </c:pt>
                <c:pt idx="3">
                  <c:v>11.511986440966668</c:v>
                </c:pt>
              </c:numCache>
            </c:numRef>
          </c:val>
          <c:smooth val="0"/>
        </c:ser>
        <c:ser>
          <c:idx val="21"/>
          <c:order val="21"/>
          <c:tx>
            <c:strRef>
              <c:f>'Pivot tables'!$W$37:$W$38</c:f>
              <c:strCache>
                <c:ptCount val="1"/>
                <c:pt idx="0">
                  <c:v>890202m123</c:v>
                </c:pt>
              </c:strCache>
            </c:strRef>
          </c:tx>
          <c:marker>
            <c:symbol val="none"/>
          </c:marker>
          <c:cat>
            <c:strRef>
              <c:f>'Pivot tables'!$A$39:$A$43</c:f>
              <c:strCache>
                <c:ptCount val="4"/>
                <c:pt idx="0">
                  <c:v>pre</c:v>
                </c:pt>
                <c:pt idx="1">
                  <c:v>2yr</c:v>
                </c:pt>
                <c:pt idx="2">
                  <c:v>5yr</c:v>
                </c:pt>
                <c:pt idx="3">
                  <c:v>8yr</c:v>
                </c:pt>
              </c:strCache>
            </c:strRef>
          </c:cat>
          <c:val>
            <c:numRef>
              <c:f>'Pivot tables'!$W$39:$W$43</c:f>
              <c:numCache>
                <c:formatCode>General</c:formatCode>
                <c:ptCount val="4"/>
                <c:pt idx="0">
                  <c:v>19.330872360766666</c:v>
                </c:pt>
                <c:pt idx="1">
                  <c:v>19.11797057715</c:v>
                </c:pt>
                <c:pt idx="2">
                  <c:v>21.691496080933334</c:v>
                </c:pt>
              </c:numCache>
            </c:numRef>
          </c:val>
          <c:smooth val="0"/>
        </c:ser>
        <c:ser>
          <c:idx val="22"/>
          <c:order val="22"/>
          <c:tx>
            <c:strRef>
              <c:f>'Pivot tables'!$X$37:$X$38</c:f>
              <c:strCache>
                <c:ptCount val="1"/>
                <c:pt idx="0">
                  <c:v>920629v030</c:v>
                </c:pt>
              </c:strCache>
            </c:strRef>
          </c:tx>
          <c:marker>
            <c:symbol val="none"/>
          </c:marker>
          <c:cat>
            <c:strRef>
              <c:f>'Pivot tables'!$A$39:$A$43</c:f>
              <c:strCache>
                <c:ptCount val="4"/>
                <c:pt idx="0">
                  <c:v>pre</c:v>
                </c:pt>
                <c:pt idx="1">
                  <c:v>2yr</c:v>
                </c:pt>
                <c:pt idx="2">
                  <c:v>5yr</c:v>
                </c:pt>
                <c:pt idx="3">
                  <c:v>8yr</c:v>
                </c:pt>
              </c:strCache>
            </c:strRef>
          </c:cat>
          <c:val>
            <c:numRef>
              <c:f>'Pivot tables'!$X$39:$X$43</c:f>
              <c:numCache>
                <c:formatCode>General</c:formatCode>
                <c:ptCount val="4"/>
                <c:pt idx="0">
                  <c:v>18.223141239924999</c:v>
                </c:pt>
                <c:pt idx="1">
                  <c:v>21.681851616400003</c:v>
                </c:pt>
                <c:pt idx="3">
                  <c:v>25.269907257860002</c:v>
                </c:pt>
              </c:numCache>
            </c:numRef>
          </c:val>
          <c:smooth val="0"/>
        </c:ser>
        <c:ser>
          <c:idx val="23"/>
          <c:order val="23"/>
          <c:tx>
            <c:strRef>
              <c:f>'Pivot tables'!$Y$37:$Y$38</c:f>
              <c:strCache>
                <c:ptCount val="1"/>
                <c:pt idx="0">
                  <c:v>910826v099</c:v>
                </c:pt>
              </c:strCache>
            </c:strRef>
          </c:tx>
          <c:marker>
            <c:symbol val="none"/>
          </c:marker>
          <c:cat>
            <c:strRef>
              <c:f>'Pivot tables'!$A$39:$A$43</c:f>
              <c:strCache>
                <c:ptCount val="4"/>
                <c:pt idx="0">
                  <c:v>pre</c:v>
                </c:pt>
                <c:pt idx="1">
                  <c:v>2yr</c:v>
                </c:pt>
                <c:pt idx="2">
                  <c:v>5yr</c:v>
                </c:pt>
                <c:pt idx="3">
                  <c:v>8yr</c:v>
                </c:pt>
              </c:strCache>
            </c:strRef>
          </c:cat>
          <c:val>
            <c:numRef>
              <c:f>'Pivot tables'!$Y$39:$Y$43</c:f>
              <c:numCache>
                <c:formatCode>General</c:formatCode>
                <c:ptCount val="4"/>
                <c:pt idx="0">
                  <c:v>27.26733916145</c:v>
                </c:pt>
                <c:pt idx="1">
                  <c:v>17.894750527487503</c:v>
                </c:pt>
                <c:pt idx="2">
                  <c:v>24.427766342985713</c:v>
                </c:pt>
              </c:numCache>
            </c:numRef>
          </c:val>
          <c:smooth val="0"/>
        </c:ser>
        <c:ser>
          <c:idx val="24"/>
          <c:order val="24"/>
          <c:tx>
            <c:strRef>
              <c:f>'Pivot tables'!$Z$37:$Z$38</c:f>
              <c:strCache>
                <c:ptCount val="1"/>
                <c:pt idx="0">
                  <c:v>000102g046</c:v>
                </c:pt>
              </c:strCache>
            </c:strRef>
          </c:tx>
          <c:marker>
            <c:symbol val="none"/>
          </c:marker>
          <c:cat>
            <c:strRef>
              <c:f>'Pivot tables'!$A$39:$A$43</c:f>
              <c:strCache>
                <c:ptCount val="4"/>
                <c:pt idx="0">
                  <c:v>pre</c:v>
                </c:pt>
                <c:pt idx="1">
                  <c:v>2yr</c:v>
                </c:pt>
                <c:pt idx="2">
                  <c:v>5yr</c:v>
                </c:pt>
                <c:pt idx="3">
                  <c:v>8yr</c:v>
                </c:pt>
              </c:strCache>
            </c:strRef>
          </c:cat>
          <c:val>
            <c:numRef>
              <c:f>'Pivot tables'!$Z$39:$Z$43</c:f>
              <c:numCache>
                <c:formatCode>General</c:formatCode>
                <c:ptCount val="4"/>
                <c:pt idx="0">
                  <c:v>14.882511958725001</c:v>
                </c:pt>
                <c:pt idx="1">
                  <c:v>12.160153177933333</c:v>
                </c:pt>
                <c:pt idx="2">
                  <c:v>20.059974052939999</c:v>
                </c:pt>
              </c:numCache>
            </c:numRef>
          </c:val>
          <c:smooth val="0"/>
        </c:ser>
        <c:ser>
          <c:idx val="25"/>
          <c:order val="25"/>
          <c:tx>
            <c:strRef>
              <c:f>'Pivot tables'!$AA$37:$AA$38</c:f>
              <c:strCache>
                <c:ptCount val="1"/>
                <c:pt idx="0">
                  <c:v>980511m219</c:v>
                </c:pt>
              </c:strCache>
            </c:strRef>
          </c:tx>
          <c:marker>
            <c:symbol val="none"/>
          </c:marker>
          <c:cat>
            <c:strRef>
              <c:f>'Pivot tables'!$A$39:$A$43</c:f>
              <c:strCache>
                <c:ptCount val="4"/>
                <c:pt idx="0">
                  <c:v>pre</c:v>
                </c:pt>
                <c:pt idx="1">
                  <c:v>2yr</c:v>
                </c:pt>
                <c:pt idx="2">
                  <c:v>5yr</c:v>
                </c:pt>
                <c:pt idx="3">
                  <c:v>8yr</c:v>
                </c:pt>
              </c:strCache>
            </c:strRef>
          </c:cat>
          <c:val>
            <c:numRef>
              <c:f>'Pivot tables'!$AA$39:$AA$43</c:f>
              <c:numCache>
                <c:formatCode>General</c:formatCode>
                <c:ptCount val="4"/>
                <c:pt idx="0">
                  <c:v>12.522006109833333</c:v>
                </c:pt>
                <c:pt idx="1">
                  <c:v>25.717053848700001</c:v>
                </c:pt>
                <c:pt idx="2">
                  <c:v>17.762675872744445</c:v>
                </c:pt>
              </c:numCache>
            </c:numRef>
          </c:val>
          <c:smooth val="0"/>
        </c:ser>
        <c:ser>
          <c:idx val="26"/>
          <c:order val="26"/>
          <c:tx>
            <c:strRef>
              <c:f>'Pivot tables'!$AB$37:$AB$38</c:f>
              <c:strCache>
                <c:ptCount val="1"/>
                <c:pt idx="0">
                  <c:v>980512v117</c:v>
                </c:pt>
              </c:strCache>
            </c:strRef>
          </c:tx>
          <c:marker>
            <c:symbol val="none"/>
          </c:marker>
          <c:cat>
            <c:strRef>
              <c:f>'Pivot tables'!$A$39:$A$43</c:f>
              <c:strCache>
                <c:ptCount val="4"/>
                <c:pt idx="0">
                  <c:v>pre</c:v>
                </c:pt>
                <c:pt idx="1">
                  <c:v>2yr</c:v>
                </c:pt>
                <c:pt idx="2">
                  <c:v>5yr</c:v>
                </c:pt>
                <c:pt idx="3">
                  <c:v>8yr</c:v>
                </c:pt>
              </c:strCache>
            </c:strRef>
          </c:cat>
          <c:val>
            <c:numRef>
              <c:f>'Pivot tables'!$AB$39:$AB$43</c:f>
              <c:numCache>
                <c:formatCode>General</c:formatCode>
                <c:ptCount val="4"/>
                <c:pt idx="0">
                  <c:v>22.83610133783333</c:v>
                </c:pt>
                <c:pt idx="1">
                  <c:v>36.372339931125005</c:v>
                </c:pt>
                <c:pt idx="3">
                  <c:v>33.088648145080001</c:v>
                </c:pt>
              </c:numCache>
            </c:numRef>
          </c:val>
          <c:smooth val="0"/>
        </c:ser>
        <c:ser>
          <c:idx val="27"/>
          <c:order val="27"/>
          <c:tx>
            <c:strRef>
              <c:f>'Pivot tables'!$AC$37:$AC$38</c:f>
              <c:strCache>
                <c:ptCount val="1"/>
                <c:pt idx="0">
                  <c:v>960428m114</c:v>
                </c:pt>
              </c:strCache>
            </c:strRef>
          </c:tx>
          <c:marker>
            <c:symbol val="none"/>
          </c:marker>
          <c:cat>
            <c:strRef>
              <c:f>'Pivot tables'!$A$39:$A$43</c:f>
              <c:strCache>
                <c:ptCount val="4"/>
                <c:pt idx="0">
                  <c:v>pre</c:v>
                </c:pt>
                <c:pt idx="1">
                  <c:v>2yr</c:v>
                </c:pt>
                <c:pt idx="2">
                  <c:v>5yr</c:v>
                </c:pt>
                <c:pt idx="3">
                  <c:v>8yr</c:v>
                </c:pt>
              </c:strCache>
            </c:strRef>
          </c:cat>
          <c:val>
            <c:numRef>
              <c:f>'Pivot tables'!$AC$39:$AC$43</c:f>
              <c:numCache>
                <c:formatCode>General</c:formatCode>
                <c:ptCount val="4"/>
                <c:pt idx="0">
                  <c:v>16.530185108675003</c:v>
                </c:pt>
                <c:pt idx="1">
                  <c:v>19.88405399785</c:v>
                </c:pt>
                <c:pt idx="2">
                  <c:v>18.449716039399998</c:v>
                </c:pt>
              </c:numCache>
            </c:numRef>
          </c:val>
          <c:smooth val="0"/>
        </c:ser>
        <c:ser>
          <c:idx val="28"/>
          <c:order val="28"/>
          <c:tx>
            <c:strRef>
              <c:f>'Pivot tables'!$AD$37:$AD$38</c:f>
              <c:strCache>
                <c:ptCount val="1"/>
                <c:pt idx="0">
                  <c:v>970629v068</c:v>
                </c:pt>
              </c:strCache>
            </c:strRef>
          </c:tx>
          <c:marker>
            <c:symbol val="none"/>
          </c:marker>
          <c:cat>
            <c:strRef>
              <c:f>'Pivot tables'!$A$39:$A$43</c:f>
              <c:strCache>
                <c:ptCount val="4"/>
                <c:pt idx="0">
                  <c:v>pre</c:v>
                </c:pt>
                <c:pt idx="1">
                  <c:v>2yr</c:v>
                </c:pt>
                <c:pt idx="2">
                  <c:v>5yr</c:v>
                </c:pt>
                <c:pt idx="3">
                  <c:v>8yr</c:v>
                </c:pt>
              </c:strCache>
            </c:strRef>
          </c:cat>
          <c:val>
            <c:numRef>
              <c:f>'Pivot tables'!$AD$39:$AD$43</c:f>
              <c:numCache>
                <c:formatCode>General</c:formatCode>
                <c:ptCount val="4"/>
                <c:pt idx="0">
                  <c:v>18.341641436050001</c:v>
                </c:pt>
                <c:pt idx="1">
                  <c:v>14.743044833100001</c:v>
                </c:pt>
                <c:pt idx="3">
                  <c:v>11.85265928385</c:v>
                </c:pt>
              </c:numCache>
            </c:numRef>
          </c:val>
          <c:smooth val="0"/>
        </c:ser>
        <c:ser>
          <c:idx val="29"/>
          <c:order val="29"/>
          <c:tx>
            <c:strRef>
              <c:f>'Pivot tables'!$AE$37:$AE$38</c:f>
              <c:strCache>
                <c:ptCount val="1"/>
                <c:pt idx="0">
                  <c:v>970602v069</c:v>
                </c:pt>
              </c:strCache>
            </c:strRef>
          </c:tx>
          <c:marker>
            <c:symbol val="none"/>
          </c:marker>
          <c:cat>
            <c:strRef>
              <c:f>'Pivot tables'!$A$39:$A$43</c:f>
              <c:strCache>
                <c:ptCount val="4"/>
                <c:pt idx="0">
                  <c:v>pre</c:v>
                </c:pt>
                <c:pt idx="1">
                  <c:v>2yr</c:v>
                </c:pt>
                <c:pt idx="2">
                  <c:v>5yr</c:v>
                </c:pt>
                <c:pt idx="3">
                  <c:v>8yr</c:v>
                </c:pt>
              </c:strCache>
            </c:strRef>
          </c:cat>
          <c:val>
            <c:numRef>
              <c:f>'Pivot tables'!$AE$39:$AE$43</c:f>
              <c:numCache>
                <c:formatCode>General</c:formatCode>
                <c:ptCount val="4"/>
                <c:pt idx="0">
                  <c:v>10.152060798199999</c:v>
                </c:pt>
                <c:pt idx="1">
                  <c:v>18.612778627585715</c:v>
                </c:pt>
                <c:pt idx="2">
                  <c:v>22.138826660966668</c:v>
                </c:pt>
                <c:pt idx="3">
                  <c:v>17.899605716033335</c:v>
                </c:pt>
              </c:numCache>
            </c:numRef>
          </c:val>
          <c:smooth val="0"/>
        </c:ser>
        <c:ser>
          <c:idx val="30"/>
          <c:order val="30"/>
          <c:tx>
            <c:strRef>
              <c:f>'Pivot tables'!$AF$37:$AF$38</c:f>
              <c:strCache>
                <c:ptCount val="1"/>
                <c:pt idx="0">
                  <c:v>Average</c:v>
                </c:pt>
              </c:strCache>
            </c:strRef>
          </c:tx>
          <c:spPr>
            <a:ln w="38100">
              <a:solidFill>
                <a:schemeClr val="tx1"/>
              </a:solidFill>
            </a:ln>
          </c:spPr>
          <c:marker>
            <c:symbol val="circle"/>
            <c:size val="7"/>
            <c:spPr>
              <a:solidFill>
                <a:sysClr val="windowText" lastClr="000000"/>
              </a:solidFill>
            </c:spPr>
          </c:marker>
          <c:cat>
            <c:strRef>
              <c:f>'Pivot tables'!$A$39:$A$43</c:f>
              <c:strCache>
                <c:ptCount val="4"/>
                <c:pt idx="0">
                  <c:v>pre</c:v>
                </c:pt>
                <c:pt idx="1">
                  <c:v>2yr</c:v>
                </c:pt>
                <c:pt idx="2">
                  <c:v>5yr</c:v>
                </c:pt>
                <c:pt idx="3">
                  <c:v>8yr</c:v>
                </c:pt>
              </c:strCache>
            </c:strRef>
          </c:cat>
          <c:val>
            <c:numRef>
              <c:f>'Pivot tables'!$AF$39:$AF$43</c:f>
              <c:numCache>
                <c:formatCode>General</c:formatCode>
                <c:ptCount val="4"/>
                <c:pt idx="0">
                  <c:v>18.742420019764488</c:v>
                </c:pt>
                <c:pt idx="1">
                  <c:v>19.166537590444531</c:v>
                </c:pt>
                <c:pt idx="2">
                  <c:v>19.269200725748473</c:v>
                </c:pt>
                <c:pt idx="3">
                  <c:v>19.816024768267305</c:v>
                </c:pt>
              </c:numCache>
            </c:numRef>
          </c:val>
          <c:smooth val="0"/>
        </c:ser>
        <c:ser>
          <c:idx val="31"/>
          <c:order val="31"/>
          <c:tx>
            <c:strRef>
              <c:f>'Pivot tables'!$AG$37:$AG$38</c:f>
              <c:strCache>
                <c:ptCount val="1"/>
                <c:pt idx="0">
                  <c:v>No pathology</c:v>
                </c:pt>
              </c:strCache>
            </c:strRef>
          </c:tx>
          <c:spPr>
            <a:ln w="38100">
              <a:solidFill>
                <a:schemeClr val="tx1"/>
              </a:solidFill>
            </a:ln>
          </c:spPr>
          <c:marker>
            <c:symbol val="none"/>
          </c:marker>
          <c:cat>
            <c:strRef>
              <c:f>'Pivot tables'!$A$39:$A$43</c:f>
              <c:strCache>
                <c:ptCount val="4"/>
                <c:pt idx="0">
                  <c:v>pre</c:v>
                </c:pt>
                <c:pt idx="1">
                  <c:v>2yr</c:v>
                </c:pt>
                <c:pt idx="2">
                  <c:v>5yr</c:v>
                </c:pt>
                <c:pt idx="3">
                  <c:v>8yr</c:v>
                </c:pt>
              </c:strCache>
            </c:strRef>
          </c:cat>
          <c:val>
            <c:numRef>
              <c:f>'Pivot tables'!$AG$39:$AG$43</c:f>
              <c:numCache>
                <c:formatCode>General</c:formatCode>
                <c:ptCount val="4"/>
                <c:pt idx="0">
                  <c:v>11.442583475709089</c:v>
                </c:pt>
                <c:pt idx="1">
                  <c:v>11.442583475709089</c:v>
                </c:pt>
                <c:pt idx="2">
                  <c:v>11.442583475709089</c:v>
                </c:pt>
                <c:pt idx="3">
                  <c:v>11.442583475709089</c:v>
                </c:pt>
              </c:numCache>
            </c:numRef>
          </c:val>
          <c:smooth val="0"/>
        </c:ser>
        <c:ser>
          <c:idx val="32"/>
          <c:order val="32"/>
          <c:tx>
            <c:strRef>
              <c:f>'Pivot tables'!$AH$37:$AH$38</c:f>
              <c:strCache>
                <c:ptCount val="1"/>
                <c:pt idx="0">
                  <c:v>patient 1-31</c:v>
                </c:pt>
              </c:strCache>
            </c:strRef>
          </c:tx>
          <c:cat>
            <c:strRef>
              <c:f>'Pivot tables'!$A$39:$A$43</c:f>
              <c:strCache>
                <c:ptCount val="4"/>
                <c:pt idx="0">
                  <c:v>pre</c:v>
                </c:pt>
                <c:pt idx="1">
                  <c:v>2yr</c:v>
                </c:pt>
                <c:pt idx="2">
                  <c:v>5yr</c:v>
                </c:pt>
                <c:pt idx="3">
                  <c:v>8yr</c:v>
                </c:pt>
              </c:strCache>
            </c:strRef>
          </c:cat>
          <c:val>
            <c:numRef>
              <c:f>'Pivot tables'!$AH$39:$AH$43</c:f>
              <c:numCache>
                <c:formatCode>General</c:formatCode>
                <c:ptCount val="4"/>
                <c:pt idx="0">
                  <c:v>25.646307143766666</c:v>
                </c:pt>
                <c:pt idx="1">
                  <c:v>23.702251584833334</c:v>
                </c:pt>
                <c:pt idx="2">
                  <c:v>29.1765697815</c:v>
                </c:pt>
              </c:numCache>
            </c:numRef>
          </c:val>
          <c:smooth val="0"/>
        </c:ser>
        <c:dLbls>
          <c:showLegendKey val="0"/>
          <c:showVal val="0"/>
          <c:showCatName val="0"/>
          <c:showSerName val="0"/>
          <c:showPercent val="0"/>
          <c:showBubbleSize val="0"/>
        </c:dLbls>
        <c:marker val="1"/>
        <c:smooth val="0"/>
        <c:axId val="185714560"/>
        <c:axId val="186109952"/>
      </c:lineChart>
      <c:catAx>
        <c:axId val="185714560"/>
        <c:scaling>
          <c:orientation val="minMax"/>
        </c:scaling>
        <c:delete val="0"/>
        <c:axPos val="b"/>
        <c:title>
          <c:tx>
            <c:rich>
              <a:bodyPr/>
              <a:lstStyle/>
              <a:p>
                <a:pPr>
                  <a:defRPr/>
                </a:pPr>
                <a:r>
                  <a:rPr lang="nl-BE"/>
                  <a:t>Timing</a:t>
                </a:r>
              </a:p>
            </c:rich>
          </c:tx>
          <c:overlay val="0"/>
        </c:title>
        <c:numFmt formatCode="General" sourceLinked="0"/>
        <c:majorTickMark val="none"/>
        <c:minorTickMark val="none"/>
        <c:tickLblPos val="nextTo"/>
        <c:crossAx val="186109952"/>
        <c:crosses val="autoZero"/>
        <c:auto val="1"/>
        <c:lblAlgn val="ctr"/>
        <c:lblOffset val="100"/>
        <c:noMultiLvlLbl val="0"/>
      </c:catAx>
      <c:valAx>
        <c:axId val="186109952"/>
        <c:scaling>
          <c:orientation val="minMax"/>
        </c:scaling>
        <c:delete val="0"/>
        <c:axPos val="l"/>
        <c:title>
          <c:tx>
            <c:rich>
              <a:bodyPr rot="-5400000" vert="horz"/>
              <a:lstStyle/>
              <a:p>
                <a:pPr>
                  <a:defRPr/>
                </a:pPr>
                <a:r>
                  <a:rPr lang="nl-BE"/>
                  <a:t>deg </a:t>
                </a:r>
              </a:p>
            </c:rich>
          </c:tx>
          <c:overlay val="0"/>
        </c:title>
        <c:numFmt formatCode="General" sourceLinked="1"/>
        <c:majorTickMark val="none"/>
        <c:minorTickMark val="none"/>
        <c:tickLblPos val="nextTo"/>
        <c:crossAx val="185714560"/>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pivotSource>
    <c:name>[grafieken per patiënt per parameter.xlsx]Pivot tables!Draaitabel11</c:name>
    <c:fmtId val="-1"/>
  </c:pivotSource>
  <c:chart>
    <c:title>
      <c:tx>
        <c:rich>
          <a:bodyPr/>
          <a:lstStyle/>
          <a:p>
            <a:pPr>
              <a:defRPr>
                <a:solidFill>
                  <a:sysClr val="windowText" lastClr="000000"/>
                </a:solidFill>
              </a:defRPr>
            </a:pPr>
            <a:r>
              <a:rPr lang="nl-BE">
                <a:solidFill>
                  <a:sysClr val="windowText" lastClr="000000"/>
                </a:solidFill>
              </a:rPr>
              <a:t>Maximum </a:t>
            </a:r>
            <a:r>
              <a:rPr lang="nl-BE" baseline="0">
                <a:solidFill>
                  <a:sysClr val="windowText" lastClr="000000"/>
                </a:solidFill>
              </a:rPr>
              <a:t>hip extension in stance</a:t>
            </a:r>
            <a:endParaRPr lang="nl-BE">
              <a:solidFill>
                <a:sysClr val="windowText" lastClr="000000"/>
              </a:solidFill>
            </a:endParaRPr>
          </a:p>
        </c:rich>
      </c:tx>
      <c:overlay val="0"/>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spPr>
          <a:ln w="38100">
            <a:solidFill>
              <a:schemeClr val="tx1"/>
            </a:solidFill>
          </a:ln>
        </c:spPr>
        <c:marker>
          <c:symbol val="circle"/>
          <c:size val="7"/>
          <c:spPr>
            <a:solidFill>
              <a:schemeClr val="tx1"/>
            </a:solidFill>
          </c:spPr>
        </c:marker>
      </c:pivotFmt>
      <c:pivotFmt>
        <c:idx val="218"/>
        <c:spPr>
          <a:ln w="38100">
            <a:solidFill>
              <a:schemeClr val="tx1"/>
            </a:solidFill>
          </a:ln>
        </c:spPr>
        <c:marker>
          <c:symbol val="none"/>
        </c:marker>
      </c:pivotFmt>
      <c:pivotFmt>
        <c:idx val="219"/>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spPr>
          <a:ln w="38100">
            <a:solidFill>
              <a:schemeClr val="tx1"/>
            </a:solidFill>
          </a:ln>
        </c:spPr>
        <c:marker>
          <c:symbol val="circle"/>
          <c:size val="7"/>
          <c:spPr>
            <a:solidFill>
              <a:schemeClr val="tx1"/>
            </a:solidFill>
          </c:spPr>
        </c:marker>
      </c:pivotFmt>
      <c:pivotFmt>
        <c:idx val="251"/>
        <c:spPr>
          <a:ln w="38100">
            <a:solidFill>
              <a:schemeClr val="tx1"/>
            </a:solidFill>
          </a:ln>
        </c:spPr>
        <c:marker>
          <c:symbol val="none"/>
        </c:marker>
      </c:pivotFmt>
      <c:pivotFmt>
        <c:idx val="252"/>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spPr>
          <a:ln w="38100">
            <a:solidFill>
              <a:schemeClr val="tx1"/>
            </a:solidFill>
          </a:ln>
        </c:spPr>
        <c:marker>
          <c:symbol val="circle"/>
          <c:size val="7"/>
          <c:spPr>
            <a:solidFill>
              <a:schemeClr val="tx1"/>
            </a:solidFill>
          </c:spPr>
        </c:marker>
      </c:pivotFmt>
      <c:pivotFmt>
        <c:idx val="284"/>
        <c:spPr>
          <a:ln w="38100">
            <a:solidFill>
              <a:schemeClr val="tx1"/>
            </a:solidFill>
          </a:ln>
        </c:spPr>
        <c:marker>
          <c:symbol val="none"/>
        </c:marker>
      </c:pivotFmt>
      <c:pivotFmt>
        <c:idx val="285"/>
      </c:pivotFmt>
    </c:pivotFmts>
    <c:plotArea>
      <c:layout/>
      <c:lineChart>
        <c:grouping val="standard"/>
        <c:varyColors val="0"/>
        <c:ser>
          <c:idx val="0"/>
          <c:order val="0"/>
          <c:tx>
            <c:strRef>
              <c:f>'Pivot tables'!$B$136:$B$137</c:f>
              <c:strCache>
                <c:ptCount val="1"/>
                <c:pt idx="0">
                  <c:v>010616b061</c:v>
                </c:pt>
              </c:strCache>
            </c:strRef>
          </c:tx>
          <c:marker>
            <c:symbol val="none"/>
          </c:marker>
          <c:cat>
            <c:strRef>
              <c:f>'Pivot tables'!$A$138:$A$142</c:f>
              <c:strCache>
                <c:ptCount val="4"/>
                <c:pt idx="0">
                  <c:v>pre</c:v>
                </c:pt>
                <c:pt idx="1">
                  <c:v>2yr</c:v>
                </c:pt>
                <c:pt idx="2">
                  <c:v>5yr</c:v>
                </c:pt>
                <c:pt idx="3">
                  <c:v>8yr</c:v>
                </c:pt>
              </c:strCache>
            </c:strRef>
          </c:cat>
          <c:val>
            <c:numRef>
              <c:f>'Pivot tables'!$B$138:$B$142</c:f>
              <c:numCache>
                <c:formatCode>General</c:formatCode>
                <c:ptCount val="4"/>
                <c:pt idx="0">
                  <c:v>-8.9447720845333336</c:v>
                </c:pt>
                <c:pt idx="1">
                  <c:v>-6.6089839935333332</c:v>
                </c:pt>
                <c:pt idx="2">
                  <c:v>-1.96314929425</c:v>
                </c:pt>
                <c:pt idx="3">
                  <c:v>4.7076621055666665</c:v>
                </c:pt>
              </c:numCache>
            </c:numRef>
          </c:val>
          <c:smooth val="0"/>
        </c:ser>
        <c:ser>
          <c:idx val="1"/>
          <c:order val="1"/>
          <c:tx>
            <c:strRef>
              <c:f>'Pivot tables'!$C$136:$C$137</c:f>
              <c:strCache>
                <c:ptCount val="1"/>
                <c:pt idx="0">
                  <c:v>960905m314</c:v>
                </c:pt>
              </c:strCache>
            </c:strRef>
          </c:tx>
          <c:marker>
            <c:symbol val="none"/>
          </c:marker>
          <c:cat>
            <c:strRef>
              <c:f>'Pivot tables'!$A$138:$A$142</c:f>
              <c:strCache>
                <c:ptCount val="4"/>
                <c:pt idx="0">
                  <c:v>pre</c:v>
                </c:pt>
                <c:pt idx="1">
                  <c:v>2yr</c:v>
                </c:pt>
                <c:pt idx="2">
                  <c:v>5yr</c:v>
                </c:pt>
                <c:pt idx="3">
                  <c:v>8yr</c:v>
                </c:pt>
              </c:strCache>
            </c:strRef>
          </c:cat>
          <c:val>
            <c:numRef>
              <c:f>'Pivot tables'!$C$138:$C$142</c:f>
              <c:numCache>
                <c:formatCode>General</c:formatCode>
                <c:ptCount val="4"/>
                <c:pt idx="0">
                  <c:v>3.1057081222500003</c:v>
                </c:pt>
                <c:pt idx="1">
                  <c:v>-2.4775080482000003</c:v>
                </c:pt>
                <c:pt idx="2">
                  <c:v>2.9898746411166663</c:v>
                </c:pt>
                <c:pt idx="3">
                  <c:v>3.0671630303000001</c:v>
                </c:pt>
              </c:numCache>
            </c:numRef>
          </c:val>
          <c:smooth val="0"/>
        </c:ser>
        <c:ser>
          <c:idx val="2"/>
          <c:order val="2"/>
          <c:tx>
            <c:strRef>
              <c:f>'Pivot tables'!$D$136:$D$137</c:f>
              <c:strCache>
                <c:ptCount val="1"/>
                <c:pt idx="0">
                  <c:v>970602m038</c:v>
                </c:pt>
              </c:strCache>
            </c:strRef>
          </c:tx>
          <c:marker>
            <c:symbol val="none"/>
          </c:marker>
          <c:cat>
            <c:strRef>
              <c:f>'Pivot tables'!$A$138:$A$142</c:f>
              <c:strCache>
                <c:ptCount val="4"/>
                <c:pt idx="0">
                  <c:v>pre</c:v>
                </c:pt>
                <c:pt idx="1">
                  <c:v>2yr</c:v>
                </c:pt>
                <c:pt idx="2">
                  <c:v>5yr</c:v>
                </c:pt>
                <c:pt idx="3">
                  <c:v>8yr</c:v>
                </c:pt>
              </c:strCache>
            </c:strRef>
          </c:cat>
          <c:val>
            <c:numRef>
              <c:f>'Pivot tables'!$D$138:$D$142</c:f>
              <c:numCache>
                <c:formatCode>General</c:formatCode>
                <c:ptCount val="4"/>
                <c:pt idx="0">
                  <c:v>7.5605759620799997</c:v>
                </c:pt>
                <c:pt idx="1">
                  <c:v>4.8284201621999996</c:v>
                </c:pt>
                <c:pt idx="2">
                  <c:v>10.993173408519999</c:v>
                </c:pt>
                <c:pt idx="3">
                  <c:v>9.4830419676428583</c:v>
                </c:pt>
              </c:numCache>
            </c:numRef>
          </c:val>
          <c:smooth val="0"/>
        </c:ser>
        <c:ser>
          <c:idx val="3"/>
          <c:order val="3"/>
          <c:tx>
            <c:strRef>
              <c:f>'Pivot tables'!$E$136:$E$137</c:f>
              <c:strCache>
                <c:ptCount val="1"/>
                <c:pt idx="0">
                  <c:v>901117v039</c:v>
                </c:pt>
              </c:strCache>
            </c:strRef>
          </c:tx>
          <c:marker>
            <c:symbol val="none"/>
          </c:marker>
          <c:cat>
            <c:strRef>
              <c:f>'Pivot tables'!$A$138:$A$142</c:f>
              <c:strCache>
                <c:ptCount val="4"/>
                <c:pt idx="0">
                  <c:v>pre</c:v>
                </c:pt>
                <c:pt idx="1">
                  <c:v>2yr</c:v>
                </c:pt>
                <c:pt idx="2">
                  <c:v>5yr</c:v>
                </c:pt>
                <c:pt idx="3">
                  <c:v>8yr</c:v>
                </c:pt>
              </c:strCache>
            </c:strRef>
          </c:cat>
          <c:val>
            <c:numRef>
              <c:f>'Pivot tables'!$E$138:$E$142</c:f>
              <c:numCache>
                <c:formatCode>General</c:formatCode>
                <c:ptCount val="4"/>
                <c:pt idx="0">
                  <c:v>28.47944259643333</c:v>
                </c:pt>
                <c:pt idx="2">
                  <c:v>16.434361866542854</c:v>
                </c:pt>
              </c:numCache>
            </c:numRef>
          </c:val>
          <c:smooth val="0"/>
        </c:ser>
        <c:ser>
          <c:idx val="4"/>
          <c:order val="4"/>
          <c:tx>
            <c:strRef>
              <c:f>'Pivot tables'!$F$136:$F$137</c:f>
              <c:strCache>
                <c:ptCount val="1"/>
                <c:pt idx="0">
                  <c:v>991112v027</c:v>
                </c:pt>
              </c:strCache>
            </c:strRef>
          </c:tx>
          <c:marker>
            <c:symbol val="none"/>
          </c:marker>
          <c:cat>
            <c:strRef>
              <c:f>'Pivot tables'!$A$138:$A$142</c:f>
              <c:strCache>
                <c:ptCount val="4"/>
                <c:pt idx="0">
                  <c:v>pre</c:v>
                </c:pt>
                <c:pt idx="1">
                  <c:v>2yr</c:v>
                </c:pt>
                <c:pt idx="2">
                  <c:v>5yr</c:v>
                </c:pt>
                <c:pt idx="3">
                  <c:v>8yr</c:v>
                </c:pt>
              </c:strCache>
            </c:strRef>
          </c:cat>
          <c:val>
            <c:numRef>
              <c:f>'Pivot tables'!$F$138:$F$142</c:f>
              <c:numCache>
                <c:formatCode>General</c:formatCode>
                <c:ptCount val="4"/>
                <c:pt idx="0">
                  <c:v>1.6849955022333336</c:v>
                </c:pt>
                <c:pt idx="1">
                  <c:v>9.0602976935285717</c:v>
                </c:pt>
                <c:pt idx="2">
                  <c:v>10.583051045716667</c:v>
                </c:pt>
                <c:pt idx="3">
                  <c:v>12.324973651342859</c:v>
                </c:pt>
              </c:numCache>
            </c:numRef>
          </c:val>
          <c:smooth val="0"/>
        </c:ser>
        <c:ser>
          <c:idx val="5"/>
          <c:order val="5"/>
          <c:tx>
            <c:strRef>
              <c:f>'Pivot tables'!$G$136:$G$137</c:f>
              <c:strCache>
                <c:ptCount val="1"/>
                <c:pt idx="0">
                  <c:v>910507m071</c:v>
                </c:pt>
              </c:strCache>
            </c:strRef>
          </c:tx>
          <c:marker>
            <c:symbol val="none"/>
          </c:marker>
          <c:cat>
            <c:strRef>
              <c:f>'Pivot tables'!$A$138:$A$142</c:f>
              <c:strCache>
                <c:ptCount val="4"/>
                <c:pt idx="0">
                  <c:v>pre</c:v>
                </c:pt>
                <c:pt idx="1">
                  <c:v>2yr</c:v>
                </c:pt>
                <c:pt idx="2">
                  <c:v>5yr</c:v>
                </c:pt>
                <c:pt idx="3">
                  <c:v>8yr</c:v>
                </c:pt>
              </c:strCache>
            </c:strRef>
          </c:cat>
          <c:val>
            <c:numRef>
              <c:f>'Pivot tables'!$G$138:$G$142</c:f>
              <c:numCache>
                <c:formatCode>General</c:formatCode>
                <c:ptCount val="4"/>
                <c:pt idx="0">
                  <c:v>10.828963160512501</c:v>
                </c:pt>
                <c:pt idx="1">
                  <c:v>2.349047690625</c:v>
                </c:pt>
                <c:pt idx="3">
                  <c:v>0.45157623474999997</c:v>
                </c:pt>
              </c:numCache>
            </c:numRef>
          </c:val>
          <c:smooth val="0"/>
        </c:ser>
        <c:ser>
          <c:idx val="6"/>
          <c:order val="6"/>
          <c:tx>
            <c:strRef>
              <c:f>'Pivot tables'!$H$136:$H$137</c:f>
              <c:strCache>
                <c:ptCount val="1"/>
                <c:pt idx="0">
                  <c:v>921107v089</c:v>
                </c:pt>
              </c:strCache>
            </c:strRef>
          </c:tx>
          <c:marker>
            <c:symbol val="none"/>
          </c:marker>
          <c:cat>
            <c:strRef>
              <c:f>'Pivot tables'!$A$138:$A$142</c:f>
              <c:strCache>
                <c:ptCount val="4"/>
                <c:pt idx="0">
                  <c:v>pre</c:v>
                </c:pt>
                <c:pt idx="1">
                  <c:v>2yr</c:v>
                </c:pt>
                <c:pt idx="2">
                  <c:v>5yr</c:v>
                </c:pt>
                <c:pt idx="3">
                  <c:v>8yr</c:v>
                </c:pt>
              </c:strCache>
            </c:strRef>
          </c:cat>
          <c:val>
            <c:numRef>
              <c:f>'Pivot tables'!$H$138:$H$142</c:f>
              <c:numCache>
                <c:formatCode>General</c:formatCode>
                <c:ptCount val="4"/>
                <c:pt idx="0">
                  <c:v>0.52219810915555565</c:v>
                </c:pt>
                <c:pt idx="1">
                  <c:v>5.0429908831999999</c:v>
                </c:pt>
                <c:pt idx="3">
                  <c:v>7.1217948368714286</c:v>
                </c:pt>
              </c:numCache>
            </c:numRef>
          </c:val>
          <c:smooth val="0"/>
        </c:ser>
        <c:ser>
          <c:idx val="7"/>
          <c:order val="7"/>
          <c:tx>
            <c:strRef>
              <c:f>'Pivot tables'!$I$136:$I$137</c:f>
              <c:strCache>
                <c:ptCount val="1"/>
                <c:pt idx="0">
                  <c:v>921013m117</c:v>
                </c:pt>
              </c:strCache>
            </c:strRef>
          </c:tx>
          <c:marker>
            <c:symbol val="none"/>
          </c:marker>
          <c:cat>
            <c:strRef>
              <c:f>'Pivot tables'!$A$138:$A$142</c:f>
              <c:strCache>
                <c:ptCount val="4"/>
                <c:pt idx="0">
                  <c:v>pre</c:v>
                </c:pt>
                <c:pt idx="1">
                  <c:v>2yr</c:v>
                </c:pt>
                <c:pt idx="2">
                  <c:v>5yr</c:v>
                </c:pt>
                <c:pt idx="3">
                  <c:v>8yr</c:v>
                </c:pt>
              </c:strCache>
            </c:strRef>
          </c:cat>
          <c:val>
            <c:numRef>
              <c:f>'Pivot tables'!$I$138:$I$142</c:f>
              <c:numCache>
                <c:formatCode>General</c:formatCode>
                <c:ptCount val="4"/>
                <c:pt idx="0">
                  <c:v>1.3055737301999999</c:v>
                </c:pt>
                <c:pt idx="1">
                  <c:v>0.79041095814999995</c:v>
                </c:pt>
                <c:pt idx="3">
                  <c:v>-0.79336103051666662</c:v>
                </c:pt>
              </c:numCache>
            </c:numRef>
          </c:val>
          <c:smooth val="0"/>
        </c:ser>
        <c:ser>
          <c:idx val="8"/>
          <c:order val="8"/>
          <c:tx>
            <c:strRef>
              <c:f>'Pivot tables'!$J$136:$J$137</c:f>
              <c:strCache>
                <c:ptCount val="1"/>
                <c:pt idx="0">
                  <c:v>981222v116</c:v>
                </c:pt>
              </c:strCache>
            </c:strRef>
          </c:tx>
          <c:marker>
            <c:symbol val="none"/>
          </c:marker>
          <c:cat>
            <c:strRef>
              <c:f>'Pivot tables'!$A$138:$A$142</c:f>
              <c:strCache>
                <c:ptCount val="4"/>
                <c:pt idx="0">
                  <c:v>pre</c:v>
                </c:pt>
                <c:pt idx="1">
                  <c:v>2yr</c:v>
                </c:pt>
                <c:pt idx="2">
                  <c:v>5yr</c:v>
                </c:pt>
                <c:pt idx="3">
                  <c:v>8yr</c:v>
                </c:pt>
              </c:strCache>
            </c:strRef>
          </c:cat>
          <c:val>
            <c:numRef>
              <c:f>'Pivot tables'!$J$138:$J$142</c:f>
              <c:numCache>
                <c:formatCode>General</c:formatCode>
                <c:ptCount val="4"/>
                <c:pt idx="0">
                  <c:v>12.407335599266666</c:v>
                </c:pt>
                <c:pt idx="2">
                  <c:v>1.5741252854400001</c:v>
                </c:pt>
                <c:pt idx="3">
                  <c:v>6.085784244540001</c:v>
                </c:pt>
              </c:numCache>
            </c:numRef>
          </c:val>
          <c:smooth val="0"/>
        </c:ser>
        <c:ser>
          <c:idx val="9"/>
          <c:order val="9"/>
          <c:tx>
            <c:strRef>
              <c:f>'Pivot tables'!$K$136:$K$137</c:f>
              <c:strCache>
                <c:ptCount val="1"/>
                <c:pt idx="0">
                  <c:v>980310m240</c:v>
                </c:pt>
              </c:strCache>
            </c:strRef>
          </c:tx>
          <c:marker>
            <c:symbol val="none"/>
          </c:marker>
          <c:cat>
            <c:strRef>
              <c:f>'Pivot tables'!$A$138:$A$142</c:f>
              <c:strCache>
                <c:ptCount val="4"/>
                <c:pt idx="0">
                  <c:v>pre</c:v>
                </c:pt>
                <c:pt idx="1">
                  <c:v>2yr</c:v>
                </c:pt>
                <c:pt idx="2">
                  <c:v>5yr</c:v>
                </c:pt>
                <c:pt idx="3">
                  <c:v>8yr</c:v>
                </c:pt>
              </c:strCache>
            </c:strRef>
          </c:cat>
          <c:val>
            <c:numRef>
              <c:f>'Pivot tables'!$K$138:$K$142</c:f>
              <c:numCache>
                <c:formatCode>General</c:formatCode>
                <c:ptCount val="4"/>
                <c:pt idx="0">
                  <c:v>0.12984052300000004</c:v>
                </c:pt>
                <c:pt idx="1">
                  <c:v>3.2964831590714287</c:v>
                </c:pt>
                <c:pt idx="2">
                  <c:v>0.56636597324285709</c:v>
                </c:pt>
              </c:numCache>
            </c:numRef>
          </c:val>
          <c:smooth val="0"/>
        </c:ser>
        <c:ser>
          <c:idx val="10"/>
          <c:order val="10"/>
          <c:tx>
            <c:strRef>
              <c:f>'Pivot tables'!$L$136:$L$137</c:f>
              <c:strCache>
                <c:ptCount val="1"/>
                <c:pt idx="0">
                  <c:v>990206m010</c:v>
                </c:pt>
              </c:strCache>
            </c:strRef>
          </c:tx>
          <c:marker>
            <c:symbol val="none"/>
          </c:marker>
          <c:cat>
            <c:strRef>
              <c:f>'Pivot tables'!$A$138:$A$142</c:f>
              <c:strCache>
                <c:ptCount val="4"/>
                <c:pt idx="0">
                  <c:v>pre</c:v>
                </c:pt>
                <c:pt idx="1">
                  <c:v>2yr</c:v>
                </c:pt>
                <c:pt idx="2">
                  <c:v>5yr</c:v>
                </c:pt>
                <c:pt idx="3">
                  <c:v>8yr</c:v>
                </c:pt>
              </c:strCache>
            </c:strRef>
          </c:cat>
          <c:val>
            <c:numRef>
              <c:f>'Pivot tables'!$L$138:$L$142</c:f>
              <c:numCache>
                <c:formatCode>General</c:formatCode>
                <c:ptCount val="4"/>
                <c:pt idx="0">
                  <c:v>4.2329862117666659</c:v>
                </c:pt>
                <c:pt idx="1">
                  <c:v>-1.1683057943999999</c:v>
                </c:pt>
                <c:pt idx="2">
                  <c:v>3.2195172111166666</c:v>
                </c:pt>
              </c:numCache>
            </c:numRef>
          </c:val>
          <c:smooth val="0"/>
        </c:ser>
        <c:ser>
          <c:idx val="11"/>
          <c:order val="11"/>
          <c:tx>
            <c:strRef>
              <c:f>'Pivot tables'!$M$136:$M$137</c:f>
              <c:strCache>
                <c:ptCount val="1"/>
                <c:pt idx="0">
                  <c:v>941028m142</c:v>
                </c:pt>
              </c:strCache>
            </c:strRef>
          </c:tx>
          <c:marker>
            <c:symbol val="none"/>
          </c:marker>
          <c:cat>
            <c:strRef>
              <c:f>'Pivot tables'!$A$138:$A$142</c:f>
              <c:strCache>
                <c:ptCount val="4"/>
                <c:pt idx="0">
                  <c:v>pre</c:v>
                </c:pt>
                <c:pt idx="1">
                  <c:v>2yr</c:v>
                </c:pt>
                <c:pt idx="2">
                  <c:v>5yr</c:v>
                </c:pt>
                <c:pt idx="3">
                  <c:v>8yr</c:v>
                </c:pt>
              </c:strCache>
            </c:strRef>
          </c:cat>
          <c:val>
            <c:numRef>
              <c:f>'Pivot tables'!$M$138:$M$142</c:f>
              <c:numCache>
                <c:formatCode>General</c:formatCode>
                <c:ptCount val="4"/>
                <c:pt idx="0">
                  <c:v>11.792428731899999</c:v>
                </c:pt>
                <c:pt idx="1">
                  <c:v>11.2345535755</c:v>
                </c:pt>
                <c:pt idx="2">
                  <c:v>5.1298509836333333</c:v>
                </c:pt>
                <c:pt idx="3">
                  <c:v>8.8420985341250002</c:v>
                </c:pt>
              </c:numCache>
            </c:numRef>
          </c:val>
          <c:smooth val="0"/>
        </c:ser>
        <c:ser>
          <c:idx val="12"/>
          <c:order val="12"/>
          <c:tx>
            <c:strRef>
              <c:f>'Pivot tables'!$N$136:$N$137</c:f>
              <c:strCache>
                <c:ptCount val="1"/>
                <c:pt idx="0">
                  <c:v>950921m174</c:v>
                </c:pt>
              </c:strCache>
            </c:strRef>
          </c:tx>
          <c:marker>
            <c:symbol val="none"/>
          </c:marker>
          <c:cat>
            <c:strRef>
              <c:f>'Pivot tables'!$A$138:$A$142</c:f>
              <c:strCache>
                <c:ptCount val="4"/>
                <c:pt idx="0">
                  <c:v>pre</c:v>
                </c:pt>
                <c:pt idx="1">
                  <c:v>2yr</c:v>
                </c:pt>
                <c:pt idx="2">
                  <c:v>5yr</c:v>
                </c:pt>
                <c:pt idx="3">
                  <c:v>8yr</c:v>
                </c:pt>
              </c:strCache>
            </c:strRef>
          </c:cat>
          <c:val>
            <c:numRef>
              <c:f>'Pivot tables'!$N$138:$N$142</c:f>
              <c:numCache>
                <c:formatCode>General</c:formatCode>
                <c:ptCount val="4"/>
                <c:pt idx="0">
                  <c:v>5.2387326785571426</c:v>
                </c:pt>
                <c:pt idx="1">
                  <c:v>5.8140649795500003</c:v>
                </c:pt>
                <c:pt idx="2">
                  <c:v>7.0102409362999989</c:v>
                </c:pt>
                <c:pt idx="3">
                  <c:v>1.768312394616667</c:v>
                </c:pt>
              </c:numCache>
            </c:numRef>
          </c:val>
          <c:smooth val="0"/>
        </c:ser>
        <c:ser>
          <c:idx val="13"/>
          <c:order val="13"/>
          <c:tx>
            <c:strRef>
              <c:f>'Pivot tables'!$O$136:$O$137</c:f>
              <c:strCache>
                <c:ptCount val="1"/>
                <c:pt idx="0">
                  <c:v>981228m104</c:v>
                </c:pt>
              </c:strCache>
            </c:strRef>
          </c:tx>
          <c:marker>
            <c:symbol val="none"/>
          </c:marker>
          <c:cat>
            <c:strRef>
              <c:f>'Pivot tables'!$A$138:$A$142</c:f>
              <c:strCache>
                <c:ptCount val="4"/>
                <c:pt idx="0">
                  <c:v>pre</c:v>
                </c:pt>
                <c:pt idx="1">
                  <c:v>2yr</c:v>
                </c:pt>
                <c:pt idx="2">
                  <c:v>5yr</c:v>
                </c:pt>
                <c:pt idx="3">
                  <c:v>8yr</c:v>
                </c:pt>
              </c:strCache>
            </c:strRef>
          </c:cat>
          <c:val>
            <c:numRef>
              <c:f>'Pivot tables'!$O$138:$O$142</c:f>
              <c:numCache>
                <c:formatCode>General</c:formatCode>
                <c:ptCount val="4"/>
                <c:pt idx="0">
                  <c:v>19.816517512000001</c:v>
                </c:pt>
                <c:pt idx="1">
                  <c:v>9.3431971867666661</c:v>
                </c:pt>
                <c:pt idx="2">
                  <c:v>6.6431804657000004</c:v>
                </c:pt>
                <c:pt idx="3">
                  <c:v>4.431980262183334</c:v>
                </c:pt>
              </c:numCache>
            </c:numRef>
          </c:val>
          <c:smooth val="0"/>
        </c:ser>
        <c:ser>
          <c:idx val="14"/>
          <c:order val="14"/>
          <c:tx>
            <c:strRef>
              <c:f>'Pivot tables'!$P$136:$P$137</c:f>
              <c:strCache>
                <c:ptCount val="1"/>
                <c:pt idx="0">
                  <c:v>900219m048</c:v>
                </c:pt>
              </c:strCache>
            </c:strRef>
          </c:tx>
          <c:marker>
            <c:symbol val="none"/>
          </c:marker>
          <c:cat>
            <c:strRef>
              <c:f>'Pivot tables'!$A$138:$A$142</c:f>
              <c:strCache>
                <c:ptCount val="4"/>
                <c:pt idx="0">
                  <c:v>pre</c:v>
                </c:pt>
                <c:pt idx="1">
                  <c:v>2yr</c:v>
                </c:pt>
                <c:pt idx="2">
                  <c:v>5yr</c:v>
                </c:pt>
                <c:pt idx="3">
                  <c:v>8yr</c:v>
                </c:pt>
              </c:strCache>
            </c:strRef>
          </c:cat>
          <c:val>
            <c:numRef>
              <c:f>'Pivot tables'!$P$138:$P$142</c:f>
              <c:numCache>
                <c:formatCode>General</c:formatCode>
                <c:ptCount val="4"/>
                <c:pt idx="0">
                  <c:v>33.906764136422225</c:v>
                </c:pt>
                <c:pt idx="1">
                  <c:v>21.923957252520001</c:v>
                </c:pt>
                <c:pt idx="3">
                  <c:v>29.244545255400002</c:v>
                </c:pt>
              </c:numCache>
            </c:numRef>
          </c:val>
          <c:smooth val="0"/>
        </c:ser>
        <c:ser>
          <c:idx val="15"/>
          <c:order val="15"/>
          <c:tx>
            <c:strRef>
              <c:f>'Pivot tables'!$Q$136:$Q$137</c:f>
              <c:strCache>
                <c:ptCount val="1"/>
                <c:pt idx="0">
                  <c:v>930219m144</c:v>
                </c:pt>
              </c:strCache>
            </c:strRef>
          </c:tx>
          <c:marker>
            <c:symbol val="none"/>
          </c:marker>
          <c:cat>
            <c:strRef>
              <c:f>'Pivot tables'!$A$138:$A$142</c:f>
              <c:strCache>
                <c:ptCount val="4"/>
                <c:pt idx="0">
                  <c:v>pre</c:v>
                </c:pt>
                <c:pt idx="1">
                  <c:v>2yr</c:v>
                </c:pt>
                <c:pt idx="2">
                  <c:v>5yr</c:v>
                </c:pt>
                <c:pt idx="3">
                  <c:v>8yr</c:v>
                </c:pt>
              </c:strCache>
            </c:strRef>
          </c:cat>
          <c:val>
            <c:numRef>
              <c:f>'Pivot tables'!$Q$138:$Q$142</c:f>
              <c:numCache>
                <c:formatCode>General</c:formatCode>
                <c:ptCount val="4"/>
                <c:pt idx="0">
                  <c:v>18.88701926337778</c:v>
                </c:pt>
                <c:pt idx="1">
                  <c:v>15.173396110533334</c:v>
                </c:pt>
                <c:pt idx="2">
                  <c:v>17.309664408333333</c:v>
                </c:pt>
                <c:pt idx="3">
                  <c:v>18.304919815080002</c:v>
                </c:pt>
              </c:numCache>
            </c:numRef>
          </c:val>
          <c:smooth val="0"/>
        </c:ser>
        <c:ser>
          <c:idx val="16"/>
          <c:order val="16"/>
          <c:tx>
            <c:strRef>
              <c:f>'Pivot tables'!$R$136:$R$137</c:f>
              <c:strCache>
                <c:ptCount val="1"/>
                <c:pt idx="0">
                  <c:v>931013v114</c:v>
                </c:pt>
              </c:strCache>
            </c:strRef>
          </c:tx>
          <c:marker>
            <c:symbol val="none"/>
          </c:marker>
          <c:cat>
            <c:strRef>
              <c:f>'Pivot tables'!$A$138:$A$142</c:f>
              <c:strCache>
                <c:ptCount val="4"/>
                <c:pt idx="0">
                  <c:v>pre</c:v>
                </c:pt>
                <c:pt idx="1">
                  <c:v>2yr</c:v>
                </c:pt>
                <c:pt idx="2">
                  <c:v>5yr</c:v>
                </c:pt>
                <c:pt idx="3">
                  <c:v>8yr</c:v>
                </c:pt>
              </c:strCache>
            </c:strRef>
          </c:cat>
          <c:val>
            <c:numRef>
              <c:f>'Pivot tables'!$R$138:$R$142</c:f>
              <c:numCache>
                <c:formatCode>General</c:formatCode>
                <c:ptCount val="4"/>
                <c:pt idx="0">
                  <c:v>15.623672326400003</c:v>
                </c:pt>
                <c:pt idx="1">
                  <c:v>-1.7683945596250001</c:v>
                </c:pt>
              </c:numCache>
            </c:numRef>
          </c:val>
          <c:smooth val="0"/>
        </c:ser>
        <c:ser>
          <c:idx val="17"/>
          <c:order val="17"/>
          <c:tx>
            <c:strRef>
              <c:f>'Pivot tables'!$S$136:$S$137</c:f>
              <c:strCache>
                <c:ptCount val="1"/>
                <c:pt idx="0">
                  <c:v>940223m261</c:v>
                </c:pt>
              </c:strCache>
            </c:strRef>
          </c:tx>
          <c:marker>
            <c:symbol val="none"/>
          </c:marker>
          <c:cat>
            <c:strRef>
              <c:f>'Pivot tables'!$A$138:$A$142</c:f>
              <c:strCache>
                <c:ptCount val="4"/>
                <c:pt idx="0">
                  <c:v>pre</c:v>
                </c:pt>
                <c:pt idx="1">
                  <c:v>2yr</c:v>
                </c:pt>
                <c:pt idx="2">
                  <c:v>5yr</c:v>
                </c:pt>
                <c:pt idx="3">
                  <c:v>8yr</c:v>
                </c:pt>
              </c:strCache>
            </c:strRef>
          </c:cat>
          <c:val>
            <c:numRef>
              <c:f>'Pivot tables'!$S$138:$S$142</c:f>
              <c:numCache>
                <c:formatCode>General</c:formatCode>
                <c:ptCount val="4"/>
                <c:pt idx="0">
                  <c:v>48.564822196975001</c:v>
                </c:pt>
                <c:pt idx="1">
                  <c:v>12.027959505700002</c:v>
                </c:pt>
                <c:pt idx="3">
                  <c:v>35.2278951009</c:v>
                </c:pt>
              </c:numCache>
            </c:numRef>
          </c:val>
          <c:smooth val="0"/>
        </c:ser>
        <c:ser>
          <c:idx val="18"/>
          <c:order val="18"/>
          <c:tx>
            <c:strRef>
              <c:f>'Pivot tables'!$T$136:$T$137</c:f>
              <c:strCache>
                <c:ptCount val="1"/>
                <c:pt idx="0">
                  <c:v>950805m159</c:v>
                </c:pt>
              </c:strCache>
            </c:strRef>
          </c:tx>
          <c:marker>
            <c:symbol val="none"/>
          </c:marker>
          <c:cat>
            <c:strRef>
              <c:f>'Pivot tables'!$A$138:$A$142</c:f>
              <c:strCache>
                <c:ptCount val="4"/>
                <c:pt idx="0">
                  <c:v>pre</c:v>
                </c:pt>
                <c:pt idx="1">
                  <c:v>2yr</c:v>
                </c:pt>
                <c:pt idx="2">
                  <c:v>5yr</c:v>
                </c:pt>
                <c:pt idx="3">
                  <c:v>8yr</c:v>
                </c:pt>
              </c:strCache>
            </c:strRef>
          </c:cat>
          <c:val>
            <c:numRef>
              <c:f>'Pivot tables'!$T$138:$T$142</c:f>
              <c:numCache>
                <c:formatCode>General</c:formatCode>
                <c:ptCount val="4"/>
                <c:pt idx="0">
                  <c:v>6.4956128597500005</c:v>
                </c:pt>
                <c:pt idx="1">
                  <c:v>8.8353380580000002E-2</c:v>
                </c:pt>
                <c:pt idx="3">
                  <c:v>-2.0964410066600001</c:v>
                </c:pt>
              </c:numCache>
            </c:numRef>
          </c:val>
          <c:smooth val="0"/>
        </c:ser>
        <c:ser>
          <c:idx val="19"/>
          <c:order val="19"/>
          <c:tx>
            <c:strRef>
              <c:f>'Pivot tables'!$U$136:$U$137</c:f>
              <c:strCache>
                <c:ptCount val="1"/>
                <c:pt idx="0">
                  <c:v>980325m116</c:v>
                </c:pt>
              </c:strCache>
            </c:strRef>
          </c:tx>
          <c:marker>
            <c:symbol val="none"/>
          </c:marker>
          <c:cat>
            <c:strRef>
              <c:f>'Pivot tables'!$A$138:$A$142</c:f>
              <c:strCache>
                <c:ptCount val="4"/>
                <c:pt idx="0">
                  <c:v>pre</c:v>
                </c:pt>
                <c:pt idx="1">
                  <c:v>2yr</c:v>
                </c:pt>
                <c:pt idx="2">
                  <c:v>5yr</c:v>
                </c:pt>
                <c:pt idx="3">
                  <c:v>8yr</c:v>
                </c:pt>
              </c:strCache>
            </c:strRef>
          </c:cat>
          <c:val>
            <c:numRef>
              <c:f>'Pivot tables'!$U$138:$U$142</c:f>
              <c:numCache>
                <c:formatCode>General</c:formatCode>
                <c:ptCount val="4"/>
                <c:pt idx="0">
                  <c:v>-4.8606099128799993</c:v>
                </c:pt>
                <c:pt idx="1">
                  <c:v>-3.0530698599999961E-2</c:v>
                </c:pt>
                <c:pt idx="2">
                  <c:v>-4.2748909791333336</c:v>
                </c:pt>
              </c:numCache>
            </c:numRef>
          </c:val>
          <c:smooth val="0"/>
        </c:ser>
        <c:ser>
          <c:idx val="20"/>
          <c:order val="20"/>
          <c:tx>
            <c:strRef>
              <c:f>'Pivot tables'!$V$136:$V$137</c:f>
              <c:strCache>
                <c:ptCount val="1"/>
                <c:pt idx="0">
                  <c:v>940315m138</c:v>
                </c:pt>
              </c:strCache>
            </c:strRef>
          </c:tx>
          <c:marker>
            <c:symbol val="none"/>
          </c:marker>
          <c:cat>
            <c:strRef>
              <c:f>'Pivot tables'!$A$138:$A$142</c:f>
              <c:strCache>
                <c:ptCount val="4"/>
                <c:pt idx="0">
                  <c:v>pre</c:v>
                </c:pt>
                <c:pt idx="1">
                  <c:v>2yr</c:v>
                </c:pt>
                <c:pt idx="2">
                  <c:v>5yr</c:v>
                </c:pt>
                <c:pt idx="3">
                  <c:v>8yr</c:v>
                </c:pt>
              </c:strCache>
            </c:strRef>
          </c:cat>
          <c:val>
            <c:numRef>
              <c:f>'Pivot tables'!$V$138:$V$142</c:f>
              <c:numCache>
                <c:formatCode>General</c:formatCode>
                <c:ptCount val="4"/>
                <c:pt idx="0">
                  <c:v>2.1956895334285713</c:v>
                </c:pt>
                <c:pt idx="1">
                  <c:v>-3.3070780515800005</c:v>
                </c:pt>
                <c:pt idx="3">
                  <c:v>0.76183014363333335</c:v>
                </c:pt>
              </c:numCache>
            </c:numRef>
          </c:val>
          <c:smooth val="0"/>
        </c:ser>
        <c:ser>
          <c:idx val="21"/>
          <c:order val="21"/>
          <c:tx>
            <c:strRef>
              <c:f>'Pivot tables'!$W$136:$W$137</c:f>
              <c:strCache>
                <c:ptCount val="1"/>
                <c:pt idx="0">
                  <c:v>890202m123</c:v>
                </c:pt>
              </c:strCache>
            </c:strRef>
          </c:tx>
          <c:marker>
            <c:symbol val="none"/>
          </c:marker>
          <c:cat>
            <c:strRef>
              <c:f>'Pivot tables'!$A$138:$A$142</c:f>
              <c:strCache>
                <c:ptCount val="4"/>
                <c:pt idx="0">
                  <c:v>pre</c:v>
                </c:pt>
                <c:pt idx="1">
                  <c:v>2yr</c:v>
                </c:pt>
                <c:pt idx="2">
                  <c:v>5yr</c:v>
                </c:pt>
                <c:pt idx="3">
                  <c:v>8yr</c:v>
                </c:pt>
              </c:strCache>
            </c:strRef>
          </c:cat>
          <c:val>
            <c:numRef>
              <c:f>'Pivot tables'!$W$138:$W$142</c:f>
              <c:numCache>
                <c:formatCode>General</c:formatCode>
                <c:ptCount val="4"/>
                <c:pt idx="0">
                  <c:v>10.475707848866668</c:v>
                </c:pt>
                <c:pt idx="1">
                  <c:v>4.9907311201000004</c:v>
                </c:pt>
                <c:pt idx="2">
                  <c:v>9.3457698822166666</c:v>
                </c:pt>
              </c:numCache>
            </c:numRef>
          </c:val>
          <c:smooth val="0"/>
        </c:ser>
        <c:ser>
          <c:idx val="22"/>
          <c:order val="22"/>
          <c:tx>
            <c:strRef>
              <c:f>'Pivot tables'!$X$136:$X$137</c:f>
              <c:strCache>
                <c:ptCount val="1"/>
                <c:pt idx="0">
                  <c:v>920629v030</c:v>
                </c:pt>
              </c:strCache>
            </c:strRef>
          </c:tx>
          <c:marker>
            <c:symbol val="none"/>
          </c:marker>
          <c:cat>
            <c:strRef>
              <c:f>'Pivot tables'!$A$138:$A$142</c:f>
              <c:strCache>
                <c:ptCount val="4"/>
                <c:pt idx="0">
                  <c:v>pre</c:v>
                </c:pt>
                <c:pt idx="1">
                  <c:v>2yr</c:v>
                </c:pt>
                <c:pt idx="2">
                  <c:v>5yr</c:v>
                </c:pt>
                <c:pt idx="3">
                  <c:v>8yr</c:v>
                </c:pt>
              </c:strCache>
            </c:strRef>
          </c:cat>
          <c:val>
            <c:numRef>
              <c:f>'Pivot tables'!$X$138:$X$142</c:f>
              <c:numCache>
                <c:formatCode>General</c:formatCode>
                <c:ptCount val="4"/>
                <c:pt idx="0">
                  <c:v>4.1186636090500004</c:v>
                </c:pt>
                <c:pt idx="1">
                  <c:v>7.5144596099749998</c:v>
                </c:pt>
                <c:pt idx="3">
                  <c:v>15.34694843294</c:v>
                </c:pt>
              </c:numCache>
            </c:numRef>
          </c:val>
          <c:smooth val="0"/>
        </c:ser>
        <c:ser>
          <c:idx val="23"/>
          <c:order val="23"/>
          <c:tx>
            <c:strRef>
              <c:f>'Pivot tables'!$Y$136:$Y$137</c:f>
              <c:strCache>
                <c:ptCount val="1"/>
                <c:pt idx="0">
                  <c:v>910826v099</c:v>
                </c:pt>
              </c:strCache>
            </c:strRef>
          </c:tx>
          <c:marker>
            <c:symbol val="none"/>
          </c:marker>
          <c:cat>
            <c:strRef>
              <c:f>'Pivot tables'!$A$138:$A$142</c:f>
              <c:strCache>
                <c:ptCount val="4"/>
                <c:pt idx="0">
                  <c:v>pre</c:v>
                </c:pt>
                <c:pt idx="1">
                  <c:v>2yr</c:v>
                </c:pt>
                <c:pt idx="2">
                  <c:v>5yr</c:v>
                </c:pt>
                <c:pt idx="3">
                  <c:v>8yr</c:v>
                </c:pt>
              </c:strCache>
            </c:strRef>
          </c:cat>
          <c:val>
            <c:numRef>
              <c:f>'Pivot tables'!$Y$138:$Y$142</c:f>
              <c:numCache>
                <c:formatCode>General</c:formatCode>
                <c:ptCount val="4"/>
                <c:pt idx="0">
                  <c:v>9.6780471006999989</c:v>
                </c:pt>
                <c:pt idx="1">
                  <c:v>6.5016383528750019</c:v>
                </c:pt>
                <c:pt idx="2">
                  <c:v>8.7885510580999995</c:v>
                </c:pt>
              </c:numCache>
            </c:numRef>
          </c:val>
          <c:smooth val="0"/>
        </c:ser>
        <c:ser>
          <c:idx val="24"/>
          <c:order val="24"/>
          <c:tx>
            <c:strRef>
              <c:f>'Pivot tables'!$Z$136:$Z$137</c:f>
              <c:strCache>
                <c:ptCount val="1"/>
                <c:pt idx="0">
                  <c:v>000102g046</c:v>
                </c:pt>
              </c:strCache>
            </c:strRef>
          </c:tx>
          <c:marker>
            <c:symbol val="none"/>
          </c:marker>
          <c:cat>
            <c:strRef>
              <c:f>'Pivot tables'!$A$138:$A$142</c:f>
              <c:strCache>
                <c:ptCount val="4"/>
                <c:pt idx="0">
                  <c:v>pre</c:v>
                </c:pt>
                <c:pt idx="1">
                  <c:v>2yr</c:v>
                </c:pt>
                <c:pt idx="2">
                  <c:v>5yr</c:v>
                </c:pt>
                <c:pt idx="3">
                  <c:v>8yr</c:v>
                </c:pt>
              </c:strCache>
            </c:strRef>
          </c:cat>
          <c:val>
            <c:numRef>
              <c:f>'Pivot tables'!$Z$138:$Z$142</c:f>
              <c:numCache>
                <c:formatCode>General</c:formatCode>
                <c:ptCount val="4"/>
                <c:pt idx="0">
                  <c:v>13.052588462849998</c:v>
                </c:pt>
                <c:pt idx="1">
                  <c:v>3.3478481570833334</c:v>
                </c:pt>
                <c:pt idx="2">
                  <c:v>7.0820111274599995</c:v>
                </c:pt>
              </c:numCache>
            </c:numRef>
          </c:val>
          <c:smooth val="0"/>
        </c:ser>
        <c:ser>
          <c:idx val="25"/>
          <c:order val="25"/>
          <c:tx>
            <c:strRef>
              <c:f>'Pivot tables'!$AA$136:$AA$137</c:f>
              <c:strCache>
                <c:ptCount val="1"/>
                <c:pt idx="0">
                  <c:v>980511m219</c:v>
                </c:pt>
              </c:strCache>
            </c:strRef>
          </c:tx>
          <c:marker>
            <c:symbol val="none"/>
          </c:marker>
          <c:cat>
            <c:strRef>
              <c:f>'Pivot tables'!$A$138:$A$142</c:f>
              <c:strCache>
                <c:ptCount val="4"/>
                <c:pt idx="0">
                  <c:v>pre</c:v>
                </c:pt>
                <c:pt idx="1">
                  <c:v>2yr</c:v>
                </c:pt>
                <c:pt idx="2">
                  <c:v>5yr</c:v>
                </c:pt>
                <c:pt idx="3">
                  <c:v>8yr</c:v>
                </c:pt>
              </c:strCache>
            </c:strRef>
          </c:cat>
          <c:val>
            <c:numRef>
              <c:f>'Pivot tables'!$AA$138:$AA$142</c:f>
              <c:numCache>
                <c:formatCode>General</c:formatCode>
                <c:ptCount val="4"/>
                <c:pt idx="0">
                  <c:v>23.610374450666669</c:v>
                </c:pt>
                <c:pt idx="1">
                  <c:v>32.610707600899993</c:v>
                </c:pt>
                <c:pt idx="2">
                  <c:v>22.004535675055553</c:v>
                </c:pt>
              </c:numCache>
            </c:numRef>
          </c:val>
          <c:smooth val="0"/>
        </c:ser>
        <c:ser>
          <c:idx val="26"/>
          <c:order val="26"/>
          <c:tx>
            <c:strRef>
              <c:f>'Pivot tables'!$AB$136:$AB$137</c:f>
              <c:strCache>
                <c:ptCount val="1"/>
                <c:pt idx="0">
                  <c:v>980512v117</c:v>
                </c:pt>
              </c:strCache>
            </c:strRef>
          </c:tx>
          <c:marker>
            <c:symbol val="none"/>
          </c:marker>
          <c:cat>
            <c:strRef>
              <c:f>'Pivot tables'!$A$138:$A$142</c:f>
              <c:strCache>
                <c:ptCount val="4"/>
                <c:pt idx="0">
                  <c:v>pre</c:v>
                </c:pt>
                <c:pt idx="1">
                  <c:v>2yr</c:v>
                </c:pt>
                <c:pt idx="2">
                  <c:v>5yr</c:v>
                </c:pt>
                <c:pt idx="3">
                  <c:v>8yr</c:v>
                </c:pt>
              </c:strCache>
            </c:strRef>
          </c:cat>
          <c:val>
            <c:numRef>
              <c:f>'Pivot tables'!$AB$138:$AB$142</c:f>
              <c:numCache>
                <c:formatCode>General</c:formatCode>
                <c:ptCount val="4"/>
                <c:pt idx="0">
                  <c:v>17.353733698516667</c:v>
                </c:pt>
                <c:pt idx="1">
                  <c:v>12.734297990799998</c:v>
                </c:pt>
                <c:pt idx="3">
                  <c:v>8.7239017486600012</c:v>
                </c:pt>
              </c:numCache>
            </c:numRef>
          </c:val>
          <c:smooth val="0"/>
        </c:ser>
        <c:ser>
          <c:idx val="27"/>
          <c:order val="27"/>
          <c:tx>
            <c:strRef>
              <c:f>'Pivot tables'!$AC$136:$AC$137</c:f>
              <c:strCache>
                <c:ptCount val="1"/>
                <c:pt idx="0">
                  <c:v>960428m114</c:v>
                </c:pt>
              </c:strCache>
            </c:strRef>
          </c:tx>
          <c:marker>
            <c:symbol val="none"/>
          </c:marker>
          <c:cat>
            <c:strRef>
              <c:f>'Pivot tables'!$A$138:$A$142</c:f>
              <c:strCache>
                <c:ptCount val="4"/>
                <c:pt idx="0">
                  <c:v>pre</c:v>
                </c:pt>
                <c:pt idx="1">
                  <c:v>2yr</c:v>
                </c:pt>
                <c:pt idx="2">
                  <c:v>5yr</c:v>
                </c:pt>
                <c:pt idx="3">
                  <c:v>8yr</c:v>
                </c:pt>
              </c:strCache>
            </c:strRef>
          </c:cat>
          <c:val>
            <c:numRef>
              <c:f>'Pivot tables'!$AC$138:$AC$142</c:f>
              <c:numCache>
                <c:formatCode>General</c:formatCode>
                <c:ptCount val="4"/>
                <c:pt idx="0">
                  <c:v>11.173306226725</c:v>
                </c:pt>
                <c:pt idx="1">
                  <c:v>11.6025047302</c:v>
                </c:pt>
                <c:pt idx="2">
                  <c:v>9.2638021469199998</c:v>
                </c:pt>
              </c:numCache>
            </c:numRef>
          </c:val>
          <c:smooth val="0"/>
        </c:ser>
        <c:ser>
          <c:idx val="28"/>
          <c:order val="28"/>
          <c:tx>
            <c:strRef>
              <c:f>'Pivot tables'!$AD$136:$AD$137</c:f>
              <c:strCache>
                <c:ptCount val="1"/>
                <c:pt idx="0">
                  <c:v>970629v068</c:v>
                </c:pt>
              </c:strCache>
            </c:strRef>
          </c:tx>
          <c:marker>
            <c:symbol val="none"/>
          </c:marker>
          <c:cat>
            <c:strRef>
              <c:f>'Pivot tables'!$A$138:$A$142</c:f>
              <c:strCache>
                <c:ptCount val="4"/>
                <c:pt idx="0">
                  <c:v>pre</c:v>
                </c:pt>
                <c:pt idx="1">
                  <c:v>2yr</c:v>
                </c:pt>
                <c:pt idx="2">
                  <c:v>5yr</c:v>
                </c:pt>
                <c:pt idx="3">
                  <c:v>8yr</c:v>
                </c:pt>
              </c:strCache>
            </c:strRef>
          </c:cat>
          <c:val>
            <c:numRef>
              <c:f>'Pivot tables'!$AD$138:$AD$142</c:f>
              <c:numCache>
                <c:formatCode>General</c:formatCode>
                <c:ptCount val="4"/>
                <c:pt idx="0">
                  <c:v>0.35886134208750031</c:v>
                </c:pt>
                <c:pt idx="1">
                  <c:v>6.1780279159600004</c:v>
                </c:pt>
                <c:pt idx="3">
                  <c:v>3.8221799135166665</c:v>
                </c:pt>
              </c:numCache>
            </c:numRef>
          </c:val>
          <c:smooth val="0"/>
        </c:ser>
        <c:ser>
          <c:idx val="29"/>
          <c:order val="29"/>
          <c:tx>
            <c:strRef>
              <c:f>'Pivot tables'!$AE$136:$AE$137</c:f>
              <c:strCache>
                <c:ptCount val="1"/>
                <c:pt idx="0">
                  <c:v>970602v069</c:v>
                </c:pt>
              </c:strCache>
            </c:strRef>
          </c:tx>
          <c:marker>
            <c:symbol val="none"/>
          </c:marker>
          <c:cat>
            <c:strRef>
              <c:f>'Pivot tables'!$A$138:$A$142</c:f>
              <c:strCache>
                <c:ptCount val="4"/>
                <c:pt idx="0">
                  <c:v>pre</c:v>
                </c:pt>
                <c:pt idx="1">
                  <c:v>2yr</c:v>
                </c:pt>
                <c:pt idx="2">
                  <c:v>5yr</c:v>
                </c:pt>
                <c:pt idx="3">
                  <c:v>8yr</c:v>
                </c:pt>
              </c:strCache>
            </c:strRef>
          </c:cat>
          <c:val>
            <c:numRef>
              <c:f>'Pivot tables'!$AE$138:$AE$142</c:f>
              <c:numCache>
                <c:formatCode>General</c:formatCode>
                <c:ptCount val="4"/>
                <c:pt idx="0">
                  <c:v>3.6749354203333335</c:v>
                </c:pt>
                <c:pt idx="1">
                  <c:v>4.6795721735142859</c:v>
                </c:pt>
                <c:pt idx="2">
                  <c:v>6.5156992276666665</c:v>
                </c:pt>
                <c:pt idx="3">
                  <c:v>2.8810001214500001</c:v>
                </c:pt>
              </c:numCache>
            </c:numRef>
          </c:val>
          <c:smooth val="0"/>
        </c:ser>
        <c:ser>
          <c:idx val="30"/>
          <c:order val="30"/>
          <c:tx>
            <c:strRef>
              <c:f>'Pivot tables'!$AF$136:$AF$137</c:f>
              <c:strCache>
                <c:ptCount val="1"/>
                <c:pt idx="0">
                  <c:v>Average</c:v>
                </c:pt>
              </c:strCache>
            </c:strRef>
          </c:tx>
          <c:spPr>
            <a:ln w="38100">
              <a:solidFill>
                <a:schemeClr val="tx1"/>
              </a:solidFill>
            </a:ln>
          </c:spPr>
          <c:marker>
            <c:symbol val="circle"/>
            <c:size val="7"/>
            <c:spPr>
              <a:solidFill>
                <a:schemeClr val="tx1"/>
              </a:solidFill>
            </c:spPr>
          </c:marker>
          <c:cat>
            <c:strRef>
              <c:f>'Pivot tables'!$A$138:$A$142</c:f>
              <c:strCache>
                <c:ptCount val="4"/>
                <c:pt idx="0">
                  <c:v>pre</c:v>
                </c:pt>
                <c:pt idx="1">
                  <c:v>2yr</c:v>
                </c:pt>
                <c:pt idx="2">
                  <c:v>5yr</c:v>
                </c:pt>
                <c:pt idx="3">
                  <c:v>8yr</c:v>
                </c:pt>
              </c:strCache>
            </c:strRef>
          </c:cat>
          <c:val>
            <c:numRef>
              <c:f>'Pivot tables'!$AF$138:$AF$142</c:f>
              <c:numCache>
                <c:formatCode>General</c:formatCode>
                <c:ptCount val="4"/>
                <c:pt idx="0">
                  <c:v>10.638535523874989</c:v>
                </c:pt>
                <c:pt idx="1">
                  <c:v>6.3314116740411821</c:v>
                </c:pt>
                <c:pt idx="2">
                  <c:v>8.4154762800423963</c:v>
                </c:pt>
                <c:pt idx="3">
                  <c:v>8.4853902878171077</c:v>
                </c:pt>
              </c:numCache>
            </c:numRef>
          </c:val>
          <c:smooth val="0"/>
        </c:ser>
        <c:ser>
          <c:idx val="31"/>
          <c:order val="31"/>
          <c:tx>
            <c:strRef>
              <c:f>'Pivot tables'!$AG$136:$AG$137</c:f>
              <c:strCache>
                <c:ptCount val="1"/>
                <c:pt idx="0">
                  <c:v>No pathology</c:v>
                </c:pt>
              </c:strCache>
            </c:strRef>
          </c:tx>
          <c:spPr>
            <a:ln w="38100">
              <a:solidFill>
                <a:schemeClr val="tx1"/>
              </a:solidFill>
            </a:ln>
          </c:spPr>
          <c:marker>
            <c:symbol val="none"/>
          </c:marker>
          <c:cat>
            <c:strRef>
              <c:f>'Pivot tables'!$A$138:$A$142</c:f>
              <c:strCache>
                <c:ptCount val="4"/>
                <c:pt idx="0">
                  <c:v>pre</c:v>
                </c:pt>
                <c:pt idx="1">
                  <c:v>2yr</c:v>
                </c:pt>
                <c:pt idx="2">
                  <c:v>5yr</c:v>
                </c:pt>
                <c:pt idx="3">
                  <c:v>8yr</c:v>
                </c:pt>
              </c:strCache>
            </c:strRef>
          </c:cat>
          <c:val>
            <c:numRef>
              <c:f>'Pivot tables'!$AG$138:$AG$142</c:f>
              <c:numCache>
                <c:formatCode>General</c:formatCode>
                <c:ptCount val="4"/>
                <c:pt idx="0">
                  <c:v>-9.8847634873616848</c:v>
                </c:pt>
                <c:pt idx="1">
                  <c:v>-9.8847634873616848</c:v>
                </c:pt>
                <c:pt idx="2">
                  <c:v>-9.8847634873616848</c:v>
                </c:pt>
                <c:pt idx="3">
                  <c:v>-9.8847634873616848</c:v>
                </c:pt>
              </c:numCache>
            </c:numRef>
          </c:val>
          <c:smooth val="0"/>
        </c:ser>
        <c:ser>
          <c:idx val="32"/>
          <c:order val="32"/>
          <c:tx>
            <c:strRef>
              <c:f>'Pivot tables'!$AH$136:$AH$137</c:f>
              <c:strCache>
                <c:ptCount val="1"/>
                <c:pt idx="0">
                  <c:v>patient 1-31</c:v>
                </c:pt>
              </c:strCache>
            </c:strRef>
          </c:tx>
          <c:cat>
            <c:strRef>
              <c:f>'Pivot tables'!$A$138:$A$142</c:f>
              <c:strCache>
                <c:ptCount val="4"/>
                <c:pt idx="0">
                  <c:v>pre</c:v>
                </c:pt>
                <c:pt idx="1">
                  <c:v>2yr</c:v>
                </c:pt>
                <c:pt idx="2">
                  <c:v>5yr</c:v>
                </c:pt>
                <c:pt idx="3">
                  <c:v>8yr</c:v>
                </c:pt>
              </c:strCache>
            </c:strRef>
          </c:cat>
          <c:val>
            <c:numRef>
              <c:f>'Pivot tables'!$AH$138:$AH$142</c:f>
              <c:numCache>
                <c:formatCode>General</c:formatCode>
                <c:ptCount val="4"/>
                <c:pt idx="0">
                  <c:v>17.324886322033333</c:v>
                </c:pt>
                <c:pt idx="1">
                  <c:v>7.8388195037999999</c:v>
                </c:pt>
                <c:pt idx="2">
                  <c:v>29.093790531149999</c:v>
                </c:pt>
              </c:numCache>
            </c:numRef>
          </c:val>
          <c:smooth val="0"/>
        </c:ser>
        <c:dLbls>
          <c:showLegendKey val="0"/>
          <c:showVal val="0"/>
          <c:showCatName val="0"/>
          <c:showSerName val="0"/>
          <c:showPercent val="0"/>
          <c:showBubbleSize val="0"/>
        </c:dLbls>
        <c:marker val="1"/>
        <c:smooth val="0"/>
        <c:axId val="190551168"/>
        <c:axId val="190553088"/>
      </c:lineChart>
      <c:catAx>
        <c:axId val="190551168"/>
        <c:scaling>
          <c:orientation val="minMax"/>
        </c:scaling>
        <c:delete val="0"/>
        <c:axPos val="b"/>
        <c:title>
          <c:tx>
            <c:rich>
              <a:bodyPr/>
              <a:lstStyle/>
              <a:p>
                <a:pPr>
                  <a:defRPr/>
                </a:pPr>
                <a:r>
                  <a:rPr lang="nl-BE"/>
                  <a:t>Timing</a:t>
                </a:r>
              </a:p>
            </c:rich>
          </c:tx>
          <c:overlay val="0"/>
        </c:title>
        <c:numFmt formatCode="General" sourceLinked="0"/>
        <c:majorTickMark val="none"/>
        <c:minorTickMark val="none"/>
        <c:tickLblPos val="nextTo"/>
        <c:crossAx val="190553088"/>
        <c:crosses val="autoZero"/>
        <c:auto val="1"/>
        <c:lblAlgn val="ctr"/>
        <c:lblOffset val="100"/>
        <c:noMultiLvlLbl val="0"/>
      </c:catAx>
      <c:valAx>
        <c:axId val="190553088"/>
        <c:scaling>
          <c:orientation val="minMax"/>
        </c:scaling>
        <c:delete val="0"/>
        <c:axPos val="l"/>
        <c:title>
          <c:tx>
            <c:rich>
              <a:bodyPr rot="-5400000" vert="horz"/>
              <a:lstStyle/>
              <a:p>
                <a:pPr>
                  <a:defRPr/>
                </a:pPr>
                <a:r>
                  <a:rPr lang="nl-BE"/>
                  <a:t>deg</a:t>
                </a:r>
              </a:p>
            </c:rich>
          </c:tx>
          <c:overlay val="0"/>
        </c:title>
        <c:numFmt formatCode="General" sourceLinked="1"/>
        <c:majorTickMark val="none"/>
        <c:minorTickMark val="none"/>
        <c:tickLblPos val="nextTo"/>
        <c:crossAx val="190551168"/>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pivotSource>
    <c:name>[grafieken per patiënt per parameter.xlsx]Pivot tables!Draaitabel17</c:name>
    <c:fmtId val="-1"/>
  </c:pivotSource>
  <c:chart>
    <c:title>
      <c:tx>
        <c:rich>
          <a:bodyPr/>
          <a:lstStyle/>
          <a:p>
            <a:pPr>
              <a:defRPr>
                <a:solidFill>
                  <a:sysClr val="windowText" lastClr="000000"/>
                </a:solidFill>
              </a:defRPr>
            </a:pPr>
            <a:r>
              <a:rPr lang="nl-BE">
                <a:solidFill>
                  <a:sysClr val="windowText" lastClr="000000"/>
                </a:solidFill>
              </a:rPr>
              <a:t>Mean</a:t>
            </a:r>
            <a:r>
              <a:rPr lang="nl-BE" baseline="0">
                <a:solidFill>
                  <a:sysClr val="windowText" lastClr="000000"/>
                </a:solidFill>
              </a:rPr>
              <a:t> hip rotation in stance</a:t>
            </a:r>
            <a:endParaRPr lang="nl-BE">
              <a:solidFill>
                <a:sysClr val="windowText" lastClr="000000"/>
              </a:solidFill>
            </a:endParaRPr>
          </a:p>
        </c:rich>
      </c:tx>
      <c:overlay val="0"/>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spPr>
          <a:ln w="38100">
            <a:solidFill>
              <a:schemeClr val="tx1"/>
            </a:solidFill>
          </a:ln>
        </c:spPr>
        <c:marker>
          <c:symbol val="circle"/>
          <c:size val="7"/>
          <c:spPr>
            <a:solidFill>
              <a:schemeClr val="tx1"/>
            </a:solidFill>
          </c:spPr>
        </c:marker>
      </c:pivotFmt>
      <c:pivotFmt>
        <c:idx val="218"/>
        <c:spPr>
          <a:ln w="38100">
            <a:solidFill>
              <a:schemeClr val="tx1"/>
            </a:solidFill>
          </a:ln>
        </c:spPr>
        <c:marker>
          <c:symbol val="none"/>
        </c:marker>
      </c:pivotFmt>
      <c:pivotFmt>
        <c:idx val="219"/>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spPr>
          <a:ln w="38100">
            <a:solidFill>
              <a:schemeClr val="tx1"/>
            </a:solidFill>
          </a:ln>
        </c:spPr>
        <c:marker>
          <c:symbol val="circle"/>
          <c:size val="7"/>
          <c:spPr>
            <a:solidFill>
              <a:schemeClr val="tx1"/>
            </a:solidFill>
          </c:spPr>
        </c:marker>
      </c:pivotFmt>
      <c:pivotFmt>
        <c:idx val="251"/>
        <c:spPr>
          <a:ln w="38100">
            <a:solidFill>
              <a:schemeClr val="tx1"/>
            </a:solidFill>
          </a:ln>
        </c:spPr>
        <c:marker>
          <c:symbol val="none"/>
        </c:marker>
      </c:pivotFmt>
      <c:pivotFmt>
        <c:idx val="252"/>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spPr>
          <a:ln w="38100">
            <a:solidFill>
              <a:schemeClr val="tx1"/>
            </a:solidFill>
          </a:ln>
        </c:spPr>
        <c:marker>
          <c:symbol val="circle"/>
          <c:size val="7"/>
          <c:spPr>
            <a:solidFill>
              <a:schemeClr val="tx1"/>
            </a:solidFill>
          </c:spPr>
        </c:marker>
      </c:pivotFmt>
      <c:pivotFmt>
        <c:idx val="284"/>
        <c:spPr>
          <a:ln w="38100">
            <a:solidFill>
              <a:schemeClr val="tx1"/>
            </a:solidFill>
          </a:ln>
        </c:spPr>
        <c:marker>
          <c:symbol val="none"/>
        </c:marker>
      </c:pivotFmt>
      <c:pivotFmt>
        <c:idx val="285"/>
      </c:pivotFmt>
    </c:pivotFmts>
    <c:plotArea>
      <c:layout/>
      <c:lineChart>
        <c:grouping val="standard"/>
        <c:varyColors val="0"/>
        <c:ser>
          <c:idx val="0"/>
          <c:order val="0"/>
          <c:tx>
            <c:strRef>
              <c:f>'Pivot tables'!$B$190:$B$191</c:f>
              <c:strCache>
                <c:ptCount val="1"/>
                <c:pt idx="0">
                  <c:v>010616b061</c:v>
                </c:pt>
              </c:strCache>
            </c:strRef>
          </c:tx>
          <c:marker>
            <c:symbol val="none"/>
          </c:marker>
          <c:cat>
            <c:strRef>
              <c:f>'Pivot tables'!$A$192:$A$196</c:f>
              <c:strCache>
                <c:ptCount val="4"/>
                <c:pt idx="0">
                  <c:v>pre</c:v>
                </c:pt>
                <c:pt idx="1">
                  <c:v>2yr</c:v>
                </c:pt>
                <c:pt idx="2">
                  <c:v>5yr</c:v>
                </c:pt>
                <c:pt idx="3">
                  <c:v>8yr</c:v>
                </c:pt>
              </c:strCache>
            </c:strRef>
          </c:cat>
          <c:val>
            <c:numRef>
              <c:f>'Pivot tables'!$B$192:$B$196</c:f>
              <c:numCache>
                <c:formatCode>General</c:formatCode>
                <c:ptCount val="4"/>
                <c:pt idx="0">
                  <c:v>13.021462205966666</c:v>
                </c:pt>
                <c:pt idx="1">
                  <c:v>19.882379003866664</c:v>
                </c:pt>
                <c:pt idx="2">
                  <c:v>18.432637482250001</c:v>
                </c:pt>
                <c:pt idx="3">
                  <c:v>28.403520672100001</c:v>
                </c:pt>
              </c:numCache>
            </c:numRef>
          </c:val>
          <c:smooth val="0"/>
        </c:ser>
        <c:ser>
          <c:idx val="1"/>
          <c:order val="1"/>
          <c:tx>
            <c:strRef>
              <c:f>'Pivot tables'!$C$190:$C$191</c:f>
              <c:strCache>
                <c:ptCount val="1"/>
                <c:pt idx="0">
                  <c:v>960905m314</c:v>
                </c:pt>
              </c:strCache>
            </c:strRef>
          </c:tx>
          <c:marker>
            <c:symbol val="none"/>
          </c:marker>
          <c:cat>
            <c:strRef>
              <c:f>'Pivot tables'!$A$192:$A$196</c:f>
              <c:strCache>
                <c:ptCount val="4"/>
                <c:pt idx="0">
                  <c:v>pre</c:v>
                </c:pt>
                <c:pt idx="1">
                  <c:v>2yr</c:v>
                </c:pt>
                <c:pt idx="2">
                  <c:v>5yr</c:v>
                </c:pt>
                <c:pt idx="3">
                  <c:v>8yr</c:v>
                </c:pt>
              </c:strCache>
            </c:strRef>
          </c:cat>
          <c:val>
            <c:numRef>
              <c:f>'Pivot tables'!$C$192:$C$196</c:f>
              <c:numCache>
                <c:formatCode>General</c:formatCode>
                <c:ptCount val="4"/>
                <c:pt idx="0">
                  <c:v>21.372687329862501</c:v>
                </c:pt>
                <c:pt idx="1">
                  <c:v>-9.582321151433332</c:v>
                </c:pt>
                <c:pt idx="2">
                  <c:v>-12.4786898291</c:v>
                </c:pt>
                <c:pt idx="3">
                  <c:v>-14.873301563766667</c:v>
                </c:pt>
              </c:numCache>
            </c:numRef>
          </c:val>
          <c:smooth val="0"/>
        </c:ser>
        <c:ser>
          <c:idx val="2"/>
          <c:order val="2"/>
          <c:tx>
            <c:strRef>
              <c:f>'Pivot tables'!$D$190:$D$191</c:f>
              <c:strCache>
                <c:ptCount val="1"/>
                <c:pt idx="0">
                  <c:v>970602m038</c:v>
                </c:pt>
              </c:strCache>
            </c:strRef>
          </c:tx>
          <c:marker>
            <c:symbol val="none"/>
          </c:marker>
          <c:cat>
            <c:strRef>
              <c:f>'Pivot tables'!$A$192:$A$196</c:f>
              <c:strCache>
                <c:ptCount val="4"/>
                <c:pt idx="0">
                  <c:v>pre</c:v>
                </c:pt>
                <c:pt idx="1">
                  <c:v>2yr</c:v>
                </c:pt>
                <c:pt idx="2">
                  <c:v>5yr</c:v>
                </c:pt>
                <c:pt idx="3">
                  <c:v>8yr</c:v>
                </c:pt>
              </c:strCache>
            </c:strRef>
          </c:cat>
          <c:val>
            <c:numRef>
              <c:f>'Pivot tables'!$D$192:$D$196</c:f>
              <c:numCache>
                <c:formatCode>General</c:formatCode>
                <c:ptCount val="4"/>
                <c:pt idx="0">
                  <c:v>-8.1654798862399982</c:v>
                </c:pt>
                <c:pt idx="1">
                  <c:v>-11.249553395133333</c:v>
                </c:pt>
                <c:pt idx="2">
                  <c:v>-20.874803833720001</c:v>
                </c:pt>
                <c:pt idx="3">
                  <c:v>-3.7122746931857136</c:v>
                </c:pt>
              </c:numCache>
            </c:numRef>
          </c:val>
          <c:smooth val="0"/>
        </c:ser>
        <c:ser>
          <c:idx val="3"/>
          <c:order val="3"/>
          <c:tx>
            <c:strRef>
              <c:f>'Pivot tables'!$E$190:$E$191</c:f>
              <c:strCache>
                <c:ptCount val="1"/>
                <c:pt idx="0">
                  <c:v>901117v039</c:v>
                </c:pt>
              </c:strCache>
            </c:strRef>
          </c:tx>
          <c:marker>
            <c:symbol val="none"/>
          </c:marker>
          <c:cat>
            <c:strRef>
              <c:f>'Pivot tables'!$A$192:$A$196</c:f>
              <c:strCache>
                <c:ptCount val="4"/>
                <c:pt idx="0">
                  <c:v>pre</c:v>
                </c:pt>
                <c:pt idx="1">
                  <c:v>2yr</c:v>
                </c:pt>
                <c:pt idx="2">
                  <c:v>5yr</c:v>
                </c:pt>
                <c:pt idx="3">
                  <c:v>8yr</c:v>
                </c:pt>
              </c:strCache>
            </c:strRef>
          </c:cat>
          <c:val>
            <c:numRef>
              <c:f>'Pivot tables'!$E$192:$E$196</c:f>
              <c:numCache>
                <c:formatCode>General</c:formatCode>
                <c:ptCount val="4"/>
                <c:pt idx="0">
                  <c:v>25.59113225135</c:v>
                </c:pt>
                <c:pt idx="2">
                  <c:v>-8.0580375605285717</c:v>
                </c:pt>
              </c:numCache>
            </c:numRef>
          </c:val>
          <c:smooth val="0"/>
        </c:ser>
        <c:ser>
          <c:idx val="4"/>
          <c:order val="4"/>
          <c:tx>
            <c:strRef>
              <c:f>'Pivot tables'!$F$190:$F$191</c:f>
              <c:strCache>
                <c:ptCount val="1"/>
                <c:pt idx="0">
                  <c:v>991112v027</c:v>
                </c:pt>
              </c:strCache>
            </c:strRef>
          </c:tx>
          <c:marker>
            <c:symbol val="none"/>
          </c:marker>
          <c:cat>
            <c:strRef>
              <c:f>'Pivot tables'!$A$192:$A$196</c:f>
              <c:strCache>
                <c:ptCount val="4"/>
                <c:pt idx="0">
                  <c:v>pre</c:v>
                </c:pt>
                <c:pt idx="1">
                  <c:v>2yr</c:v>
                </c:pt>
                <c:pt idx="2">
                  <c:v>5yr</c:v>
                </c:pt>
                <c:pt idx="3">
                  <c:v>8yr</c:v>
                </c:pt>
              </c:strCache>
            </c:strRef>
          </c:cat>
          <c:val>
            <c:numRef>
              <c:f>'Pivot tables'!$F$192:$F$196</c:f>
              <c:numCache>
                <c:formatCode>General</c:formatCode>
                <c:ptCount val="4"/>
                <c:pt idx="0">
                  <c:v>35.128567413683335</c:v>
                </c:pt>
                <c:pt idx="1">
                  <c:v>14.25112848642857</c:v>
                </c:pt>
                <c:pt idx="2">
                  <c:v>28.639659264750005</c:v>
                </c:pt>
                <c:pt idx="3">
                  <c:v>25.455419411314285</c:v>
                </c:pt>
              </c:numCache>
            </c:numRef>
          </c:val>
          <c:smooth val="0"/>
        </c:ser>
        <c:ser>
          <c:idx val="5"/>
          <c:order val="5"/>
          <c:tx>
            <c:strRef>
              <c:f>'Pivot tables'!$G$190:$G$191</c:f>
              <c:strCache>
                <c:ptCount val="1"/>
                <c:pt idx="0">
                  <c:v>910507m071</c:v>
                </c:pt>
              </c:strCache>
            </c:strRef>
          </c:tx>
          <c:marker>
            <c:symbol val="none"/>
          </c:marker>
          <c:cat>
            <c:strRef>
              <c:f>'Pivot tables'!$A$192:$A$196</c:f>
              <c:strCache>
                <c:ptCount val="4"/>
                <c:pt idx="0">
                  <c:v>pre</c:v>
                </c:pt>
                <c:pt idx="1">
                  <c:v>2yr</c:v>
                </c:pt>
                <c:pt idx="2">
                  <c:v>5yr</c:v>
                </c:pt>
                <c:pt idx="3">
                  <c:v>8yr</c:v>
                </c:pt>
              </c:strCache>
            </c:strRef>
          </c:cat>
          <c:val>
            <c:numRef>
              <c:f>'Pivot tables'!$G$192:$G$196</c:f>
              <c:numCache>
                <c:formatCode>General</c:formatCode>
                <c:ptCount val="4"/>
                <c:pt idx="0">
                  <c:v>-3.1099635129875001</c:v>
                </c:pt>
                <c:pt idx="1">
                  <c:v>-12.615910978324999</c:v>
                </c:pt>
                <c:pt idx="3">
                  <c:v>-14.791934098325001</c:v>
                </c:pt>
              </c:numCache>
            </c:numRef>
          </c:val>
          <c:smooth val="0"/>
        </c:ser>
        <c:ser>
          <c:idx val="6"/>
          <c:order val="6"/>
          <c:tx>
            <c:strRef>
              <c:f>'Pivot tables'!$H$190:$H$191</c:f>
              <c:strCache>
                <c:ptCount val="1"/>
                <c:pt idx="0">
                  <c:v>921107v089</c:v>
                </c:pt>
              </c:strCache>
            </c:strRef>
          </c:tx>
          <c:marker>
            <c:symbol val="none"/>
          </c:marker>
          <c:cat>
            <c:strRef>
              <c:f>'Pivot tables'!$A$192:$A$196</c:f>
              <c:strCache>
                <c:ptCount val="4"/>
                <c:pt idx="0">
                  <c:v>pre</c:v>
                </c:pt>
                <c:pt idx="1">
                  <c:v>2yr</c:v>
                </c:pt>
                <c:pt idx="2">
                  <c:v>5yr</c:v>
                </c:pt>
                <c:pt idx="3">
                  <c:v>8yr</c:v>
                </c:pt>
              </c:strCache>
            </c:strRef>
          </c:cat>
          <c:val>
            <c:numRef>
              <c:f>'Pivot tables'!$H$192:$H$196</c:f>
              <c:numCache>
                <c:formatCode>General</c:formatCode>
                <c:ptCount val="4"/>
                <c:pt idx="0">
                  <c:v>21.561130502944447</c:v>
                </c:pt>
                <c:pt idx="1">
                  <c:v>3.1025584666666672E-2</c:v>
                </c:pt>
                <c:pt idx="3">
                  <c:v>-5.7336318695285708</c:v>
                </c:pt>
              </c:numCache>
            </c:numRef>
          </c:val>
          <c:smooth val="0"/>
        </c:ser>
        <c:ser>
          <c:idx val="7"/>
          <c:order val="7"/>
          <c:tx>
            <c:strRef>
              <c:f>'Pivot tables'!$I$190:$I$191</c:f>
              <c:strCache>
                <c:ptCount val="1"/>
                <c:pt idx="0">
                  <c:v>921013m117</c:v>
                </c:pt>
              </c:strCache>
            </c:strRef>
          </c:tx>
          <c:marker>
            <c:symbol val="none"/>
          </c:marker>
          <c:cat>
            <c:strRef>
              <c:f>'Pivot tables'!$A$192:$A$196</c:f>
              <c:strCache>
                <c:ptCount val="4"/>
                <c:pt idx="0">
                  <c:v>pre</c:v>
                </c:pt>
                <c:pt idx="1">
                  <c:v>2yr</c:v>
                </c:pt>
                <c:pt idx="2">
                  <c:v>5yr</c:v>
                </c:pt>
                <c:pt idx="3">
                  <c:v>8yr</c:v>
                </c:pt>
              </c:strCache>
            </c:strRef>
          </c:cat>
          <c:val>
            <c:numRef>
              <c:f>'Pivot tables'!$I$192:$I$196</c:f>
              <c:numCache>
                <c:formatCode>General</c:formatCode>
                <c:ptCount val="4"/>
                <c:pt idx="0">
                  <c:v>1.8861052625199999</c:v>
                </c:pt>
                <c:pt idx="1">
                  <c:v>-9.31232458695</c:v>
                </c:pt>
                <c:pt idx="3">
                  <c:v>-18.747531096016669</c:v>
                </c:pt>
              </c:numCache>
            </c:numRef>
          </c:val>
          <c:smooth val="0"/>
        </c:ser>
        <c:ser>
          <c:idx val="8"/>
          <c:order val="8"/>
          <c:tx>
            <c:strRef>
              <c:f>'Pivot tables'!$J$190:$J$191</c:f>
              <c:strCache>
                <c:ptCount val="1"/>
                <c:pt idx="0">
                  <c:v>981222v116</c:v>
                </c:pt>
              </c:strCache>
            </c:strRef>
          </c:tx>
          <c:marker>
            <c:symbol val="none"/>
          </c:marker>
          <c:cat>
            <c:strRef>
              <c:f>'Pivot tables'!$A$192:$A$196</c:f>
              <c:strCache>
                <c:ptCount val="4"/>
                <c:pt idx="0">
                  <c:v>pre</c:v>
                </c:pt>
                <c:pt idx="1">
                  <c:v>2yr</c:v>
                </c:pt>
                <c:pt idx="2">
                  <c:v>5yr</c:v>
                </c:pt>
                <c:pt idx="3">
                  <c:v>8yr</c:v>
                </c:pt>
              </c:strCache>
            </c:strRef>
          </c:cat>
          <c:val>
            <c:numRef>
              <c:f>'Pivot tables'!$J$192:$J$196</c:f>
              <c:numCache>
                <c:formatCode>General</c:formatCode>
                <c:ptCount val="4"/>
                <c:pt idx="0">
                  <c:v>15.867831943900001</c:v>
                </c:pt>
                <c:pt idx="2">
                  <c:v>-10.850035495419998</c:v>
                </c:pt>
                <c:pt idx="3">
                  <c:v>-5.0159981756800001</c:v>
                </c:pt>
              </c:numCache>
            </c:numRef>
          </c:val>
          <c:smooth val="0"/>
        </c:ser>
        <c:ser>
          <c:idx val="9"/>
          <c:order val="9"/>
          <c:tx>
            <c:strRef>
              <c:f>'Pivot tables'!$K$190:$K$191</c:f>
              <c:strCache>
                <c:ptCount val="1"/>
                <c:pt idx="0">
                  <c:v>980310m240</c:v>
                </c:pt>
              </c:strCache>
            </c:strRef>
          </c:tx>
          <c:marker>
            <c:symbol val="none"/>
          </c:marker>
          <c:cat>
            <c:strRef>
              <c:f>'Pivot tables'!$A$192:$A$196</c:f>
              <c:strCache>
                <c:ptCount val="4"/>
                <c:pt idx="0">
                  <c:v>pre</c:v>
                </c:pt>
                <c:pt idx="1">
                  <c:v>2yr</c:v>
                </c:pt>
                <c:pt idx="2">
                  <c:v>5yr</c:v>
                </c:pt>
                <c:pt idx="3">
                  <c:v>8yr</c:v>
                </c:pt>
              </c:strCache>
            </c:strRef>
          </c:cat>
          <c:val>
            <c:numRef>
              <c:f>'Pivot tables'!$K$192:$K$196</c:f>
              <c:numCache>
                <c:formatCode>General</c:formatCode>
                <c:ptCount val="4"/>
                <c:pt idx="0">
                  <c:v>41.177051212249999</c:v>
                </c:pt>
                <c:pt idx="1">
                  <c:v>-2.0346062856857143</c:v>
                </c:pt>
                <c:pt idx="2">
                  <c:v>5.8794325779285703</c:v>
                </c:pt>
              </c:numCache>
            </c:numRef>
          </c:val>
          <c:smooth val="0"/>
        </c:ser>
        <c:ser>
          <c:idx val="10"/>
          <c:order val="10"/>
          <c:tx>
            <c:strRef>
              <c:f>'Pivot tables'!$L$190:$L$191</c:f>
              <c:strCache>
                <c:ptCount val="1"/>
                <c:pt idx="0">
                  <c:v>990206m010</c:v>
                </c:pt>
              </c:strCache>
            </c:strRef>
          </c:tx>
          <c:marker>
            <c:symbol val="none"/>
          </c:marker>
          <c:cat>
            <c:strRef>
              <c:f>'Pivot tables'!$A$192:$A$196</c:f>
              <c:strCache>
                <c:ptCount val="4"/>
                <c:pt idx="0">
                  <c:v>pre</c:v>
                </c:pt>
                <c:pt idx="1">
                  <c:v>2yr</c:v>
                </c:pt>
                <c:pt idx="2">
                  <c:v>5yr</c:v>
                </c:pt>
                <c:pt idx="3">
                  <c:v>8yr</c:v>
                </c:pt>
              </c:strCache>
            </c:strRef>
          </c:cat>
          <c:val>
            <c:numRef>
              <c:f>'Pivot tables'!$L$192:$L$196</c:f>
              <c:numCache>
                <c:formatCode>General</c:formatCode>
                <c:ptCount val="4"/>
                <c:pt idx="0">
                  <c:v>16.091107013666665</c:v>
                </c:pt>
                <c:pt idx="1">
                  <c:v>16.593790898066668</c:v>
                </c:pt>
                <c:pt idx="2">
                  <c:v>15.237200014966666</c:v>
                </c:pt>
              </c:numCache>
            </c:numRef>
          </c:val>
          <c:smooth val="0"/>
        </c:ser>
        <c:ser>
          <c:idx val="11"/>
          <c:order val="11"/>
          <c:tx>
            <c:strRef>
              <c:f>'Pivot tables'!$M$190:$M$191</c:f>
              <c:strCache>
                <c:ptCount val="1"/>
                <c:pt idx="0">
                  <c:v>941028m142</c:v>
                </c:pt>
              </c:strCache>
            </c:strRef>
          </c:tx>
          <c:marker>
            <c:symbol val="none"/>
          </c:marker>
          <c:cat>
            <c:strRef>
              <c:f>'Pivot tables'!$A$192:$A$196</c:f>
              <c:strCache>
                <c:ptCount val="4"/>
                <c:pt idx="0">
                  <c:v>pre</c:v>
                </c:pt>
                <c:pt idx="1">
                  <c:v>2yr</c:v>
                </c:pt>
                <c:pt idx="2">
                  <c:v>5yr</c:v>
                </c:pt>
                <c:pt idx="3">
                  <c:v>8yr</c:v>
                </c:pt>
              </c:strCache>
            </c:strRef>
          </c:cat>
          <c:val>
            <c:numRef>
              <c:f>'Pivot tables'!$M$192:$M$196</c:f>
              <c:numCache>
                <c:formatCode>General</c:formatCode>
                <c:ptCount val="4"/>
                <c:pt idx="0">
                  <c:v>6.5809392346749993</c:v>
                </c:pt>
                <c:pt idx="1">
                  <c:v>4.0527184221750003</c:v>
                </c:pt>
                <c:pt idx="2">
                  <c:v>8.499826087449998</c:v>
                </c:pt>
                <c:pt idx="3">
                  <c:v>2.4948325421625004</c:v>
                </c:pt>
              </c:numCache>
            </c:numRef>
          </c:val>
          <c:smooth val="0"/>
        </c:ser>
        <c:ser>
          <c:idx val="12"/>
          <c:order val="12"/>
          <c:tx>
            <c:strRef>
              <c:f>'Pivot tables'!$N$190:$N$191</c:f>
              <c:strCache>
                <c:ptCount val="1"/>
                <c:pt idx="0">
                  <c:v>950921m174</c:v>
                </c:pt>
              </c:strCache>
            </c:strRef>
          </c:tx>
          <c:marker>
            <c:symbol val="none"/>
          </c:marker>
          <c:cat>
            <c:strRef>
              <c:f>'Pivot tables'!$A$192:$A$196</c:f>
              <c:strCache>
                <c:ptCount val="4"/>
                <c:pt idx="0">
                  <c:v>pre</c:v>
                </c:pt>
                <c:pt idx="1">
                  <c:v>2yr</c:v>
                </c:pt>
                <c:pt idx="2">
                  <c:v>5yr</c:v>
                </c:pt>
                <c:pt idx="3">
                  <c:v>8yr</c:v>
                </c:pt>
              </c:strCache>
            </c:strRef>
          </c:cat>
          <c:val>
            <c:numRef>
              <c:f>'Pivot tables'!$N$192:$N$196</c:f>
              <c:numCache>
                <c:formatCode>General</c:formatCode>
                <c:ptCount val="4"/>
                <c:pt idx="0">
                  <c:v>12.776560516471429</c:v>
                </c:pt>
                <c:pt idx="1">
                  <c:v>12.714760530416667</c:v>
                </c:pt>
                <c:pt idx="2">
                  <c:v>8.6421333961000002</c:v>
                </c:pt>
                <c:pt idx="3">
                  <c:v>-1.1378227893333333</c:v>
                </c:pt>
              </c:numCache>
            </c:numRef>
          </c:val>
          <c:smooth val="0"/>
        </c:ser>
        <c:ser>
          <c:idx val="13"/>
          <c:order val="13"/>
          <c:tx>
            <c:strRef>
              <c:f>'Pivot tables'!$O$190:$O$191</c:f>
              <c:strCache>
                <c:ptCount val="1"/>
                <c:pt idx="0">
                  <c:v>981228m104</c:v>
                </c:pt>
              </c:strCache>
            </c:strRef>
          </c:tx>
          <c:marker>
            <c:symbol val="none"/>
          </c:marker>
          <c:cat>
            <c:strRef>
              <c:f>'Pivot tables'!$A$192:$A$196</c:f>
              <c:strCache>
                <c:ptCount val="4"/>
                <c:pt idx="0">
                  <c:v>pre</c:v>
                </c:pt>
                <c:pt idx="1">
                  <c:v>2yr</c:v>
                </c:pt>
                <c:pt idx="2">
                  <c:v>5yr</c:v>
                </c:pt>
                <c:pt idx="3">
                  <c:v>8yr</c:v>
                </c:pt>
              </c:strCache>
            </c:strRef>
          </c:cat>
          <c:val>
            <c:numRef>
              <c:f>'Pivot tables'!$O$192:$O$196</c:f>
              <c:numCache>
                <c:formatCode>General</c:formatCode>
                <c:ptCount val="4"/>
                <c:pt idx="0">
                  <c:v>-6.4709735215166662</c:v>
                </c:pt>
                <c:pt idx="1">
                  <c:v>0.18246685990000003</c:v>
                </c:pt>
                <c:pt idx="2">
                  <c:v>1.4152778519</c:v>
                </c:pt>
                <c:pt idx="3">
                  <c:v>-5.9171006579666665</c:v>
                </c:pt>
              </c:numCache>
            </c:numRef>
          </c:val>
          <c:smooth val="0"/>
        </c:ser>
        <c:ser>
          <c:idx val="14"/>
          <c:order val="14"/>
          <c:tx>
            <c:strRef>
              <c:f>'Pivot tables'!$P$190:$P$191</c:f>
              <c:strCache>
                <c:ptCount val="1"/>
                <c:pt idx="0">
                  <c:v>900219m048</c:v>
                </c:pt>
              </c:strCache>
            </c:strRef>
          </c:tx>
          <c:marker>
            <c:symbol val="none"/>
          </c:marker>
          <c:cat>
            <c:strRef>
              <c:f>'Pivot tables'!$A$192:$A$196</c:f>
              <c:strCache>
                <c:ptCount val="4"/>
                <c:pt idx="0">
                  <c:v>pre</c:v>
                </c:pt>
                <c:pt idx="1">
                  <c:v>2yr</c:v>
                </c:pt>
                <c:pt idx="2">
                  <c:v>5yr</c:v>
                </c:pt>
                <c:pt idx="3">
                  <c:v>8yr</c:v>
                </c:pt>
              </c:strCache>
            </c:strRef>
          </c:cat>
          <c:val>
            <c:numRef>
              <c:f>'Pivot tables'!$P$192:$P$196</c:f>
              <c:numCache>
                <c:formatCode>General</c:formatCode>
                <c:ptCount val="4"/>
                <c:pt idx="0">
                  <c:v>39.959526974922227</c:v>
                </c:pt>
                <c:pt idx="1">
                  <c:v>0.10310084274000002</c:v>
                </c:pt>
                <c:pt idx="3">
                  <c:v>9.8479898815428566</c:v>
                </c:pt>
              </c:numCache>
            </c:numRef>
          </c:val>
          <c:smooth val="0"/>
        </c:ser>
        <c:ser>
          <c:idx val="15"/>
          <c:order val="15"/>
          <c:tx>
            <c:strRef>
              <c:f>'Pivot tables'!$Q$190:$Q$191</c:f>
              <c:strCache>
                <c:ptCount val="1"/>
                <c:pt idx="0">
                  <c:v>930219m144</c:v>
                </c:pt>
              </c:strCache>
            </c:strRef>
          </c:tx>
          <c:marker>
            <c:symbol val="none"/>
          </c:marker>
          <c:cat>
            <c:strRef>
              <c:f>'Pivot tables'!$A$192:$A$196</c:f>
              <c:strCache>
                <c:ptCount val="4"/>
                <c:pt idx="0">
                  <c:v>pre</c:v>
                </c:pt>
                <c:pt idx="1">
                  <c:v>2yr</c:v>
                </c:pt>
                <c:pt idx="2">
                  <c:v>5yr</c:v>
                </c:pt>
                <c:pt idx="3">
                  <c:v>8yr</c:v>
                </c:pt>
              </c:strCache>
            </c:strRef>
          </c:cat>
          <c:val>
            <c:numRef>
              <c:f>'Pivot tables'!$Q$192:$Q$196</c:f>
              <c:numCache>
                <c:formatCode>General</c:formatCode>
                <c:ptCount val="4"/>
                <c:pt idx="0">
                  <c:v>-6.222768769588888</c:v>
                </c:pt>
                <c:pt idx="1">
                  <c:v>6.6090496827333327</c:v>
                </c:pt>
                <c:pt idx="2">
                  <c:v>-5.0605784661</c:v>
                </c:pt>
                <c:pt idx="3">
                  <c:v>-17.677932209659996</c:v>
                </c:pt>
              </c:numCache>
            </c:numRef>
          </c:val>
          <c:smooth val="0"/>
        </c:ser>
        <c:ser>
          <c:idx val="16"/>
          <c:order val="16"/>
          <c:tx>
            <c:strRef>
              <c:f>'Pivot tables'!$R$190:$R$191</c:f>
              <c:strCache>
                <c:ptCount val="1"/>
                <c:pt idx="0">
                  <c:v>931013v114</c:v>
                </c:pt>
              </c:strCache>
            </c:strRef>
          </c:tx>
          <c:marker>
            <c:symbol val="none"/>
          </c:marker>
          <c:cat>
            <c:strRef>
              <c:f>'Pivot tables'!$A$192:$A$196</c:f>
              <c:strCache>
                <c:ptCount val="4"/>
                <c:pt idx="0">
                  <c:v>pre</c:v>
                </c:pt>
                <c:pt idx="1">
                  <c:v>2yr</c:v>
                </c:pt>
                <c:pt idx="2">
                  <c:v>5yr</c:v>
                </c:pt>
                <c:pt idx="3">
                  <c:v>8yr</c:v>
                </c:pt>
              </c:strCache>
            </c:strRef>
          </c:cat>
          <c:val>
            <c:numRef>
              <c:f>'Pivot tables'!$R$192:$R$196</c:f>
              <c:numCache>
                <c:formatCode>General</c:formatCode>
                <c:ptCount val="4"/>
                <c:pt idx="0">
                  <c:v>9.0499157016999998</c:v>
                </c:pt>
                <c:pt idx="1">
                  <c:v>10.303608797399999</c:v>
                </c:pt>
              </c:numCache>
            </c:numRef>
          </c:val>
          <c:smooth val="0"/>
        </c:ser>
        <c:ser>
          <c:idx val="17"/>
          <c:order val="17"/>
          <c:tx>
            <c:strRef>
              <c:f>'Pivot tables'!$S$190:$S$191</c:f>
              <c:strCache>
                <c:ptCount val="1"/>
                <c:pt idx="0">
                  <c:v>940223m261</c:v>
                </c:pt>
              </c:strCache>
            </c:strRef>
          </c:tx>
          <c:marker>
            <c:symbol val="none"/>
          </c:marker>
          <c:cat>
            <c:strRef>
              <c:f>'Pivot tables'!$A$192:$A$196</c:f>
              <c:strCache>
                <c:ptCount val="4"/>
                <c:pt idx="0">
                  <c:v>pre</c:v>
                </c:pt>
                <c:pt idx="1">
                  <c:v>2yr</c:v>
                </c:pt>
                <c:pt idx="2">
                  <c:v>5yr</c:v>
                </c:pt>
                <c:pt idx="3">
                  <c:v>8yr</c:v>
                </c:pt>
              </c:strCache>
            </c:strRef>
          </c:cat>
          <c:val>
            <c:numRef>
              <c:f>'Pivot tables'!$S$192:$S$196</c:f>
              <c:numCache>
                <c:formatCode>General</c:formatCode>
                <c:ptCount val="4"/>
                <c:pt idx="0">
                  <c:v>5.5299241923000002</c:v>
                </c:pt>
                <c:pt idx="1">
                  <c:v>7.0278754496666664</c:v>
                </c:pt>
                <c:pt idx="3">
                  <c:v>-17.557365723683333</c:v>
                </c:pt>
              </c:numCache>
            </c:numRef>
          </c:val>
          <c:smooth val="0"/>
        </c:ser>
        <c:ser>
          <c:idx val="18"/>
          <c:order val="18"/>
          <c:tx>
            <c:strRef>
              <c:f>'Pivot tables'!$T$190:$T$191</c:f>
              <c:strCache>
                <c:ptCount val="1"/>
                <c:pt idx="0">
                  <c:v>950805m159</c:v>
                </c:pt>
              </c:strCache>
            </c:strRef>
          </c:tx>
          <c:marker>
            <c:symbol val="none"/>
          </c:marker>
          <c:cat>
            <c:strRef>
              <c:f>'Pivot tables'!$A$192:$A$196</c:f>
              <c:strCache>
                <c:ptCount val="4"/>
                <c:pt idx="0">
                  <c:v>pre</c:v>
                </c:pt>
                <c:pt idx="1">
                  <c:v>2yr</c:v>
                </c:pt>
                <c:pt idx="2">
                  <c:v>5yr</c:v>
                </c:pt>
                <c:pt idx="3">
                  <c:v>8yr</c:v>
                </c:pt>
              </c:strCache>
            </c:strRef>
          </c:cat>
          <c:val>
            <c:numRef>
              <c:f>'Pivot tables'!$T$192:$T$196</c:f>
              <c:numCache>
                <c:formatCode>General</c:formatCode>
                <c:ptCount val="4"/>
                <c:pt idx="0">
                  <c:v>18.30983179855</c:v>
                </c:pt>
                <c:pt idx="1">
                  <c:v>9.6834406555999983</c:v>
                </c:pt>
                <c:pt idx="3">
                  <c:v>-7.5793045679800004</c:v>
                </c:pt>
              </c:numCache>
            </c:numRef>
          </c:val>
          <c:smooth val="0"/>
        </c:ser>
        <c:ser>
          <c:idx val="19"/>
          <c:order val="19"/>
          <c:tx>
            <c:strRef>
              <c:f>'Pivot tables'!$U$190:$U$191</c:f>
              <c:strCache>
                <c:ptCount val="1"/>
                <c:pt idx="0">
                  <c:v>980325m116</c:v>
                </c:pt>
              </c:strCache>
            </c:strRef>
          </c:tx>
          <c:marker>
            <c:symbol val="none"/>
          </c:marker>
          <c:cat>
            <c:strRef>
              <c:f>'Pivot tables'!$A$192:$A$196</c:f>
              <c:strCache>
                <c:ptCount val="4"/>
                <c:pt idx="0">
                  <c:v>pre</c:v>
                </c:pt>
                <c:pt idx="1">
                  <c:v>2yr</c:v>
                </c:pt>
                <c:pt idx="2">
                  <c:v>5yr</c:v>
                </c:pt>
                <c:pt idx="3">
                  <c:v>8yr</c:v>
                </c:pt>
              </c:strCache>
            </c:strRef>
          </c:cat>
          <c:val>
            <c:numRef>
              <c:f>'Pivot tables'!$U$192:$U$196</c:f>
              <c:numCache>
                <c:formatCode>General</c:formatCode>
                <c:ptCount val="4"/>
                <c:pt idx="0">
                  <c:v>36.479840651200007</c:v>
                </c:pt>
                <c:pt idx="1">
                  <c:v>-4.2614142064999996</c:v>
                </c:pt>
                <c:pt idx="2">
                  <c:v>14.301705306766666</c:v>
                </c:pt>
              </c:numCache>
            </c:numRef>
          </c:val>
          <c:smooth val="0"/>
        </c:ser>
        <c:ser>
          <c:idx val="20"/>
          <c:order val="20"/>
          <c:tx>
            <c:strRef>
              <c:f>'Pivot tables'!$V$190:$V$191</c:f>
              <c:strCache>
                <c:ptCount val="1"/>
                <c:pt idx="0">
                  <c:v>940315m138</c:v>
                </c:pt>
              </c:strCache>
            </c:strRef>
          </c:tx>
          <c:marker>
            <c:symbol val="none"/>
          </c:marker>
          <c:cat>
            <c:strRef>
              <c:f>'Pivot tables'!$A$192:$A$196</c:f>
              <c:strCache>
                <c:ptCount val="4"/>
                <c:pt idx="0">
                  <c:v>pre</c:v>
                </c:pt>
                <c:pt idx="1">
                  <c:v>2yr</c:v>
                </c:pt>
                <c:pt idx="2">
                  <c:v>5yr</c:v>
                </c:pt>
                <c:pt idx="3">
                  <c:v>8yr</c:v>
                </c:pt>
              </c:strCache>
            </c:strRef>
          </c:cat>
          <c:val>
            <c:numRef>
              <c:f>'Pivot tables'!$V$192:$V$196</c:f>
              <c:numCache>
                <c:formatCode>General</c:formatCode>
                <c:ptCount val="4"/>
                <c:pt idx="0">
                  <c:v>-1.6016520396428571</c:v>
                </c:pt>
                <c:pt idx="1">
                  <c:v>-8.7079666910999993</c:v>
                </c:pt>
                <c:pt idx="3">
                  <c:v>-13.216795517</c:v>
                </c:pt>
              </c:numCache>
            </c:numRef>
          </c:val>
          <c:smooth val="0"/>
        </c:ser>
        <c:ser>
          <c:idx val="21"/>
          <c:order val="21"/>
          <c:tx>
            <c:strRef>
              <c:f>'Pivot tables'!$W$190:$W$191</c:f>
              <c:strCache>
                <c:ptCount val="1"/>
                <c:pt idx="0">
                  <c:v>890202m123</c:v>
                </c:pt>
              </c:strCache>
            </c:strRef>
          </c:tx>
          <c:marker>
            <c:symbol val="none"/>
          </c:marker>
          <c:cat>
            <c:strRef>
              <c:f>'Pivot tables'!$A$192:$A$196</c:f>
              <c:strCache>
                <c:ptCount val="4"/>
                <c:pt idx="0">
                  <c:v>pre</c:v>
                </c:pt>
                <c:pt idx="1">
                  <c:v>2yr</c:v>
                </c:pt>
                <c:pt idx="2">
                  <c:v>5yr</c:v>
                </c:pt>
                <c:pt idx="3">
                  <c:v>8yr</c:v>
                </c:pt>
              </c:strCache>
            </c:strRef>
          </c:cat>
          <c:val>
            <c:numRef>
              <c:f>'Pivot tables'!$W$192:$W$196</c:f>
              <c:numCache>
                <c:formatCode>General</c:formatCode>
                <c:ptCount val="4"/>
                <c:pt idx="0">
                  <c:v>19.410117595499997</c:v>
                </c:pt>
                <c:pt idx="1">
                  <c:v>-1.099649277625</c:v>
                </c:pt>
                <c:pt idx="2">
                  <c:v>-0.69025894180000014</c:v>
                </c:pt>
              </c:numCache>
            </c:numRef>
          </c:val>
          <c:smooth val="0"/>
        </c:ser>
        <c:ser>
          <c:idx val="22"/>
          <c:order val="22"/>
          <c:tx>
            <c:strRef>
              <c:f>'Pivot tables'!$X$190:$X$191</c:f>
              <c:strCache>
                <c:ptCount val="1"/>
                <c:pt idx="0">
                  <c:v>920629v030</c:v>
                </c:pt>
              </c:strCache>
            </c:strRef>
          </c:tx>
          <c:marker>
            <c:symbol val="none"/>
          </c:marker>
          <c:cat>
            <c:strRef>
              <c:f>'Pivot tables'!$A$192:$A$196</c:f>
              <c:strCache>
                <c:ptCount val="4"/>
                <c:pt idx="0">
                  <c:v>pre</c:v>
                </c:pt>
                <c:pt idx="1">
                  <c:v>2yr</c:v>
                </c:pt>
                <c:pt idx="2">
                  <c:v>5yr</c:v>
                </c:pt>
                <c:pt idx="3">
                  <c:v>8yr</c:v>
                </c:pt>
              </c:strCache>
            </c:strRef>
          </c:cat>
          <c:val>
            <c:numRef>
              <c:f>'Pivot tables'!$X$192:$X$196</c:f>
              <c:numCache>
                <c:formatCode>General</c:formatCode>
                <c:ptCount val="4"/>
                <c:pt idx="0">
                  <c:v>28.650692383900001</c:v>
                </c:pt>
                <c:pt idx="1">
                  <c:v>10.49870126765</c:v>
                </c:pt>
                <c:pt idx="3">
                  <c:v>5.9663213817000003</c:v>
                </c:pt>
              </c:numCache>
            </c:numRef>
          </c:val>
          <c:smooth val="0"/>
        </c:ser>
        <c:ser>
          <c:idx val="23"/>
          <c:order val="23"/>
          <c:tx>
            <c:strRef>
              <c:f>'Pivot tables'!$Y$190:$Y$191</c:f>
              <c:strCache>
                <c:ptCount val="1"/>
                <c:pt idx="0">
                  <c:v>910826v099</c:v>
                </c:pt>
              </c:strCache>
            </c:strRef>
          </c:tx>
          <c:marker>
            <c:symbol val="none"/>
          </c:marker>
          <c:cat>
            <c:strRef>
              <c:f>'Pivot tables'!$A$192:$A$196</c:f>
              <c:strCache>
                <c:ptCount val="4"/>
                <c:pt idx="0">
                  <c:v>pre</c:v>
                </c:pt>
                <c:pt idx="1">
                  <c:v>2yr</c:v>
                </c:pt>
                <c:pt idx="2">
                  <c:v>5yr</c:v>
                </c:pt>
                <c:pt idx="3">
                  <c:v>8yr</c:v>
                </c:pt>
              </c:strCache>
            </c:strRef>
          </c:cat>
          <c:val>
            <c:numRef>
              <c:f>'Pivot tables'!$Y$192:$Y$196</c:f>
              <c:numCache>
                <c:formatCode>General</c:formatCode>
                <c:ptCount val="4"/>
                <c:pt idx="0">
                  <c:v>10.652086771066667</c:v>
                </c:pt>
                <c:pt idx="1">
                  <c:v>-3.4646570990000001</c:v>
                </c:pt>
                <c:pt idx="2">
                  <c:v>2.5300934186000004</c:v>
                </c:pt>
              </c:numCache>
            </c:numRef>
          </c:val>
          <c:smooth val="0"/>
        </c:ser>
        <c:ser>
          <c:idx val="24"/>
          <c:order val="24"/>
          <c:tx>
            <c:strRef>
              <c:f>'Pivot tables'!$Z$190:$Z$191</c:f>
              <c:strCache>
                <c:ptCount val="1"/>
                <c:pt idx="0">
                  <c:v>000102g046</c:v>
                </c:pt>
              </c:strCache>
            </c:strRef>
          </c:tx>
          <c:marker>
            <c:symbol val="none"/>
          </c:marker>
          <c:cat>
            <c:strRef>
              <c:f>'Pivot tables'!$A$192:$A$196</c:f>
              <c:strCache>
                <c:ptCount val="4"/>
                <c:pt idx="0">
                  <c:v>pre</c:v>
                </c:pt>
                <c:pt idx="1">
                  <c:v>2yr</c:v>
                </c:pt>
                <c:pt idx="2">
                  <c:v>5yr</c:v>
                </c:pt>
                <c:pt idx="3">
                  <c:v>8yr</c:v>
                </c:pt>
              </c:strCache>
            </c:strRef>
          </c:cat>
          <c:val>
            <c:numRef>
              <c:f>'Pivot tables'!$Z$192:$Z$196</c:f>
              <c:numCache>
                <c:formatCode>General</c:formatCode>
                <c:ptCount val="4"/>
                <c:pt idx="0">
                  <c:v>22.380988696675001</c:v>
                </c:pt>
                <c:pt idx="1">
                  <c:v>5.6519383471333322</c:v>
                </c:pt>
                <c:pt idx="2">
                  <c:v>11.58513704584</c:v>
                </c:pt>
              </c:numCache>
            </c:numRef>
          </c:val>
          <c:smooth val="0"/>
        </c:ser>
        <c:ser>
          <c:idx val="25"/>
          <c:order val="25"/>
          <c:tx>
            <c:strRef>
              <c:f>'Pivot tables'!$AA$190:$AA$191</c:f>
              <c:strCache>
                <c:ptCount val="1"/>
                <c:pt idx="0">
                  <c:v>980511m219</c:v>
                </c:pt>
              </c:strCache>
            </c:strRef>
          </c:tx>
          <c:marker>
            <c:symbol val="none"/>
          </c:marker>
          <c:cat>
            <c:strRef>
              <c:f>'Pivot tables'!$A$192:$A$196</c:f>
              <c:strCache>
                <c:ptCount val="4"/>
                <c:pt idx="0">
                  <c:v>pre</c:v>
                </c:pt>
                <c:pt idx="1">
                  <c:v>2yr</c:v>
                </c:pt>
                <c:pt idx="2">
                  <c:v>5yr</c:v>
                </c:pt>
                <c:pt idx="3">
                  <c:v>8yr</c:v>
                </c:pt>
              </c:strCache>
            </c:strRef>
          </c:cat>
          <c:val>
            <c:numRef>
              <c:f>'Pivot tables'!$AA$192:$AA$196</c:f>
              <c:numCache>
                <c:formatCode>General</c:formatCode>
                <c:ptCount val="4"/>
                <c:pt idx="0">
                  <c:v>5.0907250705333338</c:v>
                </c:pt>
                <c:pt idx="1">
                  <c:v>-8.749657135033333</c:v>
                </c:pt>
                <c:pt idx="2">
                  <c:v>-21.698357000755557</c:v>
                </c:pt>
              </c:numCache>
            </c:numRef>
          </c:val>
          <c:smooth val="0"/>
        </c:ser>
        <c:ser>
          <c:idx val="26"/>
          <c:order val="26"/>
          <c:tx>
            <c:strRef>
              <c:f>'Pivot tables'!$AB$190:$AB$191</c:f>
              <c:strCache>
                <c:ptCount val="1"/>
                <c:pt idx="0">
                  <c:v>980512v117</c:v>
                </c:pt>
              </c:strCache>
            </c:strRef>
          </c:tx>
          <c:marker>
            <c:symbol val="none"/>
          </c:marker>
          <c:cat>
            <c:strRef>
              <c:f>'Pivot tables'!$A$192:$A$196</c:f>
              <c:strCache>
                <c:ptCount val="4"/>
                <c:pt idx="0">
                  <c:v>pre</c:v>
                </c:pt>
                <c:pt idx="1">
                  <c:v>2yr</c:v>
                </c:pt>
                <c:pt idx="2">
                  <c:v>5yr</c:v>
                </c:pt>
                <c:pt idx="3">
                  <c:v>8yr</c:v>
                </c:pt>
              </c:strCache>
            </c:strRef>
          </c:cat>
          <c:val>
            <c:numRef>
              <c:f>'Pivot tables'!$AB$192:$AB$196</c:f>
              <c:numCache>
                <c:formatCode>General</c:formatCode>
                <c:ptCount val="4"/>
                <c:pt idx="0">
                  <c:v>2.2147124458666663</c:v>
                </c:pt>
                <c:pt idx="1">
                  <c:v>4.515627914125</c:v>
                </c:pt>
                <c:pt idx="3">
                  <c:v>10.911044071460001</c:v>
                </c:pt>
              </c:numCache>
            </c:numRef>
          </c:val>
          <c:smooth val="0"/>
        </c:ser>
        <c:ser>
          <c:idx val="27"/>
          <c:order val="27"/>
          <c:tx>
            <c:strRef>
              <c:f>'Pivot tables'!$AC$190:$AC$191</c:f>
              <c:strCache>
                <c:ptCount val="1"/>
                <c:pt idx="0">
                  <c:v>960428m114</c:v>
                </c:pt>
              </c:strCache>
            </c:strRef>
          </c:tx>
          <c:marker>
            <c:symbol val="none"/>
          </c:marker>
          <c:cat>
            <c:strRef>
              <c:f>'Pivot tables'!$A$192:$A$196</c:f>
              <c:strCache>
                <c:ptCount val="4"/>
                <c:pt idx="0">
                  <c:v>pre</c:v>
                </c:pt>
                <c:pt idx="1">
                  <c:v>2yr</c:v>
                </c:pt>
                <c:pt idx="2">
                  <c:v>5yr</c:v>
                </c:pt>
                <c:pt idx="3">
                  <c:v>8yr</c:v>
                </c:pt>
              </c:strCache>
            </c:strRef>
          </c:cat>
          <c:val>
            <c:numRef>
              <c:f>'Pivot tables'!$AC$192:$AC$196</c:f>
              <c:numCache>
                <c:formatCode>General</c:formatCode>
                <c:ptCount val="4"/>
                <c:pt idx="0">
                  <c:v>7.5202252924999993</c:v>
                </c:pt>
                <c:pt idx="1">
                  <c:v>-6.9415331501999997</c:v>
                </c:pt>
                <c:pt idx="2">
                  <c:v>-5.8298179653800002</c:v>
                </c:pt>
              </c:numCache>
            </c:numRef>
          </c:val>
          <c:smooth val="0"/>
        </c:ser>
        <c:ser>
          <c:idx val="28"/>
          <c:order val="28"/>
          <c:tx>
            <c:strRef>
              <c:f>'Pivot tables'!$AD$190:$AD$191</c:f>
              <c:strCache>
                <c:ptCount val="1"/>
                <c:pt idx="0">
                  <c:v>970629v068</c:v>
                </c:pt>
              </c:strCache>
            </c:strRef>
          </c:tx>
          <c:marker>
            <c:symbol val="none"/>
          </c:marker>
          <c:cat>
            <c:strRef>
              <c:f>'Pivot tables'!$A$192:$A$196</c:f>
              <c:strCache>
                <c:ptCount val="4"/>
                <c:pt idx="0">
                  <c:v>pre</c:v>
                </c:pt>
                <c:pt idx="1">
                  <c:v>2yr</c:v>
                </c:pt>
                <c:pt idx="2">
                  <c:v>5yr</c:v>
                </c:pt>
                <c:pt idx="3">
                  <c:v>8yr</c:v>
                </c:pt>
              </c:strCache>
            </c:strRef>
          </c:cat>
          <c:val>
            <c:numRef>
              <c:f>'Pivot tables'!$AD$192:$AD$196</c:f>
              <c:numCache>
                <c:formatCode>General</c:formatCode>
                <c:ptCount val="4"/>
                <c:pt idx="0">
                  <c:v>22.923166956462502</c:v>
                </c:pt>
                <c:pt idx="1">
                  <c:v>-10.1028555998</c:v>
                </c:pt>
                <c:pt idx="3">
                  <c:v>2.307718822933333</c:v>
                </c:pt>
              </c:numCache>
            </c:numRef>
          </c:val>
          <c:smooth val="0"/>
        </c:ser>
        <c:ser>
          <c:idx val="29"/>
          <c:order val="29"/>
          <c:tx>
            <c:strRef>
              <c:f>'Pivot tables'!$AE$190:$AE$191</c:f>
              <c:strCache>
                <c:ptCount val="1"/>
                <c:pt idx="0">
                  <c:v>970602v069</c:v>
                </c:pt>
              </c:strCache>
            </c:strRef>
          </c:tx>
          <c:marker>
            <c:symbol val="none"/>
          </c:marker>
          <c:cat>
            <c:strRef>
              <c:f>'Pivot tables'!$A$192:$A$196</c:f>
              <c:strCache>
                <c:ptCount val="4"/>
                <c:pt idx="0">
                  <c:v>pre</c:v>
                </c:pt>
                <c:pt idx="1">
                  <c:v>2yr</c:v>
                </c:pt>
                <c:pt idx="2">
                  <c:v>5yr</c:v>
                </c:pt>
                <c:pt idx="3">
                  <c:v>8yr</c:v>
                </c:pt>
              </c:strCache>
            </c:strRef>
          </c:cat>
          <c:val>
            <c:numRef>
              <c:f>'Pivot tables'!$AE$192:$AE$196</c:f>
              <c:numCache>
                <c:formatCode>General</c:formatCode>
                <c:ptCount val="4"/>
                <c:pt idx="0">
                  <c:v>21.0437616227</c:v>
                </c:pt>
                <c:pt idx="1">
                  <c:v>14.348779474757142</c:v>
                </c:pt>
                <c:pt idx="2">
                  <c:v>18.218270572016667</c:v>
                </c:pt>
                <c:pt idx="3">
                  <c:v>17.359966057649999</c:v>
                </c:pt>
              </c:numCache>
            </c:numRef>
          </c:val>
          <c:smooth val="0"/>
        </c:ser>
        <c:ser>
          <c:idx val="30"/>
          <c:order val="30"/>
          <c:tx>
            <c:strRef>
              <c:f>'Pivot tables'!$AF$190:$AF$191</c:f>
              <c:strCache>
                <c:ptCount val="1"/>
                <c:pt idx="0">
                  <c:v>Average</c:v>
                </c:pt>
              </c:strCache>
            </c:strRef>
          </c:tx>
          <c:spPr>
            <a:ln w="38100">
              <a:solidFill>
                <a:schemeClr val="tx1"/>
              </a:solidFill>
            </a:ln>
          </c:spPr>
          <c:marker>
            <c:symbol val="circle"/>
            <c:size val="7"/>
            <c:spPr>
              <a:solidFill>
                <a:schemeClr val="tx1"/>
              </a:solidFill>
            </c:spPr>
          </c:marker>
          <c:cat>
            <c:strRef>
              <c:f>'Pivot tables'!$A$192:$A$196</c:f>
              <c:strCache>
                <c:ptCount val="4"/>
                <c:pt idx="0">
                  <c:v>pre</c:v>
                </c:pt>
                <c:pt idx="1">
                  <c:v>2yr</c:v>
                </c:pt>
                <c:pt idx="2">
                  <c:v>5yr</c:v>
                </c:pt>
                <c:pt idx="3">
                  <c:v>8yr</c:v>
                </c:pt>
              </c:strCache>
            </c:strRef>
          </c:cat>
          <c:val>
            <c:numRef>
              <c:f>'Pivot tables'!$AF$192:$AF$196</c:f>
              <c:numCache>
                <c:formatCode>General</c:formatCode>
                <c:ptCount val="4"/>
                <c:pt idx="0">
                  <c:v>14.630855457839479</c:v>
                </c:pt>
                <c:pt idx="1">
                  <c:v>2.353113587555403</c:v>
                </c:pt>
                <c:pt idx="2">
                  <c:v>2.6429630263094723</c:v>
                </c:pt>
                <c:pt idx="3">
                  <c:v>-1.1607090060631491</c:v>
                </c:pt>
              </c:numCache>
            </c:numRef>
          </c:val>
          <c:smooth val="0"/>
        </c:ser>
        <c:ser>
          <c:idx val="31"/>
          <c:order val="31"/>
          <c:tx>
            <c:strRef>
              <c:f>'Pivot tables'!$AG$190:$AG$191</c:f>
              <c:strCache>
                <c:ptCount val="1"/>
                <c:pt idx="0">
                  <c:v>No pathology</c:v>
                </c:pt>
              </c:strCache>
            </c:strRef>
          </c:tx>
          <c:spPr>
            <a:ln w="38100">
              <a:solidFill>
                <a:schemeClr val="tx1"/>
              </a:solidFill>
            </a:ln>
          </c:spPr>
          <c:marker>
            <c:symbol val="none"/>
          </c:marker>
          <c:cat>
            <c:strRef>
              <c:f>'Pivot tables'!$A$192:$A$196</c:f>
              <c:strCache>
                <c:ptCount val="4"/>
                <c:pt idx="0">
                  <c:v>pre</c:v>
                </c:pt>
                <c:pt idx="1">
                  <c:v>2yr</c:v>
                </c:pt>
                <c:pt idx="2">
                  <c:v>5yr</c:v>
                </c:pt>
                <c:pt idx="3">
                  <c:v>8yr</c:v>
                </c:pt>
              </c:strCache>
            </c:strRef>
          </c:cat>
          <c:val>
            <c:numRef>
              <c:f>'Pivot tables'!$AG$192:$AG$196</c:f>
              <c:numCache>
                <c:formatCode>General</c:formatCode>
                <c:ptCount val="4"/>
                <c:pt idx="0">
                  <c:v>1.6302703273305197</c:v>
                </c:pt>
                <c:pt idx="1">
                  <c:v>1.6302703273305197</c:v>
                </c:pt>
                <c:pt idx="2">
                  <c:v>1.6302703273305197</c:v>
                </c:pt>
                <c:pt idx="3">
                  <c:v>1.6302703273305197</c:v>
                </c:pt>
              </c:numCache>
            </c:numRef>
          </c:val>
          <c:smooth val="0"/>
        </c:ser>
        <c:ser>
          <c:idx val="32"/>
          <c:order val="32"/>
          <c:tx>
            <c:strRef>
              <c:f>'Pivot tables'!$AH$190:$AH$191</c:f>
              <c:strCache>
                <c:ptCount val="1"/>
                <c:pt idx="0">
                  <c:v>patient 1-31</c:v>
                </c:pt>
              </c:strCache>
            </c:strRef>
          </c:tx>
          <c:cat>
            <c:strRef>
              <c:f>'Pivot tables'!$A$192:$A$196</c:f>
              <c:strCache>
                <c:ptCount val="4"/>
                <c:pt idx="0">
                  <c:v>pre</c:v>
                </c:pt>
                <c:pt idx="1">
                  <c:v>2yr</c:v>
                </c:pt>
                <c:pt idx="2">
                  <c:v>5yr</c:v>
                </c:pt>
                <c:pt idx="3">
                  <c:v>8yr</c:v>
                </c:pt>
              </c:strCache>
            </c:strRef>
          </c:cat>
          <c:val>
            <c:numRef>
              <c:f>'Pivot tables'!$AH$192:$AH$196</c:f>
              <c:numCache>
                <c:formatCode>General</c:formatCode>
                <c:ptCount val="4"/>
                <c:pt idx="0">
                  <c:v>18.857265881833332</c:v>
                </c:pt>
                <c:pt idx="1">
                  <c:v>19.912351378566669</c:v>
                </c:pt>
                <c:pt idx="2">
                  <c:v>5.0184666004249996</c:v>
                </c:pt>
              </c:numCache>
            </c:numRef>
          </c:val>
          <c:smooth val="0"/>
        </c:ser>
        <c:dLbls>
          <c:showLegendKey val="0"/>
          <c:showVal val="0"/>
          <c:showCatName val="0"/>
          <c:showSerName val="0"/>
          <c:showPercent val="0"/>
          <c:showBubbleSize val="0"/>
        </c:dLbls>
        <c:marker val="1"/>
        <c:smooth val="0"/>
        <c:axId val="201290496"/>
        <c:axId val="201292416"/>
      </c:lineChart>
      <c:catAx>
        <c:axId val="201290496"/>
        <c:scaling>
          <c:orientation val="minMax"/>
        </c:scaling>
        <c:delete val="0"/>
        <c:axPos val="b"/>
        <c:title>
          <c:tx>
            <c:rich>
              <a:bodyPr/>
              <a:lstStyle/>
              <a:p>
                <a:pPr>
                  <a:defRPr/>
                </a:pPr>
                <a:r>
                  <a:rPr lang="nl-BE"/>
                  <a:t>Timing</a:t>
                </a:r>
              </a:p>
            </c:rich>
          </c:tx>
          <c:overlay val="0"/>
        </c:title>
        <c:numFmt formatCode="General" sourceLinked="0"/>
        <c:majorTickMark val="none"/>
        <c:minorTickMark val="none"/>
        <c:tickLblPos val="nextTo"/>
        <c:crossAx val="201292416"/>
        <c:crosses val="autoZero"/>
        <c:auto val="1"/>
        <c:lblAlgn val="ctr"/>
        <c:lblOffset val="100"/>
        <c:noMultiLvlLbl val="0"/>
      </c:catAx>
      <c:valAx>
        <c:axId val="201292416"/>
        <c:scaling>
          <c:orientation val="minMax"/>
        </c:scaling>
        <c:delete val="0"/>
        <c:axPos val="l"/>
        <c:title>
          <c:tx>
            <c:rich>
              <a:bodyPr rot="-5400000" vert="horz"/>
              <a:lstStyle/>
              <a:p>
                <a:pPr>
                  <a:defRPr/>
                </a:pPr>
                <a:r>
                  <a:rPr lang="nl-BE"/>
                  <a:t>degl</a:t>
                </a:r>
              </a:p>
            </c:rich>
          </c:tx>
          <c:overlay val="0"/>
        </c:title>
        <c:numFmt formatCode="General" sourceLinked="1"/>
        <c:majorTickMark val="none"/>
        <c:minorTickMark val="none"/>
        <c:tickLblPos val="nextTo"/>
        <c:crossAx val="201290496"/>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pivotSource>
    <c:name>[grafieken per patiënt per parameter.xlsx]Pivot tables!Draaitabel39</c:name>
    <c:fmtId val="-1"/>
  </c:pivotSource>
  <c:chart>
    <c:title>
      <c:tx>
        <c:rich>
          <a:bodyPr/>
          <a:lstStyle/>
          <a:p>
            <a:pPr>
              <a:defRPr>
                <a:solidFill>
                  <a:sysClr val="windowText" lastClr="000000"/>
                </a:solidFill>
              </a:defRPr>
            </a:pPr>
            <a:r>
              <a:rPr lang="nl-BE">
                <a:solidFill>
                  <a:sysClr val="windowText" lastClr="000000"/>
                </a:solidFill>
              </a:rPr>
              <a:t>Maximum</a:t>
            </a:r>
            <a:r>
              <a:rPr lang="nl-BE" baseline="0">
                <a:solidFill>
                  <a:sysClr val="windowText" lastClr="000000"/>
                </a:solidFill>
              </a:rPr>
              <a:t> knee extension in stance</a:t>
            </a:r>
            <a:endParaRPr lang="nl-BE">
              <a:solidFill>
                <a:sysClr val="windowText" lastClr="000000"/>
              </a:solidFill>
            </a:endParaRPr>
          </a:p>
        </c:rich>
      </c:tx>
      <c:overlay val="0"/>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pivotFmt>
      <c:pivotFmt>
        <c:idx val="187"/>
      </c:pivotFmt>
      <c:pivotFmt>
        <c:idx val="188"/>
      </c:pivotFmt>
      <c:pivotFmt>
        <c:idx val="189"/>
      </c:pivotFmt>
      <c:pivotFmt>
        <c:idx val="190"/>
      </c:pivotFmt>
      <c:pivotFmt>
        <c:idx val="191"/>
      </c:pivotFmt>
      <c:pivotFmt>
        <c:idx val="192"/>
      </c:pivotFmt>
      <c:pivotFmt>
        <c:idx val="193"/>
      </c:pivotFmt>
      <c:pivotFmt>
        <c:idx val="194"/>
      </c:pivotFmt>
      <c:pivotFmt>
        <c:idx val="195"/>
      </c:pivotFmt>
      <c:pivotFmt>
        <c:idx val="196"/>
      </c:pivotFmt>
      <c:pivotFmt>
        <c:idx val="197"/>
      </c:pivotFmt>
      <c:pivotFmt>
        <c:idx val="198"/>
      </c:pivotFmt>
      <c:pivotFmt>
        <c:idx val="199"/>
      </c:pivotFmt>
      <c:pivotFmt>
        <c:idx val="200"/>
      </c:pivotFmt>
      <c:pivotFmt>
        <c:idx val="201"/>
      </c:pivotFmt>
      <c:pivotFmt>
        <c:idx val="202"/>
      </c:pivotFmt>
      <c:pivotFmt>
        <c:idx val="203"/>
      </c:pivotFmt>
      <c:pivotFmt>
        <c:idx val="204"/>
      </c:pivotFmt>
      <c:pivotFmt>
        <c:idx val="205"/>
      </c:pivotFmt>
      <c:pivotFmt>
        <c:idx val="206"/>
      </c:pivotFmt>
      <c:pivotFmt>
        <c:idx val="207"/>
      </c:pivotFmt>
      <c:pivotFmt>
        <c:idx val="208"/>
      </c:pivotFmt>
      <c:pivotFmt>
        <c:idx val="209"/>
      </c:pivotFmt>
      <c:pivotFmt>
        <c:idx val="210"/>
      </c:pivotFmt>
      <c:pivotFmt>
        <c:idx val="211"/>
      </c:pivotFmt>
      <c:pivotFmt>
        <c:idx val="212"/>
      </c:pivotFmt>
      <c:pivotFmt>
        <c:idx val="213"/>
      </c:pivotFmt>
      <c:pivotFmt>
        <c:idx val="214"/>
      </c:pivotFmt>
      <c:pivotFmt>
        <c:idx val="215"/>
      </c:pivotFmt>
      <c:pivotFmt>
        <c:idx val="216"/>
      </c:pivotFmt>
      <c:pivotFmt>
        <c:idx val="217"/>
      </c:pivotFmt>
      <c:pivotFmt>
        <c:idx val="218"/>
      </c:pivotFmt>
      <c:pivotFmt>
        <c:idx val="219"/>
      </c:pivotFmt>
      <c:pivotFmt>
        <c:idx val="220"/>
      </c:pivotFmt>
      <c:pivotFmt>
        <c:idx val="221"/>
      </c:pivotFmt>
      <c:pivotFmt>
        <c:idx val="222"/>
      </c:pivotFmt>
      <c:pivotFmt>
        <c:idx val="223"/>
      </c:pivotFmt>
      <c:pivotFmt>
        <c:idx val="224"/>
      </c:pivotFmt>
      <c:pivotFmt>
        <c:idx val="225"/>
      </c:pivotFmt>
      <c:pivotFmt>
        <c:idx val="226"/>
      </c:pivotFmt>
      <c:pivotFmt>
        <c:idx val="227"/>
      </c:pivotFmt>
      <c:pivotFmt>
        <c:idx val="228"/>
      </c:pivotFmt>
      <c:pivotFmt>
        <c:idx val="229"/>
      </c:pivotFmt>
      <c:pivotFmt>
        <c:idx val="230"/>
      </c:pivotFmt>
      <c:pivotFmt>
        <c:idx val="231"/>
      </c:pivotFmt>
      <c:pivotFmt>
        <c:idx val="232"/>
      </c:pivotFmt>
      <c:pivotFmt>
        <c:idx val="233"/>
      </c:pivotFmt>
      <c:pivotFmt>
        <c:idx val="234"/>
      </c:pivotFmt>
      <c:pivotFmt>
        <c:idx val="235"/>
      </c:pivotFmt>
      <c:pivotFmt>
        <c:idx val="236"/>
      </c:pivotFmt>
      <c:pivotFmt>
        <c:idx val="237"/>
      </c:pivotFmt>
      <c:pivotFmt>
        <c:idx val="238"/>
      </c:pivotFmt>
      <c:pivotFmt>
        <c:idx val="239"/>
      </c:pivotFmt>
      <c:pivotFmt>
        <c:idx val="240"/>
      </c:pivotFmt>
      <c:pivotFmt>
        <c:idx val="241"/>
      </c:pivotFmt>
      <c:pivotFmt>
        <c:idx val="242"/>
      </c:pivotFmt>
      <c:pivotFmt>
        <c:idx val="243"/>
      </c:pivotFmt>
      <c:pivotFmt>
        <c:idx val="244"/>
      </c:pivotFmt>
      <c:pivotFmt>
        <c:idx val="245"/>
      </c:pivotFmt>
      <c:pivotFmt>
        <c:idx val="246"/>
      </c:pivotFmt>
      <c:pivotFmt>
        <c:idx val="247"/>
      </c:pivotFmt>
      <c:pivotFmt>
        <c:idx val="248"/>
        <c:marker>
          <c:symbol val="circle"/>
          <c:size val="7"/>
        </c:marker>
      </c:pivotFmt>
      <c:pivotFmt>
        <c:idx val="249"/>
      </c:pivotFmt>
      <c:pivotFmt>
        <c:idx val="250"/>
      </c:pivotFmt>
      <c:pivotFmt>
        <c:idx val="251"/>
      </c:pivotFmt>
      <c:pivotFmt>
        <c:idx val="252"/>
      </c:pivotFmt>
      <c:pivotFmt>
        <c:idx val="253"/>
      </c:pivotFmt>
      <c:pivotFmt>
        <c:idx val="254"/>
      </c:pivotFmt>
      <c:pivotFmt>
        <c:idx val="255"/>
      </c:pivotFmt>
      <c:pivotFmt>
        <c:idx val="256"/>
      </c:pivotFmt>
      <c:pivotFmt>
        <c:idx val="257"/>
      </c:pivotFmt>
      <c:pivotFmt>
        <c:idx val="258"/>
      </c:pivotFmt>
      <c:pivotFmt>
        <c:idx val="259"/>
      </c:pivotFmt>
      <c:pivotFmt>
        <c:idx val="260"/>
      </c:pivotFmt>
      <c:pivotFmt>
        <c:idx val="261"/>
      </c:pivotFmt>
      <c:pivotFmt>
        <c:idx val="262"/>
      </c:pivotFmt>
      <c:pivotFmt>
        <c:idx val="263"/>
      </c:pivotFmt>
      <c:pivotFmt>
        <c:idx val="264"/>
      </c:pivotFmt>
      <c:pivotFmt>
        <c:idx val="265"/>
      </c:pivotFmt>
      <c:pivotFmt>
        <c:idx val="266"/>
      </c:pivotFmt>
      <c:pivotFmt>
        <c:idx val="267"/>
      </c:pivotFmt>
      <c:pivotFmt>
        <c:idx val="268"/>
      </c:pivotFmt>
      <c:pivotFmt>
        <c:idx val="269"/>
      </c:pivotFmt>
      <c:pivotFmt>
        <c:idx val="270"/>
      </c:pivotFmt>
      <c:pivotFmt>
        <c:idx val="271"/>
      </c:pivotFmt>
      <c:pivotFmt>
        <c:idx val="272"/>
      </c:pivotFmt>
      <c:pivotFmt>
        <c:idx val="273"/>
      </c:pivotFmt>
      <c:pivotFmt>
        <c:idx val="274"/>
      </c:pivotFmt>
      <c:pivotFmt>
        <c:idx val="275"/>
      </c:pivotFmt>
      <c:pivotFmt>
        <c:idx val="276"/>
      </c:pivotFmt>
      <c:pivotFmt>
        <c:idx val="277"/>
      </c:pivotFmt>
      <c:pivotFmt>
        <c:idx val="278"/>
      </c:pivotFmt>
      <c:pivotFmt>
        <c:idx val="279"/>
        <c:spPr>
          <a:ln w="38100">
            <a:solidFill>
              <a:schemeClr val="tx1"/>
            </a:solidFill>
          </a:ln>
        </c:spPr>
        <c:marker>
          <c:symbol val="circle"/>
          <c:size val="7"/>
          <c:spPr>
            <a:solidFill>
              <a:schemeClr val="tx1"/>
            </a:solidFill>
          </c:spPr>
        </c:marker>
      </c:pivotFmt>
      <c:pivotFmt>
        <c:idx val="280"/>
        <c:spPr>
          <a:ln w="38100">
            <a:solidFill>
              <a:schemeClr val="tx1"/>
            </a:solidFill>
          </a:ln>
        </c:spPr>
        <c:marker>
          <c:symbol val="none"/>
        </c:marker>
      </c:pivotFmt>
      <c:pivotFmt>
        <c:idx val="281"/>
      </c:pivotFmt>
      <c:pivotFmt>
        <c:idx val="282"/>
        <c:marker>
          <c:symbol val="circle"/>
          <c:size val="7"/>
        </c:marker>
      </c:pivotFmt>
      <c:pivotFmt>
        <c:idx val="283"/>
      </c:pivotFmt>
      <c:pivotFmt>
        <c:idx val="284"/>
      </c:pivotFmt>
      <c:pivotFmt>
        <c:idx val="285"/>
      </c:pivotFmt>
      <c:pivotFmt>
        <c:idx val="286"/>
      </c:pivotFmt>
      <c:pivotFmt>
        <c:idx val="287"/>
      </c:pivotFmt>
      <c:pivotFmt>
        <c:idx val="288"/>
      </c:pivotFmt>
      <c:pivotFmt>
        <c:idx val="289"/>
      </c:pivotFmt>
      <c:pivotFmt>
        <c:idx val="290"/>
      </c:pivotFmt>
      <c:pivotFmt>
        <c:idx val="291"/>
      </c:pivotFmt>
      <c:pivotFmt>
        <c:idx val="292"/>
      </c:pivotFmt>
      <c:pivotFmt>
        <c:idx val="293"/>
      </c:pivotFmt>
      <c:pivotFmt>
        <c:idx val="294"/>
      </c:pivotFmt>
      <c:pivotFmt>
        <c:idx val="295"/>
      </c:pivotFmt>
      <c:pivotFmt>
        <c:idx val="296"/>
      </c:pivotFmt>
      <c:pivotFmt>
        <c:idx val="297"/>
      </c:pivotFmt>
      <c:pivotFmt>
        <c:idx val="298"/>
      </c:pivotFmt>
      <c:pivotFmt>
        <c:idx val="299"/>
      </c:pivotFmt>
      <c:pivotFmt>
        <c:idx val="300"/>
      </c:pivotFmt>
      <c:pivotFmt>
        <c:idx val="301"/>
      </c:pivotFmt>
      <c:pivotFmt>
        <c:idx val="302"/>
      </c:pivotFmt>
      <c:pivotFmt>
        <c:idx val="303"/>
      </c:pivotFmt>
      <c:pivotFmt>
        <c:idx val="304"/>
      </c:pivotFmt>
      <c:pivotFmt>
        <c:idx val="305"/>
      </c:pivotFmt>
      <c:pivotFmt>
        <c:idx val="306"/>
      </c:pivotFmt>
      <c:pivotFmt>
        <c:idx val="307"/>
      </c:pivotFmt>
      <c:pivotFmt>
        <c:idx val="308"/>
      </c:pivotFmt>
      <c:pivotFmt>
        <c:idx val="309"/>
      </c:pivotFmt>
      <c:pivotFmt>
        <c:idx val="310"/>
      </c:pivotFmt>
      <c:pivotFmt>
        <c:idx val="311"/>
      </c:pivotFmt>
      <c:pivotFmt>
        <c:idx val="312"/>
        <c:spPr>
          <a:ln w="38100">
            <a:solidFill>
              <a:schemeClr val="tx1"/>
            </a:solidFill>
          </a:ln>
        </c:spPr>
        <c:marker>
          <c:symbol val="circle"/>
          <c:size val="7"/>
          <c:spPr>
            <a:solidFill>
              <a:schemeClr val="tx1"/>
            </a:solidFill>
          </c:spPr>
        </c:marker>
      </c:pivotFmt>
      <c:pivotFmt>
        <c:idx val="313"/>
        <c:spPr>
          <a:ln w="38100">
            <a:solidFill>
              <a:schemeClr val="tx1"/>
            </a:solidFill>
          </a:ln>
        </c:spPr>
        <c:marker>
          <c:symbol val="none"/>
        </c:marker>
      </c:pivotFmt>
      <c:pivotFmt>
        <c:idx val="314"/>
      </c:pivotFmt>
      <c:pivotFmt>
        <c:idx val="315"/>
        <c:marker>
          <c:symbol val="circle"/>
          <c:size val="7"/>
        </c:marker>
      </c:pivotFmt>
      <c:pivotFmt>
        <c:idx val="316"/>
      </c:pivotFmt>
      <c:pivotFmt>
        <c:idx val="317"/>
      </c:pivotFmt>
      <c:pivotFmt>
        <c:idx val="318"/>
      </c:pivotFmt>
      <c:pivotFmt>
        <c:idx val="319"/>
      </c:pivotFmt>
      <c:pivotFmt>
        <c:idx val="320"/>
      </c:pivotFmt>
      <c:pivotFmt>
        <c:idx val="321"/>
      </c:pivotFmt>
      <c:pivotFmt>
        <c:idx val="322"/>
      </c:pivotFmt>
      <c:pivotFmt>
        <c:idx val="323"/>
      </c:pivotFmt>
      <c:pivotFmt>
        <c:idx val="324"/>
      </c:pivotFmt>
      <c:pivotFmt>
        <c:idx val="325"/>
      </c:pivotFmt>
      <c:pivotFmt>
        <c:idx val="326"/>
      </c:pivotFmt>
      <c:pivotFmt>
        <c:idx val="327"/>
      </c:pivotFmt>
      <c:pivotFmt>
        <c:idx val="328"/>
      </c:pivotFmt>
      <c:pivotFmt>
        <c:idx val="329"/>
      </c:pivotFmt>
      <c:pivotFmt>
        <c:idx val="330"/>
      </c:pivotFmt>
      <c:pivotFmt>
        <c:idx val="331"/>
      </c:pivotFmt>
      <c:pivotFmt>
        <c:idx val="332"/>
      </c:pivotFmt>
      <c:pivotFmt>
        <c:idx val="333"/>
      </c:pivotFmt>
      <c:pivotFmt>
        <c:idx val="334"/>
      </c:pivotFmt>
      <c:pivotFmt>
        <c:idx val="335"/>
      </c:pivotFmt>
      <c:pivotFmt>
        <c:idx val="336"/>
      </c:pivotFmt>
      <c:pivotFmt>
        <c:idx val="337"/>
      </c:pivotFmt>
      <c:pivotFmt>
        <c:idx val="338"/>
      </c:pivotFmt>
      <c:pivotFmt>
        <c:idx val="339"/>
      </c:pivotFmt>
      <c:pivotFmt>
        <c:idx val="340"/>
      </c:pivotFmt>
      <c:pivotFmt>
        <c:idx val="341"/>
      </c:pivotFmt>
      <c:pivotFmt>
        <c:idx val="342"/>
      </c:pivotFmt>
      <c:pivotFmt>
        <c:idx val="343"/>
      </c:pivotFmt>
      <c:pivotFmt>
        <c:idx val="344"/>
      </c:pivotFmt>
      <c:pivotFmt>
        <c:idx val="345"/>
        <c:spPr>
          <a:ln w="38100">
            <a:solidFill>
              <a:schemeClr val="tx1"/>
            </a:solidFill>
          </a:ln>
        </c:spPr>
        <c:marker>
          <c:symbol val="circle"/>
          <c:size val="7"/>
          <c:spPr>
            <a:solidFill>
              <a:schemeClr val="tx1"/>
            </a:solidFill>
          </c:spPr>
        </c:marker>
      </c:pivotFmt>
      <c:pivotFmt>
        <c:idx val="346"/>
        <c:spPr>
          <a:ln w="38100">
            <a:solidFill>
              <a:schemeClr val="tx1"/>
            </a:solidFill>
          </a:ln>
        </c:spPr>
        <c:marker>
          <c:symbol val="none"/>
        </c:marker>
      </c:pivotFmt>
      <c:pivotFmt>
        <c:idx val="347"/>
      </c:pivotFmt>
    </c:pivotFmts>
    <c:plotArea>
      <c:layout/>
      <c:lineChart>
        <c:grouping val="standard"/>
        <c:varyColors val="0"/>
        <c:ser>
          <c:idx val="0"/>
          <c:order val="0"/>
          <c:tx>
            <c:strRef>
              <c:f>'Pivot tables'!$B$388:$B$389</c:f>
              <c:strCache>
                <c:ptCount val="1"/>
                <c:pt idx="0">
                  <c:v>010616b061</c:v>
                </c:pt>
              </c:strCache>
            </c:strRef>
          </c:tx>
          <c:marker>
            <c:symbol val="circle"/>
            <c:size val="7"/>
          </c:marker>
          <c:cat>
            <c:strRef>
              <c:f>'Pivot tables'!$A$390:$A$394</c:f>
              <c:strCache>
                <c:ptCount val="4"/>
                <c:pt idx="0">
                  <c:v>pre</c:v>
                </c:pt>
                <c:pt idx="1">
                  <c:v>2yr</c:v>
                </c:pt>
                <c:pt idx="2">
                  <c:v>5yr</c:v>
                </c:pt>
                <c:pt idx="3">
                  <c:v>8yr</c:v>
                </c:pt>
              </c:strCache>
            </c:strRef>
          </c:cat>
          <c:val>
            <c:numRef>
              <c:f>'Pivot tables'!$B$390:$B$394</c:f>
              <c:numCache>
                <c:formatCode>General</c:formatCode>
                <c:ptCount val="4"/>
                <c:pt idx="0">
                  <c:v>-15.482942899066666</c:v>
                </c:pt>
                <c:pt idx="1">
                  <c:v>-18.489770889300001</c:v>
                </c:pt>
                <c:pt idx="2">
                  <c:v>-10.368055582049999</c:v>
                </c:pt>
                <c:pt idx="3">
                  <c:v>-9.3062149683333324</c:v>
                </c:pt>
              </c:numCache>
            </c:numRef>
          </c:val>
          <c:smooth val="0"/>
        </c:ser>
        <c:ser>
          <c:idx val="1"/>
          <c:order val="1"/>
          <c:tx>
            <c:strRef>
              <c:f>'Pivot tables'!$C$388:$C$389</c:f>
              <c:strCache>
                <c:ptCount val="1"/>
                <c:pt idx="0">
                  <c:v>960905m314</c:v>
                </c:pt>
              </c:strCache>
            </c:strRef>
          </c:tx>
          <c:cat>
            <c:strRef>
              <c:f>'Pivot tables'!$A$390:$A$394</c:f>
              <c:strCache>
                <c:ptCount val="4"/>
                <c:pt idx="0">
                  <c:v>pre</c:v>
                </c:pt>
                <c:pt idx="1">
                  <c:v>2yr</c:v>
                </c:pt>
                <c:pt idx="2">
                  <c:v>5yr</c:v>
                </c:pt>
                <c:pt idx="3">
                  <c:v>8yr</c:v>
                </c:pt>
              </c:strCache>
            </c:strRef>
          </c:cat>
          <c:val>
            <c:numRef>
              <c:f>'Pivot tables'!$C$390:$C$394</c:f>
              <c:numCache>
                <c:formatCode>General</c:formatCode>
                <c:ptCount val="4"/>
                <c:pt idx="0">
                  <c:v>17.229173541074999</c:v>
                </c:pt>
                <c:pt idx="1">
                  <c:v>20.202914237966667</c:v>
                </c:pt>
                <c:pt idx="2">
                  <c:v>27.819085756949999</c:v>
                </c:pt>
                <c:pt idx="3">
                  <c:v>27.680760383616668</c:v>
                </c:pt>
              </c:numCache>
            </c:numRef>
          </c:val>
          <c:smooth val="0"/>
        </c:ser>
        <c:ser>
          <c:idx val="2"/>
          <c:order val="2"/>
          <c:tx>
            <c:strRef>
              <c:f>'Pivot tables'!$D$388:$D$389</c:f>
              <c:strCache>
                <c:ptCount val="1"/>
                <c:pt idx="0">
                  <c:v>970602m038</c:v>
                </c:pt>
              </c:strCache>
            </c:strRef>
          </c:tx>
          <c:cat>
            <c:strRef>
              <c:f>'Pivot tables'!$A$390:$A$394</c:f>
              <c:strCache>
                <c:ptCount val="4"/>
                <c:pt idx="0">
                  <c:v>pre</c:v>
                </c:pt>
                <c:pt idx="1">
                  <c:v>2yr</c:v>
                </c:pt>
                <c:pt idx="2">
                  <c:v>5yr</c:v>
                </c:pt>
                <c:pt idx="3">
                  <c:v>8yr</c:v>
                </c:pt>
              </c:strCache>
            </c:strRef>
          </c:cat>
          <c:val>
            <c:numRef>
              <c:f>'Pivot tables'!$D$390:$D$394</c:f>
              <c:numCache>
                <c:formatCode>General</c:formatCode>
                <c:ptCount val="4"/>
                <c:pt idx="0">
                  <c:v>32.565681839</c:v>
                </c:pt>
                <c:pt idx="1">
                  <c:v>-4.3422675132666662</c:v>
                </c:pt>
                <c:pt idx="2">
                  <c:v>6.1976881980799998</c:v>
                </c:pt>
                <c:pt idx="3">
                  <c:v>-2.4204592364000002</c:v>
                </c:pt>
              </c:numCache>
            </c:numRef>
          </c:val>
          <c:smooth val="0"/>
        </c:ser>
        <c:ser>
          <c:idx val="3"/>
          <c:order val="3"/>
          <c:tx>
            <c:strRef>
              <c:f>'Pivot tables'!$E$388:$E$389</c:f>
              <c:strCache>
                <c:ptCount val="1"/>
                <c:pt idx="0">
                  <c:v>901117v039</c:v>
                </c:pt>
              </c:strCache>
            </c:strRef>
          </c:tx>
          <c:cat>
            <c:strRef>
              <c:f>'Pivot tables'!$A$390:$A$394</c:f>
              <c:strCache>
                <c:ptCount val="4"/>
                <c:pt idx="0">
                  <c:v>pre</c:v>
                </c:pt>
                <c:pt idx="1">
                  <c:v>2yr</c:v>
                </c:pt>
                <c:pt idx="2">
                  <c:v>5yr</c:v>
                </c:pt>
                <c:pt idx="3">
                  <c:v>8yr</c:v>
                </c:pt>
              </c:strCache>
            </c:strRef>
          </c:cat>
          <c:val>
            <c:numRef>
              <c:f>'Pivot tables'!$E$390:$E$394</c:f>
              <c:numCache>
                <c:formatCode>General</c:formatCode>
                <c:ptCount val="4"/>
                <c:pt idx="0">
                  <c:v>39.823580423999999</c:v>
                </c:pt>
                <c:pt idx="2">
                  <c:v>9.8082666396857139</c:v>
                </c:pt>
              </c:numCache>
            </c:numRef>
          </c:val>
          <c:smooth val="0"/>
        </c:ser>
        <c:ser>
          <c:idx val="4"/>
          <c:order val="4"/>
          <c:tx>
            <c:strRef>
              <c:f>'Pivot tables'!$F$388:$F$389</c:f>
              <c:strCache>
                <c:ptCount val="1"/>
                <c:pt idx="0">
                  <c:v>991112v027</c:v>
                </c:pt>
              </c:strCache>
            </c:strRef>
          </c:tx>
          <c:cat>
            <c:strRef>
              <c:f>'Pivot tables'!$A$390:$A$394</c:f>
              <c:strCache>
                <c:ptCount val="4"/>
                <c:pt idx="0">
                  <c:v>pre</c:v>
                </c:pt>
                <c:pt idx="1">
                  <c:v>2yr</c:v>
                </c:pt>
                <c:pt idx="2">
                  <c:v>5yr</c:v>
                </c:pt>
                <c:pt idx="3">
                  <c:v>8yr</c:v>
                </c:pt>
              </c:strCache>
            </c:strRef>
          </c:cat>
          <c:val>
            <c:numRef>
              <c:f>'Pivot tables'!$F$390:$F$394</c:f>
              <c:numCache>
                <c:formatCode>General</c:formatCode>
                <c:ptCount val="4"/>
                <c:pt idx="0">
                  <c:v>1.5178319749833331</c:v>
                </c:pt>
                <c:pt idx="1">
                  <c:v>3.7222102710000002</c:v>
                </c:pt>
                <c:pt idx="2">
                  <c:v>1.2908163269166666</c:v>
                </c:pt>
                <c:pt idx="3">
                  <c:v>6.2543424197428568</c:v>
                </c:pt>
              </c:numCache>
            </c:numRef>
          </c:val>
          <c:smooth val="0"/>
        </c:ser>
        <c:ser>
          <c:idx val="5"/>
          <c:order val="5"/>
          <c:tx>
            <c:strRef>
              <c:f>'Pivot tables'!$G$388:$G$389</c:f>
              <c:strCache>
                <c:ptCount val="1"/>
                <c:pt idx="0">
                  <c:v>910507m071</c:v>
                </c:pt>
              </c:strCache>
            </c:strRef>
          </c:tx>
          <c:cat>
            <c:strRef>
              <c:f>'Pivot tables'!$A$390:$A$394</c:f>
              <c:strCache>
                <c:ptCount val="4"/>
                <c:pt idx="0">
                  <c:v>pre</c:v>
                </c:pt>
                <c:pt idx="1">
                  <c:v>2yr</c:v>
                </c:pt>
                <c:pt idx="2">
                  <c:v>5yr</c:v>
                </c:pt>
                <c:pt idx="3">
                  <c:v>8yr</c:v>
                </c:pt>
              </c:strCache>
            </c:strRef>
          </c:cat>
          <c:val>
            <c:numRef>
              <c:f>'Pivot tables'!$G$390:$G$394</c:f>
              <c:numCache>
                <c:formatCode>General</c:formatCode>
                <c:ptCount val="4"/>
                <c:pt idx="0">
                  <c:v>27.035288333899999</c:v>
                </c:pt>
                <c:pt idx="1">
                  <c:v>-8.8064681291750002</c:v>
                </c:pt>
                <c:pt idx="3">
                  <c:v>-4.1559304445749996</c:v>
                </c:pt>
              </c:numCache>
            </c:numRef>
          </c:val>
          <c:smooth val="0"/>
        </c:ser>
        <c:ser>
          <c:idx val="6"/>
          <c:order val="6"/>
          <c:tx>
            <c:strRef>
              <c:f>'Pivot tables'!$H$388:$H$389</c:f>
              <c:strCache>
                <c:ptCount val="1"/>
                <c:pt idx="0">
                  <c:v>921107v089</c:v>
                </c:pt>
              </c:strCache>
            </c:strRef>
          </c:tx>
          <c:cat>
            <c:strRef>
              <c:f>'Pivot tables'!$A$390:$A$394</c:f>
              <c:strCache>
                <c:ptCount val="4"/>
                <c:pt idx="0">
                  <c:v>pre</c:v>
                </c:pt>
                <c:pt idx="1">
                  <c:v>2yr</c:v>
                </c:pt>
                <c:pt idx="2">
                  <c:v>5yr</c:v>
                </c:pt>
                <c:pt idx="3">
                  <c:v>8yr</c:v>
                </c:pt>
              </c:strCache>
            </c:strRef>
          </c:cat>
          <c:val>
            <c:numRef>
              <c:f>'Pivot tables'!$H$390:$H$394</c:f>
              <c:numCache>
                <c:formatCode>General</c:formatCode>
                <c:ptCount val="4"/>
                <c:pt idx="0">
                  <c:v>9.198310428200001</c:v>
                </c:pt>
                <c:pt idx="1">
                  <c:v>6.1726245880166664</c:v>
                </c:pt>
                <c:pt idx="3">
                  <c:v>5.0226592676999999</c:v>
                </c:pt>
              </c:numCache>
            </c:numRef>
          </c:val>
          <c:smooth val="0"/>
        </c:ser>
        <c:ser>
          <c:idx val="7"/>
          <c:order val="7"/>
          <c:tx>
            <c:strRef>
              <c:f>'Pivot tables'!$I$388:$I$389</c:f>
              <c:strCache>
                <c:ptCount val="1"/>
                <c:pt idx="0">
                  <c:v>921013m117</c:v>
                </c:pt>
              </c:strCache>
            </c:strRef>
          </c:tx>
          <c:cat>
            <c:strRef>
              <c:f>'Pivot tables'!$A$390:$A$394</c:f>
              <c:strCache>
                <c:ptCount val="4"/>
                <c:pt idx="0">
                  <c:v>pre</c:v>
                </c:pt>
                <c:pt idx="1">
                  <c:v>2yr</c:v>
                </c:pt>
                <c:pt idx="2">
                  <c:v>5yr</c:v>
                </c:pt>
                <c:pt idx="3">
                  <c:v>8yr</c:v>
                </c:pt>
              </c:strCache>
            </c:strRef>
          </c:cat>
          <c:val>
            <c:numRef>
              <c:f>'Pivot tables'!$I$390:$I$394</c:f>
              <c:numCache>
                <c:formatCode>General</c:formatCode>
                <c:ptCount val="4"/>
                <c:pt idx="0">
                  <c:v>31.011444091800001</c:v>
                </c:pt>
                <c:pt idx="1">
                  <c:v>-2.9134656389499995</c:v>
                </c:pt>
                <c:pt idx="3">
                  <c:v>-3.4507851203166662</c:v>
                </c:pt>
              </c:numCache>
            </c:numRef>
          </c:val>
          <c:smooth val="0"/>
        </c:ser>
        <c:ser>
          <c:idx val="8"/>
          <c:order val="8"/>
          <c:tx>
            <c:strRef>
              <c:f>'Pivot tables'!$J$388:$J$389</c:f>
              <c:strCache>
                <c:ptCount val="1"/>
                <c:pt idx="0">
                  <c:v>981222v116</c:v>
                </c:pt>
              </c:strCache>
            </c:strRef>
          </c:tx>
          <c:cat>
            <c:strRef>
              <c:f>'Pivot tables'!$A$390:$A$394</c:f>
              <c:strCache>
                <c:ptCount val="4"/>
                <c:pt idx="0">
                  <c:v>pre</c:v>
                </c:pt>
                <c:pt idx="1">
                  <c:v>2yr</c:v>
                </c:pt>
                <c:pt idx="2">
                  <c:v>5yr</c:v>
                </c:pt>
                <c:pt idx="3">
                  <c:v>8yr</c:v>
                </c:pt>
              </c:strCache>
            </c:strRef>
          </c:cat>
          <c:val>
            <c:numRef>
              <c:f>'Pivot tables'!$J$390:$J$394</c:f>
              <c:numCache>
                <c:formatCode>General</c:formatCode>
                <c:ptCount val="4"/>
                <c:pt idx="0">
                  <c:v>14.821545600866665</c:v>
                </c:pt>
                <c:pt idx="2">
                  <c:v>3.2318032741599998</c:v>
                </c:pt>
                <c:pt idx="3">
                  <c:v>1.67994127274</c:v>
                </c:pt>
              </c:numCache>
            </c:numRef>
          </c:val>
          <c:smooth val="0"/>
        </c:ser>
        <c:ser>
          <c:idx val="9"/>
          <c:order val="9"/>
          <c:tx>
            <c:strRef>
              <c:f>'Pivot tables'!$K$388:$K$389</c:f>
              <c:strCache>
                <c:ptCount val="1"/>
                <c:pt idx="0">
                  <c:v>980310m240</c:v>
                </c:pt>
              </c:strCache>
            </c:strRef>
          </c:tx>
          <c:cat>
            <c:strRef>
              <c:f>'Pivot tables'!$A$390:$A$394</c:f>
              <c:strCache>
                <c:ptCount val="4"/>
                <c:pt idx="0">
                  <c:v>pre</c:v>
                </c:pt>
                <c:pt idx="1">
                  <c:v>2yr</c:v>
                </c:pt>
                <c:pt idx="2">
                  <c:v>5yr</c:v>
                </c:pt>
                <c:pt idx="3">
                  <c:v>8yr</c:v>
                </c:pt>
              </c:strCache>
            </c:strRef>
          </c:cat>
          <c:val>
            <c:numRef>
              <c:f>'Pivot tables'!$K$390:$K$394</c:f>
              <c:numCache>
                <c:formatCode>General</c:formatCode>
                <c:ptCount val="4"/>
                <c:pt idx="0">
                  <c:v>2.4469145834249995</c:v>
                </c:pt>
                <c:pt idx="1">
                  <c:v>13.549893242971427</c:v>
                </c:pt>
                <c:pt idx="2">
                  <c:v>9.6720729555428573</c:v>
                </c:pt>
              </c:numCache>
            </c:numRef>
          </c:val>
          <c:smooth val="0"/>
        </c:ser>
        <c:ser>
          <c:idx val="10"/>
          <c:order val="10"/>
          <c:tx>
            <c:strRef>
              <c:f>'Pivot tables'!$L$388:$L$389</c:f>
              <c:strCache>
                <c:ptCount val="1"/>
                <c:pt idx="0">
                  <c:v>990206m010</c:v>
                </c:pt>
              </c:strCache>
            </c:strRef>
          </c:tx>
          <c:cat>
            <c:strRef>
              <c:f>'Pivot tables'!$A$390:$A$394</c:f>
              <c:strCache>
                <c:ptCount val="4"/>
                <c:pt idx="0">
                  <c:v>pre</c:v>
                </c:pt>
                <c:pt idx="1">
                  <c:v>2yr</c:v>
                </c:pt>
                <c:pt idx="2">
                  <c:v>5yr</c:v>
                </c:pt>
                <c:pt idx="3">
                  <c:v>8yr</c:v>
                </c:pt>
              </c:strCache>
            </c:strRef>
          </c:cat>
          <c:val>
            <c:numRef>
              <c:f>'Pivot tables'!$L$390:$L$394</c:f>
              <c:numCache>
                <c:formatCode>General</c:formatCode>
                <c:ptCount val="4"/>
                <c:pt idx="0">
                  <c:v>6.559966087366667</c:v>
                </c:pt>
                <c:pt idx="1">
                  <c:v>15.709121068333332</c:v>
                </c:pt>
                <c:pt idx="2">
                  <c:v>14.756650129950001</c:v>
                </c:pt>
              </c:numCache>
            </c:numRef>
          </c:val>
          <c:smooth val="0"/>
        </c:ser>
        <c:ser>
          <c:idx val="11"/>
          <c:order val="11"/>
          <c:tx>
            <c:strRef>
              <c:f>'Pivot tables'!$M$388:$M$389</c:f>
              <c:strCache>
                <c:ptCount val="1"/>
                <c:pt idx="0">
                  <c:v>941028m142</c:v>
                </c:pt>
              </c:strCache>
            </c:strRef>
          </c:tx>
          <c:cat>
            <c:strRef>
              <c:f>'Pivot tables'!$A$390:$A$394</c:f>
              <c:strCache>
                <c:ptCount val="4"/>
                <c:pt idx="0">
                  <c:v>pre</c:v>
                </c:pt>
                <c:pt idx="1">
                  <c:v>2yr</c:v>
                </c:pt>
                <c:pt idx="2">
                  <c:v>5yr</c:v>
                </c:pt>
                <c:pt idx="3">
                  <c:v>8yr</c:v>
                </c:pt>
              </c:strCache>
            </c:strRef>
          </c:cat>
          <c:val>
            <c:numRef>
              <c:f>'Pivot tables'!$M$390:$M$394</c:f>
              <c:numCache>
                <c:formatCode>General</c:formatCode>
                <c:ptCount val="4"/>
                <c:pt idx="0">
                  <c:v>18.941226005575</c:v>
                </c:pt>
                <c:pt idx="1">
                  <c:v>8.4470882415750008</c:v>
                </c:pt>
                <c:pt idx="2">
                  <c:v>-4.8671878576166669</c:v>
                </c:pt>
                <c:pt idx="3">
                  <c:v>-2.6240274459125001</c:v>
                </c:pt>
              </c:numCache>
            </c:numRef>
          </c:val>
          <c:smooth val="0"/>
        </c:ser>
        <c:ser>
          <c:idx val="12"/>
          <c:order val="12"/>
          <c:tx>
            <c:strRef>
              <c:f>'Pivot tables'!$N$388:$N$389</c:f>
              <c:strCache>
                <c:ptCount val="1"/>
                <c:pt idx="0">
                  <c:v>950921m174</c:v>
                </c:pt>
              </c:strCache>
            </c:strRef>
          </c:tx>
          <c:cat>
            <c:strRef>
              <c:f>'Pivot tables'!$A$390:$A$394</c:f>
              <c:strCache>
                <c:ptCount val="4"/>
                <c:pt idx="0">
                  <c:v>pre</c:v>
                </c:pt>
                <c:pt idx="1">
                  <c:v>2yr</c:v>
                </c:pt>
                <c:pt idx="2">
                  <c:v>5yr</c:v>
                </c:pt>
                <c:pt idx="3">
                  <c:v>8yr</c:v>
                </c:pt>
              </c:strCache>
            </c:strRef>
          </c:cat>
          <c:val>
            <c:numRef>
              <c:f>'Pivot tables'!$N$390:$N$394</c:f>
              <c:numCache>
                <c:formatCode>General</c:formatCode>
                <c:ptCount val="4"/>
                <c:pt idx="0">
                  <c:v>23.200844628471426</c:v>
                </c:pt>
                <c:pt idx="1">
                  <c:v>26.442380905149999</c:v>
                </c:pt>
                <c:pt idx="2">
                  <c:v>27.59828720094</c:v>
                </c:pt>
                <c:pt idx="3">
                  <c:v>-3.5500598748500001</c:v>
                </c:pt>
              </c:numCache>
            </c:numRef>
          </c:val>
          <c:smooth val="0"/>
        </c:ser>
        <c:ser>
          <c:idx val="13"/>
          <c:order val="13"/>
          <c:tx>
            <c:strRef>
              <c:f>'Pivot tables'!$O$388:$O$389</c:f>
              <c:strCache>
                <c:ptCount val="1"/>
                <c:pt idx="0">
                  <c:v>981228m104</c:v>
                </c:pt>
              </c:strCache>
            </c:strRef>
          </c:tx>
          <c:cat>
            <c:strRef>
              <c:f>'Pivot tables'!$A$390:$A$394</c:f>
              <c:strCache>
                <c:ptCount val="4"/>
                <c:pt idx="0">
                  <c:v>pre</c:v>
                </c:pt>
                <c:pt idx="1">
                  <c:v>2yr</c:v>
                </c:pt>
                <c:pt idx="2">
                  <c:v>5yr</c:v>
                </c:pt>
                <c:pt idx="3">
                  <c:v>8yr</c:v>
                </c:pt>
              </c:strCache>
            </c:strRef>
          </c:cat>
          <c:val>
            <c:numRef>
              <c:f>'Pivot tables'!$O$390:$O$394</c:f>
              <c:numCache>
                <c:formatCode>General</c:formatCode>
                <c:ptCount val="4"/>
                <c:pt idx="0">
                  <c:v>20.07671260835</c:v>
                </c:pt>
                <c:pt idx="1">
                  <c:v>-10.180525461833334</c:v>
                </c:pt>
                <c:pt idx="2">
                  <c:v>-5.530704215160001</c:v>
                </c:pt>
                <c:pt idx="3">
                  <c:v>1.8943316737833331</c:v>
                </c:pt>
              </c:numCache>
            </c:numRef>
          </c:val>
          <c:smooth val="0"/>
        </c:ser>
        <c:ser>
          <c:idx val="14"/>
          <c:order val="14"/>
          <c:tx>
            <c:strRef>
              <c:f>'Pivot tables'!$P$388:$P$389</c:f>
              <c:strCache>
                <c:ptCount val="1"/>
                <c:pt idx="0">
                  <c:v>900219m048</c:v>
                </c:pt>
              </c:strCache>
            </c:strRef>
          </c:tx>
          <c:cat>
            <c:strRef>
              <c:f>'Pivot tables'!$A$390:$A$394</c:f>
              <c:strCache>
                <c:ptCount val="4"/>
                <c:pt idx="0">
                  <c:v>pre</c:v>
                </c:pt>
                <c:pt idx="1">
                  <c:v>2yr</c:v>
                </c:pt>
                <c:pt idx="2">
                  <c:v>5yr</c:v>
                </c:pt>
                <c:pt idx="3">
                  <c:v>8yr</c:v>
                </c:pt>
              </c:strCache>
            </c:strRef>
          </c:cat>
          <c:val>
            <c:numRef>
              <c:f>'Pivot tables'!$P$390:$P$394</c:f>
              <c:numCache>
                <c:formatCode>General</c:formatCode>
                <c:ptCount val="4"/>
                <c:pt idx="0">
                  <c:v>52.716247134733337</c:v>
                </c:pt>
                <c:pt idx="1">
                  <c:v>23.769386863699999</c:v>
                </c:pt>
                <c:pt idx="3">
                  <c:v>35.251020704014287</c:v>
                </c:pt>
              </c:numCache>
            </c:numRef>
          </c:val>
          <c:smooth val="0"/>
        </c:ser>
        <c:ser>
          <c:idx val="15"/>
          <c:order val="15"/>
          <c:tx>
            <c:strRef>
              <c:f>'Pivot tables'!$Q$388:$Q$389</c:f>
              <c:strCache>
                <c:ptCount val="1"/>
                <c:pt idx="0">
                  <c:v>930219m144</c:v>
                </c:pt>
              </c:strCache>
            </c:strRef>
          </c:tx>
          <c:cat>
            <c:strRef>
              <c:f>'Pivot tables'!$A$390:$A$394</c:f>
              <c:strCache>
                <c:ptCount val="4"/>
                <c:pt idx="0">
                  <c:v>pre</c:v>
                </c:pt>
                <c:pt idx="1">
                  <c:v>2yr</c:v>
                </c:pt>
                <c:pt idx="2">
                  <c:v>5yr</c:v>
                </c:pt>
                <c:pt idx="3">
                  <c:v>8yr</c:v>
                </c:pt>
              </c:strCache>
            </c:strRef>
          </c:cat>
          <c:val>
            <c:numRef>
              <c:f>'Pivot tables'!$Q$390:$Q$394</c:f>
              <c:numCache>
                <c:formatCode>General</c:formatCode>
                <c:ptCount val="4"/>
                <c:pt idx="0">
                  <c:v>68.196168687622219</c:v>
                </c:pt>
                <c:pt idx="1">
                  <c:v>21.167638778699999</c:v>
                </c:pt>
                <c:pt idx="2">
                  <c:v>17.237517992666668</c:v>
                </c:pt>
                <c:pt idx="3">
                  <c:v>14.21795310972</c:v>
                </c:pt>
              </c:numCache>
            </c:numRef>
          </c:val>
          <c:smooth val="0"/>
        </c:ser>
        <c:ser>
          <c:idx val="16"/>
          <c:order val="16"/>
          <c:tx>
            <c:strRef>
              <c:f>'Pivot tables'!$R$388:$R$389</c:f>
              <c:strCache>
                <c:ptCount val="1"/>
                <c:pt idx="0">
                  <c:v>931013v114</c:v>
                </c:pt>
              </c:strCache>
            </c:strRef>
          </c:tx>
          <c:cat>
            <c:strRef>
              <c:f>'Pivot tables'!$A$390:$A$394</c:f>
              <c:strCache>
                <c:ptCount val="4"/>
                <c:pt idx="0">
                  <c:v>pre</c:v>
                </c:pt>
                <c:pt idx="1">
                  <c:v>2yr</c:v>
                </c:pt>
                <c:pt idx="2">
                  <c:v>5yr</c:v>
                </c:pt>
                <c:pt idx="3">
                  <c:v>8yr</c:v>
                </c:pt>
              </c:strCache>
            </c:strRef>
          </c:cat>
          <c:val>
            <c:numRef>
              <c:f>'Pivot tables'!$R$390:$R$394</c:f>
              <c:numCache>
                <c:formatCode>General</c:formatCode>
                <c:ptCount val="4"/>
                <c:pt idx="0">
                  <c:v>22.425925572733334</c:v>
                </c:pt>
                <c:pt idx="1">
                  <c:v>2.5166342258499999</c:v>
                </c:pt>
              </c:numCache>
            </c:numRef>
          </c:val>
          <c:smooth val="0"/>
        </c:ser>
        <c:ser>
          <c:idx val="17"/>
          <c:order val="17"/>
          <c:tx>
            <c:strRef>
              <c:f>'Pivot tables'!$S$388:$S$389</c:f>
              <c:strCache>
                <c:ptCount val="1"/>
                <c:pt idx="0">
                  <c:v>940223m261</c:v>
                </c:pt>
              </c:strCache>
            </c:strRef>
          </c:tx>
          <c:cat>
            <c:strRef>
              <c:f>'Pivot tables'!$A$390:$A$394</c:f>
              <c:strCache>
                <c:ptCount val="4"/>
                <c:pt idx="0">
                  <c:v>pre</c:v>
                </c:pt>
                <c:pt idx="1">
                  <c:v>2yr</c:v>
                </c:pt>
                <c:pt idx="2">
                  <c:v>5yr</c:v>
                </c:pt>
                <c:pt idx="3">
                  <c:v>8yr</c:v>
                </c:pt>
              </c:strCache>
            </c:strRef>
          </c:cat>
          <c:val>
            <c:numRef>
              <c:f>'Pivot tables'!$S$390:$S$394</c:f>
              <c:numCache>
                <c:formatCode>General</c:formatCode>
                <c:ptCount val="4"/>
                <c:pt idx="0">
                  <c:v>65.843993186975013</c:v>
                </c:pt>
                <c:pt idx="1">
                  <c:v>7.5641083717333339</c:v>
                </c:pt>
                <c:pt idx="3">
                  <c:v>31.723069508883338</c:v>
                </c:pt>
              </c:numCache>
            </c:numRef>
          </c:val>
          <c:smooth val="0"/>
        </c:ser>
        <c:ser>
          <c:idx val="18"/>
          <c:order val="18"/>
          <c:tx>
            <c:strRef>
              <c:f>'Pivot tables'!$T$388:$T$389</c:f>
              <c:strCache>
                <c:ptCount val="1"/>
                <c:pt idx="0">
                  <c:v>950805m159</c:v>
                </c:pt>
              </c:strCache>
            </c:strRef>
          </c:tx>
          <c:cat>
            <c:strRef>
              <c:f>'Pivot tables'!$A$390:$A$394</c:f>
              <c:strCache>
                <c:ptCount val="4"/>
                <c:pt idx="0">
                  <c:v>pre</c:v>
                </c:pt>
                <c:pt idx="1">
                  <c:v>2yr</c:v>
                </c:pt>
                <c:pt idx="2">
                  <c:v>5yr</c:v>
                </c:pt>
                <c:pt idx="3">
                  <c:v>8yr</c:v>
                </c:pt>
              </c:strCache>
            </c:strRef>
          </c:cat>
          <c:val>
            <c:numRef>
              <c:f>'Pivot tables'!$T$390:$T$394</c:f>
              <c:numCache>
                <c:formatCode>General</c:formatCode>
                <c:ptCount val="4"/>
                <c:pt idx="0">
                  <c:v>14.95810015995</c:v>
                </c:pt>
                <c:pt idx="1">
                  <c:v>5.1705536365400002</c:v>
                </c:pt>
                <c:pt idx="3">
                  <c:v>12.50881404876</c:v>
                </c:pt>
              </c:numCache>
            </c:numRef>
          </c:val>
          <c:smooth val="0"/>
        </c:ser>
        <c:ser>
          <c:idx val="19"/>
          <c:order val="19"/>
          <c:tx>
            <c:strRef>
              <c:f>'Pivot tables'!$U$388:$U$389</c:f>
              <c:strCache>
                <c:ptCount val="1"/>
                <c:pt idx="0">
                  <c:v>980325m116</c:v>
                </c:pt>
              </c:strCache>
            </c:strRef>
          </c:tx>
          <c:cat>
            <c:strRef>
              <c:f>'Pivot tables'!$A$390:$A$394</c:f>
              <c:strCache>
                <c:ptCount val="4"/>
                <c:pt idx="0">
                  <c:v>pre</c:v>
                </c:pt>
                <c:pt idx="1">
                  <c:v>2yr</c:v>
                </c:pt>
                <c:pt idx="2">
                  <c:v>5yr</c:v>
                </c:pt>
                <c:pt idx="3">
                  <c:v>8yr</c:v>
                </c:pt>
              </c:strCache>
            </c:strRef>
          </c:cat>
          <c:val>
            <c:numRef>
              <c:f>'Pivot tables'!$U$390:$U$394</c:f>
              <c:numCache>
                <c:formatCode>General</c:formatCode>
                <c:ptCount val="4"/>
                <c:pt idx="0">
                  <c:v>4.7784834861599998</c:v>
                </c:pt>
                <c:pt idx="1">
                  <c:v>14.54986429215</c:v>
                </c:pt>
                <c:pt idx="2">
                  <c:v>10.472779909750001</c:v>
                </c:pt>
              </c:numCache>
            </c:numRef>
          </c:val>
          <c:smooth val="0"/>
        </c:ser>
        <c:ser>
          <c:idx val="20"/>
          <c:order val="20"/>
          <c:tx>
            <c:strRef>
              <c:f>'Pivot tables'!$V$388:$V$389</c:f>
              <c:strCache>
                <c:ptCount val="1"/>
                <c:pt idx="0">
                  <c:v>940315m138</c:v>
                </c:pt>
              </c:strCache>
            </c:strRef>
          </c:tx>
          <c:cat>
            <c:strRef>
              <c:f>'Pivot tables'!$A$390:$A$394</c:f>
              <c:strCache>
                <c:ptCount val="4"/>
                <c:pt idx="0">
                  <c:v>pre</c:v>
                </c:pt>
                <c:pt idx="1">
                  <c:v>2yr</c:v>
                </c:pt>
                <c:pt idx="2">
                  <c:v>5yr</c:v>
                </c:pt>
                <c:pt idx="3">
                  <c:v>8yr</c:v>
                </c:pt>
              </c:strCache>
            </c:strRef>
          </c:cat>
          <c:val>
            <c:numRef>
              <c:f>'Pivot tables'!$V$390:$V$394</c:f>
              <c:numCache>
                <c:formatCode>General</c:formatCode>
                <c:ptCount val="4"/>
                <c:pt idx="0">
                  <c:v>43.048674447185704</c:v>
                </c:pt>
                <c:pt idx="1">
                  <c:v>12.23047885892</c:v>
                </c:pt>
                <c:pt idx="3">
                  <c:v>15.451524257650002</c:v>
                </c:pt>
              </c:numCache>
            </c:numRef>
          </c:val>
          <c:smooth val="0"/>
        </c:ser>
        <c:ser>
          <c:idx val="21"/>
          <c:order val="21"/>
          <c:tx>
            <c:strRef>
              <c:f>'Pivot tables'!$W$388:$W$389</c:f>
              <c:strCache>
                <c:ptCount val="1"/>
                <c:pt idx="0">
                  <c:v>890202m123</c:v>
                </c:pt>
              </c:strCache>
            </c:strRef>
          </c:tx>
          <c:cat>
            <c:strRef>
              <c:f>'Pivot tables'!$A$390:$A$394</c:f>
              <c:strCache>
                <c:ptCount val="4"/>
                <c:pt idx="0">
                  <c:v>pre</c:v>
                </c:pt>
                <c:pt idx="1">
                  <c:v>2yr</c:v>
                </c:pt>
                <c:pt idx="2">
                  <c:v>5yr</c:v>
                </c:pt>
                <c:pt idx="3">
                  <c:v>8yr</c:v>
                </c:pt>
              </c:strCache>
            </c:strRef>
          </c:cat>
          <c:val>
            <c:numRef>
              <c:f>'Pivot tables'!$W$390:$W$394</c:f>
              <c:numCache>
                <c:formatCode>General</c:formatCode>
                <c:ptCount val="4"/>
                <c:pt idx="0">
                  <c:v>23.033494949333335</c:v>
                </c:pt>
                <c:pt idx="1">
                  <c:v>-0.24284164605</c:v>
                </c:pt>
                <c:pt idx="2">
                  <c:v>4.4390397469166674</c:v>
                </c:pt>
              </c:numCache>
            </c:numRef>
          </c:val>
          <c:smooth val="0"/>
        </c:ser>
        <c:ser>
          <c:idx val="22"/>
          <c:order val="22"/>
          <c:tx>
            <c:strRef>
              <c:f>'Pivot tables'!$X$388:$X$389</c:f>
              <c:strCache>
                <c:ptCount val="1"/>
                <c:pt idx="0">
                  <c:v>920629v030</c:v>
                </c:pt>
              </c:strCache>
            </c:strRef>
          </c:tx>
          <c:cat>
            <c:strRef>
              <c:f>'Pivot tables'!$A$390:$A$394</c:f>
              <c:strCache>
                <c:ptCount val="4"/>
                <c:pt idx="0">
                  <c:v>pre</c:v>
                </c:pt>
                <c:pt idx="1">
                  <c:v>2yr</c:v>
                </c:pt>
                <c:pt idx="2">
                  <c:v>5yr</c:v>
                </c:pt>
                <c:pt idx="3">
                  <c:v>8yr</c:v>
                </c:pt>
              </c:strCache>
            </c:strRef>
          </c:cat>
          <c:val>
            <c:numRef>
              <c:f>'Pivot tables'!$X$390:$X$394</c:f>
              <c:numCache>
                <c:formatCode>General</c:formatCode>
                <c:ptCount val="4"/>
                <c:pt idx="0">
                  <c:v>12.336560487725002</c:v>
                </c:pt>
                <c:pt idx="1">
                  <c:v>2.9166680872499997</c:v>
                </c:pt>
                <c:pt idx="3">
                  <c:v>3.6904186248800004</c:v>
                </c:pt>
              </c:numCache>
            </c:numRef>
          </c:val>
          <c:smooth val="0"/>
        </c:ser>
        <c:ser>
          <c:idx val="23"/>
          <c:order val="23"/>
          <c:tx>
            <c:strRef>
              <c:f>'Pivot tables'!$Y$388:$Y$389</c:f>
              <c:strCache>
                <c:ptCount val="1"/>
                <c:pt idx="0">
                  <c:v>910826v099</c:v>
                </c:pt>
              </c:strCache>
            </c:strRef>
          </c:tx>
          <c:cat>
            <c:strRef>
              <c:f>'Pivot tables'!$A$390:$A$394</c:f>
              <c:strCache>
                <c:ptCount val="4"/>
                <c:pt idx="0">
                  <c:v>pre</c:v>
                </c:pt>
                <c:pt idx="1">
                  <c:v>2yr</c:v>
                </c:pt>
                <c:pt idx="2">
                  <c:v>5yr</c:v>
                </c:pt>
                <c:pt idx="3">
                  <c:v>8yr</c:v>
                </c:pt>
              </c:strCache>
            </c:strRef>
          </c:cat>
          <c:val>
            <c:numRef>
              <c:f>'Pivot tables'!$Y$390:$Y$394</c:f>
              <c:numCache>
                <c:formatCode>General</c:formatCode>
                <c:ptCount val="4"/>
                <c:pt idx="0">
                  <c:v>-9.4379941622333323</c:v>
                </c:pt>
                <c:pt idx="1">
                  <c:v>0.52635465467499998</c:v>
                </c:pt>
                <c:pt idx="2">
                  <c:v>-2.1652350085142857</c:v>
                </c:pt>
              </c:numCache>
            </c:numRef>
          </c:val>
          <c:smooth val="0"/>
        </c:ser>
        <c:ser>
          <c:idx val="24"/>
          <c:order val="24"/>
          <c:tx>
            <c:strRef>
              <c:f>'Pivot tables'!$Z$388:$Z$389</c:f>
              <c:strCache>
                <c:ptCount val="1"/>
                <c:pt idx="0">
                  <c:v>000102g046</c:v>
                </c:pt>
              </c:strCache>
            </c:strRef>
          </c:tx>
          <c:cat>
            <c:strRef>
              <c:f>'Pivot tables'!$A$390:$A$394</c:f>
              <c:strCache>
                <c:ptCount val="4"/>
                <c:pt idx="0">
                  <c:v>pre</c:v>
                </c:pt>
                <c:pt idx="1">
                  <c:v>2yr</c:v>
                </c:pt>
                <c:pt idx="2">
                  <c:v>5yr</c:v>
                </c:pt>
                <c:pt idx="3">
                  <c:v>8yr</c:v>
                </c:pt>
              </c:strCache>
            </c:strRef>
          </c:cat>
          <c:val>
            <c:numRef>
              <c:f>'Pivot tables'!$Z$390:$Z$394</c:f>
              <c:numCache>
                <c:formatCode>General</c:formatCode>
                <c:ptCount val="4"/>
                <c:pt idx="0">
                  <c:v>21.906997203825</c:v>
                </c:pt>
                <c:pt idx="1">
                  <c:v>13.103889147433334</c:v>
                </c:pt>
                <c:pt idx="2">
                  <c:v>5.30075774192</c:v>
                </c:pt>
              </c:numCache>
            </c:numRef>
          </c:val>
          <c:smooth val="0"/>
        </c:ser>
        <c:ser>
          <c:idx val="25"/>
          <c:order val="25"/>
          <c:tx>
            <c:strRef>
              <c:f>'Pivot tables'!$AA$388:$AA$389</c:f>
              <c:strCache>
                <c:ptCount val="1"/>
                <c:pt idx="0">
                  <c:v>980511m219</c:v>
                </c:pt>
              </c:strCache>
            </c:strRef>
          </c:tx>
          <c:cat>
            <c:strRef>
              <c:f>'Pivot tables'!$A$390:$A$394</c:f>
              <c:strCache>
                <c:ptCount val="4"/>
                <c:pt idx="0">
                  <c:v>pre</c:v>
                </c:pt>
                <c:pt idx="1">
                  <c:v>2yr</c:v>
                </c:pt>
                <c:pt idx="2">
                  <c:v>5yr</c:v>
                </c:pt>
                <c:pt idx="3">
                  <c:v>8yr</c:v>
                </c:pt>
              </c:strCache>
            </c:strRef>
          </c:cat>
          <c:val>
            <c:numRef>
              <c:f>'Pivot tables'!$AA$390:$AA$394</c:f>
              <c:numCache>
                <c:formatCode>General</c:formatCode>
                <c:ptCount val="4"/>
                <c:pt idx="0">
                  <c:v>47.264973958333336</c:v>
                </c:pt>
                <c:pt idx="1">
                  <c:v>39.111181894933331</c:v>
                </c:pt>
                <c:pt idx="2">
                  <c:v>17.9168311225</c:v>
                </c:pt>
              </c:numCache>
            </c:numRef>
          </c:val>
          <c:smooth val="0"/>
        </c:ser>
        <c:ser>
          <c:idx val="26"/>
          <c:order val="26"/>
          <c:tx>
            <c:strRef>
              <c:f>'Pivot tables'!$AB$388:$AB$389</c:f>
              <c:strCache>
                <c:ptCount val="1"/>
                <c:pt idx="0">
                  <c:v>980512v117</c:v>
                </c:pt>
              </c:strCache>
            </c:strRef>
          </c:tx>
          <c:cat>
            <c:strRef>
              <c:f>'Pivot tables'!$A$390:$A$394</c:f>
              <c:strCache>
                <c:ptCount val="4"/>
                <c:pt idx="0">
                  <c:v>pre</c:v>
                </c:pt>
                <c:pt idx="1">
                  <c:v>2yr</c:v>
                </c:pt>
                <c:pt idx="2">
                  <c:v>5yr</c:v>
                </c:pt>
                <c:pt idx="3">
                  <c:v>8yr</c:v>
                </c:pt>
              </c:strCache>
            </c:strRef>
          </c:cat>
          <c:val>
            <c:numRef>
              <c:f>'Pivot tables'!$AB$390:$AB$394</c:f>
              <c:numCache>
                <c:formatCode>General</c:formatCode>
                <c:ptCount val="4"/>
                <c:pt idx="0">
                  <c:v>35.060973485300003</c:v>
                </c:pt>
                <c:pt idx="1">
                  <c:v>-10.201422929775001</c:v>
                </c:pt>
                <c:pt idx="3">
                  <c:v>-5.7946583271199996</c:v>
                </c:pt>
              </c:numCache>
            </c:numRef>
          </c:val>
          <c:smooth val="0"/>
        </c:ser>
        <c:ser>
          <c:idx val="27"/>
          <c:order val="27"/>
          <c:tx>
            <c:strRef>
              <c:f>'Pivot tables'!$AC$388:$AC$389</c:f>
              <c:strCache>
                <c:ptCount val="1"/>
                <c:pt idx="0">
                  <c:v>960428m114</c:v>
                </c:pt>
              </c:strCache>
            </c:strRef>
          </c:tx>
          <c:cat>
            <c:strRef>
              <c:f>'Pivot tables'!$A$390:$A$394</c:f>
              <c:strCache>
                <c:ptCount val="4"/>
                <c:pt idx="0">
                  <c:v>pre</c:v>
                </c:pt>
                <c:pt idx="1">
                  <c:v>2yr</c:v>
                </c:pt>
                <c:pt idx="2">
                  <c:v>5yr</c:v>
                </c:pt>
                <c:pt idx="3">
                  <c:v>8yr</c:v>
                </c:pt>
              </c:strCache>
            </c:strRef>
          </c:cat>
          <c:val>
            <c:numRef>
              <c:f>'Pivot tables'!$AC$390:$AC$394</c:f>
              <c:numCache>
                <c:formatCode>General</c:formatCode>
                <c:ptCount val="4"/>
                <c:pt idx="0">
                  <c:v>31.795433521275001</c:v>
                </c:pt>
                <c:pt idx="1">
                  <c:v>14.795488357549999</c:v>
                </c:pt>
                <c:pt idx="2">
                  <c:v>12.39960308074</c:v>
                </c:pt>
              </c:numCache>
            </c:numRef>
          </c:val>
          <c:smooth val="0"/>
        </c:ser>
        <c:ser>
          <c:idx val="28"/>
          <c:order val="28"/>
          <c:tx>
            <c:strRef>
              <c:f>'Pivot tables'!$AD$388:$AD$389</c:f>
              <c:strCache>
                <c:ptCount val="1"/>
                <c:pt idx="0">
                  <c:v>970629v068</c:v>
                </c:pt>
              </c:strCache>
            </c:strRef>
          </c:tx>
          <c:cat>
            <c:strRef>
              <c:f>'Pivot tables'!$A$390:$A$394</c:f>
              <c:strCache>
                <c:ptCount val="4"/>
                <c:pt idx="0">
                  <c:v>pre</c:v>
                </c:pt>
                <c:pt idx="1">
                  <c:v>2yr</c:v>
                </c:pt>
                <c:pt idx="2">
                  <c:v>5yr</c:v>
                </c:pt>
                <c:pt idx="3">
                  <c:v>8yr</c:v>
                </c:pt>
              </c:strCache>
            </c:strRef>
          </c:cat>
          <c:val>
            <c:numRef>
              <c:f>'Pivot tables'!$AD$390:$AD$394</c:f>
              <c:numCache>
                <c:formatCode>General</c:formatCode>
                <c:ptCount val="4"/>
                <c:pt idx="0">
                  <c:v>9.5932453274624976</c:v>
                </c:pt>
                <c:pt idx="1">
                  <c:v>14.447954940799999</c:v>
                </c:pt>
                <c:pt idx="3">
                  <c:v>21.170406977350002</c:v>
                </c:pt>
              </c:numCache>
            </c:numRef>
          </c:val>
          <c:smooth val="0"/>
        </c:ser>
        <c:ser>
          <c:idx val="29"/>
          <c:order val="29"/>
          <c:tx>
            <c:strRef>
              <c:f>'Pivot tables'!$AE$388:$AE$389</c:f>
              <c:strCache>
                <c:ptCount val="1"/>
                <c:pt idx="0">
                  <c:v>970602v069</c:v>
                </c:pt>
              </c:strCache>
            </c:strRef>
          </c:tx>
          <c:cat>
            <c:strRef>
              <c:f>'Pivot tables'!$A$390:$A$394</c:f>
              <c:strCache>
                <c:ptCount val="4"/>
                <c:pt idx="0">
                  <c:v>pre</c:v>
                </c:pt>
                <c:pt idx="1">
                  <c:v>2yr</c:v>
                </c:pt>
                <c:pt idx="2">
                  <c:v>5yr</c:v>
                </c:pt>
                <c:pt idx="3">
                  <c:v>8yr</c:v>
                </c:pt>
              </c:strCache>
            </c:strRef>
          </c:cat>
          <c:val>
            <c:numRef>
              <c:f>'Pivot tables'!$AE$390:$AE$394</c:f>
              <c:numCache>
                <c:formatCode>General</c:formatCode>
                <c:ptCount val="4"/>
                <c:pt idx="0">
                  <c:v>35.404588063533332</c:v>
                </c:pt>
                <c:pt idx="1">
                  <c:v>5.2615593501571425</c:v>
                </c:pt>
                <c:pt idx="2">
                  <c:v>1.3026770632666667</c:v>
                </c:pt>
                <c:pt idx="3">
                  <c:v>3.6652180751166665</c:v>
                </c:pt>
              </c:numCache>
            </c:numRef>
          </c:val>
          <c:smooth val="0"/>
        </c:ser>
        <c:ser>
          <c:idx val="30"/>
          <c:order val="30"/>
          <c:tx>
            <c:strRef>
              <c:f>'Pivot tables'!$AF$388:$AF$389</c:f>
              <c:strCache>
                <c:ptCount val="1"/>
                <c:pt idx="0">
                  <c:v>Average</c:v>
                </c:pt>
              </c:strCache>
            </c:strRef>
          </c:tx>
          <c:spPr>
            <a:ln w="38100">
              <a:solidFill>
                <a:schemeClr val="tx1"/>
              </a:solidFill>
            </a:ln>
          </c:spPr>
          <c:marker>
            <c:symbol val="circle"/>
            <c:size val="7"/>
            <c:spPr>
              <a:solidFill>
                <a:schemeClr val="tx1"/>
              </a:solidFill>
            </c:spPr>
          </c:marker>
          <c:cat>
            <c:strRef>
              <c:f>'Pivot tables'!$A$390:$A$394</c:f>
              <c:strCache>
                <c:ptCount val="4"/>
                <c:pt idx="0">
                  <c:v>pre</c:v>
                </c:pt>
                <c:pt idx="1">
                  <c:v>2yr</c:v>
                </c:pt>
                <c:pt idx="2">
                  <c:v>5yr</c:v>
                </c:pt>
                <c:pt idx="3">
                  <c:v>8yr</c:v>
                </c:pt>
              </c:strCache>
            </c:strRef>
          </c:cat>
          <c:val>
            <c:numRef>
              <c:f>'Pivot tables'!$AF$390:$AF$394</c:f>
              <c:numCache>
                <c:formatCode>General</c:formatCode>
                <c:ptCount val="4"/>
                <c:pt idx="0">
                  <c:v>24.028190057855706</c:v>
                </c:pt>
                <c:pt idx="1">
                  <c:v>7.7351336482478823</c:v>
                </c:pt>
                <c:pt idx="2">
                  <c:v>8.122857230830963</c:v>
                </c:pt>
                <c:pt idx="3">
                  <c:v>7.4454162453224821</c:v>
                </c:pt>
              </c:numCache>
            </c:numRef>
          </c:val>
          <c:smooth val="0"/>
        </c:ser>
        <c:ser>
          <c:idx val="31"/>
          <c:order val="31"/>
          <c:tx>
            <c:strRef>
              <c:f>'Pivot tables'!$AG$388:$AG$389</c:f>
              <c:strCache>
                <c:ptCount val="1"/>
                <c:pt idx="0">
                  <c:v>No pathology</c:v>
                </c:pt>
              </c:strCache>
            </c:strRef>
          </c:tx>
          <c:spPr>
            <a:ln w="38100">
              <a:solidFill>
                <a:schemeClr val="tx1"/>
              </a:solidFill>
            </a:ln>
          </c:spPr>
          <c:marker>
            <c:symbol val="none"/>
          </c:marker>
          <c:cat>
            <c:strRef>
              <c:f>'Pivot tables'!$A$390:$A$394</c:f>
              <c:strCache>
                <c:ptCount val="4"/>
                <c:pt idx="0">
                  <c:v>pre</c:v>
                </c:pt>
                <c:pt idx="1">
                  <c:v>2yr</c:v>
                </c:pt>
                <c:pt idx="2">
                  <c:v>5yr</c:v>
                </c:pt>
                <c:pt idx="3">
                  <c:v>8yr</c:v>
                </c:pt>
              </c:strCache>
            </c:strRef>
          </c:cat>
          <c:val>
            <c:numRef>
              <c:f>'Pivot tables'!$AG$390:$AG$394</c:f>
              <c:numCache>
                <c:formatCode>General</c:formatCode>
                <c:ptCount val="4"/>
                <c:pt idx="0">
                  <c:v>1.6724168285740242</c:v>
                </c:pt>
                <c:pt idx="1">
                  <c:v>1.6724168285740242</c:v>
                </c:pt>
                <c:pt idx="2">
                  <c:v>1.6724168285740242</c:v>
                </c:pt>
                <c:pt idx="3">
                  <c:v>1.6724168285740242</c:v>
                </c:pt>
              </c:numCache>
            </c:numRef>
          </c:val>
          <c:smooth val="0"/>
        </c:ser>
        <c:ser>
          <c:idx val="32"/>
          <c:order val="32"/>
          <c:tx>
            <c:strRef>
              <c:f>'Pivot tables'!$AH$388:$AH$389</c:f>
              <c:strCache>
                <c:ptCount val="1"/>
                <c:pt idx="0">
                  <c:v>patient 1-31</c:v>
                </c:pt>
              </c:strCache>
            </c:strRef>
          </c:tx>
          <c:cat>
            <c:strRef>
              <c:f>'Pivot tables'!$A$390:$A$394</c:f>
              <c:strCache>
                <c:ptCount val="4"/>
                <c:pt idx="0">
                  <c:v>pre</c:v>
                </c:pt>
                <c:pt idx="1">
                  <c:v>2yr</c:v>
                </c:pt>
                <c:pt idx="2">
                  <c:v>5yr</c:v>
                </c:pt>
                <c:pt idx="3">
                  <c:v>8yr</c:v>
                </c:pt>
              </c:strCache>
            </c:strRef>
          </c:cat>
          <c:val>
            <c:numRef>
              <c:f>'Pivot tables'!$AH$390:$AH$394</c:f>
              <c:numCache>
                <c:formatCode>General</c:formatCode>
                <c:ptCount val="4"/>
                <c:pt idx="0">
                  <c:v>37.002449035666665</c:v>
                </c:pt>
                <c:pt idx="1">
                  <c:v>8.117643992133333</c:v>
                </c:pt>
                <c:pt idx="2">
                  <c:v>15.944450139975</c:v>
                </c:pt>
              </c:numCache>
            </c:numRef>
          </c:val>
          <c:smooth val="0"/>
        </c:ser>
        <c:dLbls>
          <c:showLegendKey val="0"/>
          <c:showVal val="0"/>
          <c:showCatName val="0"/>
          <c:showSerName val="0"/>
          <c:showPercent val="0"/>
          <c:showBubbleSize val="0"/>
        </c:dLbls>
        <c:marker val="1"/>
        <c:smooth val="0"/>
        <c:axId val="202256768"/>
        <c:axId val="202258688"/>
      </c:lineChart>
      <c:catAx>
        <c:axId val="202256768"/>
        <c:scaling>
          <c:orientation val="minMax"/>
        </c:scaling>
        <c:delete val="0"/>
        <c:axPos val="b"/>
        <c:title>
          <c:tx>
            <c:rich>
              <a:bodyPr/>
              <a:lstStyle/>
              <a:p>
                <a:pPr>
                  <a:defRPr/>
                </a:pPr>
                <a:r>
                  <a:rPr lang="nl-BE"/>
                  <a:t>Timing</a:t>
                </a:r>
              </a:p>
            </c:rich>
          </c:tx>
          <c:overlay val="0"/>
        </c:title>
        <c:numFmt formatCode="General" sourceLinked="0"/>
        <c:majorTickMark val="none"/>
        <c:minorTickMark val="none"/>
        <c:tickLblPos val="nextTo"/>
        <c:crossAx val="202258688"/>
        <c:crosses val="autoZero"/>
        <c:auto val="1"/>
        <c:lblAlgn val="ctr"/>
        <c:lblOffset val="100"/>
        <c:noMultiLvlLbl val="0"/>
      </c:catAx>
      <c:valAx>
        <c:axId val="202258688"/>
        <c:scaling>
          <c:orientation val="minMax"/>
        </c:scaling>
        <c:delete val="0"/>
        <c:axPos val="l"/>
        <c:title>
          <c:tx>
            <c:rich>
              <a:bodyPr rot="-5400000" vert="horz"/>
              <a:lstStyle/>
              <a:p>
                <a:pPr>
                  <a:defRPr/>
                </a:pPr>
                <a:r>
                  <a:rPr lang="nl-BE"/>
                  <a:t>deg</a:t>
                </a:r>
              </a:p>
            </c:rich>
          </c:tx>
          <c:overlay val="0"/>
        </c:title>
        <c:numFmt formatCode="General" sourceLinked="1"/>
        <c:majorTickMark val="none"/>
        <c:minorTickMark val="none"/>
        <c:tickLblPos val="nextTo"/>
        <c:crossAx val="202256768"/>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BD6DC-7A40-45BE-9566-3D0550C096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BE"/>
        </a:p>
      </dgm:t>
    </dgm:pt>
    <dgm:pt modelId="{0AE62266-9712-4A54-99E7-D6D25B3B7B94}">
      <dgm:prSet phldrT="[Tekst]" custT="1"/>
      <dgm:spPr>
        <a:xfrm>
          <a:off x="2400433" y="6120"/>
          <a:ext cx="1256993" cy="603809"/>
        </a:xfrm>
        <a:noFill/>
        <a:ln w="6350" cap="flat" cmpd="sng" algn="ctr">
          <a:solidFill>
            <a:sysClr val="windowText" lastClr="000000"/>
          </a:solidFill>
          <a:prstDash val="solid"/>
        </a:ln>
        <a:effectLst/>
      </dgm:spPr>
      <dgm:t>
        <a:bodyPr/>
        <a:lstStyle/>
        <a:p>
          <a:r>
            <a:rPr lang="nl-BE" sz="1000">
              <a:solidFill>
                <a:sysClr val="windowText" lastClr="000000"/>
              </a:solidFill>
              <a:latin typeface="Calibri"/>
              <a:ea typeface="+mn-ea"/>
              <a:cs typeface="+mn-cs"/>
            </a:rPr>
            <a:t>Assessed for eligibility</a:t>
          </a:r>
        </a:p>
        <a:p>
          <a:r>
            <a:rPr lang="nl-BE" sz="1000">
              <a:solidFill>
                <a:sysClr val="windowText" lastClr="000000"/>
              </a:solidFill>
              <a:latin typeface="Calibri"/>
              <a:ea typeface="+mn-ea"/>
              <a:cs typeface="+mn-cs"/>
            </a:rPr>
            <a:t>(n=945)</a:t>
          </a:r>
        </a:p>
      </dgm:t>
    </dgm:pt>
    <dgm:pt modelId="{30447580-DFB0-4BE9-9A4B-21579468035A}" type="parTrans" cxnId="{9042729C-7FA5-4146-8AD9-2E0446510B41}">
      <dgm:prSet/>
      <dgm:spPr/>
      <dgm:t>
        <a:bodyPr/>
        <a:lstStyle/>
        <a:p>
          <a:endParaRPr lang="nl-BE" sz="1000">
            <a:solidFill>
              <a:sysClr val="windowText" lastClr="000000"/>
            </a:solidFill>
          </a:endParaRPr>
        </a:p>
      </dgm:t>
    </dgm:pt>
    <dgm:pt modelId="{8DB91790-4762-4F50-AB49-EC0C5EE14080}" type="sibTrans" cxnId="{9042729C-7FA5-4146-8AD9-2E0446510B41}">
      <dgm:prSet/>
      <dgm:spPr/>
      <dgm:t>
        <a:bodyPr/>
        <a:lstStyle/>
        <a:p>
          <a:endParaRPr lang="nl-BE" sz="1000">
            <a:solidFill>
              <a:sysClr val="windowText" lastClr="000000"/>
            </a:solidFill>
          </a:endParaRPr>
        </a:p>
      </dgm:t>
    </dgm:pt>
    <dgm:pt modelId="{EB5C0CFA-EBBC-4D70-B4E7-8751D9509844}" type="asst">
      <dgm:prSet phldrT="[Tekst]" custT="1"/>
      <dgm:spPr>
        <a:xfrm>
          <a:off x="1374752" y="763066"/>
          <a:ext cx="1511936" cy="608252"/>
        </a:xfrm>
        <a:noFill/>
        <a:ln w="6350" cap="flat" cmpd="sng" algn="ctr">
          <a:solidFill>
            <a:sysClr val="windowText" lastClr="000000"/>
          </a:solidFill>
          <a:prstDash val="solid"/>
        </a:ln>
        <a:effectLst/>
      </dgm:spPr>
      <dgm:t>
        <a:bodyPr/>
        <a:lstStyle/>
        <a:p>
          <a:r>
            <a:rPr lang="nl-BE" sz="1000">
              <a:solidFill>
                <a:sysClr val="windowText" lastClr="000000"/>
              </a:solidFill>
              <a:latin typeface="Calibri"/>
              <a:ea typeface="+mn-ea"/>
              <a:cs typeface="+mn-cs"/>
            </a:rPr>
            <a:t>Excluded (did not meet inclusion criteria)</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(n=704)</a:t>
          </a:r>
        </a:p>
      </dgm:t>
    </dgm:pt>
    <dgm:pt modelId="{1130D01C-9A5A-4426-9579-5BBCA8611E7D}" type="parTrans" cxnId="{4D2BF203-F2EE-441A-9F77-E945172E32C9}">
      <dgm:prSet>
        <dgm:style>
          <a:lnRef idx="1">
            <a:schemeClr val="dk1"/>
          </a:lnRef>
          <a:fillRef idx="0">
            <a:schemeClr val="dk1"/>
          </a:fillRef>
          <a:effectRef idx="0">
            <a:schemeClr val="dk1"/>
          </a:effectRef>
          <a:fontRef idx="minor">
            <a:schemeClr val="tx1"/>
          </a:fontRef>
        </dgm:style>
      </dgm:prSet>
      <dgm:spPr>
        <a:xfrm>
          <a:off x="2886688" y="609930"/>
          <a:ext cx="142241" cy="457262"/>
        </a:xfrm>
        <a:noFill/>
        <a:ln w="6350" cap="flat" cmpd="sng" algn="ctr">
          <a:solidFill>
            <a:sysClr val="windowText" lastClr="000000"/>
          </a:solidFill>
          <a:prstDash val="solid"/>
        </a:ln>
        <a:effectLst/>
      </dgm:spPr>
      <dgm:t>
        <a:bodyPr/>
        <a:lstStyle/>
        <a:p>
          <a:endParaRPr lang="nl-BE" sz="1000">
            <a:solidFill>
              <a:sysClr val="windowText" lastClr="000000"/>
            </a:solidFill>
          </a:endParaRPr>
        </a:p>
      </dgm:t>
    </dgm:pt>
    <dgm:pt modelId="{03ED1203-DBAE-493F-8110-AFB60DD57B0D}" type="sibTrans" cxnId="{4D2BF203-F2EE-441A-9F77-E945172E32C9}">
      <dgm:prSet/>
      <dgm:spPr/>
      <dgm:t>
        <a:bodyPr/>
        <a:lstStyle/>
        <a:p>
          <a:endParaRPr lang="nl-BE" sz="1000">
            <a:solidFill>
              <a:sysClr val="windowText" lastClr="000000"/>
            </a:solidFill>
          </a:endParaRPr>
        </a:p>
      </dgm:t>
    </dgm:pt>
    <dgm:pt modelId="{301E64B8-39B4-4396-A527-9B61FD10CF54}">
      <dgm:prSet custT="1"/>
      <dgm:spPr>
        <a:xfrm>
          <a:off x="1950379" y="3231125"/>
          <a:ext cx="2153882" cy="674753"/>
        </a:xfrm>
        <a:noFill/>
        <a:ln w="6350" cap="flat" cmpd="sng" algn="ctr">
          <a:solidFill>
            <a:sysClr val="windowText" lastClr="000000"/>
          </a:solidFill>
          <a:prstDash val="solid"/>
        </a:ln>
        <a:effectLst/>
      </dgm:spPr>
      <dgm:t>
        <a:bodyPr/>
        <a:lstStyle/>
        <a:p>
          <a:r>
            <a:rPr lang="nl-NL" sz="1000" b="0" i="0">
              <a:solidFill>
                <a:sysClr val="windowText" lastClr="000000"/>
              </a:solidFill>
            </a:rPr>
            <a:t>Out of the 139 remaining subjects only those with the longest FU (5-8 years) were retained (n=44)</a:t>
          </a:r>
          <a:endParaRPr lang="nl-BE" sz="1000">
            <a:solidFill>
              <a:sysClr val="windowText" lastClr="000000"/>
            </a:solidFill>
            <a:latin typeface="Calibri"/>
            <a:ea typeface="+mn-ea"/>
            <a:cs typeface="+mn-cs"/>
          </a:endParaRPr>
        </a:p>
      </dgm:t>
    </dgm:pt>
    <dgm:pt modelId="{1B79F8CC-279F-48BE-9ED8-2FDF818E21B7}" type="parTrans" cxnId="{8F92E53C-09E6-46F8-8375-ECEFFCE4A1E5}">
      <dgm:prSet/>
      <dgm:spPr>
        <a:xfrm>
          <a:off x="2981601" y="3073014"/>
          <a:ext cx="91440" cy="158110"/>
        </a:xfrm>
        <a:noFill/>
        <a:ln w="6350" cap="flat" cmpd="sng" algn="ctr">
          <a:solidFill>
            <a:sysClr val="windowText" lastClr="000000"/>
          </a:solidFill>
          <a:prstDash val="solid"/>
        </a:ln>
        <a:effectLst/>
      </dgm:spPr>
      <dgm:t>
        <a:bodyPr/>
        <a:lstStyle/>
        <a:p>
          <a:endParaRPr lang="nl-BE" sz="1000">
            <a:solidFill>
              <a:sysClr val="windowText" lastClr="000000"/>
            </a:solidFill>
          </a:endParaRPr>
        </a:p>
      </dgm:t>
    </dgm:pt>
    <dgm:pt modelId="{372251C2-80EF-4E00-9913-A1EB8ACFCCFE}" type="sibTrans" cxnId="{8F92E53C-09E6-46F8-8375-ECEFFCE4A1E5}">
      <dgm:prSet/>
      <dgm:spPr/>
      <dgm:t>
        <a:bodyPr/>
        <a:lstStyle/>
        <a:p>
          <a:endParaRPr lang="nl-BE" sz="1000">
            <a:solidFill>
              <a:sysClr val="windowText" lastClr="000000"/>
            </a:solidFill>
          </a:endParaRPr>
        </a:p>
      </dgm:t>
    </dgm:pt>
    <dgm:pt modelId="{BB34BA75-9308-4B76-B379-A73226106CF8}" type="asst">
      <dgm:prSet custT="1"/>
      <dgm:spPr>
        <a:xfrm>
          <a:off x="1129161" y="1547829"/>
          <a:ext cx="1746730" cy="645773"/>
        </a:xfrm>
        <a:noFill/>
        <a:ln w="6350" cap="flat" cmpd="sng" algn="ctr">
          <a:solidFill>
            <a:sysClr val="windowText" lastClr="000000"/>
          </a:solidFill>
          <a:prstDash val="solid"/>
        </a:ln>
        <a:effectLst/>
      </dgm:spPr>
      <dgm:t>
        <a:bodyPr/>
        <a:lstStyle/>
        <a:p>
          <a:r>
            <a:rPr lang="nl-BE" sz="1000">
              <a:solidFill>
                <a:sysClr val="windowText" lastClr="000000"/>
              </a:solidFill>
              <a:latin typeface="Calibri"/>
              <a:ea typeface="+mn-ea"/>
              <a:cs typeface="+mn-cs"/>
            </a:rPr>
            <a:t>102 patients excluded </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(data too old to analyse in new software)</a:t>
          </a:r>
        </a:p>
      </dgm:t>
    </dgm:pt>
    <dgm:pt modelId="{17DD6DC4-1760-4E8F-A88D-FF5A3D32696D}" type="parTrans" cxnId="{A30E1C64-C2D6-4A83-8185-52E3AF0F2104}">
      <dgm:prSet/>
      <dgm:spPr>
        <a:xfrm>
          <a:off x="2875891" y="609930"/>
          <a:ext cx="153038" cy="1260786"/>
        </a:xfrm>
        <a:noFill/>
        <a:ln w="6350" cap="flat" cmpd="sng" algn="ctr">
          <a:solidFill>
            <a:sysClr val="windowText" lastClr="000000"/>
          </a:solidFill>
          <a:prstDash val="solid"/>
        </a:ln>
        <a:effectLst/>
      </dgm:spPr>
      <dgm:t>
        <a:bodyPr/>
        <a:lstStyle/>
        <a:p>
          <a:endParaRPr lang="nl-BE" sz="1000">
            <a:solidFill>
              <a:sysClr val="windowText" lastClr="000000"/>
            </a:solidFill>
          </a:endParaRPr>
        </a:p>
      </dgm:t>
    </dgm:pt>
    <dgm:pt modelId="{C54B2185-4403-4D87-A7A6-A4858FC4BB8C}" type="sibTrans" cxnId="{A30E1C64-C2D6-4A83-8185-52E3AF0F2104}">
      <dgm:prSet/>
      <dgm:spPr/>
      <dgm:t>
        <a:bodyPr/>
        <a:lstStyle/>
        <a:p>
          <a:endParaRPr lang="nl-BE" sz="1000">
            <a:solidFill>
              <a:sysClr val="windowText" lastClr="000000"/>
            </a:solidFill>
          </a:endParaRPr>
        </a:p>
      </dgm:t>
    </dgm:pt>
    <dgm:pt modelId="{E4C9B65C-B279-4F95-AFE0-538BDFA859A9}" type="asst">
      <dgm:prSet custT="1"/>
      <dgm:spPr>
        <a:xfrm>
          <a:off x="1155507" y="4104370"/>
          <a:ext cx="1717316" cy="578468"/>
        </a:xfrm>
        <a:noFill/>
        <a:ln w="6350" cap="flat" cmpd="sng" algn="ctr">
          <a:solidFill>
            <a:sysClr val="windowText" lastClr="000000"/>
          </a:solidFill>
          <a:prstDash val="solid"/>
        </a:ln>
        <a:effectLst/>
      </dgm:spPr>
      <dgm:t>
        <a:bodyPr/>
        <a:lstStyle/>
        <a:p>
          <a:r>
            <a:rPr lang="nl-BE" sz="1000">
              <a:solidFill>
                <a:sysClr val="windowText" lastClr="000000"/>
              </a:solidFill>
              <a:latin typeface="Calibri"/>
              <a:ea typeface="+mn-ea"/>
              <a:cs typeface="+mn-cs"/>
            </a:rPr>
            <a:t>13 patients excluded</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(software errors related to missing marker data)</a:t>
          </a:r>
        </a:p>
      </dgm:t>
    </dgm:pt>
    <dgm:pt modelId="{7C4DCAA1-F20D-4765-8C01-18D432E8E739}" type="sibTrans" cxnId="{03C2721A-D175-4AF1-A4E9-0B713695E226}">
      <dgm:prSet/>
      <dgm:spPr/>
      <dgm:t>
        <a:bodyPr/>
        <a:lstStyle/>
        <a:p>
          <a:endParaRPr lang="nl-BE" sz="1000">
            <a:solidFill>
              <a:sysClr val="windowText" lastClr="000000"/>
            </a:solidFill>
          </a:endParaRPr>
        </a:p>
      </dgm:t>
    </dgm:pt>
    <dgm:pt modelId="{A1A0D560-A7BC-484A-B431-37D9B145C010}" type="parTrans" cxnId="{03C2721A-D175-4AF1-A4E9-0B713695E226}">
      <dgm:prSet/>
      <dgm:spPr>
        <a:xfrm>
          <a:off x="2872824" y="3905878"/>
          <a:ext cx="154497" cy="487725"/>
        </a:xfrm>
        <a:noFill/>
        <a:ln w="6350" cap="flat" cmpd="sng" algn="ctr">
          <a:solidFill>
            <a:sysClr val="windowText" lastClr="000000"/>
          </a:solidFill>
          <a:prstDash val="solid"/>
        </a:ln>
        <a:effectLst/>
      </dgm:spPr>
      <dgm:t>
        <a:bodyPr/>
        <a:lstStyle/>
        <a:p>
          <a:endParaRPr lang="nl-BE" sz="1000">
            <a:solidFill>
              <a:sysClr val="windowText" lastClr="000000"/>
            </a:solidFill>
          </a:endParaRPr>
        </a:p>
      </dgm:t>
    </dgm:pt>
    <dgm:pt modelId="{90F376C3-9AAC-4902-BC67-05889A512BA2}">
      <dgm:prSet custT="1"/>
      <dgm:spPr>
        <a:xfrm>
          <a:off x="2190528" y="4870463"/>
          <a:ext cx="1679518" cy="472176"/>
        </a:xfrm>
        <a:noFill/>
        <a:ln w="6350" cap="flat" cmpd="sng" algn="ctr">
          <a:solidFill>
            <a:sysClr val="windowText" lastClr="000000"/>
          </a:solidFill>
          <a:prstDash val="solid"/>
        </a:ln>
        <a:effectLst/>
      </dgm:spPr>
      <dgm:t>
        <a:bodyPr/>
        <a:lstStyle/>
        <a:p>
          <a:r>
            <a:rPr lang="nl-BE" sz="1000">
              <a:solidFill>
                <a:sysClr val="windowText" lastClr="000000"/>
              </a:solidFill>
              <a:latin typeface="Calibri"/>
              <a:ea typeface="+mn-ea"/>
              <a:cs typeface="+mn-cs"/>
            </a:rPr>
            <a:t>31 patients (n), </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116 gait analyses (N) in total</a:t>
          </a:r>
        </a:p>
      </dgm:t>
    </dgm:pt>
    <dgm:pt modelId="{394C4B62-932A-4648-BD7E-43AB3057B6AB}" type="parTrans" cxnId="{69D086FA-ECBF-4CF3-91C9-9DC23ECD34D5}">
      <dgm:prSet/>
      <dgm:spPr>
        <a:xfrm>
          <a:off x="2981601" y="3905878"/>
          <a:ext cx="91440" cy="964585"/>
        </a:xfrm>
        <a:noFill/>
        <a:ln w="6350" cap="flat" cmpd="sng" algn="ctr">
          <a:solidFill>
            <a:sysClr val="windowText" lastClr="000000"/>
          </a:solidFill>
          <a:prstDash val="solid"/>
        </a:ln>
        <a:effectLst/>
      </dgm:spPr>
      <dgm:t>
        <a:bodyPr/>
        <a:lstStyle/>
        <a:p>
          <a:endParaRPr lang="nl-BE" sz="1000">
            <a:solidFill>
              <a:sysClr val="windowText" lastClr="000000"/>
            </a:solidFill>
          </a:endParaRPr>
        </a:p>
      </dgm:t>
    </dgm:pt>
    <dgm:pt modelId="{1305E7E9-E286-41D2-B4D8-8BD033A52022}" type="sibTrans" cxnId="{69D086FA-ECBF-4CF3-91C9-9DC23ECD34D5}">
      <dgm:prSet/>
      <dgm:spPr/>
      <dgm:t>
        <a:bodyPr/>
        <a:lstStyle/>
        <a:p>
          <a:endParaRPr lang="nl-BE" sz="1000">
            <a:solidFill>
              <a:sysClr val="windowText" lastClr="000000"/>
            </a:solidFill>
          </a:endParaRPr>
        </a:p>
      </dgm:t>
    </dgm:pt>
    <dgm:pt modelId="{D6E25A3A-E625-43BD-B5B2-425912B5C756}" type="asst">
      <dgm:prSet custT="1"/>
      <dgm:spPr>
        <a:xfrm>
          <a:off x="805636" y="5550142"/>
          <a:ext cx="2043870" cy="514895"/>
        </a:xfrm>
        <a:noFill/>
        <a:ln w="6350" cap="flat" cmpd="sng" algn="ctr">
          <a:solidFill>
            <a:sysClr val="windowText" lastClr="000000"/>
          </a:solidFill>
          <a:prstDash val="solid"/>
        </a:ln>
        <a:effectLst/>
      </dgm:spPr>
      <dgm:t>
        <a:bodyPr/>
        <a:lstStyle/>
        <a:p>
          <a:r>
            <a:rPr lang="nl-BE" sz="1000">
              <a:solidFill>
                <a:sysClr val="windowText" lastClr="000000"/>
              </a:solidFill>
              <a:latin typeface="Calibri"/>
              <a:ea typeface="+mn-ea"/>
              <a:cs typeface="+mn-cs"/>
            </a:rPr>
            <a:t>1 gait analysis excluded because of a new SEMLS (N=115)</a:t>
          </a:r>
        </a:p>
      </dgm:t>
    </dgm:pt>
    <dgm:pt modelId="{19245685-2154-41D7-A69E-97AD70A544D3}" type="parTrans" cxnId="{618B74FC-729E-4CE1-B925-3FEAAD91E4C1}">
      <dgm:prSet/>
      <dgm:spPr>
        <a:xfrm>
          <a:off x="2849507" y="5342640"/>
          <a:ext cx="180780" cy="464949"/>
        </a:xfrm>
        <a:noFill/>
        <a:ln w="6350" cap="flat" cmpd="sng" algn="ctr">
          <a:solidFill>
            <a:sysClr val="windowText" lastClr="000000"/>
          </a:solidFill>
          <a:prstDash val="solid"/>
        </a:ln>
        <a:effectLst/>
      </dgm:spPr>
      <dgm:t>
        <a:bodyPr/>
        <a:lstStyle/>
        <a:p>
          <a:endParaRPr lang="nl-BE" sz="1000"/>
        </a:p>
      </dgm:t>
    </dgm:pt>
    <dgm:pt modelId="{194A66B2-54B0-489A-954F-B855FBBC38AE}" type="sibTrans" cxnId="{618B74FC-729E-4CE1-B925-3FEAAD91E4C1}">
      <dgm:prSet/>
      <dgm:spPr/>
      <dgm:t>
        <a:bodyPr/>
        <a:lstStyle/>
        <a:p>
          <a:endParaRPr lang="nl-BE" sz="1000"/>
        </a:p>
      </dgm:t>
    </dgm:pt>
    <dgm:pt modelId="{E4BCC516-C6F5-47C5-BC29-09DAF172CF4D}">
      <dgm:prSet custT="1"/>
      <dgm:spPr>
        <a:xfrm>
          <a:off x="1986537" y="6304799"/>
          <a:ext cx="2079079" cy="497417"/>
        </a:xfrm>
        <a:noFill/>
        <a:ln w="6350" cap="flat" cmpd="sng" algn="ctr">
          <a:solidFill>
            <a:sysClr val="windowText" lastClr="000000"/>
          </a:solidFill>
          <a:prstDash val="solid"/>
        </a:ln>
        <a:effectLst/>
      </dgm:spPr>
      <dgm:t>
        <a:bodyPr/>
        <a:lstStyle/>
        <a:p>
          <a:r>
            <a:rPr lang="nl-BE" sz="1000">
              <a:solidFill>
                <a:sysClr val="windowText" lastClr="000000"/>
              </a:solidFill>
              <a:latin typeface="Calibri"/>
              <a:ea typeface="+mn-ea"/>
              <a:cs typeface="+mn-cs"/>
            </a:rPr>
            <a:t>Gait analyses selected according to FU range (N=69)</a:t>
          </a:r>
        </a:p>
      </dgm:t>
    </dgm:pt>
    <dgm:pt modelId="{BBFEEF4F-550F-486B-954B-97C73A216A23}" type="parTrans" cxnId="{85E6FA32-401E-42B5-91E7-B85915EA332E}">
      <dgm:prSet/>
      <dgm:spPr>
        <a:xfrm>
          <a:off x="2980356" y="5342640"/>
          <a:ext cx="91440" cy="962159"/>
        </a:xfrm>
        <a:noFill/>
        <a:ln w="6350" cap="flat" cmpd="sng" algn="ctr">
          <a:solidFill>
            <a:sysClr val="windowText" lastClr="000000"/>
          </a:solidFill>
          <a:prstDash val="solid"/>
        </a:ln>
        <a:effectLst/>
      </dgm:spPr>
      <dgm:t>
        <a:bodyPr/>
        <a:lstStyle/>
        <a:p>
          <a:endParaRPr lang="nl-BE" sz="1000"/>
        </a:p>
      </dgm:t>
    </dgm:pt>
    <dgm:pt modelId="{604FF354-A7C5-4B0B-8AF1-CDDA2EB4078F}" type="sibTrans" cxnId="{85E6FA32-401E-42B5-91E7-B85915EA332E}">
      <dgm:prSet/>
      <dgm:spPr/>
      <dgm:t>
        <a:bodyPr/>
        <a:lstStyle/>
        <a:p>
          <a:endParaRPr lang="nl-BE" sz="1000"/>
        </a:p>
      </dgm:t>
    </dgm:pt>
    <dgm:pt modelId="{763A5916-941D-49F5-8207-AE0F66AD195E}">
      <dgm:prSet custT="1"/>
      <dgm:spPr>
        <a:xfrm>
          <a:off x="1927326" y="7045451"/>
          <a:ext cx="2202075" cy="1418535"/>
        </a:xfrm>
        <a:noFill/>
        <a:ln w="28575" cap="flat" cmpd="sng" algn="ctr">
          <a:solidFill>
            <a:sysClr val="windowText" lastClr="000000"/>
          </a:solidFill>
          <a:prstDash val="solid"/>
        </a:ln>
        <a:effectLst/>
      </dgm:spPr>
      <dgm:t>
        <a:bodyPr/>
        <a:lstStyle/>
        <a:p>
          <a:r>
            <a:rPr lang="nl-BE" sz="1000">
              <a:solidFill>
                <a:sysClr val="windowText" lastClr="000000"/>
              </a:solidFill>
              <a:latin typeface="Calibri"/>
              <a:ea typeface="+mn-ea"/>
              <a:cs typeface="+mn-cs"/>
            </a:rPr>
            <a:t>Patients (n) and gait analyses (N) analysed:</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n=31</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N=69</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- 2±1,5 year FU: n= 29, N=29</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- 5±1,5 year  FU: n= 20, N=20</a:t>
          </a:r>
          <a:br>
            <a:rPr lang="nl-BE" sz="1000">
              <a:solidFill>
                <a:sysClr val="windowText" lastClr="000000"/>
              </a:solidFill>
              <a:latin typeface="Calibri"/>
              <a:ea typeface="+mn-ea"/>
              <a:cs typeface="+mn-cs"/>
            </a:rPr>
          </a:br>
          <a:r>
            <a:rPr lang="nl-BE" sz="1000">
              <a:solidFill>
                <a:sysClr val="windowText" lastClr="000000"/>
              </a:solidFill>
              <a:latin typeface="Calibri"/>
              <a:ea typeface="+mn-ea"/>
              <a:cs typeface="+mn-cs"/>
            </a:rPr>
            <a:t>- 8±2 year FU: n=20, N=20</a:t>
          </a:r>
          <a:br>
            <a:rPr lang="nl-BE" sz="1000">
              <a:solidFill>
                <a:sysClr val="windowText" lastClr="000000"/>
              </a:solidFill>
              <a:latin typeface="Calibri"/>
              <a:ea typeface="+mn-ea"/>
              <a:cs typeface="+mn-cs"/>
            </a:rPr>
          </a:br>
          <a:endParaRPr lang="nl-BE" sz="1000">
            <a:solidFill>
              <a:sysClr val="windowText" lastClr="000000"/>
            </a:solidFill>
            <a:latin typeface="Calibri"/>
            <a:ea typeface="+mn-ea"/>
            <a:cs typeface="+mn-cs"/>
          </a:endParaRPr>
        </a:p>
      </dgm:t>
    </dgm:pt>
    <dgm:pt modelId="{E8225444-9B37-43CB-8EC6-22F09511ABC4}" type="parTrans" cxnId="{6400FEBB-0792-4BF8-B768-D58B2838BD0E}">
      <dgm:prSet/>
      <dgm:spPr>
        <a:xfrm>
          <a:off x="2980356" y="6802217"/>
          <a:ext cx="91440" cy="243234"/>
        </a:xfrm>
        <a:noFill/>
        <a:ln w="6350" cap="flat" cmpd="sng" algn="ctr">
          <a:solidFill>
            <a:sysClr val="windowText" lastClr="000000"/>
          </a:solidFill>
          <a:prstDash val="solid"/>
        </a:ln>
        <a:effectLst/>
      </dgm:spPr>
      <dgm:t>
        <a:bodyPr/>
        <a:lstStyle/>
        <a:p>
          <a:endParaRPr lang="nl-BE" sz="1000"/>
        </a:p>
      </dgm:t>
    </dgm:pt>
    <dgm:pt modelId="{F1593377-FD58-491F-BB08-0359C9B7EFDE}" type="sibTrans" cxnId="{6400FEBB-0792-4BF8-B768-D58B2838BD0E}">
      <dgm:prSet/>
      <dgm:spPr/>
      <dgm:t>
        <a:bodyPr/>
        <a:lstStyle/>
        <a:p>
          <a:endParaRPr lang="nl-BE" sz="1000"/>
        </a:p>
      </dgm:t>
    </dgm:pt>
    <dgm:pt modelId="{FF19738B-466B-4C78-BB77-051D4C8C9E27}">
      <dgm:prSet custT="1"/>
      <dgm:spPr>
        <a:xfrm>
          <a:off x="2489761" y="7801055"/>
          <a:ext cx="937415" cy="124643"/>
        </a:xfrm>
        <a:noFill/>
        <a:ln w="25400" cap="flat" cmpd="sng" algn="ctr">
          <a:noFill/>
          <a:prstDash val="solid"/>
        </a:ln>
        <a:effectLst/>
      </dgm:spPr>
      <dgm:t>
        <a:bodyPr/>
        <a:lstStyle/>
        <a:p>
          <a:endParaRPr lang="nl-BE" sz="1000">
            <a:solidFill>
              <a:sysClr val="window" lastClr="FFFFFF"/>
            </a:solidFill>
            <a:latin typeface="Calibri"/>
            <a:ea typeface="+mn-ea"/>
            <a:cs typeface="+mn-cs"/>
          </a:endParaRPr>
        </a:p>
      </dgm:t>
    </dgm:pt>
    <dgm:pt modelId="{F7D3E400-BF14-4385-829B-671BF83B4835}" type="parTrans" cxnId="{65A04D01-DBE4-4A16-9C45-7D0A5E262A71}">
      <dgm:prSet/>
      <dgm:spPr>
        <a:xfrm>
          <a:off x="2147534" y="7863376"/>
          <a:ext cx="342227" cy="600610"/>
        </a:xfrm>
        <a:noFill/>
        <a:ln w="25400" cap="flat" cmpd="sng" algn="ctr">
          <a:noFill/>
          <a:prstDash val="solid"/>
        </a:ln>
        <a:effectLst/>
      </dgm:spPr>
      <dgm:t>
        <a:bodyPr/>
        <a:lstStyle/>
        <a:p>
          <a:endParaRPr lang="nl-BE" sz="1000"/>
        </a:p>
      </dgm:t>
    </dgm:pt>
    <dgm:pt modelId="{1CF15246-E7FC-464A-8DAA-5D9294BB0B99}" type="sibTrans" cxnId="{65A04D01-DBE4-4A16-9C45-7D0A5E262A71}">
      <dgm:prSet/>
      <dgm:spPr/>
      <dgm:t>
        <a:bodyPr/>
        <a:lstStyle/>
        <a:p>
          <a:endParaRPr lang="nl-BE" sz="1000"/>
        </a:p>
      </dgm:t>
    </dgm:pt>
    <dgm:pt modelId="{98733A14-C7FC-451A-B2A2-71A40E0D7780}" type="pres">
      <dgm:prSet presAssocID="{E8CBD6DC-7A40-45BE-9566-3D0550C096BD}" presName="hierChild1" presStyleCnt="0">
        <dgm:presLayoutVars>
          <dgm:orgChart val="1"/>
          <dgm:chPref val="1"/>
          <dgm:dir/>
          <dgm:animOne val="branch"/>
          <dgm:animLvl val="lvl"/>
          <dgm:resizeHandles/>
        </dgm:presLayoutVars>
      </dgm:prSet>
      <dgm:spPr/>
      <dgm:t>
        <a:bodyPr/>
        <a:lstStyle/>
        <a:p>
          <a:endParaRPr lang="nl-BE"/>
        </a:p>
      </dgm:t>
    </dgm:pt>
    <dgm:pt modelId="{1DE65B2C-940F-45FB-98E3-C93D111B5A94}" type="pres">
      <dgm:prSet presAssocID="{0AE62266-9712-4A54-99E7-D6D25B3B7B94}" presName="hierRoot1" presStyleCnt="0">
        <dgm:presLayoutVars>
          <dgm:hierBranch val="init"/>
        </dgm:presLayoutVars>
      </dgm:prSet>
      <dgm:spPr/>
    </dgm:pt>
    <dgm:pt modelId="{740A484C-87DA-499A-94EE-2F1CB7403BC1}" type="pres">
      <dgm:prSet presAssocID="{0AE62266-9712-4A54-99E7-D6D25B3B7B94}" presName="rootComposite1" presStyleCnt="0"/>
      <dgm:spPr/>
    </dgm:pt>
    <dgm:pt modelId="{E8FA2FE7-24D8-46BD-A433-4FDF9CE37480}" type="pres">
      <dgm:prSet presAssocID="{0AE62266-9712-4A54-99E7-D6D25B3B7B94}" presName="rootText1" presStyleLbl="node0" presStyleIdx="0" presStyleCnt="1" custScaleY="96072">
        <dgm:presLayoutVars>
          <dgm:chPref val="3"/>
        </dgm:presLayoutVars>
      </dgm:prSet>
      <dgm:spPr>
        <a:prstGeom prst="rect">
          <a:avLst/>
        </a:prstGeom>
      </dgm:spPr>
      <dgm:t>
        <a:bodyPr/>
        <a:lstStyle/>
        <a:p>
          <a:endParaRPr lang="nl-BE"/>
        </a:p>
      </dgm:t>
    </dgm:pt>
    <dgm:pt modelId="{4EF46396-39DD-4CC6-BEFF-20B812CA32B6}" type="pres">
      <dgm:prSet presAssocID="{0AE62266-9712-4A54-99E7-D6D25B3B7B94}" presName="rootConnector1" presStyleLbl="node1" presStyleIdx="0" presStyleCnt="0"/>
      <dgm:spPr/>
      <dgm:t>
        <a:bodyPr/>
        <a:lstStyle/>
        <a:p>
          <a:endParaRPr lang="nl-BE"/>
        </a:p>
      </dgm:t>
    </dgm:pt>
    <dgm:pt modelId="{8195337F-FA60-4B74-A54D-EF08DAC3E2D2}" type="pres">
      <dgm:prSet presAssocID="{0AE62266-9712-4A54-99E7-D6D25B3B7B94}" presName="hierChild2" presStyleCnt="0"/>
      <dgm:spPr/>
    </dgm:pt>
    <dgm:pt modelId="{995E6A14-6F89-46F8-8ACD-B7BA479189DD}" type="pres">
      <dgm:prSet presAssocID="{1B79F8CC-279F-48BE-9ED8-2FDF818E21B7}" presName="Name37" presStyleLbl="parChTrans1D2" presStyleIdx="0" presStyleCnt="3"/>
      <dgm:spPr>
        <a:custGeom>
          <a:avLst/>
          <a:gdLst/>
          <a:ahLst/>
          <a:cxnLst/>
          <a:rect l="0" t="0" r="0" b="0"/>
          <a:pathLst>
            <a:path>
              <a:moveTo>
                <a:pt x="48950" y="0"/>
              </a:moveTo>
              <a:lnTo>
                <a:pt x="48950" y="26126"/>
              </a:lnTo>
              <a:lnTo>
                <a:pt x="45720" y="26126"/>
              </a:lnTo>
              <a:lnTo>
                <a:pt x="45720" y="158110"/>
              </a:lnTo>
            </a:path>
          </a:pathLst>
        </a:custGeom>
      </dgm:spPr>
      <dgm:t>
        <a:bodyPr/>
        <a:lstStyle/>
        <a:p>
          <a:endParaRPr lang="nl-BE"/>
        </a:p>
      </dgm:t>
    </dgm:pt>
    <dgm:pt modelId="{83C3D8E7-2A56-4EE3-9679-926BF404B5A5}" type="pres">
      <dgm:prSet presAssocID="{301E64B8-39B4-4396-A527-9B61FD10CF54}" presName="hierRoot2" presStyleCnt="0">
        <dgm:presLayoutVars>
          <dgm:hierBranch val="init"/>
        </dgm:presLayoutVars>
      </dgm:prSet>
      <dgm:spPr/>
    </dgm:pt>
    <dgm:pt modelId="{AF44CF50-E684-49B4-BABA-A550A556372F}" type="pres">
      <dgm:prSet presAssocID="{301E64B8-39B4-4396-A527-9B61FD10CF54}" presName="rootComposite" presStyleCnt="0"/>
      <dgm:spPr/>
    </dgm:pt>
    <dgm:pt modelId="{4E64C961-7E6E-4014-A852-A6700B31A161}" type="pres">
      <dgm:prSet presAssocID="{301E64B8-39B4-4396-A527-9B61FD10CF54}" presName="rootText" presStyleLbl="node2" presStyleIdx="0" presStyleCnt="1" custScaleX="171352" custScaleY="107360" custLinFactNeighborX="-128" custLinFactNeighborY="74992">
        <dgm:presLayoutVars>
          <dgm:chPref val="3"/>
        </dgm:presLayoutVars>
      </dgm:prSet>
      <dgm:spPr>
        <a:prstGeom prst="rect">
          <a:avLst/>
        </a:prstGeom>
      </dgm:spPr>
      <dgm:t>
        <a:bodyPr/>
        <a:lstStyle/>
        <a:p>
          <a:endParaRPr lang="nl-BE"/>
        </a:p>
      </dgm:t>
    </dgm:pt>
    <dgm:pt modelId="{81953AB4-EC7C-4EFA-88CD-53BBCC803B68}" type="pres">
      <dgm:prSet presAssocID="{301E64B8-39B4-4396-A527-9B61FD10CF54}" presName="rootConnector" presStyleLbl="node2" presStyleIdx="0" presStyleCnt="1"/>
      <dgm:spPr/>
      <dgm:t>
        <a:bodyPr/>
        <a:lstStyle/>
        <a:p>
          <a:endParaRPr lang="nl-BE"/>
        </a:p>
      </dgm:t>
    </dgm:pt>
    <dgm:pt modelId="{EE235210-AD81-4E67-8778-86B51FD7CFC9}" type="pres">
      <dgm:prSet presAssocID="{301E64B8-39B4-4396-A527-9B61FD10CF54}" presName="hierChild4" presStyleCnt="0"/>
      <dgm:spPr/>
    </dgm:pt>
    <dgm:pt modelId="{3D4C039E-84EA-4E24-AF06-00C706250A3E}" type="pres">
      <dgm:prSet presAssocID="{394C4B62-932A-4648-BD7E-43AB3057B6AB}" presName="Name37" presStyleLbl="parChTrans1D3" presStyleIdx="0" presStyleCnt="2"/>
      <dgm:spPr>
        <a:custGeom>
          <a:avLst/>
          <a:gdLst/>
          <a:ahLst/>
          <a:cxnLst/>
          <a:rect l="0" t="0" r="0" b="0"/>
          <a:pathLst>
            <a:path>
              <a:moveTo>
                <a:pt x="45720" y="0"/>
              </a:moveTo>
              <a:lnTo>
                <a:pt x="45720" y="832600"/>
              </a:lnTo>
              <a:lnTo>
                <a:pt x="48686" y="832600"/>
              </a:lnTo>
              <a:lnTo>
                <a:pt x="48686" y="964585"/>
              </a:lnTo>
            </a:path>
          </a:pathLst>
        </a:custGeom>
      </dgm:spPr>
      <dgm:t>
        <a:bodyPr/>
        <a:lstStyle/>
        <a:p>
          <a:endParaRPr lang="nl-BE"/>
        </a:p>
      </dgm:t>
    </dgm:pt>
    <dgm:pt modelId="{FA8F604A-2CC1-47AA-8836-ECD17A32D9D4}" type="pres">
      <dgm:prSet presAssocID="{90F376C3-9AAC-4902-BC67-05889A512BA2}" presName="hierRoot2" presStyleCnt="0">
        <dgm:presLayoutVars>
          <dgm:hierBranch val="init"/>
        </dgm:presLayoutVars>
      </dgm:prSet>
      <dgm:spPr/>
    </dgm:pt>
    <dgm:pt modelId="{79D8091C-C62F-46E7-9B73-3F19B9E3C7AE}" type="pres">
      <dgm:prSet presAssocID="{90F376C3-9AAC-4902-BC67-05889A512BA2}" presName="rootComposite" presStyleCnt="0"/>
      <dgm:spPr/>
    </dgm:pt>
    <dgm:pt modelId="{487BCCA5-C136-4B8E-89A0-5EC3D0C0B919}" type="pres">
      <dgm:prSet presAssocID="{90F376C3-9AAC-4902-BC67-05889A512BA2}" presName="rootText" presStyleLbl="node3" presStyleIdx="0" presStyleCnt="1" custScaleX="133614" custScaleY="75128" custLinFactNeighborX="108" custLinFactNeighborY="44467">
        <dgm:presLayoutVars>
          <dgm:chPref val="3"/>
        </dgm:presLayoutVars>
      </dgm:prSet>
      <dgm:spPr>
        <a:prstGeom prst="rect">
          <a:avLst/>
        </a:prstGeom>
      </dgm:spPr>
      <dgm:t>
        <a:bodyPr/>
        <a:lstStyle/>
        <a:p>
          <a:endParaRPr lang="nl-BE"/>
        </a:p>
      </dgm:t>
    </dgm:pt>
    <dgm:pt modelId="{4587CF98-963F-4EAD-A6A3-349C7BB50756}" type="pres">
      <dgm:prSet presAssocID="{90F376C3-9AAC-4902-BC67-05889A512BA2}" presName="rootConnector" presStyleLbl="node3" presStyleIdx="0" presStyleCnt="1"/>
      <dgm:spPr/>
      <dgm:t>
        <a:bodyPr/>
        <a:lstStyle/>
        <a:p>
          <a:endParaRPr lang="nl-BE"/>
        </a:p>
      </dgm:t>
    </dgm:pt>
    <dgm:pt modelId="{ABE16F30-3D7C-47F1-93FF-C90B4D1B91EC}" type="pres">
      <dgm:prSet presAssocID="{90F376C3-9AAC-4902-BC67-05889A512BA2}" presName="hierChild4" presStyleCnt="0"/>
      <dgm:spPr/>
    </dgm:pt>
    <dgm:pt modelId="{D5E827CC-54F9-448D-8124-D088DE3EBD54}" type="pres">
      <dgm:prSet presAssocID="{BBFEEF4F-550F-486B-954B-97C73A216A23}" presName="Name37" presStyleLbl="parChTrans1D4" presStyleIdx="0" presStyleCnt="4"/>
      <dgm:spPr>
        <a:custGeom>
          <a:avLst/>
          <a:gdLst/>
          <a:ahLst/>
          <a:cxnLst/>
          <a:rect l="0" t="0" r="0" b="0"/>
          <a:pathLst>
            <a:path>
              <a:moveTo>
                <a:pt x="49930" y="0"/>
              </a:moveTo>
              <a:lnTo>
                <a:pt x="49930" y="830174"/>
              </a:lnTo>
              <a:lnTo>
                <a:pt x="45720" y="830174"/>
              </a:lnTo>
              <a:lnTo>
                <a:pt x="45720" y="962159"/>
              </a:lnTo>
            </a:path>
          </a:pathLst>
        </a:custGeom>
      </dgm:spPr>
      <dgm:t>
        <a:bodyPr/>
        <a:lstStyle/>
        <a:p>
          <a:endParaRPr lang="nl-BE"/>
        </a:p>
      </dgm:t>
    </dgm:pt>
    <dgm:pt modelId="{846337AB-D722-4132-B265-9F2255A42B86}" type="pres">
      <dgm:prSet presAssocID="{E4BCC516-C6F5-47C5-BC29-09DAF172CF4D}" presName="hierRoot2" presStyleCnt="0">
        <dgm:presLayoutVars>
          <dgm:hierBranch val="init"/>
        </dgm:presLayoutVars>
      </dgm:prSet>
      <dgm:spPr/>
    </dgm:pt>
    <dgm:pt modelId="{E0799F9B-24C0-43EC-B1AF-A8CF719BA5C8}" type="pres">
      <dgm:prSet presAssocID="{E4BCC516-C6F5-47C5-BC29-09DAF172CF4D}" presName="rootComposite" presStyleCnt="0"/>
      <dgm:spPr/>
    </dgm:pt>
    <dgm:pt modelId="{3A88F432-26B5-4AB2-B1F0-0487F8BF0986}" type="pres">
      <dgm:prSet presAssocID="{E4BCC516-C6F5-47C5-BC29-09DAF172CF4D}" presName="rootText" presStyleLbl="node4" presStyleIdx="0" presStyleCnt="3" custScaleX="165401" custScaleY="79144" custLinFactNeighborX="-227" custLinFactNeighborY="13556">
        <dgm:presLayoutVars>
          <dgm:chPref val="3"/>
        </dgm:presLayoutVars>
      </dgm:prSet>
      <dgm:spPr>
        <a:prstGeom prst="rect">
          <a:avLst/>
        </a:prstGeom>
      </dgm:spPr>
      <dgm:t>
        <a:bodyPr/>
        <a:lstStyle/>
        <a:p>
          <a:endParaRPr lang="nl-BE"/>
        </a:p>
      </dgm:t>
    </dgm:pt>
    <dgm:pt modelId="{AF35FB99-00E9-4583-BBAE-0DCF9D1E89CB}" type="pres">
      <dgm:prSet presAssocID="{E4BCC516-C6F5-47C5-BC29-09DAF172CF4D}" presName="rootConnector" presStyleLbl="node4" presStyleIdx="0" presStyleCnt="3"/>
      <dgm:spPr/>
      <dgm:t>
        <a:bodyPr/>
        <a:lstStyle/>
        <a:p>
          <a:endParaRPr lang="nl-BE"/>
        </a:p>
      </dgm:t>
    </dgm:pt>
    <dgm:pt modelId="{8B17D00E-E3DC-433D-A1FF-45DE60384FB8}" type="pres">
      <dgm:prSet presAssocID="{E4BCC516-C6F5-47C5-BC29-09DAF172CF4D}" presName="hierChild4" presStyleCnt="0"/>
      <dgm:spPr/>
    </dgm:pt>
    <dgm:pt modelId="{940E8298-866F-4E0F-A050-78261C5B7D04}" type="pres">
      <dgm:prSet presAssocID="{E8225444-9B37-43CB-8EC6-22F09511ABC4}" presName="Name37" presStyleLbl="parChTrans1D4" presStyleIdx="1" presStyleCnt="4"/>
      <dgm:spPr>
        <a:custGeom>
          <a:avLst/>
          <a:gdLst/>
          <a:ahLst/>
          <a:cxnLst/>
          <a:rect l="0" t="0" r="0" b="0"/>
          <a:pathLst>
            <a:path>
              <a:moveTo>
                <a:pt x="45720" y="0"/>
              </a:moveTo>
              <a:lnTo>
                <a:pt x="45720" y="111250"/>
              </a:lnTo>
              <a:lnTo>
                <a:pt x="48007" y="111250"/>
              </a:lnTo>
              <a:lnTo>
                <a:pt x="48007" y="243234"/>
              </a:lnTo>
            </a:path>
          </a:pathLst>
        </a:custGeom>
      </dgm:spPr>
      <dgm:t>
        <a:bodyPr/>
        <a:lstStyle/>
        <a:p>
          <a:endParaRPr lang="nl-BE"/>
        </a:p>
      </dgm:t>
    </dgm:pt>
    <dgm:pt modelId="{F365DE3F-8199-470D-9146-3AD00394F453}" type="pres">
      <dgm:prSet presAssocID="{763A5916-941D-49F5-8207-AE0F66AD195E}" presName="hierRoot2" presStyleCnt="0">
        <dgm:presLayoutVars>
          <dgm:hierBranch val="init"/>
        </dgm:presLayoutVars>
      </dgm:prSet>
      <dgm:spPr/>
    </dgm:pt>
    <dgm:pt modelId="{EAD8210D-17C2-4802-ADA4-2AD12E089FA9}" type="pres">
      <dgm:prSet presAssocID="{763A5916-941D-49F5-8207-AE0F66AD195E}" presName="rootComposite" presStyleCnt="0"/>
      <dgm:spPr/>
    </dgm:pt>
    <dgm:pt modelId="{344DFFE7-89D7-417B-B10E-6D6DB20E66A3}" type="pres">
      <dgm:prSet presAssocID="{763A5916-941D-49F5-8207-AE0F66AD195E}" presName="rootText" presStyleLbl="node4" presStyleIdx="1" presStyleCnt="3" custScaleX="175186" custScaleY="225703" custLinFactNeighborX="-45" custLinFactNeighborY="10257">
        <dgm:presLayoutVars>
          <dgm:chPref val="3"/>
        </dgm:presLayoutVars>
      </dgm:prSet>
      <dgm:spPr>
        <a:prstGeom prst="rect">
          <a:avLst/>
        </a:prstGeom>
      </dgm:spPr>
      <dgm:t>
        <a:bodyPr/>
        <a:lstStyle/>
        <a:p>
          <a:endParaRPr lang="nl-BE"/>
        </a:p>
      </dgm:t>
    </dgm:pt>
    <dgm:pt modelId="{5420FED8-DE7E-4E56-B975-623E61913690}" type="pres">
      <dgm:prSet presAssocID="{763A5916-941D-49F5-8207-AE0F66AD195E}" presName="rootConnector" presStyleLbl="node4" presStyleIdx="1" presStyleCnt="3"/>
      <dgm:spPr/>
      <dgm:t>
        <a:bodyPr/>
        <a:lstStyle/>
        <a:p>
          <a:endParaRPr lang="nl-BE"/>
        </a:p>
      </dgm:t>
    </dgm:pt>
    <dgm:pt modelId="{ED37BEE5-3DEF-421B-AFB7-C4F15A987470}" type="pres">
      <dgm:prSet presAssocID="{763A5916-941D-49F5-8207-AE0F66AD195E}" presName="hierChild4" presStyleCnt="0"/>
      <dgm:spPr/>
    </dgm:pt>
    <dgm:pt modelId="{777D96EE-1A88-4FA2-A95A-9B1E335CBB78}" type="pres">
      <dgm:prSet presAssocID="{F7D3E400-BF14-4385-829B-671BF83B4835}" presName="Name37" presStyleLbl="parChTrans1D4" presStyleIdx="2" presStyleCnt="4"/>
      <dgm:spPr>
        <a:custGeom>
          <a:avLst/>
          <a:gdLst/>
          <a:ahLst/>
          <a:cxnLst/>
          <a:rect l="0" t="0" r="0" b="0"/>
          <a:pathLst>
            <a:path>
              <a:moveTo>
                <a:pt x="0" y="600610"/>
              </a:moveTo>
              <a:lnTo>
                <a:pt x="342227" y="0"/>
              </a:lnTo>
            </a:path>
          </a:pathLst>
        </a:custGeom>
      </dgm:spPr>
      <dgm:t>
        <a:bodyPr/>
        <a:lstStyle/>
        <a:p>
          <a:endParaRPr lang="nl-BE"/>
        </a:p>
      </dgm:t>
    </dgm:pt>
    <dgm:pt modelId="{2F0E8E27-E3FD-4176-BCFC-2B8B38D0D52F}" type="pres">
      <dgm:prSet presAssocID="{FF19738B-466B-4C78-BB77-051D4C8C9E27}" presName="hierRoot2" presStyleCnt="0">
        <dgm:presLayoutVars>
          <dgm:hierBranch val="init"/>
        </dgm:presLayoutVars>
      </dgm:prSet>
      <dgm:spPr/>
    </dgm:pt>
    <dgm:pt modelId="{BBB9A79F-844C-4149-A7AA-E782CBD86028}" type="pres">
      <dgm:prSet presAssocID="{FF19738B-466B-4C78-BB77-051D4C8C9E27}" presName="rootComposite" presStyleCnt="0"/>
      <dgm:spPr/>
    </dgm:pt>
    <dgm:pt modelId="{195A2ECE-4B8A-410C-99DA-F96F32EBC001}" type="pres">
      <dgm:prSet presAssocID="{FF19738B-466B-4C78-BB77-051D4C8C9E27}" presName="rootText" presStyleLbl="node4" presStyleIdx="2" presStyleCnt="3" custScaleX="74576" custScaleY="19832" custLinFactY="-37222" custLinFactNeighborX="903" custLinFactNeighborY="-100000">
        <dgm:presLayoutVars>
          <dgm:chPref val="3"/>
        </dgm:presLayoutVars>
      </dgm:prSet>
      <dgm:spPr>
        <a:prstGeom prst="rect">
          <a:avLst/>
        </a:prstGeom>
      </dgm:spPr>
      <dgm:t>
        <a:bodyPr/>
        <a:lstStyle/>
        <a:p>
          <a:endParaRPr lang="nl-BE"/>
        </a:p>
      </dgm:t>
    </dgm:pt>
    <dgm:pt modelId="{1BD80C56-2413-49BF-A489-72CDC0A0A64C}" type="pres">
      <dgm:prSet presAssocID="{FF19738B-466B-4C78-BB77-051D4C8C9E27}" presName="rootConnector" presStyleLbl="node4" presStyleIdx="2" presStyleCnt="3"/>
      <dgm:spPr/>
      <dgm:t>
        <a:bodyPr/>
        <a:lstStyle/>
        <a:p>
          <a:endParaRPr lang="nl-BE"/>
        </a:p>
      </dgm:t>
    </dgm:pt>
    <dgm:pt modelId="{1922755B-F5BC-40C2-BF92-5C5E5E1AF471}" type="pres">
      <dgm:prSet presAssocID="{FF19738B-466B-4C78-BB77-051D4C8C9E27}" presName="hierChild4" presStyleCnt="0"/>
      <dgm:spPr/>
    </dgm:pt>
    <dgm:pt modelId="{0CD7DAF8-A1D0-4C1C-89E1-167630CB320B}" type="pres">
      <dgm:prSet presAssocID="{FF19738B-466B-4C78-BB77-051D4C8C9E27}" presName="hierChild5" presStyleCnt="0"/>
      <dgm:spPr/>
    </dgm:pt>
    <dgm:pt modelId="{BC73CEE3-048F-4D95-8669-78D48376C826}" type="pres">
      <dgm:prSet presAssocID="{763A5916-941D-49F5-8207-AE0F66AD195E}" presName="hierChild5" presStyleCnt="0"/>
      <dgm:spPr/>
    </dgm:pt>
    <dgm:pt modelId="{062B8407-3C27-48E2-AAA2-B95364442CEA}" type="pres">
      <dgm:prSet presAssocID="{E4BCC516-C6F5-47C5-BC29-09DAF172CF4D}" presName="hierChild5" presStyleCnt="0"/>
      <dgm:spPr/>
    </dgm:pt>
    <dgm:pt modelId="{0B7AAEE0-F380-4257-965C-7663265D7279}" type="pres">
      <dgm:prSet presAssocID="{90F376C3-9AAC-4902-BC67-05889A512BA2}" presName="hierChild5" presStyleCnt="0"/>
      <dgm:spPr/>
    </dgm:pt>
    <dgm:pt modelId="{2E7AAB54-C126-41F3-B5EC-33272BD32BAD}" type="pres">
      <dgm:prSet presAssocID="{19245685-2154-41D7-A69E-97AD70A544D3}" presName="Name111" presStyleLbl="parChTrans1D4" presStyleIdx="3" presStyleCnt="4"/>
      <dgm:spPr>
        <a:custGeom>
          <a:avLst/>
          <a:gdLst/>
          <a:ahLst/>
          <a:cxnLst/>
          <a:rect l="0" t="0" r="0" b="0"/>
          <a:pathLst>
            <a:path>
              <a:moveTo>
                <a:pt x="180780" y="0"/>
              </a:moveTo>
              <a:lnTo>
                <a:pt x="180780" y="464949"/>
              </a:lnTo>
              <a:lnTo>
                <a:pt x="0" y="464949"/>
              </a:lnTo>
            </a:path>
          </a:pathLst>
        </a:custGeom>
      </dgm:spPr>
      <dgm:t>
        <a:bodyPr/>
        <a:lstStyle/>
        <a:p>
          <a:endParaRPr lang="nl-BE"/>
        </a:p>
      </dgm:t>
    </dgm:pt>
    <dgm:pt modelId="{46075A9D-D05A-4965-AEBC-B9F12FAD8BEF}" type="pres">
      <dgm:prSet presAssocID="{D6E25A3A-E625-43BD-B5B2-425912B5C756}" presName="hierRoot3" presStyleCnt="0">
        <dgm:presLayoutVars>
          <dgm:hierBranch val="init"/>
        </dgm:presLayoutVars>
      </dgm:prSet>
      <dgm:spPr/>
    </dgm:pt>
    <dgm:pt modelId="{6661DB9B-8E1F-4013-A627-40D96120B270}" type="pres">
      <dgm:prSet presAssocID="{D6E25A3A-E625-43BD-B5B2-425912B5C756}" presName="rootComposite3" presStyleCnt="0"/>
      <dgm:spPr/>
    </dgm:pt>
    <dgm:pt modelId="{1072C591-10FB-41C2-9664-A5D8F6D6429A}" type="pres">
      <dgm:prSet presAssocID="{D6E25A3A-E625-43BD-B5B2-425912B5C756}" presName="rootText3" presStyleLbl="asst3" presStyleIdx="0" presStyleCnt="1" custScaleX="162600" custScaleY="81925" custLinFactNeighborX="-3774" custLinFactNeighborY="26445">
        <dgm:presLayoutVars>
          <dgm:chPref val="3"/>
        </dgm:presLayoutVars>
      </dgm:prSet>
      <dgm:spPr>
        <a:prstGeom prst="rect">
          <a:avLst/>
        </a:prstGeom>
      </dgm:spPr>
      <dgm:t>
        <a:bodyPr/>
        <a:lstStyle/>
        <a:p>
          <a:endParaRPr lang="nl-BE"/>
        </a:p>
      </dgm:t>
    </dgm:pt>
    <dgm:pt modelId="{7B7EAD0B-D822-4B6B-86B7-188DD79C2BDA}" type="pres">
      <dgm:prSet presAssocID="{D6E25A3A-E625-43BD-B5B2-425912B5C756}" presName="rootConnector3" presStyleLbl="asst3" presStyleIdx="0" presStyleCnt="1"/>
      <dgm:spPr/>
      <dgm:t>
        <a:bodyPr/>
        <a:lstStyle/>
        <a:p>
          <a:endParaRPr lang="nl-BE"/>
        </a:p>
      </dgm:t>
    </dgm:pt>
    <dgm:pt modelId="{CC6016DF-CC1B-4001-9E7D-705A8505BBD9}" type="pres">
      <dgm:prSet presAssocID="{D6E25A3A-E625-43BD-B5B2-425912B5C756}" presName="hierChild6" presStyleCnt="0"/>
      <dgm:spPr/>
    </dgm:pt>
    <dgm:pt modelId="{BAE1AAEA-46AF-4AC8-BA87-1BF1CF8DCE1F}" type="pres">
      <dgm:prSet presAssocID="{D6E25A3A-E625-43BD-B5B2-425912B5C756}" presName="hierChild7" presStyleCnt="0"/>
      <dgm:spPr/>
    </dgm:pt>
    <dgm:pt modelId="{A56DEFEA-83ED-4F21-8EDC-AA7F9102A602}" type="pres">
      <dgm:prSet presAssocID="{301E64B8-39B4-4396-A527-9B61FD10CF54}" presName="hierChild5" presStyleCnt="0"/>
      <dgm:spPr/>
    </dgm:pt>
    <dgm:pt modelId="{9011BDC4-1E1E-485A-8900-AE9DB131985E}" type="pres">
      <dgm:prSet presAssocID="{A1A0D560-A7BC-484A-B431-37D9B145C010}" presName="Name111" presStyleLbl="parChTrans1D3" presStyleIdx="1" presStyleCnt="2"/>
      <dgm:spPr>
        <a:custGeom>
          <a:avLst/>
          <a:gdLst/>
          <a:ahLst/>
          <a:cxnLst/>
          <a:rect l="0" t="0" r="0" b="0"/>
          <a:pathLst>
            <a:path>
              <a:moveTo>
                <a:pt x="154497" y="0"/>
              </a:moveTo>
              <a:lnTo>
                <a:pt x="154497" y="487725"/>
              </a:lnTo>
              <a:lnTo>
                <a:pt x="0" y="487725"/>
              </a:lnTo>
            </a:path>
          </a:pathLst>
        </a:custGeom>
      </dgm:spPr>
      <dgm:t>
        <a:bodyPr/>
        <a:lstStyle/>
        <a:p>
          <a:endParaRPr lang="nl-BE"/>
        </a:p>
      </dgm:t>
    </dgm:pt>
    <dgm:pt modelId="{C5539F09-D281-4604-AC51-02A7B51EEF98}" type="pres">
      <dgm:prSet presAssocID="{E4C9B65C-B279-4F95-AFE0-538BDFA859A9}" presName="hierRoot3" presStyleCnt="0">
        <dgm:presLayoutVars>
          <dgm:hierBranch val="init"/>
        </dgm:presLayoutVars>
      </dgm:prSet>
      <dgm:spPr/>
    </dgm:pt>
    <dgm:pt modelId="{2A4D8880-6724-44DA-B5CC-F16F5D27E503}" type="pres">
      <dgm:prSet presAssocID="{E4C9B65C-B279-4F95-AFE0-538BDFA859A9}" presName="rootComposite3" presStyleCnt="0"/>
      <dgm:spPr/>
    </dgm:pt>
    <dgm:pt modelId="{AE67E5B2-9EF2-46F7-894F-44F501080542}" type="pres">
      <dgm:prSet presAssocID="{E4C9B65C-B279-4F95-AFE0-538BDFA859A9}" presName="rootText3" presStyleLbl="asst2" presStyleIdx="0" presStyleCnt="1" custScaleX="136621" custScaleY="92040" custLinFactNeighborX="-1919" custLinFactNeighborY="60594">
        <dgm:presLayoutVars>
          <dgm:chPref val="3"/>
        </dgm:presLayoutVars>
      </dgm:prSet>
      <dgm:spPr>
        <a:prstGeom prst="rect">
          <a:avLst/>
        </a:prstGeom>
      </dgm:spPr>
      <dgm:t>
        <a:bodyPr/>
        <a:lstStyle/>
        <a:p>
          <a:endParaRPr lang="nl-BE"/>
        </a:p>
      </dgm:t>
    </dgm:pt>
    <dgm:pt modelId="{BCCC97B1-9644-4E48-9EE8-7932A9DE3531}" type="pres">
      <dgm:prSet presAssocID="{E4C9B65C-B279-4F95-AFE0-538BDFA859A9}" presName="rootConnector3" presStyleLbl="asst2" presStyleIdx="0" presStyleCnt="1"/>
      <dgm:spPr/>
      <dgm:t>
        <a:bodyPr/>
        <a:lstStyle/>
        <a:p>
          <a:endParaRPr lang="nl-BE"/>
        </a:p>
      </dgm:t>
    </dgm:pt>
    <dgm:pt modelId="{F4474A49-BE85-479B-A348-E3135E6671CD}" type="pres">
      <dgm:prSet presAssocID="{E4C9B65C-B279-4F95-AFE0-538BDFA859A9}" presName="hierChild6" presStyleCnt="0"/>
      <dgm:spPr/>
    </dgm:pt>
    <dgm:pt modelId="{C9C73A06-BFC6-4DC8-BAA7-A8E496545068}" type="pres">
      <dgm:prSet presAssocID="{E4C9B65C-B279-4F95-AFE0-538BDFA859A9}" presName="hierChild7" presStyleCnt="0"/>
      <dgm:spPr/>
    </dgm:pt>
    <dgm:pt modelId="{4CF72E73-38F6-46F0-948F-AE28A30DA7F9}" type="pres">
      <dgm:prSet presAssocID="{0AE62266-9712-4A54-99E7-D6D25B3B7B94}" presName="hierChild3" presStyleCnt="0"/>
      <dgm:spPr/>
    </dgm:pt>
    <dgm:pt modelId="{FE8C6490-965D-4B30-822A-B907BEC49898}" type="pres">
      <dgm:prSet presAssocID="{1130D01C-9A5A-4426-9579-5BBCA8611E7D}" presName="Name111" presStyleLbl="parChTrans1D2" presStyleIdx="1" presStyleCnt="3"/>
      <dgm:spPr>
        <a:custGeom>
          <a:avLst/>
          <a:gdLst/>
          <a:ahLst/>
          <a:cxnLst/>
          <a:rect l="0" t="0" r="0" b="0"/>
          <a:pathLst>
            <a:path>
              <a:moveTo>
                <a:pt x="142241" y="0"/>
              </a:moveTo>
              <a:lnTo>
                <a:pt x="142241" y="457262"/>
              </a:lnTo>
              <a:lnTo>
                <a:pt x="0" y="457262"/>
              </a:lnTo>
            </a:path>
          </a:pathLst>
        </a:custGeom>
      </dgm:spPr>
      <dgm:t>
        <a:bodyPr/>
        <a:lstStyle/>
        <a:p>
          <a:endParaRPr lang="nl-BE"/>
        </a:p>
      </dgm:t>
    </dgm:pt>
    <dgm:pt modelId="{2108B084-A2BE-493F-84EB-45DE78C3F9FD}" type="pres">
      <dgm:prSet presAssocID="{EB5C0CFA-EBBC-4D70-B4E7-8751D9509844}" presName="hierRoot3" presStyleCnt="0">
        <dgm:presLayoutVars>
          <dgm:hierBranch val="init"/>
        </dgm:presLayoutVars>
      </dgm:prSet>
      <dgm:spPr/>
    </dgm:pt>
    <dgm:pt modelId="{331FB6A6-B6DE-4856-BEAA-5494C1E76D26}" type="pres">
      <dgm:prSet presAssocID="{EB5C0CFA-EBBC-4D70-B4E7-8751D9509844}" presName="rootComposite3" presStyleCnt="0"/>
      <dgm:spPr/>
    </dgm:pt>
    <dgm:pt modelId="{C4735F20-816D-4C82-B4EB-26E2E42C31CD}" type="pres">
      <dgm:prSet presAssocID="{EB5C0CFA-EBBC-4D70-B4E7-8751D9509844}" presName="rootText3" presStyleLbl="asst1" presStyleIdx="0" presStyleCnt="2" custScaleX="120282" custScaleY="96779" custLinFactNeighborX="-816" custLinFactNeighborY="-19245">
        <dgm:presLayoutVars>
          <dgm:chPref val="3"/>
        </dgm:presLayoutVars>
      </dgm:prSet>
      <dgm:spPr>
        <a:prstGeom prst="rect">
          <a:avLst/>
        </a:prstGeom>
      </dgm:spPr>
      <dgm:t>
        <a:bodyPr/>
        <a:lstStyle/>
        <a:p>
          <a:endParaRPr lang="nl-BE"/>
        </a:p>
      </dgm:t>
    </dgm:pt>
    <dgm:pt modelId="{84CCA72B-79EF-419F-9C28-944F3FBCDE1D}" type="pres">
      <dgm:prSet presAssocID="{EB5C0CFA-EBBC-4D70-B4E7-8751D9509844}" presName="rootConnector3" presStyleLbl="asst1" presStyleIdx="0" presStyleCnt="2"/>
      <dgm:spPr/>
      <dgm:t>
        <a:bodyPr/>
        <a:lstStyle/>
        <a:p>
          <a:endParaRPr lang="nl-BE"/>
        </a:p>
      </dgm:t>
    </dgm:pt>
    <dgm:pt modelId="{74EC7A35-21B5-4A69-97EB-591BD7DA8184}" type="pres">
      <dgm:prSet presAssocID="{EB5C0CFA-EBBC-4D70-B4E7-8751D9509844}" presName="hierChild6" presStyleCnt="0"/>
      <dgm:spPr/>
    </dgm:pt>
    <dgm:pt modelId="{EDF8FF80-337F-4D59-A593-55BB0CDB8837}" type="pres">
      <dgm:prSet presAssocID="{EB5C0CFA-EBBC-4D70-B4E7-8751D9509844}" presName="hierChild7" presStyleCnt="0"/>
      <dgm:spPr/>
    </dgm:pt>
    <dgm:pt modelId="{3C39004C-738D-460F-B7B2-0A803613B313}" type="pres">
      <dgm:prSet presAssocID="{17DD6DC4-1760-4E8F-A88D-FF5A3D32696D}" presName="Name111" presStyleLbl="parChTrans1D2" presStyleIdx="2" presStyleCnt="3"/>
      <dgm:spPr>
        <a:custGeom>
          <a:avLst/>
          <a:gdLst/>
          <a:ahLst/>
          <a:cxnLst/>
          <a:rect l="0" t="0" r="0" b="0"/>
          <a:pathLst>
            <a:path>
              <a:moveTo>
                <a:pt x="153038" y="0"/>
              </a:moveTo>
              <a:lnTo>
                <a:pt x="153038" y="1260786"/>
              </a:lnTo>
              <a:lnTo>
                <a:pt x="0" y="1260786"/>
              </a:lnTo>
            </a:path>
          </a:pathLst>
        </a:custGeom>
      </dgm:spPr>
      <dgm:t>
        <a:bodyPr/>
        <a:lstStyle/>
        <a:p>
          <a:endParaRPr lang="nl-BE"/>
        </a:p>
      </dgm:t>
    </dgm:pt>
    <dgm:pt modelId="{F4B8A865-CF43-4C3C-9F2E-15D38AAB1E9E}" type="pres">
      <dgm:prSet presAssocID="{BB34BA75-9308-4B76-B379-A73226106CF8}" presName="hierRoot3" presStyleCnt="0">
        <dgm:presLayoutVars>
          <dgm:hierBranch val="init"/>
        </dgm:presLayoutVars>
      </dgm:prSet>
      <dgm:spPr/>
    </dgm:pt>
    <dgm:pt modelId="{E4796E5D-22F6-4C9C-BA6A-7A0815D7C6F2}" type="pres">
      <dgm:prSet presAssocID="{BB34BA75-9308-4B76-B379-A73226106CF8}" presName="rootComposite3" presStyleCnt="0"/>
      <dgm:spPr/>
    </dgm:pt>
    <dgm:pt modelId="{692D07F7-AFDD-4270-9F37-60201EE133DD}" type="pres">
      <dgm:prSet presAssocID="{BB34BA75-9308-4B76-B379-A73226106CF8}" presName="rootText3" presStyleLbl="asst1" presStyleIdx="1" presStyleCnt="2" custScaleX="138961" custScaleY="102749" custLinFactX="-61636" custLinFactY="7229" custLinFactNeighborX="-100000" custLinFactNeighborY="100000">
        <dgm:presLayoutVars>
          <dgm:chPref val="3"/>
        </dgm:presLayoutVars>
      </dgm:prSet>
      <dgm:spPr>
        <a:prstGeom prst="rect">
          <a:avLst/>
        </a:prstGeom>
      </dgm:spPr>
      <dgm:t>
        <a:bodyPr/>
        <a:lstStyle/>
        <a:p>
          <a:endParaRPr lang="nl-BE"/>
        </a:p>
      </dgm:t>
    </dgm:pt>
    <dgm:pt modelId="{0314A2D6-A8C5-4190-AC3F-78A356796FC8}" type="pres">
      <dgm:prSet presAssocID="{BB34BA75-9308-4B76-B379-A73226106CF8}" presName="rootConnector3" presStyleLbl="asst1" presStyleIdx="1" presStyleCnt="2"/>
      <dgm:spPr/>
      <dgm:t>
        <a:bodyPr/>
        <a:lstStyle/>
        <a:p>
          <a:endParaRPr lang="nl-BE"/>
        </a:p>
      </dgm:t>
    </dgm:pt>
    <dgm:pt modelId="{BF8C440A-034C-4638-B92C-EDF369AAF862}" type="pres">
      <dgm:prSet presAssocID="{BB34BA75-9308-4B76-B379-A73226106CF8}" presName="hierChild6" presStyleCnt="0"/>
      <dgm:spPr/>
    </dgm:pt>
    <dgm:pt modelId="{7A0B5693-04E0-4E0D-8E0A-D0673341D2C4}" type="pres">
      <dgm:prSet presAssocID="{BB34BA75-9308-4B76-B379-A73226106CF8}" presName="hierChild7" presStyleCnt="0"/>
      <dgm:spPr/>
    </dgm:pt>
  </dgm:ptLst>
  <dgm:cxnLst>
    <dgm:cxn modelId="{A30E1C64-C2D6-4A83-8185-52E3AF0F2104}" srcId="{0AE62266-9712-4A54-99E7-D6D25B3B7B94}" destId="{BB34BA75-9308-4B76-B379-A73226106CF8}" srcOrd="2" destOrd="0" parTransId="{17DD6DC4-1760-4E8F-A88D-FF5A3D32696D}" sibTransId="{C54B2185-4403-4D87-A7A6-A4858FC4BB8C}"/>
    <dgm:cxn modelId="{03198926-CD6F-4FC4-8E79-E5EEBC0C920F}" type="presOf" srcId="{301E64B8-39B4-4396-A527-9B61FD10CF54}" destId="{81953AB4-EC7C-4EFA-88CD-53BBCC803B68}" srcOrd="1" destOrd="0" presId="urn:microsoft.com/office/officeart/2005/8/layout/orgChart1"/>
    <dgm:cxn modelId="{628E3178-475B-4B7A-BCA4-8EA550EC9802}" type="presOf" srcId="{17DD6DC4-1760-4E8F-A88D-FF5A3D32696D}" destId="{3C39004C-738D-460F-B7B2-0A803613B313}" srcOrd="0" destOrd="0" presId="urn:microsoft.com/office/officeart/2005/8/layout/orgChart1"/>
    <dgm:cxn modelId="{618B74FC-729E-4CE1-B925-3FEAAD91E4C1}" srcId="{90F376C3-9AAC-4902-BC67-05889A512BA2}" destId="{D6E25A3A-E625-43BD-B5B2-425912B5C756}" srcOrd="0" destOrd="0" parTransId="{19245685-2154-41D7-A69E-97AD70A544D3}" sibTransId="{194A66B2-54B0-489A-954F-B855FBBC38AE}"/>
    <dgm:cxn modelId="{1375167D-C761-43AC-8B78-CA070E986FEB}" type="presOf" srcId="{BB34BA75-9308-4B76-B379-A73226106CF8}" destId="{692D07F7-AFDD-4270-9F37-60201EE133DD}" srcOrd="0" destOrd="0" presId="urn:microsoft.com/office/officeart/2005/8/layout/orgChart1"/>
    <dgm:cxn modelId="{8B5C3F75-F2A5-4992-B763-8C28F1378114}" type="presOf" srcId="{E4BCC516-C6F5-47C5-BC29-09DAF172CF4D}" destId="{AF35FB99-00E9-4583-BBAE-0DCF9D1E89CB}" srcOrd="1" destOrd="0" presId="urn:microsoft.com/office/officeart/2005/8/layout/orgChart1"/>
    <dgm:cxn modelId="{14CA2F8F-2B13-4805-B960-A5C6F79A6CE7}" type="presOf" srcId="{A1A0D560-A7BC-484A-B431-37D9B145C010}" destId="{9011BDC4-1E1E-485A-8900-AE9DB131985E}" srcOrd="0" destOrd="0" presId="urn:microsoft.com/office/officeart/2005/8/layout/orgChart1"/>
    <dgm:cxn modelId="{65A04D01-DBE4-4A16-9C45-7D0A5E262A71}" srcId="{763A5916-941D-49F5-8207-AE0F66AD195E}" destId="{FF19738B-466B-4C78-BB77-051D4C8C9E27}" srcOrd="0" destOrd="0" parTransId="{F7D3E400-BF14-4385-829B-671BF83B4835}" sibTransId="{1CF15246-E7FC-464A-8DAA-5D9294BB0B99}"/>
    <dgm:cxn modelId="{D0261574-921C-4A78-8490-6C797709FA63}" type="presOf" srcId="{763A5916-941D-49F5-8207-AE0F66AD195E}" destId="{344DFFE7-89D7-417B-B10E-6D6DB20E66A3}" srcOrd="0" destOrd="0" presId="urn:microsoft.com/office/officeart/2005/8/layout/orgChart1"/>
    <dgm:cxn modelId="{1D120899-84AD-4E14-AD5A-649710E176DE}" type="presOf" srcId="{E8225444-9B37-43CB-8EC6-22F09511ABC4}" destId="{940E8298-866F-4E0F-A050-78261C5B7D04}" srcOrd="0" destOrd="0" presId="urn:microsoft.com/office/officeart/2005/8/layout/orgChart1"/>
    <dgm:cxn modelId="{9F966289-1107-4F8D-BE83-8051907FA85A}" type="presOf" srcId="{D6E25A3A-E625-43BD-B5B2-425912B5C756}" destId="{7B7EAD0B-D822-4B6B-86B7-188DD79C2BDA}" srcOrd="1" destOrd="0" presId="urn:microsoft.com/office/officeart/2005/8/layout/orgChart1"/>
    <dgm:cxn modelId="{85E6FA32-401E-42B5-91E7-B85915EA332E}" srcId="{90F376C3-9AAC-4902-BC67-05889A512BA2}" destId="{E4BCC516-C6F5-47C5-BC29-09DAF172CF4D}" srcOrd="1" destOrd="0" parTransId="{BBFEEF4F-550F-486B-954B-97C73A216A23}" sibTransId="{604FF354-A7C5-4B0B-8AF1-CDDA2EB4078F}"/>
    <dgm:cxn modelId="{03C2721A-D175-4AF1-A4E9-0B713695E226}" srcId="{301E64B8-39B4-4396-A527-9B61FD10CF54}" destId="{E4C9B65C-B279-4F95-AFE0-538BDFA859A9}" srcOrd="0" destOrd="0" parTransId="{A1A0D560-A7BC-484A-B431-37D9B145C010}" sibTransId="{7C4DCAA1-F20D-4765-8C01-18D432E8E739}"/>
    <dgm:cxn modelId="{4AE170D9-1B61-4030-A569-D8AC36896AF3}" type="presOf" srcId="{763A5916-941D-49F5-8207-AE0F66AD195E}" destId="{5420FED8-DE7E-4E56-B975-623E61913690}" srcOrd="1" destOrd="0" presId="urn:microsoft.com/office/officeart/2005/8/layout/orgChart1"/>
    <dgm:cxn modelId="{0199B212-AD6A-4CD8-87B8-092D00748EAF}" type="presOf" srcId="{E8CBD6DC-7A40-45BE-9566-3D0550C096BD}" destId="{98733A14-C7FC-451A-B2A2-71A40E0D7780}" srcOrd="0" destOrd="0" presId="urn:microsoft.com/office/officeart/2005/8/layout/orgChart1"/>
    <dgm:cxn modelId="{150A3CBD-4D48-4374-ADDD-560CF1A3D2C1}" type="presOf" srcId="{1B79F8CC-279F-48BE-9ED8-2FDF818E21B7}" destId="{995E6A14-6F89-46F8-8ACD-B7BA479189DD}" srcOrd="0" destOrd="0" presId="urn:microsoft.com/office/officeart/2005/8/layout/orgChart1"/>
    <dgm:cxn modelId="{5A0E4F9C-C972-449F-BE96-2C82D4979C6E}" type="presOf" srcId="{BB34BA75-9308-4B76-B379-A73226106CF8}" destId="{0314A2D6-A8C5-4190-AC3F-78A356796FC8}" srcOrd="1" destOrd="0" presId="urn:microsoft.com/office/officeart/2005/8/layout/orgChart1"/>
    <dgm:cxn modelId="{B6600C60-FD2D-4903-A51F-C5CAE7CCC16D}" type="presOf" srcId="{90F376C3-9AAC-4902-BC67-05889A512BA2}" destId="{4587CF98-963F-4EAD-A6A3-349C7BB50756}" srcOrd="1" destOrd="0" presId="urn:microsoft.com/office/officeart/2005/8/layout/orgChart1"/>
    <dgm:cxn modelId="{8A82ACAD-8493-47CE-89E1-57253606CF54}" type="presOf" srcId="{D6E25A3A-E625-43BD-B5B2-425912B5C756}" destId="{1072C591-10FB-41C2-9664-A5D8F6D6429A}" srcOrd="0" destOrd="0" presId="urn:microsoft.com/office/officeart/2005/8/layout/orgChart1"/>
    <dgm:cxn modelId="{259650CB-9853-4910-A9C2-D6FD791CF3A3}" type="presOf" srcId="{EB5C0CFA-EBBC-4D70-B4E7-8751D9509844}" destId="{84CCA72B-79EF-419F-9C28-944F3FBCDE1D}" srcOrd="1" destOrd="0" presId="urn:microsoft.com/office/officeart/2005/8/layout/orgChart1"/>
    <dgm:cxn modelId="{8F92E53C-09E6-46F8-8375-ECEFFCE4A1E5}" srcId="{0AE62266-9712-4A54-99E7-D6D25B3B7B94}" destId="{301E64B8-39B4-4396-A527-9B61FD10CF54}" srcOrd="1" destOrd="0" parTransId="{1B79F8CC-279F-48BE-9ED8-2FDF818E21B7}" sibTransId="{372251C2-80EF-4E00-9913-A1EB8ACFCCFE}"/>
    <dgm:cxn modelId="{9042729C-7FA5-4146-8AD9-2E0446510B41}" srcId="{E8CBD6DC-7A40-45BE-9566-3D0550C096BD}" destId="{0AE62266-9712-4A54-99E7-D6D25B3B7B94}" srcOrd="0" destOrd="0" parTransId="{30447580-DFB0-4BE9-9A4B-21579468035A}" sibTransId="{8DB91790-4762-4F50-AB49-EC0C5EE14080}"/>
    <dgm:cxn modelId="{A422544D-285B-4CCE-98AB-06E5CECE57BA}" type="presOf" srcId="{EB5C0CFA-EBBC-4D70-B4E7-8751D9509844}" destId="{C4735F20-816D-4C82-B4EB-26E2E42C31CD}" srcOrd="0" destOrd="0" presId="urn:microsoft.com/office/officeart/2005/8/layout/orgChart1"/>
    <dgm:cxn modelId="{56B2A161-419B-4F7C-9386-C41C8909170E}" type="presOf" srcId="{BBFEEF4F-550F-486B-954B-97C73A216A23}" destId="{D5E827CC-54F9-448D-8124-D088DE3EBD54}" srcOrd="0" destOrd="0" presId="urn:microsoft.com/office/officeart/2005/8/layout/orgChart1"/>
    <dgm:cxn modelId="{F3025259-E710-4EA2-8882-207C7FF9CC10}" type="presOf" srcId="{E4BCC516-C6F5-47C5-BC29-09DAF172CF4D}" destId="{3A88F432-26B5-4AB2-B1F0-0487F8BF0986}" srcOrd="0" destOrd="0" presId="urn:microsoft.com/office/officeart/2005/8/layout/orgChart1"/>
    <dgm:cxn modelId="{69D086FA-ECBF-4CF3-91C9-9DC23ECD34D5}" srcId="{301E64B8-39B4-4396-A527-9B61FD10CF54}" destId="{90F376C3-9AAC-4902-BC67-05889A512BA2}" srcOrd="1" destOrd="0" parTransId="{394C4B62-932A-4648-BD7E-43AB3057B6AB}" sibTransId="{1305E7E9-E286-41D2-B4D8-8BD033A52022}"/>
    <dgm:cxn modelId="{6EE4C562-5931-42ED-B4CE-EB35B2882791}" type="presOf" srcId="{0AE62266-9712-4A54-99E7-D6D25B3B7B94}" destId="{E8FA2FE7-24D8-46BD-A433-4FDF9CE37480}" srcOrd="0" destOrd="0" presId="urn:microsoft.com/office/officeart/2005/8/layout/orgChart1"/>
    <dgm:cxn modelId="{46A38148-71CB-42DF-AFEF-E810AE88748B}" type="presOf" srcId="{301E64B8-39B4-4396-A527-9B61FD10CF54}" destId="{4E64C961-7E6E-4014-A852-A6700B31A161}" srcOrd="0" destOrd="0" presId="urn:microsoft.com/office/officeart/2005/8/layout/orgChart1"/>
    <dgm:cxn modelId="{B47454D6-94A1-4E76-9D65-10A5826EE9DB}" type="presOf" srcId="{19245685-2154-41D7-A69E-97AD70A544D3}" destId="{2E7AAB54-C126-41F3-B5EC-33272BD32BAD}" srcOrd="0" destOrd="0" presId="urn:microsoft.com/office/officeart/2005/8/layout/orgChart1"/>
    <dgm:cxn modelId="{96DA5B8F-3030-4FDC-9550-CB30709C741E}" type="presOf" srcId="{E4C9B65C-B279-4F95-AFE0-538BDFA859A9}" destId="{BCCC97B1-9644-4E48-9EE8-7932A9DE3531}" srcOrd="1" destOrd="0" presId="urn:microsoft.com/office/officeart/2005/8/layout/orgChart1"/>
    <dgm:cxn modelId="{134A3423-077F-45C5-995F-A7D2745C0D67}" type="presOf" srcId="{0AE62266-9712-4A54-99E7-D6D25B3B7B94}" destId="{4EF46396-39DD-4CC6-BEFF-20B812CA32B6}" srcOrd="1" destOrd="0" presId="urn:microsoft.com/office/officeart/2005/8/layout/orgChart1"/>
    <dgm:cxn modelId="{A36146AE-8383-4CCA-A18D-AAE76D6B3FF0}" type="presOf" srcId="{394C4B62-932A-4648-BD7E-43AB3057B6AB}" destId="{3D4C039E-84EA-4E24-AF06-00C706250A3E}" srcOrd="0" destOrd="0" presId="urn:microsoft.com/office/officeart/2005/8/layout/orgChart1"/>
    <dgm:cxn modelId="{818A2581-C7E0-4148-9CAF-7FF8CE7B4D95}" type="presOf" srcId="{F7D3E400-BF14-4385-829B-671BF83B4835}" destId="{777D96EE-1A88-4FA2-A95A-9B1E335CBB78}" srcOrd="0" destOrd="0" presId="urn:microsoft.com/office/officeart/2005/8/layout/orgChart1"/>
    <dgm:cxn modelId="{1DEA243B-F894-43B2-960E-10EBDFBDC820}" type="presOf" srcId="{E4C9B65C-B279-4F95-AFE0-538BDFA859A9}" destId="{AE67E5B2-9EF2-46F7-894F-44F501080542}" srcOrd="0" destOrd="0" presId="urn:microsoft.com/office/officeart/2005/8/layout/orgChart1"/>
    <dgm:cxn modelId="{A3A8FD9B-F930-4EB9-876D-65A5D7AF6779}" type="presOf" srcId="{FF19738B-466B-4C78-BB77-051D4C8C9E27}" destId="{195A2ECE-4B8A-410C-99DA-F96F32EBC001}" srcOrd="0" destOrd="0" presId="urn:microsoft.com/office/officeart/2005/8/layout/orgChart1"/>
    <dgm:cxn modelId="{6400FEBB-0792-4BF8-B768-D58B2838BD0E}" srcId="{E4BCC516-C6F5-47C5-BC29-09DAF172CF4D}" destId="{763A5916-941D-49F5-8207-AE0F66AD195E}" srcOrd="0" destOrd="0" parTransId="{E8225444-9B37-43CB-8EC6-22F09511ABC4}" sibTransId="{F1593377-FD58-491F-BB08-0359C9B7EFDE}"/>
    <dgm:cxn modelId="{4D2BF203-F2EE-441A-9F77-E945172E32C9}" srcId="{0AE62266-9712-4A54-99E7-D6D25B3B7B94}" destId="{EB5C0CFA-EBBC-4D70-B4E7-8751D9509844}" srcOrd="0" destOrd="0" parTransId="{1130D01C-9A5A-4426-9579-5BBCA8611E7D}" sibTransId="{03ED1203-DBAE-493F-8110-AFB60DD57B0D}"/>
    <dgm:cxn modelId="{EBC44262-90E0-4131-B3DD-6C1777A82AC1}" type="presOf" srcId="{1130D01C-9A5A-4426-9579-5BBCA8611E7D}" destId="{FE8C6490-965D-4B30-822A-B907BEC49898}" srcOrd="0" destOrd="0" presId="urn:microsoft.com/office/officeart/2005/8/layout/orgChart1"/>
    <dgm:cxn modelId="{5714EB2F-5530-4346-9E39-D1FA27082B67}" type="presOf" srcId="{FF19738B-466B-4C78-BB77-051D4C8C9E27}" destId="{1BD80C56-2413-49BF-A489-72CDC0A0A64C}" srcOrd="1" destOrd="0" presId="urn:microsoft.com/office/officeart/2005/8/layout/orgChart1"/>
    <dgm:cxn modelId="{CC1B7FF4-6295-499F-AF3C-7787962909BD}" type="presOf" srcId="{90F376C3-9AAC-4902-BC67-05889A512BA2}" destId="{487BCCA5-C136-4B8E-89A0-5EC3D0C0B919}" srcOrd="0" destOrd="0" presId="urn:microsoft.com/office/officeart/2005/8/layout/orgChart1"/>
    <dgm:cxn modelId="{53BD15F1-2FA9-4ECF-A567-DE366E275BE9}" type="presParOf" srcId="{98733A14-C7FC-451A-B2A2-71A40E0D7780}" destId="{1DE65B2C-940F-45FB-98E3-C93D111B5A94}" srcOrd="0" destOrd="0" presId="urn:microsoft.com/office/officeart/2005/8/layout/orgChart1"/>
    <dgm:cxn modelId="{F9E71AA2-5661-4EB6-B005-950F5559B21B}" type="presParOf" srcId="{1DE65B2C-940F-45FB-98E3-C93D111B5A94}" destId="{740A484C-87DA-499A-94EE-2F1CB7403BC1}" srcOrd="0" destOrd="0" presId="urn:microsoft.com/office/officeart/2005/8/layout/orgChart1"/>
    <dgm:cxn modelId="{21084ACB-F5EF-4982-8023-44FDD95FE9A0}" type="presParOf" srcId="{740A484C-87DA-499A-94EE-2F1CB7403BC1}" destId="{E8FA2FE7-24D8-46BD-A433-4FDF9CE37480}" srcOrd="0" destOrd="0" presId="urn:microsoft.com/office/officeart/2005/8/layout/orgChart1"/>
    <dgm:cxn modelId="{CDBD7B58-DD95-4057-9286-3B5BED637E71}" type="presParOf" srcId="{740A484C-87DA-499A-94EE-2F1CB7403BC1}" destId="{4EF46396-39DD-4CC6-BEFF-20B812CA32B6}" srcOrd="1" destOrd="0" presId="urn:microsoft.com/office/officeart/2005/8/layout/orgChart1"/>
    <dgm:cxn modelId="{17F50C86-E2BE-4A24-AD10-48B5BB43F32C}" type="presParOf" srcId="{1DE65B2C-940F-45FB-98E3-C93D111B5A94}" destId="{8195337F-FA60-4B74-A54D-EF08DAC3E2D2}" srcOrd="1" destOrd="0" presId="urn:microsoft.com/office/officeart/2005/8/layout/orgChart1"/>
    <dgm:cxn modelId="{6AE76976-917C-4F9A-A6B6-F15F688A304B}" type="presParOf" srcId="{8195337F-FA60-4B74-A54D-EF08DAC3E2D2}" destId="{995E6A14-6F89-46F8-8ACD-B7BA479189DD}" srcOrd="0" destOrd="0" presId="urn:microsoft.com/office/officeart/2005/8/layout/orgChart1"/>
    <dgm:cxn modelId="{F7736EB9-7F4E-49FD-9232-5AB7F0B30ED9}" type="presParOf" srcId="{8195337F-FA60-4B74-A54D-EF08DAC3E2D2}" destId="{83C3D8E7-2A56-4EE3-9679-926BF404B5A5}" srcOrd="1" destOrd="0" presId="urn:microsoft.com/office/officeart/2005/8/layout/orgChart1"/>
    <dgm:cxn modelId="{EA3C12ED-DAB6-466A-B5B8-7E0462D8ECA6}" type="presParOf" srcId="{83C3D8E7-2A56-4EE3-9679-926BF404B5A5}" destId="{AF44CF50-E684-49B4-BABA-A550A556372F}" srcOrd="0" destOrd="0" presId="urn:microsoft.com/office/officeart/2005/8/layout/orgChart1"/>
    <dgm:cxn modelId="{7F11A4DE-A9E3-4E2C-A550-BDDA91E0C2B7}" type="presParOf" srcId="{AF44CF50-E684-49B4-BABA-A550A556372F}" destId="{4E64C961-7E6E-4014-A852-A6700B31A161}" srcOrd="0" destOrd="0" presId="urn:microsoft.com/office/officeart/2005/8/layout/orgChart1"/>
    <dgm:cxn modelId="{27EA3CFD-9B2A-4036-B195-E937A5B71DDA}" type="presParOf" srcId="{AF44CF50-E684-49B4-BABA-A550A556372F}" destId="{81953AB4-EC7C-4EFA-88CD-53BBCC803B68}" srcOrd="1" destOrd="0" presId="urn:microsoft.com/office/officeart/2005/8/layout/orgChart1"/>
    <dgm:cxn modelId="{607BFA59-FF89-412E-AA36-F483C8ECA6D5}" type="presParOf" srcId="{83C3D8E7-2A56-4EE3-9679-926BF404B5A5}" destId="{EE235210-AD81-4E67-8778-86B51FD7CFC9}" srcOrd="1" destOrd="0" presId="urn:microsoft.com/office/officeart/2005/8/layout/orgChart1"/>
    <dgm:cxn modelId="{277DB020-164F-4C23-B8CF-4D47B3CC7A46}" type="presParOf" srcId="{EE235210-AD81-4E67-8778-86B51FD7CFC9}" destId="{3D4C039E-84EA-4E24-AF06-00C706250A3E}" srcOrd="0" destOrd="0" presId="urn:microsoft.com/office/officeart/2005/8/layout/orgChart1"/>
    <dgm:cxn modelId="{7648FD35-1427-4CB5-AB98-8DBDB4951313}" type="presParOf" srcId="{EE235210-AD81-4E67-8778-86B51FD7CFC9}" destId="{FA8F604A-2CC1-47AA-8836-ECD17A32D9D4}" srcOrd="1" destOrd="0" presId="urn:microsoft.com/office/officeart/2005/8/layout/orgChart1"/>
    <dgm:cxn modelId="{F591FF7A-CD42-4FD1-9DBD-34912EAE1C45}" type="presParOf" srcId="{FA8F604A-2CC1-47AA-8836-ECD17A32D9D4}" destId="{79D8091C-C62F-46E7-9B73-3F19B9E3C7AE}" srcOrd="0" destOrd="0" presId="urn:microsoft.com/office/officeart/2005/8/layout/orgChart1"/>
    <dgm:cxn modelId="{B8A608AC-682F-41E2-BC4A-B402AE96E0B4}" type="presParOf" srcId="{79D8091C-C62F-46E7-9B73-3F19B9E3C7AE}" destId="{487BCCA5-C136-4B8E-89A0-5EC3D0C0B919}" srcOrd="0" destOrd="0" presId="urn:microsoft.com/office/officeart/2005/8/layout/orgChart1"/>
    <dgm:cxn modelId="{B4942EC5-C58C-46A4-93CF-499BCAFBB886}" type="presParOf" srcId="{79D8091C-C62F-46E7-9B73-3F19B9E3C7AE}" destId="{4587CF98-963F-4EAD-A6A3-349C7BB50756}" srcOrd="1" destOrd="0" presId="urn:microsoft.com/office/officeart/2005/8/layout/orgChart1"/>
    <dgm:cxn modelId="{9943721A-763D-4D2B-A6B1-B6702CBD8540}" type="presParOf" srcId="{FA8F604A-2CC1-47AA-8836-ECD17A32D9D4}" destId="{ABE16F30-3D7C-47F1-93FF-C90B4D1B91EC}" srcOrd="1" destOrd="0" presId="urn:microsoft.com/office/officeart/2005/8/layout/orgChart1"/>
    <dgm:cxn modelId="{F57BC5E5-FEC6-4326-BAFE-EEE694F36D1F}" type="presParOf" srcId="{ABE16F30-3D7C-47F1-93FF-C90B4D1B91EC}" destId="{D5E827CC-54F9-448D-8124-D088DE3EBD54}" srcOrd="0" destOrd="0" presId="urn:microsoft.com/office/officeart/2005/8/layout/orgChart1"/>
    <dgm:cxn modelId="{FE267073-A36B-40E4-9F7F-F40F8CECEACE}" type="presParOf" srcId="{ABE16F30-3D7C-47F1-93FF-C90B4D1B91EC}" destId="{846337AB-D722-4132-B265-9F2255A42B86}" srcOrd="1" destOrd="0" presId="urn:microsoft.com/office/officeart/2005/8/layout/orgChart1"/>
    <dgm:cxn modelId="{83044398-EE21-40BD-B0AC-86AB32116333}" type="presParOf" srcId="{846337AB-D722-4132-B265-9F2255A42B86}" destId="{E0799F9B-24C0-43EC-B1AF-A8CF719BA5C8}" srcOrd="0" destOrd="0" presId="urn:microsoft.com/office/officeart/2005/8/layout/orgChart1"/>
    <dgm:cxn modelId="{5EB2ABC4-63DB-461B-BB3C-1AF8E7FE4B50}" type="presParOf" srcId="{E0799F9B-24C0-43EC-B1AF-A8CF719BA5C8}" destId="{3A88F432-26B5-4AB2-B1F0-0487F8BF0986}" srcOrd="0" destOrd="0" presId="urn:microsoft.com/office/officeart/2005/8/layout/orgChart1"/>
    <dgm:cxn modelId="{4DDC5EEA-28C7-4E02-BE82-8C036A415C3A}" type="presParOf" srcId="{E0799F9B-24C0-43EC-B1AF-A8CF719BA5C8}" destId="{AF35FB99-00E9-4583-BBAE-0DCF9D1E89CB}" srcOrd="1" destOrd="0" presId="urn:microsoft.com/office/officeart/2005/8/layout/orgChart1"/>
    <dgm:cxn modelId="{A2AD39F5-7614-4F0D-8D05-02018EF3E0BE}" type="presParOf" srcId="{846337AB-D722-4132-B265-9F2255A42B86}" destId="{8B17D00E-E3DC-433D-A1FF-45DE60384FB8}" srcOrd="1" destOrd="0" presId="urn:microsoft.com/office/officeart/2005/8/layout/orgChart1"/>
    <dgm:cxn modelId="{1AE73B5D-9EF2-4442-8C55-41E10D74E3BE}" type="presParOf" srcId="{8B17D00E-E3DC-433D-A1FF-45DE60384FB8}" destId="{940E8298-866F-4E0F-A050-78261C5B7D04}" srcOrd="0" destOrd="0" presId="urn:microsoft.com/office/officeart/2005/8/layout/orgChart1"/>
    <dgm:cxn modelId="{9956F73E-0900-4E9A-B259-B4E05142CFF1}" type="presParOf" srcId="{8B17D00E-E3DC-433D-A1FF-45DE60384FB8}" destId="{F365DE3F-8199-470D-9146-3AD00394F453}" srcOrd="1" destOrd="0" presId="urn:microsoft.com/office/officeart/2005/8/layout/orgChart1"/>
    <dgm:cxn modelId="{AB29D3DE-6950-4FB7-B77E-2689CDCB3A04}" type="presParOf" srcId="{F365DE3F-8199-470D-9146-3AD00394F453}" destId="{EAD8210D-17C2-4802-ADA4-2AD12E089FA9}" srcOrd="0" destOrd="0" presId="urn:microsoft.com/office/officeart/2005/8/layout/orgChart1"/>
    <dgm:cxn modelId="{B3BD3E46-D215-4505-BAD0-35B7BAE2FB67}" type="presParOf" srcId="{EAD8210D-17C2-4802-ADA4-2AD12E089FA9}" destId="{344DFFE7-89D7-417B-B10E-6D6DB20E66A3}" srcOrd="0" destOrd="0" presId="urn:microsoft.com/office/officeart/2005/8/layout/orgChart1"/>
    <dgm:cxn modelId="{BF97C6D4-E7F1-4754-9056-B6AB1DA08390}" type="presParOf" srcId="{EAD8210D-17C2-4802-ADA4-2AD12E089FA9}" destId="{5420FED8-DE7E-4E56-B975-623E61913690}" srcOrd="1" destOrd="0" presId="urn:microsoft.com/office/officeart/2005/8/layout/orgChart1"/>
    <dgm:cxn modelId="{1B1F993D-5DC3-46BA-9A82-BBD5756226CD}" type="presParOf" srcId="{F365DE3F-8199-470D-9146-3AD00394F453}" destId="{ED37BEE5-3DEF-421B-AFB7-C4F15A987470}" srcOrd="1" destOrd="0" presId="urn:microsoft.com/office/officeart/2005/8/layout/orgChart1"/>
    <dgm:cxn modelId="{1ABD0A41-F6B7-4172-9212-1D38E32901CD}" type="presParOf" srcId="{ED37BEE5-3DEF-421B-AFB7-C4F15A987470}" destId="{777D96EE-1A88-4FA2-A95A-9B1E335CBB78}" srcOrd="0" destOrd="0" presId="urn:microsoft.com/office/officeart/2005/8/layout/orgChart1"/>
    <dgm:cxn modelId="{A744A986-A656-4AB1-AADF-08F061A9957B}" type="presParOf" srcId="{ED37BEE5-3DEF-421B-AFB7-C4F15A987470}" destId="{2F0E8E27-E3FD-4176-BCFC-2B8B38D0D52F}" srcOrd="1" destOrd="0" presId="urn:microsoft.com/office/officeart/2005/8/layout/orgChart1"/>
    <dgm:cxn modelId="{96211F87-A37D-41A0-A067-52ABD45F0C00}" type="presParOf" srcId="{2F0E8E27-E3FD-4176-BCFC-2B8B38D0D52F}" destId="{BBB9A79F-844C-4149-A7AA-E782CBD86028}" srcOrd="0" destOrd="0" presId="urn:microsoft.com/office/officeart/2005/8/layout/orgChart1"/>
    <dgm:cxn modelId="{AF618135-6621-42AC-A71E-1C17A54AA12A}" type="presParOf" srcId="{BBB9A79F-844C-4149-A7AA-E782CBD86028}" destId="{195A2ECE-4B8A-410C-99DA-F96F32EBC001}" srcOrd="0" destOrd="0" presId="urn:microsoft.com/office/officeart/2005/8/layout/orgChart1"/>
    <dgm:cxn modelId="{FFBCE305-7B3D-4D77-B651-FA8EE7F33A41}" type="presParOf" srcId="{BBB9A79F-844C-4149-A7AA-E782CBD86028}" destId="{1BD80C56-2413-49BF-A489-72CDC0A0A64C}" srcOrd="1" destOrd="0" presId="urn:microsoft.com/office/officeart/2005/8/layout/orgChart1"/>
    <dgm:cxn modelId="{ED784DC9-3584-4A10-A499-B422A485FBCD}" type="presParOf" srcId="{2F0E8E27-E3FD-4176-BCFC-2B8B38D0D52F}" destId="{1922755B-F5BC-40C2-BF92-5C5E5E1AF471}" srcOrd="1" destOrd="0" presId="urn:microsoft.com/office/officeart/2005/8/layout/orgChart1"/>
    <dgm:cxn modelId="{AEB1BB63-F35C-4C70-A30C-718EFFC34F02}" type="presParOf" srcId="{2F0E8E27-E3FD-4176-BCFC-2B8B38D0D52F}" destId="{0CD7DAF8-A1D0-4C1C-89E1-167630CB320B}" srcOrd="2" destOrd="0" presId="urn:microsoft.com/office/officeart/2005/8/layout/orgChart1"/>
    <dgm:cxn modelId="{01D7A709-749B-4B5E-804E-775213C09378}" type="presParOf" srcId="{F365DE3F-8199-470D-9146-3AD00394F453}" destId="{BC73CEE3-048F-4D95-8669-78D48376C826}" srcOrd="2" destOrd="0" presId="urn:microsoft.com/office/officeart/2005/8/layout/orgChart1"/>
    <dgm:cxn modelId="{CDEF15C7-905D-4D6D-A08D-5194F29A257C}" type="presParOf" srcId="{846337AB-D722-4132-B265-9F2255A42B86}" destId="{062B8407-3C27-48E2-AAA2-B95364442CEA}" srcOrd="2" destOrd="0" presId="urn:microsoft.com/office/officeart/2005/8/layout/orgChart1"/>
    <dgm:cxn modelId="{2F89178A-B1D1-4736-B0BE-338EEAE0AD63}" type="presParOf" srcId="{FA8F604A-2CC1-47AA-8836-ECD17A32D9D4}" destId="{0B7AAEE0-F380-4257-965C-7663265D7279}" srcOrd="2" destOrd="0" presId="urn:microsoft.com/office/officeart/2005/8/layout/orgChart1"/>
    <dgm:cxn modelId="{2DB6BCCD-2715-42AD-A5F7-2CFA3DC7F90A}" type="presParOf" srcId="{0B7AAEE0-F380-4257-965C-7663265D7279}" destId="{2E7AAB54-C126-41F3-B5EC-33272BD32BAD}" srcOrd="0" destOrd="0" presId="urn:microsoft.com/office/officeart/2005/8/layout/orgChart1"/>
    <dgm:cxn modelId="{70676100-A581-475E-B96C-919EB8687BAE}" type="presParOf" srcId="{0B7AAEE0-F380-4257-965C-7663265D7279}" destId="{46075A9D-D05A-4965-AEBC-B9F12FAD8BEF}" srcOrd="1" destOrd="0" presId="urn:microsoft.com/office/officeart/2005/8/layout/orgChart1"/>
    <dgm:cxn modelId="{F3140374-9735-4D79-9F2A-B542B9C96DD1}" type="presParOf" srcId="{46075A9D-D05A-4965-AEBC-B9F12FAD8BEF}" destId="{6661DB9B-8E1F-4013-A627-40D96120B270}" srcOrd="0" destOrd="0" presId="urn:microsoft.com/office/officeart/2005/8/layout/orgChart1"/>
    <dgm:cxn modelId="{5FD0C50E-872A-4DAE-91EB-5BE5F3420198}" type="presParOf" srcId="{6661DB9B-8E1F-4013-A627-40D96120B270}" destId="{1072C591-10FB-41C2-9664-A5D8F6D6429A}" srcOrd="0" destOrd="0" presId="urn:microsoft.com/office/officeart/2005/8/layout/orgChart1"/>
    <dgm:cxn modelId="{1B006718-EDB1-491D-99E1-2337D42796B5}" type="presParOf" srcId="{6661DB9B-8E1F-4013-A627-40D96120B270}" destId="{7B7EAD0B-D822-4B6B-86B7-188DD79C2BDA}" srcOrd="1" destOrd="0" presId="urn:microsoft.com/office/officeart/2005/8/layout/orgChart1"/>
    <dgm:cxn modelId="{410EEDC2-0F7C-4A57-85AD-7848757C9CB1}" type="presParOf" srcId="{46075A9D-D05A-4965-AEBC-B9F12FAD8BEF}" destId="{CC6016DF-CC1B-4001-9E7D-705A8505BBD9}" srcOrd="1" destOrd="0" presId="urn:microsoft.com/office/officeart/2005/8/layout/orgChart1"/>
    <dgm:cxn modelId="{114E5400-FB2B-46DE-88E8-54CA0786FC9A}" type="presParOf" srcId="{46075A9D-D05A-4965-AEBC-B9F12FAD8BEF}" destId="{BAE1AAEA-46AF-4AC8-BA87-1BF1CF8DCE1F}" srcOrd="2" destOrd="0" presId="urn:microsoft.com/office/officeart/2005/8/layout/orgChart1"/>
    <dgm:cxn modelId="{4F3378E5-F22D-41EF-9F86-3EF30FEFC08E}" type="presParOf" srcId="{83C3D8E7-2A56-4EE3-9679-926BF404B5A5}" destId="{A56DEFEA-83ED-4F21-8EDC-AA7F9102A602}" srcOrd="2" destOrd="0" presId="urn:microsoft.com/office/officeart/2005/8/layout/orgChart1"/>
    <dgm:cxn modelId="{3790F98C-5FD8-411C-AB0A-70C17C13F855}" type="presParOf" srcId="{A56DEFEA-83ED-4F21-8EDC-AA7F9102A602}" destId="{9011BDC4-1E1E-485A-8900-AE9DB131985E}" srcOrd="0" destOrd="0" presId="urn:microsoft.com/office/officeart/2005/8/layout/orgChart1"/>
    <dgm:cxn modelId="{49DAE534-CEB1-42E4-8B98-D54D4C71FC55}" type="presParOf" srcId="{A56DEFEA-83ED-4F21-8EDC-AA7F9102A602}" destId="{C5539F09-D281-4604-AC51-02A7B51EEF98}" srcOrd="1" destOrd="0" presId="urn:microsoft.com/office/officeart/2005/8/layout/orgChart1"/>
    <dgm:cxn modelId="{BBDC8ABE-D73F-4211-879C-5C8977286AB1}" type="presParOf" srcId="{C5539F09-D281-4604-AC51-02A7B51EEF98}" destId="{2A4D8880-6724-44DA-B5CC-F16F5D27E503}" srcOrd="0" destOrd="0" presId="urn:microsoft.com/office/officeart/2005/8/layout/orgChart1"/>
    <dgm:cxn modelId="{1BCE09F3-104B-4FDB-B0E6-0F795686C8F5}" type="presParOf" srcId="{2A4D8880-6724-44DA-B5CC-F16F5D27E503}" destId="{AE67E5B2-9EF2-46F7-894F-44F501080542}" srcOrd="0" destOrd="0" presId="urn:microsoft.com/office/officeart/2005/8/layout/orgChart1"/>
    <dgm:cxn modelId="{23475B7C-D9A6-4B86-8ECC-975E7395A5C0}" type="presParOf" srcId="{2A4D8880-6724-44DA-B5CC-F16F5D27E503}" destId="{BCCC97B1-9644-4E48-9EE8-7932A9DE3531}" srcOrd="1" destOrd="0" presId="urn:microsoft.com/office/officeart/2005/8/layout/orgChart1"/>
    <dgm:cxn modelId="{0FB9E745-0706-4035-BCA7-509A20ED76B1}" type="presParOf" srcId="{C5539F09-D281-4604-AC51-02A7B51EEF98}" destId="{F4474A49-BE85-479B-A348-E3135E6671CD}" srcOrd="1" destOrd="0" presId="urn:microsoft.com/office/officeart/2005/8/layout/orgChart1"/>
    <dgm:cxn modelId="{14AD6201-6408-4A1E-B7B0-D71E4EACB72A}" type="presParOf" srcId="{C5539F09-D281-4604-AC51-02A7B51EEF98}" destId="{C9C73A06-BFC6-4DC8-BAA7-A8E496545068}" srcOrd="2" destOrd="0" presId="urn:microsoft.com/office/officeart/2005/8/layout/orgChart1"/>
    <dgm:cxn modelId="{71911ABB-45E7-4C45-BF98-0F124C9FCBE5}" type="presParOf" srcId="{1DE65B2C-940F-45FB-98E3-C93D111B5A94}" destId="{4CF72E73-38F6-46F0-948F-AE28A30DA7F9}" srcOrd="2" destOrd="0" presId="urn:microsoft.com/office/officeart/2005/8/layout/orgChart1"/>
    <dgm:cxn modelId="{D9449796-CAF8-44EA-AFC8-9CD60EC2B562}" type="presParOf" srcId="{4CF72E73-38F6-46F0-948F-AE28A30DA7F9}" destId="{FE8C6490-965D-4B30-822A-B907BEC49898}" srcOrd="0" destOrd="0" presId="urn:microsoft.com/office/officeart/2005/8/layout/orgChart1"/>
    <dgm:cxn modelId="{CE37B089-5067-469D-93D3-3A93B8235E1C}" type="presParOf" srcId="{4CF72E73-38F6-46F0-948F-AE28A30DA7F9}" destId="{2108B084-A2BE-493F-84EB-45DE78C3F9FD}" srcOrd="1" destOrd="0" presId="urn:microsoft.com/office/officeart/2005/8/layout/orgChart1"/>
    <dgm:cxn modelId="{E2811A50-FADE-489B-968D-E345F705AEFF}" type="presParOf" srcId="{2108B084-A2BE-493F-84EB-45DE78C3F9FD}" destId="{331FB6A6-B6DE-4856-BEAA-5494C1E76D26}" srcOrd="0" destOrd="0" presId="urn:microsoft.com/office/officeart/2005/8/layout/orgChart1"/>
    <dgm:cxn modelId="{B47FE828-6165-4F20-A9DF-7011DEE6517E}" type="presParOf" srcId="{331FB6A6-B6DE-4856-BEAA-5494C1E76D26}" destId="{C4735F20-816D-4C82-B4EB-26E2E42C31CD}" srcOrd="0" destOrd="0" presId="urn:microsoft.com/office/officeart/2005/8/layout/orgChart1"/>
    <dgm:cxn modelId="{FCD26428-00AA-48FC-A1EB-AE832C72914C}" type="presParOf" srcId="{331FB6A6-B6DE-4856-BEAA-5494C1E76D26}" destId="{84CCA72B-79EF-419F-9C28-944F3FBCDE1D}" srcOrd="1" destOrd="0" presId="urn:microsoft.com/office/officeart/2005/8/layout/orgChart1"/>
    <dgm:cxn modelId="{FA0A756F-786A-46AD-8BF8-909D325ABE55}" type="presParOf" srcId="{2108B084-A2BE-493F-84EB-45DE78C3F9FD}" destId="{74EC7A35-21B5-4A69-97EB-591BD7DA8184}" srcOrd="1" destOrd="0" presId="urn:microsoft.com/office/officeart/2005/8/layout/orgChart1"/>
    <dgm:cxn modelId="{F08201BC-E0ED-47FB-8FFB-E0D8F8B6E308}" type="presParOf" srcId="{2108B084-A2BE-493F-84EB-45DE78C3F9FD}" destId="{EDF8FF80-337F-4D59-A593-55BB0CDB8837}" srcOrd="2" destOrd="0" presId="urn:microsoft.com/office/officeart/2005/8/layout/orgChart1"/>
    <dgm:cxn modelId="{0E2795DA-9802-4793-B8D0-4176BEF8F0D0}" type="presParOf" srcId="{4CF72E73-38F6-46F0-948F-AE28A30DA7F9}" destId="{3C39004C-738D-460F-B7B2-0A803613B313}" srcOrd="2" destOrd="0" presId="urn:microsoft.com/office/officeart/2005/8/layout/orgChart1"/>
    <dgm:cxn modelId="{4EE40A42-3FF6-40C5-90E8-3009B08163E3}" type="presParOf" srcId="{4CF72E73-38F6-46F0-948F-AE28A30DA7F9}" destId="{F4B8A865-CF43-4C3C-9F2E-15D38AAB1E9E}" srcOrd="3" destOrd="0" presId="urn:microsoft.com/office/officeart/2005/8/layout/orgChart1"/>
    <dgm:cxn modelId="{B2B385D3-FB5B-4988-BEFA-E927E2EEECC9}" type="presParOf" srcId="{F4B8A865-CF43-4C3C-9F2E-15D38AAB1E9E}" destId="{E4796E5D-22F6-4C9C-BA6A-7A0815D7C6F2}" srcOrd="0" destOrd="0" presId="urn:microsoft.com/office/officeart/2005/8/layout/orgChart1"/>
    <dgm:cxn modelId="{60C95379-5A91-41FA-901D-12B3FA8A9F4B}" type="presParOf" srcId="{E4796E5D-22F6-4C9C-BA6A-7A0815D7C6F2}" destId="{692D07F7-AFDD-4270-9F37-60201EE133DD}" srcOrd="0" destOrd="0" presId="urn:microsoft.com/office/officeart/2005/8/layout/orgChart1"/>
    <dgm:cxn modelId="{7516282A-EA6F-4193-92FF-BB7BE3510BC6}" type="presParOf" srcId="{E4796E5D-22F6-4C9C-BA6A-7A0815D7C6F2}" destId="{0314A2D6-A8C5-4190-AC3F-78A356796FC8}" srcOrd="1" destOrd="0" presId="urn:microsoft.com/office/officeart/2005/8/layout/orgChart1"/>
    <dgm:cxn modelId="{17AD3015-3526-4959-A8B1-7AB308C20867}" type="presParOf" srcId="{F4B8A865-CF43-4C3C-9F2E-15D38AAB1E9E}" destId="{BF8C440A-034C-4638-B92C-EDF369AAF862}" srcOrd="1" destOrd="0" presId="urn:microsoft.com/office/officeart/2005/8/layout/orgChart1"/>
    <dgm:cxn modelId="{F7420F45-8161-4939-9FB9-FE648324CB87}" type="presParOf" srcId="{F4B8A865-CF43-4C3C-9F2E-15D38AAB1E9E}" destId="{7A0B5693-04E0-4E0D-8E0A-D0673341D2C4}" srcOrd="2" destOrd="0" presId="urn:microsoft.com/office/officeart/2005/8/layout/orgChart1"/>
  </dgm:cxnLst>
  <dgm:bg/>
  <dgm:whole>
    <a:ln w="6350"/>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9004C-738D-460F-B7B2-0A803613B313}">
      <dsp:nvSpPr>
        <dsp:cNvPr id="0" name=""/>
        <dsp:cNvSpPr/>
      </dsp:nvSpPr>
      <dsp:spPr>
        <a:xfrm>
          <a:off x="2875328" y="682737"/>
          <a:ext cx="172302" cy="1419486"/>
        </a:xfrm>
        <a:custGeom>
          <a:avLst/>
          <a:gdLst/>
          <a:ahLst/>
          <a:cxnLst/>
          <a:rect l="0" t="0" r="0" b="0"/>
          <a:pathLst>
            <a:path>
              <a:moveTo>
                <a:pt x="153038" y="0"/>
              </a:moveTo>
              <a:lnTo>
                <a:pt x="153038" y="1260786"/>
              </a:lnTo>
              <a:lnTo>
                <a:pt x="0" y="1260786"/>
              </a:lnTo>
            </a:path>
          </a:pathLst>
        </a:custGeom>
        <a:noFill/>
        <a:ln w="635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FE8C6490-965D-4B30-822A-B907BEC49898}">
      <dsp:nvSpPr>
        <dsp:cNvPr id="0" name=""/>
        <dsp:cNvSpPr/>
      </dsp:nvSpPr>
      <dsp:spPr>
        <a:xfrm>
          <a:off x="2887485" y="682737"/>
          <a:ext cx="160145" cy="514820"/>
        </a:xfrm>
        <a:custGeom>
          <a:avLst/>
          <a:gdLst/>
          <a:ahLst/>
          <a:cxnLst/>
          <a:rect l="0" t="0" r="0" b="0"/>
          <a:pathLst>
            <a:path>
              <a:moveTo>
                <a:pt x="142241" y="0"/>
              </a:moveTo>
              <a:lnTo>
                <a:pt x="142241" y="457262"/>
              </a:lnTo>
              <a:lnTo>
                <a:pt x="0" y="457262"/>
              </a:lnTo>
            </a:path>
          </a:pathLst>
        </a:custGeom>
        <a:noFill/>
        <a:ln w="6350" cap="flat" cmpd="sng" algn="ctr">
          <a:solidFill>
            <a:sysClr val="windowText" lastClr="000000"/>
          </a:solidFill>
          <a:prstDash val="solid"/>
        </a:ln>
        <a:effectLst/>
      </dsp:spPr>
      <dsp:style>
        <a:lnRef idx="1">
          <a:schemeClr val="dk1"/>
        </a:lnRef>
        <a:fillRef idx="0">
          <a:schemeClr val="dk1"/>
        </a:fillRef>
        <a:effectRef idx="0">
          <a:schemeClr val="dk1"/>
        </a:effectRef>
        <a:fontRef idx="minor">
          <a:schemeClr val="tx1"/>
        </a:fontRef>
      </dsp:style>
    </dsp:sp>
    <dsp:sp modelId="{9011BDC4-1E1E-485A-8900-AE9DB131985E}">
      <dsp:nvSpPr>
        <dsp:cNvPr id="0" name=""/>
        <dsp:cNvSpPr/>
      </dsp:nvSpPr>
      <dsp:spPr>
        <a:xfrm>
          <a:off x="2871875" y="3294525"/>
          <a:ext cx="173944" cy="549117"/>
        </a:xfrm>
        <a:custGeom>
          <a:avLst/>
          <a:gdLst/>
          <a:ahLst/>
          <a:cxnLst/>
          <a:rect l="0" t="0" r="0" b="0"/>
          <a:pathLst>
            <a:path>
              <a:moveTo>
                <a:pt x="154497" y="0"/>
              </a:moveTo>
              <a:lnTo>
                <a:pt x="154497" y="487725"/>
              </a:lnTo>
              <a:lnTo>
                <a:pt x="0" y="487725"/>
              </a:lnTo>
            </a:path>
          </a:pathLst>
        </a:custGeom>
        <a:noFill/>
        <a:ln w="635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2E7AAB54-C126-41F3-B5EC-33272BD32BAD}">
      <dsp:nvSpPr>
        <dsp:cNvPr id="0" name=""/>
        <dsp:cNvSpPr/>
      </dsp:nvSpPr>
      <dsp:spPr>
        <a:xfrm>
          <a:off x="2845623" y="4912138"/>
          <a:ext cx="203536" cy="523474"/>
        </a:xfrm>
        <a:custGeom>
          <a:avLst/>
          <a:gdLst/>
          <a:ahLst/>
          <a:cxnLst/>
          <a:rect l="0" t="0" r="0" b="0"/>
          <a:pathLst>
            <a:path>
              <a:moveTo>
                <a:pt x="180780" y="0"/>
              </a:moveTo>
              <a:lnTo>
                <a:pt x="180780" y="464949"/>
              </a:lnTo>
              <a:lnTo>
                <a:pt x="0" y="464949"/>
              </a:lnTo>
            </a:path>
          </a:pathLst>
        </a:custGeom>
        <a:noFill/>
        <a:ln w="635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777D96EE-1A88-4FA2-A95A-9B1E335CBB78}">
      <dsp:nvSpPr>
        <dsp:cNvPr id="0" name=""/>
        <dsp:cNvSpPr/>
      </dsp:nvSpPr>
      <dsp:spPr>
        <a:xfrm>
          <a:off x="2055290" y="7750170"/>
          <a:ext cx="385305" cy="676211"/>
        </a:xfrm>
        <a:custGeom>
          <a:avLst/>
          <a:gdLst/>
          <a:ahLst/>
          <a:cxnLst/>
          <a:rect l="0" t="0" r="0" b="0"/>
          <a:pathLst>
            <a:path>
              <a:moveTo>
                <a:pt x="0" y="600610"/>
              </a:moveTo>
              <a:lnTo>
                <a:pt x="342227" y="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40E8298-866F-4E0F-A050-78261C5B7D04}">
      <dsp:nvSpPr>
        <dsp:cNvPr id="0" name=""/>
        <dsp:cNvSpPr/>
      </dsp:nvSpPr>
      <dsp:spPr>
        <a:xfrm>
          <a:off x="2998698" y="6555437"/>
          <a:ext cx="91440" cy="273851"/>
        </a:xfrm>
        <a:custGeom>
          <a:avLst/>
          <a:gdLst/>
          <a:ahLst/>
          <a:cxnLst/>
          <a:rect l="0" t="0" r="0" b="0"/>
          <a:pathLst>
            <a:path>
              <a:moveTo>
                <a:pt x="45720" y="0"/>
              </a:moveTo>
              <a:lnTo>
                <a:pt x="45720" y="111250"/>
              </a:lnTo>
              <a:lnTo>
                <a:pt x="48007" y="111250"/>
              </a:lnTo>
              <a:lnTo>
                <a:pt x="48007" y="243234"/>
              </a:lnTo>
            </a:path>
          </a:pathLst>
        </a:custGeom>
        <a:noFill/>
        <a:ln w="635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D5E827CC-54F9-448D-8124-D088DE3EBD54}">
      <dsp:nvSpPr>
        <dsp:cNvPr id="0" name=""/>
        <dsp:cNvSpPr/>
      </dsp:nvSpPr>
      <dsp:spPr>
        <a:xfrm>
          <a:off x="2998698" y="4912138"/>
          <a:ext cx="91440" cy="1083269"/>
        </a:xfrm>
        <a:custGeom>
          <a:avLst/>
          <a:gdLst/>
          <a:ahLst/>
          <a:cxnLst/>
          <a:rect l="0" t="0" r="0" b="0"/>
          <a:pathLst>
            <a:path>
              <a:moveTo>
                <a:pt x="49930" y="0"/>
              </a:moveTo>
              <a:lnTo>
                <a:pt x="49930" y="830174"/>
              </a:lnTo>
              <a:lnTo>
                <a:pt x="45720" y="830174"/>
              </a:lnTo>
              <a:lnTo>
                <a:pt x="45720" y="962159"/>
              </a:lnTo>
            </a:path>
          </a:pathLst>
        </a:custGeom>
        <a:noFill/>
        <a:ln w="635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3D4C039E-84EA-4E24-AF06-00C706250A3E}">
      <dsp:nvSpPr>
        <dsp:cNvPr id="0" name=""/>
        <dsp:cNvSpPr/>
      </dsp:nvSpPr>
      <dsp:spPr>
        <a:xfrm>
          <a:off x="3000099" y="3294525"/>
          <a:ext cx="91440" cy="1086001"/>
        </a:xfrm>
        <a:custGeom>
          <a:avLst/>
          <a:gdLst/>
          <a:ahLst/>
          <a:cxnLst/>
          <a:rect l="0" t="0" r="0" b="0"/>
          <a:pathLst>
            <a:path>
              <a:moveTo>
                <a:pt x="45720" y="0"/>
              </a:moveTo>
              <a:lnTo>
                <a:pt x="45720" y="832600"/>
              </a:lnTo>
              <a:lnTo>
                <a:pt x="48686" y="832600"/>
              </a:lnTo>
              <a:lnTo>
                <a:pt x="48686" y="964585"/>
              </a:lnTo>
            </a:path>
          </a:pathLst>
        </a:custGeom>
        <a:noFill/>
        <a:ln w="635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995E6A14-6F89-46F8-8ACD-B7BA479189DD}">
      <dsp:nvSpPr>
        <dsp:cNvPr id="0" name=""/>
        <dsp:cNvSpPr/>
      </dsp:nvSpPr>
      <dsp:spPr>
        <a:xfrm>
          <a:off x="3000099" y="682737"/>
          <a:ext cx="91440" cy="1852100"/>
        </a:xfrm>
        <a:custGeom>
          <a:avLst/>
          <a:gdLst/>
          <a:ahLst/>
          <a:cxnLst/>
          <a:rect l="0" t="0" r="0" b="0"/>
          <a:pathLst>
            <a:path>
              <a:moveTo>
                <a:pt x="48950" y="0"/>
              </a:moveTo>
              <a:lnTo>
                <a:pt x="48950" y="26126"/>
              </a:lnTo>
              <a:lnTo>
                <a:pt x="45720" y="26126"/>
              </a:lnTo>
              <a:lnTo>
                <a:pt x="45720" y="158110"/>
              </a:lnTo>
            </a:path>
          </a:pathLst>
        </a:custGeom>
        <a:noFill/>
        <a:ln w="635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E8FA2FE7-24D8-46BD-A433-4FDF9CE37480}">
      <dsp:nvSpPr>
        <dsp:cNvPr id="0" name=""/>
        <dsp:cNvSpPr/>
      </dsp:nvSpPr>
      <dsp:spPr>
        <a:xfrm>
          <a:off x="2340023" y="2924"/>
          <a:ext cx="1415215" cy="679813"/>
        </a:xfrm>
        <a:prstGeom prst="rect">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Assessed for eligibility</a:t>
          </a:r>
        </a:p>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(n=945)</a:t>
          </a:r>
        </a:p>
      </dsp:txBody>
      <dsp:txXfrm>
        <a:off x="2340023" y="2924"/>
        <a:ext cx="1415215" cy="679813"/>
      </dsp:txXfrm>
    </dsp:sp>
    <dsp:sp modelId="{4E64C961-7E6E-4014-A852-A6700B31A161}">
      <dsp:nvSpPr>
        <dsp:cNvPr id="0" name=""/>
        <dsp:cNvSpPr/>
      </dsp:nvSpPr>
      <dsp:spPr>
        <a:xfrm>
          <a:off x="1833319" y="2534837"/>
          <a:ext cx="2425000" cy="759687"/>
        </a:xfrm>
        <a:prstGeom prst="rect">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b="0" i="0" kern="1200">
              <a:solidFill>
                <a:sysClr val="windowText" lastClr="000000"/>
              </a:solidFill>
            </a:rPr>
            <a:t>Out of the 139 remaining subjects only those with the longest FU (5-8 years) were retained (n=44)</a:t>
          </a:r>
          <a:endParaRPr lang="nl-BE" sz="1000" kern="1200">
            <a:solidFill>
              <a:sysClr val="windowText" lastClr="000000"/>
            </a:solidFill>
            <a:latin typeface="Calibri"/>
            <a:ea typeface="+mn-ea"/>
            <a:cs typeface="+mn-cs"/>
          </a:endParaRPr>
        </a:p>
      </dsp:txBody>
      <dsp:txXfrm>
        <a:off x="1833319" y="2534837"/>
        <a:ext cx="2425000" cy="759687"/>
      </dsp:txXfrm>
    </dsp:sp>
    <dsp:sp modelId="{487BCCA5-C136-4B8E-89A0-5EC3D0C0B919}">
      <dsp:nvSpPr>
        <dsp:cNvPr id="0" name=""/>
        <dsp:cNvSpPr/>
      </dsp:nvSpPr>
      <dsp:spPr>
        <a:xfrm>
          <a:off x="2103696" y="4380527"/>
          <a:ext cx="1890926" cy="531611"/>
        </a:xfrm>
        <a:prstGeom prst="rect">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31 patients (n), </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116 gait analyses (N) in total</a:t>
          </a:r>
        </a:p>
      </dsp:txBody>
      <dsp:txXfrm>
        <a:off x="2103696" y="4380527"/>
        <a:ext cx="1890926" cy="531611"/>
      </dsp:txXfrm>
    </dsp:sp>
    <dsp:sp modelId="{3A88F432-26B5-4AB2-B1F0-0487F8BF0986}">
      <dsp:nvSpPr>
        <dsp:cNvPr id="0" name=""/>
        <dsp:cNvSpPr/>
      </dsp:nvSpPr>
      <dsp:spPr>
        <a:xfrm>
          <a:off x="1874028" y="5995408"/>
          <a:ext cx="2340781" cy="560029"/>
        </a:xfrm>
        <a:prstGeom prst="rect">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Gait analyses selected according to FU range (N=69)</a:t>
          </a:r>
        </a:p>
      </dsp:txBody>
      <dsp:txXfrm>
        <a:off x="1874028" y="5995408"/>
        <a:ext cx="2340781" cy="560029"/>
      </dsp:txXfrm>
    </dsp:sp>
    <dsp:sp modelId="{344DFFE7-89D7-417B-B10E-6D6DB20E66A3}">
      <dsp:nvSpPr>
        <dsp:cNvPr id="0" name=""/>
        <dsp:cNvSpPr/>
      </dsp:nvSpPr>
      <dsp:spPr>
        <a:xfrm>
          <a:off x="1807364" y="6829289"/>
          <a:ext cx="2479260" cy="1597092"/>
        </a:xfrm>
        <a:prstGeom prst="rect">
          <a:avLst/>
        </a:prstGeom>
        <a:noFill/>
        <a:ln w="285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Patients (n) and gait analyses (N) analysed:</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n=31</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N=69</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- 2±1,5 year FU: n= 29, N=29</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- 5±1,5 year  FU: n= 20, N=20</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- 8±2 year FU: n=20, N=20</a:t>
          </a:r>
          <a:br>
            <a:rPr lang="nl-BE" sz="1000" kern="1200">
              <a:solidFill>
                <a:sysClr val="windowText" lastClr="000000"/>
              </a:solidFill>
              <a:latin typeface="Calibri"/>
              <a:ea typeface="+mn-ea"/>
              <a:cs typeface="+mn-cs"/>
            </a:rPr>
          </a:br>
          <a:endParaRPr lang="nl-BE" sz="1000" kern="1200">
            <a:solidFill>
              <a:sysClr val="windowText" lastClr="000000"/>
            </a:solidFill>
            <a:latin typeface="Calibri"/>
            <a:ea typeface="+mn-ea"/>
            <a:cs typeface="+mn-cs"/>
          </a:endParaRPr>
        </a:p>
      </dsp:txBody>
      <dsp:txXfrm>
        <a:off x="1807364" y="6829289"/>
        <a:ext cx="2479260" cy="1597092"/>
      </dsp:txXfrm>
    </dsp:sp>
    <dsp:sp modelId="{195A2ECE-4B8A-410C-99DA-F96F32EBC001}">
      <dsp:nvSpPr>
        <dsp:cNvPr id="0" name=""/>
        <dsp:cNvSpPr/>
      </dsp:nvSpPr>
      <dsp:spPr>
        <a:xfrm>
          <a:off x="2440595" y="7680003"/>
          <a:ext cx="1055411" cy="140332"/>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nl-BE" sz="1000" kern="1200">
            <a:solidFill>
              <a:sysClr val="window" lastClr="FFFFFF"/>
            </a:solidFill>
            <a:latin typeface="Calibri"/>
            <a:ea typeface="+mn-ea"/>
            <a:cs typeface="+mn-cs"/>
          </a:endParaRPr>
        </a:p>
      </dsp:txBody>
      <dsp:txXfrm>
        <a:off x="2440595" y="7680003"/>
        <a:ext cx="1055411" cy="140332"/>
      </dsp:txXfrm>
    </dsp:sp>
    <dsp:sp modelId="{1072C591-10FB-41C2-9664-A5D8F6D6429A}">
      <dsp:nvSpPr>
        <dsp:cNvPr id="0" name=""/>
        <dsp:cNvSpPr/>
      </dsp:nvSpPr>
      <dsp:spPr>
        <a:xfrm>
          <a:off x="544482" y="5145759"/>
          <a:ext cx="2301141" cy="579707"/>
        </a:xfrm>
        <a:prstGeom prst="rect">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1 gait analysis excluded because of a new SEMLS (N=115)</a:t>
          </a:r>
        </a:p>
      </dsp:txBody>
      <dsp:txXfrm>
        <a:off x="544482" y="5145759"/>
        <a:ext cx="2301141" cy="579707"/>
      </dsp:txXfrm>
    </dsp:sp>
    <dsp:sp modelId="{AE67E5B2-9EF2-46F7-894F-44F501080542}">
      <dsp:nvSpPr>
        <dsp:cNvPr id="0" name=""/>
        <dsp:cNvSpPr/>
      </dsp:nvSpPr>
      <dsp:spPr>
        <a:xfrm>
          <a:off x="938393" y="3518002"/>
          <a:ext cx="1933482" cy="651282"/>
        </a:xfrm>
        <a:prstGeom prst="rect">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13 patients excluded</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(software errors related to missing marker data)</a:t>
          </a:r>
        </a:p>
      </dsp:txBody>
      <dsp:txXfrm>
        <a:off x="938393" y="3518002"/>
        <a:ext cx="1933482" cy="651282"/>
      </dsp:txXfrm>
    </dsp:sp>
    <dsp:sp modelId="{C4735F20-816D-4C82-B4EB-26E2E42C31CD}">
      <dsp:nvSpPr>
        <dsp:cNvPr id="0" name=""/>
        <dsp:cNvSpPr/>
      </dsp:nvSpPr>
      <dsp:spPr>
        <a:xfrm>
          <a:off x="1185235" y="855149"/>
          <a:ext cx="1702250" cy="684815"/>
        </a:xfrm>
        <a:prstGeom prst="rect">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Excluded (did not meet inclusion criteria)</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(n=704)</a:t>
          </a:r>
        </a:p>
      </dsp:txBody>
      <dsp:txXfrm>
        <a:off x="1185235" y="855149"/>
        <a:ext cx="1702250" cy="684815"/>
      </dsp:txXfrm>
    </dsp:sp>
    <dsp:sp modelId="{692D07F7-AFDD-4270-9F37-60201EE133DD}">
      <dsp:nvSpPr>
        <dsp:cNvPr id="0" name=""/>
        <dsp:cNvSpPr/>
      </dsp:nvSpPr>
      <dsp:spPr>
        <a:xfrm>
          <a:off x="908730" y="1738693"/>
          <a:ext cx="1966598" cy="727060"/>
        </a:xfrm>
        <a:prstGeom prst="rect">
          <a:avLst/>
        </a:prstGeom>
        <a:noFill/>
        <a:ln w="63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solidFill>
                <a:sysClr val="windowText" lastClr="000000"/>
              </a:solidFill>
              <a:latin typeface="Calibri"/>
              <a:ea typeface="+mn-ea"/>
              <a:cs typeface="+mn-cs"/>
            </a:rPr>
            <a:t>102 patients excluded </a:t>
          </a:r>
          <a:br>
            <a:rPr lang="nl-BE" sz="1000" kern="1200">
              <a:solidFill>
                <a:sysClr val="windowText" lastClr="000000"/>
              </a:solidFill>
              <a:latin typeface="Calibri"/>
              <a:ea typeface="+mn-ea"/>
              <a:cs typeface="+mn-cs"/>
            </a:rPr>
          </a:br>
          <a:r>
            <a:rPr lang="nl-BE" sz="1000" kern="1200">
              <a:solidFill>
                <a:sysClr val="windowText" lastClr="000000"/>
              </a:solidFill>
              <a:latin typeface="Calibri"/>
              <a:ea typeface="+mn-ea"/>
              <a:cs typeface="+mn-cs"/>
            </a:rPr>
            <a:t>(data too old to analyse in new software)</a:t>
          </a:r>
        </a:p>
      </dsp:txBody>
      <dsp:txXfrm>
        <a:off x="908730" y="1738693"/>
        <a:ext cx="1966598" cy="7270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2564B-27FF-45AA-9D94-0C4D5E36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48</Pages>
  <Words>60388</Words>
  <Characters>332140</Characters>
  <Application>Microsoft Office Word</Application>
  <DocSecurity>0</DocSecurity>
  <Lines>2767</Lines>
  <Paragraphs>783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Bijlage 2</vt:lpstr>
      <vt:lpstr>Bijlage 2</vt:lpstr>
    </vt:vector>
  </TitlesOfParts>
  <Company>Faculteit Lichamelijke Opvoeding en Kinesitherapie</Company>
  <LinksUpToDate>false</LinksUpToDate>
  <CharactersWithSpaces>391745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2</dc:title>
  <dc:creator>ŒÒ  —</dc:creator>
  <cp:lastModifiedBy>Evie</cp:lastModifiedBy>
  <cp:revision>15</cp:revision>
  <cp:lastPrinted>2016-05-12T18:30:00Z</cp:lastPrinted>
  <dcterms:created xsi:type="dcterms:W3CDTF">2016-07-11T07:55:00Z</dcterms:created>
  <dcterms:modified xsi:type="dcterms:W3CDTF">2016-07-11T12:58:00Z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lise.loyens@hotmail.com@www.mendeley.com</vt:lpwstr>
  </property>
  <property fmtid="{D5CDD505-2E9C-101B-9397-08002B2CF9AE}" pid="4" name="Mendeley Citation Style_1">
    <vt:lpwstr>http://www.zotero.org/styles/gait-and-posture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http://www.zotero.org/styles/gait-and-posture</vt:lpwstr>
  </property>
  <property fmtid="{D5CDD505-2E9C-101B-9397-08002B2CF9AE}" pid="16" name="Mendeley Recent Style Name 5_1">
    <vt:lpwstr>Gait &amp; Posture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